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8F2A2" w14:textId="77777777" w:rsidR="00C05786" w:rsidRDefault="00705CF5" w:rsidP="00C05786">
      <w:pPr>
        <w:pStyle w:val="NoSpacing"/>
        <w:jc w:val="center"/>
        <w:rPr>
          <w:rFonts w:ascii="Gill Sans MT" w:hAnsi="Gill Sans MT"/>
          <w:b/>
          <w:i/>
        </w:rPr>
      </w:pPr>
      <w:r>
        <w:rPr>
          <w:rFonts w:ascii="Gill Sans MT" w:hAnsi="Gill Sans MT"/>
          <w:b/>
          <w:i/>
        </w:rPr>
        <w:t xml:space="preserve">UK </w:t>
      </w:r>
      <w:r w:rsidR="005D48D0" w:rsidRPr="00111AA7">
        <w:rPr>
          <w:rFonts w:ascii="Gill Sans MT" w:hAnsi="Gill Sans MT"/>
          <w:b/>
          <w:i/>
        </w:rPr>
        <w:t xml:space="preserve">Parliamentary Sovereignty in </w:t>
      </w:r>
      <w:r>
        <w:rPr>
          <w:rFonts w:ascii="Gill Sans MT" w:hAnsi="Gill Sans MT"/>
          <w:b/>
          <w:i/>
        </w:rPr>
        <w:t>an Age of Constitutional Flux</w:t>
      </w:r>
      <w:r w:rsidR="00C05786">
        <w:rPr>
          <w:rFonts w:ascii="Gill Sans MT" w:hAnsi="Gill Sans MT"/>
          <w:b/>
          <w:i/>
        </w:rPr>
        <w:t>:</w:t>
      </w:r>
    </w:p>
    <w:p w14:paraId="4957BE89" w14:textId="6F4D328B" w:rsidR="005D48D0" w:rsidRPr="00111AA7" w:rsidRDefault="00C05786" w:rsidP="00C05786">
      <w:pPr>
        <w:pStyle w:val="NoSpacing"/>
        <w:jc w:val="center"/>
        <w:rPr>
          <w:rFonts w:ascii="Gill Sans MT" w:hAnsi="Gill Sans MT"/>
          <w:b/>
          <w:i/>
        </w:rPr>
      </w:pPr>
      <w:r>
        <w:rPr>
          <w:rFonts w:ascii="Gill Sans MT" w:hAnsi="Gill Sans MT"/>
          <w:b/>
          <w:i/>
        </w:rPr>
        <w:t>Challenge, Centrality and Complacency</w:t>
      </w:r>
    </w:p>
    <w:p w14:paraId="46356669" w14:textId="55A5295C" w:rsidR="005D48D0" w:rsidRDefault="005D48D0" w:rsidP="00111AA7">
      <w:pPr>
        <w:pStyle w:val="NoSpacing"/>
        <w:jc w:val="both"/>
        <w:rPr>
          <w:rFonts w:ascii="Gill Sans MT" w:hAnsi="Gill Sans MT"/>
          <w:b/>
        </w:rPr>
      </w:pPr>
    </w:p>
    <w:p w14:paraId="3C30868A" w14:textId="77777777" w:rsidR="00C96365" w:rsidRPr="00111AA7" w:rsidRDefault="00C96365" w:rsidP="00111AA7">
      <w:pPr>
        <w:pStyle w:val="NoSpacing"/>
        <w:jc w:val="both"/>
        <w:rPr>
          <w:rFonts w:ascii="Gill Sans MT" w:hAnsi="Gill Sans MT"/>
          <w:b/>
        </w:rPr>
      </w:pPr>
    </w:p>
    <w:p w14:paraId="09A69F6B" w14:textId="2733596A" w:rsidR="00EF7080" w:rsidRPr="00111AA7" w:rsidRDefault="00705CF5" w:rsidP="00111AA7">
      <w:pPr>
        <w:pStyle w:val="NoSpacing"/>
        <w:jc w:val="both"/>
        <w:rPr>
          <w:rFonts w:ascii="Gill Sans MT" w:hAnsi="Gill Sans MT"/>
          <w:b/>
        </w:rPr>
      </w:pPr>
      <w:r>
        <w:rPr>
          <w:rFonts w:ascii="Gill Sans MT" w:hAnsi="Gill Sans MT"/>
          <w:b/>
        </w:rPr>
        <w:t>Michael Gordon*</w:t>
      </w:r>
    </w:p>
    <w:p w14:paraId="583E741B" w14:textId="2CA626FD" w:rsidR="00B160DF" w:rsidRDefault="00B160DF" w:rsidP="00111AA7">
      <w:pPr>
        <w:pStyle w:val="NoSpacing"/>
        <w:jc w:val="both"/>
        <w:rPr>
          <w:rFonts w:ascii="Gill Sans MT" w:hAnsi="Gill Sans MT"/>
        </w:rPr>
      </w:pPr>
    </w:p>
    <w:p w14:paraId="7D327CFE" w14:textId="77777777" w:rsidR="00C96365" w:rsidRPr="00111AA7" w:rsidRDefault="00C96365" w:rsidP="00111AA7">
      <w:pPr>
        <w:pStyle w:val="NoSpacing"/>
        <w:jc w:val="both"/>
        <w:rPr>
          <w:rFonts w:ascii="Gill Sans MT" w:hAnsi="Gill Sans MT"/>
        </w:rPr>
      </w:pPr>
    </w:p>
    <w:p w14:paraId="71D51EE5" w14:textId="58DE3638" w:rsidR="00D13F69" w:rsidRDefault="00EF2F3A" w:rsidP="00D13F69">
      <w:pPr>
        <w:pStyle w:val="NoSpacing"/>
        <w:jc w:val="both"/>
        <w:rPr>
          <w:rFonts w:ascii="Gill Sans MT" w:hAnsi="Gill Sans MT"/>
        </w:rPr>
      </w:pPr>
      <w:r>
        <w:rPr>
          <w:rFonts w:ascii="Gill Sans MT" w:hAnsi="Gill Sans MT"/>
        </w:rPr>
        <w:t>We are experiencing a</w:t>
      </w:r>
      <w:r w:rsidR="005D48D0" w:rsidRPr="00111AA7">
        <w:rPr>
          <w:rFonts w:ascii="Gill Sans MT" w:hAnsi="Gill Sans MT"/>
        </w:rPr>
        <w:t xml:space="preserve"> period of the most i</w:t>
      </w:r>
      <w:r>
        <w:rPr>
          <w:rFonts w:ascii="Gill Sans MT" w:hAnsi="Gill Sans MT"/>
        </w:rPr>
        <w:t>ntense constitutional activity in the UK.  Since 2015 in particular, the UK appears to be in an age of constitutional flux – t</w:t>
      </w:r>
      <w:r w:rsidRPr="00111AA7">
        <w:rPr>
          <w:rFonts w:ascii="Gill Sans MT" w:hAnsi="Gill Sans MT"/>
        </w:rPr>
        <w:t>here have been major developments in UK constitutional law</w:t>
      </w:r>
      <w:r>
        <w:rPr>
          <w:rFonts w:ascii="Gill Sans MT" w:hAnsi="Gill Sans MT"/>
        </w:rPr>
        <w:t xml:space="preserve"> and politics</w:t>
      </w:r>
      <w:r w:rsidRPr="00111AA7">
        <w:rPr>
          <w:rFonts w:ascii="Gill Sans MT" w:hAnsi="Gill Sans MT"/>
        </w:rPr>
        <w:t xml:space="preserve"> in the </w:t>
      </w:r>
      <w:r>
        <w:rPr>
          <w:rFonts w:ascii="Gill Sans MT" w:hAnsi="Gill Sans MT"/>
        </w:rPr>
        <w:t xml:space="preserve">three </w:t>
      </w:r>
      <w:r w:rsidRPr="00111AA7">
        <w:rPr>
          <w:rFonts w:ascii="Gill Sans MT" w:hAnsi="Gill Sans MT"/>
        </w:rPr>
        <w:t xml:space="preserve">years </w:t>
      </w:r>
      <w:r>
        <w:rPr>
          <w:rFonts w:ascii="Gill Sans MT" w:hAnsi="Gill Sans MT"/>
        </w:rPr>
        <w:t>following</w:t>
      </w:r>
      <w:r w:rsidRPr="00111AA7">
        <w:rPr>
          <w:rFonts w:ascii="Gill Sans MT" w:hAnsi="Gill Sans MT"/>
        </w:rPr>
        <w:t xml:space="preserve"> </w:t>
      </w:r>
      <w:r>
        <w:rPr>
          <w:rFonts w:ascii="Gill Sans MT" w:hAnsi="Gill Sans MT"/>
        </w:rPr>
        <w:t xml:space="preserve">the election of David Cameron’s majority Conservative government, on a manifesto promising (among other things) a national referendum on membership of the </w:t>
      </w:r>
      <w:r w:rsidR="00E32F01">
        <w:rPr>
          <w:rFonts w:ascii="Gill Sans MT" w:hAnsi="Gill Sans MT"/>
        </w:rPr>
        <w:t>European Union (EU)</w:t>
      </w:r>
      <w:r>
        <w:rPr>
          <w:rFonts w:ascii="Gill Sans MT" w:hAnsi="Gill Sans MT"/>
        </w:rPr>
        <w:t>.  The decision taken to withdraw from the EU has been at the centre of the ensuing (and ongoing) period of constitutional change</w:t>
      </w:r>
      <w:r w:rsidRPr="00111AA7">
        <w:rPr>
          <w:rFonts w:ascii="Gill Sans MT" w:hAnsi="Gill Sans MT"/>
        </w:rPr>
        <w:t>.</w:t>
      </w:r>
      <w:r>
        <w:rPr>
          <w:rFonts w:ascii="Gill Sans MT" w:hAnsi="Gill Sans MT"/>
        </w:rPr>
        <w:t xml:space="preserve">  Yet in addition to deconstructing </w:t>
      </w:r>
      <w:r w:rsidR="00225C9E">
        <w:rPr>
          <w:rFonts w:ascii="Gill Sans MT" w:hAnsi="Gill Sans MT"/>
        </w:rPr>
        <w:t>(</w:t>
      </w:r>
      <w:r w:rsidR="008F6506">
        <w:rPr>
          <w:rFonts w:ascii="Gill Sans MT" w:hAnsi="Gill Sans MT"/>
        </w:rPr>
        <w:t>while</w:t>
      </w:r>
      <w:r>
        <w:rPr>
          <w:rFonts w:ascii="Gill Sans MT" w:hAnsi="Gill Sans MT"/>
        </w:rPr>
        <w:t xml:space="preserve"> almost immediately reconstructing</w:t>
      </w:r>
      <w:r w:rsidR="00225C9E">
        <w:rPr>
          <w:rFonts w:ascii="Gill Sans MT" w:hAnsi="Gill Sans MT"/>
        </w:rPr>
        <w:t>)</w:t>
      </w:r>
      <w:r>
        <w:rPr>
          <w:rFonts w:ascii="Gill Sans MT" w:hAnsi="Gill Sans MT"/>
        </w:rPr>
        <w:t xml:space="preserve"> our complex relationship with the EU, </w:t>
      </w:r>
      <w:r w:rsidR="00225C9E">
        <w:rPr>
          <w:rFonts w:ascii="Gill Sans MT" w:hAnsi="Gill Sans MT"/>
        </w:rPr>
        <w:t>the constitutional maelstrom unleashed by ‘Brexit’</w:t>
      </w:r>
      <w:r w:rsidR="00D13F69">
        <w:rPr>
          <w:rFonts w:ascii="Gill Sans MT" w:hAnsi="Gill Sans MT"/>
        </w:rPr>
        <w:t xml:space="preserve"> has prompted challenging questions concerning the status of devolution to Scotland, Wales and Northern Ireland, the </w:t>
      </w:r>
      <w:r w:rsidR="008F6506">
        <w:rPr>
          <w:rFonts w:ascii="Gill Sans MT" w:hAnsi="Gill Sans MT"/>
        </w:rPr>
        <w:t>scope of</w:t>
      </w:r>
      <w:r w:rsidR="00D13F69">
        <w:rPr>
          <w:rFonts w:ascii="Gill Sans MT" w:hAnsi="Gill Sans MT"/>
        </w:rPr>
        <w:t xml:space="preserve"> executive power, the role of the domestic courts, and the place of democratic decision-making (direct or representative) within the UK political system.  It is in this sense that the UK constitution is in an age of flux – flowing from Brexit or otherwise, we see many of the core tenets of the UK’s constitutional order subject to challenge</w:t>
      </w:r>
      <w:r w:rsidR="006D567D">
        <w:rPr>
          <w:rFonts w:ascii="Gill Sans MT" w:hAnsi="Gill Sans MT"/>
        </w:rPr>
        <w:t>.</w:t>
      </w:r>
      <w:r w:rsidR="00D13F69">
        <w:rPr>
          <w:rFonts w:ascii="Gill Sans MT" w:hAnsi="Gill Sans MT"/>
        </w:rPr>
        <w:t xml:space="preserve"> </w:t>
      </w:r>
      <w:r w:rsidR="006D567D">
        <w:rPr>
          <w:rFonts w:ascii="Gill Sans MT" w:hAnsi="Gill Sans MT"/>
        </w:rPr>
        <w:t xml:space="preserve"> A</w:t>
      </w:r>
      <w:r w:rsidR="00D13F69">
        <w:rPr>
          <w:rFonts w:ascii="Gill Sans MT" w:hAnsi="Gill Sans MT"/>
        </w:rPr>
        <w:t xml:space="preserve">nd crucially, these challenges are overlapping and interacting, prompting ever more complex </w:t>
      </w:r>
      <w:r w:rsidR="00BA6035">
        <w:rPr>
          <w:rFonts w:ascii="Gill Sans MT" w:hAnsi="Gill Sans MT"/>
        </w:rPr>
        <w:t>questions about the state of our political system.</w:t>
      </w:r>
    </w:p>
    <w:p w14:paraId="6D94B286" w14:textId="280254C4" w:rsidR="00F04725" w:rsidRDefault="00BA6035" w:rsidP="0007750B">
      <w:pPr>
        <w:pStyle w:val="NoSpacing"/>
        <w:ind w:firstLine="720"/>
        <w:jc w:val="both"/>
        <w:rPr>
          <w:rFonts w:ascii="Gill Sans MT" w:hAnsi="Gill Sans MT"/>
        </w:rPr>
      </w:pPr>
      <w:r>
        <w:rPr>
          <w:rFonts w:ascii="Gill Sans MT" w:hAnsi="Gill Sans MT"/>
        </w:rPr>
        <w:t>The</w:t>
      </w:r>
      <w:r w:rsidR="005D48D0" w:rsidRPr="00111AA7">
        <w:rPr>
          <w:rFonts w:ascii="Gill Sans MT" w:hAnsi="Gill Sans MT"/>
        </w:rPr>
        <w:t xml:space="preserve"> </w:t>
      </w:r>
      <w:r w:rsidR="00DB033F">
        <w:rPr>
          <w:rFonts w:ascii="Gill Sans MT" w:hAnsi="Gill Sans MT"/>
        </w:rPr>
        <w:t>idea</w:t>
      </w:r>
      <w:r w:rsidR="005D48D0" w:rsidRPr="00111AA7">
        <w:rPr>
          <w:rFonts w:ascii="Gill Sans MT" w:hAnsi="Gill Sans MT"/>
        </w:rPr>
        <w:t xml:space="preserve"> of parliamentary sovereignty </w:t>
      </w:r>
      <w:r>
        <w:rPr>
          <w:rFonts w:ascii="Gill Sans MT" w:hAnsi="Gill Sans MT"/>
        </w:rPr>
        <w:t>has been at</w:t>
      </w:r>
      <w:r w:rsidR="005D48D0" w:rsidRPr="00111AA7">
        <w:rPr>
          <w:rFonts w:ascii="Gill Sans MT" w:hAnsi="Gill Sans MT"/>
        </w:rPr>
        <w:t xml:space="preserve"> the </w:t>
      </w:r>
      <w:r>
        <w:rPr>
          <w:rFonts w:ascii="Gill Sans MT" w:hAnsi="Gill Sans MT"/>
        </w:rPr>
        <w:t>core</w:t>
      </w:r>
      <w:r w:rsidR="0007750B">
        <w:rPr>
          <w:rFonts w:ascii="Gill Sans MT" w:hAnsi="Gill Sans MT"/>
        </w:rPr>
        <w:t xml:space="preserve"> of many of</w:t>
      </w:r>
      <w:r>
        <w:rPr>
          <w:rFonts w:ascii="Gill Sans MT" w:hAnsi="Gill Sans MT"/>
        </w:rPr>
        <w:t xml:space="preserve"> these </w:t>
      </w:r>
      <w:r w:rsidR="00055F76">
        <w:rPr>
          <w:rFonts w:ascii="Gill Sans MT" w:hAnsi="Gill Sans MT"/>
        </w:rPr>
        <w:t>often heated and</w:t>
      </w:r>
      <w:r w:rsidR="008347F4" w:rsidRPr="00111AA7">
        <w:rPr>
          <w:rFonts w:ascii="Gill Sans MT" w:hAnsi="Gill Sans MT"/>
        </w:rPr>
        <w:t xml:space="preserve"> very public </w:t>
      </w:r>
      <w:r w:rsidR="005D48D0" w:rsidRPr="00111AA7">
        <w:rPr>
          <w:rFonts w:ascii="Gill Sans MT" w:hAnsi="Gill Sans MT"/>
        </w:rPr>
        <w:t>legal and political debates.</w:t>
      </w:r>
      <w:r w:rsidR="003B06C2">
        <w:rPr>
          <w:rFonts w:ascii="Gill Sans MT" w:hAnsi="Gill Sans MT"/>
        </w:rPr>
        <w:t xml:space="preserve">  </w:t>
      </w:r>
      <w:r w:rsidR="005672DD">
        <w:rPr>
          <w:rFonts w:ascii="Gill Sans MT" w:hAnsi="Gill Sans MT"/>
        </w:rPr>
        <w:t>The constit</w:t>
      </w:r>
      <w:r w:rsidR="006D567D">
        <w:rPr>
          <w:rFonts w:ascii="Gill Sans MT" w:hAnsi="Gill Sans MT"/>
        </w:rPr>
        <w:t>utional status of the doctrine, i</w:t>
      </w:r>
      <w:r w:rsidR="005672DD">
        <w:rPr>
          <w:rFonts w:ascii="Gill Sans MT" w:hAnsi="Gill Sans MT"/>
        </w:rPr>
        <w:t>ts c</w:t>
      </w:r>
      <w:r w:rsidR="003B06C2">
        <w:rPr>
          <w:rFonts w:ascii="Gill Sans MT" w:hAnsi="Gill Sans MT"/>
        </w:rPr>
        <w:t>entrality</w:t>
      </w:r>
      <w:r w:rsidR="00304244">
        <w:rPr>
          <w:rFonts w:ascii="Gill Sans MT" w:hAnsi="Gill Sans MT"/>
        </w:rPr>
        <w:t>,</w:t>
      </w:r>
      <w:r w:rsidR="003B06C2">
        <w:rPr>
          <w:rFonts w:ascii="Gill Sans MT" w:hAnsi="Gill Sans MT"/>
        </w:rPr>
        <w:t xml:space="preserve"> </w:t>
      </w:r>
      <w:r w:rsidR="005672DD">
        <w:rPr>
          <w:rFonts w:ascii="Gill Sans MT" w:hAnsi="Gill Sans MT"/>
        </w:rPr>
        <w:t xml:space="preserve">its </w:t>
      </w:r>
      <w:r w:rsidR="003B06C2">
        <w:rPr>
          <w:rFonts w:ascii="Gill Sans MT" w:hAnsi="Gill Sans MT"/>
        </w:rPr>
        <w:t xml:space="preserve">functions, </w:t>
      </w:r>
      <w:r w:rsidR="005672DD">
        <w:rPr>
          <w:rFonts w:ascii="Gill Sans MT" w:hAnsi="Gill Sans MT"/>
        </w:rPr>
        <w:t xml:space="preserve">its </w:t>
      </w:r>
      <w:r w:rsidR="003B06C2">
        <w:rPr>
          <w:rFonts w:ascii="Gill Sans MT" w:hAnsi="Gill Sans MT"/>
        </w:rPr>
        <w:t>legitimacy,</w:t>
      </w:r>
      <w:r w:rsidR="006D567D">
        <w:rPr>
          <w:rFonts w:ascii="Gill Sans MT" w:hAnsi="Gill Sans MT"/>
        </w:rPr>
        <w:t xml:space="preserve"> and</w:t>
      </w:r>
      <w:r w:rsidR="003B06C2">
        <w:rPr>
          <w:rFonts w:ascii="Gill Sans MT" w:hAnsi="Gill Sans MT"/>
        </w:rPr>
        <w:t xml:space="preserve"> </w:t>
      </w:r>
      <w:r w:rsidR="005672DD">
        <w:rPr>
          <w:rFonts w:ascii="Gill Sans MT" w:hAnsi="Gill Sans MT"/>
        </w:rPr>
        <w:t xml:space="preserve">its </w:t>
      </w:r>
      <w:r w:rsidR="003B06C2">
        <w:rPr>
          <w:rFonts w:ascii="Gill Sans MT" w:hAnsi="Gill Sans MT"/>
        </w:rPr>
        <w:t>legal scope</w:t>
      </w:r>
      <w:r w:rsidR="006D567D">
        <w:rPr>
          <w:rFonts w:ascii="Gill Sans MT" w:hAnsi="Gill Sans MT"/>
        </w:rPr>
        <w:t xml:space="preserve"> </w:t>
      </w:r>
      <w:r w:rsidR="005672DD">
        <w:rPr>
          <w:rFonts w:ascii="Gill Sans MT" w:hAnsi="Gill Sans MT"/>
        </w:rPr>
        <w:t>have</w:t>
      </w:r>
      <w:r w:rsidR="003B06C2">
        <w:rPr>
          <w:rFonts w:ascii="Gill Sans MT" w:hAnsi="Gill Sans MT"/>
        </w:rPr>
        <w:t xml:space="preserve"> all </w:t>
      </w:r>
      <w:r w:rsidR="005672DD">
        <w:rPr>
          <w:rFonts w:ascii="Gill Sans MT" w:hAnsi="Gill Sans MT"/>
        </w:rPr>
        <w:t xml:space="preserve">been </w:t>
      </w:r>
      <w:r w:rsidR="003B06C2">
        <w:rPr>
          <w:rFonts w:ascii="Gill Sans MT" w:hAnsi="Gill Sans MT"/>
        </w:rPr>
        <w:t>matters of</w:t>
      </w:r>
      <w:r w:rsidR="005672DD">
        <w:rPr>
          <w:rFonts w:ascii="Gill Sans MT" w:hAnsi="Gill Sans MT"/>
        </w:rPr>
        <w:t xml:space="preserve"> </w:t>
      </w:r>
      <w:r w:rsidR="00304244">
        <w:rPr>
          <w:rFonts w:ascii="Gill Sans MT" w:hAnsi="Gill Sans MT"/>
        </w:rPr>
        <w:t xml:space="preserve">significant </w:t>
      </w:r>
      <w:r w:rsidR="006D567D">
        <w:rPr>
          <w:rFonts w:ascii="Gill Sans MT" w:hAnsi="Gill Sans MT"/>
        </w:rPr>
        <w:t xml:space="preserve">and </w:t>
      </w:r>
      <w:r w:rsidR="0086600A">
        <w:rPr>
          <w:rFonts w:ascii="Gill Sans MT" w:hAnsi="Gill Sans MT"/>
        </w:rPr>
        <w:t>high-profile</w:t>
      </w:r>
      <w:r w:rsidR="003B06C2">
        <w:rPr>
          <w:rFonts w:ascii="Gill Sans MT" w:hAnsi="Gill Sans MT"/>
        </w:rPr>
        <w:t xml:space="preserve"> </w:t>
      </w:r>
      <w:r w:rsidR="00055F76">
        <w:rPr>
          <w:rFonts w:ascii="Gill Sans MT" w:hAnsi="Gill Sans MT"/>
        </w:rPr>
        <w:t>argument</w:t>
      </w:r>
      <w:r w:rsidR="00304244">
        <w:rPr>
          <w:rFonts w:ascii="Gill Sans MT" w:hAnsi="Gill Sans MT"/>
        </w:rPr>
        <w:t>.</w:t>
      </w:r>
      <w:r w:rsidR="006D567D">
        <w:rPr>
          <w:rFonts w:ascii="Gill Sans MT" w:hAnsi="Gill Sans MT"/>
        </w:rPr>
        <w:t xml:space="preserve">  </w:t>
      </w:r>
      <w:r w:rsidR="00C722E2">
        <w:rPr>
          <w:rFonts w:ascii="Gill Sans MT" w:hAnsi="Gill Sans MT"/>
        </w:rPr>
        <w:t xml:space="preserve">In some ways, however, we </w:t>
      </w:r>
      <w:r w:rsidR="00055F76">
        <w:rPr>
          <w:rFonts w:ascii="Gill Sans MT" w:hAnsi="Gill Sans MT"/>
        </w:rPr>
        <w:t>might be forgiven for wondering whether</w:t>
      </w:r>
      <w:r w:rsidR="00C722E2">
        <w:rPr>
          <w:rFonts w:ascii="Gill Sans MT" w:hAnsi="Gill Sans MT"/>
        </w:rPr>
        <w:t xml:space="preserve"> this </w:t>
      </w:r>
      <w:r w:rsidR="00055F76">
        <w:rPr>
          <w:rFonts w:ascii="Gill Sans MT" w:hAnsi="Gill Sans MT"/>
        </w:rPr>
        <w:t>is anything especially new.</w:t>
      </w:r>
      <w:r w:rsidR="00C722E2">
        <w:rPr>
          <w:rFonts w:ascii="Gill Sans MT" w:hAnsi="Gill Sans MT"/>
        </w:rPr>
        <w:t xml:space="preserve">  Parliamentary sovereignty has been a doctrine subject to a range of challenges – some critical, some less so – for many years.  From the </w:t>
      </w:r>
      <w:r w:rsidR="00E96042">
        <w:rPr>
          <w:rFonts w:ascii="Gill Sans MT" w:hAnsi="Gill Sans MT"/>
        </w:rPr>
        <w:t>questions raised</w:t>
      </w:r>
      <w:r w:rsidR="00C722E2">
        <w:rPr>
          <w:rFonts w:ascii="Gill Sans MT" w:hAnsi="Gill Sans MT"/>
        </w:rPr>
        <w:t xml:space="preserve"> by membership of supranational associations such as the </w:t>
      </w:r>
      <w:r w:rsidR="00542588">
        <w:rPr>
          <w:rFonts w:ascii="Gill Sans MT" w:hAnsi="Gill Sans MT"/>
        </w:rPr>
        <w:t>EU</w:t>
      </w:r>
      <w:r w:rsidR="00C722E2">
        <w:rPr>
          <w:rFonts w:ascii="Gill Sans MT" w:hAnsi="Gill Sans MT"/>
        </w:rPr>
        <w:t xml:space="preserve"> and the Council of Europe, </w:t>
      </w:r>
      <w:r w:rsidR="00055F76">
        <w:rPr>
          <w:rFonts w:ascii="Gill Sans MT" w:hAnsi="Gill Sans MT"/>
        </w:rPr>
        <w:t xml:space="preserve">to </w:t>
      </w:r>
      <w:r w:rsidR="00E96042">
        <w:rPr>
          <w:rFonts w:ascii="Gill Sans MT" w:hAnsi="Gill Sans MT"/>
        </w:rPr>
        <w:t>the issues posed by internal redistribution of power through the devolution arrangements</w:t>
      </w:r>
      <w:r w:rsidR="00DB033F">
        <w:rPr>
          <w:rFonts w:ascii="Gill Sans MT" w:hAnsi="Gill Sans MT"/>
        </w:rPr>
        <w:t>,</w:t>
      </w:r>
      <w:r w:rsidR="00E96042">
        <w:rPr>
          <w:rFonts w:ascii="Gill Sans MT" w:hAnsi="Gill Sans MT"/>
        </w:rPr>
        <w:t xml:space="preserve"> to the scepticism evident in some parts of an increasingly empowered judiciary, parliamentary sovereignty has been a constitutional principle defined by doubts.  Indeed, </w:t>
      </w:r>
      <w:r w:rsidR="00891DD9">
        <w:rPr>
          <w:rFonts w:ascii="Gill Sans MT" w:hAnsi="Gill Sans MT"/>
        </w:rPr>
        <w:t>discussion of whether</w:t>
      </w:r>
      <w:r w:rsidR="00E96042">
        <w:rPr>
          <w:rFonts w:ascii="Gill Sans MT" w:hAnsi="Gill Sans MT"/>
        </w:rPr>
        <w:t xml:space="preserve"> parliamentary sovereignty </w:t>
      </w:r>
      <w:r w:rsidR="00891DD9">
        <w:rPr>
          <w:rFonts w:ascii="Gill Sans MT" w:hAnsi="Gill Sans MT"/>
        </w:rPr>
        <w:t>is being</w:t>
      </w:r>
      <w:r w:rsidR="00E96042">
        <w:rPr>
          <w:rFonts w:ascii="Gill Sans MT" w:hAnsi="Gill Sans MT"/>
        </w:rPr>
        <w:t xml:space="preserve"> diminished, displaced, diluted or redefined has been perhaps the dominant narrative of modern constitutional law in the UK.</w:t>
      </w:r>
    </w:p>
    <w:p w14:paraId="7CC95B39" w14:textId="580FF274" w:rsidR="0083175D" w:rsidRDefault="00EF5635" w:rsidP="0007750B">
      <w:pPr>
        <w:pStyle w:val="NoSpacing"/>
        <w:ind w:firstLine="720"/>
        <w:jc w:val="both"/>
        <w:rPr>
          <w:rFonts w:ascii="Gill Sans MT" w:hAnsi="Gill Sans MT"/>
        </w:rPr>
      </w:pPr>
      <w:r>
        <w:rPr>
          <w:rFonts w:ascii="Gill Sans MT" w:hAnsi="Gill Sans MT"/>
        </w:rPr>
        <w:t>E</w:t>
      </w:r>
      <w:r w:rsidR="00BD6E8C">
        <w:rPr>
          <w:rFonts w:ascii="Gill Sans MT" w:hAnsi="Gill Sans MT"/>
        </w:rPr>
        <w:t xml:space="preserve">ven before the modern period of active experimentation with the parameters of parliamentary sovereignty – resulting in EU membership, devolution, statutory recognition of human rights, and more besides – </w:t>
      </w:r>
      <w:r>
        <w:rPr>
          <w:rFonts w:ascii="Gill Sans MT" w:hAnsi="Gill Sans MT"/>
        </w:rPr>
        <w:t xml:space="preserve">the meaning and implications of this constitutional doctrine </w:t>
      </w:r>
      <w:r w:rsidR="00E75BBB">
        <w:rPr>
          <w:rFonts w:ascii="Gill Sans MT" w:hAnsi="Gill Sans MT"/>
        </w:rPr>
        <w:t>were</w:t>
      </w:r>
      <w:r w:rsidR="00BD6E8C">
        <w:rPr>
          <w:rFonts w:ascii="Gill Sans MT" w:hAnsi="Gill Sans MT"/>
        </w:rPr>
        <w:t xml:space="preserve"> contested.  </w:t>
      </w:r>
      <w:r>
        <w:rPr>
          <w:rFonts w:ascii="Gill Sans MT" w:hAnsi="Gill Sans MT"/>
        </w:rPr>
        <w:t xml:space="preserve">In </w:t>
      </w:r>
      <w:proofErr w:type="spellStart"/>
      <w:r>
        <w:rPr>
          <w:rFonts w:ascii="Gill Sans MT" w:hAnsi="Gill Sans MT"/>
        </w:rPr>
        <w:t>Dicey’s</w:t>
      </w:r>
      <w:proofErr w:type="spellEnd"/>
      <w:r>
        <w:rPr>
          <w:rFonts w:ascii="Gill Sans MT" w:hAnsi="Gill Sans MT"/>
        </w:rPr>
        <w:t xml:space="preserve"> classic account, the UK Parliament’s sovereignty was defined as </w:t>
      </w:r>
      <w:r w:rsidRPr="008C6771">
        <w:rPr>
          <w:rFonts w:ascii="Gill Sans MT" w:hAnsi="Gill Sans MT"/>
        </w:rPr>
        <w:t xml:space="preserve">‘the right to make or unmake any law whatever’, </w:t>
      </w:r>
      <w:r w:rsidR="003B5B3E">
        <w:rPr>
          <w:rFonts w:ascii="Gill Sans MT" w:hAnsi="Gill Sans MT"/>
        </w:rPr>
        <w:t>and that</w:t>
      </w:r>
      <w:r w:rsidRPr="008C6771">
        <w:rPr>
          <w:rFonts w:ascii="Gill Sans MT" w:hAnsi="Gill Sans MT"/>
        </w:rPr>
        <w:t xml:space="preserve"> ‘</w:t>
      </w:r>
      <w:r>
        <w:rPr>
          <w:rFonts w:ascii="Gill Sans MT" w:hAnsi="Gill Sans MT"/>
        </w:rPr>
        <w:t xml:space="preserve">no person or body is recognised... </w:t>
      </w:r>
      <w:r w:rsidRPr="008C6771">
        <w:rPr>
          <w:rFonts w:ascii="Gill Sans MT" w:hAnsi="Gill Sans MT"/>
        </w:rPr>
        <w:t>as having a right to override or set aside the legislation of Parliament</w:t>
      </w:r>
      <w:r>
        <w:rPr>
          <w:rFonts w:ascii="Gill Sans MT" w:hAnsi="Gill Sans MT"/>
        </w:rPr>
        <w:t>’.</w:t>
      </w:r>
      <w:r>
        <w:rPr>
          <w:rStyle w:val="FootnoteReference"/>
          <w:rFonts w:ascii="Gill Sans MT" w:hAnsi="Gill Sans MT"/>
        </w:rPr>
        <w:footnoteReference w:id="1"/>
      </w:r>
      <w:r>
        <w:rPr>
          <w:rFonts w:ascii="Gill Sans MT" w:hAnsi="Gill Sans MT"/>
        </w:rPr>
        <w:t xml:space="preserve">  </w:t>
      </w:r>
      <w:r w:rsidR="004A476E">
        <w:rPr>
          <w:rFonts w:ascii="Gill Sans MT" w:hAnsi="Gill Sans MT"/>
        </w:rPr>
        <w:t>These core, related propositions clearly identify parliamentary sovereignty as being concerned with legal authority, with Parliament only unlimited as a matter of law, and still subject to an array of political, practical, democratic, economic, social and moral constraints</w:t>
      </w:r>
      <w:r w:rsidR="007E6637">
        <w:rPr>
          <w:rFonts w:ascii="Gill Sans MT" w:hAnsi="Gill Sans MT"/>
        </w:rPr>
        <w:t>, shaping and informing its legislative activity</w:t>
      </w:r>
      <w:r w:rsidR="004A476E">
        <w:rPr>
          <w:rFonts w:ascii="Gill Sans MT" w:hAnsi="Gill Sans MT"/>
        </w:rPr>
        <w:t xml:space="preserve">.  </w:t>
      </w:r>
      <w:r>
        <w:rPr>
          <w:rFonts w:ascii="Gill Sans MT" w:hAnsi="Gill Sans MT"/>
        </w:rPr>
        <w:t xml:space="preserve">Yet even </w:t>
      </w:r>
      <w:r w:rsidR="007E6637">
        <w:rPr>
          <w:rFonts w:ascii="Gill Sans MT" w:hAnsi="Gill Sans MT"/>
        </w:rPr>
        <w:t>accepting these basic starting points</w:t>
      </w:r>
      <w:r>
        <w:rPr>
          <w:rFonts w:ascii="Gill Sans MT" w:hAnsi="Gill Sans MT"/>
        </w:rPr>
        <w:t xml:space="preserve">, </w:t>
      </w:r>
      <w:r w:rsidR="00587D96">
        <w:rPr>
          <w:rFonts w:ascii="Gill Sans MT" w:hAnsi="Gill Sans MT"/>
        </w:rPr>
        <w:t>such an</w:t>
      </w:r>
      <w:r w:rsidR="004A476E">
        <w:rPr>
          <w:rFonts w:ascii="Gill Sans MT" w:hAnsi="Gill Sans MT"/>
        </w:rPr>
        <w:t xml:space="preserve"> account of legally unlimited legislative power </w:t>
      </w:r>
      <w:r w:rsidR="0083175D">
        <w:rPr>
          <w:rFonts w:ascii="Gill Sans MT" w:hAnsi="Gill Sans MT"/>
        </w:rPr>
        <w:t>left</w:t>
      </w:r>
      <w:r>
        <w:rPr>
          <w:rFonts w:ascii="Gill Sans MT" w:hAnsi="Gill Sans MT"/>
        </w:rPr>
        <w:t xml:space="preserve"> </w:t>
      </w:r>
      <w:r w:rsidR="00587D96">
        <w:rPr>
          <w:rFonts w:ascii="Gill Sans MT" w:hAnsi="Gill Sans MT"/>
        </w:rPr>
        <w:t>many</w:t>
      </w:r>
      <w:r>
        <w:rPr>
          <w:rFonts w:ascii="Gill Sans MT" w:hAnsi="Gill Sans MT"/>
        </w:rPr>
        <w:t xml:space="preserve"> matters open to debate</w:t>
      </w:r>
      <w:r w:rsidR="004A476E">
        <w:rPr>
          <w:rFonts w:ascii="Gill Sans MT" w:hAnsi="Gill Sans MT"/>
        </w:rPr>
        <w:t>.</w:t>
      </w:r>
      <w:r>
        <w:rPr>
          <w:rFonts w:ascii="Gill Sans MT" w:hAnsi="Gill Sans MT"/>
        </w:rPr>
        <w:t xml:space="preserve"> </w:t>
      </w:r>
      <w:r w:rsidR="004A476E">
        <w:rPr>
          <w:rFonts w:ascii="Gill Sans MT" w:hAnsi="Gill Sans MT"/>
        </w:rPr>
        <w:t xml:space="preserve"> In the 20</w:t>
      </w:r>
      <w:r w:rsidR="004A476E" w:rsidRPr="004A476E">
        <w:rPr>
          <w:rFonts w:ascii="Gill Sans MT" w:hAnsi="Gill Sans MT"/>
          <w:vertAlign w:val="superscript"/>
        </w:rPr>
        <w:t>th</w:t>
      </w:r>
      <w:r w:rsidR="004A476E">
        <w:rPr>
          <w:rFonts w:ascii="Gill Sans MT" w:hAnsi="Gill Sans MT"/>
        </w:rPr>
        <w:t xml:space="preserve"> century, </w:t>
      </w:r>
      <w:r w:rsidR="0083175D">
        <w:rPr>
          <w:rFonts w:ascii="Gill Sans MT" w:hAnsi="Gill Sans MT"/>
        </w:rPr>
        <w:t>the vital question of how</w:t>
      </w:r>
      <w:r w:rsidR="004A476E">
        <w:rPr>
          <w:rFonts w:ascii="Gill Sans MT" w:hAnsi="Gill Sans MT"/>
        </w:rPr>
        <w:t xml:space="preserve"> the legally sovereign Parliament could respond appropriately to moves to independence by states previously under British rule, </w:t>
      </w:r>
      <w:r w:rsidR="0083175D">
        <w:rPr>
          <w:rFonts w:ascii="Gill Sans MT" w:hAnsi="Gill Sans MT"/>
        </w:rPr>
        <w:t>extinguish</w:t>
      </w:r>
      <w:r w:rsidR="00542588">
        <w:rPr>
          <w:rFonts w:ascii="Gill Sans MT" w:hAnsi="Gill Sans MT"/>
        </w:rPr>
        <w:t>ing</w:t>
      </w:r>
      <w:r w:rsidR="004A476E">
        <w:rPr>
          <w:rFonts w:ascii="Gill Sans MT" w:hAnsi="Gill Sans MT"/>
        </w:rPr>
        <w:t xml:space="preserve"> any previous claim to sovereign legal authority, </w:t>
      </w:r>
      <w:r w:rsidR="0083175D">
        <w:rPr>
          <w:rFonts w:ascii="Gill Sans MT" w:hAnsi="Gill Sans MT"/>
        </w:rPr>
        <w:t>demanded clear and effective answers from constitutional lawyers.</w:t>
      </w:r>
      <w:r w:rsidR="0083175D">
        <w:rPr>
          <w:rStyle w:val="FootnoteReference"/>
          <w:rFonts w:ascii="Gill Sans MT" w:hAnsi="Gill Sans MT"/>
        </w:rPr>
        <w:footnoteReference w:id="2"/>
      </w:r>
      <w:r w:rsidR="0083175D">
        <w:rPr>
          <w:rFonts w:ascii="Gill Sans MT" w:hAnsi="Gill Sans MT"/>
        </w:rPr>
        <w:t xml:space="preserve">  And the extent to which a sovereign Parliament could ‘bind its successors’ was the subject of intense academic debate, with many scholars departing from </w:t>
      </w:r>
      <w:proofErr w:type="spellStart"/>
      <w:r w:rsidR="00587D96">
        <w:rPr>
          <w:rFonts w:ascii="Gill Sans MT" w:hAnsi="Gill Sans MT"/>
        </w:rPr>
        <w:t>Dicey’s</w:t>
      </w:r>
      <w:proofErr w:type="spellEnd"/>
      <w:r w:rsidR="0083175D">
        <w:rPr>
          <w:rFonts w:ascii="Gill Sans MT" w:hAnsi="Gill Sans MT"/>
        </w:rPr>
        <w:t xml:space="preserve"> orthodoxy in </w:t>
      </w:r>
      <w:r w:rsidR="006D72E1">
        <w:rPr>
          <w:rFonts w:ascii="Gill Sans MT" w:hAnsi="Gill Sans MT"/>
        </w:rPr>
        <w:t>arguing</w:t>
      </w:r>
      <w:r w:rsidR="0083175D">
        <w:rPr>
          <w:rFonts w:ascii="Gill Sans MT" w:hAnsi="Gill Sans MT"/>
        </w:rPr>
        <w:t xml:space="preserve"> that parliamentary sovereignty could </w:t>
      </w:r>
      <w:r w:rsidR="0083175D">
        <w:rPr>
          <w:rFonts w:ascii="Gill Sans MT" w:hAnsi="Gill Sans MT"/>
        </w:rPr>
        <w:lastRenderedPageBreak/>
        <w:t xml:space="preserve">be viewed in more flexible ways than his absolute rejection of </w:t>
      </w:r>
      <w:r w:rsidR="006D72E1">
        <w:rPr>
          <w:rFonts w:ascii="Gill Sans MT" w:hAnsi="Gill Sans MT"/>
        </w:rPr>
        <w:t xml:space="preserve">any change to the future law-making process </w:t>
      </w:r>
      <w:r w:rsidR="00587D96">
        <w:rPr>
          <w:rFonts w:ascii="Gill Sans MT" w:hAnsi="Gill Sans MT"/>
        </w:rPr>
        <w:t xml:space="preserve">(beyond the total abdication of power by Parliament) </w:t>
      </w:r>
      <w:r w:rsidR="006D72E1">
        <w:rPr>
          <w:rFonts w:ascii="Gill Sans MT" w:hAnsi="Gill Sans MT"/>
        </w:rPr>
        <w:t>would suggest.</w:t>
      </w:r>
      <w:r w:rsidR="006D72E1">
        <w:rPr>
          <w:rStyle w:val="FootnoteReference"/>
          <w:rFonts w:ascii="Gill Sans MT" w:hAnsi="Gill Sans MT"/>
        </w:rPr>
        <w:footnoteReference w:id="3"/>
      </w:r>
    </w:p>
    <w:p w14:paraId="638241D0" w14:textId="4F6E678F" w:rsidR="006D72E1" w:rsidRDefault="006D72E1" w:rsidP="0007750B">
      <w:pPr>
        <w:pStyle w:val="NoSpacing"/>
        <w:ind w:firstLine="720"/>
        <w:jc w:val="both"/>
        <w:rPr>
          <w:rFonts w:ascii="Gill Sans MT" w:hAnsi="Gill Sans MT"/>
        </w:rPr>
      </w:pPr>
      <w:r>
        <w:rPr>
          <w:rFonts w:ascii="Gill Sans MT" w:hAnsi="Gill Sans MT"/>
        </w:rPr>
        <w:t>These debates continue today.  Yet the</w:t>
      </w:r>
      <w:r w:rsidR="00587D96">
        <w:rPr>
          <w:rFonts w:ascii="Gill Sans MT" w:hAnsi="Gill Sans MT"/>
        </w:rPr>
        <w:t xml:space="preserve">re </w:t>
      </w:r>
      <w:r w:rsidR="007E6637">
        <w:rPr>
          <w:rFonts w:ascii="Gill Sans MT" w:hAnsi="Gill Sans MT"/>
        </w:rPr>
        <w:t>have</w:t>
      </w:r>
      <w:r w:rsidR="00587D96">
        <w:rPr>
          <w:rFonts w:ascii="Gill Sans MT" w:hAnsi="Gill Sans MT"/>
        </w:rPr>
        <w:t xml:space="preserve"> also </w:t>
      </w:r>
      <w:r w:rsidR="007E6637">
        <w:rPr>
          <w:rFonts w:ascii="Gill Sans MT" w:hAnsi="Gill Sans MT"/>
        </w:rPr>
        <w:t>been some broader shifts in the nature of the</w:t>
      </w:r>
      <w:r w:rsidR="00587D96">
        <w:rPr>
          <w:rFonts w:ascii="Gill Sans MT" w:hAnsi="Gill Sans MT"/>
        </w:rPr>
        <w:t xml:space="preserve"> present challenges to the idea of parliamentary sovereignty.  First, we have arguably seen a shift from understanding parliamentary sovereignty as a doctrine which is to be used (</w:t>
      </w:r>
      <w:r w:rsidR="00D701F1">
        <w:rPr>
          <w:rFonts w:ascii="Gill Sans MT" w:hAnsi="Gill Sans MT"/>
        </w:rPr>
        <w:t>or sometimes</w:t>
      </w:r>
      <w:r w:rsidR="00587D96">
        <w:rPr>
          <w:rFonts w:ascii="Gill Sans MT" w:hAnsi="Gill Sans MT"/>
        </w:rPr>
        <w:t xml:space="preserve"> worked around) for other constitutional change to be achieved, to understanding parliamentary sovereignty as an animating idea for which certain kinds of constitutional change must be delivered.  This change in understanding may be from viewing parliamentary sovereignty as primarily a constitutional </w:t>
      </w:r>
      <w:r w:rsidR="007939E4">
        <w:rPr>
          <w:rFonts w:ascii="Gill Sans MT" w:hAnsi="Gill Sans MT"/>
        </w:rPr>
        <w:t>instrument</w:t>
      </w:r>
      <w:r w:rsidR="00587D96">
        <w:rPr>
          <w:rFonts w:ascii="Gill Sans MT" w:hAnsi="Gill Sans MT"/>
        </w:rPr>
        <w:t>, to viewing parliamentary sovereignty as primarily a constitutional stimulus.</w:t>
      </w:r>
      <w:r w:rsidR="007939E4">
        <w:rPr>
          <w:rFonts w:ascii="Gill Sans MT" w:hAnsi="Gill Sans MT"/>
        </w:rPr>
        <w:t xml:space="preserve">  Of course, as will be discussed further below, a complex constitutional concept like parliamentary sovereignty will never simply be either constitutional instrument or </w:t>
      </w:r>
      <w:r w:rsidR="00D701F1">
        <w:rPr>
          <w:rFonts w:ascii="Gill Sans MT" w:hAnsi="Gill Sans MT"/>
        </w:rPr>
        <w:t xml:space="preserve">constitutional </w:t>
      </w:r>
      <w:r w:rsidR="007939E4">
        <w:rPr>
          <w:rFonts w:ascii="Gill Sans MT" w:hAnsi="Gill Sans MT"/>
        </w:rPr>
        <w:t xml:space="preserve">stimulus, but a decisive shift from the former to the latter appears to have occurred in our public discourse, </w:t>
      </w:r>
      <w:r w:rsidR="006F071D">
        <w:rPr>
          <w:rFonts w:ascii="Gill Sans MT" w:hAnsi="Gill Sans MT"/>
        </w:rPr>
        <w:t xml:space="preserve">and this has significant consequences for the </w:t>
      </w:r>
      <w:r w:rsidR="00C00137">
        <w:rPr>
          <w:rFonts w:ascii="Gill Sans MT" w:hAnsi="Gill Sans MT"/>
        </w:rPr>
        <w:t>position of the</w:t>
      </w:r>
      <w:r w:rsidR="006F071D">
        <w:rPr>
          <w:rFonts w:ascii="Gill Sans MT" w:hAnsi="Gill Sans MT"/>
        </w:rPr>
        <w:t xml:space="preserve"> doctrine</w:t>
      </w:r>
      <w:r w:rsidR="00C00137">
        <w:rPr>
          <w:rFonts w:ascii="Gill Sans MT" w:hAnsi="Gill Sans MT"/>
        </w:rPr>
        <w:t xml:space="preserve"> within the contemporary UK constitution. </w:t>
      </w:r>
      <w:r w:rsidR="006F071D">
        <w:rPr>
          <w:rFonts w:ascii="Gill Sans MT" w:hAnsi="Gill Sans MT"/>
        </w:rPr>
        <w:t xml:space="preserve"> </w:t>
      </w:r>
      <w:r w:rsidR="007939E4">
        <w:rPr>
          <w:rFonts w:ascii="Gill Sans MT" w:hAnsi="Gill Sans MT"/>
        </w:rPr>
        <w:t xml:space="preserve">Second, </w:t>
      </w:r>
      <w:r w:rsidR="003A080C">
        <w:rPr>
          <w:rFonts w:ascii="Gill Sans MT" w:hAnsi="Gill Sans MT"/>
        </w:rPr>
        <w:t xml:space="preserve">the nature of the constitutional stimulus that the idea of parliamentary sovereignty has been providing in the period since 2015 has been, in many ways, a reaction to the very kinds of constitutional change which parliamentary sovereignty, understood as an instrument, had previously been exploited to achieve.  Parliamentary sovereignty has been deployed as an argument for constitutional retrenchment, and the reversal (or the diminution) of many aspects of the architecture of the </w:t>
      </w:r>
      <w:r w:rsidR="00360A35">
        <w:rPr>
          <w:rFonts w:ascii="Gill Sans MT" w:hAnsi="Gill Sans MT"/>
        </w:rPr>
        <w:t xml:space="preserve">modern </w:t>
      </w:r>
      <w:r w:rsidR="003A080C">
        <w:rPr>
          <w:rFonts w:ascii="Gill Sans MT" w:hAnsi="Gill Sans MT"/>
        </w:rPr>
        <w:t xml:space="preserve">political system which </w:t>
      </w:r>
      <w:r w:rsidR="00360A35">
        <w:rPr>
          <w:rFonts w:ascii="Gill Sans MT" w:hAnsi="Gill Sans MT"/>
        </w:rPr>
        <w:t>had been deliberately established in ways that preserved the status of this fundamental doctrine.  Again, we should not jump to simple conclusions too readily, and of course, in this present period of constitutional flux, parliamentary sovereignty has also been</w:t>
      </w:r>
      <w:r w:rsidR="00F96F53">
        <w:rPr>
          <w:rFonts w:ascii="Gill Sans MT" w:hAnsi="Gill Sans MT"/>
        </w:rPr>
        <w:t xml:space="preserve"> deployed as a justification for resisting such constitutional retrenchment –</w:t>
      </w:r>
      <w:r w:rsidR="00360A35">
        <w:rPr>
          <w:rFonts w:ascii="Gill Sans MT" w:hAnsi="Gill Sans MT"/>
        </w:rPr>
        <w:t xml:space="preserve"> particularly in many of the claims presented in, and about, the </w:t>
      </w:r>
      <w:r w:rsidR="00360A35">
        <w:rPr>
          <w:rFonts w:ascii="Gill Sans MT" w:hAnsi="Gill Sans MT"/>
          <w:i/>
        </w:rPr>
        <w:t>Miller</w:t>
      </w:r>
      <w:r w:rsidR="00360A35">
        <w:rPr>
          <w:rStyle w:val="FootnoteReference"/>
          <w:rFonts w:ascii="Gill Sans MT" w:hAnsi="Gill Sans MT"/>
          <w:i/>
        </w:rPr>
        <w:footnoteReference w:id="4"/>
      </w:r>
      <w:r w:rsidR="00360A35">
        <w:rPr>
          <w:rFonts w:ascii="Gill Sans MT" w:hAnsi="Gill Sans MT"/>
          <w:i/>
        </w:rPr>
        <w:t xml:space="preserve"> </w:t>
      </w:r>
      <w:r w:rsidR="00360A35">
        <w:rPr>
          <w:rFonts w:ascii="Gill Sans MT" w:hAnsi="Gill Sans MT"/>
        </w:rPr>
        <w:t>litigation.</w:t>
      </w:r>
      <w:r w:rsidR="00F96F53">
        <w:rPr>
          <w:rFonts w:ascii="Gill Sans MT" w:hAnsi="Gill Sans MT"/>
        </w:rPr>
        <w:t xml:space="preserve">  Nonetheless, it is notable that in a short period of time we have gone from discussing why Parliament is sovereign, and why it still matters,</w:t>
      </w:r>
      <w:r w:rsidR="00F96F53">
        <w:rPr>
          <w:rStyle w:val="FootnoteReference"/>
          <w:rFonts w:ascii="Gill Sans MT" w:hAnsi="Gill Sans MT"/>
        </w:rPr>
        <w:footnoteReference w:id="5"/>
      </w:r>
      <w:r w:rsidR="00F96F53">
        <w:rPr>
          <w:rFonts w:ascii="Gill Sans MT" w:hAnsi="Gill Sans MT"/>
        </w:rPr>
        <w:t xml:space="preserve"> to being certain that it matters, but unsure what it means.</w:t>
      </w:r>
    </w:p>
    <w:p w14:paraId="73DAA59C" w14:textId="20206299" w:rsidR="00524522" w:rsidRPr="00743C91" w:rsidRDefault="00B34478" w:rsidP="0007750B">
      <w:pPr>
        <w:pStyle w:val="NoSpacing"/>
        <w:ind w:firstLine="720"/>
        <w:jc w:val="both"/>
        <w:rPr>
          <w:rFonts w:ascii="Gill Sans MT" w:hAnsi="Gill Sans MT"/>
        </w:rPr>
      </w:pPr>
      <w:r>
        <w:rPr>
          <w:rFonts w:ascii="Gill Sans MT" w:hAnsi="Gill Sans MT"/>
        </w:rPr>
        <w:t>Against this backdrop, the p</w:t>
      </w:r>
      <w:r w:rsidR="00524522">
        <w:rPr>
          <w:rFonts w:ascii="Gill Sans MT" w:hAnsi="Gill Sans MT"/>
        </w:rPr>
        <w:t>urpose of</w:t>
      </w:r>
      <w:r w:rsidR="00542588">
        <w:rPr>
          <w:rFonts w:ascii="Gill Sans MT" w:hAnsi="Gill Sans MT"/>
        </w:rPr>
        <w:t xml:space="preserve"> this </w:t>
      </w:r>
      <w:r w:rsidR="00524522">
        <w:rPr>
          <w:rFonts w:ascii="Gill Sans MT" w:hAnsi="Gill Sans MT"/>
        </w:rPr>
        <w:t xml:space="preserve">paper </w:t>
      </w:r>
      <w:r>
        <w:rPr>
          <w:rFonts w:ascii="Gill Sans MT" w:hAnsi="Gill Sans MT"/>
        </w:rPr>
        <w:t>is to</w:t>
      </w:r>
      <w:r w:rsidR="00524522">
        <w:rPr>
          <w:rFonts w:ascii="Gill Sans MT" w:hAnsi="Gill Sans MT"/>
        </w:rPr>
        <w:t xml:space="preserve"> review </w:t>
      </w:r>
      <w:r>
        <w:rPr>
          <w:rFonts w:ascii="Gill Sans MT" w:hAnsi="Gill Sans MT"/>
        </w:rPr>
        <w:t xml:space="preserve">recent </w:t>
      </w:r>
      <w:proofErr w:type="gramStart"/>
      <w:r w:rsidR="00524522">
        <w:rPr>
          <w:rFonts w:ascii="Gill Sans MT" w:hAnsi="Gill Sans MT"/>
        </w:rPr>
        <w:t xml:space="preserve">developments, </w:t>
      </w:r>
      <w:r>
        <w:rPr>
          <w:rFonts w:ascii="Gill Sans MT" w:hAnsi="Gill Sans MT"/>
        </w:rPr>
        <w:t>and</w:t>
      </w:r>
      <w:proofErr w:type="gramEnd"/>
      <w:r>
        <w:rPr>
          <w:rFonts w:ascii="Gill Sans MT" w:hAnsi="Gill Sans MT"/>
        </w:rPr>
        <w:t xml:space="preserve"> try to </w:t>
      </w:r>
      <w:r w:rsidR="00524522">
        <w:rPr>
          <w:rFonts w:ascii="Gill Sans MT" w:hAnsi="Gill Sans MT"/>
        </w:rPr>
        <w:t xml:space="preserve">assess </w:t>
      </w:r>
      <w:r>
        <w:rPr>
          <w:rFonts w:ascii="Gill Sans MT" w:hAnsi="Gill Sans MT"/>
        </w:rPr>
        <w:t xml:space="preserve">the broader </w:t>
      </w:r>
      <w:r w:rsidR="00524522">
        <w:rPr>
          <w:rFonts w:ascii="Gill Sans MT" w:hAnsi="Gill Sans MT"/>
        </w:rPr>
        <w:t>implications for parliamentary sovereignt</w:t>
      </w:r>
      <w:r>
        <w:rPr>
          <w:rFonts w:ascii="Gill Sans MT" w:hAnsi="Gill Sans MT"/>
        </w:rPr>
        <w:t>y in this period of frenzied constitutional debate</w:t>
      </w:r>
      <w:r w:rsidR="00DD3B0E">
        <w:rPr>
          <w:rFonts w:ascii="Gill Sans MT" w:hAnsi="Gill Sans MT"/>
        </w:rPr>
        <w:t>, and into the future</w:t>
      </w:r>
      <w:r>
        <w:rPr>
          <w:rFonts w:ascii="Gill Sans MT" w:hAnsi="Gill Sans MT"/>
        </w:rPr>
        <w:t>.</w:t>
      </w:r>
      <w:r w:rsidR="001A0F8C">
        <w:rPr>
          <w:rFonts w:ascii="Gill Sans MT" w:hAnsi="Gill Sans MT"/>
        </w:rPr>
        <w:t xml:space="preserve">  The paper will explore</w:t>
      </w:r>
      <w:r w:rsidR="00611816">
        <w:rPr>
          <w:rFonts w:ascii="Gill Sans MT" w:hAnsi="Gill Sans MT"/>
        </w:rPr>
        <w:t xml:space="preserve"> constitutional developments relating to parliamentary sovereignty in </w:t>
      </w:r>
      <w:r w:rsidR="001A0F8C">
        <w:rPr>
          <w:rFonts w:ascii="Gill Sans MT" w:hAnsi="Gill Sans MT"/>
        </w:rPr>
        <w:t xml:space="preserve">three </w:t>
      </w:r>
      <w:r w:rsidR="00611816">
        <w:rPr>
          <w:rFonts w:ascii="Gill Sans MT" w:hAnsi="Gill Sans MT"/>
        </w:rPr>
        <w:t>specific fields: (</w:t>
      </w:r>
      <w:proofErr w:type="spellStart"/>
      <w:r w:rsidR="00611816">
        <w:rPr>
          <w:rFonts w:ascii="Gill Sans MT" w:hAnsi="Gill Sans MT"/>
        </w:rPr>
        <w:t>i</w:t>
      </w:r>
      <w:proofErr w:type="spellEnd"/>
      <w:r w:rsidR="00611816">
        <w:rPr>
          <w:rFonts w:ascii="Gill Sans MT" w:hAnsi="Gill Sans MT"/>
        </w:rPr>
        <w:t xml:space="preserve">) political; (ii) judicial; and (iii) legislative.  </w:t>
      </w:r>
      <w:r w:rsidR="00970219">
        <w:rPr>
          <w:rFonts w:ascii="Gill Sans MT" w:hAnsi="Gill Sans MT"/>
        </w:rPr>
        <w:t xml:space="preserve">This division is adopted in recognition of the multifaceted character of parliamentary sovereignty, which has implications in </w:t>
      </w:r>
      <w:proofErr w:type="gramStart"/>
      <w:r w:rsidR="00970219">
        <w:rPr>
          <w:rFonts w:ascii="Gill Sans MT" w:hAnsi="Gill Sans MT"/>
        </w:rPr>
        <w:t>all of</w:t>
      </w:r>
      <w:proofErr w:type="gramEnd"/>
      <w:r w:rsidR="00970219">
        <w:rPr>
          <w:rFonts w:ascii="Gill Sans MT" w:hAnsi="Gill Sans MT"/>
        </w:rPr>
        <w:t xml:space="preserve"> these different spheres of activity, as will be explained at the beginning of each section.  </w:t>
      </w:r>
      <w:r w:rsidR="00743C91">
        <w:rPr>
          <w:rFonts w:ascii="Gill Sans MT" w:hAnsi="Gill Sans MT"/>
        </w:rPr>
        <w:t>First, t</w:t>
      </w:r>
      <w:r w:rsidR="00611816">
        <w:rPr>
          <w:rFonts w:ascii="Gill Sans MT" w:hAnsi="Gill Sans MT"/>
        </w:rPr>
        <w:t xml:space="preserve">he discussion of political developments will focus on the role of the notion of parliamentary sovereignty in the EU referendum campaign and </w:t>
      </w:r>
      <w:r w:rsidR="00743C91">
        <w:rPr>
          <w:rFonts w:ascii="Gill Sans MT" w:hAnsi="Gill Sans MT"/>
        </w:rPr>
        <w:t>its influence on the decisions taken</w:t>
      </w:r>
      <w:r w:rsidR="00542588">
        <w:rPr>
          <w:rFonts w:ascii="Gill Sans MT" w:hAnsi="Gill Sans MT"/>
        </w:rPr>
        <w:t xml:space="preserve"> in</w:t>
      </w:r>
      <w:r w:rsidR="00743C91">
        <w:rPr>
          <w:rFonts w:ascii="Gill Sans MT" w:hAnsi="Gill Sans MT"/>
        </w:rPr>
        <w:t xml:space="preserve"> </w:t>
      </w:r>
      <w:r w:rsidR="00611816">
        <w:rPr>
          <w:rFonts w:ascii="Gill Sans MT" w:hAnsi="Gill Sans MT"/>
        </w:rPr>
        <w:t>its aftermath.</w:t>
      </w:r>
      <w:r w:rsidR="00743C91">
        <w:rPr>
          <w:rFonts w:ascii="Gill Sans MT" w:hAnsi="Gill Sans MT"/>
        </w:rPr>
        <w:t xml:space="preserve">  The second section will focus on judicial developments, both in the seminal case of </w:t>
      </w:r>
      <w:r w:rsidR="00743C91">
        <w:rPr>
          <w:rFonts w:ascii="Gill Sans MT" w:hAnsi="Gill Sans MT"/>
          <w:i/>
        </w:rPr>
        <w:t>Miller</w:t>
      </w:r>
      <w:r w:rsidR="00743C91" w:rsidRPr="00743C91">
        <w:rPr>
          <w:rStyle w:val="FootnoteReference"/>
          <w:rFonts w:ascii="Gill Sans MT" w:hAnsi="Gill Sans MT"/>
        </w:rPr>
        <w:footnoteReference w:id="6"/>
      </w:r>
      <w:r w:rsidR="00E85E2E">
        <w:rPr>
          <w:rFonts w:ascii="Gill Sans MT" w:hAnsi="Gill Sans MT"/>
        </w:rPr>
        <w:t xml:space="preserve"> – widely understood to represent a vindication of parliamentary sovereignty</w:t>
      </w:r>
      <w:r w:rsidR="00427CE5">
        <w:rPr>
          <w:rStyle w:val="FootnoteReference"/>
          <w:rFonts w:ascii="Gill Sans MT" w:hAnsi="Gill Sans MT"/>
        </w:rPr>
        <w:footnoteReference w:id="7"/>
      </w:r>
      <w:r w:rsidR="00E85E2E">
        <w:rPr>
          <w:rFonts w:ascii="Gill Sans MT" w:hAnsi="Gill Sans MT"/>
        </w:rPr>
        <w:t xml:space="preserve"> – and in other recent cases which serve to complicate any such conclusion.  In the third section, a</w:t>
      </w:r>
      <w:r w:rsidR="008C7276">
        <w:rPr>
          <w:rFonts w:ascii="Gill Sans MT" w:hAnsi="Gill Sans MT"/>
        </w:rPr>
        <w:t xml:space="preserve"> range of legislative developments with implications for parliamentary sovereignty will be considered:  including the permanence clauses and recognition of the Sewel convention now contained in devolution legislation, the legislation providing for the UK’s (transitional) exit from the EU, and the potential repurposing of the EU referendum locks created by Parliament in 2011.  </w:t>
      </w:r>
    </w:p>
    <w:p w14:paraId="5CF8560D" w14:textId="6BEE8505" w:rsidR="004E40F2" w:rsidRDefault="002261B3" w:rsidP="004E40F2">
      <w:pPr>
        <w:pStyle w:val="NoSpacing"/>
        <w:ind w:firstLine="720"/>
        <w:jc w:val="both"/>
        <w:rPr>
          <w:rFonts w:ascii="Gill Sans MT" w:hAnsi="Gill Sans MT"/>
        </w:rPr>
      </w:pPr>
      <w:r>
        <w:rPr>
          <w:rFonts w:ascii="Gill Sans MT" w:hAnsi="Gill Sans MT"/>
        </w:rPr>
        <w:t xml:space="preserve">The </w:t>
      </w:r>
      <w:r w:rsidR="008C7276">
        <w:rPr>
          <w:rFonts w:ascii="Gill Sans MT" w:hAnsi="Gill Sans MT"/>
        </w:rPr>
        <w:t xml:space="preserve">paper aims to demonstrate </w:t>
      </w:r>
      <w:r>
        <w:rPr>
          <w:rFonts w:ascii="Gill Sans MT" w:hAnsi="Gill Sans MT"/>
        </w:rPr>
        <w:t xml:space="preserve">that </w:t>
      </w:r>
      <w:r w:rsidR="008C7276">
        <w:rPr>
          <w:rFonts w:ascii="Gill Sans MT" w:hAnsi="Gill Sans MT"/>
        </w:rPr>
        <w:t xml:space="preserve">parliamentary sovereignty is </w:t>
      </w:r>
      <w:r w:rsidR="00472C6E">
        <w:rPr>
          <w:rFonts w:ascii="Gill Sans MT" w:hAnsi="Gill Sans MT"/>
        </w:rPr>
        <w:t xml:space="preserve">subject to </w:t>
      </w:r>
      <w:r>
        <w:rPr>
          <w:rFonts w:ascii="Gill Sans MT" w:hAnsi="Gill Sans MT"/>
        </w:rPr>
        <w:t xml:space="preserve">a range of significant </w:t>
      </w:r>
      <w:r w:rsidR="008C7276">
        <w:rPr>
          <w:rFonts w:ascii="Gill Sans MT" w:hAnsi="Gill Sans MT"/>
        </w:rPr>
        <w:t xml:space="preserve">– yet also changing – </w:t>
      </w:r>
      <w:r w:rsidR="00472C6E">
        <w:rPr>
          <w:rFonts w:ascii="Gill Sans MT" w:hAnsi="Gill Sans MT"/>
        </w:rPr>
        <w:t>legal and political challenges</w:t>
      </w:r>
      <w:r w:rsidR="008C7276">
        <w:rPr>
          <w:rFonts w:ascii="Gill Sans MT" w:hAnsi="Gill Sans MT"/>
        </w:rPr>
        <w:t xml:space="preserve"> in the contemporary UK constitution</w:t>
      </w:r>
      <w:r w:rsidR="00472C6E">
        <w:rPr>
          <w:rFonts w:ascii="Gill Sans MT" w:hAnsi="Gill Sans MT"/>
        </w:rPr>
        <w:t xml:space="preserve">.  </w:t>
      </w:r>
      <w:r w:rsidR="004E40F2">
        <w:rPr>
          <w:rFonts w:ascii="Gill Sans MT" w:hAnsi="Gill Sans MT"/>
        </w:rPr>
        <w:t>In</w:t>
      </w:r>
      <w:r w:rsidR="008C7276">
        <w:rPr>
          <w:rFonts w:ascii="Gill Sans MT" w:hAnsi="Gill Sans MT"/>
        </w:rPr>
        <w:t xml:space="preserve"> political terms, we </w:t>
      </w:r>
      <w:r w:rsidR="004E40F2">
        <w:rPr>
          <w:rFonts w:ascii="Gill Sans MT" w:hAnsi="Gill Sans MT"/>
        </w:rPr>
        <w:t xml:space="preserve">see the (confused) sloganisation of the doctrine, which risks its </w:t>
      </w:r>
      <w:r w:rsidR="008C7276">
        <w:rPr>
          <w:rFonts w:ascii="Gill Sans MT" w:hAnsi="Gill Sans MT"/>
        </w:rPr>
        <w:t xml:space="preserve">potential toxification </w:t>
      </w:r>
      <w:r w:rsidR="004E40F2">
        <w:rPr>
          <w:rFonts w:ascii="Gill Sans MT" w:hAnsi="Gill Sans MT"/>
        </w:rPr>
        <w:t>through an association</w:t>
      </w:r>
      <w:r w:rsidR="008C7276">
        <w:rPr>
          <w:rFonts w:ascii="Gill Sans MT" w:hAnsi="Gill Sans MT"/>
        </w:rPr>
        <w:t xml:space="preserve"> with the unfettered authority of a remote and unresponsive Westminster elite</w:t>
      </w:r>
      <w:r w:rsidR="004E40F2">
        <w:rPr>
          <w:rFonts w:ascii="Gill Sans MT" w:hAnsi="Gill Sans MT"/>
        </w:rPr>
        <w:t xml:space="preserve">.  In judicial terms, we see the doctrine reaffirmed, yet also susceptible to redefinition as the courts overtly constitutionalise the constitution.  And in legislative terms, we see a pattern of innovation in </w:t>
      </w:r>
      <w:r w:rsidR="004E40F2">
        <w:rPr>
          <w:rFonts w:ascii="Gill Sans MT" w:hAnsi="Gill Sans MT"/>
        </w:rPr>
        <w:lastRenderedPageBreak/>
        <w:t xml:space="preserve">the use of law-making power, with increasing experimentation with </w:t>
      </w:r>
      <w:r w:rsidR="0065266E">
        <w:rPr>
          <w:rFonts w:ascii="Gill Sans MT" w:hAnsi="Gill Sans MT"/>
        </w:rPr>
        <w:t xml:space="preserve">statutory </w:t>
      </w:r>
      <w:r w:rsidR="00510C8D">
        <w:rPr>
          <w:rFonts w:ascii="Gill Sans MT" w:hAnsi="Gill Sans MT"/>
        </w:rPr>
        <w:t>provisions</w:t>
      </w:r>
      <w:r w:rsidR="004E40F2">
        <w:rPr>
          <w:rFonts w:ascii="Gill Sans MT" w:hAnsi="Gill Sans MT"/>
        </w:rPr>
        <w:t xml:space="preserve"> </w:t>
      </w:r>
      <w:r w:rsidR="00510C8D">
        <w:rPr>
          <w:rFonts w:ascii="Gill Sans MT" w:hAnsi="Gill Sans MT"/>
        </w:rPr>
        <w:t>which</w:t>
      </w:r>
      <w:r w:rsidR="004E40F2">
        <w:rPr>
          <w:rFonts w:ascii="Gill Sans MT" w:hAnsi="Gill Sans MT"/>
        </w:rPr>
        <w:t xml:space="preserve"> ha</w:t>
      </w:r>
      <w:r w:rsidR="00510C8D">
        <w:rPr>
          <w:rFonts w:ascii="Gill Sans MT" w:hAnsi="Gill Sans MT"/>
        </w:rPr>
        <w:t>ve</w:t>
      </w:r>
      <w:r w:rsidR="004E40F2">
        <w:rPr>
          <w:rFonts w:ascii="Gill Sans MT" w:hAnsi="Gill Sans MT"/>
        </w:rPr>
        <w:t xml:space="preserve"> the potential to alter </w:t>
      </w:r>
      <w:r w:rsidR="00510C8D">
        <w:rPr>
          <w:rFonts w:ascii="Gill Sans MT" w:hAnsi="Gill Sans MT"/>
        </w:rPr>
        <w:t>the</w:t>
      </w:r>
      <w:r w:rsidR="004E40F2">
        <w:rPr>
          <w:rFonts w:ascii="Gill Sans MT" w:hAnsi="Gill Sans MT"/>
        </w:rPr>
        <w:t xml:space="preserve"> process</w:t>
      </w:r>
      <w:r w:rsidR="00510C8D">
        <w:rPr>
          <w:rFonts w:ascii="Gill Sans MT" w:hAnsi="Gill Sans MT"/>
        </w:rPr>
        <w:t xml:space="preserve"> of legislating</w:t>
      </w:r>
      <w:r w:rsidR="0065266E">
        <w:rPr>
          <w:rFonts w:ascii="Gill Sans MT" w:hAnsi="Gill Sans MT"/>
        </w:rPr>
        <w:t>.  This innovation may</w:t>
      </w:r>
      <w:r w:rsidR="00353AF5">
        <w:rPr>
          <w:rFonts w:ascii="Gill Sans MT" w:hAnsi="Gill Sans MT"/>
        </w:rPr>
        <w:t xml:space="preserve">, however, </w:t>
      </w:r>
      <w:r w:rsidR="0065266E">
        <w:rPr>
          <w:rFonts w:ascii="Gill Sans MT" w:hAnsi="Gill Sans MT"/>
        </w:rPr>
        <w:t>introduce</w:t>
      </w:r>
      <w:r w:rsidR="004E40F2">
        <w:rPr>
          <w:rFonts w:ascii="Gill Sans MT" w:hAnsi="Gill Sans MT"/>
        </w:rPr>
        <w:t xml:space="preserve"> related risks that</w:t>
      </w:r>
      <w:r w:rsidR="00542588">
        <w:rPr>
          <w:rFonts w:ascii="Gill Sans MT" w:hAnsi="Gill Sans MT"/>
        </w:rPr>
        <w:t xml:space="preserve"> </w:t>
      </w:r>
      <w:r w:rsidR="0065266E">
        <w:rPr>
          <w:rFonts w:ascii="Gill Sans MT" w:hAnsi="Gill Sans MT"/>
        </w:rPr>
        <w:t xml:space="preserve">the creation of </w:t>
      </w:r>
      <w:r w:rsidR="00510C8D">
        <w:rPr>
          <w:rFonts w:ascii="Gill Sans MT" w:hAnsi="Gill Sans MT"/>
        </w:rPr>
        <w:t xml:space="preserve">such </w:t>
      </w:r>
      <w:r w:rsidR="0065266E">
        <w:rPr>
          <w:rFonts w:ascii="Gill Sans MT" w:hAnsi="Gill Sans MT"/>
        </w:rPr>
        <w:t>statutory conditions</w:t>
      </w:r>
      <w:r w:rsidR="00542588">
        <w:rPr>
          <w:rFonts w:ascii="Gill Sans MT" w:hAnsi="Gill Sans MT"/>
        </w:rPr>
        <w:t xml:space="preserve">, even where justified, </w:t>
      </w:r>
      <w:r w:rsidR="00510C8D">
        <w:rPr>
          <w:rFonts w:ascii="Gill Sans MT" w:hAnsi="Gill Sans MT"/>
        </w:rPr>
        <w:t xml:space="preserve">could have unforeseen </w:t>
      </w:r>
      <w:r w:rsidR="0065266E">
        <w:rPr>
          <w:rFonts w:ascii="Gill Sans MT" w:hAnsi="Gill Sans MT"/>
        </w:rPr>
        <w:t xml:space="preserve">future </w:t>
      </w:r>
      <w:r w:rsidR="00510C8D">
        <w:rPr>
          <w:rFonts w:ascii="Gill Sans MT" w:hAnsi="Gill Sans MT"/>
        </w:rPr>
        <w:t>consequences.</w:t>
      </w:r>
      <w:r w:rsidR="004E40F2">
        <w:rPr>
          <w:rFonts w:ascii="Gill Sans MT" w:hAnsi="Gill Sans MT"/>
        </w:rPr>
        <w:t xml:space="preserve"> </w:t>
      </w:r>
    </w:p>
    <w:p w14:paraId="53A01FD4" w14:textId="79B43061" w:rsidR="004D2D2E" w:rsidRDefault="00472C6E" w:rsidP="004D2D2E">
      <w:pPr>
        <w:pStyle w:val="NoSpacing"/>
        <w:ind w:firstLine="720"/>
        <w:jc w:val="both"/>
        <w:rPr>
          <w:rFonts w:ascii="Gill Sans MT" w:hAnsi="Gill Sans MT"/>
        </w:rPr>
      </w:pPr>
      <w:r>
        <w:rPr>
          <w:rFonts w:ascii="Gill Sans MT" w:hAnsi="Gill Sans MT"/>
        </w:rPr>
        <w:t>Yet as much as we see continued evidence of change in our understanding and use of parliamentary sovereignty</w:t>
      </w:r>
      <w:r w:rsidR="00774A79">
        <w:rPr>
          <w:rFonts w:ascii="Gill Sans MT" w:hAnsi="Gill Sans MT"/>
        </w:rPr>
        <w:t>,</w:t>
      </w:r>
      <w:r>
        <w:rPr>
          <w:rFonts w:ascii="Gill Sans MT" w:hAnsi="Gill Sans MT"/>
        </w:rPr>
        <w:t xml:space="preserve"> we also see a robust constitutional principle at the core of the UK’s political system, which still has considerable virtue in ensuring democratic government.  </w:t>
      </w:r>
      <w:r w:rsidR="00D921B0">
        <w:rPr>
          <w:rFonts w:ascii="Gill Sans MT" w:hAnsi="Gill Sans MT"/>
        </w:rPr>
        <w:t xml:space="preserve">Given the renewed awareness of the centrality of this doctrine, the paper will conclude by considering whether </w:t>
      </w:r>
      <w:r w:rsidR="00181DF2">
        <w:rPr>
          <w:rFonts w:ascii="Gill Sans MT" w:hAnsi="Gill Sans MT"/>
        </w:rPr>
        <w:t xml:space="preserve">we need to </w:t>
      </w:r>
      <w:r w:rsidR="00D921B0">
        <w:rPr>
          <w:rFonts w:ascii="Gill Sans MT" w:hAnsi="Gill Sans MT"/>
        </w:rPr>
        <w:t>move away from</w:t>
      </w:r>
      <w:r w:rsidR="00181DF2">
        <w:rPr>
          <w:rFonts w:ascii="Gill Sans MT" w:hAnsi="Gill Sans MT"/>
        </w:rPr>
        <w:t xml:space="preserve"> the </w:t>
      </w:r>
      <w:r w:rsidR="00D921B0">
        <w:rPr>
          <w:rFonts w:ascii="Gill Sans MT" w:hAnsi="Gill Sans MT"/>
        </w:rPr>
        <w:t xml:space="preserve">seemingly self-perpetuating </w:t>
      </w:r>
      <w:r w:rsidR="00181DF2">
        <w:rPr>
          <w:rFonts w:ascii="Gill Sans MT" w:hAnsi="Gill Sans MT"/>
        </w:rPr>
        <w:t>narrative of parliamentary sovereignty</w:t>
      </w:r>
      <w:r w:rsidR="00D921B0">
        <w:rPr>
          <w:rFonts w:ascii="Gill Sans MT" w:hAnsi="Gill Sans MT"/>
        </w:rPr>
        <w:t xml:space="preserve"> as being subject to accumulating constitutional challenges.  However, the r</w:t>
      </w:r>
      <w:r w:rsidR="00181DF2">
        <w:rPr>
          <w:rFonts w:ascii="Gill Sans MT" w:hAnsi="Gill Sans MT"/>
        </w:rPr>
        <w:t xml:space="preserve">elationship between </w:t>
      </w:r>
      <w:r w:rsidR="00D921B0">
        <w:rPr>
          <w:rFonts w:ascii="Gill Sans MT" w:hAnsi="Gill Sans MT"/>
        </w:rPr>
        <w:t xml:space="preserve">the </w:t>
      </w:r>
      <w:r w:rsidR="00181DF2">
        <w:rPr>
          <w:rFonts w:ascii="Gill Sans MT" w:hAnsi="Gill Sans MT"/>
        </w:rPr>
        <w:t xml:space="preserve">constitutional centrality </w:t>
      </w:r>
      <w:r w:rsidR="00D921B0">
        <w:rPr>
          <w:rFonts w:ascii="Gill Sans MT" w:hAnsi="Gill Sans MT"/>
        </w:rPr>
        <w:t xml:space="preserve">of the doctrine </w:t>
      </w:r>
      <w:r w:rsidR="00181DF2">
        <w:rPr>
          <w:rFonts w:ascii="Gill Sans MT" w:hAnsi="Gill Sans MT"/>
        </w:rPr>
        <w:t xml:space="preserve">and </w:t>
      </w:r>
      <w:r w:rsidR="00D921B0">
        <w:rPr>
          <w:rFonts w:ascii="Gill Sans MT" w:hAnsi="Gill Sans MT"/>
        </w:rPr>
        <w:t xml:space="preserve">its susceptibility to </w:t>
      </w:r>
      <w:r w:rsidR="00181DF2">
        <w:rPr>
          <w:rFonts w:ascii="Gill Sans MT" w:hAnsi="Gill Sans MT"/>
        </w:rPr>
        <w:t xml:space="preserve">constitutional challenge may be more complex than </w:t>
      </w:r>
      <w:r w:rsidR="00D921B0">
        <w:rPr>
          <w:rFonts w:ascii="Gill Sans MT" w:hAnsi="Gill Sans MT"/>
        </w:rPr>
        <w:t xml:space="preserve">is </w:t>
      </w:r>
      <w:r w:rsidR="00181DF2">
        <w:rPr>
          <w:rFonts w:ascii="Gill Sans MT" w:hAnsi="Gill Sans MT"/>
        </w:rPr>
        <w:t xml:space="preserve">initially </w:t>
      </w:r>
      <w:r w:rsidR="00D921B0">
        <w:rPr>
          <w:rFonts w:ascii="Gill Sans MT" w:hAnsi="Gill Sans MT"/>
        </w:rPr>
        <w:t>apparent.  The c</w:t>
      </w:r>
      <w:r w:rsidR="003D678D">
        <w:rPr>
          <w:rFonts w:ascii="Gill Sans MT" w:hAnsi="Gill Sans MT"/>
        </w:rPr>
        <w:t xml:space="preserve">entrality </w:t>
      </w:r>
      <w:r w:rsidR="00D921B0">
        <w:rPr>
          <w:rFonts w:ascii="Gill Sans MT" w:hAnsi="Gill Sans MT"/>
        </w:rPr>
        <w:t>of parliamentary sovereignty may invite</w:t>
      </w:r>
      <w:r w:rsidR="003D678D">
        <w:rPr>
          <w:rFonts w:ascii="Gill Sans MT" w:hAnsi="Gill Sans MT"/>
        </w:rPr>
        <w:t xml:space="preserve"> challenge, and </w:t>
      </w:r>
      <w:r w:rsidR="004D2D2E">
        <w:rPr>
          <w:rFonts w:ascii="Gill Sans MT" w:hAnsi="Gill Sans MT"/>
        </w:rPr>
        <w:t xml:space="preserve">consideration (and rejection) of those </w:t>
      </w:r>
      <w:r w:rsidR="003D678D">
        <w:rPr>
          <w:rFonts w:ascii="Gill Sans MT" w:hAnsi="Gill Sans MT"/>
        </w:rPr>
        <w:t xml:space="preserve">challenges may reinforce </w:t>
      </w:r>
      <w:r w:rsidR="004D2D2E">
        <w:rPr>
          <w:rFonts w:ascii="Gill Sans MT" w:hAnsi="Gill Sans MT"/>
        </w:rPr>
        <w:t xml:space="preserve">the </w:t>
      </w:r>
      <w:r w:rsidR="003D678D">
        <w:rPr>
          <w:rFonts w:ascii="Gill Sans MT" w:hAnsi="Gill Sans MT"/>
        </w:rPr>
        <w:t xml:space="preserve">sense of </w:t>
      </w:r>
      <w:r w:rsidR="004D2D2E">
        <w:rPr>
          <w:rFonts w:ascii="Gill Sans MT" w:hAnsi="Gill Sans MT"/>
        </w:rPr>
        <w:t xml:space="preserve">its enduring </w:t>
      </w:r>
      <w:r w:rsidR="003D678D">
        <w:rPr>
          <w:rFonts w:ascii="Gill Sans MT" w:hAnsi="Gill Sans MT"/>
        </w:rPr>
        <w:t xml:space="preserve">centrality.  Complacency about </w:t>
      </w:r>
      <w:r w:rsidR="004D2D2E">
        <w:rPr>
          <w:rFonts w:ascii="Gill Sans MT" w:hAnsi="Gill Sans MT"/>
        </w:rPr>
        <w:t xml:space="preserve">the </w:t>
      </w:r>
      <w:r w:rsidR="003D678D">
        <w:rPr>
          <w:rFonts w:ascii="Gill Sans MT" w:hAnsi="Gill Sans MT"/>
        </w:rPr>
        <w:t>me</w:t>
      </w:r>
      <w:r w:rsidR="004D2D2E">
        <w:rPr>
          <w:rFonts w:ascii="Gill Sans MT" w:hAnsi="Gill Sans MT"/>
        </w:rPr>
        <w:t xml:space="preserve">aning and the potential of parliamentary sovereignty </w:t>
      </w:r>
      <w:r w:rsidR="00D921B0">
        <w:rPr>
          <w:rFonts w:ascii="Gill Sans MT" w:hAnsi="Gill Sans MT"/>
        </w:rPr>
        <w:t xml:space="preserve">might </w:t>
      </w:r>
      <w:r w:rsidR="0065266E">
        <w:rPr>
          <w:rFonts w:ascii="Gill Sans MT" w:hAnsi="Gill Sans MT"/>
        </w:rPr>
        <w:t xml:space="preserve">now </w:t>
      </w:r>
      <w:r w:rsidR="00D921B0">
        <w:rPr>
          <w:rFonts w:ascii="Gill Sans MT" w:hAnsi="Gill Sans MT"/>
        </w:rPr>
        <w:t xml:space="preserve">be </w:t>
      </w:r>
      <w:r w:rsidR="004D2D2E">
        <w:rPr>
          <w:rFonts w:ascii="Gill Sans MT" w:hAnsi="Gill Sans MT"/>
        </w:rPr>
        <w:t>a more important</w:t>
      </w:r>
      <w:r w:rsidR="00D921B0">
        <w:rPr>
          <w:rFonts w:ascii="Gill Sans MT" w:hAnsi="Gill Sans MT"/>
        </w:rPr>
        <w:t xml:space="preserve"> narrative </w:t>
      </w:r>
      <w:r w:rsidR="001018A6">
        <w:rPr>
          <w:rFonts w:ascii="Gill Sans MT" w:hAnsi="Gill Sans MT"/>
        </w:rPr>
        <w:t xml:space="preserve">to recognise and confront </w:t>
      </w:r>
      <w:r w:rsidR="00D921B0">
        <w:rPr>
          <w:rFonts w:ascii="Gill Sans MT" w:hAnsi="Gill Sans MT"/>
        </w:rPr>
        <w:t xml:space="preserve">– </w:t>
      </w:r>
      <w:r w:rsidR="0065266E">
        <w:rPr>
          <w:rFonts w:ascii="Gill Sans MT" w:hAnsi="Gill Sans MT"/>
        </w:rPr>
        <w:t>although this,</w:t>
      </w:r>
      <w:r w:rsidR="00D921B0">
        <w:rPr>
          <w:rFonts w:ascii="Gill Sans MT" w:hAnsi="Gill Sans MT"/>
        </w:rPr>
        <w:t xml:space="preserve"> of course</w:t>
      </w:r>
      <w:r w:rsidR="0065266E">
        <w:rPr>
          <w:rFonts w:ascii="Gill Sans MT" w:hAnsi="Gill Sans MT"/>
        </w:rPr>
        <w:t>,</w:t>
      </w:r>
      <w:r w:rsidR="00D921B0">
        <w:rPr>
          <w:rFonts w:ascii="Gill Sans MT" w:hAnsi="Gill Sans MT"/>
        </w:rPr>
        <w:t xml:space="preserve"> is</w:t>
      </w:r>
      <w:r w:rsidR="0065266E">
        <w:rPr>
          <w:rFonts w:ascii="Gill Sans MT" w:hAnsi="Gill Sans MT"/>
        </w:rPr>
        <w:t xml:space="preserve"> still</w:t>
      </w:r>
      <w:r w:rsidR="00D921B0">
        <w:rPr>
          <w:rFonts w:ascii="Gill Sans MT" w:hAnsi="Gill Sans MT"/>
        </w:rPr>
        <w:t xml:space="preserve"> a challenge to parliamentary sovereignty</w:t>
      </w:r>
      <w:r w:rsidR="0065266E">
        <w:rPr>
          <w:rFonts w:ascii="Gill Sans MT" w:hAnsi="Gill Sans MT"/>
        </w:rPr>
        <w:t>, albeit one of a different kind</w:t>
      </w:r>
      <w:r w:rsidR="00D921B0">
        <w:rPr>
          <w:rFonts w:ascii="Gill Sans MT" w:hAnsi="Gill Sans MT"/>
        </w:rPr>
        <w:t>.</w:t>
      </w:r>
      <w:r w:rsidR="004D2D2E">
        <w:rPr>
          <w:rFonts w:ascii="Gill Sans MT" w:hAnsi="Gill Sans MT"/>
        </w:rPr>
        <w:t xml:space="preserve">  </w:t>
      </w:r>
      <w:r w:rsidR="0065266E">
        <w:rPr>
          <w:rFonts w:ascii="Gill Sans MT" w:hAnsi="Gill Sans MT"/>
        </w:rPr>
        <w:t>Such a</w:t>
      </w:r>
      <w:r w:rsidR="004D2D2E">
        <w:rPr>
          <w:rFonts w:ascii="Gill Sans MT" w:hAnsi="Gill Sans MT"/>
        </w:rPr>
        <w:t xml:space="preserve"> </w:t>
      </w:r>
      <w:r w:rsidR="0065266E">
        <w:rPr>
          <w:rFonts w:ascii="Gill Sans MT" w:hAnsi="Gill Sans MT"/>
        </w:rPr>
        <w:t xml:space="preserve">reorientation </w:t>
      </w:r>
      <w:r w:rsidR="004D2D2E">
        <w:rPr>
          <w:rFonts w:ascii="Gill Sans MT" w:hAnsi="Gill Sans MT"/>
        </w:rPr>
        <w:t>may be especially significant in the present age of constitutional flux, when, perhaps more than ever, the modern fundamentals of the UK constitution are up for grabs</w:t>
      </w:r>
      <w:r w:rsidR="00353AF5">
        <w:rPr>
          <w:rFonts w:ascii="Gill Sans MT" w:hAnsi="Gill Sans MT"/>
        </w:rPr>
        <w:t>, as is the very idea of the constitution itself</w:t>
      </w:r>
      <w:r w:rsidR="004D2D2E">
        <w:rPr>
          <w:rFonts w:ascii="Gill Sans MT" w:hAnsi="Gill Sans MT"/>
        </w:rPr>
        <w:t>.</w:t>
      </w:r>
      <w:r w:rsidR="00943EA0">
        <w:rPr>
          <w:rFonts w:ascii="Gill Sans MT" w:hAnsi="Gill Sans MT"/>
        </w:rPr>
        <w:t xml:space="preserve">  </w:t>
      </w:r>
      <w:r w:rsidR="00353AF5">
        <w:rPr>
          <w:rFonts w:ascii="Gill Sans MT" w:hAnsi="Gill Sans MT"/>
        </w:rPr>
        <w:t>For i</w:t>
      </w:r>
      <w:r w:rsidR="0065266E">
        <w:rPr>
          <w:rFonts w:ascii="Gill Sans MT" w:hAnsi="Gill Sans MT"/>
        </w:rPr>
        <w:t xml:space="preserve">f the continuing existence of the doctrine of parliamentary sovereignty is seen as indisputable in the modern UK constitution then we </w:t>
      </w:r>
      <w:r w:rsidR="00353AF5">
        <w:rPr>
          <w:rFonts w:ascii="Gill Sans MT" w:hAnsi="Gill Sans MT"/>
        </w:rPr>
        <w:t>may eventually have to</w:t>
      </w:r>
      <w:r w:rsidR="0065266E">
        <w:rPr>
          <w:rFonts w:ascii="Gill Sans MT" w:hAnsi="Gill Sans MT"/>
        </w:rPr>
        <w:t xml:space="preserve"> respond to a new challenge.  How we construct</w:t>
      </w:r>
      <w:r w:rsidR="00943EA0">
        <w:rPr>
          <w:rFonts w:ascii="Gill Sans MT" w:hAnsi="Gill Sans MT"/>
        </w:rPr>
        <w:t xml:space="preserve"> an attractive constitution through, around, and </w:t>
      </w:r>
      <w:r w:rsidR="0065266E">
        <w:rPr>
          <w:rFonts w:ascii="Gill Sans MT" w:hAnsi="Gill Sans MT"/>
        </w:rPr>
        <w:t>perhaps even</w:t>
      </w:r>
      <w:r w:rsidR="00943EA0">
        <w:rPr>
          <w:rFonts w:ascii="Gill Sans MT" w:hAnsi="Gill Sans MT"/>
        </w:rPr>
        <w:t xml:space="preserve"> </w:t>
      </w:r>
      <w:r w:rsidR="0065266E">
        <w:rPr>
          <w:rFonts w:ascii="Gill Sans MT" w:hAnsi="Gill Sans MT"/>
        </w:rPr>
        <w:t>(</w:t>
      </w:r>
      <w:r w:rsidR="00943EA0">
        <w:rPr>
          <w:rFonts w:ascii="Gill Sans MT" w:hAnsi="Gill Sans MT"/>
        </w:rPr>
        <w:t>eventually</w:t>
      </w:r>
      <w:r w:rsidR="0065266E">
        <w:rPr>
          <w:rFonts w:ascii="Gill Sans MT" w:hAnsi="Gill Sans MT"/>
        </w:rPr>
        <w:t>)</w:t>
      </w:r>
      <w:r w:rsidR="00943EA0">
        <w:rPr>
          <w:rFonts w:ascii="Gill Sans MT" w:hAnsi="Gill Sans MT"/>
        </w:rPr>
        <w:t xml:space="preserve"> beyond the idea of parliamentary sovereignty may be the unavoidable focus of the coming years.</w:t>
      </w:r>
    </w:p>
    <w:p w14:paraId="04EA6142" w14:textId="77777777" w:rsidR="00181DF2" w:rsidRDefault="00181DF2" w:rsidP="00EF2F3A">
      <w:pPr>
        <w:pStyle w:val="NoSpacing"/>
        <w:jc w:val="both"/>
        <w:rPr>
          <w:rFonts w:ascii="Gill Sans MT" w:hAnsi="Gill Sans MT"/>
        </w:rPr>
      </w:pPr>
    </w:p>
    <w:p w14:paraId="77544A57" w14:textId="0C400CE4" w:rsidR="00BA6035" w:rsidRPr="00F3746F" w:rsidRDefault="00207921" w:rsidP="00EF2F3A">
      <w:pPr>
        <w:pStyle w:val="NoSpacing"/>
        <w:jc w:val="both"/>
        <w:rPr>
          <w:rFonts w:ascii="Gill Sans MT" w:hAnsi="Gill Sans MT"/>
          <w:b/>
          <w:u w:val="single"/>
        </w:rPr>
      </w:pPr>
      <w:r>
        <w:rPr>
          <w:rFonts w:ascii="Gill Sans MT" w:hAnsi="Gill Sans MT"/>
          <w:b/>
          <w:u w:val="single"/>
        </w:rPr>
        <w:t xml:space="preserve">Section 1 – </w:t>
      </w:r>
      <w:r w:rsidR="00BA6035" w:rsidRPr="00F3746F">
        <w:rPr>
          <w:rFonts w:ascii="Gill Sans MT" w:hAnsi="Gill Sans MT"/>
          <w:b/>
          <w:u w:val="single"/>
        </w:rPr>
        <w:t xml:space="preserve">Political </w:t>
      </w:r>
      <w:r>
        <w:rPr>
          <w:rFonts w:ascii="Gill Sans MT" w:hAnsi="Gill Sans MT"/>
          <w:b/>
          <w:u w:val="single"/>
        </w:rPr>
        <w:t>D</w:t>
      </w:r>
      <w:r w:rsidR="00BA6035" w:rsidRPr="00F3746F">
        <w:rPr>
          <w:rFonts w:ascii="Gill Sans MT" w:hAnsi="Gill Sans MT"/>
          <w:b/>
          <w:u w:val="single"/>
        </w:rPr>
        <w:t>evelopments</w:t>
      </w:r>
    </w:p>
    <w:p w14:paraId="235BD323" w14:textId="77777777" w:rsidR="00743C91" w:rsidRDefault="00743C91" w:rsidP="00EF2F3A">
      <w:pPr>
        <w:pStyle w:val="NoSpacing"/>
        <w:jc w:val="both"/>
        <w:rPr>
          <w:rFonts w:ascii="Gill Sans MT" w:hAnsi="Gill Sans MT"/>
          <w:u w:val="single"/>
        </w:rPr>
      </w:pPr>
    </w:p>
    <w:p w14:paraId="0FC72B29" w14:textId="079E9AE3" w:rsidR="00260B9A" w:rsidRDefault="00BA3D5E" w:rsidP="00EF2F3A">
      <w:pPr>
        <w:pStyle w:val="NoSpacing"/>
        <w:jc w:val="both"/>
        <w:rPr>
          <w:rFonts w:ascii="Gill Sans MT" w:hAnsi="Gill Sans MT"/>
        </w:rPr>
      </w:pPr>
      <w:r>
        <w:rPr>
          <w:rFonts w:ascii="Gill Sans MT" w:hAnsi="Gill Sans MT"/>
        </w:rPr>
        <w:t>To understand the position of parliamentary sovereignty in the UK constitution, the crucial starting point is to recognise that this is</w:t>
      </w:r>
      <w:r w:rsidR="00743C91">
        <w:rPr>
          <w:rFonts w:ascii="Gill Sans MT" w:hAnsi="Gill Sans MT"/>
        </w:rPr>
        <w:t xml:space="preserve"> a legal doctrine concerned with law-making power – and not </w:t>
      </w:r>
      <w:r>
        <w:rPr>
          <w:rFonts w:ascii="Gill Sans MT" w:hAnsi="Gill Sans MT"/>
        </w:rPr>
        <w:t>a caricature of constitutional principle, which proclaims the</w:t>
      </w:r>
      <w:r w:rsidR="00890A59">
        <w:rPr>
          <w:rFonts w:ascii="Gill Sans MT" w:hAnsi="Gill Sans MT"/>
        </w:rPr>
        <w:t xml:space="preserve"> real-</w:t>
      </w:r>
      <w:r w:rsidR="00743C91">
        <w:rPr>
          <w:rFonts w:ascii="Gill Sans MT" w:hAnsi="Gill Sans MT"/>
        </w:rPr>
        <w:t>world omnipotence of the UK’s legislature</w:t>
      </w:r>
      <w:r>
        <w:rPr>
          <w:rFonts w:ascii="Gill Sans MT" w:hAnsi="Gill Sans MT"/>
        </w:rPr>
        <w:t xml:space="preserve">.  This is a </w:t>
      </w:r>
      <w:r w:rsidR="00353AF5">
        <w:rPr>
          <w:rFonts w:ascii="Gill Sans MT" w:hAnsi="Gill Sans MT"/>
        </w:rPr>
        <w:t xml:space="preserve">very </w:t>
      </w:r>
      <w:r>
        <w:rPr>
          <w:rFonts w:ascii="Gill Sans MT" w:hAnsi="Gill Sans MT"/>
        </w:rPr>
        <w:t>well established observation – the account of parliamentary sovereignty popularised by Dicey was premised on the distinction between legal sovereignty, possessed by Parliament, and political sovereignty, possessed by the people.</w:t>
      </w:r>
      <w:r w:rsidR="00156D76">
        <w:rPr>
          <w:rStyle w:val="FootnoteReference"/>
          <w:rFonts w:ascii="Gill Sans MT" w:hAnsi="Gill Sans MT"/>
        </w:rPr>
        <w:footnoteReference w:id="8"/>
      </w:r>
      <w:r w:rsidR="00743C91">
        <w:rPr>
          <w:rFonts w:ascii="Gill Sans MT" w:hAnsi="Gill Sans MT"/>
        </w:rPr>
        <w:t xml:space="preserve"> </w:t>
      </w:r>
      <w:r>
        <w:rPr>
          <w:rFonts w:ascii="Gill Sans MT" w:hAnsi="Gill Sans MT"/>
        </w:rPr>
        <w:t xml:space="preserve"> This distinction between two related ideas of sovereignty is important in</w:t>
      </w:r>
      <w:r w:rsidR="00087D9D">
        <w:rPr>
          <w:rFonts w:ascii="Gill Sans MT" w:hAnsi="Gill Sans MT"/>
        </w:rPr>
        <w:t xml:space="preserve"> both</w:t>
      </w:r>
      <w:r>
        <w:rPr>
          <w:rFonts w:ascii="Gill Sans MT" w:hAnsi="Gill Sans MT"/>
        </w:rPr>
        <w:t xml:space="preserve"> shaping our understanding of parliamentary sovereignty and </w:t>
      </w:r>
      <w:r w:rsidR="00087D9D">
        <w:rPr>
          <w:rFonts w:ascii="Gill Sans MT" w:hAnsi="Gill Sans MT"/>
        </w:rPr>
        <w:t xml:space="preserve">providing </w:t>
      </w:r>
      <w:r>
        <w:rPr>
          <w:rFonts w:ascii="Gill Sans MT" w:hAnsi="Gill Sans MT"/>
        </w:rPr>
        <w:t xml:space="preserve">its potential justification.  The doctrine of parliamentary sovereignty does not suggest that the UK Parliament has unfettered authority; rather, that it has an authority to make law which is subject to </w:t>
      </w:r>
      <w:r w:rsidR="00B55E73">
        <w:rPr>
          <w:rFonts w:ascii="Gill Sans MT" w:hAnsi="Gill Sans MT"/>
        </w:rPr>
        <w:t xml:space="preserve">political, practical, moral and democratic </w:t>
      </w:r>
      <w:r w:rsidR="00F400DA">
        <w:rPr>
          <w:rFonts w:ascii="Gill Sans MT" w:hAnsi="Gill Sans MT"/>
        </w:rPr>
        <w:t>constraints</w:t>
      </w:r>
      <w:r w:rsidR="00B55E73">
        <w:rPr>
          <w:rFonts w:ascii="Gill Sans MT" w:hAnsi="Gill Sans MT"/>
        </w:rPr>
        <w:t>, rather than limits captured</w:t>
      </w:r>
      <w:r w:rsidR="00F400DA">
        <w:rPr>
          <w:rFonts w:ascii="Gill Sans MT" w:hAnsi="Gill Sans MT"/>
        </w:rPr>
        <w:t xml:space="preserve"> in</w:t>
      </w:r>
      <w:r w:rsidR="00B55E73">
        <w:rPr>
          <w:rFonts w:ascii="Gill Sans MT" w:hAnsi="Gill Sans MT"/>
        </w:rPr>
        <w:t xml:space="preserve"> and enforced </w:t>
      </w:r>
      <w:r w:rsidR="00F400DA">
        <w:rPr>
          <w:rFonts w:ascii="Gill Sans MT" w:hAnsi="Gill Sans MT"/>
        </w:rPr>
        <w:t>through</w:t>
      </w:r>
      <w:r w:rsidR="00B55E73">
        <w:rPr>
          <w:rFonts w:ascii="Gill Sans MT" w:hAnsi="Gill Sans MT"/>
        </w:rPr>
        <w:t xml:space="preserve"> law.  These non-legal </w:t>
      </w:r>
      <w:r w:rsidR="00F400DA">
        <w:rPr>
          <w:rFonts w:ascii="Gill Sans MT" w:hAnsi="Gill Sans MT"/>
        </w:rPr>
        <w:t>constraints</w:t>
      </w:r>
      <w:r w:rsidR="00B55E73">
        <w:rPr>
          <w:rFonts w:ascii="Gill Sans MT" w:hAnsi="Gill Sans MT"/>
        </w:rPr>
        <w:t xml:space="preserve"> should direct the use of legislative power</w:t>
      </w:r>
      <w:r w:rsidR="00260B9A">
        <w:rPr>
          <w:rFonts w:ascii="Gill Sans MT" w:hAnsi="Gill Sans MT"/>
        </w:rPr>
        <w:t xml:space="preserve">, and so the legitimacy of a constitutional reliance on the legal doctrine of parliamentary sovereignty is conditional upon </w:t>
      </w:r>
      <w:r w:rsidR="00156D76">
        <w:rPr>
          <w:rFonts w:ascii="Gill Sans MT" w:hAnsi="Gill Sans MT"/>
        </w:rPr>
        <w:t>the democratic authority of the people who elect parliamentarians to represent their interests and deliver their preferences.</w:t>
      </w:r>
    </w:p>
    <w:p w14:paraId="229C476B" w14:textId="7B7E82A1" w:rsidR="00B52BEB" w:rsidRDefault="00A43AB8" w:rsidP="00A43AB8">
      <w:pPr>
        <w:pStyle w:val="NoSpacing"/>
        <w:ind w:firstLine="720"/>
        <w:jc w:val="both"/>
        <w:rPr>
          <w:rFonts w:ascii="Gill Sans MT" w:hAnsi="Gill Sans MT"/>
        </w:rPr>
      </w:pPr>
      <w:r>
        <w:rPr>
          <w:rFonts w:ascii="Gill Sans MT" w:hAnsi="Gill Sans MT"/>
        </w:rPr>
        <w:t>In this way, the p</w:t>
      </w:r>
      <w:r w:rsidR="00B55E73">
        <w:rPr>
          <w:rFonts w:ascii="Gill Sans MT" w:hAnsi="Gill Sans MT"/>
        </w:rPr>
        <w:t xml:space="preserve">lace of </w:t>
      </w:r>
      <w:r>
        <w:rPr>
          <w:rFonts w:ascii="Gill Sans MT" w:hAnsi="Gill Sans MT"/>
        </w:rPr>
        <w:t>parliamentary sovereignty</w:t>
      </w:r>
      <w:r w:rsidR="00B55E73">
        <w:rPr>
          <w:rFonts w:ascii="Gill Sans MT" w:hAnsi="Gill Sans MT"/>
        </w:rPr>
        <w:t xml:space="preserve"> in </w:t>
      </w:r>
      <w:r>
        <w:rPr>
          <w:rFonts w:ascii="Gill Sans MT" w:hAnsi="Gill Sans MT"/>
        </w:rPr>
        <w:t xml:space="preserve">the </w:t>
      </w:r>
      <w:r w:rsidR="00B55E73">
        <w:rPr>
          <w:rFonts w:ascii="Gill Sans MT" w:hAnsi="Gill Sans MT"/>
        </w:rPr>
        <w:t xml:space="preserve">UK constitution </w:t>
      </w:r>
      <w:r>
        <w:rPr>
          <w:rFonts w:ascii="Gill Sans MT" w:hAnsi="Gill Sans MT"/>
        </w:rPr>
        <w:t xml:space="preserve">is </w:t>
      </w:r>
      <w:r w:rsidR="00B55E73">
        <w:rPr>
          <w:rFonts w:ascii="Gill Sans MT" w:hAnsi="Gill Sans MT"/>
        </w:rPr>
        <w:t xml:space="preserve">both premised on a critical distinction between law and politics, </w:t>
      </w:r>
      <w:proofErr w:type="gramStart"/>
      <w:r>
        <w:rPr>
          <w:rFonts w:ascii="Gill Sans MT" w:hAnsi="Gill Sans MT"/>
        </w:rPr>
        <w:t>and</w:t>
      </w:r>
      <w:r w:rsidR="00B55E73">
        <w:rPr>
          <w:rFonts w:ascii="Gill Sans MT" w:hAnsi="Gill Sans MT"/>
        </w:rPr>
        <w:t xml:space="preserve"> also</w:t>
      </w:r>
      <w:proofErr w:type="gramEnd"/>
      <w:r w:rsidR="00B55E73">
        <w:rPr>
          <w:rFonts w:ascii="Gill Sans MT" w:hAnsi="Gill Sans MT"/>
        </w:rPr>
        <w:t xml:space="preserve"> on the necessary interaction between law and politics.</w:t>
      </w:r>
      <w:r>
        <w:rPr>
          <w:rFonts w:ascii="Gill Sans MT" w:hAnsi="Gill Sans MT"/>
        </w:rPr>
        <w:t xml:space="preserve">  As a result, while we must initially be clear that parliamentary sovereignty is a legal doctrine, it must also </w:t>
      </w:r>
      <w:r w:rsidR="00743C91">
        <w:rPr>
          <w:rFonts w:ascii="Gill Sans MT" w:hAnsi="Gill Sans MT"/>
        </w:rPr>
        <w:t xml:space="preserve">be understood in political context, and which </w:t>
      </w:r>
      <w:r w:rsidR="00C5547F">
        <w:rPr>
          <w:rFonts w:ascii="Gill Sans MT" w:hAnsi="Gill Sans MT"/>
        </w:rPr>
        <w:t xml:space="preserve">has important constitutional </w:t>
      </w:r>
      <w:r w:rsidR="00743C91">
        <w:rPr>
          <w:rFonts w:ascii="Gill Sans MT" w:hAnsi="Gill Sans MT"/>
        </w:rPr>
        <w:t xml:space="preserve">implications.  </w:t>
      </w:r>
      <w:r w:rsidR="002909C5">
        <w:rPr>
          <w:rFonts w:ascii="Gill Sans MT" w:hAnsi="Gill Sans MT"/>
        </w:rPr>
        <w:t>In operating as the fundamental norm of an uncodified constitution, parliamentary sovereignty performs key constitutional functions</w:t>
      </w:r>
      <w:r w:rsidR="00353AF5">
        <w:rPr>
          <w:rFonts w:ascii="Gill Sans MT" w:hAnsi="Gill Sans MT"/>
        </w:rPr>
        <w:t xml:space="preserve"> in the UK</w:t>
      </w:r>
      <w:r w:rsidR="002909C5">
        <w:rPr>
          <w:rFonts w:ascii="Gill Sans MT" w:hAnsi="Gill Sans MT"/>
        </w:rPr>
        <w:t>.  It is a central organising principle, around which our hierarchy of constitutional norms is structured, and which conditions the powers</w:t>
      </w:r>
      <w:r w:rsidR="00087D9D">
        <w:rPr>
          <w:rFonts w:ascii="Gill Sans MT" w:hAnsi="Gill Sans MT"/>
        </w:rPr>
        <w:t xml:space="preserve"> of</w:t>
      </w:r>
      <w:r w:rsidR="002909C5">
        <w:rPr>
          <w:rFonts w:ascii="Gill Sans MT" w:hAnsi="Gill Sans MT"/>
        </w:rPr>
        <w:t xml:space="preserve"> and interactions between the different institutions of government</w:t>
      </w:r>
      <w:r w:rsidR="00087D9D">
        <w:rPr>
          <w:rFonts w:ascii="Gill Sans MT" w:hAnsi="Gill Sans MT"/>
        </w:rPr>
        <w:t>, especially the executive and the judiciary</w:t>
      </w:r>
      <w:r w:rsidR="002909C5">
        <w:rPr>
          <w:rFonts w:ascii="Gill Sans MT" w:hAnsi="Gill Sans MT"/>
        </w:rPr>
        <w:t>.</w:t>
      </w:r>
      <w:r w:rsidR="002909C5">
        <w:rPr>
          <w:rStyle w:val="FootnoteReference"/>
          <w:rFonts w:ascii="Gill Sans MT" w:hAnsi="Gill Sans MT"/>
        </w:rPr>
        <w:footnoteReference w:id="9"/>
      </w:r>
      <w:r w:rsidR="002909C5">
        <w:rPr>
          <w:rFonts w:ascii="Gill Sans MT" w:hAnsi="Gill Sans MT"/>
        </w:rPr>
        <w:t xml:space="preserve">   It is a constitutional focal point, allowing citizens an initial way of beginning to access</w:t>
      </w:r>
      <w:r w:rsidR="00D43870">
        <w:rPr>
          <w:rFonts w:ascii="Gill Sans MT" w:hAnsi="Gill Sans MT"/>
        </w:rPr>
        <w:t>,</w:t>
      </w:r>
      <w:r w:rsidR="002909C5">
        <w:rPr>
          <w:rFonts w:ascii="Gill Sans MT" w:hAnsi="Gill Sans MT"/>
        </w:rPr>
        <w:t xml:space="preserve"> to understand</w:t>
      </w:r>
      <w:r w:rsidR="00D43870">
        <w:rPr>
          <w:rFonts w:ascii="Gill Sans MT" w:hAnsi="Gill Sans MT"/>
        </w:rPr>
        <w:t>,</w:t>
      </w:r>
      <w:r w:rsidR="002909C5">
        <w:rPr>
          <w:rFonts w:ascii="Gill Sans MT" w:hAnsi="Gill Sans MT"/>
        </w:rPr>
        <w:t xml:space="preserve"> </w:t>
      </w:r>
      <w:r w:rsidR="00D43870">
        <w:rPr>
          <w:rFonts w:ascii="Gill Sans MT" w:hAnsi="Gill Sans MT"/>
        </w:rPr>
        <w:t xml:space="preserve">and to navigate </w:t>
      </w:r>
      <w:r w:rsidR="002909C5">
        <w:rPr>
          <w:rFonts w:ascii="Gill Sans MT" w:hAnsi="Gill Sans MT"/>
        </w:rPr>
        <w:t>the architecture and rules of the political system.</w:t>
      </w:r>
      <w:r w:rsidR="002909C5">
        <w:rPr>
          <w:rStyle w:val="FootnoteReference"/>
          <w:rFonts w:ascii="Gill Sans MT" w:hAnsi="Gill Sans MT"/>
        </w:rPr>
        <w:footnoteReference w:id="10"/>
      </w:r>
      <w:r w:rsidR="002909C5">
        <w:rPr>
          <w:rFonts w:ascii="Gill Sans MT" w:hAnsi="Gill Sans MT"/>
        </w:rPr>
        <w:t xml:space="preserve">  And it also projects a</w:t>
      </w:r>
      <w:r w:rsidR="00D43870">
        <w:rPr>
          <w:rFonts w:ascii="Gill Sans MT" w:hAnsi="Gill Sans MT"/>
        </w:rPr>
        <w:t>n essential</w:t>
      </w:r>
      <w:r w:rsidR="002909C5">
        <w:rPr>
          <w:rFonts w:ascii="Gill Sans MT" w:hAnsi="Gill Sans MT"/>
        </w:rPr>
        <w:t xml:space="preserve"> (</w:t>
      </w:r>
      <w:r w:rsidR="00D43870">
        <w:rPr>
          <w:rFonts w:ascii="Gill Sans MT" w:hAnsi="Gill Sans MT"/>
        </w:rPr>
        <w:t xml:space="preserve">and </w:t>
      </w:r>
      <w:r w:rsidR="002909C5">
        <w:rPr>
          <w:rFonts w:ascii="Gill Sans MT" w:hAnsi="Gill Sans MT"/>
        </w:rPr>
        <w:t xml:space="preserve">necessarily contestable) legitimacy claim, about the democratic foundations of the UK’s constitutional </w:t>
      </w:r>
      <w:r w:rsidR="002909C5">
        <w:rPr>
          <w:rFonts w:ascii="Gill Sans MT" w:hAnsi="Gill Sans MT"/>
        </w:rPr>
        <w:lastRenderedPageBreak/>
        <w:t>order, which opens up the space for crucial debate about how public power should be distributed and organised in our society.</w:t>
      </w:r>
      <w:r w:rsidR="002909C5">
        <w:rPr>
          <w:rStyle w:val="FootnoteReference"/>
          <w:rFonts w:ascii="Gill Sans MT" w:hAnsi="Gill Sans MT"/>
        </w:rPr>
        <w:footnoteReference w:id="11"/>
      </w:r>
    </w:p>
    <w:p w14:paraId="01508B46" w14:textId="08869CF1" w:rsidR="00B52BEB" w:rsidRDefault="00B52BEB" w:rsidP="00A43AB8">
      <w:pPr>
        <w:pStyle w:val="NoSpacing"/>
        <w:ind w:firstLine="720"/>
        <w:jc w:val="both"/>
        <w:rPr>
          <w:rFonts w:ascii="Gill Sans MT" w:hAnsi="Gill Sans MT"/>
        </w:rPr>
      </w:pPr>
      <w:r>
        <w:rPr>
          <w:rFonts w:ascii="Gill Sans MT" w:hAnsi="Gill Sans MT"/>
        </w:rPr>
        <w:t>Yet to recognise that parliamentary sovereignty also has important constitutional functions within the UK’s political system is not to accept that this legal doctrine can legitimately be emptied of content and turned into a throwaway catchphrase.  The new prominence of the idea of parliamentary sovereignty in the EU referendum campaign and its aftermath might suggest that we have seen the politicisation of parliamentary sovereign</w:t>
      </w:r>
      <w:r w:rsidR="00004E50">
        <w:rPr>
          <w:rFonts w:ascii="Gill Sans MT" w:hAnsi="Gill Sans MT"/>
        </w:rPr>
        <w:t>ty.  Parliamentary sovereignty has been used as a justification for exiting the EU, a value to be restored, a principle under threat, a constitutional past to which we must revert.  However, as parliamentary sovereignty has always been a constitutional principle with political underpinnings and consequences, the real objection here should not be to the politicisation of the doctrine, but the sloganisation of a complex concept.</w:t>
      </w:r>
      <w:r w:rsidR="00DA4C11">
        <w:rPr>
          <w:rFonts w:ascii="Gill Sans MT" w:hAnsi="Gill Sans MT"/>
        </w:rPr>
        <w:t xml:space="preserve">  The next section explores the use and abuse of the idea of parliamentary sovereignty in the context of Brexit, and the potential consequences of the misrepresentation of the doctrine in our public discourse.</w:t>
      </w:r>
    </w:p>
    <w:p w14:paraId="7453E419" w14:textId="77777777" w:rsidR="00BA6035" w:rsidRDefault="00BA6035" w:rsidP="00EF2F3A">
      <w:pPr>
        <w:pStyle w:val="NoSpacing"/>
        <w:jc w:val="both"/>
        <w:rPr>
          <w:rFonts w:ascii="Gill Sans MT" w:hAnsi="Gill Sans MT"/>
        </w:rPr>
      </w:pPr>
    </w:p>
    <w:p w14:paraId="49F91476" w14:textId="02C4EF1A" w:rsidR="00BA6035" w:rsidRPr="00741E0F" w:rsidRDefault="002623A8" w:rsidP="002623A8">
      <w:pPr>
        <w:pStyle w:val="NoSpacing"/>
        <w:jc w:val="both"/>
        <w:rPr>
          <w:rFonts w:ascii="Gill Sans MT" w:hAnsi="Gill Sans MT"/>
          <w:i/>
          <w:u w:val="single"/>
        </w:rPr>
      </w:pPr>
      <w:r w:rsidRPr="00741E0F">
        <w:rPr>
          <w:rFonts w:ascii="Gill Sans MT" w:hAnsi="Gill Sans MT"/>
          <w:i/>
          <w:u w:val="single"/>
        </w:rPr>
        <w:t>The 2016 EU Referendum and the</w:t>
      </w:r>
      <w:r w:rsidR="00BA6035" w:rsidRPr="00741E0F">
        <w:rPr>
          <w:rFonts w:ascii="Gill Sans MT" w:hAnsi="Gill Sans MT"/>
          <w:i/>
          <w:u w:val="single"/>
        </w:rPr>
        <w:t xml:space="preserve"> </w:t>
      </w:r>
      <w:r w:rsidRPr="00741E0F">
        <w:rPr>
          <w:rFonts w:ascii="Gill Sans MT" w:hAnsi="Gill Sans MT"/>
          <w:i/>
          <w:u w:val="single"/>
        </w:rPr>
        <w:t>Sloganisation</w:t>
      </w:r>
      <w:r w:rsidR="00BA6035" w:rsidRPr="00741E0F">
        <w:rPr>
          <w:rFonts w:ascii="Gill Sans MT" w:hAnsi="Gill Sans MT"/>
          <w:i/>
          <w:u w:val="single"/>
        </w:rPr>
        <w:t xml:space="preserve"> of </w:t>
      </w:r>
      <w:r w:rsidRPr="00741E0F">
        <w:rPr>
          <w:rFonts w:ascii="Gill Sans MT" w:hAnsi="Gill Sans MT"/>
          <w:i/>
          <w:u w:val="single"/>
        </w:rPr>
        <w:t>Parliamentary S</w:t>
      </w:r>
      <w:r w:rsidR="00BA6035" w:rsidRPr="00741E0F">
        <w:rPr>
          <w:rFonts w:ascii="Gill Sans MT" w:hAnsi="Gill Sans MT"/>
          <w:i/>
          <w:u w:val="single"/>
        </w:rPr>
        <w:t>overeignty</w:t>
      </w:r>
    </w:p>
    <w:p w14:paraId="167BF52B" w14:textId="77777777" w:rsidR="004B54CE" w:rsidRDefault="004B54CE" w:rsidP="004B54CE">
      <w:pPr>
        <w:pStyle w:val="NoSpacing"/>
        <w:jc w:val="both"/>
        <w:rPr>
          <w:rFonts w:ascii="Gill Sans MT" w:hAnsi="Gill Sans MT"/>
        </w:rPr>
      </w:pPr>
    </w:p>
    <w:p w14:paraId="2C8F57E7" w14:textId="09B8C91F" w:rsidR="00487665" w:rsidRDefault="007B3C95" w:rsidP="004B54CE">
      <w:pPr>
        <w:pStyle w:val="NoSpacing"/>
        <w:jc w:val="both"/>
        <w:rPr>
          <w:rFonts w:ascii="Gill Sans MT" w:hAnsi="Gill Sans MT" w:cs="Arial"/>
          <w:shd w:val="clear" w:color="auto" w:fill="FFFFFF"/>
        </w:rPr>
      </w:pPr>
      <w:r>
        <w:rPr>
          <w:rFonts w:ascii="Gill Sans MT" w:hAnsi="Gill Sans MT"/>
        </w:rPr>
        <w:t>The n</w:t>
      </w:r>
      <w:r w:rsidR="000B5B4B">
        <w:rPr>
          <w:rFonts w:ascii="Gill Sans MT" w:hAnsi="Gill Sans MT"/>
        </w:rPr>
        <w:t>ew public prominence of</w:t>
      </w:r>
      <w:r>
        <w:rPr>
          <w:rFonts w:ascii="Gill Sans MT" w:hAnsi="Gill Sans MT"/>
        </w:rPr>
        <w:t xml:space="preserve"> the doctrine of</w:t>
      </w:r>
      <w:r w:rsidR="000B5B4B">
        <w:rPr>
          <w:rFonts w:ascii="Gill Sans MT" w:hAnsi="Gill Sans MT"/>
        </w:rPr>
        <w:t xml:space="preserve"> parliamentary sovereignty</w:t>
      </w:r>
      <w:r>
        <w:rPr>
          <w:rFonts w:ascii="Gill Sans MT" w:hAnsi="Gill Sans MT"/>
        </w:rPr>
        <w:t xml:space="preserve"> has been just one of many remarkable consequences of the UK’s 2016 </w:t>
      </w:r>
      <w:r w:rsidRPr="00685B40">
        <w:rPr>
          <w:rFonts w:ascii="Gill Sans MT" w:hAnsi="Gill Sans MT"/>
        </w:rPr>
        <w:t xml:space="preserve">referendum </w:t>
      </w:r>
      <w:r w:rsidR="004B54CE" w:rsidRPr="00685B40">
        <w:rPr>
          <w:rFonts w:ascii="Gill Sans MT" w:hAnsi="Gill Sans MT"/>
        </w:rPr>
        <w:t xml:space="preserve">on membership of the </w:t>
      </w:r>
      <w:r w:rsidRPr="00685B40">
        <w:rPr>
          <w:rFonts w:ascii="Gill Sans MT" w:hAnsi="Gill Sans MT"/>
        </w:rPr>
        <w:t>EU.</w:t>
      </w:r>
      <w:r w:rsidR="004B54CE" w:rsidRPr="00685B40">
        <w:rPr>
          <w:rFonts w:ascii="Gill Sans MT" w:hAnsi="Gill Sans MT"/>
        </w:rPr>
        <w:t xml:space="preserve"> </w:t>
      </w:r>
      <w:r w:rsidRPr="00685B40">
        <w:rPr>
          <w:rFonts w:ascii="Gill Sans MT" w:hAnsi="Gill Sans MT"/>
        </w:rPr>
        <w:t xml:space="preserve"> C</w:t>
      </w:r>
      <w:r w:rsidR="004B54CE" w:rsidRPr="00685B40">
        <w:rPr>
          <w:rFonts w:ascii="Gill Sans MT" w:hAnsi="Gill Sans MT"/>
        </w:rPr>
        <w:t xml:space="preserve">laims about the desirability of restoring parliamentary sovereignty </w:t>
      </w:r>
      <w:r w:rsidRPr="00685B40">
        <w:rPr>
          <w:rFonts w:ascii="Gill Sans MT" w:hAnsi="Gill Sans MT"/>
        </w:rPr>
        <w:t xml:space="preserve">were </w:t>
      </w:r>
      <w:r w:rsidR="004B54CE" w:rsidRPr="00685B40">
        <w:rPr>
          <w:rFonts w:ascii="Gill Sans MT" w:hAnsi="Gill Sans MT"/>
        </w:rPr>
        <w:t xml:space="preserve">a prominent component of ‘Leave’ campaigners’ arguments </w:t>
      </w:r>
      <w:r w:rsidRPr="00685B40">
        <w:rPr>
          <w:rFonts w:ascii="Gill Sans MT" w:hAnsi="Gill Sans MT"/>
        </w:rPr>
        <w:t xml:space="preserve">that the </w:t>
      </w:r>
      <w:r w:rsidR="004B54CE" w:rsidRPr="00685B40">
        <w:rPr>
          <w:rFonts w:ascii="Gill Sans MT" w:hAnsi="Gill Sans MT"/>
        </w:rPr>
        <w:t xml:space="preserve">UK </w:t>
      </w:r>
      <w:r w:rsidRPr="00685B40">
        <w:rPr>
          <w:rFonts w:ascii="Gill Sans MT" w:hAnsi="Gill Sans MT"/>
        </w:rPr>
        <w:t xml:space="preserve">should exit the EU </w:t>
      </w:r>
      <w:r w:rsidR="004B54CE" w:rsidRPr="00685B40">
        <w:rPr>
          <w:rFonts w:ascii="Gill Sans MT" w:hAnsi="Gill Sans MT"/>
        </w:rPr>
        <w:t xml:space="preserve">to </w:t>
      </w:r>
      <w:r w:rsidRPr="00685B40">
        <w:rPr>
          <w:rFonts w:ascii="Gill Sans MT" w:hAnsi="Gill Sans MT"/>
        </w:rPr>
        <w:t>‘take back control’.</w:t>
      </w:r>
      <w:r w:rsidR="004E675A" w:rsidRPr="00685B40">
        <w:rPr>
          <w:rFonts w:ascii="Gill Sans MT" w:hAnsi="Gill Sans MT"/>
        </w:rPr>
        <w:t xml:space="preserve">  High profile </w:t>
      </w:r>
      <w:r w:rsidR="002D45F8" w:rsidRPr="00685B40">
        <w:rPr>
          <w:rFonts w:ascii="Gill Sans MT" w:hAnsi="Gill Sans MT"/>
        </w:rPr>
        <w:t>L</w:t>
      </w:r>
      <w:r w:rsidR="004E675A" w:rsidRPr="00685B40">
        <w:rPr>
          <w:rFonts w:ascii="Gill Sans MT" w:hAnsi="Gill Sans MT"/>
        </w:rPr>
        <w:t>eave campaigners such as Chris Grayling</w:t>
      </w:r>
      <w:r w:rsidR="002D45F8" w:rsidRPr="00685B40">
        <w:rPr>
          <w:rFonts w:ascii="Gill Sans MT" w:hAnsi="Gill Sans MT"/>
        </w:rPr>
        <w:t>, then Leader of the House of Commons,</w:t>
      </w:r>
      <w:r w:rsidR="004E675A" w:rsidRPr="00685B40">
        <w:rPr>
          <w:rFonts w:ascii="Gill Sans MT" w:hAnsi="Gill Sans MT"/>
        </w:rPr>
        <w:t xml:space="preserve"> argued that by re</w:t>
      </w:r>
      <w:r w:rsidR="002D45F8" w:rsidRPr="00685B40">
        <w:rPr>
          <w:rFonts w:ascii="Gill Sans MT" w:hAnsi="Gill Sans MT"/>
        </w:rPr>
        <w:t>ma</w:t>
      </w:r>
      <w:r w:rsidR="004E675A" w:rsidRPr="00685B40">
        <w:rPr>
          <w:rFonts w:ascii="Gill Sans MT" w:hAnsi="Gill Sans MT"/>
        </w:rPr>
        <w:t>in</w:t>
      </w:r>
      <w:r w:rsidR="002D45F8" w:rsidRPr="00685B40">
        <w:rPr>
          <w:rFonts w:ascii="Gill Sans MT" w:hAnsi="Gill Sans MT"/>
        </w:rPr>
        <w:t>in</w:t>
      </w:r>
      <w:r w:rsidR="004E675A" w:rsidRPr="00685B40">
        <w:rPr>
          <w:rFonts w:ascii="Gill Sans MT" w:hAnsi="Gill Sans MT"/>
        </w:rPr>
        <w:t>g in the EU ‘[o]</w:t>
      </w:r>
      <w:proofErr w:type="spellStart"/>
      <w:r w:rsidR="004E675A" w:rsidRPr="00685B40">
        <w:rPr>
          <w:rFonts w:ascii="Gill Sans MT" w:hAnsi="Gill Sans MT"/>
        </w:rPr>
        <w:t>ur</w:t>
      </w:r>
      <w:proofErr w:type="spellEnd"/>
      <w:r w:rsidR="004E675A" w:rsidRPr="00685B40">
        <w:rPr>
          <w:rFonts w:ascii="Gill Sans MT" w:hAnsi="Gill Sans MT"/>
        </w:rPr>
        <w:t xml:space="preserve"> sovereignty will diminish’, and that we should become an ‘</w:t>
      </w:r>
      <w:r w:rsidR="004E675A" w:rsidRPr="00685B40">
        <w:rPr>
          <w:rFonts w:ascii="Gill Sans MT" w:hAnsi="Gill Sans MT" w:cs="Arial"/>
          <w:shd w:val="clear" w:color="auto" w:fill="FFFFFF"/>
        </w:rPr>
        <w:t>independent sovereign country’ and ‘take back control of our democracy’.</w:t>
      </w:r>
      <w:r w:rsidR="004E675A" w:rsidRPr="00685B40">
        <w:rPr>
          <w:rStyle w:val="FootnoteReference"/>
          <w:rFonts w:ascii="Gill Sans MT" w:hAnsi="Gill Sans MT" w:cs="Arial"/>
          <w:shd w:val="clear" w:color="auto" w:fill="FFFFFF"/>
        </w:rPr>
        <w:footnoteReference w:id="12"/>
      </w:r>
      <w:r w:rsidR="002D45F8" w:rsidRPr="00685B40">
        <w:rPr>
          <w:rFonts w:ascii="Gill Sans MT" w:hAnsi="Gill Sans MT" w:cs="Arial"/>
          <w:shd w:val="clear" w:color="auto" w:fill="FFFFFF"/>
        </w:rPr>
        <w:t xml:space="preserve">  Michael Gove </w:t>
      </w:r>
      <w:r w:rsidR="00685B40">
        <w:rPr>
          <w:rFonts w:ascii="Gill Sans MT" w:hAnsi="Gill Sans MT" w:cs="Arial"/>
          <w:shd w:val="clear" w:color="auto" w:fill="FFFFFF"/>
        </w:rPr>
        <w:t>suggested</w:t>
      </w:r>
      <w:r w:rsidR="002D45F8" w:rsidRPr="00685B40">
        <w:rPr>
          <w:rFonts w:ascii="Gill Sans MT" w:hAnsi="Gill Sans MT" w:cs="Arial"/>
          <w:shd w:val="clear" w:color="auto" w:fill="FFFFFF"/>
        </w:rPr>
        <w:t xml:space="preserve"> that ‘</w:t>
      </w:r>
      <w:r w:rsidR="00D363C3" w:rsidRPr="00685B40">
        <w:rPr>
          <w:rFonts w:ascii="Gill Sans MT" w:hAnsi="Gill Sans MT" w:cs="Arial"/>
          <w:shd w:val="clear" w:color="auto" w:fill="FFFFFF"/>
        </w:rPr>
        <w:t>our membership of the European Union prevents us being able to change huge swathes of law and stops us being able to choose who makes critical decisions which affect all our lives’.</w:t>
      </w:r>
      <w:r w:rsidR="00D363C3" w:rsidRPr="00685B40">
        <w:rPr>
          <w:rStyle w:val="FootnoteReference"/>
          <w:rFonts w:ascii="Gill Sans MT" w:hAnsi="Gill Sans MT" w:cs="Arial"/>
          <w:shd w:val="clear" w:color="auto" w:fill="FFFFFF"/>
        </w:rPr>
        <w:footnoteReference w:id="13"/>
      </w:r>
      <w:r w:rsidR="00685B40">
        <w:rPr>
          <w:rFonts w:ascii="Gill Sans MT" w:hAnsi="Gill Sans MT" w:cs="Arial"/>
          <w:shd w:val="clear" w:color="auto" w:fill="FFFFFF"/>
        </w:rPr>
        <w:t xml:space="preserve">  </w:t>
      </w:r>
      <w:r w:rsidR="002D45F8" w:rsidRPr="00685B40">
        <w:rPr>
          <w:rFonts w:ascii="Gill Sans MT" w:hAnsi="Gill Sans MT"/>
        </w:rPr>
        <w:t>And, in support of his arguments to exit the EU, Boris Johnson claimed ‘</w:t>
      </w:r>
      <w:r w:rsidR="002D45F8" w:rsidRPr="00685B40">
        <w:rPr>
          <w:rFonts w:ascii="Gill Sans MT" w:hAnsi="Gill Sans MT" w:cs="Arial"/>
          <w:shd w:val="clear" w:color="auto" w:fill="FFFFFF"/>
        </w:rPr>
        <w:t>you cannot express the sovereignty of Parliament and accept the 1972 European Communities Act’.</w:t>
      </w:r>
      <w:r w:rsidR="002D45F8" w:rsidRPr="00685B40">
        <w:rPr>
          <w:rStyle w:val="FootnoteReference"/>
          <w:rFonts w:ascii="Gill Sans MT" w:hAnsi="Gill Sans MT" w:cs="Arial"/>
          <w:shd w:val="clear" w:color="auto" w:fill="FFFFFF"/>
        </w:rPr>
        <w:footnoteReference w:id="14"/>
      </w:r>
    </w:p>
    <w:p w14:paraId="144F28F5" w14:textId="77777777" w:rsidR="00F93B81" w:rsidRDefault="007B3C95" w:rsidP="00F93B81">
      <w:pPr>
        <w:pStyle w:val="NoSpacing"/>
        <w:ind w:firstLine="720"/>
        <w:jc w:val="both"/>
        <w:rPr>
          <w:rFonts w:ascii="Gill Sans MT" w:hAnsi="Gill Sans MT" w:cs="Arial"/>
        </w:rPr>
      </w:pPr>
      <w:r>
        <w:rPr>
          <w:rFonts w:ascii="Gill Sans MT" w:hAnsi="Gill Sans MT"/>
        </w:rPr>
        <w:t>It is n</w:t>
      </w:r>
      <w:r w:rsidR="00487665">
        <w:rPr>
          <w:rFonts w:ascii="Gill Sans MT" w:hAnsi="Gill Sans MT"/>
        </w:rPr>
        <w:t xml:space="preserve">ot clear how far </w:t>
      </w:r>
      <w:r w:rsidR="00685B40">
        <w:rPr>
          <w:rFonts w:ascii="Gill Sans MT" w:hAnsi="Gill Sans MT"/>
        </w:rPr>
        <w:t>this</w:t>
      </w:r>
      <w:r w:rsidR="00487665">
        <w:rPr>
          <w:rFonts w:ascii="Gill Sans MT" w:hAnsi="Gill Sans MT"/>
        </w:rPr>
        <w:t xml:space="preserve"> parliamentary sovereignty narrative drove or influenced voter choices</w:t>
      </w:r>
      <w:r>
        <w:rPr>
          <w:rFonts w:ascii="Gill Sans MT" w:hAnsi="Gill Sans MT"/>
        </w:rPr>
        <w:t xml:space="preserve">, given there were obviously a range of different reasons motivating those voting to leave the EU.   </w:t>
      </w:r>
      <w:r w:rsidR="00B61A45" w:rsidRPr="006B7F06">
        <w:rPr>
          <w:rFonts w:ascii="Gill Sans MT" w:hAnsi="Gill Sans MT"/>
        </w:rPr>
        <w:t>To measure the significance of the political or constitutional arguments for exiting the EU is not straightforward, yet the analysis of political scientists suggests</w:t>
      </w:r>
      <w:r w:rsidR="00685B40" w:rsidRPr="006B7F06">
        <w:rPr>
          <w:rFonts w:ascii="Gill Sans MT" w:hAnsi="Gill Sans MT"/>
        </w:rPr>
        <w:t xml:space="preserve"> it was at least a significant factor.  Polling conducted on exit day suggested that ‘</w:t>
      </w:r>
      <w:r w:rsidR="00685B40" w:rsidRPr="006B7F06">
        <w:rPr>
          <w:rFonts w:ascii="Gill Sans MT" w:hAnsi="Gill Sans MT" w:cs="Arial"/>
        </w:rPr>
        <w:t>the principle that decisions about the UK should be taken in the UK’ was the primary motivating factors among leave voters.</w:t>
      </w:r>
      <w:r w:rsidR="00685B40" w:rsidRPr="006B7F06">
        <w:rPr>
          <w:rStyle w:val="FootnoteReference"/>
          <w:rFonts w:ascii="Gill Sans MT" w:hAnsi="Gill Sans MT" w:cs="Arial"/>
        </w:rPr>
        <w:footnoteReference w:id="15"/>
      </w:r>
      <w:r w:rsidR="00685B40" w:rsidRPr="006B7F06">
        <w:rPr>
          <w:rFonts w:ascii="Gill Sans MT" w:hAnsi="Gill Sans MT" w:cs="Arial"/>
        </w:rPr>
        <w:t xml:space="preserve">  Subsequent analysis</w:t>
      </w:r>
      <w:r w:rsidR="00014E88">
        <w:rPr>
          <w:rFonts w:ascii="Gill Sans MT" w:hAnsi="Gill Sans MT" w:cs="Arial"/>
        </w:rPr>
        <w:t xml:space="preserve"> suggests that concern</w:t>
      </w:r>
      <w:r w:rsidR="006E1490">
        <w:rPr>
          <w:rFonts w:ascii="Gill Sans MT" w:hAnsi="Gill Sans MT" w:cs="Arial"/>
        </w:rPr>
        <w:t>s</w:t>
      </w:r>
      <w:r w:rsidR="00014E88">
        <w:rPr>
          <w:rFonts w:ascii="Gill Sans MT" w:hAnsi="Gill Sans MT" w:cs="Arial"/>
        </w:rPr>
        <w:t xml:space="preserve"> about ‘the social consequences of EU membership, most notably in respect of immigration’ </w:t>
      </w:r>
      <w:r w:rsidR="006E1490">
        <w:rPr>
          <w:rFonts w:ascii="Gill Sans MT" w:hAnsi="Gill Sans MT" w:cs="Arial"/>
        </w:rPr>
        <w:t>were</w:t>
      </w:r>
      <w:r w:rsidR="00014E88">
        <w:rPr>
          <w:rFonts w:ascii="Gill Sans MT" w:hAnsi="Gill Sans MT" w:cs="Arial"/>
        </w:rPr>
        <w:t xml:space="preserve"> most strongly reflected in the referendum result.</w:t>
      </w:r>
      <w:r w:rsidR="00014E88">
        <w:rPr>
          <w:rStyle w:val="FootnoteReference"/>
          <w:rFonts w:ascii="Gill Sans MT" w:hAnsi="Gill Sans MT" w:cs="Arial"/>
        </w:rPr>
        <w:footnoteReference w:id="16"/>
      </w:r>
      <w:r w:rsidR="00CE72EF">
        <w:rPr>
          <w:rFonts w:ascii="Gill Sans MT" w:hAnsi="Gill Sans MT" w:cs="Arial"/>
        </w:rPr>
        <w:t xml:space="preserve">  Yet sovereignty was</w:t>
      </w:r>
      <w:r w:rsidR="006E1490">
        <w:rPr>
          <w:rFonts w:ascii="Gill Sans MT" w:hAnsi="Gill Sans MT" w:cs="Arial"/>
        </w:rPr>
        <w:t xml:space="preserve"> still</w:t>
      </w:r>
      <w:r w:rsidR="00CE72EF">
        <w:rPr>
          <w:rFonts w:ascii="Gill Sans MT" w:hAnsi="Gill Sans MT" w:cs="Arial"/>
        </w:rPr>
        <w:t xml:space="preserve"> among the top three issues which were cited by voters as most important in deciding their position in the referendum, </w:t>
      </w:r>
      <w:r w:rsidR="00CE72EF">
        <w:rPr>
          <w:rFonts w:ascii="Gill Sans MT" w:hAnsi="Gill Sans MT" w:cs="Arial"/>
        </w:rPr>
        <w:lastRenderedPageBreak/>
        <w:t>along with the economy and immigration</w:t>
      </w:r>
      <w:r w:rsidR="006E1490">
        <w:rPr>
          <w:rFonts w:ascii="Gill Sans MT" w:hAnsi="Gill Sans MT" w:cs="Arial"/>
        </w:rPr>
        <w:t>,</w:t>
      </w:r>
      <w:r w:rsidR="00CE72EF">
        <w:rPr>
          <w:rStyle w:val="FootnoteReference"/>
          <w:rFonts w:ascii="Gill Sans MT" w:hAnsi="Gill Sans MT" w:cs="Arial"/>
        </w:rPr>
        <w:footnoteReference w:id="17"/>
      </w:r>
      <w:r w:rsidR="006E1490">
        <w:rPr>
          <w:rFonts w:ascii="Gill Sans MT" w:hAnsi="Gill Sans MT" w:cs="Arial"/>
        </w:rPr>
        <w:t xml:space="preserve"> with leave voters in particular found to be ‘concerned primarily about sovereignty and immigration’.</w:t>
      </w:r>
      <w:r w:rsidR="006E1490">
        <w:rPr>
          <w:rStyle w:val="FootnoteReference"/>
          <w:rFonts w:ascii="Gill Sans MT" w:hAnsi="Gill Sans MT" w:cs="Arial"/>
        </w:rPr>
        <w:footnoteReference w:id="18"/>
      </w:r>
    </w:p>
    <w:p w14:paraId="0607AB59" w14:textId="5B32E090" w:rsidR="008C48C8" w:rsidRDefault="00F93B81" w:rsidP="008C48C8">
      <w:pPr>
        <w:pStyle w:val="NoSpacing"/>
        <w:ind w:firstLine="720"/>
        <w:jc w:val="both"/>
        <w:rPr>
          <w:rFonts w:ascii="Gill Sans MT" w:hAnsi="Gill Sans MT" w:cs="Arial"/>
        </w:rPr>
      </w:pPr>
      <w:r>
        <w:rPr>
          <w:rFonts w:ascii="Gill Sans MT" w:hAnsi="Gill Sans MT"/>
        </w:rPr>
        <w:t>T</w:t>
      </w:r>
      <w:r w:rsidR="007B3C95">
        <w:rPr>
          <w:rFonts w:ascii="Gill Sans MT" w:hAnsi="Gill Sans MT"/>
        </w:rPr>
        <w:t>h</w:t>
      </w:r>
      <w:r>
        <w:rPr>
          <w:rFonts w:ascii="Gill Sans MT" w:hAnsi="Gill Sans MT"/>
        </w:rPr>
        <w:t>is</w:t>
      </w:r>
      <w:r w:rsidR="007B3C95">
        <w:rPr>
          <w:rFonts w:ascii="Gill Sans MT" w:hAnsi="Gill Sans MT"/>
        </w:rPr>
        <w:t xml:space="preserve"> narrative that Brexit was intended </w:t>
      </w:r>
      <w:r>
        <w:rPr>
          <w:rFonts w:ascii="Gill Sans MT" w:hAnsi="Gill Sans MT"/>
        </w:rPr>
        <w:t xml:space="preserve">(to a significant extent) </w:t>
      </w:r>
      <w:r w:rsidR="007B3C95">
        <w:rPr>
          <w:rFonts w:ascii="Gill Sans MT" w:hAnsi="Gill Sans MT"/>
        </w:rPr>
        <w:t xml:space="preserve">to restore parliamentary sovereignty </w:t>
      </w:r>
      <w:r w:rsidR="00487665">
        <w:rPr>
          <w:rFonts w:ascii="Gill Sans MT" w:hAnsi="Gill Sans MT"/>
        </w:rPr>
        <w:t xml:space="preserve">has </w:t>
      </w:r>
      <w:r w:rsidR="007B3C95">
        <w:rPr>
          <w:rFonts w:ascii="Gill Sans MT" w:hAnsi="Gill Sans MT"/>
        </w:rPr>
        <w:t xml:space="preserve">very </w:t>
      </w:r>
      <w:r w:rsidR="00487665">
        <w:rPr>
          <w:rFonts w:ascii="Gill Sans MT" w:hAnsi="Gill Sans MT"/>
        </w:rPr>
        <w:t xml:space="preserve">clearly been internalised by the government </w:t>
      </w:r>
      <w:r w:rsidR="00B9525F">
        <w:rPr>
          <w:rFonts w:ascii="Gill Sans MT" w:hAnsi="Gill Sans MT"/>
        </w:rPr>
        <w:t xml:space="preserve">led by Prime Minister </w:t>
      </w:r>
      <w:r w:rsidR="00487665">
        <w:rPr>
          <w:rFonts w:ascii="Gill Sans MT" w:hAnsi="Gill Sans MT"/>
        </w:rPr>
        <w:t>Theresa May</w:t>
      </w:r>
      <w:r w:rsidR="00B61A45">
        <w:rPr>
          <w:rFonts w:ascii="Gill Sans MT" w:hAnsi="Gill Sans MT"/>
        </w:rPr>
        <w:t xml:space="preserve">, and </w:t>
      </w:r>
      <w:r w:rsidR="00B9525F">
        <w:rPr>
          <w:rFonts w:ascii="Gill Sans MT" w:hAnsi="Gill Sans MT"/>
        </w:rPr>
        <w:t xml:space="preserve">is regularly offered as a justification, motivation or rationalisation </w:t>
      </w:r>
      <w:r w:rsidR="005942C5">
        <w:rPr>
          <w:rFonts w:ascii="Gill Sans MT" w:hAnsi="Gill Sans MT"/>
        </w:rPr>
        <w:t>for</w:t>
      </w:r>
      <w:r w:rsidR="00B9525F">
        <w:rPr>
          <w:rFonts w:ascii="Gill Sans MT" w:hAnsi="Gill Sans MT"/>
        </w:rPr>
        <w:t xml:space="preserve"> the decision to leave the EU, </w:t>
      </w:r>
      <w:r w:rsidR="00B9525F" w:rsidRPr="00232316">
        <w:rPr>
          <w:rFonts w:ascii="Gill Sans MT" w:hAnsi="Gill Sans MT"/>
        </w:rPr>
        <w:t xml:space="preserve">or </w:t>
      </w:r>
      <w:r w:rsidR="00BD35BF">
        <w:rPr>
          <w:rFonts w:ascii="Gill Sans MT" w:hAnsi="Gill Sans MT"/>
        </w:rPr>
        <w:t xml:space="preserve">for </w:t>
      </w:r>
      <w:r w:rsidR="00B9525F" w:rsidRPr="00232316">
        <w:rPr>
          <w:rFonts w:ascii="Gill Sans MT" w:hAnsi="Gill Sans MT"/>
        </w:rPr>
        <w:t>related policy choices.</w:t>
      </w:r>
      <w:r w:rsidR="00232316" w:rsidRPr="00232316">
        <w:rPr>
          <w:rFonts w:ascii="Gill Sans MT" w:hAnsi="Gill Sans MT"/>
        </w:rPr>
        <w:t xml:space="preserve">  In her ‘Lancaster House’ speech, </w:t>
      </w:r>
      <w:proofErr w:type="gramStart"/>
      <w:r w:rsidR="00232316" w:rsidRPr="00232316">
        <w:rPr>
          <w:rFonts w:ascii="Gill Sans MT" w:hAnsi="Gill Sans MT"/>
        </w:rPr>
        <w:t>May</w:t>
      </w:r>
      <w:proofErr w:type="gramEnd"/>
      <w:r w:rsidR="00232316" w:rsidRPr="00232316">
        <w:rPr>
          <w:rFonts w:ascii="Gill Sans MT" w:hAnsi="Gill Sans MT"/>
        </w:rPr>
        <w:t xml:space="preserve"> noted that the UK had ‘political traditions’ which were ‘different’ from those in other European countries: ‘</w:t>
      </w:r>
      <w:r w:rsidR="00232316" w:rsidRPr="00232316">
        <w:rPr>
          <w:rFonts w:ascii="Gill Sans MT" w:hAnsi="Gill Sans MT" w:cs="Arial"/>
          <w:color w:val="0B0C0C"/>
          <w:shd w:val="clear" w:color="auto" w:fill="FFFFFF"/>
        </w:rPr>
        <w:t xml:space="preserve">the principle of Parliamentary Sovereignty is the basis of our unwritten constitutional settlement’.  Against this backdrop, the referendum was ‘a </w:t>
      </w:r>
      <w:r w:rsidR="00232316" w:rsidRPr="00BD35BF">
        <w:rPr>
          <w:rFonts w:ascii="Gill Sans MT" w:hAnsi="Gill Sans MT" w:cs="Arial"/>
          <w:shd w:val="clear" w:color="auto" w:fill="FFFFFF"/>
        </w:rPr>
        <w:t>vote to restore, as we see it, our parliamentary democracy, national self-determination’ as well as (somehow) ‘to become even more global and internationalist in action and in spirit’.</w:t>
      </w:r>
      <w:r w:rsidR="00232316" w:rsidRPr="00BD35BF">
        <w:rPr>
          <w:rStyle w:val="FootnoteReference"/>
          <w:rFonts w:ascii="Gill Sans MT" w:hAnsi="Gill Sans MT" w:cs="Arial"/>
          <w:shd w:val="clear" w:color="auto" w:fill="FFFFFF"/>
        </w:rPr>
        <w:footnoteReference w:id="19"/>
      </w:r>
      <w:r w:rsidR="00BD35BF" w:rsidRPr="00BD35BF">
        <w:rPr>
          <w:rFonts w:ascii="Gill Sans MT" w:hAnsi="Gill Sans MT" w:cs="Arial"/>
          <w:shd w:val="clear" w:color="auto" w:fill="FFFFFF"/>
        </w:rPr>
        <w:t xml:space="preserve">  In her speech in Florence, the Prime Minister maintained that a new relationship with the EU would be formed on the basis of the UK ‘as a sovereign nation in which the British people are in control’.</w:t>
      </w:r>
      <w:r w:rsidR="00BD35BF" w:rsidRPr="00BD35BF">
        <w:rPr>
          <w:rStyle w:val="FootnoteReference"/>
          <w:rFonts w:ascii="Gill Sans MT" w:hAnsi="Gill Sans MT" w:cs="Arial"/>
          <w:shd w:val="clear" w:color="auto" w:fill="FFFFFF"/>
        </w:rPr>
        <w:footnoteReference w:id="20"/>
      </w:r>
      <w:r w:rsidR="00BD35BF" w:rsidRPr="00BD35BF">
        <w:rPr>
          <w:rFonts w:ascii="Gill Sans MT" w:hAnsi="Gill Sans MT" w:cs="Arial"/>
          <w:shd w:val="clear" w:color="auto" w:fill="FFFFFF"/>
        </w:rPr>
        <w:t xml:space="preserve">  These assertions have been repeated in Parliament – ‘once [we have left the EU], it will be for this</w:t>
      </w:r>
      <w:r w:rsidR="00BD35BF">
        <w:rPr>
          <w:rFonts w:ascii="Gill Sans MT" w:hAnsi="Gill Sans MT" w:cs="Arial"/>
          <w:shd w:val="clear" w:color="auto" w:fill="FFFFFF"/>
        </w:rPr>
        <w:t xml:space="preserve"> Parliament </w:t>
      </w:r>
      <w:r w:rsidR="00BD35BF" w:rsidRPr="00BD35BF">
        <w:rPr>
          <w:rFonts w:ascii="Gill Sans MT" w:hAnsi="Gill Sans MT" w:cs="Arial"/>
          <w:shd w:val="clear" w:color="auto" w:fill="FFFFFF"/>
        </w:rPr>
        <w:t>to decide, and to be</w:t>
      </w:r>
      <w:r w:rsidR="00BD35BF">
        <w:rPr>
          <w:rFonts w:ascii="Gill Sans MT" w:hAnsi="Gill Sans MT" w:cs="Arial"/>
          <w:shd w:val="clear" w:color="auto" w:fill="FFFFFF"/>
        </w:rPr>
        <w:t xml:space="preserve"> sovereign </w:t>
      </w:r>
      <w:r w:rsidR="00BD35BF" w:rsidRPr="00BD35BF">
        <w:rPr>
          <w:rFonts w:ascii="Gill Sans MT" w:hAnsi="Gill Sans MT" w:cs="Arial"/>
          <w:shd w:val="clear" w:color="auto" w:fill="FFFFFF"/>
        </w:rPr>
        <w:t>in determining, those laws’</w:t>
      </w:r>
      <w:r w:rsidR="00BD35BF">
        <w:rPr>
          <w:rStyle w:val="FootnoteReference"/>
          <w:rFonts w:ascii="Gill Sans MT" w:hAnsi="Gill Sans MT" w:cs="Arial"/>
          <w:shd w:val="clear" w:color="auto" w:fill="FFFFFF"/>
        </w:rPr>
        <w:footnoteReference w:id="21"/>
      </w:r>
      <w:r w:rsidR="00BD35BF" w:rsidRPr="00BD35BF">
        <w:rPr>
          <w:rFonts w:ascii="Gill Sans MT" w:hAnsi="Gill Sans MT" w:cs="Arial"/>
          <w:shd w:val="clear" w:color="auto" w:fill="FFFFFF"/>
        </w:rPr>
        <w:t xml:space="preserve"> – and in official government publications.  </w:t>
      </w:r>
      <w:r w:rsidR="00F23251">
        <w:rPr>
          <w:rFonts w:ascii="Gill Sans MT" w:hAnsi="Gill Sans MT" w:cs="Arial"/>
          <w:shd w:val="clear" w:color="auto" w:fill="FFFFFF"/>
        </w:rPr>
        <w:t>David Davis, Secretary of State for Exiting the EU, introduced the government</w:t>
      </w:r>
      <w:r w:rsidR="00FC24DE">
        <w:rPr>
          <w:rFonts w:ascii="Gill Sans MT" w:hAnsi="Gill Sans MT" w:cs="Arial"/>
          <w:shd w:val="clear" w:color="auto" w:fill="FFFFFF"/>
        </w:rPr>
        <w:t>’s</w:t>
      </w:r>
      <w:r w:rsidR="00F23251">
        <w:rPr>
          <w:rFonts w:ascii="Gill Sans MT" w:hAnsi="Gill Sans MT" w:cs="Arial"/>
          <w:shd w:val="clear" w:color="auto" w:fill="FFFFFF"/>
        </w:rPr>
        <w:t xml:space="preserve"> White Paper </w:t>
      </w:r>
      <w:r w:rsidR="00F23251">
        <w:rPr>
          <w:rFonts w:ascii="Gill Sans MT" w:hAnsi="Gill Sans MT" w:cs="Arial"/>
          <w:i/>
          <w:shd w:val="clear" w:color="auto" w:fill="FFFFFF"/>
        </w:rPr>
        <w:t xml:space="preserve">Legislating for the United Kingdom’s withdrawal from the European Union </w:t>
      </w:r>
      <w:r w:rsidR="008C48C8">
        <w:rPr>
          <w:rFonts w:ascii="Gill Sans MT" w:hAnsi="Gill Sans MT" w:cs="Arial"/>
          <w:shd w:val="clear" w:color="auto" w:fill="FFFFFF"/>
        </w:rPr>
        <w:t>by claiming that ‘[a]</w:t>
      </w:r>
      <w:r w:rsidR="008C48C8" w:rsidRPr="008C48C8">
        <w:rPr>
          <w:rFonts w:ascii="Gill Sans MT" w:hAnsi="Gill Sans MT" w:cs="Arial"/>
          <w:shd w:val="clear" w:color="auto" w:fill="FFFFFF"/>
        </w:rPr>
        <w:t xml:space="preserve">t the heart of </w:t>
      </w:r>
      <w:r w:rsidR="008C48C8">
        <w:rPr>
          <w:rFonts w:ascii="Gill Sans MT" w:hAnsi="Gill Sans MT" w:cs="Arial"/>
          <w:shd w:val="clear" w:color="auto" w:fill="FFFFFF"/>
        </w:rPr>
        <w:t>that</w:t>
      </w:r>
      <w:r w:rsidR="008C48C8" w:rsidRPr="008C48C8">
        <w:rPr>
          <w:rFonts w:ascii="Gill Sans MT" w:hAnsi="Gill Sans MT" w:cs="Arial"/>
          <w:shd w:val="clear" w:color="auto" w:fill="FFFFFF"/>
        </w:rPr>
        <w:t xml:space="preserve"> historic decision </w:t>
      </w:r>
      <w:r w:rsidR="008C48C8">
        <w:rPr>
          <w:rFonts w:ascii="Gill Sans MT" w:hAnsi="Gill Sans MT" w:cs="Arial"/>
          <w:shd w:val="clear" w:color="auto" w:fill="FFFFFF"/>
        </w:rPr>
        <w:t xml:space="preserve">[to leave the EU] </w:t>
      </w:r>
      <w:r w:rsidR="008C48C8" w:rsidRPr="008C48C8">
        <w:rPr>
          <w:rFonts w:ascii="Gill Sans MT" w:hAnsi="Gill Sans MT" w:cs="Arial"/>
          <w:shd w:val="clear" w:color="auto" w:fill="FFFFFF"/>
        </w:rPr>
        <w:t>was sovereignty…. The UK Parliament will unquestionably be sovereign again</w:t>
      </w:r>
      <w:r w:rsidR="008C48C8">
        <w:rPr>
          <w:rFonts w:ascii="Gill Sans MT" w:hAnsi="Gill Sans MT" w:cs="Arial"/>
          <w:shd w:val="clear" w:color="auto" w:fill="FFFFFF"/>
        </w:rPr>
        <w:t>’.</w:t>
      </w:r>
      <w:r w:rsidR="008C48C8">
        <w:rPr>
          <w:rStyle w:val="FootnoteReference"/>
          <w:rFonts w:ascii="Gill Sans MT" w:hAnsi="Gill Sans MT" w:cs="Arial"/>
          <w:shd w:val="clear" w:color="auto" w:fill="FFFFFF"/>
        </w:rPr>
        <w:footnoteReference w:id="22"/>
      </w:r>
      <w:r w:rsidR="008C48C8">
        <w:rPr>
          <w:rFonts w:ascii="Gill Sans MT" w:hAnsi="Gill Sans MT" w:cs="Arial"/>
        </w:rPr>
        <w:t xml:space="preserve">  And m</w:t>
      </w:r>
      <w:r w:rsidR="007D6199">
        <w:rPr>
          <w:rFonts w:ascii="Gill Sans MT" w:hAnsi="Gill Sans MT"/>
        </w:rPr>
        <w:t>ost ludicrous</w:t>
      </w:r>
      <w:r w:rsidR="008C48C8">
        <w:rPr>
          <w:rFonts w:ascii="Gill Sans MT" w:hAnsi="Gill Sans MT"/>
        </w:rPr>
        <w:t>ly</w:t>
      </w:r>
      <w:r w:rsidR="007D6199">
        <w:rPr>
          <w:rFonts w:ascii="Gill Sans MT" w:hAnsi="Gill Sans MT"/>
        </w:rPr>
        <w:t xml:space="preserve">, </w:t>
      </w:r>
      <w:r w:rsidR="008C48C8">
        <w:rPr>
          <w:rFonts w:ascii="Gill Sans MT" w:hAnsi="Gill Sans MT"/>
        </w:rPr>
        <w:t xml:space="preserve">an earlier </w:t>
      </w:r>
      <w:r w:rsidR="007D6199" w:rsidRPr="00111AA7">
        <w:rPr>
          <w:rFonts w:ascii="Gill Sans MT" w:hAnsi="Gill Sans MT"/>
        </w:rPr>
        <w:t>government White Paper</w:t>
      </w:r>
      <w:r w:rsidR="00FC24DE">
        <w:rPr>
          <w:rFonts w:ascii="Gill Sans MT" w:hAnsi="Gill Sans MT"/>
        </w:rPr>
        <w:t xml:space="preserve"> from that same department</w:t>
      </w:r>
      <w:r w:rsidR="008C48C8">
        <w:rPr>
          <w:rFonts w:ascii="Gill Sans MT" w:hAnsi="Gill Sans MT"/>
        </w:rPr>
        <w:t>,</w:t>
      </w:r>
      <w:r w:rsidR="007D6199" w:rsidRPr="00111AA7">
        <w:rPr>
          <w:rFonts w:ascii="Gill Sans MT" w:hAnsi="Gill Sans MT"/>
        </w:rPr>
        <w:t xml:space="preserve"> </w:t>
      </w:r>
      <w:r w:rsidR="007D6199">
        <w:rPr>
          <w:rFonts w:ascii="Gill Sans MT" w:hAnsi="Gill Sans MT"/>
          <w:i/>
        </w:rPr>
        <w:t>The United Kingdom’s exit from and new partnership with the European Union</w:t>
      </w:r>
      <w:r w:rsidR="007D6199">
        <w:rPr>
          <w:rFonts w:ascii="Gill Sans MT" w:hAnsi="Gill Sans MT"/>
        </w:rPr>
        <w:t xml:space="preserve">, </w:t>
      </w:r>
      <w:r w:rsidR="008C48C8">
        <w:rPr>
          <w:rFonts w:ascii="Gill Sans MT" w:hAnsi="Gill Sans MT"/>
        </w:rPr>
        <w:t>suggested</w:t>
      </w:r>
      <w:r w:rsidR="007D6199" w:rsidRPr="00111AA7">
        <w:rPr>
          <w:rFonts w:ascii="Gill Sans MT" w:hAnsi="Gill Sans MT"/>
        </w:rPr>
        <w:t xml:space="preserve"> that ‘[w]</w:t>
      </w:r>
      <w:proofErr w:type="spellStart"/>
      <w:r w:rsidR="007D6199" w:rsidRPr="00111AA7">
        <w:rPr>
          <w:rFonts w:ascii="Gill Sans MT" w:hAnsi="Gill Sans MT"/>
        </w:rPr>
        <w:t>hilst</w:t>
      </w:r>
      <w:proofErr w:type="spellEnd"/>
      <w:r w:rsidR="007D6199" w:rsidRPr="00111AA7">
        <w:rPr>
          <w:rFonts w:ascii="Gill Sans MT" w:hAnsi="Gill Sans MT"/>
        </w:rPr>
        <w:t xml:space="preserve"> Parliament has remained sovereign throughout our membership of the EU, it</w:t>
      </w:r>
      <w:r w:rsidR="007D6199">
        <w:rPr>
          <w:rFonts w:ascii="Gill Sans MT" w:hAnsi="Gill Sans MT"/>
        </w:rPr>
        <w:t xml:space="preserve"> has not always felt like that’,</w:t>
      </w:r>
      <w:r w:rsidR="007D6199">
        <w:rPr>
          <w:rStyle w:val="FootnoteReference"/>
          <w:rFonts w:ascii="Gill Sans MT" w:hAnsi="Gill Sans MT"/>
        </w:rPr>
        <w:footnoteReference w:id="23"/>
      </w:r>
      <w:r w:rsidR="007D6199">
        <w:rPr>
          <w:rFonts w:ascii="Gill Sans MT" w:hAnsi="Gill Sans MT"/>
        </w:rPr>
        <w:t xml:space="preserve"> an official claim almost unimaginably surreal in its imprecision.</w:t>
      </w:r>
    </w:p>
    <w:p w14:paraId="3B913F6C" w14:textId="461CEEED" w:rsidR="00487665" w:rsidRPr="008C48C8" w:rsidRDefault="00B9525F" w:rsidP="008C48C8">
      <w:pPr>
        <w:pStyle w:val="NoSpacing"/>
        <w:ind w:firstLine="720"/>
        <w:jc w:val="both"/>
        <w:rPr>
          <w:rFonts w:ascii="Gill Sans MT" w:hAnsi="Gill Sans MT" w:cs="Arial"/>
        </w:rPr>
      </w:pPr>
      <w:r>
        <w:rPr>
          <w:rFonts w:ascii="Gill Sans MT" w:hAnsi="Gill Sans MT"/>
        </w:rPr>
        <w:t xml:space="preserve">It is impossible to know whether this simply provides a </w:t>
      </w:r>
      <w:r w:rsidR="00487665">
        <w:rPr>
          <w:rFonts w:ascii="Gill Sans MT" w:hAnsi="Gill Sans MT"/>
        </w:rPr>
        <w:t xml:space="preserve">way </w:t>
      </w:r>
      <w:r>
        <w:rPr>
          <w:rFonts w:ascii="Gill Sans MT" w:hAnsi="Gill Sans MT"/>
        </w:rPr>
        <w:t>to sanitise</w:t>
      </w:r>
      <w:r w:rsidR="00487665">
        <w:rPr>
          <w:rFonts w:ascii="Gill Sans MT" w:hAnsi="Gill Sans MT"/>
        </w:rPr>
        <w:t xml:space="preserve"> the referendum outcome, </w:t>
      </w:r>
      <w:r>
        <w:rPr>
          <w:rFonts w:ascii="Gill Sans MT" w:hAnsi="Gill Sans MT"/>
        </w:rPr>
        <w:t xml:space="preserve">locating the decision in grand constitutional principles of longstanding authority, while, for example, </w:t>
      </w:r>
      <w:r w:rsidR="00487665">
        <w:rPr>
          <w:rFonts w:ascii="Gill Sans MT" w:hAnsi="Gill Sans MT"/>
        </w:rPr>
        <w:t>avoiding confronting voter hostility in relation to immigrat</w:t>
      </w:r>
      <w:r>
        <w:rPr>
          <w:rFonts w:ascii="Gill Sans MT" w:hAnsi="Gill Sans MT"/>
        </w:rPr>
        <w:t>ion (from the EU and otherwise).  But whether the government’s commitment to parliamentary sovereignty is authentic or expedient, the focus on the doctrine in framing official responses to the B</w:t>
      </w:r>
      <w:r w:rsidR="007D6199">
        <w:rPr>
          <w:rFonts w:ascii="Gill Sans MT" w:hAnsi="Gill Sans MT"/>
        </w:rPr>
        <w:t xml:space="preserve">rexit referendum means that it has become (and will surely remain) a concept at the heart of the most important </w:t>
      </w:r>
      <w:r w:rsidR="00591E71">
        <w:rPr>
          <w:rFonts w:ascii="Gill Sans MT" w:hAnsi="Gill Sans MT"/>
        </w:rPr>
        <w:t xml:space="preserve">process of </w:t>
      </w:r>
      <w:r w:rsidR="007D6199">
        <w:rPr>
          <w:rFonts w:ascii="Gill Sans MT" w:hAnsi="Gill Sans MT"/>
        </w:rPr>
        <w:t>political change in decades.</w:t>
      </w:r>
    </w:p>
    <w:p w14:paraId="1BF1CDE9" w14:textId="7F132A77" w:rsidR="0033529E" w:rsidRDefault="0033529E" w:rsidP="00D134F8">
      <w:pPr>
        <w:pStyle w:val="NoSpacing"/>
        <w:ind w:firstLine="720"/>
        <w:jc w:val="both"/>
        <w:rPr>
          <w:rFonts w:ascii="Gill Sans MT" w:hAnsi="Gill Sans MT"/>
        </w:rPr>
      </w:pPr>
      <w:r>
        <w:rPr>
          <w:rFonts w:ascii="Gill Sans MT" w:hAnsi="Gill Sans MT"/>
        </w:rPr>
        <w:t>What are the implications</w:t>
      </w:r>
      <w:r w:rsidR="00085E65">
        <w:rPr>
          <w:rFonts w:ascii="Gill Sans MT" w:hAnsi="Gill Sans MT"/>
        </w:rPr>
        <w:t xml:space="preserve"> of this for the doctrine of parliamentary sovereignty</w:t>
      </w:r>
      <w:r>
        <w:rPr>
          <w:rFonts w:ascii="Gill Sans MT" w:hAnsi="Gill Sans MT"/>
        </w:rPr>
        <w:t>?</w:t>
      </w:r>
      <w:r w:rsidR="00085E65">
        <w:rPr>
          <w:rFonts w:ascii="Gill Sans MT" w:hAnsi="Gill Sans MT"/>
        </w:rPr>
        <w:t xml:space="preserve">  </w:t>
      </w:r>
      <w:r w:rsidR="001B41F5">
        <w:rPr>
          <w:rFonts w:ascii="Gill Sans MT" w:hAnsi="Gill Sans MT"/>
        </w:rPr>
        <w:t>On one hand</w:t>
      </w:r>
      <w:r w:rsidR="00085E65">
        <w:rPr>
          <w:rFonts w:ascii="Gill Sans MT" w:hAnsi="Gill Sans MT"/>
        </w:rPr>
        <w:t>, it provides unequivocal conf</w:t>
      </w:r>
      <w:r>
        <w:rPr>
          <w:rFonts w:ascii="Gill Sans MT" w:hAnsi="Gill Sans MT"/>
        </w:rPr>
        <w:t xml:space="preserve">irmation of </w:t>
      </w:r>
      <w:r w:rsidR="00085E65">
        <w:rPr>
          <w:rFonts w:ascii="Gill Sans MT" w:hAnsi="Gill Sans MT"/>
        </w:rPr>
        <w:t xml:space="preserve">the contemporary </w:t>
      </w:r>
      <w:r>
        <w:rPr>
          <w:rFonts w:ascii="Gill Sans MT" w:hAnsi="Gill Sans MT"/>
        </w:rPr>
        <w:t>centrality</w:t>
      </w:r>
      <w:r w:rsidR="00085E65">
        <w:rPr>
          <w:rFonts w:ascii="Gill Sans MT" w:hAnsi="Gill Sans MT"/>
        </w:rPr>
        <w:t xml:space="preserve"> of this constitutional </w:t>
      </w:r>
      <w:r w:rsidR="00085E65" w:rsidRPr="00302A4C">
        <w:rPr>
          <w:rFonts w:ascii="Gill Sans MT" w:hAnsi="Gill Sans MT"/>
        </w:rPr>
        <w:t>principle</w:t>
      </w:r>
      <w:r w:rsidR="00085E65">
        <w:rPr>
          <w:rFonts w:ascii="Gill Sans MT" w:hAnsi="Gill Sans MT"/>
        </w:rPr>
        <w:t xml:space="preserve">.  </w:t>
      </w:r>
      <w:r w:rsidRPr="00111AA7">
        <w:rPr>
          <w:rFonts w:ascii="Gill Sans MT" w:hAnsi="Gill Sans MT"/>
        </w:rPr>
        <w:t xml:space="preserve">In the aftermath of the vote to exit the EU, and as the process of negotiating this withdrawal accelerates, we can clearly anticipate that profound constitutional change lies ahead in the UK.  Yet this is likely to be change that occurs around, and through, the legislative sovereignty of Parliament, and not change which displaces this constitutional fundamental.  </w:t>
      </w:r>
      <w:r w:rsidR="00D134F8">
        <w:rPr>
          <w:rFonts w:ascii="Gill Sans MT" w:hAnsi="Gill Sans MT"/>
        </w:rPr>
        <w:t xml:space="preserve">The </w:t>
      </w:r>
      <w:r w:rsidR="00D134F8" w:rsidRPr="00D134F8">
        <w:rPr>
          <w:rFonts w:ascii="Gill Sans MT" w:hAnsi="Gill Sans MT"/>
        </w:rPr>
        <w:t>renewed public prominence</w:t>
      </w:r>
      <w:r w:rsidR="00D134F8" w:rsidRPr="00111AA7">
        <w:rPr>
          <w:rFonts w:ascii="Gill Sans MT" w:hAnsi="Gill Sans MT"/>
        </w:rPr>
        <w:t xml:space="preserve"> of parliamentary sovereignty in the post-Brexit constitution</w:t>
      </w:r>
      <w:r w:rsidR="00D134F8">
        <w:rPr>
          <w:rFonts w:ascii="Gill Sans MT" w:hAnsi="Gill Sans MT"/>
        </w:rPr>
        <w:t xml:space="preserve"> offers, at the very least, significant flexibility in how we respond to withdrawal from the EU, in allocating to the UK Parliament </w:t>
      </w:r>
      <w:r w:rsidRPr="00111AA7">
        <w:rPr>
          <w:rFonts w:ascii="Gill Sans MT" w:hAnsi="Gill Sans MT"/>
        </w:rPr>
        <w:t xml:space="preserve">a law-making authority which is unlimited by law, and therefore establishes a broad range of possibilities for recalibration of the </w:t>
      </w:r>
      <w:r w:rsidRPr="00111AA7">
        <w:rPr>
          <w:rFonts w:ascii="Gill Sans MT" w:hAnsi="Gill Sans MT"/>
        </w:rPr>
        <w:lastRenderedPageBreak/>
        <w:t>constitutional architecture, and reform of the power relations</w:t>
      </w:r>
      <w:r>
        <w:rPr>
          <w:rFonts w:ascii="Gill Sans MT" w:hAnsi="Gill Sans MT"/>
        </w:rPr>
        <w:t>, within</w:t>
      </w:r>
      <w:r w:rsidRPr="00111AA7">
        <w:rPr>
          <w:rFonts w:ascii="Gill Sans MT" w:hAnsi="Gill Sans MT"/>
        </w:rPr>
        <w:t xml:space="preserve"> the state.</w:t>
      </w:r>
      <w:r w:rsidR="00D134F8">
        <w:rPr>
          <w:rFonts w:ascii="Gill Sans MT" w:hAnsi="Gill Sans MT"/>
        </w:rPr>
        <w:t xml:space="preserve">  Previously in vogue </w:t>
      </w:r>
      <w:r w:rsidR="00F36A5C">
        <w:rPr>
          <w:rFonts w:ascii="Gill Sans MT" w:hAnsi="Gill Sans MT"/>
        </w:rPr>
        <w:t>arguments</w:t>
      </w:r>
      <w:r w:rsidR="00D134F8">
        <w:rPr>
          <w:rFonts w:ascii="Gill Sans MT" w:hAnsi="Gill Sans MT"/>
        </w:rPr>
        <w:t xml:space="preserve"> that parliamentary sovereignty had been pushed aside as the </w:t>
      </w:r>
      <w:r w:rsidRPr="00111AA7">
        <w:rPr>
          <w:rFonts w:ascii="Gill Sans MT" w:hAnsi="Gill Sans MT"/>
        </w:rPr>
        <w:t>foundational concep</w:t>
      </w:r>
      <w:r w:rsidR="00D134F8">
        <w:rPr>
          <w:rFonts w:ascii="Gill Sans MT" w:hAnsi="Gill Sans MT"/>
        </w:rPr>
        <w:t xml:space="preserve">t of the UK constitution now seem </w:t>
      </w:r>
      <w:r w:rsidR="00F36A5C">
        <w:rPr>
          <w:rFonts w:ascii="Gill Sans MT" w:hAnsi="Gill Sans MT"/>
        </w:rPr>
        <w:t>more firmly removed from constitutional reality than ever.</w:t>
      </w:r>
    </w:p>
    <w:p w14:paraId="365AAF36" w14:textId="0653BC2E" w:rsidR="000B5B4B" w:rsidRDefault="0002482E" w:rsidP="00F36A5C">
      <w:pPr>
        <w:pStyle w:val="NoSpacing"/>
        <w:ind w:firstLine="720"/>
        <w:jc w:val="both"/>
        <w:rPr>
          <w:rFonts w:ascii="Gill Sans MT" w:hAnsi="Gill Sans MT"/>
        </w:rPr>
      </w:pPr>
      <w:r>
        <w:rPr>
          <w:rFonts w:ascii="Gill Sans MT" w:hAnsi="Gill Sans MT"/>
        </w:rPr>
        <w:t>On the other hand, however,</w:t>
      </w:r>
      <w:r w:rsidR="00EC674B">
        <w:rPr>
          <w:rFonts w:ascii="Gill Sans MT" w:hAnsi="Gill Sans MT"/>
        </w:rPr>
        <w:t xml:space="preserve"> it has also become very clear that</w:t>
      </w:r>
      <w:r w:rsidR="0033529E">
        <w:rPr>
          <w:rFonts w:ascii="Gill Sans MT" w:hAnsi="Gill Sans MT"/>
        </w:rPr>
        <w:t xml:space="preserve"> </w:t>
      </w:r>
      <w:r w:rsidR="00EC674B">
        <w:rPr>
          <w:rFonts w:ascii="Gill Sans MT" w:hAnsi="Gill Sans MT"/>
        </w:rPr>
        <w:t xml:space="preserve">this </w:t>
      </w:r>
      <w:r w:rsidR="0033529E" w:rsidRPr="00111AA7">
        <w:rPr>
          <w:rFonts w:ascii="Gill Sans MT" w:hAnsi="Gill Sans MT"/>
        </w:rPr>
        <w:t xml:space="preserve">increased prominence has not engendered better understanding of the meaning and implications of parliamentary sovereignty.  We have seen parliamentary sovereignty almost reduced to throwaway rhetoric, with a simplistic understanding of what it amounts to in constitutional reality.  </w:t>
      </w:r>
      <w:r w:rsidR="00EC674B">
        <w:rPr>
          <w:rFonts w:ascii="Gill Sans MT" w:hAnsi="Gill Sans MT"/>
        </w:rPr>
        <w:t>As we saw above, d</w:t>
      </w:r>
      <w:r w:rsidR="0033529E" w:rsidRPr="00111AA7">
        <w:rPr>
          <w:rFonts w:ascii="Gill Sans MT" w:hAnsi="Gill Sans MT"/>
        </w:rPr>
        <w:t xml:space="preserve">uring the referendum campaign, </w:t>
      </w:r>
      <w:r w:rsidR="00EC674B">
        <w:rPr>
          <w:rFonts w:ascii="Gill Sans MT" w:hAnsi="Gill Sans MT"/>
        </w:rPr>
        <w:t>there were regular</w:t>
      </w:r>
      <w:r w:rsidR="0033529E" w:rsidRPr="00111AA7">
        <w:rPr>
          <w:rFonts w:ascii="Gill Sans MT" w:hAnsi="Gill Sans MT"/>
        </w:rPr>
        <w:t xml:space="preserve"> claims that UK parliamentary sovereignty was incompatible with continued membership of the EU.  Yet this fails to acknowledge that there was a significant and </w:t>
      </w:r>
      <w:proofErr w:type="gramStart"/>
      <w:r w:rsidR="0033529E" w:rsidRPr="00111AA7">
        <w:rPr>
          <w:rFonts w:ascii="Gill Sans MT" w:hAnsi="Gill Sans MT"/>
        </w:rPr>
        <w:t>well established</w:t>
      </w:r>
      <w:proofErr w:type="gramEnd"/>
      <w:r w:rsidR="0033529E" w:rsidRPr="00111AA7">
        <w:rPr>
          <w:rFonts w:ascii="Gill Sans MT" w:hAnsi="Gill Sans MT"/>
        </w:rPr>
        <w:t xml:space="preserve"> consensus in support of the contrary position among constitutional lawyers, and indeed the domestic judiciary</w:t>
      </w:r>
      <w:r w:rsidR="00F77D0D">
        <w:rPr>
          <w:rFonts w:ascii="Gill Sans MT" w:hAnsi="Gill Sans MT"/>
        </w:rPr>
        <w:t xml:space="preserve">.  </w:t>
      </w:r>
      <w:r w:rsidR="0033529E" w:rsidRPr="00111AA7">
        <w:rPr>
          <w:rFonts w:ascii="Gill Sans MT" w:hAnsi="Gill Sans MT"/>
        </w:rPr>
        <w:t>Indeed,</w:t>
      </w:r>
      <w:r w:rsidR="00EC674B">
        <w:rPr>
          <w:rFonts w:ascii="Gill Sans MT" w:hAnsi="Gill Sans MT"/>
        </w:rPr>
        <w:t xml:space="preserve"> since the decision of the House of Lords in </w:t>
      </w:r>
      <w:r w:rsidR="00EC674B">
        <w:rPr>
          <w:rFonts w:ascii="Gill Sans MT" w:hAnsi="Gill Sans MT"/>
          <w:i/>
        </w:rPr>
        <w:t>Factortame (No. 2)</w:t>
      </w:r>
      <w:r w:rsidR="00EC674B">
        <w:rPr>
          <w:rFonts w:ascii="Gill Sans MT" w:hAnsi="Gill Sans MT"/>
        </w:rPr>
        <w:t>,</w:t>
      </w:r>
      <w:r w:rsidR="00EC674B" w:rsidRPr="00EC674B">
        <w:rPr>
          <w:rStyle w:val="FootnoteReference"/>
          <w:rFonts w:ascii="Gill Sans MT" w:hAnsi="Gill Sans MT"/>
        </w:rPr>
        <w:footnoteReference w:id="24"/>
      </w:r>
      <w:r w:rsidR="0033529E" w:rsidRPr="00111AA7">
        <w:rPr>
          <w:rFonts w:ascii="Gill Sans MT" w:hAnsi="Gill Sans MT"/>
        </w:rPr>
        <w:t xml:space="preserve"> the key </w:t>
      </w:r>
      <w:r w:rsidR="00EC674B">
        <w:rPr>
          <w:rFonts w:ascii="Gill Sans MT" w:hAnsi="Gill Sans MT"/>
        </w:rPr>
        <w:t xml:space="preserve">constitutional </w:t>
      </w:r>
      <w:r w:rsidR="0033529E" w:rsidRPr="00111AA7">
        <w:rPr>
          <w:rFonts w:ascii="Gill Sans MT" w:hAnsi="Gill Sans MT"/>
        </w:rPr>
        <w:t xml:space="preserve">question was not whether parliamentary sovereignty could be reconciled with the </w:t>
      </w:r>
      <w:r w:rsidR="00F77D0D">
        <w:rPr>
          <w:rFonts w:ascii="Gill Sans MT" w:hAnsi="Gill Sans MT"/>
        </w:rPr>
        <w:t>domestic supremacy of EU law</w:t>
      </w:r>
      <w:r w:rsidR="0033529E" w:rsidRPr="00111AA7">
        <w:rPr>
          <w:rFonts w:ascii="Gill Sans MT" w:hAnsi="Gill Sans MT"/>
        </w:rPr>
        <w:t xml:space="preserve"> – for this had clearly been achieved – but how </w:t>
      </w:r>
      <w:r w:rsidR="0033529E">
        <w:rPr>
          <w:rFonts w:ascii="Gill Sans MT" w:hAnsi="Gill Sans MT"/>
        </w:rPr>
        <w:t>this change</w:t>
      </w:r>
      <w:r w:rsidR="0033529E" w:rsidRPr="00111AA7">
        <w:rPr>
          <w:rFonts w:ascii="Gill Sans MT" w:hAnsi="Gill Sans MT"/>
        </w:rPr>
        <w:t xml:space="preserve"> in constitutional </w:t>
      </w:r>
      <w:r w:rsidR="00EC674B" w:rsidRPr="00EC674B">
        <w:rPr>
          <w:rFonts w:ascii="Gill Sans MT" w:hAnsi="Gill Sans MT"/>
        </w:rPr>
        <w:t>practic</w:t>
      </w:r>
      <w:r w:rsidR="0033529E" w:rsidRPr="00EC674B">
        <w:rPr>
          <w:rFonts w:ascii="Gill Sans MT" w:hAnsi="Gill Sans MT"/>
        </w:rPr>
        <w:t>e</w:t>
      </w:r>
      <w:r w:rsidR="0033529E" w:rsidRPr="00111AA7">
        <w:rPr>
          <w:rFonts w:ascii="Gill Sans MT" w:hAnsi="Gill Sans MT"/>
        </w:rPr>
        <w:t xml:space="preserve"> could be explained, and how </w:t>
      </w:r>
      <w:r w:rsidR="0033529E">
        <w:rPr>
          <w:rFonts w:ascii="Gill Sans MT" w:hAnsi="Gill Sans MT"/>
        </w:rPr>
        <w:t>it</w:t>
      </w:r>
      <w:r w:rsidR="0033529E" w:rsidRPr="00111AA7">
        <w:rPr>
          <w:rFonts w:ascii="Gill Sans MT" w:hAnsi="Gill Sans MT"/>
        </w:rPr>
        <w:t xml:space="preserve"> affected our understanding of fundamental constitutional principle</w:t>
      </w:r>
      <w:r w:rsidR="0033529E">
        <w:rPr>
          <w:rFonts w:ascii="Gill Sans MT" w:hAnsi="Gill Sans MT"/>
        </w:rPr>
        <w:t>s</w:t>
      </w:r>
      <w:r w:rsidR="0033529E" w:rsidRPr="00111AA7">
        <w:rPr>
          <w:rFonts w:ascii="Gill Sans MT" w:hAnsi="Gill Sans MT"/>
        </w:rPr>
        <w:t xml:space="preserve">.  </w:t>
      </w:r>
      <w:r w:rsidR="00F77D0D">
        <w:rPr>
          <w:rFonts w:ascii="Gill Sans MT" w:hAnsi="Gill Sans MT"/>
        </w:rPr>
        <w:t>How exactly Parliament had voluntarily and contingently established the priority of EU law over conflicting rules of national law, and how it might qualify or reverse that statutory realignment, became the focus of discussion.  But these debates generally start from the idea that Parliament has retained sovereignty in some ultimate sense, such that what had been done through sovereign power could always be undone through sovereign power, and just as importantly, that the continuing location of fundamental power in national institutions was a</w:t>
      </w:r>
      <w:r w:rsidR="00395E75">
        <w:rPr>
          <w:rFonts w:ascii="Gill Sans MT" w:hAnsi="Gill Sans MT"/>
        </w:rPr>
        <w:t xml:space="preserve"> key</w:t>
      </w:r>
      <w:r w:rsidR="00F77D0D">
        <w:rPr>
          <w:rFonts w:ascii="Gill Sans MT" w:hAnsi="Gill Sans MT"/>
        </w:rPr>
        <w:t xml:space="preserve"> consideration which shaped the functioning of the EU itself.  </w:t>
      </w:r>
      <w:r w:rsidR="00395E75">
        <w:rPr>
          <w:rFonts w:ascii="Gill Sans MT" w:hAnsi="Gill Sans MT"/>
        </w:rPr>
        <w:t xml:space="preserve">Yet these nuances were lost in simplistic invocations of sovereignty as an </w:t>
      </w:r>
      <w:r w:rsidR="005A5E54">
        <w:rPr>
          <w:rFonts w:ascii="Gill Sans MT" w:hAnsi="Gill Sans MT"/>
        </w:rPr>
        <w:t>ill-defined</w:t>
      </w:r>
      <w:r w:rsidR="00395E75">
        <w:rPr>
          <w:rFonts w:ascii="Gill Sans MT" w:hAnsi="Gill Sans MT"/>
        </w:rPr>
        <w:t xml:space="preserve"> trump card during the referendum campaign</w:t>
      </w:r>
      <w:r w:rsidR="00F4268A">
        <w:rPr>
          <w:rFonts w:ascii="Gill Sans MT" w:hAnsi="Gill Sans MT"/>
        </w:rPr>
        <w:t xml:space="preserve"> and subsequently.  We have in this way</w:t>
      </w:r>
      <w:r w:rsidR="00395E75">
        <w:rPr>
          <w:rFonts w:ascii="Gill Sans MT" w:hAnsi="Gill Sans MT"/>
        </w:rPr>
        <w:t xml:space="preserve"> </w:t>
      </w:r>
      <w:r w:rsidR="00F4268A">
        <w:rPr>
          <w:rFonts w:ascii="Gill Sans MT" w:hAnsi="Gill Sans MT"/>
        </w:rPr>
        <w:t>seen</w:t>
      </w:r>
      <w:r w:rsidR="00395E75">
        <w:rPr>
          <w:rFonts w:ascii="Gill Sans MT" w:hAnsi="Gill Sans MT"/>
        </w:rPr>
        <w:t xml:space="preserve"> the </w:t>
      </w:r>
      <w:r w:rsidR="00F4268A">
        <w:rPr>
          <w:rFonts w:ascii="Gill Sans MT" w:hAnsi="Gill Sans MT"/>
        </w:rPr>
        <w:t>sloganisation of the idea of parliamentary sovereignty</w:t>
      </w:r>
      <w:r w:rsidR="00395E75">
        <w:rPr>
          <w:rFonts w:ascii="Gill Sans MT" w:hAnsi="Gill Sans MT"/>
        </w:rPr>
        <w:t xml:space="preserve">, </w:t>
      </w:r>
      <w:r w:rsidR="00F4268A">
        <w:rPr>
          <w:rFonts w:ascii="Gill Sans MT" w:hAnsi="Gill Sans MT"/>
        </w:rPr>
        <w:t>through its</w:t>
      </w:r>
      <w:r w:rsidR="00395E75">
        <w:rPr>
          <w:rFonts w:ascii="Gill Sans MT" w:hAnsi="Gill Sans MT"/>
        </w:rPr>
        <w:t xml:space="preserve"> </w:t>
      </w:r>
      <w:r w:rsidR="00F4268A">
        <w:rPr>
          <w:rFonts w:ascii="Gill Sans MT" w:hAnsi="Gill Sans MT"/>
        </w:rPr>
        <w:t>conversion</w:t>
      </w:r>
      <w:r w:rsidR="00395E75">
        <w:rPr>
          <w:rFonts w:ascii="Gill Sans MT" w:hAnsi="Gill Sans MT"/>
        </w:rPr>
        <w:t xml:space="preserve"> into a rather hollow (albeit evidently powerful) rallying call which exploited </w:t>
      </w:r>
      <w:r w:rsidR="00F4268A">
        <w:rPr>
          <w:rFonts w:ascii="Gill Sans MT" w:hAnsi="Gill Sans MT"/>
        </w:rPr>
        <w:t>this doctrine’s</w:t>
      </w:r>
      <w:r w:rsidR="00395E75">
        <w:rPr>
          <w:rFonts w:ascii="Gill Sans MT" w:hAnsi="Gill Sans MT"/>
        </w:rPr>
        <w:t xml:space="preserve"> constitutional </w:t>
      </w:r>
      <w:proofErr w:type="gramStart"/>
      <w:r w:rsidR="00395E75">
        <w:rPr>
          <w:rFonts w:ascii="Gill Sans MT" w:hAnsi="Gill Sans MT"/>
        </w:rPr>
        <w:t>cache, but</w:t>
      </w:r>
      <w:proofErr w:type="gramEnd"/>
      <w:r w:rsidR="00395E75">
        <w:rPr>
          <w:rFonts w:ascii="Gill Sans MT" w:hAnsi="Gill Sans MT"/>
        </w:rPr>
        <w:t xml:space="preserve"> departed from any</w:t>
      </w:r>
      <w:r w:rsidR="00F4268A">
        <w:rPr>
          <w:rFonts w:ascii="Gill Sans MT" w:hAnsi="Gill Sans MT"/>
        </w:rPr>
        <w:t xml:space="preserve"> sense</w:t>
      </w:r>
      <w:r w:rsidR="005A5E54">
        <w:rPr>
          <w:rFonts w:ascii="Gill Sans MT" w:hAnsi="Gill Sans MT"/>
        </w:rPr>
        <w:t xml:space="preserve"> of</w:t>
      </w:r>
      <w:r w:rsidR="00395E75">
        <w:rPr>
          <w:rFonts w:ascii="Gill Sans MT" w:hAnsi="Gill Sans MT"/>
        </w:rPr>
        <w:t xml:space="preserve"> constitutional complexity.</w:t>
      </w:r>
    </w:p>
    <w:p w14:paraId="63D0F37F" w14:textId="7450AC90" w:rsidR="005D4901" w:rsidRDefault="001B41F5" w:rsidP="00C635A2">
      <w:pPr>
        <w:pStyle w:val="NoSpacing"/>
        <w:ind w:firstLine="720"/>
        <w:jc w:val="both"/>
        <w:rPr>
          <w:rFonts w:ascii="Gill Sans MT" w:hAnsi="Gill Sans MT"/>
        </w:rPr>
      </w:pPr>
      <w:r>
        <w:rPr>
          <w:rFonts w:ascii="Gill Sans MT" w:hAnsi="Gill Sans MT"/>
        </w:rPr>
        <w:t>The sloganisation of parliamentary sovereignty generates other risks.  First, it creates the potential for</w:t>
      </w:r>
      <w:r w:rsidR="00D816A6">
        <w:rPr>
          <w:rFonts w:ascii="Gill Sans MT" w:hAnsi="Gill Sans MT"/>
        </w:rPr>
        <w:t xml:space="preserve"> toxification</w:t>
      </w:r>
      <w:r>
        <w:rPr>
          <w:rFonts w:ascii="Gill Sans MT" w:hAnsi="Gill Sans MT"/>
        </w:rPr>
        <w:t xml:space="preserve"> of the doctrine, if it becomes intrinsically associated with a </w:t>
      </w:r>
      <w:proofErr w:type="gramStart"/>
      <w:r w:rsidR="00D816A6">
        <w:rPr>
          <w:rFonts w:ascii="Gill Sans MT" w:hAnsi="Gill Sans MT"/>
        </w:rPr>
        <w:t>particular political</w:t>
      </w:r>
      <w:proofErr w:type="gramEnd"/>
      <w:r w:rsidR="00D816A6">
        <w:rPr>
          <w:rFonts w:ascii="Gill Sans MT" w:hAnsi="Gill Sans MT"/>
        </w:rPr>
        <w:t xml:space="preserve"> rhetoric</w:t>
      </w:r>
      <w:r>
        <w:rPr>
          <w:rFonts w:ascii="Gill Sans MT" w:hAnsi="Gill Sans MT"/>
        </w:rPr>
        <w:t>, and particular political decisions taken (supposedly) to vindicate that rhetoric</w:t>
      </w:r>
      <w:r w:rsidR="00D816A6">
        <w:rPr>
          <w:rFonts w:ascii="Gill Sans MT" w:hAnsi="Gill Sans MT"/>
        </w:rPr>
        <w:t>.</w:t>
      </w:r>
      <w:r w:rsidR="00C635A2">
        <w:rPr>
          <w:rFonts w:ascii="Gill Sans MT" w:hAnsi="Gill Sans MT"/>
        </w:rPr>
        <w:t xml:space="preserve">  Second, failures in constitutional understanding may be revealed as we exit the </w:t>
      </w:r>
      <w:proofErr w:type="gramStart"/>
      <w:r w:rsidR="00C635A2">
        <w:rPr>
          <w:rFonts w:ascii="Gill Sans MT" w:hAnsi="Gill Sans MT"/>
        </w:rPr>
        <w:t>EU, and</w:t>
      </w:r>
      <w:proofErr w:type="gramEnd"/>
      <w:r w:rsidR="00C635A2">
        <w:rPr>
          <w:rFonts w:ascii="Gill Sans MT" w:hAnsi="Gill Sans MT"/>
        </w:rPr>
        <w:t xml:space="preserve"> invite or exacerbate severe </w:t>
      </w:r>
      <w:r w:rsidR="00D816A6">
        <w:rPr>
          <w:rFonts w:ascii="Gill Sans MT" w:hAnsi="Gill Sans MT"/>
        </w:rPr>
        <w:t>d</w:t>
      </w:r>
      <w:r w:rsidR="00D816A6" w:rsidRPr="00491793">
        <w:rPr>
          <w:rFonts w:ascii="Gill Sans MT" w:hAnsi="Gill Sans MT"/>
        </w:rPr>
        <w:t xml:space="preserve">isappointment in our inability to revive an imagined constitutional order based on unconstrained power, </w:t>
      </w:r>
      <w:r w:rsidR="00D816A6">
        <w:rPr>
          <w:rFonts w:ascii="Gill Sans MT" w:hAnsi="Gill Sans MT"/>
        </w:rPr>
        <w:t>which was a</w:t>
      </w:r>
      <w:r w:rsidR="00D816A6" w:rsidRPr="00491793">
        <w:rPr>
          <w:rFonts w:ascii="Gill Sans MT" w:hAnsi="Gill Sans MT"/>
        </w:rPr>
        <w:t xml:space="preserve"> myth </w:t>
      </w:r>
      <w:r w:rsidR="00D816A6">
        <w:rPr>
          <w:rFonts w:ascii="Gill Sans MT" w:hAnsi="Gill Sans MT"/>
        </w:rPr>
        <w:t>and not an</w:t>
      </w:r>
      <w:r w:rsidR="00D816A6" w:rsidRPr="00491793">
        <w:rPr>
          <w:rFonts w:ascii="Gill Sans MT" w:hAnsi="Gill Sans MT"/>
        </w:rPr>
        <w:t xml:space="preserve"> archetype.</w:t>
      </w:r>
      <w:r w:rsidR="00D816A6">
        <w:rPr>
          <w:rFonts w:ascii="Gill Sans MT" w:hAnsi="Gill Sans MT"/>
        </w:rPr>
        <w:t xml:space="preserve">  </w:t>
      </w:r>
      <w:r w:rsidR="00416A15">
        <w:rPr>
          <w:rFonts w:ascii="Gill Sans MT" w:hAnsi="Gill Sans MT"/>
        </w:rPr>
        <w:t xml:space="preserve">The complex reality of a constitution based on parliamentary sovereignty may be a bitter pill to swallow for those who have been promised an unfettered national independence that could never have been delivered.  </w:t>
      </w:r>
      <w:r w:rsidR="00C635A2">
        <w:rPr>
          <w:rFonts w:ascii="Gill Sans MT" w:hAnsi="Gill Sans MT"/>
        </w:rPr>
        <w:t xml:space="preserve">Third, if the doctrine is emptied of substantial content, </w:t>
      </w:r>
      <w:r w:rsidR="00416A15">
        <w:rPr>
          <w:rFonts w:ascii="Gill Sans MT" w:hAnsi="Gill Sans MT"/>
        </w:rPr>
        <w:t>and</w:t>
      </w:r>
      <w:r w:rsidR="00C635A2">
        <w:rPr>
          <w:rFonts w:ascii="Gill Sans MT" w:hAnsi="Gill Sans MT"/>
        </w:rPr>
        <w:t xml:space="preserve"> simply becomes a catchphrase to deploy at convenient moments, </w:t>
      </w:r>
      <w:r w:rsidR="00416A15">
        <w:rPr>
          <w:rFonts w:ascii="Gill Sans MT" w:hAnsi="Gill Sans MT"/>
        </w:rPr>
        <w:t>this</w:t>
      </w:r>
      <w:r w:rsidR="00C635A2">
        <w:rPr>
          <w:rFonts w:ascii="Gill Sans MT" w:hAnsi="Gill Sans MT"/>
        </w:rPr>
        <w:t xml:space="preserve"> offers new opportunities for </w:t>
      </w:r>
      <w:r w:rsidR="0033529E">
        <w:rPr>
          <w:rFonts w:ascii="Gill Sans MT" w:hAnsi="Gill Sans MT"/>
        </w:rPr>
        <w:t>misrepresentation</w:t>
      </w:r>
      <w:r w:rsidR="00C635A2">
        <w:rPr>
          <w:rFonts w:ascii="Gill Sans MT" w:hAnsi="Gill Sans MT"/>
        </w:rPr>
        <w:t xml:space="preserve"> of the </w:t>
      </w:r>
      <w:r w:rsidR="009308BC">
        <w:rPr>
          <w:rFonts w:ascii="Gill Sans MT" w:hAnsi="Gill Sans MT"/>
        </w:rPr>
        <w:t xml:space="preserve">implications of parliamentary sovereignty.  A notable example of this tendency has been in the appeals to parliamentary sovereignty by those wishing to resist Brexit after the referendum result – the doctrine </w:t>
      </w:r>
      <w:r w:rsidR="00382428">
        <w:rPr>
          <w:rFonts w:ascii="Gill Sans MT" w:hAnsi="Gill Sans MT"/>
        </w:rPr>
        <w:t>has been</w:t>
      </w:r>
      <w:r w:rsidR="009308BC">
        <w:rPr>
          <w:rFonts w:ascii="Gill Sans MT" w:hAnsi="Gill Sans MT"/>
        </w:rPr>
        <w:t xml:space="preserve"> held up</w:t>
      </w:r>
      <w:r w:rsidR="002E517B">
        <w:rPr>
          <w:rFonts w:ascii="Gill Sans MT" w:hAnsi="Gill Sans MT"/>
        </w:rPr>
        <w:t xml:space="preserve"> by some</w:t>
      </w:r>
      <w:r w:rsidR="009308BC">
        <w:rPr>
          <w:rFonts w:ascii="Gill Sans MT" w:hAnsi="Gill Sans MT"/>
        </w:rPr>
        <w:t xml:space="preserve"> as offering a way to circumvent the decision reached through direct democratic means.</w:t>
      </w:r>
      <w:r w:rsidR="002E517B">
        <w:rPr>
          <w:rStyle w:val="FootnoteReference"/>
          <w:rFonts w:ascii="Gill Sans MT" w:hAnsi="Gill Sans MT"/>
        </w:rPr>
        <w:footnoteReference w:id="25"/>
      </w:r>
      <w:r w:rsidR="009308BC">
        <w:rPr>
          <w:rFonts w:ascii="Gill Sans MT" w:hAnsi="Gill Sans MT"/>
        </w:rPr>
        <w:t xml:space="preserve">  </w:t>
      </w:r>
      <w:r w:rsidR="007347C1">
        <w:rPr>
          <w:rFonts w:ascii="Gill Sans MT" w:hAnsi="Gill Sans MT"/>
        </w:rPr>
        <w:t>Yet that parliamentary sovereignty is the fundamental doctrine of the UK constitution does</w:t>
      </w:r>
      <w:r w:rsidR="00416A15">
        <w:rPr>
          <w:rFonts w:ascii="Gill Sans MT" w:hAnsi="Gill Sans MT"/>
        </w:rPr>
        <w:t xml:space="preserve"> not mean the UK Parliament operates outside of any broader constitutional context.  In the internal </w:t>
      </w:r>
      <w:r w:rsidR="002E517B">
        <w:rPr>
          <w:rFonts w:ascii="Gill Sans MT" w:hAnsi="Gill Sans MT"/>
        </w:rPr>
        <w:t>national</w:t>
      </w:r>
      <w:r w:rsidR="004A4815">
        <w:rPr>
          <w:rFonts w:ascii="Gill Sans MT" w:hAnsi="Gill Sans MT"/>
        </w:rPr>
        <w:t xml:space="preserve"> </w:t>
      </w:r>
      <w:r w:rsidR="00416A15">
        <w:rPr>
          <w:rFonts w:ascii="Gill Sans MT" w:hAnsi="Gill Sans MT"/>
        </w:rPr>
        <w:t xml:space="preserve">constitution, Parliament can legitimately establish authoritative </w:t>
      </w:r>
      <w:r w:rsidR="004A4815">
        <w:rPr>
          <w:rFonts w:ascii="Gill Sans MT" w:hAnsi="Gill Sans MT"/>
        </w:rPr>
        <w:t>procedures by</w:t>
      </w:r>
      <w:r w:rsidR="00416A15">
        <w:rPr>
          <w:rFonts w:ascii="Gill Sans MT" w:hAnsi="Gill Sans MT"/>
        </w:rPr>
        <w:t xml:space="preserve"> which substantive decision-making responsibility is conferred on other institutions or groups, and </w:t>
      </w:r>
      <w:r w:rsidR="004A4815">
        <w:rPr>
          <w:rFonts w:ascii="Gill Sans MT" w:hAnsi="Gill Sans MT"/>
        </w:rPr>
        <w:t xml:space="preserve">as with the referendum result, can, in effect, be politically or democratically compelled to accept the outcomes of the processes it has created.  And from an external </w:t>
      </w:r>
      <w:r w:rsidR="002E517B">
        <w:rPr>
          <w:rFonts w:ascii="Gill Sans MT" w:hAnsi="Gill Sans MT"/>
        </w:rPr>
        <w:t xml:space="preserve">supranational </w:t>
      </w:r>
      <w:r w:rsidR="004A4815">
        <w:rPr>
          <w:rFonts w:ascii="Gill Sans MT" w:hAnsi="Gill Sans MT"/>
        </w:rPr>
        <w:t>perspective, the sovereignty of Parliament within the UK</w:t>
      </w:r>
      <w:r w:rsidR="002E517B">
        <w:rPr>
          <w:rFonts w:ascii="Gill Sans MT" w:hAnsi="Gill Sans MT"/>
        </w:rPr>
        <w:t>’s</w:t>
      </w:r>
      <w:r w:rsidR="004A4815">
        <w:rPr>
          <w:rFonts w:ascii="Gill Sans MT" w:hAnsi="Gill Sans MT"/>
        </w:rPr>
        <w:t xml:space="preserve"> legal system does not provide it with any absolute authority to control the activities of actors in other constitutional systems, </w:t>
      </w:r>
      <w:r w:rsidR="002E517B">
        <w:rPr>
          <w:rFonts w:ascii="Gill Sans MT" w:hAnsi="Gill Sans MT"/>
        </w:rPr>
        <w:t xml:space="preserve">which is a profound constraint on the Article 50 withdrawal process in particular, </w:t>
      </w:r>
      <w:r w:rsidR="00213795">
        <w:rPr>
          <w:rFonts w:ascii="Gill Sans MT" w:hAnsi="Gill Sans MT"/>
        </w:rPr>
        <w:t>given that</w:t>
      </w:r>
      <w:r w:rsidR="002E517B">
        <w:rPr>
          <w:rFonts w:ascii="Gill Sans MT" w:hAnsi="Gill Sans MT"/>
        </w:rPr>
        <w:t xml:space="preserve"> is </w:t>
      </w:r>
      <w:r w:rsidR="00213795">
        <w:rPr>
          <w:rFonts w:ascii="Gill Sans MT" w:hAnsi="Gill Sans MT"/>
        </w:rPr>
        <w:t xml:space="preserve">inevitably </w:t>
      </w:r>
      <w:r w:rsidR="002E517B">
        <w:rPr>
          <w:rFonts w:ascii="Gill Sans MT" w:hAnsi="Gill Sans MT"/>
        </w:rPr>
        <w:t xml:space="preserve">a </w:t>
      </w:r>
      <w:r w:rsidR="00B74A4F">
        <w:rPr>
          <w:rFonts w:ascii="Gill Sans MT" w:hAnsi="Gill Sans MT"/>
        </w:rPr>
        <w:t>multilateral</w:t>
      </w:r>
      <w:r w:rsidR="002E517B">
        <w:rPr>
          <w:rFonts w:ascii="Gill Sans MT" w:hAnsi="Gill Sans MT"/>
        </w:rPr>
        <w:t xml:space="preserve"> endeavour.</w:t>
      </w:r>
    </w:p>
    <w:p w14:paraId="2C793B9A" w14:textId="3BC5E310" w:rsidR="004B54CE" w:rsidRDefault="00D878C1" w:rsidP="004977B6">
      <w:pPr>
        <w:pStyle w:val="NoSpacing"/>
        <w:ind w:firstLine="720"/>
        <w:jc w:val="both"/>
        <w:rPr>
          <w:rFonts w:ascii="Gill Sans MT" w:hAnsi="Gill Sans MT"/>
        </w:rPr>
      </w:pPr>
      <w:r>
        <w:rPr>
          <w:rFonts w:ascii="Gill Sans MT" w:hAnsi="Gill Sans MT"/>
        </w:rPr>
        <w:lastRenderedPageBreak/>
        <w:t>The c</w:t>
      </w:r>
      <w:r w:rsidR="000C4CC9">
        <w:rPr>
          <w:rFonts w:ascii="Gill Sans MT" w:hAnsi="Gill Sans MT"/>
        </w:rPr>
        <w:t xml:space="preserve">urrent political environment is </w:t>
      </w:r>
      <w:r>
        <w:rPr>
          <w:rFonts w:ascii="Gill Sans MT" w:hAnsi="Gill Sans MT"/>
        </w:rPr>
        <w:t xml:space="preserve">therefore </w:t>
      </w:r>
      <w:r w:rsidR="000C4CC9">
        <w:rPr>
          <w:rFonts w:ascii="Gill Sans MT" w:hAnsi="Gill Sans MT"/>
        </w:rPr>
        <w:t>one in which parliamentary sovereignty is pivotal</w:t>
      </w:r>
      <w:r>
        <w:rPr>
          <w:rFonts w:ascii="Gill Sans MT" w:hAnsi="Gill Sans MT"/>
        </w:rPr>
        <w:t>,</w:t>
      </w:r>
      <w:r w:rsidR="000C4CC9">
        <w:rPr>
          <w:rFonts w:ascii="Gill Sans MT" w:hAnsi="Gill Sans MT"/>
        </w:rPr>
        <w:t xml:space="preserve"> but also confused.</w:t>
      </w:r>
      <w:r>
        <w:rPr>
          <w:rFonts w:ascii="Gill Sans MT" w:hAnsi="Gill Sans MT"/>
        </w:rPr>
        <w:t xml:space="preserve">  Perhaps the operation of the doctrine as a constitutional focal point, through which the constitution can be popularly understood and its legitimacy contested, invites the sloganisation of parliamentary sovereignty discussed above.  Or maybe it is unsurprising that we fall back on familiar concepts in a time of great change.  Regardless, </w:t>
      </w:r>
      <w:r w:rsidR="003232F4">
        <w:rPr>
          <w:rFonts w:ascii="Gill Sans MT" w:hAnsi="Gill Sans MT"/>
        </w:rPr>
        <w:t xml:space="preserve">inconsistent usage, </w:t>
      </w:r>
      <w:r>
        <w:rPr>
          <w:rFonts w:ascii="Gill Sans MT" w:hAnsi="Gill Sans MT"/>
        </w:rPr>
        <w:t>reliance on simplified understanding</w:t>
      </w:r>
      <w:r w:rsidR="003232F4">
        <w:rPr>
          <w:rFonts w:ascii="Gill Sans MT" w:hAnsi="Gill Sans MT"/>
        </w:rPr>
        <w:t>s</w:t>
      </w:r>
      <w:r>
        <w:rPr>
          <w:rFonts w:ascii="Gill Sans MT" w:hAnsi="Gill Sans MT"/>
        </w:rPr>
        <w:t xml:space="preserve">, </w:t>
      </w:r>
      <w:r w:rsidR="00364795">
        <w:rPr>
          <w:rFonts w:ascii="Gill Sans MT" w:hAnsi="Gill Sans MT"/>
        </w:rPr>
        <w:t>and</w:t>
      </w:r>
      <w:r w:rsidR="003232F4">
        <w:rPr>
          <w:rFonts w:ascii="Gill Sans MT" w:hAnsi="Gill Sans MT"/>
        </w:rPr>
        <w:t xml:space="preserve"> the perpetuation of </w:t>
      </w:r>
      <w:r>
        <w:rPr>
          <w:rFonts w:ascii="Gill Sans MT" w:hAnsi="Gill Sans MT"/>
        </w:rPr>
        <w:t>misconcept</w:t>
      </w:r>
      <w:r w:rsidR="003232F4">
        <w:rPr>
          <w:rFonts w:ascii="Gill Sans MT" w:hAnsi="Gill Sans MT"/>
        </w:rPr>
        <w:t>ions</w:t>
      </w:r>
      <w:r>
        <w:rPr>
          <w:rFonts w:ascii="Gill Sans MT" w:hAnsi="Gill Sans MT"/>
        </w:rPr>
        <w:t xml:space="preserve"> in public debate </w:t>
      </w:r>
      <w:r w:rsidR="003232F4">
        <w:rPr>
          <w:rFonts w:ascii="Gill Sans MT" w:hAnsi="Gill Sans MT"/>
        </w:rPr>
        <w:t>all have</w:t>
      </w:r>
      <w:r>
        <w:rPr>
          <w:rFonts w:ascii="Gill Sans MT" w:hAnsi="Gill Sans MT"/>
        </w:rPr>
        <w:t xml:space="preserve"> the potential, if continued, to generate yet further confusion about what parliamentary sovereignty means and what </w:t>
      </w:r>
      <w:r w:rsidR="00364795">
        <w:rPr>
          <w:rFonts w:ascii="Gill Sans MT" w:hAnsi="Gill Sans MT"/>
        </w:rPr>
        <w:t>this</w:t>
      </w:r>
      <w:r>
        <w:rPr>
          <w:rFonts w:ascii="Gill Sans MT" w:hAnsi="Gill Sans MT"/>
        </w:rPr>
        <w:t xml:space="preserve"> doctrine stands for.  There is a danger that</w:t>
      </w:r>
      <w:r w:rsidR="00C635A2">
        <w:rPr>
          <w:rFonts w:ascii="Gill Sans MT" w:hAnsi="Gill Sans MT"/>
        </w:rPr>
        <w:t xml:space="preserve"> parliamentary sovereignty is everywhere but </w:t>
      </w:r>
      <w:r>
        <w:rPr>
          <w:rFonts w:ascii="Gill Sans MT" w:hAnsi="Gill Sans MT"/>
        </w:rPr>
        <w:t xml:space="preserve">becomes </w:t>
      </w:r>
      <w:r w:rsidR="00C635A2">
        <w:rPr>
          <w:rFonts w:ascii="Gill Sans MT" w:hAnsi="Gill Sans MT"/>
        </w:rPr>
        <w:t>empty</w:t>
      </w:r>
      <w:r>
        <w:rPr>
          <w:rFonts w:ascii="Gill Sans MT" w:hAnsi="Gill Sans MT"/>
        </w:rPr>
        <w:t xml:space="preserve">, </w:t>
      </w:r>
      <w:r w:rsidR="00C635A2">
        <w:rPr>
          <w:rFonts w:ascii="Gill Sans MT" w:hAnsi="Gill Sans MT"/>
        </w:rPr>
        <w:t xml:space="preserve">and this has important implications </w:t>
      </w:r>
      <w:r w:rsidR="003232F4">
        <w:rPr>
          <w:rFonts w:ascii="Gill Sans MT" w:hAnsi="Gill Sans MT"/>
        </w:rPr>
        <w:t>as we seek to structure a constitutional response to Brexit.</w:t>
      </w:r>
      <w:r w:rsidR="00BE2D96">
        <w:rPr>
          <w:rFonts w:ascii="Gill Sans MT" w:hAnsi="Gill Sans MT"/>
        </w:rPr>
        <w:t xml:space="preserve">  </w:t>
      </w:r>
      <w:r w:rsidR="004977B6">
        <w:rPr>
          <w:rFonts w:ascii="Gill Sans MT" w:hAnsi="Gill Sans MT"/>
        </w:rPr>
        <w:t xml:space="preserve">Ultimately, we could end up losing the broad capacity for change offered by parliamentary sovereignty when understood as a constitutional </w:t>
      </w:r>
      <w:proofErr w:type="gramStart"/>
      <w:r w:rsidR="004977B6">
        <w:rPr>
          <w:rFonts w:ascii="Gill Sans MT" w:hAnsi="Gill Sans MT"/>
        </w:rPr>
        <w:t>instrument, if</w:t>
      </w:r>
      <w:proofErr w:type="gramEnd"/>
      <w:r w:rsidR="004977B6">
        <w:rPr>
          <w:rFonts w:ascii="Gill Sans MT" w:hAnsi="Gill Sans MT"/>
        </w:rPr>
        <w:t xml:space="preserve"> parliamentary sovereignty taken as a constitutional stimulus creates a runaway train of undeliverable expectations and undesirable national self-aggrandisement.  But while the future is unpredictable, in the present we are left with a paradox – our certainty about parliamentary sovereignty’s centrality sits uneasily alongside our uncertainty about many of its central components.  And this shifting, but still unsatisfactory, position </w:t>
      </w:r>
      <w:r w:rsidR="00A42ACA">
        <w:rPr>
          <w:rFonts w:ascii="Gill Sans MT" w:hAnsi="Gill Sans MT"/>
        </w:rPr>
        <w:t>is also evident in recent judicial engagement with the doctrine.</w:t>
      </w:r>
    </w:p>
    <w:p w14:paraId="77B4F625" w14:textId="77777777" w:rsidR="00BA6035" w:rsidRDefault="00BA6035" w:rsidP="00EF2F3A">
      <w:pPr>
        <w:pStyle w:val="NoSpacing"/>
        <w:jc w:val="both"/>
        <w:rPr>
          <w:rFonts w:ascii="Gill Sans MT" w:hAnsi="Gill Sans MT"/>
        </w:rPr>
      </w:pPr>
    </w:p>
    <w:p w14:paraId="1F7EB961" w14:textId="7D04352B" w:rsidR="00EF2F3A" w:rsidRPr="00DE1A28" w:rsidRDefault="00207921" w:rsidP="00EF2F3A">
      <w:pPr>
        <w:pStyle w:val="NoSpacing"/>
        <w:jc w:val="both"/>
        <w:rPr>
          <w:rFonts w:ascii="Gill Sans MT" w:hAnsi="Gill Sans MT"/>
          <w:b/>
          <w:u w:val="single"/>
        </w:rPr>
      </w:pPr>
      <w:r>
        <w:rPr>
          <w:rFonts w:ascii="Gill Sans MT" w:hAnsi="Gill Sans MT"/>
          <w:b/>
          <w:u w:val="single"/>
        </w:rPr>
        <w:t xml:space="preserve">Section 2 – </w:t>
      </w:r>
      <w:r w:rsidR="00BA6035" w:rsidRPr="00DE1A28">
        <w:rPr>
          <w:rFonts w:ascii="Gill Sans MT" w:hAnsi="Gill Sans MT"/>
          <w:b/>
          <w:u w:val="single"/>
        </w:rPr>
        <w:t xml:space="preserve">Judicial </w:t>
      </w:r>
      <w:r>
        <w:rPr>
          <w:rFonts w:ascii="Gill Sans MT" w:hAnsi="Gill Sans MT"/>
          <w:b/>
          <w:u w:val="single"/>
        </w:rPr>
        <w:t>D</w:t>
      </w:r>
      <w:r w:rsidR="00BA6035" w:rsidRPr="00DE1A28">
        <w:rPr>
          <w:rFonts w:ascii="Gill Sans MT" w:hAnsi="Gill Sans MT"/>
          <w:b/>
          <w:u w:val="single"/>
        </w:rPr>
        <w:t>evelopments</w:t>
      </w:r>
    </w:p>
    <w:p w14:paraId="3A65B544" w14:textId="77777777" w:rsidR="00890A59" w:rsidRDefault="00890A59" w:rsidP="00EF2F3A">
      <w:pPr>
        <w:pStyle w:val="NoSpacing"/>
        <w:jc w:val="both"/>
        <w:rPr>
          <w:rFonts w:ascii="Gill Sans MT" w:hAnsi="Gill Sans MT"/>
          <w:u w:val="single"/>
        </w:rPr>
      </w:pPr>
    </w:p>
    <w:p w14:paraId="6AE7B61C" w14:textId="3E55331C" w:rsidR="00890A59" w:rsidRDefault="0015083C" w:rsidP="00EF2F3A">
      <w:pPr>
        <w:pStyle w:val="NoSpacing"/>
        <w:jc w:val="both"/>
        <w:rPr>
          <w:rFonts w:ascii="Gill Sans MT" w:hAnsi="Gill Sans MT"/>
        </w:rPr>
      </w:pPr>
      <w:r>
        <w:rPr>
          <w:rFonts w:ascii="Gill Sans MT" w:hAnsi="Gill Sans MT"/>
        </w:rPr>
        <w:t xml:space="preserve">While the idea of parliamentary sovereignty has been caught at the centre of the most consequential political debate of the current period, more subtle </w:t>
      </w:r>
      <w:r w:rsidR="00B779C4">
        <w:rPr>
          <w:rFonts w:ascii="Gill Sans MT" w:hAnsi="Gill Sans MT"/>
        </w:rPr>
        <w:t>developments may be occurring in the courts.  Although parliamentary sovereignty must be understood in political context, and in light of its various constitutional functions</w:t>
      </w:r>
      <w:r w:rsidR="00504F50">
        <w:rPr>
          <w:rFonts w:ascii="Gill Sans MT" w:hAnsi="Gill Sans MT"/>
        </w:rPr>
        <w:t xml:space="preserve"> – as was discussed in the previous section – </w:t>
      </w:r>
      <w:r w:rsidR="00B779C4">
        <w:rPr>
          <w:rFonts w:ascii="Gill Sans MT" w:hAnsi="Gill Sans MT"/>
        </w:rPr>
        <w:t xml:space="preserve">those functions are determined by legal </w:t>
      </w:r>
      <w:r w:rsidR="00147064">
        <w:rPr>
          <w:rFonts w:ascii="Gill Sans MT" w:hAnsi="Gill Sans MT"/>
        </w:rPr>
        <w:t>propositions about the scope and location of law-making power which combine to establish this fundamental doctrine.  The legally unlimited scope of the substantive legislative power allocated to the UK Parliament, and the implications of this</w:t>
      </w:r>
      <w:r w:rsidR="00504F50">
        <w:rPr>
          <w:rFonts w:ascii="Gill Sans MT" w:hAnsi="Gill Sans MT"/>
        </w:rPr>
        <w:t xml:space="preserve"> </w:t>
      </w:r>
      <w:proofErr w:type="gramStart"/>
      <w:r w:rsidR="00504F50">
        <w:rPr>
          <w:rFonts w:ascii="Gill Sans MT" w:hAnsi="Gill Sans MT"/>
        </w:rPr>
        <w:t>in light of</w:t>
      </w:r>
      <w:proofErr w:type="gramEnd"/>
      <w:r w:rsidR="00504F50">
        <w:rPr>
          <w:rFonts w:ascii="Gill Sans MT" w:hAnsi="Gill Sans MT"/>
        </w:rPr>
        <w:t xml:space="preserve"> some recent developments, will be discussed in the next section.  Here, however, our focus will be on the legal prohibition which </w:t>
      </w:r>
      <w:r w:rsidR="00297A49">
        <w:rPr>
          <w:rFonts w:ascii="Gill Sans MT" w:hAnsi="Gill Sans MT"/>
        </w:rPr>
        <w:t>locates</w:t>
      </w:r>
      <w:r w:rsidR="00504F50">
        <w:rPr>
          <w:rFonts w:ascii="Gill Sans MT" w:hAnsi="Gill Sans MT"/>
        </w:rPr>
        <w:t xml:space="preserve"> that legally unlimited legislative power in </w:t>
      </w:r>
      <w:r w:rsidR="00C44C9F">
        <w:rPr>
          <w:rFonts w:ascii="Gill Sans MT" w:hAnsi="Gill Sans MT"/>
        </w:rPr>
        <w:t xml:space="preserve">the institution of </w:t>
      </w:r>
      <w:r w:rsidR="00504F50">
        <w:rPr>
          <w:rFonts w:ascii="Gill Sans MT" w:hAnsi="Gill Sans MT"/>
        </w:rPr>
        <w:t>Parliament</w:t>
      </w:r>
      <w:r w:rsidR="00332E7F">
        <w:rPr>
          <w:rFonts w:ascii="Gill Sans MT" w:hAnsi="Gill Sans MT"/>
        </w:rPr>
        <w:t xml:space="preserve"> in particular</w:t>
      </w:r>
      <w:r w:rsidR="00504F50">
        <w:rPr>
          <w:rFonts w:ascii="Gill Sans MT" w:hAnsi="Gill Sans MT"/>
        </w:rPr>
        <w:t>.  This is the notion that no other institution has the right to override or set aside Parliament</w:t>
      </w:r>
      <w:r w:rsidR="00C44C9F">
        <w:rPr>
          <w:rFonts w:ascii="Gill Sans MT" w:hAnsi="Gill Sans MT"/>
        </w:rPr>
        <w:t>’s primary legislation</w:t>
      </w:r>
      <w:r w:rsidR="00504F50">
        <w:rPr>
          <w:rFonts w:ascii="Gill Sans MT" w:hAnsi="Gill Sans MT"/>
        </w:rPr>
        <w:t xml:space="preserve">, which in turn means that (like any other person or body) UK courts cannot strike down or invalidate an Act of Parliament.  </w:t>
      </w:r>
      <w:r w:rsidR="00AB5F71">
        <w:rPr>
          <w:rFonts w:ascii="Gill Sans MT" w:hAnsi="Gill Sans MT"/>
        </w:rPr>
        <w:t>The subordination of the courts to Parliament through the operation of the doctrine of p</w:t>
      </w:r>
      <w:r w:rsidR="000F3E10">
        <w:rPr>
          <w:rFonts w:ascii="Gill Sans MT" w:hAnsi="Gill Sans MT"/>
        </w:rPr>
        <w:t xml:space="preserve">arliamentary sovereignty </w:t>
      </w:r>
      <w:r w:rsidR="00AB5F71">
        <w:rPr>
          <w:rFonts w:ascii="Gill Sans MT" w:hAnsi="Gill Sans MT"/>
        </w:rPr>
        <w:t xml:space="preserve">can be seen to </w:t>
      </w:r>
      <w:r w:rsidR="000F3E10">
        <w:rPr>
          <w:rFonts w:ascii="Gill Sans MT" w:hAnsi="Gill Sans MT"/>
        </w:rPr>
        <w:t>establish</w:t>
      </w:r>
      <w:r w:rsidR="00AB5F71">
        <w:rPr>
          <w:rFonts w:ascii="Gill Sans MT" w:hAnsi="Gill Sans MT"/>
        </w:rPr>
        <w:t>, in principle,</w:t>
      </w:r>
      <w:r w:rsidR="000F3E10">
        <w:rPr>
          <w:rFonts w:ascii="Gill Sans MT" w:hAnsi="Gill Sans MT"/>
        </w:rPr>
        <w:t xml:space="preserve"> the constitutional primacy of democratic decision makin</w:t>
      </w:r>
      <w:r w:rsidR="00AB5F71">
        <w:rPr>
          <w:rFonts w:ascii="Gill Sans MT" w:hAnsi="Gill Sans MT"/>
        </w:rPr>
        <w:t>g.</w:t>
      </w:r>
      <w:r w:rsidR="000F3E10">
        <w:rPr>
          <w:rFonts w:ascii="Gill Sans MT" w:hAnsi="Gill Sans MT"/>
        </w:rPr>
        <w:t xml:space="preserve">  </w:t>
      </w:r>
      <w:r w:rsidR="00AB5F71">
        <w:rPr>
          <w:rFonts w:ascii="Gill Sans MT" w:hAnsi="Gill Sans MT"/>
        </w:rPr>
        <w:t>The House of Commons</w:t>
      </w:r>
      <w:r w:rsidR="000F3E10">
        <w:rPr>
          <w:rFonts w:ascii="Gill Sans MT" w:hAnsi="Gill Sans MT"/>
        </w:rPr>
        <w:t xml:space="preserve"> is the only</w:t>
      </w:r>
      <w:r w:rsidR="00CF03D3">
        <w:rPr>
          <w:rFonts w:ascii="Gill Sans MT" w:hAnsi="Gill Sans MT"/>
        </w:rPr>
        <w:t xml:space="preserve"> directly</w:t>
      </w:r>
      <w:r w:rsidR="000F3E10">
        <w:rPr>
          <w:rFonts w:ascii="Gill Sans MT" w:hAnsi="Gill Sans MT"/>
        </w:rPr>
        <w:t xml:space="preserve"> elected institution of </w:t>
      </w:r>
      <w:r w:rsidR="00AB5F71">
        <w:rPr>
          <w:rFonts w:ascii="Gill Sans MT" w:hAnsi="Gill Sans MT"/>
        </w:rPr>
        <w:t xml:space="preserve">UK </w:t>
      </w:r>
      <w:r w:rsidR="000F3E10">
        <w:rPr>
          <w:rFonts w:ascii="Gill Sans MT" w:hAnsi="Gill Sans MT"/>
        </w:rPr>
        <w:t xml:space="preserve">central government, and within Parliament </w:t>
      </w:r>
      <w:r w:rsidR="00CF03D3">
        <w:rPr>
          <w:rFonts w:ascii="Gill Sans MT" w:hAnsi="Gill Sans MT"/>
        </w:rPr>
        <w:t xml:space="preserve">this chamber </w:t>
      </w:r>
      <w:r w:rsidR="000F3E10">
        <w:rPr>
          <w:rFonts w:ascii="Gill Sans MT" w:hAnsi="Gill Sans MT"/>
        </w:rPr>
        <w:t xml:space="preserve">has primacy over </w:t>
      </w:r>
      <w:r w:rsidR="00AB5F71">
        <w:rPr>
          <w:rFonts w:ascii="Gill Sans MT" w:hAnsi="Gill Sans MT"/>
        </w:rPr>
        <w:t xml:space="preserve">the </w:t>
      </w:r>
      <w:r w:rsidR="000F3E10">
        <w:rPr>
          <w:rFonts w:ascii="Gill Sans MT" w:hAnsi="Gill Sans MT"/>
        </w:rPr>
        <w:t xml:space="preserve">unelected </w:t>
      </w:r>
      <w:r w:rsidR="00AB5F71">
        <w:rPr>
          <w:rFonts w:ascii="Gill Sans MT" w:hAnsi="Gill Sans MT"/>
        </w:rPr>
        <w:t>House of Lords by convention and by law</w:t>
      </w:r>
      <w:r w:rsidR="000F3E10">
        <w:rPr>
          <w:rFonts w:ascii="Gill Sans MT" w:hAnsi="Gill Sans MT"/>
        </w:rPr>
        <w:t>,</w:t>
      </w:r>
      <w:r w:rsidR="00AB5F71">
        <w:rPr>
          <w:rStyle w:val="FootnoteReference"/>
          <w:rFonts w:ascii="Gill Sans MT" w:hAnsi="Gill Sans MT"/>
        </w:rPr>
        <w:footnoteReference w:id="26"/>
      </w:r>
      <w:r w:rsidR="000F3E10">
        <w:rPr>
          <w:rFonts w:ascii="Gill Sans MT" w:hAnsi="Gill Sans MT"/>
        </w:rPr>
        <w:t xml:space="preserve"> with the royal assent of the monarch a mere formality signifying the conclusion of the law-making process.</w:t>
      </w:r>
      <w:r w:rsidR="00AB5F71">
        <w:rPr>
          <w:rStyle w:val="FootnoteReference"/>
          <w:rFonts w:ascii="Gill Sans MT" w:hAnsi="Gill Sans MT"/>
        </w:rPr>
        <w:footnoteReference w:id="27"/>
      </w:r>
      <w:r w:rsidR="000F3E10">
        <w:rPr>
          <w:rFonts w:ascii="Gill Sans MT" w:hAnsi="Gill Sans MT"/>
        </w:rPr>
        <w:t xml:space="preserve">  </w:t>
      </w:r>
      <w:r w:rsidR="00CF03D3">
        <w:rPr>
          <w:rFonts w:ascii="Gill Sans MT" w:hAnsi="Gill Sans MT"/>
        </w:rPr>
        <w:t>To justify the legally unlimited character of the legislative power exercised by the UK Parliament in this way is not to dismiss</w:t>
      </w:r>
      <w:r w:rsidR="00E33EF7">
        <w:rPr>
          <w:rFonts w:ascii="Gill Sans MT" w:hAnsi="Gill Sans MT"/>
        </w:rPr>
        <w:t xml:space="preserve"> entirely legitimate concerns about the </w:t>
      </w:r>
      <w:r w:rsidR="00C44C9F">
        <w:rPr>
          <w:rFonts w:ascii="Gill Sans MT" w:hAnsi="Gill Sans MT"/>
        </w:rPr>
        <w:t xml:space="preserve">effective </w:t>
      </w:r>
      <w:r w:rsidR="00E33EF7">
        <w:rPr>
          <w:rFonts w:ascii="Gill Sans MT" w:hAnsi="Gill Sans MT"/>
        </w:rPr>
        <w:t xml:space="preserve">functioning of our political system, nor is it </w:t>
      </w:r>
      <w:r w:rsidR="000F3E10">
        <w:rPr>
          <w:rFonts w:ascii="Gill Sans MT" w:hAnsi="Gill Sans MT"/>
        </w:rPr>
        <w:t xml:space="preserve">premised on </w:t>
      </w:r>
      <w:r w:rsidR="00E33EF7">
        <w:rPr>
          <w:rFonts w:ascii="Gill Sans MT" w:hAnsi="Gill Sans MT"/>
        </w:rPr>
        <w:t xml:space="preserve">(inevitably defeasible) claims </w:t>
      </w:r>
      <w:r w:rsidR="00C44C9F">
        <w:rPr>
          <w:rFonts w:ascii="Gill Sans MT" w:hAnsi="Gill Sans MT"/>
        </w:rPr>
        <w:t>as to</w:t>
      </w:r>
      <w:r w:rsidR="00E33EF7">
        <w:rPr>
          <w:rFonts w:ascii="Gill Sans MT" w:hAnsi="Gill Sans MT"/>
        </w:rPr>
        <w:t xml:space="preserve"> the </w:t>
      </w:r>
      <w:r w:rsidR="000F3E10">
        <w:rPr>
          <w:rFonts w:ascii="Gill Sans MT" w:hAnsi="Gill Sans MT"/>
        </w:rPr>
        <w:t xml:space="preserve">perfection </w:t>
      </w:r>
      <w:r w:rsidR="00E33EF7">
        <w:rPr>
          <w:rFonts w:ascii="Gill Sans MT" w:hAnsi="Gill Sans MT"/>
        </w:rPr>
        <w:t>of</w:t>
      </w:r>
      <w:r w:rsidR="000F3E10">
        <w:rPr>
          <w:rFonts w:ascii="Gill Sans MT" w:hAnsi="Gill Sans MT"/>
        </w:rPr>
        <w:t xml:space="preserve"> the democratic process</w:t>
      </w:r>
      <w:r w:rsidR="00E33EF7">
        <w:rPr>
          <w:rFonts w:ascii="Gill Sans MT" w:hAnsi="Gill Sans MT"/>
        </w:rPr>
        <w:t>.</w:t>
      </w:r>
      <w:r w:rsidR="000F3E10">
        <w:rPr>
          <w:rFonts w:ascii="Gill Sans MT" w:hAnsi="Gill Sans MT"/>
        </w:rPr>
        <w:t xml:space="preserve"> </w:t>
      </w:r>
      <w:r w:rsidR="00E33EF7">
        <w:rPr>
          <w:rFonts w:ascii="Gill Sans MT" w:hAnsi="Gill Sans MT"/>
        </w:rPr>
        <w:t xml:space="preserve"> Rather, it is to make a claim about </w:t>
      </w:r>
      <w:r w:rsidR="000F3E10">
        <w:rPr>
          <w:rFonts w:ascii="Gill Sans MT" w:hAnsi="Gill Sans MT"/>
        </w:rPr>
        <w:t xml:space="preserve">the relative legitimacy of political decision-making in </w:t>
      </w:r>
      <w:r w:rsidR="00E33EF7">
        <w:rPr>
          <w:rFonts w:ascii="Gill Sans MT" w:hAnsi="Gill Sans MT"/>
        </w:rPr>
        <w:t xml:space="preserve">a democratic, representative and accountable </w:t>
      </w:r>
      <w:r w:rsidR="000F3E10">
        <w:rPr>
          <w:rFonts w:ascii="Gill Sans MT" w:hAnsi="Gill Sans MT"/>
        </w:rPr>
        <w:t>Parliament</w:t>
      </w:r>
      <w:r w:rsidR="00E33EF7">
        <w:rPr>
          <w:rFonts w:ascii="Gill Sans MT" w:hAnsi="Gill Sans MT"/>
        </w:rPr>
        <w:t>,</w:t>
      </w:r>
      <w:r w:rsidR="000F3E10">
        <w:rPr>
          <w:rFonts w:ascii="Gill Sans MT" w:hAnsi="Gill Sans MT"/>
        </w:rPr>
        <w:t xml:space="preserve"> as compared to judicial decision-making in the courts.</w:t>
      </w:r>
    </w:p>
    <w:p w14:paraId="08631907" w14:textId="2C5DA759" w:rsidR="00C67B2F" w:rsidRDefault="00E16891" w:rsidP="00EF2F3A">
      <w:pPr>
        <w:pStyle w:val="NoSpacing"/>
        <w:jc w:val="both"/>
        <w:rPr>
          <w:rFonts w:ascii="Gill Sans MT" w:hAnsi="Gill Sans MT"/>
        </w:rPr>
      </w:pPr>
      <w:r>
        <w:rPr>
          <w:rFonts w:ascii="Gill Sans MT" w:hAnsi="Gill Sans MT"/>
        </w:rPr>
        <w:tab/>
        <w:t>While th</w:t>
      </w:r>
      <w:r w:rsidR="00765805">
        <w:rPr>
          <w:rFonts w:ascii="Gill Sans MT" w:hAnsi="Gill Sans MT"/>
        </w:rPr>
        <w:t>is legal position is as well established as any in the UK’s constitutional system, and recognised in case law spanning at least 170 years,</w:t>
      </w:r>
      <w:r w:rsidR="00765805">
        <w:rPr>
          <w:rStyle w:val="FootnoteReference"/>
          <w:rFonts w:ascii="Gill Sans MT" w:hAnsi="Gill Sans MT"/>
        </w:rPr>
        <w:footnoteReference w:id="28"/>
      </w:r>
      <w:r w:rsidR="00765805">
        <w:rPr>
          <w:rFonts w:ascii="Gill Sans MT" w:hAnsi="Gill Sans MT"/>
        </w:rPr>
        <w:t xml:space="preserve"> in the modern period it has been the subject of some judicial uncertainty.  In the seminal case of </w:t>
      </w:r>
      <w:r w:rsidR="00765805" w:rsidRPr="00765805">
        <w:rPr>
          <w:rFonts w:ascii="Gill Sans MT" w:hAnsi="Gill Sans MT"/>
          <w:i/>
        </w:rPr>
        <w:t>Jackson</w:t>
      </w:r>
      <w:r w:rsidR="00765805">
        <w:rPr>
          <w:rFonts w:ascii="Gill Sans MT" w:hAnsi="Gill Sans MT"/>
        </w:rPr>
        <w:t xml:space="preserve"> </w:t>
      </w:r>
      <w:r w:rsidR="00765805">
        <w:rPr>
          <w:rFonts w:ascii="Gill Sans MT" w:hAnsi="Gill Sans MT"/>
          <w:i/>
        </w:rPr>
        <w:t xml:space="preserve">v Attorney </w:t>
      </w:r>
      <w:r w:rsidR="00765805" w:rsidRPr="00DF191F">
        <w:rPr>
          <w:rFonts w:ascii="Gill Sans MT" w:hAnsi="Gill Sans MT"/>
          <w:i/>
        </w:rPr>
        <w:t>General</w:t>
      </w:r>
      <w:r w:rsidR="00DF191F" w:rsidRPr="00DF191F">
        <w:rPr>
          <w:rStyle w:val="FootnoteReference"/>
          <w:rFonts w:ascii="Gill Sans MT" w:hAnsi="Gill Sans MT"/>
        </w:rPr>
        <w:footnoteReference w:id="29"/>
      </w:r>
      <w:r w:rsidR="00765805">
        <w:rPr>
          <w:rFonts w:ascii="Gill Sans MT" w:hAnsi="Gill Sans MT"/>
          <w:i/>
        </w:rPr>
        <w:t xml:space="preserve"> </w:t>
      </w:r>
      <w:r w:rsidR="00DF191F">
        <w:rPr>
          <w:rFonts w:ascii="Gill Sans MT" w:hAnsi="Gill Sans MT"/>
        </w:rPr>
        <w:t xml:space="preserve">three members of the House of Lords (then the </w:t>
      </w:r>
      <w:r w:rsidR="00DF191F" w:rsidRPr="0007761F">
        <w:rPr>
          <w:rFonts w:ascii="Gill Sans MT" w:hAnsi="Gill Sans MT"/>
        </w:rPr>
        <w:t>UK’s highest court) questioned, obiter dicta</w:t>
      </w:r>
      <w:r w:rsidR="00CA76C4">
        <w:rPr>
          <w:rFonts w:ascii="Gill Sans MT" w:hAnsi="Gill Sans MT"/>
        </w:rPr>
        <w:t>,</w:t>
      </w:r>
      <w:r w:rsidR="00DF191F" w:rsidRPr="0007761F">
        <w:rPr>
          <w:rFonts w:ascii="Gill Sans MT" w:hAnsi="Gill Sans MT"/>
        </w:rPr>
        <w:t xml:space="preserve"> but </w:t>
      </w:r>
      <w:r w:rsidR="00E723D9" w:rsidRPr="0007761F">
        <w:rPr>
          <w:rFonts w:ascii="Gill Sans MT" w:hAnsi="Gill Sans MT"/>
        </w:rPr>
        <w:t xml:space="preserve">spectacularly and </w:t>
      </w:r>
      <w:r w:rsidR="00DF191F" w:rsidRPr="0007761F">
        <w:rPr>
          <w:rFonts w:ascii="Gill Sans MT" w:hAnsi="Gill Sans MT"/>
        </w:rPr>
        <w:t>without precedent, whether</w:t>
      </w:r>
      <w:r w:rsidR="00E723D9" w:rsidRPr="0007761F">
        <w:rPr>
          <w:rFonts w:ascii="Gill Sans MT" w:hAnsi="Gill Sans MT"/>
        </w:rPr>
        <w:t xml:space="preserve"> (in the words of Lord Steyn)</w:t>
      </w:r>
      <w:r w:rsidR="00DF191F" w:rsidRPr="0007761F">
        <w:rPr>
          <w:rFonts w:ascii="Gill Sans MT" w:hAnsi="Gill Sans MT"/>
        </w:rPr>
        <w:t xml:space="preserve"> the ‘</w:t>
      </w:r>
      <w:r w:rsidR="00E723D9" w:rsidRPr="0007761F">
        <w:rPr>
          <w:rStyle w:val="SubtleEmphasis"/>
          <w:rFonts w:ascii="Gill Sans MT" w:hAnsi="Gill Sans MT"/>
          <w:i w:val="0"/>
          <w:color w:val="auto"/>
        </w:rPr>
        <w:t xml:space="preserve">classic account given by Dicey of the doctrine of the supremacy of Parliament, pure and absolute as it was, can now be seen to be out of place in the </w:t>
      </w:r>
      <w:r w:rsidR="00E723D9" w:rsidRPr="0007761F">
        <w:rPr>
          <w:rStyle w:val="SubtleEmphasis"/>
          <w:rFonts w:ascii="Gill Sans MT" w:hAnsi="Gill Sans MT"/>
          <w:i w:val="0"/>
          <w:color w:val="auto"/>
        </w:rPr>
        <w:lastRenderedPageBreak/>
        <w:t>modern United Kingdom</w:t>
      </w:r>
      <w:r w:rsidR="00DF191F" w:rsidRPr="0007761F">
        <w:rPr>
          <w:rFonts w:ascii="Gill Sans MT" w:hAnsi="Gill Sans MT"/>
          <w:i/>
        </w:rPr>
        <w:t>’</w:t>
      </w:r>
      <w:r w:rsidR="00DF191F" w:rsidRPr="0007761F">
        <w:rPr>
          <w:rFonts w:ascii="Gill Sans MT" w:hAnsi="Gill Sans MT"/>
        </w:rPr>
        <w:t>.</w:t>
      </w:r>
      <w:r w:rsidR="00DF191F" w:rsidRPr="0007761F">
        <w:rPr>
          <w:rStyle w:val="FootnoteReference"/>
          <w:rFonts w:ascii="Gill Sans MT" w:hAnsi="Gill Sans MT"/>
        </w:rPr>
        <w:footnoteReference w:id="30"/>
      </w:r>
      <w:r w:rsidR="00DF191F" w:rsidRPr="0007761F">
        <w:rPr>
          <w:rFonts w:ascii="Gill Sans MT" w:hAnsi="Gill Sans MT"/>
        </w:rPr>
        <w:t xml:space="preserve">  </w:t>
      </w:r>
      <w:r w:rsidR="00E723D9" w:rsidRPr="0007761F">
        <w:rPr>
          <w:rFonts w:ascii="Gill Sans MT" w:hAnsi="Gill Sans MT"/>
        </w:rPr>
        <w:t>For Lord Hope,</w:t>
      </w:r>
      <w:r w:rsidR="00E723D9" w:rsidRPr="0007761F">
        <w:rPr>
          <w:rFonts w:ascii="Gill Sans MT" w:hAnsi="Gill Sans MT"/>
          <w:i/>
        </w:rPr>
        <w:t xml:space="preserve"> </w:t>
      </w:r>
      <w:r w:rsidR="00E723D9" w:rsidRPr="0007761F">
        <w:rPr>
          <w:rStyle w:val="SubtleEmphasis"/>
          <w:rFonts w:ascii="Gill Sans MT" w:hAnsi="Gill Sans MT"/>
          <w:i w:val="0"/>
          <w:color w:val="auto"/>
        </w:rPr>
        <w:t>‘parliamentary sovereignty is no longer, if it ever was, absolute’</w:t>
      </w:r>
      <w:r w:rsidR="0007761F" w:rsidRPr="0007761F">
        <w:rPr>
          <w:rStyle w:val="SubtleEmphasis"/>
          <w:rFonts w:ascii="Gill Sans MT" w:hAnsi="Gill Sans MT"/>
          <w:i w:val="0"/>
          <w:color w:val="auto"/>
        </w:rPr>
        <w:t xml:space="preserve">, </w:t>
      </w:r>
      <w:r w:rsidR="00CD4DA0">
        <w:rPr>
          <w:rStyle w:val="SubtleEmphasis"/>
          <w:rFonts w:ascii="Gill Sans MT" w:hAnsi="Gill Sans MT"/>
          <w:i w:val="0"/>
          <w:color w:val="auto"/>
        </w:rPr>
        <w:t>while</w:t>
      </w:r>
      <w:r w:rsidR="0007761F" w:rsidRPr="0007761F">
        <w:rPr>
          <w:rStyle w:val="SubtleEmphasis"/>
          <w:rFonts w:ascii="Gill Sans MT" w:hAnsi="Gill Sans MT"/>
          <w:i w:val="0"/>
          <w:color w:val="auto"/>
        </w:rPr>
        <w:t xml:space="preserve"> for Baroness Hale </w:t>
      </w:r>
      <w:r w:rsidR="00E723D9" w:rsidRPr="0007761F">
        <w:rPr>
          <w:rStyle w:val="SubtleEmphasis"/>
          <w:rFonts w:ascii="Gill Sans MT" w:hAnsi="Gill Sans MT"/>
          <w:i w:val="0"/>
          <w:color w:val="auto"/>
        </w:rPr>
        <w:t xml:space="preserve">it </w:t>
      </w:r>
      <w:r w:rsidR="00CD4DA0">
        <w:rPr>
          <w:rStyle w:val="SubtleEmphasis"/>
          <w:rFonts w:ascii="Gill Sans MT" w:hAnsi="Gill Sans MT"/>
          <w:i w:val="0"/>
          <w:color w:val="auto"/>
        </w:rPr>
        <w:t>had been</w:t>
      </w:r>
      <w:r w:rsidR="00E723D9" w:rsidRPr="0007761F">
        <w:rPr>
          <w:rStyle w:val="SubtleEmphasis"/>
          <w:rFonts w:ascii="Gill Sans MT" w:hAnsi="Gill Sans MT"/>
          <w:i w:val="0"/>
          <w:color w:val="auto"/>
        </w:rPr>
        <w:t xml:space="preserve"> ‘</w:t>
      </w:r>
      <w:r w:rsidR="00CD4DA0">
        <w:rPr>
          <w:rStyle w:val="SubtleEmphasis"/>
          <w:rFonts w:ascii="Gill Sans MT" w:hAnsi="Gill Sans MT"/>
          <w:i w:val="0"/>
          <w:color w:val="auto"/>
        </w:rPr>
        <w:t>limited’ by Parliament</w:t>
      </w:r>
      <w:r w:rsidR="0007761F" w:rsidRPr="0007761F">
        <w:rPr>
          <w:rStyle w:val="SubtleEmphasis"/>
          <w:rFonts w:ascii="Gill Sans MT" w:hAnsi="Gill Sans MT"/>
          <w:i w:val="0"/>
          <w:color w:val="auto"/>
        </w:rPr>
        <w:t xml:space="preserve">, </w:t>
      </w:r>
      <w:r w:rsidR="00CD4DA0">
        <w:rPr>
          <w:rStyle w:val="SubtleEmphasis"/>
          <w:rFonts w:ascii="Gill Sans MT" w:hAnsi="Gill Sans MT"/>
          <w:i w:val="0"/>
          <w:color w:val="auto"/>
        </w:rPr>
        <w:t>and</w:t>
      </w:r>
      <w:r w:rsidR="0007761F" w:rsidRPr="0007761F">
        <w:rPr>
          <w:rStyle w:val="SubtleEmphasis"/>
          <w:rFonts w:ascii="Gill Sans MT" w:hAnsi="Gill Sans MT"/>
          <w:i w:val="0"/>
          <w:color w:val="auto"/>
        </w:rPr>
        <w:t xml:space="preserve"> </w:t>
      </w:r>
      <w:r w:rsidR="00CD4DA0">
        <w:rPr>
          <w:rStyle w:val="SubtleEmphasis"/>
          <w:rFonts w:ascii="Gill Sans MT" w:hAnsi="Gill Sans MT"/>
          <w:i w:val="0"/>
          <w:color w:val="auto"/>
        </w:rPr>
        <w:t>‘other qualifications could emerge in due course’</w:t>
      </w:r>
      <w:r w:rsidR="0007761F" w:rsidRPr="0007761F">
        <w:rPr>
          <w:rStyle w:val="SubtleEmphasis"/>
          <w:rFonts w:ascii="Gill Sans MT" w:hAnsi="Gill Sans MT"/>
          <w:i w:val="0"/>
          <w:color w:val="auto"/>
        </w:rPr>
        <w:t xml:space="preserve">, including </w:t>
      </w:r>
      <w:r w:rsidR="00CD4DA0">
        <w:rPr>
          <w:rStyle w:val="SubtleEmphasis"/>
          <w:rFonts w:ascii="Gill Sans MT" w:hAnsi="Gill Sans MT"/>
          <w:i w:val="0"/>
          <w:color w:val="auto"/>
        </w:rPr>
        <w:t xml:space="preserve">those imposed </w:t>
      </w:r>
      <w:r w:rsidR="0007761F" w:rsidRPr="0007761F">
        <w:rPr>
          <w:rStyle w:val="SubtleEmphasis"/>
          <w:rFonts w:ascii="Gill Sans MT" w:hAnsi="Gill Sans MT"/>
          <w:i w:val="0"/>
          <w:color w:val="auto"/>
        </w:rPr>
        <w:t>by the courts in defence of the rule of law.</w:t>
      </w:r>
      <w:r w:rsidR="0007761F">
        <w:rPr>
          <w:rStyle w:val="FootnoteReference"/>
          <w:rFonts w:ascii="Gill Sans MT" w:hAnsi="Gill Sans MT"/>
          <w:iCs/>
        </w:rPr>
        <w:footnoteReference w:id="31"/>
      </w:r>
      <w:r w:rsidR="0007761F" w:rsidRPr="0007761F">
        <w:rPr>
          <w:rStyle w:val="SubtleEmphasis"/>
          <w:rFonts w:ascii="Gill Sans MT" w:hAnsi="Gill Sans MT"/>
          <w:color w:val="auto"/>
        </w:rPr>
        <w:t xml:space="preserve">  </w:t>
      </w:r>
      <w:r w:rsidR="00E723D9" w:rsidRPr="0007761F">
        <w:rPr>
          <w:rFonts w:ascii="Gill Sans MT" w:hAnsi="Gill Sans MT"/>
        </w:rPr>
        <w:t>Yet d</w:t>
      </w:r>
      <w:r w:rsidR="00DF191F" w:rsidRPr="0007761F">
        <w:rPr>
          <w:rFonts w:ascii="Gill Sans MT" w:hAnsi="Gill Sans MT"/>
        </w:rPr>
        <w:t xml:space="preserve">espite the fact that the unanimous result of the case was </w:t>
      </w:r>
      <w:r w:rsidR="00E723D9" w:rsidRPr="0007761F">
        <w:rPr>
          <w:rFonts w:ascii="Gill Sans MT" w:hAnsi="Gill Sans MT"/>
        </w:rPr>
        <w:t>a vindication of</w:t>
      </w:r>
      <w:r w:rsidR="00DF191F" w:rsidRPr="0007761F">
        <w:rPr>
          <w:rFonts w:ascii="Gill Sans MT" w:hAnsi="Gill Sans MT"/>
        </w:rPr>
        <w:t xml:space="preserve"> parliamentary sovereignty (albeit </w:t>
      </w:r>
      <w:r w:rsidR="003D083E">
        <w:rPr>
          <w:rFonts w:ascii="Gill Sans MT" w:hAnsi="Gill Sans MT"/>
        </w:rPr>
        <w:t xml:space="preserve">on </w:t>
      </w:r>
      <w:r w:rsidR="00DF191F" w:rsidRPr="0007761F">
        <w:rPr>
          <w:rFonts w:ascii="Gill Sans MT" w:hAnsi="Gill Sans MT"/>
        </w:rPr>
        <w:t xml:space="preserve">a somewhat modified understanding </w:t>
      </w:r>
      <w:r w:rsidR="00DF191F">
        <w:rPr>
          <w:rFonts w:ascii="Gill Sans MT" w:hAnsi="Gill Sans MT"/>
        </w:rPr>
        <w:t xml:space="preserve">of the </w:t>
      </w:r>
      <w:r w:rsidR="003D083E">
        <w:rPr>
          <w:rFonts w:ascii="Gill Sans MT" w:hAnsi="Gill Sans MT"/>
        </w:rPr>
        <w:t>traditional orthodoxy</w:t>
      </w:r>
      <w:r w:rsidR="003D083E">
        <w:rPr>
          <w:rStyle w:val="FootnoteReference"/>
          <w:rFonts w:ascii="Gill Sans MT" w:hAnsi="Gill Sans MT"/>
        </w:rPr>
        <w:footnoteReference w:id="32"/>
      </w:r>
      <w:r w:rsidR="00DF191F">
        <w:rPr>
          <w:rFonts w:ascii="Gill Sans MT" w:hAnsi="Gill Sans MT"/>
        </w:rPr>
        <w:t xml:space="preserve">), it is notable that </w:t>
      </w:r>
      <w:r w:rsidR="00DF191F" w:rsidRPr="00DF191F">
        <w:rPr>
          <w:rFonts w:ascii="Gill Sans MT" w:hAnsi="Gill Sans MT"/>
          <w:i/>
        </w:rPr>
        <w:t>Jackson</w:t>
      </w:r>
      <w:r w:rsidR="00DF191F">
        <w:rPr>
          <w:rFonts w:ascii="Gill Sans MT" w:hAnsi="Gill Sans MT"/>
          <w:i/>
        </w:rPr>
        <w:t xml:space="preserve"> </w:t>
      </w:r>
      <w:r w:rsidR="00DF191F">
        <w:rPr>
          <w:rFonts w:ascii="Gill Sans MT" w:hAnsi="Gill Sans MT"/>
        </w:rPr>
        <w:t>is still mainly remembered for the speculative obiter dicta of a minority of judges.  In that sense, the main legacy of the case has been to trigger a period in which attempts</w:t>
      </w:r>
      <w:r w:rsidR="007D41BE">
        <w:rPr>
          <w:rFonts w:ascii="Gill Sans MT" w:hAnsi="Gill Sans MT"/>
        </w:rPr>
        <w:t xml:space="preserve"> among the judiciary</w:t>
      </w:r>
      <w:r w:rsidR="00DF191F">
        <w:rPr>
          <w:rFonts w:ascii="Gill Sans MT" w:hAnsi="Gill Sans MT"/>
        </w:rPr>
        <w:t xml:space="preserve"> to reconsider parliamentary sovereignty have gone from fringe to mainstream, while setting a tone which invites ever more elaborate (but largely </w:t>
      </w:r>
      <w:r w:rsidR="007D41BE">
        <w:rPr>
          <w:rFonts w:ascii="Gill Sans MT" w:hAnsi="Gill Sans MT"/>
        </w:rPr>
        <w:t xml:space="preserve">introspective) judicial reflection on the parameters of constitutional principle.  In light of the renewed political salience of the idea of parliamentary sovereignty, explored in the previous section, there has also (arguably) been a counter reaction, with the doctrine reasserted in ‘eye-catching’ fashion by the decision of the Supreme Court in </w:t>
      </w:r>
      <w:r w:rsidR="007D41BE">
        <w:rPr>
          <w:rFonts w:ascii="Gill Sans MT" w:hAnsi="Gill Sans MT"/>
          <w:i/>
        </w:rPr>
        <w:t>Miller</w:t>
      </w:r>
      <w:r w:rsidR="007D41BE">
        <w:rPr>
          <w:rFonts w:ascii="Gill Sans MT" w:hAnsi="Gill Sans MT"/>
        </w:rPr>
        <w:t>.</w:t>
      </w:r>
      <w:r w:rsidR="007D41BE">
        <w:rPr>
          <w:rStyle w:val="FootnoteReference"/>
          <w:rFonts w:ascii="Gill Sans MT" w:hAnsi="Gill Sans MT"/>
        </w:rPr>
        <w:footnoteReference w:id="33"/>
      </w:r>
      <w:r w:rsidR="007D41BE">
        <w:rPr>
          <w:rFonts w:ascii="Gill Sans MT" w:hAnsi="Gill Sans MT"/>
        </w:rPr>
        <w:t xml:space="preserve">  Where this leaves us is far from clear, yet as we shall see </w:t>
      </w:r>
      <w:r w:rsidR="00F51837">
        <w:rPr>
          <w:rFonts w:ascii="Gill Sans MT" w:hAnsi="Gill Sans MT"/>
        </w:rPr>
        <w:t>below, it presents something of a paradox, with parliamentary sovereignty both challenged (inadequately) and restated (ineffectually) in recent jurisprudence of the UK courts.</w:t>
      </w:r>
    </w:p>
    <w:p w14:paraId="7AB7B3E3" w14:textId="747CF4E3" w:rsidR="00F51837" w:rsidRDefault="00F51837" w:rsidP="00EF2F3A">
      <w:pPr>
        <w:pStyle w:val="NoSpacing"/>
        <w:jc w:val="both"/>
        <w:rPr>
          <w:rFonts w:ascii="Gill Sans MT" w:hAnsi="Gill Sans MT"/>
        </w:rPr>
      </w:pPr>
    </w:p>
    <w:p w14:paraId="78CB982E" w14:textId="568067DF" w:rsidR="00F51837" w:rsidRPr="00C96365" w:rsidRDefault="00F51837" w:rsidP="00EF2F3A">
      <w:pPr>
        <w:pStyle w:val="NoSpacing"/>
        <w:jc w:val="both"/>
        <w:rPr>
          <w:rFonts w:ascii="Gill Sans MT" w:hAnsi="Gill Sans MT"/>
          <w:i/>
          <w:u w:val="single"/>
        </w:rPr>
      </w:pPr>
      <w:r w:rsidRPr="00C96365">
        <w:rPr>
          <w:rFonts w:ascii="Gill Sans MT" w:hAnsi="Gill Sans MT"/>
          <w:i/>
          <w:u w:val="single"/>
        </w:rPr>
        <w:t xml:space="preserve">Miller as an </w:t>
      </w:r>
      <w:r w:rsidR="0099100A" w:rsidRPr="00C96365">
        <w:rPr>
          <w:rFonts w:ascii="Gill Sans MT" w:hAnsi="Gill Sans MT"/>
          <w:i/>
          <w:u w:val="single"/>
        </w:rPr>
        <w:t>(</w:t>
      </w:r>
      <w:r w:rsidRPr="00C96365">
        <w:rPr>
          <w:rFonts w:ascii="Gill Sans MT" w:hAnsi="Gill Sans MT"/>
          <w:i/>
          <w:u w:val="single"/>
        </w:rPr>
        <w:t>Empty</w:t>
      </w:r>
      <w:r w:rsidR="0099100A" w:rsidRPr="00C96365">
        <w:rPr>
          <w:rFonts w:ascii="Gill Sans MT" w:hAnsi="Gill Sans MT"/>
          <w:i/>
          <w:u w:val="single"/>
        </w:rPr>
        <w:t>?)</w:t>
      </w:r>
      <w:r w:rsidRPr="00C96365">
        <w:rPr>
          <w:rFonts w:ascii="Gill Sans MT" w:hAnsi="Gill Sans MT"/>
          <w:i/>
          <w:u w:val="single"/>
        </w:rPr>
        <w:t xml:space="preserve"> Reassertion of Parliamentary Sovereignty</w:t>
      </w:r>
    </w:p>
    <w:p w14:paraId="7E243F53" w14:textId="77777777" w:rsidR="00BA6035" w:rsidRDefault="00BA6035" w:rsidP="00EF2F3A">
      <w:pPr>
        <w:pStyle w:val="NoSpacing"/>
        <w:jc w:val="both"/>
        <w:rPr>
          <w:rFonts w:ascii="Gill Sans MT" w:hAnsi="Gill Sans MT"/>
          <w:u w:val="single"/>
        </w:rPr>
      </w:pPr>
    </w:p>
    <w:p w14:paraId="20810F6C" w14:textId="77777777" w:rsidR="00BF70CB" w:rsidRDefault="00B94976" w:rsidP="004B54CE">
      <w:pPr>
        <w:pStyle w:val="NoSpacing"/>
        <w:jc w:val="both"/>
        <w:rPr>
          <w:rFonts w:ascii="Gill Sans MT" w:hAnsi="Gill Sans MT"/>
        </w:rPr>
      </w:pPr>
      <w:r>
        <w:rPr>
          <w:rFonts w:ascii="Gill Sans MT" w:hAnsi="Gill Sans MT"/>
        </w:rPr>
        <w:t>Parliament</w:t>
      </w:r>
      <w:r w:rsidR="00FB3E1C">
        <w:rPr>
          <w:rFonts w:ascii="Gill Sans MT" w:hAnsi="Gill Sans MT"/>
        </w:rPr>
        <w:t>ary sovereignty featured prominently in the case of</w:t>
      </w:r>
      <w:r w:rsidR="004B54CE" w:rsidRPr="009E5A2D">
        <w:rPr>
          <w:rFonts w:ascii="Gill Sans MT" w:hAnsi="Gill Sans MT"/>
        </w:rPr>
        <w:t xml:space="preserve"> </w:t>
      </w:r>
      <w:r w:rsidR="004B54CE" w:rsidRPr="009E5A2D">
        <w:rPr>
          <w:rFonts w:ascii="Gill Sans MT" w:hAnsi="Gill Sans MT"/>
          <w:i/>
        </w:rPr>
        <w:t xml:space="preserve">R (Miller) </w:t>
      </w:r>
      <w:r w:rsidR="004B54CE" w:rsidRPr="009E5A2D">
        <w:rPr>
          <w:rFonts w:ascii="Gill Sans MT" w:hAnsi="Gill Sans MT"/>
        </w:rPr>
        <w:t xml:space="preserve">v </w:t>
      </w:r>
      <w:r w:rsidR="004B54CE" w:rsidRPr="009E5A2D">
        <w:rPr>
          <w:rFonts w:ascii="Gill Sans MT" w:hAnsi="Gill Sans MT"/>
          <w:i/>
        </w:rPr>
        <w:t>Secretary of State for Exiting the European Union</w:t>
      </w:r>
      <w:r w:rsidR="004B54CE" w:rsidRPr="009E5A2D">
        <w:rPr>
          <w:rFonts w:ascii="Gill Sans MT" w:hAnsi="Gill Sans MT"/>
        </w:rPr>
        <w:t>,</w:t>
      </w:r>
      <w:r w:rsidR="004B54CE">
        <w:rPr>
          <w:rStyle w:val="FootnoteReference"/>
          <w:rFonts w:ascii="Gill Sans MT" w:hAnsi="Gill Sans MT"/>
        </w:rPr>
        <w:footnoteReference w:id="34"/>
      </w:r>
      <w:r w:rsidR="004B54CE">
        <w:rPr>
          <w:rFonts w:ascii="Gill Sans MT" w:hAnsi="Gill Sans MT"/>
        </w:rPr>
        <w:t xml:space="preserve"> the high-</w:t>
      </w:r>
      <w:r w:rsidR="004B54CE" w:rsidRPr="009E5A2D">
        <w:rPr>
          <w:rFonts w:ascii="Gill Sans MT" w:hAnsi="Gill Sans MT"/>
        </w:rPr>
        <w:t xml:space="preserve">profile litigation concerning the domestic </w:t>
      </w:r>
      <w:r w:rsidR="00FB3E1C">
        <w:rPr>
          <w:rFonts w:ascii="Gill Sans MT" w:hAnsi="Gill Sans MT"/>
        </w:rPr>
        <w:t>‘</w:t>
      </w:r>
      <w:r w:rsidR="004B54CE" w:rsidRPr="009E5A2D">
        <w:rPr>
          <w:rFonts w:ascii="Gill Sans MT" w:hAnsi="Gill Sans MT"/>
        </w:rPr>
        <w:t>constitutional requirements</w:t>
      </w:r>
      <w:r w:rsidR="00FB3E1C">
        <w:rPr>
          <w:rFonts w:ascii="Gill Sans MT" w:hAnsi="Gill Sans MT"/>
        </w:rPr>
        <w:t>’</w:t>
      </w:r>
      <w:r w:rsidR="004B54CE" w:rsidRPr="009E5A2D">
        <w:rPr>
          <w:rFonts w:ascii="Gill Sans MT" w:hAnsi="Gill Sans MT"/>
        </w:rPr>
        <w:t xml:space="preserve"> for the UK to provide</w:t>
      </w:r>
      <w:r w:rsidR="004B54CE">
        <w:rPr>
          <w:rFonts w:ascii="Gill Sans MT" w:hAnsi="Gill Sans MT"/>
        </w:rPr>
        <w:t xml:space="preserve"> notice of an intention to withdraw from the EU</w:t>
      </w:r>
      <w:r w:rsidR="00FB3E1C">
        <w:rPr>
          <w:rFonts w:ascii="Gill Sans MT" w:hAnsi="Gill Sans MT"/>
        </w:rPr>
        <w:t>.  This was required</w:t>
      </w:r>
      <w:r w:rsidR="004B54CE">
        <w:rPr>
          <w:rFonts w:ascii="Gill Sans MT" w:hAnsi="Gill Sans MT"/>
        </w:rPr>
        <w:t xml:space="preserve"> for the purposes of beginning</w:t>
      </w:r>
      <w:r w:rsidR="00FB3E1C">
        <w:rPr>
          <w:rFonts w:ascii="Gill Sans MT" w:hAnsi="Gill Sans MT"/>
        </w:rPr>
        <w:t xml:space="preserve"> withdrawal</w:t>
      </w:r>
      <w:r w:rsidR="004B54CE">
        <w:rPr>
          <w:rFonts w:ascii="Gill Sans MT" w:hAnsi="Gill Sans MT"/>
        </w:rPr>
        <w:t xml:space="preserve"> negotiations</w:t>
      </w:r>
      <w:r w:rsidR="00FB3E1C">
        <w:rPr>
          <w:rFonts w:ascii="Gill Sans MT" w:hAnsi="Gill Sans MT"/>
        </w:rPr>
        <w:t xml:space="preserve"> with the remaining</w:t>
      </w:r>
      <w:r w:rsidR="004B54CE">
        <w:rPr>
          <w:rFonts w:ascii="Gill Sans MT" w:hAnsi="Gill Sans MT"/>
        </w:rPr>
        <w:t xml:space="preserve"> </w:t>
      </w:r>
      <w:r w:rsidR="00FB3E1C">
        <w:rPr>
          <w:rFonts w:ascii="Gill Sans MT" w:hAnsi="Gill Sans MT"/>
        </w:rPr>
        <w:t xml:space="preserve">27 EU Members States in accordance with </w:t>
      </w:r>
      <w:r w:rsidR="004B54CE">
        <w:rPr>
          <w:rFonts w:ascii="Gill Sans MT" w:hAnsi="Gill Sans MT"/>
        </w:rPr>
        <w:t>Article 50 of the Treaty on European Union</w:t>
      </w:r>
      <w:r w:rsidR="00FB3E1C">
        <w:rPr>
          <w:rFonts w:ascii="Gill Sans MT" w:hAnsi="Gill Sans MT"/>
        </w:rPr>
        <w:t xml:space="preserve"> (TEU)</w:t>
      </w:r>
      <w:r w:rsidR="004B54CE">
        <w:rPr>
          <w:rFonts w:ascii="Gill Sans MT" w:hAnsi="Gill Sans MT"/>
        </w:rPr>
        <w:t xml:space="preserve">.  </w:t>
      </w:r>
      <w:r w:rsidR="00FB3E1C">
        <w:rPr>
          <w:rFonts w:ascii="Gill Sans MT" w:hAnsi="Gill Sans MT"/>
        </w:rPr>
        <w:t>Crucially, Article 50 established a process for negotiated withdrawal by which, once notification was given, exit would occur automatically after a period of two years, in the absence of a withdrawal agreement or a time extension to the talks (the latter subject to the unanimous agreement of the European Council).</w:t>
      </w:r>
      <w:r w:rsidR="00FB3E1C">
        <w:rPr>
          <w:rStyle w:val="FootnoteReference"/>
          <w:rFonts w:ascii="Gill Sans MT" w:hAnsi="Gill Sans MT"/>
        </w:rPr>
        <w:footnoteReference w:id="35"/>
      </w:r>
      <w:r w:rsidR="00FB3E1C">
        <w:rPr>
          <w:rFonts w:ascii="Gill Sans MT" w:hAnsi="Gill Sans MT"/>
        </w:rPr>
        <w:t xml:space="preserve">  Following the referendum, the UK government proposed</w:t>
      </w:r>
      <w:r w:rsidR="00AB6192">
        <w:rPr>
          <w:rFonts w:ascii="Gill Sans MT" w:hAnsi="Gill Sans MT"/>
        </w:rPr>
        <w:t xml:space="preserve">, first, that it was entitled </w:t>
      </w:r>
      <w:r w:rsidR="00FB3E1C">
        <w:rPr>
          <w:rFonts w:ascii="Gill Sans MT" w:hAnsi="Gill Sans MT"/>
        </w:rPr>
        <w:t>to provide notice of withdrawal to the European Council using its broad executive powers to conduct international relations and foreign affairs under the royal prerogative</w:t>
      </w:r>
      <w:r w:rsidR="00AB6192">
        <w:rPr>
          <w:rFonts w:ascii="Gill Sans MT" w:hAnsi="Gill Sans MT"/>
        </w:rPr>
        <w:t>; and second, that it was entitled to do so without seeking the explicit consent of the devolved legislatures in Scotland, Wales and Northern Ireland.</w:t>
      </w:r>
    </w:p>
    <w:p w14:paraId="56724453" w14:textId="395A355B" w:rsidR="00FB3E1C" w:rsidRDefault="00AB6192" w:rsidP="00BF70CB">
      <w:pPr>
        <w:pStyle w:val="NoSpacing"/>
        <w:ind w:firstLine="720"/>
        <w:jc w:val="both"/>
        <w:rPr>
          <w:rFonts w:ascii="Gill Sans MT" w:hAnsi="Gill Sans MT"/>
        </w:rPr>
      </w:pPr>
      <w:r>
        <w:rPr>
          <w:rFonts w:ascii="Gill Sans MT" w:hAnsi="Gill Sans MT"/>
        </w:rPr>
        <w:t xml:space="preserve">On the first point, the applicants argued that, given the possibility of automatic withdrawal under Art 50, </w:t>
      </w:r>
      <w:r w:rsidR="00D84903">
        <w:rPr>
          <w:rFonts w:ascii="Gill Sans MT" w:hAnsi="Gill Sans MT"/>
        </w:rPr>
        <w:t>the very fact of issuing</w:t>
      </w:r>
      <w:r>
        <w:rPr>
          <w:rFonts w:ascii="Gill Sans MT" w:hAnsi="Gill Sans MT"/>
        </w:rPr>
        <w:t xml:space="preserve"> notification of withdrawal could potentially remove rights established by an Act of Parliament – the European Communities Act 1972</w:t>
      </w:r>
      <w:r w:rsidR="006302BC">
        <w:rPr>
          <w:rFonts w:ascii="Gill Sans MT" w:hAnsi="Gill Sans MT"/>
        </w:rPr>
        <w:t xml:space="preserve"> (ECA 1972)</w:t>
      </w:r>
      <w:r>
        <w:rPr>
          <w:rFonts w:ascii="Gill Sans MT" w:hAnsi="Gill Sans MT"/>
        </w:rPr>
        <w:t>, which supplied the framework through which EU law could have direct effect within the UK legal system.</w:t>
      </w:r>
      <w:r w:rsidR="00D84903">
        <w:rPr>
          <w:rStyle w:val="FootnoteReference"/>
          <w:rFonts w:ascii="Gill Sans MT" w:hAnsi="Gill Sans MT"/>
        </w:rPr>
        <w:footnoteReference w:id="36"/>
      </w:r>
      <w:r>
        <w:rPr>
          <w:rFonts w:ascii="Gill Sans MT" w:hAnsi="Gill Sans MT"/>
        </w:rPr>
        <w:t xml:space="preserve">  As such, </w:t>
      </w:r>
      <w:r w:rsidR="00413974">
        <w:rPr>
          <w:rFonts w:ascii="Gill Sans MT" w:hAnsi="Gill Sans MT"/>
        </w:rPr>
        <w:t xml:space="preserve">only an Act of Parliament would be sufficient to authorise the government </w:t>
      </w:r>
      <w:r w:rsidR="0061234A">
        <w:rPr>
          <w:rFonts w:ascii="Gill Sans MT" w:hAnsi="Gill Sans MT"/>
        </w:rPr>
        <w:t>to issue</w:t>
      </w:r>
      <w:r w:rsidR="00413974">
        <w:rPr>
          <w:rFonts w:ascii="Gill Sans MT" w:hAnsi="Gill Sans MT"/>
        </w:rPr>
        <w:t xml:space="preserve"> a notification which could, without more, undercut statutory rights – the royal prerogative powers could not be used for this purpose,</w:t>
      </w:r>
      <w:r w:rsidR="0061234A">
        <w:rPr>
          <w:rFonts w:ascii="Gill Sans MT" w:hAnsi="Gill Sans MT"/>
        </w:rPr>
        <w:t xml:space="preserve"> for to do so would pose an</w:t>
      </w:r>
      <w:r w:rsidR="00413974">
        <w:rPr>
          <w:rFonts w:ascii="Gill Sans MT" w:hAnsi="Gill Sans MT"/>
        </w:rPr>
        <w:t xml:space="preserve"> </w:t>
      </w:r>
      <w:r w:rsidR="0061234A">
        <w:rPr>
          <w:rFonts w:ascii="Gill Sans MT" w:hAnsi="Gill Sans MT"/>
        </w:rPr>
        <w:t xml:space="preserve">indirect </w:t>
      </w:r>
      <w:r w:rsidR="00413974">
        <w:rPr>
          <w:rFonts w:ascii="Gill Sans MT" w:hAnsi="Gill Sans MT"/>
        </w:rPr>
        <w:t>challeng</w:t>
      </w:r>
      <w:r w:rsidR="0061234A">
        <w:rPr>
          <w:rFonts w:ascii="Gill Sans MT" w:hAnsi="Gill Sans MT"/>
        </w:rPr>
        <w:t>e to</w:t>
      </w:r>
      <w:r w:rsidR="00413974">
        <w:rPr>
          <w:rFonts w:ascii="Gill Sans MT" w:hAnsi="Gill Sans MT"/>
        </w:rPr>
        <w:t xml:space="preserve"> primary legislation.  On the second point, the applicants</w:t>
      </w:r>
      <w:r w:rsidR="0061234A">
        <w:rPr>
          <w:rFonts w:ascii="Gill Sans MT" w:hAnsi="Gill Sans MT"/>
        </w:rPr>
        <w:t xml:space="preserve"> contended</w:t>
      </w:r>
      <w:r w:rsidR="003A6FC3">
        <w:rPr>
          <w:rFonts w:ascii="Gill Sans MT" w:hAnsi="Gill Sans MT"/>
        </w:rPr>
        <w:t xml:space="preserve"> that if an Act of Parliament was required, it would be subject to the </w:t>
      </w:r>
      <w:r w:rsidR="003A6FC3">
        <w:rPr>
          <w:rFonts w:ascii="Gill Sans MT" w:hAnsi="Gill Sans MT"/>
        </w:rPr>
        <w:lastRenderedPageBreak/>
        <w:t>consent of the devolved legislatures, in accordance with the Sewel convention, which had recently been ‘recognised’ in statute,</w:t>
      </w:r>
      <w:r w:rsidR="003A6FC3">
        <w:rPr>
          <w:rStyle w:val="FootnoteReference"/>
          <w:rFonts w:ascii="Gill Sans MT" w:hAnsi="Gill Sans MT"/>
        </w:rPr>
        <w:footnoteReference w:id="37"/>
      </w:r>
      <w:r w:rsidR="003A6FC3">
        <w:rPr>
          <w:rFonts w:ascii="Gill Sans MT" w:hAnsi="Gill Sans MT"/>
        </w:rPr>
        <w:t xml:space="preserve"> and was applicable to UK primary legislation which altered devolved competence.</w:t>
      </w:r>
      <w:r w:rsidR="0012478F">
        <w:rPr>
          <w:rStyle w:val="FootnoteReference"/>
          <w:rFonts w:ascii="Gill Sans MT" w:hAnsi="Gill Sans MT"/>
        </w:rPr>
        <w:footnoteReference w:id="38"/>
      </w:r>
      <w:r w:rsidR="003A6FC3">
        <w:rPr>
          <w:rFonts w:ascii="Gill Sans MT" w:hAnsi="Gill Sans MT"/>
        </w:rPr>
        <w:t xml:space="preserve">  In this </w:t>
      </w:r>
      <w:r w:rsidR="00BF70A1">
        <w:rPr>
          <w:rFonts w:ascii="Gill Sans MT" w:hAnsi="Gill Sans MT"/>
        </w:rPr>
        <w:t xml:space="preserve">particular </w:t>
      </w:r>
      <w:r w:rsidR="003A6FC3">
        <w:rPr>
          <w:rFonts w:ascii="Gill Sans MT" w:hAnsi="Gill Sans MT"/>
        </w:rPr>
        <w:t xml:space="preserve">case, it was argued that the possibility of automatic withdrawal following the Article 50 notification </w:t>
      </w:r>
      <w:r w:rsidR="002B6CFC">
        <w:rPr>
          <w:rFonts w:ascii="Gill Sans MT" w:hAnsi="Gill Sans MT"/>
        </w:rPr>
        <w:t>w</w:t>
      </w:r>
      <w:r w:rsidR="003A6FC3">
        <w:rPr>
          <w:rFonts w:ascii="Gill Sans MT" w:hAnsi="Gill Sans MT"/>
        </w:rPr>
        <w:t xml:space="preserve">ould alter the powers of the EU institutions, and </w:t>
      </w:r>
      <w:r w:rsidR="00C67A1B">
        <w:rPr>
          <w:rFonts w:ascii="Gill Sans MT" w:hAnsi="Gill Sans MT"/>
        </w:rPr>
        <w:t>thereby</w:t>
      </w:r>
      <w:r w:rsidR="003A6FC3">
        <w:rPr>
          <w:rFonts w:ascii="Gill Sans MT" w:hAnsi="Gill Sans MT"/>
        </w:rPr>
        <w:t xml:space="preserve"> indirectly impact on the devolved institutions, which were all prohibited </w:t>
      </w:r>
      <w:r w:rsidR="00BF70A1">
        <w:rPr>
          <w:rFonts w:ascii="Gill Sans MT" w:hAnsi="Gill Sans MT"/>
        </w:rPr>
        <w:t xml:space="preserve">by statute </w:t>
      </w:r>
      <w:r w:rsidR="003A6FC3">
        <w:rPr>
          <w:rFonts w:ascii="Gill Sans MT" w:hAnsi="Gill Sans MT"/>
        </w:rPr>
        <w:t>from acting contrary to EU law.</w:t>
      </w:r>
      <w:r w:rsidR="0012478F">
        <w:rPr>
          <w:rStyle w:val="FootnoteReference"/>
          <w:rFonts w:ascii="Gill Sans MT" w:hAnsi="Gill Sans MT"/>
        </w:rPr>
        <w:footnoteReference w:id="39"/>
      </w:r>
    </w:p>
    <w:p w14:paraId="616ED319" w14:textId="0B36AA26" w:rsidR="008E07CA" w:rsidRDefault="00BF70A1" w:rsidP="008E07CA">
      <w:pPr>
        <w:pStyle w:val="NoSpacing"/>
        <w:jc w:val="both"/>
        <w:rPr>
          <w:rFonts w:ascii="Gill Sans MT" w:hAnsi="Gill Sans MT"/>
        </w:rPr>
      </w:pPr>
      <w:r>
        <w:rPr>
          <w:rFonts w:ascii="Gill Sans MT" w:hAnsi="Gill Sans MT"/>
        </w:rPr>
        <w:tab/>
        <w:t xml:space="preserve">The appeal to the Supreme Court was the result of two joined appeals.  First, in the case of </w:t>
      </w:r>
      <w:r>
        <w:rPr>
          <w:rFonts w:ascii="Gill Sans MT" w:hAnsi="Gill Sans MT"/>
          <w:i/>
        </w:rPr>
        <w:t>Re McCord</w:t>
      </w:r>
      <w:r>
        <w:rPr>
          <w:rFonts w:ascii="Gill Sans MT" w:hAnsi="Gill Sans MT"/>
        </w:rPr>
        <w:t>,</w:t>
      </w:r>
      <w:r w:rsidRPr="00BF70A1">
        <w:rPr>
          <w:rStyle w:val="FootnoteReference"/>
          <w:rFonts w:ascii="Gill Sans MT" w:hAnsi="Gill Sans MT"/>
        </w:rPr>
        <w:footnoteReference w:id="40"/>
      </w:r>
      <w:r>
        <w:rPr>
          <w:rFonts w:ascii="Gill Sans MT" w:hAnsi="Gill Sans MT"/>
        </w:rPr>
        <w:t xml:space="preserve"> the</w:t>
      </w:r>
      <w:r w:rsidRPr="00BF70A1">
        <w:rPr>
          <w:rFonts w:ascii="Gill Sans MT" w:hAnsi="Gill Sans MT"/>
        </w:rPr>
        <w:t xml:space="preserve"> </w:t>
      </w:r>
      <w:r>
        <w:rPr>
          <w:rFonts w:ascii="Gill Sans MT" w:hAnsi="Gill Sans MT"/>
        </w:rPr>
        <w:t xml:space="preserve">High Court of Northern Ireland </w:t>
      </w:r>
      <w:r w:rsidR="00095C9E">
        <w:rPr>
          <w:rFonts w:ascii="Gill Sans MT" w:hAnsi="Gill Sans MT"/>
        </w:rPr>
        <w:t>concluded</w:t>
      </w:r>
      <w:r>
        <w:rPr>
          <w:rFonts w:ascii="Gill Sans MT" w:hAnsi="Gill Sans MT"/>
        </w:rPr>
        <w:t xml:space="preserve"> that a new Act of Parliament was not required to authorise the Article 50 notice, </w:t>
      </w:r>
      <w:r w:rsidR="00936DF7">
        <w:rPr>
          <w:rFonts w:ascii="Gill Sans MT" w:hAnsi="Gill Sans MT"/>
        </w:rPr>
        <w:t>for the royal prerogative power to provide this had not been displaced, and the notification would, in any event, have no immediate legal consequences on existing statutory rights.</w:t>
      </w:r>
      <w:r w:rsidR="00F5681A">
        <w:rPr>
          <w:rStyle w:val="FootnoteReference"/>
          <w:rFonts w:ascii="Gill Sans MT" w:hAnsi="Gill Sans MT"/>
        </w:rPr>
        <w:footnoteReference w:id="41"/>
      </w:r>
      <w:r w:rsidR="00936DF7">
        <w:rPr>
          <w:rFonts w:ascii="Gill Sans MT" w:hAnsi="Gill Sans MT"/>
        </w:rPr>
        <w:t xml:space="preserve">  Maguire J further held that </w:t>
      </w:r>
      <w:r>
        <w:rPr>
          <w:rFonts w:ascii="Gill Sans MT" w:hAnsi="Gill Sans MT"/>
        </w:rPr>
        <w:t xml:space="preserve">the consent of the devolved institutions </w:t>
      </w:r>
      <w:r w:rsidR="00936DF7">
        <w:rPr>
          <w:rFonts w:ascii="Gill Sans MT" w:hAnsi="Gill Sans MT"/>
        </w:rPr>
        <w:t xml:space="preserve">would not be necessary as any Article 50 legislation would not relate to devolved matters – </w:t>
      </w:r>
      <w:r w:rsidR="00095C9E">
        <w:rPr>
          <w:rFonts w:ascii="Gill Sans MT" w:hAnsi="Gill Sans MT"/>
        </w:rPr>
        <w:t>and, furthermore,</w:t>
      </w:r>
      <w:r w:rsidR="00936DF7">
        <w:rPr>
          <w:rFonts w:ascii="Gill Sans MT" w:hAnsi="Gill Sans MT"/>
        </w:rPr>
        <w:t xml:space="preserve"> even if consent requirements were engaged, it would only be as a matter of constitutional convention, and therefore not legally enforceable in the courts</w:t>
      </w:r>
      <w:r>
        <w:rPr>
          <w:rFonts w:ascii="Gill Sans MT" w:hAnsi="Gill Sans MT"/>
        </w:rPr>
        <w:t>.</w:t>
      </w:r>
      <w:r w:rsidR="00F5681A">
        <w:rPr>
          <w:rStyle w:val="FootnoteReference"/>
          <w:rFonts w:ascii="Gill Sans MT" w:hAnsi="Gill Sans MT"/>
        </w:rPr>
        <w:footnoteReference w:id="42"/>
      </w:r>
      <w:r w:rsidR="008E07CA">
        <w:rPr>
          <w:rFonts w:ascii="Gill Sans MT" w:hAnsi="Gill Sans MT"/>
        </w:rPr>
        <w:t xml:space="preserve">  </w:t>
      </w:r>
      <w:r w:rsidR="00BF70CB">
        <w:rPr>
          <w:rFonts w:ascii="Gill Sans MT" w:hAnsi="Gill Sans MT"/>
        </w:rPr>
        <w:t xml:space="preserve">Second, in </w:t>
      </w:r>
      <w:r w:rsidR="00095C9E">
        <w:rPr>
          <w:rFonts w:ascii="Gill Sans MT" w:hAnsi="Gill Sans MT"/>
          <w:i/>
        </w:rPr>
        <w:t>R (</w:t>
      </w:r>
      <w:r w:rsidR="002F2251">
        <w:rPr>
          <w:rFonts w:ascii="Gill Sans MT" w:hAnsi="Gill Sans MT"/>
          <w:i/>
        </w:rPr>
        <w:t>Miller</w:t>
      </w:r>
      <w:r w:rsidR="00095C9E">
        <w:rPr>
          <w:rFonts w:ascii="Gill Sans MT" w:hAnsi="Gill Sans MT"/>
          <w:i/>
        </w:rPr>
        <w:t>) v Secretary of State for Exiting the EU</w:t>
      </w:r>
      <w:r w:rsidR="002F2251" w:rsidRPr="00095C9E">
        <w:rPr>
          <w:rStyle w:val="FootnoteReference"/>
          <w:rFonts w:ascii="Gill Sans MT" w:hAnsi="Gill Sans MT"/>
        </w:rPr>
        <w:footnoteReference w:id="43"/>
      </w:r>
      <w:r w:rsidR="002F2251">
        <w:rPr>
          <w:rFonts w:ascii="Gill Sans MT" w:hAnsi="Gill Sans MT"/>
          <w:i/>
        </w:rPr>
        <w:t xml:space="preserve"> </w:t>
      </w:r>
      <w:r w:rsidR="002F2251">
        <w:rPr>
          <w:rFonts w:ascii="Gill Sans MT" w:hAnsi="Gill Sans MT"/>
        </w:rPr>
        <w:t xml:space="preserve">in </w:t>
      </w:r>
      <w:r w:rsidR="00BF70CB">
        <w:rPr>
          <w:rFonts w:ascii="Gill Sans MT" w:hAnsi="Gill Sans MT"/>
        </w:rPr>
        <w:t>the High Court of England and Wales, t</w:t>
      </w:r>
      <w:r w:rsidR="004B54CE">
        <w:rPr>
          <w:rFonts w:ascii="Gill Sans MT" w:hAnsi="Gill Sans MT"/>
        </w:rPr>
        <w:t xml:space="preserve">he Divisional Court </w:t>
      </w:r>
      <w:r w:rsidR="00095C9E">
        <w:rPr>
          <w:rFonts w:ascii="Gill Sans MT" w:hAnsi="Gill Sans MT"/>
        </w:rPr>
        <w:t>reached a contrary conclusion on the first point,</w:t>
      </w:r>
      <w:r w:rsidR="00C227AE">
        <w:rPr>
          <w:rFonts w:ascii="Gill Sans MT" w:hAnsi="Gill Sans MT"/>
        </w:rPr>
        <w:t xml:space="preserve"> </w:t>
      </w:r>
      <w:r w:rsidR="00095C9E">
        <w:rPr>
          <w:rFonts w:ascii="Gill Sans MT" w:hAnsi="Gill Sans MT"/>
        </w:rPr>
        <w:t xml:space="preserve">but was not asked to consider the second.  The court </w:t>
      </w:r>
      <w:r w:rsidR="004B54CE">
        <w:rPr>
          <w:rFonts w:ascii="Gill Sans MT" w:hAnsi="Gill Sans MT"/>
        </w:rPr>
        <w:t xml:space="preserve">held that executive powers to conduct international relations and foreign affairs under the royal prerogative were not </w:t>
      </w:r>
      <w:proofErr w:type="gramStart"/>
      <w:r w:rsidR="004B54CE">
        <w:rPr>
          <w:rFonts w:ascii="Gill Sans MT" w:hAnsi="Gill Sans MT"/>
        </w:rPr>
        <w:t>sufficient</w:t>
      </w:r>
      <w:proofErr w:type="gramEnd"/>
      <w:r w:rsidR="004B54CE">
        <w:rPr>
          <w:rFonts w:ascii="Gill Sans MT" w:hAnsi="Gill Sans MT"/>
        </w:rPr>
        <w:t xml:space="preserve"> to trigger Article 50, given the potential domestic </w:t>
      </w:r>
      <w:r w:rsidR="00EF342C">
        <w:rPr>
          <w:rFonts w:ascii="Gill Sans MT" w:hAnsi="Gill Sans MT"/>
        </w:rPr>
        <w:t>impact</w:t>
      </w:r>
      <w:r w:rsidR="004B54CE">
        <w:rPr>
          <w:rFonts w:ascii="Gill Sans MT" w:hAnsi="Gill Sans MT"/>
        </w:rPr>
        <w:t xml:space="preserve"> of exiting the EU </w:t>
      </w:r>
      <w:r w:rsidR="006302BC">
        <w:rPr>
          <w:rFonts w:ascii="Gill Sans MT" w:hAnsi="Gill Sans MT"/>
        </w:rPr>
        <w:t xml:space="preserve">on domestic rights made effective by the ECA 1972.  Instead, the judgment of the Lord Thomas LCJ, Sir Terence </w:t>
      </w:r>
      <w:proofErr w:type="spellStart"/>
      <w:r w:rsidR="006302BC">
        <w:rPr>
          <w:rFonts w:ascii="Gill Sans MT" w:hAnsi="Gill Sans MT"/>
        </w:rPr>
        <w:t>Etherton</w:t>
      </w:r>
      <w:proofErr w:type="spellEnd"/>
      <w:r w:rsidR="006302BC">
        <w:rPr>
          <w:rFonts w:ascii="Gill Sans MT" w:hAnsi="Gill Sans MT"/>
        </w:rPr>
        <w:t xml:space="preserve"> MR, and Sales LJ concluded that the ECA 1972 was to be interpreted as a ‘constitutional statute’, and against a background of constitutional principle </w:t>
      </w:r>
      <w:r w:rsidR="006302BC" w:rsidRPr="006302BC">
        <w:rPr>
          <w:rFonts w:ascii="Gill Sans MT" w:hAnsi="Gill Sans MT"/>
        </w:rPr>
        <w:t>which indicated that the royal prerogative could not be used to alter domestic law.</w:t>
      </w:r>
      <w:r w:rsidR="006302BC" w:rsidRPr="006302BC">
        <w:rPr>
          <w:rStyle w:val="FootnoteReference"/>
          <w:rFonts w:ascii="Gill Sans MT" w:hAnsi="Gill Sans MT"/>
        </w:rPr>
        <w:footnoteReference w:id="44"/>
      </w:r>
      <w:r w:rsidR="006302BC" w:rsidRPr="006302BC">
        <w:rPr>
          <w:rFonts w:ascii="Gill Sans MT" w:hAnsi="Gill Sans MT"/>
        </w:rPr>
        <w:t xml:space="preserve">  From this perspective, </w:t>
      </w:r>
      <w:r w:rsidR="006302BC" w:rsidRPr="006302BC">
        <w:rPr>
          <w:rFonts w:ascii="Gill Sans MT" w:hAnsi="Gill Sans MT"/>
          <w:shd w:val="clear" w:color="auto" w:fill="FFFFFF"/>
        </w:rPr>
        <w:t xml:space="preserve">it </w:t>
      </w:r>
      <w:r w:rsidR="006302BC">
        <w:rPr>
          <w:rFonts w:ascii="Gill Sans MT" w:hAnsi="Gill Sans MT"/>
          <w:shd w:val="clear" w:color="auto" w:fill="FFFFFF"/>
        </w:rPr>
        <w:t>was</w:t>
      </w:r>
      <w:r w:rsidR="006302BC" w:rsidRPr="006302BC">
        <w:rPr>
          <w:rFonts w:ascii="Gill Sans MT" w:hAnsi="Gill Sans MT"/>
          <w:shd w:val="clear" w:color="auto" w:fill="FFFFFF"/>
        </w:rPr>
        <w:t xml:space="preserve"> </w:t>
      </w:r>
      <w:r w:rsidR="006302BC">
        <w:rPr>
          <w:rFonts w:ascii="Gill Sans MT" w:hAnsi="Gill Sans MT"/>
          <w:shd w:val="clear" w:color="auto" w:fill="FFFFFF"/>
        </w:rPr>
        <w:t>‘</w:t>
      </w:r>
      <w:r w:rsidR="006302BC" w:rsidRPr="006302BC">
        <w:rPr>
          <w:rFonts w:ascii="Gill Sans MT" w:hAnsi="Gill Sans MT"/>
          <w:shd w:val="clear" w:color="auto" w:fill="FFFFFF"/>
        </w:rPr>
        <w:t xml:space="preserve">not plausible to suppose that </w:t>
      </w:r>
      <w:r w:rsidR="006302BC">
        <w:rPr>
          <w:rFonts w:ascii="Gill Sans MT" w:hAnsi="Gill Sans MT"/>
          <w:shd w:val="clear" w:color="auto" w:fill="FFFFFF"/>
        </w:rPr>
        <w:t>[Parliament]</w:t>
      </w:r>
      <w:r w:rsidR="006302BC" w:rsidRPr="006302BC">
        <w:rPr>
          <w:rFonts w:ascii="Gill Sans MT" w:hAnsi="Gill Sans MT"/>
          <w:shd w:val="clear" w:color="auto" w:fill="FFFFFF"/>
        </w:rPr>
        <w:t xml:space="preserve"> intended that the Crown should be able by its own unilateral action</w:t>
      </w:r>
      <w:r w:rsidR="006302BC" w:rsidRPr="006302BC">
        <w:rPr>
          <w:rFonts w:ascii="Gill Sans MT" w:hAnsi="Gill Sans MT"/>
        </w:rPr>
        <w:t xml:space="preserve"> </w:t>
      </w:r>
      <w:r w:rsidR="006302BC">
        <w:rPr>
          <w:rFonts w:ascii="Gill Sans MT" w:hAnsi="Gill Sans MT"/>
        </w:rPr>
        <w:t>under its prerogative powers’ to remove the direct effects of EU law from the UK legal system</w:t>
      </w:r>
      <w:r w:rsidR="004B54CE">
        <w:rPr>
          <w:rFonts w:ascii="Gill Sans MT" w:hAnsi="Gill Sans MT"/>
        </w:rPr>
        <w:t>, and fresh primary legislative authorisation was required.</w:t>
      </w:r>
      <w:r w:rsidR="004B54CE">
        <w:rPr>
          <w:rStyle w:val="FootnoteReference"/>
          <w:rFonts w:ascii="Gill Sans MT" w:hAnsi="Gill Sans MT"/>
        </w:rPr>
        <w:footnoteReference w:id="45"/>
      </w:r>
    </w:p>
    <w:p w14:paraId="214E6D9C" w14:textId="5661BF9C" w:rsidR="008E07CA" w:rsidRDefault="0043188B" w:rsidP="008E07CA">
      <w:pPr>
        <w:pStyle w:val="NoSpacing"/>
        <w:jc w:val="both"/>
        <w:rPr>
          <w:rFonts w:ascii="Gill Sans MT" w:hAnsi="Gill Sans MT"/>
        </w:rPr>
      </w:pPr>
      <w:r>
        <w:rPr>
          <w:rFonts w:ascii="Gill Sans MT" w:hAnsi="Gill Sans MT"/>
        </w:rPr>
        <w:tab/>
        <w:t xml:space="preserve">The </w:t>
      </w:r>
      <w:r w:rsidR="00EE7941">
        <w:rPr>
          <w:rFonts w:ascii="Gill Sans MT" w:hAnsi="Gill Sans MT"/>
        </w:rPr>
        <w:t xml:space="preserve">implications of the </w:t>
      </w:r>
      <w:r>
        <w:rPr>
          <w:rFonts w:ascii="Gill Sans MT" w:hAnsi="Gill Sans MT"/>
        </w:rPr>
        <w:t xml:space="preserve">doctrine of parliamentary sovereignty </w:t>
      </w:r>
      <w:r w:rsidR="00D1456A">
        <w:rPr>
          <w:rFonts w:ascii="Gill Sans MT" w:hAnsi="Gill Sans MT"/>
        </w:rPr>
        <w:t>were</w:t>
      </w:r>
      <w:r>
        <w:rPr>
          <w:rFonts w:ascii="Gill Sans MT" w:hAnsi="Gill Sans MT"/>
        </w:rPr>
        <w:t xml:space="preserve"> </w:t>
      </w:r>
      <w:r w:rsidR="00EE7941">
        <w:rPr>
          <w:rFonts w:ascii="Gill Sans MT" w:hAnsi="Gill Sans MT"/>
        </w:rPr>
        <w:t xml:space="preserve">a central point of these appeals.  Parliamentary sovereignty was discussed sparingly in </w:t>
      </w:r>
      <w:r w:rsidR="00EE7941">
        <w:rPr>
          <w:rFonts w:ascii="Gill Sans MT" w:hAnsi="Gill Sans MT"/>
          <w:i/>
        </w:rPr>
        <w:t>Re McCord</w:t>
      </w:r>
      <w:r w:rsidR="00EE7941">
        <w:rPr>
          <w:rFonts w:ascii="Gill Sans MT" w:hAnsi="Gill Sans MT"/>
        </w:rPr>
        <w:t xml:space="preserve"> – while Maguire J adopted a formalistic approach to the interpretation of statutes (an interpretive approach traditionally associated with </w:t>
      </w:r>
      <w:r w:rsidR="00EE7941" w:rsidRPr="00D1456A">
        <w:rPr>
          <w:rFonts w:ascii="Gill Sans MT" w:hAnsi="Gill Sans MT"/>
        </w:rPr>
        <w:t xml:space="preserve">ensuring the literal intention of Parliament is found and legally applied), his judgment makes explicit reference to the doubts about </w:t>
      </w:r>
      <w:r w:rsidR="00D1456A" w:rsidRPr="00D1456A">
        <w:rPr>
          <w:rFonts w:ascii="Gill Sans MT" w:hAnsi="Gill Sans MT"/>
        </w:rPr>
        <w:t>the sovereignty of the UK Parliament</w:t>
      </w:r>
      <w:r w:rsidR="00EE7941" w:rsidRPr="00D1456A">
        <w:rPr>
          <w:rFonts w:ascii="Gill Sans MT" w:hAnsi="Gill Sans MT"/>
        </w:rPr>
        <w:t xml:space="preserve"> expressed by senior judges in </w:t>
      </w:r>
      <w:r w:rsidR="00EE7941" w:rsidRPr="00D1456A">
        <w:rPr>
          <w:rFonts w:ascii="Gill Sans MT" w:hAnsi="Gill Sans MT"/>
          <w:i/>
        </w:rPr>
        <w:t>Jackson</w:t>
      </w:r>
      <w:r w:rsidR="00EE7941" w:rsidRPr="00D1456A">
        <w:rPr>
          <w:rFonts w:ascii="Gill Sans MT" w:hAnsi="Gill Sans MT"/>
        </w:rPr>
        <w:t xml:space="preserve"> and elsewhere.</w:t>
      </w:r>
      <w:r w:rsidR="00EE7941" w:rsidRPr="00D1456A">
        <w:rPr>
          <w:rStyle w:val="FootnoteReference"/>
          <w:rFonts w:ascii="Gill Sans MT" w:hAnsi="Gill Sans MT"/>
        </w:rPr>
        <w:footnoteReference w:id="46"/>
      </w:r>
      <w:r w:rsidR="00EE7941" w:rsidRPr="00D1456A">
        <w:rPr>
          <w:rFonts w:ascii="Gill Sans MT" w:hAnsi="Gill Sans MT"/>
        </w:rPr>
        <w:t xml:space="preserve">  </w:t>
      </w:r>
      <w:r w:rsidR="00D1456A" w:rsidRPr="00D1456A">
        <w:rPr>
          <w:rFonts w:ascii="Gill Sans MT" w:hAnsi="Gill Sans MT"/>
        </w:rPr>
        <w:t>Yet while acknowledging (and therefore potentially further legitimising) the existence of ‘differing views about the extent to which the doctrine may be reconciled with, in particular, the rule of law’ when considering whether the consent of the Northern Irish people was required to trigger Brexit under Article 50, Maguire J held that ‘this does not mean that a first level judge is free to disregard the doctrine or sweep it away. If that task is to be undertaken it will fall to the highest court to do so in an appropriate case’.</w:t>
      </w:r>
      <w:r w:rsidR="00D1456A" w:rsidRPr="00D1456A">
        <w:rPr>
          <w:rStyle w:val="FootnoteReference"/>
          <w:rFonts w:ascii="Gill Sans MT" w:hAnsi="Gill Sans MT"/>
        </w:rPr>
        <w:footnoteReference w:id="47"/>
      </w:r>
    </w:p>
    <w:p w14:paraId="651BE769" w14:textId="1BB1D4BD" w:rsidR="004A76AE" w:rsidRDefault="00D1456A" w:rsidP="008E07CA">
      <w:pPr>
        <w:pStyle w:val="NoSpacing"/>
        <w:jc w:val="both"/>
        <w:rPr>
          <w:rFonts w:ascii="Gill Sans MT" w:hAnsi="Gill Sans MT"/>
        </w:rPr>
      </w:pPr>
      <w:r>
        <w:rPr>
          <w:rFonts w:ascii="Gill Sans MT" w:hAnsi="Gill Sans MT"/>
        </w:rPr>
        <w:tab/>
        <w:t xml:space="preserve">The Divisional Court, in contrast, </w:t>
      </w:r>
      <w:r w:rsidR="004B54CE" w:rsidRPr="00111AA7">
        <w:rPr>
          <w:rFonts w:ascii="Gill Sans MT" w:hAnsi="Gill Sans MT"/>
        </w:rPr>
        <w:t xml:space="preserve">clothed its judgment </w:t>
      </w:r>
      <w:r w:rsidR="004B54CE">
        <w:rPr>
          <w:rFonts w:ascii="Gill Sans MT" w:hAnsi="Gill Sans MT"/>
        </w:rPr>
        <w:t xml:space="preserve">quite overtly </w:t>
      </w:r>
      <w:r w:rsidR="004B54CE" w:rsidRPr="00111AA7">
        <w:rPr>
          <w:rFonts w:ascii="Gill Sans MT" w:hAnsi="Gill Sans MT"/>
        </w:rPr>
        <w:t>in the legitimacy afforded by the notion of parliamentary sovereignty</w:t>
      </w:r>
      <w:r>
        <w:rPr>
          <w:rFonts w:ascii="Gill Sans MT" w:hAnsi="Gill Sans MT"/>
        </w:rPr>
        <w:t xml:space="preserve">.  </w:t>
      </w:r>
      <w:r w:rsidR="00712536">
        <w:rPr>
          <w:rFonts w:ascii="Gill Sans MT" w:hAnsi="Gill Sans MT"/>
        </w:rPr>
        <w:t>Any</w:t>
      </w:r>
      <w:r>
        <w:rPr>
          <w:rFonts w:ascii="Gill Sans MT" w:hAnsi="Gill Sans MT"/>
        </w:rPr>
        <w:t xml:space="preserve"> controversy about limitations on the power of the </w:t>
      </w:r>
      <w:r w:rsidRPr="00A12F6A">
        <w:rPr>
          <w:rFonts w:ascii="Gill Sans MT" w:hAnsi="Gill Sans MT"/>
        </w:rPr>
        <w:t xml:space="preserve">UK Parliament derived from the rule of law </w:t>
      </w:r>
      <w:r w:rsidR="00712536" w:rsidRPr="00A12F6A">
        <w:rPr>
          <w:rFonts w:ascii="Gill Sans MT" w:hAnsi="Gill Sans MT"/>
        </w:rPr>
        <w:t>was</w:t>
      </w:r>
      <w:r w:rsidRPr="00A12F6A">
        <w:rPr>
          <w:rFonts w:ascii="Gill Sans MT" w:hAnsi="Gill Sans MT"/>
        </w:rPr>
        <w:t xml:space="preserve"> avoided, </w:t>
      </w:r>
      <w:r w:rsidR="00712536" w:rsidRPr="00A12F6A">
        <w:rPr>
          <w:rFonts w:ascii="Gill Sans MT" w:hAnsi="Gill Sans MT"/>
        </w:rPr>
        <w:t>with the court accepting</w:t>
      </w:r>
      <w:r w:rsidR="00845E26" w:rsidRPr="00A12F6A">
        <w:rPr>
          <w:rFonts w:ascii="Gill Sans MT" w:hAnsi="Gill Sans MT"/>
        </w:rPr>
        <w:t xml:space="preserve"> without qualification that</w:t>
      </w:r>
      <w:r w:rsidR="00712536" w:rsidRPr="00A12F6A">
        <w:rPr>
          <w:rFonts w:ascii="Gill Sans MT" w:hAnsi="Gill Sans MT"/>
        </w:rPr>
        <w:t xml:space="preserve"> it was ‘</w:t>
      </w:r>
      <w:r w:rsidR="00712536" w:rsidRPr="00A12F6A">
        <w:rPr>
          <w:rFonts w:ascii="Gill Sans MT" w:hAnsi="Gill Sans MT"/>
          <w:shd w:val="clear" w:color="auto" w:fill="FFFFFF"/>
        </w:rPr>
        <w:t xml:space="preserve">common ground that the most fundamental rule of UK constitutional law is that the Crown </w:t>
      </w:r>
      <w:r w:rsidR="00712536" w:rsidRPr="00A12F6A">
        <w:rPr>
          <w:rFonts w:ascii="Gill Sans MT" w:hAnsi="Gill Sans MT"/>
          <w:shd w:val="clear" w:color="auto" w:fill="FFFFFF"/>
        </w:rPr>
        <w:lastRenderedPageBreak/>
        <w:t>in Parliament is sovereign’</w:t>
      </w:r>
      <w:r w:rsidR="00845E26" w:rsidRPr="00A12F6A">
        <w:rPr>
          <w:rFonts w:ascii="Gill Sans MT" w:hAnsi="Gill Sans MT"/>
          <w:shd w:val="clear" w:color="auto" w:fill="FFFFFF"/>
        </w:rPr>
        <w:t>.</w:t>
      </w:r>
      <w:r w:rsidR="00845E26" w:rsidRPr="00A12F6A">
        <w:rPr>
          <w:rStyle w:val="FootnoteReference"/>
          <w:rFonts w:ascii="Gill Sans MT" w:hAnsi="Gill Sans MT"/>
          <w:shd w:val="clear" w:color="auto" w:fill="FFFFFF"/>
        </w:rPr>
        <w:footnoteReference w:id="48"/>
      </w:r>
      <w:r w:rsidR="00511679" w:rsidRPr="00A12F6A">
        <w:rPr>
          <w:rFonts w:ascii="Gill Sans MT" w:hAnsi="Gill Sans MT"/>
          <w:shd w:val="clear" w:color="auto" w:fill="FFFFFF"/>
        </w:rPr>
        <w:t xml:space="preserve">  It was a principle which had been ‘recognised many times in leading cases of the highest authority’, with the court (perhaps tellingly) citing </w:t>
      </w:r>
      <w:r w:rsidR="00FF290B" w:rsidRPr="00A12F6A">
        <w:rPr>
          <w:rFonts w:ascii="Gill Sans MT" w:hAnsi="Gill Sans MT"/>
          <w:shd w:val="clear" w:color="auto" w:fill="FFFFFF"/>
        </w:rPr>
        <w:t xml:space="preserve">only </w:t>
      </w:r>
      <w:r w:rsidR="00511679" w:rsidRPr="00A12F6A">
        <w:rPr>
          <w:rFonts w:ascii="Gill Sans MT" w:hAnsi="Gill Sans MT"/>
          <w:shd w:val="clear" w:color="auto" w:fill="FFFFFF"/>
        </w:rPr>
        <w:t xml:space="preserve">the leading judgment of Lord Bingham in </w:t>
      </w:r>
      <w:r w:rsidR="00511679" w:rsidRPr="00A12F6A">
        <w:rPr>
          <w:rFonts w:ascii="Gill Sans MT" w:hAnsi="Gill Sans MT"/>
          <w:i/>
          <w:shd w:val="clear" w:color="auto" w:fill="FFFFFF"/>
        </w:rPr>
        <w:t>Jackson</w:t>
      </w:r>
      <w:r w:rsidR="00511679" w:rsidRPr="00A12F6A">
        <w:rPr>
          <w:rFonts w:ascii="Gill Sans MT" w:hAnsi="Gill Sans MT"/>
          <w:shd w:val="clear" w:color="auto" w:fill="FFFFFF"/>
        </w:rPr>
        <w:t>, which had been free of the doubts expressed by others in that case.</w:t>
      </w:r>
      <w:r w:rsidR="00511679" w:rsidRPr="00A12F6A">
        <w:rPr>
          <w:rStyle w:val="FootnoteReference"/>
          <w:rFonts w:ascii="Gill Sans MT" w:hAnsi="Gill Sans MT"/>
          <w:shd w:val="clear" w:color="auto" w:fill="FFFFFF"/>
        </w:rPr>
        <w:footnoteReference w:id="49"/>
      </w:r>
      <w:r w:rsidR="00C7625B" w:rsidRPr="00A12F6A">
        <w:rPr>
          <w:rFonts w:ascii="Gill Sans MT" w:hAnsi="Gill Sans MT"/>
          <w:shd w:val="clear" w:color="auto" w:fill="FFFFFF"/>
        </w:rPr>
        <w:t xml:space="preserve"> And from the outset, the court noted that an ‘important aspect of the fundamental principle of Parliamentary sovereignty is that primary legislation is not subject to displacement by the Crown through the exercise of its prerogative powers’.</w:t>
      </w:r>
      <w:r w:rsidR="00C7625B" w:rsidRPr="00A12F6A">
        <w:rPr>
          <w:rStyle w:val="FootnoteReference"/>
          <w:rFonts w:ascii="Gill Sans MT" w:hAnsi="Gill Sans MT"/>
          <w:shd w:val="clear" w:color="auto" w:fill="FFFFFF"/>
        </w:rPr>
        <w:footnoteReference w:id="50"/>
      </w:r>
      <w:r w:rsidR="00A12F6A">
        <w:rPr>
          <w:rFonts w:ascii="Gill Sans MT" w:hAnsi="Gill Sans MT"/>
          <w:shd w:val="clear" w:color="auto" w:fill="FFFFFF"/>
        </w:rPr>
        <w:t xml:space="preserve">  Yet </w:t>
      </w:r>
      <w:r w:rsidR="00DC06C7">
        <w:rPr>
          <w:rFonts w:ascii="Gill Sans MT" w:hAnsi="Gill Sans MT"/>
          <w:shd w:val="clear" w:color="auto" w:fill="FFFFFF"/>
        </w:rPr>
        <w:t xml:space="preserve">following this initial scene setting, </w:t>
      </w:r>
      <w:r w:rsidR="00A12F6A">
        <w:rPr>
          <w:rFonts w:ascii="Gill Sans MT" w:hAnsi="Gill Sans MT"/>
          <w:shd w:val="clear" w:color="auto" w:fill="FFFFFF"/>
        </w:rPr>
        <w:t xml:space="preserve">the use of parliamentary sovereignty </w:t>
      </w:r>
      <w:r w:rsidR="00B469FF">
        <w:rPr>
          <w:rFonts w:ascii="Gill Sans MT" w:hAnsi="Gill Sans MT"/>
          <w:shd w:val="clear" w:color="auto" w:fill="FFFFFF"/>
        </w:rPr>
        <w:t xml:space="preserve">by the Divisional Court departed quite radically from constitutional orthodoxy.  </w:t>
      </w:r>
      <w:r w:rsidR="00604713">
        <w:rPr>
          <w:rFonts w:ascii="Gill Sans MT" w:hAnsi="Gill Sans MT"/>
          <w:shd w:val="clear" w:color="auto" w:fill="FFFFFF"/>
        </w:rPr>
        <w:t>The court crafted</w:t>
      </w:r>
      <w:r w:rsidR="004B54CE">
        <w:rPr>
          <w:rFonts w:ascii="Gill Sans MT" w:hAnsi="Gill Sans MT"/>
        </w:rPr>
        <w:t xml:space="preserve"> yet</w:t>
      </w:r>
      <w:r w:rsidR="004B54CE" w:rsidRPr="00111AA7">
        <w:rPr>
          <w:rFonts w:ascii="Gill Sans MT" w:hAnsi="Gill Sans MT"/>
        </w:rPr>
        <w:t xml:space="preserve"> another version of what it means for a statute to be ‘constitutional’ in </w:t>
      </w:r>
      <w:r w:rsidR="004B54CE">
        <w:rPr>
          <w:rFonts w:ascii="Gill Sans MT" w:hAnsi="Gill Sans MT"/>
        </w:rPr>
        <w:t>nature</w:t>
      </w:r>
      <w:r w:rsidR="00604713">
        <w:rPr>
          <w:rFonts w:ascii="Gill Sans MT" w:hAnsi="Gill Sans MT"/>
        </w:rPr>
        <w:t xml:space="preserve">, following the controversial and still not yet explicitly endorsed obiter dicta in </w:t>
      </w:r>
      <w:r w:rsidR="00604713">
        <w:rPr>
          <w:rFonts w:ascii="Gill Sans MT" w:hAnsi="Gill Sans MT"/>
          <w:i/>
        </w:rPr>
        <w:t>Thoburn</w:t>
      </w:r>
      <w:r w:rsidR="00604713">
        <w:rPr>
          <w:rFonts w:ascii="Gill Sans MT" w:hAnsi="Gill Sans MT"/>
        </w:rPr>
        <w:t>.</w:t>
      </w:r>
      <w:r w:rsidR="00604713">
        <w:rPr>
          <w:rStyle w:val="FootnoteReference"/>
          <w:rFonts w:ascii="Gill Sans MT" w:hAnsi="Gill Sans MT"/>
        </w:rPr>
        <w:footnoteReference w:id="51"/>
      </w:r>
      <w:r w:rsidR="00604713">
        <w:rPr>
          <w:rFonts w:ascii="Gill Sans MT" w:hAnsi="Gill Sans MT"/>
        </w:rPr>
        <w:t xml:space="preserve">  For the Divisional Court in </w:t>
      </w:r>
      <w:r w:rsidR="00604713" w:rsidRPr="00604713">
        <w:rPr>
          <w:rFonts w:ascii="Gill Sans MT" w:hAnsi="Gill Sans MT"/>
          <w:i/>
        </w:rPr>
        <w:t>Miller</w:t>
      </w:r>
      <w:r w:rsidR="00604713">
        <w:rPr>
          <w:rFonts w:ascii="Gill Sans MT" w:hAnsi="Gill Sans MT"/>
        </w:rPr>
        <w:t xml:space="preserve">, the designation of </w:t>
      </w:r>
      <w:r w:rsidR="00604713" w:rsidRPr="00E9239D">
        <w:rPr>
          <w:rFonts w:ascii="Gill Sans MT" w:hAnsi="Gill Sans MT"/>
        </w:rPr>
        <w:t xml:space="preserve">the ECA 1972 as a constitutional statute meant not only that it was immune to implied repeal (the contestable claim made in </w:t>
      </w:r>
      <w:r w:rsidR="00604713" w:rsidRPr="00E9239D">
        <w:rPr>
          <w:rFonts w:ascii="Gill Sans MT" w:hAnsi="Gill Sans MT"/>
          <w:i/>
        </w:rPr>
        <w:t>Thoburn</w:t>
      </w:r>
      <w:r w:rsidR="00604713" w:rsidRPr="00E9239D">
        <w:rPr>
          <w:rFonts w:ascii="Gill Sans MT" w:hAnsi="Gill Sans MT"/>
        </w:rPr>
        <w:t xml:space="preserve"> itself), but that it was to be interpreted against a background of select constitutional principles, which</w:t>
      </w:r>
      <w:r w:rsidR="000B7C7F" w:rsidRPr="00E9239D">
        <w:rPr>
          <w:rFonts w:ascii="Gill Sans MT" w:hAnsi="Gill Sans MT"/>
        </w:rPr>
        <w:t xml:space="preserve"> ‘</w:t>
      </w:r>
      <w:r w:rsidR="000B7C7F" w:rsidRPr="00E9239D">
        <w:rPr>
          <w:rFonts w:ascii="Gill Sans MT" w:hAnsi="Gill Sans MT"/>
          <w:shd w:val="clear" w:color="auto" w:fill="FFFFFF"/>
        </w:rPr>
        <w:t>inform the inferences to be drawn as to what Parliament intended by legislating in the terms it did’</w:t>
      </w:r>
      <w:r w:rsidR="00782D3F" w:rsidRPr="00E9239D">
        <w:rPr>
          <w:rFonts w:ascii="Gill Sans MT" w:hAnsi="Gill Sans MT"/>
        </w:rPr>
        <w:t>.</w:t>
      </w:r>
      <w:r w:rsidR="00782D3F" w:rsidRPr="00E9239D">
        <w:rPr>
          <w:rStyle w:val="FootnoteReference"/>
          <w:rFonts w:ascii="Gill Sans MT" w:hAnsi="Gill Sans MT"/>
        </w:rPr>
        <w:footnoteReference w:id="52"/>
      </w:r>
    </w:p>
    <w:p w14:paraId="5A771BAA" w14:textId="7E373041" w:rsidR="004B54CE" w:rsidRDefault="00E9239D" w:rsidP="004A76AE">
      <w:pPr>
        <w:pStyle w:val="NoSpacing"/>
        <w:ind w:firstLine="720"/>
        <w:jc w:val="both"/>
        <w:rPr>
          <w:rFonts w:ascii="Gill Sans MT" w:hAnsi="Gill Sans MT"/>
        </w:rPr>
      </w:pPr>
      <w:r>
        <w:rPr>
          <w:rFonts w:ascii="Gill Sans MT" w:hAnsi="Gill Sans MT"/>
        </w:rPr>
        <w:t>Despite the orthodox window dressing, t</w:t>
      </w:r>
      <w:r w:rsidR="0079407A" w:rsidRPr="00E9239D">
        <w:rPr>
          <w:rFonts w:ascii="Gill Sans MT" w:hAnsi="Gill Sans MT"/>
        </w:rPr>
        <w:t>his</w:t>
      </w:r>
      <w:r>
        <w:rPr>
          <w:rFonts w:ascii="Gill Sans MT" w:hAnsi="Gill Sans MT"/>
        </w:rPr>
        <w:t xml:space="preserve"> approach</w:t>
      </w:r>
      <w:r w:rsidR="0079407A" w:rsidRPr="00E9239D">
        <w:rPr>
          <w:rFonts w:ascii="Gill Sans MT" w:hAnsi="Gill Sans MT"/>
        </w:rPr>
        <w:t xml:space="preserve"> l</w:t>
      </w:r>
      <w:r w:rsidR="0079407A">
        <w:rPr>
          <w:rFonts w:ascii="Gill Sans MT" w:hAnsi="Gill Sans MT"/>
        </w:rPr>
        <w:t xml:space="preserve">ed </w:t>
      </w:r>
      <w:r>
        <w:rPr>
          <w:rFonts w:ascii="Gill Sans MT" w:hAnsi="Gill Sans MT"/>
        </w:rPr>
        <w:t xml:space="preserve">the </w:t>
      </w:r>
      <w:r w:rsidR="004A76AE">
        <w:rPr>
          <w:rFonts w:ascii="Gill Sans MT" w:hAnsi="Gill Sans MT"/>
        </w:rPr>
        <w:t>Divisional Court</w:t>
      </w:r>
      <w:r>
        <w:rPr>
          <w:rFonts w:ascii="Gill Sans MT" w:hAnsi="Gill Sans MT"/>
        </w:rPr>
        <w:t xml:space="preserve"> into a double</w:t>
      </w:r>
      <w:r w:rsidR="007233F7">
        <w:rPr>
          <w:rFonts w:ascii="Gill Sans MT" w:hAnsi="Gill Sans MT"/>
        </w:rPr>
        <w:t>-</w:t>
      </w:r>
      <w:r>
        <w:rPr>
          <w:rFonts w:ascii="Gill Sans MT" w:hAnsi="Gill Sans MT"/>
        </w:rPr>
        <w:t>edged conflict with parliamentary sovereignty</w:t>
      </w:r>
      <w:r w:rsidRPr="002E6EE1">
        <w:rPr>
          <w:rFonts w:ascii="Gill Sans MT" w:hAnsi="Gill Sans MT"/>
        </w:rPr>
        <w:t>.  First, in identifying the ECA 1972 as a constitutional statute, the effects of which were deserving of some greater level of legal protection than an ordinary statute, despite the fact that Parliament itself – the sovereign legislator in the UK – has established no such legal distinction through its own legislative activity.  And second, in moving beyond an assessment of the terms of the ECA 1972 (and subsequent legislation shaping the status of EU law within the UK legal system) in pursuit of an express limit on the prerogative power to issue a notice of intention to withdraw</w:t>
      </w:r>
      <w:r w:rsidR="004A76AE">
        <w:rPr>
          <w:rFonts w:ascii="Gill Sans MT" w:hAnsi="Gill Sans MT"/>
        </w:rPr>
        <w:t xml:space="preserve"> </w:t>
      </w:r>
      <w:r w:rsidRPr="002E6EE1">
        <w:rPr>
          <w:rFonts w:ascii="Gill Sans MT" w:hAnsi="Gill Sans MT"/>
        </w:rPr>
        <w:t xml:space="preserve">– </w:t>
      </w:r>
      <w:r w:rsidR="004A76AE">
        <w:rPr>
          <w:rFonts w:ascii="Gill Sans MT" w:hAnsi="Gill Sans MT"/>
        </w:rPr>
        <w:t xml:space="preserve">a notification </w:t>
      </w:r>
      <w:r w:rsidRPr="002E6EE1">
        <w:rPr>
          <w:rFonts w:ascii="Gill Sans MT" w:hAnsi="Gill Sans MT"/>
        </w:rPr>
        <w:t>which would, in itself, have no immediate and direct effect on the continuing legal force of the legislation enacted by Parliament</w:t>
      </w:r>
      <w:r w:rsidR="004A76AE">
        <w:rPr>
          <w:rFonts w:ascii="Gill Sans MT" w:hAnsi="Gill Sans MT"/>
        </w:rPr>
        <w:t>.</w:t>
      </w:r>
      <w:r w:rsidRPr="002E6EE1">
        <w:rPr>
          <w:rFonts w:ascii="Gill Sans MT" w:hAnsi="Gill Sans MT"/>
        </w:rPr>
        <w:t xml:space="preserve">  </w:t>
      </w:r>
      <w:r w:rsidR="004A76AE">
        <w:rPr>
          <w:rFonts w:ascii="Gill Sans MT" w:hAnsi="Gill Sans MT"/>
        </w:rPr>
        <w:t>I</w:t>
      </w:r>
      <w:r w:rsidRPr="002E6EE1">
        <w:rPr>
          <w:rFonts w:ascii="Gill Sans MT" w:hAnsi="Gill Sans MT"/>
        </w:rPr>
        <w:t>nstead</w:t>
      </w:r>
      <w:r w:rsidR="004A76AE">
        <w:rPr>
          <w:rFonts w:ascii="Gill Sans MT" w:hAnsi="Gill Sans MT"/>
        </w:rPr>
        <w:t>, the special constitutional significance of the 1972 Act shifted the focus of the court</w:t>
      </w:r>
      <w:r w:rsidR="002E6EE1" w:rsidRPr="002E6EE1">
        <w:rPr>
          <w:rFonts w:ascii="Gill Sans MT" w:hAnsi="Gill Sans MT"/>
        </w:rPr>
        <w:t xml:space="preserve"> </w:t>
      </w:r>
      <w:r w:rsidR="004A76AE">
        <w:rPr>
          <w:rFonts w:ascii="Gill Sans MT" w:hAnsi="Gill Sans MT"/>
        </w:rPr>
        <w:t>to the</w:t>
      </w:r>
      <w:r w:rsidR="002E6EE1" w:rsidRPr="002E6EE1">
        <w:rPr>
          <w:rFonts w:ascii="Gill Sans MT" w:hAnsi="Gill Sans MT"/>
        </w:rPr>
        <w:t xml:space="preserve"> </w:t>
      </w:r>
      <w:r w:rsidRPr="002E6EE1">
        <w:rPr>
          <w:rFonts w:ascii="Gill Sans MT" w:hAnsi="Gill Sans MT"/>
        </w:rPr>
        <w:t>‘</w:t>
      </w:r>
      <w:r w:rsidRPr="002E6EE1">
        <w:rPr>
          <w:rFonts w:ascii="Gill Sans MT" w:hAnsi="Gill Sans MT"/>
          <w:shd w:val="clear" w:color="auto" w:fill="FFFFFF"/>
        </w:rPr>
        <w:t>wide and profound extent of the legal changes in domestic law created by the ECA 1972’</w:t>
      </w:r>
      <w:r w:rsidR="004A76AE">
        <w:rPr>
          <w:rFonts w:ascii="Gill Sans MT" w:hAnsi="Gill Sans MT"/>
          <w:shd w:val="clear" w:color="auto" w:fill="FFFFFF"/>
        </w:rPr>
        <w:t>, which made</w:t>
      </w:r>
      <w:r w:rsidRPr="002E6EE1">
        <w:rPr>
          <w:rFonts w:ascii="Gill Sans MT" w:hAnsi="Gill Sans MT"/>
          <w:shd w:val="clear" w:color="auto" w:fill="FFFFFF"/>
        </w:rPr>
        <w:t xml:space="preserve"> </w:t>
      </w:r>
      <w:r w:rsidR="002E6EE1" w:rsidRPr="002E6EE1">
        <w:rPr>
          <w:rFonts w:ascii="Gill Sans MT" w:hAnsi="Gill Sans MT"/>
          <w:shd w:val="clear" w:color="auto" w:fill="FFFFFF"/>
        </w:rPr>
        <w:t>it</w:t>
      </w:r>
      <w:r w:rsidRPr="002E6EE1">
        <w:rPr>
          <w:rFonts w:ascii="Gill Sans MT" w:hAnsi="Gill Sans MT"/>
          <w:shd w:val="clear" w:color="auto" w:fill="FFFFFF"/>
        </w:rPr>
        <w:t xml:space="preserve"> </w:t>
      </w:r>
      <w:r w:rsidR="002E6EE1" w:rsidRPr="002E6EE1">
        <w:rPr>
          <w:rFonts w:ascii="Gill Sans MT" w:hAnsi="Gill Sans MT"/>
          <w:shd w:val="clear" w:color="auto" w:fill="FFFFFF"/>
        </w:rPr>
        <w:t>‘</w:t>
      </w:r>
      <w:r w:rsidRPr="002E6EE1">
        <w:rPr>
          <w:rFonts w:ascii="Gill Sans MT" w:hAnsi="Gill Sans MT"/>
          <w:shd w:val="clear" w:color="auto" w:fill="FFFFFF"/>
        </w:rPr>
        <w:t>especially unlikely that Parliament intended to leave their continued existence in the hands of the Crown through the exercise of its prerogative powers</w:t>
      </w:r>
      <w:r w:rsidR="002E6EE1" w:rsidRPr="002E6EE1">
        <w:rPr>
          <w:rFonts w:ascii="Gill Sans MT" w:hAnsi="Gill Sans MT"/>
          <w:shd w:val="clear" w:color="auto" w:fill="FFFFFF"/>
        </w:rPr>
        <w:t>’</w:t>
      </w:r>
      <w:r w:rsidR="004B54CE" w:rsidRPr="002E6EE1">
        <w:rPr>
          <w:rFonts w:ascii="Gill Sans MT" w:hAnsi="Gill Sans MT"/>
        </w:rPr>
        <w:t>.</w:t>
      </w:r>
      <w:r w:rsidR="004B54CE" w:rsidRPr="002E6EE1">
        <w:rPr>
          <w:rStyle w:val="FootnoteReference"/>
          <w:rFonts w:ascii="Gill Sans MT" w:hAnsi="Gill Sans MT"/>
        </w:rPr>
        <w:footnoteReference w:id="53"/>
      </w:r>
      <w:r w:rsidR="00747EA1">
        <w:rPr>
          <w:rFonts w:ascii="Gill Sans MT" w:hAnsi="Gill Sans MT"/>
        </w:rPr>
        <w:t xml:space="preserve">  Ultimately, the judicial designation of the ECA as a constitutional statute served to shift the balance of attention from whether the sovereign Parliament had or had not prohibited something, to what it should be taken to have intended in light of the constitutional context and consequences.</w:t>
      </w:r>
    </w:p>
    <w:p w14:paraId="147E364D" w14:textId="7B0FD1A2" w:rsidR="0098508A" w:rsidRPr="001B746C" w:rsidRDefault="00A07C7D" w:rsidP="0098508A">
      <w:pPr>
        <w:pStyle w:val="NoSpacing"/>
        <w:ind w:firstLine="720"/>
        <w:jc w:val="both"/>
        <w:rPr>
          <w:rFonts w:ascii="Gill Sans MT" w:hAnsi="Gill Sans MT"/>
        </w:rPr>
      </w:pPr>
      <w:r>
        <w:rPr>
          <w:rFonts w:ascii="Gill Sans MT" w:hAnsi="Gill Sans MT"/>
        </w:rPr>
        <w:t xml:space="preserve">This pattern of formal </w:t>
      </w:r>
      <w:r w:rsidR="008239A0">
        <w:rPr>
          <w:rFonts w:ascii="Gill Sans MT" w:hAnsi="Gill Sans MT"/>
        </w:rPr>
        <w:t>re</w:t>
      </w:r>
      <w:r>
        <w:rPr>
          <w:rFonts w:ascii="Gill Sans MT" w:hAnsi="Gill Sans MT"/>
        </w:rPr>
        <w:t xml:space="preserve">affirmation of parliamentary sovereignty, accompanied by </w:t>
      </w:r>
      <w:r w:rsidR="008239A0">
        <w:rPr>
          <w:rFonts w:ascii="Gill Sans MT" w:hAnsi="Gill Sans MT"/>
        </w:rPr>
        <w:t>considerable selectivity about what the substantive implications of the doctrine should entail</w:t>
      </w:r>
      <w:r w:rsidR="00A13F22">
        <w:rPr>
          <w:rFonts w:ascii="Gill Sans MT" w:hAnsi="Gill Sans MT"/>
        </w:rPr>
        <w:t xml:space="preserve"> in practice,</w:t>
      </w:r>
      <w:r w:rsidR="008239A0">
        <w:rPr>
          <w:rFonts w:ascii="Gill Sans MT" w:hAnsi="Gill Sans MT"/>
        </w:rPr>
        <w:t xml:space="preserve"> was continued </w:t>
      </w:r>
      <w:r w:rsidR="008F4EDB">
        <w:rPr>
          <w:rFonts w:ascii="Gill Sans MT" w:hAnsi="Gill Sans MT"/>
        </w:rPr>
        <w:t>on appeal to</w:t>
      </w:r>
      <w:r w:rsidR="008239A0">
        <w:rPr>
          <w:rFonts w:ascii="Gill Sans MT" w:hAnsi="Gill Sans MT"/>
        </w:rPr>
        <w:t xml:space="preserve"> the Supreme Court.</w:t>
      </w:r>
      <w:r w:rsidR="003F1331">
        <w:rPr>
          <w:rFonts w:ascii="Gill Sans MT" w:hAnsi="Gill Sans MT"/>
        </w:rPr>
        <w:t xml:space="preserve">  </w:t>
      </w:r>
      <w:r w:rsidR="00A00C96">
        <w:rPr>
          <w:rFonts w:ascii="Gill Sans MT" w:hAnsi="Gill Sans MT"/>
        </w:rPr>
        <w:t xml:space="preserve">By </w:t>
      </w:r>
      <w:r w:rsidR="004B54CE" w:rsidRPr="002E6EE1">
        <w:rPr>
          <w:rFonts w:ascii="Gill Sans MT" w:hAnsi="Gill Sans MT"/>
        </w:rPr>
        <w:t>eight justices to three, the Supreme Court</w:t>
      </w:r>
      <w:r w:rsidR="00A00C96">
        <w:rPr>
          <w:rFonts w:ascii="Gill Sans MT" w:hAnsi="Gill Sans MT"/>
        </w:rPr>
        <w:t xml:space="preserve"> reached the same conclusion as the Divisional Court on point one, </w:t>
      </w:r>
      <w:r w:rsidR="0098508A">
        <w:rPr>
          <w:rFonts w:ascii="Gill Sans MT" w:hAnsi="Gill Sans MT"/>
        </w:rPr>
        <w:t xml:space="preserve">albeit for subtly different reasons, and the same conclusion as the High Court of Northern Ireland on point two.  </w:t>
      </w:r>
      <w:r w:rsidR="004B54CE" w:rsidRPr="002E6EE1">
        <w:rPr>
          <w:rFonts w:ascii="Gill Sans MT" w:hAnsi="Gill Sans MT"/>
        </w:rPr>
        <w:t xml:space="preserve"> </w:t>
      </w:r>
      <w:r w:rsidR="0098508A">
        <w:rPr>
          <w:rFonts w:ascii="Gill Sans MT" w:hAnsi="Gill Sans MT"/>
        </w:rPr>
        <w:t>On point one, the reasoning of the majority</w:t>
      </w:r>
      <w:r w:rsidR="0098508A">
        <w:rPr>
          <w:rStyle w:val="FootnoteReference"/>
          <w:rFonts w:ascii="Gill Sans MT" w:hAnsi="Gill Sans MT"/>
        </w:rPr>
        <w:footnoteReference w:id="54"/>
      </w:r>
      <w:r w:rsidR="0098508A">
        <w:rPr>
          <w:rFonts w:ascii="Gill Sans MT" w:hAnsi="Gill Sans MT"/>
        </w:rPr>
        <w:t xml:space="preserve"> seemed to turn on the </w:t>
      </w:r>
      <w:r w:rsidR="0098508A" w:rsidRPr="007B4D08">
        <w:rPr>
          <w:rFonts w:ascii="Gill Sans MT" w:hAnsi="Gill Sans MT"/>
        </w:rPr>
        <w:t xml:space="preserve">loose </w:t>
      </w:r>
      <w:r w:rsidR="0098508A" w:rsidRPr="006253F5">
        <w:rPr>
          <w:rFonts w:ascii="Gill Sans MT" w:hAnsi="Gill Sans MT"/>
        </w:rPr>
        <w:t>assertion that ‘[</w:t>
      </w:r>
      <w:proofErr w:type="spellStart"/>
      <w:r w:rsidR="0098508A" w:rsidRPr="006253F5">
        <w:rPr>
          <w:rFonts w:ascii="Gill Sans MT" w:hAnsi="Gill Sans MT"/>
          <w:color w:val="000000"/>
          <w:shd w:val="clear" w:color="auto" w:fill="FFFFFF"/>
        </w:rPr>
        <w:t>i</w:t>
      </w:r>
      <w:proofErr w:type="spellEnd"/>
      <w:r w:rsidR="0098508A" w:rsidRPr="006253F5">
        <w:rPr>
          <w:rFonts w:ascii="Gill Sans MT" w:hAnsi="Gill Sans MT"/>
          <w:color w:val="000000"/>
          <w:shd w:val="clear" w:color="auto" w:fill="FFFFFF"/>
        </w:rPr>
        <w:t>]t would be inconsistent with long-standing and fundamental principle for such a far-reaching change to the</w:t>
      </w:r>
      <w:r w:rsidR="0098508A" w:rsidRPr="007B4D08">
        <w:rPr>
          <w:rFonts w:ascii="Gill Sans MT" w:hAnsi="Gill Sans MT"/>
          <w:color w:val="000000"/>
          <w:shd w:val="clear" w:color="auto" w:fill="FFFFFF"/>
        </w:rPr>
        <w:t xml:space="preserve"> UK constitutional arrangements to be brought about by ministerial decision or ministerial action alone’.</w:t>
      </w:r>
      <w:r w:rsidR="0098508A">
        <w:rPr>
          <w:rStyle w:val="FootnoteReference"/>
          <w:rFonts w:ascii="Gill Sans MT" w:hAnsi="Gill Sans MT"/>
          <w:color w:val="000000"/>
          <w:shd w:val="clear" w:color="auto" w:fill="FFFFFF"/>
        </w:rPr>
        <w:footnoteReference w:id="55"/>
      </w:r>
      <w:r w:rsidR="0098508A">
        <w:rPr>
          <w:rFonts w:ascii="Gill Sans MT" w:hAnsi="Gill Sans MT"/>
          <w:color w:val="000000"/>
          <w:shd w:val="clear" w:color="auto" w:fill="FFFFFF"/>
        </w:rPr>
        <w:t xml:space="preserve">  </w:t>
      </w:r>
      <w:r w:rsidR="00611F38">
        <w:rPr>
          <w:rFonts w:ascii="Gill Sans MT" w:hAnsi="Gill Sans MT"/>
          <w:color w:val="000000"/>
          <w:shd w:val="clear" w:color="auto" w:fill="FFFFFF"/>
        </w:rPr>
        <w:t>T</w:t>
      </w:r>
      <w:r w:rsidR="0098508A">
        <w:rPr>
          <w:rFonts w:ascii="Gill Sans MT" w:hAnsi="Gill Sans MT"/>
          <w:color w:val="000000"/>
          <w:shd w:val="clear" w:color="auto" w:fill="FFFFFF"/>
        </w:rPr>
        <w:t xml:space="preserve">he majority </w:t>
      </w:r>
      <w:r w:rsidR="00611F38">
        <w:rPr>
          <w:rFonts w:ascii="Gill Sans MT" w:hAnsi="Gill Sans MT"/>
          <w:color w:val="000000"/>
          <w:shd w:val="clear" w:color="auto" w:fill="FFFFFF"/>
        </w:rPr>
        <w:t>suggested</w:t>
      </w:r>
      <w:r w:rsidR="0098508A">
        <w:rPr>
          <w:rFonts w:ascii="Gill Sans MT" w:hAnsi="Gill Sans MT"/>
          <w:color w:val="000000"/>
          <w:shd w:val="clear" w:color="auto" w:fill="FFFFFF"/>
        </w:rPr>
        <w:t xml:space="preserve"> that</w:t>
      </w:r>
      <w:r w:rsidR="00611F38">
        <w:rPr>
          <w:rFonts w:ascii="Gill Sans MT" w:hAnsi="Gill Sans MT"/>
          <w:color w:val="000000"/>
          <w:shd w:val="clear" w:color="auto" w:fill="FFFFFF"/>
        </w:rPr>
        <w:t xml:space="preserve"> the</w:t>
      </w:r>
      <w:r w:rsidR="0098508A">
        <w:rPr>
          <w:rFonts w:ascii="Gill Sans MT" w:hAnsi="Gill Sans MT"/>
          <w:color w:val="000000"/>
          <w:shd w:val="clear" w:color="auto" w:fill="FFFFFF"/>
        </w:rPr>
        <w:t xml:space="preserve"> ECA 1972 </w:t>
      </w:r>
      <w:r w:rsidR="00611F38">
        <w:rPr>
          <w:rFonts w:ascii="Gill Sans MT" w:hAnsi="Gill Sans MT"/>
          <w:color w:val="000000"/>
          <w:shd w:val="clear" w:color="auto" w:fill="FFFFFF"/>
        </w:rPr>
        <w:t xml:space="preserve"> had a ‘constitutional character’, although the precise </w:t>
      </w:r>
      <w:r w:rsidR="00611F38" w:rsidRPr="001B746C">
        <w:rPr>
          <w:rFonts w:ascii="Gill Sans MT" w:hAnsi="Gill Sans MT"/>
          <w:color w:val="000000"/>
          <w:shd w:val="clear" w:color="auto" w:fill="FFFFFF"/>
        </w:rPr>
        <w:t>meaning and implications of this alternative formulation were not explained.</w:t>
      </w:r>
      <w:r w:rsidR="00611F38" w:rsidRPr="001B746C">
        <w:rPr>
          <w:rStyle w:val="FootnoteReference"/>
          <w:rFonts w:ascii="Gill Sans MT" w:hAnsi="Gill Sans MT"/>
          <w:color w:val="000000"/>
          <w:shd w:val="clear" w:color="auto" w:fill="FFFFFF"/>
        </w:rPr>
        <w:footnoteReference w:id="56"/>
      </w:r>
      <w:r w:rsidR="00611F38" w:rsidRPr="001B746C">
        <w:rPr>
          <w:rFonts w:ascii="Gill Sans MT" w:hAnsi="Gill Sans MT"/>
          <w:color w:val="000000"/>
          <w:shd w:val="clear" w:color="auto" w:fill="FFFFFF"/>
        </w:rPr>
        <w:t xml:space="preserve">  And, quite remarkably, the majority claimed – out of line with any prior precedent – that the </w:t>
      </w:r>
      <w:r w:rsidR="00537C05" w:rsidRPr="001B746C">
        <w:rPr>
          <w:rFonts w:ascii="Gill Sans MT" w:hAnsi="Gill Sans MT"/>
          <w:color w:val="000000"/>
          <w:shd w:val="clear" w:color="auto" w:fill="FFFFFF"/>
        </w:rPr>
        <w:t>result</w:t>
      </w:r>
      <w:r w:rsidR="00611F38" w:rsidRPr="001B746C">
        <w:rPr>
          <w:rFonts w:ascii="Gill Sans MT" w:hAnsi="Gill Sans MT"/>
          <w:color w:val="000000"/>
          <w:shd w:val="clear" w:color="auto" w:fill="FFFFFF"/>
        </w:rPr>
        <w:t xml:space="preserve"> of the 1972 Act </w:t>
      </w:r>
      <w:r w:rsidR="0098508A" w:rsidRPr="001B746C">
        <w:rPr>
          <w:rFonts w:ascii="Gill Sans MT" w:hAnsi="Gill Sans MT"/>
          <w:color w:val="000000"/>
          <w:shd w:val="clear" w:color="auto" w:fill="FFFFFF"/>
        </w:rPr>
        <w:t xml:space="preserve">was </w:t>
      </w:r>
      <w:r w:rsidR="00537C05" w:rsidRPr="001B746C">
        <w:rPr>
          <w:rFonts w:ascii="Gill Sans MT" w:hAnsi="Gill Sans MT"/>
        </w:rPr>
        <w:t>that ‘it</w:t>
      </w:r>
      <w:r w:rsidR="00611F38" w:rsidRPr="001B746C">
        <w:rPr>
          <w:rFonts w:ascii="Gill Sans MT" w:hAnsi="Gill Sans MT"/>
        </w:rPr>
        <w:t xml:space="preserve"> </w:t>
      </w:r>
      <w:r w:rsidR="00537C05" w:rsidRPr="001B746C">
        <w:rPr>
          <w:rFonts w:ascii="Gill Sans MT" w:hAnsi="Gill Sans MT"/>
        </w:rPr>
        <w:t xml:space="preserve">effectively </w:t>
      </w:r>
      <w:r w:rsidR="00611F38" w:rsidRPr="001B746C">
        <w:rPr>
          <w:rFonts w:ascii="Gill Sans MT" w:hAnsi="Gill Sans MT"/>
        </w:rPr>
        <w:t>constitutes EU law as an entirely new, independent and overriding source of domestic law</w:t>
      </w:r>
      <w:r w:rsidR="00537C05" w:rsidRPr="001B746C">
        <w:rPr>
          <w:rFonts w:ascii="Gill Sans MT" w:hAnsi="Gill Sans MT"/>
        </w:rPr>
        <w:t>’</w:t>
      </w:r>
      <w:r w:rsidR="0098508A" w:rsidRPr="001B746C">
        <w:rPr>
          <w:rFonts w:ascii="Gill Sans MT" w:hAnsi="Gill Sans MT"/>
        </w:rPr>
        <w:t>,</w:t>
      </w:r>
      <w:r w:rsidR="00611F38" w:rsidRPr="001B746C">
        <w:rPr>
          <w:rStyle w:val="FootnoteReference"/>
          <w:rFonts w:ascii="Gill Sans MT" w:hAnsi="Gill Sans MT"/>
        </w:rPr>
        <w:footnoteReference w:id="57"/>
      </w:r>
      <w:r w:rsidR="00537C05" w:rsidRPr="001B746C">
        <w:rPr>
          <w:rFonts w:ascii="Gill Sans MT" w:hAnsi="Gill Sans MT"/>
        </w:rPr>
        <w:t xml:space="preserve"> with withdrawal from the EU treaties thus not simply an act with international legal </w:t>
      </w:r>
      <w:r w:rsidR="00537C05" w:rsidRPr="001B746C">
        <w:rPr>
          <w:rFonts w:ascii="Gill Sans MT" w:hAnsi="Gill Sans MT"/>
        </w:rPr>
        <w:lastRenderedPageBreak/>
        <w:t>consequences, but also direct domestic legal consequences.</w:t>
      </w:r>
      <w:r w:rsidR="00537C05" w:rsidRPr="001B746C">
        <w:rPr>
          <w:rStyle w:val="FootnoteReference"/>
          <w:rFonts w:ascii="Gill Sans MT" w:hAnsi="Gill Sans MT"/>
        </w:rPr>
        <w:footnoteReference w:id="58"/>
      </w:r>
      <w:r w:rsidR="00537C05" w:rsidRPr="001B746C">
        <w:rPr>
          <w:rFonts w:ascii="Gill Sans MT" w:hAnsi="Gill Sans MT"/>
        </w:rPr>
        <w:t xml:space="preserve">  For the majority, the loss of a domestic source of law would be a ‘fundamental legal change’,</w:t>
      </w:r>
      <w:r w:rsidR="00537C05" w:rsidRPr="001B746C">
        <w:rPr>
          <w:rStyle w:val="FootnoteReference"/>
          <w:rFonts w:ascii="Gill Sans MT" w:hAnsi="Gill Sans MT"/>
        </w:rPr>
        <w:footnoteReference w:id="59"/>
      </w:r>
      <w:r w:rsidR="00537C05" w:rsidRPr="001B746C">
        <w:rPr>
          <w:rFonts w:ascii="Gill Sans MT" w:hAnsi="Gill Sans MT"/>
        </w:rPr>
        <w:t xml:space="preserve"> and as such:</w:t>
      </w:r>
    </w:p>
    <w:p w14:paraId="28EA1AE1" w14:textId="3E2FA679" w:rsidR="00537C05" w:rsidRPr="001B746C" w:rsidRDefault="00537C05" w:rsidP="001B746C">
      <w:pPr>
        <w:pStyle w:val="NoSpacing"/>
        <w:spacing w:before="40" w:after="40"/>
        <w:ind w:left="284" w:right="284"/>
        <w:jc w:val="both"/>
        <w:rPr>
          <w:rFonts w:ascii="Gill Sans MT" w:hAnsi="Gill Sans MT"/>
          <w:sz w:val="20"/>
          <w:szCs w:val="20"/>
        </w:rPr>
      </w:pPr>
      <w:r w:rsidRPr="001B746C">
        <w:rPr>
          <w:rFonts w:ascii="Gill Sans MT" w:hAnsi="Gill Sans MT"/>
          <w:sz w:val="20"/>
          <w:szCs w:val="20"/>
        </w:rPr>
        <w:t xml:space="preserve">We cannot accept that a major change to UK constitutional arrangements can be achieved by ministers alone; it must be </w:t>
      </w:r>
      <w:proofErr w:type="gramStart"/>
      <w:r w:rsidRPr="001B746C">
        <w:rPr>
          <w:rFonts w:ascii="Gill Sans MT" w:hAnsi="Gill Sans MT"/>
          <w:sz w:val="20"/>
          <w:szCs w:val="20"/>
        </w:rPr>
        <w:t>effected</w:t>
      </w:r>
      <w:proofErr w:type="gramEnd"/>
      <w:r w:rsidRPr="001B746C">
        <w:rPr>
          <w:rFonts w:ascii="Gill Sans MT" w:hAnsi="Gill Sans MT"/>
          <w:sz w:val="20"/>
          <w:szCs w:val="20"/>
        </w:rPr>
        <w:t xml:space="preserve"> in the only way that the UK constitution recognises, namely by Parliamentary legislation. This conclusion appears to us to follow from the ordinary application of basic concepts of constitutional law to the present issue.</w:t>
      </w:r>
    </w:p>
    <w:p w14:paraId="19752D86" w14:textId="16F8121F" w:rsidR="0098508A" w:rsidRPr="001B746C" w:rsidRDefault="001B746C" w:rsidP="001B746C">
      <w:pPr>
        <w:pStyle w:val="NoSpacing"/>
        <w:jc w:val="both"/>
        <w:rPr>
          <w:rFonts w:ascii="Gill Sans MT" w:hAnsi="Gill Sans MT"/>
        </w:rPr>
      </w:pPr>
      <w:r>
        <w:rPr>
          <w:rFonts w:ascii="Gill Sans MT" w:hAnsi="Gill Sans MT"/>
        </w:rPr>
        <w:tab/>
        <w:t xml:space="preserve">This overtly ‘constitutional’ reasoning was supported, the majority argued, by the principle of parliamentary sovereignty.  </w:t>
      </w:r>
      <w:r w:rsidR="00CF73AC">
        <w:rPr>
          <w:rFonts w:ascii="Gill Sans MT" w:hAnsi="Gill Sans MT"/>
        </w:rPr>
        <w:t xml:space="preserve">The majority recognised that parliamentary sovereignty ‘is </w:t>
      </w:r>
      <w:r w:rsidR="00CF73AC" w:rsidRPr="008F5BD9">
        <w:rPr>
          <w:rFonts w:ascii="Gill Sans MT" w:hAnsi="Gill Sans MT"/>
          <w:i/>
        </w:rPr>
        <w:t>a</w:t>
      </w:r>
      <w:r w:rsidR="00CF73AC">
        <w:rPr>
          <w:rFonts w:ascii="Gill Sans MT" w:hAnsi="Gill Sans MT"/>
        </w:rPr>
        <w:t xml:space="preserve"> fundamental principle of the UK constitution’, although in slightly less effusive terms than the Divisional Court, for which it was ‘</w:t>
      </w:r>
      <w:r w:rsidR="00CF73AC" w:rsidRPr="008F5BD9">
        <w:rPr>
          <w:rFonts w:ascii="Gill Sans MT" w:hAnsi="Gill Sans MT"/>
          <w:i/>
        </w:rPr>
        <w:t>the</w:t>
      </w:r>
      <w:r w:rsidR="00CF73AC">
        <w:rPr>
          <w:rFonts w:ascii="Gill Sans MT" w:hAnsi="Gill Sans MT"/>
        </w:rPr>
        <w:t xml:space="preserve"> most fundamental rule’.</w:t>
      </w:r>
      <w:r w:rsidR="00CF73AC">
        <w:rPr>
          <w:rStyle w:val="FootnoteReference"/>
          <w:rFonts w:ascii="Gill Sans MT" w:hAnsi="Gill Sans MT"/>
        </w:rPr>
        <w:footnoteReference w:id="60"/>
      </w:r>
      <w:r w:rsidR="008F5BD9">
        <w:rPr>
          <w:rFonts w:ascii="Gill Sans MT" w:hAnsi="Gill Sans MT"/>
        </w:rPr>
        <w:t xml:space="preserve">  </w:t>
      </w:r>
      <w:r w:rsidR="00B70722">
        <w:rPr>
          <w:rFonts w:ascii="Gill Sans MT" w:hAnsi="Gill Sans MT"/>
        </w:rPr>
        <w:t>Yet, as with the Divisional Court, the way the doctrine of parliamentary sovereignty was deployed is questionable.  For the majority in the Supreme Court, it was most directly used to establish a hierarchy from which assumptions could be derived: ‘bearing in mind… the constitutional principle of parliamentary sovereignty’, by which ministers were ‘constitutionally the junior partner’ and Parliament ‘the constitutionally senior partner’, the majority argued that ‘it seems most improbable’ that the ‘graft’ of EU law onto the domestic legal system could be undone without ‘formal appropriate sanction’ from the sovereign legislature.</w:t>
      </w:r>
      <w:r w:rsidR="00B70722">
        <w:rPr>
          <w:rStyle w:val="FootnoteReference"/>
          <w:rFonts w:ascii="Gill Sans MT" w:hAnsi="Gill Sans MT"/>
        </w:rPr>
        <w:footnoteReference w:id="61"/>
      </w:r>
      <w:r w:rsidR="00EE5947">
        <w:rPr>
          <w:rFonts w:ascii="Gill Sans MT" w:hAnsi="Gill Sans MT"/>
        </w:rPr>
        <w:t xml:space="preserve">  This is not to say such a hierarchy does not exist in the UK constitution</w:t>
      </w:r>
      <w:r w:rsidR="006D74A7">
        <w:rPr>
          <w:rFonts w:ascii="Gill Sans MT" w:hAnsi="Gill Sans MT"/>
        </w:rPr>
        <w:t xml:space="preserve"> – instead what is questionable is whether parliamentary sovereignty simply amounts to the seniority of the legislature over government ministers, as opposed to the superiority of Parliament’s legislation over all other branches of government</w:t>
      </w:r>
      <w:r w:rsidR="00D05BEF">
        <w:rPr>
          <w:rFonts w:ascii="Gill Sans MT" w:hAnsi="Gill Sans MT"/>
        </w:rPr>
        <w:t>, including the courts</w:t>
      </w:r>
      <w:r w:rsidR="006D74A7">
        <w:rPr>
          <w:rFonts w:ascii="Gill Sans MT" w:hAnsi="Gill Sans MT"/>
        </w:rPr>
        <w:t>.</w:t>
      </w:r>
    </w:p>
    <w:p w14:paraId="167BCBAD" w14:textId="77777777" w:rsidR="002E57F8" w:rsidRDefault="009E568F" w:rsidP="00A315CD">
      <w:pPr>
        <w:pStyle w:val="NoSpacing"/>
        <w:ind w:firstLine="720"/>
        <w:jc w:val="both"/>
        <w:rPr>
          <w:rFonts w:ascii="Gill Sans MT" w:hAnsi="Gill Sans MT"/>
          <w:color w:val="000000"/>
          <w:shd w:val="clear" w:color="auto" w:fill="FFFFFF"/>
        </w:rPr>
      </w:pPr>
      <w:r>
        <w:rPr>
          <w:rFonts w:ascii="Gill Sans MT" w:hAnsi="Gill Sans MT"/>
          <w:color w:val="000000"/>
          <w:shd w:val="clear" w:color="auto" w:fill="FFFFFF"/>
        </w:rPr>
        <w:t xml:space="preserve">Ultimately, </w:t>
      </w:r>
      <w:r w:rsidR="004B54CE">
        <w:rPr>
          <w:rFonts w:ascii="Gill Sans MT" w:hAnsi="Gill Sans MT"/>
          <w:color w:val="000000"/>
          <w:shd w:val="clear" w:color="auto" w:fill="FFFFFF"/>
        </w:rPr>
        <w:t xml:space="preserve">it is far from clear that </w:t>
      </w:r>
      <w:r>
        <w:rPr>
          <w:rFonts w:ascii="Gill Sans MT" w:hAnsi="Gill Sans MT"/>
          <w:color w:val="000000"/>
          <w:shd w:val="clear" w:color="auto" w:fill="FFFFFF"/>
        </w:rPr>
        <w:t>the</w:t>
      </w:r>
      <w:r w:rsidR="004B54CE">
        <w:rPr>
          <w:rFonts w:ascii="Gill Sans MT" w:hAnsi="Gill Sans MT"/>
          <w:color w:val="000000"/>
          <w:shd w:val="clear" w:color="auto" w:fill="FFFFFF"/>
        </w:rPr>
        <w:t xml:space="preserve"> doctrine</w:t>
      </w:r>
      <w:r>
        <w:rPr>
          <w:rFonts w:ascii="Gill Sans MT" w:hAnsi="Gill Sans MT"/>
          <w:color w:val="000000"/>
          <w:shd w:val="clear" w:color="auto" w:fill="FFFFFF"/>
        </w:rPr>
        <w:t xml:space="preserve">  of parliamentary sovereignty</w:t>
      </w:r>
      <w:r w:rsidR="004B54CE">
        <w:rPr>
          <w:rFonts w:ascii="Gill Sans MT" w:hAnsi="Gill Sans MT"/>
          <w:color w:val="000000"/>
          <w:shd w:val="clear" w:color="auto" w:fill="FFFFFF"/>
        </w:rPr>
        <w:t xml:space="preserve"> should have been taken to require a</w:t>
      </w:r>
      <w:r>
        <w:rPr>
          <w:rFonts w:ascii="Gill Sans MT" w:hAnsi="Gill Sans MT"/>
          <w:color w:val="000000"/>
          <w:shd w:val="clear" w:color="auto" w:fill="FFFFFF"/>
        </w:rPr>
        <w:t xml:space="preserve"> new</w:t>
      </w:r>
      <w:r w:rsidR="004B54CE">
        <w:rPr>
          <w:rFonts w:ascii="Gill Sans MT" w:hAnsi="Gill Sans MT"/>
          <w:color w:val="000000"/>
          <w:shd w:val="clear" w:color="auto" w:fill="FFFFFF"/>
        </w:rPr>
        <w:t xml:space="preserve"> Act of Parliament to provide the legal authority for the Prime Minister to give notice under Article 50.</w:t>
      </w:r>
      <w:r w:rsidR="004B54CE">
        <w:rPr>
          <w:rStyle w:val="FootnoteReference"/>
          <w:rFonts w:ascii="Gill Sans MT" w:hAnsi="Gill Sans MT"/>
          <w:color w:val="000000"/>
          <w:shd w:val="clear" w:color="auto" w:fill="FFFFFF"/>
        </w:rPr>
        <w:footnoteReference w:id="62"/>
      </w:r>
      <w:r w:rsidR="004B54CE">
        <w:rPr>
          <w:rFonts w:ascii="Gill Sans MT" w:hAnsi="Gill Sans MT"/>
          <w:color w:val="000000"/>
          <w:shd w:val="clear" w:color="auto" w:fill="FFFFFF"/>
        </w:rPr>
        <w:t xml:space="preserve">  This is especially the case when</w:t>
      </w:r>
      <w:r w:rsidR="007B4112">
        <w:rPr>
          <w:rFonts w:ascii="Gill Sans MT" w:hAnsi="Gill Sans MT"/>
          <w:color w:val="000000"/>
          <w:shd w:val="clear" w:color="auto" w:fill="FFFFFF"/>
        </w:rPr>
        <w:t>, against the backdrop of constitutional assumptions</w:t>
      </w:r>
      <w:r w:rsidR="00300664">
        <w:rPr>
          <w:rFonts w:ascii="Gill Sans MT" w:hAnsi="Gill Sans MT"/>
          <w:color w:val="000000"/>
          <w:shd w:val="clear" w:color="auto" w:fill="FFFFFF"/>
        </w:rPr>
        <w:t xml:space="preserve"> set out above,</w:t>
      </w:r>
      <w:r w:rsidR="004B54CE">
        <w:rPr>
          <w:rFonts w:ascii="Gill Sans MT" w:hAnsi="Gill Sans MT"/>
          <w:color w:val="000000"/>
          <w:shd w:val="clear" w:color="auto" w:fill="FFFFFF"/>
        </w:rPr>
        <w:t xml:space="preserve"> the majority </w:t>
      </w:r>
      <w:r w:rsidR="00300664">
        <w:rPr>
          <w:rFonts w:ascii="Gill Sans MT" w:hAnsi="Gill Sans MT"/>
          <w:color w:val="000000"/>
          <w:shd w:val="clear" w:color="auto" w:fill="FFFFFF"/>
        </w:rPr>
        <w:t>adopted an</w:t>
      </w:r>
      <w:r w:rsidR="004B54CE">
        <w:rPr>
          <w:rFonts w:ascii="Gill Sans MT" w:hAnsi="Gill Sans MT"/>
          <w:color w:val="000000"/>
          <w:shd w:val="clear" w:color="auto" w:fill="FFFFFF"/>
        </w:rPr>
        <w:t xml:space="preserve"> artificial </w:t>
      </w:r>
      <w:r w:rsidR="00300664">
        <w:rPr>
          <w:rFonts w:ascii="Gill Sans MT" w:hAnsi="Gill Sans MT"/>
          <w:color w:val="000000"/>
          <w:shd w:val="clear" w:color="auto" w:fill="FFFFFF"/>
        </w:rPr>
        <w:t xml:space="preserve">approach to the statutory </w:t>
      </w:r>
      <w:r w:rsidR="004B54CE">
        <w:rPr>
          <w:rFonts w:ascii="Gill Sans MT" w:hAnsi="Gill Sans MT"/>
          <w:color w:val="000000"/>
          <w:shd w:val="clear" w:color="auto" w:fill="FFFFFF"/>
        </w:rPr>
        <w:t xml:space="preserve">interpretation of the </w:t>
      </w:r>
      <w:r w:rsidR="007B4112">
        <w:rPr>
          <w:rFonts w:ascii="Gill Sans MT" w:hAnsi="Gill Sans MT"/>
          <w:color w:val="000000"/>
          <w:shd w:val="clear" w:color="auto" w:fill="FFFFFF"/>
        </w:rPr>
        <w:t>ECA</w:t>
      </w:r>
      <w:r w:rsidR="004B54CE">
        <w:rPr>
          <w:rFonts w:ascii="Gill Sans MT" w:hAnsi="Gill Sans MT"/>
          <w:color w:val="000000"/>
          <w:shd w:val="clear" w:color="auto" w:fill="FFFFFF"/>
        </w:rPr>
        <w:t xml:space="preserve"> 1972, (mis)informed by the ‘principle of legality’.</w:t>
      </w:r>
      <w:r w:rsidR="00A80094">
        <w:rPr>
          <w:rStyle w:val="FootnoteReference"/>
          <w:rFonts w:ascii="Gill Sans MT" w:hAnsi="Gill Sans MT"/>
          <w:color w:val="000000"/>
          <w:shd w:val="clear" w:color="auto" w:fill="FFFFFF"/>
        </w:rPr>
        <w:footnoteReference w:id="63"/>
      </w:r>
      <w:r w:rsidR="004B54CE">
        <w:rPr>
          <w:rFonts w:ascii="Gill Sans MT" w:hAnsi="Gill Sans MT"/>
          <w:color w:val="000000"/>
          <w:shd w:val="clear" w:color="auto" w:fill="FFFFFF"/>
        </w:rPr>
        <w:t xml:space="preserve">  Parliament </w:t>
      </w:r>
      <w:r w:rsidR="004B54CE" w:rsidRPr="00014155">
        <w:rPr>
          <w:rFonts w:ascii="Gill Sans MT" w:hAnsi="Gill Sans MT"/>
          <w:i/>
          <w:color w:val="000000"/>
          <w:shd w:val="clear" w:color="auto" w:fill="FFFFFF"/>
        </w:rPr>
        <w:t>could</w:t>
      </w:r>
      <w:r w:rsidR="004B54CE">
        <w:rPr>
          <w:rFonts w:ascii="Gill Sans MT" w:hAnsi="Gill Sans MT"/>
          <w:color w:val="000000"/>
          <w:shd w:val="clear" w:color="auto" w:fill="FFFFFF"/>
        </w:rPr>
        <w:t xml:space="preserve"> have authorised ministerial notification of a decision to withdraw from the EU in that Act, argued the majority, but it did not do so</w:t>
      </w:r>
      <w:r w:rsidR="002E57F8">
        <w:rPr>
          <w:rFonts w:ascii="Gill Sans MT" w:hAnsi="Gill Sans MT"/>
          <w:color w:val="000000"/>
          <w:shd w:val="clear" w:color="auto" w:fill="FFFFFF"/>
        </w:rPr>
        <w:t xml:space="preserve"> – with the principle of legality not therefore satisfied – </w:t>
      </w:r>
      <w:r w:rsidR="004B54CE">
        <w:rPr>
          <w:rFonts w:ascii="Gill Sans MT" w:hAnsi="Gill Sans MT"/>
          <w:color w:val="000000"/>
          <w:shd w:val="clear" w:color="auto" w:fill="FFFFFF"/>
        </w:rPr>
        <w:t>because such a possibility was not ‘spelled out’ in the legislation.</w:t>
      </w:r>
      <w:r w:rsidR="004B54CE">
        <w:rPr>
          <w:rStyle w:val="FootnoteReference"/>
          <w:rFonts w:ascii="Gill Sans MT" w:hAnsi="Gill Sans MT"/>
          <w:color w:val="000000"/>
          <w:shd w:val="clear" w:color="auto" w:fill="FFFFFF"/>
        </w:rPr>
        <w:footnoteReference w:id="64"/>
      </w:r>
      <w:r w:rsidR="004B54CE">
        <w:rPr>
          <w:rFonts w:ascii="Gill Sans MT" w:hAnsi="Gill Sans MT"/>
          <w:color w:val="000000"/>
          <w:shd w:val="clear" w:color="auto" w:fill="FFFFFF"/>
        </w:rPr>
        <w:t xml:space="preserve">  Yet this approach to statutory construction may give the impression that judicially invented requirements of legislative form </w:t>
      </w:r>
      <w:r w:rsidR="00300664">
        <w:rPr>
          <w:rFonts w:ascii="Gill Sans MT" w:hAnsi="Gill Sans MT"/>
          <w:color w:val="000000"/>
          <w:shd w:val="clear" w:color="auto" w:fill="FFFFFF"/>
        </w:rPr>
        <w:t>were</w:t>
      </w:r>
      <w:r w:rsidR="004B54CE">
        <w:rPr>
          <w:rFonts w:ascii="Gill Sans MT" w:hAnsi="Gill Sans MT"/>
          <w:color w:val="000000"/>
          <w:shd w:val="clear" w:color="auto" w:fill="FFFFFF"/>
        </w:rPr>
        <w:t xml:space="preserve"> being imposed, after the fact, on the otherwise sovereign Parliament</w:t>
      </w:r>
      <w:r w:rsidR="00300664">
        <w:rPr>
          <w:rFonts w:ascii="Gill Sans MT" w:hAnsi="Gill Sans MT"/>
          <w:color w:val="000000"/>
          <w:shd w:val="clear" w:color="auto" w:fill="FFFFFF"/>
        </w:rPr>
        <w:t xml:space="preserve">, because of nebulous, but legally irrelevant, concerns about the scale of the </w:t>
      </w:r>
      <w:r w:rsidR="0005029D">
        <w:rPr>
          <w:rFonts w:ascii="Gill Sans MT" w:hAnsi="Gill Sans MT"/>
          <w:color w:val="000000"/>
          <w:shd w:val="clear" w:color="auto" w:fill="FFFFFF"/>
        </w:rPr>
        <w:t>eventual</w:t>
      </w:r>
      <w:r w:rsidR="00300664">
        <w:rPr>
          <w:rFonts w:ascii="Gill Sans MT" w:hAnsi="Gill Sans MT"/>
          <w:color w:val="000000"/>
          <w:shd w:val="clear" w:color="auto" w:fill="FFFFFF"/>
        </w:rPr>
        <w:t xml:space="preserve"> constitutional consequences</w:t>
      </w:r>
      <w:r w:rsidR="004B54CE">
        <w:rPr>
          <w:rFonts w:ascii="Gill Sans MT" w:hAnsi="Gill Sans MT"/>
          <w:color w:val="000000"/>
          <w:shd w:val="clear" w:color="auto" w:fill="FFFFFF"/>
        </w:rPr>
        <w:t xml:space="preserve">.  Instead, full respect for parliamentary sovereignty </w:t>
      </w:r>
      <w:r w:rsidR="00300664">
        <w:rPr>
          <w:rFonts w:ascii="Gill Sans MT" w:hAnsi="Gill Sans MT"/>
          <w:color w:val="000000"/>
          <w:shd w:val="clear" w:color="auto" w:fill="FFFFFF"/>
        </w:rPr>
        <w:t>would have been</w:t>
      </w:r>
      <w:r w:rsidR="004B54CE">
        <w:rPr>
          <w:rFonts w:ascii="Gill Sans MT" w:hAnsi="Gill Sans MT"/>
          <w:color w:val="000000"/>
          <w:shd w:val="clear" w:color="auto" w:fill="FFFFFF"/>
        </w:rPr>
        <w:t xml:space="preserve"> much better manifested in </w:t>
      </w:r>
      <w:r w:rsidR="00300664">
        <w:rPr>
          <w:rFonts w:ascii="Gill Sans MT" w:hAnsi="Gill Sans MT"/>
          <w:i/>
          <w:color w:val="000000"/>
          <w:shd w:val="clear" w:color="auto" w:fill="FFFFFF"/>
        </w:rPr>
        <w:t xml:space="preserve">Miller </w:t>
      </w:r>
      <w:r w:rsidR="00300664">
        <w:rPr>
          <w:rFonts w:ascii="Gill Sans MT" w:hAnsi="Gill Sans MT"/>
          <w:color w:val="000000"/>
          <w:shd w:val="clear" w:color="auto" w:fill="FFFFFF"/>
        </w:rPr>
        <w:t xml:space="preserve">through </w:t>
      </w:r>
      <w:r w:rsidR="004B54CE">
        <w:rPr>
          <w:rFonts w:ascii="Gill Sans MT" w:hAnsi="Gill Sans MT"/>
          <w:color w:val="000000"/>
          <w:shd w:val="clear" w:color="auto" w:fill="FFFFFF"/>
        </w:rPr>
        <w:t xml:space="preserve">judicial decision-making </w:t>
      </w:r>
      <w:r w:rsidR="00300664">
        <w:rPr>
          <w:rFonts w:ascii="Gill Sans MT" w:hAnsi="Gill Sans MT"/>
          <w:color w:val="000000"/>
          <w:shd w:val="clear" w:color="auto" w:fill="FFFFFF"/>
        </w:rPr>
        <w:t>based on a</w:t>
      </w:r>
      <w:r w:rsidR="004B54CE">
        <w:rPr>
          <w:rFonts w:ascii="Gill Sans MT" w:hAnsi="Gill Sans MT"/>
          <w:color w:val="000000"/>
          <w:shd w:val="clear" w:color="auto" w:fill="FFFFFF"/>
        </w:rPr>
        <w:t xml:space="preserve"> closer analysis of the language used and mechanisms adopted in </w:t>
      </w:r>
      <w:r w:rsidR="00300664">
        <w:rPr>
          <w:rFonts w:ascii="Gill Sans MT" w:hAnsi="Gill Sans MT"/>
          <w:color w:val="000000"/>
          <w:shd w:val="clear" w:color="auto" w:fill="FFFFFF"/>
        </w:rPr>
        <w:t>the ECA 1972</w:t>
      </w:r>
      <w:r w:rsidR="004B54CE">
        <w:rPr>
          <w:rFonts w:ascii="Gill Sans MT" w:hAnsi="Gill Sans MT"/>
          <w:color w:val="000000"/>
          <w:shd w:val="clear" w:color="auto" w:fill="FFFFFF"/>
        </w:rPr>
        <w:t>, an approach exhibited in the dissenting judgment of Lord Reed</w:t>
      </w:r>
      <w:r w:rsidR="002E57F8">
        <w:rPr>
          <w:rFonts w:ascii="Gill Sans MT" w:hAnsi="Gill Sans MT"/>
          <w:color w:val="000000"/>
          <w:shd w:val="clear" w:color="auto" w:fill="FFFFFF"/>
        </w:rPr>
        <w:t>,</w:t>
      </w:r>
      <w:r w:rsidR="004B54CE">
        <w:rPr>
          <w:rStyle w:val="FootnoteReference"/>
          <w:rFonts w:ascii="Gill Sans MT" w:hAnsi="Gill Sans MT"/>
          <w:color w:val="000000"/>
          <w:shd w:val="clear" w:color="auto" w:fill="FFFFFF"/>
        </w:rPr>
        <w:footnoteReference w:id="65"/>
      </w:r>
      <w:r w:rsidR="002E57F8">
        <w:rPr>
          <w:rFonts w:ascii="Gill Sans MT" w:hAnsi="Gill Sans MT"/>
          <w:color w:val="000000"/>
          <w:shd w:val="clear" w:color="auto" w:fill="FFFFFF"/>
        </w:rPr>
        <w:t xml:space="preserve"> who concluded that:</w:t>
      </w:r>
    </w:p>
    <w:p w14:paraId="14F1CFF4" w14:textId="1BC37FF6" w:rsidR="00500C65" w:rsidRPr="00500C65" w:rsidRDefault="002E57F8" w:rsidP="00500C65">
      <w:pPr>
        <w:pStyle w:val="NoSpacing"/>
        <w:spacing w:before="40" w:after="40"/>
        <w:ind w:left="284" w:right="284"/>
        <w:jc w:val="both"/>
        <w:rPr>
          <w:rFonts w:ascii="Gill Sans MT" w:hAnsi="Gill Sans MT"/>
          <w:color w:val="000000"/>
          <w:sz w:val="20"/>
          <w:szCs w:val="20"/>
          <w:shd w:val="clear" w:color="auto" w:fill="FFFFFF"/>
        </w:rPr>
      </w:pPr>
      <w:r w:rsidRPr="00500C65">
        <w:rPr>
          <w:rFonts w:ascii="Gill Sans MT" w:hAnsi="Gill Sans MT"/>
          <w:color w:val="000000"/>
          <w:sz w:val="20"/>
          <w:szCs w:val="20"/>
          <w:shd w:val="clear" w:color="auto" w:fill="FFFFFF"/>
        </w:rPr>
        <w:t>I entirely accept the importance in our constitutional law of the principle of Parliamentary supremacy over our domestic law….  That principle does not, however, require that Parliament must enact an Act of Parliament before the UK can leave the EU</w:t>
      </w:r>
      <w:r w:rsidR="00500C65" w:rsidRPr="00500C65">
        <w:rPr>
          <w:rFonts w:ascii="Gill Sans MT" w:hAnsi="Gill Sans MT"/>
          <w:color w:val="000000"/>
          <w:sz w:val="20"/>
          <w:szCs w:val="20"/>
          <w:shd w:val="clear" w:color="auto" w:fill="FFFFFF"/>
        </w:rPr>
        <w:t>….  That is because the effect which Parliament has given to EU law in our domestic law, under the 1972 Act, is inherently conditional on the application of the EU treaties to the UK, and therefore on the UK’s membership of the EU.  The Act imposes no requirement, and manifests no intention, in respect of the UK’s membership of the EU</w:t>
      </w:r>
      <w:r w:rsidR="00500C65">
        <w:rPr>
          <w:rFonts w:ascii="Gill Sans MT" w:hAnsi="Gill Sans MT"/>
          <w:color w:val="000000"/>
          <w:sz w:val="20"/>
          <w:szCs w:val="20"/>
          <w:shd w:val="clear" w:color="auto" w:fill="FFFFFF"/>
        </w:rPr>
        <w:t>.</w:t>
      </w:r>
      <w:r w:rsidR="00500C65">
        <w:rPr>
          <w:rStyle w:val="FootnoteReference"/>
          <w:rFonts w:ascii="Gill Sans MT" w:hAnsi="Gill Sans MT"/>
          <w:color w:val="000000"/>
          <w:sz w:val="20"/>
          <w:szCs w:val="20"/>
          <w:shd w:val="clear" w:color="auto" w:fill="FFFFFF"/>
        </w:rPr>
        <w:footnoteReference w:id="66"/>
      </w:r>
    </w:p>
    <w:p w14:paraId="266D3DCC" w14:textId="5CA62BED" w:rsidR="004B54CE" w:rsidRPr="00A315CD" w:rsidRDefault="009111AA" w:rsidP="0039612B">
      <w:pPr>
        <w:pStyle w:val="NoSpacing"/>
        <w:ind w:firstLine="720"/>
        <w:jc w:val="both"/>
        <w:rPr>
          <w:rFonts w:ascii="Gill Sans MT" w:hAnsi="Gill Sans MT"/>
          <w:color w:val="000000"/>
          <w:shd w:val="clear" w:color="auto" w:fill="FFFFFF"/>
        </w:rPr>
      </w:pPr>
      <w:r>
        <w:rPr>
          <w:rFonts w:ascii="Gill Sans MT" w:hAnsi="Gill Sans MT"/>
          <w:color w:val="000000"/>
          <w:shd w:val="clear" w:color="auto" w:fill="FFFFFF"/>
        </w:rPr>
        <w:lastRenderedPageBreak/>
        <w:t>S</w:t>
      </w:r>
      <w:r w:rsidR="004B54CE">
        <w:rPr>
          <w:rFonts w:ascii="Gill Sans MT" w:hAnsi="Gill Sans MT"/>
          <w:color w:val="000000"/>
          <w:shd w:val="clear" w:color="auto" w:fill="FFFFFF"/>
        </w:rPr>
        <w:t xml:space="preserve">uch an </w:t>
      </w:r>
      <w:r>
        <w:rPr>
          <w:rFonts w:ascii="Gill Sans MT" w:hAnsi="Gill Sans MT"/>
          <w:color w:val="000000"/>
          <w:shd w:val="clear" w:color="auto" w:fill="FFFFFF"/>
        </w:rPr>
        <w:t>approach to the interpretation of the 1972 Act could have been enhanced if that statute were considered</w:t>
      </w:r>
      <w:r w:rsidR="00A315CD">
        <w:rPr>
          <w:rFonts w:ascii="Gill Sans MT" w:hAnsi="Gill Sans MT"/>
          <w:color w:val="000000"/>
          <w:shd w:val="clear" w:color="auto" w:fill="FFFFFF"/>
        </w:rPr>
        <w:t>, first,</w:t>
      </w:r>
      <w:r>
        <w:rPr>
          <w:rFonts w:ascii="Gill Sans MT" w:hAnsi="Gill Sans MT"/>
          <w:color w:val="000000"/>
          <w:shd w:val="clear" w:color="auto" w:fill="FFFFFF"/>
        </w:rPr>
        <w:t xml:space="preserve"> in the context of subsequent legislation enacted by Parliament, and in particular the European Union Act 2011, which imposed extensive limits on the powers of ministers</w:t>
      </w:r>
      <w:r w:rsidR="00E72C8D">
        <w:rPr>
          <w:rFonts w:ascii="Gill Sans MT" w:hAnsi="Gill Sans MT"/>
          <w:color w:val="000000"/>
          <w:shd w:val="clear" w:color="auto" w:fill="FFFFFF"/>
        </w:rPr>
        <w:t>,</w:t>
      </w:r>
      <w:r>
        <w:rPr>
          <w:rFonts w:ascii="Gill Sans MT" w:hAnsi="Gill Sans MT"/>
          <w:color w:val="000000"/>
          <w:shd w:val="clear" w:color="auto" w:fill="FFFFFF"/>
        </w:rPr>
        <w:t xml:space="preserve"> </w:t>
      </w:r>
      <w:r w:rsidR="002B6451">
        <w:rPr>
          <w:rFonts w:ascii="Gill Sans MT" w:hAnsi="Gill Sans MT"/>
          <w:color w:val="000000"/>
          <w:shd w:val="clear" w:color="auto" w:fill="FFFFFF"/>
        </w:rPr>
        <w:t xml:space="preserve">preventing the use of the prerogative in relation to </w:t>
      </w:r>
      <w:r>
        <w:rPr>
          <w:rFonts w:ascii="Gill Sans MT" w:hAnsi="Gill Sans MT"/>
          <w:color w:val="000000"/>
          <w:shd w:val="clear" w:color="auto" w:fill="FFFFFF"/>
        </w:rPr>
        <w:t>an absurdly vast range of specific decisions at EU level without prior statutory</w:t>
      </w:r>
      <w:r w:rsidR="002B6451">
        <w:rPr>
          <w:rFonts w:ascii="Gill Sans MT" w:hAnsi="Gill Sans MT"/>
          <w:color w:val="000000"/>
          <w:shd w:val="clear" w:color="auto" w:fill="FFFFFF"/>
        </w:rPr>
        <w:t xml:space="preserve"> </w:t>
      </w:r>
      <w:r>
        <w:rPr>
          <w:rFonts w:ascii="Gill Sans MT" w:hAnsi="Gill Sans MT"/>
          <w:color w:val="000000"/>
          <w:shd w:val="clear" w:color="auto" w:fill="FFFFFF"/>
        </w:rPr>
        <w:t>authorisation</w:t>
      </w:r>
      <w:r w:rsidR="002B6451">
        <w:rPr>
          <w:rFonts w:ascii="Gill Sans MT" w:hAnsi="Gill Sans MT"/>
          <w:color w:val="000000"/>
          <w:shd w:val="clear" w:color="auto" w:fill="FFFFFF"/>
        </w:rPr>
        <w:t xml:space="preserve"> (and in some cases, prior authorisation at a national referendum)</w:t>
      </w:r>
      <w:r>
        <w:rPr>
          <w:rFonts w:ascii="Gill Sans MT" w:hAnsi="Gill Sans MT"/>
          <w:color w:val="000000"/>
          <w:shd w:val="clear" w:color="auto" w:fill="FFFFFF"/>
        </w:rPr>
        <w:t xml:space="preserve">, yet did not seek to impose any controls on </w:t>
      </w:r>
      <w:r w:rsidR="0005029D">
        <w:rPr>
          <w:rFonts w:ascii="Gill Sans MT" w:hAnsi="Gill Sans MT"/>
          <w:color w:val="000000"/>
          <w:shd w:val="clear" w:color="auto" w:fill="FFFFFF"/>
        </w:rPr>
        <w:t>a withdrawal</w:t>
      </w:r>
      <w:r>
        <w:rPr>
          <w:rFonts w:ascii="Gill Sans MT" w:hAnsi="Gill Sans MT"/>
          <w:color w:val="000000"/>
          <w:shd w:val="clear" w:color="auto" w:fill="FFFFFF"/>
        </w:rPr>
        <w:t xml:space="preserve"> notification under Article 50.</w:t>
      </w:r>
      <w:r w:rsidR="00A315CD">
        <w:rPr>
          <w:rFonts w:ascii="Gill Sans MT" w:hAnsi="Gill Sans MT"/>
          <w:color w:val="000000"/>
          <w:shd w:val="clear" w:color="auto" w:fill="FFFFFF"/>
        </w:rPr>
        <w:t xml:space="preserve">  </w:t>
      </w:r>
      <w:r w:rsidR="00500C65">
        <w:rPr>
          <w:rFonts w:ascii="Gill Sans MT" w:hAnsi="Gill Sans MT"/>
          <w:color w:val="000000"/>
          <w:shd w:val="clear" w:color="auto" w:fill="FFFFFF"/>
        </w:rPr>
        <w:t>And, s</w:t>
      </w:r>
      <w:r w:rsidR="00A315CD">
        <w:rPr>
          <w:rFonts w:ascii="Gill Sans MT" w:hAnsi="Gill Sans MT"/>
          <w:color w:val="000000"/>
          <w:shd w:val="clear" w:color="auto" w:fill="FFFFFF"/>
        </w:rPr>
        <w:t xml:space="preserve">econd, an alternative understanding of the implications of issuing notice of withdrawal for the ECA 1972 (and the rights given direct effect under that statute) might have been reached </w:t>
      </w:r>
      <w:r w:rsidR="004B54CE">
        <w:rPr>
          <w:rFonts w:ascii="Gill Sans MT" w:hAnsi="Gill Sans MT"/>
          <w:color w:val="000000"/>
          <w:shd w:val="clear" w:color="auto" w:fill="FFFFFF"/>
        </w:rPr>
        <w:t xml:space="preserve">by </w:t>
      </w:r>
      <w:r w:rsidR="00A315CD">
        <w:rPr>
          <w:rFonts w:ascii="Gill Sans MT" w:hAnsi="Gill Sans MT"/>
          <w:color w:val="000000"/>
          <w:shd w:val="clear" w:color="auto" w:fill="FFFFFF"/>
        </w:rPr>
        <w:t>taking account</w:t>
      </w:r>
      <w:r w:rsidR="004B54CE">
        <w:rPr>
          <w:rFonts w:ascii="Gill Sans MT" w:hAnsi="Gill Sans MT"/>
          <w:color w:val="000000"/>
          <w:shd w:val="clear" w:color="auto" w:fill="FFFFFF"/>
        </w:rPr>
        <w:t xml:space="preserve"> of the</w:t>
      </w:r>
      <w:r w:rsidR="00A315CD">
        <w:rPr>
          <w:rFonts w:ascii="Gill Sans MT" w:hAnsi="Gill Sans MT"/>
          <w:color w:val="000000"/>
          <w:shd w:val="clear" w:color="auto" w:fill="FFFFFF"/>
        </w:rPr>
        <w:t xml:space="preserve"> respective, different, yet necessarily interactive, </w:t>
      </w:r>
      <w:r w:rsidR="004B54CE">
        <w:rPr>
          <w:rFonts w:ascii="Gill Sans MT" w:hAnsi="Gill Sans MT"/>
          <w:color w:val="000000"/>
          <w:shd w:val="clear" w:color="auto" w:fill="FFFFFF"/>
        </w:rPr>
        <w:t>role</w:t>
      </w:r>
      <w:r w:rsidR="00A315CD">
        <w:rPr>
          <w:rFonts w:ascii="Gill Sans MT" w:hAnsi="Gill Sans MT"/>
          <w:color w:val="000000"/>
          <w:shd w:val="clear" w:color="auto" w:fill="FFFFFF"/>
        </w:rPr>
        <w:t>s</w:t>
      </w:r>
      <w:r w:rsidR="004B54CE">
        <w:rPr>
          <w:rFonts w:ascii="Gill Sans MT" w:hAnsi="Gill Sans MT"/>
          <w:color w:val="000000"/>
          <w:shd w:val="clear" w:color="auto" w:fill="FFFFFF"/>
        </w:rPr>
        <w:t xml:space="preserve"> </w:t>
      </w:r>
      <w:r w:rsidR="00F950BA">
        <w:rPr>
          <w:rFonts w:ascii="Gill Sans MT" w:hAnsi="Gill Sans MT"/>
          <w:color w:val="000000"/>
          <w:shd w:val="clear" w:color="auto" w:fill="FFFFFF"/>
        </w:rPr>
        <w:t xml:space="preserve">and powers </w:t>
      </w:r>
      <w:r w:rsidR="004B54CE">
        <w:rPr>
          <w:rFonts w:ascii="Gill Sans MT" w:hAnsi="Gill Sans MT"/>
          <w:color w:val="000000"/>
          <w:shd w:val="clear" w:color="auto" w:fill="FFFFFF"/>
        </w:rPr>
        <w:t>of Parliament</w:t>
      </w:r>
      <w:r w:rsidR="00A315CD">
        <w:rPr>
          <w:rFonts w:ascii="Gill Sans MT" w:hAnsi="Gill Sans MT"/>
          <w:color w:val="000000"/>
          <w:shd w:val="clear" w:color="auto" w:fill="FFFFFF"/>
        </w:rPr>
        <w:t xml:space="preserve"> and</w:t>
      </w:r>
      <w:r w:rsidR="004B54CE">
        <w:rPr>
          <w:rFonts w:ascii="Gill Sans MT" w:hAnsi="Gill Sans MT"/>
          <w:color w:val="000000"/>
          <w:shd w:val="clear" w:color="auto" w:fill="FFFFFF"/>
        </w:rPr>
        <w:t xml:space="preserve"> the </w:t>
      </w:r>
      <w:r w:rsidR="00A315CD">
        <w:rPr>
          <w:rFonts w:ascii="Gill Sans MT" w:hAnsi="Gill Sans MT"/>
          <w:color w:val="000000"/>
          <w:shd w:val="clear" w:color="auto" w:fill="FFFFFF"/>
        </w:rPr>
        <w:t xml:space="preserve">government as part of the </w:t>
      </w:r>
      <w:r w:rsidR="004B54CE">
        <w:rPr>
          <w:rFonts w:ascii="Gill Sans MT" w:hAnsi="Gill Sans MT"/>
          <w:color w:val="000000"/>
          <w:shd w:val="clear" w:color="auto" w:fill="FFFFFF"/>
        </w:rPr>
        <w:t xml:space="preserve">broader constitutional and political </w:t>
      </w:r>
      <w:r w:rsidR="00A315CD">
        <w:rPr>
          <w:rFonts w:ascii="Gill Sans MT" w:hAnsi="Gill Sans MT"/>
          <w:color w:val="000000"/>
          <w:shd w:val="clear" w:color="auto" w:fill="FFFFFF"/>
        </w:rPr>
        <w:t>process of exiting the EU</w:t>
      </w:r>
      <w:r w:rsidR="00500C65">
        <w:rPr>
          <w:rFonts w:ascii="Gill Sans MT" w:hAnsi="Gill Sans MT"/>
          <w:color w:val="000000"/>
          <w:shd w:val="clear" w:color="auto" w:fill="FFFFFF"/>
        </w:rPr>
        <w:t>.</w:t>
      </w:r>
      <w:r w:rsidR="004B54CE">
        <w:rPr>
          <w:rFonts w:ascii="Gill Sans MT" w:hAnsi="Gill Sans MT"/>
          <w:color w:val="000000"/>
          <w:shd w:val="clear" w:color="auto" w:fill="FFFFFF"/>
        </w:rPr>
        <w:t xml:space="preserve"> </w:t>
      </w:r>
      <w:r w:rsidR="00500C65">
        <w:rPr>
          <w:rFonts w:ascii="Gill Sans MT" w:hAnsi="Gill Sans MT"/>
          <w:color w:val="000000"/>
          <w:shd w:val="clear" w:color="auto" w:fill="FFFFFF"/>
        </w:rPr>
        <w:t xml:space="preserve"> This was </w:t>
      </w:r>
      <w:r w:rsidR="004B54CE">
        <w:rPr>
          <w:rFonts w:ascii="Gill Sans MT" w:hAnsi="Gill Sans MT"/>
          <w:color w:val="000000"/>
          <w:shd w:val="clear" w:color="auto" w:fill="FFFFFF"/>
        </w:rPr>
        <w:t xml:space="preserve">discussed by Lord </w:t>
      </w:r>
      <w:proofErr w:type="spellStart"/>
      <w:r w:rsidR="004B54CE">
        <w:rPr>
          <w:rFonts w:ascii="Gill Sans MT" w:hAnsi="Gill Sans MT"/>
          <w:color w:val="000000"/>
          <w:shd w:val="clear" w:color="auto" w:fill="FFFFFF"/>
        </w:rPr>
        <w:t>Carnwath</w:t>
      </w:r>
      <w:proofErr w:type="spellEnd"/>
      <w:r w:rsidR="004B54CE">
        <w:rPr>
          <w:rFonts w:ascii="Gill Sans MT" w:hAnsi="Gill Sans MT"/>
          <w:color w:val="000000"/>
          <w:shd w:val="clear" w:color="auto" w:fill="FFFFFF"/>
        </w:rPr>
        <w:t xml:space="preserve">, who also </w:t>
      </w:r>
      <w:r w:rsidR="00A315CD">
        <w:rPr>
          <w:rFonts w:ascii="Gill Sans MT" w:hAnsi="Gill Sans MT"/>
          <w:color w:val="000000"/>
          <w:shd w:val="clear" w:color="auto" w:fill="FFFFFF"/>
        </w:rPr>
        <w:t>dissented in</w:t>
      </w:r>
      <w:r w:rsidR="004B54CE">
        <w:rPr>
          <w:rFonts w:ascii="Gill Sans MT" w:hAnsi="Gill Sans MT"/>
          <w:color w:val="000000"/>
          <w:shd w:val="clear" w:color="auto" w:fill="FFFFFF"/>
        </w:rPr>
        <w:t xml:space="preserve"> </w:t>
      </w:r>
      <w:r w:rsidR="004B54CE" w:rsidRPr="00500C65">
        <w:rPr>
          <w:rFonts w:ascii="Gill Sans MT" w:hAnsi="Gill Sans MT"/>
          <w:i/>
          <w:color w:val="000000"/>
          <w:shd w:val="clear" w:color="auto" w:fill="FFFFFF"/>
        </w:rPr>
        <w:t>Miller</w:t>
      </w:r>
      <w:r w:rsidR="00500C65" w:rsidRPr="00500C65">
        <w:rPr>
          <w:rFonts w:ascii="Gill Sans MT" w:hAnsi="Gill Sans MT"/>
          <w:color w:val="000000"/>
          <w:shd w:val="clear" w:color="auto" w:fill="FFFFFF"/>
        </w:rPr>
        <w:t>,</w:t>
      </w:r>
      <w:r w:rsidR="004B54CE" w:rsidRPr="00500C65">
        <w:rPr>
          <w:rStyle w:val="FootnoteReference"/>
          <w:rFonts w:ascii="Gill Sans MT" w:hAnsi="Gill Sans MT"/>
          <w:color w:val="000000"/>
          <w:shd w:val="clear" w:color="auto" w:fill="FFFFFF"/>
        </w:rPr>
        <w:footnoteReference w:id="67"/>
      </w:r>
      <w:r w:rsidR="00A315CD" w:rsidRPr="00500C65">
        <w:rPr>
          <w:rFonts w:ascii="Gill Sans MT" w:hAnsi="Gill Sans MT"/>
          <w:color w:val="000000"/>
          <w:shd w:val="clear" w:color="auto" w:fill="FFFFFF"/>
        </w:rPr>
        <w:t xml:space="preserve"> </w:t>
      </w:r>
      <w:r w:rsidR="00500C65" w:rsidRPr="00500C65">
        <w:rPr>
          <w:rFonts w:ascii="Gill Sans MT" w:hAnsi="Gill Sans MT"/>
          <w:color w:val="000000"/>
          <w:shd w:val="clear" w:color="auto" w:fill="FFFFFF"/>
        </w:rPr>
        <w:t xml:space="preserve"> and who rejected as ‘wrong’ a view of the case based on ‘a simple choice between Parliamentary sovereignty, exercised through legislation, and the “untrammelled” exercise of the prerogative by the Executive’.</w:t>
      </w:r>
      <w:r w:rsidR="00500C65" w:rsidRPr="00500C65">
        <w:rPr>
          <w:rStyle w:val="FootnoteReference"/>
          <w:rFonts w:ascii="Gill Sans MT" w:hAnsi="Gill Sans MT"/>
          <w:color w:val="000000"/>
          <w:shd w:val="clear" w:color="auto" w:fill="FFFFFF"/>
        </w:rPr>
        <w:footnoteReference w:id="68"/>
      </w:r>
      <w:r w:rsidR="00500C65" w:rsidRPr="00500C65">
        <w:rPr>
          <w:rFonts w:ascii="Gill Sans MT" w:hAnsi="Gill Sans MT"/>
          <w:color w:val="000000"/>
          <w:shd w:val="clear" w:color="auto" w:fill="FFFFFF"/>
        </w:rPr>
        <w:t xml:space="preserve">  For Lord </w:t>
      </w:r>
      <w:proofErr w:type="spellStart"/>
      <w:r w:rsidR="00500C65" w:rsidRPr="00500C65">
        <w:rPr>
          <w:rFonts w:ascii="Gill Sans MT" w:hAnsi="Gill Sans MT"/>
          <w:color w:val="000000"/>
          <w:shd w:val="clear" w:color="auto" w:fill="FFFFFF"/>
        </w:rPr>
        <w:t>Carnwath</w:t>
      </w:r>
      <w:proofErr w:type="spellEnd"/>
      <w:r w:rsidR="00500C65" w:rsidRPr="00500C65">
        <w:rPr>
          <w:rFonts w:ascii="Gill Sans MT" w:hAnsi="Gill Sans MT"/>
          <w:color w:val="000000"/>
          <w:shd w:val="clear" w:color="auto" w:fill="FFFFFF"/>
        </w:rPr>
        <w:t xml:space="preserve"> the principle of parliamentary accountability was ‘[n]o less fundamental to our constitution’, and even if new legislation authorisation was not required, the government would still be ‘</w:t>
      </w:r>
      <w:r w:rsidR="00500C65" w:rsidRPr="00500C65">
        <w:rPr>
          <w:rFonts w:ascii="Gill Sans MT" w:hAnsi="Gill Sans MT"/>
        </w:rPr>
        <w:t>accountable to Parliament for its exercise of the prerogative, including its actions in international law’.</w:t>
      </w:r>
      <w:r w:rsidR="00500C65">
        <w:rPr>
          <w:rStyle w:val="FootnoteReference"/>
          <w:rFonts w:ascii="Gill Sans MT" w:hAnsi="Gill Sans MT"/>
        </w:rPr>
        <w:footnoteReference w:id="69"/>
      </w:r>
      <w:r w:rsidR="0039612B">
        <w:rPr>
          <w:rFonts w:ascii="Gill Sans MT" w:hAnsi="Gill Sans MT"/>
          <w:color w:val="000000"/>
          <w:shd w:val="clear" w:color="auto" w:fill="FFFFFF"/>
        </w:rPr>
        <w:t xml:space="preserve">  </w:t>
      </w:r>
      <w:r w:rsidR="00A315CD">
        <w:rPr>
          <w:rFonts w:ascii="Gill Sans MT" w:hAnsi="Gill Sans MT"/>
          <w:color w:val="000000"/>
          <w:shd w:val="clear" w:color="auto" w:fill="FFFFFF"/>
        </w:rPr>
        <w:t xml:space="preserve">In </w:t>
      </w:r>
      <w:r w:rsidR="00CD1A44">
        <w:rPr>
          <w:rFonts w:ascii="Gill Sans MT" w:hAnsi="Gill Sans MT"/>
          <w:color w:val="000000"/>
          <w:shd w:val="clear" w:color="auto" w:fill="FFFFFF"/>
        </w:rPr>
        <w:t>these</w:t>
      </w:r>
      <w:r w:rsidR="00A315CD">
        <w:rPr>
          <w:rFonts w:ascii="Gill Sans MT" w:hAnsi="Gill Sans MT"/>
          <w:color w:val="000000"/>
          <w:shd w:val="clear" w:color="auto" w:fill="FFFFFF"/>
        </w:rPr>
        <w:t xml:space="preserve"> way</w:t>
      </w:r>
      <w:r w:rsidR="00CD1A44">
        <w:rPr>
          <w:rFonts w:ascii="Gill Sans MT" w:hAnsi="Gill Sans MT"/>
          <w:color w:val="000000"/>
          <w:shd w:val="clear" w:color="auto" w:fill="FFFFFF"/>
        </w:rPr>
        <w:t>s</w:t>
      </w:r>
      <w:r w:rsidR="00A315CD">
        <w:rPr>
          <w:rFonts w:ascii="Gill Sans MT" w:hAnsi="Gill Sans MT"/>
          <w:color w:val="000000"/>
          <w:shd w:val="clear" w:color="auto" w:fill="FFFFFF"/>
        </w:rPr>
        <w:t>, the majority might have avoided the fundamental difficulty with their judgment</w:t>
      </w:r>
      <w:r w:rsidR="003370F9">
        <w:rPr>
          <w:rFonts w:ascii="Gill Sans MT" w:hAnsi="Gill Sans MT"/>
          <w:color w:val="000000"/>
          <w:shd w:val="clear" w:color="auto" w:fill="FFFFFF"/>
        </w:rPr>
        <w:t xml:space="preserve">: it has the effect of artificially (and as it turned out, superficially) inserting Parliament into the notification process in the name of its sovereignty, rather than giving priority to the question of whether Parliament had, through the terms of its sovereign legislation, sought to </w:t>
      </w:r>
      <w:r w:rsidR="00F950BA">
        <w:rPr>
          <w:rFonts w:ascii="Gill Sans MT" w:hAnsi="Gill Sans MT"/>
          <w:color w:val="000000"/>
          <w:shd w:val="clear" w:color="auto" w:fill="FFFFFF"/>
        </w:rPr>
        <w:t xml:space="preserve">displace standing executive powers, and </w:t>
      </w:r>
      <w:r w:rsidR="003370F9">
        <w:rPr>
          <w:rFonts w:ascii="Gill Sans MT" w:hAnsi="Gill Sans MT"/>
          <w:color w:val="000000"/>
          <w:shd w:val="clear" w:color="auto" w:fill="FFFFFF"/>
        </w:rPr>
        <w:t xml:space="preserve">establish this </w:t>
      </w:r>
      <w:r w:rsidR="00CD1A44">
        <w:rPr>
          <w:rFonts w:ascii="Gill Sans MT" w:hAnsi="Gill Sans MT"/>
          <w:color w:val="000000"/>
          <w:shd w:val="clear" w:color="auto" w:fill="FFFFFF"/>
        </w:rPr>
        <w:t xml:space="preserve">very specific </w:t>
      </w:r>
      <w:r w:rsidR="003370F9">
        <w:rPr>
          <w:rFonts w:ascii="Gill Sans MT" w:hAnsi="Gill Sans MT"/>
          <w:color w:val="000000"/>
          <w:shd w:val="clear" w:color="auto" w:fill="FFFFFF"/>
        </w:rPr>
        <w:t>role for itself</w:t>
      </w:r>
      <w:r w:rsidR="00CD1A44">
        <w:rPr>
          <w:rFonts w:ascii="Gill Sans MT" w:hAnsi="Gill Sans MT"/>
          <w:color w:val="000000"/>
          <w:shd w:val="clear" w:color="auto" w:fill="FFFFFF"/>
        </w:rPr>
        <w:t xml:space="preserve"> in a broader constitutional process</w:t>
      </w:r>
      <w:r w:rsidR="003370F9">
        <w:rPr>
          <w:rFonts w:ascii="Gill Sans MT" w:hAnsi="Gill Sans MT"/>
          <w:color w:val="000000"/>
          <w:shd w:val="clear" w:color="auto" w:fill="FFFFFF"/>
        </w:rPr>
        <w:t>.</w:t>
      </w:r>
    </w:p>
    <w:p w14:paraId="49E6B60E" w14:textId="65A7FEA1" w:rsidR="002861FE" w:rsidRDefault="002861FE" w:rsidP="004B54CE">
      <w:pPr>
        <w:pStyle w:val="NoSpacing"/>
        <w:ind w:firstLine="720"/>
        <w:jc w:val="both"/>
        <w:rPr>
          <w:rFonts w:ascii="Gill Sans MT" w:hAnsi="Gill Sans MT"/>
        </w:rPr>
      </w:pPr>
      <w:r>
        <w:rPr>
          <w:rFonts w:ascii="Gill Sans MT" w:hAnsi="Gill Sans MT"/>
        </w:rPr>
        <w:t xml:space="preserve">The constitutionally loaded approach followed by the majority in </w:t>
      </w:r>
      <w:r>
        <w:rPr>
          <w:rFonts w:ascii="Gill Sans MT" w:hAnsi="Gill Sans MT"/>
          <w:i/>
        </w:rPr>
        <w:t xml:space="preserve">Miller </w:t>
      </w:r>
      <w:r w:rsidR="00F950BA">
        <w:rPr>
          <w:rFonts w:ascii="Gill Sans MT" w:hAnsi="Gill Sans MT"/>
        </w:rPr>
        <w:t>also, however,</w:t>
      </w:r>
      <w:r>
        <w:rPr>
          <w:rFonts w:ascii="Gill Sans MT" w:hAnsi="Gill Sans MT"/>
        </w:rPr>
        <w:t xml:space="preserve"> had its limits.  On the second point at issue in this case – the question of whether the consent of the devolved administrations in Scotland, Wales and Northern Ireland was required to the Act of Parliament authorising the Article 50 notice – the Supreme Court unanimously adopted a more straightforwardly formalist approach.   Any consent requirements were matters of constitutional convention rather than legal obligation, and not for the courts to </w:t>
      </w:r>
      <w:r w:rsidRPr="002C0C23">
        <w:rPr>
          <w:rFonts w:ascii="Gill Sans MT" w:hAnsi="Gill Sans MT"/>
        </w:rPr>
        <w:t>enforce</w:t>
      </w:r>
      <w:proofErr w:type="gramStart"/>
      <w:r w:rsidR="00E45869" w:rsidRPr="002C0C23">
        <w:rPr>
          <w:rFonts w:ascii="Gill Sans MT" w:hAnsi="Gill Sans MT"/>
        </w:rPr>
        <w:t>:  ‘</w:t>
      </w:r>
      <w:proofErr w:type="gramEnd"/>
      <w:r w:rsidR="00E45869" w:rsidRPr="002C0C23">
        <w:rPr>
          <w:rFonts w:ascii="Gill Sans MT" w:hAnsi="Gill Sans MT"/>
        </w:rPr>
        <w:t>judges… are neither the parents nor the guardians of political conventions; they are merely observers</w:t>
      </w:r>
      <w:r w:rsidR="002C0C23" w:rsidRPr="002C0C23">
        <w:rPr>
          <w:rFonts w:ascii="Gill Sans MT" w:hAnsi="Gill Sans MT"/>
        </w:rPr>
        <w:t>’</w:t>
      </w:r>
      <w:r w:rsidRPr="002C0C23">
        <w:rPr>
          <w:rFonts w:ascii="Gill Sans MT" w:hAnsi="Gill Sans MT"/>
        </w:rPr>
        <w:t xml:space="preserve">.  </w:t>
      </w:r>
      <w:r w:rsidR="002C0C23" w:rsidRPr="002C0C23">
        <w:rPr>
          <w:rFonts w:ascii="Gill Sans MT" w:hAnsi="Gill Sans MT"/>
        </w:rPr>
        <w:t>The courts ‘cannot give legal rulings’ on the ‘operation or scope’ of a convention ‘because those matters are determined within the political world’.</w:t>
      </w:r>
      <w:r w:rsidR="002C0C23">
        <w:rPr>
          <w:rStyle w:val="FootnoteReference"/>
          <w:rFonts w:ascii="Gill Sans MT" w:hAnsi="Gill Sans MT"/>
        </w:rPr>
        <w:footnoteReference w:id="70"/>
      </w:r>
      <w:r w:rsidR="002C0C23" w:rsidRPr="002C0C23">
        <w:rPr>
          <w:rFonts w:ascii="Gill Sans MT" w:hAnsi="Gill Sans MT"/>
        </w:rPr>
        <w:t xml:space="preserve">  </w:t>
      </w:r>
      <w:r w:rsidRPr="002C0C23">
        <w:rPr>
          <w:rFonts w:ascii="Gill Sans MT" w:hAnsi="Gill Sans MT"/>
        </w:rPr>
        <w:t>As we shall see in the final section, there was</w:t>
      </w:r>
      <w:r>
        <w:rPr>
          <w:rFonts w:ascii="Gill Sans MT" w:hAnsi="Gill Sans MT"/>
        </w:rPr>
        <w:t xml:space="preserve"> a potential complication to this basic position – the conventional consent requirements ha</w:t>
      </w:r>
      <w:r w:rsidR="0041318B">
        <w:rPr>
          <w:rFonts w:ascii="Gill Sans MT" w:hAnsi="Gill Sans MT"/>
        </w:rPr>
        <w:t>ve</w:t>
      </w:r>
      <w:r>
        <w:rPr>
          <w:rFonts w:ascii="Gill Sans MT" w:hAnsi="Gill Sans MT"/>
        </w:rPr>
        <w:t xml:space="preserve">, through the Scotland Act 2016 and the Wales Act 2017, been ‘recognised’ in statute.  The status of these provisions will be considered further below, yet </w:t>
      </w:r>
      <w:r w:rsidR="00417917">
        <w:rPr>
          <w:rFonts w:ascii="Gill Sans MT" w:hAnsi="Gill Sans MT"/>
        </w:rPr>
        <w:t>the majority rightly concluded that in enacting these provisions, the intention of Parliament had not been to incorporate justiciable consent requirements into the legislative process</w:t>
      </w:r>
      <w:r w:rsidR="005E3C75">
        <w:rPr>
          <w:rFonts w:ascii="Gill Sans MT" w:hAnsi="Gill Sans MT"/>
        </w:rPr>
        <w:t>, possible though that would have been</w:t>
      </w:r>
      <w:r w:rsidR="00417917">
        <w:rPr>
          <w:rFonts w:ascii="Gill Sans MT" w:hAnsi="Gill Sans MT"/>
        </w:rPr>
        <w:t xml:space="preserve">.  Ironically, however, the dissonance between the reasoning of the majority on the first point and the second point in </w:t>
      </w:r>
      <w:r w:rsidR="00417917">
        <w:rPr>
          <w:rFonts w:ascii="Gill Sans MT" w:hAnsi="Gill Sans MT"/>
          <w:i/>
        </w:rPr>
        <w:t xml:space="preserve">Miller </w:t>
      </w:r>
      <w:r w:rsidR="00417917">
        <w:rPr>
          <w:rFonts w:ascii="Gill Sans MT" w:hAnsi="Gill Sans MT"/>
        </w:rPr>
        <w:t>leaves space for the Supreme Court to be criticised as engaging selectively with consideration</w:t>
      </w:r>
      <w:r w:rsidR="005E3C75">
        <w:rPr>
          <w:rFonts w:ascii="Gill Sans MT" w:hAnsi="Gill Sans MT"/>
        </w:rPr>
        <w:t>s</w:t>
      </w:r>
      <w:r w:rsidR="00417917">
        <w:rPr>
          <w:rFonts w:ascii="Gill Sans MT" w:hAnsi="Gill Sans MT"/>
        </w:rPr>
        <w:t xml:space="preserve"> of ‘higher’ constitutional principle: the relatively safe outcome of writing the UK Parliament in to the withdrawal notification process could be achieved, given all indications were that the legislature would exercise its power to ensure the referendum result could be delivered, yet the much more unpredictable consequences of allowing intra-UK veto rights meant that such an outcome was sidestepped.</w:t>
      </w:r>
    </w:p>
    <w:p w14:paraId="0C518CCC" w14:textId="496E28B6" w:rsidR="00715460" w:rsidRPr="00F1541B" w:rsidRDefault="00E518ED" w:rsidP="007923E8">
      <w:pPr>
        <w:pStyle w:val="NoSpacing"/>
        <w:ind w:firstLine="720"/>
        <w:jc w:val="both"/>
        <w:rPr>
          <w:rFonts w:ascii="Gill Sans MT" w:hAnsi="Gill Sans MT"/>
        </w:rPr>
      </w:pPr>
      <w:r>
        <w:rPr>
          <w:rFonts w:ascii="Gill Sans MT" w:hAnsi="Gill Sans MT"/>
        </w:rPr>
        <w:t>R</w:t>
      </w:r>
      <w:r w:rsidR="002861FE">
        <w:rPr>
          <w:rFonts w:ascii="Gill Sans MT" w:hAnsi="Gill Sans MT"/>
        </w:rPr>
        <w:t xml:space="preserve">egardless of whether </w:t>
      </w:r>
      <w:r w:rsidR="002861FE">
        <w:rPr>
          <w:rFonts w:ascii="Gill Sans MT" w:hAnsi="Gill Sans MT"/>
          <w:i/>
        </w:rPr>
        <w:t xml:space="preserve">Miller </w:t>
      </w:r>
      <w:r w:rsidR="002861FE">
        <w:rPr>
          <w:rFonts w:ascii="Gill Sans MT" w:hAnsi="Gill Sans MT"/>
        </w:rPr>
        <w:t>was rightly decided</w:t>
      </w:r>
      <w:r>
        <w:rPr>
          <w:rFonts w:ascii="Gill Sans MT" w:hAnsi="Gill Sans MT"/>
        </w:rPr>
        <w:t xml:space="preserve"> on either of its main points</w:t>
      </w:r>
      <w:r w:rsidR="002861FE">
        <w:rPr>
          <w:rFonts w:ascii="Gill Sans MT" w:hAnsi="Gill Sans MT"/>
        </w:rPr>
        <w:t xml:space="preserve">, </w:t>
      </w:r>
      <w:r w:rsidR="0051770F">
        <w:rPr>
          <w:rFonts w:ascii="Gill Sans MT" w:hAnsi="Gill Sans MT"/>
        </w:rPr>
        <w:t xml:space="preserve">we should be </w:t>
      </w:r>
      <w:r>
        <w:rPr>
          <w:rFonts w:ascii="Gill Sans MT" w:hAnsi="Gill Sans MT"/>
        </w:rPr>
        <w:t>hesitant before</w:t>
      </w:r>
      <w:r w:rsidR="0051770F">
        <w:rPr>
          <w:rFonts w:ascii="Gill Sans MT" w:hAnsi="Gill Sans MT"/>
        </w:rPr>
        <w:t xml:space="preserve"> accept</w:t>
      </w:r>
      <w:r>
        <w:rPr>
          <w:rFonts w:ascii="Gill Sans MT" w:hAnsi="Gill Sans MT"/>
        </w:rPr>
        <w:t>ing</w:t>
      </w:r>
      <w:r w:rsidR="0051770F">
        <w:rPr>
          <w:rFonts w:ascii="Gill Sans MT" w:hAnsi="Gill Sans MT"/>
        </w:rPr>
        <w:t xml:space="preserve"> it as an unqualified vindication of parliamentary sovereignty.  </w:t>
      </w:r>
      <w:r>
        <w:rPr>
          <w:rFonts w:ascii="Gill Sans MT" w:hAnsi="Gill Sans MT"/>
        </w:rPr>
        <w:t xml:space="preserve">That formal reaffirmation is welcome insofar as it provides further clarity about the endurance of parliamentary sovereignty in the UK constitution.  Yet it is also not enough.  </w:t>
      </w:r>
      <w:r w:rsidR="00EA416A">
        <w:rPr>
          <w:rFonts w:ascii="Gill Sans MT" w:hAnsi="Gill Sans MT"/>
        </w:rPr>
        <w:t>The l</w:t>
      </w:r>
      <w:r>
        <w:rPr>
          <w:rFonts w:ascii="Gill Sans MT" w:hAnsi="Gill Sans MT"/>
        </w:rPr>
        <w:t xml:space="preserve">egacy of </w:t>
      </w:r>
      <w:r w:rsidRPr="00EA416A">
        <w:rPr>
          <w:rFonts w:ascii="Gill Sans MT" w:hAnsi="Gill Sans MT"/>
          <w:i/>
        </w:rPr>
        <w:t>Miller</w:t>
      </w:r>
      <w:r>
        <w:rPr>
          <w:rFonts w:ascii="Gill Sans MT" w:hAnsi="Gill Sans MT"/>
        </w:rPr>
        <w:t xml:space="preserve"> should be a lesson in the </w:t>
      </w:r>
      <w:r w:rsidR="00EA416A">
        <w:rPr>
          <w:rFonts w:ascii="Gill Sans MT" w:hAnsi="Gill Sans MT"/>
        </w:rPr>
        <w:t xml:space="preserve">contemporary </w:t>
      </w:r>
      <w:r>
        <w:rPr>
          <w:rFonts w:ascii="Gill Sans MT" w:hAnsi="Gill Sans MT"/>
        </w:rPr>
        <w:t>contestability of parliamentary sovereignty.  T</w:t>
      </w:r>
      <w:r>
        <w:rPr>
          <w:rFonts w:ascii="Gill Sans MT" w:hAnsi="Gill Sans MT"/>
          <w:color w:val="000000"/>
          <w:shd w:val="clear" w:color="auto" w:fill="FFFFFF"/>
        </w:rPr>
        <w:t>he majority and the dissenters all accepted the constitutional centrality of parliamentary sovereignty,</w:t>
      </w:r>
      <w:r>
        <w:rPr>
          <w:rStyle w:val="FootnoteReference"/>
          <w:rFonts w:ascii="Gill Sans MT" w:hAnsi="Gill Sans MT"/>
          <w:color w:val="000000"/>
          <w:shd w:val="clear" w:color="auto" w:fill="FFFFFF"/>
        </w:rPr>
        <w:footnoteReference w:id="71"/>
      </w:r>
      <w:r>
        <w:rPr>
          <w:rFonts w:ascii="Gill Sans MT" w:hAnsi="Gill Sans MT"/>
          <w:color w:val="000000"/>
          <w:shd w:val="clear" w:color="auto" w:fill="FFFFFF"/>
        </w:rPr>
        <w:t xml:space="preserve"> but exploit</w:t>
      </w:r>
      <w:r w:rsidR="00EA416A">
        <w:rPr>
          <w:rFonts w:ascii="Gill Sans MT" w:hAnsi="Gill Sans MT"/>
          <w:color w:val="000000"/>
          <w:shd w:val="clear" w:color="auto" w:fill="FFFFFF"/>
        </w:rPr>
        <w:t>ed</w:t>
      </w:r>
      <w:r>
        <w:rPr>
          <w:rFonts w:ascii="Gill Sans MT" w:hAnsi="Gill Sans MT"/>
          <w:color w:val="000000"/>
          <w:shd w:val="clear" w:color="auto" w:fill="FFFFFF"/>
        </w:rPr>
        <w:t xml:space="preserve"> </w:t>
      </w:r>
      <w:r w:rsidR="00EA416A">
        <w:rPr>
          <w:rFonts w:ascii="Gill Sans MT" w:hAnsi="Gill Sans MT"/>
          <w:color w:val="000000"/>
          <w:shd w:val="clear" w:color="auto" w:fill="FFFFFF"/>
        </w:rPr>
        <w:t>this</w:t>
      </w:r>
      <w:r>
        <w:rPr>
          <w:rFonts w:ascii="Gill Sans MT" w:hAnsi="Gill Sans MT"/>
          <w:color w:val="000000"/>
          <w:shd w:val="clear" w:color="auto" w:fill="FFFFFF"/>
        </w:rPr>
        <w:t xml:space="preserve"> principle in different ways, and to different ends.  If we accept the approach of the </w:t>
      </w:r>
      <w:proofErr w:type="gramStart"/>
      <w:r>
        <w:rPr>
          <w:rFonts w:ascii="Gill Sans MT" w:hAnsi="Gill Sans MT"/>
          <w:color w:val="000000"/>
          <w:shd w:val="clear" w:color="auto" w:fill="FFFFFF"/>
        </w:rPr>
        <w:t>majority</w:t>
      </w:r>
      <w:r w:rsidR="00EA416A">
        <w:rPr>
          <w:rFonts w:ascii="Gill Sans MT" w:hAnsi="Gill Sans MT"/>
          <w:color w:val="000000"/>
          <w:shd w:val="clear" w:color="auto" w:fill="FFFFFF"/>
        </w:rPr>
        <w:t xml:space="preserve"> in particular</w:t>
      </w:r>
      <w:r>
        <w:rPr>
          <w:rFonts w:ascii="Gill Sans MT" w:hAnsi="Gill Sans MT"/>
          <w:color w:val="000000"/>
          <w:shd w:val="clear" w:color="auto" w:fill="FFFFFF"/>
        </w:rPr>
        <w:t>, we</w:t>
      </w:r>
      <w:proofErr w:type="gramEnd"/>
      <w:r>
        <w:rPr>
          <w:rFonts w:ascii="Gill Sans MT" w:hAnsi="Gill Sans MT"/>
          <w:color w:val="000000"/>
          <w:shd w:val="clear" w:color="auto" w:fill="FFFFFF"/>
        </w:rPr>
        <w:t xml:space="preserve"> see parliamentary sovereignty </w:t>
      </w:r>
      <w:r>
        <w:rPr>
          <w:rFonts w:ascii="Gill Sans MT" w:hAnsi="Gill Sans MT"/>
        </w:rPr>
        <w:t>not as a legal norm established and shaped by political context, but</w:t>
      </w:r>
      <w:r w:rsidR="005E3C75">
        <w:rPr>
          <w:rFonts w:ascii="Gill Sans MT" w:hAnsi="Gill Sans MT"/>
        </w:rPr>
        <w:t xml:space="preserve"> just</w:t>
      </w:r>
      <w:r>
        <w:rPr>
          <w:rFonts w:ascii="Gill Sans MT" w:hAnsi="Gill Sans MT"/>
        </w:rPr>
        <w:t xml:space="preserve"> one </w:t>
      </w:r>
      <w:r>
        <w:rPr>
          <w:rFonts w:ascii="Gill Sans MT" w:hAnsi="Gill Sans MT"/>
        </w:rPr>
        <w:lastRenderedPageBreak/>
        <w:t xml:space="preserve">of a number of ‘constitutional’ principles for the courts to deploy and define.  </w:t>
      </w:r>
      <w:r w:rsidR="00EA416A">
        <w:rPr>
          <w:rFonts w:ascii="Gill Sans MT" w:hAnsi="Gill Sans MT"/>
        </w:rPr>
        <w:t xml:space="preserve">In many ways, </w:t>
      </w:r>
      <w:r w:rsidR="00EA416A">
        <w:rPr>
          <w:rFonts w:ascii="Gill Sans MT" w:hAnsi="Gill Sans MT"/>
          <w:i/>
        </w:rPr>
        <w:t xml:space="preserve">Miller </w:t>
      </w:r>
      <w:r w:rsidR="00EA416A">
        <w:rPr>
          <w:rFonts w:ascii="Gill Sans MT" w:hAnsi="Gill Sans MT"/>
        </w:rPr>
        <w:t>may ultimately offer a</w:t>
      </w:r>
      <w:r>
        <w:rPr>
          <w:rFonts w:ascii="Gill Sans MT" w:hAnsi="Gill Sans MT"/>
        </w:rPr>
        <w:t xml:space="preserve"> more subtle take on</w:t>
      </w:r>
      <w:r w:rsidR="00EA416A">
        <w:rPr>
          <w:rFonts w:ascii="Gill Sans MT" w:hAnsi="Gill Sans MT"/>
        </w:rPr>
        <w:t xml:space="preserve"> the dissenters in</w:t>
      </w:r>
      <w:r>
        <w:rPr>
          <w:rFonts w:ascii="Gill Sans MT" w:hAnsi="Gill Sans MT"/>
        </w:rPr>
        <w:t xml:space="preserve"> </w:t>
      </w:r>
      <w:r w:rsidRPr="00EA416A">
        <w:rPr>
          <w:rFonts w:ascii="Gill Sans MT" w:hAnsi="Gill Sans MT"/>
          <w:i/>
        </w:rPr>
        <w:t>Jackson</w:t>
      </w:r>
      <w:r w:rsidR="00EA416A">
        <w:rPr>
          <w:rFonts w:ascii="Gill Sans MT" w:hAnsi="Gill Sans MT"/>
        </w:rPr>
        <w:t>:  parliamentary sovereignty may be on a path to become</w:t>
      </w:r>
      <w:r>
        <w:rPr>
          <w:rFonts w:ascii="Gill Sans MT" w:hAnsi="Gill Sans MT"/>
        </w:rPr>
        <w:t xml:space="preserve"> a common law notion in</w:t>
      </w:r>
      <w:r w:rsidR="00EA416A">
        <w:rPr>
          <w:rFonts w:ascii="Gill Sans MT" w:hAnsi="Gill Sans MT"/>
        </w:rPr>
        <w:t xml:space="preserve"> judicial</w:t>
      </w:r>
      <w:r>
        <w:rPr>
          <w:rFonts w:ascii="Gill Sans MT" w:hAnsi="Gill Sans MT"/>
        </w:rPr>
        <w:t xml:space="preserve"> practice, </w:t>
      </w:r>
      <w:r w:rsidR="00211751">
        <w:rPr>
          <w:rFonts w:ascii="Gill Sans MT" w:hAnsi="Gill Sans MT"/>
        </w:rPr>
        <w:t>even though that idea is a nonsensical contradiction as a matter of constitutional</w:t>
      </w:r>
      <w:r>
        <w:rPr>
          <w:rFonts w:ascii="Gill Sans MT" w:hAnsi="Gill Sans MT"/>
        </w:rPr>
        <w:t xml:space="preserve"> theory.  This may seem an unlikely message to take from a case which has become so publicly associated with the </w:t>
      </w:r>
      <w:r w:rsidR="004E7B46">
        <w:rPr>
          <w:rFonts w:ascii="Gill Sans MT" w:hAnsi="Gill Sans MT"/>
        </w:rPr>
        <w:t>doctrine</w:t>
      </w:r>
      <w:r>
        <w:rPr>
          <w:rFonts w:ascii="Gill Sans MT" w:hAnsi="Gill Sans MT"/>
        </w:rPr>
        <w:t xml:space="preserve"> of </w:t>
      </w:r>
      <w:r w:rsidR="004E7B46">
        <w:rPr>
          <w:rFonts w:ascii="Gill Sans MT" w:hAnsi="Gill Sans MT"/>
        </w:rPr>
        <w:t>parliamentary</w:t>
      </w:r>
      <w:r>
        <w:rPr>
          <w:rFonts w:ascii="Gill Sans MT" w:hAnsi="Gill Sans MT"/>
        </w:rPr>
        <w:t xml:space="preserve"> </w:t>
      </w:r>
      <w:r w:rsidR="004E7B46">
        <w:rPr>
          <w:rFonts w:ascii="Gill Sans MT" w:hAnsi="Gill Sans MT"/>
        </w:rPr>
        <w:t>sovereignty</w:t>
      </w:r>
      <w:r>
        <w:rPr>
          <w:rFonts w:ascii="Gill Sans MT" w:hAnsi="Gill Sans MT"/>
        </w:rPr>
        <w:t>, but it is a message reinforced by considered the Miller judgment in the context of other recent case law engaging with the legislative authority of Parliament in recent years.</w:t>
      </w:r>
    </w:p>
    <w:p w14:paraId="6C6BF2B8" w14:textId="77777777" w:rsidR="004B54CE" w:rsidRDefault="004B54CE" w:rsidP="004B54CE">
      <w:pPr>
        <w:pStyle w:val="NoSpacing"/>
        <w:jc w:val="both"/>
        <w:rPr>
          <w:rFonts w:ascii="Gill Sans MT" w:hAnsi="Gill Sans MT"/>
        </w:rPr>
      </w:pPr>
    </w:p>
    <w:p w14:paraId="044B5E8E" w14:textId="7C5308F1" w:rsidR="004B54CE" w:rsidRPr="00C96365" w:rsidRDefault="002D24DA" w:rsidP="004B54CE">
      <w:pPr>
        <w:pStyle w:val="NoSpacing"/>
        <w:jc w:val="both"/>
        <w:rPr>
          <w:rFonts w:ascii="Gill Sans MT" w:hAnsi="Gill Sans MT"/>
          <w:i/>
          <w:u w:val="single"/>
        </w:rPr>
      </w:pPr>
      <w:r w:rsidRPr="00C96365">
        <w:rPr>
          <w:rFonts w:ascii="Gill Sans MT" w:hAnsi="Gill Sans MT"/>
          <w:i/>
          <w:u w:val="single"/>
        </w:rPr>
        <w:t>Judicial Repositioning of Parliamentary Sovereignty: Mainstreaming Doubts and Stabilising Exceptions</w:t>
      </w:r>
    </w:p>
    <w:p w14:paraId="6875DA77" w14:textId="77777777" w:rsidR="002D24DA" w:rsidRPr="00C538C5" w:rsidRDefault="002D24DA" w:rsidP="004B54CE">
      <w:pPr>
        <w:pStyle w:val="NoSpacing"/>
        <w:jc w:val="both"/>
        <w:rPr>
          <w:rFonts w:ascii="Gill Sans MT" w:hAnsi="Gill Sans MT"/>
        </w:rPr>
      </w:pPr>
    </w:p>
    <w:p w14:paraId="5958DEAA" w14:textId="021EF816" w:rsidR="006F7C0F" w:rsidRPr="00D42E58" w:rsidRDefault="003640A3" w:rsidP="00A84A33">
      <w:pPr>
        <w:pStyle w:val="NoSpacing"/>
        <w:jc w:val="both"/>
        <w:rPr>
          <w:rFonts w:ascii="Gill Sans MT" w:hAnsi="Gill Sans MT"/>
        </w:rPr>
      </w:pPr>
      <w:r>
        <w:rPr>
          <w:rFonts w:ascii="Gill Sans MT" w:hAnsi="Gill Sans MT"/>
        </w:rPr>
        <w:t>Any j</w:t>
      </w:r>
      <w:r w:rsidR="00715460" w:rsidRPr="00111AA7">
        <w:rPr>
          <w:rFonts w:ascii="Gill Sans MT" w:hAnsi="Gill Sans MT"/>
        </w:rPr>
        <w:t>udicial enthusiasm for parliamentary sovereignty – apparently</w:t>
      </w:r>
      <w:r w:rsidR="00715460">
        <w:rPr>
          <w:rFonts w:ascii="Gill Sans MT" w:hAnsi="Gill Sans MT"/>
        </w:rPr>
        <w:t>, if only superficially,</w:t>
      </w:r>
      <w:r w:rsidR="00715460" w:rsidRPr="00111AA7">
        <w:rPr>
          <w:rFonts w:ascii="Gill Sans MT" w:hAnsi="Gill Sans MT"/>
        </w:rPr>
        <w:t xml:space="preserve"> renewed in </w:t>
      </w:r>
      <w:r w:rsidR="00715460" w:rsidRPr="00BD31DA">
        <w:rPr>
          <w:rFonts w:ascii="Gill Sans MT" w:hAnsi="Gill Sans MT"/>
          <w:i/>
        </w:rPr>
        <w:t>Miller</w:t>
      </w:r>
      <w:r w:rsidR="00715460" w:rsidRPr="00111AA7">
        <w:rPr>
          <w:rFonts w:ascii="Gill Sans MT" w:hAnsi="Gill Sans MT"/>
        </w:rPr>
        <w:t xml:space="preserve"> – has not been consistent </w:t>
      </w:r>
      <w:r w:rsidR="00963FAB">
        <w:rPr>
          <w:rFonts w:ascii="Gill Sans MT" w:hAnsi="Gill Sans MT"/>
        </w:rPr>
        <w:t>even since 2015</w:t>
      </w:r>
      <w:r w:rsidR="00715460">
        <w:rPr>
          <w:rFonts w:ascii="Gill Sans MT" w:hAnsi="Gill Sans MT"/>
        </w:rPr>
        <w:t xml:space="preserve">.  </w:t>
      </w:r>
      <w:r w:rsidR="00A84A33">
        <w:rPr>
          <w:rFonts w:ascii="Gill Sans MT" w:hAnsi="Gill Sans MT"/>
        </w:rPr>
        <w:t>Indeed, d</w:t>
      </w:r>
      <w:r w:rsidR="006F7C0F">
        <w:rPr>
          <w:rFonts w:ascii="Gill Sans MT" w:hAnsi="Gill Sans MT"/>
        </w:rPr>
        <w:t xml:space="preserve">evelopments </w:t>
      </w:r>
      <w:r w:rsidR="00A84A33">
        <w:rPr>
          <w:rFonts w:ascii="Gill Sans MT" w:hAnsi="Gill Sans MT"/>
        </w:rPr>
        <w:t xml:space="preserve">in other cases </w:t>
      </w:r>
      <w:r w:rsidR="006F7C0F">
        <w:rPr>
          <w:rFonts w:ascii="Gill Sans MT" w:hAnsi="Gill Sans MT"/>
        </w:rPr>
        <w:t xml:space="preserve">have the potential to make even the formal reaffirmation of parliamentary sovereignty in </w:t>
      </w:r>
      <w:r w:rsidR="006F7C0F">
        <w:rPr>
          <w:rFonts w:ascii="Gill Sans MT" w:hAnsi="Gill Sans MT"/>
          <w:i/>
        </w:rPr>
        <w:t>Miller</w:t>
      </w:r>
      <w:r w:rsidR="006F7C0F">
        <w:rPr>
          <w:rFonts w:ascii="Gill Sans MT" w:hAnsi="Gill Sans MT"/>
        </w:rPr>
        <w:t xml:space="preserve"> seem </w:t>
      </w:r>
      <w:r w:rsidR="006D4B31">
        <w:rPr>
          <w:rFonts w:ascii="Gill Sans MT" w:hAnsi="Gill Sans MT"/>
        </w:rPr>
        <w:t>even more</w:t>
      </w:r>
      <w:r w:rsidR="00B074F7">
        <w:rPr>
          <w:rFonts w:ascii="Gill Sans MT" w:hAnsi="Gill Sans MT"/>
        </w:rPr>
        <w:t xml:space="preserve"> empty.  This can be seen through </w:t>
      </w:r>
      <w:r w:rsidR="00D42E58">
        <w:rPr>
          <w:rFonts w:ascii="Gill Sans MT" w:hAnsi="Gill Sans MT"/>
        </w:rPr>
        <w:t>three</w:t>
      </w:r>
      <w:r w:rsidR="00B074F7">
        <w:rPr>
          <w:rFonts w:ascii="Gill Sans MT" w:hAnsi="Gill Sans MT"/>
        </w:rPr>
        <w:t xml:space="preserve"> specifics trends.  First, </w:t>
      </w:r>
      <w:r w:rsidR="00DC06C7">
        <w:rPr>
          <w:rFonts w:ascii="Gill Sans MT" w:hAnsi="Gill Sans MT"/>
        </w:rPr>
        <w:t xml:space="preserve">while absent from </w:t>
      </w:r>
      <w:r w:rsidR="00D42E58">
        <w:rPr>
          <w:rFonts w:ascii="Gill Sans MT" w:hAnsi="Gill Sans MT"/>
        </w:rPr>
        <w:t xml:space="preserve">the judgment of the majority in </w:t>
      </w:r>
      <w:r w:rsidR="00D42E58">
        <w:rPr>
          <w:rFonts w:ascii="Gill Sans MT" w:hAnsi="Gill Sans MT"/>
          <w:i/>
        </w:rPr>
        <w:t>Miller</w:t>
      </w:r>
      <w:r w:rsidR="00D42E58">
        <w:rPr>
          <w:rFonts w:ascii="Gill Sans MT" w:hAnsi="Gill Sans MT"/>
        </w:rPr>
        <w:t>, many of the very same senior judges have, in other recent cases, seemed to endorse the idea that there could be common law limits on Parliament’s sovereign legislative authority.  Second, we have seen further expansion of the principle of legality, to the point where</w:t>
      </w:r>
      <w:r w:rsidR="00D74706">
        <w:rPr>
          <w:rFonts w:ascii="Gill Sans MT" w:hAnsi="Gill Sans MT"/>
        </w:rPr>
        <w:t>, rather ironically,</w:t>
      </w:r>
      <w:r w:rsidR="00D42E58">
        <w:rPr>
          <w:rFonts w:ascii="Gill Sans MT" w:hAnsi="Gill Sans MT"/>
        </w:rPr>
        <w:t xml:space="preserve"> some senior judges have used this interpretive device to justify deviation from the otherwise abundantly clear legislative </w:t>
      </w:r>
      <w:r w:rsidR="004B0DC7">
        <w:rPr>
          <w:rFonts w:ascii="Gill Sans MT" w:hAnsi="Gill Sans MT"/>
        </w:rPr>
        <w:t xml:space="preserve">rules </w:t>
      </w:r>
      <w:r w:rsidR="00D42E58">
        <w:rPr>
          <w:rFonts w:ascii="Gill Sans MT" w:hAnsi="Gill Sans MT"/>
        </w:rPr>
        <w:t xml:space="preserve">enacted by Parliament.  Third, </w:t>
      </w:r>
      <w:r w:rsidR="00D1078F">
        <w:rPr>
          <w:rFonts w:ascii="Gill Sans MT" w:hAnsi="Gill Sans MT"/>
        </w:rPr>
        <w:t>we see the judges make continued recourse to ever more elaborate frameworks rooted in selected constitutional principles and values, which directly or indirectly, have the potential to dislodge</w:t>
      </w:r>
      <w:r w:rsidR="00C77772">
        <w:rPr>
          <w:rFonts w:ascii="Gill Sans MT" w:hAnsi="Gill Sans MT"/>
        </w:rPr>
        <w:t xml:space="preserve"> </w:t>
      </w:r>
      <w:r w:rsidR="00D1078F">
        <w:rPr>
          <w:rFonts w:ascii="Gill Sans MT" w:hAnsi="Gill Sans MT"/>
        </w:rPr>
        <w:t xml:space="preserve">or displace </w:t>
      </w:r>
      <w:r w:rsidR="00C77772">
        <w:rPr>
          <w:rFonts w:ascii="Gill Sans MT" w:hAnsi="Gill Sans MT"/>
        </w:rPr>
        <w:t>the sovereignty of Parliament from its position as the UK legal system’s ultimate doctrine.</w:t>
      </w:r>
    </w:p>
    <w:p w14:paraId="4AFC7E4A" w14:textId="1261A8BC" w:rsidR="00031C8E" w:rsidRPr="00344606" w:rsidRDefault="00E607A5" w:rsidP="00825658">
      <w:pPr>
        <w:pStyle w:val="NoSpacing"/>
        <w:ind w:firstLine="720"/>
        <w:jc w:val="both"/>
        <w:rPr>
          <w:rFonts w:ascii="Gill Sans MT" w:hAnsi="Gill Sans MT"/>
        </w:rPr>
      </w:pPr>
      <w:r>
        <w:rPr>
          <w:rFonts w:ascii="Gill Sans MT" w:hAnsi="Gill Sans MT"/>
        </w:rPr>
        <w:t>First,</w:t>
      </w:r>
      <w:r w:rsidR="006B02AD">
        <w:rPr>
          <w:rFonts w:ascii="Gill Sans MT" w:hAnsi="Gill Sans MT"/>
        </w:rPr>
        <w:t xml:space="preserve"> we have seen </w:t>
      </w:r>
      <w:proofErr w:type="gramStart"/>
      <w:r w:rsidR="006B02AD">
        <w:rPr>
          <w:rFonts w:ascii="Gill Sans MT" w:hAnsi="Gill Sans MT"/>
        </w:rPr>
        <w:t>a number of</w:t>
      </w:r>
      <w:proofErr w:type="gramEnd"/>
      <w:r w:rsidR="006B02AD">
        <w:rPr>
          <w:rFonts w:ascii="Gill Sans MT" w:hAnsi="Gill Sans MT"/>
        </w:rPr>
        <w:t xml:space="preserve"> occasions on which</w:t>
      </w:r>
      <w:r w:rsidR="00715460">
        <w:rPr>
          <w:rFonts w:ascii="Gill Sans MT" w:hAnsi="Gill Sans MT"/>
        </w:rPr>
        <w:t xml:space="preserve"> some judges </w:t>
      </w:r>
      <w:r w:rsidR="006B02AD">
        <w:rPr>
          <w:rFonts w:ascii="Gill Sans MT" w:hAnsi="Gill Sans MT"/>
        </w:rPr>
        <w:t xml:space="preserve">have demonstrated </w:t>
      </w:r>
      <w:r w:rsidR="00AB40A8">
        <w:rPr>
          <w:rFonts w:ascii="Gill Sans MT" w:hAnsi="Gill Sans MT"/>
        </w:rPr>
        <w:t>some</w:t>
      </w:r>
      <w:r w:rsidR="00715460">
        <w:rPr>
          <w:rFonts w:ascii="Gill Sans MT" w:hAnsi="Gill Sans MT"/>
        </w:rPr>
        <w:t xml:space="preserve"> an openness to withdrawing their commitment to parliamentary sovereignty in a </w:t>
      </w:r>
      <w:r w:rsidR="00AB40A8">
        <w:rPr>
          <w:rFonts w:ascii="Gill Sans MT" w:hAnsi="Gill Sans MT"/>
        </w:rPr>
        <w:t>quite</w:t>
      </w:r>
      <w:r w:rsidR="00715460">
        <w:rPr>
          <w:rFonts w:ascii="Gill Sans MT" w:hAnsi="Gill Sans MT"/>
        </w:rPr>
        <w:t xml:space="preserve"> basic sense.  Contemporary doubts about whether the judiciary would have </w:t>
      </w:r>
      <w:r w:rsidR="00AB40A8">
        <w:rPr>
          <w:rFonts w:ascii="Gill Sans MT" w:hAnsi="Gill Sans MT"/>
        </w:rPr>
        <w:t xml:space="preserve">a </w:t>
      </w:r>
      <w:r w:rsidR="00715460">
        <w:rPr>
          <w:rFonts w:ascii="Gill Sans MT" w:hAnsi="Gill Sans MT"/>
        </w:rPr>
        <w:t xml:space="preserve">power at common law to reject a statute which violated fundamental constitutional norms – often imagined as a legislative attempt to limit </w:t>
      </w:r>
      <w:r w:rsidR="003A0355">
        <w:rPr>
          <w:rFonts w:ascii="Gill Sans MT" w:hAnsi="Gill Sans MT"/>
        </w:rPr>
        <w:t>t</w:t>
      </w:r>
      <w:r w:rsidR="00715460">
        <w:rPr>
          <w:rFonts w:ascii="Gill Sans MT" w:hAnsi="Gill Sans MT"/>
        </w:rPr>
        <w:t xml:space="preserve">he jurisdiction of the courts, </w:t>
      </w:r>
      <w:r w:rsidR="00AB40A8">
        <w:rPr>
          <w:rFonts w:ascii="Gill Sans MT" w:hAnsi="Gill Sans MT"/>
        </w:rPr>
        <w:t xml:space="preserve">as in the </w:t>
      </w:r>
      <w:r w:rsidR="00715460">
        <w:rPr>
          <w:rFonts w:ascii="Gill Sans MT" w:hAnsi="Gill Sans MT"/>
        </w:rPr>
        <w:t>notabl</w:t>
      </w:r>
      <w:r w:rsidR="00AB40A8">
        <w:rPr>
          <w:rFonts w:ascii="Gill Sans MT" w:hAnsi="Gill Sans MT"/>
        </w:rPr>
        <w:t>e</w:t>
      </w:r>
      <w:r w:rsidR="00715460">
        <w:rPr>
          <w:rFonts w:ascii="Gill Sans MT" w:hAnsi="Gill Sans MT"/>
        </w:rPr>
        <w:t xml:space="preserve"> obiter dicta in the </w:t>
      </w:r>
      <w:r w:rsidR="00715460">
        <w:rPr>
          <w:rFonts w:ascii="Gill Sans MT" w:hAnsi="Gill Sans MT"/>
          <w:i/>
        </w:rPr>
        <w:t>Jackson</w:t>
      </w:r>
      <w:r w:rsidR="00715460" w:rsidRPr="00FF4986">
        <w:rPr>
          <w:rStyle w:val="FootnoteReference"/>
          <w:rFonts w:ascii="Gill Sans MT" w:hAnsi="Gill Sans MT"/>
        </w:rPr>
        <w:footnoteReference w:id="72"/>
      </w:r>
      <w:r w:rsidR="00715460">
        <w:rPr>
          <w:rFonts w:ascii="Gill Sans MT" w:hAnsi="Gill Sans MT"/>
          <w:i/>
        </w:rPr>
        <w:t xml:space="preserve"> </w:t>
      </w:r>
      <w:r w:rsidR="00715460">
        <w:rPr>
          <w:rFonts w:ascii="Gill Sans MT" w:hAnsi="Gill Sans MT"/>
        </w:rPr>
        <w:t>case</w:t>
      </w:r>
      <w:r w:rsidR="00AB40A8">
        <w:rPr>
          <w:rFonts w:ascii="Gill Sans MT" w:hAnsi="Gill Sans MT"/>
        </w:rPr>
        <w:t xml:space="preserve">, and subsequently in </w:t>
      </w:r>
      <w:proofErr w:type="spellStart"/>
      <w:r w:rsidR="00AB40A8">
        <w:rPr>
          <w:rFonts w:ascii="Gill Sans MT" w:hAnsi="Gill Sans MT"/>
          <w:i/>
        </w:rPr>
        <w:t>Axa</w:t>
      </w:r>
      <w:proofErr w:type="spellEnd"/>
      <w:r w:rsidR="00AB40A8" w:rsidRPr="00AB40A8">
        <w:rPr>
          <w:rStyle w:val="FootnoteReference"/>
          <w:rFonts w:ascii="Gill Sans MT" w:hAnsi="Gill Sans MT"/>
        </w:rPr>
        <w:footnoteReference w:id="73"/>
      </w:r>
      <w:r w:rsidR="00715460">
        <w:rPr>
          <w:rFonts w:ascii="Gill Sans MT" w:hAnsi="Gill Sans MT"/>
        </w:rPr>
        <w:t xml:space="preserve"> – </w:t>
      </w:r>
      <w:r w:rsidR="00AB40A8">
        <w:rPr>
          <w:rFonts w:ascii="Gill Sans MT" w:hAnsi="Gill Sans MT"/>
        </w:rPr>
        <w:t xml:space="preserve">have attracted further support.  Indeed, speculation about the existence of such an exceptional power have been far from exceptional – instead, repetition has now seen </w:t>
      </w:r>
      <w:r w:rsidR="005F731D">
        <w:rPr>
          <w:rFonts w:ascii="Gill Sans MT" w:hAnsi="Gill Sans MT"/>
        </w:rPr>
        <w:t>fundamentally flawed</w:t>
      </w:r>
      <w:r w:rsidR="00AB40A8">
        <w:rPr>
          <w:rFonts w:ascii="Gill Sans MT" w:hAnsi="Gill Sans MT"/>
        </w:rPr>
        <w:t xml:space="preserve"> claims </w:t>
      </w:r>
      <w:r w:rsidR="005F731D">
        <w:rPr>
          <w:rFonts w:ascii="Gill Sans MT" w:hAnsi="Gill Sans MT"/>
        </w:rPr>
        <w:t xml:space="preserve">redeemed, and </w:t>
      </w:r>
      <w:r w:rsidR="00715460">
        <w:rPr>
          <w:rFonts w:ascii="Gill Sans MT" w:hAnsi="Gill Sans MT"/>
        </w:rPr>
        <w:t xml:space="preserve">manufactured into an ongoing ‘matter for debate’, according to Lord Hodge, giving the leading judgment for a majority of the Supreme Court in </w:t>
      </w:r>
      <w:proofErr w:type="spellStart"/>
      <w:r w:rsidR="00715460">
        <w:rPr>
          <w:rFonts w:ascii="Gill Sans MT" w:hAnsi="Gill Sans MT"/>
          <w:i/>
        </w:rPr>
        <w:t>Moohan</w:t>
      </w:r>
      <w:proofErr w:type="spellEnd"/>
      <w:r w:rsidR="00715460">
        <w:rPr>
          <w:rFonts w:ascii="Gill Sans MT" w:hAnsi="Gill Sans MT"/>
          <w:i/>
        </w:rPr>
        <w:t xml:space="preserve"> </w:t>
      </w:r>
      <w:r w:rsidR="00715460">
        <w:rPr>
          <w:rFonts w:ascii="Gill Sans MT" w:hAnsi="Gill Sans MT"/>
        </w:rPr>
        <w:t xml:space="preserve">v </w:t>
      </w:r>
      <w:r w:rsidR="00715460">
        <w:rPr>
          <w:rFonts w:ascii="Gill Sans MT" w:hAnsi="Gill Sans MT"/>
          <w:i/>
        </w:rPr>
        <w:t>Lord Advocate</w:t>
      </w:r>
      <w:r w:rsidR="00715460">
        <w:rPr>
          <w:rFonts w:ascii="Gill Sans MT" w:hAnsi="Gill Sans MT"/>
        </w:rPr>
        <w:t>.</w:t>
      </w:r>
      <w:r w:rsidR="00715460">
        <w:rPr>
          <w:rStyle w:val="FootnoteReference"/>
          <w:rFonts w:ascii="Gill Sans MT" w:hAnsi="Gill Sans MT"/>
        </w:rPr>
        <w:footnoteReference w:id="74"/>
      </w:r>
      <w:r w:rsidR="00715460">
        <w:rPr>
          <w:rFonts w:ascii="Gill Sans MT" w:hAnsi="Gill Sans MT"/>
        </w:rPr>
        <w:t xml:space="preserve">  </w:t>
      </w:r>
      <w:r w:rsidR="00AB40A8">
        <w:rPr>
          <w:rFonts w:ascii="Gill Sans MT" w:hAnsi="Gill Sans MT"/>
        </w:rPr>
        <w:t xml:space="preserve">These doubts – seemingly now mainstream, rather than on the fringes of judicial thinking, as </w:t>
      </w:r>
      <w:r w:rsidR="0038077A">
        <w:rPr>
          <w:rFonts w:ascii="Gill Sans MT" w:hAnsi="Gill Sans MT"/>
        </w:rPr>
        <w:t>when initially floated in</w:t>
      </w:r>
      <w:r w:rsidR="00AB40A8">
        <w:rPr>
          <w:rFonts w:ascii="Gill Sans MT" w:hAnsi="Gill Sans MT"/>
        </w:rPr>
        <w:t xml:space="preserve"> </w:t>
      </w:r>
      <w:r w:rsidR="00AB40A8">
        <w:rPr>
          <w:rFonts w:ascii="Gill Sans MT" w:hAnsi="Gill Sans MT"/>
          <w:i/>
        </w:rPr>
        <w:t>Jackson</w:t>
      </w:r>
      <w:r w:rsidR="00AB40A8">
        <w:rPr>
          <w:rFonts w:ascii="Gill Sans MT" w:hAnsi="Gill Sans MT"/>
        </w:rPr>
        <w:t xml:space="preserve"> – were further stabilised in the Supreme Court’s unanimous judgment in </w:t>
      </w:r>
      <w:r w:rsidR="00450473">
        <w:rPr>
          <w:rFonts w:ascii="Gill Sans MT" w:hAnsi="Gill Sans MT"/>
          <w:i/>
        </w:rPr>
        <w:t>R (</w:t>
      </w:r>
      <w:r w:rsidR="00AB40A8">
        <w:rPr>
          <w:rFonts w:ascii="Gill Sans MT" w:hAnsi="Gill Sans MT"/>
          <w:i/>
        </w:rPr>
        <w:t xml:space="preserve">Public Law </w:t>
      </w:r>
      <w:r w:rsidR="00AB40A8" w:rsidRPr="00344606">
        <w:rPr>
          <w:rFonts w:ascii="Gill Sans MT" w:hAnsi="Gill Sans MT"/>
          <w:i/>
        </w:rPr>
        <w:t>Project</w:t>
      </w:r>
      <w:r w:rsidR="00450473" w:rsidRPr="00344606">
        <w:rPr>
          <w:rFonts w:ascii="Gill Sans MT" w:hAnsi="Gill Sans MT"/>
          <w:i/>
        </w:rPr>
        <w:t xml:space="preserve">) </w:t>
      </w:r>
      <w:r w:rsidR="00450473" w:rsidRPr="00344606">
        <w:rPr>
          <w:rFonts w:ascii="Gill Sans MT" w:hAnsi="Gill Sans MT"/>
        </w:rPr>
        <w:t xml:space="preserve">v </w:t>
      </w:r>
      <w:r w:rsidR="00450473" w:rsidRPr="00344606">
        <w:rPr>
          <w:rFonts w:ascii="Gill Sans MT" w:hAnsi="Gill Sans MT"/>
          <w:i/>
        </w:rPr>
        <w:t>Lord Chancellor</w:t>
      </w:r>
      <w:r w:rsidR="00322CFD" w:rsidRPr="00344606">
        <w:rPr>
          <w:rFonts w:ascii="Gill Sans MT" w:hAnsi="Gill Sans MT"/>
        </w:rPr>
        <w:t>.</w:t>
      </w:r>
      <w:r w:rsidR="00450473" w:rsidRPr="00344606">
        <w:rPr>
          <w:rStyle w:val="FootnoteReference"/>
          <w:rFonts w:ascii="Gill Sans MT" w:hAnsi="Gill Sans MT"/>
        </w:rPr>
        <w:footnoteReference w:id="75"/>
      </w:r>
      <w:r w:rsidR="00322CFD" w:rsidRPr="00344606">
        <w:rPr>
          <w:rFonts w:ascii="Gill Sans MT" w:hAnsi="Gill Sans MT"/>
        </w:rPr>
        <w:t xml:space="preserve">  In this case,</w:t>
      </w:r>
      <w:r w:rsidR="00031C8E" w:rsidRPr="00344606">
        <w:rPr>
          <w:rFonts w:ascii="Gill Sans MT" w:hAnsi="Gill Sans MT"/>
        </w:rPr>
        <w:t xml:space="preserve"> even where</w:t>
      </w:r>
      <w:r w:rsidR="00322CFD" w:rsidRPr="00344606">
        <w:rPr>
          <w:rFonts w:ascii="Gill Sans MT" w:hAnsi="Gill Sans MT"/>
        </w:rPr>
        <w:t xml:space="preserve"> ‘parliamentary supremacy’ was explicitly affirmed, </w:t>
      </w:r>
      <w:r w:rsidR="00031C8E" w:rsidRPr="00344606">
        <w:rPr>
          <w:rFonts w:ascii="Gill Sans MT" w:hAnsi="Gill Sans MT"/>
        </w:rPr>
        <w:t xml:space="preserve">the existence of potential exceptions was mentioned, and further normalised.  For Lord Neuberger, with whom </w:t>
      </w:r>
      <w:r w:rsidR="00512E5F" w:rsidRPr="00344606">
        <w:rPr>
          <w:rFonts w:ascii="Gill Sans MT" w:hAnsi="Gill Sans MT"/>
        </w:rPr>
        <w:t xml:space="preserve">six other </w:t>
      </w:r>
      <w:r w:rsidR="00031C8E" w:rsidRPr="00344606">
        <w:rPr>
          <w:rFonts w:ascii="Gill Sans MT" w:hAnsi="Gill Sans MT"/>
        </w:rPr>
        <w:t>Supreme Court Justices agreed:</w:t>
      </w:r>
    </w:p>
    <w:p w14:paraId="262AC61E" w14:textId="29015B45" w:rsidR="00AB40A8" w:rsidRPr="00825658" w:rsidRDefault="00031C8E" w:rsidP="00825658">
      <w:pPr>
        <w:pStyle w:val="NoSpacing"/>
        <w:spacing w:before="40" w:after="40"/>
        <w:ind w:left="284" w:right="284"/>
        <w:jc w:val="both"/>
        <w:rPr>
          <w:rFonts w:ascii="Gill Sans MT" w:hAnsi="Gill Sans MT"/>
          <w:sz w:val="20"/>
          <w:szCs w:val="20"/>
        </w:rPr>
      </w:pPr>
      <w:r w:rsidRPr="00825658">
        <w:rPr>
          <w:rFonts w:ascii="Gill Sans MT" w:hAnsi="Gill Sans MT"/>
          <w:sz w:val="20"/>
          <w:szCs w:val="20"/>
        </w:rPr>
        <w:t>‘In our system of parliamentary supremacy (subject to arguable extreme exceptions, which I hope and expect will never have to be tested in practice), it is not open to a court to challenge or refuse to apply a statute, save to the extent that Parliament authorises or requires a court to do so.’</w:t>
      </w:r>
      <w:r w:rsidR="00450473" w:rsidRPr="00825658">
        <w:rPr>
          <w:rStyle w:val="FootnoteReference"/>
          <w:rFonts w:ascii="Gill Sans MT" w:hAnsi="Gill Sans MT"/>
          <w:sz w:val="20"/>
          <w:szCs w:val="20"/>
        </w:rPr>
        <w:footnoteReference w:id="76"/>
      </w:r>
    </w:p>
    <w:p w14:paraId="4BD25C25" w14:textId="37E06D65" w:rsidR="001252FF" w:rsidRDefault="00512E5F" w:rsidP="001252FF">
      <w:pPr>
        <w:pStyle w:val="NoSpacing"/>
        <w:jc w:val="both"/>
        <w:rPr>
          <w:rFonts w:ascii="Gill Sans MT" w:hAnsi="Gill Sans MT"/>
        </w:rPr>
      </w:pPr>
      <w:r w:rsidRPr="00344606">
        <w:rPr>
          <w:rFonts w:ascii="Gill Sans MT" w:hAnsi="Gill Sans MT"/>
        </w:rPr>
        <w:t xml:space="preserve">That these exceptional limitations are now seemingly part of a standard judicial definition of parliamentary sovereignty, even if </w:t>
      </w:r>
      <w:r w:rsidR="00344606">
        <w:rPr>
          <w:rFonts w:ascii="Gill Sans MT" w:hAnsi="Gill Sans MT"/>
        </w:rPr>
        <w:t xml:space="preserve">in parentheses, and </w:t>
      </w:r>
      <w:r w:rsidRPr="00344606">
        <w:rPr>
          <w:rFonts w:ascii="Gill Sans MT" w:hAnsi="Gill Sans MT"/>
        </w:rPr>
        <w:t xml:space="preserve">laced with qualifications, indicates that </w:t>
      </w:r>
      <w:r w:rsidR="005F731D">
        <w:rPr>
          <w:rFonts w:ascii="Gill Sans MT" w:hAnsi="Gill Sans MT"/>
        </w:rPr>
        <w:t xml:space="preserve">where once there was controversy, consensus may be growing in the Supreme Court.  </w:t>
      </w:r>
      <w:r w:rsidR="00715460" w:rsidRPr="00344606">
        <w:rPr>
          <w:rFonts w:ascii="Gill Sans MT" w:hAnsi="Gill Sans MT"/>
        </w:rPr>
        <w:t>Regardless of whether this judicial posture is ever actualised – which would seem intensely unlikely – the ease with which this abstract idea is now floated might be contributing to the</w:t>
      </w:r>
      <w:r w:rsidR="00715460">
        <w:rPr>
          <w:rFonts w:ascii="Gill Sans MT" w:hAnsi="Gill Sans MT"/>
        </w:rPr>
        <w:t xml:space="preserve"> cultivation of an environment in which we are witnessing the development of an expanded constitutional role by the judiciary, for the judiciary.</w:t>
      </w:r>
      <w:r>
        <w:rPr>
          <w:rFonts w:ascii="Gill Sans MT" w:hAnsi="Gill Sans MT"/>
        </w:rPr>
        <w:t xml:space="preserve">  And in that context, just as what once were fringe views can become almost mainstream, it is not difficult to see how what may originally be conceived as exceptional limit</w:t>
      </w:r>
      <w:r w:rsidR="003A0355">
        <w:rPr>
          <w:rFonts w:ascii="Gill Sans MT" w:hAnsi="Gill Sans MT"/>
        </w:rPr>
        <w:t>ations</w:t>
      </w:r>
      <w:r>
        <w:rPr>
          <w:rFonts w:ascii="Gill Sans MT" w:hAnsi="Gill Sans MT"/>
        </w:rPr>
        <w:t xml:space="preserve"> could potentially become somewhat more expansive. </w:t>
      </w:r>
    </w:p>
    <w:p w14:paraId="4BA749D8" w14:textId="2C289885" w:rsidR="00A84A33" w:rsidRDefault="0022352B" w:rsidP="001252FF">
      <w:pPr>
        <w:pStyle w:val="NoSpacing"/>
        <w:ind w:firstLine="720"/>
        <w:jc w:val="both"/>
        <w:rPr>
          <w:rFonts w:ascii="Gill Sans MT" w:hAnsi="Gill Sans MT"/>
        </w:rPr>
      </w:pPr>
      <w:r>
        <w:rPr>
          <w:rFonts w:ascii="Gill Sans MT" w:hAnsi="Gill Sans MT"/>
        </w:rPr>
        <w:lastRenderedPageBreak/>
        <w:t>Second, w</w:t>
      </w:r>
      <w:r w:rsidR="00A84A33">
        <w:rPr>
          <w:rFonts w:ascii="Gill Sans MT" w:hAnsi="Gill Sans MT"/>
        </w:rPr>
        <w:t>e have seen further expansion of the principle of legality</w:t>
      </w:r>
      <w:r w:rsidR="00206D3C">
        <w:rPr>
          <w:rFonts w:ascii="Gill Sans MT" w:hAnsi="Gill Sans MT"/>
        </w:rPr>
        <w:t xml:space="preserve">, developing it beyond an entirely reasonable constraint </w:t>
      </w:r>
      <w:r w:rsidR="00E05C5C">
        <w:rPr>
          <w:rFonts w:ascii="Gill Sans MT" w:hAnsi="Gill Sans MT"/>
        </w:rPr>
        <w:t xml:space="preserve">applicable </w:t>
      </w:r>
      <w:r w:rsidR="00D32B99">
        <w:rPr>
          <w:rFonts w:ascii="Gill Sans MT" w:hAnsi="Gill Sans MT"/>
        </w:rPr>
        <w:t>in the context of</w:t>
      </w:r>
      <w:r w:rsidR="00206D3C">
        <w:rPr>
          <w:rFonts w:ascii="Gill Sans MT" w:hAnsi="Gill Sans MT"/>
        </w:rPr>
        <w:t xml:space="preserve"> </w:t>
      </w:r>
      <w:r w:rsidR="00E05C5C">
        <w:rPr>
          <w:rFonts w:ascii="Gill Sans MT" w:hAnsi="Gill Sans MT"/>
        </w:rPr>
        <w:t>legislative</w:t>
      </w:r>
      <w:r w:rsidR="00206D3C">
        <w:rPr>
          <w:rFonts w:ascii="Gill Sans MT" w:hAnsi="Gill Sans MT"/>
        </w:rPr>
        <w:t xml:space="preserve"> grants of broad delegated powers to the executive</w:t>
      </w:r>
      <w:r w:rsidR="00A84A33">
        <w:rPr>
          <w:rFonts w:ascii="Gill Sans MT" w:hAnsi="Gill Sans MT"/>
        </w:rPr>
        <w:t xml:space="preserve">.  Just as the court in </w:t>
      </w:r>
      <w:r w:rsidR="00A84A33">
        <w:rPr>
          <w:rFonts w:ascii="Gill Sans MT" w:hAnsi="Gill Sans MT"/>
          <w:i/>
        </w:rPr>
        <w:t xml:space="preserve">Miller </w:t>
      </w:r>
      <w:r w:rsidR="00A84A33">
        <w:rPr>
          <w:rFonts w:ascii="Gill Sans MT" w:hAnsi="Gill Sans MT"/>
        </w:rPr>
        <w:t xml:space="preserve">used reasoning based on the idea that the sovereign Parliament can do anything it likes, subject to the caveat </w:t>
      </w:r>
      <w:r w:rsidR="00976A2A">
        <w:rPr>
          <w:rFonts w:ascii="Gill Sans MT" w:hAnsi="Gill Sans MT"/>
        </w:rPr>
        <w:t>that the legislature</w:t>
      </w:r>
      <w:r w:rsidR="00A84A33">
        <w:rPr>
          <w:rFonts w:ascii="Gill Sans MT" w:hAnsi="Gill Sans MT"/>
        </w:rPr>
        <w:t xml:space="preserve"> must be clear about it to the satisfaction of the judges, there have been other examples of the highly selective deployment of this principle of statutory interpretation.  An even more stark example of the use of reasoning modelled on the principle of legality to undermine the intention of Parliament, as expressed in legislation, can be seen in </w:t>
      </w:r>
      <w:r w:rsidR="00A84A33">
        <w:rPr>
          <w:rFonts w:ascii="Gill Sans MT" w:hAnsi="Gill Sans MT"/>
          <w:i/>
        </w:rPr>
        <w:t xml:space="preserve">R (Evans) </w:t>
      </w:r>
      <w:r w:rsidR="00A84A33">
        <w:rPr>
          <w:rFonts w:ascii="Gill Sans MT" w:hAnsi="Gill Sans MT"/>
        </w:rPr>
        <w:t xml:space="preserve">v </w:t>
      </w:r>
      <w:r w:rsidR="00A84A33">
        <w:rPr>
          <w:rFonts w:ascii="Gill Sans MT" w:hAnsi="Gill Sans MT"/>
          <w:i/>
        </w:rPr>
        <w:t>Attorney General</w:t>
      </w:r>
      <w:r w:rsidR="00A84A33">
        <w:rPr>
          <w:rFonts w:ascii="Gill Sans MT" w:hAnsi="Gill Sans MT"/>
        </w:rPr>
        <w:t>.</w:t>
      </w:r>
      <w:r w:rsidR="00A84A33">
        <w:rPr>
          <w:rStyle w:val="FootnoteReference"/>
          <w:rFonts w:ascii="Gill Sans MT" w:hAnsi="Gill Sans MT"/>
        </w:rPr>
        <w:footnoteReference w:id="77"/>
      </w:r>
      <w:r w:rsidR="00A84A33">
        <w:rPr>
          <w:rFonts w:ascii="Gill Sans MT" w:hAnsi="Gill Sans MT"/>
        </w:rPr>
        <w:t xml:space="preserve">  In </w:t>
      </w:r>
      <w:r w:rsidR="00A84A33">
        <w:rPr>
          <w:rFonts w:ascii="Gill Sans MT" w:hAnsi="Gill Sans MT"/>
          <w:i/>
        </w:rPr>
        <w:t xml:space="preserve">Evans, </w:t>
      </w:r>
      <w:r w:rsidR="00A84A33">
        <w:rPr>
          <w:rFonts w:ascii="Gill Sans MT" w:hAnsi="Gill Sans MT"/>
        </w:rPr>
        <w:t>a majority of the Supreme Court held as unlawful the exercise of ministerial powers clearly set out in section 53 of the Freedom of Information Act 2000, preventing an executive veto of an earlier judicial decision ordering the disclosure of certain letters written by the heir to the throne, Prince Charles, to various government departments.  The leading judgment of Lord Neuberger accepted that a power of veto could be created, but remarkably, given the palpably clear language of the statute indicating that Parliament had intended to do exactly that, it was decided that this was not ‘crystal clear’.</w:t>
      </w:r>
      <w:r w:rsidR="00A84A33">
        <w:rPr>
          <w:rStyle w:val="FootnoteReference"/>
          <w:rFonts w:ascii="Gill Sans MT" w:hAnsi="Gill Sans MT"/>
        </w:rPr>
        <w:footnoteReference w:id="78"/>
      </w:r>
      <w:r w:rsidR="00A84A33">
        <w:rPr>
          <w:rFonts w:ascii="Gill Sans MT" w:hAnsi="Gill Sans MT"/>
        </w:rPr>
        <w:t xml:space="preserve">  As Lord Wilson observed in dissent, this ‘re-wrote’ rather than interpreted the statute,</w:t>
      </w:r>
      <w:r w:rsidR="00A84A33">
        <w:rPr>
          <w:rStyle w:val="FootnoteReference"/>
          <w:rFonts w:ascii="Gill Sans MT" w:hAnsi="Gill Sans MT"/>
        </w:rPr>
        <w:footnoteReference w:id="79"/>
      </w:r>
      <w:r w:rsidR="00A84A33">
        <w:rPr>
          <w:rFonts w:ascii="Gill Sans MT" w:hAnsi="Gill Sans MT"/>
        </w:rPr>
        <w:t xml:space="preserve"> ultimately leading to the rules of law enacted by Parliament being disregarded in a bid to preserve a very particular conception of the rule of law, according to which judicial decisions were to be afforded a near unassailable sanctity.</w:t>
      </w:r>
      <w:r w:rsidR="00D32B99">
        <w:rPr>
          <w:rFonts w:ascii="Gill Sans MT" w:hAnsi="Gill Sans MT"/>
        </w:rPr>
        <w:t xml:space="preserve">  </w:t>
      </w:r>
      <w:r w:rsidR="006F7022">
        <w:rPr>
          <w:rFonts w:ascii="Gill Sans MT" w:hAnsi="Gill Sans MT"/>
        </w:rPr>
        <w:t>P</w:t>
      </w:r>
      <w:r w:rsidR="00D32B99">
        <w:rPr>
          <w:rFonts w:ascii="Gill Sans MT" w:hAnsi="Gill Sans MT"/>
        </w:rPr>
        <w:t xml:space="preserve">arliamentary sovereignty faded </w:t>
      </w:r>
      <w:r w:rsidR="006F7022">
        <w:rPr>
          <w:rFonts w:ascii="Gill Sans MT" w:hAnsi="Gill Sans MT"/>
        </w:rPr>
        <w:t xml:space="preserve">conveniently </w:t>
      </w:r>
      <w:r w:rsidR="00D32B99">
        <w:rPr>
          <w:rFonts w:ascii="Gill Sans MT" w:hAnsi="Gill Sans MT"/>
        </w:rPr>
        <w:t>into the background in this case</w:t>
      </w:r>
      <w:r w:rsidR="006F7022">
        <w:rPr>
          <w:rFonts w:ascii="Gill Sans MT" w:hAnsi="Gill Sans MT"/>
        </w:rPr>
        <w:t xml:space="preserve">, </w:t>
      </w:r>
      <w:r w:rsidR="00D32B99">
        <w:rPr>
          <w:rFonts w:ascii="Gill Sans MT" w:hAnsi="Gill Sans MT"/>
        </w:rPr>
        <w:t xml:space="preserve">quite literally </w:t>
      </w:r>
      <w:r w:rsidR="006F7022">
        <w:rPr>
          <w:rFonts w:ascii="Gill Sans MT" w:hAnsi="Gill Sans MT"/>
        </w:rPr>
        <w:t xml:space="preserve">so </w:t>
      </w:r>
      <w:r w:rsidR="00D32B99">
        <w:rPr>
          <w:rFonts w:ascii="Gill Sans MT" w:hAnsi="Gill Sans MT"/>
        </w:rPr>
        <w:t>in the judgment of Lord Neuberger</w:t>
      </w:r>
      <w:r w:rsidR="006F7022">
        <w:rPr>
          <w:rFonts w:ascii="Gill Sans MT" w:hAnsi="Gill Sans MT"/>
        </w:rPr>
        <w:t>, for whom it was a ‘given’, relegated to a parenthetical mention,</w:t>
      </w:r>
      <w:r w:rsidR="006F7022">
        <w:rPr>
          <w:rStyle w:val="FootnoteReference"/>
          <w:rFonts w:ascii="Gill Sans MT" w:hAnsi="Gill Sans MT"/>
        </w:rPr>
        <w:footnoteReference w:id="80"/>
      </w:r>
      <w:r w:rsidR="006F7022">
        <w:rPr>
          <w:rFonts w:ascii="Gill Sans MT" w:hAnsi="Gill Sans MT"/>
        </w:rPr>
        <w:t xml:space="preserve"> as compared to a ‘most precious’ principle, ‘emblematic of our democracy’, for Lord Wilson.</w:t>
      </w:r>
      <w:r w:rsidR="006F7022">
        <w:rPr>
          <w:rStyle w:val="FootnoteReference"/>
          <w:rFonts w:ascii="Gill Sans MT" w:hAnsi="Gill Sans MT"/>
        </w:rPr>
        <w:footnoteReference w:id="81"/>
      </w:r>
    </w:p>
    <w:p w14:paraId="537407F1" w14:textId="61CD10F0" w:rsidR="00A84A33" w:rsidRDefault="00440DD7" w:rsidP="00AB0DCC">
      <w:pPr>
        <w:pStyle w:val="NoSpacing"/>
        <w:jc w:val="both"/>
        <w:rPr>
          <w:rFonts w:ascii="Gill Sans MT" w:hAnsi="Gill Sans MT"/>
        </w:rPr>
      </w:pPr>
      <w:r>
        <w:rPr>
          <w:rFonts w:ascii="Gill Sans MT" w:hAnsi="Gill Sans MT"/>
        </w:rPr>
        <w:tab/>
        <w:t xml:space="preserve">The third trend is the growing emphasis on explicitly ‘constitutional’ principles in judicial decision-making.  We see intensive, overt reliance on constitutional principles and ideas in both </w:t>
      </w:r>
      <w:r>
        <w:rPr>
          <w:rFonts w:ascii="Gill Sans MT" w:hAnsi="Gill Sans MT"/>
          <w:i/>
        </w:rPr>
        <w:t>Miller</w:t>
      </w:r>
      <w:r>
        <w:rPr>
          <w:rFonts w:ascii="Gill Sans MT" w:hAnsi="Gill Sans MT"/>
        </w:rPr>
        <w:t xml:space="preserve"> and </w:t>
      </w:r>
      <w:r>
        <w:rPr>
          <w:rFonts w:ascii="Gill Sans MT" w:hAnsi="Gill Sans MT"/>
          <w:i/>
        </w:rPr>
        <w:t>Evans</w:t>
      </w:r>
      <w:r w:rsidR="00C733B2">
        <w:rPr>
          <w:rFonts w:ascii="Gill Sans MT" w:hAnsi="Gill Sans MT"/>
        </w:rPr>
        <w:t>, r</w:t>
      </w:r>
      <w:r>
        <w:rPr>
          <w:rFonts w:ascii="Gill Sans MT" w:hAnsi="Gill Sans MT"/>
        </w:rPr>
        <w:t>einforcing a pattern which</w:t>
      </w:r>
      <w:r w:rsidR="005812CB">
        <w:rPr>
          <w:rFonts w:ascii="Gill Sans MT" w:hAnsi="Gill Sans MT"/>
        </w:rPr>
        <w:t xml:space="preserve"> had</w:t>
      </w:r>
      <w:r>
        <w:rPr>
          <w:rFonts w:ascii="Gill Sans MT" w:hAnsi="Gill Sans MT"/>
        </w:rPr>
        <w:t xml:space="preserve"> previously reached its high point in the </w:t>
      </w:r>
      <w:r>
        <w:rPr>
          <w:rFonts w:ascii="Gill Sans MT" w:hAnsi="Gill Sans MT"/>
          <w:i/>
        </w:rPr>
        <w:t>HS2</w:t>
      </w:r>
      <w:r>
        <w:rPr>
          <w:rFonts w:ascii="Gill Sans MT" w:hAnsi="Gill Sans MT"/>
        </w:rPr>
        <w:t xml:space="preserve"> case</w:t>
      </w:r>
      <w:r w:rsidR="00C733B2">
        <w:rPr>
          <w:rFonts w:ascii="Gill Sans MT" w:hAnsi="Gill Sans MT"/>
        </w:rPr>
        <w:t xml:space="preserve">, </w:t>
      </w:r>
      <w:r>
        <w:rPr>
          <w:rFonts w:ascii="Gill Sans MT" w:hAnsi="Gill Sans MT"/>
        </w:rPr>
        <w:t xml:space="preserve">in which Lords Neuberger and </w:t>
      </w:r>
      <w:proofErr w:type="spellStart"/>
      <w:r>
        <w:rPr>
          <w:rFonts w:ascii="Gill Sans MT" w:hAnsi="Gill Sans MT"/>
        </w:rPr>
        <w:t>Mance</w:t>
      </w:r>
      <w:proofErr w:type="spellEnd"/>
      <w:r w:rsidR="00C733B2">
        <w:rPr>
          <w:rFonts w:ascii="Gill Sans MT" w:hAnsi="Gill Sans MT"/>
        </w:rPr>
        <w:t xml:space="preserve"> went so far as to devise a framework comprising ‘constitutional instruments’ and common law principles which were ‘fundamental to the rule of law’.</w:t>
      </w:r>
      <w:r w:rsidR="00C733B2">
        <w:rPr>
          <w:rStyle w:val="FootnoteReference"/>
          <w:rFonts w:ascii="Gill Sans MT" w:hAnsi="Gill Sans MT"/>
        </w:rPr>
        <w:footnoteReference w:id="82"/>
      </w:r>
      <w:r w:rsidR="00461A5D">
        <w:rPr>
          <w:rFonts w:ascii="Gill Sans MT" w:hAnsi="Gill Sans MT"/>
        </w:rPr>
        <w:t xml:space="preserve">  This trend was also very apparent in the case of </w:t>
      </w:r>
      <w:r w:rsidR="00461A5D">
        <w:rPr>
          <w:rFonts w:ascii="Gill Sans MT" w:hAnsi="Gill Sans MT"/>
          <w:i/>
        </w:rPr>
        <w:t xml:space="preserve">R (UNISON) </w:t>
      </w:r>
      <w:r w:rsidR="00461A5D">
        <w:rPr>
          <w:rFonts w:ascii="Gill Sans MT" w:hAnsi="Gill Sans MT"/>
        </w:rPr>
        <w:t xml:space="preserve">v </w:t>
      </w:r>
      <w:r w:rsidR="00461A5D">
        <w:rPr>
          <w:rFonts w:ascii="Gill Sans MT" w:hAnsi="Gill Sans MT"/>
          <w:i/>
        </w:rPr>
        <w:t>Lord Chancellor</w:t>
      </w:r>
      <w:r w:rsidR="00461A5D">
        <w:rPr>
          <w:rFonts w:ascii="Gill Sans MT" w:hAnsi="Gill Sans MT"/>
        </w:rPr>
        <w:t>,</w:t>
      </w:r>
      <w:r w:rsidR="002A5215">
        <w:rPr>
          <w:rStyle w:val="FootnoteReference"/>
          <w:rFonts w:ascii="Gill Sans MT" w:hAnsi="Gill Sans MT"/>
        </w:rPr>
        <w:footnoteReference w:id="83"/>
      </w:r>
      <w:r w:rsidR="00461A5D">
        <w:rPr>
          <w:rFonts w:ascii="Gill Sans MT" w:hAnsi="Gill Sans MT"/>
        </w:rPr>
        <w:t xml:space="preserve"> in which the Supreme Court held that the fees </w:t>
      </w:r>
      <w:r w:rsidR="002A5215">
        <w:rPr>
          <w:rFonts w:ascii="Gill Sans MT" w:hAnsi="Gill Sans MT"/>
        </w:rPr>
        <w:t>imposed by the government on litigants seeking t</w:t>
      </w:r>
      <w:r w:rsidR="00461A5D">
        <w:rPr>
          <w:rFonts w:ascii="Gill Sans MT" w:hAnsi="Gill Sans MT"/>
        </w:rPr>
        <w:t xml:space="preserve">o bring </w:t>
      </w:r>
      <w:r w:rsidR="00AF0FDA">
        <w:rPr>
          <w:rFonts w:ascii="Gill Sans MT" w:hAnsi="Gill Sans MT"/>
        </w:rPr>
        <w:t>claims</w:t>
      </w:r>
      <w:r w:rsidR="00461A5D">
        <w:rPr>
          <w:rFonts w:ascii="Gill Sans MT" w:hAnsi="Gill Sans MT"/>
        </w:rPr>
        <w:t xml:space="preserve"> in </w:t>
      </w:r>
      <w:r w:rsidR="00AF0FDA">
        <w:rPr>
          <w:rFonts w:ascii="Gill Sans MT" w:hAnsi="Gill Sans MT"/>
        </w:rPr>
        <w:t>e</w:t>
      </w:r>
      <w:r w:rsidR="00461A5D">
        <w:rPr>
          <w:rFonts w:ascii="Gill Sans MT" w:hAnsi="Gill Sans MT"/>
        </w:rPr>
        <w:t xml:space="preserve">mployment </w:t>
      </w:r>
      <w:r w:rsidR="00AF0FDA">
        <w:rPr>
          <w:rFonts w:ascii="Gill Sans MT" w:hAnsi="Gill Sans MT"/>
        </w:rPr>
        <w:t>t</w:t>
      </w:r>
      <w:r w:rsidR="00461A5D">
        <w:rPr>
          <w:rFonts w:ascii="Gill Sans MT" w:hAnsi="Gill Sans MT"/>
        </w:rPr>
        <w:t>ribunal</w:t>
      </w:r>
      <w:r w:rsidR="00AF0FDA">
        <w:rPr>
          <w:rFonts w:ascii="Gill Sans MT" w:hAnsi="Gill Sans MT"/>
        </w:rPr>
        <w:t>s</w:t>
      </w:r>
      <w:r w:rsidR="00461A5D">
        <w:rPr>
          <w:rFonts w:ascii="Gill Sans MT" w:hAnsi="Gill Sans MT"/>
        </w:rPr>
        <w:t xml:space="preserve"> were so excessive as to constitute an interference with access to justice, </w:t>
      </w:r>
      <w:r w:rsidR="00AF0FDA">
        <w:rPr>
          <w:rFonts w:ascii="Gill Sans MT" w:hAnsi="Gill Sans MT"/>
        </w:rPr>
        <w:t xml:space="preserve">and </w:t>
      </w:r>
      <w:r w:rsidR="00461A5D">
        <w:rPr>
          <w:rFonts w:ascii="Gill Sans MT" w:hAnsi="Gill Sans MT"/>
        </w:rPr>
        <w:t xml:space="preserve">which </w:t>
      </w:r>
      <w:r w:rsidR="002A5215">
        <w:rPr>
          <w:rFonts w:ascii="Gill Sans MT" w:hAnsi="Gill Sans MT"/>
        </w:rPr>
        <w:t xml:space="preserve">had not been </w:t>
      </w:r>
      <w:r w:rsidR="00AF0FDA">
        <w:rPr>
          <w:rFonts w:ascii="Gill Sans MT" w:hAnsi="Gill Sans MT"/>
        </w:rPr>
        <w:t xml:space="preserve">lawfully </w:t>
      </w:r>
      <w:r w:rsidR="002A5215">
        <w:rPr>
          <w:rFonts w:ascii="Gill Sans MT" w:hAnsi="Gill Sans MT"/>
        </w:rPr>
        <w:t xml:space="preserve">authorised by the broad delegated powers </w:t>
      </w:r>
      <w:r w:rsidR="00AF0FDA">
        <w:rPr>
          <w:rFonts w:ascii="Gill Sans MT" w:hAnsi="Gill Sans MT"/>
        </w:rPr>
        <w:t>to prescribe fees under section 42(1) of the Tribunals, Courts and Enforcement Act 2007.  The result of the case does not present a challenge</w:t>
      </w:r>
      <w:r w:rsidR="00FD0A78">
        <w:rPr>
          <w:rFonts w:ascii="Gill Sans MT" w:hAnsi="Gill Sans MT"/>
        </w:rPr>
        <w:t xml:space="preserve"> to parliamentary sovereignty, </w:t>
      </w:r>
      <w:r w:rsidR="00E97D90">
        <w:rPr>
          <w:rFonts w:ascii="Gill Sans MT" w:hAnsi="Gill Sans MT"/>
        </w:rPr>
        <w:t xml:space="preserve">as it represents a </w:t>
      </w:r>
      <w:r w:rsidR="00C04E65">
        <w:rPr>
          <w:rFonts w:ascii="Gill Sans MT" w:hAnsi="Gill Sans MT"/>
        </w:rPr>
        <w:t xml:space="preserve">relatively predictable enforcement of an implied limitation on an expansive delegated power, in light of a manifestly unreasonable exercise of the power, in line with established case </w:t>
      </w:r>
      <w:r w:rsidR="00C04E65" w:rsidRPr="007651D2">
        <w:rPr>
          <w:rFonts w:ascii="Gill Sans MT" w:hAnsi="Gill Sans MT"/>
        </w:rPr>
        <w:t>law and practices of statutory interpretation.</w:t>
      </w:r>
      <w:r w:rsidR="00C04E65" w:rsidRPr="007651D2">
        <w:rPr>
          <w:rStyle w:val="FootnoteReference"/>
          <w:rFonts w:ascii="Gill Sans MT" w:hAnsi="Gill Sans MT"/>
        </w:rPr>
        <w:footnoteReference w:id="84"/>
      </w:r>
      <w:r w:rsidR="00C04E65" w:rsidRPr="007651D2">
        <w:rPr>
          <w:rFonts w:ascii="Gill Sans MT" w:hAnsi="Gill Sans MT"/>
        </w:rPr>
        <w:t xml:space="preserve">  Yet a challenge may</w:t>
      </w:r>
      <w:r w:rsidR="007651D2" w:rsidRPr="007651D2">
        <w:rPr>
          <w:rFonts w:ascii="Gill Sans MT" w:hAnsi="Gill Sans MT"/>
        </w:rPr>
        <w:t xml:space="preserve"> nevertheless</w:t>
      </w:r>
      <w:r w:rsidR="00C04E65" w:rsidRPr="007651D2">
        <w:rPr>
          <w:rFonts w:ascii="Gill Sans MT" w:hAnsi="Gill Sans MT"/>
        </w:rPr>
        <w:t xml:space="preserve"> lurk within the reasoning</w:t>
      </w:r>
      <w:r w:rsidR="007651D2" w:rsidRPr="007651D2">
        <w:rPr>
          <w:rFonts w:ascii="Gill Sans MT" w:hAnsi="Gill Sans MT"/>
        </w:rPr>
        <w:t xml:space="preserve"> of the court</w:t>
      </w:r>
      <w:r w:rsidR="00C04E65" w:rsidRPr="007651D2">
        <w:rPr>
          <w:rFonts w:ascii="Gill Sans MT" w:hAnsi="Gill Sans MT"/>
        </w:rPr>
        <w:t xml:space="preserve">, which shows </w:t>
      </w:r>
      <w:r w:rsidR="00FD0A78" w:rsidRPr="007651D2">
        <w:rPr>
          <w:rFonts w:ascii="Gill Sans MT" w:hAnsi="Gill Sans MT"/>
        </w:rPr>
        <w:t>a shifting focus to constitutional principles to resolve public law dilemmas</w:t>
      </w:r>
      <w:r w:rsidR="007651D2" w:rsidRPr="007651D2">
        <w:rPr>
          <w:rFonts w:ascii="Gill Sans MT" w:hAnsi="Gill Sans MT"/>
        </w:rPr>
        <w:t>.  According to the leading judgment of Lord Reed, the ‘constitutional right of access to the courts is inherent in the rule of law’, which was of considerable importance because ‘</w:t>
      </w:r>
      <w:r w:rsidR="007651D2">
        <w:rPr>
          <w:rFonts w:ascii="Gill Sans MT" w:hAnsi="Gill Sans MT"/>
        </w:rPr>
        <w:t>[w]</w:t>
      </w:r>
      <w:proofErr w:type="spellStart"/>
      <w:r w:rsidR="007651D2" w:rsidRPr="007651D2">
        <w:rPr>
          <w:rFonts w:ascii="Gill Sans MT" w:hAnsi="Gill Sans MT"/>
        </w:rPr>
        <w:t>ithout</w:t>
      </w:r>
      <w:proofErr w:type="spellEnd"/>
      <w:r w:rsidR="007651D2" w:rsidRPr="007651D2">
        <w:rPr>
          <w:rFonts w:ascii="Gill Sans MT" w:hAnsi="Gill Sans MT"/>
        </w:rPr>
        <w:t xml:space="preserve"> such access, laws are liable to become a dead letter, the work done by Parliament may be rendered nugatory, and the democratic election of Members of Parliament may become a meaningless charade. That is why the courts do not merely provide a public service like any other</w:t>
      </w:r>
      <w:r w:rsidR="007651D2">
        <w:rPr>
          <w:rFonts w:ascii="Gill Sans MT" w:hAnsi="Gill Sans MT"/>
        </w:rPr>
        <w:t>’.</w:t>
      </w:r>
      <w:r w:rsidR="007651D2">
        <w:rPr>
          <w:rStyle w:val="FootnoteReference"/>
          <w:rFonts w:ascii="Gill Sans MT" w:hAnsi="Gill Sans MT"/>
        </w:rPr>
        <w:footnoteReference w:id="85"/>
      </w:r>
      <w:r w:rsidR="00FD0A78" w:rsidRPr="007651D2">
        <w:rPr>
          <w:rFonts w:ascii="Gill Sans MT" w:hAnsi="Gill Sans MT"/>
        </w:rPr>
        <w:t xml:space="preserve">  </w:t>
      </w:r>
      <w:r w:rsidR="001B29EA">
        <w:rPr>
          <w:rFonts w:ascii="Gill Sans MT" w:hAnsi="Gill Sans MT"/>
        </w:rPr>
        <w:t xml:space="preserve">Such dramatic framing has the very obvious effect of increasing </w:t>
      </w:r>
      <w:r w:rsidR="00FD0A78" w:rsidRPr="007651D2">
        <w:rPr>
          <w:rFonts w:ascii="Gill Sans MT" w:hAnsi="Gill Sans MT"/>
        </w:rPr>
        <w:t xml:space="preserve">the grandeur of constitutional </w:t>
      </w:r>
      <w:r w:rsidR="00FD0A78">
        <w:rPr>
          <w:rFonts w:ascii="Gill Sans MT" w:hAnsi="Gill Sans MT"/>
        </w:rPr>
        <w:t xml:space="preserve">adjudication, </w:t>
      </w:r>
      <w:r w:rsidR="001B29EA">
        <w:rPr>
          <w:rFonts w:ascii="Gill Sans MT" w:hAnsi="Gill Sans MT"/>
        </w:rPr>
        <w:t xml:space="preserve">and </w:t>
      </w:r>
      <w:r w:rsidR="00AD2536">
        <w:rPr>
          <w:rFonts w:ascii="Gill Sans MT" w:hAnsi="Gill Sans MT"/>
        </w:rPr>
        <w:t>constructing</w:t>
      </w:r>
      <w:r w:rsidR="001B29EA">
        <w:rPr>
          <w:rFonts w:ascii="Gill Sans MT" w:hAnsi="Gill Sans MT"/>
        </w:rPr>
        <w:t xml:space="preserve"> principles with the</w:t>
      </w:r>
      <w:r w:rsidR="00AD2536">
        <w:rPr>
          <w:rFonts w:ascii="Gill Sans MT" w:hAnsi="Gill Sans MT"/>
        </w:rPr>
        <w:t xml:space="preserve"> potential</w:t>
      </w:r>
      <w:r w:rsidR="00315711">
        <w:rPr>
          <w:rFonts w:ascii="Gill Sans MT" w:hAnsi="Gill Sans MT"/>
        </w:rPr>
        <w:t xml:space="preserve"> – whether or not realised in the instant case – </w:t>
      </w:r>
      <w:r w:rsidR="001B29EA">
        <w:rPr>
          <w:rFonts w:ascii="Gill Sans MT" w:hAnsi="Gill Sans MT"/>
        </w:rPr>
        <w:t xml:space="preserve">to compete with the doctrine of </w:t>
      </w:r>
      <w:r w:rsidR="00AD2536">
        <w:rPr>
          <w:rFonts w:ascii="Gill Sans MT" w:hAnsi="Gill Sans MT"/>
        </w:rPr>
        <w:t>parliamentary sovereignty</w:t>
      </w:r>
      <w:r w:rsidR="001B29EA">
        <w:rPr>
          <w:rFonts w:ascii="Gill Sans MT" w:hAnsi="Gill Sans MT"/>
        </w:rPr>
        <w:t xml:space="preserve">, </w:t>
      </w:r>
      <w:r w:rsidR="00AD2536">
        <w:rPr>
          <w:rFonts w:ascii="Gill Sans MT" w:hAnsi="Gill Sans MT"/>
        </w:rPr>
        <w:t xml:space="preserve">when </w:t>
      </w:r>
      <w:r w:rsidR="001B29EA">
        <w:rPr>
          <w:rFonts w:ascii="Gill Sans MT" w:hAnsi="Gill Sans MT"/>
        </w:rPr>
        <w:t>the necessity of so doing is far from clear w</w:t>
      </w:r>
      <w:r w:rsidR="00977960">
        <w:rPr>
          <w:rFonts w:ascii="Gill Sans MT" w:hAnsi="Gill Sans MT"/>
        </w:rPr>
        <w:t xml:space="preserve">hen performing the </w:t>
      </w:r>
      <w:r w:rsidR="001A3837">
        <w:rPr>
          <w:rFonts w:ascii="Gill Sans MT" w:hAnsi="Gill Sans MT"/>
        </w:rPr>
        <w:t xml:space="preserve">core judicial </w:t>
      </w:r>
      <w:r w:rsidR="00977960">
        <w:rPr>
          <w:rFonts w:ascii="Gill Sans MT" w:hAnsi="Gill Sans MT"/>
        </w:rPr>
        <w:t xml:space="preserve">task of establishing the existence of reasonable limits on the scope of </w:t>
      </w:r>
      <w:r w:rsidR="00977960">
        <w:rPr>
          <w:rFonts w:ascii="Gill Sans MT" w:hAnsi="Gill Sans MT"/>
        </w:rPr>
        <w:lastRenderedPageBreak/>
        <w:t xml:space="preserve">broad </w:t>
      </w:r>
      <w:r w:rsidR="001A3837">
        <w:rPr>
          <w:rFonts w:ascii="Gill Sans MT" w:hAnsi="Gill Sans MT"/>
        </w:rPr>
        <w:t>delegated law-making</w:t>
      </w:r>
      <w:r w:rsidR="00977960">
        <w:rPr>
          <w:rFonts w:ascii="Gill Sans MT" w:hAnsi="Gill Sans MT"/>
        </w:rPr>
        <w:t xml:space="preserve"> power</w:t>
      </w:r>
      <w:r w:rsidR="001A3837">
        <w:rPr>
          <w:rFonts w:ascii="Gill Sans MT" w:hAnsi="Gill Sans MT"/>
        </w:rPr>
        <w:t>s</w:t>
      </w:r>
      <w:r w:rsidR="00977960">
        <w:rPr>
          <w:rFonts w:ascii="Gill Sans MT" w:hAnsi="Gill Sans MT"/>
        </w:rPr>
        <w:t>.</w:t>
      </w:r>
      <w:r w:rsidR="00722DDB">
        <w:rPr>
          <w:rFonts w:ascii="Gill Sans MT" w:hAnsi="Gill Sans MT"/>
        </w:rPr>
        <w:t xml:space="preserve">  </w:t>
      </w:r>
      <w:r w:rsidR="00634103">
        <w:rPr>
          <w:rFonts w:ascii="Gill Sans MT" w:hAnsi="Gill Sans MT"/>
        </w:rPr>
        <w:t>The doctrine of parliamentary sovereignty seems to become unduly precarious w</w:t>
      </w:r>
      <w:r w:rsidR="00722DDB">
        <w:rPr>
          <w:rFonts w:ascii="Gill Sans MT" w:hAnsi="Gill Sans MT"/>
        </w:rPr>
        <w:t xml:space="preserve">hen the courts place greater and greater emphasis on arguments that the text of legislation must be interpreted not simply in light of what Parliament has (and has not) clearly intended, </w:t>
      </w:r>
      <w:r w:rsidR="00722DDB" w:rsidRPr="00207921">
        <w:rPr>
          <w:rFonts w:ascii="Gill Sans MT" w:hAnsi="Gill Sans MT"/>
        </w:rPr>
        <w:t>but also ‘the constitutional principles which underlie the text’</w:t>
      </w:r>
      <w:r w:rsidR="00634103" w:rsidRPr="00207921">
        <w:rPr>
          <w:rFonts w:ascii="Gill Sans MT" w:hAnsi="Gill Sans MT"/>
        </w:rPr>
        <w:t xml:space="preserve">.  And this is especially the case when </w:t>
      </w:r>
      <w:r w:rsidR="00930253" w:rsidRPr="00207921">
        <w:rPr>
          <w:rFonts w:ascii="Gill Sans MT" w:hAnsi="Gill Sans MT"/>
        </w:rPr>
        <w:t xml:space="preserve">it is suggested, as by Lord Reed in </w:t>
      </w:r>
      <w:r w:rsidR="00930253" w:rsidRPr="00207921">
        <w:rPr>
          <w:rFonts w:ascii="Gill Sans MT" w:hAnsi="Gill Sans MT"/>
          <w:i/>
        </w:rPr>
        <w:t>UNISON</w:t>
      </w:r>
      <w:r w:rsidR="00930253" w:rsidRPr="00207921">
        <w:rPr>
          <w:rFonts w:ascii="Gill Sans MT" w:hAnsi="Gill Sans MT"/>
        </w:rPr>
        <w:t xml:space="preserve">, that </w:t>
      </w:r>
      <w:r w:rsidR="00634103" w:rsidRPr="00207921">
        <w:rPr>
          <w:rFonts w:ascii="Gill Sans MT" w:hAnsi="Gill Sans MT"/>
        </w:rPr>
        <w:t>the ‘principles of statutory</w:t>
      </w:r>
      <w:r w:rsidR="00634103">
        <w:rPr>
          <w:rFonts w:ascii="Gill Sans MT" w:hAnsi="Gill Sans MT"/>
        </w:rPr>
        <w:t xml:space="preserve"> interpretation’ exist to ‘give effect’ to those vague constitutional principles, rather to the intention of Parliament captured in the terms of its legislation.</w:t>
      </w:r>
      <w:r w:rsidR="00634103">
        <w:rPr>
          <w:rStyle w:val="FootnoteReference"/>
          <w:rFonts w:ascii="Gill Sans MT" w:hAnsi="Gill Sans MT"/>
        </w:rPr>
        <w:footnoteReference w:id="86"/>
      </w:r>
      <w:r w:rsidR="00634103">
        <w:rPr>
          <w:rFonts w:ascii="Gill Sans MT" w:hAnsi="Gill Sans MT"/>
        </w:rPr>
        <w:t xml:space="preserve"> </w:t>
      </w:r>
      <w:r w:rsidR="00977960">
        <w:rPr>
          <w:rFonts w:ascii="Gill Sans MT" w:hAnsi="Gill Sans MT"/>
        </w:rPr>
        <w:t xml:space="preserve"> </w:t>
      </w:r>
      <w:r w:rsidR="00930253">
        <w:rPr>
          <w:rFonts w:ascii="Gill Sans MT" w:hAnsi="Gill Sans MT"/>
        </w:rPr>
        <w:t xml:space="preserve">The UK Supreme Court’s constitutionalising tendency </w:t>
      </w:r>
      <w:r w:rsidR="00977960">
        <w:rPr>
          <w:rFonts w:ascii="Gill Sans MT" w:hAnsi="Gill Sans MT"/>
        </w:rPr>
        <w:t>may lay the ground for more elaborate interference with parliamentary sovereignty in the future.</w:t>
      </w:r>
    </w:p>
    <w:p w14:paraId="5B88295B" w14:textId="70DDC86F" w:rsidR="00715460" w:rsidRPr="00141C34" w:rsidRDefault="00715460" w:rsidP="00CC5A04">
      <w:pPr>
        <w:pStyle w:val="NoSpacing"/>
        <w:ind w:firstLine="720"/>
        <w:jc w:val="both"/>
        <w:rPr>
          <w:rFonts w:ascii="Gill Sans MT" w:hAnsi="Gill Sans MT"/>
        </w:rPr>
      </w:pPr>
      <w:r>
        <w:rPr>
          <w:rFonts w:ascii="Gill Sans MT" w:hAnsi="Gill Sans MT"/>
        </w:rPr>
        <w:t xml:space="preserve">These attention grabbing claims may be contrasted with more subtle questions about the </w:t>
      </w:r>
      <w:r w:rsidR="001D189E">
        <w:rPr>
          <w:rFonts w:ascii="Gill Sans MT" w:hAnsi="Gill Sans MT"/>
        </w:rPr>
        <w:t xml:space="preserve">relationship between the </w:t>
      </w:r>
      <w:r>
        <w:rPr>
          <w:rFonts w:ascii="Gill Sans MT" w:hAnsi="Gill Sans MT"/>
        </w:rPr>
        <w:t xml:space="preserve">sovereignty of Parliament </w:t>
      </w:r>
      <w:r w:rsidR="00CC75AE">
        <w:rPr>
          <w:rFonts w:ascii="Gill Sans MT" w:hAnsi="Gill Sans MT"/>
        </w:rPr>
        <w:t xml:space="preserve">and other constitutional principles </w:t>
      </w:r>
      <w:r>
        <w:rPr>
          <w:rFonts w:ascii="Gill Sans MT" w:hAnsi="Gill Sans MT"/>
        </w:rPr>
        <w:t>raised</w:t>
      </w:r>
      <w:r w:rsidR="00CC75AE">
        <w:rPr>
          <w:rFonts w:ascii="Gill Sans MT" w:hAnsi="Gill Sans MT"/>
        </w:rPr>
        <w:t xml:space="preserve"> in</w:t>
      </w:r>
      <w:r>
        <w:rPr>
          <w:rFonts w:ascii="Gill Sans MT" w:hAnsi="Gill Sans MT"/>
        </w:rPr>
        <w:t xml:space="preserve"> </w:t>
      </w:r>
      <w:r>
        <w:rPr>
          <w:rFonts w:ascii="Gill Sans MT" w:hAnsi="Gill Sans MT"/>
          <w:i/>
        </w:rPr>
        <w:t xml:space="preserve">R (Pham) </w:t>
      </w:r>
      <w:r>
        <w:rPr>
          <w:rFonts w:ascii="Gill Sans MT" w:hAnsi="Gill Sans MT"/>
        </w:rPr>
        <w:t xml:space="preserve">v </w:t>
      </w:r>
      <w:r>
        <w:rPr>
          <w:rFonts w:ascii="Gill Sans MT" w:hAnsi="Gill Sans MT"/>
          <w:i/>
        </w:rPr>
        <w:t>Secretary of State for the Home Department</w:t>
      </w:r>
      <w:r>
        <w:rPr>
          <w:rFonts w:ascii="Gill Sans MT" w:hAnsi="Gill Sans MT"/>
        </w:rPr>
        <w:t>.</w:t>
      </w:r>
      <w:r>
        <w:rPr>
          <w:rStyle w:val="FootnoteReference"/>
          <w:rFonts w:ascii="Gill Sans MT" w:hAnsi="Gill Sans MT"/>
        </w:rPr>
        <w:footnoteReference w:id="87"/>
      </w:r>
      <w:r>
        <w:rPr>
          <w:rFonts w:ascii="Gill Sans MT" w:hAnsi="Gill Sans MT"/>
        </w:rPr>
        <w:t xml:space="preserve">  In this case, </w:t>
      </w:r>
      <w:r w:rsidR="00E85350">
        <w:rPr>
          <w:rFonts w:ascii="Gill Sans MT" w:hAnsi="Gill Sans MT"/>
        </w:rPr>
        <w:t xml:space="preserve">concerning the relationship between domestic and EU citizenship, </w:t>
      </w:r>
      <w:r>
        <w:rPr>
          <w:rFonts w:ascii="Gill Sans MT" w:hAnsi="Gill Sans MT"/>
        </w:rPr>
        <w:t>we see</w:t>
      </w:r>
      <w:r w:rsidRPr="00111AA7">
        <w:rPr>
          <w:rFonts w:ascii="Gill Sans MT" w:hAnsi="Gill Sans MT"/>
        </w:rPr>
        <w:t xml:space="preserve"> ostensible recognition</w:t>
      </w:r>
      <w:r>
        <w:rPr>
          <w:rFonts w:ascii="Gill Sans MT" w:hAnsi="Gill Sans MT"/>
        </w:rPr>
        <w:t xml:space="preserve"> of the significance of parliamentary sovereignty, and reiteration of the fact that the domestic force of EU law has been contingent on its authorisation by Parliament.</w:t>
      </w:r>
      <w:r>
        <w:rPr>
          <w:rStyle w:val="FootnoteReference"/>
          <w:rFonts w:ascii="Gill Sans MT" w:hAnsi="Gill Sans MT"/>
        </w:rPr>
        <w:footnoteReference w:id="88"/>
      </w:r>
      <w:r>
        <w:rPr>
          <w:rFonts w:ascii="Gill Sans MT" w:hAnsi="Gill Sans MT"/>
        </w:rPr>
        <w:t xml:space="preserve">  There is also, however, continued – but not concluded – discussion of whether the courts could read implied limitations into the apparently unqualified authorisation given to EU norms by the European Communities Act 1972.  </w:t>
      </w:r>
      <w:r w:rsidR="00E85350">
        <w:rPr>
          <w:rFonts w:ascii="Gill Sans MT" w:hAnsi="Gill Sans MT"/>
        </w:rPr>
        <w:t xml:space="preserve">In </w:t>
      </w:r>
      <w:r w:rsidR="00E85350" w:rsidRPr="00E85350">
        <w:rPr>
          <w:rFonts w:ascii="Gill Sans MT" w:hAnsi="Gill Sans MT"/>
          <w:i/>
        </w:rPr>
        <w:t>Pham</w:t>
      </w:r>
      <w:r w:rsidR="00E85350">
        <w:rPr>
          <w:rFonts w:ascii="Gill Sans MT" w:hAnsi="Gill Sans MT"/>
        </w:rPr>
        <w:t>, the substantive question concerned whether possession of EU citizenship could be a constraint on the operation of national rules regulating the withdrawal of domestic citizenship, given the EU treaties, interpreted literally, seemed to leave control of citizenship in the competence of member states.</w:t>
      </w:r>
      <w:r w:rsidR="00E85350">
        <w:rPr>
          <w:rStyle w:val="FootnoteReference"/>
          <w:rFonts w:ascii="Gill Sans MT" w:hAnsi="Gill Sans MT"/>
        </w:rPr>
        <w:footnoteReference w:id="89"/>
      </w:r>
      <w:r w:rsidR="00E85350">
        <w:rPr>
          <w:rFonts w:ascii="Gill Sans MT" w:hAnsi="Gill Sans MT"/>
        </w:rPr>
        <w:t xml:space="preserve">  </w:t>
      </w:r>
      <w:r w:rsidRPr="00E85350">
        <w:rPr>
          <w:rFonts w:ascii="Gill Sans MT" w:hAnsi="Gill Sans MT"/>
        </w:rPr>
        <w:t>As</w:t>
      </w:r>
      <w:r>
        <w:rPr>
          <w:rFonts w:ascii="Gill Sans MT" w:hAnsi="Gill Sans MT"/>
        </w:rPr>
        <w:t xml:space="preserve"> in the case of </w:t>
      </w:r>
      <w:r>
        <w:rPr>
          <w:rFonts w:ascii="Gill Sans MT" w:hAnsi="Gill Sans MT"/>
          <w:i/>
        </w:rPr>
        <w:t>HS2</w:t>
      </w:r>
      <w:r w:rsidR="00E85350">
        <w:rPr>
          <w:rFonts w:ascii="Gill Sans MT" w:hAnsi="Gill Sans MT"/>
        </w:rPr>
        <w:t>,</w:t>
      </w:r>
      <w:r w:rsidRPr="00CA28E6">
        <w:rPr>
          <w:rStyle w:val="FootnoteReference"/>
          <w:rFonts w:ascii="Gill Sans MT" w:hAnsi="Gill Sans MT"/>
        </w:rPr>
        <w:footnoteReference w:id="90"/>
      </w:r>
      <w:r>
        <w:rPr>
          <w:rFonts w:ascii="Gill Sans MT" w:hAnsi="Gill Sans MT"/>
        </w:rPr>
        <w:t xml:space="preserve"> </w:t>
      </w:r>
      <w:r w:rsidR="00E85350">
        <w:rPr>
          <w:rFonts w:ascii="Gill Sans MT" w:hAnsi="Gill Sans MT"/>
        </w:rPr>
        <w:t xml:space="preserve">the Supreme Court in </w:t>
      </w:r>
      <w:r w:rsidR="00E85350">
        <w:rPr>
          <w:rFonts w:ascii="Gill Sans MT" w:hAnsi="Gill Sans MT"/>
          <w:i/>
        </w:rPr>
        <w:t xml:space="preserve">Pham </w:t>
      </w:r>
      <w:r w:rsidR="00E85350">
        <w:rPr>
          <w:rFonts w:ascii="Gill Sans MT" w:hAnsi="Gill Sans MT"/>
        </w:rPr>
        <w:t>raised questions about the interpretation of EU law adopted by the Court of Justice of the European Union, and sought to speculate about</w:t>
      </w:r>
      <w:r>
        <w:rPr>
          <w:rFonts w:ascii="Gill Sans MT" w:hAnsi="Gill Sans MT"/>
        </w:rPr>
        <w:t xml:space="preserve"> </w:t>
      </w:r>
      <w:r w:rsidR="00E85350">
        <w:rPr>
          <w:rFonts w:ascii="Gill Sans MT" w:hAnsi="Gill Sans MT"/>
        </w:rPr>
        <w:t>whether domestic courts were bound to accept any judicial overreach by the CJEU</w:t>
      </w:r>
      <w:r>
        <w:rPr>
          <w:rFonts w:ascii="Gill Sans MT" w:hAnsi="Gill Sans MT"/>
        </w:rPr>
        <w:t xml:space="preserve">, </w:t>
      </w:r>
      <w:r w:rsidR="00E85350">
        <w:rPr>
          <w:rFonts w:ascii="Gill Sans MT" w:hAnsi="Gill Sans MT"/>
        </w:rPr>
        <w:t>especially where to do so would challenge significance domestic constitutional norms</w:t>
      </w:r>
      <w:r w:rsidR="00CC75AE">
        <w:rPr>
          <w:rFonts w:ascii="Gill Sans MT" w:hAnsi="Gill Sans MT"/>
        </w:rPr>
        <w:t xml:space="preserve"> or prerogatives</w:t>
      </w:r>
      <w:r w:rsidR="00E85350">
        <w:rPr>
          <w:rFonts w:ascii="Gill Sans MT" w:hAnsi="Gill Sans MT"/>
        </w:rPr>
        <w:t xml:space="preserve">.  </w:t>
      </w:r>
      <w:r w:rsidR="00CC75AE">
        <w:rPr>
          <w:rFonts w:ascii="Gill Sans MT" w:hAnsi="Gill Sans MT"/>
        </w:rPr>
        <w:t xml:space="preserve">The Supreme Court adopted an explicit framework rooted in constitutionalism to suggest in </w:t>
      </w:r>
      <w:r w:rsidR="00CC75AE">
        <w:rPr>
          <w:rFonts w:ascii="Gill Sans MT" w:hAnsi="Gill Sans MT"/>
          <w:i/>
        </w:rPr>
        <w:t xml:space="preserve">Pham </w:t>
      </w:r>
      <w:r w:rsidR="00CC75AE">
        <w:rPr>
          <w:rFonts w:ascii="Gill Sans MT" w:hAnsi="Gill Sans MT"/>
        </w:rPr>
        <w:t xml:space="preserve">that national competence over citizenship might not give way even if confronted with ostensibly supreme EU law, just as in </w:t>
      </w:r>
      <w:r w:rsidR="00CC75AE">
        <w:rPr>
          <w:rFonts w:ascii="Gill Sans MT" w:hAnsi="Gill Sans MT"/>
          <w:i/>
        </w:rPr>
        <w:t xml:space="preserve">HS2 </w:t>
      </w:r>
      <w:r w:rsidR="00CC75AE">
        <w:rPr>
          <w:rFonts w:ascii="Gill Sans MT" w:hAnsi="Gill Sans MT"/>
        </w:rPr>
        <w:t xml:space="preserve">it had suggested that </w:t>
      </w:r>
      <w:r w:rsidR="001B62C7">
        <w:rPr>
          <w:rFonts w:ascii="Gill Sans MT" w:hAnsi="Gill Sans MT"/>
        </w:rPr>
        <w:t xml:space="preserve">constitutionally fundamental </w:t>
      </w:r>
      <w:r w:rsidR="00CC75AE">
        <w:rPr>
          <w:rFonts w:ascii="Gill Sans MT" w:hAnsi="Gill Sans MT"/>
        </w:rPr>
        <w:t xml:space="preserve">domestic rules </w:t>
      </w:r>
      <w:r w:rsidR="001B62C7">
        <w:rPr>
          <w:rFonts w:ascii="Gill Sans MT" w:hAnsi="Gill Sans MT"/>
        </w:rPr>
        <w:t>protecting</w:t>
      </w:r>
      <w:r w:rsidR="00CC75AE">
        <w:rPr>
          <w:rFonts w:ascii="Gill Sans MT" w:hAnsi="Gill Sans MT"/>
        </w:rPr>
        <w:t xml:space="preserve"> parliamentary privilege might be resistant to </w:t>
      </w:r>
      <w:r w:rsidR="001B62C7">
        <w:rPr>
          <w:rFonts w:ascii="Gill Sans MT" w:hAnsi="Gill Sans MT"/>
        </w:rPr>
        <w:t xml:space="preserve">contrary EU norms.  Yet while </w:t>
      </w:r>
      <w:r>
        <w:rPr>
          <w:rFonts w:ascii="Gill Sans MT" w:hAnsi="Gill Sans MT"/>
        </w:rPr>
        <w:t>seemingly prioritising domestic constitutional principles over the supremacy of EU law, the</w:t>
      </w:r>
      <w:r w:rsidR="001B62C7">
        <w:rPr>
          <w:rFonts w:ascii="Gill Sans MT" w:hAnsi="Gill Sans MT"/>
        </w:rPr>
        <w:t xml:space="preserve"> </w:t>
      </w:r>
      <w:r w:rsidR="00AC6052">
        <w:rPr>
          <w:rFonts w:ascii="Gill Sans MT" w:hAnsi="Gill Sans MT"/>
        </w:rPr>
        <w:t xml:space="preserve">(never implemented, and so ultimately hypothetical) approach of the </w:t>
      </w:r>
      <w:r w:rsidR="001B62C7">
        <w:rPr>
          <w:rFonts w:ascii="Gill Sans MT" w:hAnsi="Gill Sans MT"/>
        </w:rPr>
        <w:t xml:space="preserve">Supreme Court in </w:t>
      </w:r>
      <w:r w:rsidR="001B62C7">
        <w:rPr>
          <w:rFonts w:ascii="Gill Sans MT" w:hAnsi="Gill Sans MT"/>
          <w:i/>
        </w:rPr>
        <w:t xml:space="preserve">Pham </w:t>
      </w:r>
      <w:r w:rsidR="001B62C7">
        <w:rPr>
          <w:rFonts w:ascii="Gill Sans MT" w:hAnsi="Gill Sans MT"/>
        </w:rPr>
        <w:t xml:space="preserve">and </w:t>
      </w:r>
      <w:r w:rsidR="001B62C7">
        <w:rPr>
          <w:rFonts w:ascii="Gill Sans MT" w:hAnsi="Gill Sans MT"/>
          <w:i/>
        </w:rPr>
        <w:t>HS2</w:t>
      </w:r>
      <w:r>
        <w:rPr>
          <w:rFonts w:ascii="Gill Sans MT" w:hAnsi="Gill Sans MT"/>
        </w:rPr>
        <w:t xml:space="preserve"> could </w:t>
      </w:r>
      <w:r w:rsidR="00AC6052">
        <w:rPr>
          <w:rFonts w:ascii="Gill Sans MT" w:hAnsi="Gill Sans MT"/>
        </w:rPr>
        <w:t>actually</w:t>
      </w:r>
      <w:r w:rsidR="00CC5A04">
        <w:rPr>
          <w:rFonts w:ascii="Gill Sans MT" w:hAnsi="Gill Sans MT"/>
        </w:rPr>
        <w:t xml:space="preserve"> result in </w:t>
      </w:r>
      <w:r>
        <w:rPr>
          <w:rFonts w:ascii="Gill Sans MT" w:hAnsi="Gill Sans MT"/>
        </w:rPr>
        <w:t xml:space="preserve">prioritising other domestic constitutional principles at the expense of parliamentary sovereignty.  </w:t>
      </w:r>
      <w:r w:rsidR="00CC5A04">
        <w:rPr>
          <w:rFonts w:ascii="Gill Sans MT" w:hAnsi="Gill Sans MT"/>
        </w:rPr>
        <w:t xml:space="preserve">For the ECA 1972 does not establish any explicit constitutional limits on the domestic supremacy it affords to EU law, and if such limits (general or particular) are to be established, they should surely be imposed by the sovereign Parliament through specific legislation, following wider political scrutiny, rather than being unilaterally imposed by the judiciary.  </w:t>
      </w:r>
      <w:r>
        <w:rPr>
          <w:rFonts w:ascii="Gill Sans MT" w:hAnsi="Gill Sans MT"/>
        </w:rPr>
        <w:t>While the UK’s impending exit from the EU will resolve this specific dilemma, the potential willingness of the courts to read legislation in such a way as to protect chosen fundamental principles in this context reinforces the broader trend of the judiciary moving towards a more contestable style of constitutional common law reasoning</w:t>
      </w:r>
      <w:r w:rsidR="0045587D">
        <w:rPr>
          <w:rFonts w:ascii="Gill Sans MT" w:hAnsi="Gill Sans MT"/>
        </w:rPr>
        <w:t>, which stands in marked contrast with the judicial minimalism evident in earlier cases recognising that Parliament was responsible for decisions about the domestic status of EU law</w:t>
      </w:r>
      <w:r w:rsidR="00CC5A04">
        <w:rPr>
          <w:rFonts w:ascii="Gill Sans MT" w:hAnsi="Gill Sans MT"/>
        </w:rPr>
        <w:t>.</w:t>
      </w:r>
      <w:r w:rsidR="0045587D">
        <w:rPr>
          <w:rStyle w:val="FootnoteReference"/>
          <w:rFonts w:ascii="Gill Sans MT" w:hAnsi="Gill Sans MT"/>
        </w:rPr>
        <w:footnoteReference w:id="91"/>
      </w:r>
    </w:p>
    <w:p w14:paraId="7F710F7E" w14:textId="314D003D" w:rsidR="005129E9" w:rsidRDefault="00AE09CE" w:rsidP="00961E5B">
      <w:pPr>
        <w:pStyle w:val="NoSpacing"/>
        <w:ind w:firstLine="720"/>
        <w:jc w:val="both"/>
        <w:rPr>
          <w:rFonts w:ascii="Gill Sans MT" w:hAnsi="Gill Sans MT"/>
        </w:rPr>
      </w:pPr>
      <w:r>
        <w:rPr>
          <w:rFonts w:ascii="Gill Sans MT" w:hAnsi="Gill Sans MT"/>
        </w:rPr>
        <w:t xml:space="preserve">Ultimately, we can see these trends </w:t>
      </w:r>
      <w:r w:rsidR="00C67A33">
        <w:rPr>
          <w:rFonts w:ascii="Gill Sans MT" w:hAnsi="Gill Sans MT"/>
        </w:rPr>
        <w:t xml:space="preserve">as interlocking – increased speculation about exceptions to power which is legally unlimited is reinforced by reading more elaborate implied limits into parliamentary </w:t>
      </w:r>
      <w:proofErr w:type="gramStart"/>
      <w:r w:rsidR="00C67A33">
        <w:rPr>
          <w:rFonts w:ascii="Gill Sans MT" w:hAnsi="Gill Sans MT"/>
        </w:rPr>
        <w:t>legislation, and</w:t>
      </w:r>
      <w:proofErr w:type="gramEnd"/>
      <w:r w:rsidR="00C67A33">
        <w:rPr>
          <w:rFonts w:ascii="Gill Sans MT" w:hAnsi="Gill Sans MT"/>
        </w:rPr>
        <w:t xml:space="preserve"> justified by reliance on more refined competing constitutional principles.</w:t>
      </w:r>
      <w:r w:rsidR="00AB0DCC">
        <w:rPr>
          <w:rFonts w:ascii="Gill Sans MT" w:hAnsi="Gill Sans MT"/>
        </w:rPr>
        <w:t xml:space="preserve">  </w:t>
      </w:r>
      <w:r w:rsidR="00C67A33">
        <w:rPr>
          <w:rFonts w:ascii="Gill Sans MT" w:hAnsi="Gill Sans MT"/>
        </w:rPr>
        <w:t xml:space="preserve"> </w:t>
      </w:r>
      <w:r w:rsidR="005129E9">
        <w:rPr>
          <w:rFonts w:ascii="Gill Sans MT" w:hAnsi="Gill Sans MT"/>
        </w:rPr>
        <w:t>And while there are some notable exceptions to this pattern – found in cases where a more formalistic approach to statutory interpretation is evident,</w:t>
      </w:r>
      <w:r w:rsidR="005129E9">
        <w:rPr>
          <w:rStyle w:val="FootnoteReference"/>
          <w:rFonts w:ascii="Gill Sans MT" w:hAnsi="Gill Sans MT"/>
        </w:rPr>
        <w:footnoteReference w:id="92"/>
      </w:r>
      <w:r w:rsidR="005129E9">
        <w:rPr>
          <w:rFonts w:ascii="Gill Sans MT" w:hAnsi="Gill Sans MT"/>
        </w:rPr>
        <w:t xml:space="preserve"> or where expansive constitutionalist arguments </w:t>
      </w:r>
      <w:r w:rsidR="005129E9">
        <w:rPr>
          <w:rFonts w:ascii="Gill Sans MT" w:hAnsi="Gill Sans MT"/>
        </w:rPr>
        <w:lastRenderedPageBreak/>
        <w:t xml:space="preserve">which </w:t>
      </w:r>
      <w:r w:rsidR="0051090F">
        <w:rPr>
          <w:rFonts w:ascii="Gill Sans MT" w:hAnsi="Gill Sans MT"/>
        </w:rPr>
        <w:t>depart from</w:t>
      </w:r>
      <w:r w:rsidR="005129E9">
        <w:rPr>
          <w:rFonts w:ascii="Gill Sans MT" w:hAnsi="Gill Sans MT"/>
        </w:rPr>
        <w:t xml:space="preserve"> the usual implications of parliamentary sovereignty do not attract majority support</w:t>
      </w:r>
      <w:r w:rsidR="0051090F">
        <w:rPr>
          <w:rStyle w:val="FootnoteReference"/>
          <w:rFonts w:ascii="Gill Sans MT" w:hAnsi="Gill Sans MT"/>
        </w:rPr>
        <w:footnoteReference w:id="93"/>
      </w:r>
      <w:r w:rsidR="005129E9">
        <w:rPr>
          <w:rFonts w:ascii="Gill Sans MT" w:hAnsi="Gill Sans MT"/>
        </w:rPr>
        <w:t xml:space="preserve"> – the overall trajectory of </w:t>
      </w:r>
      <w:r w:rsidR="0051090F">
        <w:rPr>
          <w:rFonts w:ascii="Gill Sans MT" w:hAnsi="Gill Sans MT"/>
        </w:rPr>
        <w:t xml:space="preserve">this changing </w:t>
      </w:r>
      <w:r w:rsidR="005129E9">
        <w:rPr>
          <w:rFonts w:ascii="Gill Sans MT" w:hAnsi="Gill Sans MT"/>
        </w:rPr>
        <w:t xml:space="preserve">judicial </w:t>
      </w:r>
      <w:r w:rsidR="0051090F">
        <w:rPr>
          <w:rFonts w:ascii="Gill Sans MT" w:hAnsi="Gill Sans MT"/>
        </w:rPr>
        <w:t>approach</w:t>
      </w:r>
      <w:r w:rsidR="005129E9">
        <w:rPr>
          <w:rFonts w:ascii="Gill Sans MT" w:hAnsi="Gill Sans MT"/>
        </w:rPr>
        <w:t xml:space="preserve"> is clear.  </w:t>
      </w:r>
      <w:r w:rsidR="00C67A33">
        <w:rPr>
          <w:rFonts w:ascii="Gill Sans MT" w:hAnsi="Gill Sans MT"/>
        </w:rPr>
        <w:t xml:space="preserve">It is in this </w:t>
      </w:r>
      <w:r w:rsidR="00BE759F">
        <w:rPr>
          <w:rFonts w:ascii="Gill Sans MT" w:hAnsi="Gill Sans MT"/>
        </w:rPr>
        <w:t xml:space="preserve">broader </w:t>
      </w:r>
      <w:r w:rsidR="00C67A33">
        <w:rPr>
          <w:rFonts w:ascii="Gill Sans MT" w:hAnsi="Gill Sans MT"/>
        </w:rPr>
        <w:t>context that</w:t>
      </w:r>
      <w:r w:rsidR="00BE759F">
        <w:rPr>
          <w:rFonts w:ascii="Gill Sans MT" w:hAnsi="Gill Sans MT"/>
        </w:rPr>
        <w:t xml:space="preserve"> our assessment of the implications</w:t>
      </w:r>
      <w:r w:rsidR="00C67A33">
        <w:rPr>
          <w:rFonts w:ascii="Gill Sans MT" w:hAnsi="Gill Sans MT"/>
        </w:rPr>
        <w:t xml:space="preserve"> </w:t>
      </w:r>
      <w:r w:rsidR="00C67A33">
        <w:rPr>
          <w:rFonts w:ascii="Gill Sans MT" w:hAnsi="Gill Sans MT"/>
          <w:i/>
        </w:rPr>
        <w:t>Miller</w:t>
      </w:r>
      <w:r w:rsidR="00C67A33">
        <w:rPr>
          <w:rFonts w:ascii="Gill Sans MT" w:hAnsi="Gill Sans MT"/>
        </w:rPr>
        <w:t xml:space="preserve"> must be located.  To do so </w:t>
      </w:r>
      <w:r w:rsidR="00F51837">
        <w:rPr>
          <w:rFonts w:ascii="Gill Sans MT" w:hAnsi="Gill Sans MT"/>
        </w:rPr>
        <w:t>reveals</w:t>
      </w:r>
      <w:r w:rsidR="005129E9">
        <w:rPr>
          <w:rFonts w:ascii="Gill Sans MT" w:hAnsi="Gill Sans MT"/>
        </w:rPr>
        <w:t xml:space="preserve"> the</w:t>
      </w:r>
      <w:r w:rsidR="00F51837">
        <w:rPr>
          <w:rFonts w:ascii="Gill Sans MT" w:hAnsi="Gill Sans MT"/>
        </w:rPr>
        <w:t xml:space="preserve"> tension between formal reaffirmation of the principle of parliamentary sovereignty, and respect for its implications in practice.  That </w:t>
      </w:r>
      <w:r w:rsidR="005129E9">
        <w:rPr>
          <w:rFonts w:ascii="Gill Sans MT" w:hAnsi="Gill Sans MT"/>
        </w:rPr>
        <w:t>parliamentary</w:t>
      </w:r>
      <w:r w:rsidR="00F51837">
        <w:rPr>
          <w:rFonts w:ascii="Gill Sans MT" w:hAnsi="Gill Sans MT"/>
        </w:rPr>
        <w:t xml:space="preserve"> sovereignty is contestable idea means that – while</w:t>
      </w:r>
      <w:r w:rsidR="005129E9">
        <w:rPr>
          <w:rFonts w:ascii="Gill Sans MT" w:hAnsi="Gill Sans MT"/>
        </w:rPr>
        <w:t xml:space="preserve"> of real</w:t>
      </w:r>
      <w:r w:rsidR="00F51837">
        <w:rPr>
          <w:rFonts w:ascii="Gill Sans MT" w:hAnsi="Gill Sans MT"/>
        </w:rPr>
        <w:t xml:space="preserve"> importan</w:t>
      </w:r>
      <w:r w:rsidR="005129E9">
        <w:rPr>
          <w:rFonts w:ascii="Gill Sans MT" w:hAnsi="Gill Sans MT"/>
        </w:rPr>
        <w:t>ce</w:t>
      </w:r>
      <w:r w:rsidR="00F51837">
        <w:rPr>
          <w:rFonts w:ascii="Gill Sans MT" w:hAnsi="Gill Sans MT"/>
        </w:rPr>
        <w:t xml:space="preserve"> – we must look beyond potentially superficial judicial support for the principle, </w:t>
      </w:r>
      <w:proofErr w:type="gramStart"/>
      <w:r w:rsidR="00F51837">
        <w:rPr>
          <w:rFonts w:ascii="Gill Sans MT" w:hAnsi="Gill Sans MT"/>
        </w:rPr>
        <w:t>and also</w:t>
      </w:r>
      <w:proofErr w:type="gramEnd"/>
      <w:r w:rsidR="00F51837">
        <w:rPr>
          <w:rFonts w:ascii="Gill Sans MT" w:hAnsi="Gill Sans MT"/>
        </w:rPr>
        <w:t xml:space="preserve"> explore whether the ideas underpinning the doctrine are delivered in practice.  </w:t>
      </w:r>
      <w:r w:rsidR="005129E9">
        <w:rPr>
          <w:rFonts w:ascii="Gill Sans MT" w:hAnsi="Gill Sans MT"/>
        </w:rPr>
        <w:t>For parliamentary</w:t>
      </w:r>
      <w:r w:rsidR="00F51837">
        <w:rPr>
          <w:rFonts w:ascii="Gill Sans MT" w:hAnsi="Gill Sans MT"/>
        </w:rPr>
        <w:t xml:space="preserve"> sovereignty can be challenged at exactly the moment it is reaffirmed – indeed, depending on the manner of that reaffirmation, parliamentary sovereignty may </w:t>
      </w:r>
      <w:r w:rsidR="005129E9">
        <w:rPr>
          <w:rFonts w:ascii="Gill Sans MT" w:hAnsi="Gill Sans MT"/>
        </w:rPr>
        <w:t xml:space="preserve">even </w:t>
      </w:r>
      <w:r w:rsidR="00F51837">
        <w:rPr>
          <w:rFonts w:ascii="Gill Sans MT" w:hAnsi="Gill Sans MT"/>
        </w:rPr>
        <w:t>be challenged through that</w:t>
      </w:r>
      <w:r w:rsidR="005129E9">
        <w:rPr>
          <w:rFonts w:ascii="Gill Sans MT" w:hAnsi="Gill Sans MT"/>
        </w:rPr>
        <w:t xml:space="preserve"> very</w:t>
      </w:r>
      <w:r w:rsidR="00F51837">
        <w:rPr>
          <w:rFonts w:ascii="Gill Sans MT" w:hAnsi="Gill Sans MT"/>
        </w:rPr>
        <w:t xml:space="preserve"> act.</w:t>
      </w:r>
      <w:r w:rsidR="005129E9">
        <w:rPr>
          <w:rFonts w:ascii="Gill Sans MT" w:hAnsi="Gill Sans MT"/>
        </w:rPr>
        <w:t xml:space="preserve"> </w:t>
      </w:r>
      <w:r w:rsidR="0051090F">
        <w:rPr>
          <w:rFonts w:ascii="Gill Sans MT" w:hAnsi="Gill Sans MT"/>
        </w:rPr>
        <w:t xml:space="preserve"> Against a backdrop</w:t>
      </w:r>
      <w:r w:rsidR="005129E9">
        <w:rPr>
          <w:rFonts w:ascii="Gill Sans MT" w:hAnsi="Gill Sans MT"/>
        </w:rPr>
        <w:t xml:space="preserve"> of complex, </w:t>
      </w:r>
      <w:r w:rsidR="0051090F">
        <w:rPr>
          <w:rFonts w:ascii="Gill Sans MT" w:hAnsi="Gill Sans MT"/>
        </w:rPr>
        <w:t>often</w:t>
      </w:r>
      <w:r w:rsidR="005129E9">
        <w:rPr>
          <w:rFonts w:ascii="Gill Sans MT" w:hAnsi="Gill Sans MT"/>
        </w:rPr>
        <w:t xml:space="preserve"> contradictory, </w:t>
      </w:r>
      <w:r w:rsidR="0051090F">
        <w:rPr>
          <w:rFonts w:ascii="Gill Sans MT" w:hAnsi="Gill Sans MT"/>
        </w:rPr>
        <w:t xml:space="preserve">recent </w:t>
      </w:r>
      <w:r w:rsidR="005129E9">
        <w:rPr>
          <w:rFonts w:ascii="Gill Sans MT" w:hAnsi="Gill Sans MT"/>
        </w:rPr>
        <w:t xml:space="preserve">judicial engagement with this doctrine, the approach of Parliament to its own sovereignty </w:t>
      </w:r>
      <w:r w:rsidR="0051090F">
        <w:rPr>
          <w:rFonts w:ascii="Gill Sans MT" w:hAnsi="Gill Sans MT"/>
        </w:rPr>
        <w:t>becomes even more crucial to explore</w:t>
      </w:r>
      <w:r w:rsidR="005129E9">
        <w:rPr>
          <w:rFonts w:ascii="Gill Sans MT" w:hAnsi="Gill Sans MT"/>
        </w:rPr>
        <w:t>.</w:t>
      </w:r>
    </w:p>
    <w:p w14:paraId="054DCD39" w14:textId="77777777" w:rsidR="00BA6035" w:rsidRDefault="00BA6035" w:rsidP="00EF2F3A">
      <w:pPr>
        <w:pStyle w:val="NoSpacing"/>
        <w:jc w:val="both"/>
        <w:rPr>
          <w:rFonts w:ascii="Gill Sans MT" w:hAnsi="Gill Sans MT"/>
        </w:rPr>
      </w:pPr>
    </w:p>
    <w:p w14:paraId="23B0F74E" w14:textId="430A47CE" w:rsidR="00BA6035" w:rsidRPr="008B4148" w:rsidRDefault="00207921" w:rsidP="00EF2F3A">
      <w:pPr>
        <w:pStyle w:val="NoSpacing"/>
        <w:jc w:val="both"/>
        <w:rPr>
          <w:rFonts w:ascii="Gill Sans MT" w:hAnsi="Gill Sans MT"/>
          <w:b/>
          <w:u w:val="single"/>
        </w:rPr>
      </w:pPr>
      <w:r>
        <w:rPr>
          <w:rFonts w:ascii="Gill Sans MT" w:hAnsi="Gill Sans MT"/>
          <w:b/>
          <w:u w:val="single"/>
        </w:rPr>
        <w:t xml:space="preserve">Section 3 – </w:t>
      </w:r>
      <w:r w:rsidR="00BA6035" w:rsidRPr="008B4148">
        <w:rPr>
          <w:rFonts w:ascii="Gill Sans MT" w:hAnsi="Gill Sans MT"/>
          <w:b/>
          <w:u w:val="single"/>
        </w:rPr>
        <w:t xml:space="preserve">Legislative </w:t>
      </w:r>
      <w:r>
        <w:rPr>
          <w:rFonts w:ascii="Gill Sans MT" w:hAnsi="Gill Sans MT"/>
          <w:b/>
          <w:u w:val="single"/>
        </w:rPr>
        <w:t>D</w:t>
      </w:r>
      <w:r w:rsidR="00BA6035" w:rsidRPr="008B4148">
        <w:rPr>
          <w:rFonts w:ascii="Gill Sans MT" w:hAnsi="Gill Sans MT"/>
          <w:b/>
          <w:u w:val="single"/>
        </w:rPr>
        <w:t>evelopments</w:t>
      </w:r>
    </w:p>
    <w:p w14:paraId="0EF7A102" w14:textId="77777777" w:rsidR="00890A59" w:rsidRDefault="00890A59" w:rsidP="00EF2F3A">
      <w:pPr>
        <w:pStyle w:val="NoSpacing"/>
        <w:jc w:val="both"/>
        <w:rPr>
          <w:rFonts w:ascii="Gill Sans MT" w:hAnsi="Gill Sans MT"/>
          <w:u w:val="single"/>
        </w:rPr>
      </w:pPr>
    </w:p>
    <w:p w14:paraId="4CE88E5C" w14:textId="644139DE" w:rsidR="00890A59" w:rsidRPr="00BF6993" w:rsidRDefault="008E1721" w:rsidP="00BF6993">
      <w:pPr>
        <w:pStyle w:val="NoSpacing"/>
        <w:jc w:val="both"/>
        <w:rPr>
          <w:rFonts w:ascii="Gill Sans MT" w:hAnsi="Gill Sans MT"/>
        </w:rPr>
      </w:pPr>
      <w:r>
        <w:rPr>
          <w:rFonts w:ascii="Gill Sans MT" w:hAnsi="Gill Sans MT"/>
        </w:rPr>
        <w:t xml:space="preserve">In the UK constitution, legislative sovereignty </w:t>
      </w:r>
      <w:proofErr w:type="gramStart"/>
      <w:r>
        <w:rPr>
          <w:rFonts w:ascii="Gill Sans MT" w:hAnsi="Gill Sans MT"/>
        </w:rPr>
        <w:t>is located in</w:t>
      </w:r>
      <w:proofErr w:type="gramEnd"/>
      <w:r>
        <w:rPr>
          <w:rFonts w:ascii="Gill Sans MT" w:hAnsi="Gill Sans MT"/>
        </w:rPr>
        <w:t xml:space="preserve"> the UK Parliament, and the scope of that power is legally unlimited:  the doctrine of parliamentary sovereignty </w:t>
      </w:r>
      <w:r w:rsidR="00890A59" w:rsidRPr="00890A59">
        <w:rPr>
          <w:rFonts w:ascii="Gill Sans MT" w:hAnsi="Gill Sans MT"/>
        </w:rPr>
        <w:t xml:space="preserve">means </w:t>
      </w:r>
      <w:r>
        <w:rPr>
          <w:rFonts w:ascii="Gill Sans MT" w:hAnsi="Gill Sans MT"/>
        </w:rPr>
        <w:t xml:space="preserve">that </w:t>
      </w:r>
      <w:r w:rsidR="00890A59" w:rsidRPr="00890A59">
        <w:rPr>
          <w:rFonts w:ascii="Gill Sans MT" w:hAnsi="Gill Sans MT"/>
        </w:rPr>
        <w:t>Parliament can make or unmake any law</w:t>
      </w:r>
      <w:r w:rsidR="004C750C">
        <w:rPr>
          <w:rFonts w:ascii="Gill Sans MT" w:hAnsi="Gill Sans MT"/>
        </w:rPr>
        <w:t>.  But the</w:t>
      </w:r>
      <w:r>
        <w:rPr>
          <w:rFonts w:ascii="Gill Sans MT" w:hAnsi="Gill Sans MT"/>
        </w:rPr>
        <w:t xml:space="preserve"> precise</w:t>
      </w:r>
      <w:r w:rsidR="004C750C">
        <w:rPr>
          <w:rFonts w:ascii="Gill Sans MT" w:hAnsi="Gill Sans MT"/>
        </w:rPr>
        <w:t xml:space="preserve"> implications of this </w:t>
      </w:r>
      <w:r>
        <w:rPr>
          <w:rFonts w:ascii="Gill Sans MT" w:hAnsi="Gill Sans MT"/>
        </w:rPr>
        <w:t xml:space="preserve">account of the scope of Parliament’s power </w:t>
      </w:r>
      <w:r w:rsidR="004C750C">
        <w:rPr>
          <w:rFonts w:ascii="Gill Sans MT" w:hAnsi="Gill Sans MT"/>
        </w:rPr>
        <w:t>are</w:t>
      </w:r>
      <w:r w:rsidR="006149BE">
        <w:rPr>
          <w:rFonts w:ascii="Gill Sans MT" w:hAnsi="Gill Sans MT"/>
        </w:rPr>
        <w:t>,</w:t>
      </w:r>
      <w:r>
        <w:rPr>
          <w:rFonts w:ascii="Gill Sans MT" w:hAnsi="Gill Sans MT"/>
        </w:rPr>
        <w:t xml:space="preserve"> in some respects</w:t>
      </w:r>
      <w:r w:rsidR="007A0767">
        <w:rPr>
          <w:rFonts w:ascii="Gill Sans MT" w:hAnsi="Gill Sans MT"/>
        </w:rPr>
        <w:t>,</w:t>
      </w:r>
      <w:r w:rsidR="004C750C">
        <w:rPr>
          <w:rFonts w:ascii="Gill Sans MT" w:hAnsi="Gill Sans MT"/>
        </w:rPr>
        <w:t xml:space="preserve"> </w:t>
      </w:r>
      <w:r>
        <w:rPr>
          <w:rFonts w:ascii="Gill Sans MT" w:hAnsi="Gill Sans MT"/>
        </w:rPr>
        <w:t>open to further reflection</w:t>
      </w:r>
      <w:r w:rsidR="004C750C">
        <w:rPr>
          <w:rFonts w:ascii="Gill Sans MT" w:hAnsi="Gill Sans MT"/>
        </w:rPr>
        <w:t>, especially when we th</w:t>
      </w:r>
      <w:r w:rsidR="00F34F77">
        <w:rPr>
          <w:rFonts w:ascii="Gill Sans MT" w:hAnsi="Gill Sans MT"/>
        </w:rPr>
        <w:t>ink about the distinction between substantive and procedural issues.  That Parliament can legislate on any substantive issue, matter, topic or subject must be clear – but can Parliament also use its legally unlimited legislative power to alter the process by which future Parliaments must enact new substantive legal rule</w:t>
      </w:r>
      <w:r w:rsidR="004C073A">
        <w:rPr>
          <w:rFonts w:ascii="Gill Sans MT" w:hAnsi="Gill Sans MT"/>
        </w:rPr>
        <w:t>s</w:t>
      </w:r>
      <w:r w:rsidR="00F34F77">
        <w:rPr>
          <w:rFonts w:ascii="Gill Sans MT" w:hAnsi="Gill Sans MT"/>
        </w:rPr>
        <w:t>?  Given the idea of the ‘Queen-in-Parliament’ is itself a legal construct, established through and acting pursuant to legal and conventional norms, it is impossible to provide an answer to this conceptual conundrum through abstract logical reflection on whether a supreme entity can ‘bind its successors’.</w:t>
      </w:r>
      <w:r w:rsidR="000A6D06">
        <w:rPr>
          <w:rStyle w:val="FootnoteReference"/>
          <w:rFonts w:ascii="Gill Sans MT" w:hAnsi="Gill Sans MT"/>
        </w:rPr>
        <w:footnoteReference w:id="94"/>
      </w:r>
      <w:r w:rsidR="00AA0552">
        <w:rPr>
          <w:rFonts w:ascii="Gill Sans MT" w:hAnsi="Gill Sans MT"/>
        </w:rPr>
        <w:t xml:space="preserve">  For </w:t>
      </w:r>
      <w:r w:rsidR="002E34B0">
        <w:rPr>
          <w:rFonts w:ascii="Gill Sans MT" w:hAnsi="Gill Sans MT"/>
        </w:rPr>
        <w:t>this</w:t>
      </w:r>
      <w:r w:rsidR="00AA0552">
        <w:rPr>
          <w:rFonts w:ascii="Gill Sans MT" w:hAnsi="Gill Sans MT"/>
        </w:rPr>
        <w:t xml:space="preserve"> </w:t>
      </w:r>
      <w:r w:rsidR="002E34B0">
        <w:rPr>
          <w:rFonts w:ascii="Gill Sans MT" w:hAnsi="Gill Sans MT"/>
        </w:rPr>
        <w:t xml:space="preserve">superficial mantra is a trite and </w:t>
      </w:r>
      <w:r w:rsidR="00594E49">
        <w:rPr>
          <w:rFonts w:ascii="Gill Sans MT" w:hAnsi="Gill Sans MT"/>
        </w:rPr>
        <w:t>excessively sweeping</w:t>
      </w:r>
      <w:r w:rsidR="002E34B0">
        <w:rPr>
          <w:rFonts w:ascii="Gill Sans MT" w:hAnsi="Gill Sans MT"/>
        </w:rPr>
        <w:t xml:space="preserve"> claim about the potential </w:t>
      </w:r>
      <w:r w:rsidR="00594E49">
        <w:rPr>
          <w:rFonts w:ascii="Gill Sans MT" w:hAnsi="Gill Sans MT"/>
        </w:rPr>
        <w:t>scope of sovereign law-making</w:t>
      </w:r>
      <w:r w:rsidR="002E34B0">
        <w:rPr>
          <w:rFonts w:ascii="Gill Sans MT" w:hAnsi="Gill Sans MT"/>
        </w:rPr>
        <w:t xml:space="preserve"> </w:t>
      </w:r>
      <w:r w:rsidR="00594E49">
        <w:rPr>
          <w:rFonts w:ascii="Gill Sans MT" w:hAnsi="Gill Sans MT"/>
        </w:rPr>
        <w:t>authority</w:t>
      </w:r>
      <w:r w:rsidR="002E34B0">
        <w:rPr>
          <w:rFonts w:ascii="Gill Sans MT" w:hAnsi="Gill Sans MT"/>
        </w:rPr>
        <w:t xml:space="preserve">, which </w:t>
      </w:r>
      <w:r w:rsidR="00594E49">
        <w:rPr>
          <w:rFonts w:ascii="Gill Sans MT" w:hAnsi="Gill Sans MT"/>
        </w:rPr>
        <w:t>could</w:t>
      </w:r>
      <w:r w:rsidR="002E34B0">
        <w:rPr>
          <w:rFonts w:ascii="Gill Sans MT" w:hAnsi="Gill Sans MT"/>
        </w:rPr>
        <w:t xml:space="preserve"> serve to limit Parliament's legislative capacity</w:t>
      </w:r>
      <w:r w:rsidR="00667436">
        <w:rPr>
          <w:rFonts w:ascii="Gill Sans MT" w:hAnsi="Gill Sans MT"/>
        </w:rPr>
        <w:t xml:space="preserve">, as well as to entrench our current law-making arrangements as </w:t>
      </w:r>
      <w:r w:rsidR="00B93D64">
        <w:rPr>
          <w:rFonts w:ascii="Gill Sans MT" w:hAnsi="Gill Sans MT"/>
        </w:rPr>
        <w:t xml:space="preserve">legally unalterable, and subject to change only through </w:t>
      </w:r>
      <w:r w:rsidR="00A44794">
        <w:rPr>
          <w:rFonts w:ascii="Gill Sans MT" w:hAnsi="Gill Sans MT"/>
        </w:rPr>
        <w:t>some</w:t>
      </w:r>
      <w:r w:rsidR="00B93D64">
        <w:rPr>
          <w:rFonts w:ascii="Gill Sans MT" w:hAnsi="Gill Sans MT"/>
        </w:rPr>
        <w:t xml:space="preserve"> </w:t>
      </w:r>
      <w:r w:rsidR="00A44794">
        <w:rPr>
          <w:rFonts w:ascii="Gill Sans MT" w:hAnsi="Gill Sans MT"/>
        </w:rPr>
        <w:t xml:space="preserve">(vaguely defined) </w:t>
      </w:r>
      <w:r w:rsidR="00B93D64">
        <w:rPr>
          <w:rFonts w:ascii="Gill Sans MT" w:hAnsi="Gill Sans MT"/>
        </w:rPr>
        <w:t>judicially sanctioned revolution</w:t>
      </w:r>
      <w:r w:rsidR="00594E49">
        <w:rPr>
          <w:rFonts w:ascii="Gill Sans MT" w:hAnsi="Gill Sans MT"/>
        </w:rPr>
        <w:t>.</w:t>
      </w:r>
      <w:r w:rsidR="00B93D64">
        <w:rPr>
          <w:rStyle w:val="FootnoteReference"/>
          <w:rFonts w:ascii="Gill Sans MT" w:hAnsi="Gill Sans MT"/>
        </w:rPr>
        <w:footnoteReference w:id="95"/>
      </w:r>
      <w:r w:rsidR="00594E49">
        <w:rPr>
          <w:rFonts w:ascii="Gill Sans MT" w:hAnsi="Gill Sans MT"/>
        </w:rPr>
        <w:t xml:space="preserve">  As a result,</w:t>
      </w:r>
      <w:r w:rsidR="002E34B0">
        <w:rPr>
          <w:rFonts w:ascii="Gill Sans MT" w:hAnsi="Gill Sans MT"/>
        </w:rPr>
        <w:t xml:space="preserve"> </w:t>
      </w:r>
      <w:r w:rsidR="00594E49">
        <w:rPr>
          <w:rFonts w:ascii="Gill Sans MT" w:hAnsi="Gill Sans MT"/>
        </w:rPr>
        <w:t xml:space="preserve">to understand the potential extent of the UK </w:t>
      </w:r>
      <w:r w:rsidR="00594E49" w:rsidRPr="00BF6993">
        <w:rPr>
          <w:rFonts w:ascii="Gill Sans MT" w:hAnsi="Gill Sans MT"/>
        </w:rPr>
        <w:t>Parliament’s legislative power</w:t>
      </w:r>
      <w:r w:rsidR="002E34B0" w:rsidRPr="00BF6993">
        <w:rPr>
          <w:rFonts w:ascii="Gill Sans MT" w:hAnsi="Gill Sans MT"/>
        </w:rPr>
        <w:t xml:space="preserve">, we need to ask </w:t>
      </w:r>
      <w:r w:rsidR="00B561E7" w:rsidRPr="00BF6993">
        <w:rPr>
          <w:rFonts w:ascii="Gill Sans MT" w:hAnsi="Gill Sans MT"/>
        </w:rPr>
        <w:t xml:space="preserve">much </w:t>
      </w:r>
      <w:r w:rsidR="002E34B0" w:rsidRPr="00BF6993">
        <w:rPr>
          <w:rFonts w:ascii="Gill Sans MT" w:hAnsi="Gill Sans MT"/>
        </w:rPr>
        <w:t>more discriminating questions about what kinds of 'binding' may or may not be possible, and consider how different kind of legislative limits or conditions might impact on parliamentary sovereignty.</w:t>
      </w:r>
    </w:p>
    <w:p w14:paraId="1CFBB6A6" w14:textId="6FA294CC" w:rsidR="00FF4202" w:rsidRDefault="00594E49" w:rsidP="00FF4202">
      <w:pPr>
        <w:spacing w:after="0" w:line="240" w:lineRule="auto"/>
        <w:jc w:val="both"/>
        <w:rPr>
          <w:rFonts w:ascii="Gill Sans MT" w:hAnsi="Gill Sans MT"/>
        </w:rPr>
      </w:pPr>
      <w:r w:rsidRPr="00BF6993">
        <w:rPr>
          <w:rFonts w:ascii="Gill Sans MT" w:hAnsi="Gill Sans MT"/>
        </w:rPr>
        <w:tab/>
      </w:r>
      <w:r w:rsidR="00667436" w:rsidRPr="00BF6993">
        <w:rPr>
          <w:rFonts w:ascii="Gill Sans MT" w:hAnsi="Gill Sans MT"/>
        </w:rPr>
        <w:t xml:space="preserve">Alternative theoretical understandings of parliamentary sovereignty provide a competing approach to that which is offered by </w:t>
      </w:r>
      <w:proofErr w:type="spellStart"/>
      <w:r w:rsidR="00667436" w:rsidRPr="00BF6993">
        <w:rPr>
          <w:rFonts w:ascii="Gill Sans MT" w:hAnsi="Gill Sans MT"/>
        </w:rPr>
        <w:t>Dicey’s</w:t>
      </w:r>
      <w:proofErr w:type="spellEnd"/>
      <w:r w:rsidR="00667436" w:rsidRPr="00BF6993">
        <w:rPr>
          <w:rFonts w:ascii="Gill Sans MT" w:hAnsi="Gill Sans MT"/>
        </w:rPr>
        <w:t xml:space="preserve"> prohibition o</w:t>
      </w:r>
      <w:r w:rsidR="00444F96">
        <w:rPr>
          <w:rFonts w:ascii="Gill Sans MT" w:hAnsi="Gill Sans MT"/>
        </w:rPr>
        <w:t>f</w:t>
      </w:r>
      <w:r w:rsidR="00667436" w:rsidRPr="00BF6993">
        <w:rPr>
          <w:rFonts w:ascii="Gill Sans MT" w:hAnsi="Gill Sans MT"/>
        </w:rPr>
        <w:t xml:space="preserve"> Parliament binding its successors</w:t>
      </w:r>
      <w:r w:rsidR="00B561E7" w:rsidRPr="00BF6993">
        <w:rPr>
          <w:rFonts w:ascii="Gill Sans MT" w:hAnsi="Gill Sans MT"/>
        </w:rPr>
        <w:t xml:space="preserve">.  The ‘manner and form’ theory of legislative power, outlined by Jennings as part of a broader challenge to </w:t>
      </w:r>
      <w:proofErr w:type="spellStart"/>
      <w:r w:rsidR="00B561E7" w:rsidRPr="00BF6993">
        <w:rPr>
          <w:rFonts w:ascii="Gill Sans MT" w:hAnsi="Gill Sans MT"/>
        </w:rPr>
        <w:t>Dicey’s</w:t>
      </w:r>
      <w:proofErr w:type="spellEnd"/>
      <w:r w:rsidR="00B561E7" w:rsidRPr="00BF6993">
        <w:rPr>
          <w:rFonts w:ascii="Gill Sans MT" w:hAnsi="Gill Sans MT"/>
        </w:rPr>
        <w:t xml:space="preserve"> orthodoxy, provides an account of parliamentary sovereignty which would permit the legislature to make legally effective changes to the future law-making process.  Jennings recognised this to be a legitimate use of sovereign law-making power by distinguishing such change to procedural legislative requirements – or the archaically named ‘manner and form’ according to which future law-making would need to be completed – from the imposition of an absolute substantive limit on successor Parliaments, which was still impermissible.  Parliament’s power was legally unlimited, and </w:t>
      </w:r>
      <w:r w:rsidR="00444F96">
        <w:rPr>
          <w:rFonts w:ascii="Gill Sans MT" w:hAnsi="Gill Sans MT"/>
        </w:rPr>
        <w:t xml:space="preserve">on Jennings’ interpretation, </w:t>
      </w:r>
      <w:r w:rsidR="00BF6993" w:rsidRPr="00BF6993">
        <w:rPr>
          <w:rFonts w:ascii="Gill Sans MT" w:hAnsi="Gill Sans MT"/>
        </w:rPr>
        <w:t>‘its power to change the law includes the power to change the law affecting itself’.</w:t>
      </w:r>
      <w:r w:rsidR="00BF6993" w:rsidRPr="00BF6993">
        <w:rPr>
          <w:rStyle w:val="FootnoteReference"/>
          <w:rFonts w:ascii="Gill Sans MT" w:hAnsi="Gill Sans MT"/>
        </w:rPr>
        <w:footnoteReference w:id="96"/>
      </w:r>
      <w:r w:rsidR="00FF4202">
        <w:rPr>
          <w:rFonts w:ascii="Gill Sans MT" w:hAnsi="Gill Sans MT"/>
        </w:rPr>
        <w:t xml:space="preserve">  On the manner and form approach, then, we can see the idea of Parliament making binding statutory change to the future law-making process as </w:t>
      </w:r>
      <w:r w:rsidR="00B561E7">
        <w:rPr>
          <w:rFonts w:ascii="Gill Sans MT" w:hAnsi="Gill Sans MT"/>
        </w:rPr>
        <w:t>both constitutionally permissible, and a manifestation, rather than a rejection, of the idea of parliamentary sovereignty.</w:t>
      </w:r>
    </w:p>
    <w:p w14:paraId="7B0725D6" w14:textId="1C834AD3" w:rsidR="00AA03DB" w:rsidRDefault="00FF4202" w:rsidP="00FF4202">
      <w:pPr>
        <w:spacing w:after="0" w:line="240" w:lineRule="auto"/>
        <w:jc w:val="both"/>
        <w:rPr>
          <w:rFonts w:ascii="Gill Sans MT" w:hAnsi="Gill Sans MT"/>
        </w:rPr>
      </w:pPr>
      <w:r>
        <w:rPr>
          <w:rFonts w:ascii="Gill Sans MT" w:hAnsi="Gill Sans MT"/>
        </w:rPr>
        <w:tab/>
        <w:t xml:space="preserve">There has been considerable debate about whether the </w:t>
      </w:r>
      <w:proofErr w:type="spellStart"/>
      <w:r>
        <w:rPr>
          <w:rFonts w:ascii="Gill Sans MT" w:hAnsi="Gill Sans MT"/>
        </w:rPr>
        <w:t>Diceyan</w:t>
      </w:r>
      <w:proofErr w:type="spellEnd"/>
      <w:r>
        <w:rPr>
          <w:rFonts w:ascii="Gill Sans MT" w:hAnsi="Gill Sans MT"/>
        </w:rPr>
        <w:t xml:space="preserve"> or the ‘manner and form’ approach to parliamentary sovereignty provides the correct interpretation of the power of the UK Parliament.  For many years, this debate remained largely academic, as the UK Parliament did little through its legislative activity to offer a challenge to the established orthodoxy.  Membership of the EU, and the consequent domestic obligations to legislate to give EU norms direct effect in the UK’s </w:t>
      </w:r>
      <w:r>
        <w:rPr>
          <w:rFonts w:ascii="Gill Sans MT" w:hAnsi="Gill Sans MT"/>
        </w:rPr>
        <w:lastRenderedPageBreak/>
        <w:t xml:space="preserve">legal system, and supremacy over conflicting national law, represented a modern starting point for increased experimentation – through legislation – with the uses which could be made of legislative sovereignty, </w:t>
      </w:r>
      <w:r w:rsidR="001662F1">
        <w:rPr>
          <w:rFonts w:ascii="Gill Sans MT" w:hAnsi="Gill Sans MT"/>
        </w:rPr>
        <w:t xml:space="preserve">and </w:t>
      </w:r>
      <w:r>
        <w:rPr>
          <w:rFonts w:ascii="Gill Sans MT" w:hAnsi="Gill Sans MT"/>
        </w:rPr>
        <w:t xml:space="preserve">the ways in which power could be distributed </w:t>
      </w:r>
      <w:r w:rsidR="001662F1">
        <w:rPr>
          <w:rFonts w:ascii="Gill Sans MT" w:hAnsi="Gill Sans MT"/>
        </w:rPr>
        <w:t xml:space="preserve">to new institutions, </w:t>
      </w:r>
      <w:r>
        <w:rPr>
          <w:rFonts w:ascii="Gill Sans MT" w:hAnsi="Gill Sans MT"/>
        </w:rPr>
        <w:t xml:space="preserve">and </w:t>
      </w:r>
      <w:r w:rsidR="001662F1">
        <w:rPr>
          <w:rFonts w:ascii="Gill Sans MT" w:hAnsi="Gill Sans MT"/>
        </w:rPr>
        <w:t xml:space="preserve">organised according to </w:t>
      </w:r>
      <w:r>
        <w:rPr>
          <w:rFonts w:ascii="Gill Sans MT" w:hAnsi="Gill Sans MT"/>
        </w:rPr>
        <w:t>new</w:t>
      </w:r>
      <w:r w:rsidR="001662F1">
        <w:rPr>
          <w:rFonts w:ascii="Gill Sans MT" w:hAnsi="Gill Sans MT"/>
        </w:rPr>
        <w:t xml:space="preserve"> (but ultimately provisional)</w:t>
      </w:r>
      <w:r>
        <w:rPr>
          <w:rFonts w:ascii="Gill Sans MT" w:hAnsi="Gill Sans MT"/>
        </w:rPr>
        <w:t xml:space="preserve"> legal hierarchies</w:t>
      </w:r>
      <w:r w:rsidR="001662F1">
        <w:rPr>
          <w:rFonts w:ascii="Gill Sans MT" w:hAnsi="Gill Sans MT"/>
        </w:rPr>
        <w:t>.</w:t>
      </w:r>
      <w:r w:rsidR="00C000FC">
        <w:rPr>
          <w:rFonts w:ascii="Gill Sans MT" w:hAnsi="Gill Sans MT"/>
        </w:rPr>
        <w:t xml:space="preserve">  In this changing environment, questions about the boundaries of legally unlimited legislative power have acquired fresh impetus, and we see new examples of Parliament using its law-making authority in ways which test the parameters of the old orthodoxy.  This changing practice</w:t>
      </w:r>
      <w:r w:rsidR="00AA03DB">
        <w:rPr>
          <w:rFonts w:ascii="Gill Sans MT" w:hAnsi="Gill Sans MT"/>
        </w:rPr>
        <w:t xml:space="preserve"> in the use of legislation</w:t>
      </w:r>
      <w:r w:rsidR="00C000FC">
        <w:rPr>
          <w:rFonts w:ascii="Gill Sans MT" w:hAnsi="Gill Sans MT"/>
        </w:rPr>
        <w:t xml:space="preserve"> </w:t>
      </w:r>
      <w:r w:rsidR="00832CD8">
        <w:rPr>
          <w:rFonts w:ascii="Gill Sans MT" w:hAnsi="Gill Sans MT"/>
        </w:rPr>
        <w:t>is</w:t>
      </w:r>
      <w:r w:rsidR="00AA03DB">
        <w:rPr>
          <w:rFonts w:ascii="Gill Sans MT" w:hAnsi="Gill Sans MT"/>
        </w:rPr>
        <w:t xml:space="preserve"> something which we must take </w:t>
      </w:r>
      <w:proofErr w:type="gramStart"/>
      <w:r w:rsidR="00AA03DB">
        <w:rPr>
          <w:rFonts w:ascii="Gill Sans MT" w:hAnsi="Gill Sans MT"/>
        </w:rPr>
        <w:t>seriously, because</w:t>
      </w:r>
      <w:proofErr w:type="gramEnd"/>
      <w:r w:rsidR="00AA03DB">
        <w:rPr>
          <w:rFonts w:ascii="Gill Sans MT" w:hAnsi="Gill Sans MT"/>
        </w:rPr>
        <w:t xml:space="preserve"> it shows us the sovereign Parliament’s changing understanding of its own sovereignty.  In this section, we consider four examples of recent legislation (or proposed legislation) which prompt</w:t>
      </w:r>
      <w:r w:rsidR="005321DC">
        <w:rPr>
          <w:rFonts w:ascii="Gill Sans MT" w:hAnsi="Gill Sans MT"/>
        </w:rPr>
        <w:t>s</w:t>
      </w:r>
      <w:r w:rsidR="00AA03DB">
        <w:rPr>
          <w:rFonts w:ascii="Gill Sans MT" w:hAnsi="Gill Sans MT"/>
        </w:rPr>
        <w:t xml:space="preserve"> questions about the way in which Parliament defines the parameters of its sovereignty:  first, the devolution permanence clauses and statutory recognition of the Sewel convention; second, the European Union (Withdrawal) Bill 2017-18; third, the Withdrawal Agreement</w:t>
      </w:r>
      <w:r w:rsidR="000C395C">
        <w:rPr>
          <w:rFonts w:ascii="Gill Sans MT" w:hAnsi="Gill Sans MT"/>
        </w:rPr>
        <w:t xml:space="preserve"> and Implementation</w:t>
      </w:r>
      <w:r w:rsidR="00AA03DB">
        <w:rPr>
          <w:rFonts w:ascii="Gill Sans MT" w:hAnsi="Gill Sans MT"/>
        </w:rPr>
        <w:t xml:space="preserve"> Bill; and fourth, the implications of the European Union Act 2011.</w:t>
      </w:r>
    </w:p>
    <w:p w14:paraId="4030D443" w14:textId="77777777" w:rsidR="00FF4202" w:rsidRPr="00FF4202" w:rsidRDefault="00FF4202" w:rsidP="00FF4202">
      <w:pPr>
        <w:spacing w:after="0" w:line="240" w:lineRule="auto"/>
        <w:jc w:val="both"/>
        <w:rPr>
          <w:rFonts w:ascii="Gill Sans MT" w:hAnsi="Gill Sans MT"/>
        </w:rPr>
      </w:pPr>
    </w:p>
    <w:p w14:paraId="7266DD17" w14:textId="4EB0C8B9" w:rsidR="00BA6035" w:rsidRPr="00A95FCE" w:rsidRDefault="007A0767" w:rsidP="007A0767">
      <w:pPr>
        <w:pStyle w:val="NoSpacing"/>
        <w:jc w:val="both"/>
        <w:rPr>
          <w:rFonts w:ascii="Gill Sans MT" w:hAnsi="Gill Sans MT"/>
          <w:i/>
          <w:u w:val="single"/>
        </w:rPr>
      </w:pPr>
      <w:r w:rsidRPr="00A95FCE">
        <w:rPr>
          <w:rFonts w:ascii="Gill Sans MT" w:hAnsi="Gill Sans MT"/>
          <w:i/>
          <w:u w:val="single"/>
        </w:rPr>
        <w:t xml:space="preserve">Embedding Devolution: Statutory </w:t>
      </w:r>
      <w:r w:rsidR="002E5771" w:rsidRPr="00A95FCE">
        <w:rPr>
          <w:rFonts w:ascii="Gill Sans MT" w:hAnsi="Gill Sans MT"/>
          <w:i/>
          <w:u w:val="single"/>
        </w:rPr>
        <w:t xml:space="preserve">Permanence </w:t>
      </w:r>
      <w:r w:rsidRPr="00A95FCE">
        <w:rPr>
          <w:rFonts w:ascii="Gill Sans MT" w:hAnsi="Gill Sans MT"/>
          <w:i/>
          <w:u w:val="single"/>
        </w:rPr>
        <w:t>C</w:t>
      </w:r>
      <w:r w:rsidR="002E5771" w:rsidRPr="00A95FCE">
        <w:rPr>
          <w:rFonts w:ascii="Gill Sans MT" w:hAnsi="Gill Sans MT"/>
          <w:i/>
          <w:u w:val="single"/>
        </w:rPr>
        <w:t>lauses</w:t>
      </w:r>
      <w:r w:rsidRPr="00A95FCE">
        <w:rPr>
          <w:rFonts w:ascii="Gill Sans MT" w:hAnsi="Gill Sans MT"/>
          <w:i/>
          <w:u w:val="single"/>
        </w:rPr>
        <w:t xml:space="preserve"> </w:t>
      </w:r>
      <w:r w:rsidR="002E5771" w:rsidRPr="00A95FCE">
        <w:rPr>
          <w:rFonts w:ascii="Gill Sans MT" w:hAnsi="Gill Sans MT"/>
          <w:i/>
          <w:u w:val="single"/>
        </w:rPr>
        <w:t xml:space="preserve">and </w:t>
      </w:r>
      <w:r w:rsidRPr="00A95FCE">
        <w:rPr>
          <w:rFonts w:ascii="Gill Sans MT" w:hAnsi="Gill Sans MT"/>
          <w:i/>
          <w:u w:val="single"/>
        </w:rPr>
        <w:t>Recognition of the</w:t>
      </w:r>
      <w:r w:rsidR="002E5771" w:rsidRPr="00A95FCE">
        <w:rPr>
          <w:rFonts w:ascii="Gill Sans MT" w:hAnsi="Gill Sans MT"/>
          <w:i/>
          <w:u w:val="single"/>
        </w:rPr>
        <w:t xml:space="preserve"> Sewel Convention</w:t>
      </w:r>
    </w:p>
    <w:p w14:paraId="5037C59E" w14:textId="77777777" w:rsidR="004B54CE" w:rsidRDefault="004B54CE" w:rsidP="004B54CE">
      <w:pPr>
        <w:pStyle w:val="NoSpacing"/>
        <w:jc w:val="both"/>
        <w:rPr>
          <w:rFonts w:ascii="Gill Sans MT" w:hAnsi="Gill Sans MT"/>
        </w:rPr>
      </w:pPr>
    </w:p>
    <w:p w14:paraId="71C348FA" w14:textId="77777777" w:rsidR="009D7CEB" w:rsidRDefault="000B31BF" w:rsidP="009D7CEB">
      <w:pPr>
        <w:pStyle w:val="NoSpacing"/>
        <w:jc w:val="both"/>
        <w:rPr>
          <w:rFonts w:ascii="Gill Sans MT" w:hAnsi="Gill Sans MT"/>
        </w:rPr>
      </w:pPr>
      <w:r>
        <w:rPr>
          <w:rFonts w:ascii="Gill Sans MT" w:hAnsi="Gill Sans MT"/>
        </w:rPr>
        <w:t xml:space="preserve">The </w:t>
      </w:r>
      <w:r w:rsidR="004B54CE">
        <w:rPr>
          <w:rFonts w:ascii="Gill Sans MT" w:hAnsi="Gill Sans MT"/>
        </w:rPr>
        <w:t xml:space="preserve">most recent round of change to the UK’s </w:t>
      </w:r>
      <w:r>
        <w:rPr>
          <w:rFonts w:ascii="Gill Sans MT" w:hAnsi="Gill Sans MT"/>
        </w:rPr>
        <w:t xml:space="preserve">dynamic </w:t>
      </w:r>
      <w:r w:rsidR="004B54CE">
        <w:rPr>
          <w:rFonts w:ascii="Gill Sans MT" w:hAnsi="Gill Sans MT"/>
        </w:rPr>
        <w:t xml:space="preserve">devolution settlement has introduced legislative provisions </w:t>
      </w:r>
      <w:r w:rsidR="00334227">
        <w:rPr>
          <w:rFonts w:ascii="Gill Sans MT" w:hAnsi="Gill Sans MT"/>
        </w:rPr>
        <w:t>presenting a potentially radical challenge to parliamentary sovereignty</w:t>
      </w:r>
      <w:r w:rsidR="004B54CE">
        <w:rPr>
          <w:rFonts w:ascii="Gill Sans MT" w:hAnsi="Gill Sans MT"/>
        </w:rPr>
        <w:t xml:space="preserve">.  In particular, </w:t>
      </w:r>
      <w:r w:rsidR="00334227">
        <w:rPr>
          <w:rFonts w:ascii="Gill Sans MT" w:hAnsi="Gill Sans MT"/>
        </w:rPr>
        <w:t xml:space="preserve">by the Scotland Act 2016, </w:t>
      </w:r>
      <w:r w:rsidR="004B54CE">
        <w:rPr>
          <w:rFonts w:ascii="Gill Sans MT" w:hAnsi="Gill Sans MT"/>
        </w:rPr>
        <w:t>the Scotland Act 1998 has</w:t>
      </w:r>
      <w:r w:rsidR="00334227">
        <w:rPr>
          <w:rFonts w:ascii="Gill Sans MT" w:hAnsi="Gill Sans MT"/>
        </w:rPr>
        <w:t xml:space="preserve"> </w:t>
      </w:r>
      <w:r w:rsidR="004B54CE">
        <w:rPr>
          <w:rFonts w:ascii="Gill Sans MT" w:hAnsi="Gill Sans MT"/>
        </w:rPr>
        <w:t>been amended</w:t>
      </w:r>
      <w:r w:rsidR="00334227">
        <w:rPr>
          <w:rFonts w:ascii="Gill Sans MT" w:hAnsi="Gill Sans MT"/>
        </w:rPr>
        <w:t>, first,</w:t>
      </w:r>
      <w:r w:rsidR="004B54CE">
        <w:rPr>
          <w:rFonts w:ascii="Gill Sans MT" w:hAnsi="Gill Sans MT"/>
        </w:rPr>
        <w:t xml:space="preserve"> to incorporate a commitment to the </w:t>
      </w:r>
      <w:r w:rsidR="004B54CE" w:rsidRPr="00111AA7">
        <w:rPr>
          <w:rFonts w:ascii="Gill Sans MT" w:hAnsi="Gill Sans MT"/>
        </w:rPr>
        <w:t xml:space="preserve">permanence </w:t>
      </w:r>
      <w:r w:rsidR="004B54CE">
        <w:rPr>
          <w:rFonts w:ascii="Gill Sans MT" w:hAnsi="Gill Sans MT"/>
        </w:rPr>
        <w:t xml:space="preserve">of the Scottish Parliament and government, </w:t>
      </w:r>
      <w:r w:rsidR="00334227">
        <w:rPr>
          <w:rFonts w:ascii="Gill Sans MT" w:hAnsi="Gill Sans MT"/>
        </w:rPr>
        <w:t xml:space="preserve">accompanied by </w:t>
      </w:r>
      <w:r w:rsidR="004B54CE">
        <w:rPr>
          <w:rFonts w:ascii="Gill Sans MT" w:hAnsi="Gill Sans MT"/>
        </w:rPr>
        <w:t>a declaration that these institutions are removable only with the approval of the people of Scotland at a referendum</w:t>
      </w:r>
      <w:r w:rsidR="00334227">
        <w:rPr>
          <w:rFonts w:ascii="Gill Sans MT" w:hAnsi="Gill Sans MT"/>
        </w:rPr>
        <w:t>.</w:t>
      </w:r>
      <w:r w:rsidR="004B54CE">
        <w:rPr>
          <w:rStyle w:val="FootnoteReference"/>
          <w:rFonts w:ascii="Gill Sans MT" w:hAnsi="Gill Sans MT"/>
        </w:rPr>
        <w:footnoteReference w:id="97"/>
      </w:r>
      <w:r w:rsidR="004B54CE">
        <w:rPr>
          <w:rFonts w:ascii="Gill Sans MT" w:hAnsi="Gill Sans MT"/>
        </w:rPr>
        <w:t xml:space="preserve"> </w:t>
      </w:r>
      <w:r w:rsidR="00334227">
        <w:rPr>
          <w:rFonts w:ascii="Gill Sans MT" w:hAnsi="Gill Sans MT"/>
        </w:rPr>
        <w:t xml:space="preserve"> Second, the 1998 Act has been altered to include </w:t>
      </w:r>
      <w:r w:rsidR="004B54CE">
        <w:rPr>
          <w:rFonts w:ascii="Gill Sans MT" w:hAnsi="Gill Sans MT"/>
        </w:rPr>
        <w:t xml:space="preserve">statutory recognition of the operation of the Sewel convention, by </w:t>
      </w:r>
      <w:r w:rsidR="004B54CE" w:rsidRPr="00934C0E">
        <w:rPr>
          <w:rFonts w:ascii="Gill Sans MT" w:hAnsi="Gill Sans MT"/>
        </w:rPr>
        <w:t>which ‘</w:t>
      </w:r>
      <w:r w:rsidR="004B54CE" w:rsidRPr="00934C0E">
        <w:rPr>
          <w:rFonts w:ascii="Gill Sans MT" w:hAnsi="Gill Sans MT" w:cs="Arial"/>
          <w:color w:val="000000"/>
          <w:shd w:val="clear" w:color="auto" w:fill="FFFFFF"/>
        </w:rPr>
        <w:t>the Parliament of the United Kingdom will not normally legislate with regard to devolved matters without the consent of the Scottish Parliament</w:t>
      </w:r>
      <w:r w:rsidR="004B54CE">
        <w:rPr>
          <w:rFonts w:ascii="Gill Sans MT" w:hAnsi="Gill Sans MT" w:cs="Arial"/>
          <w:color w:val="000000"/>
          <w:shd w:val="clear" w:color="auto" w:fill="FFFFFF"/>
        </w:rPr>
        <w:t>’</w:t>
      </w:r>
      <w:r w:rsidR="004B54CE" w:rsidRPr="00934C0E">
        <w:rPr>
          <w:rFonts w:ascii="Gill Sans MT" w:hAnsi="Gill Sans MT"/>
        </w:rPr>
        <w:t>.</w:t>
      </w:r>
      <w:r w:rsidR="004B54CE" w:rsidRPr="00934C0E">
        <w:rPr>
          <w:rStyle w:val="FootnoteReference"/>
          <w:rFonts w:ascii="Gill Sans MT" w:hAnsi="Gill Sans MT"/>
        </w:rPr>
        <w:footnoteReference w:id="98"/>
      </w:r>
      <w:r w:rsidR="004B54CE" w:rsidRPr="00934C0E">
        <w:rPr>
          <w:rFonts w:ascii="Gill Sans MT" w:hAnsi="Gill Sans MT"/>
        </w:rPr>
        <w:t xml:space="preserve">  </w:t>
      </w:r>
      <w:r w:rsidR="00334227">
        <w:rPr>
          <w:rFonts w:ascii="Gill Sans MT" w:hAnsi="Gill Sans MT"/>
        </w:rPr>
        <w:t xml:space="preserve">Identical provisions have been included in the Wales Act 2017, which </w:t>
      </w:r>
      <w:r w:rsidR="008A295D">
        <w:rPr>
          <w:rFonts w:ascii="Gill Sans MT" w:hAnsi="Gill Sans MT"/>
        </w:rPr>
        <w:t>have</w:t>
      </w:r>
      <w:r w:rsidR="00334227">
        <w:rPr>
          <w:rFonts w:ascii="Gill Sans MT" w:hAnsi="Gill Sans MT"/>
        </w:rPr>
        <w:t xml:space="preserve"> similarly amend</w:t>
      </w:r>
      <w:r w:rsidR="008A295D">
        <w:rPr>
          <w:rFonts w:ascii="Gill Sans MT" w:hAnsi="Gill Sans MT"/>
        </w:rPr>
        <w:t>ed</w:t>
      </w:r>
      <w:r w:rsidR="00334227">
        <w:rPr>
          <w:rFonts w:ascii="Gill Sans MT" w:hAnsi="Gill Sans MT"/>
        </w:rPr>
        <w:t xml:space="preserve"> the Government of Wales Act 2006</w:t>
      </w:r>
      <w:r w:rsidR="008A295D">
        <w:rPr>
          <w:rFonts w:ascii="Gill Sans MT" w:hAnsi="Gill Sans MT"/>
        </w:rPr>
        <w:t>.</w:t>
      </w:r>
      <w:r w:rsidR="000874B5">
        <w:rPr>
          <w:rStyle w:val="FootnoteReference"/>
          <w:rFonts w:ascii="Gill Sans MT" w:hAnsi="Gill Sans MT"/>
        </w:rPr>
        <w:footnoteReference w:id="99"/>
      </w:r>
      <w:r w:rsidR="009D7CEB">
        <w:rPr>
          <w:rFonts w:ascii="Gill Sans MT" w:hAnsi="Gill Sans MT"/>
        </w:rPr>
        <w:t xml:space="preserve">  </w:t>
      </w:r>
      <w:r w:rsidR="004B54CE">
        <w:rPr>
          <w:rFonts w:ascii="Gill Sans MT" w:hAnsi="Gill Sans MT"/>
        </w:rPr>
        <w:t>The legal effect</w:t>
      </w:r>
      <w:r w:rsidR="000874B5">
        <w:rPr>
          <w:rFonts w:ascii="Gill Sans MT" w:hAnsi="Gill Sans MT"/>
        </w:rPr>
        <w:t>s</w:t>
      </w:r>
      <w:r w:rsidR="004B54CE">
        <w:rPr>
          <w:rFonts w:ascii="Gill Sans MT" w:hAnsi="Gill Sans MT"/>
        </w:rPr>
        <w:t xml:space="preserve"> of these provisions </w:t>
      </w:r>
      <w:r w:rsidR="000874B5">
        <w:rPr>
          <w:rFonts w:ascii="Gill Sans MT" w:hAnsi="Gill Sans MT"/>
        </w:rPr>
        <w:t>are</w:t>
      </w:r>
      <w:r w:rsidR="004B54CE">
        <w:rPr>
          <w:rFonts w:ascii="Gill Sans MT" w:hAnsi="Gill Sans MT"/>
        </w:rPr>
        <w:t xml:space="preserve"> very much open to debate, especially given they are built around deliberately tentative phrases such as ‘it is recognised’, ‘it is declared’ and ‘to signify the commitment’.  </w:t>
      </w:r>
      <w:r w:rsidR="000874B5">
        <w:rPr>
          <w:rFonts w:ascii="Gill Sans MT" w:hAnsi="Gill Sans MT"/>
        </w:rPr>
        <w:t>The k</w:t>
      </w:r>
      <w:r w:rsidR="000874B5" w:rsidRPr="002E34B0">
        <w:rPr>
          <w:rFonts w:ascii="Gill Sans MT" w:hAnsi="Gill Sans MT"/>
        </w:rPr>
        <w:t>ey issues are</w:t>
      </w:r>
      <w:r w:rsidR="000874B5">
        <w:rPr>
          <w:rFonts w:ascii="Gill Sans MT" w:hAnsi="Gill Sans MT"/>
        </w:rPr>
        <w:t>,</w:t>
      </w:r>
      <w:r w:rsidR="000874B5" w:rsidRPr="002E34B0">
        <w:rPr>
          <w:rFonts w:ascii="Gill Sans MT" w:hAnsi="Gill Sans MT"/>
        </w:rPr>
        <w:t xml:space="preserve"> first, whether Parliament can enact </w:t>
      </w:r>
      <w:r w:rsidR="000874B5">
        <w:rPr>
          <w:rFonts w:ascii="Gill Sans MT" w:hAnsi="Gill Sans MT"/>
        </w:rPr>
        <w:t>legally effective provisions</w:t>
      </w:r>
      <w:r w:rsidR="000874B5" w:rsidRPr="002E34B0">
        <w:rPr>
          <w:rFonts w:ascii="Gill Sans MT" w:hAnsi="Gill Sans MT"/>
        </w:rPr>
        <w:t xml:space="preserve"> which purport to change the nature of the </w:t>
      </w:r>
      <w:r w:rsidR="009D7CEB" w:rsidRPr="002E34B0">
        <w:rPr>
          <w:rFonts w:ascii="Gill Sans MT" w:hAnsi="Gill Sans MT"/>
        </w:rPr>
        <w:t>law-making</w:t>
      </w:r>
      <w:r w:rsidR="000874B5" w:rsidRPr="002E34B0">
        <w:rPr>
          <w:rFonts w:ascii="Gill Sans MT" w:hAnsi="Gill Sans MT"/>
        </w:rPr>
        <w:t xml:space="preserve"> process</w:t>
      </w:r>
      <w:proofErr w:type="gramStart"/>
      <w:r w:rsidR="000874B5" w:rsidRPr="002E34B0">
        <w:rPr>
          <w:rFonts w:ascii="Gill Sans MT" w:hAnsi="Gill Sans MT"/>
        </w:rPr>
        <w:t xml:space="preserve">. </w:t>
      </w:r>
      <w:proofErr w:type="gramEnd"/>
      <w:r w:rsidR="000874B5" w:rsidRPr="002E34B0">
        <w:rPr>
          <w:rFonts w:ascii="Gill Sans MT" w:hAnsi="Gill Sans MT"/>
        </w:rPr>
        <w:t xml:space="preserve">And second, whether Parliament did through these </w:t>
      </w:r>
      <w:proofErr w:type="gramStart"/>
      <w:r w:rsidR="000874B5">
        <w:rPr>
          <w:rFonts w:ascii="Gill Sans MT" w:hAnsi="Gill Sans MT"/>
        </w:rPr>
        <w:t>particular provisions</w:t>
      </w:r>
      <w:proofErr w:type="gramEnd"/>
      <w:r w:rsidR="000874B5" w:rsidRPr="002E34B0">
        <w:rPr>
          <w:rFonts w:ascii="Gill Sans MT" w:hAnsi="Gill Sans MT"/>
        </w:rPr>
        <w:t xml:space="preserve"> intend to change the future </w:t>
      </w:r>
      <w:r w:rsidR="009D7CEB" w:rsidRPr="002E34B0">
        <w:rPr>
          <w:rFonts w:ascii="Gill Sans MT" w:hAnsi="Gill Sans MT"/>
        </w:rPr>
        <w:t>law-making</w:t>
      </w:r>
      <w:r w:rsidR="000874B5" w:rsidRPr="002E34B0">
        <w:rPr>
          <w:rFonts w:ascii="Gill Sans MT" w:hAnsi="Gill Sans MT"/>
        </w:rPr>
        <w:t xml:space="preserve"> process.</w:t>
      </w:r>
    </w:p>
    <w:p w14:paraId="7AB0E417" w14:textId="20394654" w:rsidR="000874B5" w:rsidRDefault="000874B5" w:rsidP="009D7CEB">
      <w:pPr>
        <w:pStyle w:val="NoSpacing"/>
        <w:ind w:firstLine="720"/>
        <w:jc w:val="both"/>
        <w:rPr>
          <w:rFonts w:ascii="Gill Sans MT" w:hAnsi="Gill Sans MT"/>
        </w:rPr>
      </w:pPr>
      <w:r w:rsidRPr="002E34B0">
        <w:rPr>
          <w:rFonts w:ascii="Gill Sans MT" w:hAnsi="Gill Sans MT"/>
        </w:rPr>
        <w:t xml:space="preserve">The two devolution clauses present subtly different issues - the </w:t>
      </w:r>
      <w:r w:rsidR="009D7CEB">
        <w:rPr>
          <w:rFonts w:ascii="Gill Sans MT" w:hAnsi="Gill Sans MT"/>
        </w:rPr>
        <w:t>‘permanence clause’</w:t>
      </w:r>
      <w:r w:rsidRPr="002E34B0">
        <w:rPr>
          <w:rFonts w:ascii="Gill Sans MT" w:hAnsi="Gill Sans MT"/>
        </w:rPr>
        <w:t xml:space="preserve"> appears to be a hybrid of substantive limitation and procedural </w:t>
      </w:r>
      <w:r w:rsidR="009D7CEB">
        <w:rPr>
          <w:rFonts w:ascii="Gill Sans MT" w:hAnsi="Gill Sans MT"/>
        </w:rPr>
        <w:t>constraint</w:t>
      </w:r>
      <w:r w:rsidRPr="002E34B0">
        <w:rPr>
          <w:rFonts w:ascii="Gill Sans MT" w:hAnsi="Gill Sans MT"/>
        </w:rPr>
        <w:t xml:space="preserve">.  </w:t>
      </w:r>
      <w:r w:rsidR="009D7CEB">
        <w:rPr>
          <w:rFonts w:ascii="Gill Sans MT" w:hAnsi="Gill Sans MT"/>
        </w:rPr>
        <w:t xml:space="preserve">This is significant, because a mere declaration as to the permanence of the Scottish institutions </w:t>
      </w:r>
      <w:r w:rsidRPr="002E34B0">
        <w:rPr>
          <w:rFonts w:ascii="Gill Sans MT" w:hAnsi="Gill Sans MT"/>
        </w:rPr>
        <w:t>would</w:t>
      </w:r>
      <w:r w:rsidR="009D7CEB">
        <w:rPr>
          <w:rFonts w:ascii="Gill Sans MT" w:hAnsi="Gill Sans MT"/>
        </w:rPr>
        <w:t xml:space="preserve"> – while symbolically potent – b</w:t>
      </w:r>
      <w:r w:rsidRPr="002E34B0">
        <w:rPr>
          <w:rFonts w:ascii="Gill Sans MT" w:hAnsi="Gill Sans MT"/>
        </w:rPr>
        <w:t>e legally ineffective</w:t>
      </w:r>
      <w:r w:rsidR="009D7CEB">
        <w:rPr>
          <w:rFonts w:ascii="Gill Sans MT" w:hAnsi="Gill Sans MT"/>
        </w:rPr>
        <w:t xml:space="preserve"> alone, as an unenforceable </w:t>
      </w:r>
      <w:r w:rsidR="00A85C03">
        <w:rPr>
          <w:rFonts w:ascii="Gill Sans MT" w:hAnsi="Gill Sans MT"/>
        </w:rPr>
        <w:t>absolute</w:t>
      </w:r>
      <w:r w:rsidR="009D7CEB">
        <w:rPr>
          <w:rFonts w:ascii="Gill Sans MT" w:hAnsi="Gill Sans MT"/>
        </w:rPr>
        <w:t xml:space="preserve"> limitation on the power of future sovereign UK Parliaments</w:t>
      </w:r>
      <w:r w:rsidR="00A85C03">
        <w:rPr>
          <w:rFonts w:ascii="Gill Sans MT" w:hAnsi="Gill Sans MT"/>
        </w:rPr>
        <w:t>, which would simply be repealed by implication on the enactment of any subsequent contradictory statute</w:t>
      </w:r>
      <w:r w:rsidR="009D7CEB">
        <w:rPr>
          <w:rFonts w:ascii="Gill Sans MT" w:hAnsi="Gill Sans MT"/>
        </w:rPr>
        <w:t>.</w:t>
      </w:r>
      <w:r w:rsidR="00A85C03">
        <w:rPr>
          <w:rStyle w:val="FootnoteReference"/>
          <w:rFonts w:ascii="Gill Sans MT" w:hAnsi="Gill Sans MT"/>
        </w:rPr>
        <w:footnoteReference w:id="100"/>
      </w:r>
      <w:r w:rsidRPr="002E34B0">
        <w:rPr>
          <w:rFonts w:ascii="Gill Sans MT" w:hAnsi="Gill Sans MT"/>
        </w:rPr>
        <w:t xml:space="preserve"> </w:t>
      </w:r>
      <w:r w:rsidR="009D7CEB">
        <w:rPr>
          <w:rFonts w:ascii="Gill Sans MT" w:hAnsi="Gill Sans MT"/>
        </w:rPr>
        <w:t xml:space="preserve"> </w:t>
      </w:r>
      <w:r w:rsidR="00A85C03">
        <w:rPr>
          <w:rFonts w:ascii="Gill Sans MT" w:hAnsi="Gill Sans MT"/>
        </w:rPr>
        <w:t>Yet i</w:t>
      </w:r>
      <w:r w:rsidR="000B0E94">
        <w:rPr>
          <w:rFonts w:ascii="Gill Sans MT" w:hAnsi="Gill Sans MT"/>
        </w:rPr>
        <w:t>f</w:t>
      </w:r>
      <w:r w:rsidR="00A85C03">
        <w:rPr>
          <w:rFonts w:ascii="Gill Sans MT" w:hAnsi="Gill Sans MT"/>
        </w:rPr>
        <w:t xml:space="preserve"> we accept the manner and form theory of parliamentary sovereignty, t</w:t>
      </w:r>
      <w:r w:rsidRPr="002E34B0">
        <w:rPr>
          <w:rFonts w:ascii="Gill Sans MT" w:hAnsi="Gill Sans MT"/>
        </w:rPr>
        <w:t>he procedural component</w:t>
      </w:r>
      <w:r w:rsidR="009D7CEB">
        <w:rPr>
          <w:rFonts w:ascii="Gill Sans MT" w:hAnsi="Gill Sans MT"/>
        </w:rPr>
        <w:t xml:space="preserve"> – making abolition of these devolution institutions conditional on approval at a Scottish referendum – </w:t>
      </w:r>
      <w:r w:rsidR="00A85C03">
        <w:rPr>
          <w:rFonts w:ascii="Gill Sans MT" w:hAnsi="Gill Sans MT"/>
        </w:rPr>
        <w:t>becomes</w:t>
      </w:r>
      <w:r w:rsidRPr="002E34B0">
        <w:rPr>
          <w:rFonts w:ascii="Gill Sans MT" w:hAnsi="Gill Sans MT"/>
        </w:rPr>
        <w:t xml:space="preserve"> necessary to give the clause actual force, turning a powerful, but legally defeasible claim about the substantive use of legislative power into an authoritative </w:t>
      </w:r>
      <w:r w:rsidR="00A85C03">
        <w:rPr>
          <w:rFonts w:ascii="Gill Sans MT" w:hAnsi="Gill Sans MT"/>
        </w:rPr>
        <w:t xml:space="preserve">– </w:t>
      </w:r>
      <w:r w:rsidRPr="002E34B0">
        <w:rPr>
          <w:rFonts w:ascii="Gill Sans MT" w:hAnsi="Gill Sans MT"/>
        </w:rPr>
        <w:t xml:space="preserve">and, unless repealed, binding </w:t>
      </w:r>
      <w:r w:rsidR="00A85C03">
        <w:rPr>
          <w:rFonts w:ascii="Gill Sans MT" w:hAnsi="Gill Sans MT"/>
        </w:rPr>
        <w:t>–</w:t>
      </w:r>
      <w:r w:rsidRPr="002E34B0">
        <w:rPr>
          <w:rFonts w:ascii="Gill Sans MT" w:hAnsi="Gill Sans MT"/>
        </w:rPr>
        <w:t xml:space="preserve"> change to the future legal rules governing the legislative process.</w:t>
      </w:r>
      <w:r w:rsidR="00A85C03">
        <w:rPr>
          <w:rFonts w:ascii="Gill Sans MT" w:hAnsi="Gill Sans MT"/>
        </w:rPr>
        <w:t xml:space="preserve">  In enacting such a procedural condition, we should not see Parliament as unconstitutionally ‘binding its successors’ and diminishing future sovereignty.  Instead, on the manner and form approach, the contemporary Parliament has changed the way in which future Parliaments must exercise their still substantively unlimited legislative power.  If the unimaginable step of abolishing Scottish or Welsh devolution is ever even considered, the UK Parliament would either need to repeal the referendum requirement by which it is presently bound, or – accepting the fundamental democratic imperative underpinning this new statutory provision – legislate subject to </w:t>
      </w:r>
      <w:r w:rsidR="00247A33">
        <w:rPr>
          <w:rFonts w:ascii="Gill Sans MT" w:hAnsi="Gill Sans MT"/>
        </w:rPr>
        <w:t xml:space="preserve">the </w:t>
      </w:r>
      <w:r w:rsidR="00A85C03">
        <w:rPr>
          <w:rFonts w:ascii="Gill Sans MT" w:hAnsi="Gill Sans MT"/>
        </w:rPr>
        <w:t>condition that it was approved in a referendum of the people of Scotland or Wales.  In this way, the manner and form theory of parliamentary sovereignty allows us to see these provisions as establishing an alignment between statut</w:t>
      </w:r>
      <w:r w:rsidR="0037208D">
        <w:rPr>
          <w:rFonts w:ascii="Gill Sans MT" w:hAnsi="Gill Sans MT"/>
        </w:rPr>
        <w:t>e</w:t>
      </w:r>
      <w:r w:rsidR="00A85C03">
        <w:rPr>
          <w:rFonts w:ascii="Gill Sans MT" w:hAnsi="Gill Sans MT"/>
        </w:rPr>
        <w:t xml:space="preserve"> law and democratic reality.</w:t>
      </w:r>
    </w:p>
    <w:p w14:paraId="2D4A4AA8" w14:textId="77777777" w:rsidR="00461055" w:rsidRDefault="000874B5" w:rsidP="00461055">
      <w:pPr>
        <w:pStyle w:val="NormalWeb"/>
        <w:spacing w:before="0" w:beforeAutospacing="0" w:after="0" w:afterAutospacing="0"/>
        <w:ind w:firstLine="720"/>
        <w:jc w:val="both"/>
        <w:rPr>
          <w:rFonts w:ascii="Gill Sans MT" w:hAnsi="Gill Sans MT"/>
        </w:rPr>
      </w:pPr>
      <w:r w:rsidRPr="002E34B0">
        <w:rPr>
          <w:rFonts w:ascii="Gill Sans MT" w:hAnsi="Gill Sans MT"/>
        </w:rPr>
        <w:lastRenderedPageBreak/>
        <w:t xml:space="preserve">In comparison with the complex, hybrid nature of the permanence clause, the statutory recognition of the Sewel convention </w:t>
      </w:r>
      <w:proofErr w:type="gramStart"/>
      <w:r w:rsidRPr="002E34B0">
        <w:rPr>
          <w:rFonts w:ascii="Gill Sans MT" w:hAnsi="Gill Sans MT"/>
        </w:rPr>
        <w:t>can be seen as</w:t>
      </w:r>
      <w:proofErr w:type="gramEnd"/>
      <w:r w:rsidRPr="002E34B0">
        <w:rPr>
          <w:rFonts w:ascii="Gill Sans MT" w:hAnsi="Gill Sans MT"/>
        </w:rPr>
        <w:t xml:space="preserve"> more basic in its ambitions. While </w:t>
      </w:r>
      <w:r w:rsidR="003035CA">
        <w:rPr>
          <w:rFonts w:ascii="Gill Sans MT" w:hAnsi="Gill Sans MT"/>
        </w:rPr>
        <w:t xml:space="preserve">it would have been open to the UK Parliament to try to </w:t>
      </w:r>
      <w:r w:rsidRPr="002E34B0">
        <w:rPr>
          <w:rFonts w:ascii="Gill Sans MT" w:hAnsi="Gill Sans MT"/>
        </w:rPr>
        <w:t>incorporate</w:t>
      </w:r>
      <w:r w:rsidR="003035CA">
        <w:rPr>
          <w:rFonts w:ascii="Gill Sans MT" w:hAnsi="Gill Sans MT"/>
        </w:rPr>
        <w:t xml:space="preserve"> consent requirements</w:t>
      </w:r>
      <w:r w:rsidRPr="002E34B0">
        <w:rPr>
          <w:rFonts w:ascii="Gill Sans MT" w:hAnsi="Gill Sans MT"/>
        </w:rPr>
        <w:t xml:space="preserve"> into the </w:t>
      </w:r>
      <w:r w:rsidR="003035CA" w:rsidRPr="002E34B0">
        <w:rPr>
          <w:rFonts w:ascii="Gill Sans MT" w:hAnsi="Gill Sans MT"/>
        </w:rPr>
        <w:t>law-making</w:t>
      </w:r>
      <w:r w:rsidRPr="002E34B0">
        <w:rPr>
          <w:rFonts w:ascii="Gill Sans MT" w:hAnsi="Gill Sans MT"/>
        </w:rPr>
        <w:t xml:space="preserve"> process, the framing of this provision makes it </w:t>
      </w:r>
      <w:r w:rsidR="003035CA" w:rsidRPr="002E34B0">
        <w:rPr>
          <w:rFonts w:ascii="Gill Sans MT" w:hAnsi="Gill Sans MT"/>
        </w:rPr>
        <w:t>difficult</w:t>
      </w:r>
      <w:r w:rsidRPr="002E34B0">
        <w:rPr>
          <w:rFonts w:ascii="Gill Sans MT" w:hAnsi="Gill Sans MT"/>
        </w:rPr>
        <w:t xml:space="preserve"> to believe that this was </w:t>
      </w:r>
      <w:r w:rsidR="003035CA">
        <w:rPr>
          <w:rFonts w:ascii="Gill Sans MT" w:hAnsi="Gill Sans MT"/>
        </w:rPr>
        <w:t>the legislature’s</w:t>
      </w:r>
      <w:r w:rsidRPr="002E34B0">
        <w:rPr>
          <w:rFonts w:ascii="Gill Sans MT" w:hAnsi="Gill Sans MT"/>
        </w:rPr>
        <w:t xml:space="preserve"> intention. </w:t>
      </w:r>
      <w:r w:rsidR="003035CA">
        <w:rPr>
          <w:rFonts w:ascii="Gill Sans MT" w:hAnsi="Gill Sans MT"/>
        </w:rPr>
        <w:t xml:space="preserve"> </w:t>
      </w:r>
      <w:r w:rsidRPr="002E34B0">
        <w:rPr>
          <w:rFonts w:ascii="Gill Sans MT" w:hAnsi="Gill Sans MT"/>
        </w:rPr>
        <w:t xml:space="preserve">The convention is merely 'recognised', it is said only to operate 'normally', the vagueness of which makes </w:t>
      </w:r>
      <w:r w:rsidR="003035CA">
        <w:rPr>
          <w:rFonts w:ascii="Gill Sans MT" w:hAnsi="Gill Sans MT"/>
        </w:rPr>
        <w:t>these norms</w:t>
      </w:r>
      <w:r w:rsidRPr="002E34B0">
        <w:rPr>
          <w:rFonts w:ascii="Gill Sans MT" w:hAnsi="Gill Sans MT"/>
        </w:rPr>
        <w:t xml:space="preserve"> politically fluid but legally unworkable.</w:t>
      </w:r>
      <w:r w:rsidR="003035CA">
        <w:rPr>
          <w:rFonts w:ascii="Gill Sans MT" w:hAnsi="Gill Sans MT"/>
        </w:rPr>
        <w:t xml:space="preserve"> </w:t>
      </w:r>
      <w:r w:rsidRPr="002E34B0">
        <w:rPr>
          <w:rFonts w:ascii="Gill Sans MT" w:hAnsi="Gill Sans MT"/>
        </w:rPr>
        <w:t xml:space="preserve"> There is no real attempt to define or institutionalise the operation of a process which </w:t>
      </w:r>
      <w:r w:rsidR="008E4E13">
        <w:rPr>
          <w:rFonts w:ascii="Gill Sans MT" w:hAnsi="Gill Sans MT"/>
        </w:rPr>
        <w:t>–</w:t>
      </w:r>
      <w:r w:rsidRPr="002E34B0">
        <w:rPr>
          <w:rFonts w:ascii="Gill Sans MT" w:hAnsi="Gill Sans MT"/>
        </w:rPr>
        <w:t xml:space="preserve"> unlike the distant prospect of a referendum on disestablishing the devolved institutions </w:t>
      </w:r>
      <w:r w:rsidR="008E4E13">
        <w:rPr>
          <w:rFonts w:ascii="Gill Sans MT" w:hAnsi="Gill Sans MT"/>
        </w:rPr>
        <w:t>–</w:t>
      </w:r>
      <w:r w:rsidRPr="002E34B0">
        <w:rPr>
          <w:rFonts w:ascii="Gill Sans MT" w:hAnsi="Gill Sans MT"/>
        </w:rPr>
        <w:t xml:space="preserve"> has been and would continue to be frequently used.</w:t>
      </w:r>
      <w:r w:rsidR="003035CA">
        <w:rPr>
          <w:rStyle w:val="FootnoteReference"/>
          <w:rFonts w:ascii="Gill Sans MT" w:hAnsi="Gill Sans MT"/>
        </w:rPr>
        <w:footnoteReference w:id="101"/>
      </w:r>
    </w:p>
    <w:p w14:paraId="214E1214" w14:textId="1A950C13" w:rsidR="00461055" w:rsidRDefault="00461055" w:rsidP="004E3D3C">
      <w:pPr>
        <w:pStyle w:val="NormalWeb"/>
        <w:spacing w:before="0" w:beforeAutospacing="0" w:after="0" w:afterAutospacing="0"/>
        <w:ind w:firstLine="720"/>
        <w:jc w:val="both"/>
        <w:rPr>
          <w:rFonts w:ascii="Gill Sans MT" w:hAnsi="Gill Sans MT"/>
        </w:rPr>
      </w:pPr>
      <w:r>
        <w:rPr>
          <w:rFonts w:ascii="Gill Sans MT" w:hAnsi="Gill Sans MT"/>
        </w:rPr>
        <w:t xml:space="preserve">The effects of this provision were quickly tested in </w:t>
      </w:r>
      <w:r w:rsidR="004B54CE">
        <w:rPr>
          <w:rFonts w:ascii="Gill Sans MT" w:hAnsi="Gill Sans MT"/>
        </w:rPr>
        <w:t xml:space="preserve">the </w:t>
      </w:r>
      <w:r w:rsidR="004B54CE">
        <w:rPr>
          <w:rFonts w:ascii="Gill Sans MT" w:hAnsi="Gill Sans MT"/>
          <w:i/>
        </w:rPr>
        <w:t xml:space="preserve">Miller </w:t>
      </w:r>
      <w:r w:rsidR="004B54CE">
        <w:rPr>
          <w:rFonts w:ascii="Gill Sans MT" w:hAnsi="Gill Sans MT"/>
        </w:rPr>
        <w:t>case, in which</w:t>
      </w:r>
      <w:r>
        <w:rPr>
          <w:rFonts w:ascii="Gill Sans MT" w:hAnsi="Gill Sans MT"/>
        </w:rPr>
        <w:t>, as noted above,</w:t>
      </w:r>
      <w:r>
        <w:rPr>
          <w:rStyle w:val="FootnoteReference"/>
          <w:rFonts w:ascii="Gill Sans MT" w:hAnsi="Gill Sans MT"/>
        </w:rPr>
        <w:footnoteReference w:id="102"/>
      </w:r>
      <w:r w:rsidR="004B54CE">
        <w:rPr>
          <w:rFonts w:ascii="Gill Sans MT" w:hAnsi="Gill Sans MT"/>
        </w:rPr>
        <w:t xml:space="preserve"> the Supreme Court unanimously held that the courts could not enforce a political convention of this kind, and the consent of the devolved institutions was not therefore legally required before Article 50 could be triggered.</w:t>
      </w:r>
      <w:r w:rsidR="004B54CE">
        <w:rPr>
          <w:rStyle w:val="FootnoteReference"/>
          <w:rFonts w:ascii="Gill Sans MT" w:hAnsi="Gill Sans MT"/>
        </w:rPr>
        <w:footnoteReference w:id="103"/>
      </w:r>
      <w:r>
        <w:rPr>
          <w:rFonts w:ascii="Gill Sans MT" w:hAnsi="Gill Sans MT"/>
        </w:rPr>
        <w:t xml:space="preserve">  </w:t>
      </w:r>
      <w:r w:rsidR="004B54CE">
        <w:rPr>
          <w:rFonts w:ascii="Gill Sans MT" w:hAnsi="Gill Sans MT"/>
        </w:rPr>
        <w:t xml:space="preserve">The statutory recognition of the Sewel convention did not alter this position: the court held </w:t>
      </w:r>
      <w:r w:rsidR="004B54CE" w:rsidRPr="00B41A8A">
        <w:rPr>
          <w:rFonts w:ascii="Gill Sans MT" w:hAnsi="Gill Sans MT"/>
        </w:rPr>
        <w:t xml:space="preserve">that </w:t>
      </w:r>
      <w:r w:rsidR="004B54CE">
        <w:rPr>
          <w:rFonts w:ascii="Gill Sans MT" w:hAnsi="Gill Sans MT"/>
        </w:rPr>
        <w:t xml:space="preserve">it </w:t>
      </w:r>
      <w:r w:rsidR="004B54CE" w:rsidRPr="00B41A8A">
        <w:rPr>
          <w:rFonts w:ascii="Gill Sans MT" w:hAnsi="Gill Sans MT"/>
        </w:rPr>
        <w:t xml:space="preserve">‘would have expected </w:t>
      </w:r>
      <w:r w:rsidR="004B54CE">
        <w:rPr>
          <w:rFonts w:ascii="Gill Sans MT" w:hAnsi="Gill Sans MT"/>
        </w:rPr>
        <w:t xml:space="preserve">[the] </w:t>
      </w:r>
      <w:r w:rsidR="004B54CE" w:rsidRPr="00B41A8A">
        <w:rPr>
          <w:rFonts w:ascii="Gill Sans MT" w:hAnsi="Gill Sans MT"/>
        </w:rPr>
        <w:t>UK Parliament to have used other words if it were seeking to convert a convention into a legal</w:t>
      </w:r>
      <w:r w:rsidR="004B54CE">
        <w:rPr>
          <w:rFonts w:ascii="Gill Sans MT" w:hAnsi="Gill Sans MT"/>
        </w:rPr>
        <w:t xml:space="preserve"> rule justiciable by the courts’,</w:t>
      </w:r>
      <w:r w:rsidR="004B54CE">
        <w:rPr>
          <w:rStyle w:val="FootnoteReference"/>
          <w:rFonts w:ascii="Gill Sans MT" w:hAnsi="Gill Sans MT"/>
        </w:rPr>
        <w:footnoteReference w:id="104"/>
      </w:r>
      <w:r w:rsidR="004B54CE" w:rsidRPr="00B41A8A">
        <w:rPr>
          <w:rFonts w:ascii="Gill Sans MT" w:hAnsi="Gill Sans MT"/>
        </w:rPr>
        <w:t xml:space="preserve"> </w:t>
      </w:r>
      <w:r w:rsidR="004B54CE">
        <w:rPr>
          <w:rFonts w:ascii="Gill Sans MT" w:hAnsi="Gill Sans MT"/>
        </w:rPr>
        <w:t xml:space="preserve">and </w:t>
      </w:r>
      <w:r w:rsidR="004B54CE" w:rsidRPr="00B41A8A">
        <w:rPr>
          <w:rFonts w:ascii="Gill Sans MT" w:hAnsi="Gill Sans MT"/>
        </w:rPr>
        <w:t>the provision was</w:t>
      </w:r>
      <w:r w:rsidR="004B54CE">
        <w:rPr>
          <w:rFonts w:ascii="Gill Sans MT" w:hAnsi="Gill Sans MT"/>
        </w:rPr>
        <w:t xml:space="preserve"> instead</w:t>
      </w:r>
      <w:r w:rsidR="004B54CE" w:rsidRPr="00B41A8A">
        <w:rPr>
          <w:rFonts w:ascii="Gill Sans MT" w:hAnsi="Gill Sans MT"/>
        </w:rPr>
        <w:t xml:space="preserve"> intended ‘</w:t>
      </w:r>
      <w:r w:rsidR="004B54CE">
        <w:rPr>
          <w:rFonts w:ascii="Gill Sans MT" w:hAnsi="Gill Sans MT"/>
        </w:rPr>
        <w:t xml:space="preserve">to </w:t>
      </w:r>
      <w:r w:rsidR="004B54CE" w:rsidRPr="00B41A8A">
        <w:rPr>
          <w:rFonts w:ascii="Gill Sans MT" w:hAnsi="Gill Sans MT"/>
        </w:rPr>
        <w:t>entrench it as a convention’.</w:t>
      </w:r>
      <w:r w:rsidR="004B54CE" w:rsidRPr="00B41A8A">
        <w:rPr>
          <w:rStyle w:val="FootnoteReference"/>
          <w:rFonts w:ascii="Gill Sans MT" w:hAnsi="Gill Sans MT"/>
        </w:rPr>
        <w:footnoteReference w:id="105"/>
      </w:r>
      <w:r w:rsidR="004B54CE" w:rsidRPr="00B41A8A">
        <w:rPr>
          <w:rFonts w:ascii="Gill Sans MT" w:hAnsi="Gill Sans MT"/>
        </w:rPr>
        <w:t xml:space="preserve">  </w:t>
      </w:r>
      <w:r>
        <w:rPr>
          <w:rFonts w:ascii="Gill Sans MT" w:hAnsi="Gill Sans MT"/>
        </w:rPr>
        <w:t>Crucially, the judicial analysis here</w:t>
      </w:r>
      <w:r w:rsidR="004B54CE" w:rsidRPr="00934C0E">
        <w:rPr>
          <w:rFonts w:ascii="Gill Sans MT" w:hAnsi="Gill Sans MT"/>
        </w:rPr>
        <w:t xml:space="preserve"> is </w:t>
      </w:r>
      <w:r w:rsidR="004B54CE">
        <w:rPr>
          <w:rFonts w:ascii="Gill Sans MT" w:hAnsi="Gill Sans MT"/>
        </w:rPr>
        <w:t>(</w:t>
      </w:r>
      <w:r w:rsidR="004B54CE" w:rsidRPr="00934C0E">
        <w:rPr>
          <w:rFonts w:ascii="Gill Sans MT" w:hAnsi="Gill Sans MT"/>
        </w:rPr>
        <w:t>rightly</w:t>
      </w:r>
      <w:r w:rsidR="004B54CE">
        <w:rPr>
          <w:rFonts w:ascii="Gill Sans MT" w:hAnsi="Gill Sans MT"/>
        </w:rPr>
        <w:t>)</w:t>
      </w:r>
      <w:r w:rsidR="004B54CE" w:rsidRPr="00934C0E">
        <w:rPr>
          <w:rFonts w:ascii="Gill Sans MT" w:hAnsi="Gill Sans MT"/>
        </w:rPr>
        <w:t xml:space="preserve"> </w:t>
      </w:r>
      <w:r>
        <w:rPr>
          <w:rFonts w:ascii="Gill Sans MT" w:hAnsi="Gill Sans MT"/>
        </w:rPr>
        <w:t>focused on</w:t>
      </w:r>
      <w:r w:rsidR="004B54CE" w:rsidRPr="00934C0E">
        <w:rPr>
          <w:rFonts w:ascii="Gill Sans MT" w:hAnsi="Gill Sans MT"/>
        </w:rPr>
        <w:t xml:space="preserve"> what Parliament</w:t>
      </w:r>
      <w:r w:rsidR="004B54CE" w:rsidRPr="00111AA7">
        <w:rPr>
          <w:rFonts w:ascii="Gill Sans MT" w:hAnsi="Gill Sans MT"/>
        </w:rPr>
        <w:t xml:space="preserve"> intended in enacting these provisions, rather than </w:t>
      </w:r>
      <w:r>
        <w:rPr>
          <w:rFonts w:ascii="Gill Sans MT" w:hAnsi="Gill Sans MT"/>
        </w:rPr>
        <w:t xml:space="preserve">the prior question of </w:t>
      </w:r>
      <w:r w:rsidR="004B54CE" w:rsidRPr="00111AA7">
        <w:rPr>
          <w:rFonts w:ascii="Gill Sans MT" w:hAnsi="Gill Sans MT"/>
        </w:rPr>
        <w:t xml:space="preserve">whether it is even constitutionally </w:t>
      </w:r>
      <w:r w:rsidR="004B54CE">
        <w:rPr>
          <w:rFonts w:ascii="Gill Sans MT" w:hAnsi="Gill Sans MT"/>
        </w:rPr>
        <w:t>permissible</w:t>
      </w:r>
      <w:r w:rsidR="004B54CE" w:rsidRPr="00111AA7">
        <w:rPr>
          <w:rFonts w:ascii="Gill Sans MT" w:hAnsi="Gill Sans MT"/>
        </w:rPr>
        <w:t xml:space="preserve"> </w:t>
      </w:r>
      <w:r w:rsidR="004B54CE">
        <w:rPr>
          <w:rFonts w:ascii="Gill Sans MT" w:hAnsi="Gill Sans MT"/>
        </w:rPr>
        <w:t xml:space="preserve">for the legislature to impose procedural </w:t>
      </w:r>
      <w:r w:rsidR="004B54CE" w:rsidRPr="00111AA7">
        <w:rPr>
          <w:rFonts w:ascii="Gill Sans MT" w:hAnsi="Gill Sans MT"/>
        </w:rPr>
        <w:t xml:space="preserve">limits on its </w:t>
      </w:r>
      <w:r w:rsidR="004B54CE">
        <w:rPr>
          <w:rFonts w:ascii="Gill Sans MT" w:hAnsi="Gill Sans MT"/>
        </w:rPr>
        <w:t xml:space="preserve">law-making </w:t>
      </w:r>
      <w:r w:rsidR="004B54CE" w:rsidRPr="00111AA7">
        <w:rPr>
          <w:rFonts w:ascii="Gill Sans MT" w:hAnsi="Gill Sans MT"/>
        </w:rPr>
        <w:t>power</w:t>
      </w:r>
      <w:r w:rsidR="004B54CE">
        <w:rPr>
          <w:rFonts w:ascii="Gill Sans MT" w:hAnsi="Gill Sans MT"/>
        </w:rPr>
        <w:t xml:space="preserve"> to begin with</w:t>
      </w:r>
      <w:r w:rsidR="004B54CE" w:rsidRPr="00111AA7">
        <w:rPr>
          <w:rFonts w:ascii="Gill Sans MT" w:hAnsi="Gill Sans MT"/>
        </w:rPr>
        <w:t xml:space="preserve">.  </w:t>
      </w:r>
      <w:r>
        <w:rPr>
          <w:rFonts w:ascii="Gill Sans MT" w:hAnsi="Gill Sans MT"/>
        </w:rPr>
        <w:t xml:space="preserve">The courts did not fall back on the </w:t>
      </w:r>
      <w:proofErr w:type="spellStart"/>
      <w:r>
        <w:rPr>
          <w:rFonts w:ascii="Gill Sans MT" w:hAnsi="Gill Sans MT"/>
        </w:rPr>
        <w:t>Diceyan</w:t>
      </w:r>
      <w:proofErr w:type="spellEnd"/>
      <w:r>
        <w:rPr>
          <w:rFonts w:ascii="Gill Sans MT" w:hAnsi="Gill Sans MT"/>
        </w:rPr>
        <w:t xml:space="preserve"> dogma that the legislature </w:t>
      </w:r>
      <w:r w:rsidR="0092437A">
        <w:rPr>
          <w:rFonts w:ascii="Gill Sans MT" w:hAnsi="Gill Sans MT"/>
        </w:rPr>
        <w:t>is prohibited from</w:t>
      </w:r>
      <w:r>
        <w:rPr>
          <w:rFonts w:ascii="Gill Sans MT" w:hAnsi="Gill Sans MT"/>
        </w:rPr>
        <w:t xml:space="preserve"> bind</w:t>
      </w:r>
      <w:r w:rsidR="0092437A">
        <w:rPr>
          <w:rFonts w:ascii="Gill Sans MT" w:hAnsi="Gill Sans MT"/>
        </w:rPr>
        <w:t>ing</w:t>
      </w:r>
      <w:r>
        <w:rPr>
          <w:rFonts w:ascii="Gill Sans MT" w:hAnsi="Gill Sans MT"/>
        </w:rPr>
        <w:t xml:space="preserve"> its successors to dismiss any idea that an effective statutory requirement of devolved consent could be created.  Instead, </w:t>
      </w:r>
      <w:r w:rsidR="0092437A">
        <w:rPr>
          <w:rFonts w:ascii="Gill Sans MT" w:hAnsi="Gill Sans MT"/>
        </w:rPr>
        <w:t xml:space="preserve">the approach taken by the Supreme Court in </w:t>
      </w:r>
      <w:r w:rsidR="0092437A">
        <w:rPr>
          <w:rFonts w:ascii="Gill Sans MT" w:hAnsi="Gill Sans MT"/>
          <w:i/>
        </w:rPr>
        <w:t>Miller</w:t>
      </w:r>
      <w:r w:rsidR="00C02C02">
        <w:rPr>
          <w:rFonts w:ascii="Gill Sans MT" w:hAnsi="Gill Sans MT"/>
          <w:i/>
        </w:rPr>
        <w:t xml:space="preserve"> </w:t>
      </w:r>
      <w:r w:rsidR="00C02C02">
        <w:rPr>
          <w:rFonts w:ascii="Gill Sans MT" w:hAnsi="Gill Sans MT"/>
        </w:rPr>
        <w:t>is premised on the idea that such a statutory condition could have been created, but this had not been achieved in this specific case.</w:t>
      </w:r>
      <w:r w:rsidR="00883007" w:rsidRPr="00C02C02">
        <w:rPr>
          <w:rStyle w:val="FootnoteReference"/>
          <w:rFonts w:ascii="Gill Sans MT" w:hAnsi="Gill Sans MT"/>
        </w:rPr>
        <w:footnoteReference w:id="106"/>
      </w:r>
      <w:r w:rsidR="00C02C02">
        <w:rPr>
          <w:rFonts w:ascii="Gill Sans MT" w:hAnsi="Gill Sans MT"/>
        </w:rPr>
        <w:t xml:space="preserve">  To do so is not to undercut the importance of this statutory recognition of the Sewel convention, or even to undermine the sovereignty of the Parliament enacting this provision.</w:t>
      </w:r>
      <w:r w:rsidR="00C02C02">
        <w:rPr>
          <w:rStyle w:val="FootnoteReference"/>
          <w:rFonts w:ascii="Gill Sans MT" w:hAnsi="Gill Sans MT"/>
        </w:rPr>
        <w:footnoteReference w:id="107"/>
      </w:r>
      <w:r w:rsidR="00C02C02">
        <w:rPr>
          <w:rFonts w:ascii="Gill Sans MT" w:hAnsi="Gill Sans MT"/>
        </w:rPr>
        <w:t xml:space="preserve">  For the</w:t>
      </w:r>
      <w:r w:rsidR="00247A33">
        <w:rPr>
          <w:rFonts w:ascii="Gill Sans MT" w:hAnsi="Gill Sans MT"/>
        </w:rPr>
        <w:t>r</w:t>
      </w:r>
      <w:r w:rsidR="00C02C02">
        <w:rPr>
          <w:rFonts w:ascii="Gill Sans MT" w:hAnsi="Gill Sans MT"/>
        </w:rPr>
        <w:t>e is n</w:t>
      </w:r>
      <w:r w:rsidRPr="002E34B0">
        <w:rPr>
          <w:rFonts w:ascii="Gill Sans MT" w:hAnsi="Gill Sans MT"/>
        </w:rPr>
        <w:t>o inherent contradiction in the idea of legislative enactments being intended to have political rather than legal</w:t>
      </w:r>
      <w:r w:rsidR="00135A0B">
        <w:rPr>
          <w:rFonts w:ascii="Gill Sans MT" w:hAnsi="Gill Sans MT"/>
        </w:rPr>
        <w:t>ly enforceable</w:t>
      </w:r>
      <w:r w:rsidRPr="002E34B0">
        <w:rPr>
          <w:rFonts w:ascii="Gill Sans MT" w:hAnsi="Gill Sans MT"/>
        </w:rPr>
        <w:t xml:space="preserve"> effects. Indeed, this can be an important constitutional tool, allowing the sovereign Parliament to express an authoritative view as to the significance of key elements of the political constitution. </w:t>
      </w:r>
      <w:r w:rsidR="00C02C02">
        <w:rPr>
          <w:rFonts w:ascii="Gill Sans MT" w:hAnsi="Gill Sans MT"/>
        </w:rPr>
        <w:t xml:space="preserve"> </w:t>
      </w:r>
      <w:r w:rsidRPr="002E34B0">
        <w:rPr>
          <w:rFonts w:ascii="Gill Sans MT" w:hAnsi="Gill Sans MT"/>
        </w:rPr>
        <w:t xml:space="preserve">Whether </w:t>
      </w:r>
      <w:r w:rsidR="00C02C02">
        <w:rPr>
          <w:rFonts w:ascii="Gill Sans MT" w:hAnsi="Gill Sans MT"/>
        </w:rPr>
        <w:t xml:space="preserve">such </w:t>
      </w:r>
      <w:r w:rsidRPr="002E34B0">
        <w:rPr>
          <w:rFonts w:ascii="Gill Sans MT" w:hAnsi="Gill Sans MT"/>
        </w:rPr>
        <w:t xml:space="preserve">symbolic legislation has positive, negative or mixed effects will largely be determined by the norm or principle that Parliament is attempting formally </w:t>
      </w:r>
      <w:r w:rsidR="00247A33">
        <w:rPr>
          <w:rFonts w:ascii="Gill Sans MT" w:hAnsi="Gill Sans MT"/>
        </w:rPr>
        <w:t xml:space="preserve">to </w:t>
      </w:r>
      <w:r w:rsidRPr="002E34B0">
        <w:rPr>
          <w:rFonts w:ascii="Gill Sans MT" w:hAnsi="Gill Sans MT"/>
        </w:rPr>
        <w:t>recognise and consequently to reinforce.</w:t>
      </w:r>
      <w:r w:rsidR="00C02C02">
        <w:rPr>
          <w:rStyle w:val="FootnoteReference"/>
          <w:rFonts w:ascii="Gill Sans MT" w:hAnsi="Gill Sans MT"/>
        </w:rPr>
        <w:footnoteReference w:id="108"/>
      </w:r>
      <w:r w:rsidRPr="002E34B0">
        <w:rPr>
          <w:rFonts w:ascii="Gill Sans MT" w:hAnsi="Gill Sans MT"/>
        </w:rPr>
        <w:t xml:space="preserve"> </w:t>
      </w:r>
      <w:r w:rsidR="00D04220">
        <w:rPr>
          <w:rFonts w:ascii="Gill Sans MT" w:hAnsi="Gill Sans MT"/>
        </w:rPr>
        <w:t xml:space="preserve"> </w:t>
      </w:r>
      <w:r w:rsidRPr="002E34B0">
        <w:rPr>
          <w:rFonts w:ascii="Gill Sans MT" w:hAnsi="Gill Sans MT"/>
        </w:rPr>
        <w:t>Yet while still certainly relevant to our understanding of the background legal context, any impact will be felt primarily in the political realm, where the implications of such legislative signals should be assessed and exploited.</w:t>
      </w:r>
    </w:p>
    <w:p w14:paraId="1F39C2C9" w14:textId="4FEE19E0" w:rsidR="00F37915" w:rsidRDefault="00F37915" w:rsidP="004E3D3C">
      <w:pPr>
        <w:pStyle w:val="NormalWeb"/>
        <w:spacing w:before="0" w:beforeAutospacing="0" w:after="0" w:afterAutospacing="0"/>
        <w:ind w:firstLine="720"/>
        <w:jc w:val="both"/>
        <w:rPr>
          <w:rFonts w:ascii="Gill Sans MT" w:hAnsi="Gill Sans MT"/>
        </w:rPr>
      </w:pPr>
      <w:r>
        <w:rPr>
          <w:rFonts w:ascii="Gill Sans MT" w:hAnsi="Gill Sans MT"/>
        </w:rPr>
        <w:t>Ultimately, while a potential</w:t>
      </w:r>
      <w:r w:rsidR="004D3246">
        <w:rPr>
          <w:rFonts w:ascii="Gill Sans MT" w:hAnsi="Gill Sans MT"/>
        </w:rPr>
        <w:t>ly</w:t>
      </w:r>
      <w:r>
        <w:rPr>
          <w:rFonts w:ascii="Gill Sans MT" w:hAnsi="Gill Sans MT"/>
        </w:rPr>
        <w:t xml:space="preserve"> radical use of statutory power, parliamentary sovereignty is made evident through these provisions.  The permanence clause shows engagement with manner and form reasoning in the use of a procedural condition to give legal force to a substantive aspiration.  The recognition of the Sewel convention has been drafted in such a way as to have primarily political impact, rather than to make devolved consent requirements legally enforceable.  Yet both provisions demonstrate that the idea of legally unlimited legislative power gives the UK Parliament much greater </w:t>
      </w:r>
      <w:r>
        <w:rPr>
          <w:rFonts w:ascii="Gill Sans MT" w:hAnsi="Gill Sans MT"/>
        </w:rPr>
        <w:lastRenderedPageBreak/>
        <w:t xml:space="preserve">law-making flexibility than was suggested by the old, unrefined orthodoxy that a sovereign </w:t>
      </w:r>
      <w:r w:rsidR="00BD3F91">
        <w:rPr>
          <w:rFonts w:ascii="Gill Sans MT" w:hAnsi="Gill Sans MT"/>
        </w:rPr>
        <w:t xml:space="preserve">legislature </w:t>
      </w:r>
      <w:r>
        <w:rPr>
          <w:rFonts w:ascii="Gill Sans MT" w:hAnsi="Gill Sans MT"/>
        </w:rPr>
        <w:t>could never bind its successors.</w:t>
      </w:r>
    </w:p>
    <w:p w14:paraId="7FF5679E" w14:textId="77777777" w:rsidR="00461055" w:rsidRDefault="00461055" w:rsidP="004B54CE">
      <w:pPr>
        <w:pStyle w:val="NoSpacing"/>
        <w:jc w:val="both"/>
        <w:rPr>
          <w:rFonts w:ascii="Gill Sans MT" w:hAnsi="Gill Sans MT"/>
        </w:rPr>
      </w:pPr>
    </w:p>
    <w:p w14:paraId="12B45835" w14:textId="2E32D5F0" w:rsidR="002E5771" w:rsidRPr="00A95FCE" w:rsidRDefault="00564E06" w:rsidP="00564E06">
      <w:pPr>
        <w:pStyle w:val="NoSpacing"/>
        <w:jc w:val="both"/>
        <w:rPr>
          <w:rFonts w:ascii="Gill Sans MT" w:hAnsi="Gill Sans MT"/>
          <w:u w:val="single"/>
        </w:rPr>
      </w:pPr>
      <w:r w:rsidRPr="00A95FCE">
        <w:rPr>
          <w:rFonts w:ascii="Gill Sans MT" w:hAnsi="Gill Sans MT"/>
          <w:i/>
          <w:u w:val="single"/>
        </w:rPr>
        <w:t xml:space="preserve">Legislating for Brexit Part 1: the </w:t>
      </w:r>
      <w:r w:rsidR="002E5771" w:rsidRPr="00A95FCE">
        <w:rPr>
          <w:rFonts w:ascii="Gill Sans MT" w:hAnsi="Gill Sans MT"/>
          <w:i/>
          <w:u w:val="single"/>
        </w:rPr>
        <w:t>EU Withdrawal Bill</w:t>
      </w:r>
    </w:p>
    <w:p w14:paraId="0928598C" w14:textId="77777777" w:rsidR="006E59FB" w:rsidRDefault="006E59FB" w:rsidP="000B5B4B">
      <w:pPr>
        <w:pStyle w:val="NoSpacing"/>
        <w:jc w:val="both"/>
        <w:rPr>
          <w:rFonts w:ascii="Gill Sans MT" w:hAnsi="Gill Sans MT"/>
        </w:rPr>
      </w:pPr>
    </w:p>
    <w:p w14:paraId="39B84FFA" w14:textId="46114E9E" w:rsidR="00BD3F91" w:rsidRDefault="006E59FB" w:rsidP="00BD3F91">
      <w:pPr>
        <w:pStyle w:val="NoSpacing"/>
        <w:jc w:val="both"/>
        <w:rPr>
          <w:rFonts w:ascii="Gill Sans MT" w:hAnsi="Gill Sans MT"/>
        </w:rPr>
      </w:pPr>
      <w:r>
        <w:rPr>
          <w:rFonts w:ascii="Gill Sans MT" w:hAnsi="Gill Sans MT"/>
        </w:rPr>
        <w:t xml:space="preserve">The legislative challenge of delivering withdrawal from the EU will be the primary task occupying the UK Parliament for many years.  Such was the extensive integration of EU law into the UK legal system, vast quantities of substantive legal norms will need to be </w:t>
      </w:r>
      <w:proofErr w:type="spellStart"/>
      <w:r>
        <w:rPr>
          <w:rFonts w:ascii="Gill Sans MT" w:hAnsi="Gill Sans MT"/>
        </w:rPr>
        <w:t>reauthorised</w:t>
      </w:r>
      <w:proofErr w:type="spellEnd"/>
      <w:r>
        <w:rPr>
          <w:rFonts w:ascii="Gill Sans MT" w:hAnsi="Gill Sans MT"/>
        </w:rPr>
        <w:t xml:space="preserve"> or </w:t>
      </w:r>
      <w:r w:rsidR="00BD3F91">
        <w:rPr>
          <w:rFonts w:ascii="Gill Sans MT" w:hAnsi="Gill Sans MT"/>
        </w:rPr>
        <w:t>reformulated</w:t>
      </w:r>
      <w:r>
        <w:rPr>
          <w:rFonts w:ascii="Gill Sans MT" w:hAnsi="Gill Sans MT"/>
        </w:rPr>
        <w:t xml:space="preserve">, along with the </w:t>
      </w:r>
      <w:r w:rsidR="00BD3F91">
        <w:rPr>
          <w:rFonts w:ascii="Gill Sans MT" w:hAnsi="Gill Sans MT"/>
        </w:rPr>
        <w:t xml:space="preserve">replacement of the </w:t>
      </w:r>
      <w:r>
        <w:rPr>
          <w:rFonts w:ascii="Gill Sans MT" w:hAnsi="Gill Sans MT"/>
        </w:rPr>
        <w:t xml:space="preserve">framework by which EU rules had direct effect and supremacy within the UK.  </w:t>
      </w:r>
      <w:r w:rsidR="000B5B4B">
        <w:rPr>
          <w:rFonts w:ascii="Gill Sans MT" w:hAnsi="Gill Sans MT"/>
        </w:rPr>
        <w:t xml:space="preserve">Ironically enough, simplistic emphasis on restoring parliamentary sovereignty in the referendum campaign may foster </w:t>
      </w:r>
      <w:r w:rsidR="000B5B4B" w:rsidRPr="00111AA7">
        <w:rPr>
          <w:rFonts w:ascii="Gill Sans MT" w:hAnsi="Gill Sans MT"/>
        </w:rPr>
        <w:t xml:space="preserve">false expectations as to what can legitimately be expected from Parliament when competence is returned from the EU institutions.  </w:t>
      </w:r>
      <w:r>
        <w:rPr>
          <w:rFonts w:ascii="Gill Sans MT" w:hAnsi="Gill Sans MT"/>
        </w:rPr>
        <w:t>The initial step to prepare the UK’s legal system for Brexit is to remove the ECA 1972, and replace the legal framework which it established</w:t>
      </w:r>
      <w:r w:rsidR="00BD3F91">
        <w:rPr>
          <w:rFonts w:ascii="Gill Sans MT" w:hAnsi="Gill Sans MT"/>
        </w:rPr>
        <w:t>,</w:t>
      </w:r>
      <w:r>
        <w:rPr>
          <w:rFonts w:ascii="Gill Sans MT" w:hAnsi="Gill Sans MT"/>
        </w:rPr>
        <w:t xml:space="preserve"> through the EU (Withdrawal) Bill 2017-18.  This has already proved to be a</w:t>
      </w:r>
      <w:r w:rsidR="007B1DA9">
        <w:rPr>
          <w:rFonts w:ascii="Gill Sans MT" w:hAnsi="Gill Sans MT"/>
        </w:rPr>
        <w:t>n unsurprisingly</w:t>
      </w:r>
      <w:r>
        <w:rPr>
          <w:rFonts w:ascii="Gill Sans MT" w:hAnsi="Gill Sans MT"/>
        </w:rPr>
        <w:t xml:space="preserve"> complex and time-consuming task, and has potential implications for parliamentary sovereignty in a number of respects.</w:t>
      </w:r>
      <w:r w:rsidR="00E607E3">
        <w:rPr>
          <w:rStyle w:val="FootnoteReference"/>
          <w:rFonts w:ascii="Gill Sans MT" w:hAnsi="Gill Sans MT"/>
        </w:rPr>
        <w:footnoteReference w:id="109"/>
      </w:r>
      <w:r w:rsidR="00BD3F91">
        <w:rPr>
          <w:rFonts w:ascii="Gill Sans MT" w:hAnsi="Gill Sans MT"/>
        </w:rPr>
        <w:t xml:space="preserve">  </w:t>
      </w:r>
      <w:r w:rsidR="008613D7" w:rsidRPr="008613D7">
        <w:rPr>
          <w:rFonts w:ascii="Gill Sans MT" w:hAnsi="Gill Sans MT"/>
        </w:rPr>
        <w:t xml:space="preserve">Four </w:t>
      </w:r>
      <w:r>
        <w:rPr>
          <w:rFonts w:ascii="Gill Sans MT" w:hAnsi="Gill Sans MT"/>
        </w:rPr>
        <w:t>main point</w:t>
      </w:r>
      <w:r w:rsidR="001E1F6E">
        <w:rPr>
          <w:rFonts w:ascii="Gill Sans MT" w:hAnsi="Gill Sans MT"/>
        </w:rPr>
        <w:t>s</w:t>
      </w:r>
      <w:r>
        <w:rPr>
          <w:rFonts w:ascii="Gill Sans MT" w:hAnsi="Gill Sans MT"/>
        </w:rPr>
        <w:t xml:space="preserve"> are worth highlighting</w:t>
      </w:r>
      <w:r w:rsidR="00BD3F91">
        <w:rPr>
          <w:rFonts w:ascii="Gill Sans MT" w:hAnsi="Gill Sans MT"/>
        </w:rPr>
        <w:t>, relating to the d</w:t>
      </w:r>
      <w:r w:rsidR="00BD3F91" w:rsidRPr="006E31E6">
        <w:rPr>
          <w:rFonts w:ascii="Gill Sans MT" w:hAnsi="Gill Sans MT"/>
        </w:rPr>
        <w:t>elegation</w:t>
      </w:r>
      <w:r w:rsidR="00BD3F91">
        <w:rPr>
          <w:rFonts w:ascii="Gill Sans MT" w:hAnsi="Gill Sans MT"/>
        </w:rPr>
        <w:t xml:space="preserve"> of law-making authority</w:t>
      </w:r>
      <w:r w:rsidR="00BD3F91" w:rsidRPr="006E31E6">
        <w:rPr>
          <w:rFonts w:ascii="Gill Sans MT" w:hAnsi="Gill Sans MT"/>
        </w:rPr>
        <w:t xml:space="preserve">, </w:t>
      </w:r>
      <w:r w:rsidR="00BD3F91">
        <w:rPr>
          <w:rFonts w:ascii="Gill Sans MT" w:hAnsi="Gill Sans MT"/>
        </w:rPr>
        <w:t xml:space="preserve">the </w:t>
      </w:r>
      <w:r w:rsidR="00BD3F91" w:rsidRPr="006E31E6">
        <w:rPr>
          <w:rFonts w:ascii="Gill Sans MT" w:hAnsi="Gill Sans MT"/>
        </w:rPr>
        <w:t>supremacy</w:t>
      </w:r>
      <w:r w:rsidR="00BD3F91">
        <w:rPr>
          <w:rFonts w:ascii="Gill Sans MT" w:hAnsi="Gill Sans MT"/>
        </w:rPr>
        <w:t xml:space="preserve"> of retained EU law</w:t>
      </w:r>
      <w:r w:rsidR="00BD3F91" w:rsidRPr="006E31E6">
        <w:rPr>
          <w:rFonts w:ascii="Gill Sans MT" w:hAnsi="Gill Sans MT"/>
        </w:rPr>
        <w:t xml:space="preserve">, </w:t>
      </w:r>
      <w:r w:rsidR="00130BAC">
        <w:rPr>
          <w:rFonts w:ascii="Gill Sans MT" w:hAnsi="Gill Sans MT"/>
        </w:rPr>
        <w:t>the powers of the judiciary</w:t>
      </w:r>
      <w:r w:rsidR="00BD3F91" w:rsidRPr="006E31E6">
        <w:rPr>
          <w:rFonts w:ascii="Gill Sans MT" w:hAnsi="Gill Sans MT"/>
        </w:rPr>
        <w:t xml:space="preserve">, </w:t>
      </w:r>
      <w:r w:rsidR="00130BAC">
        <w:rPr>
          <w:rFonts w:ascii="Gill Sans MT" w:hAnsi="Gill Sans MT"/>
        </w:rPr>
        <w:t>and the implications for the powers of the devolved legislatures.</w:t>
      </w:r>
    </w:p>
    <w:p w14:paraId="1FC85BDC" w14:textId="77777777" w:rsidR="0044773F" w:rsidRDefault="001E1F6E" w:rsidP="002370D7">
      <w:pPr>
        <w:pStyle w:val="NormalWeb"/>
        <w:spacing w:before="0" w:beforeAutospacing="0" w:after="0" w:afterAutospacing="0"/>
        <w:ind w:firstLine="720"/>
        <w:jc w:val="both"/>
        <w:rPr>
          <w:rFonts w:ascii="Gill Sans MT" w:hAnsi="Gill Sans MT"/>
        </w:rPr>
      </w:pPr>
      <w:r>
        <w:rPr>
          <w:rFonts w:ascii="Gill Sans MT" w:hAnsi="Gill Sans MT"/>
        </w:rPr>
        <w:t xml:space="preserve">First, the EU (Withdrawal) Bill will establish an incredibly extensive scheme of </w:t>
      </w:r>
      <w:r w:rsidR="008613D7" w:rsidRPr="008613D7">
        <w:rPr>
          <w:rFonts w:ascii="Gill Sans MT" w:hAnsi="Gill Sans MT"/>
        </w:rPr>
        <w:t>delegated legislati</w:t>
      </w:r>
      <w:r>
        <w:rPr>
          <w:rFonts w:ascii="Gill Sans MT" w:hAnsi="Gill Sans MT"/>
        </w:rPr>
        <w:t>ve powers, to allow the executive to</w:t>
      </w:r>
      <w:r w:rsidR="003A2DAC">
        <w:rPr>
          <w:rFonts w:ascii="Gill Sans MT" w:hAnsi="Gill Sans MT"/>
        </w:rPr>
        <w:t xml:space="preserve"> make relevant</w:t>
      </w:r>
      <w:r>
        <w:rPr>
          <w:rFonts w:ascii="Gill Sans MT" w:hAnsi="Gill Sans MT"/>
        </w:rPr>
        <w:t xml:space="preserve"> change</w:t>
      </w:r>
      <w:r w:rsidR="003A2DAC">
        <w:rPr>
          <w:rFonts w:ascii="Gill Sans MT" w:hAnsi="Gill Sans MT"/>
        </w:rPr>
        <w:t xml:space="preserve">s in such fields as environmental, consumer and employment law, as necessitated by removing the </w:t>
      </w:r>
      <w:r w:rsidR="001E0FEE">
        <w:rPr>
          <w:rFonts w:ascii="Gill Sans MT" w:hAnsi="Gill Sans MT"/>
        </w:rPr>
        <w:t xml:space="preserve">domestic </w:t>
      </w:r>
      <w:r w:rsidR="003A2DAC">
        <w:rPr>
          <w:rFonts w:ascii="Gill Sans MT" w:hAnsi="Gill Sans MT"/>
        </w:rPr>
        <w:t xml:space="preserve">authority of rules derived from EU law.  </w:t>
      </w:r>
      <w:r w:rsidR="001E0FEE">
        <w:rPr>
          <w:rFonts w:ascii="Gill Sans MT" w:hAnsi="Gill Sans MT"/>
        </w:rPr>
        <w:t>For some, such extensive delegated powers represent Parliament abdicating its sovereignty.</w:t>
      </w:r>
      <w:r w:rsidR="001E0FEE">
        <w:rPr>
          <w:rStyle w:val="FootnoteReference"/>
          <w:rFonts w:ascii="Gill Sans MT" w:hAnsi="Gill Sans MT"/>
        </w:rPr>
        <w:footnoteReference w:id="110"/>
      </w:r>
      <w:r w:rsidR="001E0FEE">
        <w:rPr>
          <w:rFonts w:ascii="Gill Sans MT" w:hAnsi="Gill Sans MT"/>
        </w:rPr>
        <w:t xml:space="preserve">  For others, only a specific kind of delegated power, so-called ‘Henry VIII’ provision</w:t>
      </w:r>
      <w:r w:rsidR="00065312">
        <w:rPr>
          <w:rFonts w:ascii="Gill Sans MT" w:hAnsi="Gill Sans MT"/>
        </w:rPr>
        <w:t>s</w:t>
      </w:r>
      <w:r w:rsidR="001E0FEE">
        <w:rPr>
          <w:rFonts w:ascii="Gill Sans MT" w:hAnsi="Gill Sans MT"/>
        </w:rPr>
        <w:t xml:space="preserve"> which allow the executive even to change the terms of primary legislation (and which are a prominent feature of the EU (Withdrawal) Bill)</w:t>
      </w:r>
      <w:r w:rsidR="00065312">
        <w:rPr>
          <w:rFonts w:ascii="Gill Sans MT" w:hAnsi="Gill Sans MT"/>
        </w:rPr>
        <w:t>, will be</w:t>
      </w:r>
      <w:r w:rsidR="001E0FEE">
        <w:rPr>
          <w:rFonts w:ascii="Gill Sans MT" w:hAnsi="Gill Sans MT"/>
        </w:rPr>
        <w:t xml:space="preserve"> a violation of parliamentary </w:t>
      </w:r>
      <w:r w:rsidR="00065312">
        <w:rPr>
          <w:rFonts w:ascii="Gill Sans MT" w:hAnsi="Gill Sans MT"/>
        </w:rPr>
        <w:t>sovereignty.</w:t>
      </w:r>
      <w:r w:rsidR="00065312">
        <w:rPr>
          <w:rStyle w:val="FootnoteReference"/>
          <w:rFonts w:ascii="Gill Sans MT" w:hAnsi="Gill Sans MT"/>
        </w:rPr>
        <w:footnoteReference w:id="111"/>
      </w:r>
      <w:r w:rsidR="00065312">
        <w:rPr>
          <w:rFonts w:ascii="Gill Sans MT" w:hAnsi="Gill Sans MT"/>
        </w:rPr>
        <w:t xml:space="preserve">  Yet while there are m</w:t>
      </w:r>
      <w:r>
        <w:rPr>
          <w:rFonts w:ascii="Gill Sans MT" w:hAnsi="Gill Sans MT"/>
        </w:rPr>
        <w:t>any good r</w:t>
      </w:r>
      <w:r w:rsidR="008613D7" w:rsidRPr="008613D7">
        <w:rPr>
          <w:rFonts w:ascii="Gill Sans MT" w:hAnsi="Gill Sans MT"/>
        </w:rPr>
        <w:t xml:space="preserve">easons to be concerned about excessive grants of </w:t>
      </w:r>
      <w:r w:rsidR="00065312">
        <w:rPr>
          <w:rFonts w:ascii="Gill Sans MT" w:hAnsi="Gill Sans MT"/>
        </w:rPr>
        <w:t xml:space="preserve">delegated </w:t>
      </w:r>
      <w:r w:rsidR="008613D7" w:rsidRPr="008613D7">
        <w:rPr>
          <w:rFonts w:ascii="Gill Sans MT" w:hAnsi="Gill Sans MT"/>
        </w:rPr>
        <w:t>power, and</w:t>
      </w:r>
      <w:r w:rsidR="00065312">
        <w:rPr>
          <w:rFonts w:ascii="Gill Sans MT" w:hAnsi="Gill Sans MT"/>
        </w:rPr>
        <w:t xml:space="preserve"> the</w:t>
      </w:r>
      <w:r w:rsidR="008613D7" w:rsidRPr="008613D7">
        <w:rPr>
          <w:rFonts w:ascii="Gill Sans MT" w:hAnsi="Gill Sans MT"/>
        </w:rPr>
        <w:t xml:space="preserve"> possibility of</w:t>
      </w:r>
      <w:r w:rsidR="00065312">
        <w:rPr>
          <w:rFonts w:ascii="Gill Sans MT" w:hAnsi="Gill Sans MT"/>
        </w:rPr>
        <w:t xml:space="preserve"> their</w:t>
      </w:r>
      <w:r w:rsidR="008613D7" w:rsidRPr="008613D7">
        <w:rPr>
          <w:rFonts w:ascii="Gill Sans MT" w:hAnsi="Gill Sans MT"/>
        </w:rPr>
        <w:t xml:space="preserve"> misuse </w:t>
      </w:r>
      <w:r w:rsidR="00065312">
        <w:rPr>
          <w:rFonts w:ascii="Gill Sans MT" w:hAnsi="Gill Sans MT"/>
        </w:rPr>
        <w:t>subject to</w:t>
      </w:r>
      <w:r w:rsidR="008613D7" w:rsidRPr="008613D7">
        <w:rPr>
          <w:rFonts w:ascii="Gill Sans MT" w:hAnsi="Gill Sans MT"/>
        </w:rPr>
        <w:t xml:space="preserve"> limited scrutiny, </w:t>
      </w:r>
      <w:r w:rsidR="00065312">
        <w:rPr>
          <w:rFonts w:ascii="Gill Sans MT" w:hAnsi="Gill Sans MT"/>
        </w:rPr>
        <w:t>there is</w:t>
      </w:r>
      <w:r w:rsidR="008613D7" w:rsidRPr="008613D7">
        <w:rPr>
          <w:rFonts w:ascii="Gill Sans MT" w:hAnsi="Gill Sans MT"/>
        </w:rPr>
        <w:t xml:space="preserve"> no reason in principle that a sovereign Parliament should </w:t>
      </w:r>
      <w:r w:rsidR="00065312">
        <w:rPr>
          <w:rFonts w:ascii="Gill Sans MT" w:hAnsi="Gill Sans MT"/>
        </w:rPr>
        <w:t xml:space="preserve">not </w:t>
      </w:r>
      <w:r w:rsidR="008613D7" w:rsidRPr="008613D7">
        <w:rPr>
          <w:rFonts w:ascii="Gill Sans MT" w:hAnsi="Gill Sans MT"/>
        </w:rPr>
        <w:t>be able to establish a revocable power for the executive to enact even legislation which alters the terms of primary statute law, if it chooses to do so</w:t>
      </w:r>
      <w:r w:rsidR="00065312">
        <w:rPr>
          <w:rFonts w:ascii="Gill Sans MT" w:hAnsi="Gill Sans MT"/>
        </w:rPr>
        <w:t>.</w:t>
      </w:r>
      <w:r>
        <w:rPr>
          <w:rFonts w:ascii="Gill Sans MT" w:hAnsi="Gill Sans MT"/>
        </w:rPr>
        <w:t xml:space="preserve">  </w:t>
      </w:r>
      <w:r w:rsidR="002370D7">
        <w:rPr>
          <w:rFonts w:ascii="Gill Sans MT" w:hAnsi="Gill Sans MT"/>
        </w:rPr>
        <w:t>In a period when much legal change might be required in a short period of time</w:t>
      </w:r>
      <w:r>
        <w:rPr>
          <w:rFonts w:ascii="Gill Sans MT" w:hAnsi="Gill Sans MT"/>
        </w:rPr>
        <w:t xml:space="preserve">, </w:t>
      </w:r>
      <w:r w:rsidR="002370D7">
        <w:rPr>
          <w:rFonts w:ascii="Gill Sans MT" w:hAnsi="Gill Sans MT"/>
        </w:rPr>
        <w:t>those</w:t>
      </w:r>
      <w:r>
        <w:rPr>
          <w:rFonts w:ascii="Gill Sans MT" w:hAnsi="Gill Sans MT"/>
        </w:rPr>
        <w:t xml:space="preserve"> executive powers </w:t>
      </w:r>
      <w:r w:rsidR="002370D7">
        <w:rPr>
          <w:rFonts w:ascii="Gill Sans MT" w:hAnsi="Gill Sans MT"/>
        </w:rPr>
        <w:t>which are to</w:t>
      </w:r>
      <w:r>
        <w:rPr>
          <w:rFonts w:ascii="Gill Sans MT" w:hAnsi="Gill Sans MT"/>
        </w:rPr>
        <w:t xml:space="preserve"> be established </w:t>
      </w:r>
      <w:r w:rsidR="002370D7">
        <w:rPr>
          <w:rFonts w:ascii="Gill Sans MT" w:hAnsi="Gill Sans MT"/>
        </w:rPr>
        <w:t>need to be for</w:t>
      </w:r>
      <w:r>
        <w:rPr>
          <w:rFonts w:ascii="Gill Sans MT" w:hAnsi="Gill Sans MT"/>
        </w:rPr>
        <w:t xml:space="preserve"> clearly defined purposes and subject to appropriate constraints, with Parliament exercising new and existing scrutiny functions to ensure that the powers are not used to pursue illegitimate goals, or make controversial decisions without being subject to challenge.</w:t>
      </w:r>
      <w:r w:rsidR="002370D7">
        <w:rPr>
          <w:rStyle w:val="FootnoteReference"/>
          <w:rFonts w:ascii="Gill Sans MT" w:hAnsi="Gill Sans MT"/>
        </w:rPr>
        <w:footnoteReference w:id="112"/>
      </w:r>
      <w:r w:rsidR="00D0160F">
        <w:rPr>
          <w:rFonts w:ascii="Gill Sans MT" w:hAnsi="Gill Sans MT"/>
        </w:rPr>
        <w:t xml:space="preserve">  But </w:t>
      </w:r>
      <w:r w:rsidR="002370D7">
        <w:rPr>
          <w:rFonts w:ascii="Gill Sans MT" w:hAnsi="Gill Sans MT"/>
        </w:rPr>
        <w:t xml:space="preserve">there is also a </w:t>
      </w:r>
      <w:r w:rsidR="00D0160F">
        <w:rPr>
          <w:rFonts w:ascii="Gill Sans MT" w:hAnsi="Gill Sans MT"/>
        </w:rPr>
        <w:t xml:space="preserve">need </w:t>
      </w:r>
      <w:r w:rsidR="002370D7">
        <w:rPr>
          <w:rFonts w:ascii="Gill Sans MT" w:hAnsi="Gill Sans MT"/>
        </w:rPr>
        <w:t xml:space="preserve">for </w:t>
      </w:r>
      <w:r w:rsidR="00D0160F">
        <w:rPr>
          <w:rFonts w:ascii="Gill Sans MT" w:hAnsi="Gill Sans MT"/>
        </w:rPr>
        <w:t>clarity about the distinction between parliamentary sovereignty and parliamentary capacity.  Parliament’s ultimate legislative authority is not violated when more elaborate decision-making schemes are established in recognition of the fact that th</w:t>
      </w:r>
      <w:r w:rsidR="00F717A4">
        <w:rPr>
          <w:rFonts w:ascii="Gill Sans MT" w:hAnsi="Gill Sans MT"/>
        </w:rPr>
        <w:t>e legislature does not have the time or resources to decide on every specific issue</w:t>
      </w:r>
      <w:r w:rsidR="00065312">
        <w:rPr>
          <w:rFonts w:ascii="Gill Sans MT" w:hAnsi="Gill Sans MT"/>
        </w:rPr>
        <w:t xml:space="preserve">.  Indeed, the operation of a complex welfare state would be impossible without schemes of administrative decision-making, especially given Parliament has </w:t>
      </w:r>
      <w:r w:rsidR="00F717A4">
        <w:rPr>
          <w:rFonts w:ascii="Gill Sans MT" w:hAnsi="Gill Sans MT"/>
        </w:rPr>
        <w:t xml:space="preserve">other constitutional responsibilities to </w:t>
      </w:r>
      <w:r w:rsidR="002370D7">
        <w:rPr>
          <w:rFonts w:ascii="Gill Sans MT" w:hAnsi="Gill Sans MT"/>
        </w:rPr>
        <w:t>fulfil</w:t>
      </w:r>
      <w:r w:rsidR="00065312">
        <w:rPr>
          <w:rFonts w:ascii="Gill Sans MT" w:hAnsi="Gill Sans MT"/>
        </w:rPr>
        <w:t xml:space="preserve"> in addition to law-making, including constituting and holding a government to account, and representing the people.</w:t>
      </w:r>
      <w:r w:rsidR="002370D7">
        <w:rPr>
          <w:rFonts w:ascii="Gill Sans MT" w:hAnsi="Gill Sans MT"/>
        </w:rPr>
        <w:t xml:space="preserve">  </w:t>
      </w:r>
      <w:r w:rsidR="0044773F">
        <w:rPr>
          <w:rFonts w:ascii="Gill Sans MT" w:hAnsi="Gill Sans MT"/>
        </w:rPr>
        <w:t>The significance of Parliament’s legislative sovereignty does not mean we should imagine that the UK legislature is the exclusive law-maker, or exclusively a law-maker,</w:t>
      </w:r>
      <w:r w:rsidR="0044773F">
        <w:rPr>
          <w:rStyle w:val="FootnoteReference"/>
          <w:rFonts w:ascii="Gill Sans MT" w:hAnsi="Gill Sans MT"/>
        </w:rPr>
        <w:footnoteReference w:id="113"/>
      </w:r>
      <w:r w:rsidR="0044773F">
        <w:rPr>
          <w:rFonts w:ascii="Gill Sans MT" w:hAnsi="Gill Sans MT"/>
        </w:rPr>
        <w:t xml:space="preserve"> and consequently misunderstand its multifaceted constitutional role in general, or its role in the Brexit process in particular.</w:t>
      </w:r>
    </w:p>
    <w:p w14:paraId="246275BE" w14:textId="68CCA6E6" w:rsidR="00183740" w:rsidRDefault="0044773F" w:rsidP="009E3264">
      <w:pPr>
        <w:pStyle w:val="NormalWeb"/>
        <w:spacing w:before="0" w:beforeAutospacing="0" w:after="0" w:afterAutospacing="0"/>
        <w:ind w:firstLine="720"/>
        <w:jc w:val="both"/>
        <w:rPr>
          <w:rFonts w:ascii="Gill Sans MT" w:hAnsi="Gill Sans MT"/>
        </w:rPr>
      </w:pPr>
      <w:r>
        <w:rPr>
          <w:rFonts w:ascii="Gill Sans MT" w:hAnsi="Gill Sans MT"/>
        </w:rPr>
        <w:lastRenderedPageBreak/>
        <w:t xml:space="preserve"> </w:t>
      </w:r>
      <w:r w:rsidR="001E1F6E">
        <w:rPr>
          <w:rFonts w:ascii="Gill Sans MT" w:hAnsi="Gill Sans MT"/>
        </w:rPr>
        <w:t xml:space="preserve">Second, </w:t>
      </w:r>
      <w:r w:rsidR="00A02CC1">
        <w:rPr>
          <w:rFonts w:ascii="Gill Sans MT" w:hAnsi="Gill Sans MT"/>
        </w:rPr>
        <w:t>the arrangements relating to the status of ‘retained EU law’</w:t>
      </w:r>
      <w:r>
        <w:rPr>
          <w:rFonts w:ascii="Gill Sans MT" w:hAnsi="Gill Sans MT"/>
        </w:rPr>
        <w:t xml:space="preserve"> – those norms derived from EU law </w:t>
      </w:r>
      <w:r w:rsidR="00A02CC1">
        <w:rPr>
          <w:rFonts w:ascii="Gill Sans MT" w:hAnsi="Gill Sans MT"/>
        </w:rPr>
        <w:t>which will continue to be a part of the UK legal system</w:t>
      </w:r>
      <w:r>
        <w:rPr>
          <w:rFonts w:ascii="Gill Sans MT" w:hAnsi="Gill Sans MT"/>
        </w:rPr>
        <w:t xml:space="preserve"> after withdrawal </w:t>
      </w:r>
      <w:proofErr w:type="gramStart"/>
      <w:r>
        <w:rPr>
          <w:rFonts w:ascii="Gill Sans MT" w:hAnsi="Gill Sans MT"/>
        </w:rPr>
        <w:t>–  will</w:t>
      </w:r>
      <w:proofErr w:type="gramEnd"/>
      <w:r>
        <w:rPr>
          <w:rFonts w:ascii="Gill Sans MT" w:hAnsi="Gill Sans MT"/>
        </w:rPr>
        <w:t xml:space="preserve"> </w:t>
      </w:r>
      <w:r w:rsidR="00A02CC1">
        <w:rPr>
          <w:rFonts w:ascii="Gill Sans MT" w:hAnsi="Gill Sans MT"/>
        </w:rPr>
        <w:t xml:space="preserve">also have implications </w:t>
      </w:r>
      <w:r w:rsidR="009B480A">
        <w:rPr>
          <w:rFonts w:ascii="Gill Sans MT" w:hAnsi="Gill Sans MT"/>
        </w:rPr>
        <w:t>concerning</w:t>
      </w:r>
      <w:r w:rsidR="00A02CC1">
        <w:rPr>
          <w:rFonts w:ascii="Gill Sans MT" w:hAnsi="Gill Sans MT"/>
        </w:rPr>
        <w:t xml:space="preserve"> parliamentary sovereignty.  The proposal in the EU (Withdrawal) Bill to provide a residual </w:t>
      </w:r>
      <w:r w:rsidR="008613D7" w:rsidRPr="008613D7">
        <w:rPr>
          <w:rFonts w:ascii="Gill Sans MT" w:hAnsi="Gill Sans MT"/>
        </w:rPr>
        <w:t xml:space="preserve">supremacy </w:t>
      </w:r>
      <w:r w:rsidR="00A02CC1">
        <w:rPr>
          <w:rFonts w:ascii="Gill Sans MT" w:hAnsi="Gill Sans MT"/>
        </w:rPr>
        <w:t>for</w:t>
      </w:r>
      <w:r w:rsidR="008613D7" w:rsidRPr="008613D7">
        <w:rPr>
          <w:rFonts w:ascii="Gill Sans MT" w:hAnsi="Gill Sans MT"/>
        </w:rPr>
        <w:t xml:space="preserve"> retained EU law </w:t>
      </w:r>
      <w:r w:rsidR="00A02CC1">
        <w:rPr>
          <w:rFonts w:ascii="Gill Sans MT" w:hAnsi="Gill Sans MT"/>
        </w:rPr>
        <w:t xml:space="preserve">attracted criticism from the House of Lords Committee on the </w:t>
      </w:r>
      <w:r w:rsidR="00A02CC1" w:rsidRPr="00E73790">
        <w:rPr>
          <w:rFonts w:ascii="Gill Sans MT" w:hAnsi="Gill Sans MT"/>
        </w:rPr>
        <w:t xml:space="preserve">Constitution, which argued that this was inconsistent with domestic constitutional principle, </w:t>
      </w:r>
      <w:r w:rsidR="009276C2" w:rsidRPr="00E73790">
        <w:rPr>
          <w:rFonts w:ascii="Gill Sans MT" w:hAnsi="Gill Sans MT"/>
        </w:rPr>
        <w:t>as to g</w:t>
      </w:r>
      <w:r w:rsidR="00A02CC1" w:rsidRPr="00E73790">
        <w:rPr>
          <w:rFonts w:ascii="Gill Sans MT" w:hAnsi="Gill Sans MT"/>
        </w:rPr>
        <w:t xml:space="preserve">ive priority to a particular category of norms </w:t>
      </w:r>
      <w:r w:rsidR="009276C2" w:rsidRPr="00E73790">
        <w:rPr>
          <w:rFonts w:ascii="Gill Sans MT" w:hAnsi="Gill Sans MT"/>
        </w:rPr>
        <w:t>would no longer be</w:t>
      </w:r>
      <w:r w:rsidR="00A02CC1" w:rsidRPr="00E73790">
        <w:rPr>
          <w:rFonts w:ascii="Gill Sans MT" w:hAnsi="Gill Sans MT"/>
        </w:rPr>
        <w:t xml:space="preserve"> required by </w:t>
      </w:r>
      <w:r w:rsidR="009276C2" w:rsidRPr="00E73790">
        <w:rPr>
          <w:rFonts w:ascii="Gill Sans MT" w:hAnsi="Gill Sans MT"/>
        </w:rPr>
        <w:t xml:space="preserve">the </w:t>
      </w:r>
      <w:r w:rsidR="00A02CC1" w:rsidRPr="00E73790">
        <w:rPr>
          <w:rFonts w:ascii="Gill Sans MT" w:hAnsi="Gill Sans MT"/>
        </w:rPr>
        <w:t>external principl</w:t>
      </w:r>
      <w:r w:rsidR="009276C2" w:rsidRPr="00E73790">
        <w:rPr>
          <w:rFonts w:ascii="Gill Sans MT" w:hAnsi="Gill Sans MT"/>
        </w:rPr>
        <w:t>e</w:t>
      </w:r>
      <w:r w:rsidR="00A02CC1" w:rsidRPr="00E73790">
        <w:rPr>
          <w:rFonts w:ascii="Gill Sans MT" w:hAnsi="Gill Sans MT"/>
        </w:rPr>
        <w:t xml:space="preserve"> </w:t>
      </w:r>
      <w:r w:rsidR="00137EBC" w:rsidRPr="00E73790">
        <w:rPr>
          <w:rFonts w:ascii="Gill Sans MT" w:hAnsi="Gill Sans MT"/>
        </w:rPr>
        <w:t xml:space="preserve">of the supremacy of EU law over contradictory national law. </w:t>
      </w:r>
      <w:r w:rsidR="009E3264" w:rsidRPr="00E73790">
        <w:rPr>
          <w:rFonts w:ascii="Gill Sans MT" w:hAnsi="Gill Sans MT"/>
        </w:rPr>
        <w:t xml:space="preserve"> According to the Committee, ‘[t]he “supremacy principle” is alien to the UK constitutional system: not only did it originate outside that system, it also sits uncomfortably with established constitutional principles, most notably the doctrine of parliamentary sovereignty’.</w:t>
      </w:r>
      <w:r w:rsidR="009E3264" w:rsidRPr="00E73790">
        <w:rPr>
          <w:rStyle w:val="FootnoteReference"/>
          <w:rFonts w:ascii="Gill Sans MT" w:hAnsi="Gill Sans MT"/>
        </w:rPr>
        <w:footnoteReference w:id="114"/>
      </w:r>
      <w:r w:rsidR="009E3264" w:rsidRPr="00E73790">
        <w:rPr>
          <w:rFonts w:ascii="Gill Sans MT" w:hAnsi="Gill Sans MT"/>
        </w:rPr>
        <w:t xml:space="preserve">  </w:t>
      </w:r>
      <w:r w:rsidR="005C5D74" w:rsidRPr="00E73790">
        <w:rPr>
          <w:rFonts w:ascii="Gill Sans MT" w:hAnsi="Gill Sans MT"/>
        </w:rPr>
        <w:t xml:space="preserve">Yet the retention of supremacy for retained EU law, </w:t>
      </w:r>
      <w:r w:rsidR="009E3264" w:rsidRPr="00E73790">
        <w:rPr>
          <w:rFonts w:ascii="Gill Sans MT" w:hAnsi="Gill Sans MT"/>
        </w:rPr>
        <w:t xml:space="preserve">with that status both removable and </w:t>
      </w:r>
      <w:r w:rsidR="005C5D74" w:rsidRPr="00E73790">
        <w:rPr>
          <w:rFonts w:ascii="Gill Sans MT" w:hAnsi="Gill Sans MT"/>
        </w:rPr>
        <w:t>contingent on domestic legislation, would not be unconstitutional</w:t>
      </w:r>
      <w:r w:rsidR="009E3264" w:rsidRPr="00E73790">
        <w:rPr>
          <w:rFonts w:ascii="Gill Sans MT" w:hAnsi="Gill Sans MT"/>
        </w:rPr>
        <w:t xml:space="preserve"> in some vague sense</w:t>
      </w:r>
      <w:r w:rsidR="005C5D74" w:rsidRPr="00E73790">
        <w:rPr>
          <w:rFonts w:ascii="Gill Sans MT" w:hAnsi="Gill Sans MT"/>
        </w:rPr>
        <w:t>, b</w:t>
      </w:r>
      <w:r w:rsidR="00A02CC1" w:rsidRPr="00E73790">
        <w:rPr>
          <w:rFonts w:ascii="Gill Sans MT" w:hAnsi="Gill Sans MT"/>
        </w:rPr>
        <w:t xml:space="preserve">ut required </w:t>
      </w:r>
      <w:r w:rsidR="009E3264" w:rsidRPr="00E73790">
        <w:rPr>
          <w:rFonts w:ascii="Gill Sans MT" w:hAnsi="Gill Sans MT"/>
        </w:rPr>
        <w:t>to satisfy</w:t>
      </w:r>
      <w:r w:rsidR="00A02CC1" w:rsidRPr="00E73790">
        <w:rPr>
          <w:rFonts w:ascii="Gill Sans MT" w:hAnsi="Gill Sans MT"/>
        </w:rPr>
        <w:t xml:space="preserve"> </w:t>
      </w:r>
      <w:r w:rsidR="005C5D74">
        <w:rPr>
          <w:rFonts w:ascii="Gill Sans MT" w:hAnsi="Gill Sans MT"/>
        </w:rPr>
        <w:t xml:space="preserve">the demands of </w:t>
      </w:r>
      <w:r w:rsidR="00A02CC1">
        <w:rPr>
          <w:rFonts w:ascii="Gill Sans MT" w:hAnsi="Gill Sans MT"/>
        </w:rPr>
        <w:t xml:space="preserve">certainty and continuity.  </w:t>
      </w:r>
      <w:r w:rsidR="005C5D74">
        <w:rPr>
          <w:rFonts w:ascii="Gill Sans MT" w:hAnsi="Gill Sans MT"/>
        </w:rPr>
        <w:t>For those retained EU norms have taken priority over even subsequent, inconsistent national rules</w:t>
      </w:r>
      <w:r w:rsidR="00E73790">
        <w:rPr>
          <w:rFonts w:ascii="Gill Sans MT" w:hAnsi="Gill Sans MT"/>
        </w:rPr>
        <w:t xml:space="preserve"> </w:t>
      </w:r>
      <w:r w:rsidR="005C5D74">
        <w:rPr>
          <w:rFonts w:ascii="Gill Sans MT" w:hAnsi="Gill Sans MT"/>
        </w:rPr>
        <w:t xml:space="preserve">during the UK’s membership of the EU, and the instant removal of that priority </w:t>
      </w:r>
      <w:proofErr w:type="gramStart"/>
      <w:r w:rsidR="005C5D74">
        <w:rPr>
          <w:rFonts w:ascii="Gill Sans MT" w:hAnsi="Gill Sans MT"/>
        </w:rPr>
        <w:t>at the moment</w:t>
      </w:r>
      <w:proofErr w:type="gramEnd"/>
      <w:r w:rsidR="005C5D74">
        <w:rPr>
          <w:rFonts w:ascii="Gill Sans MT" w:hAnsi="Gill Sans MT"/>
        </w:rPr>
        <w:t xml:space="preserve"> of withdrawal would alter current hierarchies of rules within the domestic legal system.</w:t>
      </w:r>
    </w:p>
    <w:p w14:paraId="6A763538" w14:textId="7F034FCE" w:rsidR="00A02CC1" w:rsidRDefault="00E73790" w:rsidP="009E3264">
      <w:pPr>
        <w:pStyle w:val="NormalWeb"/>
        <w:spacing w:before="0" w:beforeAutospacing="0" w:after="0" w:afterAutospacing="0"/>
        <w:ind w:firstLine="720"/>
        <w:jc w:val="both"/>
        <w:rPr>
          <w:rFonts w:ascii="Gill Sans MT" w:hAnsi="Gill Sans MT"/>
        </w:rPr>
      </w:pPr>
      <w:r>
        <w:rPr>
          <w:rFonts w:ascii="Gill Sans MT" w:hAnsi="Gill Sans MT"/>
        </w:rPr>
        <w:t xml:space="preserve">As the Committee recognises, this continuity could perhaps be achieved in other ways, and there is unhelpful ambiguity about the circumstances in which the supremacy principle would no longer attach to any retained EU law which had been modified.  Yet to present the difference between various ways of sustaining existing hierarchies of norms as </w:t>
      </w:r>
      <w:r w:rsidR="003A25FF">
        <w:rPr>
          <w:rFonts w:ascii="Gill Sans MT" w:hAnsi="Gill Sans MT"/>
        </w:rPr>
        <w:t xml:space="preserve">being </w:t>
      </w:r>
      <w:r>
        <w:rPr>
          <w:rFonts w:ascii="Gill Sans MT" w:hAnsi="Gill Sans MT"/>
        </w:rPr>
        <w:t xml:space="preserve">based on </w:t>
      </w:r>
      <w:r w:rsidR="003A25FF">
        <w:rPr>
          <w:rFonts w:ascii="Gill Sans MT" w:hAnsi="Gill Sans MT"/>
        </w:rPr>
        <w:t xml:space="preserve">the </w:t>
      </w:r>
      <w:r>
        <w:rPr>
          <w:rFonts w:ascii="Gill Sans MT" w:hAnsi="Gill Sans MT"/>
        </w:rPr>
        <w:t>compatib</w:t>
      </w:r>
      <w:r w:rsidR="003A25FF">
        <w:rPr>
          <w:rFonts w:ascii="Gill Sans MT" w:hAnsi="Gill Sans MT"/>
        </w:rPr>
        <w:t>ility</w:t>
      </w:r>
      <w:r>
        <w:rPr>
          <w:rFonts w:ascii="Gill Sans MT" w:hAnsi="Gill Sans MT"/>
        </w:rPr>
        <w:t xml:space="preserve"> or otherwise </w:t>
      </w:r>
      <w:r w:rsidR="003A25FF">
        <w:rPr>
          <w:rFonts w:ascii="Gill Sans MT" w:hAnsi="Gill Sans MT"/>
        </w:rPr>
        <w:t xml:space="preserve">of these schemes </w:t>
      </w:r>
      <w:r>
        <w:rPr>
          <w:rFonts w:ascii="Gill Sans MT" w:hAnsi="Gill Sans MT"/>
        </w:rPr>
        <w:t>with the doctrine of parliamentary sovereignty is unnecessary, and perpetuates the misleading notion that the supremacy of EU rules established by statute was an ‘alien’ device which was ‘fundamentally at odds’ with domestic ideas of parliamentary sovereignty.</w:t>
      </w:r>
      <w:r>
        <w:rPr>
          <w:rStyle w:val="FootnoteReference"/>
          <w:rFonts w:ascii="Gill Sans MT" w:hAnsi="Gill Sans MT"/>
        </w:rPr>
        <w:footnoteReference w:id="115"/>
      </w:r>
      <w:r>
        <w:rPr>
          <w:rFonts w:ascii="Gill Sans MT" w:hAnsi="Gill Sans MT"/>
        </w:rPr>
        <w:t xml:space="preserve">  </w:t>
      </w:r>
      <w:r w:rsidR="003A25FF">
        <w:rPr>
          <w:rFonts w:ascii="Gill Sans MT" w:hAnsi="Gill Sans MT"/>
        </w:rPr>
        <w:t>It was no doubt an innovation, but the legal force of the idea of the supremacy of EU law within the UK stemmed only from parliamentary legislation, rather than being founded on some autonomous external authority.  It was for Parliament, in exercise of its sovereign</w:t>
      </w:r>
      <w:r w:rsidR="00183740">
        <w:rPr>
          <w:rFonts w:ascii="Gill Sans MT" w:hAnsi="Gill Sans MT"/>
        </w:rPr>
        <w:t xml:space="preserve"> legislative authority</w:t>
      </w:r>
      <w:r w:rsidR="003A25FF">
        <w:rPr>
          <w:rFonts w:ascii="Gill Sans MT" w:hAnsi="Gill Sans MT"/>
        </w:rPr>
        <w:t xml:space="preserve">, to establish </w:t>
      </w:r>
      <w:r w:rsidR="00183740">
        <w:rPr>
          <w:rFonts w:ascii="Gill Sans MT" w:hAnsi="Gill Sans MT"/>
        </w:rPr>
        <w:t xml:space="preserve">the national legal arrangements required by membership of the </w:t>
      </w:r>
      <w:proofErr w:type="gramStart"/>
      <w:r w:rsidR="00183740">
        <w:rPr>
          <w:rFonts w:ascii="Gill Sans MT" w:hAnsi="Gill Sans MT"/>
        </w:rPr>
        <w:t>EU, and</w:t>
      </w:r>
      <w:proofErr w:type="gramEnd"/>
      <w:r w:rsidR="00183740">
        <w:rPr>
          <w:rFonts w:ascii="Gill Sans MT" w:hAnsi="Gill Sans MT"/>
        </w:rPr>
        <w:t xml:space="preserve"> is no violation of that sovereignty for any domestic hierarchies of norms to be provisionally sustained.  To suggest otherwise misrepresents the constitutional position which the UK now seeks to alter, and inappropriately holds up the idea of parlia</w:t>
      </w:r>
      <w:r w:rsidR="00A02CC1">
        <w:rPr>
          <w:rFonts w:ascii="Gill Sans MT" w:hAnsi="Gill Sans MT"/>
        </w:rPr>
        <w:t>mentary sovereignty as a constraint on legislative decision-making</w:t>
      </w:r>
      <w:r w:rsidR="00183740">
        <w:rPr>
          <w:rFonts w:ascii="Gill Sans MT" w:hAnsi="Gill Sans MT"/>
        </w:rPr>
        <w:t xml:space="preserve"> in the future.</w:t>
      </w:r>
    </w:p>
    <w:p w14:paraId="0203C7D3" w14:textId="1E404C51" w:rsidR="003007E9" w:rsidRDefault="001E1F6E" w:rsidP="003007E9">
      <w:pPr>
        <w:pStyle w:val="NormalWeb"/>
        <w:spacing w:before="0" w:beforeAutospacing="0" w:after="0" w:afterAutospacing="0"/>
        <w:ind w:firstLine="720"/>
        <w:jc w:val="both"/>
        <w:rPr>
          <w:rFonts w:ascii="Gill Sans MT" w:hAnsi="Gill Sans MT"/>
        </w:rPr>
      </w:pPr>
      <w:r>
        <w:rPr>
          <w:rFonts w:ascii="Gill Sans MT" w:hAnsi="Gill Sans MT"/>
        </w:rPr>
        <w:t xml:space="preserve">Third, </w:t>
      </w:r>
      <w:r w:rsidR="00821765">
        <w:rPr>
          <w:rFonts w:ascii="Gill Sans MT" w:hAnsi="Gill Sans MT"/>
        </w:rPr>
        <w:t xml:space="preserve">the EU (Withdrawal) Bill will </w:t>
      </w:r>
      <w:r w:rsidR="005E25AB">
        <w:rPr>
          <w:rFonts w:ascii="Gill Sans MT" w:hAnsi="Gill Sans MT"/>
        </w:rPr>
        <w:t xml:space="preserve">free </w:t>
      </w:r>
      <w:r w:rsidR="00821765">
        <w:rPr>
          <w:rFonts w:ascii="Gill Sans MT" w:hAnsi="Gill Sans MT"/>
        </w:rPr>
        <w:t>the UK courts of the obligation to comply with judgments of the</w:t>
      </w:r>
      <w:r w:rsidR="005E25AB">
        <w:rPr>
          <w:rFonts w:ascii="Gill Sans MT" w:hAnsi="Gill Sans MT"/>
        </w:rPr>
        <w:t xml:space="preserve"> CJEU</w:t>
      </w:r>
      <w:r w:rsidR="00821765">
        <w:rPr>
          <w:rFonts w:ascii="Gill Sans MT" w:hAnsi="Gill Sans MT"/>
        </w:rPr>
        <w:t xml:space="preserve"> after exit day, but relevant pre-exit case law will be retained, and will continue to bind lower courts when making decisions concerning retained EU law.</w:t>
      </w:r>
      <w:r w:rsidR="00821765">
        <w:rPr>
          <w:rStyle w:val="FootnoteReference"/>
          <w:rFonts w:ascii="Gill Sans MT" w:hAnsi="Gill Sans MT"/>
        </w:rPr>
        <w:footnoteReference w:id="116"/>
      </w:r>
      <w:r w:rsidR="00821765">
        <w:rPr>
          <w:rFonts w:ascii="Gill Sans MT" w:hAnsi="Gill Sans MT"/>
        </w:rPr>
        <w:t xml:space="preserve">  The UK courts ‘need not have regard’ to EU case law decided after Brexit, but Parliament will authorise the consideration of such material where the courts find it ‘appropriate to do so’.</w:t>
      </w:r>
      <w:r w:rsidR="00821765">
        <w:rPr>
          <w:rStyle w:val="FootnoteReference"/>
          <w:rFonts w:ascii="Gill Sans MT" w:hAnsi="Gill Sans MT"/>
        </w:rPr>
        <w:footnoteReference w:id="117"/>
      </w:r>
      <w:r w:rsidR="00821765">
        <w:rPr>
          <w:rFonts w:ascii="Gill Sans MT" w:hAnsi="Gill Sans MT"/>
        </w:rPr>
        <w:t xml:space="preserve">  Moreover, the Supreme Court will be permitted to depart from even pre-exit retained EU case law, in the same circumstances</w:t>
      </w:r>
      <w:r w:rsidR="0022753B">
        <w:rPr>
          <w:rFonts w:ascii="Gill Sans MT" w:hAnsi="Gill Sans MT"/>
        </w:rPr>
        <w:t xml:space="preserve"> </w:t>
      </w:r>
      <w:r w:rsidR="00613547">
        <w:rPr>
          <w:rFonts w:ascii="Gill Sans MT" w:hAnsi="Gill Sans MT"/>
        </w:rPr>
        <w:t>that</w:t>
      </w:r>
      <w:r w:rsidR="0022753B">
        <w:rPr>
          <w:rFonts w:ascii="Gill Sans MT" w:hAnsi="Gill Sans MT"/>
        </w:rPr>
        <w:t xml:space="preserve"> it can depart from its own prior precedents.</w:t>
      </w:r>
      <w:r w:rsidR="0022753B">
        <w:rPr>
          <w:rStyle w:val="FootnoteReference"/>
          <w:rFonts w:ascii="Gill Sans MT" w:hAnsi="Gill Sans MT"/>
        </w:rPr>
        <w:footnoteReference w:id="118"/>
      </w:r>
      <w:r w:rsidR="00821765">
        <w:rPr>
          <w:rFonts w:ascii="Gill Sans MT" w:hAnsi="Gill Sans MT"/>
        </w:rPr>
        <w:t xml:space="preserve">  </w:t>
      </w:r>
      <w:r w:rsidR="00613547">
        <w:rPr>
          <w:rFonts w:ascii="Gill Sans MT" w:hAnsi="Gill Sans MT"/>
        </w:rPr>
        <w:t>This new scheme of judicial powers can be seen to leave significant discretion to the courts to determine when it is ‘appropriate’ for post-exit EU case law to be taken into account, and (for the Supreme Court) to determine when to depart from retained EU case law.</w:t>
      </w:r>
      <w:r w:rsidR="00917B69">
        <w:rPr>
          <w:rStyle w:val="FootnoteReference"/>
          <w:rFonts w:ascii="Gill Sans MT" w:hAnsi="Gill Sans MT"/>
        </w:rPr>
        <w:footnoteReference w:id="119"/>
      </w:r>
      <w:r w:rsidR="00613547">
        <w:rPr>
          <w:rFonts w:ascii="Gill Sans MT" w:hAnsi="Gill Sans MT"/>
        </w:rPr>
        <w:t xml:space="preserve">  There is clearly less guidance given here than, for example, in relation to the current position concerning CJEU decisions (which bind all</w:t>
      </w:r>
      <w:r w:rsidR="002843E3">
        <w:rPr>
          <w:rFonts w:ascii="Gill Sans MT" w:hAnsi="Gill Sans MT"/>
        </w:rPr>
        <w:t xml:space="preserve"> UK</w:t>
      </w:r>
      <w:r w:rsidR="00613547">
        <w:rPr>
          <w:rFonts w:ascii="Gill Sans MT" w:hAnsi="Gill Sans MT"/>
        </w:rPr>
        <w:t xml:space="preserve"> courts</w:t>
      </w:r>
      <w:r w:rsidR="00613547">
        <w:rPr>
          <w:rStyle w:val="FootnoteReference"/>
          <w:rFonts w:ascii="Gill Sans MT" w:hAnsi="Gill Sans MT"/>
        </w:rPr>
        <w:footnoteReference w:id="120"/>
      </w:r>
      <w:r w:rsidR="00613547">
        <w:rPr>
          <w:rFonts w:ascii="Gill Sans MT" w:hAnsi="Gill Sans MT"/>
        </w:rPr>
        <w:t xml:space="preserve">) or under the Human Rights Act 1998, where </w:t>
      </w:r>
      <w:r w:rsidR="002843E3">
        <w:rPr>
          <w:rFonts w:ascii="Gill Sans MT" w:hAnsi="Gill Sans MT"/>
        </w:rPr>
        <w:t xml:space="preserve">domestic courts ‘must take into account’ the case law of the </w:t>
      </w:r>
      <w:r w:rsidR="00613547">
        <w:rPr>
          <w:rFonts w:ascii="Gill Sans MT" w:hAnsi="Gill Sans MT"/>
        </w:rPr>
        <w:t>European Court of Human Rights.</w:t>
      </w:r>
      <w:r w:rsidR="00613547">
        <w:rPr>
          <w:rStyle w:val="FootnoteReference"/>
          <w:rFonts w:ascii="Gill Sans MT" w:hAnsi="Gill Sans MT"/>
        </w:rPr>
        <w:footnoteReference w:id="121"/>
      </w:r>
      <w:r w:rsidR="00613547">
        <w:rPr>
          <w:rFonts w:ascii="Gill Sans MT" w:hAnsi="Gill Sans MT"/>
        </w:rPr>
        <w:t xml:space="preserve">  </w:t>
      </w:r>
      <w:r w:rsidR="00FB3266">
        <w:rPr>
          <w:rFonts w:ascii="Gill Sans MT" w:hAnsi="Gill Sans MT"/>
        </w:rPr>
        <w:t xml:space="preserve">The existence of these broad discretionary powers may raise questions about whether </w:t>
      </w:r>
      <w:r w:rsidR="00FB3266">
        <w:rPr>
          <w:rFonts w:ascii="Gill Sans MT" w:hAnsi="Gill Sans MT"/>
        </w:rPr>
        <w:lastRenderedPageBreak/>
        <w:t xml:space="preserve">Parliament </w:t>
      </w:r>
      <w:r w:rsidR="003007E9">
        <w:rPr>
          <w:rFonts w:ascii="Gill Sans MT" w:hAnsi="Gill Sans MT"/>
        </w:rPr>
        <w:t xml:space="preserve">is delegating excessive decision-making autonomy to the courts, subject to limited oversight, just as </w:t>
      </w:r>
      <w:r w:rsidR="002843E3">
        <w:rPr>
          <w:rFonts w:ascii="Gill Sans MT" w:hAnsi="Gill Sans MT"/>
        </w:rPr>
        <w:t xml:space="preserve">has been </w:t>
      </w:r>
      <w:r w:rsidR="003007E9">
        <w:rPr>
          <w:rFonts w:ascii="Gill Sans MT" w:hAnsi="Gill Sans MT"/>
        </w:rPr>
        <w:t xml:space="preserve">argued in relation to the extensive secondary legislative powers to be delegated to the executive. </w:t>
      </w:r>
      <w:r w:rsidR="00FB3266">
        <w:rPr>
          <w:rFonts w:ascii="Gill Sans MT" w:hAnsi="Gill Sans MT"/>
        </w:rPr>
        <w:t xml:space="preserve"> </w:t>
      </w:r>
      <w:r w:rsidR="003007E9">
        <w:rPr>
          <w:rFonts w:ascii="Gill Sans MT" w:hAnsi="Gill Sans MT"/>
        </w:rPr>
        <w:t>Yet in many ways, the major objections to these broad powers have been from their potential recipients</w:t>
      </w:r>
      <w:r w:rsidR="002843E3">
        <w:rPr>
          <w:rFonts w:ascii="Gill Sans MT" w:hAnsi="Gill Sans MT"/>
        </w:rPr>
        <w:t xml:space="preserve">, rather than those concerned about the </w:t>
      </w:r>
      <w:r w:rsidR="007D3FE0">
        <w:rPr>
          <w:rFonts w:ascii="Gill Sans MT" w:hAnsi="Gill Sans MT"/>
        </w:rPr>
        <w:t>uncontrolled</w:t>
      </w:r>
      <w:r w:rsidR="002843E3">
        <w:rPr>
          <w:rFonts w:ascii="Gill Sans MT" w:hAnsi="Gill Sans MT"/>
        </w:rPr>
        <w:t xml:space="preserve"> delegation of significant decision-making.  In particular, members of t</w:t>
      </w:r>
      <w:r w:rsidR="003007E9">
        <w:rPr>
          <w:rFonts w:ascii="Gill Sans MT" w:hAnsi="Gill Sans MT"/>
        </w:rPr>
        <w:t xml:space="preserve">he senior judiciary have argued that Parliament should provide more specific guidance to </w:t>
      </w:r>
      <w:r w:rsidR="007D3FE0">
        <w:rPr>
          <w:rFonts w:ascii="Gill Sans MT" w:hAnsi="Gill Sans MT"/>
        </w:rPr>
        <w:t>structure</w:t>
      </w:r>
      <w:r w:rsidR="003007E9">
        <w:rPr>
          <w:rFonts w:ascii="Gill Sans MT" w:hAnsi="Gill Sans MT"/>
        </w:rPr>
        <w:t xml:space="preserve"> the exercise of these discretionary powers, so that the courts do not get drawn into making politically controversial decisions about the future status of EU norms.</w:t>
      </w:r>
      <w:r w:rsidR="003007E9">
        <w:rPr>
          <w:rStyle w:val="FootnoteReference"/>
          <w:rFonts w:ascii="Gill Sans MT" w:hAnsi="Gill Sans MT"/>
        </w:rPr>
        <w:footnoteReference w:id="122"/>
      </w:r>
      <w:r w:rsidR="0088222C">
        <w:rPr>
          <w:rFonts w:ascii="Gill Sans MT" w:hAnsi="Gill Sans MT"/>
        </w:rPr>
        <w:t xml:space="preserve">  From a sovereignty perspective, </w:t>
      </w:r>
      <w:r w:rsidR="00417FCD">
        <w:rPr>
          <w:rFonts w:ascii="Gill Sans MT" w:hAnsi="Gill Sans MT"/>
        </w:rPr>
        <w:t>most interesting are the</w:t>
      </w:r>
      <w:r w:rsidR="00B118E2">
        <w:rPr>
          <w:rFonts w:ascii="Gill Sans MT" w:hAnsi="Gill Sans MT"/>
        </w:rPr>
        <w:t>se</w:t>
      </w:r>
      <w:r w:rsidR="00417FCD">
        <w:rPr>
          <w:rFonts w:ascii="Gill Sans MT" w:hAnsi="Gill Sans MT"/>
        </w:rPr>
        <w:t xml:space="preserve"> judicial calls for their powers to be more tightly defined by legislation, which perhap</w:t>
      </w:r>
      <w:r w:rsidR="007D3FE0">
        <w:rPr>
          <w:rFonts w:ascii="Gill Sans MT" w:hAnsi="Gill Sans MT"/>
        </w:rPr>
        <w:t>s</w:t>
      </w:r>
      <w:r w:rsidR="00417FCD">
        <w:rPr>
          <w:rFonts w:ascii="Gill Sans MT" w:hAnsi="Gill Sans MT"/>
        </w:rPr>
        <w:t xml:space="preserve"> stand in contrast to the growing emphasis on common law self-empowerment evident in the line of domestic case law discussed in </w:t>
      </w:r>
      <w:r w:rsidR="00F00581">
        <w:rPr>
          <w:rFonts w:ascii="Gill Sans MT" w:hAnsi="Gill Sans MT"/>
        </w:rPr>
        <w:t>S</w:t>
      </w:r>
      <w:r w:rsidR="00417FCD">
        <w:rPr>
          <w:rFonts w:ascii="Gill Sans MT" w:hAnsi="Gill Sans MT"/>
        </w:rPr>
        <w:t>ection 2.</w:t>
      </w:r>
      <w:r w:rsidR="00417FCD">
        <w:rPr>
          <w:rStyle w:val="FootnoteReference"/>
          <w:rFonts w:ascii="Gill Sans MT" w:hAnsi="Gill Sans MT"/>
        </w:rPr>
        <w:footnoteReference w:id="123"/>
      </w:r>
      <w:r w:rsidR="00B118E2">
        <w:rPr>
          <w:rFonts w:ascii="Gill Sans MT" w:hAnsi="Gill Sans MT"/>
        </w:rPr>
        <w:t xml:space="preserve">  Whether this </w:t>
      </w:r>
      <w:r w:rsidR="002726B4">
        <w:rPr>
          <w:rFonts w:ascii="Gill Sans MT" w:hAnsi="Gill Sans MT"/>
        </w:rPr>
        <w:t>stems from</w:t>
      </w:r>
      <w:r w:rsidR="00B118E2">
        <w:rPr>
          <w:rFonts w:ascii="Gill Sans MT" w:hAnsi="Gill Sans MT"/>
        </w:rPr>
        <w:t xml:space="preserve"> </w:t>
      </w:r>
      <w:r w:rsidR="002726B4">
        <w:rPr>
          <w:rFonts w:ascii="Gill Sans MT" w:hAnsi="Gill Sans MT"/>
        </w:rPr>
        <w:t>a</w:t>
      </w:r>
      <w:r w:rsidR="00B118E2">
        <w:rPr>
          <w:rFonts w:ascii="Gill Sans MT" w:hAnsi="Gill Sans MT"/>
        </w:rPr>
        <w:t xml:space="preserve"> lack of depth of common law principle, or </w:t>
      </w:r>
      <w:r w:rsidR="002726B4">
        <w:rPr>
          <w:rFonts w:ascii="Gill Sans MT" w:hAnsi="Gill Sans MT"/>
        </w:rPr>
        <w:t>judicial awareness of the need for political self-preservation, it demonstrates that the</w:t>
      </w:r>
      <w:r w:rsidR="00B118E2">
        <w:rPr>
          <w:rFonts w:ascii="Gill Sans MT" w:hAnsi="Gill Sans MT"/>
        </w:rPr>
        <w:t xml:space="preserve"> courts recognise they will be subject to the legislative scheme established by Parliament.</w:t>
      </w:r>
      <w:r w:rsidR="002726B4">
        <w:rPr>
          <w:rFonts w:ascii="Gill Sans MT" w:hAnsi="Gill Sans MT"/>
        </w:rPr>
        <w:t xml:space="preserve">  And whatever </w:t>
      </w:r>
      <w:r w:rsidR="007D3FE0">
        <w:rPr>
          <w:rFonts w:ascii="Gill Sans MT" w:hAnsi="Gill Sans MT"/>
        </w:rPr>
        <w:t>final scheme</w:t>
      </w:r>
      <w:r w:rsidR="002726B4">
        <w:rPr>
          <w:rFonts w:ascii="Gill Sans MT" w:hAnsi="Gill Sans MT"/>
        </w:rPr>
        <w:t xml:space="preserve"> is </w:t>
      </w:r>
      <w:r w:rsidR="007D3FE0">
        <w:rPr>
          <w:rFonts w:ascii="Gill Sans MT" w:hAnsi="Gill Sans MT"/>
        </w:rPr>
        <w:t>created</w:t>
      </w:r>
      <w:r w:rsidR="002726B4">
        <w:rPr>
          <w:rFonts w:ascii="Gill Sans MT" w:hAnsi="Gill Sans MT"/>
        </w:rPr>
        <w:t xml:space="preserve">, whether more </w:t>
      </w:r>
      <w:r w:rsidR="009E10AE">
        <w:rPr>
          <w:rFonts w:ascii="Gill Sans MT" w:hAnsi="Gill Sans MT"/>
        </w:rPr>
        <w:t>directive</w:t>
      </w:r>
      <w:r w:rsidR="002726B4">
        <w:rPr>
          <w:rFonts w:ascii="Gill Sans MT" w:hAnsi="Gill Sans MT"/>
        </w:rPr>
        <w:t xml:space="preserve"> or more discretionary, it will inevitably provide </w:t>
      </w:r>
      <w:r w:rsidR="009E10AE">
        <w:rPr>
          <w:rFonts w:ascii="Gill Sans MT" w:hAnsi="Gill Sans MT"/>
        </w:rPr>
        <w:t>the</w:t>
      </w:r>
      <w:r w:rsidR="002726B4">
        <w:rPr>
          <w:rFonts w:ascii="Gill Sans MT" w:hAnsi="Gill Sans MT"/>
        </w:rPr>
        <w:t xml:space="preserve"> framework within which the courts must operate, </w:t>
      </w:r>
      <w:r w:rsidR="009E10AE">
        <w:rPr>
          <w:rFonts w:ascii="Gill Sans MT" w:hAnsi="Gill Sans MT"/>
        </w:rPr>
        <w:t>as is illustrated by the judicial attempts to influence its formation by Parliament.</w:t>
      </w:r>
    </w:p>
    <w:p w14:paraId="6E58397E" w14:textId="10BE1E1B" w:rsidR="005746E0" w:rsidRDefault="001E1F6E" w:rsidP="00A036BF">
      <w:pPr>
        <w:pStyle w:val="NormalWeb"/>
        <w:spacing w:before="0" w:beforeAutospacing="0" w:after="0" w:afterAutospacing="0"/>
        <w:ind w:firstLine="720"/>
        <w:jc w:val="both"/>
        <w:rPr>
          <w:rFonts w:ascii="Gill Sans MT" w:hAnsi="Gill Sans MT"/>
        </w:rPr>
      </w:pPr>
      <w:r>
        <w:rPr>
          <w:rFonts w:ascii="Gill Sans MT" w:hAnsi="Gill Sans MT"/>
        </w:rPr>
        <w:t>Fourth,</w:t>
      </w:r>
      <w:r w:rsidR="00CB6695">
        <w:rPr>
          <w:rFonts w:ascii="Gill Sans MT" w:hAnsi="Gill Sans MT"/>
        </w:rPr>
        <w:t xml:space="preserve"> in relation to</w:t>
      </w:r>
      <w:r>
        <w:rPr>
          <w:rFonts w:ascii="Gill Sans MT" w:hAnsi="Gill Sans MT"/>
        </w:rPr>
        <w:t xml:space="preserve"> </w:t>
      </w:r>
      <w:r w:rsidR="00CB6695">
        <w:rPr>
          <w:rFonts w:ascii="Gill Sans MT" w:hAnsi="Gill Sans MT"/>
        </w:rPr>
        <w:t xml:space="preserve">the devolved institutions, </w:t>
      </w:r>
      <w:r w:rsidR="00F26227">
        <w:rPr>
          <w:rFonts w:ascii="Gill Sans MT" w:hAnsi="Gill Sans MT"/>
        </w:rPr>
        <w:t xml:space="preserve">the UK </w:t>
      </w:r>
      <w:r w:rsidR="00CB6695">
        <w:rPr>
          <w:rFonts w:ascii="Gill Sans MT" w:hAnsi="Gill Sans MT"/>
        </w:rPr>
        <w:t xml:space="preserve">Parliament is proposing to replace the </w:t>
      </w:r>
      <w:r w:rsidR="00F26227">
        <w:rPr>
          <w:rFonts w:ascii="Gill Sans MT" w:hAnsi="Gill Sans MT"/>
        </w:rPr>
        <w:t xml:space="preserve">existing statutory </w:t>
      </w:r>
      <w:r w:rsidR="00CB6695">
        <w:rPr>
          <w:rFonts w:ascii="Gill Sans MT" w:hAnsi="Gill Sans MT"/>
        </w:rPr>
        <w:t>limit</w:t>
      </w:r>
      <w:r w:rsidR="00F26227">
        <w:rPr>
          <w:rFonts w:ascii="Gill Sans MT" w:hAnsi="Gill Sans MT"/>
        </w:rPr>
        <w:t>ations</w:t>
      </w:r>
      <w:r w:rsidR="00CB6695">
        <w:rPr>
          <w:rFonts w:ascii="Gill Sans MT" w:hAnsi="Gill Sans MT"/>
        </w:rPr>
        <w:t xml:space="preserve"> on devolved</w:t>
      </w:r>
      <w:r w:rsidR="00F26227">
        <w:rPr>
          <w:rFonts w:ascii="Gill Sans MT" w:hAnsi="Gill Sans MT"/>
        </w:rPr>
        <w:t xml:space="preserve"> law-making</w:t>
      </w:r>
      <w:r w:rsidR="00CB6695">
        <w:rPr>
          <w:rFonts w:ascii="Gill Sans MT" w:hAnsi="Gill Sans MT"/>
        </w:rPr>
        <w:t xml:space="preserve"> competence </w:t>
      </w:r>
      <w:r w:rsidR="00F26227">
        <w:rPr>
          <w:rFonts w:ascii="Gill Sans MT" w:hAnsi="Gill Sans MT"/>
        </w:rPr>
        <w:t>which stem from</w:t>
      </w:r>
      <w:r w:rsidR="00CB6695">
        <w:rPr>
          <w:rFonts w:ascii="Gill Sans MT" w:hAnsi="Gill Sans MT"/>
        </w:rPr>
        <w:t xml:space="preserve"> EU law,</w:t>
      </w:r>
      <w:r w:rsidR="00F26227">
        <w:rPr>
          <w:rStyle w:val="FootnoteReference"/>
          <w:rFonts w:ascii="Gill Sans MT" w:hAnsi="Gill Sans MT"/>
        </w:rPr>
        <w:footnoteReference w:id="124"/>
      </w:r>
      <w:r w:rsidR="00CB6695">
        <w:rPr>
          <w:rFonts w:ascii="Gill Sans MT" w:hAnsi="Gill Sans MT"/>
        </w:rPr>
        <w:t xml:space="preserve"> with </w:t>
      </w:r>
      <w:r w:rsidR="00F26227">
        <w:rPr>
          <w:rFonts w:ascii="Gill Sans MT" w:hAnsi="Gill Sans MT"/>
        </w:rPr>
        <w:t>limitations</w:t>
      </w:r>
      <w:r w:rsidR="00CB6695">
        <w:rPr>
          <w:rFonts w:ascii="Gill Sans MT" w:hAnsi="Gill Sans MT"/>
        </w:rPr>
        <w:t xml:space="preserve"> </w:t>
      </w:r>
      <w:r w:rsidR="00F26227">
        <w:rPr>
          <w:rFonts w:ascii="Gill Sans MT" w:hAnsi="Gill Sans MT"/>
        </w:rPr>
        <w:t xml:space="preserve">based on </w:t>
      </w:r>
      <w:r w:rsidR="00CB6695">
        <w:rPr>
          <w:rFonts w:ascii="Gill Sans MT" w:hAnsi="Gill Sans MT"/>
        </w:rPr>
        <w:t>retained EU law.</w:t>
      </w:r>
      <w:r w:rsidR="00E455D0">
        <w:rPr>
          <w:rStyle w:val="FootnoteReference"/>
          <w:rFonts w:ascii="Gill Sans MT" w:hAnsi="Gill Sans MT"/>
        </w:rPr>
        <w:footnoteReference w:id="125"/>
      </w:r>
      <w:r w:rsidR="00F26227">
        <w:rPr>
          <w:rFonts w:ascii="Gill Sans MT" w:hAnsi="Gill Sans MT"/>
        </w:rPr>
        <w:t xml:space="preserve">  Yet UK legislation prohibiting the Scottish Parliament, National Assembly for Wales, or Northern Ireland Assembly from legislating in any way which was incompatible with retained EU law would have a clear</w:t>
      </w:r>
      <w:r w:rsidR="005C5713">
        <w:rPr>
          <w:rFonts w:ascii="Gill Sans MT" w:hAnsi="Gill Sans MT"/>
        </w:rPr>
        <w:t xml:space="preserve"> and unacceptable</w:t>
      </w:r>
      <w:r w:rsidR="00F26227">
        <w:rPr>
          <w:rFonts w:ascii="Gill Sans MT" w:hAnsi="Gill Sans MT"/>
        </w:rPr>
        <w:t xml:space="preserve"> centralising effect, for it will be the UK institutions who will decide how EU law must be modified to make it appropriate for domestic retention.</w:t>
      </w:r>
      <w:r w:rsidR="00F26227">
        <w:rPr>
          <w:rStyle w:val="FootnoteReference"/>
          <w:rFonts w:ascii="Gill Sans MT" w:hAnsi="Gill Sans MT"/>
        </w:rPr>
        <w:footnoteReference w:id="126"/>
      </w:r>
      <w:r w:rsidR="00561339">
        <w:rPr>
          <w:rFonts w:ascii="Gill Sans MT" w:hAnsi="Gill Sans MT"/>
        </w:rPr>
        <w:t xml:space="preserve">  In that sense, the effect of this change may be that the UK Parliament and government will unilaterally acquire new powers over the competence of the devolved institutions, in a way which is </w:t>
      </w:r>
      <w:r w:rsidR="00561339" w:rsidRPr="006E31E6">
        <w:rPr>
          <w:rFonts w:ascii="Gill Sans MT" w:hAnsi="Gill Sans MT"/>
        </w:rPr>
        <w:t>incompatible with the spirit of the existing statutory devolution architecture</w:t>
      </w:r>
      <w:r w:rsidR="00A036BF">
        <w:rPr>
          <w:rFonts w:ascii="Gill Sans MT" w:hAnsi="Gill Sans MT"/>
        </w:rPr>
        <w:t>.  The question may therefore be whether the UK’s increasingly</w:t>
      </w:r>
      <w:r w:rsidR="005746E0" w:rsidRPr="005746E0">
        <w:rPr>
          <w:rFonts w:ascii="Gill Sans MT" w:hAnsi="Gill Sans MT"/>
        </w:rPr>
        <w:t xml:space="preserve"> pluralistic </w:t>
      </w:r>
      <w:r w:rsidR="00A036BF">
        <w:rPr>
          <w:rFonts w:ascii="Gill Sans MT" w:hAnsi="Gill Sans MT"/>
        </w:rPr>
        <w:t xml:space="preserve">territorial </w:t>
      </w:r>
      <w:r w:rsidR="005746E0" w:rsidRPr="005746E0">
        <w:rPr>
          <w:rFonts w:ascii="Gill Sans MT" w:hAnsi="Gill Sans MT"/>
        </w:rPr>
        <w:t xml:space="preserve">constitution </w:t>
      </w:r>
      <w:r w:rsidR="00A036BF">
        <w:rPr>
          <w:rFonts w:ascii="Gill Sans MT" w:hAnsi="Gill Sans MT"/>
        </w:rPr>
        <w:t>can continue to function when that system is founded on the</w:t>
      </w:r>
      <w:r w:rsidR="005746E0" w:rsidRPr="005746E0">
        <w:rPr>
          <w:rFonts w:ascii="Gill Sans MT" w:hAnsi="Gill Sans MT"/>
        </w:rPr>
        <w:t xml:space="preserve"> sovereignty</w:t>
      </w:r>
      <w:r w:rsidR="00A036BF">
        <w:rPr>
          <w:rFonts w:ascii="Gill Sans MT" w:hAnsi="Gill Sans MT"/>
        </w:rPr>
        <w:t xml:space="preserve"> of the UK Parliament</w:t>
      </w:r>
      <w:r w:rsidR="005746E0" w:rsidRPr="005746E0">
        <w:rPr>
          <w:rFonts w:ascii="Gill Sans MT" w:hAnsi="Gill Sans MT"/>
        </w:rPr>
        <w:t>.</w:t>
      </w:r>
    </w:p>
    <w:p w14:paraId="54FB1649" w14:textId="1C967233" w:rsidR="007B1DA9" w:rsidRPr="008613D7" w:rsidRDefault="00563877" w:rsidP="0051109A">
      <w:pPr>
        <w:pStyle w:val="NormalWeb"/>
        <w:spacing w:before="0" w:beforeAutospacing="0" w:after="0" w:afterAutospacing="0"/>
        <w:ind w:firstLine="720"/>
        <w:jc w:val="both"/>
        <w:rPr>
          <w:rFonts w:ascii="Gill Sans MT" w:hAnsi="Gill Sans MT"/>
        </w:rPr>
      </w:pPr>
      <w:r>
        <w:rPr>
          <w:rFonts w:ascii="Gill Sans MT" w:hAnsi="Gill Sans MT"/>
        </w:rPr>
        <w:t xml:space="preserve">This dilemma </w:t>
      </w:r>
      <w:r w:rsidR="00130BAC" w:rsidRPr="006E31E6">
        <w:rPr>
          <w:rFonts w:ascii="Gill Sans MT" w:hAnsi="Gill Sans MT"/>
        </w:rPr>
        <w:t>shows</w:t>
      </w:r>
      <w:r>
        <w:rPr>
          <w:rFonts w:ascii="Gill Sans MT" w:hAnsi="Gill Sans MT"/>
        </w:rPr>
        <w:t xml:space="preserve"> the</w:t>
      </w:r>
      <w:r w:rsidR="00130BAC" w:rsidRPr="006E31E6">
        <w:rPr>
          <w:rFonts w:ascii="Gill Sans MT" w:hAnsi="Gill Sans MT"/>
        </w:rPr>
        <w:t xml:space="preserve"> importance of</w:t>
      </w:r>
      <w:r>
        <w:rPr>
          <w:rFonts w:ascii="Gill Sans MT" w:hAnsi="Gill Sans MT"/>
        </w:rPr>
        <w:t xml:space="preserve"> the</w:t>
      </w:r>
      <w:r w:rsidR="00130BAC" w:rsidRPr="006E31E6">
        <w:rPr>
          <w:rFonts w:ascii="Gill Sans MT" w:hAnsi="Gill Sans MT"/>
        </w:rPr>
        <w:t xml:space="preserve"> UK institutions recognising a key difference between the </w:t>
      </w:r>
      <w:r>
        <w:rPr>
          <w:rFonts w:ascii="Gill Sans MT" w:hAnsi="Gill Sans MT"/>
        </w:rPr>
        <w:t xml:space="preserve">endurance of parliamentary </w:t>
      </w:r>
      <w:r w:rsidR="00130BAC" w:rsidRPr="006E31E6">
        <w:rPr>
          <w:rFonts w:ascii="Gill Sans MT" w:hAnsi="Gill Sans MT"/>
        </w:rPr>
        <w:t xml:space="preserve">sovereignty and centralisation of </w:t>
      </w:r>
      <w:r>
        <w:rPr>
          <w:rFonts w:ascii="Gill Sans MT" w:hAnsi="Gill Sans MT"/>
        </w:rPr>
        <w:t xml:space="preserve">decision-making </w:t>
      </w:r>
      <w:r w:rsidR="00130BAC" w:rsidRPr="006E31E6">
        <w:rPr>
          <w:rFonts w:ascii="Gill Sans MT" w:hAnsi="Gill Sans MT"/>
        </w:rPr>
        <w:t>competence.</w:t>
      </w:r>
      <w:r w:rsidR="00A67444">
        <w:rPr>
          <w:rFonts w:ascii="Gill Sans MT" w:hAnsi="Gill Sans MT"/>
        </w:rPr>
        <w:t xml:space="preserve"> </w:t>
      </w:r>
      <w:r w:rsidR="00130BAC" w:rsidRPr="006E31E6">
        <w:rPr>
          <w:rFonts w:ascii="Gill Sans MT" w:hAnsi="Gill Sans MT"/>
        </w:rPr>
        <w:t xml:space="preserve"> One does not, and should not, entail the other </w:t>
      </w:r>
      <w:r>
        <w:rPr>
          <w:rFonts w:ascii="Gill Sans MT" w:hAnsi="Gill Sans MT"/>
        </w:rPr>
        <w:t>–</w:t>
      </w:r>
      <w:r w:rsidR="00130BAC" w:rsidRPr="006E31E6">
        <w:rPr>
          <w:rFonts w:ascii="Gill Sans MT" w:hAnsi="Gill Sans MT"/>
        </w:rPr>
        <w:t xml:space="preserve"> </w:t>
      </w:r>
      <w:r>
        <w:rPr>
          <w:rFonts w:ascii="Gill Sans MT" w:hAnsi="Gill Sans MT"/>
        </w:rPr>
        <w:t xml:space="preserve">the </w:t>
      </w:r>
      <w:r w:rsidR="00130BAC" w:rsidRPr="006E31E6">
        <w:rPr>
          <w:rFonts w:ascii="Gill Sans MT" w:hAnsi="Gill Sans MT"/>
        </w:rPr>
        <w:t xml:space="preserve">constitutional importance of the devolution arrangements which the UK Parliament established </w:t>
      </w:r>
      <w:r>
        <w:rPr>
          <w:rFonts w:ascii="Gill Sans MT" w:hAnsi="Gill Sans MT"/>
        </w:rPr>
        <w:t xml:space="preserve">based on national democratic </w:t>
      </w:r>
      <w:r w:rsidR="00A67444">
        <w:rPr>
          <w:rFonts w:ascii="Gill Sans MT" w:hAnsi="Gill Sans MT"/>
        </w:rPr>
        <w:t xml:space="preserve">mandates </w:t>
      </w:r>
      <w:r w:rsidR="00130BAC" w:rsidRPr="006E31E6">
        <w:rPr>
          <w:rFonts w:ascii="Gill Sans MT" w:hAnsi="Gill Sans MT"/>
        </w:rPr>
        <w:t xml:space="preserve">exerts a strong political influence on how legislative power should be used, even if it does not establish any formal legal </w:t>
      </w:r>
      <w:r>
        <w:rPr>
          <w:rFonts w:ascii="Gill Sans MT" w:hAnsi="Gill Sans MT"/>
        </w:rPr>
        <w:t xml:space="preserve">entrenchment of the </w:t>
      </w:r>
      <w:r w:rsidR="00A67444">
        <w:rPr>
          <w:rFonts w:ascii="Gill Sans MT" w:hAnsi="Gill Sans MT"/>
        </w:rPr>
        <w:t>distribution</w:t>
      </w:r>
      <w:r w:rsidR="00130BAC" w:rsidRPr="006E31E6">
        <w:rPr>
          <w:rFonts w:ascii="Gill Sans MT" w:hAnsi="Gill Sans MT"/>
        </w:rPr>
        <w:t xml:space="preserve"> of powers.</w:t>
      </w:r>
      <w:r w:rsidR="00A67444">
        <w:rPr>
          <w:rFonts w:ascii="Gill Sans MT" w:hAnsi="Gill Sans MT"/>
        </w:rPr>
        <w:t xml:space="preserve">  Parliamentary sovereignty</w:t>
      </w:r>
      <w:r w:rsidR="00130BAC" w:rsidRPr="006E31E6">
        <w:rPr>
          <w:rFonts w:ascii="Gill Sans MT" w:hAnsi="Gill Sans MT"/>
        </w:rPr>
        <w:t xml:space="preserve"> is the</w:t>
      </w:r>
      <w:r w:rsidR="00A67444">
        <w:rPr>
          <w:rFonts w:ascii="Gill Sans MT" w:hAnsi="Gill Sans MT"/>
        </w:rPr>
        <w:t xml:space="preserve"> UK’s</w:t>
      </w:r>
      <w:r w:rsidR="00130BAC" w:rsidRPr="006E31E6">
        <w:rPr>
          <w:rFonts w:ascii="Gill Sans MT" w:hAnsi="Gill Sans MT"/>
        </w:rPr>
        <w:t xml:space="preserve"> ultimate </w:t>
      </w:r>
      <w:r w:rsidR="00A67444">
        <w:rPr>
          <w:rFonts w:ascii="Gill Sans MT" w:hAnsi="Gill Sans MT"/>
        </w:rPr>
        <w:t xml:space="preserve">constitutional </w:t>
      </w:r>
      <w:r w:rsidR="00130BAC" w:rsidRPr="006E31E6">
        <w:rPr>
          <w:rFonts w:ascii="Gill Sans MT" w:hAnsi="Gill Sans MT"/>
        </w:rPr>
        <w:t xml:space="preserve">norm, but </w:t>
      </w:r>
      <w:r w:rsidR="00A67444">
        <w:rPr>
          <w:rFonts w:ascii="Gill Sans MT" w:hAnsi="Gill Sans MT"/>
        </w:rPr>
        <w:t>it</w:t>
      </w:r>
      <w:r w:rsidR="00130BAC" w:rsidRPr="006E31E6">
        <w:rPr>
          <w:rFonts w:ascii="Gill Sans MT" w:hAnsi="Gill Sans MT"/>
        </w:rPr>
        <w:t xml:space="preserve"> operat</w:t>
      </w:r>
      <w:r w:rsidR="00A67444">
        <w:rPr>
          <w:rFonts w:ascii="Gill Sans MT" w:hAnsi="Gill Sans MT"/>
        </w:rPr>
        <w:t>es</w:t>
      </w:r>
      <w:r w:rsidR="00130BAC" w:rsidRPr="006E31E6">
        <w:rPr>
          <w:rFonts w:ascii="Gill Sans MT" w:hAnsi="Gill Sans MT"/>
        </w:rPr>
        <w:t xml:space="preserve"> in a broader political constitutional context which</w:t>
      </w:r>
      <w:r w:rsidR="00A67444">
        <w:rPr>
          <w:rFonts w:ascii="Gill Sans MT" w:hAnsi="Gill Sans MT"/>
        </w:rPr>
        <w:t>, to a significant extent,</w:t>
      </w:r>
      <w:r w:rsidR="00130BAC" w:rsidRPr="006E31E6">
        <w:rPr>
          <w:rFonts w:ascii="Gill Sans MT" w:hAnsi="Gill Sans MT"/>
        </w:rPr>
        <w:t xml:space="preserve"> </w:t>
      </w:r>
      <w:r w:rsidR="00A67444">
        <w:rPr>
          <w:rFonts w:ascii="Gill Sans MT" w:hAnsi="Gill Sans MT"/>
        </w:rPr>
        <w:t>Parliament</w:t>
      </w:r>
      <w:r w:rsidR="00130BAC" w:rsidRPr="006E31E6">
        <w:rPr>
          <w:rFonts w:ascii="Gill Sans MT" w:hAnsi="Gill Sans MT"/>
        </w:rPr>
        <w:t xml:space="preserve"> has crafted</w:t>
      </w:r>
      <w:r w:rsidR="00A67444">
        <w:rPr>
          <w:rFonts w:ascii="Gill Sans MT" w:hAnsi="Gill Sans MT"/>
        </w:rPr>
        <w:t>,</w:t>
      </w:r>
      <w:r w:rsidR="00130BAC" w:rsidRPr="006E31E6">
        <w:rPr>
          <w:rFonts w:ascii="Gill Sans MT" w:hAnsi="Gill Sans MT"/>
        </w:rPr>
        <w:t xml:space="preserve"> and which entirely legitimately shapes the way its legal authority should be exercised. </w:t>
      </w:r>
      <w:r w:rsidR="00A67444">
        <w:rPr>
          <w:rFonts w:ascii="Gill Sans MT" w:hAnsi="Gill Sans MT"/>
        </w:rPr>
        <w:t xml:space="preserve"> </w:t>
      </w:r>
      <w:r w:rsidR="00B37AEB">
        <w:rPr>
          <w:rFonts w:ascii="Gill Sans MT" w:hAnsi="Gill Sans MT"/>
        </w:rPr>
        <w:t>The period of constitutional reform instigated by the New Labour government elected in 1997 clearly s</w:t>
      </w:r>
      <w:r w:rsidR="00B37AEB" w:rsidRPr="005746E0">
        <w:rPr>
          <w:rFonts w:ascii="Gill Sans MT" w:hAnsi="Gill Sans MT"/>
        </w:rPr>
        <w:t xml:space="preserve">hows </w:t>
      </w:r>
      <w:r w:rsidR="00B37AEB">
        <w:rPr>
          <w:rFonts w:ascii="Gill Sans MT" w:hAnsi="Gill Sans MT"/>
        </w:rPr>
        <w:t xml:space="preserve">that parliamentary sovereignty is </w:t>
      </w:r>
      <w:r w:rsidR="00B37AEB" w:rsidRPr="005746E0">
        <w:rPr>
          <w:rFonts w:ascii="Gill Sans MT" w:hAnsi="Gill Sans MT"/>
        </w:rPr>
        <w:t xml:space="preserve">compatible with </w:t>
      </w:r>
      <w:r w:rsidR="00B37AEB">
        <w:rPr>
          <w:rFonts w:ascii="Gill Sans MT" w:hAnsi="Gill Sans MT"/>
        </w:rPr>
        <w:t xml:space="preserve">the </w:t>
      </w:r>
      <w:r w:rsidR="00B37AEB" w:rsidRPr="005746E0">
        <w:rPr>
          <w:rFonts w:ascii="Gill Sans MT" w:hAnsi="Gill Sans MT"/>
        </w:rPr>
        <w:t>extensive dispersal of power</w:t>
      </w:r>
      <w:r w:rsidR="00B37AEB">
        <w:rPr>
          <w:rFonts w:ascii="Gill Sans MT" w:hAnsi="Gill Sans MT"/>
        </w:rPr>
        <w:t xml:space="preserve"> from the UK’s central political actors</w:t>
      </w:r>
      <w:r w:rsidR="00B37AEB" w:rsidRPr="005746E0">
        <w:rPr>
          <w:rFonts w:ascii="Gill Sans MT" w:hAnsi="Gill Sans MT"/>
        </w:rPr>
        <w:t xml:space="preserve">, </w:t>
      </w:r>
      <w:r w:rsidR="00B37AEB">
        <w:rPr>
          <w:rFonts w:ascii="Gill Sans MT" w:hAnsi="Gill Sans MT"/>
        </w:rPr>
        <w:t xml:space="preserve">the </w:t>
      </w:r>
      <w:r w:rsidR="00B37AEB" w:rsidRPr="005746E0">
        <w:rPr>
          <w:rFonts w:ascii="Gill Sans MT" w:hAnsi="Gill Sans MT"/>
        </w:rPr>
        <w:t xml:space="preserve">creation of influential competitor institutions, and </w:t>
      </w:r>
      <w:r w:rsidR="00B37AEB">
        <w:rPr>
          <w:rFonts w:ascii="Gill Sans MT" w:hAnsi="Gill Sans MT"/>
        </w:rPr>
        <w:t>–</w:t>
      </w:r>
      <w:r w:rsidR="00B37AEB" w:rsidRPr="005746E0">
        <w:rPr>
          <w:rFonts w:ascii="Gill Sans MT" w:hAnsi="Gill Sans MT"/>
        </w:rPr>
        <w:t xml:space="preserve"> as discussed above </w:t>
      </w:r>
      <w:r w:rsidR="00B37AEB">
        <w:rPr>
          <w:rFonts w:ascii="Gill Sans MT" w:hAnsi="Gill Sans MT"/>
        </w:rPr>
        <w:t xml:space="preserve">– </w:t>
      </w:r>
      <w:r w:rsidR="00B37AEB" w:rsidRPr="005746E0">
        <w:rPr>
          <w:rFonts w:ascii="Gill Sans MT" w:hAnsi="Gill Sans MT"/>
        </w:rPr>
        <w:t>embedding the permanence of those institutions (subject to removal only following a referendum)</w:t>
      </w:r>
      <w:r w:rsidR="00B37AEB">
        <w:rPr>
          <w:rFonts w:ascii="Gill Sans MT" w:hAnsi="Gill Sans MT"/>
        </w:rPr>
        <w:t xml:space="preserve"> in legislation</w:t>
      </w:r>
      <w:r w:rsidR="00B37AEB" w:rsidRPr="005746E0">
        <w:rPr>
          <w:rFonts w:ascii="Gill Sans MT" w:hAnsi="Gill Sans MT"/>
        </w:rPr>
        <w:t xml:space="preserve">. </w:t>
      </w:r>
      <w:r w:rsidR="00B37AEB">
        <w:rPr>
          <w:rFonts w:ascii="Gill Sans MT" w:hAnsi="Gill Sans MT"/>
        </w:rPr>
        <w:t xml:space="preserve"> </w:t>
      </w:r>
      <w:r w:rsidR="00D80EBB">
        <w:rPr>
          <w:rFonts w:ascii="Gill Sans MT" w:hAnsi="Gill Sans MT"/>
        </w:rPr>
        <w:t>The doctrine of legislative sovereignty</w:t>
      </w:r>
      <w:r w:rsidR="00A036BF" w:rsidRPr="005746E0">
        <w:rPr>
          <w:rFonts w:ascii="Gill Sans MT" w:hAnsi="Gill Sans MT"/>
        </w:rPr>
        <w:t xml:space="preserve"> does not mean </w:t>
      </w:r>
      <w:r w:rsidR="00A67444">
        <w:rPr>
          <w:rFonts w:ascii="Gill Sans MT" w:hAnsi="Gill Sans MT"/>
        </w:rPr>
        <w:t xml:space="preserve">the centralisation of competence restored from the EU </w:t>
      </w:r>
      <w:r w:rsidR="00A036BF" w:rsidRPr="005746E0">
        <w:rPr>
          <w:rFonts w:ascii="Gill Sans MT" w:hAnsi="Gill Sans MT"/>
        </w:rPr>
        <w:t xml:space="preserve">is required </w:t>
      </w:r>
      <w:r w:rsidR="00A67444">
        <w:rPr>
          <w:rFonts w:ascii="Gill Sans MT" w:hAnsi="Gill Sans MT"/>
        </w:rPr>
        <w:t xml:space="preserve">– instead, </w:t>
      </w:r>
      <w:r w:rsidR="00A036BF" w:rsidRPr="005746E0">
        <w:rPr>
          <w:rFonts w:ascii="Gill Sans MT" w:hAnsi="Gill Sans MT"/>
        </w:rPr>
        <w:t xml:space="preserve">that </w:t>
      </w:r>
      <w:r w:rsidR="00A67444">
        <w:rPr>
          <w:rFonts w:ascii="Gill Sans MT" w:hAnsi="Gill Sans MT"/>
        </w:rPr>
        <w:t>was</w:t>
      </w:r>
      <w:r w:rsidR="00A036BF" w:rsidRPr="005746E0">
        <w:rPr>
          <w:rFonts w:ascii="Gill Sans MT" w:hAnsi="Gill Sans MT"/>
        </w:rPr>
        <w:t xml:space="preserve"> a specific </w:t>
      </w:r>
      <w:r w:rsidR="00A67444">
        <w:rPr>
          <w:rFonts w:ascii="Gill Sans MT" w:hAnsi="Gill Sans MT"/>
        </w:rPr>
        <w:t xml:space="preserve">(and unnecessary) </w:t>
      </w:r>
      <w:r w:rsidR="00A036BF" w:rsidRPr="005746E0">
        <w:rPr>
          <w:rFonts w:ascii="Gill Sans MT" w:hAnsi="Gill Sans MT"/>
        </w:rPr>
        <w:t>choice made in early drafts of the EU</w:t>
      </w:r>
      <w:r w:rsidR="00A67444">
        <w:rPr>
          <w:rFonts w:ascii="Gill Sans MT" w:hAnsi="Gill Sans MT"/>
        </w:rPr>
        <w:t xml:space="preserve"> (Withdrawal)</w:t>
      </w:r>
      <w:r w:rsidR="00A036BF" w:rsidRPr="005746E0">
        <w:rPr>
          <w:rFonts w:ascii="Gill Sans MT" w:hAnsi="Gill Sans MT"/>
        </w:rPr>
        <w:t xml:space="preserve"> Bill, which can</w:t>
      </w:r>
      <w:r w:rsidR="00A67444">
        <w:rPr>
          <w:rFonts w:ascii="Gill Sans MT" w:hAnsi="Gill Sans MT"/>
        </w:rPr>
        <w:t>, at the least, still</w:t>
      </w:r>
      <w:r w:rsidR="00A036BF" w:rsidRPr="005746E0">
        <w:rPr>
          <w:rFonts w:ascii="Gill Sans MT" w:hAnsi="Gill Sans MT"/>
        </w:rPr>
        <w:t xml:space="preserve"> </w:t>
      </w:r>
      <w:r w:rsidR="00A67444">
        <w:rPr>
          <w:rFonts w:ascii="Gill Sans MT" w:hAnsi="Gill Sans MT"/>
        </w:rPr>
        <w:t xml:space="preserve">now </w:t>
      </w:r>
      <w:r w:rsidR="00A036BF" w:rsidRPr="005746E0">
        <w:rPr>
          <w:rFonts w:ascii="Gill Sans MT" w:hAnsi="Gill Sans MT"/>
        </w:rPr>
        <w:t xml:space="preserve">be mitigated by agreement between the UK and devolved governments as to where </w:t>
      </w:r>
      <w:r w:rsidR="00A67444">
        <w:rPr>
          <w:rFonts w:ascii="Gill Sans MT" w:hAnsi="Gill Sans MT"/>
        </w:rPr>
        <w:t>UK-wide</w:t>
      </w:r>
      <w:r w:rsidR="00A036BF" w:rsidRPr="005746E0">
        <w:rPr>
          <w:rFonts w:ascii="Gill Sans MT" w:hAnsi="Gill Sans MT"/>
        </w:rPr>
        <w:t xml:space="preserve"> frameworks will be necessary,</w:t>
      </w:r>
      <w:r w:rsidR="00A67444">
        <w:rPr>
          <w:rFonts w:ascii="Gill Sans MT" w:hAnsi="Gill Sans MT"/>
        </w:rPr>
        <w:t xml:space="preserve"> replacing those previously operating as a matter of EU law,</w:t>
      </w:r>
      <w:r w:rsidR="00A036BF" w:rsidRPr="005746E0">
        <w:rPr>
          <w:rFonts w:ascii="Gill Sans MT" w:hAnsi="Gill Sans MT"/>
        </w:rPr>
        <w:t xml:space="preserve"> </w:t>
      </w:r>
      <w:r w:rsidR="00A036BF" w:rsidRPr="005746E0">
        <w:rPr>
          <w:rFonts w:ascii="Gill Sans MT" w:hAnsi="Gill Sans MT"/>
        </w:rPr>
        <w:lastRenderedPageBreak/>
        <w:t xml:space="preserve">and where differentiation </w:t>
      </w:r>
      <w:r w:rsidR="00A67444">
        <w:rPr>
          <w:rFonts w:ascii="Gill Sans MT" w:hAnsi="Gill Sans MT"/>
        </w:rPr>
        <w:t>is</w:t>
      </w:r>
      <w:r w:rsidR="00A036BF" w:rsidRPr="005746E0">
        <w:rPr>
          <w:rFonts w:ascii="Gill Sans MT" w:hAnsi="Gill Sans MT"/>
        </w:rPr>
        <w:t xml:space="preserve"> possible.</w:t>
      </w:r>
      <w:r w:rsidR="00A67444">
        <w:rPr>
          <w:rStyle w:val="FootnoteReference"/>
          <w:rFonts w:ascii="Gill Sans MT" w:hAnsi="Gill Sans MT"/>
        </w:rPr>
        <w:footnoteReference w:id="127"/>
      </w:r>
      <w:r w:rsidR="00C05786">
        <w:rPr>
          <w:rFonts w:ascii="Gill Sans MT" w:hAnsi="Gill Sans MT"/>
        </w:rPr>
        <w:t xml:space="preserve">  Parliamentary sovereignty may </w:t>
      </w:r>
      <w:r w:rsidR="002235AD">
        <w:rPr>
          <w:rFonts w:ascii="Gill Sans MT" w:hAnsi="Gill Sans MT"/>
        </w:rPr>
        <w:t xml:space="preserve">superficially </w:t>
      </w:r>
      <w:r w:rsidR="00C05786">
        <w:rPr>
          <w:rFonts w:ascii="Gill Sans MT" w:hAnsi="Gill Sans MT"/>
        </w:rPr>
        <w:t xml:space="preserve">appear to be a barrier to greater constitutional pluralism within the UK, but when </w:t>
      </w:r>
      <w:r w:rsidR="002235AD">
        <w:rPr>
          <w:rFonts w:ascii="Gill Sans MT" w:hAnsi="Gill Sans MT"/>
        </w:rPr>
        <w:t xml:space="preserve">understood as a doctrine offering unlimited legal possibilities, we can see that political choices, rather than constitutional principles, are the true obstacle to the devolved institutions obtaining expanded legislative competence </w:t>
      </w:r>
      <w:r w:rsidR="00AF59E3">
        <w:rPr>
          <w:rFonts w:ascii="Gill Sans MT" w:hAnsi="Gill Sans MT"/>
        </w:rPr>
        <w:t>after withdrawal from the EU.</w:t>
      </w:r>
    </w:p>
    <w:p w14:paraId="4C8E487A" w14:textId="6C7E2799" w:rsidR="006E31E6" w:rsidRDefault="0051109A" w:rsidP="0004110C">
      <w:pPr>
        <w:pStyle w:val="NormalWeb"/>
        <w:spacing w:before="0" w:beforeAutospacing="0" w:after="0" w:afterAutospacing="0"/>
        <w:ind w:firstLine="720"/>
        <w:jc w:val="both"/>
        <w:rPr>
          <w:rFonts w:ascii="Gill Sans MT" w:hAnsi="Gill Sans MT"/>
        </w:rPr>
      </w:pPr>
      <w:r>
        <w:rPr>
          <w:rFonts w:ascii="Gill Sans MT" w:hAnsi="Gill Sans MT"/>
        </w:rPr>
        <w:t xml:space="preserve">When considering these four issues, we can see that the </w:t>
      </w:r>
      <w:r w:rsidR="008613D7" w:rsidRPr="008613D7">
        <w:rPr>
          <w:rFonts w:ascii="Gill Sans MT" w:hAnsi="Gill Sans MT"/>
        </w:rPr>
        <w:t xml:space="preserve">EU </w:t>
      </w:r>
      <w:r>
        <w:rPr>
          <w:rFonts w:ascii="Gill Sans MT" w:hAnsi="Gill Sans MT"/>
        </w:rPr>
        <w:t>(Withdrawal)</w:t>
      </w:r>
      <w:r w:rsidR="008613D7" w:rsidRPr="008613D7">
        <w:rPr>
          <w:rFonts w:ascii="Gill Sans MT" w:hAnsi="Gill Sans MT"/>
        </w:rPr>
        <w:t xml:space="preserve"> Bill </w:t>
      </w:r>
      <w:r>
        <w:rPr>
          <w:rFonts w:ascii="Gill Sans MT" w:hAnsi="Gill Sans MT"/>
        </w:rPr>
        <w:t>provides</w:t>
      </w:r>
      <w:r w:rsidR="008613D7" w:rsidRPr="008613D7">
        <w:rPr>
          <w:rFonts w:ascii="Gill Sans MT" w:hAnsi="Gill Sans MT"/>
        </w:rPr>
        <w:t xml:space="preserve"> a case study </w:t>
      </w:r>
      <w:r>
        <w:rPr>
          <w:rFonts w:ascii="Gill Sans MT" w:hAnsi="Gill Sans MT"/>
        </w:rPr>
        <w:t>in</w:t>
      </w:r>
      <w:r w:rsidR="008613D7" w:rsidRPr="008613D7">
        <w:rPr>
          <w:rFonts w:ascii="Gill Sans MT" w:hAnsi="Gill Sans MT"/>
        </w:rPr>
        <w:t xml:space="preserve"> how it is both over</w:t>
      </w:r>
      <w:r>
        <w:rPr>
          <w:rFonts w:ascii="Gill Sans MT" w:hAnsi="Gill Sans MT"/>
        </w:rPr>
        <w:t>-</w:t>
      </w:r>
      <w:r w:rsidR="008613D7" w:rsidRPr="008613D7">
        <w:rPr>
          <w:rFonts w:ascii="Gill Sans MT" w:hAnsi="Gill Sans MT"/>
        </w:rPr>
        <w:t>inclusive and under</w:t>
      </w:r>
      <w:r>
        <w:rPr>
          <w:rFonts w:ascii="Gill Sans MT" w:hAnsi="Gill Sans MT"/>
        </w:rPr>
        <w:t>-</w:t>
      </w:r>
      <w:r w:rsidR="008613D7" w:rsidRPr="008613D7">
        <w:rPr>
          <w:rFonts w:ascii="Gill Sans MT" w:hAnsi="Gill Sans MT"/>
        </w:rPr>
        <w:t>inclusive to analyse all constitutional problems in terms of parliamentary sovereignty</w:t>
      </w:r>
      <w:r>
        <w:rPr>
          <w:rFonts w:ascii="Gill Sans MT" w:hAnsi="Gill Sans MT"/>
        </w:rPr>
        <w:t>.</w:t>
      </w:r>
      <w:r w:rsidR="008613D7" w:rsidRPr="008613D7">
        <w:rPr>
          <w:rFonts w:ascii="Gill Sans MT" w:hAnsi="Gill Sans MT"/>
        </w:rPr>
        <w:t xml:space="preserve"> </w:t>
      </w:r>
      <w:r>
        <w:rPr>
          <w:rFonts w:ascii="Gill Sans MT" w:hAnsi="Gill Sans MT"/>
        </w:rPr>
        <w:t xml:space="preserve"> W</w:t>
      </w:r>
      <w:r w:rsidR="008613D7" w:rsidRPr="008613D7">
        <w:rPr>
          <w:rFonts w:ascii="Gill Sans MT" w:hAnsi="Gill Sans MT"/>
        </w:rPr>
        <w:t xml:space="preserve">e draw too much within the terms of this fundamental doctrine if we stretch the term past breaking point, </w:t>
      </w:r>
      <w:r w:rsidR="003F6BE5">
        <w:rPr>
          <w:rFonts w:ascii="Gill Sans MT" w:hAnsi="Gill Sans MT"/>
        </w:rPr>
        <w:t xml:space="preserve">and risk mischaracterising and misunderstanding real constitutional problems, </w:t>
      </w:r>
      <w:r w:rsidR="008613D7" w:rsidRPr="008613D7">
        <w:rPr>
          <w:rFonts w:ascii="Gill Sans MT" w:hAnsi="Gill Sans MT"/>
        </w:rPr>
        <w:t xml:space="preserve">while </w:t>
      </w:r>
      <w:r w:rsidR="003F6BE5">
        <w:rPr>
          <w:rFonts w:ascii="Gill Sans MT" w:hAnsi="Gill Sans MT"/>
        </w:rPr>
        <w:t xml:space="preserve">overlooking other </w:t>
      </w:r>
      <w:r w:rsidR="008613D7" w:rsidRPr="008613D7">
        <w:rPr>
          <w:rFonts w:ascii="Gill Sans MT" w:hAnsi="Gill Sans MT"/>
        </w:rPr>
        <w:t xml:space="preserve">significant constitutional values which may be more </w:t>
      </w:r>
      <w:r w:rsidR="003F6BE5">
        <w:rPr>
          <w:rFonts w:ascii="Gill Sans MT" w:hAnsi="Gill Sans MT"/>
        </w:rPr>
        <w:t>directly relevant</w:t>
      </w:r>
      <w:r w:rsidR="008613D7" w:rsidRPr="008613D7">
        <w:rPr>
          <w:rFonts w:ascii="Gill Sans MT" w:hAnsi="Gill Sans MT"/>
        </w:rPr>
        <w:t xml:space="preserve">. </w:t>
      </w:r>
      <w:r>
        <w:rPr>
          <w:rFonts w:ascii="Gill Sans MT" w:hAnsi="Gill Sans MT"/>
        </w:rPr>
        <w:t xml:space="preserve"> </w:t>
      </w:r>
      <w:r w:rsidR="008613D7" w:rsidRPr="008613D7">
        <w:rPr>
          <w:rFonts w:ascii="Gill Sans MT" w:hAnsi="Gill Sans MT"/>
        </w:rPr>
        <w:t xml:space="preserve">While constitutional lawyers engaging with this norm tend to be preoccupied (understandably) with challenges that may diminish parliamentary sovereignty, the centrality of the doctrine </w:t>
      </w:r>
      <w:r w:rsidR="003F6BE5">
        <w:rPr>
          <w:rFonts w:ascii="Gill Sans MT" w:hAnsi="Gill Sans MT"/>
        </w:rPr>
        <w:t>therefore</w:t>
      </w:r>
      <w:r w:rsidR="008613D7" w:rsidRPr="008613D7">
        <w:rPr>
          <w:rFonts w:ascii="Gill Sans MT" w:hAnsi="Gill Sans MT"/>
        </w:rPr>
        <w:t xml:space="preserve"> poses </w:t>
      </w:r>
      <w:r w:rsidR="003F6BE5">
        <w:rPr>
          <w:rFonts w:ascii="Gill Sans MT" w:hAnsi="Gill Sans MT"/>
        </w:rPr>
        <w:t>difficulties</w:t>
      </w:r>
      <w:r w:rsidR="008613D7" w:rsidRPr="008613D7">
        <w:rPr>
          <w:rFonts w:ascii="Gill Sans MT" w:hAnsi="Gill Sans MT"/>
        </w:rPr>
        <w:t xml:space="preserve"> if not approached with </w:t>
      </w:r>
      <w:proofErr w:type="gramStart"/>
      <w:r w:rsidR="008613D7" w:rsidRPr="008613D7">
        <w:rPr>
          <w:rFonts w:ascii="Gill Sans MT" w:hAnsi="Gill Sans MT"/>
        </w:rPr>
        <w:t>precision, and</w:t>
      </w:r>
      <w:proofErr w:type="gramEnd"/>
      <w:r w:rsidR="008613D7" w:rsidRPr="008613D7">
        <w:rPr>
          <w:rFonts w:ascii="Gill Sans MT" w:hAnsi="Gill Sans MT"/>
        </w:rPr>
        <w:t xml:space="preserve"> understood as part of a broader political and legal framework.</w:t>
      </w:r>
      <w:r>
        <w:rPr>
          <w:rFonts w:ascii="Gill Sans MT" w:hAnsi="Gill Sans MT"/>
        </w:rPr>
        <w:t xml:space="preserve">  In large part, this is a consequence of the </w:t>
      </w:r>
      <w:r w:rsidRPr="00111AA7">
        <w:rPr>
          <w:rFonts w:ascii="Gill Sans MT" w:hAnsi="Gill Sans MT"/>
        </w:rPr>
        <w:t xml:space="preserve">emptiness of </w:t>
      </w:r>
      <w:r>
        <w:rPr>
          <w:rFonts w:ascii="Gill Sans MT" w:hAnsi="Gill Sans MT"/>
        </w:rPr>
        <w:t xml:space="preserve">the Brexit </w:t>
      </w:r>
      <w:r w:rsidRPr="00111AA7">
        <w:rPr>
          <w:rFonts w:ascii="Gill Sans MT" w:hAnsi="Gill Sans MT"/>
        </w:rPr>
        <w:t xml:space="preserve">rhetoric about restoring </w:t>
      </w:r>
      <w:r>
        <w:rPr>
          <w:rFonts w:ascii="Gill Sans MT" w:hAnsi="Gill Sans MT"/>
        </w:rPr>
        <w:t xml:space="preserve">domestic </w:t>
      </w:r>
      <w:r w:rsidRPr="00111AA7">
        <w:rPr>
          <w:rFonts w:ascii="Gill Sans MT" w:hAnsi="Gill Sans MT"/>
        </w:rPr>
        <w:t>legislative control,</w:t>
      </w:r>
      <w:r>
        <w:rPr>
          <w:rFonts w:ascii="Gill Sans MT" w:hAnsi="Gill Sans MT"/>
        </w:rPr>
        <w:t xml:space="preserve"> which overlooks the constitutional reality that any ultimate legislator will have to make complex choices about </w:t>
      </w:r>
      <w:r w:rsidR="003F6BE5">
        <w:rPr>
          <w:rFonts w:ascii="Gill Sans MT" w:hAnsi="Gill Sans MT"/>
        </w:rPr>
        <w:t xml:space="preserve">how and </w:t>
      </w:r>
      <w:r>
        <w:rPr>
          <w:rFonts w:ascii="Gill Sans MT" w:hAnsi="Gill Sans MT"/>
        </w:rPr>
        <w:t xml:space="preserve">when to delegate or retain powers, how to manage change and continuity, </w:t>
      </w:r>
      <w:r w:rsidR="00CD2AFE">
        <w:rPr>
          <w:rFonts w:ascii="Gill Sans MT" w:hAnsi="Gill Sans MT"/>
        </w:rPr>
        <w:t>what can be avoided and what can be left to the discretion of other institutions.  And as the EU (Withdrawal) Bill shows, many of these choices will be flawed, and impact on the role of Parliament and other institutions within the political system.  Yet to have an impact on</w:t>
      </w:r>
      <w:r w:rsidR="00561339" w:rsidRPr="008613D7">
        <w:rPr>
          <w:rFonts w:ascii="Gill Sans MT" w:hAnsi="Gill Sans MT"/>
        </w:rPr>
        <w:t xml:space="preserve"> </w:t>
      </w:r>
      <w:r w:rsidR="00DC7E8B">
        <w:rPr>
          <w:rFonts w:ascii="Gill Sans MT" w:hAnsi="Gill Sans MT"/>
        </w:rPr>
        <w:t xml:space="preserve">the </w:t>
      </w:r>
      <w:r w:rsidR="00561339" w:rsidRPr="008613D7">
        <w:rPr>
          <w:rFonts w:ascii="Gill Sans MT" w:hAnsi="Gill Sans MT"/>
        </w:rPr>
        <w:t>role of Parliament within the constitution is not equivalent challeng</w:t>
      </w:r>
      <w:r w:rsidR="00CB2696">
        <w:rPr>
          <w:rFonts w:ascii="Gill Sans MT" w:hAnsi="Gill Sans MT"/>
        </w:rPr>
        <w:t>ing</w:t>
      </w:r>
      <w:r w:rsidR="00561339" w:rsidRPr="008613D7">
        <w:rPr>
          <w:rFonts w:ascii="Gill Sans MT" w:hAnsi="Gill Sans MT"/>
        </w:rPr>
        <w:t xml:space="preserve"> </w:t>
      </w:r>
      <w:r w:rsidR="00CB2696">
        <w:rPr>
          <w:rFonts w:ascii="Gill Sans MT" w:hAnsi="Gill Sans MT"/>
        </w:rPr>
        <w:t>its legislative</w:t>
      </w:r>
      <w:r w:rsidR="00561339" w:rsidRPr="008613D7">
        <w:rPr>
          <w:rFonts w:ascii="Gill Sans MT" w:hAnsi="Gill Sans MT"/>
        </w:rPr>
        <w:t xml:space="preserve"> sovereignty </w:t>
      </w:r>
      <w:r w:rsidR="003F6BE5">
        <w:rPr>
          <w:rFonts w:ascii="Gill Sans MT" w:hAnsi="Gill Sans MT"/>
        </w:rPr>
        <w:t>–</w:t>
      </w:r>
      <w:r w:rsidR="00561339" w:rsidRPr="008613D7">
        <w:rPr>
          <w:rFonts w:ascii="Gill Sans MT" w:hAnsi="Gill Sans MT"/>
        </w:rPr>
        <w:t xml:space="preserve"> </w:t>
      </w:r>
      <w:r w:rsidR="00CB2696">
        <w:rPr>
          <w:rFonts w:ascii="Gill Sans MT" w:hAnsi="Gill Sans MT"/>
        </w:rPr>
        <w:t xml:space="preserve">it is clear </w:t>
      </w:r>
      <w:r w:rsidR="00561339" w:rsidRPr="008613D7">
        <w:rPr>
          <w:rFonts w:ascii="Gill Sans MT" w:hAnsi="Gill Sans MT"/>
        </w:rPr>
        <w:t xml:space="preserve">that Parliament can use its </w:t>
      </w:r>
      <w:r w:rsidR="00CB2696">
        <w:rPr>
          <w:rFonts w:ascii="Gill Sans MT" w:hAnsi="Gill Sans MT"/>
        </w:rPr>
        <w:t>law-making authority</w:t>
      </w:r>
      <w:r w:rsidR="00561339" w:rsidRPr="008613D7">
        <w:rPr>
          <w:rFonts w:ascii="Gill Sans MT" w:hAnsi="Gill Sans MT"/>
        </w:rPr>
        <w:t xml:space="preserve"> to retain</w:t>
      </w:r>
      <w:r w:rsidR="003F6BE5">
        <w:rPr>
          <w:rFonts w:ascii="Gill Sans MT" w:hAnsi="Gill Sans MT"/>
        </w:rPr>
        <w:t xml:space="preserve"> or </w:t>
      </w:r>
      <w:r w:rsidR="00561339" w:rsidRPr="008613D7">
        <w:rPr>
          <w:rFonts w:ascii="Gill Sans MT" w:hAnsi="Gill Sans MT"/>
        </w:rPr>
        <w:t>redistribute</w:t>
      </w:r>
      <w:r w:rsidR="00CB2696">
        <w:rPr>
          <w:rFonts w:ascii="Gill Sans MT" w:hAnsi="Gill Sans MT"/>
        </w:rPr>
        <w:t xml:space="preserve"> powers</w:t>
      </w:r>
      <w:r w:rsidR="003F6BE5">
        <w:rPr>
          <w:rFonts w:ascii="Gill Sans MT" w:hAnsi="Gill Sans MT"/>
        </w:rPr>
        <w:t xml:space="preserve">, and restructure </w:t>
      </w:r>
      <w:r w:rsidR="00CB2696">
        <w:rPr>
          <w:rFonts w:ascii="Gill Sans MT" w:hAnsi="Gill Sans MT"/>
        </w:rPr>
        <w:t>legal hierarchies, in a variety of ways which are fully</w:t>
      </w:r>
      <w:r w:rsidR="00561339" w:rsidRPr="008613D7">
        <w:rPr>
          <w:rFonts w:ascii="Gill Sans MT" w:hAnsi="Gill Sans MT"/>
        </w:rPr>
        <w:t xml:space="preserve"> compatibl</w:t>
      </w:r>
      <w:r w:rsidR="00CB2696">
        <w:rPr>
          <w:rFonts w:ascii="Gill Sans MT" w:hAnsi="Gill Sans MT"/>
        </w:rPr>
        <w:t>e</w:t>
      </w:r>
      <w:r w:rsidR="00561339" w:rsidRPr="008613D7">
        <w:rPr>
          <w:rFonts w:ascii="Gill Sans MT" w:hAnsi="Gill Sans MT"/>
        </w:rPr>
        <w:t xml:space="preserve"> with it </w:t>
      </w:r>
      <w:r w:rsidR="00CB2696">
        <w:rPr>
          <w:rFonts w:ascii="Gill Sans MT" w:hAnsi="Gill Sans MT"/>
        </w:rPr>
        <w:t>remaining</w:t>
      </w:r>
      <w:r w:rsidR="00561339" w:rsidRPr="008613D7">
        <w:rPr>
          <w:rFonts w:ascii="Gill Sans MT" w:hAnsi="Gill Sans MT"/>
        </w:rPr>
        <w:t xml:space="preserve"> free of legal limitation</w:t>
      </w:r>
      <w:r w:rsidR="00CB2696">
        <w:rPr>
          <w:rFonts w:ascii="Gill Sans MT" w:hAnsi="Gill Sans MT"/>
        </w:rPr>
        <w:t>s</w:t>
      </w:r>
      <w:r w:rsidR="00561339" w:rsidRPr="008613D7">
        <w:rPr>
          <w:rFonts w:ascii="Gill Sans MT" w:hAnsi="Gill Sans MT"/>
        </w:rPr>
        <w:t xml:space="preserve">. </w:t>
      </w:r>
      <w:r w:rsidR="00CB2696">
        <w:rPr>
          <w:rFonts w:ascii="Gill Sans MT" w:hAnsi="Gill Sans MT"/>
        </w:rPr>
        <w:t xml:space="preserve"> And the rhetorical device of presenting a constitutional problem as some threat to parliamentary sovereignty as a way of attaching weight to the concern should be avoided – this only has the potential to detract from </w:t>
      </w:r>
      <w:r w:rsidR="00561339" w:rsidRPr="008613D7">
        <w:rPr>
          <w:rFonts w:ascii="Gill Sans MT" w:hAnsi="Gill Sans MT"/>
        </w:rPr>
        <w:t xml:space="preserve">confronting </w:t>
      </w:r>
      <w:r w:rsidR="00CB2696">
        <w:rPr>
          <w:rFonts w:ascii="Gill Sans MT" w:hAnsi="Gill Sans MT"/>
        </w:rPr>
        <w:t xml:space="preserve">the questions of </w:t>
      </w:r>
      <w:r w:rsidR="00561339" w:rsidRPr="008613D7">
        <w:rPr>
          <w:rFonts w:ascii="Gill Sans MT" w:hAnsi="Gill Sans MT"/>
        </w:rPr>
        <w:t xml:space="preserve">certainty, accountability, and collaboration that should </w:t>
      </w:r>
      <w:r w:rsidR="0004110C">
        <w:rPr>
          <w:rFonts w:ascii="Gill Sans MT" w:hAnsi="Gill Sans MT"/>
        </w:rPr>
        <w:t>be the focus of an</w:t>
      </w:r>
      <w:r w:rsidR="00561339" w:rsidRPr="008613D7">
        <w:rPr>
          <w:rFonts w:ascii="Gill Sans MT" w:hAnsi="Gill Sans MT"/>
        </w:rPr>
        <w:t xml:space="preserve"> appropriate parliamentary response to Brexit</w:t>
      </w:r>
      <w:r w:rsidR="0004110C">
        <w:rPr>
          <w:rFonts w:ascii="Gill Sans MT" w:hAnsi="Gill Sans MT"/>
        </w:rPr>
        <w:t>.  After all, the EU (Withdrawal) Bill is simply one part of a broader legislative picture.</w:t>
      </w:r>
    </w:p>
    <w:p w14:paraId="0B5EE8BC" w14:textId="77777777" w:rsidR="000B5B4B" w:rsidRDefault="000B5B4B" w:rsidP="000B5B4B">
      <w:pPr>
        <w:pStyle w:val="NoSpacing"/>
        <w:jc w:val="both"/>
        <w:rPr>
          <w:rFonts w:ascii="Gill Sans MT" w:hAnsi="Gill Sans MT"/>
        </w:rPr>
      </w:pPr>
    </w:p>
    <w:p w14:paraId="0403A1B6" w14:textId="24BF8955" w:rsidR="00564E06" w:rsidRPr="00A95FCE" w:rsidRDefault="00564E06" w:rsidP="00564E06">
      <w:pPr>
        <w:pStyle w:val="NoSpacing"/>
        <w:jc w:val="both"/>
        <w:rPr>
          <w:rFonts w:ascii="Gill Sans MT" w:hAnsi="Gill Sans MT"/>
          <w:i/>
          <w:u w:val="single"/>
        </w:rPr>
      </w:pPr>
      <w:r w:rsidRPr="00A95FCE">
        <w:rPr>
          <w:rFonts w:ascii="Gill Sans MT" w:hAnsi="Gill Sans MT"/>
          <w:i/>
          <w:u w:val="single"/>
        </w:rPr>
        <w:t xml:space="preserve">Legislating for Brexit Part 2: </w:t>
      </w:r>
      <w:proofErr w:type="gramStart"/>
      <w:r w:rsidR="00A84DF2">
        <w:rPr>
          <w:rFonts w:ascii="Gill Sans MT" w:hAnsi="Gill Sans MT"/>
          <w:i/>
          <w:u w:val="single"/>
        </w:rPr>
        <w:t>the</w:t>
      </w:r>
      <w:proofErr w:type="gramEnd"/>
      <w:r w:rsidR="00A84E0C">
        <w:rPr>
          <w:rFonts w:ascii="Gill Sans MT" w:hAnsi="Gill Sans MT"/>
          <w:i/>
          <w:u w:val="single"/>
        </w:rPr>
        <w:t xml:space="preserve"> </w:t>
      </w:r>
      <w:r w:rsidR="002E5771" w:rsidRPr="00A95FCE">
        <w:rPr>
          <w:rFonts w:ascii="Gill Sans MT" w:hAnsi="Gill Sans MT"/>
          <w:i/>
          <w:u w:val="single"/>
        </w:rPr>
        <w:t xml:space="preserve">Withdrawal Agreement </w:t>
      </w:r>
      <w:r w:rsidR="00A84E0C">
        <w:rPr>
          <w:rFonts w:ascii="Gill Sans MT" w:hAnsi="Gill Sans MT"/>
          <w:i/>
          <w:u w:val="single"/>
        </w:rPr>
        <w:t xml:space="preserve">and Implementation </w:t>
      </w:r>
      <w:r w:rsidR="002E5771" w:rsidRPr="00A95FCE">
        <w:rPr>
          <w:rFonts w:ascii="Gill Sans MT" w:hAnsi="Gill Sans MT"/>
          <w:i/>
          <w:u w:val="single"/>
        </w:rPr>
        <w:t>Bill</w:t>
      </w:r>
    </w:p>
    <w:p w14:paraId="03698EAC" w14:textId="0392FD88" w:rsidR="00CB6695" w:rsidRDefault="00CB6695" w:rsidP="00564E06">
      <w:pPr>
        <w:pStyle w:val="NoSpacing"/>
        <w:jc w:val="both"/>
        <w:rPr>
          <w:rFonts w:ascii="Gill Sans MT" w:hAnsi="Gill Sans MT"/>
        </w:rPr>
      </w:pPr>
    </w:p>
    <w:p w14:paraId="391501DB" w14:textId="7F0BC09F" w:rsidR="00CB6695" w:rsidRDefault="00DB55D3" w:rsidP="00DE1B48">
      <w:pPr>
        <w:pStyle w:val="NormalWeb"/>
        <w:spacing w:before="0" w:beforeAutospacing="0" w:after="0" w:afterAutospacing="0"/>
        <w:jc w:val="both"/>
        <w:rPr>
          <w:rFonts w:ascii="Gill Sans MT" w:hAnsi="Gill Sans MT"/>
        </w:rPr>
      </w:pPr>
      <w:r>
        <w:rPr>
          <w:rFonts w:ascii="Gill Sans MT" w:hAnsi="Gill Sans MT"/>
        </w:rPr>
        <w:t xml:space="preserve">While the EU (Withdrawal) Bill </w:t>
      </w:r>
      <w:r w:rsidR="003F0A42">
        <w:rPr>
          <w:rFonts w:ascii="Gill Sans MT" w:hAnsi="Gill Sans MT"/>
        </w:rPr>
        <w:t xml:space="preserve">may not ultimately present any fundamental challenge to the principle of parliamentary sovereignty, the legislative programme prompted by </w:t>
      </w:r>
      <w:r w:rsidR="0004110C">
        <w:rPr>
          <w:rFonts w:ascii="Gill Sans MT" w:hAnsi="Gill Sans MT"/>
        </w:rPr>
        <w:t>Brexit</w:t>
      </w:r>
      <w:r w:rsidR="0004110C" w:rsidRPr="006E31E6">
        <w:rPr>
          <w:rFonts w:ascii="Gill Sans MT" w:hAnsi="Gill Sans MT"/>
        </w:rPr>
        <w:t xml:space="preserve"> will raise other more </w:t>
      </w:r>
      <w:r w:rsidR="003F0A42">
        <w:rPr>
          <w:rFonts w:ascii="Gill Sans MT" w:hAnsi="Gill Sans MT"/>
        </w:rPr>
        <w:t>direct</w:t>
      </w:r>
      <w:r w:rsidR="0004110C" w:rsidRPr="006E31E6">
        <w:rPr>
          <w:rFonts w:ascii="Gill Sans MT" w:hAnsi="Gill Sans MT"/>
        </w:rPr>
        <w:t xml:space="preserve"> issues for </w:t>
      </w:r>
      <w:r w:rsidR="003F0A42">
        <w:rPr>
          <w:rFonts w:ascii="Gill Sans MT" w:hAnsi="Gill Sans MT"/>
        </w:rPr>
        <w:t xml:space="preserve">our understanding of this constitutional doctrine.  In particular, </w:t>
      </w:r>
      <w:r w:rsidR="0004110C" w:rsidRPr="006E31E6">
        <w:rPr>
          <w:rFonts w:ascii="Gill Sans MT" w:hAnsi="Gill Sans MT"/>
        </w:rPr>
        <w:t xml:space="preserve">the </w:t>
      </w:r>
      <w:r w:rsidR="00C81828">
        <w:rPr>
          <w:rFonts w:ascii="Gill Sans MT" w:hAnsi="Gill Sans MT"/>
        </w:rPr>
        <w:t xml:space="preserve">government has given a commitment to legislate to protect aspects of the </w:t>
      </w:r>
      <w:r w:rsidR="0004110C" w:rsidRPr="006E31E6">
        <w:rPr>
          <w:rFonts w:ascii="Gill Sans MT" w:hAnsi="Gill Sans MT"/>
        </w:rPr>
        <w:t xml:space="preserve">transitional arrangements which have been </w:t>
      </w:r>
      <w:r w:rsidR="00C81828">
        <w:rPr>
          <w:rFonts w:ascii="Gill Sans MT" w:hAnsi="Gill Sans MT"/>
        </w:rPr>
        <w:t xml:space="preserve">provisionally </w:t>
      </w:r>
      <w:r w:rsidR="0004110C" w:rsidRPr="006E31E6">
        <w:rPr>
          <w:rFonts w:ascii="Gill Sans MT" w:hAnsi="Gill Sans MT"/>
        </w:rPr>
        <w:t>agreed with the EU</w:t>
      </w:r>
      <w:r w:rsidR="00C81828">
        <w:rPr>
          <w:rFonts w:ascii="Gill Sans MT" w:hAnsi="Gill Sans MT"/>
        </w:rPr>
        <w:t xml:space="preserve">, and which will be set out in </w:t>
      </w:r>
      <w:r w:rsidR="00DE1B48">
        <w:rPr>
          <w:rFonts w:ascii="Gill Sans MT" w:hAnsi="Gill Sans MT"/>
        </w:rPr>
        <w:t>a Withdrawal Agreement.</w:t>
      </w:r>
      <w:r w:rsidR="0004110C" w:rsidRPr="006E31E6">
        <w:rPr>
          <w:rFonts w:ascii="Gill Sans MT" w:hAnsi="Gill Sans MT"/>
        </w:rPr>
        <w:t xml:space="preserve"> </w:t>
      </w:r>
      <w:r w:rsidR="00DE1B48">
        <w:rPr>
          <w:rFonts w:ascii="Gill Sans MT" w:hAnsi="Gill Sans MT"/>
        </w:rPr>
        <w:t xml:space="preserve"> In a Joint Report of the EU and UK Negotiators agreed in December 2017, the UK government has undertaken to enact primary legislation to establish post-Brexit rights for EU citizens, which will be directly effective in domestic law, and have priority over any inconsistent national legal rules.</w:t>
      </w:r>
      <w:r w:rsidR="00DE1B48">
        <w:rPr>
          <w:rStyle w:val="FootnoteReference"/>
          <w:rFonts w:ascii="Gill Sans MT" w:hAnsi="Gill Sans MT"/>
        </w:rPr>
        <w:footnoteReference w:id="128"/>
      </w:r>
      <w:r w:rsidR="00A84E0C">
        <w:rPr>
          <w:rFonts w:ascii="Gill Sans MT" w:hAnsi="Gill Sans MT"/>
        </w:rPr>
        <w:t xml:space="preserve">  This largely sustains the status quo relating to the position of EU legal norms within the UK legal system, yet the there is also an innovation in the terms of the Joint Report – the ‘Withdrawal Agreement and Implementation Bill’ which will be brought forward to deliver these commitments will </w:t>
      </w:r>
      <w:r w:rsidR="00F10156" w:rsidRPr="00E617D2">
        <w:rPr>
          <w:rFonts w:ascii="Gill Sans MT" w:hAnsi="Gill Sans MT"/>
        </w:rPr>
        <w:t>‘fully incorporate’ the citizens’ rights provision</w:t>
      </w:r>
      <w:r w:rsidR="00F10156">
        <w:rPr>
          <w:rFonts w:ascii="Gill Sans MT" w:hAnsi="Gill Sans MT"/>
        </w:rPr>
        <w:t>s</w:t>
      </w:r>
      <w:r w:rsidR="00F10156" w:rsidRPr="00E617D2">
        <w:rPr>
          <w:rFonts w:ascii="Gill Sans MT" w:hAnsi="Gill Sans MT"/>
        </w:rPr>
        <w:t xml:space="preserve"> of the Withdrawal Agreement into UK law</w:t>
      </w:r>
      <w:r w:rsidR="00F10156">
        <w:rPr>
          <w:rFonts w:ascii="Gill Sans MT" w:hAnsi="Gill Sans MT"/>
        </w:rPr>
        <w:t xml:space="preserve">, and establish </w:t>
      </w:r>
      <w:r w:rsidR="00F10156">
        <w:rPr>
          <w:rFonts w:ascii="Gill Sans MT" w:hAnsi="Gill Sans MT"/>
        </w:rPr>
        <w:lastRenderedPageBreak/>
        <w:t xml:space="preserve">an additional layer of legislative protection: </w:t>
      </w:r>
      <w:r w:rsidR="00F10156" w:rsidRPr="00E617D2">
        <w:rPr>
          <w:rFonts w:ascii="Gill Sans MT" w:hAnsi="Gill Sans MT"/>
        </w:rPr>
        <w:t>‘[o]</w:t>
      </w:r>
      <w:proofErr w:type="spellStart"/>
      <w:r w:rsidR="00F10156" w:rsidRPr="00E617D2">
        <w:rPr>
          <w:rFonts w:ascii="Gill Sans MT" w:hAnsi="Gill Sans MT"/>
        </w:rPr>
        <w:t>nce</w:t>
      </w:r>
      <w:proofErr w:type="spellEnd"/>
      <w:r w:rsidR="00F10156" w:rsidRPr="00E617D2">
        <w:rPr>
          <w:rFonts w:ascii="Gill Sans MT" w:hAnsi="Gill Sans MT"/>
        </w:rPr>
        <w:t xml:space="preserve"> this Bill has been adopted, the provisions of the citizens' rights Part will have effect in primary legislation and will prevail over inconsistent or incompatible legislation, unless Parliament expressly repeals this Act in future’</w:t>
      </w:r>
      <w:r w:rsidR="00F10156">
        <w:rPr>
          <w:rFonts w:ascii="Gill Sans MT" w:hAnsi="Gill Sans MT"/>
        </w:rPr>
        <w:t>.</w:t>
      </w:r>
      <w:r w:rsidR="00F10156">
        <w:rPr>
          <w:rStyle w:val="FootnoteReference"/>
          <w:rFonts w:ascii="Gill Sans MT" w:hAnsi="Gill Sans MT"/>
        </w:rPr>
        <w:footnoteReference w:id="129"/>
      </w:r>
      <w:r w:rsidR="00445580">
        <w:rPr>
          <w:rFonts w:ascii="Gill Sans MT" w:hAnsi="Gill Sans MT"/>
        </w:rPr>
        <w:t xml:space="preserve">  To make explicit statutory provision to this effect would be a move beyond the status quo, for while the implicit effect of the ECA 1972 is such that it would need to be expressly overridden by any subsequent legislation which was inconsistent with EU law, </w:t>
      </w:r>
      <w:r w:rsidR="00B8585D">
        <w:rPr>
          <w:rFonts w:ascii="Gill Sans MT" w:hAnsi="Gill Sans MT"/>
        </w:rPr>
        <w:t>if</w:t>
      </w:r>
      <w:r w:rsidR="00445580">
        <w:rPr>
          <w:rFonts w:ascii="Gill Sans MT" w:hAnsi="Gill Sans MT"/>
        </w:rPr>
        <w:t xml:space="preserve"> that future law was nevertheless intended to have full legal effect, this position is not clearly stated in the terms of the 1972 Act.  As such, the Withdrawal Agreement and Implementation Bill would make explicit what is presently implicit, and in so doing, potentially raise questions about whether Parliament is legally capable of enacting such a clause.</w:t>
      </w:r>
    </w:p>
    <w:p w14:paraId="72FEB651" w14:textId="6C5573B2" w:rsidR="00CC1400" w:rsidRDefault="00445580" w:rsidP="00DE1B48">
      <w:pPr>
        <w:pStyle w:val="NormalWeb"/>
        <w:spacing w:before="0" w:beforeAutospacing="0" w:after="0" w:afterAutospacing="0"/>
        <w:jc w:val="both"/>
        <w:rPr>
          <w:rFonts w:ascii="Gill Sans MT" w:hAnsi="Gill Sans MT"/>
        </w:rPr>
      </w:pPr>
      <w:r>
        <w:rPr>
          <w:rFonts w:ascii="Gill Sans MT" w:hAnsi="Gill Sans MT"/>
        </w:rPr>
        <w:tab/>
      </w:r>
      <w:r w:rsidR="00B8585D">
        <w:rPr>
          <w:rFonts w:ascii="Gill Sans MT" w:hAnsi="Gill Sans MT"/>
        </w:rPr>
        <w:t>T</w:t>
      </w:r>
      <w:r>
        <w:rPr>
          <w:rFonts w:ascii="Gill Sans MT" w:hAnsi="Gill Sans MT"/>
        </w:rPr>
        <w:t xml:space="preserve">he enactment of such a clause </w:t>
      </w:r>
      <w:r w:rsidR="00B8585D">
        <w:rPr>
          <w:rFonts w:ascii="Gill Sans MT" w:hAnsi="Gill Sans MT"/>
        </w:rPr>
        <w:t>on the basis of</w:t>
      </w:r>
      <w:r>
        <w:rPr>
          <w:rFonts w:ascii="Gill Sans MT" w:hAnsi="Gill Sans MT"/>
        </w:rPr>
        <w:t xml:space="preserve"> the commitment in the December 2017 Joint Report </w:t>
      </w:r>
      <w:r w:rsidR="00A80CFA">
        <w:rPr>
          <w:rFonts w:ascii="Gill Sans MT" w:hAnsi="Gill Sans MT"/>
        </w:rPr>
        <w:t xml:space="preserve">would challenge the traditional </w:t>
      </w:r>
      <w:proofErr w:type="spellStart"/>
      <w:r w:rsidR="00A80CFA">
        <w:rPr>
          <w:rFonts w:ascii="Gill Sans MT" w:hAnsi="Gill Sans MT"/>
        </w:rPr>
        <w:t>Diceyan</w:t>
      </w:r>
      <w:proofErr w:type="spellEnd"/>
      <w:r w:rsidR="00A80CFA">
        <w:rPr>
          <w:rFonts w:ascii="Gill Sans MT" w:hAnsi="Gill Sans MT"/>
        </w:rPr>
        <w:t xml:space="preserve"> understanding of parliamentary sovereignty, in so far as it could be viewed as an illicit attempt by Parliament to bind its successors.  This would not be an absolute limit, but a new, legally binding requirement of legislative form: the citizens’ rights elements of the Withdrawal Agreement and Implementation Bill would not be susceptible to implied repeal, nor perhaps even to partial repeal.  Instead, the Joint Report suggests that Parliament would legislate to ensure that the relevant provisions of the Bill could only be repealed expressly, and in full.</w:t>
      </w:r>
      <w:r w:rsidR="00DC2277">
        <w:rPr>
          <w:rFonts w:ascii="Gill Sans MT" w:hAnsi="Gill Sans MT"/>
        </w:rPr>
        <w:t xml:space="preserve">  Such a commitment has obvious political significance, in that it seems designed to engender good faith between the UK and the EU in the challenging Brexit negotiations, and offer some degree of certainty for EU citizens during a period of transition.  Yet must we reject such an undertaking by the government as constitutionally undeliverable, as the orthodox thinking of Dicey would indicate we </w:t>
      </w:r>
      <w:proofErr w:type="gramStart"/>
      <w:r w:rsidR="00CC1400">
        <w:rPr>
          <w:rFonts w:ascii="Gill Sans MT" w:hAnsi="Gill Sans MT"/>
        </w:rPr>
        <w:t>should?</w:t>
      </w:r>
      <w:proofErr w:type="gramEnd"/>
    </w:p>
    <w:p w14:paraId="557EA86B" w14:textId="77777777" w:rsidR="00456AFE" w:rsidRDefault="00CC1400" w:rsidP="00456AFE">
      <w:pPr>
        <w:pStyle w:val="NormalWeb"/>
        <w:spacing w:before="0" w:beforeAutospacing="0" w:after="0" w:afterAutospacing="0"/>
        <w:ind w:firstLine="720"/>
        <w:jc w:val="both"/>
        <w:rPr>
          <w:rFonts w:ascii="Gill Sans MT" w:hAnsi="Gill Sans MT"/>
        </w:rPr>
      </w:pPr>
      <w:r>
        <w:rPr>
          <w:rFonts w:ascii="Gill Sans MT" w:hAnsi="Gill Sans MT"/>
        </w:rPr>
        <w:t>An alternative approach is to view this commitment as further evidence of a clear pattern of constitutional activity in the UK, away from the traditional approach of Dicey, and towards the manner and form theory of parliamentary sovereignty.</w:t>
      </w:r>
      <w:r w:rsidR="00805A0D">
        <w:rPr>
          <w:rFonts w:ascii="Gill Sans MT" w:hAnsi="Gill Sans MT"/>
        </w:rPr>
        <w:t xml:space="preserve">  Parliament has enacted a range of provisions which purport to rely on a manner and form understanding of its legislative sovereignty – an approach that sees legally unlimited law-making power as authorising change to the conditions of law-making themselves.  As we have seen, the recent changes to the devolution arrangements, recognising the permanence of the Scottish and Welsh institutions, rely on a similar understanding of the meaning and implications of parliamentary sovereignty</w:t>
      </w:r>
      <w:r w:rsidR="006761CC">
        <w:rPr>
          <w:rFonts w:ascii="Gill Sans MT" w:hAnsi="Gill Sans MT"/>
        </w:rPr>
        <w:t>, as does the referendum requirement in the Northern Ireland Act 1998, which arguably provides the inspiration for the reforms of 2016 and 2017</w:t>
      </w:r>
      <w:r w:rsidR="00805A0D">
        <w:rPr>
          <w:rFonts w:ascii="Gill Sans MT" w:hAnsi="Gill Sans MT"/>
        </w:rPr>
        <w:t>.</w:t>
      </w:r>
      <w:r w:rsidR="006761CC">
        <w:rPr>
          <w:rStyle w:val="FootnoteReference"/>
          <w:rFonts w:ascii="Gill Sans MT" w:hAnsi="Gill Sans MT"/>
        </w:rPr>
        <w:footnoteReference w:id="130"/>
      </w:r>
      <w:r w:rsidR="00805A0D">
        <w:rPr>
          <w:rFonts w:ascii="Gill Sans MT" w:hAnsi="Gill Sans MT"/>
        </w:rPr>
        <w:t xml:space="preserve">  Before </w:t>
      </w:r>
      <w:r w:rsidR="006761CC">
        <w:rPr>
          <w:rFonts w:ascii="Gill Sans MT" w:hAnsi="Gill Sans MT"/>
        </w:rPr>
        <w:t>these most recent changes</w:t>
      </w:r>
      <w:r w:rsidR="00805A0D">
        <w:rPr>
          <w:rFonts w:ascii="Gill Sans MT" w:hAnsi="Gill Sans MT"/>
        </w:rPr>
        <w:t xml:space="preserve">, the European Union Act 2011, which established a series of legally binding ‘referendum locks’ applicable to an extensive range of future potential transfers of power or competence from the UK to the EU, offered evidence that Parliament understood its power to allow the creation of new requirements of manner and form.  And while the </w:t>
      </w:r>
      <w:proofErr w:type="spellStart"/>
      <w:r w:rsidR="00805A0D">
        <w:rPr>
          <w:rFonts w:ascii="Gill Sans MT" w:hAnsi="Gill Sans MT"/>
        </w:rPr>
        <w:t>Diceyan</w:t>
      </w:r>
      <w:proofErr w:type="spellEnd"/>
      <w:r w:rsidR="00805A0D">
        <w:rPr>
          <w:rFonts w:ascii="Gill Sans MT" w:hAnsi="Gill Sans MT"/>
        </w:rPr>
        <w:t xml:space="preserve"> orthodoxy finds some support in the classic case law,</w:t>
      </w:r>
      <w:r w:rsidR="00805A0D">
        <w:rPr>
          <w:rStyle w:val="FootnoteReference"/>
          <w:rFonts w:ascii="Gill Sans MT" w:hAnsi="Gill Sans MT"/>
        </w:rPr>
        <w:footnoteReference w:id="131"/>
      </w:r>
      <w:r w:rsidR="00805A0D">
        <w:rPr>
          <w:rFonts w:ascii="Gill Sans MT" w:hAnsi="Gill Sans MT"/>
        </w:rPr>
        <w:t xml:space="preserve"> a manner and form understanding of parliamentary sovereignty arguably underlies the decision of the House of Lords in </w:t>
      </w:r>
      <w:r w:rsidR="00805A0D" w:rsidRPr="00182F96">
        <w:rPr>
          <w:rFonts w:ascii="Gill Sans MT" w:hAnsi="Gill Sans MT"/>
          <w:i/>
        </w:rPr>
        <w:t>Jackson</w:t>
      </w:r>
      <w:r w:rsidR="00805A0D">
        <w:rPr>
          <w:rFonts w:ascii="Gill Sans MT" w:hAnsi="Gill Sans MT"/>
        </w:rPr>
        <w:t xml:space="preserve">, the leading modern authority on the legislative power of the UK Parliament, in which changes to the legislative process made in the Parliament Act 1949 were upheld as </w:t>
      </w:r>
      <w:r w:rsidR="006761CC">
        <w:rPr>
          <w:rFonts w:ascii="Gill Sans MT" w:hAnsi="Gill Sans MT"/>
        </w:rPr>
        <w:t>legally valid.</w:t>
      </w:r>
      <w:r w:rsidR="006761CC">
        <w:rPr>
          <w:rStyle w:val="FootnoteReference"/>
          <w:rFonts w:ascii="Gill Sans MT" w:hAnsi="Gill Sans MT"/>
        </w:rPr>
        <w:footnoteReference w:id="132"/>
      </w:r>
    </w:p>
    <w:p w14:paraId="4E9D0086" w14:textId="63191D1C" w:rsidR="00456AFE" w:rsidRPr="00456AFE" w:rsidRDefault="006761CC" w:rsidP="00456AFE">
      <w:pPr>
        <w:pStyle w:val="NormalWeb"/>
        <w:spacing w:before="0" w:beforeAutospacing="0" w:after="0" w:afterAutospacing="0"/>
        <w:ind w:firstLine="720"/>
        <w:jc w:val="both"/>
        <w:rPr>
          <w:rFonts w:ascii="Gill Sans MT" w:hAnsi="Gill Sans MT"/>
        </w:rPr>
      </w:pPr>
      <w:r>
        <w:rPr>
          <w:rFonts w:ascii="Gill Sans MT" w:hAnsi="Gill Sans MT"/>
        </w:rPr>
        <w:t xml:space="preserve">Most significantly, however, we do not simply see Parliament enacting these provisions – we also </w:t>
      </w:r>
      <w:r w:rsidR="00456AFE">
        <w:rPr>
          <w:rFonts w:ascii="Gill Sans MT" w:hAnsi="Gill Sans MT"/>
        </w:rPr>
        <w:t xml:space="preserve">see Parliament adhering to the procedural requirements it has imposed on </w:t>
      </w:r>
      <w:proofErr w:type="gramStart"/>
      <w:r w:rsidR="00456AFE">
        <w:rPr>
          <w:rFonts w:ascii="Gill Sans MT" w:hAnsi="Gill Sans MT"/>
        </w:rPr>
        <w:t>itself, and</w:t>
      </w:r>
      <w:proofErr w:type="gramEnd"/>
      <w:r w:rsidR="00456AFE">
        <w:rPr>
          <w:rFonts w:ascii="Gill Sans MT" w:hAnsi="Gill Sans MT"/>
        </w:rPr>
        <w:t xml:space="preserve"> stating the fact of its compliance explicitly.  This is most apparent in relation to the European Union Act 2011.  While the radical ‘referendum locks’ established in the EU Act 2011</w:t>
      </w:r>
      <w:r w:rsidR="00456AFE" w:rsidRPr="00775339">
        <w:rPr>
          <w:rFonts w:ascii="Gill Sans MT" w:hAnsi="Gill Sans MT"/>
        </w:rPr>
        <w:t xml:space="preserve"> have never been </w:t>
      </w:r>
      <w:r w:rsidR="00456AFE">
        <w:rPr>
          <w:rFonts w:ascii="Gill Sans MT" w:hAnsi="Gill Sans MT"/>
        </w:rPr>
        <w:t>triggered</w:t>
      </w:r>
      <w:r w:rsidR="00456AFE" w:rsidRPr="00775339">
        <w:rPr>
          <w:rFonts w:ascii="Gill Sans MT" w:hAnsi="Gill Sans MT"/>
        </w:rPr>
        <w:t xml:space="preserve">, </w:t>
      </w:r>
      <w:r w:rsidR="00456AFE">
        <w:rPr>
          <w:rFonts w:ascii="Gill Sans MT" w:hAnsi="Gill Sans MT"/>
        </w:rPr>
        <w:t>this</w:t>
      </w:r>
      <w:r w:rsidR="00456AFE" w:rsidRPr="00775339">
        <w:rPr>
          <w:rFonts w:ascii="Gill Sans MT" w:hAnsi="Gill Sans MT"/>
        </w:rPr>
        <w:t xml:space="preserve"> legislation also contained other procedural requirements to authorise certain kinds of decision-making at the EU level.  </w:t>
      </w:r>
      <w:r w:rsidR="00456AFE">
        <w:rPr>
          <w:rFonts w:ascii="Gill Sans MT" w:hAnsi="Gill Sans MT"/>
        </w:rPr>
        <w:t xml:space="preserve">This included requirements that certain categories of decision had to be authorised by an Act of Parliament.  And on numerous occasions, where that procedural condition has been engaged, </w:t>
      </w:r>
      <w:r w:rsidR="00456AFE" w:rsidRPr="00775339">
        <w:rPr>
          <w:rFonts w:ascii="Gill Sans MT" w:hAnsi="Gill Sans MT"/>
        </w:rPr>
        <w:t xml:space="preserve">Parliament has </w:t>
      </w:r>
      <w:r w:rsidR="00456AFE">
        <w:rPr>
          <w:rFonts w:ascii="Gill Sans MT" w:hAnsi="Gill Sans MT"/>
        </w:rPr>
        <w:t xml:space="preserve">both </w:t>
      </w:r>
      <w:r w:rsidR="00456AFE" w:rsidRPr="00775339">
        <w:rPr>
          <w:rFonts w:ascii="Gill Sans MT" w:hAnsi="Gill Sans MT"/>
        </w:rPr>
        <w:t xml:space="preserve">complied with </w:t>
      </w:r>
      <w:r w:rsidR="00456AFE">
        <w:rPr>
          <w:rFonts w:ascii="Gill Sans MT" w:hAnsi="Gill Sans MT"/>
        </w:rPr>
        <w:t>the</w:t>
      </w:r>
      <w:r w:rsidR="00456AFE" w:rsidRPr="00775339">
        <w:rPr>
          <w:rFonts w:ascii="Gill Sans MT" w:hAnsi="Gill Sans MT"/>
        </w:rPr>
        <w:t xml:space="preserve"> require</w:t>
      </w:r>
      <w:r w:rsidR="00456AFE">
        <w:rPr>
          <w:rFonts w:ascii="Gill Sans MT" w:hAnsi="Gill Sans MT"/>
        </w:rPr>
        <w:t>ment,</w:t>
      </w:r>
      <w:r w:rsidR="00456AFE" w:rsidRPr="00775339">
        <w:rPr>
          <w:rFonts w:ascii="Gill Sans MT" w:hAnsi="Gill Sans MT"/>
        </w:rPr>
        <w:t xml:space="preserve"> and stated </w:t>
      </w:r>
      <w:r w:rsidR="00456AFE">
        <w:rPr>
          <w:rFonts w:ascii="Gill Sans MT" w:hAnsi="Gill Sans MT"/>
        </w:rPr>
        <w:t>the necessity of its</w:t>
      </w:r>
      <w:r w:rsidR="00456AFE" w:rsidRPr="00775339">
        <w:rPr>
          <w:rFonts w:ascii="Gill Sans MT" w:hAnsi="Gill Sans MT"/>
        </w:rPr>
        <w:t xml:space="preserve"> compliance in express terms</w:t>
      </w:r>
      <w:r w:rsidR="00456AFE">
        <w:rPr>
          <w:rFonts w:ascii="Gill Sans MT" w:hAnsi="Gill Sans MT"/>
        </w:rPr>
        <w:t xml:space="preserve"> in the authorising statute</w:t>
      </w:r>
      <w:r w:rsidR="00456AFE" w:rsidRPr="00775339">
        <w:rPr>
          <w:rFonts w:ascii="Gill Sans MT" w:hAnsi="Gill Sans MT"/>
        </w:rPr>
        <w:t xml:space="preserve">.  This </w:t>
      </w:r>
      <w:r w:rsidR="00456AFE">
        <w:rPr>
          <w:rFonts w:ascii="Gill Sans MT" w:hAnsi="Gill Sans MT"/>
        </w:rPr>
        <w:t xml:space="preserve">sustained </w:t>
      </w:r>
      <w:r w:rsidR="00456AFE" w:rsidRPr="00775339">
        <w:rPr>
          <w:rFonts w:ascii="Gill Sans MT" w:hAnsi="Gill Sans MT"/>
        </w:rPr>
        <w:t xml:space="preserve">pattern is clear from the </w:t>
      </w:r>
      <w:hyperlink r:id="rId8" w:history="1">
        <w:r w:rsidR="00456AFE" w:rsidRPr="00775339">
          <w:rPr>
            <w:rFonts w:ascii="Gill Sans MT" w:hAnsi="Gill Sans MT" w:cs="Arial"/>
          </w:rPr>
          <w:t>European Union (Approval of Treaty Amendment Decision) Act 2012</w:t>
        </w:r>
      </w:hyperlink>
      <w:r w:rsidR="00456AFE" w:rsidRPr="00775339">
        <w:rPr>
          <w:rFonts w:ascii="Gill Sans MT" w:hAnsi="Gill Sans MT" w:cs="Arial"/>
        </w:rPr>
        <w:t>,</w:t>
      </w:r>
      <w:r w:rsidR="00456AFE">
        <w:rPr>
          <w:rFonts w:ascii="Gill Sans MT" w:hAnsi="Gill Sans MT" w:cs="Arial"/>
        </w:rPr>
        <w:t xml:space="preserve"> </w:t>
      </w:r>
      <w:r w:rsidR="00456AFE" w:rsidRPr="00775339">
        <w:rPr>
          <w:rFonts w:ascii="Gill Sans MT" w:hAnsi="Gill Sans MT" w:cs="Arial"/>
        </w:rPr>
        <w:t xml:space="preserve">the </w:t>
      </w:r>
      <w:hyperlink r:id="rId9" w:history="1">
        <w:r w:rsidR="00456AFE" w:rsidRPr="00775339">
          <w:rPr>
            <w:rFonts w:ascii="Gill Sans MT" w:hAnsi="Gill Sans MT" w:cs="Arial"/>
          </w:rPr>
          <w:t>European Union (Croatian Accession and Irish Protocol) Act 2013</w:t>
        </w:r>
      </w:hyperlink>
      <w:r w:rsidR="00456AFE" w:rsidRPr="00775339">
        <w:rPr>
          <w:rFonts w:ascii="Gill Sans MT" w:hAnsi="Gill Sans MT" w:cs="Arial"/>
        </w:rPr>
        <w:t xml:space="preserve">, the </w:t>
      </w:r>
      <w:hyperlink r:id="rId10" w:history="1">
        <w:r w:rsidR="00456AFE" w:rsidRPr="00775339">
          <w:rPr>
            <w:rFonts w:ascii="Gill Sans MT" w:hAnsi="Gill Sans MT" w:cs="Arial"/>
          </w:rPr>
          <w:t>European Union (Approvals) Act 2013</w:t>
        </w:r>
      </w:hyperlink>
      <w:r w:rsidR="00456AFE" w:rsidRPr="00775339">
        <w:rPr>
          <w:rFonts w:ascii="Gill Sans MT" w:hAnsi="Gill Sans MT" w:cs="Arial"/>
        </w:rPr>
        <w:t xml:space="preserve">, the </w:t>
      </w:r>
      <w:hyperlink r:id="rId11" w:history="1">
        <w:r w:rsidR="00456AFE" w:rsidRPr="00775339">
          <w:rPr>
            <w:rFonts w:ascii="Gill Sans MT" w:hAnsi="Gill Sans MT" w:cs="Arial"/>
          </w:rPr>
          <w:t xml:space="preserve">European </w:t>
        </w:r>
        <w:r w:rsidR="00456AFE" w:rsidRPr="00775339">
          <w:rPr>
            <w:rFonts w:ascii="Gill Sans MT" w:hAnsi="Gill Sans MT" w:cs="Arial"/>
          </w:rPr>
          <w:lastRenderedPageBreak/>
          <w:t>Union (Approvals) Act 201</w:t>
        </w:r>
      </w:hyperlink>
      <w:r w:rsidR="00456AFE" w:rsidRPr="00775339">
        <w:rPr>
          <w:rFonts w:ascii="Gill Sans MT" w:hAnsi="Gill Sans MT" w:cs="Arial"/>
        </w:rPr>
        <w:t xml:space="preserve">4, the </w:t>
      </w:r>
      <w:r w:rsidR="00456AFE" w:rsidRPr="00775339">
        <w:rPr>
          <w:rFonts w:ascii="Gill Sans MT" w:hAnsi="Gill Sans MT" w:cs="Arial"/>
          <w:bCs/>
          <w:lang w:val="en"/>
        </w:rPr>
        <w:t>European Union (Finance) Act 2015, and the</w:t>
      </w:r>
      <w:r w:rsidR="00456AFE" w:rsidRPr="00775339">
        <w:rPr>
          <w:rFonts w:ascii="Gill Sans MT" w:hAnsi="Gill Sans MT" w:cs="Arial"/>
          <w:b/>
          <w:bCs/>
          <w:lang w:val="en"/>
        </w:rPr>
        <w:t xml:space="preserve"> </w:t>
      </w:r>
      <w:hyperlink r:id="rId12" w:history="1">
        <w:r w:rsidR="00456AFE" w:rsidRPr="00775339">
          <w:rPr>
            <w:rFonts w:ascii="Gill Sans MT" w:hAnsi="Gill Sans MT" w:cs="Arial"/>
          </w:rPr>
          <w:t>European Union (Approvals) Act 2015</w:t>
        </w:r>
      </w:hyperlink>
      <w:r w:rsidR="00456AFE">
        <w:rPr>
          <w:rFonts w:ascii="Gill Sans MT" w:hAnsi="Gill Sans MT" w:cs="Arial"/>
        </w:rPr>
        <w:t>, and the E</w:t>
      </w:r>
      <w:r w:rsidR="00456AFE" w:rsidRPr="00775339">
        <w:rPr>
          <w:rFonts w:ascii="Gill Sans MT" w:hAnsi="Gill Sans MT" w:cs="Arial"/>
        </w:rPr>
        <w:t xml:space="preserve">uropean Union </w:t>
      </w:r>
      <w:r w:rsidR="00456AFE">
        <w:rPr>
          <w:rFonts w:ascii="Gill Sans MT" w:hAnsi="Gill Sans MT" w:cs="Arial"/>
        </w:rPr>
        <w:t>(Approvals) Act 2017.</w:t>
      </w:r>
    </w:p>
    <w:p w14:paraId="793948F0" w14:textId="2105E136" w:rsidR="00B758FC" w:rsidRDefault="002C4D24" w:rsidP="00A77D93">
      <w:pPr>
        <w:pStyle w:val="NoSpacing"/>
        <w:jc w:val="both"/>
        <w:rPr>
          <w:rFonts w:ascii="Gill Sans MT" w:hAnsi="Gill Sans MT"/>
        </w:rPr>
      </w:pPr>
      <w:r>
        <w:rPr>
          <w:rFonts w:ascii="Gill Sans MT" w:eastAsiaTheme="minorEastAsia" w:hAnsi="Gill Sans MT" w:cs="Calibri"/>
          <w:lang w:eastAsia="en-GB"/>
        </w:rPr>
        <w:tab/>
        <w:t xml:space="preserve">On this basis, we can see that Parliament has interpreted its sovereignty as encompassing a power to make legally binding changes to the future legislative </w:t>
      </w:r>
      <w:proofErr w:type="gramStart"/>
      <w:r>
        <w:rPr>
          <w:rFonts w:ascii="Gill Sans MT" w:eastAsiaTheme="minorEastAsia" w:hAnsi="Gill Sans MT" w:cs="Calibri"/>
          <w:lang w:eastAsia="en-GB"/>
        </w:rPr>
        <w:t>process</w:t>
      </w:r>
      <w:r w:rsidR="00A77D93">
        <w:rPr>
          <w:rFonts w:ascii="Gill Sans MT" w:eastAsiaTheme="minorEastAsia" w:hAnsi="Gill Sans MT" w:cs="Calibri"/>
          <w:lang w:eastAsia="en-GB"/>
        </w:rPr>
        <w:t>, and</w:t>
      </w:r>
      <w:proofErr w:type="gramEnd"/>
      <w:r w:rsidR="00A77D93">
        <w:rPr>
          <w:rFonts w:ascii="Gill Sans MT" w:eastAsiaTheme="minorEastAsia" w:hAnsi="Gill Sans MT" w:cs="Calibri"/>
          <w:lang w:eastAsia="en-GB"/>
        </w:rPr>
        <w:t xml:space="preserve"> complied with statutory law-making conditions when it has been required to do so.  And this pattern of activity is of </w:t>
      </w:r>
      <w:proofErr w:type="spellStart"/>
      <w:r w:rsidR="00A77D93">
        <w:rPr>
          <w:rFonts w:ascii="Gill Sans MT" w:eastAsiaTheme="minorEastAsia" w:hAnsi="Gill Sans MT" w:cs="Calibri"/>
          <w:lang w:eastAsia="en-GB"/>
        </w:rPr>
        <w:t>fundmental</w:t>
      </w:r>
      <w:proofErr w:type="spellEnd"/>
      <w:r w:rsidR="00A77D93">
        <w:rPr>
          <w:rFonts w:ascii="Gill Sans MT" w:eastAsiaTheme="minorEastAsia" w:hAnsi="Gill Sans MT" w:cs="Calibri"/>
          <w:lang w:eastAsia="en-GB"/>
        </w:rPr>
        <w:t xml:space="preserve"> importance, because if we are to take the idea of parliamentary sovereignty seriously, we need to give full weight to Parliament’s own understanding of the scope of its legislative </w:t>
      </w:r>
      <w:r w:rsidR="00332066">
        <w:rPr>
          <w:rFonts w:ascii="Gill Sans MT" w:eastAsiaTheme="minorEastAsia" w:hAnsi="Gill Sans MT" w:cs="Calibri"/>
          <w:lang w:eastAsia="en-GB"/>
        </w:rPr>
        <w:t>authority</w:t>
      </w:r>
      <w:r w:rsidR="00A77D93">
        <w:rPr>
          <w:rFonts w:ascii="Gill Sans MT" w:eastAsiaTheme="minorEastAsia" w:hAnsi="Gill Sans MT" w:cs="Calibri"/>
          <w:lang w:eastAsia="en-GB"/>
        </w:rPr>
        <w:t xml:space="preserve">, and the legitimate ends </w:t>
      </w:r>
      <w:r w:rsidR="00332066">
        <w:rPr>
          <w:rFonts w:ascii="Gill Sans MT" w:eastAsiaTheme="minorEastAsia" w:hAnsi="Gill Sans MT" w:cs="Calibri"/>
          <w:lang w:eastAsia="en-GB"/>
        </w:rPr>
        <w:t>for</w:t>
      </w:r>
      <w:r w:rsidR="00A77D93">
        <w:rPr>
          <w:rFonts w:ascii="Gill Sans MT" w:eastAsiaTheme="minorEastAsia" w:hAnsi="Gill Sans MT" w:cs="Calibri"/>
          <w:lang w:eastAsia="en-GB"/>
        </w:rPr>
        <w:t xml:space="preserve"> which </w:t>
      </w:r>
      <w:r w:rsidR="00332066">
        <w:rPr>
          <w:rFonts w:ascii="Gill Sans MT" w:eastAsiaTheme="minorEastAsia" w:hAnsi="Gill Sans MT" w:cs="Calibri"/>
          <w:lang w:eastAsia="en-GB"/>
        </w:rPr>
        <w:t>that law-making power</w:t>
      </w:r>
      <w:r w:rsidR="00A77D93">
        <w:rPr>
          <w:rFonts w:ascii="Gill Sans MT" w:eastAsiaTheme="minorEastAsia" w:hAnsi="Gill Sans MT" w:cs="Calibri"/>
          <w:lang w:eastAsia="en-GB"/>
        </w:rPr>
        <w:t xml:space="preserve"> can be used.  From this perspective, while doubtlessly a further constitutional innovation, we can view an express repeal requirement of the kind envisaged for inclusion in a Withdrawal Agreement and Implementation Bill as</w:t>
      </w:r>
      <w:r w:rsidR="00332066">
        <w:rPr>
          <w:rFonts w:ascii="Gill Sans MT" w:eastAsiaTheme="minorEastAsia" w:hAnsi="Gill Sans MT" w:cs="Calibri"/>
          <w:lang w:eastAsia="en-GB"/>
        </w:rPr>
        <w:t xml:space="preserve"> both</w:t>
      </w:r>
      <w:r w:rsidR="00A77D93">
        <w:rPr>
          <w:rFonts w:ascii="Gill Sans MT" w:eastAsiaTheme="minorEastAsia" w:hAnsi="Gill Sans MT" w:cs="Calibri"/>
          <w:lang w:eastAsia="en-GB"/>
        </w:rPr>
        <w:t xml:space="preserve"> consistent with a clear pattern of </w:t>
      </w:r>
      <w:r w:rsidR="00332066">
        <w:rPr>
          <w:rFonts w:ascii="Gill Sans MT" w:eastAsiaTheme="minorEastAsia" w:hAnsi="Gill Sans MT" w:cs="Calibri"/>
          <w:lang w:eastAsia="en-GB"/>
        </w:rPr>
        <w:t xml:space="preserve">existing </w:t>
      </w:r>
      <w:r w:rsidR="00A77D93">
        <w:rPr>
          <w:rFonts w:ascii="Gill Sans MT" w:eastAsiaTheme="minorEastAsia" w:hAnsi="Gill Sans MT" w:cs="Calibri"/>
          <w:lang w:eastAsia="en-GB"/>
        </w:rPr>
        <w:t xml:space="preserve">legislative activity, and additional confirmation of the shift in understanding of parliamentary sovereignty on which this pattern of behaviour is premised.  Far from being constitutionally impermissible, or legally undeliverable, the enactment of an express repeal requirement in the planned Withdrawal Agreement and Implementation Bill offers new evidence of a shift in constitutional orthodoxy, away from Dicey, to </w:t>
      </w:r>
      <w:r w:rsidR="009F752C">
        <w:rPr>
          <w:rFonts w:ascii="Gill Sans MT" w:eastAsiaTheme="minorEastAsia" w:hAnsi="Gill Sans MT" w:cs="Calibri"/>
          <w:lang w:eastAsia="en-GB"/>
        </w:rPr>
        <w:t>a</w:t>
      </w:r>
      <w:r w:rsidR="00A77D93">
        <w:rPr>
          <w:rFonts w:ascii="Gill Sans MT" w:eastAsiaTheme="minorEastAsia" w:hAnsi="Gill Sans MT" w:cs="Calibri"/>
          <w:lang w:eastAsia="en-GB"/>
        </w:rPr>
        <w:t xml:space="preserve"> manner and form understanding of parliamentary sovereignty.</w:t>
      </w:r>
    </w:p>
    <w:p w14:paraId="784134F0" w14:textId="77777777" w:rsidR="006E31E6" w:rsidRDefault="006E31E6" w:rsidP="00B758FC">
      <w:pPr>
        <w:pStyle w:val="NoSpacing"/>
        <w:ind w:left="720"/>
        <w:jc w:val="both"/>
        <w:rPr>
          <w:rFonts w:ascii="Gill Sans MT" w:hAnsi="Gill Sans MT"/>
        </w:rPr>
      </w:pPr>
    </w:p>
    <w:p w14:paraId="7D63B92C" w14:textId="4C01DE40" w:rsidR="00E85E2E" w:rsidRPr="00A95FCE" w:rsidRDefault="00564E06" w:rsidP="00564E06">
      <w:pPr>
        <w:pStyle w:val="NoSpacing"/>
        <w:jc w:val="both"/>
        <w:rPr>
          <w:rFonts w:ascii="Gill Sans MT" w:hAnsi="Gill Sans MT"/>
          <w:u w:val="single"/>
        </w:rPr>
      </w:pPr>
      <w:r w:rsidRPr="00A95FCE">
        <w:rPr>
          <w:rFonts w:ascii="Gill Sans MT" w:hAnsi="Gill Sans MT"/>
          <w:i/>
          <w:u w:val="single"/>
        </w:rPr>
        <w:t>European Union Act 2011: Referendum Locks and a Second EU Referendum</w:t>
      </w:r>
    </w:p>
    <w:p w14:paraId="73904F07" w14:textId="77777777" w:rsidR="000F7CAD" w:rsidRDefault="000F7CAD" w:rsidP="0004110C">
      <w:pPr>
        <w:pStyle w:val="NormalWeb"/>
        <w:spacing w:before="0" w:beforeAutospacing="0" w:after="0" w:afterAutospacing="0"/>
        <w:jc w:val="both"/>
        <w:rPr>
          <w:rFonts w:ascii="Gill Sans MT" w:hAnsi="Gill Sans MT"/>
        </w:rPr>
      </w:pPr>
    </w:p>
    <w:p w14:paraId="43730D51" w14:textId="65CEBAFD" w:rsidR="001067DB" w:rsidRDefault="0004110C" w:rsidP="001067DB">
      <w:pPr>
        <w:pStyle w:val="NormalWeb"/>
        <w:spacing w:before="0" w:beforeAutospacing="0" w:after="0" w:afterAutospacing="0"/>
        <w:jc w:val="both"/>
        <w:rPr>
          <w:rFonts w:ascii="Gill Sans MT" w:hAnsi="Gill Sans MT"/>
        </w:rPr>
      </w:pPr>
      <w:r w:rsidRPr="006E31E6">
        <w:rPr>
          <w:rFonts w:ascii="Gill Sans MT" w:hAnsi="Gill Sans MT"/>
        </w:rPr>
        <w:t xml:space="preserve">If the </w:t>
      </w:r>
      <w:r w:rsidR="000F7CAD">
        <w:rPr>
          <w:rFonts w:ascii="Gill Sans MT" w:hAnsi="Gill Sans MT"/>
        </w:rPr>
        <w:t xml:space="preserve">Withdrawal Agreement and </w:t>
      </w:r>
      <w:r w:rsidRPr="006E31E6">
        <w:rPr>
          <w:rFonts w:ascii="Gill Sans MT" w:hAnsi="Gill Sans MT"/>
        </w:rPr>
        <w:t xml:space="preserve">Implementation Bill </w:t>
      </w:r>
      <w:r w:rsidR="000F7CAD">
        <w:rPr>
          <w:rFonts w:ascii="Gill Sans MT" w:hAnsi="Gill Sans MT"/>
        </w:rPr>
        <w:t xml:space="preserve">provides further evidence of the shifting way in which </w:t>
      </w:r>
      <w:r w:rsidR="00DD3CC5">
        <w:rPr>
          <w:rFonts w:ascii="Gill Sans MT" w:hAnsi="Gill Sans MT"/>
        </w:rPr>
        <w:t>political actors are</w:t>
      </w:r>
      <w:r w:rsidR="000F7CAD">
        <w:rPr>
          <w:rFonts w:ascii="Gill Sans MT" w:hAnsi="Gill Sans MT"/>
        </w:rPr>
        <w:t xml:space="preserve"> interpreting the scope of </w:t>
      </w:r>
      <w:r w:rsidR="00DD3CC5">
        <w:rPr>
          <w:rFonts w:ascii="Gill Sans MT" w:hAnsi="Gill Sans MT"/>
        </w:rPr>
        <w:t>Parliament’s</w:t>
      </w:r>
      <w:r w:rsidR="000F7CAD">
        <w:rPr>
          <w:rFonts w:ascii="Gill Sans MT" w:hAnsi="Gill Sans MT"/>
        </w:rPr>
        <w:t xml:space="preserve"> legally unlimited legislative power, </w:t>
      </w:r>
      <w:r w:rsidR="00723BB3">
        <w:rPr>
          <w:rFonts w:ascii="Gill Sans MT" w:hAnsi="Gill Sans MT"/>
        </w:rPr>
        <w:t xml:space="preserve">we can expect to encounter new </w:t>
      </w:r>
      <w:r w:rsidRPr="006E31E6">
        <w:rPr>
          <w:rFonts w:ascii="Gill Sans MT" w:hAnsi="Gill Sans MT"/>
        </w:rPr>
        <w:t xml:space="preserve">questions about </w:t>
      </w:r>
      <w:r w:rsidR="00723BB3">
        <w:rPr>
          <w:rFonts w:ascii="Gill Sans MT" w:hAnsi="Gill Sans MT"/>
        </w:rPr>
        <w:t xml:space="preserve">the legal effects of any procedural conditions which have been established by statute.  As noted above, the European Union Act 2011 </w:t>
      </w:r>
      <w:r w:rsidRPr="006E31E6">
        <w:rPr>
          <w:rFonts w:ascii="Gill Sans MT" w:hAnsi="Gill Sans MT"/>
        </w:rPr>
        <w:t>was the unprecedented constitutional experiment which firmly pushed questions about legislative use of manner and form clauses to the f</w:t>
      </w:r>
      <w:r w:rsidR="00723BB3">
        <w:rPr>
          <w:rFonts w:ascii="Gill Sans MT" w:hAnsi="Gill Sans MT"/>
        </w:rPr>
        <w:t>o</w:t>
      </w:r>
      <w:r w:rsidRPr="006E31E6">
        <w:rPr>
          <w:rFonts w:ascii="Gill Sans MT" w:hAnsi="Gill Sans MT"/>
        </w:rPr>
        <w:t>re of contemporary debate in the UK constitution.</w:t>
      </w:r>
      <w:r w:rsidR="00723BB3">
        <w:rPr>
          <w:rFonts w:ascii="Gill Sans MT" w:hAnsi="Gill Sans MT"/>
        </w:rPr>
        <w:t xml:space="preserve">  </w:t>
      </w:r>
      <w:r w:rsidR="001067DB">
        <w:rPr>
          <w:rFonts w:ascii="Gill Sans MT" w:hAnsi="Gill Sans MT"/>
        </w:rPr>
        <w:t>Yet the Act does not just have a significant legacy in relation to the issue of whether P</w:t>
      </w:r>
      <w:r w:rsidR="00723BB3" w:rsidRPr="006E31E6">
        <w:rPr>
          <w:rFonts w:ascii="Gill Sans MT" w:hAnsi="Gill Sans MT"/>
        </w:rPr>
        <w:t>arliament can create procedural conditions applicable to</w:t>
      </w:r>
      <w:r w:rsidR="001067DB">
        <w:rPr>
          <w:rFonts w:ascii="Gill Sans MT" w:hAnsi="Gill Sans MT"/>
        </w:rPr>
        <w:t xml:space="preserve"> the</w:t>
      </w:r>
      <w:r w:rsidR="00723BB3" w:rsidRPr="006E31E6">
        <w:rPr>
          <w:rFonts w:ascii="Gill Sans MT" w:hAnsi="Gill Sans MT"/>
        </w:rPr>
        <w:t xml:space="preserve"> future </w:t>
      </w:r>
      <w:r w:rsidR="001067DB">
        <w:rPr>
          <w:rFonts w:ascii="Gill Sans MT" w:hAnsi="Gill Sans MT"/>
        </w:rPr>
        <w:t xml:space="preserve">use of </w:t>
      </w:r>
      <w:r w:rsidR="00723BB3" w:rsidRPr="006E31E6">
        <w:rPr>
          <w:rFonts w:ascii="Gill Sans MT" w:hAnsi="Gill Sans MT"/>
        </w:rPr>
        <w:t>legislative power</w:t>
      </w:r>
      <w:r w:rsidR="001067DB">
        <w:rPr>
          <w:rFonts w:ascii="Gill Sans MT" w:hAnsi="Gill Sans MT"/>
        </w:rPr>
        <w:t xml:space="preserve"> – it has also generated debate about</w:t>
      </w:r>
      <w:r w:rsidR="00723BB3" w:rsidRPr="006E31E6">
        <w:rPr>
          <w:rFonts w:ascii="Gill Sans MT" w:hAnsi="Gill Sans MT"/>
        </w:rPr>
        <w:t xml:space="preserve"> the implications of such provisions </w:t>
      </w:r>
      <w:r w:rsidR="001067DB">
        <w:rPr>
          <w:rFonts w:ascii="Gill Sans MT" w:hAnsi="Gill Sans MT"/>
        </w:rPr>
        <w:t>once established.  An early example was the failed legal challenge which sought to extend the scope of the 2011 Act’s referendum locks to require a referendum on the UK</w:t>
      </w:r>
      <w:r w:rsidR="00FB3AAE">
        <w:rPr>
          <w:rFonts w:ascii="Gill Sans MT" w:hAnsi="Gill Sans MT"/>
        </w:rPr>
        <w:t xml:space="preserve"> decision to</w:t>
      </w:r>
      <w:r w:rsidR="001067DB">
        <w:rPr>
          <w:rFonts w:ascii="Gill Sans MT" w:hAnsi="Gill Sans MT"/>
        </w:rPr>
        <w:t xml:space="preserve"> opt in to the European Arrest Warrant scheme.</w:t>
      </w:r>
      <w:r w:rsidR="001067DB">
        <w:rPr>
          <w:rStyle w:val="FootnoteReference"/>
          <w:rFonts w:ascii="Gill Sans MT" w:hAnsi="Gill Sans MT"/>
        </w:rPr>
        <w:footnoteReference w:id="133"/>
      </w:r>
      <w:r w:rsidR="001067DB">
        <w:rPr>
          <w:rFonts w:ascii="Gill Sans MT" w:hAnsi="Gill Sans MT"/>
        </w:rPr>
        <w:t xml:space="preserve">  But more recently, we have also seen the rather curious rehabilitation of the EU Act 2011 by those in favour of a second referendum on Brexit.  </w:t>
      </w:r>
    </w:p>
    <w:p w14:paraId="3F659685" w14:textId="7655DAF4" w:rsidR="00454C91" w:rsidRDefault="001067DB" w:rsidP="00454C91">
      <w:pPr>
        <w:pStyle w:val="NormalWeb"/>
        <w:spacing w:before="0" w:beforeAutospacing="0" w:after="0" w:afterAutospacing="0"/>
        <w:jc w:val="both"/>
        <w:rPr>
          <w:rFonts w:ascii="Gill Sans MT" w:hAnsi="Gill Sans MT"/>
        </w:rPr>
      </w:pPr>
      <w:r>
        <w:rPr>
          <w:rFonts w:ascii="Gill Sans MT" w:hAnsi="Gill Sans MT"/>
        </w:rPr>
        <w:tab/>
      </w:r>
      <w:r w:rsidR="001E4948">
        <w:rPr>
          <w:rFonts w:ascii="Gill Sans MT" w:hAnsi="Gill Sans MT"/>
        </w:rPr>
        <w:t xml:space="preserve">In light of its ambitions to obstruct UK engagement in even minor developments at EU level, </w:t>
      </w:r>
      <w:r>
        <w:rPr>
          <w:rFonts w:ascii="Gill Sans MT" w:hAnsi="Gill Sans MT"/>
        </w:rPr>
        <w:t xml:space="preserve">the EU Act 2011 was a </w:t>
      </w:r>
      <w:r w:rsidR="00C85B90">
        <w:rPr>
          <w:rFonts w:ascii="Gill Sans MT" w:hAnsi="Gill Sans MT"/>
        </w:rPr>
        <w:t>much-criticised</w:t>
      </w:r>
      <w:r>
        <w:rPr>
          <w:rFonts w:ascii="Gill Sans MT" w:hAnsi="Gill Sans MT"/>
        </w:rPr>
        <w:t xml:space="preserve"> statute, </w:t>
      </w:r>
      <w:r w:rsidR="001E4948">
        <w:rPr>
          <w:rFonts w:ascii="Gill Sans MT" w:hAnsi="Gill Sans MT"/>
        </w:rPr>
        <w:t>and</w:t>
      </w:r>
      <w:r>
        <w:rPr>
          <w:rFonts w:ascii="Gill Sans MT" w:hAnsi="Gill Sans MT"/>
        </w:rPr>
        <w:t xml:space="preserve"> is </w:t>
      </w:r>
      <w:r w:rsidR="001E4948">
        <w:rPr>
          <w:rFonts w:ascii="Gill Sans MT" w:hAnsi="Gill Sans MT"/>
        </w:rPr>
        <w:t xml:space="preserve">therefore </w:t>
      </w:r>
      <w:r>
        <w:rPr>
          <w:rFonts w:ascii="Gill Sans MT" w:hAnsi="Gill Sans MT"/>
        </w:rPr>
        <w:t xml:space="preserve">a strange candidate to be </w:t>
      </w:r>
      <w:r w:rsidR="006D6379">
        <w:rPr>
          <w:rFonts w:ascii="Gill Sans MT" w:hAnsi="Gill Sans MT"/>
        </w:rPr>
        <w:t xml:space="preserve">converted into a means </w:t>
      </w:r>
      <w:r w:rsidR="001E4948">
        <w:rPr>
          <w:rFonts w:ascii="Gill Sans MT" w:hAnsi="Gill Sans MT"/>
        </w:rPr>
        <w:t>through</w:t>
      </w:r>
      <w:r>
        <w:rPr>
          <w:rFonts w:ascii="Gill Sans MT" w:hAnsi="Gill Sans MT"/>
        </w:rPr>
        <w:t xml:space="preserve"> </w:t>
      </w:r>
      <w:r w:rsidR="00CA5682">
        <w:rPr>
          <w:rFonts w:ascii="Gill Sans MT" w:hAnsi="Gill Sans MT"/>
        </w:rPr>
        <w:t xml:space="preserve">which </w:t>
      </w:r>
      <w:r w:rsidR="001E4948">
        <w:rPr>
          <w:rFonts w:ascii="Gill Sans MT" w:hAnsi="Gill Sans MT"/>
        </w:rPr>
        <w:t>to leverage</w:t>
      </w:r>
      <w:r w:rsidR="006D6379">
        <w:rPr>
          <w:rFonts w:ascii="Gill Sans MT" w:hAnsi="Gill Sans MT"/>
        </w:rPr>
        <w:t xml:space="preserve"> </w:t>
      </w:r>
      <w:r>
        <w:rPr>
          <w:rFonts w:ascii="Gill Sans MT" w:hAnsi="Gill Sans MT"/>
        </w:rPr>
        <w:t>arguments</w:t>
      </w:r>
      <w:r w:rsidR="006D6379">
        <w:rPr>
          <w:rFonts w:ascii="Gill Sans MT" w:hAnsi="Gill Sans MT"/>
        </w:rPr>
        <w:t xml:space="preserve"> for a second referendum </w:t>
      </w:r>
      <w:r w:rsidR="001E4948">
        <w:rPr>
          <w:rFonts w:ascii="Gill Sans MT" w:hAnsi="Gill Sans MT"/>
        </w:rPr>
        <w:t>to accept or reject</w:t>
      </w:r>
      <w:r w:rsidR="006D6379">
        <w:rPr>
          <w:rFonts w:ascii="Gill Sans MT" w:hAnsi="Gill Sans MT"/>
        </w:rPr>
        <w:t xml:space="preserve"> the </w:t>
      </w:r>
      <w:r w:rsidR="00CA5682">
        <w:rPr>
          <w:rFonts w:ascii="Gill Sans MT" w:hAnsi="Gill Sans MT"/>
        </w:rPr>
        <w:t xml:space="preserve">final </w:t>
      </w:r>
      <w:r w:rsidR="006D6379">
        <w:rPr>
          <w:rFonts w:ascii="Gill Sans MT" w:hAnsi="Gill Sans MT"/>
        </w:rPr>
        <w:t>terms of Brexit</w:t>
      </w:r>
      <w:r w:rsidR="001E4948">
        <w:rPr>
          <w:rFonts w:ascii="Gill Sans MT" w:hAnsi="Gill Sans MT"/>
        </w:rPr>
        <w:t>.</w:t>
      </w:r>
      <w:r w:rsidR="00142BFD">
        <w:rPr>
          <w:rFonts w:ascii="Gill Sans MT" w:hAnsi="Gill Sans MT"/>
        </w:rPr>
        <w:t xml:space="preserve">  As noted above, following its enactment the </w:t>
      </w:r>
      <w:r w:rsidR="00CA402C">
        <w:rPr>
          <w:rFonts w:ascii="Gill Sans MT" w:hAnsi="Gill Sans MT"/>
        </w:rPr>
        <w:t>2011 Act has had a quiet significance to this point – none of the headline</w:t>
      </w:r>
      <w:r w:rsidR="00CA5682">
        <w:rPr>
          <w:rFonts w:ascii="Gill Sans MT" w:hAnsi="Gill Sans MT"/>
        </w:rPr>
        <w:t>-</w:t>
      </w:r>
      <w:r w:rsidR="00CA402C">
        <w:rPr>
          <w:rFonts w:ascii="Gill Sans MT" w:hAnsi="Gill Sans MT"/>
        </w:rPr>
        <w:t>grabbing ‘referendum locks’, which were designed to limit transfers of further power or competence to the EU without a national vote, have been triggered.  Yet more mundane statutory conditions have be</w:t>
      </w:r>
      <w:r w:rsidR="002C48C4">
        <w:rPr>
          <w:rFonts w:ascii="Gill Sans MT" w:hAnsi="Gill Sans MT"/>
        </w:rPr>
        <w:t>en</w:t>
      </w:r>
      <w:r w:rsidR="00CA402C">
        <w:rPr>
          <w:rFonts w:ascii="Gill Sans MT" w:hAnsi="Gill Sans MT"/>
        </w:rPr>
        <w:t xml:space="preserve"> legally engaged</w:t>
      </w:r>
      <w:r w:rsidR="00C85B90">
        <w:rPr>
          <w:rFonts w:ascii="Gill Sans MT" w:hAnsi="Gill Sans MT"/>
        </w:rPr>
        <w:t xml:space="preserve"> and</w:t>
      </w:r>
      <w:r w:rsidR="00CA402C">
        <w:rPr>
          <w:rFonts w:ascii="Gill Sans MT" w:hAnsi="Gill Sans MT"/>
        </w:rPr>
        <w:t xml:space="preserve"> complied</w:t>
      </w:r>
      <w:r w:rsidR="00C85B90">
        <w:rPr>
          <w:rFonts w:ascii="Gill Sans MT" w:hAnsi="Gill Sans MT"/>
        </w:rPr>
        <w:t xml:space="preserve">, supporting </w:t>
      </w:r>
      <w:r w:rsidR="002C48C4">
        <w:rPr>
          <w:rFonts w:ascii="Gill Sans MT" w:hAnsi="Gill Sans MT"/>
        </w:rPr>
        <w:t xml:space="preserve">the view that Parliament is </w:t>
      </w:r>
      <w:r w:rsidR="00CA5682">
        <w:rPr>
          <w:rFonts w:ascii="Gill Sans MT" w:hAnsi="Gill Sans MT"/>
        </w:rPr>
        <w:t>legally required</w:t>
      </w:r>
      <w:r w:rsidR="002C48C4">
        <w:rPr>
          <w:rFonts w:ascii="Gill Sans MT" w:hAnsi="Gill Sans MT"/>
        </w:rPr>
        <w:t xml:space="preserve"> – and explicitly recognises </w:t>
      </w:r>
      <w:r w:rsidR="00CA5682">
        <w:rPr>
          <w:rFonts w:ascii="Gill Sans MT" w:hAnsi="Gill Sans MT"/>
        </w:rPr>
        <w:t xml:space="preserve">that </w:t>
      </w:r>
      <w:r w:rsidR="002C48C4">
        <w:rPr>
          <w:rFonts w:ascii="Gill Sans MT" w:hAnsi="Gill Sans MT"/>
        </w:rPr>
        <w:t xml:space="preserve">it is </w:t>
      </w:r>
      <w:r w:rsidR="00CA5682">
        <w:rPr>
          <w:rFonts w:ascii="Gill Sans MT" w:hAnsi="Gill Sans MT"/>
        </w:rPr>
        <w:t>legally required</w:t>
      </w:r>
      <w:r w:rsidR="002C48C4">
        <w:rPr>
          <w:rFonts w:ascii="Gill Sans MT" w:hAnsi="Gill Sans MT"/>
        </w:rPr>
        <w:t xml:space="preserve"> – to comply with procedural requirements contained in prior legislation, where applicable and unless or until that prior legislation is repealed.</w:t>
      </w:r>
      <w:r w:rsidR="00CA5682">
        <w:rPr>
          <w:rFonts w:ascii="Gill Sans MT" w:hAnsi="Gill Sans MT"/>
        </w:rPr>
        <w:t xml:space="preserve">  </w:t>
      </w:r>
      <w:r w:rsidR="00134A35">
        <w:rPr>
          <w:rFonts w:ascii="Gill Sans MT" w:hAnsi="Gill Sans MT"/>
        </w:rPr>
        <w:t xml:space="preserve">Against this backdrop of legal efficacy, it has been argued that the referendum locks established by the EU Act can be understood to extend to cover a </w:t>
      </w:r>
      <w:r w:rsidR="00F05630">
        <w:rPr>
          <w:rFonts w:ascii="Gill Sans MT" w:hAnsi="Gill Sans MT"/>
        </w:rPr>
        <w:t>W</w:t>
      </w:r>
      <w:r w:rsidR="00134A35">
        <w:rPr>
          <w:rFonts w:ascii="Gill Sans MT" w:hAnsi="Gill Sans MT"/>
        </w:rPr>
        <w:t xml:space="preserve">ithdrawal </w:t>
      </w:r>
      <w:r w:rsidR="00F05630">
        <w:rPr>
          <w:rFonts w:ascii="Gill Sans MT" w:hAnsi="Gill Sans MT"/>
        </w:rPr>
        <w:t>A</w:t>
      </w:r>
      <w:r w:rsidR="00134A35">
        <w:rPr>
          <w:rFonts w:ascii="Gill Sans MT" w:hAnsi="Gill Sans MT"/>
        </w:rPr>
        <w:t>greement,</w:t>
      </w:r>
      <w:r w:rsidR="00134A35">
        <w:rPr>
          <w:rStyle w:val="FootnoteReference"/>
          <w:rFonts w:ascii="Gill Sans MT" w:hAnsi="Gill Sans MT"/>
        </w:rPr>
        <w:footnoteReference w:id="134"/>
      </w:r>
      <w:r w:rsidR="00134A35">
        <w:rPr>
          <w:rFonts w:ascii="Gill Sans MT" w:hAnsi="Gill Sans MT"/>
        </w:rPr>
        <w:t xml:space="preserve"> on the basis that it would be ‘amending or replacing’ the EU treaties.</w:t>
      </w:r>
      <w:r w:rsidR="00134A35">
        <w:rPr>
          <w:rStyle w:val="FootnoteReference"/>
          <w:rFonts w:ascii="Gill Sans MT" w:hAnsi="Gill Sans MT"/>
        </w:rPr>
        <w:footnoteReference w:id="135"/>
      </w:r>
    </w:p>
    <w:p w14:paraId="4C4D5601" w14:textId="0EE1EFE4" w:rsidR="00B758FC" w:rsidRDefault="00B758FC" w:rsidP="00904B7A">
      <w:pPr>
        <w:pStyle w:val="NormalWeb"/>
        <w:spacing w:before="0" w:beforeAutospacing="0" w:after="0" w:afterAutospacing="0"/>
        <w:ind w:firstLine="720"/>
        <w:jc w:val="both"/>
        <w:rPr>
          <w:rFonts w:ascii="Gill Sans MT" w:hAnsi="Gill Sans MT"/>
        </w:rPr>
      </w:pPr>
      <w:r>
        <w:rPr>
          <w:rFonts w:ascii="Gill Sans MT" w:hAnsi="Gill Sans MT"/>
        </w:rPr>
        <w:t>Establishing a legal requirement that a</w:t>
      </w:r>
      <w:r w:rsidR="00CD23C3">
        <w:rPr>
          <w:rFonts w:ascii="Gill Sans MT" w:hAnsi="Gill Sans MT"/>
        </w:rPr>
        <w:t>n a</w:t>
      </w:r>
      <w:r>
        <w:rPr>
          <w:rFonts w:ascii="Gill Sans MT" w:hAnsi="Gill Sans MT"/>
        </w:rPr>
        <w:t>greement</w:t>
      </w:r>
      <w:r w:rsidR="00CD23C3">
        <w:rPr>
          <w:rFonts w:ascii="Gill Sans MT" w:hAnsi="Gill Sans MT"/>
        </w:rPr>
        <w:t xml:space="preserve"> for withdrawal from the EU</w:t>
      </w:r>
      <w:r>
        <w:rPr>
          <w:rFonts w:ascii="Gill Sans MT" w:hAnsi="Gill Sans MT"/>
        </w:rPr>
        <w:t xml:space="preserve"> would be subject to </w:t>
      </w:r>
      <w:r w:rsidR="00CD23C3">
        <w:rPr>
          <w:rFonts w:ascii="Gill Sans MT" w:hAnsi="Gill Sans MT"/>
        </w:rPr>
        <w:t xml:space="preserve">ratification only if </w:t>
      </w:r>
      <w:r>
        <w:rPr>
          <w:rFonts w:ascii="Gill Sans MT" w:hAnsi="Gill Sans MT"/>
        </w:rPr>
        <w:t>appro</w:t>
      </w:r>
      <w:r w:rsidR="00CD23C3">
        <w:rPr>
          <w:rFonts w:ascii="Gill Sans MT" w:hAnsi="Gill Sans MT"/>
        </w:rPr>
        <w:t>ved</w:t>
      </w:r>
      <w:r>
        <w:rPr>
          <w:rFonts w:ascii="Gill Sans MT" w:hAnsi="Gill Sans MT"/>
        </w:rPr>
        <w:t xml:space="preserve"> by </w:t>
      </w:r>
      <w:r w:rsidR="00CD23C3">
        <w:rPr>
          <w:rFonts w:ascii="Gill Sans MT" w:hAnsi="Gill Sans MT"/>
        </w:rPr>
        <w:t xml:space="preserve">an </w:t>
      </w:r>
      <w:r>
        <w:rPr>
          <w:rFonts w:ascii="Gill Sans MT" w:hAnsi="Gill Sans MT"/>
        </w:rPr>
        <w:t>Act of Parliament and a</w:t>
      </w:r>
      <w:r w:rsidR="00CD23C3">
        <w:rPr>
          <w:rFonts w:ascii="Gill Sans MT" w:hAnsi="Gill Sans MT"/>
        </w:rPr>
        <w:t xml:space="preserve"> national</w:t>
      </w:r>
      <w:r>
        <w:rPr>
          <w:rFonts w:ascii="Gill Sans MT" w:hAnsi="Gill Sans MT"/>
        </w:rPr>
        <w:t xml:space="preserve"> referendum </w:t>
      </w:r>
      <w:r w:rsidR="005C5A9F">
        <w:rPr>
          <w:rFonts w:ascii="Gill Sans MT" w:hAnsi="Gill Sans MT"/>
        </w:rPr>
        <w:t xml:space="preserve">was </w:t>
      </w:r>
      <w:r>
        <w:rPr>
          <w:rFonts w:ascii="Gill Sans MT" w:hAnsi="Gill Sans MT"/>
        </w:rPr>
        <w:t>clearly not the purpose of the 2011</w:t>
      </w:r>
      <w:r w:rsidR="00CD23C3">
        <w:rPr>
          <w:rFonts w:ascii="Gill Sans MT" w:hAnsi="Gill Sans MT"/>
        </w:rPr>
        <w:t xml:space="preserve"> Act</w:t>
      </w:r>
      <w:r>
        <w:rPr>
          <w:rFonts w:ascii="Gill Sans MT" w:hAnsi="Gill Sans MT"/>
        </w:rPr>
        <w:t xml:space="preserve">.  But whether it was the policy objective of the </w:t>
      </w:r>
      <w:r w:rsidR="00CD23C3">
        <w:rPr>
          <w:rFonts w:ascii="Gill Sans MT" w:hAnsi="Gill Sans MT"/>
        </w:rPr>
        <w:t>g</w:t>
      </w:r>
      <w:r>
        <w:rPr>
          <w:rFonts w:ascii="Gill Sans MT" w:hAnsi="Gill Sans MT"/>
        </w:rPr>
        <w:t xml:space="preserve">overnment promoting </w:t>
      </w:r>
      <w:r w:rsidR="00CD23C3">
        <w:rPr>
          <w:rFonts w:ascii="Gill Sans MT" w:hAnsi="Gill Sans MT"/>
        </w:rPr>
        <w:t>that</w:t>
      </w:r>
      <w:r>
        <w:rPr>
          <w:rFonts w:ascii="Gill Sans MT" w:hAnsi="Gill Sans MT"/>
        </w:rPr>
        <w:t xml:space="preserve"> legislation, or the purpose of the Parliament enacting</w:t>
      </w:r>
      <w:r w:rsidR="00CD23C3">
        <w:rPr>
          <w:rFonts w:ascii="Gill Sans MT" w:hAnsi="Gill Sans MT"/>
        </w:rPr>
        <w:t>,</w:t>
      </w:r>
      <w:r>
        <w:rPr>
          <w:rFonts w:ascii="Gill Sans MT" w:hAnsi="Gill Sans MT"/>
        </w:rPr>
        <w:t xml:space="preserve"> it is only part of the relevant context.  The words enacted by </w:t>
      </w:r>
      <w:r w:rsidR="00CD23C3">
        <w:rPr>
          <w:rFonts w:ascii="Gill Sans MT" w:hAnsi="Gill Sans MT"/>
        </w:rPr>
        <w:t xml:space="preserve">the sovereign </w:t>
      </w:r>
      <w:r>
        <w:rPr>
          <w:rFonts w:ascii="Gill Sans MT" w:hAnsi="Gill Sans MT"/>
        </w:rPr>
        <w:t xml:space="preserve">Parliament are key to establish whether – intentionally or otherwise – a relevant legal condition has been established.  </w:t>
      </w:r>
      <w:r w:rsidR="00F05630">
        <w:rPr>
          <w:rFonts w:ascii="Gill Sans MT" w:hAnsi="Gill Sans MT"/>
        </w:rPr>
        <w:t>As such, the argument depends on w</w:t>
      </w:r>
      <w:r>
        <w:rPr>
          <w:rFonts w:ascii="Gill Sans MT" w:hAnsi="Gill Sans MT"/>
        </w:rPr>
        <w:t xml:space="preserve">hether the </w:t>
      </w:r>
      <w:r w:rsidR="00F05630">
        <w:rPr>
          <w:rFonts w:ascii="Gill Sans MT" w:hAnsi="Gill Sans MT"/>
        </w:rPr>
        <w:t>W</w:t>
      </w:r>
      <w:r>
        <w:rPr>
          <w:rFonts w:ascii="Gill Sans MT" w:hAnsi="Gill Sans MT"/>
        </w:rPr>
        <w:t xml:space="preserve">ithdrawal </w:t>
      </w:r>
      <w:r w:rsidR="00F05630">
        <w:rPr>
          <w:rFonts w:ascii="Gill Sans MT" w:hAnsi="Gill Sans MT"/>
        </w:rPr>
        <w:t>A</w:t>
      </w:r>
      <w:r>
        <w:rPr>
          <w:rFonts w:ascii="Gill Sans MT" w:hAnsi="Gill Sans MT"/>
        </w:rPr>
        <w:t xml:space="preserve">greement should be understood as a treaty replacing or amending the </w:t>
      </w:r>
      <w:r w:rsidR="00F05630">
        <w:rPr>
          <w:rFonts w:ascii="Gill Sans MT" w:hAnsi="Gill Sans MT"/>
        </w:rPr>
        <w:t xml:space="preserve">EU treaties.  Yet </w:t>
      </w:r>
      <w:r w:rsidR="00F05630">
        <w:rPr>
          <w:rFonts w:ascii="Gill Sans MT" w:hAnsi="Gill Sans MT"/>
        </w:rPr>
        <w:lastRenderedPageBreak/>
        <w:t>the EU treaties will obviously continue to exist in their present form after the UK’s exit</w:t>
      </w:r>
      <w:r>
        <w:rPr>
          <w:rFonts w:ascii="Gill Sans MT" w:hAnsi="Gill Sans MT"/>
        </w:rPr>
        <w:t xml:space="preserve">, </w:t>
      </w:r>
      <w:r w:rsidR="00F05630">
        <w:rPr>
          <w:rFonts w:ascii="Gill Sans MT" w:hAnsi="Gill Sans MT"/>
        </w:rPr>
        <w:t>which makes it</w:t>
      </w:r>
      <w:r>
        <w:rPr>
          <w:rFonts w:ascii="Gill Sans MT" w:hAnsi="Gill Sans MT"/>
        </w:rPr>
        <w:t xml:space="preserve"> strongly arguable </w:t>
      </w:r>
      <w:r w:rsidR="00F05630">
        <w:rPr>
          <w:rFonts w:ascii="Gill Sans MT" w:hAnsi="Gill Sans MT"/>
        </w:rPr>
        <w:t>that a</w:t>
      </w:r>
      <w:r>
        <w:rPr>
          <w:rFonts w:ascii="Gill Sans MT" w:hAnsi="Gill Sans MT"/>
        </w:rPr>
        <w:t xml:space="preserve"> Withdrawal Agreement </w:t>
      </w:r>
      <w:r w:rsidR="00F05630">
        <w:rPr>
          <w:rFonts w:ascii="Gill Sans MT" w:hAnsi="Gill Sans MT"/>
        </w:rPr>
        <w:t xml:space="preserve">is </w:t>
      </w:r>
      <w:r>
        <w:rPr>
          <w:rFonts w:ascii="Gill Sans MT" w:hAnsi="Gill Sans MT"/>
        </w:rPr>
        <w:t xml:space="preserve">not </w:t>
      </w:r>
      <w:r w:rsidR="00F05630">
        <w:rPr>
          <w:rFonts w:ascii="Gill Sans MT" w:hAnsi="Gill Sans MT"/>
        </w:rPr>
        <w:t>caught by this test</w:t>
      </w:r>
      <w:r>
        <w:rPr>
          <w:rFonts w:ascii="Gill Sans MT" w:hAnsi="Gill Sans MT"/>
        </w:rPr>
        <w:t xml:space="preserve">, unless ‘replacing or amending’ is understood to mean ‘replacing or amending in </w:t>
      </w:r>
      <w:r w:rsidR="00275302">
        <w:rPr>
          <w:rFonts w:ascii="Gill Sans MT" w:hAnsi="Gill Sans MT"/>
        </w:rPr>
        <w:t>the totality of their</w:t>
      </w:r>
      <w:r>
        <w:rPr>
          <w:rFonts w:ascii="Gill Sans MT" w:hAnsi="Gill Sans MT"/>
        </w:rPr>
        <w:t xml:space="preserve"> application to the UK alone’.  Yet such an interpretation seems to strain the language of the EU Act 2011</w:t>
      </w:r>
      <w:r w:rsidR="00F05630">
        <w:rPr>
          <w:rFonts w:ascii="Gill Sans MT" w:hAnsi="Gill Sans MT"/>
        </w:rPr>
        <w:t xml:space="preserve"> well beyond its literal terms</w:t>
      </w:r>
      <w:r>
        <w:rPr>
          <w:rFonts w:ascii="Gill Sans MT" w:hAnsi="Gill Sans MT"/>
        </w:rPr>
        <w:t xml:space="preserve">, and that more </w:t>
      </w:r>
      <w:r w:rsidR="00F05630">
        <w:rPr>
          <w:rFonts w:ascii="Gill Sans MT" w:hAnsi="Gill Sans MT"/>
        </w:rPr>
        <w:t>speculative</w:t>
      </w:r>
      <w:r>
        <w:rPr>
          <w:rFonts w:ascii="Gill Sans MT" w:hAnsi="Gill Sans MT"/>
        </w:rPr>
        <w:t xml:space="preserve"> interpretation is not supported by the purpose of the statute.</w:t>
      </w:r>
      <w:r w:rsidR="00454C91">
        <w:rPr>
          <w:rFonts w:ascii="Gill Sans MT" w:hAnsi="Gill Sans MT"/>
        </w:rPr>
        <w:t xml:space="preserve">  </w:t>
      </w:r>
      <w:r w:rsidR="00454C91" w:rsidRPr="00275302">
        <w:rPr>
          <w:rFonts w:ascii="Gill Sans MT" w:hAnsi="Gill Sans MT"/>
        </w:rPr>
        <w:t xml:space="preserve">There may be some </w:t>
      </w:r>
      <w:r w:rsidR="00454C91">
        <w:rPr>
          <w:rFonts w:ascii="Gill Sans MT" w:hAnsi="Gill Sans MT"/>
        </w:rPr>
        <w:t xml:space="preserve">further </w:t>
      </w:r>
      <w:r w:rsidR="00454C91" w:rsidRPr="00275302">
        <w:rPr>
          <w:rFonts w:ascii="Gill Sans MT" w:hAnsi="Gill Sans MT"/>
        </w:rPr>
        <w:t xml:space="preserve">complexity associated with </w:t>
      </w:r>
      <w:r w:rsidR="00454C91">
        <w:rPr>
          <w:rFonts w:ascii="Gill Sans MT" w:hAnsi="Gill Sans MT"/>
        </w:rPr>
        <w:t xml:space="preserve">any </w:t>
      </w:r>
      <w:r w:rsidR="00454C91" w:rsidRPr="00275302">
        <w:rPr>
          <w:rFonts w:ascii="Gill Sans MT" w:hAnsi="Gill Sans MT"/>
        </w:rPr>
        <w:t>removal of references to the UK from the EU Treaties</w:t>
      </w:r>
      <w:r w:rsidR="00454C91">
        <w:rPr>
          <w:rFonts w:ascii="Gill Sans MT" w:hAnsi="Gill Sans MT"/>
        </w:rPr>
        <w:t>.</w:t>
      </w:r>
      <w:r w:rsidR="00454C91">
        <w:rPr>
          <w:rStyle w:val="FootnoteReference"/>
          <w:rFonts w:ascii="Gill Sans MT" w:hAnsi="Gill Sans MT"/>
        </w:rPr>
        <w:footnoteReference w:id="136"/>
      </w:r>
      <w:r w:rsidR="00454C91">
        <w:rPr>
          <w:rStyle w:val="FootnoteReference"/>
          <w:rFonts w:ascii="Gill Sans MT" w:hAnsi="Gill Sans MT"/>
        </w:rPr>
        <w:t xml:space="preserve">  </w:t>
      </w:r>
      <w:r w:rsidR="00454C91" w:rsidRPr="00275302">
        <w:rPr>
          <w:rFonts w:ascii="Gill Sans MT" w:hAnsi="Gill Sans MT"/>
        </w:rPr>
        <w:t>But it is not clear that any such textual changes would</w:t>
      </w:r>
      <w:r w:rsidR="00454C91">
        <w:rPr>
          <w:rFonts w:ascii="Gill Sans MT" w:hAnsi="Gill Sans MT"/>
        </w:rPr>
        <w:t xml:space="preserve"> </w:t>
      </w:r>
      <w:r w:rsidR="00904B7A">
        <w:rPr>
          <w:rFonts w:ascii="Gill Sans MT" w:hAnsi="Gill Sans MT"/>
        </w:rPr>
        <w:t xml:space="preserve">either </w:t>
      </w:r>
      <w:r w:rsidR="00454C91">
        <w:rPr>
          <w:rFonts w:ascii="Gill Sans MT" w:hAnsi="Gill Sans MT"/>
        </w:rPr>
        <w:t>be</w:t>
      </w:r>
      <w:r w:rsidR="00454C91" w:rsidRPr="00275302">
        <w:rPr>
          <w:rFonts w:ascii="Gill Sans MT" w:hAnsi="Gill Sans MT"/>
        </w:rPr>
        <w:t xml:space="preserve"> directly carried out by a </w:t>
      </w:r>
      <w:r w:rsidR="00454C91">
        <w:rPr>
          <w:rFonts w:ascii="Gill Sans MT" w:hAnsi="Gill Sans MT"/>
        </w:rPr>
        <w:t>W</w:t>
      </w:r>
      <w:r w:rsidR="00454C91" w:rsidRPr="00275302">
        <w:rPr>
          <w:rFonts w:ascii="Gill Sans MT" w:hAnsi="Gill Sans MT"/>
        </w:rPr>
        <w:t xml:space="preserve">ithdrawal </w:t>
      </w:r>
      <w:r w:rsidR="00454C91">
        <w:rPr>
          <w:rFonts w:ascii="Gill Sans MT" w:hAnsi="Gill Sans MT"/>
        </w:rPr>
        <w:t>A</w:t>
      </w:r>
      <w:r w:rsidR="00454C91" w:rsidRPr="00275302">
        <w:rPr>
          <w:rFonts w:ascii="Gill Sans MT" w:hAnsi="Gill Sans MT"/>
        </w:rPr>
        <w:t xml:space="preserve">greement, as opposed to the eventual </w:t>
      </w:r>
      <w:r w:rsidR="00454C91">
        <w:rPr>
          <w:rFonts w:ascii="Gill Sans MT" w:hAnsi="Gill Sans MT"/>
        </w:rPr>
        <w:t xml:space="preserve">(and inevitable) </w:t>
      </w:r>
      <w:r w:rsidR="00454C91" w:rsidRPr="00275302">
        <w:rPr>
          <w:rFonts w:ascii="Gill Sans MT" w:hAnsi="Gill Sans MT"/>
        </w:rPr>
        <w:t>consequence of the process of withdrawal established within the Treaties by Art 50</w:t>
      </w:r>
      <w:r w:rsidR="00904B7A">
        <w:rPr>
          <w:rFonts w:ascii="Gill Sans MT" w:hAnsi="Gill Sans MT"/>
        </w:rPr>
        <w:t>, or</w:t>
      </w:r>
      <w:r w:rsidR="00454C91" w:rsidRPr="00275302">
        <w:rPr>
          <w:rFonts w:ascii="Gill Sans MT" w:hAnsi="Gill Sans MT"/>
        </w:rPr>
        <w:t xml:space="preserve"> ‘amendments’ of the EU Treaties in the relevant sense established by </w:t>
      </w:r>
      <w:r w:rsidR="00C85B90">
        <w:rPr>
          <w:rFonts w:ascii="Gill Sans MT" w:hAnsi="Gill Sans MT"/>
        </w:rPr>
        <w:t>UK</w:t>
      </w:r>
      <w:r w:rsidR="00454C91" w:rsidRPr="00275302">
        <w:rPr>
          <w:rFonts w:ascii="Gill Sans MT" w:hAnsi="Gill Sans MT"/>
        </w:rPr>
        <w:t xml:space="preserve"> law.</w:t>
      </w:r>
      <w:r w:rsidR="00454C91">
        <w:rPr>
          <w:rFonts w:ascii="Gill Sans MT" w:hAnsi="Gill Sans MT"/>
        </w:rPr>
        <w:t xml:space="preserve">  A Withdrawal Agreement that simply removes one</w:t>
      </w:r>
      <w:r w:rsidR="00904B7A">
        <w:rPr>
          <w:rFonts w:ascii="Gill Sans MT" w:hAnsi="Gill Sans MT"/>
        </w:rPr>
        <w:t xml:space="preserve"> </w:t>
      </w:r>
      <w:r w:rsidR="00454C91">
        <w:rPr>
          <w:rFonts w:ascii="Gill Sans MT" w:hAnsi="Gill Sans MT"/>
        </w:rPr>
        <w:t xml:space="preserve">member state from the EU legal order, which otherwise persists, seems to be fundamentally different in character to the kinds of treaties </w:t>
      </w:r>
      <w:r w:rsidR="00904B7A">
        <w:rPr>
          <w:rFonts w:ascii="Gill Sans MT" w:hAnsi="Gill Sans MT"/>
        </w:rPr>
        <w:t xml:space="preserve">substantively </w:t>
      </w:r>
      <w:r w:rsidR="00454C91">
        <w:rPr>
          <w:rFonts w:ascii="Gill Sans MT" w:hAnsi="Gill Sans MT"/>
        </w:rPr>
        <w:t>re-making the EU legal order to which the 2011 Act was designed to apply.</w:t>
      </w:r>
      <w:r w:rsidR="00F05630">
        <w:rPr>
          <w:rStyle w:val="FootnoteReference"/>
          <w:rFonts w:ascii="Gill Sans MT" w:hAnsi="Gill Sans MT"/>
        </w:rPr>
        <w:footnoteReference w:id="137"/>
      </w:r>
    </w:p>
    <w:p w14:paraId="48431EB9" w14:textId="21D309D0" w:rsidR="00B758FC" w:rsidRDefault="00B758FC" w:rsidP="00FB50AF">
      <w:pPr>
        <w:pStyle w:val="NoSpacing"/>
        <w:ind w:firstLine="720"/>
        <w:jc w:val="both"/>
        <w:rPr>
          <w:rFonts w:ascii="Gill Sans MT" w:hAnsi="Gill Sans MT"/>
        </w:rPr>
      </w:pPr>
      <w:r>
        <w:rPr>
          <w:rFonts w:ascii="Gill Sans MT" w:hAnsi="Gill Sans MT"/>
        </w:rPr>
        <w:t xml:space="preserve">In any event, </w:t>
      </w:r>
      <w:r w:rsidR="00FB50AF">
        <w:rPr>
          <w:rFonts w:ascii="Gill Sans MT" w:hAnsi="Gill Sans MT"/>
        </w:rPr>
        <w:t>the EU Withdrawal Bill indicates that the EU Act 2011 will be explicitly repealed,</w:t>
      </w:r>
      <w:r w:rsidR="00FB50AF">
        <w:rPr>
          <w:rStyle w:val="FootnoteReference"/>
          <w:rFonts w:ascii="Gill Sans MT" w:hAnsi="Gill Sans MT"/>
        </w:rPr>
        <w:footnoteReference w:id="138"/>
      </w:r>
      <w:r w:rsidR="00FB50AF">
        <w:rPr>
          <w:rFonts w:ascii="Gill Sans MT" w:hAnsi="Gill Sans MT"/>
        </w:rPr>
        <w:t xml:space="preserve"> which means any prospect of arguing that its terms are applicable to a </w:t>
      </w:r>
      <w:r w:rsidR="00454C91">
        <w:rPr>
          <w:rFonts w:ascii="Gill Sans MT" w:hAnsi="Gill Sans MT"/>
        </w:rPr>
        <w:t xml:space="preserve">subsequent </w:t>
      </w:r>
      <w:r w:rsidR="00FB50AF">
        <w:rPr>
          <w:rFonts w:ascii="Gill Sans MT" w:hAnsi="Gill Sans MT"/>
        </w:rPr>
        <w:t>Withdrawal Agreement will be removed</w:t>
      </w:r>
      <w:r>
        <w:rPr>
          <w:rFonts w:ascii="Gill Sans MT" w:hAnsi="Gill Sans MT"/>
        </w:rPr>
        <w:t xml:space="preserve">.  It might be claimed that if a relevant referendum condition does </w:t>
      </w:r>
      <w:r w:rsidR="00FB50AF">
        <w:rPr>
          <w:rFonts w:ascii="Gill Sans MT" w:hAnsi="Gill Sans MT"/>
        </w:rPr>
        <w:t xml:space="preserve">currently </w:t>
      </w:r>
      <w:r>
        <w:rPr>
          <w:rFonts w:ascii="Gill Sans MT" w:hAnsi="Gill Sans MT"/>
        </w:rPr>
        <w:t xml:space="preserve">exist </w:t>
      </w:r>
      <w:r w:rsidR="00FB50AF">
        <w:rPr>
          <w:rFonts w:ascii="Gill Sans MT" w:hAnsi="Gill Sans MT"/>
        </w:rPr>
        <w:t>(</w:t>
      </w:r>
      <w:r>
        <w:rPr>
          <w:rFonts w:ascii="Gill Sans MT" w:hAnsi="Gill Sans MT"/>
        </w:rPr>
        <w:t xml:space="preserve">which as explained above, </w:t>
      </w:r>
      <w:r w:rsidR="00FB50AF">
        <w:rPr>
          <w:rFonts w:ascii="Gill Sans MT" w:hAnsi="Gill Sans MT"/>
        </w:rPr>
        <w:t>seems a problematic starting point)</w:t>
      </w:r>
      <w:r>
        <w:rPr>
          <w:rFonts w:ascii="Gill Sans MT" w:hAnsi="Gill Sans MT"/>
        </w:rPr>
        <w:t xml:space="preserve"> that </w:t>
      </w:r>
      <w:r w:rsidR="00FB50AF">
        <w:rPr>
          <w:rFonts w:ascii="Gill Sans MT" w:hAnsi="Gill Sans MT"/>
        </w:rPr>
        <w:t xml:space="preserve">this binding </w:t>
      </w:r>
      <w:r>
        <w:rPr>
          <w:rFonts w:ascii="Gill Sans MT" w:hAnsi="Gill Sans MT"/>
        </w:rPr>
        <w:t>condition cannot be removed by a straightforward repeal.</w:t>
      </w:r>
      <w:r w:rsidR="00FB50AF">
        <w:rPr>
          <w:rStyle w:val="FootnoteReference"/>
          <w:rFonts w:ascii="Gill Sans MT" w:hAnsi="Gill Sans MT"/>
        </w:rPr>
        <w:footnoteReference w:id="139"/>
      </w:r>
      <w:r>
        <w:rPr>
          <w:rFonts w:ascii="Gill Sans MT" w:hAnsi="Gill Sans MT"/>
        </w:rPr>
        <w:t xml:space="preserve">  There is ob</w:t>
      </w:r>
      <w:r w:rsidR="0060081F">
        <w:rPr>
          <w:rFonts w:ascii="Gill Sans MT" w:hAnsi="Gill Sans MT"/>
        </w:rPr>
        <w:t>i</w:t>
      </w:r>
      <w:r>
        <w:rPr>
          <w:rFonts w:ascii="Gill Sans MT" w:hAnsi="Gill Sans MT"/>
        </w:rPr>
        <w:t xml:space="preserve">ter dicta in </w:t>
      </w:r>
      <w:r w:rsidRPr="00FB50AF">
        <w:rPr>
          <w:rFonts w:ascii="Gill Sans MT" w:hAnsi="Gill Sans MT"/>
          <w:i/>
        </w:rPr>
        <w:t>Jackson</w:t>
      </w:r>
      <w:r>
        <w:rPr>
          <w:rFonts w:ascii="Gill Sans MT" w:hAnsi="Gill Sans MT"/>
        </w:rPr>
        <w:t xml:space="preserve"> </w:t>
      </w:r>
      <w:r w:rsidR="00FB50AF">
        <w:rPr>
          <w:rFonts w:ascii="Gill Sans MT" w:hAnsi="Gill Sans MT"/>
        </w:rPr>
        <w:t xml:space="preserve">which might be seen to provide </w:t>
      </w:r>
      <w:r w:rsidR="00090864">
        <w:rPr>
          <w:rFonts w:ascii="Gill Sans MT" w:hAnsi="Gill Sans MT"/>
        </w:rPr>
        <w:t xml:space="preserve">some </w:t>
      </w:r>
      <w:r w:rsidR="00FB50AF">
        <w:rPr>
          <w:rFonts w:ascii="Gill Sans MT" w:hAnsi="Gill Sans MT"/>
        </w:rPr>
        <w:t>support for this approach</w:t>
      </w:r>
      <w:r>
        <w:rPr>
          <w:rFonts w:ascii="Gill Sans MT" w:hAnsi="Gill Sans MT"/>
        </w:rPr>
        <w:t xml:space="preserve">, </w:t>
      </w:r>
      <w:r w:rsidR="00FB50AF">
        <w:rPr>
          <w:rFonts w:ascii="Gill Sans MT" w:hAnsi="Gill Sans MT"/>
        </w:rPr>
        <w:t xml:space="preserve">as a majority of judges considered that an explicit statutory limit on using the Parliament Acts to extend the life of Parliament beyond five years </w:t>
      </w:r>
      <w:r w:rsidR="00090864">
        <w:rPr>
          <w:rFonts w:ascii="Gill Sans MT" w:hAnsi="Gill Sans MT"/>
        </w:rPr>
        <w:t>was subject to an implied protection</w:t>
      </w:r>
      <w:r w:rsidR="00FB50AF">
        <w:rPr>
          <w:rFonts w:ascii="Gill Sans MT" w:hAnsi="Gill Sans MT"/>
        </w:rPr>
        <w:t xml:space="preserve"> </w:t>
      </w:r>
      <w:r w:rsidR="00090864">
        <w:rPr>
          <w:rFonts w:ascii="Gill Sans MT" w:hAnsi="Gill Sans MT"/>
        </w:rPr>
        <w:t>which prevented the use of that accelerated legislative process to remove that constraint.</w:t>
      </w:r>
      <w:r w:rsidR="00090864">
        <w:rPr>
          <w:rStyle w:val="FootnoteReference"/>
          <w:rFonts w:ascii="Gill Sans MT" w:hAnsi="Gill Sans MT"/>
        </w:rPr>
        <w:footnoteReference w:id="140"/>
      </w:r>
      <w:r w:rsidR="00090864">
        <w:rPr>
          <w:rFonts w:ascii="Gill Sans MT" w:hAnsi="Gill Sans MT"/>
        </w:rPr>
        <w:t xml:space="preserve">  </w:t>
      </w:r>
      <w:r w:rsidR="00FB50AF">
        <w:rPr>
          <w:rFonts w:ascii="Gill Sans MT" w:hAnsi="Gill Sans MT"/>
        </w:rPr>
        <w:t>T</w:t>
      </w:r>
      <w:r>
        <w:rPr>
          <w:rFonts w:ascii="Gill Sans MT" w:hAnsi="Gill Sans MT"/>
        </w:rPr>
        <w:t>he better view</w:t>
      </w:r>
      <w:r w:rsidR="00FB50AF">
        <w:rPr>
          <w:rFonts w:ascii="Gill Sans MT" w:hAnsi="Gill Sans MT"/>
        </w:rPr>
        <w:t>, however,</w:t>
      </w:r>
      <w:r>
        <w:rPr>
          <w:rFonts w:ascii="Gill Sans MT" w:hAnsi="Gill Sans MT"/>
        </w:rPr>
        <w:t xml:space="preserve"> is that adopted by Lord Bingham in </w:t>
      </w:r>
      <w:r w:rsidRPr="00090864">
        <w:rPr>
          <w:rFonts w:ascii="Gill Sans MT" w:hAnsi="Gill Sans MT"/>
          <w:i/>
        </w:rPr>
        <w:t>Jackson</w:t>
      </w:r>
      <w:r>
        <w:rPr>
          <w:rFonts w:ascii="Gill Sans MT" w:hAnsi="Gill Sans MT"/>
        </w:rPr>
        <w:t>.</w:t>
      </w:r>
      <w:r w:rsidR="00090864">
        <w:rPr>
          <w:rStyle w:val="FootnoteReference"/>
          <w:rFonts w:ascii="Gill Sans MT" w:hAnsi="Gill Sans MT"/>
        </w:rPr>
        <w:footnoteReference w:id="141"/>
      </w:r>
      <w:r>
        <w:rPr>
          <w:rFonts w:ascii="Gill Sans MT" w:hAnsi="Gill Sans MT"/>
        </w:rPr>
        <w:t xml:space="preserve">  If the sovereign Parliament is going to establish legislative conditions constraining its successors, we need to take a strongly literalist approach to those terms, rather than read in </w:t>
      </w:r>
      <w:r w:rsidR="00090864">
        <w:rPr>
          <w:rFonts w:ascii="Gill Sans MT" w:hAnsi="Gill Sans MT"/>
        </w:rPr>
        <w:t xml:space="preserve">any </w:t>
      </w:r>
      <w:r w:rsidR="005B1554">
        <w:rPr>
          <w:rFonts w:ascii="Gill Sans MT" w:hAnsi="Gill Sans MT"/>
        </w:rPr>
        <w:t xml:space="preserve">additional </w:t>
      </w:r>
      <w:r>
        <w:rPr>
          <w:rFonts w:ascii="Gill Sans MT" w:hAnsi="Gill Sans MT"/>
        </w:rPr>
        <w:t>implied</w:t>
      </w:r>
      <w:r w:rsidR="005B1554">
        <w:rPr>
          <w:rFonts w:ascii="Gill Sans MT" w:hAnsi="Gill Sans MT"/>
        </w:rPr>
        <w:t xml:space="preserve"> con</w:t>
      </w:r>
      <w:r w:rsidR="0060081F">
        <w:rPr>
          <w:rFonts w:ascii="Gill Sans MT" w:hAnsi="Gill Sans MT"/>
        </w:rPr>
        <w:t>s</w:t>
      </w:r>
      <w:r w:rsidR="005B1554">
        <w:rPr>
          <w:rFonts w:ascii="Gill Sans MT" w:hAnsi="Gill Sans MT"/>
        </w:rPr>
        <w:t xml:space="preserve">traints.  Moreover, the EU Act 2011 provides a very different context from the limitation at issue in </w:t>
      </w:r>
      <w:r w:rsidR="005B1554" w:rsidRPr="00090864">
        <w:rPr>
          <w:rFonts w:ascii="Gill Sans MT" w:hAnsi="Gill Sans MT"/>
          <w:i/>
        </w:rPr>
        <w:t>Jackson</w:t>
      </w:r>
      <w:r w:rsidR="005B1554">
        <w:rPr>
          <w:rFonts w:ascii="Gill Sans MT" w:hAnsi="Gill Sans MT"/>
        </w:rPr>
        <w:t xml:space="preserve">, found in the Parliament Acts 1911 and 1949.  That limitation on Parliament extending its life beyond five years through a law-making process which does not require the assent of the House of Lords captures a single principle crucial to UK parliamentary democracy – that regular elections must be held to select those in government.  The EU Act 2011, in contrast, created a vast range of technical legislative restrictions which are not underpinned by a principle of the highest constitutional significance, but by a </w:t>
      </w:r>
      <w:proofErr w:type="gramStart"/>
      <w:r w:rsidR="005B1554">
        <w:rPr>
          <w:rFonts w:ascii="Gill Sans MT" w:hAnsi="Gill Sans MT"/>
        </w:rPr>
        <w:t>particular brand</w:t>
      </w:r>
      <w:proofErr w:type="gramEnd"/>
      <w:r w:rsidR="005B1554">
        <w:rPr>
          <w:rFonts w:ascii="Gill Sans MT" w:hAnsi="Gill Sans MT"/>
        </w:rPr>
        <w:t xml:space="preserve"> of political expediency.  </w:t>
      </w:r>
      <w:r w:rsidR="00090864">
        <w:rPr>
          <w:rFonts w:ascii="Gill Sans MT" w:hAnsi="Gill Sans MT"/>
        </w:rPr>
        <w:t>G</w:t>
      </w:r>
      <w:r w:rsidR="005B1554">
        <w:rPr>
          <w:rFonts w:ascii="Gill Sans MT" w:hAnsi="Gill Sans MT"/>
        </w:rPr>
        <w:t>iven the complexity of this</w:t>
      </w:r>
      <w:r w:rsidR="00090864">
        <w:rPr>
          <w:rFonts w:ascii="Gill Sans MT" w:hAnsi="Gill Sans MT"/>
        </w:rPr>
        <w:t xml:space="preserve"> controversial</w:t>
      </w:r>
      <w:r w:rsidR="005B1554">
        <w:rPr>
          <w:rFonts w:ascii="Gill Sans MT" w:hAnsi="Gill Sans MT"/>
        </w:rPr>
        <w:t xml:space="preserve"> scheme, it would be important to interpret the legislation – in the </w:t>
      </w:r>
      <w:r w:rsidR="00CA335F">
        <w:rPr>
          <w:rFonts w:ascii="Gill Sans MT" w:hAnsi="Gill Sans MT"/>
        </w:rPr>
        <w:t xml:space="preserve">complete </w:t>
      </w:r>
      <w:r w:rsidR="005B1554">
        <w:rPr>
          <w:rFonts w:ascii="Gill Sans MT" w:hAnsi="Gill Sans MT"/>
        </w:rPr>
        <w:t xml:space="preserve">absence of explicit language to the contrary </w:t>
      </w:r>
      <w:r w:rsidR="00090864">
        <w:rPr>
          <w:rFonts w:ascii="Gill Sans MT" w:hAnsi="Gill Sans MT"/>
        </w:rPr>
        <w:t>–</w:t>
      </w:r>
      <w:r w:rsidR="005B1554">
        <w:rPr>
          <w:rFonts w:ascii="Gill Sans MT" w:hAnsi="Gill Sans MT"/>
        </w:rPr>
        <w:t xml:space="preserve"> as preserving the flexibility to change (or indeed remove entirely) this array of referendum locks, rather than </w:t>
      </w:r>
      <w:r w:rsidR="008D7804">
        <w:rPr>
          <w:rFonts w:ascii="Gill Sans MT" w:hAnsi="Gill Sans MT"/>
        </w:rPr>
        <w:t xml:space="preserve">attempting to </w:t>
      </w:r>
      <w:r w:rsidR="005B1554">
        <w:rPr>
          <w:rFonts w:ascii="Gill Sans MT" w:hAnsi="Gill Sans MT"/>
        </w:rPr>
        <w:t>read these provision</w:t>
      </w:r>
      <w:r w:rsidR="008D7804">
        <w:rPr>
          <w:rFonts w:ascii="Gill Sans MT" w:hAnsi="Gill Sans MT"/>
        </w:rPr>
        <w:t>s</w:t>
      </w:r>
      <w:r w:rsidR="005B1554">
        <w:rPr>
          <w:rFonts w:ascii="Gill Sans MT" w:hAnsi="Gill Sans MT"/>
        </w:rPr>
        <w:t xml:space="preserve"> as implicitly entrenched.</w:t>
      </w:r>
      <w:r w:rsidR="008D7804">
        <w:rPr>
          <w:rFonts w:ascii="Gill Sans MT" w:hAnsi="Gill Sans MT"/>
        </w:rPr>
        <w:t xml:space="preserve">  The manner and form theory allows us to see statutory referendum conditions as legally effective changes to the future law-making process, but parliamentary sovereignty requires that these provisions operate only in the ways that the legislature has intended.</w:t>
      </w:r>
    </w:p>
    <w:p w14:paraId="062B95B3" w14:textId="5D9EC61F" w:rsidR="00B84091" w:rsidRDefault="00C11E74" w:rsidP="00B84091">
      <w:pPr>
        <w:pStyle w:val="NoSpacing"/>
        <w:ind w:firstLine="720"/>
        <w:jc w:val="both"/>
        <w:rPr>
          <w:rFonts w:ascii="Gill Sans MT" w:hAnsi="Gill Sans MT"/>
        </w:rPr>
      </w:pPr>
      <w:r>
        <w:rPr>
          <w:rFonts w:ascii="Gill Sans MT" w:hAnsi="Gill Sans MT"/>
        </w:rPr>
        <w:t xml:space="preserve">This </w:t>
      </w:r>
      <w:r w:rsidR="008D7804">
        <w:rPr>
          <w:rFonts w:ascii="Gill Sans MT" w:hAnsi="Gill Sans MT"/>
        </w:rPr>
        <w:t xml:space="preserve">speculative </w:t>
      </w:r>
      <w:r>
        <w:rPr>
          <w:rFonts w:ascii="Gill Sans MT" w:hAnsi="Gill Sans MT"/>
        </w:rPr>
        <w:t>challenge</w:t>
      </w:r>
      <w:r w:rsidR="008D7804">
        <w:rPr>
          <w:rFonts w:ascii="Gill Sans MT" w:hAnsi="Gill Sans MT"/>
        </w:rPr>
        <w:t>, which seems most unlikely to succeed, can nevertheless</w:t>
      </w:r>
      <w:r>
        <w:rPr>
          <w:rFonts w:ascii="Gill Sans MT" w:hAnsi="Gill Sans MT"/>
        </w:rPr>
        <w:t xml:space="preserve"> </w:t>
      </w:r>
      <w:r w:rsidR="008D7804">
        <w:rPr>
          <w:rFonts w:ascii="Gill Sans MT" w:hAnsi="Gill Sans MT"/>
        </w:rPr>
        <w:t>offer</w:t>
      </w:r>
      <w:r>
        <w:rPr>
          <w:rFonts w:ascii="Gill Sans MT" w:hAnsi="Gill Sans MT"/>
        </w:rPr>
        <w:t xml:space="preserve"> </w:t>
      </w:r>
      <w:r w:rsidR="008D7804">
        <w:rPr>
          <w:rFonts w:ascii="Gill Sans MT" w:hAnsi="Gill Sans MT"/>
        </w:rPr>
        <w:t>evidence</w:t>
      </w:r>
      <w:r>
        <w:rPr>
          <w:rFonts w:ascii="Gill Sans MT" w:hAnsi="Gill Sans MT"/>
        </w:rPr>
        <w:t xml:space="preserve"> of a changed understanding of the legal implications of statutory conditions altering the future law-making process: the EU Act 2011 seems to have been transformed from a politically objectionable </w:t>
      </w:r>
      <w:r>
        <w:rPr>
          <w:rFonts w:ascii="Gill Sans MT" w:hAnsi="Gill Sans MT"/>
        </w:rPr>
        <w:lastRenderedPageBreak/>
        <w:t xml:space="preserve">curiosity to a significant source of potential legal obligations.  The ‘referendum locks’ contained in the 2011 Act are unlikely to bite on the EU Withdrawal Agreement – but the idea that </w:t>
      </w:r>
      <w:r w:rsidR="00C0110C">
        <w:rPr>
          <w:rFonts w:ascii="Gill Sans MT" w:hAnsi="Gill Sans MT"/>
        </w:rPr>
        <w:t>a</w:t>
      </w:r>
      <w:r>
        <w:rPr>
          <w:rFonts w:ascii="Gill Sans MT" w:hAnsi="Gill Sans MT"/>
        </w:rPr>
        <w:t xml:space="preserve"> statutory referendum lock </w:t>
      </w:r>
      <w:r w:rsidR="00C0110C">
        <w:rPr>
          <w:rFonts w:ascii="Gill Sans MT" w:hAnsi="Gill Sans MT"/>
        </w:rPr>
        <w:t>with</w:t>
      </w:r>
      <w:r>
        <w:rPr>
          <w:rFonts w:ascii="Gill Sans MT" w:hAnsi="Gill Sans MT"/>
        </w:rPr>
        <w:t xml:space="preserve"> legal force </w:t>
      </w:r>
      <w:r w:rsidR="008D7804">
        <w:rPr>
          <w:rFonts w:ascii="Gill Sans MT" w:hAnsi="Gill Sans MT"/>
        </w:rPr>
        <w:t xml:space="preserve">could have existed </w:t>
      </w:r>
      <w:r>
        <w:rPr>
          <w:rFonts w:ascii="Gill Sans MT" w:hAnsi="Gill Sans MT"/>
        </w:rPr>
        <w:t>is being taken as the constitutional starting point for debate about the scope of Parliament’s sovereign power, rather than</w:t>
      </w:r>
      <w:r w:rsidR="008D7804">
        <w:rPr>
          <w:rFonts w:ascii="Gill Sans MT" w:hAnsi="Gill Sans MT"/>
        </w:rPr>
        <w:t xml:space="preserve"> viewed as</w:t>
      </w:r>
      <w:r>
        <w:rPr>
          <w:rFonts w:ascii="Gill Sans MT" w:hAnsi="Gill Sans MT"/>
        </w:rPr>
        <w:t xml:space="preserve"> a futile and forbidden exercise in attempting to ‘bind its successors’.</w:t>
      </w:r>
      <w:r w:rsidR="002F25A3">
        <w:rPr>
          <w:rFonts w:ascii="Gill Sans MT" w:hAnsi="Gill Sans MT"/>
        </w:rPr>
        <w:t xml:space="preserve">  </w:t>
      </w:r>
      <w:r w:rsidR="008D7804">
        <w:rPr>
          <w:rFonts w:ascii="Gill Sans MT" w:hAnsi="Gill Sans MT"/>
        </w:rPr>
        <w:t>This</w:t>
      </w:r>
      <w:r w:rsidR="002F25A3">
        <w:rPr>
          <w:rFonts w:ascii="Gill Sans MT" w:hAnsi="Gill Sans MT"/>
        </w:rPr>
        <w:t xml:space="preserve"> represents the normalisation of the manner and form theory of parliamentary sovereignty, and its position as the new orthodoxy of legislative power in the UK constitution.</w:t>
      </w:r>
    </w:p>
    <w:p w14:paraId="1357C11B" w14:textId="7C0007D5" w:rsidR="00B84091" w:rsidRPr="006E31E6" w:rsidRDefault="00A7632A" w:rsidP="00B417F1">
      <w:pPr>
        <w:pStyle w:val="NormalWeb"/>
        <w:spacing w:before="0" w:beforeAutospacing="0" w:after="0" w:afterAutospacing="0"/>
        <w:ind w:firstLine="720"/>
        <w:jc w:val="both"/>
        <w:rPr>
          <w:rFonts w:ascii="Gill Sans MT" w:hAnsi="Gill Sans MT"/>
        </w:rPr>
      </w:pPr>
      <w:r>
        <w:rPr>
          <w:rFonts w:ascii="Gill Sans MT" w:hAnsi="Gill Sans MT"/>
        </w:rPr>
        <w:t xml:space="preserve">When we look across </w:t>
      </w:r>
      <w:proofErr w:type="gramStart"/>
      <w:r w:rsidR="00570D45">
        <w:rPr>
          <w:rFonts w:ascii="Gill Sans MT" w:hAnsi="Gill Sans MT"/>
        </w:rPr>
        <w:t>all of</w:t>
      </w:r>
      <w:proofErr w:type="gramEnd"/>
      <w:r w:rsidR="00570D45">
        <w:rPr>
          <w:rFonts w:ascii="Gill Sans MT" w:hAnsi="Gill Sans MT"/>
        </w:rPr>
        <w:t xml:space="preserve"> </w:t>
      </w:r>
      <w:r>
        <w:rPr>
          <w:rFonts w:ascii="Gill Sans MT" w:hAnsi="Gill Sans MT"/>
        </w:rPr>
        <w:t>the</w:t>
      </w:r>
      <w:r w:rsidR="00B84091">
        <w:rPr>
          <w:rFonts w:ascii="Gill Sans MT" w:hAnsi="Gill Sans MT"/>
        </w:rPr>
        <w:t xml:space="preserve"> recent</w:t>
      </w:r>
      <w:r w:rsidR="008D7804">
        <w:rPr>
          <w:rFonts w:ascii="Gill Sans MT" w:hAnsi="Gill Sans MT"/>
        </w:rPr>
        <w:t xml:space="preserve"> legislative developments</w:t>
      </w:r>
      <w:r w:rsidR="00570D45">
        <w:rPr>
          <w:rFonts w:ascii="Gill Sans MT" w:hAnsi="Gill Sans MT"/>
        </w:rPr>
        <w:t xml:space="preserve"> considered in this section,</w:t>
      </w:r>
      <w:r w:rsidR="008D7804">
        <w:rPr>
          <w:rFonts w:ascii="Gill Sans MT" w:hAnsi="Gill Sans MT"/>
        </w:rPr>
        <w:t xml:space="preserve"> </w:t>
      </w:r>
      <w:r>
        <w:rPr>
          <w:rFonts w:ascii="Gill Sans MT" w:hAnsi="Gill Sans MT"/>
        </w:rPr>
        <w:t>we can see the shifting</w:t>
      </w:r>
      <w:r w:rsidRPr="006E31E6">
        <w:rPr>
          <w:rFonts w:ascii="Gill Sans MT" w:hAnsi="Gill Sans MT"/>
        </w:rPr>
        <w:t xml:space="preserve"> power and position of </w:t>
      </w:r>
      <w:r>
        <w:rPr>
          <w:rFonts w:ascii="Gill Sans MT" w:hAnsi="Gill Sans MT"/>
        </w:rPr>
        <w:t>the UK Parliament</w:t>
      </w:r>
      <w:r w:rsidRPr="006E31E6">
        <w:rPr>
          <w:rFonts w:ascii="Gill Sans MT" w:hAnsi="Gill Sans MT"/>
        </w:rPr>
        <w:t xml:space="preserve"> in the constitution. </w:t>
      </w:r>
      <w:r w:rsidR="00B84091">
        <w:rPr>
          <w:rFonts w:ascii="Gill Sans MT" w:hAnsi="Gill Sans MT"/>
        </w:rPr>
        <w:t xml:space="preserve">  There is </w:t>
      </w:r>
      <w:r w:rsidR="00B84091" w:rsidRPr="006E31E6">
        <w:rPr>
          <w:rFonts w:ascii="Gill Sans MT" w:hAnsi="Gill Sans MT"/>
        </w:rPr>
        <w:t xml:space="preserve">increasing complexity </w:t>
      </w:r>
      <w:r w:rsidR="00B84091">
        <w:rPr>
          <w:rFonts w:ascii="Gill Sans MT" w:hAnsi="Gill Sans MT"/>
        </w:rPr>
        <w:t xml:space="preserve">evident </w:t>
      </w:r>
      <w:r w:rsidR="00B84091" w:rsidRPr="006E31E6">
        <w:rPr>
          <w:rFonts w:ascii="Gill Sans MT" w:hAnsi="Gill Sans MT"/>
        </w:rPr>
        <w:t>in</w:t>
      </w:r>
      <w:r w:rsidR="00B84091">
        <w:rPr>
          <w:rFonts w:ascii="Gill Sans MT" w:hAnsi="Gill Sans MT"/>
        </w:rPr>
        <w:t xml:space="preserve"> the</w:t>
      </w:r>
      <w:r w:rsidR="00B84091" w:rsidRPr="006E31E6">
        <w:rPr>
          <w:rFonts w:ascii="Gill Sans MT" w:hAnsi="Gill Sans MT"/>
        </w:rPr>
        <w:t xml:space="preserve"> range of constitutional questions raised in the modern UK constitution about the use</w:t>
      </w:r>
      <w:r w:rsidR="00B84091">
        <w:rPr>
          <w:rFonts w:ascii="Gill Sans MT" w:hAnsi="Gill Sans MT"/>
        </w:rPr>
        <w:t>s</w:t>
      </w:r>
      <w:r w:rsidR="00B84091" w:rsidRPr="006E31E6">
        <w:rPr>
          <w:rFonts w:ascii="Gill Sans MT" w:hAnsi="Gill Sans MT"/>
        </w:rPr>
        <w:t xml:space="preserve"> of legislative power</w:t>
      </w:r>
      <w:r w:rsidR="00B84091">
        <w:rPr>
          <w:rFonts w:ascii="Gill Sans MT" w:hAnsi="Gill Sans MT"/>
        </w:rPr>
        <w:t>, and issues of</w:t>
      </w:r>
      <w:r w:rsidRPr="006E31E6">
        <w:rPr>
          <w:rFonts w:ascii="Gill Sans MT" w:hAnsi="Gill Sans MT"/>
        </w:rPr>
        <w:t xml:space="preserve"> institutional</w:t>
      </w:r>
      <w:r w:rsidR="00B84091">
        <w:rPr>
          <w:rFonts w:ascii="Gill Sans MT" w:hAnsi="Gill Sans MT"/>
        </w:rPr>
        <w:t xml:space="preserve"> interaction and alignment</w:t>
      </w:r>
      <w:r w:rsidRPr="006E31E6">
        <w:rPr>
          <w:rFonts w:ascii="Gill Sans MT" w:hAnsi="Gill Sans MT"/>
        </w:rPr>
        <w:t xml:space="preserve">, hierarchies of norms, and dispersal of powers. </w:t>
      </w:r>
      <w:r w:rsidR="00B84091">
        <w:rPr>
          <w:rFonts w:ascii="Gill Sans MT" w:hAnsi="Gill Sans MT"/>
        </w:rPr>
        <w:t xml:space="preserve"> This d</w:t>
      </w:r>
      <w:r w:rsidR="00B84091" w:rsidRPr="006E31E6">
        <w:rPr>
          <w:rFonts w:ascii="Gill Sans MT" w:hAnsi="Gill Sans MT"/>
        </w:rPr>
        <w:t>oes not mean we are now in a post</w:t>
      </w:r>
      <w:r w:rsidR="00B84091">
        <w:rPr>
          <w:rFonts w:ascii="Gill Sans MT" w:hAnsi="Gill Sans MT"/>
        </w:rPr>
        <w:t>-</w:t>
      </w:r>
      <w:r w:rsidR="00B84091" w:rsidRPr="006E31E6">
        <w:rPr>
          <w:rFonts w:ascii="Gill Sans MT" w:hAnsi="Gill Sans MT"/>
        </w:rPr>
        <w:t>parliamentary sovereignty age</w:t>
      </w:r>
      <w:r w:rsidR="00B84091">
        <w:rPr>
          <w:rFonts w:ascii="Gill Sans MT" w:hAnsi="Gill Sans MT"/>
        </w:rPr>
        <w:t>,</w:t>
      </w:r>
      <w:r w:rsidR="00B84091">
        <w:rPr>
          <w:rStyle w:val="FootnoteReference"/>
          <w:rFonts w:ascii="Gill Sans MT" w:hAnsi="Gill Sans MT"/>
        </w:rPr>
        <w:footnoteReference w:id="142"/>
      </w:r>
      <w:r w:rsidR="00B84091">
        <w:rPr>
          <w:rFonts w:ascii="Gill Sans MT" w:hAnsi="Gill Sans MT"/>
        </w:rPr>
        <w:t xml:space="preserve"> </w:t>
      </w:r>
      <w:r w:rsidR="00B84091" w:rsidRPr="006E31E6">
        <w:rPr>
          <w:rFonts w:ascii="Gill Sans MT" w:hAnsi="Gill Sans MT"/>
        </w:rPr>
        <w:t>but shows</w:t>
      </w:r>
      <w:r w:rsidR="00B84091">
        <w:rPr>
          <w:rFonts w:ascii="Gill Sans MT" w:hAnsi="Gill Sans MT"/>
        </w:rPr>
        <w:t xml:space="preserve"> the</w:t>
      </w:r>
      <w:r w:rsidR="00B84091" w:rsidRPr="006E31E6">
        <w:rPr>
          <w:rFonts w:ascii="Gill Sans MT" w:hAnsi="Gill Sans MT"/>
        </w:rPr>
        <w:t xml:space="preserve"> </w:t>
      </w:r>
      <w:r w:rsidR="00B84091">
        <w:rPr>
          <w:rFonts w:ascii="Gill Sans MT" w:hAnsi="Gill Sans MT"/>
        </w:rPr>
        <w:t xml:space="preserve">possibilities available </w:t>
      </w:r>
      <w:r w:rsidR="00B84091" w:rsidRPr="006E31E6">
        <w:rPr>
          <w:rFonts w:ascii="Gill Sans MT" w:hAnsi="Gill Sans MT"/>
        </w:rPr>
        <w:t>in a constitution structured around the idea of legally unlimited legislative authority.</w:t>
      </w:r>
      <w:r w:rsidR="00B417F1">
        <w:rPr>
          <w:rFonts w:ascii="Gill Sans MT" w:hAnsi="Gill Sans MT"/>
        </w:rPr>
        <w:t xml:space="preserve">  Our current constitutional environment is crucially s</w:t>
      </w:r>
      <w:r w:rsidR="00B84091" w:rsidRPr="006E31E6">
        <w:rPr>
          <w:rFonts w:ascii="Gill Sans MT" w:hAnsi="Gill Sans MT"/>
        </w:rPr>
        <w:t xml:space="preserve">haped by </w:t>
      </w:r>
      <w:r w:rsidR="00B417F1">
        <w:rPr>
          <w:rFonts w:ascii="Gill Sans MT" w:hAnsi="Gill Sans MT"/>
        </w:rPr>
        <w:t xml:space="preserve">the activity of the UK’s </w:t>
      </w:r>
      <w:r w:rsidR="00B84091" w:rsidRPr="006E31E6">
        <w:rPr>
          <w:rFonts w:ascii="Gill Sans MT" w:hAnsi="Gill Sans MT"/>
        </w:rPr>
        <w:t>sovereign P</w:t>
      </w:r>
      <w:r w:rsidR="00B417F1">
        <w:rPr>
          <w:rFonts w:ascii="Gill Sans MT" w:hAnsi="Gill Sans MT"/>
        </w:rPr>
        <w:t xml:space="preserve">arliament, through its substantive law-making and engagement with </w:t>
      </w:r>
      <w:r w:rsidR="00B84091" w:rsidRPr="006E31E6">
        <w:rPr>
          <w:rFonts w:ascii="Gill Sans MT" w:hAnsi="Gill Sans MT"/>
        </w:rPr>
        <w:t xml:space="preserve">procedural change. </w:t>
      </w:r>
      <w:r w:rsidR="00B417F1">
        <w:rPr>
          <w:rFonts w:ascii="Gill Sans MT" w:hAnsi="Gill Sans MT"/>
        </w:rPr>
        <w:t xml:space="preserve"> Consideration of these issues also</w:t>
      </w:r>
      <w:r w:rsidR="00B84091" w:rsidRPr="006E31E6">
        <w:rPr>
          <w:rFonts w:ascii="Gill Sans MT" w:hAnsi="Gill Sans MT"/>
        </w:rPr>
        <w:t xml:space="preserve"> truly exposes the myth that Brexit will see the UK's constitutional reversion to a simple pre</w:t>
      </w:r>
      <w:r w:rsidR="00141ADF">
        <w:rPr>
          <w:rFonts w:ascii="Gill Sans MT" w:hAnsi="Gill Sans MT"/>
        </w:rPr>
        <w:t>-1</w:t>
      </w:r>
      <w:r w:rsidR="00B84091" w:rsidRPr="006E31E6">
        <w:rPr>
          <w:rFonts w:ascii="Gill Sans MT" w:hAnsi="Gill Sans MT"/>
        </w:rPr>
        <w:t xml:space="preserve">972 position in which Parliament was sovereign and could act as it liked. </w:t>
      </w:r>
      <w:r w:rsidR="00141ADF">
        <w:rPr>
          <w:rFonts w:ascii="Gill Sans MT" w:hAnsi="Gill Sans MT"/>
        </w:rPr>
        <w:t xml:space="preserve"> </w:t>
      </w:r>
      <w:r w:rsidR="00B84091" w:rsidRPr="006E31E6">
        <w:rPr>
          <w:rFonts w:ascii="Gill Sans MT" w:hAnsi="Gill Sans MT"/>
        </w:rPr>
        <w:t xml:space="preserve">Such a vision </w:t>
      </w:r>
      <w:r w:rsidR="00141ADF">
        <w:rPr>
          <w:rFonts w:ascii="Gill Sans MT" w:hAnsi="Gill Sans MT"/>
        </w:rPr>
        <w:t xml:space="preserve">fundamentally </w:t>
      </w:r>
      <w:r w:rsidR="00B84091" w:rsidRPr="006E31E6">
        <w:rPr>
          <w:rFonts w:ascii="Gill Sans MT" w:hAnsi="Gill Sans MT"/>
        </w:rPr>
        <w:t>misrep</w:t>
      </w:r>
      <w:r w:rsidR="00141ADF">
        <w:rPr>
          <w:rFonts w:ascii="Gill Sans MT" w:hAnsi="Gill Sans MT"/>
        </w:rPr>
        <w:t>r</w:t>
      </w:r>
      <w:r w:rsidR="00B84091" w:rsidRPr="006E31E6">
        <w:rPr>
          <w:rFonts w:ascii="Gill Sans MT" w:hAnsi="Gill Sans MT"/>
        </w:rPr>
        <w:t>esents the idea of parliamentary sovereignty</w:t>
      </w:r>
      <w:r w:rsidR="00141ADF">
        <w:rPr>
          <w:rFonts w:ascii="Gill Sans MT" w:hAnsi="Gill Sans MT"/>
        </w:rPr>
        <w:t>.  E</w:t>
      </w:r>
      <w:r w:rsidR="00B84091" w:rsidRPr="006E31E6">
        <w:rPr>
          <w:rFonts w:ascii="Gill Sans MT" w:hAnsi="Gill Sans MT"/>
        </w:rPr>
        <w:t>ven where legislative authority is unlimited</w:t>
      </w:r>
      <w:r w:rsidR="00141ADF">
        <w:rPr>
          <w:rFonts w:ascii="Gill Sans MT" w:hAnsi="Gill Sans MT"/>
        </w:rPr>
        <w:t xml:space="preserve"> by law</w:t>
      </w:r>
      <w:r w:rsidR="00B84091" w:rsidRPr="006E31E6">
        <w:rPr>
          <w:rFonts w:ascii="Gill Sans MT" w:hAnsi="Gill Sans MT"/>
        </w:rPr>
        <w:t xml:space="preserve">, it must be exercised in a complicated context, recognising the positions of a </w:t>
      </w:r>
      <w:r w:rsidR="00141ADF">
        <w:rPr>
          <w:rFonts w:ascii="Gill Sans MT" w:hAnsi="Gill Sans MT"/>
        </w:rPr>
        <w:t xml:space="preserve">diverse </w:t>
      </w:r>
      <w:r w:rsidR="00B84091" w:rsidRPr="006E31E6">
        <w:rPr>
          <w:rFonts w:ascii="Gill Sans MT" w:hAnsi="Gill Sans MT"/>
        </w:rPr>
        <w:t xml:space="preserve">range of </w:t>
      </w:r>
      <w:r w:rsidR="00141ADF">
        <w:rPr>
          <w:rFonts w:ascii="Gill Sans MT" w:hAnsi="Gill Sans MT"/>
        </w:rPr>
        <w:t xml:space="preserve">other </w:t>
      </w:r>
      <w:r w:rsidR="00B84091" w:rsidRPr="006E31E6">
        <w:rPr>
          <w:rFonts w:ascii="Gill Sans MT" w:hAnsi="Gill Sans MT"/>
        </w:rPr>
        <w:t xml:space="preserve">legally, politically or democratically empowered actors and institutions, </w:t>
      </w:r>
      <w:r w:rsidR="00141ADF">
        <w:rPr>
          <w:rFonts w:ascii="Gill Sans MT" w:hAnsi="Gill Sans MT"/>
        </w:rPr>
        <w:t xml:space="preserve">in a way which is informed by </w:t>
      </w:r>
      <w:r w:rsidR="00B84091" w:rsidRPr="006E31E6">
        <w:rPr>
          <w:rFonts w:ascii="Gill Sans MT" w:hAnsi="Gill Sans MT"/>
        </w:rPr>
        <w:t>the principles which underpin that wider constitutional system.</w:t>
      </w:r>
      <w:r w:rsidR="00141ADF">
        <w:rPr>
          <w:rFonts w:ascii="Gill Sans MT" w:hAnsi="Gill Sans MT"/>
        </w:rPr>
        <w:t xml:space="preserve"> </w:t>
      </w:r>
      <w:r w:rsidR="00B84091" w:rsidRPr="006E31E6">
        <w:rPr>
          <w:rFonts w:ascii="Gill Sans MT" w:hAnsi="Gill Sans MT"/>
        </w:rPr>
        <w:t xml:space="preserve"> Parliamentary sovereignty remains at the core of our constitutional system, but it should be no surprise</w:t>
      </w:r>
      <w:r w:rsidR="00141ADF">
        <w:rPr>
          <w:rFonts w:ascii="Gill Sans MT" w:hAnsi="Gill Sans MT"/>
        </w:rPr>
        <w:t>,</w:t>
      </w:r>
      <w:r w:rsidR="00B84091" w:rsidRPr="006E31E6">
        <w:rPr>
          <w:rFonts w:ascii="Gill Sans MT" w:hAnsi="Gill Sans MT"/>
        </w:rPr>
        <w:t xml:space="preserve"> given the doctrine is an instrument for</w:t>
      </w:r>
      <w:r w:rsidR="00141ADF">
        <w:rPr>
          <w:rFonts w:ascii="Gill Sans MT" w:hAnsi="Gill Sans MT"/>
        </w:rPr>
        <w:t xml:space="preserve"> achieving </w:t>
      </w:r>
      <w:r w:rsidR="00B84091" w:rsidRPr="006E31E6">
        <w:rPr>
          <w:rFonts w:ascii="Gill Sans MT" w:hAnsi="Gill Sans MT"/>
        </w:rPr>
        <w:t>change through law</w:t>
      </w:r>
      <w:r w:rsidR="00141ADF">
        <w:rPr>
          <w:rFonts w:ascii="Gill Sans MT" w:hAnsi="Gill Sans MT"/>
        </w:rPr>
        <w:t>,</w:t>
      </w:r>
      <w:r w:rsidR="00B84091" w:rsidRPr="006E31E6">
        <w:rPr>
          <w:rFonts w:ascii="Gill Sans MT" w:hAnsi="Gill Sans MT"/>
        </w:rPr>
        <w:t xml:space="preserve"> that the modern UK constitution has changed around and through the idea of parliamentary sovereignty. </w:t>
      </w:r>
      <w:r w:rsidR="00141ADF">
        <w:rPr>
          <w:rFonts w:ascii="Gill Sans MT" w:hAnsi="Gill Sans MT"/>
        </w:rPr>
        <w:t xml:space="preserve"> Such change will inevitably </w:t>
      </w:r>
      <w:proofErr w:type="gramStart"/>
      <w:r w:rsidR="00141ADF">
        <w:rPr>
          <w:rFonts w:ascii="Gill Sans MT" w:hAnsi="Gill Sans MT"/>
        </w:rPr>
        <w:t>continue</w:t>
      </w:r>
      <w:r w:rsidR="00B84091" w:rsidRPr="006E31E6">
        <w:rPr>
          <w:rFonts w:ascii="Gill Sans MT" w:hAnsi="Gill Sans MT"/>
        </w:rPr>
        <w:t>, because</w:t>
      </w:r>
      <w:proofErr w:type="gramEnd"/>
      <w:r w:rsidR="00B84091" w:rsidRPr="006E31E6">
        <w:rPr>
          <w:rFonts w:ascii="Gill Sans MT" w:hAnsi="Gill Sans MT"/>
        </w:rPr>
        <w:t xml:space="preserve"> that is the nature of the UK's constitutional model.</w:t>
      </w:r>
    </w:p>
    <w:p w14:paraId="3DD59296" w14:textId="77777777" w:rsidR="00141ADF" w:rsidRDefault="00141ADF" w:rsidP="00111AA7">
      <w:pPr>
        <w:pStyle w:val="NoSpacing"/>
        <w:jc w:val="both"/>
        <w:rPr>
          <w:rFonts w:ascii="Gill Sans MT" w:hAnsi="Gill Sans MT"/>
          <w:u w:val="single"/>
        </w:rPr>
      </w:pPr>
    </w:p>
    <w:p w14:paraId="7363810A" w14:textId="6B33D093" w:rsidR="006C01B3" w:rsidRPr="00A50FF1" w:rsidRDefault="00141ADF" w:rsidP="00111AA7">
      <w:pPr>
        <w:pStyle w:val="NoSpacing"/>
        <w:jc w:val="both"/>
        <w:rPr>
          <w:rFonts w:ascii="Gill Sans MT" w:hAnsi="Gill Sans MT"/>
          <w:b/>
          <w:u w:val="single"/>
        </w:rPr>
      </w:pPr>
      <w:r w:rsidRPr="00A50FF1">
        <w:rPr>
          <w:rFonts w:ascii="Gill Sans MT" w:hAnsi="Gill Sans MT"/>
          <w:b/>
          <w:u w:val="single"/>
        </w:rPr>
        <w:t>C</w:t>
      </w:r>
      <w:r w:rsidR="009922B9" w:rsidRPr="00A50FF1">
        <w:rPr>
          <w:rFonts w:ascii="Gill Sans MT" w:hAnsi="Gill Sans MT"/>
          <w:b/>
          <w:u w:val="single"/>
        </w:rPr>
        <w:t>onclusion</w:t>
      </w:r>
    </w:p>
    <w:p w14:paraId="2E4C497F" w14:textId="77777777" w:rsidR="009922B9" w:rsidRDefault="009922B9" w:rsidP="00111AA7">
      <w:pPr>
        <w:pStyle w:val="NoSpacing"/>
        <w:jc w:val="both"/>
        <w:rPr>
          <w:rFonts w:ascii="Gill Sans MT" w:hAnsi="Gill Sans MT"/>
          <w:u w:val="single"/>
        </w:rPr>
      </w:pPr>
    </w:p>
    <w:p w14:paraId="227F1058" w14:textId="08EC1746" w:rsidR="002C4982" w:rsidRDefault="000D0CF0" w:rsidP="007265A5">
      <w:pPr>
        <w:pStyle w:val="NoSpacing"/>
        <w:jc w:val="both"/>
        <w:rPr>
          <w:rFonts w:ascii="Gill Sans MT" w:hAnsi="Gill Sans MT"/>
        </w:rPr>
      </w:pPr>
      <w:r>
        <w:rPr>
          <w:rFonts w:ascii="Gill Sans MT" w:hAnsi="Gill Sans MT"/>
        </w:rPr>
        <w:t xml:space="preserve">This paper </w:t>
      </w:r>
      <w:r w:rsidR="007265A5">
        <w:rPr>
          <w:rFonts w:ascii="Gill Sans MT" w:hAnsi="Gill Sans MT"/>
        </w:rPr>
        <w:t>has analysed</w:t>
      </w:r>
      <w:r>
        <w:rPr>
          <w:rFonts w:ascii="Gill Sans MT" w:hAnsi="Gill Sans MT"/>
        </w:rPr>
        <w:t xml:space="preserve"> </w:t>
      </w:r>
      <w:r w:rsidR="00F847F6">
        <w:rPr>
          <w:rFonts w:ascii="Gill Sans MT" w:hAnsi="Gill Sans MT"/>
        </w:rPr>
        <w:t xml:space="preserve">potentially </w:t>
      </w:r>
      <w:r>
        <w:rPr>
          <w:rFonts w:ascii="Gill Sans MT" w:hAnsi="Gill Sans MT"/>
        </w:rPr>
        <w:t>significant c</w:t>
      </w:r>
      <w:r w:rsidR="00082515">
        <w:rPr>
          <w:rFonts w:ascii="Gill Sans MT" w:hAnsi="Gill Sans MT"/>
        </w:rPr>
        <w:t>hallenges to parliamentary sovereignty</w:t>
      </w:r>
      <w:r w:rsidR="00F847F6">
        <w:rPr>
          <w:rFonts w:ascii="Gill Sans MT" w:hAnsi="Gill Sans MT"/>
        </w:rPr>
        <w:t xml:space="preserve"> arising</w:t>
      </w:r>
      <w:r w:rsidR="00082515">
        <w:rPr>
          <w:rFonts w:ascii="Gill Sans MT" w:hAnsi="Gill Sans MT"/>
        </w:rPr>
        <w:t xml:space="preserve"> from political, judicial and legislative developments since 2015.  </w:t>
      </w:r>
      <w:r>
        <w:rPr>
          <w:rFonts w:ascii="Gill Sans MT" w:hAnsi="Gill Sans MT"/>
        </w:rPr>
        <w:t>We have seen that t</w:t>
      </w:r>
      <w:r w:rsidR="00082515">
        <w:rPr>
          <w:rFonts w:ascii="Gill Sans MT" w:hAnsi="Gill Sans MT"/>
        </w:rPr>
        <w:t xml:space="preserve">hese challenges </w:t>
      </w:r>
      <w:r>
        <w:rPr>
          <w:rFonts w:ascii="Gill Sans MT" w:hAnsi="Gill Sans MT"/>
        </w:rPr>
        <w:t>are</w:t>
      </w:r>
      <w:r w:rsidR="00082515">
        <w:rPr>
          <w:rFonts w:ascii="Gill Sans MT" w:hAnsi="Gill Sans MT"/>
        </w:rPr>
        <w:t xml:space="preserve"> quite different in natur</w:t>
      </w:r>
      <w:r w:rsidR="00F847F6">
        <w:rPr>
          <w:rFonts w:ascii="Gill Sans MT" w:hAnsi="Gill Sans MT"/>
        </w:rPr>
        <w:t>e.  There has been political misunderstanding and slog</w:t>
      </w:r>
      <w:r w:rsidR="00082515">
        <w:rPr>
          <w:rFonts w:ascii="Gill Sans MT" w:hAnsi="Gill Sans MT"/>
        </w:rPr>
        <w:t>anisation</w:t>
      </w:r>
      <w:r w:rsidR="00F847F6">
        <w:rPr>
          <w:rFonts w:ascii="Gill Sans MT" w:hAnsi="Gill Sans MT"/>
        </w:rPr>
        <w:t xml:space="preserve"> of parliamentary sovereignty</w:t>
      </w:r>
      <w:r w:rsidR="00082515">
        <w:rPr>
          <w:rFonts w:ascii="Gill Sans MT" w:hAnsi="Gill Sans MT"/>
        </w:rPr>
        <w:t xml:space="preserve">, </w:t>
      </w:r>
      <w:r w:rsidR="00F847F6">
        <w:rPr>
          <w:rFonts w:ascii="Gill Sans MT" w:hAnsi="Gill Sans MT"/>
        </w:rPr>
        <w:t>with unpredictable future consequences.  There appeared to be a formal re</w:t>
      </w:r>
      <w:r w:rsidR="00082515">
        <w:rPr>
          <w:rFonts w:ascii="Gill Sans MT" w:hAnsi="Gill Sans MT"/>
        </w:rPr>
        <w:t>affirm</w:t>
      </w:r>
      <w:r w:rsidR="00F847F6">
        <w:rPr>
          <w:rFonts w:ascii="Gill Sans MT" w:hAnsi="Gill Sans MT"/>
        </w:rPr>
        <w:t xml:space="preserve">ation of judicial commitment to the doctrine, but this has been broadly undermined in practice, as the courts continue to try to extend their constitutional authority.  And </w:t>
      </w:r>
      <w:r w:rsidR="002C4982">
        <w:rPr>
          <w:rFonts w:ascii="Gill Sans MT" w:hAnsi="Gill Sans MT"/>
        </w:rPr>
        <w:t>there has been</w:t>
      </w:r>
      <w:r w:rsidR="00082515">
        <w:rPr>
          <w:rFonts w:ascii="Gill Sans MT" w:hAnsi="Gill Sans MT"/>
        </w:rPr>
        <w:t xml:space="preserve"> legislative</w:t>
      </w:r>
      <w:r w:rsidR="00F847F6">
        <w:rPr>
          <w:rFonts w:ascii="Gill Sans MT" w:hAnsi="Gill Sans MT"/>
        </w:rPr>
        <w:t xml:space="preserve"> </w:t>
      </w:r>
      <w:r w:rsidR="00082515">
        <w:rPr>
          <w:rFonts w:ascii="Gill Sans MT" w:hAnsi="Gill Sans MT"/>
        </w:rPr>
        <w:t xml:space="preserve">experimentation </w:t>
      </w:r>
      <w:r w:rsidR="00F847F6">
        <w:rPr>
          <w:rFonts w:ascii="Gill Sans MT" w:hAnsi="Gill Sans MT"/>
        </w:rPr>
        <w:t>with the parameters of Parliament’s legally unlimited authority, demonstrating the increasingly diverse environment, and the increasingly diverse ways, in which that law-making power can be used.</w:t>
      </w:r>
      <w:r w:rsidR="00082515">
        <w:rPr>
          <w:rFonts w:ascii="Gill Sans MT" w:hAnsi="Gill Sans MT"/>
        </w:rPr>
        <w:t xml:space="preserve"> </w:t>
      </w:r>
      <w:r w:rsidR="002C4982">
        <w:rPr>
          <w:rFonts w:ascii="Gill Sans MT" w:hAnsi="Gill Sans MT"/>
        </w:rPr>
        <w:t xml:space="preserve"> </w:t>
      </w:r>
      <w:r>
        <w:rPr>
          <w:rFonts w:ascii="Gill Sans MT" w:hAnsi="Gill Sans MT"/>
        </w:rPr>
        <w:t>T</w:t>
      </w:r>
      <w:r w:rsidR="00082515">
        <w:rPr>
          <w:rFonts w:ascii="Gill Sans MT" w:hAnsi="Gill Sans MT"/>
        </w:rPr>
        <w:t xml:space="preserve">he varying nature of the challenges contributes to the </w:t>
      </w:r>
      <w:r w:rsidR="00B86918">
        <w:rPr>
          <w:rFonts w:ascii="Gill Sans MT" w:hAnsi="Gill Sans MT"/>
        </w:rPr>
        <w:t>overall</w:t>
      </w:r>
      <w:r w:rsidR="00082515">
        <w:rPr>
          <w:rFonts w:ascii="Gill Sans MT" w:hAnsi="Gill Sans MT"/>
        </w:rPr>
        <w:t xml:space="preserve"> sense that parliamentary sovereignty is caught up in the wider changes </w:t>
      </w:r>
      <w:r w:rsidR="002C4982">
        <w:rPr>
          <w:rFonts w:ascii="Gill Sans MT" w:hAnsi="Gill Sans MT"/>
        </w:rPr>
        <w:t xml:space="preserve">which are </w:t>
      </w:r>
      <w:r w:rsidR="00082515">
        <w:rPr>
          <w:rFonts w:ascii="Gill Sans MT" w:hAnsi="Gill Sans MT"/>
        </w:rPr>
        <w:t xml:space="preserve">occurring (or at least </w:t>
      </w:r>
      <w:r w:rsidR="002C4982">
        <w:rPr>
          <w:rFonts w:ascii="Gill Sans MT" w:hAnsi="Gill Sans MT"/>
        </w:rPr>
        <w:t>possible to anticipate</w:t>
      </w:r>
      <w:r w:rsidR="00082515">
        <w:rPr>
          <w:rFonts w:ascii="Gill Sans MT" w:hAnsi="Gill Sans MT"/>
        </w:rPr>
        <w:t>) in this age of constitutional flux.</w:t>
      </w:r>
    </w:p>
    <w:p w14:paraId="3AB15C0E" w14:textId="0E8CC245" w:rsidR="00B86918" w:rsidRDefault="000D0CF0" w:rsidP="00B86918">
      <w:pPr>
        <w:pStyle w:val="NoSpacing"/>
        <w:ind w:firstLine="720"/>
        <w:jc w:val="both"/>
        <w:rPr>
          <w:rFonts w:ascii="Gill Sans MT" w:hAnsi="Gill Sans MT"/>
        </w:rPr>
      </w:pPr>
      <w:r>
        <w:rPr>
          <w:rFonts w:ascii="Gill Sans MT" w:hAnsi="Gill Sans MT"/>
        </w:rPr>
        <w:t>Yet the resilience of the doctrine of parliamentary sovereignty in the face of challenging political, judicial and legislative developments also demonstrates the continui</w:t>
      </w:r>
      <w:r w:rsidR="003A5409">
        <w:rPr>
          <w:rFonts w:ascii="Gill Sans MT" w:hAnsi="Gill Sans MT"/>
        </w:rPr>
        <w:t>ng</w:t>
      </w:r>
      <w:r>
        <w:rPr>
          <w:rFonts w:ascii="Gill Sans MT" w:hAnsi="Gill Sans MT"/>
        </w:rPr>
        <w:t xml:space="preserve"> centrality of this doctrine in the constitution of the UK.  </w:t>
      </w:r>
      <w:r w:rsidR="002C4982">
        <w:rPr>
          <w:rFonts w:ascii="Gill Sans MT" w:hAnsi="Gill Sans MT"/>
        </w:rPr>
        <w:t xml:space="preserve">The major constitutional debates of the present period affect, exploit and engage with the idea of Parliament as the sovereignty legislative body in the UK.   Often this is with good reason, sometimes it is in error, but </w:t>
      </w:r>
      <w:r w:rsidR="006E439B">
        <w:rPr>
          <w:rFonts w:ascii="Gill Sans MT" w:hAnsi="Gill Sans MT"/>
        </w:rPr>
        <w:t>it is remarkable that this age of constitutional flux is also, in many respects, an age of parliamentary sovereignty.</w:t>
      </w:r>
      <w:r w:rsidR="00B86918">
        <w:rPr>
          <w:rFonts w:ascii="Gill Sans MT" w:hAnsi="Gill Sans MT"/>
        </w:rPr>
        <w:t xml:space="preserve">  </w:t>
      </w:r>
      <w:r w:rsidR="00B86918" w:rsidRPr="00B86918">
        <w:rPr>
          <w:rFonts w:ascii="Gill Sans MT" w:hAnsi="Gill Sans MT"/>
        </w:rPr>
        <w:t>Indeed</w:t>
      </w:r>
      <w:r w:rsidR="00146504">
        <w:rPr>
          <w:rFonts w:ascii="Gill Sans MT" w:hAnsi="Gill Sans MT"/>
        </w:rPr>
        <w:t xml:space="preserve">, it may well be the centrality and </w:t>
      </w:r>
      <w:r w:rsidR="00B86918">
        <w:rPr>
          <w:rFonts w:ascii="Gill Sans MT" w:hAnsi="Gill Sans MT"/>
        </w:rPr>
        <w:t>persistence</w:t>
      </w:r>
      <w:r w:rsidR="00146504">
        <w:rPr>
          <w:rFonts w:ascii="Gill Sans MT" w:hAnsi="Gill Sans MT"/>
        </w:rPr>
        <w:t xml:space="preserve"> of parliamentary sovereignty which invite challenge to the doctrine – with the </w:t>
      </w:r>
      <w:r w:rsidR="00B86918">
        <w:rPr>
          <w:rFonts w:ascii="Gill Sans MT" w:hAnsi="Gill Sans MT"/>
        </w:rPr>
        <w:t xml:space="preserve">paradoxical </w:t>
      </w:r>
      <w:r w:rsidR="00146504">
        <w:rPr>
          <w:rFonts w:ascii="Gill Sans MT" w:hAnsi="Gill Sans MT"/>
        </w:rPr>
        <w:t>consequence that challenge can</w:t>
      </w:r>
      <w:r w:rsidR="00B86918">
        <w:rPr>
          <w:rFonts w:ascii="Gill Sans MT" w:hAnsi="Gill Sans MT"/>
        </w:rPr>
        <w:t xml:space="preserve"> be, and has </w:t>
      </w:r>
      <w:r w:rsidR="00146504">
        <w:rPr>
          <w:rFonts w:ascii="Gill Sans MT" w:hAnsi="Gill Sans MT"/>
        </w:rPr>
        <w:t>be</w:t>
      </w:r>
      <w:r w:rsidR="00B86918">
        <w:rPr>
          <w:rFonts w:ascii="Gill Sans MT" w:hAnsi="Gill Sans MT"/>
        </w:rPr>
        <w:t>en,</w:t>
      </w:r>
      <w:r w:rsidR="00146504">
        <w:rPr>
          <w:rFonts w:ascii="Gill Sans MT" w:hAnsi="Gill Sans MT"/>
        </w:rPr>
        <w:t xml:space="preserve"> reinforcing of the sovereignty of Parliament.</w:t>
      </w:r>
      <w:r w:rsidR="00B86918">
        <w:rPr>
          <w:rFonts w:ascii="Gill Sans MT" w:hAnsi="Gill Sans MT"/>
        </w:rPr>
        <w:t xml:space="preserve">  </w:t>
      </w:r>
      <w:r w:rsidR="009F5FB3">
        <w:rPr>
          <w:rFonts w:ascii="Gill Sans MT" w:hAnsi="Gill Sans MT"/>
        </w:rPr>
        <w:t>One</w:t>
      </w:r>
      <w:r w:rsidR="00B86918">
        <w:rPr>
          <w:rFonts w:ascii="Gill Sans MT" w:hAnsi="Gill Sans MT"/>
        </w:rPr>
        <w:t xml:space="preserve"> </w:t>
      </w:r>
      <w:r w:rsidR="009F5FB3">
        <w:rPr>
          <w:rFonts w:ascii="Gill Sans MT" w:hAnsi="Gill Sans MT"/>
        </w:rPr>
        <w:t xml:space="preserve">legacy of this period may </w:t>
      </w:r>
      <w:r w:rsidR="00B86918">
        <w:rPr>
          <w:rFonts w:ascii="Gill Sans MT" w:hAnsi="Gill Sans MT"/>
        </w:rPr>
        <w:t xml:space="preserve">therefore </w:t>
      </w:r>
      <w:r w:rsidR="009F5FB3">
        <w:rPr>
          <w:rFonts w:ascii="Gill Sans MT" w:hAnsi="Gill Sans MT"/>
        </w:rPr>
        <w:t xml:space="preserve">be to demonstrate the need to </w:t>
      </w:r>
      <w:r w:rsidR="009F5FB3" w:rsidRPr="00B86918">
        <w:rPr>
          <w:rFonts w:ascii="Gill Sans MT" w:hAnsi="Gill Sans MT"/>
        </w:rPr>
        <w:t>shift</w:t>
      </w:r>
      <w:r w:rsidR="00B86918">
        <w:rPr>
          <w:rFonts w:ascii="Gill Sans MT" w:hAnsi="Gill Sans MT"/>
        </w:rPr>
        <w:t xml:space="preserve">, </w:t>
      </w:r>
      <w:r w:rsidR="009F5FB3" w:rsidRPr="00B86918">
        <w:rPr>
          <w:rFonts w:ascii="Gill Sans MT" w:hAnsi="Gill Sans MT"/>
        </w:rPr>
        <w:t>or at least alter</w:t>
      </w:r>
      <w:r w:rsidR="00B86918">
        <w:rPr>
          <w:rFonts w:ascii="Gill Sans MT" w:hAnsi="Gill Sans MT"/>
        </w:rPr>
        <w:t>,</w:t>
      </w:r>
      <w:r w:rsidR="009F5FB3" w:rsidRPr="00B86918">
        <w:rPr>
          <w:rFonts w:ascii="Gill Sans MT" w:hAnsi="Gill Sans MT"/>
        </w:rPr>
        <w:t xml:space="preserve"> the dominant modern narrative</w:t>
      </w:r>
      <w:r w:rsidR="009F5FB3">
        <w:rPr>
          <w:rFonts w:ascii="Gill Sans MT" w:hAnsi="Gill Sans MT"/>
        </w:rPr>
        <w:t xml:space="preserve"> of challenge to parliamentary sovereignty.  </w:t>
      </w:r>
      <w:r w:rsidR="006106A1">
        <w:rPr>
          <w:rFonts w:ascii="Gill Sans MT" w:hAnsi="Gill Sans MT"/>
        </w:rPr>
        <w:t xml:space="preserve">The enduring centrality of parliamentary sovereignty as a central feature of these constitutional debates </w:t>
      </w:r>
      <w:r w:rsidR="006106A1">
        <w:rPr>
          <w:rFonts w:ascii="Gill Sans MT" w:hAnsi="Gill Sans MT"/>
        </w:rPr>
        <w:lastRenderedPageBreak/>
        <w:t xml:space="preserve">demonstrates the relative security of the doctrine as the fundamental concept of the UK constitution.  Instead, in accepting this centrality, the debate should </w:t>
      </w:r>
      <w:r w:rsidR="00B86918">
        <w:rPr>
          <w:rFonts w:ascii="Gill Sans MT" w:hAnsi="Gill Sans MT"/>
        </w:rPr>
        <w:t>not be</w:t>
      </w:r>
      <w:r w:rsidR="006106A1">
        <w:rPr>
          <w:rFonts w:ascii="Gill Sans MT" w:hAnsi="Gill Sans MT"/>
        </w:rPr>
        <w:t xml:space="preserve"> whether Parliament is or is not still sovereign, but how the meaning and implications of this central doctrine should be understood, and what it can facilitate in constitutional practice.</w:t>
      </w:r>
    </w:p>
    <w:p w14:paraId="1F6726D7" w14:textId="76094F97" w:rsidR="00082515" w:rsidRDefault="00966F3E" w:rsidP="00D21129">
      <w:pPr>
        <w:pStyle w:val="NoSpacing"/>
        <w:ind w:firstLine="720"/>
        <w:jc w:val="both"/>
        <w:rPr>
          <w:rFonts w:ascii="Gill Sans MT" w:hAnsi="Gill Sans MT"/>
        </w:rPr>
      </w:pPr>
      <w:r>
        <w:rPr>
          <w:rFonts w:ascii="Gill Sans MT" w:hAnsi="Gill Sans MT"/>
        </w:rPr>
        <w:t>Yet if shifting the narrative of parliamentary sovereignty is arguably now required, we must be aware of the di</w:t>
      </w:r>
      <w:r w:rsidR="00082515">
        <w:rPr>
          <w:rFonts w:ascii="Gill Sans MT" w:hAnsi="Gill Sans MT"/>
        </w:rPr>
        <w:t>fferent ways of conceptualising challenge to parliamentary sovereignty</w:t>
      </w:r>
      <w:r w:rsidR="00D21129">
        <w:rPr>
          <w:rFonts w:ascii="Gill Sans MT" w:hAnsi="Gill Sans MT"/>
        </w:rPr>
        <w:t>.</w:t>
      </w:r>
      <w:r w:rsidR="00082515">
        <w:rPr>
          <w:rFonts w:ascii="Gill Sans MT" w:hAnsi="Gill Sans MT"/>
        </w:rPr>
        <w:t xml:space="preserve"> </w:t>
      </w:r>
      <w:r w:rsidR="00D21129">
        <w:rPr>
          <w:rFonts w:ascii="Gill Sans MT" w:hAnsi="Gill Sans MT"/>
        </w:rPr>
        <w:t xml:space="preserve"> In one way, t</w:t>
      </w:r>
      <w:r w:rsidR="00082515">
        <w:rPr>
          <w:rFonts w:ascii="Gill Sans MT" w:hAnsi="Gill Sans MT"/>
        </w:rPr>
        <w:t xml:space="preserve">he idea of constitutional flux </w:t>
      </w:r>
      <w:r w:rsidR="00D21129">
        <w:rPr>
          <w:rFonts w:ascii="Gill Sans MT" w:hAnsi="Gill Sans MT"/>
        </w:rPr>
        <w:t>can</w:t>
      </w:r>
      <w:r w:rsidR="00082515">
        <w:rPr>
          <w:rFonts w:ascii="Gill Sans MT" w:hAnsi="Gill Sans MT"/>
        </w:rPr>
        <w:t xml:space="preserve"> refer to </w:t>
      </w:r>
      <w:r w:rsidR="002F3550">
        <w:rPr>
          <w:rFonts w:ascii="Gill Sans MT" w:hAnsi="Gill Sans MT"/>
        </w:rPr>
        <w:t xml:space="preserve">the </w:t>
      </w:r>
      <w:proofErr w:type="gramStart"/>
      <w:r w:rsidR="00082515">
        <w:rPr>
          <w:rFonts w:ascii="Gill Sans MT" w:hAnsi="Gill Sans MT"/>
        </w:rPr>
        <w:t>state of affairs</w:t>
      </w:r>
      <w:proofErr w:type="gramEnd"/>
      <w:r w:rsidR="00082515">
        <w:rPr>
          <w:rFonts w:ascii="Gill Sans MT" w:hAnsi="Gill Sans MT"/>
        </w:rPr>
        <w:t xml:space="preserve"> at a particular</w:t>
      </w:r>
      <w:r w:rsidR="00D82A75">
        <w:rPr>
          <w:rFonts w:ascii="Gill Sans MT" w:hAnsi="Gill Sans MT"/>
        </w:rPr>
        <w:t>ly</w:t>
      </w:r>
      <w:r w:rsidR="00082515">
        <w:rPr>
          <w:rFonts w:ascii="Gill Sans MT" w:hAnsi="Gill Sans MT"/>
        </w:rPr>
        <w:t xml:space="preserve"> febrile moment</w:t>
      </w:r>
      <w:r w:rsidR="00D82A75">
        <w:rPr>
          <w:rFonts w:ascii="Gill Sans MT" w:hAnsi="Gill Sans MT"/>
        </w:rPr>
        <w:t xml:space="preserve"> in time</w:t>
      </w:r>
      <w:r w:rsidR="00D21129">
        <w:rPr>
          <w:rFonts w:ascii="Gill Sans MT" w:hAnsi="Gill Sans MT"/>
        </w:rPr>
        <w:t>, in which political, judicial and legislative developments</w:t>
      </w:r>
      <w:r w:rsidR="00D82A75">
        <w:rPr>
          <w:rFonts w:ascii="Gill Sans MT" w:hAnsi="Gill Sans MT"/>
        </w:rPr>
        <w:t xml:space="preserve"> interact with one another to present ever greater and more complex questions</w:t>
      </w:r>
      <w:r w:rsidR="00D21129">
        <w:rPr>
          <w:rFonts w:ascii="Gill Sans MT" w:hAnsi="Gill Sans MT"/>
        </w:rPr>
        <w:t>.  To analyse the varying constitutional challenges which result from such a period of change, and to reflect on the overarching implications, has been the primary focus o</w:t>
      </w:r>
      <w:r w:rsidR="003A5409">
        <w:rPr>
          <w:rFonts w:ascii="Gill Sans MT" w:hAnsi="Gill Sans MT"/>
        </w:rPr>
        <w:t>f</w:t>
      </w:r>
      <w:r w:rsidR="00D21129">
        <w:rPr>
          <w:rFonts w:ascii="Gill Sans MT" w:hAnsi="Gill Sans MT"/>
        </w:rPr>
        <w:t xml:space="preserve"> this paper.  In another way,</w:t>
      </w:r>
      <w:r w:rsidR="00D82A75">
        <w:rPr>
          <w:rFonts w:ascii="Gill Sans MT" w:hAnsi="Gill Sans MT"/>
        </w:rPr>
        <w:t xml:space="preserve"> </w:t>
      </w:r>
      <w:r w:rsidR="00D21129">
        <w:rPr>
          <w:rFonts w:ascii="Gill Sans MT" w:hAnsi="Gill Sans MT"/>
        </w:rPr>
        <w:t>however, t</w:t>
      </w:r>
      <w:r w:rsidR="00D82A75">
        <w:rPr>
          <w:rFonts w:ascii="Gill Sans MT" w:hAnsi="Gill Sans MT"/>
        </w:rPr>
        <w:t>he age of constitutional flux may not simply be a</w:t>
      </w:r>
      <w:r w:rsidR="00D21129">
        <w:rPr>
          <w:rFonts w:ascii="Gill Sans MT" w:hAnsi="Gill Sans MT"/>
        </w:rPr>
        <w:t>n</w:t>
      </w:r>
      <w:r w:rsidR="00D82A75">
        <w:rPr>
          <w:rFonts w:ascii="Gill Sans MT" w:hAnsi="Gill Sans MT"/>
        </w:rPr>
        <w:t xml:space="preserve"> especially momentous </w:t>
      </w:r>
      <w:proofErr w:type="gramStart"/>
      <w:r w:rsidR="00D82A75">
        <w:rPr>
          <w:rFonts w:ascii="Gill Sans MT" w:hAnsi="Gill Sans MT"/>
        </w:rPr>
        <w:t>period of time</w:t>
      </w:r>
      <w:proofErr w:type="gramEnd"/>
      <w:r w:rsidR="00D82A75">
        <w:rPr>
          <w:rFonts w:ascii="Gill Sans MT" w:hAnsi="Gill Sans MT"/>
        </w:rPr>
        <w:t xml:space="preserve"> in which our political system is recalibrated</w:t>
      </w:r>
      <w:r w:rsidR="002F3550">
        <w:rPr>
          <w:rFonts w:ascii="Gill Sans MT" w:hAnsi="Gill Sans MT"/>
        </w:rPr>
        <w:t xml:space="preserve"> – </w:t>
      </w:r>
      <w:r w:rsidR="00D82A75">
        <w:rPr>
          <w:rFonts w:ascii="Gill Sans MT" w:hAnsi="Gill Sans MT"/>
        </w:rPr>
        <w:t>it may also be an attitude to the constitution itself.</w:t>
      </w:r>
      <w:r w:rsidR="00C85F3B">
        <w:rPr>
          <w:rFonts w:ascii="Gill Sans MT" w:hAnsi="Gill Sans MT"/>
        </w:rPr>
        <w:t xml:space="preserve">  If so, rather than placing emphasis simply on the scale </w:t>
      </w:r>
      <w:r w:rsidR="002F3550">
        <w:rPr>
          <w:rFonts w:ascii="Gill Sans MT" w:hAnsi="Gill Sans MT"/>
        </w:rPr>
        <w:t xml:space="preserve">and nature </w:t>
      </w:r>
      <w:r w:rsidR="00C85F3B">
        <w:rPr>
          <w:rFonts w:ascii="Gill Sans MT" w:hAnsi="Gill Sans MT"/>
        </w:rPr>
        <w:t xml:space="preserve">of </w:t>
      </w:r>
      <w:r w:rsidR="002F3550">
        <w:rPr>
          <w:rFonts w:ascii="Gill Sans MT" w:hAnsi="Gill Sans MT"/>
        </w:rPr>
        <w:t xml:space="preserve">the </w:t>
      </w:r>
      <w:r w:rsidR="00C85F3B">
        <w:rPr>
          <w:rFonts w:ascii="Gill Sans MT" w:hAnsi="Gill Sans MT"/>
        </w:rPr>
        <w:t>change</w:t>
      </w:r>
      <w:r w:rsidR="002F3550">
        <w:rPr>
          <w:rFonts w:ascii="Gill Sans MT" w:hAnsi="Gill Sans MT"/>
        </w:rPr>
        <w:t>s</w:t>
      </w:r>
      <w:r w:rsidR="00C85F3B">
        <w:rPr>
          <w:rFonts w:ascii="Gill Sans MT" w:hAnsi="Gill Sans MT"/>
        </w:rPr>
        <w:t xml:space="preserve"> underway – the degree of flux – we might also need to focus on the way that change is being understood and responded to – in other words, its constitutional character.  If the age of constitutional flux is not just about change to our political system in a specific (and still ongoing) period of time, but about a different attitude to what it means to have a changing constitution, then perhaps the future status of parliamentary sovereignty cannot </w:t>
      </w:r>
      <w:r w:rsidR="002F3550">
        <w:rPr>
          <w:rFonts w:ascii="Gill Sans MT" w:hAnsi="Gill Sans MT"/>
        </w:rPr>
        <w:t xml:space="preserve">so </w:t>
      </w:r>
      <w:r w:rsidR="00C85F3B">
        <w:rPr>
          <w:rFonts w:ascii="Gill Sans MT" w:hAnsi="Gill Sans MT"/>
        </w:rPr>
        <w:t xml:space="preserve">readily </w:t>
      </w:r>
      <w:r w:rsidR="002F3550">
        <w:rPr>
          <w:rFonts w:ascii="Gill Sans MT" w:hAnsi="Gill Sans MT"/>
        </w:rPr>
        <w:t xml:space="preserve">be </w:t>
      </w:r>
      <w:r w:rsidR="00C85F3B">
        <w:rPr>
          <w:rFonts w:ascii="Gill Sans MT" w:hAnsi="Gill Sans MT"/>
        </w:rPr>
        <w:t>taken for granted.</w:t>
      </w:r>
      <w:r w:rsidR="00852772">
        <w:rPr>
          <w:rFonts w:ascii="Gill Sans MT" w:hAnsi="Gill Sans MT"/>
        </w:rPr>
        <w:t xml:space="preserve">  For there is a variant of constitutional understanding which struggles to accommodate the doctrine of parliamentary sovereignty, without mis</w:t>
      </w:r>
      <w:r w:rsidR="002521F5">
        <w:rPr>
          <w:rFonts w:ascii="Gill Sans MT" w:hAnsi="Gill Sans MT"/>
        </w:rPr>
        <w:t>representing the very nature of the idea</w:t>
      </w:r>
      <w:r w:rsidR="000E36FF">
        <w:rPr>
          <w:rFonts w:ascii="Gill Sans MT" w:hAnsi="Gill Sans MT"/>
        </w:rPr>
        <w:t>.</w:t>
      </w:r>
      <w:r w:rsidR="002521F5">
        <w:rPr>
          <w:rFonts w:ascii="Gill Sans MT" w:hAnsi="Gill Sans MT"/>
        </w:rPr>
        <w:t xml:space="preserve"> </w:t>
      </w:r>
      <w:r w:rsidR="000E36FF">
        <w:rPr>
          <w:rFonts w:ascii="Gill Sans MT" w:hAnsi="Gill Sans MT"/>
        </w:rPr>
        <w:t xml:space="preserve"> Rather than viewing </w:t>
      </w:r>
      <w:r w:rsidR="00DC71EB">
        <w:rPr>
          <w:rFonts w:ascii="Gill Sans MT" w:hAnsi="Gill Sans MT"/>
        </w:rPr>
        <w:t xml:space="preserve">parliamentary sovereignty </w:t>
      </w:r>
      <w:r w:rsidR="002521F5">
        <w:rPr>
          <w:rFonts w:ascii="Gill Sans MT" w:hAnsi="Gill Sans MT"/>
        </w:rPr>
        <w:t xml:space="preserve">as giving absolute constitutional priority to democratic political decision-making, as filtered and expressed through the </w:t>
      </w:r>
      <w:r w:rsidR="000E36FF">
        <w:rPr>
          <w:rFonts w:ascii="Gill Sans MT" w:hAnsi="Gill Sans MT"/>
        </w:rPr>
        <w:t xml:space="preserve">legally unlimited </w:t>
      </w:r>
      <w:r w:rsidR="002521F5">
        <w:rPr>
          <w:rFonts w:ascii="Gill Sans MT" w:hAnsi="Gill Sans MT"/>
        </w:rPr>
        <w:t>parliamentary legislative process</w:t>
      </w:r>
      <w:r w:rsidR="00DC71EB">
        <w:rPr>
          <w:rFonts w:ascii="Gill Sans MT" w:hAnsi="Gill Sans MT"/>
        </w:rPr>
        <w:t xml:space="preserve">, the doctrine can instead be absorbed, and diluted within a </w:t>
      </w:r>
      <w:r w:rsidR="003323C6">
        <w:rPr>
          <w:rFonts w:ascii="Gill Sans MT" w:hAnsi="Gill Sans MT"/>
        </w:rPr>
        <w:t>pluralist framework of constitutional principles</w:t>
      </w:r>
      <w:r w:rsidR="00DC71EB">
        <w:rPr>
          <w:rFonts w:ascii="Gill Sans MT" w:hAnsi="Gill Sans MT"/>
        </w:rPr>
        <w:t xml:space="preserve">.  Rather than stand at the pinnacle of the legal system, shaping the constitutional law within the UK, parliamentary sovereignty can be taken to reflect the general importance of the legislature within our political system, which is not necessarily to accept that its legislation should be received and applied unconditionally when it pushes against other significant </w:t>
      </w:r>
      <w:r w:rsidR="000D1324">
        <w:rPr>
          <w:rFonts w:ascii="Gill Sans MT" w:hAnsi="Gill Sans MT"/>
        </w:rPr>
        <w:t xml:space="preserve">(but very much contestable) </w:t>
      </w:r>
      <w:r w:rsidR="00DC71EB">
        <w:rPr>
          <w:rFonts w:ascii="Gill Sans MT" w:hAnsi="Gill Sans MT"/>
        </w:rPr>
        <w:t>norms or values, like the rule of law</w:t>
      </w:r>
      <w:r w:rsidR="000D1324">
        <w:rPr>
          <w:rFonts w:ascii="Gill Sans MT" w:hAnsi="Gill Sans MT"/>
        </w:rPr>
        <w:t xml:space="preserve">, </w:t>
      </w:r>
      <w:r w:rsidR="003323C6">
        <w:rPr>
          <w:rFonts w:ascii="Gill Sans MT" w:hAnsi="Gill Sans MT"/>
        </w:rPr>
        <w:t>judicial independenc</w:t>
      </w:r>
      <w:r w:rsidR="000D1324">
        <w:rPr>
          <w:rFonts w:ascii="Gill Sans MT" w:hAnsi="Gill Sans MT"/>
        </w:rPr>
        <w:t>e, or limited government.</w:t>
      </w:r>
    </w:p>
    <w:p w14:paraId="1897AD95" w14:textId="1C55B22C" w:rsidR="00EC1422" w:rsidRDefault="00050807" w:rsidP="002E538D">
      <w:pPr>
        <w:pStyle w:val="NoSpacing"/>
        <w:ind w:firstLine="720"/>
        <w:jc w:val="both"/>
        <w:rPr>
          <w:rFonts w:ascii="Gill Sans MT" w:hAnsi="Gill Sans MT"/>
        </w:rPr>
      </w:pPr>
      <w:r>
        <w:rPr>
          <w:rFonts w:ascii="Gill Sans MT" w:hAnsi="Gill Sans MT"/>
        </w:rPr>
        <w:t xml:space="preserve">As a result, in seeking to reorient the narrative about parliamentary sovereignty in the contemporary UK constitution from one focused on challenges to the doctrine, to one focused on the implications of the established and enduring centrality of the doctrine, there is little room for complacency.  While </w:t>
      </w:r>
      <w:r w:rsidR="00F1570B">
        <w:rPr>
          <w:rFonts w:ascii="Gill Sans MT" w:hAnsi="Gill Sans MT"/>
        </w:rPr>
        <w:t>any imminent departure</w:t>
      </w:r>
      <w:r>
        <w:rPr>
          <w:rFonts w:ascii="Gill Sans MT" w:hAnsi="Gill Sans MT"/>
        </w:rPr>
        <w:t xml:space="preserve"> </w:t>
      </w:r>
      <w:r w:rsidR="00F1570B">
        <w:rPr>
          <w:rFonts w:ascii="Gill Sans MT" w:hAnsi="Gill Sans MT"/>
        </w:rPr>
        <w:t>from the idea of</w:t>
      </w:r>
      <w:r>
        <w:rPr>
          <w:rFonts w:ascii="Gill Sans MT" w:hAnsi="Gill Sans MT"/>
        </w:rPr>
        <w:t xml:space="preserve"> parliamentary sovereignty is </w:t>
      </w:r>
      <w:r w:rsidR="00F1570B">
        <w:rPr>
          <w:rFonts w:ascii="Gill Sans MT" w:hAnsi="Gill Sans MT"/>
        </w:rPr>
        <w:t xml:space="preserve">now </w:t>
      </w:r>
      <w:r>
        <w:rPr>
          <w:rFonts w:ascii="Gill Sans MT" w:hAnsi="Gill Sans MT"/>
        </w:rPr>
        <w:t xml:space="preserve">difficult to imagine, </w:t>
      </w:r>
      <w:r w:rsidR="00F1570B">
        <w:rPr>
          <w:rFonts w:ascii="Gill Sans MT" w:hAnsi="Gill Sans MT"/>
        </w:rPr>
        <w:t xml:space="preserve">a </w:t>
      </w:r>
      <w:r>
        <w:rPr>
          <w:rFonts w:ascii="Gill Sans MT" w:hAnsi="Gill Sans MT"/>
        </w:rPr>
        <w:t xml:space="preserve">more radical </w:t>
      </w:r>
      <w:r w:rsidR="00F1570B">
        <w:rPr>
          <w:rFonts w:ascii="Gill Sans MT" w:hAnsi="Gill Sans MT"/>
        </w:rPr>
        <w:t>reconfiguration</w:t>
      </w:r>
      <w:r>
        <w:rPr>
          <w:rFonts w:ascii="Gill Sans MT" w:hAnsi="Gill Sans MT"/>
        </w:rPr>
        <w:t xml:space="preserve"> within the parameters of the doctrine </w:t>
      </w:r>
      <w:r w:rsidR="00F1570B">
        <w:rPr>
          <w:rFonts w:ascii="Gill Sans MT" w:hAnsi="Gill Sans MT"/>
        </w:rPr>
        <w:t xml:space="preserve">could nevertheless occur.  The </w:t>
      </w:r>
      <w:proofErr w:type="spellStart"/>
      <w:r w:rsidR="00F1570B">
        <w:rPr>
          <w:rFonts w:ascii="Gill Sans MT" w:hAnsi="Gill Sans MT"/>
        </w:rPr>
        <w:t>constitutionalisation</w:t>
      </w:r>
      <w:proofErr w:type="spellEnd"/>
      <w:r w:rsidR="00F1570B">
        <w:rPr>
          <w:rFonts w:ascii="Gill Sans MT" w:hAnsi="Gill Sans MT"/>
        </w:rPr>
        <w:t xml:space="preserve"> of parliamentary sovereignty might appear to preserve the formal architecture of our political constitution, but in substance it could shift the status of legislation, the position of the courts, and </w:t>
      </w:r>
      <w:r w:rsidR="0070140A">
        <w:rPr>
          <w:rFonts w:ascii="Gill Sans MT" w:hAnsi="Gill Sans MT"/>
        </w:rPr>
        <w:t>destabilise the</w:t>
      </w:r>
      <w:r w:rsidR="00F1570B">
        <w:rPr>
          <w:rFonts w:ascii="Gill Sans MT" w:hAnsi="Gill Sans MT"/>
        </w:rPr>
        <w:t xml:space="preserve"> broader set of institutional arrangements which are organised by reference to the </w:t>
      </w:r>
      <w:r w:rsidR="0070140A">
        <w:rPr>
          <w:rFonts w:ascii="Gill Sans MT" w:hAnsi="Gill Sans MT"/>
        </w:rPr>
        <w:t xml:space="preserve">power allocated to Parliament.  As a result, clarity about the meaning and implications of the UK constitution’s fundamental norm </w:t>
      </w:r>
      <w:r w:rsidR="000560F7">
        <w:rPr>
          <w:rFonts w:ascii="Gill Sans MT" w:hAnsi="Gill Sans MT"/>
        </w:rPr>
        <w:t>is required if this democratic doctrine is not to be reconstituted from the inside out.</w:t>
      </w:r>
    </w:p>
    <w:p w14:paraId="51F91D32" w14:textId="5C1F5656" w:rsidR="00EC1422" w:rsidRDefault="000D1324" w:rsidP="00EC1422">
      <w:pPr>
        <w:pStyle w:val="NoSpacing"/>
        <w:ind w:firstLine="720"/>
        <w:jc w:val="both"/>
        <w:rPr>
          <w:rFonts w:ascii="Gill Sans MT" w:hAnsi="Gill Sans MT"/>
        </w:rPr>
      </w:pPr>
      <w:r>
        <w:rPr>
          <w:rFonts w:ascii="Gill Sans MT" w:hAnsi="Gill Sans MT"/>
        </w:rPr>
        <w:t>There are other reason</w:t>
      </w:r>
      <w:r w:rsidR="002E538D">
        <w:rPr>
          <w:rFonts w:ascii="Gill Sans MT" w:hAnsi="Gill Sans MT"/>
        </w:rPr>
        <w:t>s</w:t>
      </w:r>
      <w:r>
        <w:rPr>
          <w:rFonts w:ascii="Gill Sans MT" w:hAnsi="Gill Sans MT"/>
        </w:rPr>
        <w:t xml:space="preserve"> to move on from </w:t>
      </w:r>
      <w:r w:rsidR="00885AD3" w:rsidRPr="00E100E1">
        <w:rPr>
          <w:rFonts w:ascii="Gill Sans MT" w:hAnsi="Gill Sans MT"/>
        </w:rPr>
        <w:t>existential debate</w:t>
      </w:r>
      <w:r>
        <w:rPr>
          <w:rFonts w:ascii="Gill Sans MT" w:hAnsi="Gill Sans MT"/>
        </w:rPr>
        <w:t>s about parliamentary sovereignty</w:t>
      </w:r>
      <w:r w:rsidR="00885AD3" w:rsidRPr="00E100E1">
        <w:rPr>
          <w:rFonts w:ascii="Gill Sans MT" w:hAnsi="Gill Sans MT"/>
        </w:rPr>
        <w:t xml:space="preserve"> </w:t>
      </w:r>
      <w:r w:rsidRPr="00E100E1">
        <w:rPr>
          <w:rFonts w:ascii="Gill Sans MT" w:hAnsi="Gill Sans MT"/>
        </w:rPr>
        <w:t xml:space="preserve">to focus on </w:t>
      </w:r>
      <w:r>
        <w:rPr>
          <w:rFonts w:ascii="Gill Sans MT" w:hAnsi="Gill Sans MT"/>
        </w:rPr>
        <w:t xml:space="preserve">precise </w:t>
      </w:r>
      <w:r w:rsidRPr="00E100E1">
        <w:rPr>
          <w:rFonts w:ascii="Gill Sans MT" w:hAnsi="Gill Sans MT"/>
        </w:rPr>
        <w:t xml:space="preserve">analysis of </w:t>
      </w:r>
      <w:r>
        <w:rPr>
          <w:rFonts w:ascii="Gill Sans MT" w:hAnsi="Gill Sans MT"/>
        </w:rPr>
        <w:t xml:space="preserve">its </w:t>
      </w:r>
      <w:r w:rsidRPr="00E100E1">
        <w:rPr>
          <w:rFonts w:ascii="Gill Sans MT" w:hAnsi="Gill Sans MT"/>
        </w:rPr>
        <w:t>meaning and implications</w:t>
      </w:r>
      <w:r>
        <w:rPr>
          <w:rFonts w:ascii="Gill Sans MT" w:hAnsi="Gill Sans MT"/>
        </w:rPr>
        <w:t xml:space="preserve">.  As the events </w:t>
      </w:r>
      <w:r w:rsidR="002E538D">
        <w:rPr>
          <w:rFonts w:ascii="Gill Sans MT" w:hAnsi="Gill Sans MT"/>
        </w:rPr>
        <w:t>which led to</w:t>
      </w:r>
      <w:r>
        <w:rPr>
          <w:rFonts w:ascii="Gill Sans MT" w:hAnsi="Gill Sans MT"/>
        </w:rPr>
        <w:t xml:space="preserve"> Brexit demonstrate, hesitancy about whether Parliament was still sovereign have arguably</w:t>
      </w:r>
      <w:r w:rsidR="00885AD3" w:rsidRPr="00E100E1">
        <w:rPr>
          <w:rFonts w:ascii="Gill Sans MT" w:hAnsi="Gill Sans MT"/>
        </w:rPr>
        <w:t xml:space="preserve"> been a cause of major uncertainty with broader</w:t>
      </w:r>
      <w:r w:rsidR="002E538D">
        <w:rPr>
          <w:rFonts w:ascii="Gill Sans MT" w:hAnsi="Gill Sans MT"/>
        </w:rPr>
        <w:t>, unexpected social and political</w:t>
      </w:r>
      <w:r w:rsidR="00885AD3" w:rsidRPr="00E100E1">
        <w:rPr>
          <w:rFonts w:ascii="Gill Sans MT" w:hAnsi="Gill Sans MT"/>
        </w:rPr>
        <w:t xml:space="preserve"> consequences</w:t>
      </w:r>
      <w:r w:rsidR="002E538D">
        <w:rPr>
          <w:rFonts w:ascii="Gill Sans MT" w:hAnsi="Gill Sans MT"/>
        </w:rPr>
        <w:t>.</w:t>
      </w:r>
      <w:r w:rsidR="00885AD3" w:rsidRPr="00E100E1">
        <w:rPr>
          <w:rFonts w:ascii="Gill Sans MT" w:hAnsi="Gill Sans MT"/>
        </w:rPr>
        <w:t xml:space="preserve"> </w:t>
      </w:r>
      <w:r w:rsidR="002E538D">
        <w:rPr>
          <w:rFonts w:ascii="Gill Sans MT" w:hAnsi="Gill Sans MT"/>
        </w:rPr>
        <w:t xml:space="preserve"> More than ever, we now need to understand</w:t>
      </w:r>
      <w:r w:rsidR="00EC1422">
        <w:rPr>
          <w:rFonts w:ascii="Gill Sans MT" w:hAnsi="Gill Sans MT"/>
        </w:rPr>
        <w:t xml:space="preserve"> the full instrumental capability of sovereign legislative power</w:t>
      </w:r>
      <w:r w:rsidR="00F50F9A">
        <w:rPr>
          <w:rFonts w:ascii="Gill Sans MT" w:hAnsi="Gill Sans MT"/>
        </w:rPr>
        <w:t xml:space="preserve">, rather than becoming preoccupied with </w:t>
      </w:r>
      <w:r w:rsidR="00642151">
        <w:rPr>
          <w:rFonts w:ascii="Gill Sans MT" w:hAnsi="Gill Sans MT"/>
        </w:rPr>
        <w:t xml:space="preserve">a regression to the kind of constitution that more </w:t>
      </w:r>
      <w:proofErr w:type="spellStart"/>
      <w:r w:rsidR="00642151">
        <w:rPr>
          <w:rFonts w:ascii="Gill Sans MT" w:hAnsi="Gill Sans MT"/>
        </w:rPr>
        <w:t>exceptionalist</w:t>
      </w:r>
      <w:proofErr w:type="spellEnd"/>
      <w:r w:rsidR="00642151">
        <w:rPr>
          <w:rFonts w:ascii="Gill Sans MT" w:hAnsi="Gill Sans MT"/>
        </w:rPr>
        <w:t xml:space="preserve"> visions of UK parliamentary sovereignty seem designed to stimulate</w:t>
      </w:r>
      <w:r w:rsidR="00EC1422">
        <w:rPr>
          <w:rFonts w:ascii="Gill Sans MT" w:hAnsi="Gill Sans MT"/>
        </w:rPr>
        <w:t xml:space="preserve">. </w:t>
      </w:r>
      <w:bookmarkStart w:id="0" w:name="_Hlk512597192"/>
      <w:r w:rsidR="00EC1422">
        <w:rPr>
          <w:rFonts w:ascii="Gill Sans MT" w:hAnsi="Gill Sans MT"/>
        </w:rPr>
        <w:t xml:space="preserve"> Some of the </w:t>
      </w:r>
      <w:r w:rsidR="00EC1422" w:rsidRPr="00E100E1">
        <w:rPr>
          <w:rFonts w:ascii="Gill Sans MT" w:hAnsi="Gill Sans MT"/>
        </w:rPr>
        <w:t xml:space="preserve">issues which </w:t>
      </w:r>
      <w:r w:rsidR="00EC1422">
        <w:rPr>
          <w:rFonts w:ascii="Gill Sans MT" w:hAnsi="Gill Sans MT"/>
        </w:rPr>
        <w:t xml:space="preserve">may </w:t>
      </w:r>
      <w:r w:rsidR="00EC1422" w:rsidRPr="00E100E1">
        <w:rPr>
          <w:rFonts w:ascii="Gill Sans MT" w:hAnsi="Gill Sans MT"/>
        </w:rPr>
        <w:t>need attention</w:t>
      </w:r>
      <w:r w:rsidR="00EC1422">
        <w:rPr>
          <w:rFonts w:ascii="Gill Sans MT" w:hAnsi="Gill Sans MT"/>
        </w:rPr>
        <w:t xml:space="preserve">, </w:t>
      </w:r>
      <w:r w:rsidR="00EC1422" w:rsidRPr="00E100E1">
        <w:rPr>
          <w:rFonts w:ascii="Gill Sans MT" w:hAnsi="Gill Sans MT"/>
        </w:rPr>
        <w:t>and which cut across political, judicial and legislative distinctions used in the main body of this paper</w:t>
      </w:r>
      <w:r w:rsidR="00EC1422">
        <w:rPr>
          <w:rFonts w:ascii="Gill Sans MT" w:hAnsi="Gill Sans MT"/>
        </w:rPr>
        <w:t>, include: the ways in which substantively unlimited legislative power could be accommodated in a more formal f</w:t>
      </w:r>
      <w:r w:rsidR="00EC1422" w:rsidRPr="00E100E1">
        <w:rPr>
          <w:rFonts w:ascii="Gill Sans MT" w:hAnsi="Gill Sans MT"/>
        </w:rPr>
        <w:t>ederalis</w:t>
      </w:r>
      <w:r w:rsidR="00EC1422">
        <w:rPr>
          <w:rFonts w:ascii="Gill Sans MT" w:hAnsi="Gill Sans MT"/>
        </w:rPr>
        <w:t xml:space="preserve">t UK system; how the </w:t>
      </w:r>
      <w:r w:rsidR="00EC1422" w:rsidRPr="00E100E1">
        <w:rPr>
          <w:rFonts w:ascii="Gill Sans MT" w:hAnsi="Gill Sans MT"/>
        </w:rPr>
        <w:t xml:space="preserve">compatibility of </w:t>
      </w:r>
      <w:r w:rsidR="00EC1422">
        <w:rPr>
          <w:rFonts w:ascii="Gill Sans MT" w:hAnsi="Gill Sans MT"/>
        </w:rPr>
        <w:t>parliamentary sovereignty</w:t>
      </w:r>
      <w:r w:rsidR="00EC1422" w:rsidRPr="00E100E1">
        <w:rPr>
          <w:rFonts w:ascii="Gill Sans MT" w:hAnsi="Gill Sans MT"/>
        </w:rPr>
        <w:t xml:space="preserve"> with supranational systems </w:t>
      </w:r>
      <w:r w:rsidR="00EC1422">
        <w:rPr>
          <w:rFonts w:ascii="Gill Sans MT" w:hAnsi="Gill Sans MT"/>
        </w:rPr>
        <w:t>could more clearly be established in national structures; how</w:t>
      </w:r>
      <w:r w:rsidR="00EC1422" w:rsidRPr="00E100E1">
        <w:rPr>
          <w:rFonts w:ascii="Gill Sans MT" w:hAnsi="Gill Sans MT"/>
        </w:rPr>
        <w:t xml:space="preserve"> Parliament </w:t>
      </w:r>
      <w:r w:rsidR="00EC1422">
        <w:rPr>
          <w:rFonts w:ascii="Gill Sans MT" w:hAnsi="Gill Sans MT"/>
        </w:rPr>
        <w:t xml:space="preserve">can </w:t>
      </w:r>
      <w:r w:rsidR="00EC1422" w:rsidRPr="00E100E1">
        <w:rPr>
          <w:rFonts w:ascii="Gill Sans MT" w:hAnsi="Gill Sans MT"/>
        </w:rPr>
        <w:t>effectively communicat</w:t>
      </w:r>
      <w:r w:rsidR="00642151">
        <w:rPr>
          <w:rFonts w:ascii="Gill Sans MT" w:hAnsi="Gill Sans MT"/>
        </w:rPr>
        <w:t xml:space="preserve">e </w:t>
      </w:r>
      <w:r w:rsidR="00EC1422" w:rsidRPr="00E100E1">
        <w:rPr>
          <w:rFonts w:ascii="Gill Sans MT" w:hAnsi="Gill Sans MT"/>
        </w:rPr>
        <w:t xml:space="preserve">its sovereignty to the courts, </w:t>
      </w:r>
      <w:r w:rsidR="00642151">
        <w:rPr>
          <w:rFonts w:ascii="Gill Sans MT" w:hAnsi="Gill Sans MT"/>
        </w:rPr>
        <w:t xml:space="preserve">both </w:t>
      </w:r>
      <w:r w:rsidR="00EC1422" w:rsidRPr="00E100E1">
        <w:rPr>
          <w:rFonts w:ascii="Gill Sans MT" w:hAnsi="Gill Sans MT"/>
        </w:rPr>
        <w:t>in general</w:t>
      </w:r>
      <w:r w:rsidR="00642151">
        <w:rPr>
          <w:rFonts w:ascii="Gill Sans MT" w:hAnsi="Gill Sans MT"/>
        </w:rPr>
        <w:t>,</w:t>
      </w:r>
      <w:r w:rsidR="00EC1422" w:rsidRPr="00E100E1">
        <w:rPr>
          <w:rFonts w:ascii="Gill Sans MT" w:hAnsi="Gill Sans MT"/>
        </w:rPr>
        <w:t xml:space="preserve"> and in </w:t>
      </w:r>
      <w:r w:rsidR="00EC1422">
        <w:rPr>
          <w:rFonts w:ascii="Gill Sans MT" w:hAnsi="Gill Sans MT"/>
        </w:rPr>
        <w:t xml:space="preserve">response to </w:t>
      </w:r>
      <w:r w:rsidR="00EC1422" w:rsidRPr="00E100E1">
        <w:rPr>
          <w:rFonts w:ascii="Gill Sans MT" w:hAnsi="Gill Sans MT"/>
        </w:rPr>
        <w:t>specific cases</w:t>
      </w:r>
      <w:r w:rsidR="00EC1422">
        <w:rPr>
          <w:rFonts w:ascii="Gill Sans MT" w:hAnsi="Gill Sans MT"/>
        </w:rPr>
        <w:t xml:space="preserve"> or</w:t>
      </w:r>
      <w:r w:rsidR="00642151">
        <w:rPr>
          <w:rFonts w:ascii="Gill Sans MT" w:hAnsi="Gill Sans MT"/>
        </w:rPr>
        <w:t xml:space="preserve"> judicial</w:t>
      </w:r>
      <w:r w:rsidR="00EC1422">
        <w:rPr>
          <w:rFonts w:ascii="Gill Sans MT" w:hAnsi="Gill Sans MT"/>
        </w:rPr>
        <w:t xml:space="preserve"> trends; and the changing </w:t>
      </w:r>
      <w:r w:rsidR="00EC1422" w:rsidRPr="00E100E1">
        <w:rPr>
          <w:rFonts w:ascii="Gill Sans MT" w:hAnsi="Gill Sans MT"/>
        </w:rPr>
        <w:t xml:space="preserve">relationship between parliamentary sovereignty and </w:t>
      </w:r>
      <w:r w:rsidR="00EC1422">
        <w:rPr>
          <w:rFonts w:ascii="Gill Sans MT" w:hAnsi="Gill Sans MT"/>
        </w:rPr>
        <w:t xml:space="preserve">non-representative </w:t>
      </w:r>
      <w:r w:rsidR="00642151">
        <w:rPr>
          <w:rFonts w:ascii="Gill Sans MT" w:hAnsi="Gill Sans MT"/>
        </w:rPr>
        <w:t xml:space="preserve">forms of </w:t>
      </w:r>
      <w:r w:rsidR="00EC1422" w:rsidRPr="00E100E1">
        <w:rPr>
          <w:rFonts w:ascii="Gill Sans MT" w:hAnsi="Gill Sans MT"/>
        </w:rPr>
        <w:t xml:space="preserve">democratic </w:t>
      </w:r>
      <w:r w:rsidR="00EC1422">
        <w:rPr>
          <w:rFonts w:ascii="Gill Sans MT" w:hAnsi="Gill Sans MT"/>
        </w:rPr>
        <w:t>decision-making.</w:t>
      </w:r>
    </w:p>
    <w:p w14:paraId="60CAFA55" w14:textId="51B00FB1" w:rsidR="00774A79" w:rsidRPr="002B5520" w:rsidRDefault="00EC1422" w:rsidP="002B5520">
      <w:pPr>
        <w:pStyle w:val="NoSpacing"/>
        <w:ind w:firstLine="720"/>
        <w:jc w:val="both"/>
        <w:rPr>
          <w:rFonts w:ascii="Gill Sans MT" w:hAnsi="Gill Sans MT"/>
        </w:rPr>
      </w:pPr>
      <w:r>
        <w:rPr>
          <w:rFonts w:ascii="Gill Sans MT" w:hAnsi="Gill Sans MT"/>
        </w:rPr>
        <w:lastRenderedPageBreak/>
        <w:t>Yet p</w:t>
      </w:r>
      <w:r w:rsidR="002E538D">
        <w:rPr>
          <w:rFonts w:ascii="Gill Sans MT" w:hAnsi="Gill Sans MT"/>
        </w:rPr>
        <w:t xml:space="preserve">erhaps one of the great problems of the current period of constitutional flux is that it is highlighting a range of inadequacies in our political architecture, while paradoxically depleting energy for deeper reform, and distracting from underlying (and undoubtedly complex) political disengagement.  What might the constitutional solutions to this be?  </w:t>
      </w:r>
      <w:r>
        <w:rPr>
          <w:rFonts w:ascii="Gill Sans MT" w:hAnsi="Gill Sans MT"/>
        </w:rPr>
        <w:t>It is inherently</w:t>
      </w:r>
      <w:r w:rsidR="002E538D">
        <w:rPr>
          <w:rFonts w:ascii="Gill Sans MT" w:hAnsi="Gill Sans MT"/>
        </w:rPr>
        <w:t xml:space="preserve"> difficult to say, but they must </w:t>
      </w:r>
      <w:r w:rsidR="00642151">
        <w:rPr>
          <w:rFonts w:ascii="Gill Sans MT" w:hAnsi="Gill Sans MT"/>
        </w:rPr>
        <w:t>focus on</w:t>
      </w:r>
      <w:r w:rsidR="002E538D">
        <w:rPr>
          <w:rFonts w:ascii="Gill Sans MT" w:hAnsi="Gill Sans MT"/>
        </w:rPr>
        <w:t xml:space="preserve"> expanding and enhancing democratic inputs </w:t>
      </w:r>
      <w:r w:rsidR="00642151">
        <w:rPr>
          <w:rFonts w:ascii="Gill Sans MT" w:hAnsi="Gill Sans MT"/>
        </w:rPr>
        <w:t>across</w:t>
      </w:r>
      <w:r w:rsidR="002E538D">
        <w:rPr>
          <w:rFonts w:ascii="Gill Sans MT" w:hAnsi="Gill Sans MT"/>
        </w:rPr>
        <w:t xml:space="preserve"> the UK</w:t>
      </w:r>
      <w:r w:rsidR="00642151">
        <w:rPr>
          <w:rFonts w:ascii="Gill Sans MT" w:hAnsi="Gill Sans MT"/>
        </w:rPr>
        <w:t>’</w:t>
      </w:r>
      <w:r w:rsidR="002E538D">
        <w:rPr>
          <w:rFonts w:ascii="Gill Sans MT" w:hAnsi="Gill Sans MT"/>
        </w:rPr>
        <w:t xml:space="preserve">s </w:t>
      </w:r>
      <w:r w:rsidR="00642151">
        <w:rPr>
          <w:rFonts w:ascii="Gill Sans MT" w:hAnsi="Gill Sans MT"/>
        </w:rPr>
        <w:t>political</w:t>
      </w:r>
      <w:r w:rsidR="002E538D">
        <w:rPr>
          <w:rFonts w:ascii="Gill Sans MT" w:hAnsi="Gill Sans MT"/>
        </w:rPr>
        <w:t xml:space="preserve"> system, rather than constructing barriers which serve to entrench the institutional status quo.  </w:t>
      </w:r>
      <w:r w:rsidR="00642151">
        <w:rPr>
          <w:rFonts w:ascii="Gill Sans MT" w:hAnsi="Gill Sans MT"/>
        </w:rPr>
        <w:t>A shift in our constitutional attitude, focused on some grand realignment of the existing principles of the constitution as against parliamentary sovereignty, will do little, if anything, to respond to these difficulties.  Rather than allowing a</w:t>
      </w:r>
      <w:r w:rsidR="003913A4">
        <w:rPr>
          <w:rFonts w:ascii="Gill Sans MT" w:hAnsi="Gill Sans MT"/>
        </w:rPr>
        <w:t>n</w:t>
      </w:r>
      <w:r w:rsidR="00642151">
        <w:rPr>
          <w:rFonts w:ascii="Gill Sans MT" w:hAnsi="Gill Sans MT"/>
        </w:rPr>
        <w:t xml:space="preserve"> overtly constitutional </w:t>
      </w:r>
      <w:r w:rsidR="003913A4">
        <w:rPr>
          <w:rFonts w:ascii="Gill Sans MT" w:hAnsi="Gill Sans MT"/>
        </w:rPr>
        <w:t xml:space="preserve">process of </w:t>
      </w:r>
      <w:r w:rsidR="00642151">
        <w:rPr>
          <w:rFonts w:ascii="Gill Sans MT" w:hAnsi="Gill Sans MT"/>
        </w:rPr>
        <w:t xml:space="preserve">rationalisation to gather pace, </w:t>
      </w:r>
      <w:r w:rsidR="003913A4">
        <w:rPr>
          <w:rFonts w:ascii="Gill Sans MT" w:hAnsi="Gill Sans MT"/>
        </w:rPr>
        <w:t xml:space="preserve">we should recognise that </w:t>
      </w:r>
      <w:r w:rsidR="00642151">
        <w:rPr>
          <w:rFonts w:ascii="Gill Sans MT" w:hAnsi="Gill Sans MT"/>
        </w:rPr>
        <w:t>p</w:t>
      </w:r>
      <w:r w:rsidR="002E538D">
        <w:rPr>
          <w:rFonts w:ascii="Gill Sans MT" w:hAnsi="Gill Sans MT"/>
        </w:rPr>
        <w:t xml:space="preserve">arliamentary sovereignty </w:t>
      </w:r>
      <w:r w:rsidR="003913A4">
        <w:rPr>
          <w:rFonts w:ascii="Gill Sans MT" w:hAnsi="Gill Sans MT"/>
        </w:rPr>
        <w:t xml:space="preserve">is </w:t>
      </w:r>
      <w:r w:rsidR="002E538D">
        <w:rPr>
          <w:rFonts w:ascii="Gill Sans MT" w:hAnsi="Gill Sans MT"/>
        </w:rPr>
        <w:t xml:space="preserve">the principle which </w:t>
      </w:r>
      <w:r w:rsidR="003913A4">
        <w:rPr>
          <w:rFonts w:ascii="Gill Sans MT" w:hAnsi="Gill Sans MT"/>
        </w:rPr>
        <w:t xml:space="preserve">can </w:t>
      </w:r>
      <w:r w:rsidR="002E538D">
        <w:rPr>
          <w:rFonts w:ascii="Gill Sans MT" w:hAnsi="Gill Sans MT"/>
        </w:rPr>
        <w:t xml:space="preserve">deliver a </w:t>
      </w:r>
      <w:r w:rsidR="003913A4">
        <w:rPr>
          <w:rFonts w:ascii="Gill Sans MT" w:hAnsi="Gill Sans MT"/>
        </w:rPr>
        <w:t xml:space="preserve">far-reaching </w:t>
      </w:r>
      <w:r w:rsidR="002E538D">
        <w:rPr>
          <w:rFonts w:ascii="Gill Sans MT" w:hAnsi="Gill Sans MT"/>
        </w:rPr>
        <w:t xml:space="preserve">programme of such </w:t>
      </w:r>
      <w:r w:rsidR="003913A4">
        <w:rPr>
          <w:rFonts w:ascii="Gill Sans MT" w:hAnsi="Gill Sans MT"/>
        </w:rPr>
        <w:t xml:space="preserve">substantial </w:t>
      </w:r>
      <w:r w:rsidR="002E538D">
        <w:rPr>
          <w:rFonts w:ascii="Gill Sans MT" w:hAnsi="Gill Sans MT"/>
        </w:rPr>
        <w:t xml:space="preserve">constitutional change, </w:t>
      </w:r>
      <w:bookmarkEnd w:id="0"/>
      <w:r w:rsidR="003913A4">
        <w:rPr>
          <w:rFonts w:ascii="Gill Sans MT" w:hAnsi="Gill Sans MT"/>
        </w:rPr>
        <w:t>based on the reorganisation and redistribution of power.  Parliamentary sovereignty may b</w:t>
      </w:r>
      <w:r w:rsidR="004833BB">
        <w:rPr>
          <w:rFonts w:ascii="Gill Sans MT" w:hAnsi="Gill Sans MT"/>
        </w:rPr>
        <w:t>e</w:t>
      </w:r>
      <w:r w:rsidR="003913A4">
        <w:rPr>
          <w:rFonts w:ascii="Gill Sans MT" w:hAnsi="Gill Sans MT"/>
        </w:rPr>
        <w:t xml:space="preserve"> emerging from a period of profound constitution challenge with its centrality as obvious as</w:t>
      </w:r>
      <w:r w:rsidR="0022670C">
        <w:rPr>
          <w:rFonts w:ascii="Gill Sans MT" w:hAnsi="Gill Sans MT"/>
        </w:rPr>
        <w:t xml:space="preserve"> it has</w:t>
      </w:r>
      <w:r w:rsidR="003913A4">
        <w:rPr>
          <w:rFonts w:ascii="Gill Sans MT" w:hAnsi="Gill Sans MT"/>
        </w:rPr>
        <w:t xml:space="preserve"> ever</w:t>
      </w:r>
      <w:r w:rsidR="0022670C">
        <w:rPr>
          <w:rFonts w:ascii="Gill Sans MT" w:hAnsi="Gill Sans MT"/>
        </w:rPr>
        <w:t xml:space="preserve"> been</w:t>
      </w:r>
      <w:r w:rsidR="003913A4">
        <w:rPr>
          <w:rFonts w:ascii="Gill Sans MT" w:hAnsi="Gill Sans MT"/>
        </w:rPr>
        <w:t xml:space="preserve">.  Yet there is no room for complacency about the UK’s constitutional future, or the </w:t>
      </w:r>
      <w:r w:rsidR="004833BB">
        <w:rPr>
          <w:rFonts w:ascii="Gill Sans MT" w:hAnsi="Gill Sans MT"/>
        </w:rPr>
        <w:t>relevance</w:t>
      </w:r>
      <w:r w:rsidR="003913A4">
        <w:rPr>
          <w:rFonts w:ascii="Gill Sans MT" w:hAnsi="Gill Sans MT"/>
        </w:rPr>
        <w:t xml:space="preserve"> and potential of the doctrine of parliamentary sovereignty as that future is made.</w:t>
      </w:r>
    </w:p>
    <w:sectPr w:rsidR="00774A79" w:rsidRPr="002B552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C6AA1" w14:textId="77777777" w:rsidR="00EB5B37" w:rsidRDefault="00EB5B37" w:rsidP="004A6881">
      <w:pPr>
        <w:spacing w:after="0" w:line="240" w:lineRule="auto"/>
      </w:pPr>
      <w:r>
        <w:separator/>
      </w:r>
    </w:p>
  </w:endnote>
  <w:endnote w:type="continuationSeparator" w:id="0">
    <w:p w14:paraId="7517B878" w14:textId="77777777" w:rsidR="00EB5B37" w:rsidRDefault="00EB5B37" w:rsidP="004A6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518011"/>
      <w:docPartObj>
        <w:docPartGallery w:val="Page Numbers (Bottom of Page)"/>
        <w:docPartUnique/>
      </w:docPartObj>
    </w:sdtPr>
    <w:sdtEndPr>
      <w:rPr>
        <w:rFonts w:ascii="Gill Sans MT" w:hAnsi="Gill Sans MT"/>
        <w:noProof/>
      </w:rPr>
    </w:sdtEndPr>
    <w:sdtContent>
      <w:p w14:paraId="07A84634" w14:textId="13E1BAAE" w:rsidR="00883007" w:rsidRPr="00025058" w:rsidRDefault="00883007">
        <w:pPr>
          <w:pStyle w:val="Footer"/>
          <w:jc w:val="center"/>
          <w:rPr>
            <w:rFonts w:ascii="Gill Sans MT" w:hAnsi="Gill Sans MT"/>
          </w:rPr>
        </w:pPr>
        <w:r w:rsidRPr="00025058">
          <w:rPr>
            <w:rFonts w:ascii="Gill Sans MT" w:hAnsi="Gill Sans MT"/>
          </w:rPr>
          <w:fldChar w:fldCharType="begin"/>
        </w:r>
        <w:r w:rsidRPr="00025058">
          <w:rPr>
            <w:rFonts w:ascii="Gill Sans MT" w:hAnsi="Gill Sans MT"/>
          </w:rPr>
          <w:instrText xml:space="preserve"> PAGE   \* MERGEFORMAT </w:instrText>
        </w:r>
        <w:r w:rsidRPr="00025058">
          <w:rPr>
            <w:rFonts w:ascii="Gill Sans MT" w:hAnsi="Gill Sans MT"/>
          </w:rPr>
          <w:fldChar w:fldCharType="separate"/>
        </w:r>
        <w:r>
          <w:rPr>
            <w:rFonts w:ascii="Gill Sans MT" w:hAnsi="Gill Sans MT"/>
            <w:noProof/>
          </w:rPr>
          <w:t>10</w:t>
        </w:r>
        <w:r w:rsidRPr="00025058">
          <w:rPr>
            <w:rFonts w:ascii="Gill Sans MT" w:hAnsi="Gill Sans MT"/>
            <w:noProof/>
          </w:rPr>
          <w:fldChar w:fldCharType="end"/>
        </w:r>
      </w:p>
    </w:sdtContent>
  </w:sdt>
  <w:p w14:paraId="5D99DA9B" w14:textId="77777777" w:rsidR="00883007" w:rsidRDefault="00883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C6034" w14:textId="77777777" w:rsidR="00EB5B37" w:rsidRDefault="00EB5B37" w:rsidP="004A6881">
      <w:pPr>
        <w:spacing w:after="0" w:line="240" w:lineRule="auto"/>
      </w:pPr>
      <w:r>
        <w:separator/>
      </w:r>
    </w:p>
  </w:footnote>
  <w:footnote w:type="continuationSeparator" w:id="0">
    <w:p w14:paraId="66C29EF2" w14:textId="77777777" w:rsidR="00EB5B37" w:rsidRDefault="00EB5B37" w:rsidP="004A6881">
      <w:pPr>
        <w:spacing w:after="0" w:line="240" w:lineRule="auto"/>
      </w:pPr>
      <w:r>
        <w:continuationSeparator/>
      </w:r>
    </w:p>
  </w:footnote>
  <w:footnote w:id="1">
    <w:p w14:paraId="19E1F107" w14:textId="756D6874" w:rsidR="00883007" w:rsidRPr="00B26DBF" w:rsidRDefault="00883007" w:rsidP="00EF5635">
      <w:pPr>
        <w:pStyle w:val="FootnoteText"/>
        <w:rPr>
          <w:rFonts w:ascii="Gill Sans MT" w:hAnsi="Gill Sans MT"/>
        </w:rPr>
      </w:pPr>
      <w:r w:rsidRPr="00B26DBF">
        <w:rPr>
          <w:rFonts w:ascii="Gill Sans MT" w:hAnsi="Gill Sans MT"/>
        </w:rPr>
        <w:t>* University of Liverpool.</w:t>
      </w:r>
    </w:p>
    <w:p w14:paraId="1BA441F7" w14:textId="77777777" w:rsidR="00883007" w:rsidRPr="00B26DBF" w:rsidRDefault="00883007" w:rsidP="00EF5635">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AV Dicey, </w:t>
      </w:r>
      <w:r w:rsidRPr="00B26DBF">
        <w:rPr>
          <w:rFonts w:ascii="Gill Sans MT" w:hAnsi="Gill Sans MT"/>
          <w:i/>
        </w:rPr>
        <w:t>Introduction to the Study of the Law of the Constitution</w:t>
      </w:r>
      <w:r w:rsidRPr="00B26DBF">
        <w:rPr>
          <w:rFonts w:ascii="Gill Sans MT" w:hAnsi="Gill Sans MT"/>
        </w:rPr>
        <w:t xml:space="preserve">, 8th </w:t>
      </w:r>
      <w:proofErr w:type="spellStart"/>
      <w:r w:rsidRPr="00B26DBF">
        <w:rPr>
          <w:rFonts w:ascii="Gill Sans MT" w:hAnsi="Gill Sans MT"/>
        </w:rPr>
        <w:t>edn</w:t>
      </w:r>
      <w:proofErr w:type="spellEnd"/>
      <w:r w:rsidRPr="00B26DBF">
        <w:rPr>
          <w:rFonts w:ascii="Gill Sans MT" w:hAnsi="Gill Sans MT"/>
        </w:rPr>
        <w:t xml:space="preserve"> (London, Macmillan, 1915) 37-38.</w:t>
      </w:r>
    </w:p>
  </w:footnote>
  <w:footnote w:id="2">
    <w:p w14:paraId="73476B2B" w14:textId="1A0C39A8" w:rsidR="00883007" w:rsidRPr="00B26DBF"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See </w:t>
      </w:r>
      <w:proofErr w:type="spellStart"/>
      <w:r w:rsidRPr="00B26DBF">
        <w:rPr>
          <w:rFonts w:ascii="Gill Sans MT" w:hAnsi="Gill Sans MT"/>
        </w:rPr>
        <w:t>eg</w:t>
      </w:r>
      <w:proofErr w:type="spellEnd"/>
      <w:r w:rsidRPr="00B26DBF">
        <w:rPr>
          <w:rFonts w:ascii="Gill Sans MT" w:hAnsi="Gill Sans MT"/>
        </w:rPr>
        <w:t xml:space="preserve"> </w:t>
      </w:r>
      <w:r>
        <w:rPr>
          <w:rFonts w:ascii="Gill Sans MT" w:hAnsi="Gill Sans MT"/>
        </w:rPr>
        <w:t xml:space="preserve">WI </w:t>
      </w:r>
      <w:proofErr w:type="spellStart"/>
      <w:r>
        <w:rPr>
          <w:rFonts w:ascii="Gill Sans MT" w:hAnsi="Gill Sans MT"/>
        </w:rPr>
        <w:t>Jennnings</w:t>
      </w:r>
      <w:proofErr w:type="spellEnd"/>
      <w:r>
        <w:rPr>
          <w:rFonts w:ascii="Gill Sans MT" w:hAnsi="Gill Sans MT"/>
        </w:rPr>
        <w:t xml:space="preserve"> and CM Young, </w:t>
      </w:r>
      <w:r>
        <w:rPr>
          <w:rFonts w:ascii="Gill Sans MT" w:hAnsi="Gill Sans MT"/>
          <w:i/>
        </w:rPr>
        <w:t xml:space="preserve">The Constitutional Laws of the Commonwealth </w:t>
      </w:r>
      <w:r>
        <w:rPr>
          <w:rFonts w:ascii="Gill Sans MT" w:hAnsi="Gill Sans MT"/>
        </w:rPr>
        <w:t xml:space="preserve">(Oxford, Clarendon Press, 1952); </w:t>
      </w:r>
      <w:r w:rsidRPr="00B26DBF">
        <w:rPr>
          <w:rFonts w:ascii="Gill Sans MT" w:hAnsi="Gill Sans MT"/>
        </w:rPr>
        <w:t>P</w:t>
      </w:r>
      <w:r w:rsidRPr="00B26DBF">
        <w:rPr>
          <w:rFonts w:ascii="Gill Sans MT" w:hAnsi="Gill Sans MT"/>
          <w:b/>
        </w:rPr>
        <w:t xml:space="preserve"> </w:t>
      </w:r>
      <w:r w:rsidRPr="00B26DBF">
        <w:rPr>
          <w:rFonts w:ascii="Gill Sans MT" w:hAnsi="Gill Sans MT"/>
        </w:rPr>
        <w:t xml:space="preserve">Oliver, </w:t>
      </w:r>
      <w:r w:rsidRPr="00B26DBF">
        <w:rPr>
          <w:rFonts w:ascii="Gill Sans MT" w:hAnsi="Gill Sans MT"/>
          <w:i/>
        </w:rPr>
        <w:t>The Constitution of Independence: The Development of Constitutional Theory in Australia, Canada and New Zealand</w:t>
      </w:r>
      <w:r w:rsidRPr="00B26DBF">
        <w:rPr>
          <w:rFonts w:ascii="Gill Sans MT" w:hAnsi="Gill Sans MT"/>
        </w:rPr>
        <w:t xml:space="preserve"> (Oxford, Oxford University Press, 2005</w:t>
      </w:r>
      <w:r>
        <w:rPr>
          <w:rFonts w:ascii="Gill Sans MT" w:hAnsi="Gill Sans MT"/>
        </w:rPr>
        <w:t>).</w:t>
      </w:r>
    </w:p>
  </w:footnote>
  <w:footnote w:id="3">
    <w:p w14:paraId="093EBA7A" w14:textId="0D147736" w:rsidR="00883007" w:rsidRPr="005578E2" w:rsidRDefault="00883007">
      <w:pPr>
        <w:pStyle w:val="FootnoteText"/>
        <w:rPr>
          <w:rFonts w:ascii="Gill Sans MT" w:hAnsi="Gill Sans MT"/>
        </w:rPr>
      </w:pPr>
      <w:r w:rsidRPr="005578E2">
        <w:rPr>
          <w:rStyle w:val="FootnoteReference"/>
          <w:rFonts w:ascii="Gill Sans MT" w:hAnsi="Gill Sans MT"/>
        </w:rPr>
        <w:footnoteRef/>
      </w:r>
      <w:r w:rsidRPr="005578E2">
        <w:rPr>
          <w:rFonts w:ascii="Gill Sans MT" w:hAnsi="Gill Sans MT"/>
        </w:rPr>
        <w:t xml:space="preserve"> See especially WI Jennings, </w:t>
      </w:r>
      <w:r w:rsidRPr="005578E2">
        <w:rPr>
          <w:rFonts w:ascii="Gill Sans MT" w:hAnsi="Gill Sans MT"/>
          <w:i/>
        </w:rPr>
        <w:t>The Law and the Constitution</w:t>
      </w:r>
      <w:r w:rsidRPr="005578E2">
        <w:rPr>
          <w:rFonts w:ascii="Gill Sans MT" w:hAnsi="Gill Sans MT"/>
        </w:rPr>
        <w:t xml:space="preserve">, 5th </w:t>
      </w:r>
      <w:proofErr w:type="spellStart"/>
      <w:r w:rsidRPr="005578E2">
        <w:rPr>
          <w:rFonts w:ascii="Gill Sans MT" w:hAnsi="Gill Sans MT"/>
        </w:rPr>
        <w:t>edn</w:t>
      </w:r>
      <w:proofErr w:type="spellEnd"/>
      <w:r w:rsidRPr="005578E2">
        <w:rPr>
          <w:rFonts w:ascii="Gill Sans MT" w:hAnsi="Gill Sans MT"/>
        </w:rPr>
        <w:t xml:space="preserve"> (London, University of London Press, 1959) </w:t>
      </w:r>
      <w:proofErr w:type="spellStart"/>
      <w:r w:rsidRPr="005578E2">
        <w:rPr>
          <w:rFonts w:ascii="Gill Sans MT" w:hAnsi="Gill Sans MT"/>
        </w:rPr>
        <w:t>ch</w:t>
      </w:r>
      <w:proofErr w:type="spellEnd"/>
      <w:r w:rsidRPr="005578E2">
        <w:rPr>
          <w:rFonts w:ascii="Gill Sans MT" w:hAnsi="Gill Sans MT"/>
        </w:rPr>
        <w:t xml:space="preserve"> 4; RFV </w:t>
      </w:r>
      <w:proofErr w:type="spellStart"/>
      <w:r w:rsidRPr="005578E2">
        <w:rPr>
          <w:rFonts w:ascii="Gill Sans MT" w:hAnsi="Gill Sans MT"/>
        </w:rPr>
        <w:t>Heuston</w:t>
      </w:r>
      <w:proofErr w:type="spellEnd"/>
      <w:r w:rsidRPr="005578E2">
        <w:rPr>
          <w:rFonts w:ascii="Gill Sans MT" w:hAnsi="Gill Sans MT"/>
        </w:rPr>
        <w:t xml:space="preserve">, </w:t>
      </w:r>
      <w:r w:rsidRPr="005578E2">
        <w:rPr>
          <w:rFonts w:ascii="Gill Sans MT" w:hAnsi="Gill Sans MT"/>
          <w:i/>
        </w:rPr>
        <w:t xml:space="preserve">Essays </w:t>
      </w:r>
      <w:proofErr w:type="gramStart"/>
      <w:r w:rsidRPr="005578E2">
        <w:rPr>
          <w:rFonts w:ascii="Gill Sans MT" w:hAnsi="Gill Sans MT"/>
          <w:i/>
        </w:rPr>
        <w:t>In</w:t>
      </w:r>
      <w:proofErr w:type="gramEnd"/>
      <w:r w:rsidRPr="005578E2">
        <w:rPr>
          <w:rFonts w:ascii="Gill Sans MT" w:hAnsi="Gill Sans MT"/>
          <w:i/>
        </w:rPr>
        <w:t xml:space="preserve"> Constitutional Law</w:t>
      </w:r>
      <w:r w:rsidRPr="005578E2">
        <w:rPr>
          <w:rFonts w:ascii="Gill Sans MT" w:hAnsi="Gill Sans MT"/>
        </w:rPr>
        <w:t xml:space="preserve">, 2nd </w:t>
      </w:r>
      <w:proofErr w:type="spellStart"/>
      <w:r w:rsidRPr="005578E2">
        <w:rPr>
          <w:rFonts w:ascii="Gill Sans MT" w:hAnsi="Gill Sans MT"/>
        </w:rPr>
        <w:t>edn</w:t>
      </w:r>
      <w:proofErr w:type="spellEnd"/>
      <w:r w:rsidRPr="005578E2">
        <w:rPr>
          <w:rFonts w:ascii="Gill Sans MT" w:hAnsi="Gill Sans MT"/>
        </w:rPr>
        <w:t xml:space="preserve"> (London, Stevens and Sons, 1964) </w:t>
      </w:r>
      <w:proofErr w:type="spellStart"/>
      <w:r w:rsidRPr="005578E2">
        <w:rPr>
          <w:rFonts w:ascii="Gill Sans MT" w:hAnsi="Gill Sans MT"/>
        </w:rPr>
        <w:t>ch</w:t>
      </w:r>
      <w:proofErr w:type="spellEnd"/>
      <w:r w:rsidRPr="005578E2">
        <w:rPr>
          <w:rFonts w:ascii="Gill Sans MT" w:hAnsi="Gill Sans MT"/>
        </w:rPr>
        <w:t xml:space="preserve"> 1.</w:t>
      </w:r>
    </w:p>
  </w:footnote>
  <w:footnote w:id="4">
    <w:p w14:paraId="3ED24EE5" w14:textId="09D0EC53" w:rsidR="00883007" w:rsidRPr="005578E2"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w:t>
      </w:r>
      <w:r>
        <w:rPr>
          <w:rFonts w:ascii="Gill Sans MT" w:hAnsi="Gill Sans MT"/>
          <w:i/>
        </w:rPr>
        <w:t xml:space="preserve">R (Miller) </w:t>
      </w:r>
      <w:r>
        <w:rPr>
          <w:rFonts w:ascii="Gill Sans MT" w:hAnsi="Gill Sans MT"/>
        </w:rPr>
        <w:t xml:space="preserve">v </w:t>
      </w:r>
      <w:r>
        <w:rPr>
          <w:rFonts w:ascii="Gill Sans MT" w:hAnsi="Gill Sans MT"/>
          <w:i/>
        </w:rPr>
        <w:t xml:space="preserve">Secretary of State for Exiting the European Union </w:t>
      </w:r>
      <w:r w:rsidRPr="00B26DBF">
        <w:rPr>
          <w:rFonts w:ascii="Gill Sans MT" w:hAnsi="Gill Sans MT"/>
          <w:color w:val="000000"/>
          <w:shd w:val="clear" w:color="auto" w:fill="FFFFFF"/>
        </w:rPr>
        <w:t>[2017] UKSC 5, [201</w:t>
      </w:r>
      <w:r>
        <w:rPr>
          <w:rFonts w:ascii="Gill Sans MT" w:hAnsi="Gill Sans MT"/>
          <w:color w:val="000000"/>
          <w:shd w:val="clear" w:color="auto" w:fill="FFFFFF"/>
        </w:rPr>
        <w:t>8</w:t>
      </w:r>
      <w:r w:rsidRPr="00B26DBF">
        <w:rPr>
          <w:rFonts w:ascii="Gill Sans MT" w:hAnsi="Gill Sans MT"/>
          <w:color w:val="000000"/>
          <w:shd w:val="clear" w:color="auto" w:fill="FFFFFF"/>
        </w:rPr>
        <w:t xml:space="preserve">] </w:t>
      </w:r>
      <w:r>
        <w:rPr>
          <w:rFonts w:ascii="Gill Sans MT" w:hAnsi="Gill Sans MT"/>
          <w:color w:val="000000"/>
          <w:shd w:val="clear" w:color="auto" w:fill="FFFFFF"/>
        </w:rPr>
        <w:t>AC 61.</w:t>
      </w:r>
    </w:p>
  </w:footnote>
  <w:footnote w:id="5">
    <w:p w14:paraId="4787DB5F" w14:textId="53A21FB3" w:rsidR="00883007" w:rsidRPr="00427CE5"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w:t>
      </w:r>
      <w:r>
        <w:rPr>
          <w:rFonts w:ascii="Gill Sans MT" w:hAnsi="Gill Sans MT"/>
        </w:rPr>
        <w:t xml:space="preserve">See </w:t>
      </w:r>
      <w:proofErr w:type="spellStart"/>
      <w:r>
        <w:rPr>
          <w:rFonts w:ascii="Gill Sans MT" w:hAnsi="Gill Sans MT"/>
        </w:rPr>
        <w:t>eg</w:t>
      </w:r>
      <w:proofErr w:type="spellEnd"/>
      <w:r>
        <w:rPr>
          <w:rFonts w:ascii="Gill Sans MT" w:hAnsi="Gill Sans MT"/>
        </w:rPr>
        <w:t xml:space="preserve"> </w:t>
      </w:r>
      <w:r w:rsidRPr="002E0DC6">
        <w:rPr>
          <w:rFonts w:ascii="Gill Sans MT" w:hAnsi="Gill Sans MT"/>
        </w:rPr>
        <w:t xml:space="preserve">M </w:t>
      </w:r>
      <w:r w:rsidRPr="00427CE5">
        <w:rPr>
          <w:rFonts w:ascii="Gill Sans MT" w:hAnsi="Gill Sans MT"/>
        </w:rPr>
        <w:t>Gordon, ‘</w:t>
      </w:r>
      <w:r w:rsidRPr="00427CE5">
        <w:rPr>
          <w:rStyle w:val="Title1"/>
          <w:rFonts w:ascii="Gill Sans MT" w:hAnsi="Gill Sans MT"/>
          <w:color w:val="2A0C28"/>
          <w:lang w:val="en"/>
        </w:rPr>
        <w:t xml:space="preserve">The UK’s Fundamental Constitutional Principle: Why the UK Parliament Is Still Sovereign and Why It Still Matters’ (2015) 26 </w:t>
      </w:r>
      <w:r w:rsidRPr="00427CE5">
        <w:rPr>
          <w:rStyle w:val="Title1"/>
          <w:rFonts w:ascii="Gill Sans MT" w:hAnsi="Gill Sans MT"/>
          <w:i/>
          <w:color w:val="2A0C28"/>
          <w:lang w:val="en"/>
        </w:rPr>
        <w:t xml:space="preserve">King’s Law Journal </w:t>
      </w:r>
      <w:r w:rsidRPr="00427CE5">
        <w:rPr>
          <w:rStyle w:val="Title1"/>
          <w:rFonts w:ascii="Gill Sans MT" w:hAnsi="Gill Sans MT"/>
          <w:color w:val="2A0C28"/>
          <w:lang w:val="en"/>
        </w:rPr>
        <w:t>229</w:t>
      </w:r>
    </w:p>
  </w:footnote>
  <w:footnote w:id="6">
    <w:p w14:paraId="2BADBBF2" w14:textId="3A8989E4" w:rsidR="00883007" w:rsidRPr="00427CE5" w:rsidRDefault="00883007">
      <w:pPr>
        <w:pStyle w:val="FootnoteText"/>
        <w:rPr>
          <w:rFonts w:ascii="Gill Sans MT" w:hAnsi="Gill Sans MT"/>
        </w:rPr>
      </w:pPr>
      <w:r w:rsidRPr="00427CE5">
        <w:rPr>
          <w:rStyle w:val="FootnoteReference"/>
          <w:rFonts w:ascii="Gill Sans MT" w:hAnsi="Gill Sans MT"/>
        </w:rPr>
        <w:footnoteRef/>
      </w:r>
      <w:r w:rsidRPr="00427CE5">
        <w:rPr>
          <w:rFonts w:ascii="Gill Sans MT" w:hAnsi="Gill Sans MT"/>
        </w:rPr>
        <w:t xml:space="preserve"> </w:t>
      </w:r>
      <w:r w:rsidRPr="00427CE5">
        <w:rPr>
          <w:rFonts w:ascii="Gill Sans MT" w:hAnsi="Gill Sans MT"/>
          <w:color w:val="000000"/>
          <w:shd w:val="clear" w:color="auto" w:fill="FFFFFF"/>
        </w:rPr>
        <w:t>[2017] UKSC 5, [2018] AC 61.</w:t>
      </w:r>
    </w:p>
  </w:footnote>
  <w:footnote w:id="7">
    <w:p w14:paraId="717787AB" w14:textId="58F02119" w:rsidR="00883007" w:rsidRPr="00427CE5" w:rsidRDefault="00883007">
      <w:pPr>
        <w:pStyle w:val="FootnoteText"/>
      </w:pPr>
      <w:r w:rsidRPr="00427CE5">
        <w:rPr>
          <w:rStyle w:val="FootnoteReference"/>
          <w:rFonts w:ascii="Gill Sans MT" w:hAnsi="Gill Sans MT"/>
        </w:rPr>
        <w:footnoteRef/>
      </w:r>
      <w:r w:rsidRPr="00427CE5">
        <w:rPr>
          <w:rFonts w:ascii="Gill Sans MT" w:hAnsi="Gill Sans MT"/>
        </w:rPr>
        <w:t xml:space="preserve"> See </w:t>
      </w:r>
      <w:proofErr w:type="spellStart"/>
      <w:r w:rsidRPr="00427CE5">
        <w:rPr>
          <w:rFonts w:ascii="Gill Sans MT" w:hAnsi="Gill Sans MT"/>
        </w:rPr>
        <w:t>eg</w:t>
      </w:r>
      <w:proofErr w:type="spellEnd"/>
      <w:r w:rsidRPr="00427CE5">
        <w:rPr>
          <w:rFonts w:ascii="Gill Sans MT" w:hAnsi="Gill Sans MT"/>
        </w:rPr>
        <w:t xml:space="preserve"> S </w:t>
      </w:r>
      <w:proofErr w:type="spellStart"/>
      <w:r w:rsidRPr="00427CE5">
        <w:rPr>
          <w:rFonts w:ascii="Gill Sans MT" w:hAnsi="Gill Sans MT"/>
        </w:rPr>
        <w:t>Fredman</w:t>
      </w:r>
      <w:proofErr w:type="spellEnd"/>
      <w:r w:rsidRPr="00427CE5">
        <w:rPr>
          <w:rFonts w:ascii="Gill Sans MT" w:hAnsi="Gill Sans MT"/>
        </w:rPr>
        <w:t xml:space="preserve">, ‘Miller: A Vital Reaffirmation of Parliamentary Sovereignty’, </w:t>
      </w:r>
      <w:r w:rsidRPr="00427CE5">
        <w:rPr>
          <w:rFonts w:ascii="Gill Sans MT" w:hAnsi="Gill Sans MT"/>
          <w:i/>
        </w:rPr>
        <w:t xml:space="preserve">Oxford Human Rights Hub </w:t>
      </w:r>
      <w:r w:rsidRPr="00427CE5">
        <w:rPr>
          <w:rFonts w:ascii="Gill Sans MT" w:hAnsi="Gill Sans MT"/>
        </w:rPr>
        <w:t>(24</w:t>
      </w:r>
      <w:r w:rsidRPr="00427CE5">
        <w:rPr>
          <w:rFonts w:ascii="Gill Sans MT" w:hAnsi="Gill Sans MT"/>
          <w:vertAlign w:val="superscript"/>
        </w:rPr>
        <w:t xml:space="preserve"> </w:t>
      </w:r>
      <w:r w:rsidRPr="00427CE5">
        <w:rPr>
          <w:rFonts w:ascii="Gill Sans MT" w:hAnsi="Gill Sans MT"/>
        </w:rPr>
        <w:t xml:space="preserve">January 2017): </w:t>
      </w:r>
      <w:hyperlink r:id="rId1" w:history="1">
        <w:r w:rsidRPr="00427CE5">
          <w:rPr>
            <w:rStyle w:val="Hyperlink"/>
            <w:rFonts w:ascii="Gill Sans MT" w:hAnsi="Gill Sans MT"/>
          </w:rPr>
          <w:t>http://ohrh.law.ox.ac.uk/miller-a-vital-reaffirmation-of-parliamentary-sovereignty/</w:t>
        </w:r>
      </w:hyperlink>
      <w:r>
        <w:t>.</w:t>
      </w:r>
    </w:p>
  </w:footnote>
  <w:footnote w:id="8">
    <w:p w14:paraId="76EA94FE" w14:textId="6709C1CA" w:rsidR="00883007" w:rsidRPr="0003551E"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w:t>
      </w:r>
      <w:r>
        <w:rPr>
          <w:rFonts w:ascii="Gill Sans MT" w:hAnsi="Gill Sans MT"/>
        </w:rPr>
        <w:t>Dicey (n 1),</w:t>
      </w:r>
      <w:r w:rsidRPr="0003551E">
        <w:rPr>
          <w:rFonts w:ascii="Gill Sans MT" w:hAnsi="Gill Sans MT"/>
        </w:rPr>
        <w:t xml:space="preserve"> 70</w:t>
      </w:r>
      <w:r>
        <w:rPr>
          <w:rFonts w:ascii="Gill Sans MT" w:hAnsi="Gill Sans MT"/>
        </w:rPr>
        <w:t>-71.</w:t>
      </w:r>
    </w:p>
  </w:footnote>
  <w:footnote w:id="9">
    <w:p w14:paraId="03EDBB04" w14:textId="251D4717" w:rsidR="00883007" w:rsidRPr="0059152A"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w:t>
      </w:r>
      <w:r>
        <w:rPr>
          <w:rFonts w:ascii="Gill Sans MT" w:hAnsi="Gill Sans MT"/>
        </w:rPr>
        <w:t xml:space="preserve">M Gordon, </w:t>
      </w:r>
      <w:r>
        <w:rPr>
          <w:rFonts w:ascii="Gill Sans MT" w:hAnsi="Gill Sans MT"/>
          <w:i/>
        </w:rPr>
        <w:t xml:space="preserve">Parliamentary Sovereignty in the UK Constitution: Process, Politics and Democracy </w:t>
      </w:r>
      <w:r>
        <w:rPr>
          <w:rFonts w:ascii="Gill Sans MT" w:hAnsi="Gill Sans MT"/>
        </w:rPr>
        <w:t>(Oxford, Hart Publishing, 2015), 23-25.</w:t>
      </w:r>
    </w:p>
  </w:footnote>
  <w:footnote w:id="10">
    <w:p w14:paraId="50CE5576" w14:textId="7287269D" w:rsidR="00883007" w:rsidRPr="00B26DBF"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w:t>
      </w:r>
      <w:r>
        <w:rPr>
          <w:rFonts w:ascii="Gill Sans MT" w:hAnsi="Gill Sans MT"/>
        </w:rPr>
        <w:t>Ibid, 25-27.</w:t>
      </w:r>
    </w:p>
  </w:footnote>
  <w:footnote w:id="11">
    <w:p w14:paraId="4DB1E8DC" w14:textId="593455A0" w:rsidR="00883007" w:rsidRPr="00B26DBF"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w:t>
      </w:r>
      <w:r>
        <w:rPr>
          <w:rFonts w:ascii="Gill Sans MT" w:hAnsi="Gill Sans MT"/>
        </w:rPr>
        <w:t>Ibid, 27-28.</w:t>
      </w:r>
    </w:p>
  </w:footnote>
  <w:footnote w:id="12">
    <w:p w14:paraId="25CDDA1E" w14:textId="31B67786" w:rsidR="00883007" w:rsidRPr="00B26DBF" w:rsidRDefault="00883007" w:rsidP="00D363C3">
      <w:pPr>
        <w:pStyle w:val="Heading2"/>
        <w:shd w:val="clear" w:color="auto" w:fill="FFFFFF"/>
        <w:spacing w:before="0" w:beforeAutospacing="0" w:after="0" w:afterAutospacing="0"/>
        <w:rPr>
          <w:rFonts w:ascii="Gill Sans MT" w:hAnsi="Gill Sans MT"/>
          <w:b w:val="0"/>
          <w:bCs w:val="0"/>
          <w:color w:val="000000"/>
          <w:sz w:val="20"/>
          <w:szCs w:val="20"/>
        </w:rPr>
      </w:pPr>
      <w:r w:rsidRPr="00B26DBF">
        <w:rPr>
          <w:rStyle w:val="FootnoteReference"/>
          <w:rFonts w:ascii="Gill Sans MT" w:hAnsi="Gill Sans MT"/>
          <w:b w:val="0"/>
          <w:sz w:val="20"/>
          <w:szCs w:val="20"/>
        </w:rPr>
        <w:footnoteRef/>
      </w:r>
      <w:r w:rsidRPr="00B26DBF">
        <w:rPr>
          <w:rFonts w:ascii="Gill Sans MT" w:hAnsi="Gill Sans MT"/>
          <w:b w:val="0"/>
          <w:sz w:val="20"/>
          <w:szCs w:val="20"/>
        </w:rPr>
        <w:t xml:space="preserve"> C Grayling,</w:t>
      </w:r>
      <w:r w:rsidRPr="00B26DBF">
        <w:rPr>
          <w:rFonts w:ascii="Gill Sans MT" w:hAnsi="Gill Sans MT"/>
          <w:sz w:val="20"/>
          <w:szCs w:val="20"/>
        </w:rPr>
        <w:t xml:space="preserve"> ‘</w:t>
      </w:r>
      <w:r w:rsidRPr="00B26DBF">
        <w:rPr>
          <w:rFonts w:ascii="Gill Sans MT" w:hAnsi="Gill Sans MT"/>
          <w:b w:val="0"/>
          <w:bCs w:val="0"/>
          <w:sz w:val="20"/>
          <w:szCs w:val="20"/>
        </w:rPr>
        <w:t xml:space="preserve">We must Vote Leave to protect our sovereignty and democracy from further EU integration’ </w:t>
      </w:r>
      <w:r w:rsidRPr="00B26DBF">
        <w:rPr>
          <w:rFonts w:ascii="Gill Sans MT" w:hAnsi="Gill Sans MT"/>
          <w:b w:val="0"/>
          <w:bCs w:val="0"/>
          <w:color w:val="000000"/>
          <w:sz w:val="20"/>
          <w:szCs w:val="20"/>
        </w:rPr>
        <w:t xml:space="preserve">(31 May 2016): </w:t>
      </w:r>
      <w:hyperlink r:id="rId2" w:history="1">
        <w:r w:rsidRPr="00B26DBF">
          <w:rPr>
            <w:rStyle w:val="Hyperlink"/>
            <w:rFonts w:ascii="Gill Sans MT" w:hAnsi="Gill Sans MT"/>
            <w:b w:val="0"/>
            <w:bCs w:val="0"/>
            <w:sz w:val="20"/>
            <w:szCs w:val="20"/>
          </w:rPr>
          <w:t>http://www.voteleavetakecontrol.org/chris_grayling_we_must_vote_leave_to_protect_our_sovereignty_and_democracy_from_further_eu_integration.html</w:t>
        </w:r>
      </w:hyperlink>
      <w:r w:rsidRPr="00B26DBF">
        <w:rPr>
          <w:rFonts w:ascii="Gill Sans MT" w:hAnsi="Gill Sans MT"/>
          <w:b w:val="0"/>
          <w:bCs w:val="0"/>
          <w:color w:val="000000"/>
          <w:sz w:val="20"/>
          <w:szCs w:val="20"/>
        </w:rPr>
        <w:t>.</w:t>
      </w:r>
    </w:p>
  </w:footnote>
  <w:footnote w:id="13">
    <w:p w14:paraId="0DD51185" w14:textId="5EB23A32" w:rsidR="00883007" w:rsidRPr="00B26DBF" w:rsidRDefault="00883007" w:rsidP="00D363C3">
      <w:pPr>
        <w:pStyle w:val="Heading1"/>
        <w:shd w:val="clear" w:color="auto" w:fill="FFFFFF"/>
        <w:spacing w:before="0" w:line="240" w:lineRule="auto"/>
        <w:rPr>
          <w:rFonts w:ascii="Gill Sans MT" w:hAnsi="Gill Sans MT"/>
          <w:color w:val="auto"/>
          <w:sz w:val="20"/>
          <w:szCs w:val="20"/>
        </w:rPr>
      </w:pPr>
      <w:r w:rsidRPr="00B26DBF">
        <w:rPr>
          <w:rStyle w:val="FootnoteReference"/>
          <w:rFonts w:ascii="Gill Sans MT" w:hAnsi="Gill Sans MT"/>
          <w:color w:val="auto"/>
          <w:sz w:val="20"/>
          <w:szCs w:val="20"/>
        </w:rPr>
        <w:footnoteRef/>
      </w:r>
      <w:r w:rsidRPr="00B26DBF">
        <w:rPr>
          <w:rFonts w:ascii="Gill Sans MT" w:hAnsi="Gill Sans MT"/>
          <w:color w:val="auto"/>
          <w:sz w:val="20"/>
          <w:szCs w:val="20"/>
        </w:rPr>
        <w:t xml:space="preserve"> ‘</w:t>
      </w:r>
      <w:r w:rsidRPr="00B26DBF">
        <w:rPr>
          <w:rFonts w:ascii="Gill Sans MT" w:hAnsi="Gill Sans MT"/>
          <w:bCs/>
          <w:color w:val="auto"/>
          <w:sz w:val="20"/>
          <w:szCs w:val="20"/>
        </w:rPr>
        <w:t xml:space="preserve">EU referendum: Michael Gove explains why Britain should leave the EU’, </w:t>
      </w:r>
      <w:r w:rsidRPr="00B26DBF">
        <w:rPr>
          <w:rFonts w:ascii="Gill Sans MT" w:hAnsi="Gill Sans MT"/>
          <w:bCs/>
          <w:i/>
          <w:color w:val="auto"/>
          <w:sz w:val="20"/>
          <w:szCs w:val="20"/>
        </w:rPr>
        <w:t>The Telegraph</w:t>
      </w:r>
      <w:r w:rsidRPr="00B26DBF">
        <w:rPr>
          <w:rFonts w:ascii="Gill Sans MT" w:hAnsi="Gill Sans MT"/>
          <w:bCs/>
          <w:color w:val="auto"/>
          <w:sz w:val="20"/>
          <w:szCs w:val="20"/>
        </w:rPr>
        <w:t xml:space="preserve"> (20 February 2016): </w:t>
      </w:r>
      <w:hyperlink r:id="rId3" w:history="1">
        <w:r w:rsidRPr="00B26DBF">
          <w:rPr>
            <w:rStyle w:val="Hyperlink"/>
            <w:rFonts w:ascii="Gill Sans MT" w:hAnsi="Gill Sans MT"/>
            <w:bCs/>
            <w:sz w:val="20"/>
            <w:szCs w:val="20"/>
          </w:rPr>
          <w:t>https://www.telegraph.co.uk/news/newstopics/eureferendum/12166345/European-referendum-Michael-Gove-explains-why-Britain-should-leave-the-EU.html</w:t>
        </w:r>
      </w:hyperlink>
      <w:r w:rsidRPr="00B26DBF">
        <w:rPr>
          <w:rFonts w:ascii="Gill Sans MT" w:hAnsi="Gill Sans MT"/>
          <w:bCs/>
          <w:color w:val="auto"/>
          <w:sz w:val="20"/>
          <w:szCs w:val="20"/>
        </w:rPr>
        <w:t xml:space="preserve">. </w:t>
      </w:r>
    </w:p>
  </w:footnote>
  <w:footnote w:id="14">
    <w:p w14:paraId="2A943E77" w14:textId="2EBD91F2" w:rsidR="00883007" w:rsidRPr="00B26DBF" w:rsidRDefault="00883007" w:rsidP="00D363C3">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‘EU reform on UK sovereignty not achievable, says Johnson’, </w:t>
      </w:r>
      <w:r w:rsidRPr="00B26DBF">
        <w:rPr>
          <w:rFonts w:ascii="Gill Sans MT" w:hAnsi="Gill Sans MT"/>
          <w:i/>
        </w:rPr>
        <w:t>BBC News</w:t>
      </w:r>
      <w:r w:rsidRPr="00B26DBF">
        <w:rPr>
          <w:rFonts w:ascii="Gill Sans MT" w:hAnsi="Gill Sans MT"/>
        </w:rPr>
        <w:t xml:space="preserve"> (6 March 2016): </w:t>
      </w:r>
      <w:hyperlink r:id="rId4" w:history="1">
        <w:r w:rsidRPr="00B26DBF">
          <w:rPr>
            <w:rStyle w:val="Hyperlink"/>
            <w:rFonts w:ascii="Gill Sans MT" w:hAnsi="Gill Sans MT"/>
          </w:rPr>
          <w:t>http://www.bbc.co.uk/news/uk-politics-35739518</w:t>
        </w:r>
      </w:hyperlink>
      <w:r w:rsidRPr="00B26DBF">
        <w:rPr>
          <w:rFonts w:ascii="Gill Sans MT" w:hAnsi="Gill Sans MT"/>
        </w:rPr>
        <w:t>.</w:t>
      </w:r>
    </w:p>
  </w:footnote>
  <w:footnote w:id="15">
    <w:p w14:paraId="04209AD7" w14:textId="1A67347B" w:rsidR="00883007" w:rsidRPr="00B26DBF"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See ‘How the United Kingdom voted on </w:t>
      </w:r>
      <w:proofErr w:type="spellStart"/>
      <w:r w:rsidRPr="00B26DBF">
        <w:rPr>
          <w:rFonts w:ascii="Gill Sans MT" w:hAnsi="Gill Sans MT"/>
        </w:rPr>
        <w:t>Thurday</w:t>
      </w:r>
      <w:proofErr w:type="spellEnd"/>
      <w:r w:rsidRPr="00B26DBF">
        <w:rPr>
          <w:rFonts w:ascii="Gill Sans MT" w:hAnsi="Gill Sans MT"/>
        </w:rPr>
        <w:t xml:space="preserve">… and why’, </w:t>
      </w:r>
      <w:r w:rsidRPr="00B26DBF">
        <w:rPr>
          <w:rFonts w:ascii="Gill Sans MT" w:hAnsi="Gill Sans MT"/>
          <w:i/>
        </w:rPr>
        <w:t>Lord Ashcroft Polls</w:t>
      </w:r>
      <w:r w:rsidRPr="00B26DBF">
        <w:rPr>
          <w:rFonts w:ascii="Gill Sans MT" w:hAnsi="Gill Sans MT"/>
        </w:rPr>
        <w:t xml:space="preserve"> (24 June 2016): </w:t>
      </w:r>
      <w:hyperlink r:id="rId5" w:history="1">
        <w:r w:rsidRPr="00B26DBF">
          <w:rPr>
            <w:rStyle w:val="Hyperlink"/>
            <w:rFonts w:ascii="Gill Sans MT" w:hAnsi="Gill Sans MT"/>
          </w:rPr>
          <w:t>http://lordashcroftpolls.com/2016/06/how-the-united-kingdom-voted-and-why/</w:t>
        </w:r>
      </w:hyperlink>
      <w:r w:rsidRPr="00B26DBF">
        <w:rPr>
          <w:rFonts w:ascii="Gill Sans MT" w:hAnsi="Gill Sans MT"/>
        </w:rPr>
        <w:t>.</w:t>
      </w:r>
    </w:p>
  </w:footnote>
  <w:footnote w:id="16">
    <w:p w14:paraId="0B2EE583" w14:textId="5D6A4A8B" w:rsidR="00883007" w:rsidRPr="00B26DBF"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J </w:t>
      </w:r>
      <w:proofErr w:type="spellStart"/>
      <w:r w:rsidRPr="00B26DBF">
        <w:rPr>
          <w:rFonts w:ascii="Gill Sans MT" w:hAnsi="Gill Sans MT"/>
        </w:rPr>
        <w:t>Curtice</w:t>
      </w:r>
      <w:proofErr w:type="spellEnd"/>
      <w:r w:rsidRPr="00B26DBF">
        <w:rPr>
          <w:rFonts w:ascii="Gill Sans MT" w:hAnsi="Gill Sans MT"/>
        </w:rPr>
        <w:t xml:space="preserve">, ‘The Vote to Leave the EU: Litmus test or lightning rod?’ in E </w:t>
      </w:r>
      <w:proofErr w:type="spellStart"/>
      <w:r w:rsidRPr="00B26DBF">
        <w:rPr>
          <w:rFonts w:ascii="Gill Sans MT" w:hAnsi="Gill Sans MT"/>
        </w:rPr>
        <w:t>Clery</w:t>
      </w:r>
      <w:proofErr w:type="spellEnd"/>
      <w:r w:rsidRPr="00B26DBF">
        <w:rPr>
          <w:rFonts w:ascii="Gill Sans MT" w:hAnsi="Gill Sans MT"/>
        </w:rPr>
        <w:t xml:space="preserve">, J </w:t>
      </w:r>
      <w:proofErr w:type="spellStart"/>
      <w:r w:rsidRPr="00B26DBF">
        <w:rPr>
          <w:rFonts w:ascii="Gill Sans MT" w:hAnsi="Gill Sans MT"/>
        </w:rPr>
        <w:t>Curtice</w:t>
      </w:r>
      <w:proofErr w:type="spellEnd"/>
      <w:r w:rsidRPr="00B26DBF">
        <w:rPr>
          <w:rFonts w:ascii="Gill Sans MT" w:hAnsi="Gill Sans MT"/>
        </w:rPr>
        <w:t xml:space="preserve"> and R Harding (eds), </w:t>
      </w:r>
      <w:r w:rsidRPr="00B26DBF">
        <w:rPr>
          <w:rFonts w:ascii="Gill Sans MT" w:hAnsi="Gill Sans MT"/>
          <w:i/>
        </w:rPr>
        <w:t>British Social Attitudes: the 34</w:t>
      </w:r>
      <w:r w:rsidRPr="00B26DBF">
        <w:rPr>
          <w:rFonts w:ascii="Gill Sans MT" w:hAnsi="Gill Sans MT"/>
          <w:i/>
          <w:vertAlign w:val="superscript"/>
        </w:rPr>
        <w:t>th</w:t>
      </w:r>
      <w:r w:rsidRPr="00B26DBF">
        <w:rPr>
          <w:rFonts w:ascii="Gill Sans MT" w:hAnsi="Gill Sans MT"/>
          <w:i/>
        </w:rPr>
        <w:t xml:space="preserve"> Report</w:t>
      </w:r>
      <w:r w:rsidRPr="00B26DBF">
        <w:rPr>
          <w:rFonts w:ascii="Gill Sans MT" w:hAnsi="Gill Sans MT"/>
        </w:rPr>
        <w:t xml:space="preserve"> (London: </w:t>
      </w:r>
      <w:proofErr w:type="spellStart"/>
      <w:r w:rsidRPr="00B26DBF">
        <w:rPr>
          <w:rFonts w:ascii="Gill Sans MT" w:hAnsi="Gill Sans MT"/>
        </w:rPr>
        <w:t>NatCen</w:t>
      </w:r>
      <w:proofErr w:type="spellEnd"/>
      <w:r w:rsidRPr="00B26DBF">
        <w:rPr>
          <w:rFonts w:ascii="Gill Sans MT" w:hAnsi="Gill Sans MT"/>
        </w:rPr>
        <w:t xml:space="preserve"> Social Research, 2017): </w:t>
      </w:r>
      <w:hyperlink r:id="rId6" w:history="1">
        <w:r w:rsidRPr="00B26DBF">
          <w:rPr>
            <w:rStyle w:val="Hyperlink"/>
            <w:rFonts w:ascii="Gill Sans MT" w:hAnsi="Gill Sans MT"/>
          </w:rPr>
          <w:t>http://www.bsa.natcen.ac.uk/latest-report/british-social-attitudes-34/brexit.aspx</w:t>
        </w:r>
      </w:hyperlink>
      <w:r w:rsidRPr="00B26DBF">
        <w:rPr>
          <w:rFonts w:ascii="Gill Sans MT" w:hAnsi="Gill Sans MT"/>
        </w:rPr>
        <w:t>.</w:t>
      </w:r>
    </w:p>
  </w:footnote>
  <w:footnote w:id="17">
    <w:p w14:paraId="596CB9C3" w14:textId="140D8EBD" w:rsidR="00883007" w:rsidRPr="00B26DBF"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K Swales, </w:t>
      </w:r>
      <w:r w:rsidRPr="00B26DBF">
        <w:rPr>
          <w:rFonts w:ascii="Gill Sans MT" w:hAnsi="Gill Sans MT"/>
          <w:i/>
        </w:rPr>
        <w:t>Understanding the Leave vote</w:t>
      </w:r>
      <w:r w:rsidRPr="00B26DBF">
        <w:rPr>
          <w:rFonts w:ascii="Gill Sans MT" w:hAnsi="Gill Sans MT"/>
        </w:rPr>
        <w:t xml:space="preserve"> (London: </w:t>
      </w:r>
      <w:proofErr w:type="spellStart"/>
      <w:r w:rsidRPr="00B26DBF">
        <w:rPr>
          <w:rFonts w:ascii="Gill Sans MT" w:hAnsi="Gill Sans MT"/>
        </w:rPr>
        <w:t>NatCen</w:t>
      </w:r>
      <w:proofErr w:type="spellEnd"/>
      <w:r w:rsidRPr="00B26DBF">
        <w:rPr>
          <w:rFonts w:ascii="Gill Sans MT" w:hAnsi="Gill Sans MT"/>
        </w:rPr>
        <w:t xml:space="preserve"> Social Research, 2016), 13: </w:t>
      </w:r>
      <w:hyperlink r:id="rId7" w:history="1">
        <w:r w:rsidRPr="00B26DBF">
          <w:rPr>
            <w:rStyle w:val="Hyperlink"/>
            <w:rFonts w:ascii="Gill Sans MT" w:hAnsi="Gill Sans MT"/>
          </w:rPr>
          <w:t>http://natcen.ac.uk/media/1319222/natcen_brexplanations-report-final-web2.pdf</w:t>
        </w:r>
      </w:hyperlink>
      <w:r w:rsidRPr="00B26DBF">
        <w:rPr>
          <w:rFonts w:ascii="Gill Sans MT" w:hAnsi="Gill Sans MT"/>
        </w:rPr>
        <w:t>.</w:t>
      </w:r>
    </w:p>
  </w:footnote>
  <w:footnote w:id="18">
    <w:p w14:paraId="3916A1EF" w14:textId="02408B04" w:rsidR="00883007" w:rsidRPr="00B26DBF"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w:t>
      </w:r>
      <w:r w:rsidRPr="00B26DBF">
        <w:rPr>
          <w:rFonts w:ascii="Gill Sans MT" w:hAnsi="Gill Sans MT" w:cs="Arial"/>
          <w:shd w:val="clear" w:color="auto" w:fill="FFFFFF"/>
        </w:rPr>
        <w:t xml:space="preserve">C Prosser, J Mellon and J Green, ‘What mattered most to you when deciding how to vote in the EU referendum?’, </w:t>
      </w:r>
      <w:r w:rsidRPr="00B26DBF">
        <w:rPr>
          <w:rFonts w:ascii="Gill Sans MT" w:hAnsi="Gill Sans MT"/>
          <w:i/>
        </w:rPr>
        <w:t>British Election Study</w:t>
      </w:r>
      <w:r w:rsidRPr="00B26DBF">
        <w:rPr>
          <w:rFonts w:ascii="Gill Sans MT" w:hAnsi="Gill Sans MT" w:cs="Arial"/>
          <w:shd w:val="clear" w:color="auto" w:fill="FFFFFF"/>
        </w:rPr>
        <w:t xml:space="preserve"> (11 July 2016): </w:t>
      </w:r>
      <w:hyperlink r:id="rId8" w:anchor=".WtCSF4jwaUk" w:history="1">
        <w:r w:rsidRPr="00B26DBF">
          <w:rPr>
            <w:rStyle w:val="Hyperlink"/>
            <w:rFonts w:ascii="Gill Sans MT" w:hAnsi="Gill Sans MT" w:cs="Arial"/>
            <w:shd w:val="clear" w:color="auto" w:fill="FFFFFF"/>
          </w:rPr>
          <w:t>http://www.britishelectionstudy.com/bes-findings/what-mattered-most-to-you-when-deciding-how-to-vote-in-the-eu-referendum/#.WtCSF4jwaUk</w:t>
        </w:r>
      </w:hyperlink>
      <w:r w:rsidRPr="00B26DBF">
        <w:rPr>
          <w:rFonts w:ascii="Gill Sans MT" w:hAnsi="Gill Sans MT" w:cs="Arial"/>
          <w:shd w:val="clear" w:color="auto" w:fill="FFFFFF"/>
        </w:rPr>
        <w:t>.</w:t>
      </w:r>
    </w:p>
  </w:footnote>
  <w:footnote w:id="19">
    <w:p w14:paraId="49643D1B" w14:textId="290D3E7D" w:rsidR="00883007" w:rsidRPr="00B26DBF" w:rsidRDefault="00883007" w:rsidP="00232316">
      <w:pPr>
        <w:pStyle w:val="Heading1"/>
        <w:shd w:val="clear" w:color="auto" w:fill="FFFFFF"/>
        <w:spacing w:before="0"/>
        <w:textAlignment w:val="baseline"/>
        <w:rPr>
          <w:rFonts w:ascii="Gill Sans MT" w:hAnsi="Gill Sans MT" w:cs="Arial"/>
          <w:color w:val="0B0C0C"/>
          <w:sz w:val="20"/>
          <w:szCs w:val="20"/>
        </w:rPr>
      </w:pPr>
      <w:r w:rsidRPr="00B26DBF">
        <w:rPr>
          <w:rStyle w:val="FootnoteReference"/>
          <w:rFonts w:ascii="Gill Sans MT" w:hAnsi="Gill Sans MT"/>
          <w:color w:val="auto"/>
          <w:sz w:val="20"/>
          <w:szCs w:val="20"/>
        </w:rPr>
        <w:footnoteRef/>
      </w:r>
      <w:r w:rsidRPr="00B26DBF">
        <w:rPr>
          <w:rFonts w:ascii="Gill Sans MT" w:hAnsi="Gill Sans MT"/>
          <w:color w:val="auto"/>
          <w:sz w:val="20"/>
          <w:szCs w:val="20"/>
        </w:rPr>
        <w:t xml:space="preserve"> T May, ‘</w:t>
      </w:r>
      <w:r w:rsidRPr="00B26DBF">
        <w:rPr>
          <w:rFonts w:ascii="Gill Sans MT" w:hAnsi="Gill Sans MT" w:cs="Arial"/>
          <w:color w:val="auto"/>
          <w:sz w:val="20"/>
          <w:szCs w:val="20"/>
        </w:rPr>
        <w:t xml:space="preserve">The government's negotiating objectives for exiting the EU’ (17 January 2017): </w:t>
      </w:r>
      <w:hyperlink r:id="rId9" w:history="1">
        <w:r w:rsidRPr="00B26DBF">
          <w:rPr>
            <w:rStyle w:val="Hyperlink"/>
            <w:rFonts w:ascii="Gill Sans MT" w:hAnsi="Gill Sans MT" w:cs="Arial"/>
            <w:sz w:val="20"/>
            <w:szCs w:val="20"/>
          </w:rPr>
          <w:t>https://www.gov.uk/government/speeches/the-governments-negotiating-objectives-for-exiting-the-eu-pm-speech</w:t>
        </w:r>
      </w:hyperlink>
      <w:r w:rsidRPr="00B26DBF">
        <w:rPr>
          <w:rFonts w:ascii="Gill Sans MT" w:hAnsi="Gill Sans MT" w:cs="Arial"/>
          <w:color w:val="auto"/>
          <w:sz w:val="20"/>
          <w:szCs w:val="20"/>
        </w:rPr>
        <w:t>.</w:t>
      </w:r>
    </w:p>
  </w:footnote>
  <w:footnote w:id="20">
    <w:p w14:paraId="0AF0DBF6" w14:textId="31089193" w:rsidR="00883007" w:rsidRPr="00B26DBF" w:rsidRDefault="00883007" w:rsidP="004122B7">
      <w:pPr>
        <w:pStyle w:val="Heading1"/>
        <w:shd w:val="clear" w:color="auto" w:fill="FFFFFF"/>
        <w:spacing w:before="0"/>
        <w:textAlignment w:val="baseline"/>
        <w:rPr>
          <w:rFonts w:ascii="Gill Sans MT" w:hAnsi="Gill Sans MT"/>
          <w:sz w:val="20"/>
          <w:szCs w:val="20"/>
        </w:rPr>
      </w:pPr>
      <w:r w:rsidRPr="00B26DBF">
        <w:rPr>
          <w:rStyle w:val="FootnoteReference"/>
          <w:rFonts w:ascii="Gill Sans MT" w:hAnsi="Gill Sans MT"/>
          <w:color w:val="auto"/>
          <w:sz w:val="20"/>
          <w:szCs w:val="20"/>
        </w:rPr>
        <w:footnoteRef/>
      </w:r>
      <w:r w:rsidRPr="00B26DBF">
        <w:rPr>
          <w:rFonts w:ascii="Gill Sans MT" w:hAnsi="Gill Sans MT"/>
          <w:color w:val="auto"/>
          <w:sz w:val="20"/>
          <w:szCs w:val="20"/>
        </w:rPr>
        <w:t xml:space="preserve"> T May, ‘A</w:t>
      </w:r>
      <w:r w:rsidRPr="00B26DBF">
        <w:rPr>
          <w:rFonts w:ascii="Gill Sans MT" w:hAnsi="Gill Sans MT" w:cs="Arial"/>
          <w:color w:val="auto"/>
          <w:sz w:val="20"/>
          <w:szCs w:val="20"/>
        </w:rPr>
        <w:t xml:space="preserve"> new era of cooperation and partnership between the UK and the EU’ </w:t>
      </w:r>
      <w:r w:rsidRPr="00B26DBF">
        <w:rPr>
          <w:rFonts w:ascii="Gill Sans MT" w:hAnsi="Gill Sans MT"/>
          <w:color w:val="auto"/>
          <w:sz w:val="20"/>
          <w:szCs w:val="20"/>
        </w:rPr>
        <w:t xml:space="preserve">(22 September 2017): </w:t>
      </w:r>
      <w:hyperlink r:id="rId10" w:history="1">
        <w:r w:rsidRPr="00B26DBF">
          <w:rPr>
            <w:rStyle w:val="Hyperlink"/>
            <w:rFonts w:ascii="Gill Sans MT" w:hAnsi="Gill Sans MT"/>
            <w:sz w:val="20"/>
            <w:szCs w:val="20"/>
          </w:rPr>
          <w:t>https://www.gov.uk/government/speeches/pms-florence-speech-a-new-era-of-cooperation-and-partnership-between-the-uk-and-the-eu</w:t>
        </w:r>
      </w:hyperlink>
      <w:r w:rsidRPr="00B26DBF">
        <w:rPr>
          <w:rFonts w:ascii="Gill Sans MT" w:hAnsi="Gill Sans MT"/>
          <w:sz w:val="20"/>
          <w:szCs w:val="20"/>
        </w:rPr>
        <w:t>.</w:t>
      </w:r>
    </w:p>
  </w:footnote>
  <w:footnote w:id="21">
    <w:p w14:paraId="18B5AF4F" w14:textId="762F19C0" w:rsidR="00883007" w:rsidRPr="00B26DBF"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P</w:t>
      </w:r>
      <w:r>
        <w:rPr>
          <w:rFonts w:ascii="Gill Sans MT" w:hAnsi="Gill Sans MT"/>
        </w:rPr>
        <w:t xml:space="preserve">rime </w:t>
      </w:r>
      <w:r w:rsidRPr="00B26DBF">
        <w:rPr>
          <w:rFonts w:ascii="Gill Sans MT" w:hAnsi="Gill Sans MT"/>
        </w:rPr>
        <w:t>M</w:t>
      </w:r>
      <w:r>
        <w:rPr>
          <w:rFonts w:ascii="Gill Sans MT" w:hAnsi="Gill Sans MT"/>
        </w:rPr>
        <w:t>inister</w:t>
      </w:r>
      <w:r w:rsidRPr="00B26DBF">
        <w:rPr>
          <w:rFonts w:ascii="Gill Sans MT" w:hAnsi="Gill Sans MT"/>
        </w:rPr>
        <w:t xml:space="preserve"> </w:t>
      </w:r>
      <w:r w:rsidRPr="00B26DBF">
        <w:rPr>
          <w:rStyle w:val="Emphasis"/>
          <w:rFonts w:ascii="Gill Sans MT" w:hAnsi="Gill Sans MT"/>
          <w:i w:val="0"/>
        </w:rPr>
        <w:t xml:space="preserve">Theresa May MP, </w:t>
      </w:r>
      <w:r w:rsidRPr="00B26DBF">
        <w:rPr>
          <w:rFonts w:ascii="Gill Sans MT" w:hAnsi="Gill Sans MT"/>
          <w:i/>
        </w:rPr>
        <w:t>Hansard</w:t>
      </w:r>
      <w:r w:rsidRPr="00B26DBF">
        <w:rPr>
          <w:rFonts w:ascii="Gill Sans MT" w:hAnsi="Gill Sans MT"/>
        </w:rPr>
        <w:t>, HC Deb, Vol 616 col 53 (24 October 2016).</w:t>
      </w:r>
    </w:p>
  </w:footnote>
  <w:footnote w:id="22">
    <w:p w14:paraId="04F1CDCF" w14:textId="15820F7C" w:rsidR="00883007" w:rsidRPr="00B26DBF"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Department for Exiting the EU, </w:t>
      </w:r>
      <w:r w:rsidRPr="00B26DBF">
        <w:rPr>
          <w:rFonts w:ascii="Gill Sans MT" w:hAnsi="Gill Sans MT" w:cs="Arial"/>
          <w:i/>
          <w:shd w:val="clear" w:color="auto" w:fill="FFFFFF"/>
        </w:rPr>
        <w:t xml:space="preserve">Legislating for the United Kingdom’s withdrawal from the European Union </w:t>
      </w:r>
      <w:r w:rsidRPr="00B26DBF">
        <w:rPr>
          <w:rFonts w:ascii="Gill Sans MT" w:hAnsi="Gill Sans MT"/>
        </w:rPr>
        <w:t>(</w:t>
      </w:r>
      <w:r w:rsidRPr="00B26DBF">
        <w:rPr>
          <w:rFonts w:ascii="Gill Sans MT" w:hAnsi="Gill Sans MT"/>
          <w:iCs/>
        </w:rPr>
        <w:t>Cm 9446, March 2017),</w:t>
      </w:r>
      <w:r w:rsidRPr="00B26DBF">
        <w:rPr>
          <w:rFonts w:ascii="Gill Sans MT" w:hAnsi="Gill Sans MT"/>
        </w:rPr>
        <w:t xml:space="preserve"> 7.</w:t>
      </w:r>
    </w:p>
  </w:footnote>
  <w:footnote w:id="23">
    <w:p w14:paraId="0B6CDAC2" w14:textId="28DC5731" w:rsidR="00883007" w:rsidRPr="00B26DBF" w:rsidRDefault="00883007" w:rsidP="00D363C3">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Department for Exiting the EU, </w:t>
      </w:r>
      <w:r w:rsidRPr="00B26DBF">
        <w:rPr>
          <w:rFonts w:ascii="Gill Sans MT" w:hAnsi="Gill Sans MT"/>
          <w:i/>
        </w:rPr>
        <w:t>The United Kingdom’s exit from and new partnership with the European Union</w:t>
      </w:r>
      <w:r w:rsidRPr="00B26DBF">
        <w:rPr>
          <w:rFonts w:ascii="Gill Sans MT" w:hAnsi="Gill Sans MT"/>
        </w:rPr>
        <w:t xml:space="preserve"> (Cm 9417, February 2017), 13.</w:t>
      </w:r>
    </w:p>
  </w:footnote>
  <w:footnote w:id="24">
    <w:p w14:paraId="0A9AB937" w14:textId="6B3E949A" w:rsidR="00883007" w:rsidRPr="003F78B8" w:rsidRDefault="00883007">
      <w:pPr>
        <w:pStyle w:val="FootnoteText"/>
        <w:rPr>
          <w:rFonts w:ascii="Gill Sans MT" w:hAnsi="Gill Sans MT"/>
        </w:rPr>
      </w:pPr>
      <w:r w:rsidRPr="003F78B8">
        <w:rPr>
          <w:rStyle w:val="FootnoteReference"/>
          <w:rFonts w:ascii="Gill Sans MT" w:hAnsi="Gill Sans MT"/>
        </w:rPr>
        <w:footnoteRef/>
      </w:r>
      <w:r w:rsidRPr="003F78B8">
        <w:rPr>
          <w:rFonts w:ascii="Gill Sans MT" w:hAnsi="Gill Sans MT"/>
        </w:rPr>
        <w:t xml:space="preserve"> </w:t>
      </w:r>
      <w:r w:rsidRPr="003F78B8">
        <w:rPr>
          <w:rFonts w:ascii="Gill Sans MT" w:hAnsi="Gill Sans MT"/>
          <w:i/>
        </w:rPr>
        <w:t>R</w:t>
      </w:r>
      <w:r w:rsidRPr="003F78B8">
        <w:rPr>
          <w:rFonts w:ascii="Gill Sans MT" w:hAnsi="Gill Sans MT"/>
        </w:rPr>
        <w:t xml:space="preserve"> v </w:t>
      </w:r>
      <w:r w:rsidRPr="003F78B8">
        <w:rPr>
          <w:rFonts w:ascii="Gill Sans MT" w:hAnsi="Gill Sans MT"/>
          <w:i/>
        </w:rPr>
        <w:t>Secretary of State for Transport, ex p Factortame (No 2)</w:t>
      </w:r>
      <w:r w:rsidRPr="003F78B8">
        <w:rPr>
          <w:rFonts w:ascii="Gill Sans MT" w:hAnsi="Gill Sans MT"/>
        </w:rPr>
        <w:t xml:space="preserve"> [1991] 1 AC 603.</w:t>
      </w:r>
    </w:p>
  </w:footnote>
  <w:footnote w:id="25">
    <w:p w14:paraId="50AE6ED5" w14:textId="19740574" w:rsidR="00883007" w:rsidRPr="003F78B8" w:rsidRDefault="00883007">
      <w:pPr>
        <w:pStyle w:val="FootnoteText"/>
        <w:rPr>
          <w:rFonts w:ascii="Gill Sans MT" w:hAnsi="Gill Sans MT"/>
        </w:rPr>
      </w:pPr>
      <w:r w:rsidRPr="003F78B8">
        <w:rPr>
          <w:rStyle w:val="FootnoteReference"/>
          <w:rFonts w:ascii="Gill Sans MT" w:hAnsi="Gill Sans MT"/>
        </w:rPr>
        <w:footnoteRef/>
      </w:r>
      <w:r w:rsidRPr="003F78B8">
        <w:rPr>
          <w:rFonts w:ascii="Gill Sans MT" w:hAnsi="Gill Sans MT"/>
        </w:rPr>
        <w:t xml:space="preserve"> </w:t>
      </w:r>
      <w:r>
        <w:rPr>
          <w:rFonts w:ascii="Gill Sans MT" w:hAnsi="Gill Sans MT"/>
        </w:rPr>
        <w:t xml:space="preserve">See </w:t>
      </w:r>
      <w:proofErr w:type="spellStart"/>
      <w:r>
        <w:rPr>
          <w:rFonts w:ascii="Gill Sans MT" w:hAnsi="Gill Sans MT"/>
        </w:rPr>
        <w:t>eg</w:t>
      </w:r>
      <w:proofErr w:type="spellEnd"/>
      <w:r>
        <w:rPr>
          <w:rFonts w:ascii="Gill Sans MT" w:hAnsi="Gill Sans MT"/>
        </w:rPr>
        <w:t xml:space="preserve"> </w:t>
      </w:r>
      <w:r w:rsidRPr="002E0DC6">
        <w:rPr>
          <w:rFonts w:ascii="Gill Sans MT" w:hAnsi="Gill Sans MT"/>
        </w:rPr>
        <w:t xml:space="preserve">G Robertson, ‘How to stop Brexit: get your MP to vote it down’, </w:t>
      </w:r>
      <w:r w:rsidRPr="002E0DC6">
        <w:rPr>
          <w:rFonts w:ascii="Gill Sans MT" w:hAnsi="Gill Sans MT"/>
          <w:i/>
        </w:rPr>
        <w:t>The Guardian</w:t>
      </w:r>
      <w:r>
        <w:rPr>
          <w:rFonts w:ascii="Gill Sans MT" w:hAnsi="Gill Sans MT"/>
        </w:rPr>
        <w:t xml:space="preserve"> (</w:t>
      </w:r>
      <w:r w:rsidRPr="002E0DC6">
        <w:rPr>
          <w:rFonts w:ascii="Gill Sans MT" w:hAnsi="Gill Sans MT"/>
        </w:rPr>
        <w:t>27 June 2016</w:t>
      </w:r>
      <w:r>
        <w:rPr>
          <w:rFonts w:ascii="Gill Sans MT" w:hAnsi="Gill Sans MT"/>
        </w:rPr>
        <w:t xml:space="preserve">): </w:t>
      </w:r>
      <w:hyperlink r:id="rId11" w:history="1">
        <w:r w:rsidRPr="000331B2">
          <w:rPr>
            <w:rStyle w:val="Hyperlink"/>
            <w:rFonts w:ascii="Gill Sans MT" w:hAnsi="Gill Sans MT"/>
          </w:rPr>
          <w:t>https://www.theguardian.com/commentisfree/2016/jun/27/stop-brexit-mp-vote-referendum-members-parliament-act-europe</w:t>
        </w:r>
      </w:hyperlink>
      <w:r>
        <w:rPr>
          <w:rFonts w:ascii="Gill Sans MT" w:hAnsi="Gill Sans MT"/>
        </w:rPr>
        <w:t xml:space="preserve">; ‘The Observer view on parliament’s sovereignty over Brexit’, </w:t>
      </w:r>
      <w:r>
        <w:rPr>
          <w:rFonts w:ascii="Gill Sans MT" w:hAnsi="Gill Sans MT"/>
          <w:i/>
        </w:rPr>
        <w:t>The Observer</w:t>
      </w:r>
      <w:r>
        <w:rPr>
          <w:rFonts w:ascii="Gill Sans MT" w:hAnsi="Gill Sans MT"/>
        </w:rPr>
        <w:t xml:space="preserve"> (5 February 2017): </w:t>
      </w:r>
      <w:hyperlink r:id="rId12" w:history="1">
        <w:r w:rsidRPr="000331B2">
          <w:rPr>
            <w:rStyle w:val="Hyperlink"/>
            <w:rFonts w:ascii="Gill Sans MT" w:hAnsi="Gill Sans MT"/>
          </w:rPr>
          <w:t>https://www.theguardian.com/commentisfree/2017/feb/05/parliament-must-ensure-second-brexit-referendum</w:t>
        </w:r>
      </w:hyperlink>
      <w:r>
        <w:rPr>
          <w:rFonts w:ascii="Gill Sans MT" w:hAnsi="Gill Sans MT"/>
        </w:rPr>
        <w:t>.</w:t>
      </w:r>
    </w:p>
  </w:footnote>
  <w:footnote w:id="26">
    <w:p w14:paraId="0A6B6C46" w14:textId="0F1B85D4" w:rsidR="00883007" w:rsidRPr="00B26DBF"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w:t>
      </w:r>
      <w:r>
        <w:rPr>
          <w:rFonts w:ascii="Gill Sans MT" w:hAnsi="Gill Sans MT"/>
        </w:rPr>
        <w:t xml:space="preserve">Joint Committee on Conventions, </w:t>
      </w:r>
      <w:r>
        <w:rPr>
          <w:rFonts w:ascii="Gill Sans MT" w:hAnsi="Gill Sans MT"/>
          <w:i/>
        </w:rPr>
        <w:t xml:space="preserve">Conventions of the UK Parliament </w:t>
      </w:r>
      <w:r>
        <w:rPr>
          <w:rFonts w:ascii="Gill Sans MT" w:hAnsi="Gill Sans MT"/>
        </w:rPr>
        <w:t>(HL Paper 265-I, HC 1212-I, 3 November 2006), 14-15</w:t>
      </w:r>
      <w:r w:rsidRPr="00B26DBF">
        <w:rPr>
          <w:rFonts w:ascii="Gill Sans MT" w:hAnsi="Gill Sans MT"/>
        </w:rPr>
        <w:t>; Parliament Acts 1911 and 1949.</w:t>
      </w:r>
    </w:p>
  </w:footnote>
  <w:footnote w:id="27">
    <w:p w14:paraId="2A7707C2" w14:textId="5A2FBD16" w:rsidR="00883007" w:rsidRPr="00B26DBF"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w:t>
      </w:r>
      <w:r>
        <w:rPr>
          <w:rFonts w:ascii="Gill Sans MT" w:hAnsi="Gill Sans MT"/>
          <w:i/>
        </w:rPr>
        <w:t xml:space="preserve">The </w:t>
      </w:r>
      <w:r w:rsidRPr="004776A3">
        <w:rPr>
          <w:rFonts w:ascii="Gill Sans MT" w:hAnsi="Gill Sans MT"/>
          <w:i/>
        </w:rPr>
        <w:t>Cabinet Manual</w:t>
      </w:r>
      <w:r>
        <w:rPr>
          <w:rFonts w:ascii="Gill Sans MT" w:hAnsi="Gill Sans MT"/>
        </w:rPr>
        <w:t>, 1</w:t>
      </w:r>
      <w:r w:rsidRPr="004776A3">
        <w:rPr>
          <w:rFonts w:ascii="Gill Sans MT" w:hAnsi="Gill Sans MT"/>
          <w:vertAlign w:val="superscript"/>
        </w:rPr>
        <w:t>st</w:t>
      </w:r>
      <w:r>
        <w:rPr>
          <w:rFonts w:ascii="Gill Sans MT" w:hAnsi="Gill Sans MT"/>
        </w:rPr>
        <w:t xml:space="preserve"> </w:t>
      </w:r>
      <w:proofErr w:type="spellStart"/>
      <w:r>
        <w:rPr>
          <w:rFonts w:ascii="Gill Sans MT" w:hAnsi="Gill Sans MT"/>
        </w:rPr>
        <w:t>edn</w:t>
      </w:r>
      <w:proofErr w:type="spellEnd"/>
      <w:r>
        <w:rPr>
          <w:rFonts w:ascii="Gill Sans MT" w:hAnsi="Gill Sans MT"/>
        </w:rPr>
        <w:t xml:space="preserve"> (October 2011), [1.1].</w:t>
      </w:r>
    </w:p>
  </w:footnote>
  <w:footnote w:id="28">
    <w:p w14:paraId="039EC9AE" w14:textId="39890F27" w:rsidR="00883007" w:rsidRPr="00DC192D"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w:t>
      </w:r>
      <w:r w:rsidRPr="004776A3">
        <w:rPr>
          <w:rFonts w:ascii="Gill Sans MT" w:hAnsi="Gill Sans MT"/>
        </w:rPr>
        <w:t xml:space="preserve">See </w:t>
      </w:r>
      <w:proofErr w:type="spellStart"/>
      <w:r w:rsidRPr="004776A3">
        <w:rPr>
          <w:rFonts w:ascii="Gill Sans MT" w:hAnsi="Gill Sans MT"/>
        </w:rPr>
        <w:t>eg</w:t>
      </w:r>
      <w:proofErr w:type="spellEnd"/>
      <w:r w:rsidRPr="004776A3">
        <w:rPr>
          <w:rFonts w:ascii="Gill Sans MT" w:hAnsi="Gill Sans MT"/>
        </w:rPr>
        <w:t xml:space="preserve"> </w:t>
      </w:r>
      <w:r w:rsidRPr="004776A3">
        <w:rPr>
          <w:rStyle w:val="legds2"/>
          <w:rFonts w:ascii="Gill Sans MT" w:hAnsi="Gill Sans MT"/>
          <w:i/>
          <w:specVanish w:val="0"/>
        </w:rPr>
        <w:t>Edinburgh and Dalkeith Railway Co</w:t>
      </w:r>
      <w:r w:rsidRPr="004776A3">
        <w:rPr>
          <w:rStyle w:val="legds2"/>
          <w:rFonts w:ascii="Gill Sans MT" w:hAnsi="Gill Sans MT"/>
          <w:specVanish w:val="0"/>
        </w:rPr>
        <w:t xml:space="preserve"> </w:t>
      </w:r>
      <w:r w:rsidRPr="004776A3">
        <w:rPr>
          <w:rStyle w:val="legds2"/>
          <w:rFonts w:ascii="Gill Sans MT" w:hAnsi="Gill Sans MT"/>
          <w:i/>
          <w:specVanish w:val="0"/>
        </w:rPr>
        <w:t>v</w:t>
      </w:r>
      <w:r w:rsidRPr="004776A3">
        <w:rPr>
          <w:rStyle w:val="legds2"/>
          <w:rFonts w:ascii="Gill Sans MT" w:hAnsi="Gill Sans MT"/>
          <w:specVanish w:val="0"/>
        </w:rPr>
        <w:t xml:space="preserve"> </w:t>
      </w:r>
      <w:r w:rsidRPr="004776A3">
        <w:rPr>
          <w:rStyle w:val="legds2"/>
          <w:rFonts w:ascii="Gill Sans MT" w:hAnsi="Gill Sans MT"/>
          <w:i/>
          <w:specVanish w:val="0"/>
        </w:rPr>
        <w:t>Wauchope</w:t>
      </w:r>
      <w:r w:rsidRPr="004776A3">
        <w:rPr>
          <w:rFonts w:ascii="Gill Sans MT" w:hAnsi="Gill Sans MT"/>
        </w:rPr>
        <w:t xml:space="preserve"> (1842) 8 Cl &amp; F 710; </w:t>
      </w:r>
      <w:r w:rsidRPr="004776A3">
        <w:rPr>
          <w:rStyle w:val="legds2"/>
          <w:rFonts w:ascii="Gill Sans MT" w:hAnsi="Gill Sans MT"/>
          <w:i/>
          <w:specVanish w:val="0"/>
        </w:rPr>
        <w:t>Lee</w:t>
      </w:r>
      <w:r w:rsidRPr="004776A3">
        <w:rPr>
          <w:rStyle w:val="legds2"/>
          <w:rFonts w:ascii="Gill Sans MT" w:hAnsi="Gill Sans MT"/>
          <w:specVanish w:val="0"/>
        </w:rPr>
        <w:t xml:space="preserve"> </w:t>
      </w:r>
      <w:r w:rsidRPr="004776A3">
        <w:rPr>
          <w:rStyle w:val="legds2"/>
          <w:rFonts w:ascii="Gill Sans MT" w:hAnsi="Gill Sans MT"/>
          <w:i/>
          <w:specVanish w:val="0"/>
        </w:rPr>
        <w:t xml:space="preserve">v </w:t>
      </w:r>
      <w:proofErr w:type="spellStart"/>
      <w:r w:rsidRPr="004776A3">
        <w:rPr>
          <w:rStyle w:val="legds2"/>
          <w:rFonts w:ascii="Gill Sans MT" w:hAnsi="Gill Sans MT"/>
          <w:i/>
          <w:specVanish w:val="0"/>
        </w:rPr>
        <w:t>Bude</w:t>
      </w:r>
      <w:proofErr w:type="spellEnd"/>
      <w:r w:rsidRPr="004776A3">
        <w:rPr>
          <w:rStyle w:val="legds2"/>
          <w:rFonts w:ascii="Gill Sans MT" w:hAnsi="Gill Sans MT"/>
          <w:i/>
          <w:specVanish w:val="0"/>
        </w:rPr>
        <w:t xml:space="preserve"> and Torrington Junction Railway Co</w:t>
      </w:r>
      <w:r w:rsidRPr="004776A3">
        <w:rPr>
          <w:rFonts w:ascii="Gill Sans MT" w:hAnsi="Gill Sans MT"/>
        </w:rPr>
        <w:t xml:space="preserve"> (1871</w:t>
      </w:r>
      <w:r w:rsidRPr="00DC192D">
        <w:rPr>
          <w:rFonts w:ascii="Gill Sans MT" w:hAnsi="Gill Sans MT"/>
        </w:rPr>
        <w:t xml:space="preserve">) LR 6 CP 576; </w:t>
      </w:r>
      <w:r w:rsidRPr="00DC192D">
        <w:rPr>
          <w:rFonts w:ascii="Gill Sans MT" w:hAnsi="Gill Sans MT"/>
          <w:i/>
          <w:iCs/>
        </w:rPr>
        <w:t xml:space="preserve">Mortensen </w:t>
      </w:r>
      <w:r w:rsidRPr="00DC192D">
        <w:rPr>
          <w:rFonts w:ascii="Gill Sans MT" w:hAnsi="Gill Sans MT"/>
          <w:i/>
        </w:rPr>
        <w:t>v</w:t>
      </w:r>
      <w:r w:rsidRPr="00DC192D">
        <w:rPr>
          <w:rFonts w:ascii="Gill Sans MT" w:hAnsi="Gill Sans MT"/>
        </w:rPr>
        <w:t xml:space="preserve"> </w:t>
      </w:r>
      <w:r w:rsidRPr="00DC192D">
        <w:rPr>
          <w:rFonts w:ascii="Gill Sans MT" w:hAnsi="Gill Sans MT"/>
          <w:i/>
          <w:iCs/>
        </w:rPr>
        <w:t>Peters</w:t>
      </w:r>
      <w:r w:rsidRPr="00DC192D">
        <w:rPr>
          <w:rFonts w:ascii="Gill Sans MT" w:hAnsi="Gill Sans MT"/>
        </w:rPr>
        <w:t xml:space="preserve"> (1906) 8 F (J) 93; </w:t>
      </w:r>
      <w:r w:rsidRPr="00DC192D">
        <w:rPr>
          <w:rFonts w:ascii="Gill Sans MT" w:hAnsi="Gill Sans MT"/>
          <w:i/>
          <w:iCs/>
        </w:rPr>
        <w:t>Cheney</w:t>
      </w:r>
      <w:r w:rsidRPr="00DC192D">
        <w:rPr>
          <w:rFonts w:ascii="Gill Sans MT" w:hAnsi="Gill Sans MT"/>
        </w:rPr>
        <w:t xml:space="preserve"> </w:t>
      </w:r>
      <w:r w:rsidRPr="00DC192D">
        <w:rPr>
          <w:rFonts w:ascii="Gill Sans MT" w:hAnsi="Gill Sans MT"/>
          <w:i/>
        </w:rPr>
        <w:t>v</w:t>
      </w:r>
      <w:r w:rsidRPr="00DC192D">
        <w:rPr>
          <w:rFonts w:ascii="Gill Sans MT" w:hAnsi="Gill Sans MT"/>
        </w:rPr>
        <w:t xml:space="preserve"> </w:t>
      </w:r>
      <w:r w:rsidRPr="00DC192D">
        <w:rPr>
          <w:rFonts w:ascii="Gill Sans MT" w:hAnsi="Gill Sans MT"/>
          <w:i/>
          <w:iCs/>
        </w:rPr>
        <w:t>Conn</w:t>
      </w:r>
      <w:r w:rsidRPr="00DC192D">
        <w:rPr>
          <w:rFonts w:ascii="Gill Sans MT" w:hAnsi="Gill Sans MT"/>
        </w:rPr>
        <w:t xml:space="preserve"> [1968] 1 WLR 242; </w:t>
      </w:r>
      <w:r w:rsidRPr="00DC192D">
        <w:rPr>
          <w:rStyle w:val="legds2"/>
          <w:rFonts w:ascii="Gill Sans MT" w:hAnsi="Gill Sans MT"/>
          <w:i/>
          <w:specVanish w:val="0"/>
        </w:rPr>
        <w:t>British Railways Board</w:t>
      </w:r>
      <w:r w:rsidRPr="00DC192D">
        <w:rPr>
          <w:rStyle w:val="legds2"/>
          <w:rFonts w:ascii="Gill Sans MT" w:hAnsi="Gill Sans MT"/>
          <w:specVanish w:val="0"/>
        </w:rPr>
        <w:t xml:space="preserve"> </w:t>
      </w:r>
      <w:r w:rsidRPr="00DC192D">
        <w:rPr>
          <w:rStyle w:val="legds2"/>
          <w:rFonts w:ascii="Gill Sans MT" w:hAnsi="Gill Sans MT"/>
          <w:i/>
          <w:specVanish w:val="0"/>
        </w:rPr>
        <w:t>v</w:t>
      </w:r>
      <w:r w:rsidRPr="00DC192D">
        <w:rPr>
          <w:rStyle w:val="legds2"/>
          <w:rFonts w:ascii="Gill Sans MT" w:hAnsi="Gill Sans MT"/>
          <w:specVanish w:val="0"/>
        </w:rPr>
        <w:t xml:space="preserve"> </w:t>
      </w:r>
      <w:r w:rsidRPr="00DC192D">
        <w:rPr>
          <w:rStyle w:val="legds2"/>
          <w:rFonts w:ascii="Gill Sans MT" w:hAnsi="Gill Sans MT"/>
          <w:i/>
          <w:specVanish w:val="0"/>
        </w:rPr>
        <w:t>Pickin</w:t>
      </w:r>
      <w:r w:rsidRPr="00DC192D">
        <w:rPr>
          <w:rFonts w:ascii="Gill Sans MT" w:hAnsi="Gill Sans MT"/>
        </w:rPr>
        <w:t xml:space="preserve"> [1974] AC 765.</w:t>
      </w:r>
    </w:p>
  </w:footnote>
  <w:footnote w:id="29">
    <w:p w14:paraId="6B7D6952" w14:textId="23AEDA56" w:rsidR="00883007" w:rsidRPr="00B26DBF" w:rsidRDefault="00883007">
      <w:pPr>
        <w:pStyle w:val="FootnoteText"/>
        <w:rPr>
          <w:rFonts w:ascii="Gill Sans MT" w:hAnsi="Gill Sans MT"/>
        </w:rPr>
      </w:pPr>
      <w:r w:rsidRPr="00DC192D">
        <w:rPr>
          <w:rStyle w:val="FootnoteReference"/>
          <w:rFonts w:ascii="Gill Sans MT" w:hAnsi="Gill Sans MT"/>
        </w:rPr>
        <w:footnoteRef/>
      </w:r>
      <w:r w:rsidRPr="00DC192D">
        <w:rPr>
          <w:rFonts w:ascii="Gill Sans MT" w:hAnsi="Gill Sans MT"/>
        </w:rPr>
        <w:t xml:space="preserve"> </w:t>
      </w:r>
      <w:r w:rsidRPr="00DC192D">
        <w:rPr>
          <w:rFonts w:ascii="Gill Sans MT" w:hAnsi="Gill Sans MT"/>
          <w:i/>
          <w:color w:val="000000"/>
        </w:rPr>
        <w:t>R (Jackson)</w:t>
      </w:r>
      <w:r w:rsidRPr="00DC192D">
        <w:rPr>
          <w:rFonts w:ascii="Gill Sans MT" w:hAnsi="Gill Sans MT"/>
          <w:color w:val="000000"/>
        </w:rPr>
        <w:t xml:space="preserve"> </w:t>
      </w:r>
      <w:r w:rsidRPr="00DC192D">
        <w:rPr>
          <w:rFonts w:ascii="Gill Sans MT" w:hAnsi="Gill Sans MT"/>
          <w:i/>
          <w:color w:val="000000"/>
        </w:rPr>
        <w:t>v</w:t>
      </w:r>
      <w:r w:rsidRPr="00DC192D">
        <w:rPr>
          <w:rFonts w:ascii="Gill Sans MT" w:hAnsi="Gill Sans MT"/>
          <w:color w:val="000000"/>
        </w:rPr>
        <w:t xml:space="preserve"> </w:t>
      </w:r>
      <w:r w:rsidRPr="00DC192D">
        <w:rPr>
          <w:rFonts w:ascii="Gill Sans MT" w:hAnsi="Gill Sans MT"/>
          <w:i/>
          <w:color w:val="000000"/>
        </w:rPr>
        <w:t>Attorney General</w:t>
      </w:r>
      <w:r w:rsidRPr="00DC192D">
        <w:rPr>
          <w:rFonts w:ascii="Gill Sans MT" w:hAnsi="Gill Sans MT"/>
        </w:rPr>
        <w:t xml:space="preserve"> [2005] UKHL 56</w:t>
      </w:r>
      <w:r>
        <w:rPr>
          <w:rFonts w:ascii="Gill Sans MT" w:hAnsi="Gill Sans MT"/>
        </w:rPr>
        <w:t>,</w:t>
      </w:r>
      <w:r w:rsidRPr="00DC192D">
        <w:rPr>
          <w:rFonts w:ascii="Gill Sans MT" w:hAnsi="Gill Sans MT"/>
        </w:rPr>
        <w:t xml:space="preserve"> [2006] 1 AC 262.</w:t>
      </w:r>
    </w:p>
  </w:footnote>
  <w:footnote w:id="30">
    <w:p w14:paraId="0C8041BE" w14:textId="7E48D081" w:rsidR="00883007" w:rsidRPr="00B26DBF"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w:t>
      </w:r>
      <w:r>
        <w:rPr>
          <w:rFonts w:ascii="Gill Sans MT" w:hAnsi="Gill Sans MT"/>
        </w:rPr>
        <w:t>Ibid,</w:t>
      </w:r>
      <w:r w:rsidRPr="00B26DBF">
        <w:rPr>
          <w:rFonts w:ascii="Gill Sans MT" w:hAnsi="Gill Sans MT"/>
        </w:rPr>
        <w:t xml:space="preserve"> [102].</w:t>
      </w:r>
    </w:p>
  </w:footnote>
  <w:footnote w:id="31">
    <w:p w14:paraId="0258BC03" w14:textId="3C2FB5AA" w:rsidR="00883007" w:rsidRPr="00B26DBF"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w:t>
      </w:r>
      <w:r>
        <w:rPr>
          <w:rFonts w:ascii="Gill Sans MT" w:hAnsi="Gill Sans MT"/>
        </w:rPr>
        <w:t>Ibid</w:t>
      </w:r>
      <w:r w:rsidRPr="00B26DBF">
        <w:rPr>
          <w:rFonts w:ascii="Gill Sans MT" w:hAnsi="Gill Sans MT"/>
        </w:rPr>
        <w:t xml:space="preserve"> [104]</w:t>
      </w:r>
      <w:r>
        <w:rPr>
          <w:rFonts w:ascii="Gill Sans MT" w:hAnsi="Gill Sans MT"/>
        </w:rPr>
        <w:t>,</w:t>
      </w:r>
      <w:r w:rsidRPr="00B26DBF">
        <w:rPr>
          <w:rFonts w:ascii="Gill Sans MT" w:hAnsi="Gill Sans MT"/>
        </w:rPr>
        <w:t xml:space="preserve"> [159].</w:t>
      </w:r>
    </w:p>
  </w:footnote>
  <w:footnote w:id="32">
    <w:p w14:paraId="13E9D4BA" w14:textId="062764F3" w:rsidR="00883007" w:rsidRPr="00DC192D"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w:t>
      </w:r>
      <w:r>
        <w:rPr>
          <w:rFonts w:ascii="Gill Sans MT" w:hAnsi="Gill Sans MT"/>
        </w:rPr>
        <w:t xml:space="preserve">For an overview of </w:t>
      </w:r>
      <w:r w:rsidR="00511BCB">
        <w:rPr>
          <w:rFonts w:ascii="Gill Sans MT" w:hAnsi="Gill Sans MT"/>
        </w:rPr>
        <w:t>the</w:t>
      </w:r>
      <w:r>
        <w:rPr>
          <w:rFonts w:ascii="Gill Sans MT" w:hAnsi="Gill Sans MT"/>
        </w:rPr>
        <w:t xml:space="preserve"> argument</w:t>
      </w:r>
      <w:r w:rsidR="00511BCB">
        <w:rPr>
          <w:rFonts w:ascii="Gill Sans MT" w:hAnsi="Gill Sans MT"/>
        </w:rPr>
        <w:t>s</w:t>
      </w:r>
      <w:r>
        <w:rPr>
          <w:rFonts w:ascii="Gill Sans MT" w:hAnsi="Gill Sans MT"/>
        </w:rPr>
        <w:t xml:space="preserve">, see </w:t>
      </w:r>
      <w:r w:rsidRPr="00DC192D">
        <w:rPr>
          <w:rFonts w:ascii="Gill Sans MT" w:hAnsi="Gill Sans MT"/>
        </w:rPr>
        <w:t xml:space="preserve">Gordon (n 9), </w:t>
      </w:r>
      <w:proofErr w:type="spellStart"/>
      <w:r w:rsidRPr="00DC192D">
        <w:rPr>
          <w:rFonts w:ascii="Gill Sans MT" w:hAnsi="Gill Sans MT"/>
        </w:rPr>
        <w:t>ch</w:t>
      </w:r>
      <w:proofErr w:type="spellEnd"/>
      <w:r w:rsidRPr="00DC192D">
        <w:rPr>
          <w:rFonts w:ascii="Gill Sans MT" w:hAnsi="Gill Sans MT"/>
        </w:rPr>
        <w:t xml:space="preserve"> 5</w:t>
      </w:r>
      <w:r>
        <w:rPr>
          <w:rFonts w:ascii="Gill Sans MT" w:hAnsi="Gill Sans MT"/>
        </w:rPr>
        <w:t xml:space="preserve">.  </w:t>
      </w:r>
      <w:r w:rsidRPr="00DC192D">
        <w:rPr>
          <w:rFonts w:ascii="Gill Sans MT" w:hAnsi="Gill Sans MT"/>
        </w:rPr>
        <w:t xml:space="preserve">For </w:t>
      </w:r>
      <w:r w:rsidR="00511BCB">
        <w:rPr>
          <w:rFonts w:ascii="Gill Sans MT" w:hAnsi="Gill Sans MT"/>
        </w:rPr>
        <w:t>differing</w:t>
      </w:r>
      <w:r w:rsidRPr="00DC192D">
        <w:rPr>
          <w:rFonts w:ascii="Gill Sans MT" w:hAnsi="Gill Sans MT"/>
        </w:rPr>
        <w:t xml:space="preserve"> accounts of</w:t>
      </w:r>
      <w:r>
        <w:rPr>
          <w:rFonts w:ascii="Gill Sans MT" w:hAnsi="Gill Sans MT"/>
        </w:rPr>
        <w:t xml:space="preserve"> the implications of</w:t>
      </w:r>
      <w:r w:rsidRPr="00DC192D">
        <w:rPr>
          <w:rFonts w:ascii="Gill Sans MT" w:hAnsi="Gill Sans MT"/>
        </w:rPr>
        <w:t xml:space="preserve"> </w:t>
      </w:r>
      <w:r w:rsidRPr="00DC192D">
        <w:rPr>
          <w:rFonts w:ascii="Gill Sans MT" w:hAnsi="Gill Sans MT"/>
          <w:i/>
        </w:rPr>
        <w:t>Jackson</w:t>
      </w:r>
      <w:r w:rsidRPr="00DC192D">
        <w:rPr>
          <w:rFonts w:ascii="Gill Sans MT" w:hAnsi="Gill Sans MT"/>
        </w:rPr>
        <w:t xml:space="preserve">, see </w:t>
      </w:r>
      <w:proofErr w:type="spellStart"/>
      <w:r w:rsidRPr="00DC192D">
        <w:rPr>
          <w:rFonts w:ascii="Gill Sans MT" w:hAnsi="Gill Sans MT"/>
        </w:rPr>
        <w:t>eg</w:t>
      </w:r>
      <w:proofErr w:type="spellEnd"/>
      <w:r w:rsidRPr="00DC192D">
        <w:rPr>
          <w:rFonts w:ascii="Gill Sans MT" w:hAnsi="Gill Sans MT"/>
        </w:rPr>
        <w:t xml:space="preserve"> AL Young, ‘Hunting Sovereignty: </w:t>
      </w:r>
      <w:r w:rsidRPr="00DC192D">
        <w:rPr>
          <w:rFonts w:ascii="Gill Sans MT" w:hAnsi="Gill Sans MT"/>
          <w:i/>
        </w:rPr>
        <w:t>Jackson v Her Majesty’s Attorney-General</w:t>
      </w:r>
      <w:r w:rsidRPr="00DC192D">
        <w:rPr>
          <w:rFonts w:ascii="Gill Sans MT" w:hAnsi="Gill Sans MT"/>
        </w:rPr>
        <w:t xml:space="preserve">’ [2006] </w:t>
      </w:r>
      <w:r>
        <w:rPr>
          <w:rFonts w:ascii="Gill Sans MT" w:hAnsi="Gill Sans MT"/>
          <w:i/>
        </w:rPr>
        <w:t>Public Law</w:t>
      </w:r>
      <w:r w:rsidRPr="00DC192D">
        <w:rPr>
          <w:rFonts w:ascii="Gill Sans MT" w:hAnsi="Gill Sans MT"/>
        </w:rPr>
        <w:t xml:space="preserve"> 187; AL Young, ‘Parliamentary Sovereignty Re-defined’ in R Rawlings, P Leyland and AL Young (</w:t>
      </w:r>
      <w:r w:rsidRPr="006A0096">
        <w:rPr>
          <w:rFonts w:ascii="Gill Sans MT" w:hAnsi="Gill Sans MT"/>
        </w:rPr>
        <w:t xml:space="preserve">eds), </w:t>
      </w:r>
      <w:r w:rsidRPr="006A0096">
        <w:rPr>
          <w:rFonts w:ascii="Gill Sans MT" w:hAnsi="Gill Sans MT"/>
          <w:i/>
        </w:rPr>
        <w:t>Sovereignty and the Law: Domestic, European, and International Perspectives</w:t>
      </w:r>
      <w:r w:rsidRPr="006A0096">
        <w:rPr>
          <w:rFonts w:ascii="Gill Sans MT" w:hAnsi="Gill Sans MT"/>
        </w:rPr>
        <w:t xml:space="preserve"> (Oxford, Oxford University Press, 2013); J Goldsworthy, </w:t>
      </w:r>
      <w:r w:rsidRPr="006A0096">
        <w:rPr>
          <w:rFonts w:ascii="Gill Sans MT" w:hAnsi="Gill Sans MT"/>
          <w:i/>
        </w:rPr>
        <w:t>Parliamentary Sovereignty: Contemporary Debates</w:t>
      </w:r>
      <w:r w:rsidRPr="006A0096">
        <w:rPr>
          <w:rFonts w:ascii="Gill Sans MT" w:hAnsi="Gill Sans MT"/>
        </w:rPr>
        <w:t xml:space="preserve"> (Cambridge, Cambridge University Press, 2010), 176-179; A Tucker, ‘Uncertainty in the Rule of Recognition and in the Doctrine of Parliamentary Sovereignty’ (2011)</w:t>
      </w:r>
      <w:r w:rsidRPr="00DC192D">
        <w:rPr>
          <w:rFonts w:ascii="Gill Sans MT" w:hAnsi="Gill Sans MT"/>
        </w:rPr>
        <w:t xml:space="preserve"> 31 </w:t>
      </w:r>
      <w:r>
        <w:rPr>
          <w:rFonts w:ascii="Gill Sans MT" w:hAnsi="Gill Sans MT"/>
          <w:i/>
        </w:rPr>
        <w:t>Oxford Journal of Legal Studies</w:t>
      </w:r>
      <w:r w:rsidRPr="00DC192D">
        <w:rPr>
          <w:rFonts w:ascii="Gill Sans MT" w:hAnsi="Gill Sans MT"/>
          <w:i/>
        </w:rPr>
        <w:t xml:space="preserve"> </w:t>
      </w:r>
      <w:r w:rsidRPr="00DC192D">
        <w:rPr>
          <w:rFonts w:ascii="Gill Sans MT" w:hAnsi="Gill Sans MT"/>
        </w:rPr>
        <w:t>61; HR Zhou, ‘</w:t>
      </w:r>
      <w:r w:rsidRPr="00DC192D">
        <w:rPr>
          <w:rFonts w:ascii="Gill Sans MT" w:hAnsi="Gill Sans MT" w:cs="Arial"/>
          <w:bCs/>
        </w:rPr>
        <w:t xml:space="preserve">Revisiting the "Manner and Form" Theory of Parliamentary Sovereignty’ (2013) 129 </w:t>
      </w:r>
      <w:r>
        <w:rPr>
          <w:rFonts w:ascii="Gill Sans MT" w:hAnsi="Gill Sans MT" w:cs="Arial"/>
          <w:bCs/>
          <w:i/>
        </w:rPr>
        <w:t>Law Quarterly Review</w:t>
      </w:r>
      <w:r w:rsidRPr="00DC192D">
        <w:rPr>
          <w:rFonts w:ascii="Gill Sans MT" w:hAnsi="Gill Sans MT" w:cs="Arial"/>
          <w:bCs/>
        </w:rPr>
        <w:t xml:space="preserve"> 610; M Elliott, ‘</w:t>
      </w:r>
      <w:r w:rsidRPr="00DC192D">
        <w:rPr>
          <w:rFonts w:ascii="Gill Sans MT" w:hAnsi="Gill Sans MT"/>
          <w:shd w:val="clear" w:color="auto" w:fill="FFFFFF"/>
        </w:rPr>
        <w:t>The Principle of Parliamentary Sovereignty in Legal, Constitutional and Political Perspective’ in J Jowell, D Oliver and C </w:t>
      </w:r>
      <w:proofErr w:type="spellStart"/>
      <w:r w:rsidRPr="00DC192D">
        <w:rPr>
          <w:rFonts w:ascii="Gill Sans MT" w:hAnsi="Gill Sans MT"/>
          <w:shd w:val="clear" w:color="auto" w:fill="FFFFFF"/>
        </w:rPr>
        <w:t>O’Cinneide</w:t>
      </w:r>
      <w:proofErr w:type="spellEnd"/>
      <w:r w:rsidRPr="00DC192D">
        <w:rPr>
          <w:rFonts w:ascii="Gill Sans MT" w:hAnsi="Gill Sans MT"/>
          <w:shd w:val="clear" w:color="auto" w:fill="FFFFFF"/>
        </w:rPr>
        <w:t xml:space="preserve"> (eds), </w:t>
      </w:r>
      <w:r w:rsidRPr="00DC192D">
        <w:rPr>
          <w:rStyle w:val="Emphasis"/>
          <w:rFonts w:ascii="Gill Sans MT" w:hAnsi="Gill Sans MT"/>
          <w:shd w:val="clear" w:color="auto" w:fill="FFFFFF"/>
        </w:rPr>
        <w:t xml:space="preserve">The Changing Constitution, </w:t>
      </w:r>
      <w:r w:rsidRPr="00DC192D">
        <w:rPr>
          <w:rStyle w:val="Emphasis"/>
          <w:rFonts w:ascii="Gill Sans MT" w:hAnsi="Gill Sans MT"/>
          <w:i w:val="0"/>
          <w:shd w:val="clear" w:color="auto" w:fill="FFFFFF"/>
        </w:rPr>
        <w:t xml:space="preserve">8th </w:t>
      </w:r>
      <w:proofErr w:type="spellStart"/>
      <w:r w:rsidRPr="00DC192D">
        <w:rPr>
          <w:rStyle w:val="Emphasis"/>
          <w:rFonts w:ascii="Gill Sans MT" w:hAnsi="Gill Sans MT"/>
          <w:i w:val="0"/>
          <w:shd w:val="clear" w:color="auto" w:fill="FFFFFF"/>
        </w:rPr>
        <w:t>edn</w:t>
      </w:r>
      <w:proofErr w:type="spellEnd"/>
      <w:r w:rsidRPr="00DC192D">
        <w:rPr>
          <w:rStyle w:val="Emphasis"/>
          <w:rFonts w:ascii="Gill Sans MT" w:hAnsi="Gill Sans MT"/>
          <w:i w:val="0"/>
          <w:shd w:val="clear" w:color="auto" w:fill="FFFFFF"/>
        </w:rPr>
        <w:t xml:space="preserve"> (Oxford, Oxford University Press, 2015).</w:t>
      </w:r>
    </w:p>
  </w:footnote>
  <w:footnote w:id="33">
    <w:p w14:paraId="07DA123F" w14:textId="32EF81C9" w:rsidR="00883007" w:rsidRPr="00B26DBF"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w:t>
      </w:r>
      <w:r>
        <w:rPr>
          <w:rFonts w:ascii="Gill Sans MT" w:hAnsi="Gill Sans MT"/>
        </w:rPr>
        <w:t>KD</w:t>
      </w:r>
      <w:r w:rsidRPr="00B26DBF">
        <w:rPr>
          <w:rFonts w:ascii="Gill Sans MT" w:hAnsi="Gill Sans MT"/>
        </w:rPr>
        <w:t xml:space="preserve"> Ewing</w:t>
      </w:r>
      <w:r>
        <w:rPr>
          <w:rFonts w:ascii="Gill Sans MT" w:hAnsi="Gill Sans MT"/>
        </w:rPr>
        <w:t>, ‘Brexit and Parliamentary Sovereignty’ (2017) 80</w:t>
      </w:r>
      <w:r w:rsidRPr="00B26DBF">
        <w:rPr>
          <w:rFonts w:ascii="Gill Sans MT" w:hAnsi="Gill Sans MT"/>
        </w:rPr>
        <w:t xml:space="preserve"> </w:t>
      </w:r>
      <w:r>
        <w:rPr>
          <w:rFonts w:ascii="Gill Sans MT" w:hAnsi="Gill Sans MT"/>
          <w:i/>
        </w:rPr>
        <w:t>Modern Law Review</w:t>
      </w:r>
      <w:r>
        <w:rPr>
          <w:rFonts w:ascii="Gill Sans MT" w:hAnsi="Gill Sans MT"/>
        </w:rPr>
        <w:t xml:space="preserve"> 711,</w:t>
      </w:r>
      <w:r w:rsidRPr="00B26DBF">
        <w:rPr>
          <w:rFonts w:ascii="Gill Sans MT" w:hAnsi="Gill Sans MT"/>
        </w:rPr>
        <w:t xml:space="preserve"> 712.</w:t>
      </w:r>
    </w:p>
  </w:footnote>
  <w:footnote w:id="34">
    <w:p w14:paraId="460A7F8E" w14:textId="1D9A5A5C" w:rsidR="00883007" w:rsidRPr="00B26DBF" w:rsidRDefault="00883007" w:rsidP="004B54CE">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w:t>
      </w:r>
      <w:r w:rsidRPr="00B26DBF">
        <w:rPr>
          <w:rFonts w:ascii="Gill Sans MT" w:hAnsi="Gill Sans MT"/>
          <w:color w:val="000000"/>
          <w:shd w:val="clear" w:color="auto" w:fill="FFFFFF"/>
        </w:rPr>
        <w:t>[2017] UKSC 5, [201</w:t>
      </w:r>
      <w:r>
        <w:rPr>
          <w:rFonts w:ascii="Gill Sans MT" w:hAnsi="Gill Sans MT"/>
          <w:color w:val="000000"/>
          <w:shd w:val="clear" w:color="auto" w:fill="FFFFFF"/>
        </w:rPr>
        <w:t>8</w:t>
      </w:r>
      <w:r w:rsidRPr="00B26DBF">
        <w:rPr>
          <w:rFonts w:ascii="Gill Sans MT" w:hAnsi="Gill Sans MT"/>
          <w:color w:val="000000"/>
          <w:shd w:val="clear" w:color="auto" w:fill="FFFFFF"/>
        </w:rPr>
        <w:t xml:space="preserve">] </w:t>
      </w:r>
      <w:r>
        <w:rPr>
          <w:rFonts w:ascii="Gill Sans MT" w:hAnsi="Gill Sans MT"/>
          <w:color w:val="000000"/>
          <w:shd w:val="clear" w:color="auto" w:fill="FFFFFF"/>
        </w:rPr>
        <w:t>AC 61</w:t>
      </w:r>
      <w:r w:rsidRPr="00B26DBF">
        <w:rPr>
          <w:rFonts w:ascii="Gill Sans MT" w:hAnsi="Gill Sans MT"/>
          <w:color w:val="000000"/>
          <w:shd w:val="clear" w:color="auto" w:fill="FFFFFF"/>
        </w:rPr>
        <w:t>.</w:t>
      </w:r>
    </w:p>
  </w:footnote>
  <w:footnote w:id="35">
    <w:p w14:paraId="70153A21" w14:textId="2E3FC38B" w:rsidR="00883007" w:rsidRPr="008735F6"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w:t>
      </w:r>
      <w:r w:rsidRPr="008735F6">
        <w:rPr>
          <w:rFonts w:ascii="Gill Sans MT" w:hAnsi="Gill Sans MT"/>
        </w:rPr>
        <w:t>Art 50(3</w:t>
      </w:r>
      <w:r>
        <w:rPr>
          <w:rFonts w:ascii="Gill Sans MT" w:hAnsi="Gill Sans MT"/>
        </w:rPr>
        <w:t>), Treaty on European Union</w:t>
      </w:r>
      <w:r w:rsidRPr="008735F6">
        <w:rPr>
          <w:rFonts w:ascii="Gill Sans MT" w:hAnsi="Gill Sans MT"/>
        </w:rPr>
        <w:t>.</w:t>
      </w:r>
    </w:p>
  </w:footnote>
  <w:footnote w:id="36">
    <w:p w14:paraId="6468ADF1" w14:textId="0DF01BFE" w:rsidR="00883007" w:rsidRPr="008735F6" w:rsidRDefault="00883007">
      <w:pPr>
        <w:pStyle w:val="FootnoteText"/>
        <w:rPr>
          <w:rFonts w:ascii="Gill Sans MT" w:hAnsi="Gill Sans MT"/>
        </w:rPr>
      </w:pPr>
      <w:r w:rsidRPr="008735F6">
        <w:rPr>
          <w:rStyle w:val="FootnoteReference"/>
          <w:rFonts w:ascii="Gill Sans MT" w:hAnsi="Gill Sans MT"/>
        </w:rPr>
        <w:footnoteRef/>
      </w:r>
      <w:r w:rsidRPr="008735F6">
        <w:rPr>
          <w:rFonts w:ascii="Gill Sans MT" w:hAnsi="Gill Sans MT"/>
        </w:rPr>
        <w:t xml:space="preserve"> See </w:t>
      </w:r>
      <w:proofErr w:type="spellStart"/>
      <w:r w:rsidRPr="008735F6">
        <w:rPr>
          <w:rFonts w:ascii="Gill Sans MT" w:hAnsi="Gill Sans MT"/>
        </w:rPr>
        <w:t>eg</w:t>
      </w:r>
      <w:proofErr w:type="spellEnd"/>
      <w:r w:rsidRPr="008735F6">
        <w:rPr>
          <w:rFonts w:ascii="Gill Sans MT" w:hAnsi="Gill Sans MT"/>
        </w:rPr>
        <w:t xml:space="preserve"> </w:t>
      </w:r>
      <w:r w:rsidRPr="008735F6">
        <w:rPr>
          <w:rFonts w:ascii="Gill Sans MT" w:hAnsi="Gill Sans MT"/>
          <w:lang w:eastAsia="zh-CN"/>
        </w:rPr>
        <w:t xml:space="preserve">JDB Mitchell, ‘What Happened to the Constitution on 1st January 1973?’ (1980) 11 </w:t>
      </w:r>
      <w:r w:rsidRPr="008735F6">
        <w:rPr>
          <w:rFonts w:ascii="Gill Sans MT" w:hAnsi="Gill Sans MT"/>
          <w:i/>
          <w:lang w:eastAsia="zh-CN"/>
        </w:rPr>
        <w:t>Cambrian Law Review</w:t>
      </w:r>
      <w:r w:rsidRPr="008735F6">
        <w:rPr>
          <w:rFonts w:ascii="Gill Sans MT" w:hAnsi="Gill Sans MT"/>
          <w:lang w:eastAsia="zh-CN"/>
        </w:rPr>
        <w:t xml:space="preserve"> 69.</w:t>
      </w:r>
    </w:p>
  </w:footnote>
  <w:footnote w:id="37">
    <w:p w14:paraId="472C9575" w14:textId="570B07B5" w:rsidR="00883007" w:rsidRPr="00B26DBF"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See below</w:t>
      </w:r>
      <w:r>
        <w:rPr>
          <w:rFonts w:ascii="Gill Sans MT" w:hAnsi="Gill Sans MT"/>
        </w:rPr>
        <w:t xml:space="preserve"> Section 3</w:t>
      </w:r>
      <w:r w:rsidRPr="00B26DBF">
        <w:rPr>
          <w:rFonts w:ascii="Gill Sans MT" w:hAnsi="Gill Sans MT"/>
        </w:rPr>
        <w:t>.</w:t>
      </w:r>
    </w:p>
  </w:footnote>
  <w:footnote w:id="38">
    <w:p w14:paraId="740DAAFB" w14:textId="30164C48" w:rsidR="00883007" w:rsidRPr="008735F6"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w:t>
      </w:r>
      <w:r w:rsidRPr="002E0DC6">
        <w:rPr>
          <w:rFonts w:ascii="Gill Sans MT" w:hAnsi="Gill Sans MT"/>
          <w:i/>
        </w:rPr>
        <w:t>Devolution: Memorandum of Understanding and Supplementary Agreements</w:t>
      </w:r>
      <w:r w:rsidRPr="002E0DC6">
        <w:rPr>
          <w:rFonts w:ascii="Gill Sans MT" w:hAnsi="Gill Sans MT"/>
        </w:rPr>
        <w:t xml:space="preserve"> (October 2013)</w:t>
      </w:r>
      <w:r>
        <w:rPr>
          <w:rFonts w:ascii="Gill Sans MT" w:hAnsi="Gill Sans MT"/>
        </w:rPr>
        <w:t xml:space="preserve">, </w:t>
      </w:r>
      <w:r w:rsidRPr="002E0DC6">
        <w:rPr>
          <w:rFonts w:ascii="Gill Sans MT" w:hAnsi="Gill Sans MT"/>
        </w:rPr>
        <w:t>[14]</w:t>
      </w:r>
      <w:r>
        <w:rPr>
          <w:rFonts w:ascii="Gill Sans MT" w:hAnsi="Gill Sans MT"/>
        </w:rPr>
        <w:t>; Department for Constitutional Affairs, ‘</w:t>
      </w:r>
      <w:r w:rsidRPr="008735F6">
        <w:rPr>
          <w:rFonts w:ascii="Gill Sans MT" w:hAnsi="Gill Sans MT"/>
        </w:rPr>
        <w:t>Devolution Guidance Note 10 – Post-Devolution Primary Legislation Affecting the Scottish Parliament</w:t>
      </w:r>
      <w:r>
        <w:rPr>
          <w:rFonts w:ascii="Gill Sans MT" w:hAnsi="Gill Sans MT"/>
        </w:rPr>
        <w:t>’</w:t>
      </w:r>
      <w:r>
        <w:rPr>
          <w:rFonts w:ascii="Gill Sans MT" w:hAnsi="Gill Sans MT"/>
          <w:i/>
        </w:rPr>
        <w:t xml:space="preserve"> </w:t>
      </w:r>
      <w:r>
        <w:rPr>
          <w:rFonts w:ascii="Gill Sans MT" w:hAnsi="Gill Sans MT"/>
        </w:rPr>
        <w:t>(November 2005), [4.3].</w:t>
      </w:r>
    </w:p>
  </w:footnote>
  <w:footnote w:id="39">
    <w:p w14:paraId="240A83B2" w14:textId="1E297472" w:rsidR="00883007" w:rsidRPr="007725C7"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w:t>
      </w:r>
      <w:r>
        <w:rPr>
          <w:rFonts w:ascii="Gill Sans MT" w:hAnsi="Gill Sans MT"/>
        </w:rPr>
        <w:t xml:space="preserve">At the time of the </w:t>
      </w:r>
      <w:r>
        <w:rPr>
          <w:rFonts w:ascii="Gill Sans MT" w:hAnsi="Gill Sans MT"/>
          <w:i/>
        </w:rPr>
        <w:t xml:space="preserve">Miller </w:t>
      </w:r>
      <w:r>
        <w:rPr>
          <w:rFonts w:ascii="Gill Sans MT" w:hAnsi="Gill Sans MT"/>
        </w:rPr>
        <w:t xml:space="preserve">litigation, this was pursuant to the </w:t>
      </w:r>
      <w:r w:rsidRPr="007725C7">
        <w:rPr>
          <w:rFonts w:ascii="Gill Sans MT" w:hAnsi="Gill Sans MT"/>
        </w:rPr>
        <w:t>Scotland Act 1998 s 2</w:t>
      </w:r>
      <w:r>
        <w:rPr>
          <w:rFonts w:ascii="Gill Sans MT" w:hAnsi="Gill Sans MT"/>
        </w:rPr>
        <w:t>9</w:t>
      </w:r>
      <w:r w:rsidRPr="007725C7">
        <w:rPr>
          <w:rFonts w:ascii="Gill Sans MT" w:hAnsi="Gill Sans MT"/>
        </w:rPr>
        <w:t>(</w:t>
      </w:r>
      <w:r>
        <w:rPr>
          <w:rFonts w:ascii="Gill Sans MT" w:hAnsi="Gill Sans MT"/>
        </w:rPr>
        <w:t>2</w:t>
      </w:r>
      <w:r w:rsidRPr="007725C7">
        <w:rPr>
          <w:rFonts w:ascii="Gill Sans MT" w:hAnsi="Gill Sans MT"/>
        </w:rPr>
        <w:t>)</w:t>
      </w:r>
      <w:r>
        <w:rPr>
          <w:rFonts w:ascii="Gill Sans MT" w:hAnsi="Gill Sans MT"/>
        </w:rPr>
        <w:t>(d)</w:t>
      </w:r>
      <w:r w:rsidRPr="007725C7">
        <w:rPr>
          <w:rFonts w:ascii="Gill Sans MT" w:hAnsi="Gill Sans MT"/>
        </w:rPr>
        <w:t xml:space="preserve">; Northern Ireland Act 1998 s </w:t>
      </w:r>
      <w:r>
        <w:rPr>
          <w:rFonts w:ascii="Gill Sans MT" w:hAnsi="Gill Sans MT"/>
        </w:rPr>
        <w:t>6</w:t>
      </w:r>
      <w:r w:rsidRPr="007725C7">
        <w:rPr>
          <w:rFonts w:ascii="Gill Sans MT" w:hAnsi="Gill Sans MT"/>
        </w:rPr>
        <w:t>(</w:t>
      </w:r>
      <w:r>
        <w:rPr>
          <w:rFonts w:ascii="Gill Sans MT" w:hAnsi="Gill Sans MT"/>
        </w:rPr>
        <w:t>2</w:t>
      </w:r>
      <w:r w:rsidRPr="007725C7">
        <w:rPr>
          <w:rFonts w:ascii="Gill Sans MT" w:hAnsi="Gill Sans MT"/>
        </w:rPr>
        <w:t>)</w:t>
      </w:r>
      <w:r>
        <w:rPr>
          <w:rFonts w:ascii="Gill Sans MT" w:hAnsi="Gill Sans MT"/>
        </w:rPr>
        <w:t>(d)</w:t>
      </w:r>
      <w:r w:rsidRPr="007725C7">
        <w:rPr>
          <w:rFonts w:ascii="Gill Sans MT" w:hAnsi="Gill Sans MT"/>
        </w:rPr>
        <w:t>; Government of Wales Act 2006 s 10</w:t>
      </w:r>
      <w:r>
        <w:rPr>
          <w:rFonts w:ascii="Gill Sans MT" w:hAnsi="Gill Sans MT"/>
        </w:rPr>
        <w:t>8</w:t>
      </w:r>
      <w:r w:rsidRPr="007725C7">
        <w:rPr>
          <w:rFonts w:ascii="Gill Sans MT" w:hAnsi="Gill Sans MT"/>
        </w:rPr>
        <w:t>(</w:t>
      </w:r>
      <w:r>
        <w:rPr>
          <w:rFonts w:ascii="Gill Sans MT" w:hAnsi="Gill Sans MT"/>
        </w:rPr>
        <w:t>6</w:t>
      </w:r>
      <w:r w:rsidRPr="007725C7">
        <w:rPr>
          <w:rFonts w:ascii="Gill Sans MT" w:hAnsi="Gill Sans MT"/>
        </w:rPr>
        <w:t>)</w:t>
      </w:r>
      <w:r>
        <w:rPr>
          <w:rFonts w:ascii="Gill Sans MT" w:hAnsi="Gill Sans MT"/>
        </w:rPr>
        <w:t>(c)</w:t>
      </w:r>
      <w:r w:rsidRPr="007725C7">
        <w:rPr>
          <w:rFonts w:ascii="Gill Sans MT" w:hAnsi="Gill Sans MT"/>
        </w:rPr>
        <w:t>.</w:t>
      </w:r>
    </w:p>
  </w:footnote>
  <w:footnote w:id="40">
    <w:p w14:paraId="0463B765" w14:textId="3764F7D5" w:rsidR="00883007" w:rsidRPr="007725C7" w:rsidRDefault="00883007">
      <w:pPr>
        <w:pStyle w:val="FootnoteText"/>
        <w:rPr>
          <w:rFonts w:ascii="Gill Sans MT" w:hAnsi="Gill Sans MT"/>
        </w:rPr>
      </w:pPr>
      <w:r w:rsidRPr="007725C7">
        <w:rPr>
          <w:rStyle w:val="FootnoteReference"/>
          <w:rFonts w:ascii="Gill Sans MT" w:hAnsi="Gill Sans MT"/>
        </w:rPr>
        <w:footnoteRef/>
      </w:r>
      <w:r w:rsidRPr="007725C7">
        <w:rPr>
          <w:rFonts w:ascii="Gill Sans MT" w:hAnsi="Gill Sans MT"/>
        </w:rPr>
        <w:t xml:space="preserve"> [2016] NIQB 85</w:t>
      </w:r>
      <w:r>
        <w:rPr>
          <w:rFonts w:ascii="Gill Sans MT" w:hAnsi="Gill Sans MT"/>
        </w:rPr>
        <w:t>.</w:t>
      </w:r>
    </w:p>
  </w:footnote>
  <w:footnote w:id="41">
    <w:p w14:paraId="4F39D5A7" w14:textId="37847C9F" w:rsidR="00883007" w:rsidRPr="007725C7" w:rsidRDefault="00883007">
      <w:pPr>
        <w:pStyle w:val="FootnoteText"/>
        <w:rPr>
          <w:rFonts w:ascii="Gill Sans MT" w:hAnsi="Gill Sans MT"/>
        </w:rPr>
      </w:pPr>
      <w:r w:rsidRPr="007725C7">
        <w:rPr>
          <w:rStyle w:val="FootnoteReference"/>
          <w:rFonts w:ascii="Gill Sans MT" w:hAnsi="Gill Sans MT"/>
        </w:rPr>
        <w:footnoteRef/>
      </w:r>
      <w:r w:rsidRPr="007725C7">
        <w:rPr>
          <w:rFonts w:ascii="Gill Sans MT" w:hAnsi="Gill Sans MT"/>
        </w:rPr>
        <w:t xml:space="preserve"> Ibid</w:t>
      </w:r>
      <w:r>
        <w:rPr>
          <w:rFonts w:ascii="Gill Sans MT" w:hAnsi="Gill Sans MT"/>
        </w:rPr>
        <w:t>,</w:t>
      </w:r>
      <w:r w:rsidRPr="007725C7">
        <w:rPr>
          <w:rFonts w:ascii="Gill Sans MT" w:hAnsi="Gill Sans MT"/>
        </w:rPr>
        <w:t xml:space="preserve"> [105]-[108].</w:t>
      </w:r>
    </w:p>
  </w:footnote>
  <w:footnote w:id="42">
    <w:p w14:paraId="5B1BBB17" w14:textId="70ADBC38" w:rsidR="00883007" w:rsidRPr="007725C7" w:rsidRDefault="00883007">
      <w:pPr>
        <w:pStyle w:val="FootnoteText"/>
        <w:rPr>
          <w:rFonts w:ascii="Gill Sans MT" w:hAnsi="Gill Sans MT"/>
        </w:rPr>
      </w:pPr>
      <w:r w:rsidRPr="007725C7">
        <w:rPr>
          <w:rStyle w:val="FootnoteReference"/>
          <w:rFonts w:ascii="Gill Sans MT" w:hAnsi="Gill Sans MT"/>
        </w:rPr>
        <w:footnoteRef/>
      </w:r>
      <w:r w:rsidRPr="007725C7">
        <w:rPr>
          <w:rFonts w:ascii="Gill Sans MT" w:hAnsi="Gill Sans MT"/>
        </w:rPr>
        <w:t xml:space="preserve"> Ibid</w:t>
      </w:r>
      <w:r>
        <w:rPr>
          <w:rFonts w:ascii="Gill Sans MT" w:hAnsi="Gill Sans MT"/>
        </w:rPr>
        <w:t>,</w:t>
      </w:r>
      <w:r w:rsidRPr="007725C7">
        <w:rPr>
          <w:rFonts w:ascii="Gill Sans MT" w:hAnsi="Gill Sans MT"/>
        </w:rPr>
        <w:t xml:space="preserve"> [121]-[122].</w:t>
      </w:r>
    </w:p>
  </w:footnote>
  <w:footnote w:id="43">
    <w:p w14:paraId="158F320E" w14:textId="423C2843" w:rsidR="00883007" w:rsidRPr="007725C7" w:rsidRDefault="00883007">
      <w:pPr>
        <w:pStyle w:val="FootnoteText"/>
        <w:rPr>
          <w:rFonts w:ascii="Gill Sans MT" w:hAnsi="Gill Sans MT"/>
        </w:rPr>
      </w:pPr>
      <w:r w:rsidRPr="007725C7">
        <w:rPr>
          <w:rStyle w:val="FootnoteReference"/>
          <w:rFonts w:ascii="Gill Sans MT" w:hAnsi="Gill Sans MT"/>
        </w:rPr>
        <w:footnoteRef/>
      </w:r>
      <w:r w:rsidRPr="007725C7">
        <w:rPr>
          <w:rFonts w:ascii="Gill Sans MT" w:hAnsi="Gill Sans MT"/>
        </w:rPr>
        <w:t xml:space="preserve"> </w:t>
      </w:r>
      <w:r w:rsidRPr="007725C7">
        <w:rPr>
          <w:rFonts w:ascii="Gill Sans MT" w:hAnsi="Gill Sans MT"/>
          <w:shd w:val="clear" w:color="auto" w:fill="FFFFFF"/>
        </w:rPr>
        <w:t xml:space="preserve">[2016] EWHC 2768 (Admin), [2017] 1 All ER 158.  </w:t>
      </w:r>
    </w:p>
  </w:footnote>
  <w:footnote w:id="44">
    <w:p w14:paraId="38209B77" w14:textId="541AB617" w:rsidR="00883007" w:rsidRPr="007725C7" w:rsidRDefault="00883007">
      <w:pPr>
        <w:pStyle w:val="FootnoteText"/>
        <w:rPr>
          <w:rFonts w:ascii="Gill Sans MT" w:hAnsi="Gill Sans MT"/>
        </w:rPr>
      </w:pPr>
      <w:r w:rsidRPr="007725C7">
        <w:rPr>
          <w:rStyle w:val="FootnoteReference"/>
          <w:rFonts w:ascii="Gill Sans MT" w:hAnsi="Gill Sans MT"/>
        </w:rPr>
        <w:footnoteRef/>
      </w:r>
      <w:r w:rsidRPr="007725C7">
        <w:rPr>
          <w:rFonts w:ascii="Gill Sans MT" w:hAnsi="Gill Sans MT"/>
        </w:rPr>
        <w:t xml:space="preserve"> Ibid</w:t>
      </w:r>
      <w:r>
        <w:rPr>
          <w:rFonts w:ascii="Gill Sans MT" w:hAnsi="Gill Sans MT"/>
        </w:rPr>
        <w:t>,</w:t>
      </w:r>
      <w:r w:rsidRPr="007725C7">
        <w:rPr>
          <w:rFonts w:ascii="Gill Sans MT" w:hAnsi="Gill Sans MT"/>
        </w:rPr>
        <w:t xml:space="preserve"> [82]-[94].</w:t>
      </w:r>
    </w:p>
  </w:footnote>
  <w:footnote w:id="45">
    <w:p w14:paraId="1BCC37B1" w14:textId="1FC8730A" w:rsidR="00883007" w:rsidRPr="007725C7" w:rsidRDefault="00883007" w:rsidP="004B54CE">
      <w:pPr>
        <w:pStyle w:val="FootnoteText"/>
        <w:rPr>
          <w:rFonts w:ascii="Gill Sans MT" w:hAnsi="Gill Sans MT"/>
        </w:rPr>
      </w:pPr>
      <w:r w:rsidRPr="007725C7">
        <w:rPr>
          <w:rStyle w:val="FootnoteReference"/>
          <w:rFonts w:ascii="Gill Sans MT" w:hAnsi="Gill Sans MT"/>
        </w:rPr>
        <w:footnoteRef/>
      </w:r>
      <w:r w:rsidRPr="007725C7">
        <w:rPr>
          <w:rFonts w:ascii="Gill Sans MT" w:hAnsi="Gill Sans MT"/>
        </w:rPr>
        <w:t xml:space="preserve"> </w:t>
      </w:r>
      <w:r w:rsidRPr="007725C7">
        <w:rPr>
          <w:rFonts w:ascii="Gill Sans MT" w:hAnsi="Gill Sans MT"/>
          <w:shd w:val="clear" w:color="auto" w:fill="FFFFFF"/>
        </w:rPr>
        <w:t>Ibid</w:t>
      </w:r>
      <w:r>
        <w:rPr>
          <w:rFonts w:ascii="Gill Sans MT" w:hAnsi="Gill Sans MT"/>
          <w:shd w:val="clear" w:color="auto" w:fill="FFFFFF"/>
        </w:rPr>
        <w:t>,</w:t>
      </w:r>
      <w:r w:rsidRPr="007725C7">
        <w:rPr>
          <w:rFonts w:ascii="Gill Sans MT" w:hAnsi="Gill Sans MT"/>
          <w:shd w:val="clear" w:color="auto" w:fill="FFFFFF"/>
        </w:rPr>
        <w:t xml:space="preserve"> [87]</w:t>
      </w:r>
      <w:r w:rsidRPr="007725C7">
        <w:rPr>
          <w:rFonts w:ascii="Gill Sans MT" w:hAnsi="Gill Sans MT"/>
          <w:bCs/>
        </w:rPr>
        <w:t>.</w:t>
      </w:r>
    </w:p>
  </w:footnote>
  <w:footnote w:id="46">
    <w:p w14:paraId="337AEED0" w14:textId="4A59A73B" w:rsidR="00883007" w:rsidRPr="007725C7" w:rsidRDefault="00883007">
      <w:pPr>
        <w:pStyle w:val="FootnoteText"/>
        <w:rPr>
          <w:rFonts w:ascii="Gill Sans MT" w:hAnsi="Gill Sans MT"/>
        </w:rPr>
      </w:pPr>
      <w:r w:rsidRPr="007725C7">
        <w:rPr>
          <w:rStyle w:val="FootnoteReference"/>
          <w:rFonts w:ascii="Gill Sans MT" w:hAnsi="Gill Sans MT"/>
        </w:rPr>
        <w:footnoteRef/>
      </w:r>
      <w:r w:rsidRPr="007725C7">
        <w:rPr>
          <w:rFonts w:ascii="Gill Sans MT" w:hAnsi="Gill Sans MT"/>
        </w:rPr>
        <w:t xml:space="preserve"> [2016] NIQB 85</w:t>
      </w:r>
      <w:r>
        <w:rPr>
          <w:rFonts w:ascii="Gill Sans MT" w:hAnsi="Gill Sans MT"/>
        </w:rPr>
        <w:t>,</w:t>
      </w:r>
      <w:r w:rsidRPr="007725C7">
        <w:rPr>
          <w:rFonts w:ascii="Gill Sans MT" w:hAnsi="Gill Sans MT"/>
        </w:rPr>
        <w:t xml:space="preserve"> [149].</w:t>
      </w:r>
    </w:p>
  </w:footnote>
  <w:footnote w:id="47">
    <w:p w14:paraId="12857C38" w14:textId="67F20293" w:rsidR="00883007" w:rsidRPr="007725C7" w:rsidRDefault="00883007">
      <w:pPr>
        <w:pStyle w:val="FootnoteText"/>
        <w:rPr>
          <w:rFonts w:ascii="Gill Sans MT" w:hAnsi="Gill Sans MT"/>
        </w:rPr>
      </w:pPr>
      <w:r w:rsidRPr="007725C7">
        <w:rPr>
          <w:rStyle w:val="FootnoteReference"/>
          <w:rFonts w:ascii="Gill Sans MT" w:hAnsi="Gill Sans MT"/>
        </w:rPr>
        <w:footnoteRef/>
      </w:r>
      <w:r w:rsidRPr="007725C7">
        <w:rPr>
          <w:rFonts w:ascii="Gill Sans MT" w:hAnsi="Gill Sans MT"/>
        </w:rPr>
        <w:t xml:space="preserve"> Ibid</w:t>
      </w:r>
      <w:r>
        <w:rPr>
          <w:rFonts w:ascii="Gill Sans MT" w:hAnsi="Gill Sans MT"/>
        </w:rPr>
        <w:t>,</w:t>
      </w:r>
      <w:r w:rsidRPr="007725C7">
        <w:rPr>
          <w:rFonts w:ascii="Gill Sans MT" w:hAnsi="Gill Sans MT"/>
        </w:rPr>
        <w:t xml:space="preserve"> [156].</w:t>
      </w:r>
    </w:p>
  </w:footnote>
  <w:footnote w:id="48">
    <w:p w14:paraId="5F615CC2" w14:textId="6C715680" w:rsidR="00883007" w:rsidRPr="00B26DBF"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w:t>
      </w:r>
      <w:r w:rsidRPr="00B26DBF">
        <w:rPr>
          <w:rFonts w:ascii="Gill Sans MT" w:hAnsi="Gill Sans MT"/>
          <w:color w:val="000000"/>
          <w:shd w:val="clear" w:color="auto" w:fill="FFFFFF"/>
        </w:rPr>
        <w:t>[2016] EWHC 2768 (Admin), [2017] 1 All ER 158</w:t>
      </w:r>
      <w:r>
        <w:rPr>
          <w:rFonts w:ascii="Gill Sans MT" w:hAnsi="Gill Sans MT"/>
          <w:color w:val="000000"/>
          <w:shd w:val="clear" w:color="auto" w:fill="FFFFFF"/>
        </w:rPr>
        <w:t>,</w:t>
      </w:r>
      <w:r w:rsidRPr="00B26DBF">
        <w:rPr>
          <w:rFonts w:ascii="Gill Sans MT" w:hAnsi="Gill Sans MT"/>
          <w:color w:val="000000"/>
          <w:shd w:val="clear" w:color="auto" w:fill="FFFFFF"/>
        </w:rPr>
        <w:t xml:space="preserve"> [20].</w:t>
      </w:r>
    </w:p>
  </w:footnote>
  <w:footnote w:id="49">
    <w:p w14:paraId="383208C7" w14:textId="54BE91FC" w:rsidR="00883007" w:rsidRPr="00A96A38"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Ibid</w:t>
      </w:r>
      <w:r>
        <w:rPr>
          <w:rFonts w:ascii="Gill Sans MT" w:hAnsi="Gill Sans MT"/>
        </w:rPr>
        <w:t>,</w:t>
      </w:r>
      <w:r w:rsidRPr="00B26DBF">
        <w:rPr>
          <w:rFonts w:ascii="Gill Sans MT" w:hAnsi="Gill Sans MT"/>
        </w:rPr>
        <w:t xml:space="preserve"> [23]</w:t>
      </w:r>
      <w:proofErr w:type="gramStart"/>
      <w:r w:rsidRPr="00B26DBF">
        <w:rPr>
          <w:rFonts w:ascii="Gill Sans MT" w:hAnsi="Gill Sans MT"/>
        </w:rPr>
        <w:t xml:space="preserve">. </w:t>
      </w:r>
      <w:proofErr w:type="gramEnd"/>
      <w:r w:rsidRPr="00B26DBF">
        <w:rPr>
          <w:rFonts w:ascii="Gill Sans MT" w:hAnsi="Gill Sans MT"/>
        </w:rPr>
        <w:t xml:space="preserve">For Lord Bingham’s subsequent critique of the obiter dicta doubts </w:t>
      </w:r>
      <w:r w:rsidRPr="00A96A38">
        <w:rPr>
          <w:rFonts w:ascii="Gill Sans MT" w:hAnsi="Gill Sans MT"/>
        </w:rPr>
        <w:t xml:space="preserve">of the </w:t>
      </w:r>
      <w:r w:rsidRPr="00A96A38">
        <w:rPr>
          <w:rFonts w:ascii="Gill Sans MT" w:hAnsi="Gill Sans MT"/>
          <w:i/>
        </w:rPr>
        <w:t xml:space="preserve">Jackson </w:t>
      </w:r>
      <w:r w:rsidRPr="00A96A38">
        <w:rPr>
          <w:rFonts w:ascii="Gill Sans MT" w:hAnsi="Gill Sans MT"/>
        </w:rPr>
        <w:t xml:space="preserve">three, see Lord Bingham, ‘The Rule of Law and the Sovereignty of Parliament’, </w:t>
      </w:r>
      <w:r w:rsidRPr="00A96A38">
        <w:rPr>
          <w:rFonts w:ascii="Gill Sans MT" w:hAnsi="Gill Sans MT"/>
          <w:i/>
        </w:rPr>
        <w:t>King’s College London Commemoration Oration 2007</w:t>
      </w:r>
      <w:r w:rsidRPr="00A96A38">
        <w:rPr>
          <w:rFonts w:ascii="Gill Sans MT" w:hAnsi="Gill Sans MT"/>
        </w:rPr>
        <w:t xml:space="preserve"> (31 October 2007)</w:t>
      </w:r>
      <w:r>
        <w:rPr>
          <w:rFonts w:ascii="Gill Sans MT" w:hAnsi="Gill Sans MT"/>
        </w:rPr>
        <w:t>,</w:t>
      </w:r>
      <w:r w:rsidRPr="00A96A38">
        <w:rPr>
          <w:rFonts w:ascii="Gill Sans MT" w:hAnsi="Gill Sans MT"/>
        </w:rPr>
        <w:t xml:space="preserve"> 22; T Bingham, </w:t>
      </w:r>
      <w:r w:rsidRPr="00A96A38">
        <w:rPr>
          <w:rFonts w:ascii="Gill Sans MT" w:hAnsi="Gill Sans MT"/>
          <w:i/>
        </w:rPr>
        <w:t>The Rule of Law</w:t>
      </w:r>
      <w:r w:rsidRPr="00A96A38">
        <w:rPr>
          <w:rFonts w:ascii="Gill Sans MT" w:hAnsi="Gill Sans MT"/>
        </w:rPr>
        <w:t xml:space="preserve"> (London, Penguin, 2011)</w:t>
      </w:r>
      <w:r>
        <w:rPr>
          <w:rFonts w:ascii="Gill Sans MT" w:hAnsi="Gill Sans MT"/>
        </w:rPr>
        <w:t>,</w:t>
      </w:r>
      <w:r w:rsidRPr="00A96A38">
        <w:rPr>
          <w:rFonts w:ascii="Gill Sans MT" w:hAnsi="Gill Sans MT"/>
        </w:rPr>
        <w:t xml:space="preserve"> 166-</w:t>
      </w:r>
      <w:r>
        <w:rPr>
          <w:rFonts w:ascii="Gill Sans MT" w:hAnsi="Gill Sans MT"/>
        </w:rPr>
        <w:t>1</w:t>
      </w:r>
      <w:r w:rsidRPr="00A96A38">
        <w:rPr>
          <w:rFonts w:ascii="Gill Sans MT" w:hAnsi="Gill Sans MT"/>
        </w:rPr>
        <w:t>68.</w:t>
      </w:r>
    </w:p>
  </w:footnote>
  <w:footnote w:id="50">
    <w:p w14:paraId="2F6528EE" w14:textId="3701D454" w:rsidR="00883007" w:rsidRPr="00E178DC" w:rsidRDefault="00883007">
      <w:pPr>
        <w:pStyle w:val="FootnoteText"/>
        <w:rPr>
          <w:rFonts w:ascii="Gill Sans MT" w:hAnsi="Gill Sans MT"/>
        </w:rPr>
      </w:pPr>
      <w:r w:rsidRPr="00A96A38">
        <w:rPr>
          <w:rStyle w:val="FootnoteReference"/>
          <w:rFonts w:ascii="Gill Sans MT" w:hAnsi="Gill Sans MT"/>
        </w:rPr>
        <w:footnoteRef/>
      </w:r>
      <w:r w:rsidRPr="00A96A38">
        <w:rPr>
          <w:rFonts w:ascii="Gill Sans MT" w:hAnsi="Gill Sans MT"/>
        </w:rPr>
        <w:t xml:space="preserve"> Ibid, [25].  See </w:t>
      </w:r>
      <w:r w:rsidRPr="00E178DC">
        <w:rPr>
          <w:rFonts w:ascii="Gill Sans MT" w:hAnsi="Gill Sans MT"/>
        </w:rPr>
        <w:t xml:space="preserve">also [86], [95], [106].  </w:t>
      </w:r>
    </w:p>
  </w:footnote>
  <w:footnote w:id="51">
    <w:p w14:paraId="22D3C757" w14:textId="53DE8261" w:rsidR="00883007" w:rsidRPr="00E178DC" w:rsidRDefault="00883007">
      <w:pPr>
        <w:pStyle w:val="FootnoteText"/>
        <w:rPr>
          <w:rFonts w:ascii="Gill Sans MT" w:hAnsi="Gill Sans MT"/>
          <w:i/>
        </w:rPr>
      </w:pPr>
      <w:r w:rsidRPr="00E178DC">
        <w:rPr>
          <w:rStyle w:val="FootnoteReference"/>
          <w:rFonts w:ascii="Gill Sans MT" w:hAnsi="Gill Sans MT"/>
        </w:rPr>
        <w:footnoteRef/>
      </w:r>
      <w:r w:rsidRPr="00E178DC">
        <w:rPr>
          <w:rFonts w:ascii="Gill Sans MT" w:hAnsi="Gill Sans MT"/>
        </w:rPr>
        <w:t xml:space="preserve"> Ibid, [43]-[44].  See </w:t>
      </w:r>
      <w:r w:rsidRPr="00E178DC">
        <w:rPr>
          <w:rFonts w:ascii="Gill Sans MT" w:hAnsi="Gill Sans MT"/>
          <w:i/>
          <w:color w:val="000000"/>
        </w:rPr>
        <w:t>Thoburn</w:t>
      </w:r>
      <w:r w:rsidRPr="00E178DC">
        <w:rPr>
          <w:rFonts w:ascii="Gill Sans MT" w:hAnsi="Gill Sans MT"/>
          <w:color w:val="000000"/>
        </w:rPr>
        <w:t xml:space="preserve"> </w:t>
      </w:r>
      <w:r w:rsidRPr="00E178DC">
        <w:rPr>
          <w:rFonts w:ascii="Gill Sans MT" w:hAnsi="Gill Sans MT"/>
          <w:i/>
          <w:color w:val="000000"/>
        </w:rPr>
        <w:t>v</w:t>
      </w:r>
      <w:r w:rsidRPr="00E178DC">
        <w:rPr>
          <w:rFonts w:ascii="Gill Sans MT" w:hAnsi="Gill Sans MT"/>
          <w:color w:val="000000"/>
        </w:rPr>
        <w:t xml:space="preserve"> </w:t>
      </w:r>
      <w:r w:rsidRPr="00E178DC">
        <w:rPr>
          <w:rFonts w:ascii="Gill Sans MT" w:hAnsi="Gill Sans MT"/>
          <w:i/>
          <w:color w:val="000000"/>
        </w:rPr>
        <w:t>Sunderland City Council</w:t>
      </w:r>
      <w:r w:rsidRPr="00E178DC">
        <w:rPr>
          <w:rFonts w:ascii="Gill Sans MT" w:hAnsi="Gill Sans MT"/>
          <w:lang w:eastAsia="zh-CN"/>
        </w:rPr>
        <w:t xml:space="preserve"> [2002] EWHC 195</w:t>
      </w:r>
      <w:r>
        <w:rPr>
          <w:rFonts w:ascii="Gill Sans MT" w:hAnsi="Gill Sans MT"/>
          <w:lang w:eastAsia="zh-CN"/>
        </w:rPr>
        <w:t>,</w:t>
      </w:r>
      <w:r w:rsidRPr="00E178DC">
        <w:rPr>
          <w:rFonts w:ascii="Gill Sans MT" w:hAnsi="Gill Sans MT"/>
          <w:lang w:eastAsia="zh-CN"/>
        </w:rPr>
        <w:t xml:space="preserve"> [2003] QB 151, [5</w:t>
      </w:r>
      <w:r>
        <w:rPr>
          <w:rFonts w:ascii="Gill Sans MT" w:hAnsi="Gill Sans MT"/>
          <w:lang w:eastAsia="zh-CN"/>
        </w:rPr>
        <w:t>8</w:t>
      </w:r>
      <w:r w:rsidRPr="00E178DC">
        <w:rPr>
          <w:rFonts w:ascii="Gill Sans MT" w:hAnsi="Gill Sans MT"/>
          <w:lang w:eastAsia="zh-CN"/>
        </w:rPr>
        <w:t>]-[</w:t>
      </w:r>
      <w:r>
        <w:rPr>
          <w:rFonts w:ascii="Gill Sans MT" w:hAnsi="Gill Sans MT"/>
          <w:lang w:eastAsia="zh-CN"/>
        </w:rPr>
        <w:t>7</w:t>
      </w:r>
      <w:r w:rsidRPr="00E178DC">
        <w:rPr>
          <w:rFonts w:ascii="Gill Sans MT" w:hAnsi="Gill Sans MT"/>
          <w:lang w:eastAsia="zh-CN"/>
        </w:rPr>
        <w:t>0].</w:t>
      </w:r>
    </w:p>
  </w:footnote>
  <w:footnote w:id="52">
    <w:p w14:paraId="6B20F23B" w14:textId="70A67052" w:rsidR="00883007" w:rsidRPr="00E178DC" w:rsidRDefault="00883007">
      <w:pPr>
        <w:pStyle w:val="FootnoteText"/>
        <w:rPr>
          <w:rFonts w:ascii="Gill Sans MT" w:hAnsi="Gill Sans MT"/>
        </w:rPr>
      </w:pPr>
      <w:r w:rsidRPr="00E178DC">
        <w:rPr>
          <w:rStyle w:val="FootnoteReference"/>
          <w:rFonts w:ascii="Gill Sans MT" w:hAnsi="Gill Sans MT"/>
        </w:rPr>
        <w:footnoteRef/>
      </w:r>
      <w:r w:rsidRPr="00E178DC">
        <w:rPr>
          <w:rFonts w:ascii="Gill Sans MT" w:hAnsi="Gill Sans MT"/>
        </w:rPr>
        <w:t xml:space="preserve"> Ibid, [82].</w:t>
      </w:r>
    </w:p>
  </w:footnote>
  <w:footnote w:id="53">
    <w:p w14:paraId="04813142" w14:textId="3C2FFA37" w:rsidR="00883007" w:rsidRPr="00E178DC" w:rsidRDefault="00883007" w:rsidP="004B54CE">
      <w:pPr>
        <w:pStyle w:val="FootnoteText"/>
        <w:rPr>
          <w:rFonts w:ascii="Gill Sans MT" w:hAnsi="Gill Sans MT"/>
        </w:rPr>
      </w:pPr>
      <w:r w:rsidRPr="00E178DC">
        <w:rPr>
          <w:rStyle w:val="FootnoteReference"/>
          <w:rFonts w:ascii="Gill Sans MT" w:hAnsi="Gill Sans MT"/>
        </w:rPr>
        <w:footnoteRef/>
      </w:r>
      <w:r w:rsidRPr="00E178DC">
        <w:rPr>
          <w:rFonts w:ascii="Gill Sans MT" w:hAnsi="Gill Sans MT"/>
        </w:rPr>
        <w:t xml:space="preserve"> Ibid, [87].</w:t>
      </w:r>
    </w:p>
  </w:footnote>
  <w:footnote w:id="54">
    <w:p w14:paraId="0702AFCB" w14:textId="147ED705" w:rsidR="00883007" w:rsidRPr="00B26DBF" w:rsidRDefault="00883007">
      <w:pPr>
        <w:pStyle w:val="FootnoteText"/>
        <w:rPr>
          <w:rFonts w:ascii="Gill Sans MT" w:hAnsi="Gill Sans MT"/>
        </w:rPr>
      </w:pPr>
      <w:r w:rsidRPr="00E178DC">
        <w:rPr>
          <w:rStyle w:val="FootnoteReference"/>
          <w:rFonts w:ascii="Gill Sans MT" w:hAnsi="Gill Sans MT"/>
        </w:rPr>
        <w:footnoteRef/>
      </w:r>
      <w:r w:rsidRPr="00E178DC">
        <w:rPr>
          <w:rFonts w:ascii="Gill Sans MT" w:hAnsi="Gill Sans MT"/>
        </w:rPr>
        <w:t xml:space="preserve"> Lord Neuberger, Lady Hale, Lord</w:t>
      </w:r>
      <w:r w:rsidRPr="00B26DBF">
        <w:rPr>
          <w:rFonts w:ascii="Gill Sans MT" w:hAnsi="Gill Sans MT"/>
        </w:rPr>
        <w:t xml:space="preserve"> </w:t>
      </w:r>
      <w:proofErr w:type="spellStart"/>
      <w:r w:rsidRPr="00B26DBF">
        <w:rPr>
          <w:rFonts w:ascii="Gill Sans MT" w:hAnsi="Gill Sans MT"/>
        </w:rPr>
        <w:t>Mance</w:t>
      </w:r>
      <w:proofErr w:type="spellEnd"/>
      <w:r w:rsidRPr="00B26DBF">
        <w:rPr>
          <w:rFonts w:ascii="Gill Sans MT" w:hAnsi="Gill Sans MT"/>
        </w:rPr>
        <w:t>, Lord Kerr, Lord Clarke, Lord Wilson, Lord Sumption and Lord Hodge.</w:t>
      </w:r>
    </w:p>
  </w:footnote>
  <w:footnote w:id="55">
    <w:p w14:paraId="5AE9C17A" w14:textId="33F9AA39" w:rsidR="00883007" w:rsidRPr="00B26DBF" w:rsidRDefault="00883007" w:rsidP="0098508A">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w:t>
      </w:r>
      <w:r w:rsidRPr="00B26DBF">
        <w:rPr>
          <w:rFonts w:ascii="Gill Sans MT" w:hAnsi="Gill Sans MT"/>
          <w:color w:val="000000"/>
          <w:shd w:val="clear" w:color="auto" w:fill="FFFFFF"/>
        </w:rPr>
        <w:t>[2017] UKSC 5, [201</w:t>
      </w:r>
      <w:r>
        <w:rPr>
          <w:rFonts w:ascii="Gill Sans MT" w:hAnsi="Gill Sans MT"/>
          <w:color w:val="000000"/>
          <w:shd w:val="clear" w:color="auto" w:fill="FFFFFF"/>
        </w:rPr>
        <w:t>8</w:t>
      </w:r>
      <w:r w:rsidRPr="00B26DBF">
        <w:rPr>
          <w:rFonts w:ascii="Gill Sans MT" w:hAnsi="Gill Sans MT"/>
          <w:color w:val="000000"/>
          <w:shd w:val="clear" w:color="auto" w:fill="FFFFFF"/>
        </w:rPr>
        <w:t xml:space="preserve">] </w:t>
      </w:r>
      <w:r>
        <w:rPr>
          <w:rFonts w:ascii="Gill Sans MT" w:hAnsi="Gill Sans MT"/>
          <w:color w:val="000000"/>
          <w:shd w:val="clear" w:color="auto" w:fill="FFFFFF"/>
        </w:rPr>
        <w:t>AC 61</w:t>
      </w:r>
      <w:r w:rsidRPr="00B26DBF">
        <w:rPr>
          <w:rFonts w:ascii="Gill Sans MT" w:hAnsi="Gill Sans MT"/>
          <w:color w:val="000000"/>
          <w:shd w:val="clear" w:color="auto" w:fill="FFFFFF"/>
        </w:rPr>
        <w:t>, [81].</w:t>
      </w:r>
    </w:p>
  </w:footnote>
  <w:footnote w:id="56">
    <w:p w14:paraId="1E9190A9" w14:textId="179EF6B6" w:rsidR="00883007" w:rsidRPr="00B26DBF"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Ibid</w:t>
      </w:r>
      <w:r>
        <w:rPr>
          <w:rFonts w:ascii="Gill Sans MT" w:hAnsi="Gill Sans MT"/>
        </w:rPr>
        <w:t>,</w:t>
      </w:r>
      <w:r w:rsidRPr="00B26DBF">
        <w:rPr>
          <w:rFonts w:ascii="Gill Sans MT" w:hAnsi="Gill Sans MT"/>
        </w:rPr>
        <w:t xml:space="preserve"> [67].</w:t>
      </w:r>
    </w:p>
  </w:footnote>
  <w:footnote w:id="57">
    <w:p w14:paraId="66563DAB" w14:textId="486B58B7" w:rsidR="00883007" w:rsidRPr="00B26DBF"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Ibid</w:t>
      </w:r>
      <w:r>
        <w:rPr>
          <w:rFonts w:ascii="Gill Sans MT" w:hAnsi="Gill Sans MT"/>
        </w:rPr>
        <w:t>,</w:t>
      </w:r>
      <w:r w:rsidRPr="00B26DBF">
        <w:rPr>
          <w:rFonts w:ascii="Gill Sans MT" w:hAnsi="Gill Sans MT"/>
        </w:rPr>
        <w:t xml:space="preserve"> [65].</w:t>
      </w:r>
    </w:p>
  </w:footnote>
  <w:footnote w:id="58">
    <w:p w14:paraId="1DA0ABD0" w14:textId="2ECA7FD5" w:rsidR="00883007" w:rsidRPr="00B26DBF"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Ibid [86].</w:t>
      </w:r>
    </w:p>
  </w:footnote>
  <w:footnote w:id="59">
    <w:p w14:paraId="5ADC8699" w14:textId="32DD9E54" w:rsidR="00883007" w:rsidRPr="00B26DBF"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Ibid [83].</w:t>
      </w:r>
    </w:p>
  </w:footnote>
  <w:footnote w:id="60">
    <w:p w14:paraId="3703E8C9" w14:textId="7C5F0745" w:rsidR="00883007" w:rsidRPr="00B26DBF"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Ibid [43].  See above n</w:t>
      </w:r>
      <w:r>
        <w:rPr>
          <w:rFonts w:ascii="Gill Sans MT" w:hAnsi="Gill Sans MT"/>
        </w:rPr>
        <w:t xml:space="preserve"> 48</w:t>
      </w:r>
      <w:r w:rsidRPr="00B26DBF">
        <w:rPr>
          <w:rFonts w:ascii="Gill Sans MT" w:hAnsi="Gill Sans MT"/>
        </w:rPr>
        <w:t>.  Emphases added.</w:t>
      </w:r>
    </w:p>
  </w:footnote>
  <w:footnote w:id="61">
    <w:p w14:paraId="7CB4A616" w14:textId="5BBB0B8F" w:rsidR="00883007" w:rsidRPr="00B26DBF"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Ibid [90].</w:t>
      </w:r>
    </w:p>
  </w:footnote>
  <w:footnote w:id="62">
    <w:p w14:paraId="16F1021C" w14:textId="1504C813" w:rsidR="00883007" w:rsidRPr="00B26DBF" w:rsidRDefault="00883007" w:rsidP="004B54CE">
      <w:pPr>
        <w:pStyle w:val="Heading2"/>
        <w:shd w:val="clear" w:color="auto" w:fill="FFFFFF"/>
        <w:spacing w:before="0" w:beforeAutospacing="0" w:after="0" w:afterAutospacing="0"/>
        <w:rPr>
          <w:rFonts w:ascii="Gill Sans MT" w:hAnsi="Gill Sans MT"/>
          <w:b w:val="0"/>
          <w:color w:val="000000"/>
          <w:sz w:val="20"/>
          <w:szCs w:val="20"/>
        </w:rPr>
      </w:pPr>
      <w:r w:rsidRPr="00B26DBF">
        <w:rPr>
          <w:rStyle w:val="FootnoteReference"/>
          <w:rFonts w:ascii="Gill Sans MT" w:hAnsi="Gill Sans MT"/>
          <w:b w:val="0"/>
          <w:sz w:val="20"/>
          <w:szCs w:val="20"/>
        </w:rPr>
        <w:footnoteRef/>
      </w:r>
      <w:r w:rsidRPr="00B26DBF">
        <w:rPr>
          <w:rFonts w:ascii="Gill Sans MT" w:hAnsi="Gill Sans MT"/>
          <w:b w:val="0"/>
          <w:sz w:val="20"/>
          <w:szCs w:val="20"/>
        </w:rPr>
        <w:t xml:space="preserve"> Moreover, even if parliamentary authorisation was </w:t>
      </w:r>
      <w:r>
        <w:rPr>
          <w:rFonts w:ascii="Gill Sans MT" w:hAnsi="Gill Sans MT"/>
          <w:b w:val="0"/>
          <w:sz w:val="20"/>
          <w:szCs w:val="20"/>
        </w:rPr>
        <w:t>understood</w:t>
      </w:r>
      <w:r w:rsidRPr="00B26DBF">
        <w:rPr>
          <w:rFonts w:ascii="Gill Sans MT" w:hAnsi="Gill Sans MT"/>
          <w:b w:val="0"/>
          <w:sz w:val="20"/>
          <w:szCs w:val="20"/>
        </w:rPr>
        <w:t xml:space="preserve"> to be required, on the basis that the prerogative power to make or unmake treaties could not be used to undermine the domestic effects of the ECA 1972, it is strongly arguable that formal legislative approval had already been given.  This was through the enactment of the European Union (Amendment) Act 2008, which approved the changes to the EU treaties made by the Treaty of Lisbon, including the creation of the Article 50 withdrawal process; see Ewing</w:t>
      </w:r>
      <w:r>
        <w:rPr>
          <w:rFonts w:ascii="Gill Sans MT" w:hAnsi="Gill Sans MT"/>
          <w:b w:val="0"/>
          <w:sz w:val="20"/>
          <w:szCs w:val="20"/>
        </w:rPr>
        <w:t xml:space="preserve"> (n 33), 720-721</w:t>
      </w:r>
      <w:r w:rsidRPr="00B26DBF">
        <w:rPr>
          <w:rFonts w:ascii="Gill Sans MT" w:hAnsi="Gill Sans MT"/>
          <w:b w:val="0"/>
          <w:sz w:val="20"/>
          <w:szCs w:val="20"/>
        </w:rPr>
        <w:t>.</w:t>
      </w:r>
    </w:p>
  </w:footnote>
  <w:footnote w:id="63">
    <w:p w14:paraId="4F7B32FD" w14:textId="6D0A109C" w:rsidR="00883007" w:rsidRPr="00B26DBF"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w:t>
      </w:r>
      <w:r w:rsidRPr="00006CF9">
        <w:rPr>
          <w:rFonts w:ascii="Gill Sans MT" w:hAnsi="Gill Sans MT"/>
        </w:rPr>
        <w:t>See</w:t>
      </w:r>
      <w:r>
        <w:rPr>
          <w:rFonts w:ascii="Gill Sans MT" w:hAnsi="Gill Sans MT"/>
        </w:rPr>
        <w:t xml:space="preserve"> </w:t>
      </w:r>
      <w:proofErr w:type="spellStart"/>
      <w:r>
        <w:rPr>
          <w:rFonts w:ascii="Gill Sans MT" w:hAnsi="Gill Sans MT"/>
        </w:rPr>
        <w:t>eg</w:t>
      </w:r>
      <w:proofErr w:type="spellEnd"/>
      <w:r w:rsidRPr="00006CF9">
        <w:rPr>
          <w:rFonts w:ascii="Gill Sans MT" w:hAnsi="Gill Sans MT"/>
        </w:rPr>
        <w:t xml:space="preserve"> </w:t>
      </w:r>
      <w:r w:rsidRPr="00006CF9">
        <w:rPr>
          <w:rFonts w:ascii="Gill Sans MT" w:hAnsi="Gill Sans MT"/>
          <w:i/>
        </w:rPr>
        <w:t>R</w:t>
      </w:r>
      <w:r w:rsidRPr="00006CF9">
        <w:rPr>
          <w:rFonts w:ascii="Gill Sans MT" w:hAnsi="Gill Sans MT"/>
        </w:rPr>
        <w:t xml:space="preserve"> </w:t>
      </w:r>
      <w:r w:rsidRPr="00006CF9">
        <w:rPr>
          <w:rFonts w:ascii="Gill Sans MT" w:hAnsi="Gill Sans MT"/>
          <w:i/>
        </w:rPr>
        <w:t>v</w:t>
      </w:r>
      <w:r w:rsidRPr="00006CF9">
        <w:rPr>
          <w:rFonts w:ascii="Gill Sans MT" w:hAnsi="Gill Sans MT"/>
        </w:rPr>
        <w:t xml:space="preserve"> </w:t>
      </w:r>
      <w:r w:rsidRPr="00006CF9">
        <w:rPr>
          <w:rFonts w:ascii="Gill Sans MT" w:hAnsi="Gill Sans MT"/>
          <w:i/>
        </w:rPr>
        <w:t>Secretary of State for the Home Department, ex p Pierson</w:t>
      </w:r>
      <w:r w:rsidRPr="00006CF9">
        <w:rPr>
          <w:rFonts w:ascii="Gill Sans MT" w:hAnsi="Gill Sans MT"/>
        </w:rPr>
        <w:t xml:space="preserve"> [1998] AC 539, 575, 587, and especially Lord Hoffman in </w:t>
      </w:r>
      <w:r w:rsidRPr="00006CF9">
        <w:rPr>
          <w:rFonts w:ascii="Gill Sans MT" w:hAnsi="Gill Sans MT"/>
          <w:i/>
        </w:rPr>
        <w:t>R v Secretary of State for the Home Department, Ex p Simms</w:t>
      </w:r>
      <w:r w:rsidRPr="00006CF9">
        <w:rPr>
          <w:rFonts w:ascii="Gill Sans MT" w:hAnsi="Gill Sans MT"/>
        </w:rPr>
        <w:t xml:space="preserve"> [2000] 2 AC 115, 131</w:t>
      </w:r>
      <w:r>
        <w:rPr>
          <w:rFonts w:ascii="Gill Sans MT" w:hAnsi="Gill Sans MT"/>
        </w:rPr>
        <w:t>.</w:t>
      </w:r>
    </w:p>
  </w:footnote>
  <w:footnote w:id="64">
    <w:p w14:paraId="36EAAB90" w14:textId="14F39ED5" w:rsidR="00883007" w:rsidRPr="00B26DBF" w:rsidRDefault="00883007" w:rsidP="004B54CE">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w:t>
      </w:r>
      <w:r w:rsidRPr="00B26DBF">
        <w:rPr>
          <w:rFonts w:ascii="Gill Sans MT" w:hAnsi="Gill Sans MT"/>
          <w:color w:val="000000"/>
          <w:shd w:val="clear" w:color="auto" w:fill="FFFFFF"/>
        </w:rPr>
        <w:t>[2017] UKSC 5, [201</w:t>
      </w:r>
      <w:r>
        <w:rPr>
          <w:rFonts w:ascii="Gill Sans MT" w:hAnsi="Gill Sans MT"/>
          <w:color w:val="000000"/>
          <w:shd w:val="clear" w:color="auto" w:fill="FFFFFF"/>
        </w:rPr>
        <w:t>8</w:t>
      </w:r>
      <w:r w:rsidRPr="00B26DBF">
        <w:rPr>
          <w:rFonts w:ascii="Gill Sans MT" w:hAnsi="Gill Sans MT"/>
          <w:color w:val="000000"/>
          <w:shd w:val="clear" w:color="auto" w:fill="FFFFFF"/>
        </w:rPr>
        <w:t xml:space="preserve">] </w:t>
      </w:r>
      <w:r>
        <w:rPr>
          <w:rFonts w:ascii="Gill Sans MT" w:hAnsi="Gill Sans MT"/>
          <w:color w:val="000000"/>
          <w:shd w:val="clear" w:color="auto" w:fill="FFFFFF"/>
        </w:rPr>
        <w:t>AC 61</w:t>
      </w:r>
      <w:r>
        <w:rPr>
          <w:rFonts w:ascii="Gill Sans MT" w:hAnsi="Gill Sans MT"/>
        </w:rPr>
        <w:t>,</w:t>
      </w:r>
      <w:r w:rsidRPr="00B26DBF">
        <w:rPr>
          <w:rFonts w:ascii="Gill Sans MT" w:hAnsi="Gill Sans MT"/>
        </w:rPr>
        <w:t xml:space="preserve"> [87].</w:t>
      </w:r>
    </w:p>
  </w:footnote>
  <w:footnote w:id="65">
    <w:p w14:paraId="63C48069" w14:textId="77777777" w:rsidR="00883007" w:rsidRPr="00B26DBF" w:rsidRDefault="00883007" w:rsidP="004B54CE">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Ibid, especially [179]-[204].</w:t>
      </w:r>
    </w:p>
  </w:footnote>
  <w:footnote w:id="66">
    <w:p w14:paraId="66DA375C" w14:textId="7D30E595" w:rsidR="00883007" w:rsidRPr="00B26DBF"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Ibid, [177].</w:t>
      </w:r>
    </w:p>
  </w:footnote>
  <w:footnote w:id="67">
    <w:p w14:paraId="047F38D4" w14:textId="77777777" w:rsidR="00883007" w:rsidRPr="00B26DBF" w:rsidRDefault="00883007" w:rsidP="004B54CE">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Ibid, especially [248]-[249], [264], [274].</w:t>
      </w:r>
    </w:p>
  </w:footnote>
  <w:footnote w:id="68">
    <w:p w14:paraId="0F3B9B4A" w14:textId="4A7F044B" w:rsidR="00883007" w:rsidRPr="00B26DBF"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Ibid</w:t>
      </w:r>
      <w:r>
        <w:rPr>
          <w:rFonts w:ascii="Gill Sans MT" w:hAnsi="Gill Sans MT"/>
        </w:rPr>
        <w:t>,</w:t>
      </w:r>
      <w:r w:rsidRPr="00B26DBF">
        <w:rPr>
          <w:rFonts w:ascii="Gill Sans MT" w:hAnsi="Gill Sans MT"/>
        </w:rPr>
        <w:t xml:space="preserve"> [249].</w:t>
      </w:r>
    </w:p>
  </w:footnote>
  <w:footnote w:id="69">
    <w:p w14:paraId="42185939" w14:textId="05D47F53" w:rsidR="00883007" w:rsidRPr="00B26DBF"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Ibid</w:t>
      </w:r>
      <w:r>
        <w:rPr>
          <w:rFonts w:ascii="Gill Sans MT" w:hAnsi="Gill Sans MT"/>
        </w:rPr>
        <w:t>,</w:t>
      </w:r>
      <w:r w:rsidRPr="00B26DBF">
        <w:rPr>
          <w:rFonts w:ascii="Gill Sans MT" w:hAnsi="Gill Sans MT"/>
        </w:rPr>
        <w:t xml:space="preserve"> [249].</w:t>
      </w:r>
    </w:p>
  </w:footnote>
  <w:footnote w:id="70">
    <w:p w14:paraId="187AC2F4" w14:textId="5C80E3F5" w:rsidR="00883007" w:rsidRPr="00B26DBF"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Ibid, [146].</w:t>
      </w:r>
    </w:p>
  </w:footnote>
  <w:footnote w:id="71">
    <w:p w14:paraId="7091C5F1" w14:textId="442550F8" w:rsidR="00883007" w:rsidRPr="00B26DBF" w:rsidRDefault="00883007" w:rsidP="00E518ED">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Ibid</w:t>
      </w:r>
      <w:r>
        <w:rPr>
          <w:rFonts w:ascii="Gill Sans MT" w:hAnsi="Gill Sans MT"/>
        </w:rPr>
        <w:t>,</w:t>
      </w:r>
      <w:r w:rsidRPr="00B26DBF">
        <w:rPr>
          <w:rFonts w:ascii="Gill Sans MT" w:hAnsi="Gill Sans MT"/>
        </w:rPr>
        <w:t xml:space="preserve"> [43], [177], [183], [274].</w:t>
      </w:r>
    </w:p>
  </w:footnote>
  <w:footnote w:id="72">
    <w:p w14:paraId="21FA4766" w14:textId="49E0F689" w:rsidR="00883007" w:rsidRPr="00D940CA" w:rsidRDefault="00883007" w:rsidP="00715460">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w:t>
      </w:r>
      <w:r w:rsidRPr="00B26DBF">
        <w:rPr>
          <w:rFonts w:ascii="Gill Sans MT" w:hAnsi="Gill Sans MT"/>
          <w:color w:val="000000"/>
          <w:shd w:val="clear" w:color="auto" w:fill="FFFFFF"/>
        </w:rPr>
        <w:t xml:space="preserve">[2005] </w:t>
      </w:r>
      <w:r w:rsidRPr="00D940CA">
        <w:rPr>
          <w:rFonts w:ascii="Gill Sans MT" w:hAnsi="Gill Sans MT"/>
          <w:color w:val="000000"/>
          <w:shd w:val="clear" w:color="auto" w:fill="FFFFFF"/>
        </w:rPr>
        <w:t>UKHL 56, [2006] 1 AC 262, [102] (Lord Steyn), [159] (Baroness Hale).</w:t>
      </w:r>
    </w:p>
  </w:footnote>
  <w:footnote w:id="73">
    <w:p w14:paraId="5C83F7A8" w14:textId="78D537DC" w:rsidR="00883007" w:rsidRPr="00D940CA" w:rsidRDefault="00883007">
      <w:pPr>
        <w:pStyle w:val="FootnoteText"/>
        <w:rPr>
          <w:rFonts w:ascii="Gill Sans MT" w:hAnsi="Gill Sans MT"/>
        </w:rPr>
      </w:pPr>
      <w:r w:rsidRPr="00D940CA">
        <w:rPr>
          <w:rStyle w:val="FootnoteReference"/>
          <w:rFonts w:ascii="Gill Sans MT" w:hAnsi="Gill Sans MT"/>
        </w:rPr>
        <w:footnoteRef/>
      </w:r>
      <w:r w:rsidRPr="00D940CA">
        <w:rPr>
          <w:rFonts w:ascii="Gill Sans MT" w:hAnsi="Gill Sans MT"/>
        </w:rPr>
        <w:t xml:space="preserve"> </w:t>
      </w:r>
      <w:proofErr w:type="spellStart"/>
      <w:r w:rsidRPr="00D940CA">
        <w:rPr>
          <w:rStyle w:val="Emphasis"/>
          <w:rFonts w:ascii="Gill Sans MT" w:hAnsi="Gill Sans MT"/>
        </w:rPr>
        <w:t>Axa</w:t>
      </w:r>
      <w:proofErr w:type="spellEnd"/>
      <w:r w:rsidRPr="00D940CA">
        <w:rPr>
          <w:rStyle w:val="Emphasis"/>
          <w:rFonts w:ascii="Gill Sans MT" w:hAnsi="Gill Sans MT"/>
        </w:rPr>
        <w:t xml:space="preserve"> General Insurance Ltd v Lord Advocate</w:t>
      </w:r>
      <w:r w:rsidRPr="00D940CA">
        <w:rPr>
          <w:rFonts w:ascii="Gill Sans MT" w:hAnsi="Gill Sans MT"/>
        </w:rPr>
        <w:t xml:space="preserve"> [2011] UKSC 46, [2012] 1 AC 868, [50]-[51] (Lord Hope).</w:t>
      </w:r>
    </w:p>
  </w:footnote>
  <w:footnote w:id="74">
    <w:p w14:paraId="1991DF23" w14:textId="1181D810" w:rsidR="00883007" w:rsidRPr="00D940CA" w:rsidRDefault="00883007" w:rsidP="00715460">
      <w:pPr>
        <w:pStyle w:val="FootnoteText"/>
        <w:rPr>
          <w:rFonts w:ascii="Gill Sans MT" w:hAnsi="Gill Sans MT"/>
        </w:rPr>
      </w:pPr>
      <w:r w:rsidRPr="00D940CA">
        <w:rPr>
          <w:rStyle w:val="FootnoteReference"/>
          <w:rFonts w:ascii="Gill Sans MT" w:hAnsi="Gill Sans MT"/>
        </w:rPr>
        <w:footnoteRef/>
      </w:r>
      <w:r w:rsidRPr="00D940CA">
        <w:rPr>
          <w:rFonts w:ascii="Gill Sans MT" w:hAnsi="Gill Sans MT"/>
        </w:rPr>
        <w:t xml:space="preserve"> </w:t>
      </w:r>
      <w:r w:rsidRPr="00D940CA">
        <w:rPr>
          <w:rFonts w:ascii="Gill Sans MT" w:hAnsi="Gill Sans MT"/>
          <w:color w:val="000000"/>
          <w:shd w:val="clear" w:color="auto" w:fill="FFFFFF"/>
        </w:rPr>
        <w:t>[2014] UKSC 67, [2015] AC 901, [35].</w:t>
      </w:r>
    </w:p>
  </w:footnote>
  <w:footnote w:id="75">
    <w:p w14:paraId="119EE547" w14:textId="130FBCCF" w:rsidR="00883007" w:rsidRPr="00D940CA" w:rsidRDefault="00883007">
      <w:pPr>
        <w:pStyle w:val="FootnoteText"/>
        <w:rPr>
          <w:rFonts w:ascii="Gill Sans MT" w:hAnsi="Gill Sans MT"/>
        </w:rPr>
      </w:pPr>
      <w:r w:rsidRPr="00D940CA">
        <w:rPr>
          <w:rStyle w:val="FootnoteReference"/>
          <w:rFonts w:ascii="Gill Sans MT" w:hAnsi="Gill Sans MT"/>
        </w:rPr>
        <w:footnoteRef/>
      </w:r>
      <w:r w:rsidRPr="00D940CA">
        <w:rPr>
          <w:rFonts w:ascii="Gill Sans MT" w:hAnsi="Gill Sans MT"/>
        </w:rPr>
        <w:t xml:space="preserve"> [2016] UKSC 39</w:t>
      </w:r>
      <w:r>
        <w:rPr>
          <w:rFonts w:ascii="Gill Sans MT" w:hAnsi="Gill Sans MT"/>
        </w:rPr>
        <w:t>, [2016] AC 1531</w:t>
      </w:r>
      <w:r w:rsidRPr="00D940CA">
        <w:rPr>
          <w:rFonts w:ascii="Gill Sans MT" w:hAnsi="Gill Sans MT"/>
        </w:rPr>
        <w:t>.</w:t>
      </w:r>
    </w:p>
  </w:footnote>
  <w:footnote w:id="76">
    <w:p w14:paraId="362C11A3" w14:textId="5DCB08F2" w:rsidR="00883007" w:rsidRPr="00B26DBF" w:rsidRDefault="00883007">
      <w:pPr>
        <w:pStyle w:val="FootnoteText"/>
        <w:rPr>
          <w:rFonts w:ascii="Gill Sans MT" w:hAnsi="Gill Sans MT"/>
        </w:rPr>
      </w:pPr>
      <w:r w:rsidRPr="00D940CA">
        <w:rPr>
          <w:rStyle w:val="FootnoteReference"/>
          <w:rFonts w:ascii="Gill Sans MT" w:hAnsi="Gill Sans MT"/>
        </w:rPr>
        <w:footnoteRef/>
      </w:r>
      <w:r w:rsidRPr="00D940CA">
        <w:rPr>
          <w:rFonts w:ascii="Gill Sans MT" w:hAnsi="Gill Sans MT"/>
        </w:rPr>
        <w:t xml:space="preserve"> Ibid</w:t>
      </w:r>
      <w:r>
        <w:rPr>
          <w:rFonts w:ascii="Gill Sans MT" w:hAnsi="Gill Sans MT"/>
        </w:rPr>
        <w:t>,</w:t>
      </w:r>
      <w:r w:rsidRPr="00D940CA">
        <w:rPr>
          <w:rFonts w:ascii="Gill Sans MT" w:hAnsi="Gill Sans MT"/>
        </w:rPr>
        <w:t xml:space="preserve"> [20].</w:t>
      </w:r>
    </w:p>
  </w:footnote>
  <w:footnote w:id="77">
    <w:p w14:paraId="6BC8BE34" w14:textId="4DBC98B7" w:rsidR="00883007" w:rsidRPr="00B26DBF" w:rsidRDefault="00883007" w:rsidP="00A84A33">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w:t>
      </w:r>
      <w:r w:rsidRPr="00B26DBF">
        <w:rPr>
          <w:rFonts w:ascii="Gill Sans MT" w:hAnsi="Gill Sans MT"/>
          <w:color w:val="000000"/>
          <w:shd w:val="clear" w:color="auto" w:fill="FFFFFF"/>
        </w:rPr>
        <w:t>[2015] UKSC 21</w:t>
      </w:r>
      <w:r>
        <w:rPr>
          <w:rFonts w:ascii="Gill Sans MT" w:hAnsi="Gill Sans MT"/>
          <w:color w:val="000000"/>
          <w:shd w:val="clear" w:color="auto" w:fill="FFFFFF"/>
        </w:rPr>
        <w:t>,</w:t>
      </w:r>
      <w:r w:rsidRPr="00B26DBF">
        <w:rPr>
          <w:rFonts w:ascii="Gill Sans MT" w:hAnsi="Gill Sans MT"/>
          <w:color w:val="000000"/>
          <w:shd w:val="clear" w:color="auto" w:fill="FFFFFF"/>
        </w:rPr>
        <w:t xml:space="preserve"> [2015] AC 1787</w:t>
      </w:r>
    </w:p>
  </w:footnote>
  <w:footnote w:id="78">
    <w:p w14:paraId="0F35CFD3" w14:textId="573B8357" w:rsidR="00883007" w:rsidRPr="00B26DBF" w:rsidRDefault="00883007" w:rsidP="00A84A33">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Ibid</w:t>
      </w:r>
      <w:r>
        <w:rPr>
          <w:rFonts w:ascii="Gill Sans MT" w:hAnsi="Gill Sans MT"/>
        </w:rPr>
        <w:t>,</w:t>
      </w:r>
      <w:r w:rsidRPr="00B26DBF">
        <w:rPr>
          <w:rFonts w:ascii="Gill Sans MT" w:hAnsi="Gill Sans MT"/>
        </w:rPr>
        <w:t xml:space="preserve"> [58].</w:t>
      </w:r>
    </w:p>
  </w:footnote>
  <w:footnote w:id="79">
    <w:p w14:paraId="1E7279BE" w14:textId="5795C0C9" w:rsidR="00883007" w:rsidRPr="00B26DBF" w:rsidRDefault="00883007" w:rsidP="00A84A33">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Ibid</w:t>
      </w:r>
      <w:r>
        <w:rPr>
          <w:rFonts w:ascii="Gill Sans MT" w:hAnsi="Gill Sans MT"/>
        </w:rPr>
        <w:t>,</w:t>
      </w:r>
      <w:r w:rsidRPr="00B26DBF">
        <w:rPr>
          <w:rFonts w:ascii="Gill Sans MT" w:hAnsi="Gill Sans MT"/>
        </w:rPr>
        <w:t xml:space="preserve"> [168].</w:t>
      </w:r>
    </w:p>
  </w:footnote>
  <w:footnote w:id="80">
    <w:p w14:paraId="107CBDEC" w14:textId="2711CB71" w:rsidR="00883007" w:rsidRPr="00B26DBF"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Ibid</w:t>
      </w:r>
      <w:r>
        <w:rPr>
          <w:rFonts w:ascii="Gill Sans MT" w:hAnsi="Gill Sans MT"/>
        </w:rPr>
        <w:t>,</w:t>
      </w:r>
      <w:r w:rsidRPr="00B26DBF">
        <w:rPr>
          <w:rFonts w:ascii="Gill Sans MT" w:hAnsi="Gill Sans MT"/>
        </w:rPr>
        <w:t xml:space="preserve"> [52].</w:t>
      </w:r>
    </w:p>
  </w:footnote>
  <w:footnote w:id="81">
    <w:p w14:paraId="2C6FED5A" w14:textId="70B68185" w:rsidR="00883007" w:rsidRPr="00A262FE"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Ibid</w:t>
      </w:r>
      <w:r>
        <w:rPr>
          <w:rFonts w:ascii="Gill Sans MT" w:hAnsi="Gill Sans MT"/>
        </w:rPr>
        <w:t>,</w:t>
      </w:r>
      <w:r w:rsidRPr="00B26DBF">
        <w:rPr>
          <w:rFonts w:ascii="Gill Sans MT" w:hAnsi="Gill Sans MT"/>
        </w:rPr>
        <w:t xml:space="preserve"> [</w:t>
      </w:r>
      <w:r w:rsidRPr="00A262FE">
        <w:rPr>
          <w:rFonts w:ascii="Gill Sans MT" w:hAnsi="Gill Sans MT"/>
        </w:rPr>
        <w:t>168].</w:t>
      </w:r>
    </w:p>
  </w:footnote>
  <w:footnote w:id="82">
    <w:p w14:paraId="3C06734A" w14:textId="51DD87C2" w:rsidR="00883007" w:rsidRPr="00A262FE" w:rsidRDefault="00883007">
      <w:pPr>
        <w:pStyle w:val="FootnoteText"/>
        <w:rPr>
          <w:rFonts w:ascii="Gill Sans MT" w:hAnsi="Gill Sans MT"/>
        </w:rPr>
      </w:pPr>
      <w:r w:rsidRPr="00A262FE">
        <w:rPr>
          <w:rStyle w:val="FootnoteReference"/>
          <w:rFonts w:ascii="Gill Sans MT" w:hAnsi="Gill Sans MT"/>
        </w:rPr>
        <w:footnoteRef/>
      </w:r>
      <w:r w:rsidRPr="00A262FE">
        <w:rPr>
          <w:rFonts w:ascii="Gill Sans MT" w:hAnsi="Gill Sans MT"/>
        </w:rPr>
        <w:t xml:space="preserve"> [2014] UKSC 3, </w:t>
      </w:r>
      <w:r w:rsidRPr="00A262FE">
        <w:rPr>
          <w:rFonts w:ascii="Gill Sans MT" w:hAnsi="Gill Sans MT"/>
          <w:color w:val="000000"/>
          <w:shd w:val="clear" w:color="auto" w:fill="FFFFFF"/>
        </w:rPr>
        <w:t>[2014] 1 WLR 324,</w:t>
      </w:r>
      <w:r w:rsidRPr="00A262FE">
        <w:rPr>
          <w:rFonts w:ascii="Gill Sans MT" w:hAnsi="Gill Sans MT"/>
        </w:rPr>
        <w:t xml:space="preserve"> [207].</w:t>
      </w:r>
    </w:p>
  </w:footnote>
  <w:footnote w:id="83">
    <w:p w14:paraId="67EC8B1F" w14:textId="4F045D2C" w:rsidR="00883007" w:rsidRPr="00A262FE" w:rsidRDefault="00883007">
      <w:pPr>
        <w:pStyle w:val="FootnoteText"/>
        <w:rPr>
          <w:rFonts w:ascii="Gill Sans MT" w:hAnsi="Gill Sans MT"/>
        </w:rPr>
      </w:pPr>
      <w:r w:rsidRPr="00A262FE">
        <w:rPr>
          <w:rStyle w:val="FootnoteReference"/>
          <w:rFonts w:ascii="Gill Sans MT" w:hAnsi="Gill Sans MT"/>
        </w:rPr>
        <w:footnoteRef/>
      </w:r>
      <w:r w:rsidRPr="00A262FE">
        <w:rPr>
          <w:rFonts w:ascii="Gill Sans MT" w:hAnsi="Gill Sans MT"/>
        </w:rPr>
        <w:t xml:space="preserve"> [2017] UKSC 51, </w:t>
      </w:r>
      <w:r w:rsidRPr="00A262FE">
        <w:rPr>
          <w:rFonts w:ascii="Gill Sans MT" w:hAnsi="Gill Sans MT"/>
          <w:color w:val="000000"/>
          <w:shd w:val="clear" w:color="auto" w:fill="FFFFFF"/>
        </w:rPr>
        <w:t>[2017] 3 WLR 409</w:t>
      </w:r>
      <w:r w:rsidRPr="00A262FE">
        <w:rPr>
          <w:rFonts w:ascii="Gill Sans MT" w:hAnsi="Gill Sans MT"/>
        </w:rPr>
        <w:t>.</w:t>
      </w:r>
    </w:p>
  </w:footnote>
  <w:footnote w:id="84">
    <w:p w14:paraId="7A796623" w14:textId="6A65B399" w:rsidR="00883007" w:rsidRPr="00B26DBF" w:rsidRDefault="00883007">
      <w:pPr>
        <w:pStyle w:val="FootnoteText"/>
        <w:rPr>
          <w:rFonts w:ascii="Gill Sans MT" w:hAnsi="Gill Sans MT"/>
        </w:rPr>
      </w:pPr>
      <w:r w:rsidRPr="00A262FE">
        <w:rPr>
          <w:rStyle w:val="FootnoteReference"/>
          <w:rFonts w:ascii="Gill Sans MT" w:hAnsi="Gill Sans MT"/>
        </w:rPr>
        <w:footnoteRef/>
      </w:r>
      <w:r w:rsidRPr="00A262FE">
        <w:rPr>
          <w:rFonts w:ascii="Gill Sans MT" w:hAnsi="Gill Sans MT"/>
        </w:rPr>
        <w:t xml:space="preserve"> See </w:t>
      </w:r>
      <w:proofErr w:type="spellStart"/>
      <w:r w:rsidRPr="00A262FE">
        <w:rPr>
          <w:rFonts w:ascii="Gill Sans MT" w:hAnsi="Gill Sans MT"/>
        </w:rPr>
        <w:t>eg</w:t>
      </w:r>
      <w:proofErr w:type="spellEnd"/>
      <w:r w:rsidRPr="00A262FE">
        <w:rPr>
          <w:rFonts w:ascii="Gill Sans MT" w:hAnsi="Gill Sans MT"/>
        </w:rPr>
        <w:t xml:space="preserve"> </w:t>
      </w:r>
      <w:r w:rsidRPr="00A262FE">
        <w:rPr>
          <w:rFonts w:ascii="Gill Sans MT" w:hAnsi="Gill Sans MT"/>
          <w:i/>
        </w:rPr>
        <w:t xml:space="preserve">In re </w:t>
      </w:r>
      <w:proofErr w:type="spellStart"/>
      <w:r w:rsidRPr="00A262FE">
        <w:rPr>
          <w:rFonts w:ascii="Gill Sans MT" w:hAnsi="Gill Sans MT"/>
          <w:i/>
        </w:rPr>
        <w:t>Boaler</w:t>
      </w:r>
      <w:proofErr w:type="spellEnd"/>
      <w:r w:rsidRPr="00A262FE">
        <w:rPr>
          <w:rFonts w:ascii="Gill Sans MT" w:hAnsi="Gill Sans MT"/>
        </w:rPr>
        <w:t xml:space="preserve"> [1915]</w:t>
      </w:r>
      <w:r w:rsidRPr="00B26DBF">
        <w:rPr>
          <w:rFonts w:ascii="Gill Sans MT" w:hAnsi="Gill Sans MT"/>
        </w:rPr>
        <w:t xml:space="preserve"> 1 KB 21; </w:t>
      </w:r>
      <w:r w:rsidRPr="00B26DBF">
        <w:rPr>
          <w:rFonts w:ascii="Gill Sans MT" w:hAnsi="Gill Sans MT"/>
          <w:i/>
        </w:rPr>
        <w:t>Chester</w:t>
      </w:r>
      <w:r w:rsidRPr="00B26DBF">
        <w:rPr>
          <w:rFonts w:ascii="Gill Sans MT" w:hAnsi="Gill Sans MT"/>
        </w:rPr>
        <w:t xml:space="preserve"> v </w:t>
      </w:r>
      <w:r w:rsidRPr="00B26DBF">
        <w:rPr>
          <w:rFonts w:ascii="Gill Sans MT" w:hAnsi="Gill Sans MT"/>
          <w:i/>
        </w:rPr>
        <w:t>Bateson</w:t>
      </w:r>
      <w:r w:rsidRPr="00B26DBF">
        <w:rPr>
          <w:rFonts w:ascii="Gill Sans MT" w:hAnsi="Gill Sans MT"/>
        </w:rPr>
        <w:t xml:space="preserve"> [1920] 1 KB 829; </w:t>
      </w:r>
      <w:r w:rsidRPr="00B26DBF">
        <w:rPr>
          <w:rFonts w:ascii="Gill Sans MT" w:hAnsi="Gill Sans MT"/>
          <w:i/>
        </w:rPr>
        <w:t>R v Secretary of State for the Home Department, Ex p Leech</w:t>
      </w:r>
      <w:r w:rsidRPr="00B26DBF">
        <w:rPr>
          <w:rFonts w:ascii="Gill Sans MT" w:hAnsi="Gill Sans MT"/>
        </w:rPr>
        <w:t xml:space="preserve"> [1994] QB 198; </w:t>
      </w:r>
      <w:r w:rsidRPr="00B26DBF">
        <w:rPr>
          <w:rFonts w:ascii="Gill Sans MT" w:hAnsi="Gill Sans MT"/>
          <w:i/>
        </w:rPr>
        <w:t>R v Lord Chancellor, Ex p Witham</w:t>
      </w:r>
      <w:r w:rsidRPr="00B26DBF">
        <w:rPr>
          <w:rFonts w:ascii="Gill Sans MT" w:hAnsi="Gill Sans MT"/>
        </w:rPr>
        <w:t xml:space="preserve"> [1998] QB 575; </w:t>
      </w:r>
      <w:r w:rsidRPr="00B26DBF">
        <w:rPr>
          <w:rFonts w:ascii="Gill Sans MT" w:hAnsi="Gill Sans MT"/>
          <w:i/>
        </w:rPr>
        <w:t>R v Secretary of State for the Home Department, Ex p Simms</w:t>
      </w:r>
      <w:r w:rsidRPr="00B26DBF">
        <w:rPr>
          <w:rFonts w:ascii="Gill Sans MT" w:hAnsi="Gill Sans MT"/>
        </w:rPr>
        <w:t xml:space="preserve"> [2000] 2 AC 115.</w:t>
      </w:r>
    </w:p>
  </w:footnote>
  <w:footnote w:id="85">
    <w:p w14:paraId="2786EC2E" w14:textId="5CB837E2" w:rsidR="00883007" w:rsidRPr="00B26DBF"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[2017] UKSC 51</w:t>
      </w:r>
      <w:r>
        <w:rPr>
          <w:rFonts w:ascii="Gill Sans MT" w:hAnsi="Gill Sans MT"/>
        </w:rPr>
        <w:t xml:space="preserve">, </w:t>
      </w:r>
      <w:r w:rsidRPr="00A262FE">
        <w:rPr>
          <w:rFonts w:ascii="Gill Sans MT" w:hAnsi="Gill Sans MT"/>
          <w:color w:val="000000"/>
          <w:shd w:val="clear" w:color="auto" w:fill="FFFFFF"/>
        </w:rPr>
        <w:t>[2017] 3 WLR 409</w:t>
      </w:r>
      <w:r w:rsidRPr="00B26DBF">
        <w:rPr>
          <w:rFonts w:ascii="Gill Sans MT" w:hAnsi="Gill Sans MT"/>
        </w:rPr>
        <w:t>, [68].</w:t>
      </w:r>
    </w:p>
  </w:footnote>
  <w:footnote w:id="86">
    <w:p w14:paraId="4DE144AB" w14:textId="49F87A46" w:rsidR="00883007" w:rsidRPr="00B26DBF"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Ibid</w:t>
      </w:r>
      <w:r>
        <w:rPr>
          <w:rFonts w:ascii="Gill Sans MT" w:hAnsi="Gill Sans MT"/>
        </w:rPr>
        <w:t>,</w:t>
      </w:r>
      <w:r w:rsidRPr="00B26DBF">
        <w:rPr>
          <w:rFonts w:ascii="Gill Sans MT" w:hAnsi="Gill Sans MT"/>
        </w:rPr>
        <w:t xml:space="preserve"> [65].</w:t>
      </w:r>
    </w:p>
  </w:footnote>
  <w:footnote w:id="87">
    <w:p w14:paraId="0C29F558" w14:textId="75972E62" w:rsidR="00883007" w:rsidRPr="00B26DBF" w:rsidRDefault="00883007" w:rsidP="00715460">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w:t>
      </w:r>
      <w:r w:rsidRPr="00B26DBF">
        <w:rPr>
          <w:rFonts w:ascii="Gill Sans MT" w:hAnsi="Gill Sans MT"/>
          <w:color w:val="000000"/>
          <w:shd w:val="clear" w:color="auto" w:fill="FFFFFF"/>
        </w:rPr>
        <w:t>[2015] UKSC 19</w:t>
      </w:r>
      <w:r>
        <w:rPr>
          <w:rFonts w:ascii="Gill Sans MT" w:hAnsi="Gill Sans MT"/>
          <w:color w:val="000000"/>
          <w:shd w:val="clear" w:color="auto" w:fill="FFFFFF"/>
        </w:rPr>
        <w:t>,</w:t>
      </w:r>
      <w:r w:rsidRPr="00B26DBF">
        <w:rPr>
          <w:rFonts w:ascii="Gill Sans MT" w:hAnsi="Gill Sans MT"/>
          <w:color w:val="000000"/>
          <w:shd w:val="clear" w:color="auto" w:fill="FFFFFF"/>
        </w:rPr>
        <w:t xml:space="preserve"> [2015] 1 WLR 1591.</w:t>
      </w:r>
    </w:p>
  </w:footnote>
  <w:footnote w:id="88">
    <w:p w14:paraId="40B5EA37" w14:textId="37A563B8" w:rsidR="00883007" w:rsidRPr="00B26DBF" w:rsidRDefault="00883007" w:rsidP="00715460">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Ibid</w:t>
      </w:r>
      <w:r>
        <w:rPr>
          <w:rFonts w:ascii="Gill Sans MT" w:hAnsi="Gill Sans MT"/>
        </w:rPr>
        <w:t>,</w:t>
      </w:r>
      <w:r w:rsidRPr="00B26DBF">
        <w:rPr>
          <w:rFonts w:ascii="Gill Sans MT" w:hAnsi="Gill Sans MT"/>
        </w:rPr>
        <w:t xml:space="preserve"> [80].  This position is potentially contradicted by the majority judgment in </w:t>
      </w:r>
      <w:r w:rsidRPr="00B26DBF">
        <w:rPr>
          <w:rFonts w:ascii="Gill Sans MT" w:hAnsi="Gill Sans MT"/>
          <w:i/>
        </w:rPr>
        <w:t>Miller</w:t>
      </w:r>
      <w:r w:rsidRPr="00B26DBF">
        <w:rPr>
          <w:rFonts w:ascii="Gill Sans MT" w:hAnsi="Gill Sans MT"/>
        </w:rPr>
        <w:t xml:space="preserve">, which quite remarkably identified ‘EU law as an entirely new, independent and overriding source of domestic law’; </w:t>
      </w:r>
      <w:r w:rsidRPr="00B26DBF">
        <w:rPr>
          <w:rFonts w:ascii="Gill Sans MT" w:hAnsi="Gill Sans MT"/>
          <w:color w:val="000000"/>
          <w:shd w:val="clear" w:color="auto" w:fill="FFFFFF"/>
        </w:rPr>
        <w:t xml:space="preserve">[2017] UKSC 5, [2017] 2 WLR 583, [80].  This controversial claim </w:t>
      </w:r>
      <w:r>
        <w:rPr>
          <w:rFonts w:ascii="Gill Sans MT" w:hAnsi="Gill Sans MT"/>
          <w:color w:val="000000"/>
          <w:shd w:val="clear" w:color="auto" w:fill="FFFFFF"/>
        </w:rPr>
        <w:t>sits very uncomfortably</w:t>
      </w:r>
      <w:r w:rsidRPr="00B26DBF">
        <w:rPr>
          <w:rFonts w:ascii="Gill Sans MT" w:hAnsi="Gill Sans MT"/>
          <w:color w:val="000000"/>
          <w:shd w:val="clear" w:color="auto" w:fill="FFFFFF"/>
        </w:rPr>
        <w:t xml:space="preserve"> alongside legislation which </w:t>
      </w:r>
      <w:r>
        <w:rPr>
          <w:rFonts w:ascii="Gill Sans MT" w:hAnsi="Gill Sans MT"/>
          <w:color w:val="000000"/>
          <w:shd w:val="clear" w:color="auto" w:fill="FFFFFF"/>
        </w:rPr>
        <w:t>(re)</w:t>
      </w:r>
      <w:r w:rsidRPr="00B26DBF">
        <w:rPr>
          <w:rFonts w:ascii="Gill Sans MT" w:hAnsi="Gill Sans MT"/>
          <w:color w:val="000000"/>
          <w:shd w:val="clear" w:color="auto" w:fill="FFFFFF"/>
        </w:rPr>
        <w:t xml:space="preserve">asserts </w:t>
      </w:r>
      <w:r>
        <w:rPr>
          <w:rFonts w:ascii="Gill Sans MT" w:hAnsi="Gill Sans MT"/>
          <w:color w:val="000000"/>
          <w:shd w:val="clear" w:color="auto" w:fill="FFFFFF"/>
        </w:rPr>
        <w:t>that the status of</w:t>
      </w:r>
      <w:r w:rsidRPr="00B26DBF">
        <w:rPr>
          <w:rFonts w:ascii="Gill Sans MT" w:hAnsi="Gill Sans MT"/>
          <w:color w:val="000000"/>
          <w:shd w:val="clear" w:color="auto" w:fill="FFFFFF"/>
        </w:rPr>
        <w:t xml:space="preserve"> EU law </w:t>
      </w:r>
      <w:r>
        <w:rPr>
          <w:rFonts w:ascii="Gill Sans MT" w:hAnsi="Gill Sans MT"/>
          <w:color w:val="000000"/>
          <w:shd w:val="clear" w:color="auto" w:fill="FFFFFF"/>
        </w:rPr>
        <w:t xml:space="preserve">is entirely contingent </w:t>
      </w:r>
      <w:r w:rsidRPr="00B26DBF">
        <w:rPr>
          <w:rFonts w:ascii="Gill Sans MT" w:hAnsi="Gill Sans MT"/>
          <w:color w:val="000000"/>
          <w:shd w:val="clear" w:color="auto" w:fill="FFFFFF"/>
        </w:rPr>
        <w:t xml:space="preserve">on its domestic statutory basis, </w:t>
      </w:r>
      <w:r>
        <w:rPr>
          <w:rFonts w:ascii="Gill Sans MT" w:hAnsi="Gill Sans MT"/>
          <w:color w:val="000000"/>
          <w:shd w:val="clear" w:color="auto" w:fill="FFFFFF"/>
        </w:rPr>
        <w:t>as</w:t>
      </w:r>
      <w:r w:rsidRPr="00B26DBF">
        <w:rPr>
          <w:rFonts w:ascii="Gill Sans MT" w:hAnsi="Gill Sans MT"/>
          <w:color w:val="000000"/>
          <w:shd w:val="clear" w:color="auto" w:fill="FFFFFF"/>
        </w:rPr>
        <w:t xml:space="preserve"> in the European Union Act 2011, s.18.</w:t>
      </w:r>
    </w:p>
  </w:footnote>
  <w:footnote w:id="89">
    <w:p w14:paraId="1284E5B2" w14:textId="78A8A2E5" w:rsidR="00883007" w:rsidRPr="00D1059C"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w:t>
      </w:r>
      <w:r>
        <w:rPr>
          <w:rFonts w:ascii="Gill Sans MT" w:hAnsi="Gill Sans MT"/>
        </w:rPr>
        <w:t xml:space="preserve">Art 9, </w:t>
      </w:r>
      <w:r w:rsidRPr="00D1059C">
        <w:rPr>
          <w:rFonts w:ascii="Gill Sans MT" w:hAnsi="Gill Sans MT"/>
        </w:rPr>
        <w:t>Treaty on European Union; Art 20, Treaty on the Functioning of the European Union.</w:t>
      </w:r>
    </w:p>
  </w:footnote>
  <w:footnote w:id="90">
    <w:p w14:paraId="1DE71121" w14:textId="413C2555" w:rsidR="00883007" w:rsidRPr="00D1059C" w:rsidRDefault="00883007" w:rsidP="00715460">
      <w:pPr>
        <w:pStyle w:val="FootnoteText"/>
        <w:rPr>
          <w:rFonts w:ascii="Gill Sans MT" w:hAnsi="Gill Sans MT"/>
        </w:rPr>
      </w:pPr>
      <w:r w:rsidRPr="00D1059C">
        <w:rPr>
          <w:rStyle w:val="FootnoteReference"/>
          <w:rFonts w:ascii="Gill Sans MT" w:hAnsi="Gill Sans MT"/>
        </w:rPr>
        <w:footnoteRef/>
      </w:r>
      <w:r w:rsidRPr="00D1059C">
        <w:rPr>
          <w:rFonts w:ascii="Gill Sans MT" w:hAnsi="Gill Sans MT"/>
        </w:rPr>
        <w:t xml:space="preserve"> </w:t>
      </w:r>
      <w:r w:rsidRPr="00D1059C">
        <w:rPr>
          <w:rFonts w:ascii="Gill Sans MT" w:hAnsi="Gill Sans MT"/>
          <w:color w:val="000000"/>
          <w:shd w:val="clear" w:color="auto" w:fill="FFFFFF"/>
        </w:rPr>
        <w:t>[2014] UKSC 3, [2014] 1 WLR 324.</w:t>
      </w:r>
    </w:p>
  </w:footnote>
  <w:footnote w:id="91">
    <w:p w14:paraId="5FE6A1AD" w14:textId="334AB259" w:rsidR="00883007" w:rsidRPr="008F4592" w:rsidRDefault="00883007">
      <w:pPr>
        <w:pStyle w:val="FootnoteText"/>
        <w:rPr>
          <w:rFonts w:ascii="Gill Sans MT" w:hAnsi="Gill Sans MT"/>
        </w:rPr>
      </w:pPr>
      <w:r w:rsidRPr="00D1059C">
        <w:rPr>
          <w:rStyle w:val="FootnoteReference"/>
          <w:rFonts w:ascii="Gill Sans MT" w:hAnsi="Gill Sans MT"/>
        </w:rPr>
        <w:footnoteRef/>
      </w:r>
      <w:r w:rsidRPr="00D1059C">
        <w:rPr>
          <w:rFonts w:ascii="Gill Sans MT" w:hAnsi="Gill Sans MT"/>
        </w:rPr>
        <w:t xml:space="preserve"> See especially Lord Bridge in </w:t>
      </w:r>
      <w:r w:rsidRPr="00D1059C">
        <w:rPr>
          <w:rFonts w:ascii="Gill Sans MT" w:hAnsi="Gill Sans MT"/>
          <w:i/>
        </w:rPr>
        <w:t>Factortame (No. 2)</w:t>
      </w:r>
      <w:r w:rsidRPr="00D1059C">
        <w:rPr>
          <w:rFonts w:ascii="Gill Sans MT" w:hAnsi="Gill Sans MT"/>
        </w:rPr>
        <w:t xml:space="preserve"> [</w:t>
      </w:r>
      <w:r w:rsidRPr="008F4592">
        <w:rPr>
          <w:rFonts w:ascii="Gill Sans MT" w:hAnsi="Gill Sans MT"/>
        </w:rPr>
        <w:t>1991] 1 AC 603, 658-659.</w:t>
      </w:r>
    </w:p>
  </w:footnote>
  <w:footnote w:id="92">
    <w:p w14:paraId="63AA46D0" w14:textId="7128A54A" w:rsidR="00883007" w:rsidRPr="008F4592" w:rsidRDefault="00883007" w:rsidP="0051090F">
      <w:pPr>
        <w:pStyle w:val="FootnoteText"/>
        <w:rPr>
          <w:rFonts w:ascii="Gill Sans MT" w:hAnsi="Gill Sans MT"/>
        </w:rPr>
      </w:pPr>
      <w:r w:rsidRPr="008F4592">
        <w:rPr>
          <w:rStyle w:val="FootnoteReference"/>
          <w:rFonts w:ascii="Gill Sans MT" w:hAnsi="Gill Sans MT"/>
        </w:rPr>
        <w:footnoteRef/>
      </w:r>
      <w:r w:rsidRPr="008F4592">
        <w:rPr>
          <w:rFonts w:ascii="Gill Sans MT" w:hAnsi="Gill Sans MT"/>
        </w:rPr>
        <w:t xml:space="preserve"> </w:t>
      </w:r>
      <w:r w:rsidRPr="008F4592">
        <w:rPr>
          <w:rFonts w:ascii="Gill Sans MT" w:hAnsi="Gill Sans MT"/>
          <w:i/>
        </w:rPr>
        <w:t xml:space="preserve">R (Black) </w:t>
      </w:r>
      <w:r w:rsidRPr="008F4592">
        <w:rPr>
          <w:rFonts w:ascii="Gill Sans MT" w:hAnsi="Gill Sans MT"/>
        </w:rPr>
        <w:t xml:space="preserve">v </w:t>
      </w:r>
      <w:r w:rsidRPr="008F4592">
        <w:rPr>
          <w:rFonts w:ascii="Gill Sans MT" w:hAnsi="Gill Sans MT"/>
          <w:i/>
        </w:rPr>
        <w:t xml:space="preserve">Secretary of State for Justice </w:t>
      </w:r>
      <w:r w:rsidRPr="008F4592">
        <w:rPr>
          <w:rFonts w:ascii="Gill Sans MT" w:hAnsi="Gill Sans MT"/>
        </w:rPr>
        <w:t xml:space="preserve">[2017] UKSC 81, </w:t>
      </w:r>
      <w:r w:rsidRPr="008F4592">
        <w:rPr>
          <w:rFonts w:ascii="Gill Sans MT" w:hAnsi="Gill Sans MT"/>
          <w:color w:val="000000"/>
          <w:shd w:val="clear" w:color="auto" w:fill="FFFFFF"/>
        </w:rPr>
        <w:t>[2018] 2 WLR 123</w:t>
      </w:r>
      <w:r>
        <w:rPr>
          <w:rFonts w:ascii="Gill Sans MT" w:hAnsi="Gill Sans MT"/>
          <w:color w:val="000000"/>
          <w:shd w:val="clear" w:color="auto" w:fill="FFFFFF"/>
        </w:rPr>
        <w:t>.</w:t>
      </w:r>
    </w:p>
  </w:footnote>
  <w:footnote w:id="93">
    <w:p w14:paraId="67C73177" w14:textId="5C851129" w:rsidR="00883007" w:rsidRPr="0053561C" w:rsidRDefault="00883007" w:rsidP="0051090F">
      <w:pPr>
        <w:pStyle w:val="NoSpacing"/>
        <w:jc w:val="both"/>
        <w:rPr>
          <w:rFonts w:ascii="Gill Sans MT" w:hAnsi="Gill Sans MT"/>
          <w:sz w:val="20"/>
          <w:szCs w:val="20"/>
        </w:rPr>
      </w:pPr>
      <w:r w:rsidRPr="00B26DBF">
        <w:rPr>
          <w:rStyle w:val="FootnoteReference"/>
          <w:rFonts w:ascii="Gill Sans MT" w:hAnsi="Gill Sans MT"/>
          <w:sz w:val="20"/>
          <w:szCs w:val="20"/>
        </w:rPr>
        <w:footnoteRef/>
      </w:r>
      <w:r w:rsidRPr="00B26DBF">
        <w:rPr>
          <w:rFonts w:ascii="Gill Sans MT" w:hAnsi="Gill Sans MT"/>
          <w:sz w:val="20"/>
          <w:szCs w:val="20"/>
        </w:rPr>
        <w:t xml:space="preserve"> </w:t>
      </w:r>
      <w:r>
        <w:rPr>
          <w:rFonts w:ascii="Gill Sans MT" w:hAnsi="Gill Sans MT"/>
          <w:sz w:val="20"/>
          <w:szCs w:val="20"/>
        </w:rPr>
        <w:t xml:space="preserve">See </w:t>
      </w:r>
      <w:proofErr w:type="spellStart"/>
      <w:r>
        <w:rPr>
          <w:rFonts w:ascii="Gill Sans MT" w:hAnsi="Gill Sans MT"/>
          <w:sz w:val="20"/>
          <w:szCs w:val="20"/>
        </w:rPr>
        <w:t>eg</w:t>
      </w:r>
      <w:proofErr w:type="spellEnd"/>
      <w:r>
        <w:rPr>
          <w:rFonts w:ascii="Gill Sans MT" w:hAnsi="Gill Sans MT"/>
          <w:sz w:val="20"/>
          <w:szCs w:val="20"/>
        </w:rPr>
        <w:t xml:space="preserve"> the dissent of Lord Kerr in </w:t>
      </w:r>
      <w:r>
        <w:rPr>
          <w:rFonts w:ascii="Gill Sans MT" w:hAnsi="Gill Sans MT"/>
          <w:i/>
          <w:sz w:val="20"/>
          <w:szCs w:val="20"/>
        </w:rPr>
        <w:t xml:space="preserve">R (SG) </w:t>
      </w:r>
      <w:r>
        <w:rPr>
          <w:rFonts w:ascii="Gill Sans MT" w:hAnsi="Gill Sans MT"/>
          <w:sz w:val="20"/>
          <w:szCs w:val="20"/>
        </w:rPr>
        <w:t xml:space="preserve">v </w:t>
      </w:r>
      <w:r>
        <w:rPr>
          <w:rFonts w:ascii="Gill Sans MT" w:hAnsi="Gill Sans MT"/>
          <w:i/>
          <w:sz w:val="20"/>
          <w:szCs w:val="20"/>
        </w:rPr>
        <w:t xml:space="preserve">Secretary of </w:t>
      </w:r>
      <w:r w:rsidRPr="0053561C">
        <w:rPr>
          <w:rFonts w:ascii="Gill Sans MT" w:hAnsi="Gill Sans MT"/>
          <w:i/>
          <w:sz w:val="20"/>
          <w:szCs w:val="20"/>
        </w:rPr>
        <w:t>State for Work and Pensions</w:t>
      </w:r>
      <w:r w:rsidRPr="0053561C">
        <w:rPr>
          <w:rFonts w:ascii="Gill Sans MT" w:hAnsi="Gill Sans MT"/>
          <w:sz w:val="20"/>
          <w:szCs w:val="20"/>
        </w:rPr>
        <w:t xml:space="preserve"> </w:t>
      </w:r>
      <w:r w:rsidRPr="0053561C">
        <w:rPr>
          <w:rFonts w:ascii="Gill Sans MT" w:hAnsi="Gill Sans MT"/>
          <w:color w:val="000000"/>
          <w:sz w:val="20"/>
          <w:szCs w:val="20"/>
          <w:shd w:val="clear" w:color="auto" w:fill="FFFFFF"/>
        </w:rPr>
        <w:t>[2015] UKSC 16</w:t>
      </w:r>
      <w:r>
        <w:rPr>
          <w:rFonts w:ascii="Gill Sans MT" w:hAnsi="Gill Sans MT"/>
          <w:color w:val="000000"/>
          <w:sz w:val="20"/>
          <w:szCs w:val="20"/>
          <w:shd w:val="clear" w:color="auto" w:fill="FFFFFF"/>
        </w:rPr>
        <w:t>,</w:t>
      </w:r>
      <w:r w:rsidRPr="0053561C">
        <w:rPr>
          <w:rFonts w:ascii="Gill Sans MT" w:hAnsi="Gill Sans MT"/>
          <w:color w:val="000000"/>
          <w:sz w:val="20"/>
          <w:szCs w:val="20"/>
          <w:shd w:val="clear" w:color="auto" w:fill="FFFFFF"/>
        </w:rPr>
        <w:t xml:space="preserve"> [2015] 1 WLR 1449</w:t>
      </w:r>
      <w:r>
        <w:rPr>
          <w:rFonts w:ascii="Gill Sans MT" w:hAnsi="Gill Sans MT"/>
          <w:sz w:val="20"/>
          <w:szCs w:val="20"/>
        </w:rPr>
        <w:t>, especially [243]-[257].</w:t>
      </w:r>
    </w:p>
  </w:footnote>
  <w:footnote w:id="94">
    <w:p w14:paraId="0EECA95D" w14:textId="278A970B" w:rsidR="00883007" w:rsidRPr="00624DF4" w:rsidRDefault="00883007" w:rsidP="0051090F">
      <w:pPr>
        <w:pStyle w:val="FootnoteText"/>
        <w:rPr>
          <w:rFonts w:ascii="Gill Sans MT" w:hAnsi="Gill Sans MT"/>
        </w:rPr>
      </w:pPr>
      <w:r w:rsidRPr="0053561C">
        <w:rPr>
          <w:rStyle w:val="FootnoteReference"/>
          <w:rFonts w:ascii="Gill Sans MT" w:hAnsi="Gill Sans MT"/>
        </w:rPr>
        <w:footnoteRef/>
      </w:r>
      <w:r w:rsidRPr="0053561C">
        <w:rPr>
          <w:rFonts w:ascii="Gill Sans MT" w:hAnsi="Gill Sans MT"/>
        </w:rPr>
        <w:t xml:space="preserve"> </w:t>
      </w:r>
      <w:r>
        <w:rPr>
          <w:rFonts w:ascii="Gill Sans MT" w:hAnsi="Gill Sans MT"/>
        </w:rPr>
        <w:t xml:space="preserve">See </w:t>
      </w:r>
      <w:r w:rsidRPr="00624DF4">
        <w:rPr>
          <w:rFonts w:ascii="Gill Sans MT" w:hAnsi="Gill Sans MT"/>
        </w:rPr>
        <w:t xml:space="preserve">Gordon (n 9), </w:t>
      </w:r>
      <w:proofErr w:type="spellStart"/>
      <w:r w:rsidRPr="00624DF4">
        <w:rPr>
          <w:rFonts w:ascii="Gill Sans MT" w:hAnsi="Gill Sans MT"/>
        </w:rPr>
        <w:t>ch</w:t>
      </w:r>
      <w:proofErr w:type="spellEnd"/>
      <w:r w:rsidRPr="00624DF4">
        <w:rPr>
          <w:rFonts w:ascii="Gill Sans MT" w:hAnsi="Gill Sans MT"/>
        </w:rPr>
        <w:t xml:space="preserve"> 2.</w:t>
      </w:r>
    </w:p>
  </w:footnote>
  <w:footnote w:id="95">
    <w:p w14:paraId="5558350A" w14:textId="10030F94" w:rsidR="00883007" w:rsidRPr="00624DF4" w:rsidRDefault="00883007">
      <w:pPr>
        <w:pStyle w:val="FootnoteText"/>
        <w:rPr>
          <w:rFonts w:ascii="Gill Sans MT" w:hAnsi="Gill Sans MT"/>
        </w:rPr>
      </w:pPr>
      <w:r w:rsidRPr="00624DF4">
        <w:rPr>
          <w:rStyle w:val="FootnoteReference"/>
          <w:rFonts w:ascii="Gill Sans MT" w:hAnsi="Gill Sans MT"/>
        </w:rPr>
        <w:footnoteRef/>
      </w:r>
      <w:r w:rsidRPr="00624DF4">
        <w:rPr>
          <w:rFonts w:ascii="Gill Sans MT" w:hAnsi="Gill Sans MT"/>
        </w:rPr>
        <w:t xml:space="preserve"> </w:t>
      </w:r>
      <w:r>
        <w:rPr>
          <w:rFonts w:ascii="Gill Sans MT" w:hAnsi="Gill Sans MT"/>
        </w:rPr>
        <w:t xml:space="preserve">See </w:t>
      </w:r>
      <w:r w:rsidRPr="00624DF4">
        <w:rPr>
          <w:rFonts w:ascii="Gill Sans MT" w:hAnsi="Gill Sans MT"/>
        </w:rPr>
        <w:t xml:space="preserve">HWR Wade, ‘The Basis of Legal Sovereignty’ (1955) 13 </w:t>
      </w:r>
      <w:r>
        <w:rPr>
          <w:rFonts w:ascii="Gill Sans MT" w:hAnsi="Gill Sans MT"/>
          <w:i/>
        </w:rPr>
        <w:t>Cambridge Law Journal</w:t>
      </w:r>
      <w:r w:rsidRPr="00624DF4">
        <w:rPr>
          <w:rFonts w:ascii="Gill Sans MT" w:hAnsi="Gill Sans MT"/>
        </w:rPr>
        <w:t xml:space="preserve"> 172</w:t>
      </w:r>
      <w:r>
        <w:rPr>
          <w:rFonts w:ascii="Gill Sans MT" w:hAnsi="Gill Sans MT"/>
        </w:rPr>
        <w:t>.</w:t>
      </w:r>
    </w:p>
  </w:footnote>
  <w:footnote w:id="96">
    <w:p w14:paraId="41793AB0" w14:textId="3A1F27B9" w:rsidR="00883007" w:rsidRPr="00B26DBF" w:rsidRDefault="00883007" w:rsidP="00BF6993">
      <w:pPr>
        <w:pStyle w:val="FootnoteText"/>
        <w:rPr>
          <w:rFonts w:ascii="Gill Sans MT" w:hAnsi="Gill Sans MT"/>
          <w:lang w:eastAsia="en-GB"/>
        </w:rPr>
      </w:pPr>
      <w:r w:rsidRPr="00624DF4">
        <w:rPr>
          <w:rStyle w:val="FootnoteReference"/>
          <w:rFonts w:ascii="Gill Sans MT" w:hAnsi="Gill Sans MT"/>
        </w:rPr>
        <w:footnoteRef/>
      </w:r>
      <w:r w:rsidRPr="00624DF4">
        <w:rPr>
          <w:rFonts w:ascii="Gill Sans MT" w:hAnsi="Gill Sans MT"/>
        </w:rPr>
        <w:t xml:space="preserve"> Jennings</w:t>
      </w:r>
      <w:r>
        <w:rPr>
          <w:rFonts w:ascii="Gill Sans MT" w:hAnsi="Gill Sans MT"/>
        </w:rPr>
        <w:t xml:space="preserve"> </w:t>
      </w:r>
      <w:r w:rsidRPr="00624DF4">
        <w:rPr>
          <w:rFonts w:ascii="Gill Sans MT" w:hAnsi="Gill Sans MT"/>
        </w:rPr>
        <w:t>(</w:t>
      </w:r>
      <w:r>
        <w:rPr>
          <w:rFonts w:ascii="Gill Sans MT" w:hAnsi="Gill Sans MT"/>
        </w:rPr>
        <w:t>n 2</w:t>
      </w:r>
      <w:r w:rsidRPr="00B26DBF">
        <w:rPr>
          <w:rFonts w:ascii="Gill Sans MT" w:hAnsi="Gill Sans MT"/>
        </w:rPr>
        <w:t>)</w:t>
      </w:r>
      <w:r>
        <w:rPr>
          <w:rFonts w:ascii="Gill Sans MT" w:hAnsi="Gill Sans MT"/>
        </w:rPr>
        <w:t>,</w:t>
      </w:r>
      <w:r w:rsidRPr="00B26DBF">
        <w:rPr>
          <w:rFonts w:ascii="Gill Sans MT" w:hAnsi="Gill Sans MT"/>
        </w:rPr>
        <w:t xml:space="preserve"> 153.</w:t>
      </w:r>
    </w:p>
  </w:footnote>
  <w:footnote w:id="97">
    <w:p w14:paraId="55D13CEB" w14:textId="77777777" w:rsidR="00883007" w:rsidRPr="00B26DBF" w:rsidRDefault="00883007" w:rsidP="004B54CE">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Scotland Act 1998, s.63A, as amended by the Scotland Act 2016, s.1.</w:t>
      </w:r>
    </w:p>
  </w:footnote>
  <w:footnote w:id="98">
    <w:p w14:paraId="571AE8F9" w14:textId="77777777" w:rsidR="00883007" w:rsidRPr="00D229D1" w:rsidRDefault="00883007" w:rsidP="004B54CE">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w:t>
      </w:r>
      <w:r w:rsidRPr="00D229D1">
        <w:rPr>
          <w:rFonts w:ascii="Gill Sans MT" w:hAnsi="Gill Sans MT"/>
        </w:rPr>
        <w:t>Scotland Act 1998, s.28(8), as amended by the Scotland Act 2016, s.2.</w:t>
      </w:r>
    </w:p>
  </w:footnote>
  <w:footnote w:id="99">
    <w:p w14:paraId="3FA538EF" w14:textId="3BB50813" w:rsidR="00883007" w:rsidRPr="00D229D1" w:rsidRDefault="00883007">
      <w:pPr>
        <w:pStyle w:val="FootnoteText"/>
        <w:rPr>
          <w:rFonts w:ascii="Gill Sans MT" w:hAnsi="Gill Sans MT"/>
        </w:rPr>
      </w:pPr>
      <w:r w:rsidRPr="00D229D1">
        <w:rPr>
          <w:rStyle w:val="FootnoteReference"/>
          <w:rFonts w:ascii="Gill Sans MT" w:hAnsi="Gill Sans MT"/>
        </w:rPr>
        <w:footnoteRef/>
      </w:r>
      <w:r w:rsidRPr="00D229D1">
        <w:rPr>
          <w:rFonts w:ascii="Gill Sans MT" w:hAnsi="Gill Sans MT"/>
        </w:rPr>
        <w:t xml:space="preserve"> Government of Wales Act 2006, s.A1 and s.107(6), as amended by the Wales Act 2017, ss.1-2.</w:t>
      </w:r>
    </w:p>
  </w:footnote>
  <w:footnote w:id="100">
    <w:p w14:paraId="2BB23790" w14:textId="01549552" w:rsidR="00883007" w:rsidRPr="00B26DBF" w:rsidRDefault="00883007">
      <w:pPr>
        <w:pStyle w:val="FootnoteText"/>
        <w:rPr>
          <w:rFonts w:ascii="Gill Sans MT" w:hAnsi="Gill Sans MT"/>
        </w:rPr>
      </w:pPr>
      <w:r w:rsidRPr="00D229D1">
        <w:rPr>
          <w:rStyle w:val="FootnoteReference"/>
          <w:rFonts w:ascii="Gill Sans MT" w:hAnsi="Gill Sans MT"/>
        </w:rPr>
        <w:footnoteRef/>
      </w:r>
      <w:r w:rsidRPr="00D229D1">
        <w:rPr>
          <w:rFonts w:ascii="Gill Sans MT" w:hAnsi="Gill Sans MT"/>
        </w:rPr>
        <w:t xml:space="preserve"> </w:t>
      </w:r>
      <w:r w:rsidRPr="00D229D1">
        <w:rPr>
          <w:rFonts w:ascii="Gill Sans MT" w:hAnsi="Gill Sans MT"/>
          <w:i/>
        </w:rPr>
        <w:t>Ellen Street Estates v Minister of Health</w:t>
      </w:r>
      <w:r w:rsidRPr="00D229D1">
        <w:rPr>
          <w:rFonts w:ascii="Gill Sans MT" w:hAnsi="Gill Sans MT"/>
        </w:rPr>
        <w:t xml:space="preserve"> [1934] 1 KB 590.</w:t>
      </w:r>
    </w:p>
  </w:footnote>
  <w:footnote w:id="101">
    <w:p w14:paraId="093F5564" w14:textId="140F674F" w:rsidR="00883007" w:rsidRPr="00D229D1"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w:t>
      </w:r>
      <w:r>
        <w:rPr>
          <w:rFonts w:ascii="Gill Sans MT" w:hAnsi="Gill Sans MT"/>
        </w:rPr>
        <w:t xml:space="preserve">See the data on the frequency of use collected by the Institute for Government; ‘Brexit and the Sewel (legislative consent) Convention’, </w:t>
      </w:r>
      <w:r>
        <w:rPr>
          <w:rFonts w:ascii="Gill Sans MT" w:hAnsi="Gill Sans MT"/>
          <w:i/>
        </w:rPr>
        <w:t>Institute for Government</w:t>
      </w:r>
      <w:r>
        <w:rPr>
          <w:rFonts w:ascii="Gill Sans MT" w:hAnsi="Gill Sans MT"/>
        </w:rPr>
        <w:t xml:space="preserve"> (16 January 2018): </w:t>
      </w:r>
      <w:hyperlink r:id="rId13" w:history="1">
        <w:r w:rsidRPr="000331B2">
          <w:rPr>
            <w:rStyle w:val="Hyperlink"/>
            <w:rFonts w:ascii="Gill Sans MT" w:hAnsi="Gill Sans MT"/>
          </w:rPr>
          <w:t>https://www.instituteforgovernment.org.uk/explainers/brexit-sewel-legislative-consent-convention</w:t>
        </w:r>
      </w:hyperlink>
      <w:r>
        <w:rPr>
          <w:rFonts w:ascii="Gill Sans MT" w:hAnsi="Gill Sans MT"/>
        </w:rPr>
        <w:t>.</w:t>
      </w:r>
    </w:p>
  </w:footnote>
  <w:footnote w:id="102">
    <w:p w14:paraId="29615446" w14:textId="129C0E7E" w:rsidR="00883007" w:rsidRPr="00B26DBF"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See above </w:t>
      </w:r>
      <w:r>
        <w:rPr>
          <w:rFonts w:ascii="Gill Sans MT" w:hAnsi="Gill Sans MT"/>
        </w:rPr>
        <w:t>S</w:t>
      </w:r>
      <w:r w:rsidRPr="00B26DBF">
        <w:rPr>
          <w:rFonts w:ascii="Gill Sans MT" w:hAnsi="Gill Sans MT"/>
        </w:rPr>
        <w:t>ection 2.</w:t>
      </w:r>
    </w:p>
  </w:footnote>
  <w:footnote w:id="103">
    <w:p w14:paraId="3E687DFC" w14:textId="77777777" w:rsidR="00883007" w:rsidRPr="00B26DBF" w:rsidRDefault="00883007" w:rsidP="004B54CE">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w:t>
      </w:r>
      <w:r w:rsidRPr="00B26DBF">
        <w:rPr>
          <w:rFonts w:ascii="Gill Sans MT" w:hAnsi="Gill Sans MT"/>
          <w:color w:val="000000"/>
          <w:shd w:val="clear" w:color="auto" w:fill="FFFFFF"/>
        </w:rPr>
        <w:t>[2017] UKSC 5, [2017] 2 WLR 583, [141]-[146].</w:t>
      </w:r>
    </w:p>
  </w:footnote>
  <w:footnote w:id="104">
    <w:p w14:paraId="49B60B1B" w14:textId="3A8E2BBB" w:rsidR="00883007" w:rsidRPr="00B26DBF" w:rsidRDefault="00883007" w:rsidP="004B54CE">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Ibid</w:t>
      </w:r>
      <w:r>
        <w:rPr>
          <w:rFonts w:ascii="Gill Sans MT" w:hAnsi="Gill Sans MT"/>
        </w:rPr>
        <w:t>,</w:t>
      </w:r>
      <w:r w:rsidRPr="00B26DBF">
        <w:rPr>
          <w:rFonts w:ascii="Gill Sans MT" w:hAnsi="Gill Sans MT"/>
        </w:rPr>
        <w:t xml:space="preserve"> [148].</w:t>
      </w:r>
    </w:p>
  </w:footnote>
  <w:footnote w:id="105">
    <w:p w14:paraId="67D4ED7D" w14:textId="7B3068F7" w:rsidR="00883007" w:rsidRPr="00B26DBF" w:rsidRDefault="00883007" w:rsidP="004B54CE">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Ibid</w:t>
      </w:r>
      <w:r>
        <w:rPr>
          <w:rFonts w:ascii="Gill Sans MT" w:hAnsi="Gill Sans MT"/>
        </w:rPr>
        <w:t>,</w:t>
      </w:r>
      <w:r w:rsidRPr="00B26DBF">
        <w:rPr>
          <w:rFonts w:ascii="Gill Sans MT" w:hAnsi="Gill Sans MT"/>
        </w:rPr>
        <w:t xml:space="preserve"> [149].</w:t>
      </w:r>
    </w:p>
  </w:footnote>
  <w:footnote w:id="106">
    <w:p w14:paraId="6FABEB97" w14:textId="13E8BC76" w:rsidR="00883007" w:rsidRPr="000E4622" w:rsidRDefault="00883007" w:rsidP="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w:t>
      </w:r>
      <w:r>
        <w:rPr>
          <w:rFonts w:ascii="Gill Sans MT" w:hAnsi="Gill Sans MT"/>
        </w:rPr>
        <w:t>Moreover, this is in</w:t>
      </w:r>
      <w:r w:rsidRPr="00B26DBF">
        <w:rPr>
          <w:rFonts w:ascii="Gill Sans MT" w:hAnsi="Gill Sans MT"/>
        </w:rPr>
        <w:t xml:space="preserve"> line with the </w:t>
      </w:r>
      <w:r w:rsidR="000E4622">
        <w:rPr>
          <w:rFonts w:ascii="Gill Sans MT" w:hAnsi="Gill Sans MT"/>
        </w:rPr>
        <w:t xml:space="preserve">earlier </w:t>
      </w:r>
      <w:r w:rsidRPr="00B26DBF">
        <w:rPr>
          <w:rFonts w:ascii="Gill Sans MT" w:hAnsi="Gill Sans MT"/>
        </w:rPr>
        <w:t>approach of the Divisional Court in</w:t>
      </w:r>
      <w:r w:rsidRPr="00B26DBF">
        <w:rPr>
          <w:rFonts w:ascii="Gill Sans MT" w:hAnsi="Gill Sans MT"/>
          <w:i/>
        </w:rPr>
        <w:t xml:space="preserve"> </w:t>
      </w:r>
      <w:r w:rsidRPr="000E4622">
        <w:rPr>
          <w:rFonts w:ascii="Gill Sans MT" w:hAnsi="Gill Sans MT"/>
          <w:i/>
        </w:rPr>
        <w:t>Wheeler v The Office of the Prime Minister</w:t>
      </w:r>
      <w:r w:rsidRPr="000E4622">
        <w:rPr>
          <w:rFonts w:ascii="Gill Sans MT" w:hAnsi="Gill Sans MT"/>
        </w:rPr>
        <w:t xml:space="preserve"> </w:t>
      </w:r>
      <w:r w:rsidRPr="000E4622">
        <w:rPr>
          <w:rFonts w:ascii="Gill Sans MT" w:hAnsi="Gill Sans MT"/>
          <w:bCs/>
        </w:rPr>
        <w:t>[2014] EWHC 3815 (Admin)</w:t>
      </w:r>
      <w:r w:rsidRPr="000E4622">
        <w:rPr>
          <w:rFonts w:ascii="Gill Sans MT" w:hAnsi="Gill Sans MT"/>
        </w:rPr>
        <w:t>, when deciding claims based on the e</w:t>
      </w:r>
      <w:r w:rsidRPr="00B26DBF">
        <w:rPr>
          <w:rFonts w:ascii="Gill Sans MT" w:hAnsi="Gill Sans MT"/>
        </w:rPr>
        <w:t xml:space="preserve">nforceability of the referendum locks created in </w:t>
      </w:r>
      <w:r w:rsidRPr="000E4622">
        <w:rPr>
          <w:rFonts w:ascii="Gill Sans MT" w:hAnsi="Gill Sans MT"/>
        </w:rPr>
        <w:t>the E</w:t>
      </w:r>
      <w:r w:rsidR="000E4622" w:rsidRPr="000E4622">
        <w:rPr>
          <w:rFonts w:ascii="Gill Sans MT" w:hAnsi="Gill Sans MT"/>
        </w:rPr>
        <w:t xml:space="preserve">uropean </w:t>
      </w:r>
      <w:r w:rsidRPr="000E4622">
        <w:rPr>
          <w:rFonts w:ascii="Gill Sans MT" w:hAnsi="Gill Sans MT"/>
        </w:rPr>
        <w:t>U</w:t>
      </w:r>
      <w:r w:rsidR="000E4622" w:rsidRPr="000E4622">
        <w:rPr>
          <w:rFonts w:ascii="Gill Sans MT" w:hAnsi="Gill Sans MT"/>
        </w:rPr>
        <w:t>nion</w:t>
      </w:r>
      <w:r w:rsidRPr="000E4622">
        <w:rPr>
          <w:rFonts w:ascii="Gill Sans MT" w:hAnsi="Gill Sans MT"/>
        </w:rPr>
        <w:t xml:space="preserve"> Act 2011.</w:t>
      </w:r>
    </w:p>
  </w:footnote>
  <w:footnote w:id="107">
    <w:p w14:paraId="03B92638" w14:textId="1FEAB288" w:rsidR="00883007" w:rsidRPr="000E4622" w:rsidRDefault="00883007">
      <w:pPr>
        <w:pStyle w:val="FootnoteText"/>
        <w:rPr>
          <w:rFonts w:ascii="Gill Sans MT" w:hAnsi="Gill Sans MT"/>
        </w:rPr>
      </w:pPr>
      <w:r w:rsidRPr="000E4622">
        <w:rPr>
          <w:rStyle w:val="FootnoteReference"/>
          <w:rFonts w:ascii="Gill Sans MT" w:hAnsi="Gill Sans MT"/>
        </w:rPr>
        <w:footnoteRef/>
      </w:r>
      <w:r w:rsidRPr="000E4622">
        <w:rPr>
          <w:rFonts w:ascii="Gill Sans MT" w:hAnsi="Gill Sans MT"/>
        </w:rPr>
        <w:t xml:space="preserve"> </w:t>
      </w:r>
      <w:r w:rsidR="000E4622" w:rsidRPr="000E4622">
        <w:rPr>
          <w:rFonts w:ascii="Gill Sans MT" w:hAnsi="Gill Sans MT"/>
        </w:rPr>
        <w:t xml:space="preserve">For the contrary argument, see </w:t>
      </w:r>
      <w:proofErr w:type="spellStart"/>
      <w:r w:rsidR="000E4622" w:rsidRPr="000E4622">
        <w:rPr>
          <w:rFonts w:ascii="Gill Sans MT" w:hAnsi="Gill Sans MT"/>
        </w:rPr>
        <w:t>eg</w:t>
      </w:r>
      <w:proofErr w:type="spellEnd"/>
      <w:r w:rsidR="000E4622" w:rsidRPr="000E4622">
        <w:rPr>
          <w:rFonts w:ascii="Gill Sans MT" w:hAnsi="Gill Sans MT"/>
        </w:rPr>
        <w:t xml:space="preserve"> </w:t>
      </w:r>
      <w:r w:rsidR="000E4622" w:rsidRPr="000E4622">
        <w:rPr>
          <w:rFonts w:ascii="Gill Sans MT" w:hAnsi="Gill Sans MT"/>
          <w:shd w:val="clear" w:color="auto" w:fill="FFFFFF"/>
        </w:rPr>
        <w:t xml:space="preserve">C McCrudden and D Halberstam, ‘Northern Ireland’s Supreme Court Brexit Problem (and the UK’s too)’, </w:t>
      </w:r>
      <w:r w:rsidR="000E4622">
        <w:rPr>
          <w:rFonts w:ascii="Gill Sans MT" w:hAnsi="Gill Sans MT"/>
          <w:i/>
          <w:shd w:val="clear" w:color="auto" w:fill="FFFFFF"/>
        </w:rPr>
        <w:t>UK Constitutional Law Association Blog</w:t>
      </w:r>
      <w:r w:rsidR="000E4622" w:rsidRPr="000E4622">
        <w:rPr>
          <w:rFonts w:ascii="Gill Sans MT" w:hAnsi="Gill Sans MT"/>
          <w:shd w:val="clear" w:color="auto" w:fill="FFFFFF"/>
        </w:rPr>
        <w:t xml:space="preserve"> (21 Nov</w:t>
      </w:r>
      <w:r w:rsidR="000E4622">
        <w:rPr>
          <w:rFonts w:ascii="Gill Sans MT" w:hAnsi="Gill Sans MT"/>
          <w:shd w:val="clear" w:color="auto" w:fill="FFFFFF"/>
        </w:rPr>
        <w:t>ember</w:t>
      </w:r>
      <w:r w:rsidR="000E4622" w:rsidRPr="000E4622">
        <w:rPr>
          <w:rFonts w:ascii="Gill Sans MT" w:hAnsi="Gill Sans MT"/>
          <w:shd w:val="clear" w:color="auto" w:fill="FFFFFF"/>
        </w:rPr>
        <w:t xml:space="preserve"> 2017)</w:t>
      </w:r>
      <w:r w:rsidR="000E4622">
        <w:rPr>
          <w:rFonts w:ascii="Gill Sans MT" w:hAnsi="Gill Sans MT"/>
          <w:shd w:val="clear" w:color="auto" w:fill="FFFFFF"/>
        </w:rPr>
        <w:t xml:space="preserve">: </w:t>
      </w:r>
      <w:hyperlink r:id="rId14" w:history="1">
        <w:r w:rsidR="000E4622" w:rsidRPr="000331B2">
          <w:rPr>
            <w:rStyle w:val="Hyperlink"/>
            <w:rFonts w:ascii="Gill Sans MT" w:hAnsi="Gill Sans MT"/>
            <w:shd w:val="clear" w:color="auto" w:fill="FFFFFF"/>
          </w:rPr>
          <w:t>https://ukconstitutionallaw.org/2017/11/21/christopher-mccrudden-and-daniel-halberstam-northern-irelands-supreme-court-brexit-problem-and-the-uks-too/</w:t>
        </w:r>
      </w:hyperlink>
      <w:r w:rsidR="000E4622">
        <w:rPr>
          <w:rFonts w:ascii="Gill Sans MT" w:hAnsi="Gill Sans MT"/>
          <w:shd w:val="clear" w:color="auto" w:fill="FFFFFF"/>
        </w:rPr>
        <w:t>.</w:t>
      </w:r>
    </w:p>
  </w:footnote>
  <w:footnote w:id="108">
    <w:p w14:paraId="6B9CBD70" w14:textId="601C105C" w:rsidR="00883007" w:rsidRPr="00B26DBF" w:rsidRDefault="00883007">
      <w:pPr>
        <w:pStyle w:val="FootnoteText"/>
        <w:rPr>
          <w:rFonts w:ascii="Gill Sans MT" w:hAnsi="Gill Sans MT"/>
        </w:rPr>
      </w:pPr>
      <w:r w:rsidRPr="000E4622">
        <w:rPr>
          <w:rStyle w:val="FootnoteReference"/>
          <w:rFonts w:ascii="Gill Sans MT" w:hAnsi="Gill Sans MT"/>
        </w:rPr>
        <w:footnoteRef/>
      </w:r>
      <w:r w:rsidRPr="000E4622">
        <w:rPr>
          <w:rFonts w:ascii="Gill Sans MT" w:hAnsi="Gill Sans MT"/>
        </w:rPr>
        <w:t xml:space="preserve"> </w:t>
      </w:r>
      <w:r w:rsidR="00187C23">
        <w:rPr>
          <w:rFonts w:ascii="Gill Sans MT" w:hAnsi="Gill Sans MT"/>
        </w:rPr>
        <w:t>These</w:t>
      </w:r>
      <w:r w:rsidRPr="000E4622">
        <w:rPr>
          <w:rFonts w:ascii="Gill Sans MT" w:hAnsi="Gill Sans MT"/>
        </w:rPr>
        <w:t xml:space="preserve"> devolution clause</w:t>
      </w:r>
      <w:r w:rsidR="00187C23">
        <w:rPr>
          <w:rFonts w:ascii="Gill Sans MT" w:hAnsi="Gill Sans MT"/>
        </w:rPr>
        <w:t>s</w:t>
      </w:r>
      <w:r w:rsidRPr="000E4622">
        <w:rPr>
          <w:rFonts w:ascii="Gill Sans MT" w:hAnsi="Gill Sans MT"/>
        </w:rPr>
        <w:t xml:space="preserve"> </w:t>
      </w:r>
      <w:r w:rsidR="00187C23">
        <w:rPr>
          <w:rFonts w:ascii="Gill Sans MT" w:hAnsi="Gill Sans MT"/>
        </w:rPr>
        <w:t>are</w:t>
      </w:r>
      <w:r w:rsidRPr="000E4622">
        <w:rPr>
          <w:rFonts w:ascii="Gill Sans MT" w:hAnsi="Gill Sans MT"/>
        </w:rPr>
        <w:t xml:space="preserve"> not unique</w:t>
      </w:r>
      <w:r w:rsidR="00187C23">
        <w:rPr>
          <w:rFonts w:ascii="Gill Sans MT" w:hAnsi="Gill Sans MT"/>
        </w:rPr>
        <w:t>;</w:t>
      </w:r>
      <w:r w:rsidRPr="000E4622">
        <w:rPr>
          <w:rFonts w:ascii="Gill Sans MT" w:hAnsi="Gill Sans MT"/>
        </w:rPr>
        <w:t xml:space="preserve"> other examples of symbolic legislative provisions might include,</w:t>
      </w:r>
      <w:r w:rsidR="00187C23">
        <w:rPr>
          <w:rFonts w:ascii="Gill Sans MT" w:hAnsi="Gill Sans MT"/>
        </w:rPr>
        <w:t xml:space="preserve"> for</w:t>
      </w:r>
      <w:r w:rsidRPr="000E4622">
        <w:rPr>
          <w:rFonts w:ascii="Gill Sans MT" w:hAnsi="Gill Sans MT"/>
        </w:rPr>
        <w:t xml:space="preserve"> </w:t>
      </w:r>
      <w:proofErr w:type="spellStart"/>
      <w:r w:rsidRPr="000E4622">
        <w:rPr>
          <w:rFonts w:ascii="Gill Sans MT" w:hAnsi="Gill Sans MT"/>
        </w:rPr>
        <w:t>eg</w:t>
      </w:r>
      <w:proofErr w:type="spellEnd"/>
      <w:r w:rsidRPr="000E4622">
        <w:rPr>
          <w:rFonts w:ascii="Gill Sans MT" w:hAnsi="Gill Sans MT"/>
        </w:rPr>
        <w:t xml:space="preserve">, </w:t>
      </w:r>
      <w:r w:rsidR="00187C23">
        <w:rPr>
          <w:rFonts w:ascii="Gill Sans MT" w:hAnsi="Gill Sans MT"/>
        </w:rPr>
        <w:t xml:space="preserve">the </w:t>
      </w:r>
      <w:r w:rsidRPr="000E4622">
        <w:rPr>
          <w:rFonts w:ascii="Gill Sans MT" w:hAnsi="Gill Sans MT"/>
        </w:rPr>
        <w:t>E</w:t>
      </w:r>
      <w:r w:rsidR="00187C23">
        <w:rPr>
          <w:rFonts w:ascii="Gill Sans MT" w:hAnsi="Gill Sans MT"/>
        </w:rPr>
        <w:t xml:space="preserve">uropean </w:t>
      </w:r>
      <w:r w:rsidRPr="000E4622">
        <w:rPr>
          <w:rFonts w:ascii="Gill Sans MT" w:hAnsi="Gill Sans MT"/>
        </w:rPr>
        <w:t>U</w:t>
      </w:r>
      <w:r w:rsidR="00187C23">
        <w:rPr>
          <w:rFonts w:ascii="Gill Sans MT" w:hAnsi="Gill Sans MT"/>
        </w:rPr>
        <w:t>nion</w:t>
      </w:r>
      <w:r w:rsidRPr="000E4622">
        <w:rPr>
          <w:rFonts w:ascii="Gill Sans MT" w:hAnsi="Gill Sans MT"/>
        </w:rPr>
        <w:t xml:space="preserve"> Act 2011</w:t>
      </w:r>
      <w:r w:rsidR="00187C23">
        <w:rPr>
          <w:rFonts w:ascii="Gill Sans MT" w:hAnsi="Gill Sans MT"/>
        </w:rPr>
        <w:t>,</w:t>
      </w:r>
      <w:r w:rsidRPr="000E4622">
        <w:rPr>
          <w:rFonts w:ascii="Gill Sans MT" w:hAnsi="Gill Sans MT"/>
        </w:rPr>
        <w:t xml:space="preserve"> s</w:t>
      </w:r>
      <w:r w:rsidR="00187C23">
        <w:rPr>
          <w:rFonts w:ascii="Gill Sans MT" w:hAnsi="Gill Sans MT"/>
        </w:rPr>
        <w:t>.</w:t>
      </w:r>
      <w:r w:rsidRPr="000E4622">
        <w:rPr>
          <w:rFonts w:ascii="Gill Sans MT" w:hAnsi="Gill Sans MT"/>
        </w:rPr>
        <w:t>18</w:t>
      </w:r>
      <w:r w:rsidR="00187C23">
        <w:rPr>
          <w:rFonts w:ascii="Gill Sans MT" w:hAnsi="Gill Sans MT"/>
        </w:rPr>
        <w:t xml:space="preserve"> (reasserting the domestic statutory basis for the authority of EU law within the UK), or</w:t>
      </w:r>
      <w:r w:rsidRPr="000E4622">
        <w:rPr>
          <w:rFonts w:ascii="Gill Sans MT" w:hAnsi="Gill Sans MT"/>
        </w:rPr>
        <w:t xml:space="preserve"> </w:t>
      </w:r>
      <w:r w:rsidR="00187C23">
        <w:rPr>
          <w:rFonts w:ascii="Gill Sans MT" w:hAnsi="Gill Sans MT"/>
        </w:rPr>
        <w:t>the</w:t>
      </w:r>
      <w:r w:rsidRPr="000E4622">
        <w:rPr>
          <w:rFonts w:ascii="Gill Sans MT" w:hAnsi="Gill Sans MT"/>
        </w:rPr>
        <w:t xml:space="preserve"> </w:t>
      </w:r>
      <w:r w:rsidR="00187C23">
        <w:rPr>
          <w:rFonts w:ascii="Gill Sans MT" w:hAnsi="Gill Sans MT"/>
        </w:rPr>
        <w:t>Constitutional Reform Act</w:t>
      </w:r>
      <w:r w:rsidRPr="000E4622">
        <w:rPr>
          <w:rFonts w:ascii="Gill Sans MT" w:hAnsi="Gill Sans MT"/>
        </w:rPr>
        <w:t xml:space="preserve"> </w:t>
      </w:r>
      <w:r w:rsidRPr="00B26DBF">
        <w:rPr>
          <w:rFonts w:ascii="Gill Sans MT" w:hAnsi="Gill Sans MT"/>
        </w:rPr>
        <w:t>2005</w:t>
      </w:r>
      <w:r w:rsidR="00187C23">
        <w:rPr>
          <w:rFonts w:ascii="Gill Sans MT" w:hAnsi="Gill Sans MT"/>
        </w:rPr>
        <w:t>, s.1 (confirming the continuing status of the rule of law).</w:t>
      </w:r>
    </w:p>
  </w:footnote>
  <w:footnote w:id="109">
    <w:p w14:paraId="2101D825" w14:textId="2D077247" w:rsidR="00E607E3" w:rsidRPr="00E607E3" w:rsidRDefault="00E607E3">
      <w:pPr>
        <w:pStyle w:val="FootnoteText"/>
        <w:rPr>
          <w:rFonts w:ascii="Gill Sans MT" w:hAnsi="Gill Sans MT"/>
        </w:rPr>
      </w:pPr>
      <w:r w:rsidRPr="00E607E3">
        <w:rPr>
          <w:rStyle w:val="FootnoteReference"/>
          <w:rFonts w:ascii="Gill Sans MT" w:hAnsi="Gill Sans MT"/>
        </w:rPr>
        <w:footnoteRef/>
      </w:r>
      <w:r w:rsidRPr="00E607E3">
        <w:rPr>
          <w:rFonts w:ascii="Gill Sans MT" w:hAnsi="Gill Sans MT"/>
        </w:rPr>
        <w:t xml:space="preserve"> See </w:t>
      </w:r>
      <w:proofErr w:type="spellStart"/>
      <w:r w:rsidRPr="00E607E3">
        <w:rPr>
          <w:rFonts w:ascii="Gill Sans MT" w:hAnsi="Gill Sans MT"/>
        </w:rPr>
        <w:t>eg</w:t>
      </w:r>
      <w:proofErr w:type="spellEnd"/>
      <w:r w:rsidRPr="00E607E3">
        <w:rPr>
          <w:rFonts w:ascii="Gill Sans MT" w:hAnsi="Gill Sans MT"/>
        </w:rPr>
        <w:t xml:space="preserve"> Dominic Grieve, ‘Brexit and the sovereignty of Parliament: a backbencher’s view’</w:t>
      </w:r>
      <w:r>
        <w:rPr>
          <w:rFonts w:ascii="Gill Sans MT" w:hAnsi="Gill Sans MT"/>
        </w:rPr>
        <w:t>,</w:t>
      </w:r>
      <w:r w:rsidRPr="00E607E3">
        <w:rPr>
          <w:rFonts w:ascii="Gill Sans MT" w:hAnsi="Gill Sans MT"/>
        </w:rPr>
        <w:t xml:space="preserve"> </w:t>
      </w:r>
      <w:r w:rsidRPr="00E607E3">
        <w:rPr>
          <w:rFonts w:ascii="Gill Sans MT" w:hAnsi="Gill Sans MT"/>
          <w:i/>
        </w:rPr>
        <w:t xml:space="preserve">LSE Brexit Blog </w:t>
      </w:r>
      <w:r w:rsidRPr="00E607E3">
        <w:rPr>
          <w:rFonts w:ascii="Gill Sans MT" w:hAnsi="Gill Sans MT"/>
        </w:rPr>
        <w:t xml:space="preserve">(16 February 2018): </w:t>
      </w:r>
      <w:hyperlink r:id="rId15" w:history="1">
        <w:r w:rsidRPr="00E607E3">
          <w:rPr>
            <w:rStyle w:val="Hyperlink"/>
            <w:rFonts w:ascii="Gill Sans MT" w:hAnsi="Gill Sans MT"/>
          </w:rPr>
          <w:t>http://blogs.lse.ac.uk/brexit/2018/02/16/long-read-brexit-and-the-sovereignty-of-parliament-a-backbenchers-view/</w:t>
        </w:r>
      </w:hyperlink>
      <w:r w:rsidRPr="00E607E3">
        <w:rPr>
          <w:rFonts w:ascii="Gill Sans MT" w:hAnsi="Gill Sans MT"/>
        </w:rPr>
        <w:t>.</w:t>
      </w:r>
    </w:p>
  </w:footnote>
  <w:footnote w:id="110">
    <w:p w14:paraId="641026DE" w14:textId="1D06763F" w:rsidR="00883007" w:rsidRPr="00B26DBF" w:rsidRDefault="00883007">
      <w:pPr>
        <w:pStyle w:val="FootnoteText"/>
        <w:rPr>
          <w:rFonts w:ascii="Gill Sans MT" w:hAnsi="Gill Sans MT"/>
        </w:rPr>
      </w:pPr>
      <w:r w:rsidRPr="00E607E3">
        <w:rPr>
          <w:rStyle w:val="FootnoteReference"/>
          <w:rFonts w:ascii="Gill Sans MT" w:hAnsi="Gill Sans MT"/>
        </w:rPr>
        <w:footnoteRef/>
      </w:r>
      <w:r w:rsidRPr="00E607E3">
        <w:rPr>
          <w:rFonts w:ascii="Gill Sans MT" w:hAnsi="Gill Sans MT"/>
        </w:rPr>
        <w:t xml:space="preserve"> </w:t>
      </w:r>
      <w:r w:rsidR="00E574E0" w:rsidRPr="00E607E3">
        <w:rPr>
          <w:rFonts w:ascii="Gill Sans MT" w:hAnsi="Gill Sans MT"/>
        </w:rPr>
        <w:t xml:space="preserve">See </w:t>
      </w:r>
      <w:proofErr w:type="spellStart"/>
      <w:r w:rsidR="00E574E0" w:rsidRPr="00E607E3">
        <w:rPr>
          <w:rFonts w:ascii="Gill Sans MT" w:hAnsi="Gill Sans MT"/>
        </w:rPr>
        <w:t>eg</w:t>
      </w:r>
      <w:proofErr w:type="spellEnd"/>
      <w:r w:rsidR="00E574E0" w:rsidRPr="00E607E3">
        <w:rPr>
          <w:rFonts w:ascii="Gill Sans MT" w:hAnsi="Gill Sans MT"/>
        </w:rPr>
        <w:t xml:space="preserve"> Lord Judge, ‘Ceding</w:t>
      </w:r>
      <w:r w:rsidR="00E574E0" w:rsidRPr="002E0DC6">
        <w:rPr>
          <w:rFonts w:ascii="Gill Sans MT" w:hAnsi="Gill Sans MT"/>
        </w:rPr>
        <w:t xml:space="preserve"> Power to the Executive; the Resurrection of Henry VIII’, Lecture at King’s College London</w:t>
      </w:r>
      <w:r w:rsidR="00E574E0">
        <w:rPr>
          <w:rFonts w:ascii="Gill Sans MT" w:hAnsi="Gill Sans MT"/>
        </w:rPr>
        <w:t xml:space="preserve"> (</w:t>
      </w:r>
      <w:r w:rsidR="00E574E0" w:rsidRPr="002E0DC6">
        <w:rPr>
          <w:rFonts w:ascii="Gill Sans MT" w:hAnsi="Gill Sans MT"/>
        </w:rPr>
        <w:t>12 April 2016</w:t>
      </w:r>
      <w:r w:rsidR="00E574E0">
        <w:rPr>
          <w:rFonts w:ascii="Gill Sans MT" w:hAnsi="Gill Sans MT"/>
        </w:rPr>
        <w:t>):</w:t>
      </w:r>
      <w:r w:rsidR="00E574E0" w:rsidRPr="002E0DC6">
        <w:rPr>
          <w:rFonts w:ascii="Gill Sans MT" w:hAnsi="Gill Sans MT"/>
        </w:rPr>
        <w:t xml:space="preserve"> </w:t>
      </w:r>
      <w:hyperlink r:id="rId16" w:history="1">
        <w:r w:rsidR="00E574E0" w:rsidRPr="000331B2">
          <w:rPr>
            <w:rStyle w:val="Hyperlink"/>
            <w:rFonts w:ascii="Gill Sans MT" w:hAnsi="Gill Sans MT"/>
          </w:rPr>
          <w:t>http://www.kcl.ac.uk/law/newsevents/newsrecords/2015-16/Ceding-Power-to-the-Executive---Lord-Judge---130416.pdf</w:t>
        </w:r>
      </w:hyperlink>
      <w:r w:rsidR="00E574E0">
        <w:rPr>
          <w:rFonts w:ascii="Gill Sans MT" w:hAnsi="Gill Sans MT"/>
        </w:rPr>
        <w:t xml:space="preserve">. </w:t>
      </w:r>
    </w:p>
  </w:footnote>
  <w:footnote w:id="111">
    <w:p w14:paraId="372778D7" w14:textId="65C1DD72" w:rsidR="00883007" w:rsidRPr="00434FA2"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w:t>
      </w:r>
      <w:r w:rsidR="004C3F8C">
        <w:rPr>
          <w:rFonts w:ascii="Gill Sans MT" w:hAnsi="Gill Sans MT"/>
        </w:rPr>
        <w:t xml:space="preserve">See </w:t>
      </w:r>
      <w:proofErr w:type="spellStart"/>
      <w:r w:rsidR="004C3F8C">
        <w:rPr>
          <w:rFonts w:ascii="Gill Sans MT" w:hAnsi="Gill Sans MT"/>
        </w:rPr>
        <w:t>eg</w:t>
      </w:r>
      <w:proofErr w:type="spellEnd"/>
      <w:r w:rsidR="004C3F8C">
        <w:rPr>
          <w:rFonts w:ascii="Gill Sans MT" w:hAnsi="Gill Sans MT"/>
        </w:rPr>
        <w:t xml:space="preserve"> A Tucker, ‘Parliamentary Scrutiny of </w:t>
      </w:r>
      <w:r w:rsidR="004C3F8C" w:rsidRPr="00434FA2">
        <w:rPr>
          <w:rFonts w:ascii="Gill Sans MT" w:hAnsi="Gill Sans MT"/>
        </w:rPr>
        <w:t xml:space="preserve">Delegated Legislation’ in A Horne and G </w:t>
      </w:r>
      <w:proofErr w:type="spellStart"/>
      <w:r w:rsidR="004C3F8C" w:rsidRPr="00434FA2">
        <w:rPr>
          <w:rFonts w:ascii="Gill Sans MT" w:hAnsi="Gill Sans MT"/>
        </w:rPr>
        <w:t>Drewry</w:t>
      </w:r>
      <w:proofErr w:type="spellEnd"/>
      <w:r w:rsidR="004C3F8C" w:rsidRPr="00434FA2">
        <w:rPr>
          <w:rFonts w:ascii="Gill Sans MT" w:hAnsi="Gill Sans MT"/>
        </w:rPr>
        <w:t xml:space="preserve"> (eds), </w:t>
      </w:r>
      <w:r w:rsidR="004C3F8C" w:rsidRPr="00434FA2">
        <w:rPr>
          <w:rFonts w:ascii="Gill Sans MT" w:hAnsi="Gill Sans MT"/>
          <w:i/>
        </w:rPr>
        <w:t>Parliament and the Law</w:t>
      </w:r>
      <w:r w:rsidR="004C3F8C" w:rsidRPr="00434FA2">
        <w:rPr>
          <w:rFonts w:ascii="Gill Sans MT" w:hAnsi="Gill Sans MT"/>
        </w:rPr>
        <w:t xml:space="preserve">, 2nd ed (Oxford, Hart Publishing, 2018), </w:t>
      </w:r>
      <w:r w:rsidR="00434FA2" w:rsidRPr="00434FA2">
        <w:rPr>
          <w:rFonts w:ascii="Gill Sans MT" w:hAnsi="Gill Sans MT"/>
        </w:rPr>
        <w:t>358-360</w:t>
      </w:r>
      <w:r w:rsidR="004C3F8C" w:rsidRPr="00434FA2">
        <w:rPr>
          <w:rFonts w:ascii="Gill Sans MT" w:hAnsi="Gill Sans MT"/>
        </w:rPr>
        <w:t>.</w:t>
      </w:r>
    </w:p>
  </w:footnote>
  <w:footnote w:id="112">
    <w:p w14:paraId="357FCCCF" w14:textId="187DBBF8" w:rsidR="00883007" w:rsidRPr="004C3F8C" w:rsidRDefault="00883007">
      <w:pPr>
        <w:pStyle w:val="FootnoteText"/>
        <w:rPr>
          <w:rFonts w:ascii="Gill Sans MT" w:hAnsi="Gill Sans MT"/>
        </w:rPr>
      </w:pPr>
      <w:r w:rsidRPr="00434FA2">
        <w:rPr>
          <w:rStyle w:val="FootnoteReference"/>
          <w:rFonts w:ascii="Gill Sans MT" w:hAnsi="Gill Sans MT"/>
        </w:rPr>
        <w:footnoteRef/>
      </w:r>
      <w:r w:rsidRPr="00434FA2">
        <w:rPr>
          <w:rFonts w:ascii="Gill Sans MT" w:hAnsi="Gill Sans MT"/>
        </w:rPr>
        <w:t xml:space="preserve"> </w:t>
      </w:r>
      <w:r w:rsidR="004C3F8C" w:rsidRPr="00434FA2">
        <w:rPr>
          <w:rFonts w:ascii="Gill Sans MT" w:hAnsi="Gill Sans MT"/>
        </w:rPr>
        <w:t xml:space="preserve">For critical evaluation of the original proposals, see </w:t>
      </w:r>
      <w:proofErr w:type="spellStart"/>
      <w:r w:rsidR="004C3F8C" w:rsidRPr="00434FA2">
        <w:rPr>
          <w:rFonts w:ascii="Gill Sans MT" w:hAnsi="Gill Sans MT"/>
        </w:rPr>
        <w:t>eg</w:t>
      </w:r>
      <w:proofErr w:type="spellEnd"/>
      <w:r w:rsidR="004C3F8C" w:rsidRPr="00434FA2">
        <w:rPr>
          <w:rFonts w:ascii="Gill Sans MT" w:hAnsi="Gill Sans MT"/>
        </w:rPr>
        <w:t xml:space="preserve"> House of Commons</w:t>
      </w:r>
      <w:r w:rsidR="004C3F8C">
        <w:rPr>
          <w:rFonts w:ascii="Gill Sans MT" w:hAnsi="Gill Sans MT"/>
        </w:rPr>
        <w:t xml:space="preserve"> Procedure Committee, </w:t>
      </w:r>
      <w:r w:rsidR="004C3F8C">
        <w:rPr>
          <w:rFonts w:ascii="Gill Sans MT" w:hAnsi="Gill Sans MT"/>
          <w:i/>
        </w:rPr>
        <w:t>Scrutiny of Delegated Legislation under the European Union (Withdrawal) Bill: Interim Report</w:t>
      </w:r>
      <w:r w:rsidR="004C3F8C">
        <w:rPr>
          <w:rFonts w:ascii="Gill Sans MT" w:hAnsi="Gill Sans MT"/>
        </w:rPr>
        <w:t xml:space="preserve"> (HC 386, 6 November 2017).</w:t>
      </w:r>
    </w:p>
  </w:footnote>
  <w:footnote w:id="113">
    <w:p w14:paraId="211F8953" w14:textId="2EDD92AE" w:rsidR="00883007" w:rsidRPr="00CA79AE" w:rsidRDefault="00883007">
      <w:pPr>
        <w:pStyle w:val="FootnoteText"/>
        <w:rPr>
          <w:rFonts w:ascii="Gill Sans MT" w:hAnsi="Gill Sans MT"/>
        </w:rPr>
      </w:pPr>
      <w:r w:rsidRPr="00CA79AE">
        <w:rPr>
          <w:rStyle w:val="FootnoteReference"/>
          <w:rFonts w:ascii="Gill Sans MT" w:hAnsi="Gill Sans MT"/>
        </w:rPr>
        <w:footnoteRef/>
      </w:r>
      <w:r w:rsidR="00CA79AE">
        <w:rPr>
          <w:rFonts w:ascii="Gill Sans MT" w:hAnsi="Gill Sans MT"/>
        </w:rPr>
        <w:t xml:space="preserve"> See Tucker (n 110), 347.</w:t>
      </w:r>
    </w:p>
  </w:footnote>
  <w:footnote w:id="114">
    <w:p w14:paraId="3C57E4DD" w14:textId="7D4DB122" w:rsidR="00883007" w:rsidRPr="00B26DBF"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House of Lords </w:t>
      </w:r>
      <w:r w:rsidR="00FB7B09">
        <w:rPr>
          <w:rFonts w:ascii="Gill Sans MT" w:hAnsi="Gill Sans MT"/>
        </w:rPr>
        <w:t xml:space="preserve">Select </w:t>
      </w:r>
      <w:r w:rsidRPr="00B26DBF">
        <w:rPr>
          <w:rFonts w:ascii="Gill Sans MT" w:hAnsi="Gill Sans MT"/>
        </w:rPr>
        <w:t xml:space="preserve">Committee on the Constitution, </w:t>
      </w:r>
      <w:r w:rsidR="00FB7B09">
        <w:rPr>
          <w:rFonts w:ascii="Gill Sans MT" w:hAnsi="Gill Sans MT"/>
          <w:i/>
        </w:rPr>
        <w:t xml:space="preserve">European Union (Withdrawal) Bill </w:t>
      </w:r>
      <w:r w:rsidRPr="00B26DBF">
        <w:rPr>
          <w:rFonts w:ascii="Gill Sans MT" w:hAnsi="Gill Sans MT"/>
        </w:rPr>
        <w:t>(</w:t>
      </w:r>
      <w:r w:rsidR="00FB7B09">
        <w:rPr>
          <w:rFonts w:ascii="Gill Sans MT" w:hAnsi="Gill Sans MT"/>
        </w:rPr>
        <w:t xml:space="preserve">HL Paper 69, </w:t>
      </w:r>
      <w:r w:rsidRPr="00B26DBF">
        <w:rPr>
          <w:rFonts w:ascii="Gill Sans MT" w:hAnsi="Gill Sans MT"/>
        </w:rPr>
        <w:t>2</w:t>
      </w:r>
      <w:r w:rsidR="00FB7B09">
        <w:rPr>
          <w:rFonts w:ascii="Gill Sans MT" w:hAnsi="Gill Sans MT"/>
        </w:rPr>
        <w:t>9</w:t>
      </w:r>
      <w:r w:rsidRPr="00B26DBF">
        <w:rPr>
          <w:rFonts w:ascii="Gill Sans MT" w:hAnsi="Gill Sans MT"/>
        </w:rPr>
        <w:t xml:space="preserve"> January 2018), [91].</w:t>
      </w:r>
    </w:p>
  </w:footnote>
  <w:footnote w:id="115">
    <w:p w14:paraId="68C9EAF6" w14:textId="2891657B" w:rsidR="00883007" w:rsidRPr="00B26DBF"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Ibid</w:t>
      </w:r>
      <w:r w:rsidR="00FB7B09">
        <w:rPr>
          <w:rFonts w:ascii="Gill Sans MT" w:hAnsi="Gill Sans MT"/>
        </w:rPr>
        <w:t>,</w:t>
      </w:r>
      <w:r w:rsidRPr="00B26DBF">
        <w:rPr>
          <w:rFonts w:ascii="Gill Sans MT" w:hAnsi="Gill Sans MT"/>
        </w:rPr>
        <w:t xml:space="preserve"> [96].</w:t>
      </w:r>
    </w:p>
  </w:footnote>
  <w:footnote w:id="116">
    <w:p w14:paraId="7129810E" w14:textId="0CC480AA" w:rsidR="00883007" w:rsidRPr="00962640"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w:t>
      </w:r>
      <w:r w:rsidRPr="00962640">
        <w:rPr>
          <w:rFonts w:ascii="Gill Sans MT" w:hAnsi="Gill Sans MT"/>
        </w:rPr>
        <w:t>E</w:t>
      </w:r>
      <w:r w:rsidR="00FB7B09" w:rsidRPr="00962640">
        <w:rPr>
          <w:rFonts w:ascii="Gill Sans MT" w:hAnsi="Gill Sans MT"/>
        </w:rPr>
        <w:t xml:space="preserve">uropean </w:t>
      </w:r>
      <w:r w:rsidRPr="00962640">
        <w:rPr>
          <w:rFonts w:ascii="Gill Sans MT" w:hAnsi="Gill Sans MT"/>
        </w:rPr>
        <w:t>U</w:t>
      </w:r>
      <w:r w:rsidR="00FB7B09" w:rsidRPr="00962640">
        <w:rPr>
          <w:rFonts w:ascii="Gill Sans MT" w:hAnsi="Gill Sans MT"/>
        </w:rPr>
        <w:t>nion</w:t>
      </w:r>
      <w:r w:rsidRPr="00962640">
        <w:rPr>
          <w:rFonts w:ascii="Gill Sans MT" w:hAnsi="Gill Sans MT"/>
        </w:rPr>
        <w:t xml:space="preserve"> </w:t>
      </w:r>
      <w:r w:rsidR="00FB7B09" w:rsidRPr="00962640">
        <w:rPr>
          <w:rFonts w:ascii="Gill Sans MT" w:hAnsi="Gill Sans MT"/>
        </w:rPr>
        <w:t>(Withdrawal)</w:t>
      </w:r>
      <w:r w:rsidRPr="00962640">
        <w:rPr>
          <w:rFonts w:ascii="Gill Sans MT" w:hAnsi="Gill Sans MT"/>
        </w:rPr>
        <w:t xml:space="preserve"> Bill</w:t>
      </w:r>
      <w:r w:rsidR="00FB7B09" w:rsidRPr="00962640">
        <w:rPr>
          <w:rFonts w:ascii="Gill Sans MT" w:hAnsi="Gill Sans MT"/>
        </w:rPr>
        <w:t>,</w:t>
      </w:r>
      <w:r w:rsidRPr="00962640">
        <w:rPr>
          <w:rFonts w:ascii="Gill Sans MT" w:hAnsi="Gill Sans MT"/>
        </w:rPr>
        <w:t xml:space="preserve"> cl.</w:t>
      </w:r>
      <w:r w:rsidR="00FB7B09" w:rsidRPr="00962640">
        <w:rPr>
          <w:rFonts w:ascii="Gill Sans MT" w:hAnsi="Gill Sans MT"/>
        </w:rPr>
        <w:t xml:space="preserve"> </w:t>
      </w:r>
      <w:r w:rsidRPr="00962640">
        <w:rPr>
          <w:rFonts w:ascii="Gill Sans MT" w:hAnsi="Gill Sans MT"/>
        </w:rPr>
        <w:t>6(</w:t>
      </w:r>
      <w:proofErr w:type="gramStart"/>
      <w:r w:rsidRPr="00962640">
        <w:rPr>
          <w:rFonts w:ascii="Gill Sans MT" w:hAnsi="Gill Sans MT"/>
        </w:rPr>
        <w:t>1)&amp;</w:t>
      </w:r>
      <w:proofErr w:type="gramEnd"/>
      <w:r w:rsidRPr="00962640">
        <w:rPr>
          <w:rFonts w:ascii="Gill Sans MT" w:hAnsi="Gill Sans MT"/>
        </w:rPr>
        <w:t>(3).</w:t>
      </w:r>
    </w:p>
  </w:footnote>
  <w:footnote w:id="117">
    <w:p w14:paraId="70431320" w14:textId="62FC8699" w:rsidR="00883007" w:rsidRPr="00962640" w:rsidRDefault="00883007">
      <w:pPr>
        <w:pStyle w:val="FootnoteText"/>
        <w:rPr>
          <w:rFonts w:ascii="Gill Sans MT" w:hAnsi="Gill Sans MT"/>
        </w:rPr>
      </w:pPr>
      <w:r w:rsidRPr="00962640">
        <w:rPr>
          <w:rStyle w:val="FootnoteReference"/>
          <w:rFonts w:ascii="Gill Sans MT" w:hAnsi="Gill Sans MT"/>
        </w:rPr>
        <w:footnoteRef/>
      </w:r>
      <w:r w:rsidRPr="00962640">
        <w:rPr>
          <w:rFonts w:ascii="Gill Sans MT" w:hAnsi="Gill Sans MT"/>
        </w:rPr>
        <w:t xml:space="preserve"> </w:t>
      </w:r>
      <w:r w:rsidR="00FB7B09" w:rsidRPr="00962640">
        <w:rPr>
          <w:rFonts w:ascii="Gill Sans MT" w:hAnsi="Gill Sans MT"/>
        </w:rPr>
        <w:t>Ibid,</w:t>
      </w:r>
      <w:r w:rsidRPr="00962640">
        <w:rPr>
          <w:rFonts w:ascii="Gill Sans MT" w:hAnsi="Gill Sans MT"/>
        </w:rPr>
        <w:t xml:space="preserve"> cl.</w:t>
      </w:r>
      <w:r w:rsidR="00FB7B09" w:rsidRPr="00962640">
        <w:rPr>
          <w:rFonts w:ascii="Gill Sans MT" w:hAnsi="Gill Sans MT"/>
        </w:rPr>
        <w:t xml:space="preserve"> </w:t>
      </w:r>
      <w:r w:rsidRPr="00962640">
        <w:rPr>
          <w:rFonts w:ascii="Gill Sans MT" w:hAnsi="Gill Sans MT"/>
        </w:rPr>
        <w:t>6(2).</w:t>
      </w:r>
    </w:p>
  </w:footnote>
  <w:footnote w:id="118">
    <w:p w14:paraId="226B01A9" w14:textId="72DF9D5D" w:rsidR="00883007" w:rsidRPr="00962640" w:rsidRDefault="00883007">
      <w:pPr>
        <w:pStyle w:val="FootnoteText"/>
        <w:rPr>
          <w:rFonts w:ascii="Gill Sans MT" w:hAnsi="Gill Sans MT"/>
        </w:rPr>
      </w:pPr>
      <w:r w:rsidRPr="00962640">
        <w:rPr>
          <w:rStyle w:val="FootnoteReference"/>
          <w:rFonts w:ascii="Gill Sans MT" w:hAnsi="Gill Sans MT"/>
        </w:rPr>
        <w:footnoteRef/>
      </w:r>
      <w:r w:rsidRPr="00962640">
        <w:rPr>
          <w:rFonts w:ascii="Gill Sans MT" w:hAnsi="Gill Sans MT"/>
        </w:rPr>
        <w:t xml:space="preserve"> </w:t>
      </w:r>
      <w:r w:rsidR="00FB7B09" w:rsidRPr="00962640">
        <w:rPr>
          <w:rFonts w:ascii="Gill Sans MT" w:hAnsi="Gill Sans MT"/>
        </w:rPr>
        <w:t>Ibid,</w:t>
      </w:r>
      <w:r w:rsidRPr="00962640">
        <w:rPr>
          <w:rFonts w:ascii="Gill Sans MT" w:hAnsi="Gill Sans MT"/>
        </w:rPr>
        <w:t xml:space="preserve"> cl.</w:t>
      </w:r>
      <w:r w:rsidR="00962640">
        <w:rPr>
          <w:rFonts w:ascii="Gill Sans MT" w:hAnsi="Gill Sans MT"/>
        </w:rPr>
        <w:t xml:space="preserve"> </w:t>
      </w:r>
      <w:r w:rsidRPr="00962640">
        <w:rPr>
          <w:rFonts w:ascii="Gill Sans MT" w:hAnsi="Gill Sans MT"/>
        </w:rPr>
        <w:t>6(</w:t>
      </w:r>
      <w:proofErr w:type="gramStart"/>
      <w:r w:rsidRPr="00962640">
        <w:rPr>
          <w:rFonts w:ascii="Gill Sans MT" w:hAnsi="Gill Sans MT"/>
        </w:rPr>
        <w:t>4)&amp;</w:t>
      </w:r>
      <w:proofErr w:type="gramEnd"/>
      <w:r w:rsidRPr="00962640">
        <w:rPr>
          <w:rFonts w:ascii="Gill Sans MT" w:hAnsi="Gill Sans MT"/>
        </w:rPr>
        <w:t>(5).</w:t>
      </w:r>
    </w:p>
  </w:footnote>
  <w:footnote w:id="119">
    <w:p w14:paraId="0C3C4BE6" w14:textId="5EDBF141" w:rsidR="00883007" w:rsidRPr="00962640" w:rsidRDefault="00883007">
      <w:pPr>
        <w:pStyle w:val="FootnoteText"/>
        <w:rPr>
          <w:rFonts w:ascii="Gill Sans MT" w:hAnsi="Gill Sans MT"/>
        </w:rPr>
      </w:pPr>
      <w:r w:rsidRPr="00962640">
        <w:rPr>
          <w:rStyle w:val="FootnoteReference"/>
          <w:rFonts w:ascii="Gill Sans MT" w:hAnsi="Gill Sans MT"/>
        </w:rPr>
        <w:footnoteRef/>
      </w:r>
      <w:r w:rsidRPr="00962640">
        <w:rPr>
          <w:rFonts w:ascii="Gill Sans MT" w:hAnsi="Gill Sans MT"/>
        </w:rPr>
        <w:t xml:space="preserve"> </w:t>
      </w:r>
      <w:r w:rsidR="00FB7B09" w:rsidRPr="00962640">
        <w:rPr>
          <w:rFonts w:ascii="Gill Sans MT" w:hAnsi="Gill Sans MT"/>
        </w:rPr>
        <w:t xml:space="preserve">See </w:t>
      </w:r>
      <w:proofErr w:type="spellStart"/>
      <w:r w:rsidR="00FB7B09" w:rsidRPr="00962640">
        <w:rPr>
          <w:rFonts w:ascii="Gill Sans MT" w:hAnsi="Gill Sans MT"/>
        </w:rPr>
        <w:t>eg</w:t>
      </w:r>
      <w:proofErr w:type="spellEnd"/>
      <w:r w:rsidR="00FB7B09" w:rsidRPr="00962640">
        <w:rPr>
          <w:rFonts w:ascii="Gill Sans MT" w:hAnsi="Gill Sans MT"/>
        </w:rPr>
        <w:t xml:space="preserve"> T Horsley, ‘</w:t>
      </w:r>
      <w:r w:rsidR="00FB7B09" w:rsidRPr="00962640">
        <w:rPr>
          <w:rFonts w:ascii="Gill Sans MT" w:hAnsi="Gill Sans MT"/>
          <w:bCs/>
          <w:color w:val="000000"/>
        </w:rPr>
        <w:t>In (Domestic) Courts We Trust: The European Union (Withdrawal) Bill and The Interpretation of Retained EU Law</w:t>
      </w:r>
      <w:r w:rsidR="00962640">
        <w:rPr>
          <w:rFonts w:ascii="Gill Sans MT" w:hAnsi="Gill Sans MT"/>
          <w:bCs/>
          <w:color w:val="000000"/>
        </w:rPr>
        <w:t xml:space="preserve">’, </w:t>
      </w:r>
      <w:r w:rsidR="00962640">
        <w:rPr>
          <w:rFonts w:ascii="Gill Sans MT" w:hAnsi="Gill Sans MT"/>
          <w:bCs/>
          <w:i/>
          <w:color w:val="000000"/>
        </w:rPr>
        <w:t xml:space="preserve">UK Constitutional Law Association Blog </w:t>
      </w:r>
      <w:r w:rsidR="00962640">
        <w:rPr>
          <w:rFonts w:ascii="Gill Sans MT" w:hAnsi="Gill Sans MT"/>
          <w:bCs/>
          <w:color w:val="000000"/>
        </w:rPr>
        <w:t>(27 November 2017)</w:t>
      </w:r>
      <w:r w:rsidR="00FB7B09" w:rsidRPr="00962640">
        <w:rPr>
          <w:rFonts w:ascii="Gill Sans MT" w:hAnsi="Gill Sans MT"/>
        </w:rPr>
        <w:t xml:space="preserve">: </w:t>
      </w:r>
      <w:hyperlink r:id="rId17" w:history="1">
        <w:r w:rsidR="00962640" w:rsidRPr="000331B2">
          <w:rPr>
            <w:rStyle w:val="Hyperlink"/>
            <w:rFonts w:ascii="Gill Sans MT" w:hAnsi="Gill Sans MT"/>
          </w:rPr>
          <w:t>https://ukconstitutionallaw.org/2017/11/27/thomas-horsley-in-domestic-courts-we-trust-the-european-union-withdrawal-bill-and-the-interpretation-of-retained-eu-law/</w:t>
        </w:r>
      </w:hyperlink>
      <w:r w:rsidR="00FB7B09" w:rsidRPr="00962640">
        <w:rPr>
          <w:rFonts w:ascii="Gill Sans MT" w:hAnsi="Gill Sans MT"/>
        </w:rPr>
        <w:t>.</w:t>
      </w:r>
    </w:p>
  </w:footnote>
  <w:footnote w:id="120">
    <w:p w14:paraId="5045157B" w14:textId="0B0B142F" w:rsidR="00883007" w:rsidRPr="00962640" w:rsidRDefault="00883007">
      <w:pPr>
        <w:pStyle w:val="FootnoteText"/>
        <w:rPr>
          <w:rFonts w:ascii="Gill Sans MT" w:hAnsi="Gill Sans MT"/>
        </w:rPr>
      </w:pPr>
      <w:r w:rsidRPr="00962640">
        <w:rPr>
          <w:rStyle w:val="FootnoteReference"/>
          <w:rFonts w:ascii="Gill Sans MT" w:hAnsi="Gill Sans MT"/>
        </w:rPr>
        <w:footnoteRef/>
      </w:r>
      <w:r w:rsidRPr="00962640">
        <w:rPr>
          <w:rFonts w:ascii="Gill Sans MT" w:hAnsi="Gill Sans MT"/>
        </w:rPr>
        <w:t xml:space="preserve"> E</w:t>
      </w:r>
      <w:r w:rsidR="00962640">
        <w:rPr>
          <w:rFonts w:ascii="Gill Sans MT" w:hAnsi="Gill Sans MT"/>
        </w:rPr>
        <w:t xml:space="preserve">uropean </w:t>
      </w:r>
      <w:r w:rsidRPr="00962640">
        <w:rPr>
          <w:rFonts w:ascii="Gill Sans MT" w:hAnsi="Gill Sans MT"/>
        </w:rPr>
        <w:t>C</w:t>
      </w:r>
      <w:r w:rsidR="00962640">
        <w:rPr>
          <w:rFonts w:ascii="Gill Sans MT" w:hAnsi="Gill Sans MT"/>
        </w:rPr>
        <w:t xml:space="preserve">ommunities </w:t>
      </w:r>
      <w:r w:rsidRPr="00962640">
        <w:rPr>
          <w:rFonts w:ascii="Gill Sans MT" w:hAnsi="Gill Sans MT"/>
        </w:rPr>
        <w:t>A</w:t>
      </w:r>
      <w:r w:rsidR="00962640">
        <w:rPr>
          <w:rFonts w:ascii="Gill Sans MT" w:hAnsi="Gill Sans MT"/>
        </w:rPr>
        <w:t>ct</w:t>
      </w:r>
      <w:r w:rsidRPr="00962640">
        <w:rPr>
          <w:rFonts w:ascii="Gill Sans MT" w:hAnsi="Gill Sans MT"/>
        </w:rPr>
        <w:t xml:space="preserve"> 1972, s.</w:t>
      </w:r>
      <w:r w:rsidR="00962640">
        <w:rPr>
          <w:rFonts w:ascii="Gill Sans MT" w:hAnsi="Gill Sans MT"/>
        </w:rPr>
        <w:t xml:space="preserve"> </w:t>
      </w:r>
      <w:r w:rsidRPr="00962640">
        <w:rPr>
          <w:rFonts w:ascii="Gill Sans MT" w:hAnsi="Gill Sans MT"/>
        </w:rPr>
        <w:t>3.</w:t>
      </w:r>
    </w:p>
  </w:footnote>
  <w:footnote w:id="121">
    <w:p w14:paraId="16E21B83" w14:textId="334ED8CA" w:rsidR="00883007" w:rsidRPr="00B26DBF"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H</w:t>
      </w:r>
      <w:r w:rsidR="00962640">
        <w:rPr>
          <w:rFonts w:ascii="Gill Sans MT" w:hAnsi="Gill Sans MT"/>
        </w:rPr>
        <w:t xml:space="preserve">uman </w:t>
      </w:r>
      <w:r w:rsidRPr="00B26DBF">
        <w:rPr>
          <w:rFonts w:ascii="Gill Sans MT" w:hAnsi="Gill Sans MT"/>
        </w:rPr>
        <w:t>R</w:t>
      </w:r>
      <w:r w:rsidR="00962640">
        <w:rPr>
          <w:rFonts w:ascii="Gill Sans MT" w:hAnsi="Gill Sans MT"/>
        </w:rPr>
        <w:t xml:space="preserve">ights </w:t>
      </w:r>
      <w:r w:rsidRPr="00B26DBF">
        <w:rPr>
          <w:rFonts w:ascii="Gill Sans MT" w:hAnsi="Gill Sans MT"/>
        </w:rPr>
        <w:t>A</w:t>
      </w:r>
      <w:r w:rsidR="00962640">
        <w:rPr>
          <w:rFonts w:ascii="Gill Sans MT" w:hAnsi="Gill Sans MT"/>
        </w:rPr>
        <w:t>ct</w:t>
      </w:r>
      <w:r w:rsidRPr="00B26DBF">
        <w:rPr>
          <w:rFonts w:ascii="Gill Sans MT" w:hAnsi="Gill Sans MT"/>
        </w:rPr>
        <w:t xml:space="preserve"> 1998, s.</w:t>
      </w:r>
      <w:r w:rsidR="00962640">
        <w:rPr>
          <w:rFonts w:ascii="Gill Sans MT" w:hAnsi="Gill Sans MT"/>
        </w:rPr>
        <w:t xml:space="preserve"> </w:t>
      </w:r>
      <w:r w:rsidRPr="00B26DBF">
        <w:rPr>
          <w:rFonts w:ascii="Gill Sans MT" w:hAnsi="Gill Sans MT"/>
        </w:rPr>
        <w:t>2.</w:t>
      </w:r>
    </w:p>
  </w:footnote>
  <w:footnote w:id="122">
    <w:p w14:paraId="6B4C40AB" w14:textId="4CE1D6BC" w:rsidR="00883007" w:rsidRPr="001D1734"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w:t>
      </w:r>
      <w:r w:rsidR="001D1734">
        <w:rPr>
          <w:rFonts w:ascii="Gill Sans MT" w:hAnsi="Gill Sans MT"/>
        </w:rPr>
        <w:t xml:space="preserve">See </w:t>
      </w:r>
      <w:proofErr w:type="spellStart"/>
      <w:r w:rsidR="001D1734">
        <w:rPr>
          <w:rFonts w:ascii="Gill Sans MT" w:hAnsi="Gill Sans MT"/>
        </w:rPr>
        <w:t>eg</w:t>
      </w:r>
      <w:proofErr w:type="spellEnd"/>
      <w:r w:rsidR="001D1734">
        <w:rPr>
          <w:rFonts w:ascii="Gill Sans MT" w:hAnsi="Gill Sans MT"/>
        </w:rPr>
        <w:t xml:space="preserve"> the widely reported comments of the former President of the Supreme Court; ‘UK judges need more clarity after Brexit – Lord Neuberger’, </w:t>
      </w:r>
      <w:r w:rsidR="001D1734">
        <w:rPr>
          <w:rFonts w:ascii="Gill Sans MT" w:hAnsi="Gill Sans MT"/>
          <w:i/>
        </w:rPr>
        <w:t>BBC News</w:t>
      </w:r>
      <w:r w:rsidR="001D1734">
        <w:rPr>
          <w:rFonts w:ascii="Gill Sans MT" w:hAnsi="Gill Sans MT"/>
        </w:rPr>
        <w:t xml:space="preserve"> (8 August 2017): </w:t>
      </w:r>
      <w:hyperlink r:id="rId18" w:history="1">
        <w:r w:rsidR="001D1734" w:rsidRPr="000331B2">
          <w:rPr>
            <w:rStyle w:val="Hyperlink"/>
            <w:rFonts w:ascii="Gill Sans MT" w:hAnsi="Gill Sans MT"/>
          </w:rPr>
          <w:t>http://www.bbc.co.uk/news/uk-40855526</w:t>
        </w:r>
      </w:hyperlink>
      <w:r w:rsidR="001D1734">
        <w:rPr>
          <w:rFonts w:ascii="Gill Sans MT" w:hAnsi="Gill Sans MT"/>
        </w:rPr>
        <w:t xml:space="preserve">.  See also evidence to the House of Lords Constitution Committee of Baroness Hale and Lord </w:t>
      </w:r>
      <w:proofErr w:type="spellStart"/>
      <w:r w:rsidR="001D1734">
        <w:rPr>
          <w:rFonts w:ascii="Gill Sans MT" w:hAnsi="Gill Sans MT"/>
        </w:rPr>
        <w:t>Mance</w:t>
      </w:r>
      <w:proofErr w:type="spellEnd"/>
      <w:r w:rsidR="001D1734">
        <w:rPr>
          <w:rFonts w:ascii="Gill Sans MT" w:hAnsi="Gill Sans MT"/>
        </w:rPr>
        <w:t xml:space="preserve">; ‘Uncorrected Oral Evidence: President and Deputy President of the Supreme Court’ (21 March 2018), 1-5: </w:t>
      </w:r>
      <w:hyperlink r:id="rId19" w:history="1">
        <w:r w:rsidR="001D1734" w:rsidRPr="000331B2">
          <w:rPr>
            <w:rStyle w:val="Hyperlink"/>
            <w:rFonts w:ascii="Gill Sans MT" w:hAnsi="Gill Sans MT"/>
          </w:rPr>
          <w:t>http://data.parliament.uk/writtenevidence/committeeevidence.svc/evidencedocument/constitution-committee/president-and-deputy-president-of-the-supreme-court/oral/80805.pdf</w:t>
        </w:r>
      </w:hyperlink>
      <w:r w:rsidR="001D1734">
        <w:rPr>
          <w:rFonts w:ascii="Gill Sans MT" w:hAnsi="Gill Sans MT"/>
        </w:rPr>
        <w:t xml:space="preserve">. </w:t>
      </w:r>
    </w:p>
  </w:footnote>
  <w:footnote w:id="123">
    <w:p w14:paraId="331D0099" w14:textId="2210F3CC" w:rsidR="00883007" w:rsidRPr="00B26DBF"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See above p</w:t>
      </w:r>
      <w:r w:rsidR="00B236E1">
        <w:rPr>
          <w:rFonts w:ascii="Gill Sans MT" w:hAnsi="Gill Sans MT"/>
        </w:rPr>
        <w:t>.13-16</w:t>
      </w:r>
      <w:r w:rsidRPr="00B26DBF">
        <w:rPr>
          <w:rFonts w:ascii="Gill Sans MT" w:hAnsi="Gill Sans MT"/>
        </w:rPr>
        <w:t>.</w:t>
      </w:r>
    </w:p>
  </w:footnote>
  <w:footnote w:id="124">
    <w:p w14:paraId="2B9841A4" w14:textId="0330854D" w:rsidR="00883007" w:rsidRPr="00B26DBF"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w:t>
      </w:r>
      <w:r w:rsidR="00B236E1">
        <w:rPr>
          <w:rFonts w:ascii="Gill Sans MT" w:hAnsi="Gill Sans MT"/>
        </w:rPr>
        <w:t>See above n 39.</w:t>
      </w:r>
    </w:p>
  </w:footnote>
  <w:footnote w:id="125">
    <w:p w14:paraId="2D26BBAC" w14:textId="6E9D9F6E" w:rsidR="00883007" w:rsidRPr="00B26DBF"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E</w:t>
      </w:r>
      <w:r w:rsidR="00B236E1">
        <w:rPr>
          <w:rFonts w:ascii="Gill Sans MT" w:hAnsi="Gill Sans MT"/>
        </w:rPr>
        <w:t xml:space="preserve">uropean </w:t>
      </w:r>
      <w:r w:rsidRPr="00B26DBF">
        <w:rPr>
          <w:rFonts w:ascii="Gill Sans MT" w:hAnsi="Gill Sans MT"/>
        </w:rPr>
        <w:t>U</w:t>
      </w:r>
      <w:r w:rsidR="00B236E1">
        <w:rPr>
          <w:rFonts w:ascii="Gill Sans MT" w:hAnsi="Gill Sans MT"/>
        </w:rPr>
        <w:t>nion</w:t>
      </w:r>
      <w:r w:rsidRPr="00B26DBF">
        <w:rPr>
          <w:rFonts w:ascii="Gill Sans MT" w:hAnsi="Gill Sans MT"/>
        </w:rPr>
        <w:t xml:space="preserve"> </w:t>
      </w:r>
      <w:r w:rsidR="00B236E1">
        <w:rPr>
          <w:rFonts w:ascii="Gill Sans MT" w:hAnsi="Gill Sans MT"/>
        </w:rPr>
        <w:t>(</w:t>
      </w:r>
      <w:r w:rsidRPr="00B26DBF">
        <w:rPr>
          <w:rFonts w:ascii="Gill Sans MT" w:hAnsi="Gill Sans MT"/>
        </w:rPr>
        <w:t>Withdrawal</w:t>
      </w:r>
      <w:r w:rsidR="00B236E1">
        <w:rPr>
          <w:rFonts w:ascii="Gill Sans MT" w:hAnsi="Gill Sans MT"/>
        </w:rPr>
        <w:t>)</w:t>
      </w:r>
      <w:r w:rsidRPr="00B26DBF">
        <w:rPr>
          <w:rFonts w:ascii="Gill Sans MT" w:hAnsi="Gill Sans MT"/>
        </w:rPr>
        <w:t xml:space="preserve"> Bill, cl.</w:t>
      </w:r>
      <w:r w:rsidR="00B236E1">
        <w:rPr>
          <w:rFonts w:ascii="Gill Sans MT" w:hAnsi="Gill Sans MT"/>
        </w:rPr>
        <w:t xml:space="preserve"> </w:t>
      </w:r>
      <w:r w:rsidRPr="00B26DBF">
        <w:rPr>
          <w:rFonts w:ascii="Gill Sans MT" w:hAnsi="Gill Sans MT"/>
        </w:rPr>
        <w:t>11.</w:t>
      </w:r>
    </w:p>
  </w:footnote>
  <w:footnote w:id="126">
    <w:p w14:paraId="3D802F54" w14:textId="39B98DDB" w:rsidR="00883007" w:rsidRPr="005C5713"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w:t>
      </w:r>
      <w:r w:rsidR="00D912CD">
        <w:rPr>
          <w:rFonts w:ascii="Gill Sans MT" w:hAnsi="Gill Sans MT"/>
        </w:rPr>
        <w:t>For criticism, s</w:t>
      </w:r>
      <w:r w:rsidR="005C5713">
        <w:rPr>
          <w:rFonts w:ascii="Gill Sans MT" w:hAnsi="Gill Sans MT"/>
        </w:rPr>
        <w:t xml:space="preserve">ee </w:t>
      </w:r>
      <w:proofErr w:type="spellStart"/>
      <w:r w:rsidR="005C5713">
        <w:rPr>
          <w:rFonts w:ascii="Gill Sans MT" w:hAnsi="Gill Sans MT"/>
        </w:rPr>
        <w:t>eg</w:t>
      </w:r>
      <w:proofErr w:type="spellEnd"/>
      <w:r w:rsidR="005C5713">
        <w:rPr>
          <w:rFonts w:ascii="Gill Sans MT" w:hAnsi="Gill Sans MT"/>
        </w:rPr>
        <w:t xml:space="preserve"> Scottish Parliament Finance and Constitution Committee, </w:t>
      </w:r>
      <w:r w:rsidR="005C5713">
        <w:rPr>
          <w:rFonts w:ascii="Gill Sans MT" w:hAnsi="Gill Sans MT"/>
          <w:i/>
        </w:rPr>
        <w:t>European Union (Withdrawal) Bill Legislative Consent Motion – Interim Report</w:t>
      </w:r>
      <w:r w:rsidR="005C5713">
        <w:rPr>
          <w:rFonts w:ascii="Gill Sans MT" w:hAnsi="Gill Sans MT"/>
        </w:rPr>
        <w:t xml:space="preserve"> (SP Paper 255, 9 January 2018).</w:t>
      </w:r>
    </w:p>
  </w:footnote>
  <w:footnote w:id="127">
    <w:p w14:paraId="12026F40" w14:textId="7BF214C3" w:rsidR="00883007" w:rsidRPr="00D912CD"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w:t>
      </w:r>
      <w:r w:rsidR="00D912CD">
        <w:rPr>
          <w:rFonts w:ascii="Gill Sans MT" w:hAnsi="Gill Sans MT"/>
        </w:rPr>
        <w:t xml:space="preserve">As of the end of April 2018, agreement has been reached between the UK and Welsh governments, but not (yet) with the Scottish government, as to the areas currently governed by EU law in which UK frameworks will be required, and where the limitations on devolved competence will therefore be in place for a time-limited period, with </w:t>
      </w:r>
      <w:r w:rsidR="00D912CD" w:rsidRPr="00D912CD">
        <w:rPr>
          <w:rFonts w:ascii="Gill Sans MT" w:hAnsi="Gill Sans MT"/>
        </w:rPr>
        <w:t xml:space="preserve">relevant regulations established at the UK level subject (with some exceptions) to the consent of the devolved legislatures.  </w:t>
      </w:r>
      <w:r w:rsidR="00D912CD">
        <w:rPr>
          <w:rFonts w:ascii="Gill Sans MT" w:hAnsi="Gill Sans MT"/>
        </w:rPr>
        <w:t xml:space="preserve">There is currently no Northern Irish Executive in office to opt-in to this agreement, though it is open to one to do so in future.  </w:t>
      </w:r>
      <w:r w:rsidR="00D912CD" w:rsidRPr="00D912CD">
        <w:rPr>
          <w:rFonts w:ascii="Gill Sans MT" w:hAnsi="Gill Sans MT"/>
        </w:rPr>
        <w:t xml:space="preserve">See </w:t>
      </w:r>
      <w:r w:rsidR="00D912CD" w:rsidRPr="00D912CD">
        <w:rPr>
          <w:rFonts w:ascii="Gill Sans MT" w:hAnsi="Gill Sans MT"/>
          <w:i/>
        </w:rPr>
        <w:t>Intergovernmental Agreement on the European Union (Withdrawal) Bill and the Establishment of Common Frameworks</w:t>
      </w:r>
      <w:r w:rsidR="00D912CD">
        <w:rPr>
          <w:rFonts w:ascii="Gill Sans MT" w:hAnsi="Gill Sans MT"/>
        </w:rPr>
        <w:t xml:space="preserve"> (24 April 2018): </w:t>
      </w:r>
      <w:hyperlink r:id="rId20" w:history="1">
        <w:r w:rsidR="00D912CD" w:rsidRPr="000331B2">
          <w:rPr>
            <w:rStyle w:val="Hyperlink"/>
            <w:rFonts w:ascii="Gill Sans MT" w:hAnsi="Gill Sans MT"/>
          </w:rPr>
          <w:t>https://assets.publishing.service.gov.uk/government/uploads/system/uploads/attachment_data/file/702623/2018-04-24_UKG-DA_IGA_and_Memorandum.pdf</w:t>
        </w:r>
      </w:hyperlink>
      <w:r w:rsidR="00D912CD">
        <w:rPr>
          <w:rFonts w:ascii="Gill Sans MT" w:hAnsi="Gill Sans MT"/>
        </w:rPr>
        <w:t xml:space="preserve">. </w:t>
      </w:r>
    </w:p>
  </w:footnote>
  <w:footnote w:id="128">
    <w:p w14:paraId="32723490" w14:textId="6732F507" w:rsidR="00883007" w:rsidRPr="00B24231" w:rsidRDefault="00883007" w:rsidP="00DE1B48">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w:t>
      </w:r>
      <w:r w:rsidRPr="00B24231">
        <w:rPr>
          <w:rFonts w:ascii="Gill Sans MT" w:hAnsi="Gill Sans MT"/>
          <w:i/>
        </w:rPr>
        <w:t>Joint Report from the Negotiators of the European Union and the United Kingdom Government on Progress During Phase 1 of Negotiations under Article 50 TEU on the United Kingdom’s Orderly Withdrawal from the European Union</w:t>
      </w:r>
      <w:r w:rsidR="00B24231">
        <w:rPr>
          <w:rStyle w:val="Hyperlink"/>
          <w:rFonts w:ascii="Gill Sans MT" w:hAnsi="Gill Sans MT"/>
          <w:color w:val="auto"/>
          <w:u w:val="none"/>
        </w:rPr>
        <w:t xml:space="preserve">, </w:t>
      </w:r>
      <w:r w:rsidRPr="00B24231">
        <w:rPr>
          <w:rStyle w:val="Hyperlink"/>
          <w:rFonts w:ascii="Gill Sans MT" w:hAnsi="Gill Sans MT"/>
          <w:color w:val="auto"/>
          <w:u w:val="none"/>
        </w:rPr>
        <w:t>TF50 (2017) 19 – Commission to EU 27 (8 December 2017), [34]-[35].</w:t>
      </w:r>
    </w:p>
  </w:footnote>
  <w:footnote w:id="129">
    <w:p w14:paraId="5437C170" w14:textId="4F8F1468" w:rsidR="00883007" w:rsidRPr="00B26DBF"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Ibid</w:t>
      </w:r>
      <w:r w:rsidR="005C5A9F">
        <w:rPr>
          <w:rFonts w:ascii="Gill Sans MT" w:hAnsi="Gill Sans MT"/>
        </w:rPr>
        <w:t>,</w:t>
      </w:r>
      <w:r w:rsidRPr="00B26DBF">
        <w:rPr>
          <w:rFonts w:ascii="Gill Sans MT" w:hAnsi="Gill Sans MT"/>
        </w:rPr>
        <w:t xml:space="preserve"> [36].</w:t>
      </w:r>
    </w:p>
  </w:footnote>
  <w:footnote w:id="130">
    <w:p w14:paraId="25F51500" w14:textId="59C4477E" w:rsidR="00883007" w:rsidRPr="00B26DBF"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Northern Ireland Act 1998, s.1.</w:t>
      </w:r>
    </w:p>
  </w:footnote>
  <w:footnote w:id="131">
    <w:p w14:paraId="4159D6E3" w14:textId="1B6CDC43" w:rsidR="00883007" w:rsidRPr="00B26DBF"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w:t>
      </w:r>
      <w:r w:rsidR="005C5A9F">
        <w:rPr>
          <w:rFonts w:ascii="Gill Sans MT" w:hAnsi="Gill Sans MT"/>
        </w:rPr>
        <w:t>M</w:t>
      </w:r>
      <w:r w:rsidRPr="00B26DBF">
        <w:rPr>
          <w:rFonts w:ascii="Gill Sans MT" w:hAnsi="Gill Sans MT"/>
        </w:rPr>
        <w:t xml:space="preserve">ost obviously the obiter dicta of Maugham LJ in </w:t>
      </w:r>
      <w:r w:rsidR="005C5A9F" w:rsidRPr="00D229D1">
        <w:rPr>
          <w:rFonts w:ascii="Gill Sans MT" w:hAnsi="Gill Sans MT"/>
          <w:i/>
        </w:rPr>
        <w:t>Ellen Street Estates v Minister of Health</w:t>
      </w:r>
      <w:r w:rsidR="005C5A9F" w:rsidRPr="00D229D1">
        <w:rPr>
          <w:rFonts w:ascii="Gill Sans MT" w:hAnsi="Gill Sans MT"/>
        </w:rPr>
        <w:t xml:space="preserve"> [1934] 1 KB 590</w:t>
      </w:r>
      <w:r w:rsidR="005C5A9F">
        <w:rPr>
          <w:rFonts w:ascii="Gill Sans MT" w:hAnsi="Gill Sans MT"/>
        </w:rPr>
        <w:t>, 597.</w:t>
      </w:r>
    </w:p>
  </w:footnote>
  <w:footnote w:id="132">
    <w:p w14:paraId="616DB80A" w14:textId="0924287D" w:rsidR="00883007" w:rsidRPr="00B26DBF"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w:t>
      </w:r>
      <w:r w:rsidR="005C5A9F" w:rsidRPr="00DC192D">
        <w:rPr>
          <w:rFonts w:ascii="Gill Sans MT" w:hAnsi="Gill Sans MT"/>
        </w:rPr>
        <w:t>[2005] UKHL 56</w:t>
      </w:r>
      <w:r w:rsidR="005C5A9F">
        <w:rPr>
          <w:rFonts w:ascii="Gill Sans MT" w:hAnsi="Gill Sans MT"/>
        </w:rPr>
        <w:t>,</w:t>
      </w:r>
      <w:r w:rsidR="005C5A9F" w:rsidRPr="00DC192D">
        <w:rPr>
          <w:rFonts w:ascii="Gill Sans MT" w:hAnsi="Gill Sans MT"/>
        </w:rPr>
        <w:t xml:space="preserve"> [2006] 1 AC 262.</w:t>
      </w:r>
    </w:p>
  </w:footnote>
  <w:footnote w:id="133">
    <w:p w14:paraId="1380E511" w14:textId="7C0F06E4" w:rsidR="00883007" w:rsidRPr="00B26DBF"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w:t>
      </w:r>
      <w:r w:rsidR="005C5A9F" w:rsidRPr="000E4622">
        <w:rPr>
          <w:rFonts w:ascii="Gill Sans MT" w:hAnsi="Gill Sans MT"/>
          <w:i/>
        </w:rPr>
        <w:t>Wheeler v The Office of the Prime Minister</w:t>
      </w:r>
      <w:r w:rsidR="005C5A9F" w:rsidRPr="000E4622">
        <w:rPr>
          <w:rFonts w:ascii="Gill Sans MT" w:hAnsi="Gill Sans MT"/>
        </w:rPr>
        <w:t xml:space="preserve"> </w:t>
      </w:r>
      <w:r w:rsidR="005C5A9F" w:rsidRPr="000E4622">
        <w:rPr>
          <w:rFonts w:ascii="Gill Sans MT" w:hAnsi="Gill Sans MT"/>
          <w:bCs/>
        </w:rPr>
        <w:t>[2014] EWHC 3815 (Admin)</w:t>
      </w:r>
      <w:r w:rsidR="005C5A9F">
        <w:rPr>
          <w:rFonts w:ascii="Gill Sans MT" w:hAnsi="Gill Sans MT"/>
          <w:bCs/>
        </w:rPr>
        <w:t>.</w:t>
      </w:r>
    </w:p>
  </w:footnote>
  <w:footnote w:id="134">
    <w:p w14:paraId="0909A4FF" w14:textId="33A75A19" w:rsidR="00883007" w:rsidRPr="005C5A9F"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w:t>
      </w:r>
      <w:r w:rsidR="005C5A9F">
        <w:rPr>
          <w:rFonts w:ascii="Gill Sans MT" w:hAnsi="Gill Sans MT"/>
        </w:rPr>
        <w:t xml:space="preserve">See </w:t>
      </w:r>
      <w:proofErr w:type="spellStart"/>
      <w:r w:rsidR="005C5A9F">
        <w:rPr>
          <w:rFonts w:ascii="Gill Sans MT" w:hAnsi="Gill Sans MT"/>
        </w:rPr>
        <w:t>eg</w:t>
      </w:r>
      <w:proofErr w:type="spellEnd"/>
      <w:r w:rsidR="005C5A9F">
        <w:rPr>
          <w:rFonts w:ascii="Gill Sans MT" w:hAnsi="Gill Sans MT"/>
        </w:rPr>
        <w:t xml:space="preserve"> P </w:t>
      </w:r>
      <w:proofErr w:type="spellStart"/>
      <w:r w:rsidR="005C5A9F">
        <w:rPr>
          <w:rFonts w:ascii="Gill Sans MT" w:hAnsi="Gill Sans MT"/>
        </w:rPr>
        <w:t>Eleftheriadis</w:t>
      </w:r>
      <w:proofErr w:type="spellEnd"/>
      <w:r w:rsidR="005C5A9F">
        <w:rPr>
          <w:rFonts w:ascii="Gill Sans MT" w:hAnsi="Gill Sans MT"/>
        </w:rPr>
        <w:t xml:space="preserve">, ‘A New Referendum is a Constitutional Requirement’, </w:t>
      </w:r>
      <w:r w:rsidR="005C5A9F">
        <w:rPr>
          <w:rFonts w:ascii="Gill Sans MT" w:hAnsi="Gill Sans MT"/>
          <w:i/>
        </w:rPr>
        <w:t>Oxford Business Law Blog</w:t>
      </w:r>
      <w:r w:rsidR="005C5A9F">
        <w:rPr>
          <w:rFonts w:ascii="Gill Sans MT" w:hAnsi="Gill Sans MT"/>
        </w:rPr>
        <w:t xml:space="preserve"> (4 July 2016): </w:t>
      </w:r>
      <w:hyperlink r:id="rId21" w:history="1">
        <w:r w:rsidR="005C5A9F" w:rsidRPr="000331B2">
          <w:rPr>
            <w:rStyle w:val="Hyperlink"/>
            <w:rFonts w:ascii="Gill Sans MT" w:hAnsi="Gill Sans MT"/>
          </w:rPr>
          <w:t>https://www.law.ox.ac.uk/business-law-blog/blog/2016/07/new-referendum-constitutional-requirement</w:t>
        </w:r>
      </w:hyperlink>
      <w:r w:rsidR="005C5A9F">
        <w:rPr>
          <w:rFonts w:ascii="Gill Sans MT" w:hAnsi="Gill Sans MT"/>
        </w:rPr>
        <w:t>.</w:t>
      </w:r>
    </w:p>
  </w:footnote>
  <w:footnote w:id="135">
    <w:p w14:paraId="3A6AC362" w14:textId="26424C17" w:rsidR="00883007" w:rsidRPr="00B26DBF"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EU Act 2011, s.2.</w:t>
      </w:r>
    </w:p>
  </w:footnote>
  <w:footnote w:id="136">
    <w:p w14:paraId="37476EC2" w14:textId="3D18E7FA" w:rsidR="00454C91" w:rsidRPr="00275302" w:rsidRDefault="00454C91" w:rsidP="00454C91">
      <w:pPr>
        <w:pStyle w:val="FootnoteText"/>
        <w:rPr>
          <w:rFonts w:ascii="Gill Sans MT" w:hAnsi="Gill Sans MT"/>
        </w:rPr>
      </w:pPr>
      <w:r w:rsidRPr="00275302">
        <w:rPr>
          <w:rStyle w:val="FootnoteReference"/>
          <w:rFonts w:ascii="Gill Sans MT" w:hAnsi="Gill Sans MT"/>
        </w:rPr>
        <w:footnoteRef/>
      </w:r>
      <w:r>
        <w:rPr>
          <w:rFonts w:ascii="Gill Sans MT" w:hAnsi="Gill Sans MT"/>
        </w:rPr>
        <w:t xml:space="preserve"> S</w:t>
      </w:r>
      <w:r w:rsidRPr="00275302">
        <w:rPr>
          <w:rFonts w:ascii="Gill Sans MT" w:hAnsi="Gill Sans MT"/>
        </w:rPr>
        <w:t xml:space="preserve">ee </w:t>
      </w:r>
      <w:proofErr w:type="spellStart"/>
      <w:r w:rsidRPr="00275302">
        <w:rPr>
          <w:rFonts w:ascii="Gill Sans MT" w:hAnsi="Gill Sans MT"/>
        </w:rPr>
        <w:t>eg</w:t>
      </w:r>
      <w:proofErr w:type="spellEnd"/>
      <w:r w:rsidRPr="00275302">
        <w:rPr>
          <w:rFonts w:ascii="Gill Sans MT" w:hAnsi="Gill Sans MT"/>
        </w:rPr>
        <w:t xml:space="preserve"> D Coffey, ‘</w:t>
      </w:r>
      <w:r w:rsidRPr="00275302">
        <w:rPr>
          <w:rFonts w:ascii="Gill Sans MT" w:hAnsi="Gill Sans MT" w:cs="Helvetica"/>
        </w:rPr>
        <w:t xml:space="preserve">Does UK Law Require a Referendum on the EU Withdrawal Agreement?’, </w:t>
      </w:r>
      <w:r w:rsidRPr="00275302">
        <w:rPr>
          <w:rFonts w:ascii="Gill Sans MT" w:hAnsi="Gill Sans MT" w:cs="Helvetica"/>
          <w:i/>
        </w:rPr>
        <w:t xml:space="preserve">European Futures </w:t>
      </w:r>
      <w:r w:rsidRPr="00275302">
        <w:rPr>
          <w:rFonts w:ascii="Gill Sans MT" w:hAnsi="Gill Sans MT" w:cs="Helvetica"/>
        </w:rPr>
        <w:t xml:space="preserve">(14 February 2018): </w:t>
      </w:r>
      <w:hyperlink r:id="rId22" w:history="1">
        <w:r w:rsidRPr="00275302">
          <w:rPr>
            <w:rStyle w:val="Hyperlink"/>
            <w:rFonts w:ascii="Gill Sans MT" w:hAnsi="Gill Sans MT" w:cs="Helvetica"/>
          </w:rPr>
          <w:t>http://www.europeanfutures.ed.ac.uk/article-6071</w:t>
        </w:r>
      </w:hyperlink>
      <w:r w:rsidRPr="00275302">
        <w:rPr>
          <w:rFonts w:ascii="Gill Sans MT" w:hAnsi="Gill Sans MT" w:cs="Helvetica"/>
        </w:rPr>
        <w:t>.</w:t>
      </w:r>
    </w:p>
  </w:footnote>
  <w:footnote w:id="137">
    <w:p w14:paraId="2D47EE2C" w14:textId="7CE2D448" w:rsidR="00883007" w:rsidRPr="00B26DBF" w:rsidRDefault="00883007">
      <w:pPr>
        <w:pStyle w:val="FootnoteText"/>
        <w:rPr>
          <w:rFonts w:ascii="Gill Sans MT" w:hAnsi="Gill Sans MT"/>
        </w:rPr>
      </w:pPr>
      <w:r w:rsidRPr="00275302">
        <w:rPr>
          <w:rStyle w:val="FootnoteReference"/>
          <w:rFonts w:ascii="Gill Sans MT" w:hAnsi="Gill Sans MT"/>
        </w:rPr>
        <w:footnoteRef/>
      </w:r>
      <w:r w:rsidRPr="00275302">
        <w:rPr>
          <w:rFonts w:ascii="Gill Sans MT" w:hAnsi="Gill Sans MT"/>
        </w:rPr>
        <w:t xml:space="preserve"> If this claim falls at the first stage, a secondary requirement under the EU</w:t>
      </w:r>
      <w:r w:rsidRPr="00B26DBF">
        <w:rPr>
          <w:rFonts w:ascii="Gill Sans MT" w:hAnsi="Gill Sans MT"/>
        </w:rPr>
        <w:t xml:space="preserve"> Act 2011, s.4, that a relevant treaty would need to have one of a range of substantive effects, would become irrelevant.  It seems likely that such a test would be met, in particular by satisfying one of the conditions in s.4(</w:t>
      </w:r>
      <w:proofErr w:type="spellStart"/>
      <w:r w:rsidRPr="00B26DBF">
        <w:rPr>
          <w:rFonts w:ascii="Gill Sans MT" w:hAnsi="Gill Sans MT"/>
        </w:rPr>
        <w:t>i</w:t>
      </w:r>
      <w:proofErr w:type="spellEnd"/>
      <w:r w:rsidRPr="00B26DBF">
        <w:rPr>
          <w:rFonts w:ascii="Gill Sans MT" w:hAnsi="Gill Sans MT"/>
        </w:rPr>
        <w:t>) or (j), as the Withdrawal Agreement will surely confer on an EU institution a power to impose a requirement, obligation or sanction on the UK.</w:t>
      </w:r>
    </w:p>
  </w:footnote>
  <w:footnote w:id="138">
    <w:p w14:paraId="2499E66D" w14:textId="7B6D4603" w:rsidR="00883007" w:rsidRPr="00B26DBF"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E</w:t>
      </w:r>
      <w:r w:rsidR="00926D2C">
        <w:rPr>
          <w:rFonts w:ascii="Gill Sans MT" w:hAnsi="Gill Sans MT"/>
        </w:rPr>
        <w:t>U (W)</w:t>
      </w:r>
      <w:r w:rsidRPr="00B26DBF">
        <w:rPr>
          <w:rFonts w:ascii="Gill Sans MT" w:hAnsi="Gill Sans MT"/>
        </w:rPr>
        <w:t xml:space="preserve"> Bill, </w:t>
      </w:r>
      <w:r w:rsidR="00926D2C">
        <w:rPr>
          <w:rFonts w:ascii="Gill Sans MT" w:hAnsi="Gill Sans MT"/>
        </w:rPr>
        <w:t>cl. 17(7) &amp; Schedule 9.</w:t>
      </w:r>
    </w:p>
  </w:footnote>
  <w:footnote w:id="139">
    <w:p w14:paraId="2C9703D6" w14:textId="790A6A9F" w:rsidR="00883007" w:rsidRPr="00B73545"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w:t>
      </w:r>
      <w:r w:rsidR="00926D2C">
        <w:rPr>
          <w:rFonts w:ascii="Gill Sans MT" w:hAnsi="Gill Sans MT"/>
        </w:rPr>
        <w:t xml:space="preserve">While not making this </w:t>
      </w:r>
      <w:r w:rsidR="00B73545">
        <w:rPr>
          <w:rFonts w:ascii="Gill Sans MT" w:hAnsi="Gill Sans MT"/>
        </w:rPr>
        <w:t xml:space="preserve">legal </w:t>
      </w:r>
      <w:r w:rsidR="00926D2C">
        <w:rPr>
          <w:rFonts w:ascii="Gill Sans MT" w:hAnsi="Gill Sans MT"/>
        </w:rPr>
        <w:t xml:space="preserve">claim, </w:t>
      </w:r>
      <w:proofErr w:type="spellStart"/>
      <w:r w:rsidR="00926D2C">
        <w:rPr>
          <w:rFonts w:ascii="Gill Sans MT" w:hAnsi="Gill Sans MT"/>
        </w:rPr>
        <w:t>Eleftheriadis</w:t>
      </w:r>
      <w:proofErr w:type="spellEnd"/>
      <w:r w:rsidR="00926D2C">
        <w:rPr>
          <w:rFonts w:ascii="Gill Sans MT" w:hAnsi="Gill Sans MT"/>
        </w:rPr>
        <w:t xml:space="preserve"> (n 13</w:t>
      </w:r>
      <w:r w:rsidR="00E607E3">
        <w:rPr>
          <w:rFonts w:ascii="Gill Sans MT" w:hAnsi="Gill Sans MT"/>
        </w:rPr>
        <w:t>4</w:t>
      </w:r>
      <w:r w:rsidR="00926D2C">
        <w:rPr>
          <w:rFonts w:ascii="Gill Sans MT" w:hAnsi="Gill Sans MT"/>
        </w:rPr>
        <w:t xml:space="preserve">) makes </w:t>
      </w:r>
      <w:r w:rsidR="00B73545">
        <w:rPr>
          <w:rFonts w:ascii="Gill Sans MT" w:hAnsi="Gill Sans MT"/>
        </w:rPr>
        <w:t>the</w:t>
      </w:r>
      <w:r w:rsidR="00926D2C">
        <w:rPr>
          <w:rFonts w:ascii="Gill Sans MT" w:hAnsi="Gill Sans MT"/>
        </w:rPr>
        <w:t xml:space="preserve"> related </w:t>
      </w:r>
      <w:r w:rsidR="00B73545">
        <w:rPr>
          <w:rFonts w:ascii="Gill Sans MT" w:hAnsi="Gill Sans MT"/>
        </w:rPr>
        <w:t xml:space="preserve">normative </w:t>
      </w:r>
      <w:r w:rsidR="00926D2C">
        <w:rPr>
          <w:rFonts w:ascii="Gill Sans MT" w:hAnsi="Gill Sans MT"/>
        </w:rPr>
        <w:t xml:space="preserve">argument that to ‘retrospectively change these terms after the referendum has taken place in order to circumvent the legal </w:t>
      </w:r>
      <w:r w:rsidR="00926D2C" w:rsidRPr="00B73545">
        <w:rPr>
          <w:rFonts w:ascii="Gill Sans MT" w:hAnsi="Gill Sans MT"/>
        </w:rPr>
        <w:t>obligation of a second referendum, will be rightly seen as constitutionally inappropriate’.</w:t>
      </w:r>
    </w:p>
  </w:footnote>
  <w:footnote w:id="140">
    <w:p w14:paraId="56E99A7A" w14:textId="2D9C3AF6" w:rsidR="00883007" w:rsidRPr="00B73545" w:rsidRDefault="00883007">
      <w:pPr>
        <w:pStyle w:val="FootnoteText"/>
        <w:rPr>
          <w:rFonts w:ascii="Gill Sans MT" w:hAnsi="Gill Sans MT"/>
        </w:rPr>
      </w:pPr>
      <w:r w:rsidRPr="00B73545">
        <w:rPr>
          <w:rStyle w:val="FootnoteReference"/>
          <w:rFonts w:ascii="Gill Sans MT" w:hAnsi="Gill Sans MT"/>
        </w:rPr>
        <w:footnoteRef/>
      </w:r>
      <w:r w:rsidRPr="00B73545">
        <w:rPr>
          <w:rFonts w:ascii="Gill Sans MT" w:hAnsi="Gill Sans MT"/>
        </w:rPr>
        <w:t xml:space="preserve"> </w:t>
      </w:r>
      <w:r w:rsidR="00B73545" w:rsidRPr="00B73545">
        <w:rPr>
          <w:rFonts w:ascii="Gill Sans MT" w:hAnsi="Gill Sans MT"/>
        </w:rPr>
        <w:t>[2005] UKHL 56, [2006] 1 AC 262</w:t>
      </w:r>
      <w:r w:rsidR="00B73545">
        <w:rPr>
          <w:rFonts w:ascii="Gill Sans MT" w:hAnsi="Gill Sans MT"/>
        </w:rPr>
        <w:t>;</w:t>
      </w:r>
      <w:r w:rsidR="00B73545" w:rsidRPr="00B73545">
        <w:rPr>
          <w:rFonts w:ascii="Gill Sans MT" w:hAnsi="Gill Sans MT"/>
        </w:rPr>
        <w:t xml:space="preserve"> see</w:t>
      </w:r>
      <w:r w:rsidR="00B73545">
        <w:rPr>
          <w:rFonts w:ascii="Gill Sans MT" w:hAnsi="Gill Sans MT"/>
        </w:rPr>
        <w:t xml:space="preserve"> </w:t>
      </w:r>
      <w:proofErr w:type="spellStart"/>
      <w:r w:rsidR="00B73545">
        <w:rPr>
          <w:rFonts w:ascii="Gill Sans MT" w:hAnsi="Gill Sans MT"/>
        </w:rPr>
        <w:t>eg</w:t>
      </w:r>
      <w:proofErr w:type="spellEnd"/>
      <w:r w:rsidR="00B73545" w:rsidRPr="00B73545">
        <w:rPr>
          <w:rFonts w:ascii="Gill Sans MT" w:hAnsi="Gill Sans MT"/>
        </w:rPr>
        <w:t xml:space="preserve"> </w:t>
      </w:r>
      <w:r w:rsidR="00B73545">
        <w:rPr>
          <w:rFonts w:ascii="Gill Sans MT" w:hAnsi="Gill Sans MT"/>
        </w:rPr>
        <w:t>[59] (</w:t>
      </w:r>
      <w:r w:rsidR="00B73545" w:rsidRPr="00B73545">
        <w:rPr>
          <w:rFonts w:ascii="Gill Sans MT" w:hAnsi="Gill Sans MT"/>
        </w:rPr>
        <w:t>Lord Nicholls</w:t>
      </w:r>
      <w:r w:rsidR="00B73545">
        <w:rPr>
          <w:rFonts w:ascii="Gill Sans MT" w:hAnsi="Gill Sans MT"/>
        </w:rPr>
        <w:t>).  This position was supported by Lords</w:t>
      </w:r>
      <w:r w:rsidR="00B73545" w:rsidRPr="00B73545">
        <w:rPr>
          <w:rFonts w:ascii="Gill Sans MT" w:hAnsi="Gill Sans MT"/>
        </w:rPr>
        <w:t xml:space="preserve"> Steyn, Hope, Carswell, Brown and Baroness Hale.</w:t>
      </w:r>
    </w:p>
  </w:footnote>
  <w:footnote w:id="141">
    <w:p w14:paraId="49EF635D" w14:textId="0F23C5CB" w:rsidR="00883007" w:rsidRPr="00B73545" w:rsidRDefault="00883007">
      <w:pPr>
        <w:pStyle w:val="FootnoteText"/>
        <w:rPr>
          <w:rFonts w:ascii="Gill Sans MT" w:hAnsi="Gill Sans MT"/>
        </w:rPr>
      </w:pPr>
      <w:r w:rsidRPr="00B73545">
        <w:rPr>
          <w:rStyle w:val="FootnoteReference"/>
          <w:rFonts w:ascii="Gill Sans MT" w:hAnsi="Gill Sans MT"/>
        </w:rPr>
        <w:footnoteRef/>
      </w:r>
      <w:r w:rsidRPr="00B73545">
        <w:rPr>
          <w:rFonts w:ascii="Gill Sans MT" w:hAnsi="Gill Sans MT"/>
        </w:rPr>
        <w:t xml:space="preserve"> Ibid, </w:t>
      </w:r>
      <w:r w:rsidR="00B73545">
        <w:rPr>
          <w:rFonts w:ascii="Gill Sans MT" w:hAnsi="Gill Sans MT"/>
        </w:rPr>
        <w:t>[32].</w:t>
      </w:r>
    </w:p>
  </w:footnote>
  <w:footnote w:id="142">
    <w:p w14:paraId="0953475D" w14:textId="6235DA31" w:rsidR="00883007" w:rsidRPr="00B73545" w:rsidRDefault="00883007">
      <w:pPr>
        <w:pStyle w:val="FootnoteText"/>
        <w:rPr>
          <w:rFonts w:ascii="Gill Sans MT" w:hAnsi="Gill Sans MT"/>
        </w:rPr>
      </w:pPr>
      <w:r w:rsidRPr="00B26DBF">
        <w:rPr>
          <w:rStyle w:val="FootnoteReference"/>
          <w:rFonts w:ascii="Gill Sans MT" w:hAnsi="Gill Sans MT"/>
        </w:rPr>
        <w:footnoteRef/>
      </w:r>
      <w:r w:rsidRPr="00B26DBF">
        <w:rPr>
          <w:rFonts w:ascii="Gill Sans MT" w:hAnsi="Gill Sans MT"/>
        </w:rPr>
        <w:t xml:space="preserve"> </w:t>
      </w:r>
      <w:r w:rsidR="00B73545">
        <w:rPr>
          <w:rFonts w:ascii="Gill Sans MT" w:hAnsi="Gill Sans MT"/>
        </w:rPr>
        <w:t xml:space="preserve">For suggestions to the contrary, see </w:t>
      </w:r>
      <w:proofErr w:type="spellStart"/>
      <w:r w:rsidR="00B73545" w:rsidRPr="00B73545">
        <w:rPr>
          <w:rFonts w:ascii="Gill Sans MT" w:hAnsi="Gill Sans MT"/>
        </w:rPr>
        <w:t>eg</w:t>
      </w:r>
      <w:proofErr w:type="spellEnd"/>
      <w:r w:rsidR="00B73545" w:rsidRPr="00B73545">
        <w:rPr>
          <w:rFonts w:ascii="Gill Sans MT" w:hAnsi="Gill Sans MT"/>
        </w:rPr>
        <w:t xml:space="preserve"> NW Barber, ‘The Afterlife of Parliamentary Sovereignty’ (2011) </w:t>
      </w:r>
      <w:r w:rsidR="00B73545" w:rsidRPr="00B73545">
        <w:rPr>
          <w:rFonts w:ascii="Gill Sans MT" w:hAnsi="Gill Sans MT"/>
          <w:i/>
        </w:rPr>
        <w:t>International Journal of Constitutional Law</w:t>
      </w:r>
      <w:r w:rsidR="00B73545" w:rsidRPr="00B73545">
        <w:rPr>
          <w:rFonts w:ascii="Gill Sans MT" w:hAnsi="Gill Sans MT"/>
        </w:rPr>
        <w:t xml:space="preserve"> 144</w:t>
      </w:r>
      <w:r w:rsidR="00B73545">
        <w:rPr>
          <w:rFonts w:ascii="Gill Sans MT" w:hAnsi="Gill Sans MT"/>
        </w:rPr>
        <w:t xml:space="preserve">; F Davis, ‘Brexit, the Statute of Westminster 1931 and Zombie Parliamentary Sovereignty’ (2016) </w:t>
      </w:r>
      <w:r w:rsidR="00B73545">
        <w:rPr>
          <w:rFonts w:ascii="Gill Sans MT" w:hAnsi="Gill Sans MT"/>
          <w:i/>
        </w:rPr>
        <w:t xml:space="preserve">King’s Law Journal </w:t>
      </w:r>
      <w:r w:rsidR="00B73545">
        <w:rPr>
          <w:rFonts w:ascii="Gill Sans MT" w:hAnsi="Gill Sans MT"/>
        </w:rPr>
        <w:t>344.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D42AE"/>
    <w:multiLevelType w:val="hybridMultilevel"/>
    <w:tmpl w:val="FE0CDE0A"/>
    <w:lvl w:ilvl="0" w:tplc="E5245CB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1045054"/>
    <w:multiLevelType w:val="hybridMultilevel"/>
    <w:tmpl w:val="6D48D4E6"/>
    <w:lvl w:ilvl="0" w:tplc="2CB6CEA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CA235A2"/>
    <w:multiLevelType w:val="hybridMultilevel"/>
    <w:tmpl w:val="1EFC0C4C"/>
    <w:lvl w:ilvl="0" w:tplc="48FEC89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DF"/>
    <w:rsid w:val="00003C80"/>
    <w:rsid w:val="00004E50"/>
    <w:rsid w:val="00006CF9"/>
    <w:rsid w:val="00011BBA"/>
    <w:rsid w:val="00014155"/>
    <w:rsid w:val="00014E88"/>
    <w:rsid w:val="000171C8"/>
    <w:rsid w:val="0002482E"/>
    <w:rsid w:val="00025058"/>
    <w:rsid w:val="00025D94"/>
    <w:rsid w:val="00031C8E"/>
    <w:rsid w:val="000331AE"/>
    <w:rsid w:val="0003551E"/>
    <w:rsid w:val="0004110C"/>
    <w:rsid w:val="0005029D"/>
    <w:rsid w:val="00050807"/>
    <w:rsid w:val="00055F76"/>
    <w:rsid w:val="000560F7"/>
    <w:rsid w:val="00065312"/>
    <w:rsid w:val="000714F9"/>
    <w:rsid w:val="0007589E"/>
    <w:rsid w:val="0007750B"/>
    <w:rsid w:val="0007761F"/>
    <w:rsid w:val="00082515"/>
    <w:rsid w:val="00085E65"/>
    <w:rsid w:val="000874B5"/>
    <w:rsid w:val="00087A95"/>
    <w:rsid w:val="00087BA3"/>
    <w:rsid w:val="00087D9D"/>
    <w:rsid w:val="00090864"/>
    <w:rsid w:val="00095C9E"/>
    <w:rsid w:val="000A1FE5"/>
    <w:rsid w:val="000A6D06"/>
    <w:rsid w:val="000B0E94"/>
    <w:rsid w:val="000B31BF"/>
    <w:rsid w:val="000B35AD"/>
    <w:rsid w:val="000B5B4B"/>
    <w:rsid w:val="000B7C7F"/>
    <w:rsid w:val="000C395C"/>
    <w:rsid w:val="000C417C"/>
    <w:rsid w:val="000C4CC9"/>
    <w:rsid w:val="000C6081"/>
    <w:rsid w:val="000D0CF0"/>
    <w:rsid w:val="000D1324"/>
    <w:rsid w:val="000D383A"/>
    <w:rsid w:val="000D50A2"/>
    <w:rsid w:val="000E36FF"/>
    <w:rsid w:val="000E4216"/>
    <w:rsid w:val="000E4622"/>
    <w:rsid w:val="000F3E10"/>
    <w:rsid w:val="000F7CAD"/>
    <w:rsid w:val="001018A6"/>
    <w:rsid w:val="00102A52"/>
    <w:rsid w:val="00105CC3"/>
    <w:rsid w:val="001067DB"/>
    <w:rsid w:val="001109D1"/>
    <w:rsid w:val="00111AA7"/>
    <w:rsid w:val="00122F33"/>
    <w:rsid w:val="0012478F"/>
    <w:rsid w:val="001252FF"/>
    <w:rsid w:val="00130093"/>
    <w:rsid w:val="00130BAC"/>
    <w:rsid w:val="00134A35"/>
    <w:rsid w:val="00135A0B"/>
    <w:rsid w:val="00137EBC"/>
    <w:rsid w:val="00141ADF"/>
    <w:rsid w:val="00141C16"/>
    <w:rsid w:val="00141C34"/>
    <w:rsid w:val="00142BFD"/>
    <w:rsid w:val="00146504"/>
    <w:rsid w:val="00147064"/>
    <w:rsid w:val="0015083C"/>
    <w:rsid w:val="00153A2B"/>
    <w:rsid w:val="00156D76"/>
    <w:rsid w:val="001662F1"/>
    <w:rsid w:val="00173F26"/>
    <w:rsid w:val="00174E6E"/>
    <w:rsid w:val="00181D74"/>
    <w:rsid w:val="00181DF2"/>
    <w:rsid w:val="00183740"/>
    <w:rsid w:val="00185B44"/>
    <w:rsid w:val="00186BB4"/>
    <w:rsid w:val="00187C23"/>
    <w:rsid w:val="001A0F8C"/>
    <w:rsid w:val="001A3837"/>
    <w:rsid w:val="001B29EA"/>
    <w:rsid w:val="001B41F5"/>
    <w:rsid w:val="001B62C7"/>
    <w:rsid w:val="001B746C"/>
    <w:rsid w:val="001C3B40"/>
    <w:rsid w:val="001C6F74"/>
    <w:rsid w:val="001D10B3"/>
    <w:rsid w:val="001D1734"/>
    <w:rsid w:val="001D189E"/>
    <w:rsid w:val="001D52FA"/>
    <w:rsid w:val="001E0FEE"/>
    <w:rsid w:val="001E1F6E"/>
    <w:rsid w:val="001E42AC"/>
    <w:rsid w:val="001E4948"/>
    <w:rsid w:val="001F79B3"/>
    <w:rsid w:val="00206B81"/>
    <w:rsid w:val="00206D3C"/>
    <w:rsid w:val="00207921"/>
    <w:rsid w:val="00211751"/>
    <w:rsid w:val="00213795"/>
    <w:rsid w:val="00222F6C"/>
    <w:rsid w:val="0022352B"/>
    <w:rsid w:val="002235AD"/>
    <w:rsid w:val="00225C9E"/>
    <w:rsid w:val="002261B3"/>
    <w:rsid w:val="0022670C"/>
    <w:rsid w:val="00226852"/>
    <w:rsid w:val="0022753B"/>
    <w:rsid w:val="00232316"/>
    <w:rsid w:val="00236B73"/>
    <w:rsid w:val="002370D7"/>
    <w:rsid w:val="00243B88"/>
    <w:rsid w:val="00247A33"/>
    <w:rsid w:val="002504F8"/>
    <w:rsid w:val="0025140E"/>
    <w:rsid w:val="002521F5"/>
    <w:rsid w:val="002527FD"/>
    <w:rsid w:val="00255601"/>
    <w:rsid w:val="00260B9A"/>
    <w:rsid w:val="002623A8"/>
    <w:rsid w:val="002726B4"/>
    <w:rsid w:val="00275302"/>
    <w:rsid w:val="00275DBF"/>
    <w:rsid w:val="002843E3"/>
    <w:rsid w:val="00285563"/>
    <w:rsid w:val="002861FE"/>
    <w:rsid w:val="002909C5"/>
    <w:rsid w:val="00294B9C"/>
    <w:rsid w:val="00297A49"/>
    <w:rsid w:val="002A5215"/>
    <w:rsid w:val="002B13C1"/>
    <w:rsid w:val="002B5520"/>
    <w:rsid w:val="002B6451"/>
    <w:rsid w:val="002B6CFC"/>
    <w:rsid w:val="002C0C23"/>
    <w:rsid w:val="002C0CF0"/>
    <w:rsid w:val="002C48C4"/>
    <w:rsid w:val="002C4982"/>
    <w:rsid w:val="002C4D24"/>
    <w:rsid w:val="002D24DA"/>
    <w:rsid w:val="002D45F8"/>
    <w:rsid w:val="002D565F"/>
    <w:rsid w:val="002E34B0"/>
    <w:rsid w:val="002E5166"/>
    <w:rsid w:val="002E517B"/>
    <w:rsid w:val="002E538D"/>
    <w:rsid w:val="002E5771"/>
    <w:rsid w:val="002E57F8"/>
    <w:rsid w:val="002E6804"/>
    <w:rsid w:val="002E6EE1"/>
    <w:rsid w:val="002F2251"/>
    <w:rsid w:val="002F25A3"/>
    <w:rsid w:val="002F3550"/>
    <w:rsid w:val="002F518E"/>
    <w:rsid w:val="00300664"/>
    <w:rsid w:val="003007E9"/>
    <w:rsid w:val="00302A4C"/>
    <w:rsid w:val="00302F31"/>
    <w:rsid w:val="003035CA"/>
    <w:rsid w:val="00304244"/>
    <w:rsid w:val="003051B9"/>
    <w:rsid w:val="00315711"/>
    <w:rsid w:val="00316096"/>
    <w:rsid w:val="00316898"/>
    <w:rsid w:val="00320628"/>
    <w:rsid w:val="00322CFD"/>
    <w:rsid w:val="003232F4"/>
    <w:rsid w:val="00332066"/>
    <w:rsid w:val="003323C6"/>
    <w:rsid w:val="00332E7F"/>
    <w:rsid w:val="00334227"/>
    <w:rsid w:val="00334A94"/>
    <w:rsid w:val="0033529E"/>
    <w:rsid w:val="003354BA"/>
    <w:rsid w:val="003370F9"/>
    <w:rsid w:val="00344606"/>
    <w:rsid w:val="00353AF5"/>
    <w:rsid w:val="00360A35"/>
    <w:rsid w:val="003640A3"/>
    <w:rsid w:val="00364795"/>
    <w:rsid w:val="003676B8"/>
    <w:rsid w:val="0037208D"/>
    <w:rsid w:val="0037330A"/>
    <w:rsid w:val="003764B6"/>
    <w:rsid w:val="0038077A"/>
    <w:rsid w:val="0038168C"/>
    <w:rsid w:val="00382428"/>
    <w:rsid w:val="003913A4"/>
    <w:rsid w:val="0039333B"/>
    <w:rsid w:val="00395E75"/>
    <w:rsid w:val="0039612B"/>
    <w:rsid w:val="003A0355"/>
    <w:rsid w:val="003A080C"/>
    <w:rsid w:val="003A25FF"/>
    <w:rsid w:val="003A2DAC"/>
    <w:rsid w:val="003A42A9"/>
    <w:rsid w:val="003A5409"/>
    <w:rsid w:val="003A6FC3"/>
    <w:rsid w:val="003A7114"/>
    <w:rsid w:val="003B06C2"/>
    <w:rsid w:val="003B1001"/>
    <w:rsid w:val="003B1814"/>
    <w:rsid w:val="003B5B3E"/>
    <w:rsid w:val="003D083E"/>
    <w:rsid w:val="003D678D"/>
    <w:rsid w:val="003F0A42"/>
    <w:rsid w:val="003F1331"/>
    <w:rsid w:val="003F6BE5"/>
    <w:rsid w:val="003F78B8"/>
    <w:rsid w:val="00402898"/>
    <w:rsid w:val="00404C69"/>
    <w:rsid w:val="0040751B"/>
    <w:rsid w:val="004122B7"/>
    <w:rsid w:val="00412E7E"/>
    <w:rsid w:val="0041318B"/>
    <w:rsid w:val="004135C5"/>
    <w:rsid w:val="00413974"/>
    <w:rsid w:val="0041453E"/>
    <w:rsid w:val="00416A15"/>
    <w:rsid w:val="00417917"/>
    <w:rsid w:val="00417FCD"/>
    <w:rsid w:val="00420CEE"/>
    <w:rsid w:val="00425D0B"/>
    <w:rsid w:val="00427CE5"/>
    <w:rsid w:val="0043188B"/>
    <w:rsid w:val="00433666"/>
    <w:rsid w:val="0043410C"/>
    <w:rsid w:val="00434FA2"/>
    <w:rsid w:val="00440DD7"/>
    <w:rsid w:val="00444F96"/>
    <w:rsid w:val="00445580"/>
    <w:rsid w:val="0044773F"/>
    <w:rsid w:val="00450473"/>
    <w:rsid w:val="00454C91"/>
    <w:rsid w:val="0045587D"/>
    <w:rsid w:val="00456AFE"/>
    <w:rsid w:val="00461055"/>
    <w:rsid w:val="00461A5D"/>
    <w:rsid w:val="004648E3"/>
    <w:rsid w:val="00472213"/>
    <w:rsid w:val="00472C6E"/>
    <w:rsid w:val="00474244"/>
    <w:rsid w:val="004754F2"/>
    <w:rsid w:val="00476083"/>
    <w:rsid w:val="00476F30"/>
    <w:rsid w:val="004776A3"/>
    <w:rsid w:val="004833BB"/>
    <w:rsid w:val="00483D9E"/>
    <w:rsid w:val="00487665"/>
    <w:rsid w:val="00491793"/>
    <w:rsid w:val="004977B6"/>
    <w:rsid w:val="004A43AF"/>
    <w:rsid w:val="004A476E"/>
    <w:rsid w:val="004A4815"/>
    <w:rsid w:val="004A6881"/>
    <w:rsid w:val="004A76AE"/>
    <w:rsid w:val="004A7F24"/>
    <w:rsid w:val="004B0DC7"/>
    <w:rsid w:val="004B54CE"/>
    <w:rsid w:val="004B797F"/>
    <w:rsid w:val="004C073A"/>
    <w:rsid w:val="004C358D"/>
    <w:rsid w:val="004C3F8C"/>
    <w:rsid w:val="004C750C"/>
    <w:rsid w:val="004D2D2E"/>
    <w:rsid w:val="004D3246"/>
    <w:rsid w:val="004E3D3C"/>
    <w:rsid w:val="004E40F2"/>
    <w:rsid w:val="004E675A"/>
    <w:rsid w:val="004E7B46"/>
    <w:rsid w:val="004F4F97"/>
    <w:rsid w:val="00500C65"/>
    <w:rsid w:val="00504F50"/>
    <w:rsid w:val="00510489"/>
    <w:rsid w:val="0051090F"/>
    <w:rsid w:val="00510C8D"/>
    <w:rsid w:val="0051109A"/>
    <w:rsid w:val="00511679"/>
    <w:rsid w:val="00511BCB"/>
    <w:rsid w:val="005129E9"/>
    <w:rsid w:val="00512E5F"/>
    <w:rsid w:val="00513FA7"/>
    <w:rsid w:val="0051770F"/>
    <w:rsid w:val="005240B7"/>
    <w:rsid w:val="00524522"/>
    <w:rsid w:val="00524772"/>
    <w:rsid w:val="005321DC"/>
    <w:rsid w:val="00533BA0"/>
    <w:rsid w:val="0053561C"/>
    <w:rsid w:val="005378C8"/>
    <w:rsid w:val="00537C05"/>
    <w:rsid w:val="00542588"/>
    <w:rsid w:val="005435F9"/>
    <w:rsid w:val="00547314"/>
    <w:rsid w:val="0054786F"/>
    <w:rsid w:val="005578E2"/>
    <w:rsid w:val="00561339"/>
    <w:rsid w:val="0056354F"/>
    <w:rsid w:val="00563877"/>
    <w:rsid w:val="00564E06"/>
    <w:rsid w:val="005672DD"/>
    <w:rsid w:val="00570D45"/>
    <w:rsid w:val="00572B15"/>
    <w:rsid w:val="005746E0"/>
    <w:rsid w:val="0057592E"/>
    <w:rsid w:val="005812CB"/>
    <w:rsid w:val="00582044"/>
    <w:rsid w:val="00587D96"/>
    <w:rsid w:val="0059152A"/>
    <w:rsid w:val="00591E71"/>
    <w:rsid w:val="005942C5"/>
    <w:rsid w:val="00594E49"/>
    <w:rsid w:val="005A36AE"/>
    <w:rsid w:val="005A5E54"/>
    <w:rsid w:val="005B0DD3"/>
    <w:rsid w:val="005B1554"/>
    <w:rsid w:val="005B4A9A"/>
    <w:rsid w:val="005C5713"/>
    <w:rsid w:val="005C5A9F"/>
    <w:rsid w:val="005C5D74"/>
    <w:rsid w:val="005D48D0"/>
    <w:rsid w:val="005D4901"/>
    <w:rsid w:val="005E25AB"/>
    <w:rsid w:val="005E3C75"/>
    <w:rsid w:val="005E577E"/>
    <w:rsid w:val="005F0A4D"/>
    <w:rsid w:val="005F57EA"/>
    <w:rsid w:val="005F731D"/>
    <w:rsid w:val="0060081F"/>
    <w:rsid w:val="00604713"/>
    <w:rsid w:val="006106A1"/>
    <w:rsid w:val="00611816"/>
    <w:rsid w:val="00611F38"/>
    <w:rsid w:val="0061234A"/>
    <w:rsid w:val="00613547"/>
    <w:rsid w:val="006140C4"/>
    <w:rsid w:val="006149BE"/>
    <w:rsid w:val="00616BD3"/>
    <w:rsid w:val="00616F46"/>
    <w:rsid w:val="00617870"/>
    <w:rsid w:val="00617C16"/>
    <w:rsid w:val="006203F6"/>
    <w:rsid w:val="00624DF4"/>
    <w:rsid w:val="006253F5"/>
    <w:rsid w:val="006263E8"/>
    <w:rsid w:val="006302BC"/>
    <w:rsid w:val="00634103"/>
    <w:rsid w:val="00642151"/>
    <w:rsid w:val="006438FE"/>
    <w:rsid w:val="00651177"/>
    <w:rsid w:val="0065266E"/>
    <w:rsid w:val="00657744"/>
    <w:rsid w:val="0065779B"/>
    <w:rsid w:val="00661229"/>
    <w:rsid w:val="00667436"/>
    <w:rsid w:val="006761CC"/>
    <w:rsid w:val="00683BC5"/>
    <w:rsid w:val="00685B40"/>
    <w:rsid w:val="006A0096"/>
    <w:rsid w:val="006B02AD"/>
    <w:rsid w:val="006B4981"/>
    <w:rsid w:val="006B61FD"/>
    <w:rsid w:val="006B6EB5"/>
    <w:rsid w:val="006B7F06"/>
    <w:rsid w:val="006C01B3"/>
    <w:rsid w:val="006C787F"/>
    <w:rsid w:val="006D4B31"/>
    <w:rsid w:val="006D567D"/>
    <w:rsid w:val="006D6379"/>
    <w:rsid w:val="006D72E1"/>
    <w:rsid w:val="006D74A7"/>
    <w:rsid w:val="006E1490"/>
    <w:rsid w:val="006E31E6"/>
    <w:rsid w:val="006E439B"/>
    <w:rsid w:val="006E4703"/>
    <w:rsid w:val="006E59FB"/>
    <w:rsid w:val="006E65B4"/>
    <w:rsid w:val="006E6923"/>
    <w:rsid w:val="006F071D"/>
    <w:rsid w:val="006F7022"/>
    <w:rsid w:val="006F7C0F"/>
    <w:rsid w:val="0070140A"/>
    <w:rsid w:val="00705CF5"/>
    <w:rsid w:val="007115BA"/>
    <w:rsid w:val="00712536"/>
    <w:rsid w:val="00715460"/>
    <w:rsid w:val="007228EC"/>
    <w:rsid w:val="00722DDB"/>
    <w:rsid w:val="007233F7"/>
    <w:rsid w:val="00723BB3"/>
    <w:rsid w:val="007265A5"/>
    <w:rsid w:val="00734046"/>
    <w:rsid w:val="007347C1"/>
    <w:rsid w:val="00741E0F"/>
    <w:rsid w:val="00743092"/>
    <w:rsid w:val="00743C91"/>
    <w:rsid w:val="00747EA1"/>
    <w:rsid w:val="00755A81"/>
    <w:rsid w:val="00763D22"/>
    <w:rsid w:val="007651D2"/>
    <w:rsid w:val="00765805"/>
    <w:rsid w:val="007725C7"/>
    <w:rsid w:val="00774A79"/>
    <w:rsid w:val="00782D3F"/>
    <w:rsid w:val="0078304F"/>
    <w:rsid w:val="007923E8"/>
    <w:rsid w:val="007939E4"/>
    <w:rsid w:val="0079407A"/>
    <w:rsid w:val="007A0767"/>
    <w:rsid w:val="007A1CC6"/>
    <w:rsid w:val="007A4D2C"/>
    <w:rsid w:val="007B1DA9"/>
    <w:rsid w:val="007B3C95"/>
    <w:rsid w:val="007B4112"/>
    <w:rsid w:val="007B48AC"/>
    <w:rsid w:val="007B4D08"/>
    <w:rsid w:val="007C44DE"/>
    <w:rsid w:val="007C517F"/>
    <w:rsid w:val="007D3FE0"/>
    <w:rsid w:val="007D41BE"/>
    <w:rsid w:val="007D445C"/>
    <w:rsid w:val="007D6199"/>
    <w:rsid w:val="007E6637"/>
    <w:rsid w:val="007F20F3"/>
    <w:rsid w:val="007F6E3B"/>
    <w:rsid w:val="00805A0D"/>
    <w:rsid w:val="008068DA"/>
    <w:rsid w:val="00821765"/>
    <w:rsid w:val="008239A0"/>
    <w:rsid w:val="00825658"/>
    <w:rsid w:val="0083175D"/>
    <w:rsid w:val="00832CD8"/>
    <w:rsid w:val="008347F4"/>
    <w:rsid w:val="00844E59"/>
    <w:rsid w:val="00845E26"/>
    <w:rsid w:val="0085125A"/>
    <w:rsid w:val="00851899"/>
    <w:rsid w:val="00852772"/>
    <w:rsid w:val="008613D7"/>
    <w:rsid w:val="008645AB"/>
    <w:rsid w:val="0086600A"/>
    <w:rsid w:val="008735F6"/>
    <w:rsid w:val="00875728"/>
    <w:rsid w:val="00876F77"/>
    <w:rsid w:val="0088222C"/>
    <w:rsid w:val="00883007"/>
    <w:rsid w:val="00885AD3"/>
    <w:rsid w:val="00890A59"/>
    <w:rsid w:val="00890F30"/>
    <w:rsid w:val="00891DD9"/>
    <w:rsid w:val="00894269"/>
    <w:rsid w:val="008A295D"/>
    <w:rsid w:val="008A6DA5"/>
    <w:rsid w:val="008B2C24"/>
    <w:rsid w:val="008B4148"/>
    <w:rsid w:val="008C48C8"/>
    <w:rsid w:val="008C7276"/>
    <w:rsid w:val="008D7804"/>
    <w:rsid w:val="008E07CA"/>
    <w:rsid w:val="008E1721"/>
    <w:rsid w:val="008E2E69"/>
    <w:rsid w:val="008E2E85"/>
    <w:rsid w:val="008E4E13"/>
    <w:rsid w:val="008E6853"/>
    <w:rsid w:val="008F4592"/>
    <w:rsid w:val="008F4EDB"/>
    <w:rsid w:val="008F5BD9"/>
    <w:rsid w:val="008F6506"/>
    <w:rsid w:val="008F6C0D"/>
    <w:rsid w:val="008F7334"/>
    <w:rsid w:val="0090497E"/>
    <w:rsid w:val="00904B7A"/>
    <w:rsid w:val="00904D75"/>
    <w:rsid w:val="0090545D"/>
    <w:rsid w:val="009111AA"/>
    <w:rsid w:val="009126F4"/>
    <w:rsid w:val="00917B69"/>
    <w:rsid w:val="00920C04"/>
    <w:rsid w:val="0092437A"/>
    <w:rsid w:val="00926D2C"/>
    <w:rsid w:val="009276C2"/>
    <w:rsid w:val="00930253"/>
    <w:rsid w:val="009308BC"/>
    <w:rsid w:val="00934C0E"/>
    <w:rsid w:val="00936DF7"/>
    <w:rsid w:val="00943EA0"/>
    <w:rsid w:val="00950137"/>
    <w:rsid w:val="00950C57"/>
    <w:rsid w:val="00953E57"/>
    <w:rsid w:val="00957AFB"/>
    <w:rsid w:val="009606D9"/>
    <w:rsid w:val="00961E5B"/>
    <w:rsid w:val="00962640"/>
    <w:rsid w:val="00963FAB"/>
    <w:rsid w:val="00966F3E"/>
    <w:rsid w:val="00970219"/>
    <w:rsid w:val="00973BA1"/>
    <w:rsid w:val="00975E7B"/>
    <w:rsid w:val="00976A2A"/>
    <w:rsid w:val="00977960"/>
    <w:rsid w:val="00984644"/>
    <w:rsid w:val="0098508A"/>
    <w:rsid w:val="0099100A"/>
    <w:rsid w:val="009922B9"/>
    <w:rsid w:val="009B480A"/>
    <w:rsid w:val="009B5749"/>
    <w:rsid w:val="009B737C"/>
    <w:rsid w:val="009C0CBF"/>
    <w:rsid w:val="009C2045"/>
    <w:rsid w:val="009C728E"/>
    <w:rsid w:val="009D7CEB"/>
    <w:rsid w:val="009E0D0F"/>
    <w:rsid w:val="009E10AE"/>
    <w:rsid w:val="009E3264"/>
    <w:rsid w:val="009E568F"/>
    <w:rsid w:val="009E5A2D"/>
    <w:rsid w:val="009F24BE"/>
    <w:rsid w:val="009F5FB3"/>
    <w:rsid w:val="009F752C"/>
    <w:rsid w:val="00A00C96"/>
    <w:rsid w:val="00A02CC1"/>
    <w:rsid w:val="00A036BF"/>
    <w:rsid w:val="00A07C7D"/>
    <w:rsid w:val="00A12F6A"/>
    <w:rsid w:val="00A13F22"/>
    <w:rsid w:val="00A262FE"/>
    <w:rsid w:val="00A315CD"/>
    <w:rsid w:val="00A42ACA"/>
    <w:rsid w:val="00A43AB8"/>
    <w:rsid w:val="00A44794"/>
    <w:rsid w:val="00A47AB8"/>
    <w:rsid w:val="00A50FF1"/>
    <w:rsid w:val="00A62B94"/>
    <w:rsid w:val="00A67444"/>
    <w:rsid w:val="00A7632A"/>
    <w:rsid w:val="00A77D93"/>
    <w:rsid w:val="00A80094"/>
    <w:rsid w:val="00A804B9"/>
    <w:rsid w:val="00A80CFA"/>
    <w:rsid w:val="00A84A33"/>
    <w:rsid w:val="00A84DF2"/>
    <w:rsid w:val="00A84E0C"/>
    <w:rsid w:val="00A85C03"/>
    <w:rsid w:val="00A9084F"/>
    <w:rsid w:val="00A95FCE"/>
    <w:rsid w:val="00A96A38"/>
    <w:rsid w:val="00AA03DB"/>
    <w:rsid w:val="00AA0552"/>
    <w:rsid w:val="00AA7A40"/>
    <w:rsid w:val="00AA7E17"/>
    <w:rsid w:val="00AB0DCC"/>
    <w:rsid w:val="00AB40A8"/>
    <w:rsid w:val="00AB5F71"/>
    <w:rsid w:val="00AB6192"/>
    <w:rsid w:val="00AC5BA3"/>
    <w:rsid w:val="00AC6052"/>
    <w:rsid w:val="00AD2536"/>
    <w:rsid w:val="00AD67FC"/>
    <w:rsid w:val="00AE09CE"/>
    <w:rsid w:val="00AE4AFF"/>
    <w:rsid w:val="00AF0FDA"/>
    <w:rsid w:val="00AF5032"/>
    <w:rsid w:val="00AF59E3"/>
    <w:rsid w:val="00B0333A"/>
    <w:rsid w:val="00B05624"/>
    <w:rsid w:val="00B074F7"/>
    <w:rsid w:val="00B118E2"/>
    <w:rsid w:val="00B160DF"/>
    <w:rsid w:val="00B16689"/>
    <w:rsid w:val="00B17E62"/>
    <w:rsid w:val="00B21633"/>
    <w:rsid w:val="00B22D10"/>
    <w:rsid w:val="00B236E1"/>
    <w:rsid w:val="00B24231"/>
    <w:rsid w:val="00B259BC"/>
    <w:rsid w:val="00B26DBF"/>
    <w:rsid w:val="00B34478"/>
    <w:rsid w:val="00B37AEB"/>
    <w:rsid w:val="00B417F1"/>
    <w:rsid w:val="00B41A8A"/>
    <w:rsid w:val="00B43E18"/>
    <w:rsid w:val="00B469FF"/>
    <w:rsid w:val="00B52BEB"/>
    <w:rsid w:val="00B55E73"/>
    <w:rsid w:val="00B561E7"/>
    <w:rsid w:val="00B61A45"/>
    <w:rsid w:val="00B63B3F"/>
    <w:rsid w:val="00B70722"/>
    <w:rsid w:val="00B70DC4"/>
    <w:rsid w:val="00B73545"/>
    <w:rsid w:val="00B74A4F"/>
    <w:rsid w:val="00B758E8"/>
    <w:rsid w:val="00B758FC"/>
    <w:rsid w:val="00B779C4"/>
    <w:rsid w:val="00B84091"/>
    <w:rsid w:val="00B8585D"/>
    <w:rsid w:val="00B86918"/>
    <w:rsid w:val="00B93D64"/>
    <w:rsid w:val="00B94976"/>
    <w:rsid w:val="00B9525F"/>
    <w:rsid w:val="00BA1375"/>
    <w:rsid w:val="00BA3D5E"/>
    <w:rsid w:val="00BA4B12"/>
    <w:rsid w:val="00BA6035"/>
    <w:rsid w:val="00BA6CFC"/>
    <w:rsid w:val="00BB27C4"/>
    <w:rsid w:val="00BB5E68"/>
    <w:rsid w:val="00BC2771"/>
    <w:rsid w:val="00BC39EC"/>
    <w:rsid w:val="00BD01E5"/>
    <w:rsid w:val="00BD31DA"/>
    <w:rsid w:val="00BD335B"/>
    <w:rsid w:val="00BD35BF"/>
    <w:rsid w:val="00BD3F91"/>
    <w:rsid w:val="00BD6E8C"/>
    <w:rsid w:val="00BE0101"/>
    <w:rsid w:val="00BE2D96"/>
    <w:rsid w:val="00BE7552"/>
    <w:rsid w:val="00BE759F"/>
    <w:rsid w:val="00BF2651"/>
    <w:rsid w:val="00BF6993"/>
    <w:rsid w:val="00BF70A1"/>
    <w:rsid w:val="00BF70CB"/>
    <w:rsid w:val="00C000FC"/>
    <w:rsid w:val="00C00137"/>
    <w:rsid w:val="00C0017A"/>
    <w:rsid w:val="00C0110C"/>
    <w:rsid w:val="00C02C02"/>
    <w:rsid w:val="00C04E65"/>
    <w:rsid w:val="00C05786"/>
    <w:rsid w:val="00C10BC9"/>
    <w:rsid w:val="00C11E74"/>
    <w:rsid w:val="00C1407C"/>
    <w:rsid w:val="00C20A0B"/>
    <w:rsid w:val="00C227AE"/>
    <w:rsid w:val="00C22C68"/>
    <w:rsid w:val="00C44C9F"/>
    <w:rsid w:val="00C538C5"/>
    <w:rsid w:val="00C5547F"/>
    <w:rsid w:val="00C55D39"/>
    <w:rsid w:val="00C635A2"/>
    <w:rsid w:val="00C67A1B"/>
    <w:rsid w:val="00C67A33"/>
    <w:rsid w:val="00C67B2F"/>
    <w:rsid w:val="00C722E2"/>
    <w:rsid w:val="00C733B2"/>
    <w:rsid w:val="00C7625B"/>
    <w:rsid w:val="00C77772"/>
    <w:rsid w:val="00C80B19"/>
    <w:rsid w:val="00C81828"/>
    <w:rsid w:val="00C85B90"/>
    <w:rsid w:val="00C85F3B"/>
    <w:rsid w:val="00C9149D"/>
    <w:rsid w:val="00C96365"/>
    <w:rsid w:val="00CA1626"/>
    <w:rsid w:val="00CA28E6"/>
    <w:rsid w:val="00CA335F"/>
    <w:rsid w:val="00CA402C"/>
    <w:rsid w:val="00CA5682"/>
    <w:rsid w:val="00CA76C4"/>
    <w:rsid w:val="00CA79AE"/>
    <w:rsid w:val="00CB25B8"/>
    <w:rsid w:val="00CB2696"/>
    <w:rsid w:val="00CB6695"/>
    <w:rsid w:val="00CC1400"/>
    <w:rsid w:val="00CC5A04"/>
    <w:rsid w:val="00CC75AE"/>
    <w:rsid w:val="00CD1A44"/>
    <w:rsid w:val="00CD23C3"/>
    <w:rsid w:val="00CD2AFE"/>
    <w:rsid w:val="00CD4DA0"/>
    <w:rsid w:val="00CD56CF"/>
    <w:rsid w:val="00CD7E54"/>
    <w:rsid w:val="00CE0422"/>
    <w:rsid w:val="00CE72EF"/>
    <w:rsid w:val="00CE7E02"/>
    <w:rsid w:val="00CF03D3"/>
    <w:rsid w:val="00CF06E6"/>
    <w:rsid w:val="00CF217C"/>
    <w:rsid w:val="00CF73AC"/>
    <w:rsid w:val="00D0160F"/>
    <w:rsid w:val="00D04220"/>
    <w:rsid w:val="00D05BEF"/>
    <w:rsid w:val="00D1059C"/>
    <w:rsid w:val="00D1078F"/>
    <w:rsid w:val="00D134F8"/>
    <w:rsid w:val="00D136D3"/>
    <w:rsid w:val="00D13F69"/>
    <w:rsid w:val="00D1456A"/>
    <w:rsid w:val="00D21129"/>
    <w:rsid w:val="00D21698"/>
    <w:rsid w:val="00D229D1"/>
    <w:rsid w:val="00D32B99"/>
    <w:rsid w:val="00D363C3"/>
    <w:rsid w:val="00D363DE"/>
    <w:rsid w:val="00D42E58"/>
    <w:rsid w:val="00D43870"/>
    <w:rsid w:val="00D50EC9"/>
    <w:rsid w:val="00D57AD1"/>
    <w:rsid w:val="00D61DFF"/>
    <w:rsid w:val="00D6228C"/>
    <w:rsid w:val="00D663BB"/>
    <w:rsid w:val="00D701F1"/>
    <w:rsid w:val="00D74706"/>
    <w:rsid w:val="00D80EBB"/>
    <w:rsid w:val="00D816A6"/>
    <w:rsid w:val="00D82A75"/>
    <w:rsid w:val="00D84903"/>
    <w:rsid w:val="00D878C1"/>
    <w:rsid w:val="00D87A8F"/>
    <w:rsid w:val="00D912CD"/>
    <w:rsid w:val="00D921B0"/>
    <w:rsid w:val="00D940CA"/>
    <w:rsid w:val="00DA1ED3"/>
    <w:rsid w:val="00DA4C11"/>
    <w:rsid w:val="00DB033F"/>
    <w:rsid w:val="00DB05DA"/>
    <w:rsid w:val="00DB4D55"/>
    <w:rsid w:val="00DB55D3"/>
    <w:rsid w:val="00DC06C7"/>
    <w:rsid w:val="00DC192D"/>
    <w:rsid w:val="00DC2277"/>
    <w:rsid w:val="00DC71EB"/>
    <w:rsid w:val="00DC7E8B"/>
    <w:rsid w:val="00DD3B0E"/>
    <w:rsid w:val="00DD3CC5"/>
    <w:rsid w:val="00DE132F"/>
    <w:rsid w:val="00DE1A28"/>
    <w:rsid w:val="00DE1B48"/>
    <w:rsid w:val="00DE234C"/>
    <w:rsid w:val="00DE491A"/>
    <w:rsid w:val="00DE5A67"/>
    <w:rsid w:val="00DF191F"/>
    <w:rsid w:val="00DF38E7"/>
    <w:rsid w:val="00DF59E4"/>
    <w:rsid w:val="00E05C5C"/>
    <w:rsid w:val="00E100E1"/>
    <w:rsid w:val="00E14BA4"/>
    <w:rsid w:val="00E157DE"/>
    <w:rsid w:val="00E16891"/>
    <w:rsid w:val="00E178DC"/>
    <w:rsid w:val="00E32F01"/>
    <w:rsid w:val="00E33EF7"/>
    <w:rsid w:val="00E455D0"/>
    <w:rsid w:val="00E45869"/>
    <w:rsid w:val="00E515CD"/>
    <w:rsid w:val="00E518ED"/>
    <w:rsid w:val="00E53F3D"/>
    <w:rsid w:val="00E5426D"/>
    <w:rsid w:val="00E574E0"/>
    <w:rsid w:val="00E607A5"/>
    <w:rsid w:val="00E607E3"/>
    <w:rsid w:val="00E723D9"/>
    <w:rsid w:val="00E72C8D"/>
    <w:rsid w:val="00E73790"/>
    <w:rsid w:val="00E75BBB"/>
    <w:rsid w:val="00E85350"/>
    <w:rsid w:val="00E85E2E"/>
    <w:rsid w:val="00E8664E"/>
    <w:rsid w:val="00E9239D"/>
    <w:rsid w:val="00E92F83"/>
    <w:rsid w:val="00E96042"/>
    <w:rsid w:val="00E96E48"/>
    <w:rsid w:val="00E97D90"/>
    <w:rsid w:val="00EA416A"/>
    <w:rsid w:val="00EB5B37"/>
    <w:rsid w:val="00EC0DF2"/>
    <w:rsid w:val="00EC1422"/>
    <w:rsid w:val="00EC1832"/>
    <w:rsid w:val="00EC395E"/>
    <w:rsid w:val="00EC674B"/>
    <w:rsid w:val="00ED074A"/>
    <w:rsid w:val="00ED388A"/>
    <w:rsid w:val="00ED76F2"/>
    <w:rsid w:val="00EE5947"/>
    <w:rsid w:val="00EE7941"/>
    <w:rsid w:val="00EF1DC0"/>
    <w:rsid w:val="00EF2F3A"/>
    <w:rsid w:val="00EF342C"/>
    <w:rsid w:val="00EF3766"/>
    <w:rsid w:val="00EF46FB"/>
    <w:rsid w:val="00EF521C"/>
    <w:rsid w:val="00EF5635"/>
    <w:rsid w:val="00EF597D"/>
    <w:rsid w:val="00EF7080"/>
    <w:rsid w:val="00F00581"/>
    <w:rsid w:val="00F04725"/>
    <w:rsid w:val="00F05630"/>
    <w:rsid w:val="00F06106"/>
    <w:rsid w:val="00F10156"/>
    <w:rsid w:val="00F11245"/>
    <w:rsid w:val="00F11E56"/>
    <w:rsid w:val="00F14659"/>
    <w:rsid w:val="00F1541B"/>
    <w:rsid w:val="00F1570B"/>
    <w:rsid w:val="00F16E98"/>
    <w:rsid w:val="00F23251"/>
    <w:rsid w:val="00F24779"/>
    <w:rsid w:val="00F26227"/>
    <w:rsid w:val="00F2641A"/>
    <w:rsid w:val="00F31B1A"/>
    <w:rsid w:val="00F34F77"/>
    <w:rsid w:val="00F36A5C"/>
    <w:rsid w:val="00F3746F"/>
    <w:rsid w:val="00F37915"/>
    <w:rsid w:val="00F400DA"/>
    <w:rsid w:val="00F4268A"/>
    <w:rsid w:val="00F44C6A"/>
    <w:rsid w:val="00F473DA"/>
    <w:rsid w:val="00F50F9A"/>
    <w:rsid w:val="00F51837"/>
    <w:rsid w:val="00F5228F"/>
    <w:rsid w:val="00F55B01"/>
    <w:rsid w:val="00F5681A"/>
    <w:rsid w:val="00F65171"/>
    <w:rsid w:val="00F717A4"/>
    <w:rsid w:val="00F759E2"/>
    <w:rsid w:val="00F77D0D"/>
    <w:rsid w:val="00F847F6"/>
    <w:rsid w:val="00F91046"/>
    <w:rsid w:val="00F93B81"/>
    <w:rsid w:val="00F949F5"/>
    <w:rsid w:val="00F950BA"/>
    <w:rsid w:val="00F96F53"/>
    <w:rsid w:val="00FA0923"/>
    <w:rsid w:val="00FA5E69"/>
    <w:rsid w:val="00FA6997"/>
    <w:rsid w:val="00FB2A07"/>
    <w:rsid w:val="00FB3266"/>
    <w:rsid w:val="00FB3AAE"/>
    <w:rsid w:val="00FB3E1C"/>
    <w:rsid w:val="00FB50AF"/>
    <w:rsid w:val="00FB7B09"/>
    <w:rsid w:val="00FC1FB8"/>
    <w:rsid w:val="00FC24DE"/>
    <w:rsid w:val="00FD0A78"/>
    <w:rsid w:val="00FE1B1F"/>
    <w:rsid w:val="00FE2B85"/>
    <w:rsid w:val="00FF0382"/>
    <w:rsid w:val="00FF290B"/>
    <w:rsid w:val="00FF4202"/>
    <w:rsid w:val="00FF4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3A03E"/>
  <w15:docId w15:val="{B418F40C-ACB4-4FEA-B95B-6D420F96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63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1787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60DF"/>
    <w:pPr>
      <w:spacing w:after="0" w:line="240" w:lineRule="auto"/>
    </w:pPr>
  </w:style>
  <w:style w:type="paragraph" w:customStyle="1" w:styleId="Default">
    <w:name w:val="Default"/>
    <w:rsid w:val="00111AA7"/>
    <w:pPr>
      <w:autoSpaceDE w:val="0"/>
      <w:autoSpaceDN w:val="0"/>
      <w:adjustRightInd w:val="0"/>
      <w:spacing w:after="0" w:line="240" w:lineRule="auto"/>
    </w:pPr>
    <w:rPr>
      <w:rFonts w:ascii="HelveticaNeueLT Std Lt" w:hAnsi="HelveticaNeueLT Std Lt" w:cs="HelveticaNeueLT Std Lt"/>
      <w:color w:val="000000"/>
      <w:sz w:val="24"/>
      <w:szCs w:val="24"/>
    </w:rPr>
  </w:style>
  <w:style w:type="paragraph" w:styleId="FootnoteText">
    <w:name w:val="footnote text"/>
    <w:basedOn w:val="Normal"/>
    <w:link w:val="FootnoteTextChar"/>
    <w:unhideWhenUsed/>
    <w:rsid w:val="004A6881"/>
    <w:pPr>
      <w:spacing w:after="0" w:line="240" w:lineRule="auto"/>
    </w:pPr>
    <w:rPr>
      <w:sz w:val="20"/>
      <w:szCs w:val="20"/>
    </w:rPr>
  </w:style>
  <w:style w:type="character" w:customStyle="1" w:styleId="FootnoteTextChar">
    <w:name w:val="Footnote Text Char"/>
    <w:basedOn w:val="DefaultParagraphFont"/>
    <w:link w:val="FootnoteText"/>
    <w:uiPriority w:val="99"/>
    <w:rsid w:val="004A6881"/>
    <w:rPr>
      <w:sz w:val="20"/>
      <w:szCs w:val="20"/>
    </w:rPr>
  </w:style>
  <w:style w:type="character" w:styleId="FootnoteReference">
    <w:name w:val="footnote reference"/>
    <w:basedOn w:val="DefaultParagraphFont"/>
    <w:unhideWhenUsed/>
    <w:rsid w:val="004A6881"/>
    <w:rPr>
      <w:vertAlign w:val="superscript"/>
    </w:rPr>
  </w:style>
  <w:style w:type="paragraph" w:styleId="Header">
    <w:name w:val="header"/>
    <w:basedOn w:val="Normal"/>
    <w:link w:val="HeaderChar"/>
    <w:uiPriority w:val="99"/>
    <w:unhideWhenUsed/>
    <w:rsid w:val="000250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058"/>
  </w:style>
  <w:style w:type="paragraph" w:styleId="Footer">
    <w:name w:val="footer"/>
    <w:basedOn w:val="Normal"/>
    <w:link w:val="FooterChar"/>
    <w:uiPriority w:val="99"/>
    <w:unhideWhenUsed/>
    <w:rsid w:val="000250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058"/>
  </w:style>
  <w:style w:type="character" w:customStyle="1" w:styleId="Heading2Char">
    <w:name w:val="Heading 2 Char"/>
    <w:basedOn w:val="DefaultParagraphFont"/>
    <w:link w:val="Heading2"/>
    <w:uiPriority w:val="9"/>
    <w:rsid w:val="00617870"/>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617870"/>
  </w:style>
  <w:style w:type="character" w:styleId="CommentReference">
    <w:name w:val="annotation reference"/>
    <w:basedOn w:val="DefaultParagraphFont"/>
    <w:uiPriority w:val="99"/>
    <w:semiHidden/>
    <w:unhideWhenUsed/>
    <w:rsid w:val="0083175D"/>
    <w:rPr>
      <w:sz w:val="16"/>
      <w:szCs w:val="16"/>
    </w:rPr>
  </w:style>
  <w:style w:type="paragraph" w:styleId="CommentText">
    <w:name w:val="annotation text"/>
    <w:basedOn w:val="Normal"/>
    <w:link w:val="CommentTextChar"/>
    <w:uiPriority w:val="99"/>
    <w:semiHidden/>
    <w:unhideWhenUsed/>
    <w:rsid w:val="0083175D"/>
    <w:pPr>
      <w:spacing w:line="240" w:lineRule="auto"/>
    </w:pPr>
    <w:rPr>
      <w:sz w:val="20"/>
      <w:szCs w:val="20"/>
    </w:rPr>
  </w:style>
  <w:style w:type="character" w:customStyle="1" w:styleId="CommentTextChar">
    <w:name w:val="Comment Text Char"/>
    <w:basedOn w:val="DefaultParagraphFont"/>
    <w:link w:val="CommentText"/>
    <w:uiPriority w:val="99"/>
    <w:semiHidden/>
    <w:rsid w:val="0083175D"/>
    <w:rPr>
      <w:sz w:val="20"/>
      <w:szCs w:val="20"/>
    </w:rPr>
  </w:style>
  <w:style w:type="paragraph" w:styleId="CommentSubject">
    <w:name w:val="annotation subject"/>
    <w:basedOn w:val="CommentText"/>
    <w:next w:val="CommentText"/>
    <w:link w:val="CommentSubjectChar"/>
    <w:uiPriority w:val="99"/>
    <w:semiHidden/>
    <w:unhideWhenUsed/>
    <w:rsid w:val="0083175D"/>
    <w:rPr>
      <w:b/>
      <w:bCs/>
    </w:rPr>
  </w:style>
  <w:style w:type="character" w:customStyle="1" w:styleId="CommentSubjectChar">
    <w:name w:val="Comment Subject Char"/>
    <w:basedOn w:val="CommentTextChar"/>
    <w:link w:val="CommentSubject"/>
    <w:uiPriority w:val="99"/>
    <w:semiHidden/>
    <w:rsid w:val="0083175D"/>
    <w:rPr>
      <w:b/>
      <w:bCs/>
      <w:sz w:val="20"/>
      <w:szCs w:val="20"/>
    </w:rPr>
  </w:style>
  <w:style w:type="paragraph" w:styleId="BalloonText">
    <w:name w:val="Balloon Text"/>
    <w:basedOn w:val="Normal"/>
    <w:link w:val="BalloonTextChar"/>
    <w:uiPriority w:val="99"/>
    <w:semiHidden/>
    <w:unhideWhenUsed/>
    <w:rsid w:val="00831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75D"/>
    <w:rPr>
      <w:rFonts w:ascii="Tahoma" w:hAnsi="Tahoma" w:cs="Tahoma"/>
      <w:sz w:val="16"/>
      <w:szCs w:val="16"/>
    </w:rPr>
  </w:style>
  <w:style w:type="paragraph" w:styleId="ListParagraph">
    <w:name w:val="List Paragraph"/>
    <w:basedOn w:val="Normal"/>
    <w:uiPriority w:val="34"/>
    <w:qFormat/>
    <w:rsid w:val="00B758FC"/>
    <w:pPr>
      <w:ind w:left="720"/>
      <w:contextualSpacing/>
    </w:pPr>
  </w:style>
  <w:style w:type="character" w:styleId="SubtleEmphasis">
    <w:name w:val="Subtle Emphasis"/>
    <w:basedOn w:val="DefaultParagraphFont"/>
    <w:uiPriority w:val="19"/>
    <w:qFormat/>
    <w:rsid w:val="00E723D9"/>
    <w:rPr>
      <w:i/>
      <w:iCs/>
      <w:color w:val="808080" w:themeColor="text1" w:themeTint="7F"/>
    </w:rPr>
  </w:style>
  <w:style w:type="paragraph" w:styleId="NormalWeb">
    <w:name w:val="Normal (Web)"/>
    <w:basedOn w:val="Normal"/>
    <w:uiPriority w:val="99"/>
    <w:unhideWhenUsed/>
    <w:rsid w:val="002E34B0"/>
    <w:pPr>
      <w:spacing w:before="100" w:beforeAutospacing="1" w:after="100" w:afterAutospacing="1" w:line="240" w:lineRule="auto"/>
    </w:pPr>
    <w:rPr>
      <w:rFonts w:ascii="Calibri" w:eastAsiaTheme="minorEastAsia" w:hAnsi="Calibri" w:cs="Calibri"/>
      <w:lang w:eastAsia="en-GB"/>
    </w:rPr>
  </w:style>
  <w:style w:type="character" w:styleId="Hyperlink">
    <w:name w:val="Hyperlink"/>
    <w:basedOn w:val="DefaultParagraphFont"/>
    <w:uiPriority w:val="99"/>
    <w:unhideWhenUsed/>
    <w:rsid w:val="002D45F8"/>
    <w:rPr>
      <w:color w:val="0563C1" w:themeColor="hyperlink"/>
      <w:u w:val="single"/>
    </w:rPr>
  </w:style>
  <w:style w:type="character" w:styleId="UnresolvedMention">
    <w:name w:val="Unresolved Mention"/>
    <w:basedOn w:val="DefaultParagraphFont"/>
    <w:uiPriority w:val="99"/>
    <w:semiHidden/>
    <w:unhideWhenUsed/>
    <w:rsid w:val="002D45F8"/>
    <w:rPr>
      <w:color w:val="808080"/>
      <w:shd w:val="clear" w:color="auto" w:fill="E6E6E6"/>
    </w:rPr>
  </w:style>
  <w:style w:type="character" w:customStyle="1" w:styleId="Heading1Char">
    <w:name w:val="Heading 1 Char"/>
    <w:basedOn w:val="DefaultParagraphFont"/>
    <w:link w:val="Heading1"/>
    <w:uiPriority w:val="9"/>
    <w:rsid w:val="00D363C3"/>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D50A2"/>
    <w:rPr>
      <w:color w:val="954F72" w:themeColor="followedHyperlink"/>
      <w:u w:val="single"/>
    </w:rPr>
  </w:style>
  <w:style w:type="character" w:styleId="Emphasis">
    <w:name w:val="Emphasis"/>
    <w:basedOn w:val="DefaultParagraphFont"/>
    <w:uiPriority w:val="20"/>
    <w:qFormat/>
    <w:rsid w:val="00BD35BF"/>
    <w:rPr>
      <w:i/>
      <w:iCs/>
    </w:rPr>
  </w:style>
  <w:style w:type="character" w:customStyle="1" w:styleId="Title1">
    <w:name w:val="Title1"/>
    <w:basedOn w:val="DefaultParagraphFont"/>
    <w:rsid w:val="005578E2"/>
  </w:style>
  <w:style w:type="character" w:customStyle="1" w:styleId="legds2">
    <w:name w:val="legds2"/>
    <w:basedOn w:val="DefaultParagraphFont"/>
    <w:rsid w:val="004776A3"/>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932878">
      <w:bodyDiv w:val="1"/>
      <w:marLeft w:val="0"/>
      <w:marRight w:val="0"/>
      <w:marTop w:val="0"/>
      <w:marBottom w:val="0"/>
      <w:divBdr>
        <w:top w:val="none" w:sz="0" w:space="0" w:color="auto"/>
        <w:left w:val="none" w:sz="0" w:space="0" w:color="auto"/>
        <w:bottom w:val="none" w:sz="0" w:space="0" w:color="auto"/>
        <w:right w:val="none" w:sz="0" w:space="0" w:color="auto"/>
      </w:divBdr>
    </w:div>
    <w:div w:id="679234070">
      <w:bodyDiv w:val="1"/>
      <w:marLeft w:val="0"/>
      <w:marRight w:val="0"/>
      <w:marTop w:val="0"/>
      <w:marBottom w:val="0"/>
      <w:divBdr>
        <w:top w:val="none" w:sz="0" w:space="0" w:color="auto"/>
        <w:left w:val="none" w:sz="0" w:space="0" w:color="auto"/>
        <w:bottom w:val="none" w:sz="0" w:space="0" w:color="auto"/>
        <w:right w:val="none" w:sz="0" w:space="0" w:color="auto"/>
      </w:divBdr>
    </w:div>
    <w:div w:id="796071724">
      <w:bodyDiv w:val="1"/>
      <w:marLeft w:val="0"/>
      <w:marRight w:val="0"/>
      <w:marTop w:val="0"/>
      <w:marBottom w:val="0"/>
      <w:divBdr>
        <w:top w:val="none" w:sz="0" w:space="0" w:color="auto"/>
        <w:left w:val="none" w:sz="0" w:space="0" w:color="auto"/>
        <w:bottom w:val="none" w:sz="0" w:space="0" w:color="auto"/>
        <w:right w:val="none" w:sz="0" w:space="0" w:color="auto"/>
      </w:divBdr>
    </w:div>
    <w:div w:id="1117799652">
      <w:bodyDiv w:val="1"/>
      <w:marLeft w:val="0"/>
      <w:marRight w:val="0"/>
      <w:marTop w:val="0"/>
      <w:marBottom w:val="0"/>
      <w:divBdr>
        <w:top w:val="none" w:sz="0" w:space="0" w:color="auto"/>
        <w:left w:val="none" w:sz="0" w:space="0" w:color="auto"/>
        <w:bottom w:val="none" w:sz="0" w:space="0" w:color="auto"/>
        <w:right w:val="none" w:sz="0" w:space="0" w:color="auto"/>
      </w:divBdr>
    </w:div>
    <w:div w:id="1161777976">
      <w:bodyDiv w:val="1"/>
      <w:marLeft w:val="0"/>
      <w:marRight w:val="0"/>
      <w:marTop w:val="0"/>
      <w:marBottom w:val="0"/>
      <w:divBdr>
        <w:top w:val="none" w:sz="0" w:space="0" w:color="auto"/>
        <w:left w:val="none" w:sz="0" w:space="0" w:color="auto"/>
        <w:bottom w:val="none" w:sz="0" w:space="0" w:color="auto"/>
        <w:right w:val="none" w:sz="0" w:space="0" w:color="auto"/>
      </w:divBdr>
    </w:div>
    <w:div w:id="1183931639">
      <w:bodyDiv w:val="1"/>
      <w:marLeft w:val="0"/>
      <w:marRight w:val="0"/>
      <w:marTop w:val="0"/>
      <w:marBottom w:val="0"/>
      <w:divBdr>
        <w:top w:val="none" w:sz="0" w:space="0" w:color="auto"/>
        <w:left w:val="none" w:sz="0" w:space="0" w:color="auto"/>
        <w:bottom w:val="none" w:sz="0" w:space="0" w:color="auto"/>
        <w:right w:val="none" w:sz="0" w:space="0" w:color="auto"/>
      </w:divBdr>
    </w:div>
    <w:div w:id="1201937345">
      <w:bodyDiv w:val="1"/>
      <w:marLeft w:val="0"/>
      <w:marRight w:val="0"/>
      <w:marTop w:val="0"/>
      <w:marBottom w:val="0"/>
      <w:divBdr>
        <w:top w:val="none" w:sz="0" w:space="0" w:color="auto"/>
        <w:left w:val="none" w:sz="0" w:space="0" w:color="auto"/>
        <w:bottom w:val="none" w:sz="0" w:space="0" w:color="auto"/>
        <w:right w:val="none" w:sz="0" w:space="0" w:color="auto"/>
      </w:divBdr>
    </w:div>
    <w:div w:id="1471362654">
      <w:bodyDiv w:val="1"/>
      <w:marLeft w:val="0"/>
      <w:marRight w:val="0"/>
      <w:marTop w:val="0"/>
      <w:marBottom w:val="0"/>
      <w:divBdr>
        <w:top w:val="none" w:sz="0" w:space="0" w:color="auto"/>
        <w:left w:val="none" w:sz="0" w:space="0" w:color="auto"/>
        <w:bottom w:val="none" w:sz="0" w:space="0" w:color="auto"/>
        <w:right w:val="none" w:sz="0" w:space="0" w:color="auto"/>
      </w:divBdr>
    </w:div>
    <w:div w:id="1535658253">
      <w:bodyDiv w:val="1"/>
      <w:marLeft w:val="0"/>
      <w:marRight w:val="0"/>
      <w:marTop w:val="0"/>
      <w:marBottom w:val="0"/>
      <w:divBdr>
        <w:top w:val="none" w:sz="0" w:space="0" w:color="auto"/>
        <w:left w:val="none" w:sz="0" w:space="0" w:color="auto"/>
        <w:bottom w:val="none" w:sz="0" w:space="0" w:color="auto"/>
        <w:right w:val="none" w:sz="0" w:space="0" w:color="auto"/>
      </w:divBdr>
    </w:div>
    <w:div w:id="1589804439">
      <w:bodyDiv w:val="1"/>
      <w:marLeft w:val="0"/>
      <w:marRight w:val="0"/>
      <w:marTop w:val="0"/>
      <w:marBottom w:val="0"/>
      <w:divBdr>
        <w:top w:val="none" w:sz="0" w:space="0" w:color="auto"/>
        <w:left w:val="none" w:sz="0" w:space="0" w:color="auto"/>
        <w:bottom w:val="none" w:sz="0" w:space="0" w:color="auto"/>
        <w:right w:val="none" w:sz="0" w:space="0" w:color="auto"/>
      </w:divBdr>
    </w:div>
    <w:div w:id="1809056745">
      <w:bodyDiv w:val="1"/>
      <w:marLeft w:val="0"/>
      <w:marRight w:val="0"/>
      <w:marTop w:val="0"/>
      <w:marBottom w:val="0"/>
      <w:divBdr>
        <w:top w:val="none" w:sz="0" w:space="0" w:color="auto"/>
        <w:left w:val="none" w:sz="0" w:space="0" w:color="auto"/>
        <w:bottom w:val="none" w:sz="0" w:space="0" w:color="auto"/>
        <w:right w:val="none" w:sz="0" w:space="0" w:color="auto"/>
      </w:divBdr>
    </w:div>
    <w:div w:id="1887065290">
      <w:bodyDiv w:val="1"/>
      <w:marLeft w:val="0"/>
      <w:marRight w:val="0"/>
      <w:marTop w:val="0"/>
      <w:marBottom w:val="0"/>
      <w:divBdr>
        <w:top w:val="none" w:sz="0" w:space="0" w:color="auto"/>
        <w:left w:val="none" w:sz="0" w:space="0" w:color="auto"/>
        <w:bottom w:val="none" w:sz="0" w:space="0" w:color="auto"/>
        <w:right w:val="none" w:sz="0" w:space="0" w:color="auto"/>
      </w:divBdr>
    </w:div>
    <w:div w:id="213413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2/15/conten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2015/37/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13/9/cont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13/9/contents" TargetMode="External"/><Relationship Id="rId4" Type="http://schemas.openxmlformats.org/officeDocument/2006/relationships/settings" Target="settings.xml"/><Relationship Id="rId9" Type="http://schemas.openxmlformats.org/officeDocument/2006/relationships/hyperlink" Target="http://www.legislation.gov.uk/ukpga/2013/5/content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britishelectionstudy.com/bes-findings/what-mattered-most-to-you-when-deciding-how-to-vote-in-the-eu-referendum/" TargetMode="External"/><Relationship Id="rId13" Type="http://schemas.openxmlformats.org/officeDocument/2006/relationships/hyperlink" Target="https://www.instituteforgovernment.org.uk/explainers/brexit-sewel-legislative-consent-convention" TargetMode="External"/><Relationship Id="rId18" Type="http://schemas.openxmlformats.org/officeDocument/2006/relationships/hyperlink" Target="http://www.bbc.co.uk/news/uk-40855526" TargetMode="External"/><Relationship Id="rId3" Type="http://schemas.openxmlformats.org/officeDocument/2006/relationships/hyperlink" Target="https://www.telegraph.co.uk/news/newstopics/eureferendum/12166345/European-referendum-Michael-Gove-explains-why-Britain-should-leave-the-EU.html" TargetMode="External"/><Relationship Id="rId21" Type="http://schemas.openxmlformats.org/officeDocument/2006/relationships/hyperlink" Target="https://www.law.ox.ac.uk/business-law-blog/blog/2016/07/new-referendum-constitutional-requirement" TargetMode="External"/><Relationship Id="rId7" Type="http://schemas.openxmlformats.org/officeDocument/2006/relationships/hyperlink" Target="http://natcen.ac.uk/media/1319222/natcen_brexplanations-report-final-web2.pdf" TargetMode="External"/><Relationship Id="rId12" Type="http://schemas.openxmlformats.org/officeDocument/2006/relationships/hyperlink" Target="https://www.theguardian.com/commentisfree/2017/feb/05/parliament-must-ensure-second-brexit-referendum" TargetMode="External"/><Relationship Id="rId17" Type="http://schemas.openxmlformats.org/officeDocument/2006/relationships/hyperlink" Target="https://ukconstitutionallaw.org/2017/11/27/thomas-horsley-in-domestic-courts-we-trust-the-european-union-withdrawal-bill-and-the-interpretation-of-retained-eu-law/" TargetMode="External"/><Relationship Id="rId2" Type="http://schemas.openxmlformats.org/officeDocument/2006/relationships/hyperlink" Target="http://www.voteleavetakecontrol.org/chris_grayling_we_must_vote_leave_to_protect_our_sovereignty_and_democracy_from_further_eu_integration.html" TargetMode="External"/><Relationship Id="rId16" Type="http://schemas.openxmlformats.org/officeDocument/2006/relationships/hyperlink" Target="http://www.kcl.ac.uk/law/newsevents/newsrecords/2015-16/Ceding-Power-to-the-Executive---Lord-Judge---130416.pdf" TargetMode="External"/><Relationship Id="rId20" Type="http://schemas.openxmlformats.org/officeDocument/2006/relationships/hyperlink" Target="https://assets.publishing.service.gov.uk/government/uploads/system/uploads/attachment_data/file/702623/2018-04-24_UKG-DA_IGA_and_Memorandum.pdf" TargetMode="External"/><Relationship Id="rId1" Type="http://schemas.openxmlformats.org/officeDocument/2006/relationships/hyperlink" Target="http://ohrh.law.ox.ac.uk/miller-a-vital-reaffirmation-of-parliamentary-sovereignty/" TargetMode="External"/><Relationship Id="rId6" Type="http://schemas.openxmlformats.org/officeDocument/2006/relationships/hyperlink" Target="http://www.bsa.natcen.ac.uk/latest-report/british-social-attitudes-34/brexit.aspx" TargetMode="External"/><Relationship Id="rId11" Type="http://schemas.openxmlformats.org/officeDocument/2006/relationships/hyperlink" Target="https://www.theguardian.com/commentisfree/2016/jun/27/stop-brexit-mp-vote-referendum-members-parliament-act-europe" TargetMode="External"/><Relationship Id="rId5" Type="http://schemas.openxmlformats.org/officeDocument/2006/relationships/hyperlink" Target="http://lordashcroftpolls.com/2016/06/how-the-united-kingdom-voted-and-why/" TargetMode="External"/><Relationship Id="rId15" Type="http://schemas.openxmlformats.org/officeDocument/2006/relationships/hyperlink" Target="http://blogs.lse.ac.uk/brexit/2018/02/16/long-read-brexit-and-the-sovereignty-of-parliament-a-backbenchers-view/" TargetMode="External"/><Relationship Id="rId10" Type="http://schemas.openxmlformats.org/officeDocument/2006/relationships/hyperlink" Target="https://www.gov.uk/government/speeches/pms-florence-speech-a-new-era-of-cooperation-and-partnership-between-the-uk-and-the-eu" TargetMode="External"/><Relationship Id="rId19" Type="http://schemas.openxmlformats.org/officeDocument/2006/relationships/hyperlink" Target="http://data.parliament.uk/writtenevidence/committeeevidence.svc/evidencedocument/constitution-committee/president-and-deputy-president-of-the-supreme-court/oral/80805.pdf" TargetMode="External"/><Relationship Id="rId4" Type="http://schemas.openxmlformats.org/officeDocument/2006/relationships/hyperlink" Target="http://www.bbc.co.uk/news/uk-politics-35739518" TargetMode="External"/><Relationship Id="rId9" Type="http://schemas.openxmlformats.org/officeDocument/2006/relationships/hyperlink" Target="https://www.gov.uk/government/speeches/the-governments-negotiating-objectives-for-exiting-the-eu-pm-speech" TargetMode="External"/><Relationship Id="rId14" Type="http://schemas.openxmlformats.org/officeDocument/2006/relationships/hyperlink" Target="https://ukconstitutionallaw.org/2017/11/21/christopher-mccrudden-and-daniel-halberstam-northern-irelands-supreme-court-brexit-problem-and-the-uks-too/" TargetMode="External"/><Relationship Id="rId22" Type="http://schemas.openxmlformats.org/officeDocument/2006/relationships/hyperlink" Target="http://www.europeanfutures.ed.ac.uk/article-60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1B011-AC12-4CB2-9562-149996432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18268</Words>
  <Characters>97372</Characters>
  <Application>Microsoft Office Word</Application>
  <DocSecurity>0</DocSecurity>
  <Lines>1545</Lines>
  <Paragraphs>265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Gordon</dc:creator>
  <cp:lastModifiedBy>Michael Gordon</cp:lastModifiedBy>
  <cp:revision>2</cp:revision>
  <dcterms:created xsi:type="dcterms:W3CDTF">2020-05-11T19:34:00Z</dcterms:created>
  <dcterms:modified xsi:type="dcterms:W3CDTF">2020-05-11T19:34:00Z</dcterms:modified>
</cp:coreProperties>
</file>