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106D0" w14:textId="77777777" w:rsidR="00E87127" w:rsidRPr="00523EFB" w:rsidRDefault="00E87127" w:rsidP="00E87127">
      <w:pPr>
        <w:spacing w:line="360" w:lineRule="auto"/>
        <w:ind w:left="283" w:right="283"/>
        <w:jc w:val="both"/>
        <w:rPr>
          <w:rFonts w:eastAsia="Times New Roman" w:cs="Tahoma"/>
          <w:i/>
          <w:color w:val="000000"/>
        </w:rPr>
      </w:pPr>
      <w:r w:rsidRPr="00523EFB">
        <w:rPr>
          <w:rFonts w:eastAsia="Times New Roman" w:cs="Tahoma"/>
          <w:i/>
          <w:color w:val="000000"/>
        </w:rPr>
        <w:t xml:space="preserve">‘But man - let me offer you a definition - is the story-telling animal. Wherever he goes he wants to leave behind not a chaotic wake, not an empty space, but the comforting marker-buoys and trail signs of stories.’ </w:t>
      </w:r>
    </w:p>
    <w:p w14:paraId="3C0F077E" w14:textId="77777777" w:rsidR="00E87127" w:rsidRPr="00E87127" w:rsidRDefault="00E87127" w:rsidP="00E87127">
      <w:pPr>
        <w:spacing w:line="360" w:lineRule="auto"/>
        <w:ind w:left="283" w:right="283"/>
        <w:jc w:val="right"/>
      </w:pPr>
      <w:r w:rsidRPr="00523EFB">
        <w:rPr>
          <w:rFonts w:eastAsia="Times New Roman" w:cs="Tahoma"/>
          <w:color w:val="000000"/>
        </w:rPr>
        <w:t>Graham Swift - Waterlan</w:t>
      </w:r>
      <w:r>
        <w:rPr>
          <w:rFonts w:eastAsia="Times New Roman" w:cs="Tahoma"/>
          <w:color w:val="000000"/>
        </w:rPr>
        <w:t>d</w:t>
      </w:r>
    </w:p>
    <w:p w14:paraId="279F53E0" w14:textId="77777777" w:rsidR="00E87127" w:rsidRDefault="00E87127" w:rsidP="00E87127">
      <w:pPr>
        <w:spacing w:line="360" w:lineRule="auto"/>
        <w:jc w:val="both"/>
        <w:rPr>
          <w:b/>
          <w:i/>
        </w:rPr>
      </w:pPr>
    </w:p>
    <w:p w14:paraId="26618FD1" w14:textId="77777777" w:rsidR="00E87127" w:rsidRPr="00523EFB" w:rsidRDefault="00E87127" w:rsidP="00E87127">
      <w:pPr>
        <w:spacing w:line="360" w:lineRule="auto"/>
        <w:jc w:val="both"/>
        <w:rPr>
          <w:b/>
          <w:i/>
        </w:rPr>
      </w:pPr>
      <w:r w:rsidRPr="00523EFB">
        <w:rPr>
          <w:b/>
          <w:i/>
        </w:rPr>
        <w:t>Deaths after police contact in England and Wales</w:t>
      </w:r>
    </w:p>
    <w:p w14:paraId="07D71DCB" w14:textId="77777777" w:rsidR="00E87127" w:rsidRDefault="00E87127" w:rsidP="00E87127">
      <w:pPr>
        <w:spacing w:line="360" w:lineRule="auto"/>
        <w:jc w:val="both"/>
      </w:pPr>
    </w:p>
    <w:p w14:paraId="629EB88E" w14:textId="77777777" w:rsidR="00E87127" w:rsidRPr="00523EFB" w:rsidRDefault="00E87127" w:rsidP="00E87127">
      <w:pPr>
        <w:spacing w:line="360" w:lineRule="auto"/>
        <w:jc w:val="both"/>
      </w:pPr>
      <w:r w:rsidRPr="00523EFB">
        <w:t>Between 2004 and 2015 a total of 1539 people died after contact with the police</w:t>
      </w:r>
      <w:r>
        <w:t xml:space="preserve"> in England and Wales (IPCC 2016</w:t>
      </w:r>
      <w:r w:rsidRPr="00523EFB">
        <w:t>). The term ‘death after police contact’ (DAPC) used throughout this paper adopts criteria utilised by the Independent Police Complaints Commission (IPCC) in regard to ‘deaths during or following police contact’ from their annual statistical anal</w:t>
      </w:r>
      <w:r>
        <w:t>yses (see, for example IPCC 2016</w:t>
      </w:r>
      <w:r w:rsidRPr="00523EFB">
        <w:t>). Cases of DAPC in England and Wales are typically investigated by two independent organisations, the coronial system, and the IPCC. This paper focuses on the processes and practices of the coronial system as it constructs accountability in cases of DAPC. It discusses how narrative structures, conventions and devices both enable and constrain the construction of verdicts</w:t>
      </w:r>
      <w:r>
        <w:t xml:space="preserve"> in the coronial system</w:t>
      </w:r>
      <w:r w:rsidRPr="00523EFB">
        <w:t>, and consequently affect how accountability is constructed in cases of DAPC in England and Wales.</w:t>
      </w:r>
    </w:p>
    <w:p w14:paraId="7E1B082F" w14:textId="77777777" w:rsidR="00E87127" w:rsidRPr="00523EFB" w:rsidRDefault="00E87127" w:rsidP="00E87127">
      <w:pPr>
        <w:spacing w:line="360" w:lineRule="auto"/>
        <w:jc w:val="both"/>
      </w:pPr>
    </w:p>
    <w:p w14:paraId="6E15E2CA" w14:textId="77777777" w:rsidR="00E87127" w:rsidRPr="00523EFB" w:rsidRDefault="00E87127" w:rsidP="00E87127">
      <w:pPr>
        <w:spacing w:line="360" w:lineRule="auto"/>
        <w:jc w:val="both"/>
      </w:pPr>
      <w:r w:rsidRPr="00523EFB">
        <w:t>The police occupy a symbolic position in the relationship between the state and society. This relationship is marked by key factors such as consensus, legitimacy and acco</w:t>
      </w:r>
      <w:r>
        <w:t>untability (Reiner 2013, McLaughlin 2007</w:t>
      </w:r>
      <w:r w:rsidRPr="00523EFB">
        <w:t xml:space="preserve">). The capacity of the state and society to hold police to account in such cases is seen to be a touchstone for legitimate, transparent and consensual policing in England and Wales (Savage 2013, Smith 2009). Deaths </w:t>
      </w:r>
      <w:r>
        <w:t>after police contact</w:t>
      </w:r>
      <w:r w:rsidRPr="00523EFB">
        <w:t xml:space="preserve"> are significant because the state bears unique responsibility for the welfare </w:t>
      </w:r>
      <w:r>
        <w:t>of citizens in their care, and such</w:t>
      </w:r>
      <w:r w:rsidRPr="00523EFB">
        <w:t xml:space="preserve"> death</w:t>
      </w:r>
      <w:r>
        <w:t>s</w:t>
      </w:r>
      <w:r w:rsidRPr="00523EFB">
        <w:t xml:space="preserve"> </w:t>
      </w:r>
      <w:r>
        <w:t xml:space="preserve">may </w:t>
      </w:r>
      <w:r w:rsidRPr="00523EFB">
        <w:t>be viewed with suspicion by the public</w:t>
      </w:r>
      <w:r>
        <w:t xml:space="preserve">, hence the relevance of the coronial system in providing regulation in such cases (Shaw and Coles 2007, </w:t>
      </w:r>
      <w:r w:rsidRPr="00523EFB">
        <w:t>Levine 1999).</w:t>
      </w:r>
    </w:p>
    <w:p w14:paraId="58AA58FE" w14:textId="77777777" w:rsidR="00E87127" w:rsidRDefault="00E87127" w:rsidP="00E87127">
      <w:pPr>
        <w:spacing w:line="360" w:lineRule="auto"/>
        <w:jc w:val="both"/>
      </w:pPr>
      <w:r w:rsidRPr="00523EFB">
        <w:t xml:space="preserve">Numerous sources have noted the disproportionate over-representation of marginalised groups in cases of DAPC (see, for example Coles and Shaw 2012, </w:t>
      </w:r>
      <w:r>
        <w:t xml:space="preserve">Hannan </w:t>
      </w:r>
      <w:r w:rsidRPr="00E01146">
        <w:rPr>
          <w:i/>
        </w:rPr>
        <w:t>et al.</w:t>
      </w:r>
      <w:r>
        <w:t xml:space="preserve"> 2010, </w:t>
      </w:r>
      <w:r w:rsidRPr="00523EFB">
        <w:t xml:space="preserve">Fulton 2008). </w:t>
      </w:r>
      <w:r>
        <w:t>People from</w:t>
      </w:r>
      <w:r w:rsidRPr="00523EFB">
        <w:t xml:space="preserve"> BME group</w:t>
      </w:r>
      <w:r>
        <w:t>s</w:t>
      </w:r>
      <w:r w:rsidRPr="00523EFB">
        <w:t xml:space="preserve">, </w:t>
      </w:r>
      <w:r>
        <w:t xml:space="preserve">who </w:t>
      </w:r>
      <w:r w:rsidRPr="00523EFB">
        <w:t xml:space="preserve">have mental health issues, are dependent on substances, or are homeless, </w:t>
      </w:r>
      <w:r>
        <w:t>a</w:t>
      </w:r>
      <w:r w:rsidRPr="00523EFB">
        <w:t>r</w:t>
      </w:r>
      <w:r>
        <w:t>e</w:t>
      </w:r>
      <w:r w:rsidRPr="00523EFB">
        <w:t xml:space="preserve"> disproportionately more likely to die after police contact</w:t>
      </w:r>
      <w:r>
        <w:t xml:space="preserve"> than other citizens</w:t>
      </w:r>
      <w:r w:rsidRPr="00523EFB">
        <w:t xml:space="preserve"> (</w:t>
      </w:r>
      <w:r>
        <w:t>Xxxxx</w:t>
      </w:r>
      <w:r w:rsidRPr="00523EFB">
        <w:t xml:space="preserve"> 2016a). </w:t>
      </w:r>
      <w:r>
        <w:t xml:space="preserve">Moreover, such cases are complex due to multi-causality in relation to the death, and because more than one </w:t>
      </w:r>
      <w:r>
        <w:lastRenderedPageBreak/>
        <w:t xml:space="preserve">emergency service tends to have had contact with the deceased (see, for example: IPCC 2016, Casale, Corfe and Lewis 2013). </w:t>
      </w:r>
    </w:p>
    <w:p w14:paraId="1A24DA9F" w14:textId="77777777" w:rsidR="00E87127" w:rsidRDefault="00E87127" w:rsidP="00E87127">
      <w:pPr>
        <w:spacing w:line="360" w:lineRule="auto"/>
        <w:jc w:val="both"/>
      </w:pPr>
    </w:p>
    <w:p w14:paraId="12E3D125" w14:textId="77777777" w:rsidR="00E87127" w:rsidRPr="00523EFB" w:rsidRDefault="00E87127" w:rsidP="00E87127">
      <w:pPr>
        <w:spacing w:line="360" w:lineRule="auto"/>
        <w:jc w:val="both"/>
        <w:rPr>
          <w:b/>
          <w:i/>
        </w:rPr>
      </w:pPr>
      <w:r w:rsidRPr="00523EFB">
        <w:rPr>
          <w:b/>
          <w:i/>
        </w:rPr>
        <w:t>Coronial regulation of deaths after police contact</w:t>
      </w:r>
    </w:p>
    <w:p w14:paraId="48DB2194" w14:textId="77777777" w:rsidR="00E87127" w:rsidRPr="00523EFB" w:rsidRDefault="00E87127" w:rsidP="00E87127">
      <w:pPr>
        <w:spacing w:line="360" w:lineRule="auto"/>
        <w:jc w:val="both"/>
      </w:pPr>
    </w:p>
    <w:p w14:paraId="19A3F9E4" w14:textId="77777777" w:rsidR="00E87127" w:rsidRPr="00523EFB" w:rsidRDefault="00E87127" w:rsidP="00E87127">
      <w:pPr>
        <w:spacing w:line="360" w:lineRule="auto"/>
        <w:jc w:val="both"/>
      </w:pPr>
      <w:r w:rsidRPr="00523EFB">
        <w:t xml:space="preserve">Deaths </w:t>
      </w:r>
      <w:r>
        <w:t>after police contact</w:t>
      </w:r>
      <w:r w:rsidRPr="00523EFB">
        <w:t xml:space="preserve"> in England and Wales are typically investigated in the coronial system (Parliament 2009). Cases are </w:t>
      </w:r>
      <w:r>
        <w:t xml:space="preserve">usually </w:t>
      </w:r>
      <w:r w:rsidRPr="00523EFB">
        <w:t xml:space="preserve">heard in public, before juries, in a forum that is inquisitorial as distinct to adversarial (Matthews 2014). A coroner’s inquest is held to be a fact-finding exercise that may not ascribe guilt or </w:t>
      </w:r>
      <w:r>
        <w:t xml:space="preserve">liability (Tarling 1998). </w:t>
      </w:r>
      <w:r w:rsidRPr="00523EFB">
        <w:t xml:space="preserve">Coronial inquests have manifold purposes, two of which are to investigate suspicious deaths in a public forum, and to learn lessons which may enable the prevention of future deaths (Luce 2003). The </w:t>
      </w:r>
      <w:r>
        <w:t>state</w:t>
      </w:r>
      <w:r w:rsidRPr="00523EFB">
        <w:t xml:space="preserve"> has made numerous official pronouncements </w:t>
      </w:r>
      <w:r>
        <w:t>underlining</w:t>
      </w:r>
      <w:r w:rsidRPr="00523EFB">
        <w:t xml:space="preserve"> how important lesson learning is in reducing the number of deaths after police contact (see, for example Fulton 2008, HAC 2010, JCHR 2004).</w:t>
      </w:r>
      <w:r>
        <w:t xml:space="preserve"> </w:t>
      </w:r>
      <w:r w:rsidRPr="00523EFB">
        <w:t>Since the enactment of the 1998 Human Rights Act (HRA) in the UK, coroners fulfil the legal obligations of the state as set out by the European Convention on Human Rights (ECHR) in relation to deaths in state detention (</w:t>
      </w:r>
      <w:r>
        <w:t>Xxxxx 2016b</w:t>
      </w:r>
      <w:r w:rsidRPr="00523EFB">
        <w:t>). Coroners must pay particular regard to article 2 of the ECHR which enshrines the right to life of citizens. The significance of article 2 of the ECHR has been to impose an ‘evidential burden’ upon the state in terms of how it invest</w:t>
      </w:r>
      <w:r>
        <w:t>igates such cases (Matthews 2014</w:t>
      </w:r>
      <w:r w:rsidRPr="00523EFB">
        <w:t xml:space="preserve">). It requires the state to provide an explanation of such a death that is satisfactory and convincing. </w:t>
      </w:r>
    </w:p>
    <w:p w14:paraId="42B67279" w14:textId="77777777" w:rsidR="00E87127" w:rsidRPr="00523EFB" w:rsidRDefault="00E87127" w:rsidP="00E87127">
      <w:pPr>
        <w:spacing w:line="360" w:lineRule="auto"/>
        <w:jc w:val="both"/>
      </w:pPr>
    </w:p>
    <w:p w14:paraId="6C527335" w14:textId="77777777" w:rsidR="00E87127" w:rsidRDefault="00E87127" w:rsidP="00E87127">
      <w:pPr>
        <w:spacing w:line="360" w:lineRule="auto"/>
        <w:jc w:val="both"/>
      </w:pPr>
      <w:r w:rsidRPr="00523EFB">
        <w:t xml:space="preserve">Coronial practice is </w:t>
      </w:r>
      <w:r>
        <w:t xml:space="preserve">also </w:t>
      </w:r>
      <w:r w:rsidRPr="00523EFB">
        <w:t>guided by statute and precedent (Smith 2003). The relevant legal statute is the 2009 Coroners and Justice Act, enacted in 2013 (</w:t>
      </w:r>
      <w:r>
        <w:t>Xxxxx</w:t>
      </w:r>
      <w:r w:rsidRPr="00523EFB">
        <w:t xml:space="preserve"> 2016b). Changes to practice in inquests involving deaths in state detention have been </w:t>
      </w:r>
      <w:r>
        <w:t>effected</w:t>
      </w:r>
      <w:r w:rsidRPr="00523EFB">
        <w:t xml:space="preserve"> primarily through precedent and are </w:t>
      </w:r>
      <w:r>
        <w:t xml:space="preserve">added to Coroners Rules (2013). </w:t>
      </w:r>
      <w:r w:rsidRPr="00523EFB">
        <w:t xml:space="preserve">One key change </w:t>
      </w:r>
      <w:r>
        <w:t>wrought</w:t>
      </w:r>
      <w:r w:rsidRPr="00523EFB">
        <w:t xml:space="preserve"> by article 2 of the ECHR is the definition of ‘how an individual came to meet their death’. Prior to the enactment of the HRA 1998, this was considered to be ‘by what means’ they came to meet their death, whereas it is now interpreted as ‘in what circu</w:t>
      </w:r>
      <w:r>
        <w:t>mstances’ (Widdicombe 2012</w:t>
      </w:r>
      <w:r w:rsidRPr="00523EFB">
        <w:t>). This has affected coronial practice at inquests into cases of DAPC. These are termed ‘article 2 inquests’ and consider</w:t>
      </w:r>
      <w:r>
        <w:t>ed to be more rigorous,</w:t>
      </w:r>
      <w:r w:rsidRPr="00523EFB">
        <w:t xml:space="preserve"> and broader in scope than was previously the ca</w:t>
      </w:r>
      <w:r>
        <w:t xml:space="preserve">se (Xxxxx 2016c, </w:t>
      </w:r>
      <w:r w:rsidRPr="00523EFB">
        <w:t>Thomas</w:t>
      </w:r>
      <w:r>
        <w:t>, Straw and Friedman</w:t>
      </w:r>
      <w:r w:rsidRPr="00523EFB">
        <w:t xml:space="preserve"> 2008). In particular, article 2 inquests consider systemic and organisational issues relating to such death</w:t>
      </w:r>
      <w:r>
        <w:t>s</w:t>
      </w:r>
      <w:r w:rsidRPr="00523EFB">
        <w:t>, rather than focusing purely on what individuals did, or did not, do in relation to events leading to a death (</w:t>
      </w:r>
      <w:r>
        <w:t>Xxxxx</w:t>
      </w:r>
      <w:r w:rsidRPr="00523EFB">
        <w:t xml:space="preserve"> 2016a, Ma</w:t>
      </w:r>
      <w:r>
        <w:t>tthews 2014</w:t>
      </w:r>
      <w:r w:rsidRPr="00523EFB">
        <w:t xml:space="preserve">). </w:t>
      </w:r>
      <w:r>
        <w:t xml:space="preserve">Changes to practice in inquests have also produced changes to the outcomes of article 2 inquests in the form of narrative verdicts. </w:t>
      </w:r>
    </w:p>
    <w:p w14:paraId="321A9DA2" w14:textId="77777777" w:rsidR="00E87127" w:rsidRPr="00523EFB" w:rsidRDefault="00E87127" w:rsidP="00E87127">
      <w:pPr>
        <w:spacing w:line="360" w:lineRule="auto"/>
        <w:jc w:val="both"/>
      </w:pPr>
    </w:p>
    <w:p w14:paraId="421E208D" w14:textId="77777777" w:rsidR="00E87127" w:rsidRDefault="00E87127" w:rsidP="00E87127">
      <w:pPr>
        <w:spacing w:line="360" w:lineRule="auto"/>
        <w:jc w:val="both"/>
        <w:rPr>
          <w:b/>
          <w:i/>
        </w:rPr>
      </w:pPr>
      <w:r w:rsidRPr="00523EFB">
        <w:rPr>
          <w:b/>
          <w:i/>
        </w:rPr>
        <w:t>Narrative verdicts</w:t>
      </w:r>
    </w:p>
    <w:p w14:paraId="18D38CC1" w14:textId="77777777" w:rsidR="00E87127" w:rsidRPr="00523EFB" w:rsidRDefault="00E87127" w:rsidP="00E87127">
      <w:pPr>
        <w:spacing w:line="360" w:lineRule="auto"/>
        <w:jc w:val="both"/>
        <w:rPr>
          <w:b/>
          <w:i/>
        </w:rPr>
      </w:pPr>
    </w:p>
    <w:p w14:paraId="06CB7F30" w14:textId="77777777" w:rsidR="00E87127" w:rsidRPr="00523EFB" w:rsidRDefault="00E87127" w:rsidP="00E87127">
      <w:pPr>
        <w:spacing w:line="360" w:lineRule="auto"/>
        <w:jc w:val="both"/>
      </w:pPr>
      <w:r w:rsidRPr="00523EFB">
        <w:t xml:space="preserve">Prior to 2002, </w:t>
      </w:r>
      <w:r>
        <w:t xml:space="preserve">inquest </w:t>
      </w:r>
      <w:r w:rsidRPr="00523EFB">
        <w:t>verdicts tended to be short-form verdicts</w:t>
      </w:r>
      <w:r w:rsidRPr="00523EFB">
        <w:rPr>
          <w:rStyle w:val="FootnoteReference"/>
        </w:rPr>
        <w:footnoteReference w:id="1"/>
      </w:r>
      <w:r w:rsidRPr="00523EFB">
        <w:t>. A legal precedent set in 2002 enabled juries to record narrative findings into such deaths rather than using a short-form verdi</w:t>
      </w:r>
      <w:r>
        <w:t>ct (Xxxxx 2016b</w:t>
      </w:r>
      <w:r w:rsidRPr="00523EFB">
        <w:t xml:space="preserve">). Luce (2003) </w:t>
      </w:r>
      <w:r>
        <w:t>believed</w:t>
      </w:r>
      <w:r w:rsidRPr="00523EFB">
        <w:t xml:space="preserve"> narrative verdicts could </w:t>
      </w:r>
      <w:r>
        <w:t>provide</w:t>
      </w:r>
      <w:r w:rsidRPr="00523EFB">
        <w:t xml:space="preserve"> clarity in contentious cases, as has now been established by coronial precedent. Narrative verdicts do not have a standardised format and can vary in length from three sentences to three p</w:t>
      </w:r>
      <w:r>
        <w:t>ages (Xxxxx 2016a</w:t>
      </w:r>
      <w:r w:rsidRPr="00523EFB">
        <w:t xml:space="preserve">). They set out, in narrative form, the key facts the jury consider to be relevant in explaining how an individual meets their death. </w:t>
      </w:r>
      <w:r>
        <w:t xml:space="preserve">If collated and analysed at a national level, such verdicts could provide a way to learn lessons that prevent future deaths (Coles and Shaw 2012).  </w:t>
      </w:r>
    </w:p>
    <w:p w14:paraId="47DB1B52" w14:textId="77777777" w:rsidR="00E87127" w:rsidRPr="00523EFB" w:rsidRDefault="00E87127" w:rsidP="00E87127">
      <w:pPr>
        <w:spacing w:line="360" w:lineRule="auto"/>
        <w:jc w:val="both"/>
      </w:pPr>
    </w:p>
    <w:p w14:paraId="3BB3EC2F" w14:textId="77777777" w:rsidR="00E87127" w:rsidRPr="00523EFB" w:rsidRDefault="00E87127" w:rsidP="00E87127">
      <w:pPr>
        <w:spacing w:line="360" w:lineRule="auto"/>
        <w:jc w:val="both"/>
      </w:pPr>
      <w:r w:rsidRPr="00523EFB">
        <w:t>Dorries (2004) notes that narrative verdicts function as statement</w:t>
      </w:r>
      <w:r>
        <w:t>s</w:t>
      </w:r>
      <w:r w:rsidRPr="00523EFB">
        <w:t xml:space="preserve"> of findings rather than a</w:t>
      </w:r>
      <w:r>
        <w:t>s</w:t>
      </w:r>
      <w:r w:rsidRPr="00523EFB">
        <w:t xml:space="preserve"> label</w:t>
      </w:r>
      <w:r>
        <w:t>s</w:t>
      </w:r>
      <w:r w:rsidRPr="00523EFB">
        <w:t>, as is the case with more typically used short-form verdicts. In 2013 the Chief Coroner declared that the term ‘verdict’ should be replaced with ‘determination’, albeit that it still tends to be reported as a ‘verdict’ by the media (Matthews, 2014). Coroners typically now refer to it variously as a ‘conclusion’, a ‘determination’ or as ‘findings’ (</w:t>
      </w:r>
      <w:r>
        <w:t>Xxxxx 2016b</w:t>
      </w:r>
      <w:r w:rsidRPr="00523EFB">
        <w:t xml:space="preserve">). To date, narrative verdicts have received relatively little attention from academic writers. Exceptions are Scraton (2006) who examined their use in holding the prison system to account for deaths in custody; Carroll </w:t>
      </w:r>
      <w:r w:rsidRPr="00523EFB">
        <w:rPr>
          <w:i/>
        </w:rPr>
        <w:t>et al</w:t>
      </w:r>
      <w:r w:rsidRPr="00523EFB">
        <w:t xml:space="preserve">. (2012) and Hill and Cook (2011), who focused on the effect of narrative verdicts on </w:t>
      </w:r>
      <w:r>
        <w:t xml:space="preserve">the analysis of </w:t>
      </w:r>
      <w:r w:rsidRPr="00523EFB">
        <w:t xml:space="preserve">general mortality data; McIntosh (2012), who examined narrative verdicts in relation to providing accountability to children’s next of kin; and Pilkington </w:t>
      </w:r>
      <w:r w:rsidRPr="00523EFB">
        <w:rPr>
          <w:i/>
        </w:rPr>
        <w:t>et al</w:t>
      </w:r>
      <w:r w:rsidRPr="00523EFB">
        <w:t xml:space="preserve">. (2014), who considered the possible use of narrative verdicts to learn lessons in the aftermath of road traffic accidents. </w:t>
      </w:r>
      <w:r w:rsidRPr="00523EFB">
        <w:rPr>
          <w:color w:val="000000" w:themeColor="text1"/>
        </w:rPr>
        <w:t xml:space="preserve">Other papers have analysed data from coroners’ reports and narrative verdicts into deaths in custody more broadly (Coles and Shaw, 2012); the deaths of young adults and children in prison (Inquest, 2015); and deaths of adults with mental health issues in detention (EHRC, 2014). </w:t>
      </w:r>
    </w:p>
    <w:p w14:paraId="0078A749" w14:textId="77777777" w:rsidR="00E87127" w:rsidRPr="00523EFB" w:rsidRDefault="00E87127" w:rsidP="00E87127">
      <w:pPr>
        <w:spacing w:line="360" w:lineRule="auto"/>
        <w:jc w:val="both"/>
        <w:rPr>
          <w:color w:val="FF0000"/>
        </w:rPr>
      </w:pPr>
    </w:p>
    <w:p w14:paraId="2FB657B0" w14:textId="77777777" w:rsidR="00E87127" w:rsidRPr="00523EFB" w:rsidRDefault="00E87127" w:rsidP="00E87127">
      <w:pPr>
        <w:spacing w:line="360" w:lineRule="auto"/>
        <w:jc w:val="both"/>
      </w:pPr>
      <w:r>
        <w:t>As previously noted, d</w:t>
      </w:r>
      <w:r w:rsidRPr="00523EFB">
        <w:t>eaths in state detention are notabl</w:t>
      </w:r>
      <w:r>
        <w:t>e for being not only controversial</w:t>
      </w:r>
      <w:r w:rsidRPr="00523EFB">
        <w:t xml:space="preserve">, but also marked by multi-causality. </w:t>
      </w:r>
      <w:r>
        <w:t>Using</w:t>
      </w:r>
      <w:r w:rsidRPr="00523EFB">
        <w:t xml:space="preserve"> narrative verdicts is seen to be one way in which detailed findings in relation to such deaths can be recorded, and thus enable audiences to make sense of how an individual came to meet their </w:t>
      </w:r>
      <w:r>
        <w:t>end (</w:t>
      </w:r>
      <w:r w:rsidRPr="00523EFB">
        <w:t xml:space="preserve">Coles and Shaw 2012). This must be qualified with the prescriptions </w:t>
      </w:r>
      <w:r>
        <w:t>imposed</w:t>
      </w:r>
      <w:r w:rsidRPr="00523EFB">
        <w:t xml:space="preserve"> by the structural requirements of the coronial system, one cogent example of which is that juries may not ascribe liability in their verdict. Thus although narrative verdicts enable the recording of greater detail, they are also constrained by the structural requirements of the coronial system. As the coronial system in England and Wales is essentially a regional service (Chief Coroner </w:t>
      </w:r>
      <w:r>
        <w:t>2014</w:t>
      </w:r>
      <w:r w:rsidRPr="00523EFB">
        <w:t>) this also affects the central collation of data recorded in narrative verdicts and necessarily limits institutional learning in such case</w:t>
      </w:r>
      <w:r>
        <w:t>s</w:t>
      </w:r>
      <w:r w:rsidRPr="00523EFB">
        <w:t xml:space="preserve"> (</w:t>
      </w:r>
      <w:r>
        <w:t>Xxxxx 2016a</w:t>
      </w:r>
      <w:r w:rsidRPr="00523EFB">
        <w:t>)</w:t>
      </w:r>
      <w:r>
        <w:t xml:space="preserve">. That narratives both enable and constrain the capacity of institutions to learn lessons in the aftermath of such deaths demonstrates that the construction of narrative verdicts exists in a complex series of contextual relationships, as is examined throughout this paper.  </w:t>
      </w:r>
    </w:p>
    <w:p w14:paraId="014ECF50" w14:textId="77777777" w:rsidR="00E87127" w:rsidRPr="00523EFB" w:rsidRDefault="00E87127" w:rsidP="00E87127">
      <w:pPr>
        <w:spacing w:line="360" w:lineRule="auto"/>
        <w:jc w:val="both"/>
      </w:pPr>
    </w:p>
    <w:p w14:paraId="4773DCE8" w14:textId="77777777" w:rsidR="00E87127" w:rsidRDefault="00E87127" w:rsidP="00E87127">
      <w:pPr>
        <w:spacing w:line="360" w:lineRule="auto"/>
        <w:jc w:val="both"/>
      </w:pPr>
      <w:r w:rsidRPr="00523EFB">
        <w:t>Narrative verdicts are increasingly used in cases of death in state detention (</w:t>
      </w:r>
      <w:r>
        <w:t>Xxxxx</w:t>
      </w:r>
      <w:r w:rsidRPr="00523EFB">
        <w:t xml:space="preserve"> 2016b). The Ministry of Justice (2015) note that their use </w:t>
      </w:r>
      <w:r>
        <w:t>rose</w:t>
      </w:r>
      <w:r w:rsidRPr="00523EFB">
        <w:t xml:space="preserve"> by 18% in the period 1995-2014. As they are increasingly used to record outcomes in cases of DAPC, and as such cases re</w:t>
      </w:r>
      <w:r>
        <w:t>present controversial</w:t>
      </w:r>
      <w:r w:rsidRPr="00523EFB">
        <w:t xml:space="preserve"> deaths that go to the heart of police legitimacy and accountability, it is timely to consider how these verdicts are constructed, and what they might tell us about accountability construction in cases of DAPC in England and Wales. Because these verdicts are set out in narrative form, one of the first issues to consider is how narrative works as a </w:t>
      </w:r>
      <w:r>
        <w:t>function</w:t>
      </w:r>
      <w:r w:rsidRPr="00523EFB">
        <w:t xml:space="preserve"> for recording the events that lead to a death af</w:t>
      </w:r>
      <w:r>
        <w:t>ter police contact</w:t>
      </w:r>
      <w:r w:rsidRPr="00523EFB">
        <w:t xml:space="preserve">.  </w:t>
      </w:r>
    </w:p>
    <w:p w14:paraId="42EE9240" w14:textId="77777777" w:rsidR="00E87127" w:rsidRDefault="00E87127" w:rsidP="00E87127">
      <w:pPr>
        <w:spacing w:line="360" w:lineRule="auto"/>
        <w:jc w:val="both"/>
      </w:pPr>
    </w:p>
    <w:p w14:paraId="556D8667" w14:textId="77777777" w:rsidR="00E87127" w:rsidRPr="00523EFB" w:rsidRDefault="00E87127" w:rsidP="00E87127">
      <w:pPr>
        <w:spacing w:after="0" w:line="360" w:lineRule="auto"/>
        <w:jc w:val="both"/>
        <w:rPr>
          <w:b/>
          <w:i/>
          <w:lang w:val="en-GB"/>
        </w:rPr>
      </w:pPr>
      <w:r w:rsidRPr="00523EFB">
        <w:rPr>
          <w:b/>
          <w:i/>
          <w:lang w:val="en-GB"/>
        </w:rPr>
        <w:t>Narrative criminology</w:t>
      </w:r>
    </w:p>
    <w:p w14:paraId="65C9FF7F" w14:textId="77777777" w:rsidR="00E87127" w:rsidRPr="00523EFB" w:rsidRDefault="00E87127" w:rsidP="00E87127">
      <w:pPr>
        <w:spacing w:after="0" w:line="360" w:lineRule="auto"/>
        <w:jc w:val="both"/>
        <w:rPr>
          <w:lang w:val="en-GB"/>
        </w:rPr>
      </w:pPr>
    </w:p>
    <w:p w14:paraId="115BA26D" w14:textId="77777777" w:rsidR="00E87127" w:rsidRPr="00523EFB" w:rsidRDefault="00E87127" w:rsidP="00E87127">
      <w:pPr>
        <w:spacing w:after="0" w:line="360" w:lineRule="auto"/>
        <w:jc w:val="both"/>
        <w:rPr>
          <w:lang w:val="en-GB"/>
        </w:rPr>
      </w:pPr>
      <w:r w:rsidRPr="00523EFB">
        <w:rPr>
          <w:lang w:val="en-GB"/>
        </w:rPr>
        <w:t>Narrative criminology has emerged as a sub-discipline in criminolog</w:t>
      </w:r>
      <w:r>
        <w:rPr>
          <w:lang w:val="en-GB"/>
        </w:rPr>
        <w:t>y, although</w:t>
      </w:r>
      <w:r w:rsidRPr="00523EFB">
        <w:rPr>
          <w:lang w:val="en-GB"/>
        </w:rPr>
        <w:t xml:space="preserve"> narrative has been increasingly used as a research perspective in other social-scientific and humanities disciplines for some </w:t>
      </w:r>
      <w:r>
        <w:rPr>
          <w:lang w:val="en-GB"/>
        </w:rPr>
        <w:t>time (Presser and Sandberg 2015</w:t>
      </w:r>
      <w:r w:rsidRPr="00523EFB">
        <w:rPr>
          <w:lang w:val="en-GB"/>
        </w:rPr>
        <w:t>). Analysing narrative approaches can aid understanding of complex criminological issues in addition to issues about wh</w:t>
      </w:r>
      <w:r>
        <w:rPr>
          <w:lang w:val="en-GB"/>
        </w:rPr>
        <w:t xml:space="preserve">ich relatively little is known </w:t>
      </w:r>
      <w:r w:rsidRPr="00523EFB">
        <w:rPr>
          <w:lang w:val="en-GB"/>
        </w:rPr>
        <w:t xml:space="preserve">(see, for example </w:t>
      </w:r>
      <w:r>
        <w:rPr>
          <w:lang w:val="en-GB"/>
        </w:rPr>
        <w:t>Sandberg, Tutenges and Copes</w:t>
      </w:r>
      <w:r w:rsidRPr="00523EFB">
        <w:rPr>
          <w:lang w:val="en-GB"/>
        </w:rPr>
        <w:t xml:space="preserve"> </w:t>
      </w:r>
      <w:r>
        <w:rPr>
          <w:lang w:val="en-GB"/>
        </w:rPr>
        <w:t>2015</w:t>
      </w:r>
      <w:r w:rsidRPr="00523EFB">
        <w:rPr>
          <w:lang w:val="en-GB"/>
        </w:rPr>
        <w:t>). Thus Presser and Sandberg (2015a: 10) note: ‘The important insight for narrative criminology is that narratives are part of larger meaning-making structures and that these are embedded in social institutions.’ The situated nature of narrative in the context of wider socio-political systems is fundamental to understanding how narrative verdicts are recorded</w:t>
      </w:r>
      <w:r>
        <w:rPr>
          <w:lang w:val="en-GB"/>
        </w:rPr>
        <w:t>, particularly given the complex and contentious nature of cases of DAPC</w:t>
      </w:r>
      <w:r w:rsidRPr="00523EFB">
        <w:rPr>
          <w:lang w:val="en-GB"/>
        </w:rPr>
        <w:t>. Examining how coronial juries constr</w:t>
      </w:r>
      <w:r>
        <w:rPr>
          <w:lang w:val="en-GB"/>
        </w:rPr>
        <w:t>uct narratives about controversial</w:t>
      </w:r>
      <w:r w:rsidRPr="00523EFB">
        <w:rPr>
          <w:lang w:val="en-GB"/>
        </w:rPr>
        <w:t xml:space="preserve"> deaths therefore considers complex issues that go beyond the coronial system and the events it considers in relation to cases of DAPC. The</w:t>
      </w:r>
      <w:r>
        <w:rPr>
          <w:lang w:val="en-GB"/>
        </w:rPr>
        <w:t>se</w:t>
      </w:r>
      <w:r w:rsidRPr="00523EFB">
        <w:rPr>
          <w:lang w:val="en-GB"/>
        </w:rPr>
        <w:t xml:space="preserve"> issues include legal and social structures, linguistic conventions, forms of discourse and official truth telling; all of which may be considered to </w:t>
      </w:r>
      <w:r>
        <w:rPr>
          <w:lang w:val="en-GB"/>
        </w:rPr>
        <w:t>add</w:t>
      </w:r>
      <w:r w:rsidRPr="00523EFB">
        <w:rPr>
          <w:lang w:val="en-GB"/>
        </w:rPr>
        <w:t xml:space="preserve"> to the increasing trend towards narrative criminology to examine previously under-explored but relevant subjects in criminology. </w:t>
      </w:r>
    </w:p>
    <w:p w14:paraId="0372E9AC" w14:textId="77777777" w:rsidR="00E87127" w:rsidRPr="00523EFB" w:rsidRDefault="00E87127" w:rsidP="00E87127">
      <w:pPr>
        <w:spacing w:after="0" w:line="360" w:lineRule="auto"/>
        <w:jc w:val="both"/>
        <w:rPr>
          <w:lang w:val="en-GB"/>
        </w:rPr>
      </w:pPr>
    </w:p>
    <w:p w14:paraId="6A7B1631" w14:textId="77777777" w:rsidR="00E87127" w:rsidRPr="00523EFB" w:rsidRDefault="00E87127" w:rsidP="00E87127">
      <w:pPr>
        <w:spacing w:after="0" w:line="360" w:lineRule="auto"/>
        <w:jc w:val="both"/>
        <w:rPr>
          <w:lang w:val="en-GB"/>
        </w:rPr>
      </w:pPr>
      <w:r w:rsidRPr="00523EFB">
        <w:rPr>
          <w:lang w:val="en-GB"/>
        </w:rPr>
        <w:t xml:space="preserve">Much of the extant literature on narrative criminology focuses on the narratives of offenders. Presser’s (2009) paper set out what might be called an invitation to narrative criminology in terms of using it to understand offenders’ motivations and identities; in a later (2012) paper she used a similar approach to understand the actions of a mass-murderer. Colvin (2015) considered offender narratives in terms of aiding researchers’ understanding of offenders’ actions, but also assisting in how offenders might be more effectively treated whilst incarcerated. Sandberg’s (2010) paper argued that rather than discuss whether participant narratives were truthful, it would be more productive to consider them as a way of investigating the complex interplay between culture, identities and values. His (2013) paper examined narratives produced by the Norwegian mass killer Anders Breivik in an attempt to understand the cultures and contexts that shaped his identity and thus his actions. In a </w:t>
      </w:r>
      <w:r>
        <w:rPr>
          <w:lang w:val="en-GB"/>
        </w:rPr>
        <w:t xml:space="preserve">later </w:t>
      </w:r>
      <w:r w:rsidRPr="00523EFB">
        <w:rPr>
          <w:lang w:val="en-GB"/>
        </w:rPr>
        <w:t>paper</w:t>
      </w:r>
      <w:r>
        <w:rPr>
          <w:lang w:val="en-GB"/>
        </w:rPr>
        <w:t xml:space="preserve"> </w:t>
      </w:r>
      <w:r w:rsidRPr="00523EFB">
        <w:rPr>
          <w:lang w:val="en-GB"/>
        </w:rPr>
        <w:t>(Sandberg</w:t>
      </w:r>
      <w:r>
        <w:rPr>
          <w:i/>
          <w:lang w:val="en-GB"/>
        </w:rPr>
        <w:t xml:space="preserve">, </w:t>
      </w:r>
      <w:r>
        <w:rPr>
          <w:lang w:val="en-GB"/>
        </w:rPr>
        <w:t>Tutenges and Copes</w:t>
      </w:r>
      <w:r w:rsidRPr="00523EFB">
        <w:rPr>
          <w:lang w:val="en-GB"/>
        </w:rPr>
        <w:t xml:space="preserve"> 2015)</w:t>
      </w:r>
      <w:r>
        <w:rPr>
          <w:lang w:val="en-GB"/>
        </w:rPr>
        <w:t>, narrative types</w:t>
      </w:r>
      <w:r w:rsidRPr="00523EFB">
        <w:rPr>
          <w:lang w:val="en-GB"/>
        </w:rPr>
        <w:t xml:space="preserve"> used by drug dealers </w:t>
      </w:r>
      <w:r>
        <w:rPr>
          <w:lang w:val="en-GB"/>
        </w:rPr>
        <w:t xml:space="preserve">were examined </w:t>
      </w:r>
      <w:r w:rsidRPr="00523EFB">
        <w:rPr>
          <w:lang w:val="en-GB"/>
        </w:rPr>
        <w:t xml:space="preserve">and argued </w:t>
      </w:r>
      <w:r>
        <w:rPr>
          <w:lang w:val="en-GB"/>
        </w:rPr>
        <w:t>to be</w:t>
      </w:r>
      <w:r w:rsidRPr="00523EFB">
        <w:rPr>
          <w:lang w:val="en-GB"/>
        </w:rPr>
        <w:t xml:space="preserve"> ambiguous and open-ended as they contain</w:t>
      </w:r>
      <w:r>
        <w:rPr>
          <w:lang w:val="en-GB"/>
        </w:rPr>
        <w:t>ed</w:t>
      </w:r>
      <w:r w:rsidRPr="00523EFB">
        <w:rPr>
          <w:lang w:val="en-GB"/>
        </w:rPr>
        <w:t xml:space="preserve"> multiple meanings and deal</w:t>
      </w:r>
      <w:r>
        <w:rPr>
          <w:lang w:val="en-GB"/>
        </w:rPr>
        <w:t>t</w:t>
      </w:r>
      <w:r w:rsidRPr="00523EFB">
        <w:rPr>
          <w:lang w:val="en-GB"/>
        </w:rPr>
        <w:t xml:space="preserve"> with multiple contexts. </w:t>
      </w:r>
    </w:p>
    <w:p w14:paraId="0F0F442C" w14:textId="77777777" w:rsidR="00E87127" w:rsidRPr="00523EFB" w:rsidRDefault="00E87127" w:rsidP="00E87127">
      <w:pPr>
        <w:spacing w:after="0" w:line="360" w:lineRule="auto"/>
        <w:jc w:val="both"/>
        <w:rPr>
          <w:lang w:val="en-GB"/>
        </w:rPr>
      </w:pPr>
    </w:p>
    <w:p w14:paraId="57B714D0" w14:textId="77777777" w:rsidR="00E87127" w:rsidRPr="00523EFB" w:rsidRDefault="00E87127" w:rsidP="00E87127">
      <w:pPr>
        <w:spacing w:after="0" w:line="360" w:lineRule="auto"/>
        <w:jc w:val="both"/>
        <w:rPr>
          <w:lang w:val="en-GB"/>
        </w:rPr>
      </w:pPr>
      <w:r w:rsidRPr="00523EFB">
        <w:rPr>
          <w:lang w:val="en-GB"/>
        </w:rPr>
        <w:t>Presser and Sandberg (2015: 298) note that: ‘narrative criminolo</w:t>
      </w:r>
      <w:r>
        <w:rPr>
          <w:lang w:val="en-GB"/>
        </w:rPr>
        <w:t>gy is still in the making.’ The current</w:t>
      </w:r>
      <w:r w:rsidRPr="00523EFB">
        <w:rPr>
          <w:lang w:val="en-GB"/>
        </w:rPr>
        <w:t xml:space="preserve"> paper examines narrative from the perspective of juries sitting in coroners’ courts rather than from offenders’ perspectives. In coronial cases there are are no crimes, and thus no offences, because the coronial system is inquisito</w:t>
      </w:r>
      <w:r>
        <w:rPr>
          <w:lang w:val="en-GB"/>
        </w:rPr>
        <w:t>rial rather than adversarial: inquests set</w:t>
      </w:r>
      <w:r w:rsidRPr="00523EFB">
        <w:rPr>
          <w:lang w:val="en-GB"/>
        </w:rPr>
        <w:t xml:space="preserve"> out to find the truth rather than to ascribe blame or liability. T</w:t>
      </w:r>
      <w:r>
        <w:rPr>
          <w:lang w:val="en-GB"/>
        </w:rPr>
        <w:t>he paper considers the multiple</w:t>
      </w:r>
      <w:r w:rsidRPr="00523EFB">
        <w:rPr>
          <w:lang w:val="en-GB"/>
        </w:rPr>
        <w:t xml:space="preserve"> contingencies that shape and mediate the production of such narratives, and in </w:t>
      </w:r>
      <w:r>
        <w:rPr>
          <w:lang w:val="en-GB"/>
        </w:rPr>
        <w:t>so doing</w:t>
      </w:r>
      <w:r w:rsidRPr="00523EFB">
        <w:rPr>
          <w:lang w:val="en-GB"/>
        </w:rPr>
        <w:t xml:space="preserve"> examines ideas and concepts from literary theory, including devices and mechanisms used to construct explicable narratives. </w:t>
      </w:r>
      <w:r>
        <w:rPr>
          <w:lang w:val="en-GB"/>
        </w:rPr>
        <w:t xml:space="preserve">In considers the functions and structures of narrative, the contexts in which it is produced, how contextualisation enables comprehension, and the role of episodic structure and character types in facilitating the construction of comprehensible narratives. Before considering these issues, it is first necessary to discuss the nature of the data used in this paper. </w:t>
      </w:r>
    </w:p>
    <w:p w14:paraId="25A65EAF" w14:textId="77777777" w:rsidR="00E87127" w:rsidRPr="00523EFB" w:rsidRDefault="00E87127" w:rsidP="00E87127">
      <w:pPr>
        <w:spacing w:line="360" w:lineRule="auto"/>
        <w:jc w:val="both"/>
      </w:pPr>
    </w:p>
    <w:p w14:paraId="7A8B215C" w14:textId="77777777" w:rsidR="00E87127" w:rsidRPr="00523EFB" w:rsidRDefault="00E87127" w:rsidP="00E87127">
      <w:pPr>
        <w:spacing w:line="360" w:lineRule="auto"/>
        <w:jc w:val="both"/>
        <w:rPr>
          <w:b/>
          <w:i/>
        </w:rPr>
      </w:pPr>
      <w:r w:rsidRPr="00523EFB">
        <w:rPr>
          <w:b/>
          <w:i/>
        </w:rPr>
        <w:t>Methods</w:t>
      </w:r>
    </w:p>
    <w:p w14:paraId="468BB2B1" w14:textId="77777777" w:rsidR="00E87127" w:rsidRPr="00523EFB" w:rsidRDefault="00E87127" w:rsidP="00E87127">
      <w:pPr>
        <w:spacing w:line="360" w:lineRule="auto"/>
        <w:jc w:val="both"/>
        <w:rPr>
          <w:rFonts w:eastAsia="Times New Roman" w:cstheme="minorHAnsi"/>
        </w:rPr>
      </w:pPr>
    </w:p>
    <w:p w14:paraId="78531C45" w14:textId="77777777" w:rsidR="00E87127" w:rsidRDefault="00E87127" w:rsidP="00E87127">
      <w:pPr>
        <w:spacing w:line="360" w:lineRule="auto"/>
        <w:jc w:val="both"/>
        <w:rPr>
          <w:rFonts w:ascii="Calibri" w:eastAsia="Times New Roman" w:hAnsi="Calibri" w:cs="Calibri"/>
        </w:rPr>
      </w:pPr>
      <w:r w:rsidRPr="00523EFB">
        <w:rPr>
          <w:rFonts w:eastAsia="Times New Roman" w:cstheme="minorHAnsi"/>
        </w:rPr>
        <w:t xml:space="preserve">This paper uses a dataset of 68 narrative verdicts recorded in cases of DAPC in the period 2004-15 in England and Wales. </w:t>
      </w:r>
      <w:r w:rsidRPr="00AC45CB">
        <w:rPr>
          <w:rFonts w:ascii="Calibri" w:eastAsia="Times New Roman" w:hAnsi="Calibri" w:cs="Calibri"/>
        </w:rPr>
        <w:t>They represent the views of juries</w:t>
      </w:r>
      <w:r>
        <w:rPr>
          <w:rFonts w:ascii="Calibri" w:eastAsia="Times New Roman" w:hAnsi="Calibri" w:cs="Calibri"/>
        </w:rPr>
        <w:t xml:space="preserve"> as shaped and directed by coroners</w:t>
      </w:r>
      <w:r w:rsidRPr="00AC45CB">
        <w:rPr>
          <w:rFonts w:ascii="Calibri" w:eastAsia="Times New Roman" w:hAnsi="Calibri" w:cs="Calibri"/>
        </w:rPr>
        <w:t xml:space="preserve"> in these c</w:t>
      </w:r>
      <w:r>
        <w:rPr>
          <w:rFonts w:ascii="Calibri" w:eastAsia="Times New Roman" w:hAnsi="Calibri" w:cs="Calibri"/>
        </w:rPr>
        <w:t xml:space="preserve">ases and consequently provide </w:t>
      </w:r>
      <w:r w:rsidRPr="00AC45CB">
        <w:rPr>
          <w:rFonts w:ascii="Calibri" w:eastAsia="Times New Roman" w:hAnsi="Calibri" w:cs="Calibri"/>
        </w:rPr>
        <w:t>insight into how evidence is used by juries to make sense of complex, multi-causal cases of DAPC. The data is qualitative as it represents the views of jury members deliberating on each case. Consequently, the data is rich in detail, but limited to some extent in terms of generalisability due to the</w:t>
      </w:r>
      <w:r>
        <w:rPr>
          <w:rFonts w:ascii="Calibri" w:eastAsia="Times New Roman" w:hAnsi="Calibri" w:cs="Calibri"/>
        </w:rPr>
        <w:t xml:space="preserve"> relatively small sample. Although 1539 citizens died after police contact in England and Wales in this period (IPCC 2016) it cannot be known how many narrative verdicts were recorded in relation to these deaths due to the regional nature of the coronial system and its relatively limited data collation (Xxxxx 2016c, Chief Coroner 2014).  </w:t>
      </w:r>
    </w:p>
    <w:p w14:paraId="27707974" w14:textId="77777777" w:rsidR="00E87127" w:rsidRPr="00AC45CB" w:rsidRDefault="00E87127" w:rsidP="00E87127">
      <w:pPr>
        <w:spacing w:line="360" w:lineRule="auto"/>
        <w:jc w:val="both"/>
        <w:rPr>
          <w:rFonts w:eastAsia="Times New Roman" w:cstheme="minorHAnsi"/>
        </w:rPr>
      </w:pPr>
      <w:r w:rsidRPr="00AC45CB">
        <w:rPr>
          <w:rFonts w:ascii="Calibri" w:eastAsia="Times New Roman" w:hAnsi="Calibri" w:cs="Calibri"/>
        </w:rPr>
        <w:t>The data for this paper was subjected to framework analysis (Ritchie and Spencer</w:t>
      </w:r>
      <w:r>
        <w:rPr>
          <w:rFonts w:ascii="Calibri" w:eastAsia="Times New Roman" w:hAnsi="Calibri" w:cs="Calibri"/>
        </w:rPr>
        <w:t>,</w:t>
      </w:r>
      <w:r w:rsidRPr="00AC45CB">
        <w:rPr>
          <w:rFonts w:ascii="Calibri" w:eastAsia="Times New Roman" w:hAnsi="Calibri" w:cs="Calibri"/>
        </w:rPr>
        <w:t xml:space="preserve"> 1994)</w:t>
      </w:r>
      <w:r>
        <w:rPr>
          <w:rFonts w:ascii="Calibri" w:eastAsia="Times New Roman" w:hAnsi="Calibri" w:cs="Calibri"/>
        </w:rPr>
        <w:t xml:space="preserve">. </w:t>
      </w:r>
      <w:r w:rsidRPr="00AC45CB">
        <w:rPr>
          <w:rFonts w:eastAsia="Times New Roman" w:cstheme="minorHAnsi"/>
        </w:rPr>
        <w:t>First, the researcher became familiar with the corpus of data in order to gain an overview of the nature of its contents. Secondly, familiarisation enabled a thematic framework to be constructed</w:t>
      </w:r>
      <w:r>
        <w:rPr>
          <w:rFonts w:eastAsia="Times New Roman" w:cstheme="minorHAnsi"/>
        </w:rPr>
        <w:t xml:space="preserve"> using matrices</w:t>
      </w:r>
      <w:r w:rsidRPr="00AC45CB">
        <w:rPr>
          <w:rFonts w:eastAsia="Times New Roman" w:cstheme="minorHAnsi"/>
        </w:rPr>
        <w:t xml:space="preserve">. Thirdly, a process of indexing took place, to break the matrices down in terms of case numbers and key issues or terms. Fourthly, charting enabled indexing to be used to make associations within and between issues and terms. For example, in the research project that was undertaken, </w:t>
      </w:r>
      <w:r>
        <w:rPr>
          <w:rFonts w:eastAsia="Times New Roman" w:cstheme="minorHAnsi"/>
        </w:rPr>
        <w:t>instances of police encounters with citizens who had mental health issues</w:t>
      </w:r>
      <w:r w:rsidRPr="00AC45CB">
        <w:rPr>
          <w:rFonts w:eastAsia="Times New Roman" w:cstheme="minorHAnsi"/>
        </w:rPr>
        <w:t xml:space="preserve"> could be linked to specific terms, such as police training and/or communication. Finally, charting led to a process of mapping and interpretation. Maps emerged in the form of typologies such as particular </w:t>
      </w:r>
      <w:r>
        <w:rPr>
          <w:rFonts w:eastAsia="Times New Roman" w:cstheme="minorHAnsi"/>
        </w:rPr>
        <w:t xml:space="preserve">conditions like substance </w:t>
      </w:r>
      <w:r w:rsidRPr="00AC45CB">
        <w:rPr>
          <w:rFonts w:eastAsia="Times New Roman" w:cstheme="minorHAnsi"/>
        </w:rPr>
        <w:t xml:space="preserve">use, or the relationship between restraint and mental health in cases of DAPC. </w:t>
      </w:r>
      <w:r>
        <w:rPr>
          <w:rFonts w:eastAsia="Times New Roman" w:cstheme="minorHAnsi"/>
        </w:rPr>
        <w:t xml:space="preserve">The process of charting and mapping led the researcher to investigate the relevance of narrative theory to the research project in terms of examining how certain structures, plot lines, and characters appeared in specific types of narratives. </w:t>
      </w:r>
    </w:p>
    <w:p w14:paraId="20F030AF" w14:textId="77777777" w:rsidR="00E87127" w:rsidRPr="00523EFB" w:rsidRDefault="00E87127" w:rsidP="00E87127">
      <w:pPr>
        <w:spacing w:after="0" w:line="360" w:lineRule="auto"/>
        <w:jc w:val="both"/>
        <w:rPr>
          <w:b/>
          <w:i/>
          <w:lang w:val="en-GB"/>
        </w:rPr>
      </w:pPr>
    </w:p>
    <w:p w14:paraId="39885F60" w14:textId="77777777" w:rsidR="00E87127" w:rsidRPr="00523EFB" w:rsidRDefault="00E87127" w:rsidP="00E87127">
      <w:pPr>
        <w:spacing w:after="0" w:line="360" w:lineRule="auto"/>
        <w:jc w:val="both"/>
        <w:rPr>
          <w:b/>
          <w:i/>
          <w:lang w:val="en-GB"/>
        </w:rPr>
      </w:pPr>
      <w:r w:rsidRPr="00523EFB">
        <w:rPr>
          <w:b/>
          <w:i/>
          <w:lang w:val="en-GB"/>
        </w:rPr>
        <w:t>Narrative functions and structures</w:t>
      </w:r>
    </w:p>
    <w:p w14:paraId="3FBFA963" w14:textId="77777777" w:rsidR="00E87127" w:rsidRPr="00523EFB" w:rsidRDefault="00E87127" w:rsidP="00E87127">
      <w:pPr>
        <w:spacing w:after="0" w:line="360" w:lineRule="auto"/>
        <w:jc w:val="both"/>
        <w:rPr>
          <w:lang w:val="en-GB"/>
        </w:rPr>
      </w:pPr>
    </w:p>
    <w:p w14:paraId="36D207B1" w14:textId="77777777" w:rsidR="00E87127" w:rsidRPr="00523EFB" w:rsidRDefault="00E87127" w:rsidP="00E87127">
      <w:pPr>
        <w:spacing w:after="0" w:line="360" w:lineRule="auto"/>
        <w:jc w:val="both"/>
        <w:rPr>
          <w:rFonts w:ascii="Calibri" w:eastAsia="Times New Roman" w:hAnsi="Calibri" w:cs="Times New Roman"/>
          <w:lang w:val="en-GB"/>
        </w:rPr>
      </w:pPr>
      <w:r w:rsidRPr="00523EFB">
        <w:rPr>
          <w:rFonts w:ascii="Calibri" w:eastAsia="Times New Roman" w:hAnsi="Calibri" w:cs="Times New Roman"/>
          <w:lang w:val="en-GB"/>
        </w:rPr>
        <w:t xml:space="preserve">Narratives exist to fulfil a purpose – in simple terms, to ‘tell a story.’ They need to be purposeful, </w:t>
      </w:r>
      <w:r>
        <w:rPr>
          <w:rFonts w:ascii="Calibri" w:eastAsia="Times New Roman" w:hAnsi="Calibri" w:cs="Times New Roman"/>
          <w:lang w:val="en-GB"/>
        </w:rPr>
        <w:t>to have coherence and direction</w:t>
      </w:r>
      <w:r w:rsidRPr="00523EFB">
        <w:rPr>
          <w:rFonts w:ascii="Calibri" w:eastAsia="Times New Roman" w:hAnsi="Calibri" w:cs="Times New Roman"/>
          <w:lang w:val="en-GB"/>
        </w:rPr>
        <w:t>. Berger and Luckman (1972:54) note that not only is language coercive in that it forces us into its patterns, but also transcendent as language is capable of: ‘making present a variety of objects that are spatially, temporally and socially absent from the “here and now”’. To some degree, our capacity to produce narrative is limited by our own experiences and interpretations of the</w:t>
      </w:r>
      <w:r>
        <w:rPr>
          <w:rFonts w:ascii="Calibri" w:eastAsia="Times New Roman" w:hAnsi="Calibri" w:cs="Times New Roman"/>
          <w:lang w:val="en-GB"/>
        </w:rPr>
        <w:t xml:space="preserve"> world (Taylor 2016</w:t>
      </w:r>
      <w:r w:rsidRPr="00523EFB">
        <w:rPr>
          <w:rFonts w:ascii="Calibri" w:eastAsia="Times New Roman" w:hAnsi="Calibri" w:cs="Times New Roman"/>
          <w:lang w:val="en-GB"/>
        </w:rPr>
        <w:t xml:space="preserve">). </w:t>
      </w:r>
    </w:p>
    <w:p w14:paraId="327DEB24" w14:textId="77777777" w:rsidR="00E87127" w:rsidRDefault="00E87127" w:rsidP="00E87127">
      <w:pPr>
        <w:spacing w:after="0" w:line="360" w:lineRule="auto"/>
        <w:jc w:val="both"/>
        <w:rPr>
          <w:lang w:val="en-GB"/>
        </w:rPr>
      </w:pPr>
    </w:p>
    <w:p w14:paraId="23B295C1" w14:textId="77777777" w:rsidR="00E87127" w:rsidRPr="00523EFB" w:rsidRDefault="00E87127" w:rsidP="00E87127">
      <w:pPr>
        <w:spacing w:after="0" w:line="360" w:lineRule="auto"/>
        <w:jc w:val="both"/>
        <w:rPr>
          <w:lang w:val="en-GB"/>
        </w:rPr>
      </w:pPr>
      <w:r w:rsidRPr="00523EFB">
        <w:rPr>
          <w:lang w:val="en-GB"/>
        </w:rPr>
        <w:t>For Labov and Waletzky (1961) narrative has two functions. The first is referential; with narrative verdicts, this relates to institutional contexts such as statute and precedent (see, for exa</w:t>
      </w:r>
      <w:r>
        <w:rPr>
          <w:lang w:val="en-GB"/>
        </w:rPr>
        <w:t>mple Matthews 2014</w:t>
      </w:r>
      <w:r w:rsidRPr="00523EFB">
        <w:rPr>
          <w:lang w:val="en-GB"/>
        </w:rPr>
        <w:t>). Key functions of the verdict are that it records who dies, where and when they died, an</w:t>
      </w:r>
      <w:r>
        <w:rPr>
          <w:lang w:val="en-GB"/>
        </w:rPr>
        <w:t>d how they died (</w:t>
      </w:r>
      <w:r w:rsidRPr="00523EFB">
        <w:rPr>
          <w:lang w:val="en-GB"/>
        </w:rPr>
        <w:t xml:space="preserve">Levine 1999). Consequently, the verdict orients the consumer of the narrative to the </w:t>
      </w:r>
      <w:r>
        <w:rPr>
          <w:lang w:val="en-GB"/>
        </w:rPr>
        <w:t>individuals</w:t>
      </w:r>
      <w:r w:rsidRPr="00523EFB">
        <w:rPr>
          <w:lang w:val="en-GB"/>
        </w:rPr>
        <w:t xml:space="preserve"> involved in it, the place</w:t>
      </w:r>
      <w:r>
        <w:rPr>
          <w:lang w:val="en-GB"/>
        </w:rPr>
        <w:t xml:space="preserve">, the time, and the behaviour </w:t>
      </w:r>
      <w:r w:rsidRPr="00523EFB">
        <w:rPr>
          <w:lang w:val="en-GB"/>
        </w:rPr>
        <w:t>of the characters involved. From this perspective, narrative must situate individuals in a time and place and establish their characteristics in order for the wider narrative to be comprehensible (see, for example Hyden 1997). Labov and Waletzky</w:t>
      </w:r>
      <w:r>
        <w:rPr>
          <w:lang w:val="en-GB"/>
        </w:rPr>
        <w:t>’s</w:t>
      </w:r>
      <w:r w:rsidRPr="00523EFB">
        <w:rPr>
          <w:lang w:val="en-GB"/>
        </w:rPr>
        <w:t xml:space="preserve"> (1961) second function of narrative is evalua</w:t>
      </w:r>
      <w:r>
        <w:rPr>
          <w:lang w:val="en-GB"/>
        </w:rPr>
        <w:t xml:space="preserve">tive; the evaluative nature of narrative verdicts is discussed in more detail in the second half of this paper in the examination of narrative devices such as Chekhov’s gun, Ockham’s razor, ‘specific ambiguity’ and hedging. </w:t>
      </w:r>
    </w:p>
    <w:p w14:paraId="1527C024" w14:textId="77777777" w:rsidR="00E87127" w:rsidRPr="00523EFB" w:rsidRDefault="00E87127" w:rsidP="00E87127">
      <w:pPr>
        <w:spacing w:after="0" w:line="360" w:lineRule="auto"/>
        <w:jc w:val="both"/>
        <w:rPr>
          <w:rFonts w:ascii="Calibri" w:eastAsia="Times New Roman" w:hAnsi="Calibri" w:cs="Times New Roman"/>
          <w:lang w:val="en-GB"/>
        </w:rPr>
      </w:pPr>
    </w:p>
    <w:p w14:paraId="3102F34E" w14:textId="77777777" w:rsidR="00E87127" w:rsidRDefault="00E87127" w:rsidP="00E87127">
      <w:pPr>
        <w:spacing w:after="0" w:line="360" w:lineRule="auto"/>
        <w:jc w:val="both"/>
        <w:rPr>
          <w:rFonts w:ascii="Calibri" w:eastAsia="Times New Roman" w:hAnsi="Calibri" w:cs="Times New Roman"/>
          <w:lang w:val="en-GB"/>
        </w:rPr>
      </w:pPr>
      <w:r w:rsidRPr="00523EFB">
        <w:rPr>
          <w:lang w:val="en-GB"/>
        </w:rPr>
        <w:t xml:space="preserve">The structure of narrative is typified by the use of episodic sequence to construct a comprehensible story. Authors concur that the structure of a narrative largely determines the type of content used to construct a story (see, for example Labov and Waletzky 1961, Todorov and Weinstein 1969, Van Dijk 1975, Robinson 1981, Bruner 1987, Bauman and Briggs 1990). </w:t>
      </w:r>
      <w:r>
        <w:rPr>
          <w:rFonts w:ascii="Calibri" w:eastAsia="Times New Roman" w:hAnsi="Calibri" w:cs="Times New Roman"/>
          <w:lang w:val="en-GB"/>
        </w:rPr>
        <w:t>Todorov and Weinstein</w:t>
      </w:r>
      <w:r w:rsidRPr="00523EFB">
        <w:rPr>
          <w:rFonts w:ascii="Calibri" w:eastAsia="Times New Roman" w:hAnsi="Calibri" w:cs="Times New Roman"/>
          <w:lang w:val="en-GB"/>
        </w:rPr>
        <w:t xml:space="preserve"> (1969) assert that nearly any ‘minimal complete plot’ can be characterised as follows: first, an equilibrium is created by establishing the actors present in the context of a series of events. Secondly, an imbalance occurs where this equilibrium is altered, usually by a new series of events occurring. Thirdly, a new equilibrium is established whereby an altered set of actors and series of events exists. This establishes narrative as a structure based on progressive episodes. Van Dijk (1975) charts a remarkably similar three stage structure: exposition, complication, and resolution. Labov and Waletzky (1961) identify a four stage process: orientation, complication, evaluation, and resolution. These findings chime with Innes’s (2003) research on police homicide investigation which discovered that such reports constructed an orderly narrative requiring a beginning, middle and end. Within the dataset, the great majority of narrative verdicts fit this analysis, regardless of whether they are 4 sentences in length or 4 pages. Typically, equilibrium is established by describing the deceased and the context in which they have come to the attention of the police. In the opening lines of these narrative verdicts</w:t>
      </w:r>
      <w:r>
        <w:rPr>
          <w:rFonts w:ascii="Calibri" w:eastAsia="Times New Roman" w:hAnsi="Calibri" w:cs="Times New Roman"/>
          <w:lang w:val="en-GB"/>
        </w:rPr>
        <w:t>, examples of Van Dijk’s (1975) ‘exposition’</w:t>
      </w:r>
      <w:r w:rsidRPr="00523EFB">
        <w:rPr>
          <w:rFonts w:ascii="Calibri" w:eastAsia="Times New Roman" w:hAnsi="Calibri" w:cs="Times New Roman"/>
          <w:lang w:val="en-GB"/>
        </w:rPr>
        <w:t xml:space="preserve"> </w:t>
      </w:r>
      <w:r>
        <w:rPr>
          <w:rFonts w:ascii="Calibri" w:eastAsia="Times New Roman" w:hAnsi="Calibri" w:cs="Times New Roman"/>
          <w:lang w:val="en-GB"/>
        </w:rPr>
        <w:t>and Labov and Waltezky’s (1961) ‘orientation’ are apparent</w:t>
      </w:r>
      <w:r w:rsidRPr="00523EFB">
        <w:rPr>
          <w:rFonts w:ascii="Calibri" w:eastAsia="Times New Roman" w:hAnsi="Calibri" w:cs="Times New Roman"/>
          <w:lang w:val="en-GB"/>
        </w:rPr>
        <w:t>:</w:t>
      </w:r>
    </w:p>
    <w:p w14:paraId="593CC316" w14:textId="77777777" w:rsidR="00E87127" w:rsidRDefault="00E87127" w:rsidP="00E87127">
      <w:pPr>
        <w:spacing w:after="0" w:line="360" w:lineRule="auto"/>
        <w:jc w:val="both"/>
        <w:rPr>
          <w:rFonts w:ascii="Calibri" w:eastAsia="Times New Roman" w:hAnsi="Calibri" w:cs="Times New Roman"/>
          <w:lang w:val="en-GB"/>
        </w:rPr>
      </w:pPr>
    </w:p>
    <w:p w14:paraId="0B151556" w14:textId="77777777" w:rsidR="00E87127" w:rsidRPr="009D566D" w:rsidRDefault="00E87127" w:rsidP="00E87127">
      <w:pPr>
        <w:spacing w:after="0" w:line="360" w:lineRule="auto"/>
        <w:jc w:val="both"/>
        <w:rPr>
          <w:rFonts w:ascii="Calibri" w:eastAsia="Times New Roman" w:hAnsi="Calibri" w:cs="Times New Roman"/>
          <w:i/>
          <w:lang w:val="en-GB"/>
        </w:rPr>
      </w:pPr>
      <w:r w:rsidRPr="009D566D">
        <w:rPr>
          <w:rFonts w:ascii="Calibri" w:eastAsia="Times New Roman" w:hAnsi="Calibri" w:cs="Times New Roman"/>
          <w:b/>
          <w:lang w:val="en-GB"/>
        </w:rPr>
        <w:t>Case 66</w:t>
      </w:r>
      <w:r>
        <w:rPr>
          <w:rFonts w:ascii="Calibri" w:eastAsia="Times New Roman" w:hAnsi="Calibri" w:cs="Times New Roman"/>
          <w:lang w:val="en-GB"/>
        </w:rPr>
        <w:t xml:space="preserve">: </w:t>
      </w:r>
      <w:r w:rsidRPr="009D566D">
        <w:rPr>
          <w:rFonts w:ascii="Calibri" w:eastAsia="Times New Roman" w:hAnsi="Calibri" w:cs="Times New Roman"/>
          <w:i/>
          <w:lang w:val="en-GB"/>
        </w:rPr>
        <w:t xml:space="preserve">‘Police stopped [the deceased] and others because, based on intelligence, they suspected that the occupants of the car may have been in possession of Class A drugs.’ </w:t>
      </w:r>
    </w:p>
    <w:p w14:paraId="42E03EC3" w14:textId="77777777" w:rsidR="00E87127" w:rsidRPr="009D566D" w:rsidRDefault="00E87127" w:rsidP="00E87127">
      <w:pPr>
        <w:spacing w:after="0" w:line="360" w:lineRule="auto"/>
        <w:jc w:val="both"/>
        <w:rPr>
          <w:i/>
          <w:lang w:val="en-GB"/>
        </w:rPr>
      </w:pPr>
      <w:r w:rsidRPr="009D566D">
        <w:rPr>
          <w:rFonts w:ascii="Calibri" w:eastAsia="Times New Roman" w:hAnsi="Calibri" w:cs="Times New Roman"/>
          <w:b/>
          <w:lang w:val="en-GB"/>
        </w:rPr>
        <w:t>Case 33</w:t>
      </w:r>
      <w:r>
        <w:rPr>
          <w:rFonts w:ascii="Calibri" w:eastAsia="Times New Roman" w:hAnsi="Calibri" w:cs="Times New Roman"/>
          <w:lang w:val="en-GB"/>
        </w:rPr>
        <w:t xml:space="preserve">: </w:t>
      </w:r>
      <w:r w:rsidRPr="009D566D">
        <w:rPr>
          <w:rFonts w:ascii="Calibri" w:eastAsia="Times New Roman" w:hAnsi="Calibri" w:cs="Times New Roman"/>
          <w:i/>
          <w:lang w:val="en-GB"/>
        </w:rPr>
        <w:t xml:space="preserve">‘Following reports of [the deceased’s] behaviour, the first being reported at 8.45am, police officers attended the scene.’ </w:t>
      </w:r>
    </w:p>
    <w:p w14:paraId="2FD4935C" w14:textId="77777777" w:rsidR="00E87127" w:rsidRPr="00523EFB" w:rsidRDefault="00E87127" w:rsidP="00E87127">
      <w:pPr>
        <w:spacing w:after="0" w:line="360" w:lineRule="auto"/>
        <w:ind w:left="284" w:right="284"/>
        <w:jc w:val="both"/>
        <w:rPr>
          <w:rFonts w:ascii="Calibri" w:eastAsia="Times New Roman" w:hAnsi="Calibri" w:cs="Times New Roman"/>
          <w:b/>
          <w:lang w:val="en-GB"/>
        </w:rPr>
      </w:pPr>
    </w:p>
    <w:p w14:paraId="09260612" w14:textId="77777777" w:rsidR="00E87127" w:rsidRPr="00523EFB" w:rsidRDefault="00E87127" w:rsidP="00E87127">
      <w:pPr>
        <w:spacing w:after="0" w:line="360" w:lineRule="auto"/>
        <w:jc w:val="both"/>
        <w:rPr>
          <w:rFonts w:ascii="Calibri" w:eastAsia="Times New Roman" w:hAnsi="Calibri" w:cs="Calibri"/>
          <w:lang w:val="en-GB"/>
        </w:rPr>
      </w:pPr>
      <w:r w:rsidRPr="00523EFB">
        <w:rPr>
          <w:rFonts w:ascii="Calibri" w:eastAsia="Times New Roman" w:hAnsi="Calibri" w:cs="Calibri"/>
          <w:lang w:val="en-GB"/>
        </w:rPr>
        <w:t>There follows a period of imbalance</w:t>
      </w:r>
      <w:r>
        <w:rPr>
          <w:rFonts w:ascii="Calibri" w:eastAsia="Times New Roman" w:hAnsi="Calibri" w:cs="Calibri"/>
          <w:lang w:val="en-GB"/>
        </w:rPr>
        <w:t>, or ‘complication’ (Labov and Waletzky 1961, Van Dijk 1975)</w:t>
      </w:r>
      <w:r w:rsidRPr="00523EFB">
        <w:rPr>
          <w:rFonts w:ascii="Calibri" w:eastAsia="Times New Roman" w:hAnsi="Calibri" w:cs="Calibri"/>
          <w:lang w:val="en-GB"/>
        </w:rPr>
        <w:t xml:space="preserve"> whereby unfolding events are described, for example:</w:t>
      </w:r>
    </w:p>
    <w:p w14:paraId="12C38542" w14:textId="77777777" w:rsidR="00E87127" w:rsidRPr="00523EFB" w:rsidRDefault="00E87127" w:rsidP="00E87127">
      <w:pPr>
        <w:spacing w:after="0" w:line="360" w:lineRule="auto"/>
        <w:jc w:val="both"/>
        <w:rPr>
          <w:rFonts w:ascii="Calibri" w:eastAsia="Times New Roman" w:hAnsi="Calibri" w:cs="Calibri"/>
          <w:lang w:val="en-GB"/>
        </w:rPr>
      </w:pPr>
    </w:p>
    <w:p w14:paraId="71DBE899" w14:textId="77777777" w:rsidR="00E87127" w:rsidRPr="00523EFB" w:rsidRDefault="00E87127" w:rsidP="00E87127">
      <w:pPr>
        <w:spacing w:after="0" w:line="360" w:lineRule="auto"/>
        <w:ind w:left="284" w:right="284"/>
        <w:jc w:val="both"/>
        <w:rPr>
          <w:rFonts w:ascii="Calibri" w:eastAsia="Times New Roman" w:hAnsi="Calibri" w:cs="Times New Roman"/>
          <w:i/>
          <w:lang w:val="en-GB"/>
        </w:rPr>
      </w:pPr>
      <w:r w:rsidRPr="00523EFB">
        <w:rPr>
          <w:rFonts w:ascii="Calibri" w:eastAsia="Times New Roman" w:hAnsi="Calibri" w:cs="Times New Roman"/>
          <w:b/>
          <w:lang w:val="en-GB"/>
        </w:rPr>
        <w:t>Case 1</w:t>
      </w:r>
      <w:r w:rsidRPr="00523EFB">
        <w:rPr>
          <w:rFonts w:ascii="Calibri" w:eastAsia="Times New Roman" w:hAnsi="Calibri" w:cs="Times New Roman"/>
          <w:lang w:val="en-GB"/>
        </w:rPr>
        <w:t xml:space="preserve">: </w:t>
      </w:r>
      <w:r w:rsidRPr="00523EFB">
        <w:rPr>
          <w:rFonts w:ascii="Calibri" w:eastAsia="Times New Roman" w:hAnsi="Calibri" w:cs="Times New Roman"/>
          <w:i/>
          <w:lang w:val="en-GB"/>
        </w:rPr>
        <w:t>‘[the deceased] continued to struggle against the officers exhibiting extraordinary strength and was restrained on the floor of the cell in the prone position.’</w:t>
      </w:r>
    </w:p>
    <w:p w14:paraId="1C773B8E" w14:textId="77777777" w:rsidR="00E87127" w:rsidRPr="00523EFB" w:rsidRDefault="00E87127" w:rsidP="00E87127">
      <w:pPr>
        <w:spacing w:after="0" w:line="360" w:lineRule="auto"/>
        <w:ind w:left="284" w:right="284"/>
        <w:jc w:val="both"/>
        <w:rPr>
          <w:rFonts w:ascii="Calibri" w:eastAsia="Times New Roman" w:hAnsi="Calibri" w:cs="Times New Roman"/>
          <w:i/>
          <w:lang w:val="en-GB"/>
        </w:rPr>
      </w:pPr>
      <w:r w:rsidRPr="00523EFB">
        <w:rPr>
          <w:rFonts w:ascii="Calibri" w:eastAsia="Times New Roman" w:hAnsi="Calibri" w:cs="Times New Roman"/>
          <w:b/>
          <w:lang w:val="en-GB"/>
        </w:rPr>
        <w:t>Case 51:</w:t>
      </w:r>
      <w:r w:rsidRPr="00523EFB">
        <w:rPr>
          <w:rFonts w:ascii="Calibri" w:eastAsia="Times New Roman" w:hAnsi="Calibri" w:cs="Times New Roman"/>
          <w:i/>
          <w:lang w:val="en-GB"/>
        </w:rPr>
        <w:t xml:space="preserve"> ‘During the walk to the [police] van, [the deceased] was physically unwell due to oxygen deprivation which occurred during his restraint in the prone position.’ </w:t>
      </w:r>
    </w:p>
    <w:p w14:paraId="253487BC" w14:textId="77777777" w:rsidR="00E87127" w:rsidRPr="00523EFB" w:rsidRDefault="00E87127" w:rsidP="00E87127">
      <w:pPr>
        <w:spacing w:after="0" w:line="360" w:lineRule="auto"/>
        <w:jc w:val="both"/>
        <w:rPr>
          <w:rFonts w:ascii="Calibri" w:eastAsia="Times New Roman" w:hAnsi="Calibri" w:cs="Calibri"/>
          <w:lang w:val="en-GB"/>
        </w:rPr>
      </w:pPr>
    </w:p>
    <w:p w14:paraId="6B480645" w14:textId="77777777" w:rsidR="00E87127" w:rsidRPr="00523EFB" w:rsidRDefault="00E87127" w:rsidP="00E87127">
      <w:pPr>
        <w:spacing w:after="0" w:line="360" w:lineRule="auto"/>
        <w:jc w:val="both"/>
        <w:rPr>
          <w:rFonts w:ascii="Calibri" w:eastAsia="Times New Roman" w:hAnsi="Calibri" w:cs="Calibri"/>
          <w:lang w:val="en-GB"/>
        </w:rPr>
      </w:pPr>
      <w:r w:rsidRPr="00523EFB">
        <w:rPr>
          <w:rFonts w:ascii="Calibri" w:eastAsia="Times New Roman" w:hAnsi="Calibri" w:cs="Calibri"/>
          <w:lang w:val="en-GB"/>
        </w:rPr>
        <w:t>Finally, a new equilibrium</w:t>
      </w:r>
      <w:r>
        <w:rPr>
          <w:rFonts w:ascii="Calibri" w:eastAsia="Times New Roman" w:hAnsi="Calibri" w:cs="Calibri"/>
          <w:lang w:val="en-GB"/>
        </w:rPr>
        <w:t>, or ‘resolution’ (Labov and Waletzky 1961, Van Dijk 1975)</w:t>
      </w:r>
      <w:r w:rsidRPr="00523EFB">
        <w:rPr>
          <w:rFonts w:ascii="Calibri" w:eastAsia="Times New Roman" w:hAnsi="Calibri" w:cs="Calibri"/>
          <w:lang w:val="en-GB"/>
        </w:rPr>
        <w:t xml:space="preserve"> is arrived at: the death of the individual. This equilibrium is contextualised by assessing the actions or omissions of individuals involved during the period of imbalance, for example:</w:t>
      </w:r>
    </w:p>
    <w:p w14:paraId="45257024" w14:textId="77777777" w:rsidR="00E87127" w:rsidRPr="00523EFB" w:rsidRDefault="00E87127" w:rsidP="00E87127">
      <w:pPr>
        <w:spacing w:after="0" w:line="360" w:lineRule="auto"/>
        <w:jc w:val="both"/>
        <w:rPr>
          <w:rFonts w:ascii="Calibri" w:eastAsia="Times New Roman" w:hAnsi="Calibri" w:cs="Calibri"/>
          <w:lang w:val="en-GB"/>
        </w:rPr>
      </w:pPr>
    </w:p>
    <w:p w14:paraId="484BDE48" w14:textId="77777777" w:rsidR="00E87127" w:rsidRPr="00523EFB" w:rsidRDefault="00E87127" w:rsidP="00E87127">
      <w:pPr>
        <w:spacing w:after="0" w:line="360" w:lineRule="auto"/>
        <w:ind w:left="284" w:right="284"/>
        <w:jc w:val="both"/>
        <w:rPr>
          <w:rFonts w:ascii="Calibri" w:eastAsia="Times New Roman" w:hAnsi="Calibri" w:cs="Calibri"/>
          <w:lang w:val="en-GB"/>
        </w:rPr>
      </w:pPr>
      <w:r w:rsidRPr="00523EFB">
        <w:rPr>
          <w:rFonts w:ascii="Calibri" w:eastAsia="Times New Roman" w:hAnsi="Calibri" w:cs="Calibri"/>
          <w:b/>
          <w:lang w:val="en-GB"/>
        </w:rPr>
        <w:t>Case 55</w:t>
      </w:r>
      <w:r w:rsidRPr="00523EFB">
        <w:rPr>
          <w:rFonts w:ascii="Calibri" w:eastAsia="Times New Roman" w:hAnsi="Calibri" w:cs="Calibri"/>
          <w:lang w:val="en-GB"/>
        </w:rPr>
        <w:t xml:space="preserve">: </w:t>
      </w:r>
      <w:r w:rsidRPr="00523EFB">
        <w:rPr>
          <w:rFonts w:ascii="Calibri" w:eastAsia="Times New Roman" w:hAnsi="Calibri" w:cs="Calibri"/>
          <w:i/>
          <w:lang w:val="en-GB"/>
        </w:rPr>
        <w:t>‘[the deceased] did not receive an appropriate examination from the M.E</w:t>
      </w:r>
      <w:r w:rsidRPr="00523EFB">
        <w:rPr>
          <w:rFonts w:ascii="Calibri" w:eastAsia="Times New Roman" w:hAnsi="Calibri" w:cs="Calibri"/>
          <w:i/>
          <w:vertAlign w:val="superscript"/>
          <w:lang w:val="en-GB"/>
        </w:rPr>
        <w:footnoteReference w:id="2"/>
      </w:r>
      <w:r w:rsidRPr="00523EFB">
        <w:rPr>
          <w:rFonts w:ascii="Calibri" w:eastAsia="Times New Roman" w:hAnsi="Calibri" w:cs="Calibri"/>
          <w:i/>
          <w:lang w:val="en-GB"/>
        </w:rPr>
        <w:t xml:space="preserve"> due to the omission of basic medical assessment. This constitutes a gross failure.’</w:t>
      </w:r>
      <w:r w:rsidRPr="00523EFB">
        <w:rPr>
          <w:rFonts w:ascii="Calibri" w:eastAsia="Times New Roman" w:hAnsi="Calibri" w:cs="Calibri"/>
          <w:lang w:val="en-GB"/>
        </w:rPr>
        <w:t xml:space="preserve"> </w:t>
      </w:r>
    </w:p>
    <w:p w14:paraId="219B5BC1" w14:textId="77777777" w:rsidR="00E87127" w:rsidRPr="00523EFB" w:rsidRDefault="00E87127" w:rsidP="00E87127">
      <w:pPr>
        <w:spacing w:after="0" w:line="360" w:lineRule="auto"/>
        <w:ind w:left="284" w:right="284"/>
        <w:jc w:val="both"/>
        <w:rPr>
          <w:rFonts w:ascii="Calibri" w:eastAsia="Times New Roman" w:hAnsi="Calibri" w:cs="Calibri"/>
          <w:i/>
          <w:lang w:val="en-GB"/>
        </w:rPr>
      </w:pPr>
      <w:r>
        <w:rPr>
          <w:rFonts w:ascii="Calibri" w:eastAsia="Times New Roman" w:hAnsi="Calibri" w:cs="Calibri"/>
          <w:b/>
          <w:lang w:val="en-GB"/>
        </w:rPr>
        <w:t>Case 59</w:t>
      </w:r>
      <w:r w:rsidRPr="00523EFB">
        <w:rPr>
          <w:rFonts w:ascii="Calibri" w:eastAsia="Times New Roman" w:hAnsi="Calibri" w:cs="Calibri"/>
          <w:b/>
          <w:lang w:val="en-GB"/>
        </w:rPr>
        <w:t>:</w:t>
      </w:r>
      <w:r w:rsidRPr="00523EFB">
        <w:rPr>
          <w:rFonts w:ascii="Calibri" w:eastAsia="Times New Roman" w:hAnsi="Calibri" w:cs="Calibri"/>
          <w:lang w:val="en-GB"/>
        </w:rPr>
        <w:t xml:space="preserve"> </w:t>
      </w:r>
      <w:r w:rsidRPr="00130D54">
        <w:rPr>
          <w:rFonts w:ascii="Calibri" w:eastAsia="Times New Roman" w:hAnsi="Calibri" w:cs="Calibri"/>
          <w:i/>
          <w:lang w:val="en-GB"/>
        </w:rPr>
        <w:t>‘He was restrained prone until sedation was effective and was then turned over. Unfortunately</w:t>
      </w:r>
      <w:r>
        <w:rPr>
          <w:rFonts w:ascii="Calibri" w:eastAsia="Times New Roman" w:hAnsi="Calibri" w:cs="Calibri"/>
          <w:i/>
          <w:lang w:val="en-GB"/>
        </w:rPr>
        <w:t>,</w:t>
      </w:r>
      <w:r w:rsidRPr="00130D54">
        <w:rPr>
          <w:rFonts w:ascii="Calibri" w:eastAsia="Times New Roman" w:hAnsi="Calibri" w:cs="Calibri"/>
          <w:i/>
          <w:lang w:val="en-GB"/>
        </w:rPr>
        <w:t xml:space="preserve"> he arrested within a minute and died less than two hours later.’</w:t>
      </w:r>
      <w:r>
        <w:rPr>
          <w:rFonts w:ascii="Calibri" w:eastAsia="Times New Roman" w:hAnsi="Calibri" w:cs="Calibri"/>
          <w:lang w:val="en-GB"/>
        </w:rPr>
        <w:t xml:space="preserve"> </w:t>
      </w:r>
    </w:p>
    <w:p w14:paraId="601BCEA8" w14:textId="77777777" w:rsidR="00E87127" w:rsidRPr="00523EFB" w:rsidRDefault="00E87127" w:rsidP="00E87127">
      <w:pPr>
        <w:spacing w:after="0" w:line="360" w:lineRule="auto"/>
        <w:jc w:val="both"/>
        <w:rPr>
          <w:rFonts w:ascii="Calibri" w:eastAsia="Times New Roman" w:hAnsi="Calibri" w:cs="Calibri"/>
          <w:lang w:val="en-GB"/>
        </w:rPr>
      </w:pPr>
    </w:p>
    <w:p w14:paraId="25D3F12E" w14:textId="77777777" w:rsidR="00E87127" w:rsidRPr="00523EFB" w:rsidRDefault="00E87127" w:rsidP="00E87127">
      <w:pPr>
        <w:spacing w:after="0" w:line="360" w:lineRule="auto"/>
        <w:jc w:val="both"/>
        <w:rPr>
          <w:lang w:val="en-GB"/>
        </w:rPr>
      </w:pPr>
      <w:r w:rsidRPr="00523EFB">
        <w:rPr>
          <w:rFonts w:ascii="Calibri" w:eastAsia="Times New Roman" w:hAnsi="Calibri" w:cs="Times New Roman"/>
          <w:lang w:val="en-GB"/>
        </w:rPr>
        <w:t xml:space="preserve">When physical characteristics are recorded in the initial stage of constructing an equilibrium they situate the individual within a context that requires action to address the situation in which police find themselves. Police are called to deal with an individual </w:t>
      </w:r>
      <w:r>
        <w:rPr>
          <w:rFonts w:ascii="Calibri" w:eastAsia="Times New Roman" w:hAnsi="Calibri" w:cs="Times New Roman"/>
          <w:lang w:val="en-GB"/>
        </w:rPr>
        <w:t xml:space="preserve">often </w:t>
      </w:r>
      <w:r w:rsidRPr="00523EFB">
        <w:rPr>
          <w:rFonts w:ascii="Calibri" w:eastAsia="Times New Roman" w:hAnsi="Calibri" w:cs="Times New Roman"/>
          <w:lang w:val="en-GB"/>
        </w:rPr>
        <w:t>constructed as being either potentially dangerous, diseased, or unpredictable. The police reaction tends to be constructed as rational, necessary and measured, supporting Hyden’s (1997)</w:t>
      </w:r>
      <w:r>
        <w:rPr>
          <w:rFonts w:ascii="Calibri" w:eastAsia="Times New Roman" w:hAnsi="Calibri" w:cs="Times New Roman"/>
          <w:lang w:val="en-GB"/>
        </w:rPr>
        <w:t xml:space="preserve"> research</w:t>
      </w:r>
      <w:r w:rsidRPr="00523EFB">
        <w:rPr>
          <w:rFonts w:ascii="Calibri" w:eastAsia="Times New Roman" w:hAnsi="Calibri" w:cs="Times New Roman"/>
          <w:lang w:val="en-GB"/>
        </w:rPr>
        <w:t xml:space="preserve"> that narratives structured events and behaviours in such a way as to justify the intervention of authority.</w:t>
      </w:r>
      <w:r>
        <w:rPr>
          <w:lang w:val="en-GB"/>
        </w:rPr>
        <w:t xml:space="preserve"> </w:t>
      </w:r>
      <w:r w:rsidRPr="00523EFB">
        <w:rPr>
          <w:lang w:val="en-GB"/>
        </w:rPr>
        <w:t>Thus the contexts within which narrative</w:t>
      </w:r>
      <w:r>
        <w:rPr>
          <w:lang w:val="en-GB"/>
        </w:rPr>
        <w:t>s are</w:t>
      </w:r>
      <w:r w:rsidRPr="00523EFB">
        <w:rPr>
          <w:lang w:val="en-GB"/>
        </w:rPr>
        <w:t xml:space="preserve"> constructed need to be analysed to better understand the content, form and structure that determine </w:t>
      </w:r>
      <w:r>
        <w:rPr>
          <w:lang w:val="en-GB"/>
        </w:rPr>
        <w:t>the construction of</w:t>
      </w:r>
      <w:r w:rsidRPr="00523EFB">
        <w:rPr>
          <w:lang w:val="en-GB"/>
        </w:rPr>
        <w:t xml:space="preserve"> narrative verdicts in cases of DAPC. </w:t>
      </w:r>
    </w:p>
    <w:p w14:paraId="4ED825A3" w14:textId="77777777" w:rsidR="00E87127" w:rsidRDefault="00E87127" w:rsidP="00E87127">
      <w:pPr>
        <w:spacing w:after="0" w:line="360" w:lineRule="auto"/>
        <w:jc w:val="both"/>
        <w:rPr>
          <w:lang w:val="en-GB"/>
        </w:rPr>
      </w:pPr>
    </w:p>
    <w:p w14:paraId="5528B355" w14:textId="77777777" w:rsidR="00E87127" w:rsidRPr="00523EFB" w:rsidRDefault="00E87127" w:rsidP="00E87127">
      <w:pPr>
        <w:spacing w:after="0" w:line="360" w:lineRule="auto"/>
        <w:jc w:val="both"/>
        <w:rPr>
          <w:lang w:val="en-GB"/>
        </w:rPr>
      </w:pPr>
    </w:p>
    <w:p w14:paraId="1574AAE9" w14:textId="77777777" w:rsidR="00E87127" w:rsidRPr="00523EFB" w:rsidRDefault="00E87127" w:rsidP="00E87127">
      <w:pPr>
        <w:spacing w:after="0" w:line="360" w:lineRule="auto"/>
        <w:jc w:val="both"/>
        <w:rPr>
          <w:b/>
          <w:i/>
          <w:lang w:val="en-GB"/>
        </w:rPr>
      </w:pPr>
      <w:r w:rsidRPr="00523EFB">
        <w:rPr>
          <w:b/>
          <w:i/>
          <w:lang w:val="en-GB"/>
        </w:rPr>
        <w:t>Contexts and contextualisation</w:t>
      </w:r>
    </w:p>
    <w:p w14:paraId="37CD56C1" w14:textId="77777777" w:rsidR="00E87127" w:rsidRPr="00523EFB" w:rsidRDefault="00E87127" w:rsidP="00E87127">
      <w:pPr>
        <w:spacing w:after="0" w:line="360" w:lineRule="auto"/>
        <w:jc w:val="both"/>
        <w:rPr>
          <w:lang w:val="en-GB"/>
        </w:rPr>
      </w:pPr>
    </w:p>
    <w:p w14:paraId="5B860719" w14:textId="77777777" w:rsidR="00E87127" w:rsidRPr="00523EFB" w:rsidRDefault="00E87127" w:rsidP="00E87127">
      <w:pPr>
        <w:spacing w:after="0" w:line="360" w:lineRule="auto"/>
        <w:jc w:val="both"/>
        <w:rPr>
          <w:lang w:val="en-GB"/>
        </w:rPr>
      </w:pPr>
      <w:r w:rsidRPr="00523EFB">
        <w:rPr>
          <w:lang w:val="en-GB"/>
        </w:rPr>
        <w:t>Bauman and Briggs (1990) note six different contexts</w:t>
      </w:r>
      <w:r>
        <w:rPr>
          <w:rStyle w:val="FootnoteReference"/>
          <w:lang w:val="en-GB"/>
        </w:rPr>
        <w:footnoteReference w:id="3"/>
      </w:r>
      <w:r w:rsidRPr="00523EFB">
        <w:rPr>
          <w:lang w:val="en-GB"/>
        </w:rPr>
        <w:t xml:space="preserve"> within which narrative is constructed, this paper focuses on four of these contexts in relation to narrative verdicts. First, the context of meaning relates to the overarching message of the narrative; narrative verdicts must be explicable to</w:t>
      </w:r>
      <w:r>
        <w:rPr>
          <w:lang w:val="en-GB"/>
        </w:rPr>
        <w:t xml:space="preserve"> social audiences (Xxxxx 2016a</w:t>
      </w:r>
      <w:r w:rsidRPr="00523EFB">
        <w:rPr>
          <w:lang w:val="en-GB"/>
        </w:rPr>
        <w:t>). Secondly, the institutional context in which the narrative is constructed, in this case within the coronial system (Matthews 2014). Thirdly, the context of the communicative system used – in this case, precedents set by previous narrative verdicts recorded in the coronial system shape how future verdict</w:t>
      </w:r>
      <w:r>
        <w:rPr>
          <w:lang w:val="en-GB"/>
        </w:rPr>
        <w:t>s are constructed (Thomas, Straw and Friedman</w:t>
      </w:r>
      <w:r w:rsidRPr="00523EFB">
        <w:rPr>
          <w:lang w:val="en-GB"/>
        </w:rPr>
        <w:t xml:space="preserve"> 2008). Finally, the context of the situation which creates conditions for the narrative to be written. This might be imagined as an extension of the institutional context in that jurors are aware of factors external to the coronial system, for example the media reporting of </w:t>
      </w:r>
      <w:r>
        <w:rPr>
          <w:lang w:val="en-GB"/>
        </w:rPr>
        <w:t>such</w:t>
      </w:r>
      <w:r w:rsidRPr="00523EFB">
        <w:rPr>
          <w:lang w:val="en-GB"/>
        </w:rPr>
        <w:t xml:space="preserve"> case</w:t>
      </w:r>
      <w:r>
        <w:rPr>
          <w:lang w:val="en-GB"/>
        </w:rPr>
        <w:t>s</w:t>
      </w:r>
      <w:r w:rsidRPr="00523EFB">
        <w:rPr>
          <w:lang w:val="en-GB"/>
        </w:rPr>
        <w:t>; or of social or political events occurring at the time of the inquest such as the overarching issue of deaths in state custody.</w:t>
      </w:r>
    </w:p>
    <w:p w14:paraId="3FCB33E2" w14:textId="77777777" w:rsidR="00E87127" w:rsidRPr="00523EFB" w:rsidRDefault="00E87127" w:rsidP="00E87127">
      <w:pPr>
        <w:spacing w:after="0" w:line="360" w:lineRule="auto"/>
        <w:jc w:val="both"/>
        <w:rPr>
          <w:lang w:val="en-GB"/>
        </w:rPr>
      </w:pPr>
    </w:p>
    <w:p w14:paraId="71922ADB" w14:textId="77777777" w:rsidR="00E87127" w:rsidRPr="00523EFB" w:rsidRDefault="00E87127" w:rsidP="00E87127">
      <w:pPr>
        <w:spacing w:after="0" w:line="360" w:lineRule="auto"/>
        <w:jc w:val="both"/>
        <w:rPr>
          <w:lang w:val="en-GB"/>
        </w:rPr>
      </w:pPr>
      <w:r w:rsidRPr="00523EFB">
        <w:rPr>
          <w:lang w:val="en-GB"/>
        </w:rPr>
        <w:t xml:space="preserve">Thus contexts create ambiguity in the construction of narratives as they </w:t>
      </w:r>
      <w:r>
        <w:rPr>
          <w:lang w:val="en-GB"/>
        </w:rPr>
        <w:t>are</w:t>
      </w:r>
      <w:r w:rsidRPr="00523EFB">
        <w:rPr>
          <w:lang w:val="en-GB"/>
        </w:rPr>
        <w:t xml:space="preserve"> produced in a state of tension due to the nature of these complex relationships. This prompted authors (Bauman and Briggs 1990, Wilson 2015) to focus on </w:t>
      </w:r>
      <w:r w:rsidRPr="00AB18BB">
        <w:rPr>
          <w:i/>
          <w:lang w:val="en-GB"/>
        </w:rPr>
        <w:t>contextualising</w:t>
      </w:r>
      <w:r w:rsidRPr="00523EFB">
        <w:rPr>
          <w:lang w:val="en-GB"/>
        </w:rPr>
        <w:t xml:space="preserve"> narrative in terms of interactions and relationships between these contexts, hence the need to consider them dialectically. Consequently, relationships between contexts, between structure and content, and between juries and the institutional requirements of the coronial system must be taken into account </w:t>
      </w:r>
      <w:r>
        <w:rPr>
          <w:lang w:val="en-GB"/>
        </w:rPr>
        <w:t>when considering how</w:t>
      </w:r>
      <w:r w:rsidRPr="00523EFB">
        <w:rPr>
          <w:lang w:val="en-GB"/>
        </w:rPr>
        <w:t xml:space="preserve"> narrative verdict</w:t>
      </w:r>
      <w:r>
        <w:rPr>
          <w:lang w:val="en-GB"/>
        </w:rPr>
        <w:t xml:space="preserve">s are constructed. </w:t>
      </w:r>
      <w:r w:rsidRPr="00523EFB">
        <w:rPr>
          <w:lang w:val="en-GB"/>
        </w:rPr>
        <w:t xml:space="preserve">Shifting contexts typically produce multiple meanings (see for example </w:t>
      </w:r>
      <w:r>
        <w:rPr>
          <w:lang w:val="en-GB"/>
        </w:rPr>
        <w:t>Presser and Sandberg 2015</w:t>
      </w:r>
      <w:r w:rsidRPr="00523EFB">
        <w:rPr>
          <w:lang w:val="en-GB"/>
        </w:rPr>
        <w:t>), and this mirrors the complex cau</w:t>
      </w:r>
      <w:r>
        <w:rPr>
          <w:lang w:val="en-GB"/>
        </w:rPr>
        <w:t>sality and controversial nature of</w:t>
      </w:r>
      <w:r w:rsidRPr="00523EFB">
        <w:rPr>
          <w:lang w:val="en-GB"/>
        </w:rPr>
        <w:t xml:space="preserve"> many cases of DAPC (see, </w:t>
      </w:r>
      <w:r>
        <w:rPr>
          <w:lang w:val="en-GB"/>
        </w:rPr>
        <w:t>for example Xxxxx 2016a</w:t>
      </w:r>
      <w:r w:rsidRPr="00523EFB">
        <w:rPr>
          <w:lang w:val="en-GB"/>
        </w:rPr>
        <w:t xml:space="preserve">). </w:t>
      </w:r>
    </w:p>
    <w:p w14:paraId="0F8317E3" w14:textId="77777777" w:rsidR="00E87127" w:rsidRPr="00523EFB" w:rsidRDefault="00E87127" w:rsidP="00E87127">
      <w:pPr>
        <w:spacing w:after="0" w:line="360" w:lineRule="auto"/>
        <w:jc w:val="both"/>
        <w:rPr>
          <w:lang w:val="en-GB"/>
        </w:rPr>
      </w:pPr>
    </w:p>
    <w:p w14:paraId="33380A8D" w14:textId="77777777" w:rsidR="00E87127" w:rsidRPr="00523EFB" w:rsidRDefault="00E87127" w:rsidP="00E87127">
      <w:pPr>
        <w:spacing w:after="0" w:line="360" w:lineRule="auto"/>
        <w:jc w:val="both"/>
        <w:rPr>
          <w:lang w:val="en-GB"/>
        </w:rPr>
      </w:pPr>
      <w:r w:rsidRPr="00523EFB">
        <w:rPr>
          <w:lang w:val="en-GB"/>
        </w:rPr>
        <w:t xml:space="preserve">If narratives comprise multiple meanings and are constructed in multiple contexts mediated by </w:t>
      </w:r>
      <w:r>
        <w:rPr>
          <w:lang w:val="en-GB"/>
        </w:rPr>
        <w:t xml:space="preserve">complex </w:t>
      </w:r>
      <w:r w:rsidRPr="00523EFB">
        <w:rPr>
          <w:lang w:val="en-GB"/>
        </w:rPr>
        <w:t xml:space="preserve">relationships, then it </w:t>
      </w:r>
      <w:r>
        <w:rPr>
          <w:lang w:val="en-GB"/>
        </w:rPr>
        <w:t>is evident</w:t>
      </w:r>
      <w:r w:rsidRPr="00523EFB">
        <w:rPr>
          <w:lang w:val="en-GB"/>
        </w:rPr>
        <w:t xml:space="preserve"> that narrative construction is marked by plural processes. </w:t>
      </w:r>
      <w:r>
        <w:rPr>
          <w:lang w:val="en-GB"/>
        </w:rPr>
        <w:t>N</w:t>
      </w:r>
      <w:r w:rsidRPr="00523EFB">
        <w:rPr>
          <w:lang w:val="en-GB"/>
        </w:rPr>
        <w:t xml:space="preserve">arrative </w:t>
      </w:r>
      <w:r>
        <w:rPr>
          <w:lang w:val="en-GB"/>
        </w:rPr>
        <w:t>is therefore</w:t>
      </w:r>
      <w:r w:rsidRPr="00523EFB">
        <w:rPr>
          <w:lang w:val="en-GB"/>
        </w:rPr>
        <w:t xml:space="preserve"> polyphonic on a number of le</w:t>
      </w:r>
      <w:r>
        <w:rPr>
          <w:lang w:val="en-GB"/>
        </w:rPr>
        <w:t>vels (see, for example Sandberg, Tutenges and Copes 2015</w:t>
      </w:r>
      <w:r w:rsidRPr="00523EFB">
        <w:rPr>
          <w:lang w:val="en-GB"/>
        </w:rPr>
        <w:t>). Belova</w:t>
      </w:r>
      <w:r>
        <w:rPr>
          <w:lang w:val="en-GB"/>
        </w:rPr>
        <w:t>, King and Sliwa</w:t>
      </w:r>
      <w:r w:rsidRPr="00523EFB">
        <w:rPr>
          <w:lang w:val="en-GB"/>
        </w:rPr>
        <w:t xml:space="preserve"> (2008) assert that in polyphonic narrative construction, meaning emerges from multiple voices within organisations to produce a unified narrative. This occurs in a</w:t>
      </w:r>
      <w:r>
        <w:rPr>
          <w:lang w:val="en-GB"/>
        </w:rPr>
        <w:t xml:space="preserve"> process that is multi-centred and </w:t>
      </w:r>
      <w:r w:rsidRPr="00523EFB">
        <w:rPr>
          <w:lang w:val="en-GB"/>
        </w:rPr>
        <w:t>non-linear. Sullivan and McCarthy (2</w:t>
      </w:r>
      <w:r>
        <w:rPr>
          <w:lang w:val="en-GB"/>
        </w:rPr>
        <w:t xml:space="preserve">008) observe that </w:t>
      </w:r>
      <w:r w:rsidRPr="00523EFB">
        <w:rPr>
          <w:lang w:val="en-GB"/>
        </w:rPr>
        <w:t xml:space="preserve">polyphonic narrative construction is an ongoing, open-ended process. </w:t>
      </w:r>
      <w:r>
        <w:rPr>
          <w:lang w:val="en-GB"/>
        </w:rPr>
        <w:t>Thus</w:t>
      </w:r>
      <w:r w:rsidRPr="00523EFB">
        <w:rPr>
          <w:lang w:val="en-GB"/>
        </w:rPr>
        <w:t xml:space="preserve"> Hermans (2001) term</w:t>
      </w:r>
      <w:r>
        <w:rPr>
          <w:lang w:val="en-GB"/>
        </w:rPr>
        <w:t>s</w:t>
      </w:r>
      <w:r w:rsidRPr="00523EFB">
        <w:rPr>
          <w:lang w:val="en-GB"/>
        </w:rPr>
        <w:t xml:space="preserve"> it a process of ‘ventriloquation’ (Bakhtin 1984) whereby one voice tends to speak using the voice of another, or</w:t>
      </w:r>
      <w:r>
        <w:rPr>
          <w:lang w:val="en-GB"/>
        </w:rPr>
        <w:t xml:space="preserve"> by using another type of voice; leading</w:t>
      </w:r>
      <w:r w:rsidRPr="00523EFB">
        <w:rPr>
          <w:lang w:val="en-GB"/>
        </w:rPr>
        <w:t xml:space="preserve"> him to conclude: ‘This heritage implies that the micro-context of concrete dialogical relationships cannot be understood without some concept of macro-frames’ (Hermans 2001: 264). Macro-frames shaping the construction of narrative verdicts include the institutional structure of the coronial system, the structures and convention of narrative itself, and the prevailing soci</w:t>
      </w:r>
      <w:r>
        <w:rPr>
          <w:lang w:val="en-GB"/>
        </w:rPr>
        <w:t>o-political discourse</w:t>
      </w:r>
      <w:r w:rsidRPr="00523EFB">
        <w:rPr>
          <w:lang w:val="en-GB"/>
        </w:rPr>
        <w:t xml:space="preserve">.  </w:t>
      </w:r>
    </w:p>
    <w:p w14:paraId="07F987B6" w14:textId="77777777" w:rsidR="00E87127" w:rsidRPr="00523EFB" w:rsidRDefault="00E87127" w:rsidP="00E87127">
      <w:pPr>
        <w:spacing w:after="0" w:line="360" w:lineRule="auto"/>
        <w:jc w:val="both"/>
        <w:rPr>
          <w:lang w:val="en-GB"/>
        </w:rPr>
      </w:pPr>
    </w:p>
    <w:p w14:paraId="0AD80559" w14:textId="77777777" w:rsidR="00E87127" w:rsidRPr="00523EFB" w:rsidRDefault="00E87127" w:rsidP="00E87127">
      <w:pPr>
        <w:spacing w:after="0" w:line="360" w:lineRule="auto"/>
        <w:jc w:val="both"/>
        <w:rPr>
          <w:rFonts w:ascii="Calibri" w:eastAsia="Times New Roman" w:hAnsi="Calibri" w:cs="Calibri"/>
          <w:lang w:val="en-GB"/>
        </w:rPr>
      </w:pPr>
      <w:r w:rsidRPr="00523EFB">
        <w:rPr>
          <w:rFonts w:ascii="Calibri" w:eastAsia="Times New Roman" w:hAnsi="Calibri" w:cs="Calibri"/>
          <w:lang w:val="en-GB"/>
        </w:rPr>
        <w:t>Another macro-frame</w:t>
      </w:r>
      <w:r>
        <w:rPr>
          <w:rFonts w:ascii="Calibri" w:eastAsia="Times New Roman" w:hAnsi="Calibri" w:cs="Calibri"/>
          <w:lang w:val="en-GB"/>
        </w:rPr>
        <w:t xml:space="preserve"> to consider is the tendency of inquests</w:t>
      </w:r>
      <w:r w:rsidRPr="00523EFB">
        <w:rPr>
          <w:rFonts w:ascii="Calibri" w:eastAsia="Times New Roman" w:hAnsi="Calibri" w:cs="Calibri"/>
          <w:lang w:val="en-GB"/>
        </w:rPr>
        <w:t xml:space="preserve"> to create or impose order on a complex and contentious death. Writing about trauma, Wilson (2015) notes that humans struggle to process events we cannot make sense of, hence </w:t>
      </w:r>
      <w:r>
        <w:rPr>
          <w:rFonts w:ascii="Calibri" w:eastAsia="Times New Roman" w:hAnsi="Calibri" w:cs="Calibri"/>
          <w:lang w:val="en-GB"/>
        </w:rPr>
        <w:t>the</w:t>
      </w:r>
      <w:r w:rsidRPr="00523EFB">
        <w:rPr>
          <w:rFonts w:ascii="Calibri" w:eastAsia="Times New Roman" w:hAnsi="Calibri" w:cs="Calibri"/>
          <w:lang w:val="en-GB"/>
        </w:rPr>
        <w:t xml:space="preserve"> wish to impose order on those events to better understand them. Hyden’s (1997) research into narrative construction in social work and psychiatric care found that establishing a coherent story about particular cases meant that a series of events were</w:t>
      </w:r>
      <w:r>
        <w:rPr>
          <w:rFonts w:ascii="Calibri" w:eastAsia="Times New Roman" w:hAnsi="Calibri" w:cs="Calibri"/>
          <w:lang w:val="en-GB"/>
        </w:rPr>
        <w:t xml:space="preserve"> defined, depicted and ordered. </w:t>
      </w:r>
      <w:r w:rsidRPr="00523EFB">
        <w:rPr>
          <w:rFonts w:ascii="Calibri" w:eastAsia="Times New Roman" w:hAnsi="Calibri" w:cs="Calibri"/>
          <w:lang w:val="en-GB"/>
        </w:rPr>
        <w:t>This typically resulted in the intervention of authorities being vindicated on the basis of the acts or behaviours of the individual unde</w:t>
      </w:r>
      <w:r>
        <w:rPr>
          <w:rFonts w:ascii="Calibri" w:eastAsia="Times New Roman" w:hAnsi="Calibri" w:cs="Calibri"/>
          <w:lang w:val="en-GB"/>
        </w:rPr>
        <w:t>r the care of the authorities</w:t>
      </w:r>
      <w:r w:rsidRPr="00523EFB">
        <w:rPr>
          <w:rFonts w:ascii="Calibri" w:eastAsia="Times New Roman" w:hAnsi="Calibri" w:cs="Calibri"/>
          <w:lang w:val="en-GB"/>
        </w:rPr>
        <w:t xml:space="preserve">. </w:t>
      </w:r>
    </w:p>
    <w:p w14:paraId="1C51CB9A" w14:textId="77777777" w:rsidR="00E87127" w:rsidRPr="00523EFB" w:rsidRDefault="00E87127" w:rsidP="00E87127">
      <w:pPr>
        <w:spacing w:after="0" w:line="360" w:lineRule="auto"/>
        <w:jc w:val="both"/>
        <w:rPr>
          <w:rFonts w:ascii="Calibri" w:eastAsia="Times New Roman" w:hAnsi="Calibri" w:cs="Calibri"/>
          <w:lang w:val="en-GB"/>
        </w:rPr>
      </w:pPr>
    </w:p>
    <w:p w14:paraId="08FC8321" w14:textId="77777777" w:rsidR="00E87127" w:rsidRPr="0026105C" w:rsidRDefault="00E87127" w:rsidP="00E87127">
      <w:pPr>
        <w:spacing w:after="0" w:line="360" w:lineRule="auto"/>
        <w:jc w:val="both"/>
        <w:rPr>
          <w:rFonts w:ascii="Calibri" w:eastAsia="Times New Roman" w:hAnsi="Calibri" w:cs="Times New Roman"/>
          <w:lang w:val="en-GB"/>
        </w:rPr>
      </w:pPr>
      <w:r w:rsidRPr="00523EFB">
        <w:rPr>
          <w:rFonts w:ascii="Calibri" w:eastAsia="Times New Roman" w:hAnsi="Calibri" w:cs="Calibri"/>
          <w:lang w:val="en-GB"/>
        </w:rPr>
        <w:t xml:space="preserve">Whilst inquests produce documents that ascribe the truths of what occurred, numerous authors state that these truths tend to be highly contentious and emerge through a process of negotiating differing statements and evidence, hence the earlier discussion of dialectical relationships in the process of narrative production (see, for example McMullan 2007, </w:t>
      </w:r>
      <w:r>
        <w:rPr>
          <w:rFonts w:ascii="Calibri" w:eastAsia="Times New Roman" w:hAnsi="Calibri" w:cs="Calibri"/>
          <w:lang w:val="en-GB"/>
        </w:rPr>
        <w:t>Goldson 2006</w:t>
      </w:r>
      <w:r w:rsidRPr="00523EFB">
        <w:rPr>
          <w:rFonts w:ascii="Calibri" w:eastAsia="Times New Roman" w:hAnsi="Calibri" w:cs="Calibri"/>
          <w:lang w:val="en-GB"/>
        </w:rPr>
        <w:t>). Hyden (1997:</w:t>
      </w:r>
      <w:r>
        <w:rPr>
          <w:rFonts w:ascii="Calibri" w:eastAsia="Times New Roman" w:hAnsi="Calibri" w:cs="Calibri"/>
          <w:lang w:val="en-GB"/>
        </w:rPr>
        <w:t xml:space="preserve"> </w:t>
      </w:r>
      <w:r w:rsidRPr="00523EFB">
        <w:rPr>
          <w:rFonts w:ascii="Calibri" w:eastAsia="Times New Roman" w:hAnsi="Calibri" w:cs="Calibri"/>
          <w:lang w:val="en-GB"/>
        </w:rPr>
        <w:t>260) notes that: ‘Although the institutional, written narrative is produced in a particular social context, the narrative is, at the same time, a way to structur</w:t>
      </w:r>
      <w:r>
        <w:rPr>
          <w:rFonts w:ascii="Calibri" w:eastAsia="Times New Roman" w:hAnsi="Calibri" w:cs="Calibri"/>
          <w:lang w:val="en-GB"/>
        </w:rPr>
        <w:t xml:space="preserve">e the institutional reality.’ </w:t>
      </w:r>
      <w:r w:rsidRPr="00523EFB">
        <w:rPr>
          <w:rFonts w:ascii="Calibri" w:eastAsia="Times New Roman" w:hAnsi="Calibri" w:cs="Calibri"/>
          <w:lang w:val="en-GB"/>
        </w:rPr>
        <w:t xml:space="preserve"> </w:t>
      </w:r>
      <w:r>
        <w:rPr>
          <w:rFonts w:ascii="Calibri" w:eastAsia="Times New Roman" w:hAnsi="Calibri" w:cs="Calibri"/>
          <w:lang w:val="en-GB"/>
        </w:rPr>
        <w:t>I</w:t>
      </w:r>
      <w:r w:rsidRPr="00523EFB">
        <w:rPr>
          <w:rFonts w:ascii="Calibri" w:eastAsia="Times New Roman" w:hAnsi="Calibri" w:cs="Calibri"/>
          <w:lang w:val="en-GB"/>
        </w:rPr>
        <w:t>nstitutional reality</w:t>
      </w:r>
      <w:r>
        <w:rPr>
          <w:rFonts w:ascii="Calibri" w:eastAsia="Times New Roman" w:hAnsi="Calibri" w:cs="Calibri"/>
          <w:lang w:val="en-GB"/>
        </w:rPr>
        <w:t xml:space="preserve"> in inquests</w:t>
      </w:r>
      <w:r w:rsidRPr="00523EFB">
        <w:rPr>
          <w:rFonts w:ascii="Calibri" w:eastAsia="Times New Roman" w:hAnsi="Calibri" w:cs="Calibri"/>
          <w:lang w:val="en-GB"/>
        </w:rPr>
        <w:t xml:space="preserve"> is constructed without the lead actor being present. The story of the events leading to their death </w:t>
      </w:r>
      <w:r>
        <w:rPr>
          <w:rFonts w:ascii="Calibri" w:eastAsia="Times New Roman" w:hAnsi="Calibri" w:cs="Calibri"/>
          <w:lang w:val="en-GB"/>
        </w:rPr>
        <w:t>is</w:t>
      </w:r>
      <w:r w:rsidRPr="00523EFB">
        <w:rPr>
          <w:rFonts w:ascii="Calibri" w:eastAsia="Times New Roman" w:hAnsi="Calibri" w:cs="Calibri"/>
          <w:lang w:val="en-GB"/>
        </w:rPr>
        <w:t xml:space="preserve"> told retrospectively, without their input (Hyden 1997, McMullan 2007). This leads Langer</w:t>
      </w:r>
      <w:r>
        <w:rPr>
          <w:rFonts w:ascii="Calibri" w:eastAsia="Times New Roman" w:hAnsi="Calibri" w:cs="Calibri"/>
          <w:lang w:val="en-GB"/>
        </w:rPr>
        <w:t>, Scourfield and Fincham</w:t>
      </w:r>
      <w:r w:rsidRPr="00523EFB">
        <w:rPr>
          <w:rFonts w:ascii="Calibri" w:eastAsia="Times New Roman" w:hAnsi="Calibri" w:cs="Calibri"/>
          <w:lang w:val="en-GB"/>
        </w:rPr>
        <w:t xml:space="preserve"> (2008) to note that in inquests, the dead can acquire new identities. </w:t>
      </w:r>
      <w:r w:rsidRPr="00523EFB">
        <w:rPr>
          <w:rFonts w:ascii="Calibri" w:eastAsia="Times New Roman" w:hAnsi="Calibri" w:cs="Times New Roman"/>
          <w:lang w:val="en-GB"/>
        </w:rPr>
        <w:t xml:space="preserve">The polyphonic process that constructs narrative is both enabled and constrained by contexts and structures, and these tensions produce meanings that emerge from such </w:t>
      </w:r>
      <w:r>
        <w:rPr>
          <w:rFonts w:ascii="Calibri" w:eastAsia="Times New Roman" w:hAnsi="Calibri" w:cs="Times New Roman"/>
          <w:lang w:val="en-GB"/>
        </w:rPr>
        <w:t xml:space="preserve">relationships (Hermans 2001). </w:t>
      </w:r>
      <w:r w:rsidRPr="00523EFB">
        <w:rPr>
          <w:rFonts w:ascii="Calibri" w:eastAsia="Times New Roman" w:hAnsi="Calibri" w:cs="Calibri"/>
          <w:lang w:val="en-GB"/>
        </w:rPr>
        <w:t xml:space="preserve">Sim and Tombs </w:t>
      </w:r>
      <w:r>
        <w:rPr>
          <w:rFonts w:ascii="Calibri" w:eastAsia="Times New Roman" w:hAnsi="Calibri" w:cs="Calibri"/>
          <w:lang w:val="en-GB"/>
        </w:rPr>
        <w:t xml:space="preserve">(2009: 13) </w:t>
      </w:r>
      <w:r w:rsidRPr="00523EFB">
        <w:rPr>
          <w:rFonts w:ascii="Calibri" w:eastAsia="Times New Roman" w:hAnsi="Calibri" w:cs="Calibri"/>
          <w:lang w:val="en-GB"/>
        </w:rPr>
        <w:t>observe how the state tends to construct moral and symbolic issues around violence and harm: ‘Building a consensus around the essential benevolence of state institutions and their servants…while simultaneously socially constructing these same servants as living in perpetual danger from the degenerate and the desperate has been central to this process</w:t>
      </w:r>
      <w:r>
        <w:rPr>
          <w:rFonts w:ascii="Calibri" w:eastAsia="Times New Roman" w:hAnsi="Calibri" w:cs="Calibri"/>
          <w:lang w:val="en-GB"/>
        </w:rPr>
        <w:t>.</w:t>
      </w:r>
      <w:r w:rsidRPr="00523EFB">
        <w:rPr>
          <w:rFonts w:ascii="Calibri" w:eastAsia="Times New Roman" w:hAnsi="Calibri" w:cs="Calibri"/>
          <w:lang w:val="en-GB"/>
        </w:rPr>
        <w:t xml:space="preserve">’ In order to do this, it is necessary to establish particular types of characters, and it is to this the paper now turns. </w:t>
      </w:r>
    </w:p>
    <w:p w14:paraId="5A3F3498" w14:textId="77777777" w:rsidR="00E87127" w:rsidRPr="00523EFB" w:rsidRDefault="00E87127" w:rsidP="00E87127">
      <w:pPr>
        <w:spacing w:after="0" w:line="360" w:lineRule="auto"/>
        <w:jc w:val="both"/>
        <w:rPr>
          <w:rFonts w:ascii="Calibri" w:eastAsia="Times New Roman" w:hAnsi="Calibri" w:cs="Times New Roman"/>
          <w:lang w:val="en-GB"/>
        </w:rPr>
      </w:pPr>
    </w:p>
    <w:p w14:paraId="45D1A07B" w14:textId="77777777" w:rsidR="00E87127" w:rsidRPr="00523EFB" w:rsidRDefault="00E87127" w:rsidP="00E87127">
      <w:pPr>
        <w:spacing w:after="0" w:line="360" w:lineRule="auto"/>
        <w:jc w:val="both"/>
        <w:rPr>
          <w:b/>
          <w:i/>
          <w:lang w:val="en-GB"/>
        </w:rPr>
      </w:pPr>
      <w:r>
        <w:rPr>
          <w:b/>
          <w:i/>
          <w:lang w:val="en-GB"/>
        </w:rPr>
        <w:t>Character types:</w:t>
      </w:r>
      <w:r w:rsidRPr="00523EFB">
        <w:rPr>
          <w:b/>
          <w:i/>
          <w:lang w:val="en-GB"/>
        </w:rPr>
        <w:t xml:space="preserve"> evaluative judgements</w:t>
      </w:r>
    </w:p>
    <w:p w14:paraId="160672CA" w14:textId="77777777" w:rsidR="00E87127" w:rsidRPr="00523EFB" w:rsidRDefault="00E87127" w:rsidP="00E87127">
      <w:pPr>
        <w:spacing w:after="0" w:line="360" w:lineRule="auto"/>
        <w:jc w:val="both"/>
        <w:rPr>
          <w:lang w:val="en-GB"/>
        </w:rPr>
      </w:pPr>
    </w:p>
    <w:p w14:paraId="106E7CA3" w14:textId="77777777" w:rsidR="00E87127" w:rsidRPr="00E87403" w:rsidRDefault="00E87127" w:rsidP="00E87127">
      <w:pPr>
        <w:spacing w:after="0" w:line="360" w:lineRule="auto"/>
        <w:jc w:val="both"/>
        <w:rPr>
          <w:rFonts w:ascii="Calibri" w:eastAsia="Times New Roman" w:hAnsi="Calibri" w:cs="Times New Roman"/>
          <w:lang w:val="en-GB"/>
        </w:rPr>
      </w:pPr>
      <w:r w:rsidRPr="00523EFB">
        <w:rPr>
          <w:lang w:val="en-GB"/>
        </w:rPr>
        <w:t xml:space="preserve">Stories require characters. Assigning roles to characters in narrative is key to interpreting how they behave in particular circumstances and why certain events unfold in the way they do (Shuman and Bohmer 2004, Youngs and Canter 2012). </w:t>
      </w:r>
      <w:r w:rsidRPr="00523EFB">
        <w:rPr>
          <w:rFonts w:ascii="Calibri" w:eastAsia="Times New Roman" w:hAnsi="Calibri" w:cs="Times New Roman"/>
          <w:lang w:val="en-GB"/>
        </w:rPr>
        <w:t>In t</w:t>
      </w:r>
      <w:r>
        <w:rPr>
          <w:rFonts w:ascii="Calibri" w:eastAsia="Times New Roman" w:hAnsi="Calibri" w:cs="Times New Roman"/>
          <w:lang w:val="en-GB"/>
        </w:rPr>
        <w:t>he dataset, when characteristics are mentioned</w:t>
      </w:r>
      <w:r w:rsidRPr="00523EFB">
        <w:rPr>
          <w:rFonts w:ascii="Calibri" w:eastAsia="Times New Roman" w:hAnsi="Calibri" w:cs="Times New Roman"/>
          <w:lang w:val="en-GB"/>
        </w:rPr>
        <w:t xml:space="preserve"> they occur purely about the deceased; there are no instances where actors from institutional organisations are depicted in terms of characteristics. In this sense, the deceased may be seen as the ‘lead actor’, or protagonist, in the construction of the narrative, or what Bruner (1987) terms the ‘agent’.</w:t>
      </w:r>
      <w:r>
        <w:rPr>
          <w:rFonts w:ascii="Calibri" w:eastAsia="Times New Roman" w:hAnsi="Calibri" w:cs="Times New Roman"/>
          <w:lang w:val="en-GB"/>
        </w:rPr>
        <w:t xml:space="preserve"> </w:t>
      </w:r>
      <w:r w:rsidRPr="00523EFB">
        <w:rPr>
          <w:rFonts w:ascii="Calibri" w:eastAsia="Times New Roman" w:hAnsi="Calibri" w:cs="Times New Roman"/>
          <w:lang w:val="en-GB"/>
        </w:rPr>
        <w:t>The need to ascribe official truths onto the body of the deceased is an exercise in the ‘protagonist’ being constructed through narrative without being physically present: ‘an unspeaking body is mapped and put into discourse’ (McMullan 2007: 29). The character of the individual is established (in absentia) in order to explain the context of events that subsequently unfold. In some ways, this represents a device for the jury to record aspects of the individual they find to be important in either humanising or dehumanising them, for example:</w:t>
      </w:r>
    </w:p>
    <w:p w14:paraId="79B0371A" w14:textId="77777777" w:rsidR="00E87127" w:rsidRPr="00523EFB" w:rsidRDefault="00E87127" w:rsidP="00E87127">
      <w:pPr>
        <w:spacing w:after="0" w:line="360" w:lineRule="auto"/>
        <w:jc w:val="both"/>
        <w:rPr>
          <w:rFonts w:ascii="Calibri" w:eastAsia="Times New Roman" w:hAnsi="Calibri" w:cs="Times New Roman"/>
          <w:lang w:val="en-GB"/>
        </w:rPr>
      </w:pPr>
    </w:p>
    <w:p w14:paraId="783EE1FE" w14:textId="77777777" w:rsidR="00E87127" w:rsidRPr="00523EFB" w:rsidRDefault="00E87127" w:rsidP="00E87127">
      <w:pPr>
        <w:spacing w:after="0" w:line="360" w:lineRule="auto"/>
        <w:ind w:left="284" w:right="284"/>
        <w:jc w:val="both"/>
        <w:rPr>
          <w:rFonts w:ascii="Calibri" w:eastAsia="Times New Roman" w:hAnsi="Calibri" w:cs="Times New Roman"/>
          <w:i/>
          <w:lang w:val="en-GB"/>
        </w:rPr>
      </w:pPr>
      <w:r w:rsidRPr="00523EFB">
        <w:rPr>
          <w:rFonts w:ascii="Calibri" w:eastAsia="Times New Roman" w:hAnsi="Calibri" w:cs="Times New Roman"/>
          <w:b/>
          <w:lang w:val="en-GB"/>
        </w:rPr>
        <w:t>Case 45</w:t>
      </w:r>
      <w:r w:rsidRPr="00523EFB">
        <w:rPr>
          <w:rFonts w:ascii="Calibri" w:eastAsia="Times New Roman" w:hAnsi="Calibri" w:cs="Times New Roman"/>
          <w:lang w:val="en-GB"/>
        </w:rPr>
        <w:t xml:space="preserve">: </w:t>
      </w:r>
      <w:r w:rsidRPr="00523EFB">
        <w:rPr>
          <w:rFonts w:ascii="Calibri" w:eastAsia="Times New Roman" w:hAnsi="Calibri" w:cs="Times New Roman"/>
          <w:i/>
          <w:lang w:val="en-GB"/>
        </w:rPr>
        <w:t>‘[The deceased] was a 39 year old family man with a partner and a very young daughter [name redacted], who was four weeks old at the time.’</w:t>
      </w:r>
    </w:p>
    <w:p w14:paraId="1F70CFBA" w14:textId="77777777" w:rsidR="00E87127" w:rsidRPr="00523EFB" w:rsidRDefault="00E87127" w:rsidP="00E87127">
      <w:pPr>
        <w:spacing w:after="0" w:line="360" w:lineRule="auto"/>
        <w:ind w:left="284" w:right="284"/>
        <w:jc w:val="both"/>
        <w:rPr>
          <w:rFonts w:ascii="Calibri" w:eastAsia="Times New Roman" w:hAnsi="Calibri" w:cs="Times New Roman"/>
          <w:lang w:val="en-GB"/>
        </w:rPr>
      </w:pPr>
    </w:p>
    <w:p w14:paraId="45DDCF30" w14:textId="77777777" w:rsidR="00E87127" w:rsidRPr="00523EFB" w:rsidRDefault="00E87127" w:rsidP="00E87127">
      <w:pPr>
        <w:spacing w:after="0" w:line="360" w:lineRule="auto"/>
        <w:ind w:left="284" w:right="284"/>
        <w:jc w:val="both"/>
        <w:rPr>
          <w:rFonts w:ascii="Calibri" w:eastAsia="Times New Roman" w:hAnsi="Calibri" w:cs="Times New Roman"/>
          <w:i/>
          <w:lang w:val="en-GB"/>
        </w:rPr>
      </w:pPr>
      <w:r w:rsidRPr="00523EFB">
        <w:rPr>
          <w:rFonts w:ascii="Calibri" w:eastAsia="Times New Roman" w:hAnsi="Calibri" w:cs="Times New Roman"/>
          <w:b/>
          <w:lang w:val="en-GB"/>
        </w:rPr>
        <w:t>Case 12</w:t>
      </w:r>
      <w:r w:rsidRPr="00523EFB">
        <w:rPr>
          <w:rFonts w:ascii="Calibri" w:eastAsia="Times New Roman" w:hAnsi="Calibri" w:cs="Times New Roman"/>
          <w:lang w:val="en-GB"/>
        </w:rPr>
        <w:t>: ‘</w:t>
      </w:r>
      <w:r w:rsidRPr="00523EFB">
        <w:rPr>
          <w:rFonts w:ascii="Calibri" w:eastAsia="Times New Roman" w:hAnsi="Calibri" w:cs="Times New Roman"/>
          <w:i/>
          <w:lang w:val="en-GB"/>
        </w:rPr>
        <w:t xml:space="preserve">He did not care for himself correctly showing signs of self neglect as during his drinking he would survive on strong cans of lager and chocolate. His dependency over the years caused him liver disease and jaundice.’  </w:t>
      </w:r>
    </w:p>
    <w:p w14:paraId="69623C40" w14:textId="77777777" w:rsidR="00E87127" w:rsidRPr="00523EFB" w:rsidRDefault="00E87127" w:rsidP="00E87127">
      <w:pPr>
        <w:spacing w:after="0" w:line="360" w:lineRule="auto"/>
        <w:ind w:left="737" w:right="737"/>
        <w:jc w:val="both"/>
        <w:rPr>
          <w:rFonts w:ascii="Calibri" w:eastAsia="Times New Roman" w:hAnsi="Calibri" w:cs="Times New Roman"/>
          <w:lang w:val="en-GB"/>
        </w:rPr>
      </w:pPr>
    </w:p>
    <w:p w14:paraId="78AE5EF4" w14:textId="77777777" w:rsidR="00E87127" w:rsidRPr="00523EFB" w:rsidRDefault="00E87127" w:rsidP="00E87127">
      <w:pPr>
        <w:spacing w:after="0" w:line="360" w:lineRule="auto"/>
        <w:jc w:val="both"/>
        <w:rPr>
          <w:rFonts w:ascii="Calibri" w:eastAsia="Times New Roman" w:hAnsi="Calibri" w:cs="Times New Roman"/>
          <w:lang w:val="en-GB"/>
        </w:rPr>
      </w:pPr>
      <w:r w:rsidRPr="00523EFB">
        <w:rPr>
          <w:rFonts w:ascii="Calibri" w:eastAsia="Times New Roman" w:hAnsi="Calibri" w:cs="Times New Roman"/>
          <w:lang w:val="en-GB"/>
        </w:rPr>
        <w:t>Both of these examples are evaluative judgements made by respective juries. In the former, the deceased is constructed as a ‘family man’ whilst in the latter as a dependent individual who does not care for himself. However, both deaths occurred after the individual was arrested for being drunk and incapable. This raises the issue of sympathy and pity in accountability construction. In the first case, the ‘family man’ construct could reflect Pennington and Hastie’s (1986) view that juries infer facts based on their own experiences, much as Taylor (2016) considers the construction of narrative by authors as being constitutive of what they know, or have observed. Thus, Aradau’s (2004) observation that pity must be recognisable in order for it to be identified dovetails with both Pennington and Hastie’s (1986) and Taylor’s (2016) findings. Furthermore, she notes that pity tends to not be demonstrated in cases where ‘ills’ have been self-inflicted or are perceived as being dangerous to the community</w:t>
      </w:r>
      <w:r>
        <w:rPr>
          <w:rFonts w:ascii="Calibri" w:eastAsia="Times New Roman" w:hAnsi="Calibri" w:cs="Times New Roman"/>
          <w:lang w:val="en-GB"/>
        </w:rPr>
        <w:t xml:space="preserve"> (Aradau 2004)</w:t>
      </w:r>
      <w:r w:rsidRPr="00523EFB">
        <w:rPr>
          <w:rFonts w:ascii="Calibri" w:eastAsia="Times New Roman" w:hAnsi="Calibri" w:cs="Times New Roman"/>
          <w:lang w:val="en-GB"/>
        </w:rPr>
        <w:t xml:space="preserve">. Thus, while neither case above represents a perceived threat to the community, the latter is less deserving of sympathy because his ‘ill’ is self-inflicted. This illustrates Fairclough’s (2003) assertion that in discourse, evaluations are made through phrases rather than through statements, hence the phrases ‘family man’ and ‘strong cans of lager and chocolate’ serve as shorthand for wider meanings, and </w:t>
      </w:r>
      <w:r>
        <w:rPr>
          <w:rFonts w:ascii="Calibri" w:eastAsia="Times New Roman" w:hAnsi="Calibri" w:cs="Times New Roman"/>
          <w:lang w:val="en-GB"/>
        </w:rPr>
        <w:t>supports</w:t>
      </w:r>
      <w:r w:rsidRPr="00523EFB">
        <w:rPr>
          <w:rFonts w:ascii="Calibri" w:eastAsia="Times New Roman" w:hAnsi="Calibri" w:cs="Times New Roman"/>
          <w:lang w:val="en-GB"/>
        </w:rPr>
        <w:t xml:space="preserve"> Daftary-Kapur</w:t>
      </w:r>
      <w:r>
        <w:rPr>
          <w:rFonts w:ascii="Calibri" w:eastAsia="Times New Roman" w:hAnsi="Calibri" w:cs="Times New Roman"/>
          <w:lang w:val="en-GB"/>
        </w:rPr>
        <w:t>, Dumas and Penrod</w:t>
      </w:r>
      <w:r w:rsidRPr="00523EFB">
        <w:rPr>
          <w:rFonts w:ascii="Calibri" w:eastAsia="Times New Roman" w:hAnsi="Calibri" w:cs="Times New Roman"/>
          <w:lang w:val="en-GB"/>
        </w:rPr>
        <w:t>’s (2010) observation that juries t</w:t>
      </w:r>
      <w:r>
        <w:rPr>
          <w:rFonts w:ascii="Calibri" w:eastAsia="Times New Roman" w:hAnsi="Calibri" w:cs="Times New Roman"/>
          <w:lang w:val="en-GB"/>
        </w:rPr>
        <w:t>end to use ‘heuristic shortcuts</w:t>
      </w:r>
      <w:r w:rsidRPr="00523EFB">
        <w:rPr>
          <w:rFonts w:ascii="Calibri" w:eastAsia="Times New Roman" w:hAnsi="Calibri" w:cs="Times New Roman"/>
          <w:lang w:val="en-GB"/>
        </w:rPr>
        <w:t>’</w:t>
      </w:r>
      <w:r>
        <w:rPr>
          <w:rFonts w:ascii="Calibri" w:eastAsia="Times New Roman" w:hAnsi="Calibri" w:cs="Times New Roman"/>
          <w:lang w:val="en-GB"/>
        </w:rPr>
        <w:t xml:space="preserve"> in order to construct comprehensible narratives. </w:t>
      </w:r>
    </w:p>
    <w:p w14:paraId="547DB292" w14:textId="77777777" w:rsidR="00E87127" w:rsidRPr="00523EFB" w:rsidRDefault="00E87127" w:rsidP="00E87127">
      <w:pPr>
        <w:spacing w:after="0" w:line="360" w:lineRule="auto"/>
        <w:jc w:val="both"/>
        <w:rPr>
          <w:rFonts w:ascii="Calibri" w:eastAsia="Times New Roman" w:hAnsi="Calibri" w:cs="Times New Roman"/>
          <w:lang w:val="en-GB"/>
        </w:rPr>
      </w:pPr>
    </w:p>
    <w:p w14:paraId="753875A9" w14:textId="77777777" w:rsidR="00E87127" w:rsidRPr="00523EFB" w:rsidRDefault="00E87127" w:rsidP="00E87127">
      <w:pPr>
        <w:spacing w:after="0" w:line="360" w:lineRule="auto"/>
        <w:jc w:val="both"/>
        <w:rPr>
          <w:rFonts w:ascii="Calibri" w:eastAsia="Times New Roman" w:hAnsi="Calibri" w:cs="Times New Roman"/>
          <w:lang w:val="en-GB"/>
        </w:rPr>
      </w:pPr>
      <w:r w:rsidRPr="00523EFB">
        <w:rPr>
          <w:rFonts w:ascii="Calibri" w:eastAsia="Times New Roman" w:hAnsi="Calibri" w:cs="Times New Roman"/>
          <w:lang w:val="en-GB"/>
        </w:rPr>
        <w:t xml:space="preserve">These observations </w:t>
      </w:r>
      <w:r>
        <w:rPr>
          <w:rFonts w:ascii="Calibri" w:eastAsia="Times New Roman" w:hAnsi="Calibri" w:cs="Times New Roman"/>
          <w:lang w:val="en-GB"/>
        </w:rPr>
        <w:t>parallel</w:t>
      </w:r>
      <w:r w:rsidRPr="00523EFB">
        <w:rPr>
          <w:rFonts w:ascii="Calibri" w:eastAsia="Times New Roman" w:hAnsi="Calibri" w:cs="Times New Roman"/>
          <w:lang w:val="en-GB"/>
        </w:rPr>
        <w:t xml:space="preserve"> Sim’s (2004: 125) view of ‘moral regulation’ in official documents whereby words are shaped to fit a certain discourse of social order. It suggests the de-legitimisation of certain </w:t>
      </w:r>
      <w:r>
        <w:rPr>
          <w:rFonts w:ascii="Calibri" w:eastAsia="Times New Roman" w:hAnsi="Calibri" w:cs="Times New Roman"/>
          <w:lang w:val="en-GB"/>
        </w:rPr>
        <w:t>marginalised</w:t>
      </w:r>
      <w:r w:rsidRPr="00523EFB">
        <w:rPr>
          <w:rFonts w:ascii="Calibri" w:eastAsia="Times New Roman" w:hAnsi="Calibri" w:cs="Times New Roman"/>
          <w:lang w:val="en-GB"/>
        </w:rPr>
        <w:t xml:space="preserve"> groups</w:t>
      </w:r>
      <w:r>
        <w:rPr>
          <w:rFonts w:ascii="Calibri" w:eastAsia="Times New Roman" w:hAnsi="Calibri" w:cs="Times New Roman"/>
          <w:lang w:val="en-GB"/>
        </w:rPr>
        <w:t xml:space="preserve"> in society</w:t>
      </w:r>
      <w:r w:rsidRPr="00523EFB">
        <w:rPr>
          <w:rFonts w:ascii="Calibri" w:eastAsia="Times New Roman" w:hAnsi="Calibri" w:cs="Times New Roman"/>
          <w:lang w:val="en-GB"/>
        </w:rPr>
        <w:t xml:space="preserve"> </w:t>
      </w:r>
      <w:r>
        <w:rPr>
          <w:rFonts w:ascii="Calibri" w:eastAsia="Times New Roman" w:hAnsi="Calibri" w:cs="Times New Roman"/>
          <w:lang w:val="en-GB"/>
        </w:rPr>
        <w:t>using</w:t>
      </w:r>
      <w:r w:rsidRPr="00523EFB">
        <w:rPr>
          <w:rFonts w:ascii="Calibri" w:eastAsia="Times New Roman" w:hAnsi="Calibri" w:cs="Times New Roman"/>
          <w:lang w:val="en-GB"/>
        </w:rPr>
        <w:t xml:space="preserve"> a process </w:t>
      </w:r>
      <w:r>
        <w:rPr>
          <w:rFonts w:ascii="Calibri" w:eastAsia="Times New Roman" w:hAnsi="Calibri" w:cs="Times New Roman"/>
          <w:lang w:val="en-GB"/>
        </w:rPr>
        <w:t>Reiner (201</w:t>
      </w:r>
      <w:r w:rsidRPr="00523EFB">
        <w:rPr>
          <w:rFonts w:ascii="Calibri" w:eastAsia="Times New Roman" w:hAnsi="Calibri" w:cs="Times New Roman"/>
          <w:lang w:val="en-GB"/>
        </w:rPr>
        <w:t xml:space="preserve">0) terms ‘de-incorporation’. In this sense: ‘dramatistic troubles are individual embodiments of deeper cultural crises’ (Bruner 1987: 19). Hence the capacity for juries to record observations about individuals who have died after police contact, such as:  </w:t>
      </w:r>
    </w:p>
    <w:p w14:paraId="1206C072" w14:textId="77777777" w:rsidR="00E87127" w:rsidRPr="00523EFB" w:rsidRDefault="00E87127" w:rsidP="00E87127">
      <w:pPr>
        <w:spacing w:after="0" w:line="360" w:lineRule="auto"/>
        <w:jc w:val="both"/>
        <w:rPr>
          <w:rFonts w:ascii="Calibri" w:eastAsia="Times New Roman" w:hAnsi="Calibri" w:cs="Times New Roman"/>
          <w:lang w:val="en-GB"/>
        </w:rPr>
      </w:pPr>
    </w:p>
    <w:p w14:paraId="28118632" w14:textId="77777777" w:rsidR="00E87127" w:rsidRPr="00523EFB" w:rsidRDefault="00E87127" w:rsidP="00E87127">
      <w:pPr>
        <w:spacing w:after="0" w:line="360" w:lineRule="auto"/>
        <w:ind w:left="284" w:right="284"/>
        <w:jc w:val="both"/>
        <w:rPr>
          <w:rFonts w:ascii="Calibri" w:eastAsia="Times New Roman" w:hAnsi="Calibri" w:cs="Times New Roman"/>
          <w:lang w:val="en-GB"/>
        </w:rPr>
      </w:pPr>
      <w:r w:rsidRPr="00523EFB">
        <w:rPr>
          <w:rFonts w:ascii="Calibri" w:eastAsia="Times New Roman" w:hAnsi="Calibri" w:cs="Times New Roman"/>
          <w:b/>
          <w:lang w:val="en-GB"/>
        </w:rPr>
        <w:t>Case 23</w:t>
      </w:r>
      <w:r w:rsidRPr="00523EFB">
        <w:rPr>
          <w:rFonts w:ascii="Calibri" w:eastAsia="Times New Roman" w:hAnsi="Calibri" w:cs="Times New Roman"/>
          <w:lang w:val="en-GB"/>
        </w:rPr>
        <w:t xml:space="preserve">: </w:t>
      </w:r>
      <w:r w:rsidRPr="00523EFB">
        <w:rPr>
          <w:rFonts w:ascii="Calibri" w:eastAsia="Times New Roman" w:hAnsi="Calibri" w:cs="Times New Roman"/>
          <w:i/>
          <w:lang w:val="en-GB"/>
        </w:rPr>
        <w:t>‘moaning and groaning’, ‘growling’, ‘sweating, naked and had blood on his forehead’.</w:t>
      </w:r>
      <w:r w:rsidRPr="00523EFB">
        <w:rPr>
          <w:rFonts w:ascii="Calibri" w:eastAsia="Times New Roman" w:hAnsi="Calibri" w:cs="Times New Roman"/>
          <w:lang w:val="en-GB"/>
        </w:rPr>
        <w:t xml:space="preserve"> </w:t>
      </w:r>
    </w:p>
    <w:p w14:paraId="4355E928" w14:textId="77777777" w:rsidR="00E87127" w:rsidRPr="00523EFB" w:rsidRDefault="00E87127" w:rsidP="00E87127">
      <w:pPr>
        <w:spacing w:after="0" w:line="360" w:lineRule="auto"/>
        <w:ind w:right="284"/>
        <w:jc w:val="both"/>
        <w:rPr>
          <w:rFonts w:ascii="Calibri" w:eastAsia="Times New Roman" w:hAnsi="Calibri" w:cs="Times New Roman"/>
          <w:lang w:val="en-GB"/>
        </w:rPr>
      </w:pPr>
    </w:p>
    <w:p w14:paraId="51DE77D3" w14:textId="77777777" w:rsidR="00E87127" w:rsidRPr="00523EFB" w:rsidRDefault="00E87127" w:rsidP="00E87127">
      <w:pPr>
        <w:spacing w:after="0" w:line="360" w:lineRule="auto"/>
        <w:ind w:right="284"/>
        <w:jc w:val="both"/>
        <w:rPr>
          <w:rFonts w:ascii="Calibri" w:eastAsia="Times New Roman" w:hAnsi="Calibri" w:cs="Times New Roman"/>
          <w:lang w:val="en-GB"/>
        </w:rPr>
      </w:pPr>
      <w:r w:rsidRPr="00523EFB">
        <w:rPr>
          <w:rFonts w:ascii="Calibri" w:eastAsia="Times New Roman" w:hAnsi="Calibri" w:cs="Times New Roman"/>
          <w:lang w:val="en-GB"/>
        </w:rPr>
        <w:t>The last-mentioned of these phrases is repeated three times.</w:t>
      </w:r>
    </w:p>
    <w:p w14:paraId="5EA7C0C1" w14:textId="77777777" w:rsidR="00E87127" w:rsidRPr="00523EFB" w:rsidRDefault="00E87127" w:rsidP="00E87127">
      <w:pPr>
        <w:spacing w:after="0" w:line="360" w:lineRule="auto"/>
        <w:ind w:left="284" w:right="284"/>
        <w:jc w:val="both"/>
        <w:rPr>
          <w:rFonts w:ascii="Calibri" w:eastAsia="Times New Roman" w:hAnsi="Calibri" w:cs="Times New Roman"/>
          <w:lang w:val="en-GB"/>
        </w:rPr>
      </w:pPr>
    </w:p>
    <w:p w14:paraId="649A838D" w14:textId="77777777" w:rsidR="00E87127" w:rsidRPr="00523EFB" w:rsidRDefault="00E87127" w:rsidP="00E87127">
      <w:pPr>
        <w:spacing w:after="0" w:line="360" w:lineRule="auto"/>
        <w:ind w:left="284" w:right="284"/>
        <w:jc w:val="both"/>
        <w:rPr>
          <w:rFonts w:ascii="Calibri" w:eastAsia="Times New Roman" w:hAnsi="Calibri" w:cs="Times New Roman"/>
          <w:lang w:val="en-GB"/>
        </w:rPr>
      </w:pPr>
      <w:r w:rsidRPr="00523EFB">
        <w:rPr>
          <w:rFonts w:ascii="Calibri" w:eastAsia="Times New Roman" w:hAnsi="Calibri" w:cs="Times New Roman"/>
          <w:b/>
          <w:lang w:val="en-GB"/>
        </w:rPr>
        <w:t>Case 46</w:t>
      </w:r>
      <w:r w:rsidRPr="00523EFB">
        <w:rPr>
          <w:rFonts w:ascii="Calibri" w:eastAsia="Times New Roman" w:hAnsi="Calibri" w:cs="Times New Roman"/>
          <w:lang w:val="en-GB"/>
        </w:rPr>
        <w:t>: ‘</w:t>
      </w:r>
      <w:r w:rsidRPr="00523EFB">
        <w:rPr>
          <w:rFonts w:ascii="Calibri" w:eastAsia="Times New Roman" w:hAnsi="Calibri" w:cs="Times New Roman"/>
          <w:i/>
          <w:lang w:val="en-GB"/>
        </w:rPr>
        <w:t>moaning, groaning and growling’</w:t>
      </w:r>
      <w:r w:rsidRPr="00523EFB">
        <w:rPr>
          <w:rFonts w:ascii="Calibri" w:eastAsia="Times New Roman" w:hAnsi="Calibri" w:cs="Times New Roman"/>
          <w:lang w:val="en-GB"/>
        </w:rPr>
        <w:t xml:space="preserve">. </w:t>
      </w:r>
    </w:p>
    <w:p w14:paraId="16B5B774" w14:textId="77777777" w:rsidR="00E87127" w:rsidRPr="00523EFB" w:rsidRDefault="00E87127" w:rsidP="00E87127">
      <w:pPr>
        <w:spacing w:after="0" w:line="360" w:lineRule="auto"/>
        <w:ind w:left="284" w:right="284"/>
        <w:jc w:val="both"/>
        <w:rPr>
          <w:rFonts w:ascii="Calibri" w:eastAsia="Times New Roman" w:hAnsi="Calibri" w:cs="Times New Roman"/>
          <w:lang w:val="en-GB"/>
        </w:rPr>
      </w:pPr>
    </w:p>
    <w:p w14:paraId="544BA0F3" w14:textId="77777777" w:rsidR="00E87127" w:rsidRPr="00523EFB" w:rsidRDefault="00E87127" w:rsidP="00E87127">
      <w:pPr>
        <w:spacing w:after="0" w:line="360" w:lineRule="auto"/>
        <w:jc w:val="both"/>
        <w:rPr>
          <w:rFonts w:ascii="Calibri" w:eastAsia="Times New Roman" w:hAnsi="Calibri" w:cs="Times New Roman"/>
          <w:lang w:val="en-GB"/>
        </w:rPr>
      </w:pPr>
      <w:r w:rsidRPr="00523EFB">
        <w:rPr>
          <w:rFonts w:ascii="Calibri" w:eastAsia="Times New Roman" w:hAnsi="Calibri" w:cs="Times New Roman"/>
          <w:lang w:val="en-GB"/>
        </w:rPr>
        <w:t xml:space="preserve">The individuals are </w:t>
      </w:r>
      <w:r>
        <w:rPr>
          <w:rFonts w:ascii="Calibri" w:eastAsia="Times New Roman" w:hAnsi="Calibri" w:cs="Times New Roman"/>
          <w:lang w:val="en-GB"/>
        </w:rPr>
        <w:t>constructed</w:t>
      </w:r>
      <w:r w:rsidRPr="00523EFB">
        <w:rPr>
          <w:rFonts w:ascii="Calibri" w:eastAsia="Times New Roman" w:hAnsi="Calibri" w:cs="Times New Roman"/>
          <w:lang w:val="en-GB"/>
        </w:rPr>
        <w:t xml:space="preserve"> as being incomprehensible and consequently posing an unknown threat to officers attending the scene. Atavistic characteristics can also be noted in the following comment:</w:t>
      </w:r>
    </w:p>
    <w:p w14:paraId="746A72E0" w14:textId="77777777" w:rsidR="00E87127" w:rsidRPr="00523EFB" w:rsidRDefault="00E87127" w:rsidP="00E87127">
      <w:pPr>
        <w:spacing w:after="0" w:line="360" w:lineRule="auto"/>
        <w:jc w:val="both"/>
        <w:rPr>
          <w:rFonts w:ascii="Calibri" w:eastAsia="Times New Roman" w:hAnsi="Calibri" w:cs="Times New Roman"/>
          <w:lang w:val="en-GB"/>
        </w:rPr>
      </w:pPr>
    </w:p>
    <w:p w14:paraId="32C5EB18" w14:textId="77777777" w:rsidR="00E87127" w:rsidRPr="00523EFB" w:rsidRDefault="00E87127" w:rsidP="00E87127">
      <w:pPr>
        <w:spacing w:after="0" w:line="360" w:lineRule="auto"/>
        <w:ind w:left="284" w:right="284"/>
        <w:jc w:val="both"/>
        <w:rPr>
          <w:rFonts w:ascii="Calibri" w:eastAsia="Times New Roman" w:hAnsi="Calibri" w:cs="Times New Roman"/>
          <w:i/>
          <w:lang w:val="en-GB"/>
        </w:rPr>
      </w:pPr>
      <w:r w:rsidRPr="00523EFB">
        <w:rPr>
          <w:rFonts w:ascii="Calibri" w:eastAsia="Times New Roman" w:hAnsi="Calibri" w:cs="Times New Roman"/>
          <w:b/>
          <w:lang w:val="en-GB"/>
        </w:rPr>
        <w:t>Case 12</w:t>
      </w:r>
      <w:r w:rsidRPr="00523EFB">
        <w:rPr>
          <w:rFonts w:ascii="Calibri" w:eastAsia="Times New Roman" w:hAnsi="Calibri" w:cs="Times New Roman"/>
          <w:lang w:val="en-GB"/>
        </w:rPr>
        <w:t xml:space="preserve">: </w:t>
      </w:r>
      <w:r w:rsidRPr="00523EFB">
        <w:rPr>
          <w:rFonts w:ascii="Calibri" w:eastAsia="Times New Roman" w:hAnsi="Calibri" w:cs="Times New Roman"/>
          <w:i/>
          <w:lang w:val="en-GB"/>
        </w:rPr>
        <w:t>‘He was on occasion found around known [place redacted] locations drunk, doubly incontinent and infested.’</w:t>
      </w:r>
    </w:p>
    <w:p w14:paraId="6DD8CAF6" w14:textId="77777777" w:rsidR="00E87127" w:rsidRPr="00523EFB" w:rsidRDefault="00E87127" w:rsidP="00E87127">
      <w:pPr>
        <w:spacing w:after="0" w:line="360" w:lineRule="auto"/>
        <w:ind w:left="737" w:right="737"/>
        <w:jc w:val="both"/>
        <w:rPr>
          <w:rFonts w:ascii="Calibri" w:eastAsia="Times New Roman" w:hAnsi="Calibri" w:cs="Times New Roman"/>
          <w:lang w:val="en-GB"/>
        </w:rPr>
      </w:pPr>
      <w:r w:rsidRPr="00523EFB">
        <w:rPr>
          <w:rFonts w:ascii="Calibri" w:eastAsia="Times New Roman" w:hAnsi="Calibri" w:cs="Times New Roman"/>
          <w:lang w:val="en-GB"/>
        </w:rPr>
        <w:t xml:space="preserve"> </w:t>
      </w:r>
    </w:p>
    <w:p w14:paraId="30EF3801" w14:textId="77777777" w:rsidR="00E87127" w:rsidRPr="00523EFB" w:rsidRDefault="00E87127" w:rsidP="00E87127">
      <w:pPr>
        <w:spacing w:after="0" w:line="360" w:lineRule="auto"/>
        <w:jc w:val="both"/>
        <w:rPr>
          <w:rFonts w:ascii="Calibri" w:eastAsia="Times New Roman" w:hAnsi="Calibri" w:cs="Times New Roman"/>
          <w:lang w:val="en-GB"/>
        </w:rPr>
      </w:pPr>
      <w:r w:rsidRPr="00523EFB">
        <w:rPr>
          <w:rFonts w:ascii="Calibri" w:eastAsia="Times New Roman" w:hAnsi="Calibri" w:cs="Times New Roman"/>
          <w:lang w:val="en-GB"/>
        </w:rPr>
        <w:t>The subjective nature of narrative construction enables juries to record whatever they deem relevant. This leads one to consider what character types might be used in narrative construction. As Bruner (1987: 15) notes: ‘Life narratives obviously reflect the prevailing theories about “possible lives” that are part of one’s culture.’ In the examples discussed above, the characteristics of the deceased are established in terms of values ascribed by the jury</w:t>
      </w:r>
      <w:r>
        <w:rPr>
          <w:rFonts w:ascii="Calibri" w:eastAsia="Times New Roman" w:hAnsi="Calibri" w:cs="Times New Roman"/>
          <w:lang w:val="en-GB"/>
        </w:rPr>
        <w:t>,</w:t>
      </w:r>
      <w:r>
        <w:rPr>
          <w:rFonts w:ascii="Calibri" w:eastAsia="Calibri" w:hAnsi="Calibri" w:cs="Times New Roman"/>
          <w:lang w:val="en-GB"/>
        </w:rPr>
        <w:t xml:space="preserve"> echoing</w:t>
      </w:r>
      <w:r w:rsidRPr="00523EFB">
        <w:rPr>
          <w:rFonts w:ascii="Calibri" w:eastAsia="Calibri" w:hAnsi="Calibri" w:cs="Times New Roman"/>
          <w:lang w:val="en-GB"/>
        </w:rPr>
        <w:t xml:space="preserve"> Berger and Luckman’s</w:t>
      </w:r>
      <w:r>
        <w:rPr>
          <w:rFonts w:ascii="Calibri" w:eastAsia="Calibri" w:hAnsi="Calibri" w:cs="Times New Roman"/>
          <w:lang w:val="en-GB"/>
        </w:rPr>
        <w:t xml:space="preserve"> (1972: 91)</w:t>
      </w:r>
      <w:r w:rsidRPr="00523EFB">
        <w:rPr>
          <w:rFonts w:ascii="Calibri" w:eastAsia="Calibri" w:hAnsi="Calibri" w:cs="Times New Roman"/>
          <w:lang w:val="en-GB"/>
        </w:rPr>
        <w:t xml:space="preserve"> view that: ‘Every putative actor of role X can be held responsible for abiding by the standards, which can be taught as institutional tradition and used to verify the credentia</w:t>
      </w:r>
      <w:r>
        <w:rPr>
          <w:rFonts w:ascii="Calibri" w:eastAsia="Calibri" w:hAnsi="Calibri" w:cs="Times New Roman"/>
          <w:lang w:val="en-GB"/>
        </w:rPr>
        <w:t>ls of all performers</w:t>
      </w:r>
      <w:r w:rsidRPr="00523EFB">
        <w:rPr>
          <w:rFonts w:ascii="Calibri" w:eastAsia="Calibri" w:hAnsi="Calibri" w:cs="Times New Roman"/>
          <w:lang w:val="en-GB"/>
        </w:rPr>
        <w:t>.</w:t>
      </w:r>
      <w:r>
        <w:rPr>
          <w:rFonts w:ascii="Calibri" w:eastAsia="Calibri" w:hAnsi="Calibri" w:cs="Times New Roman"/>
          <w:lang w:val="en-GB"/>
        </w:rPr>
        <w:t>’</w:t>
      </w:r>
      <w:r w:rsidRPr="00523EFB">
        <w:rPr>
          <w:rFonts w:ascii="Calibri" w:eastAsia="Calibri" w:hAnsi="Calibri" w:cs="Times New Roman"/>
          <w:lang w:val="en-GB"/>
        </w:rPr>
        <w:t xml:space="preserve">  Thus</w:t>
      </w:r>
      <w:r w:rsidRPr="00523EFB">
        <w:rPr>
          <w:rFonts w:ascii="Calibri" w:eastAsia="Times New Roman" w:hAnsi="Calibri" w:cs="Times New Roman"/>
          <w:lang w:val="en-GB"/>
        </w:rPr>
        <w:t xml:space="preserve"> enquiry transforms subjective terms into o</w:t>
      </w:r>
      <w:r>
        <w:rPr>
          <w:rFonts w:ascii="Calibri" w:eastAsia="Times New Roman" w:hAnsi="Calibri" w:cs="Times New Roman"/>
          <w:lang w:val="en-GB"/>
        </w:rPr>
        <w:t xml:space="preserve">bjective truths (McMullan 2007, </w:t>
      </w:r>
      <w:r w:rsidRPr="00523EFB">
        <w:rPr>
          <w:rFonts w:ascii="Calibri" w:eastAsia="Times New Roman" w:hAnsi="Calibri" w:cs="Times New Roman"/>
          <w:lang w:val="en-GB"/>
        </w:rPr>
        <w:t>Foucault 1994). The construction of actors as types in narrative</w:t>
      </w:r>
      <w:r>
        <w:rPr>
          <w:rFonts w:ascii="Calibri" w:eastAsia="Times New Roman" w:hAnsi="Calibri" w:cs="Times New Roman"/>
          <w:lang w:val="en-GB"/>
        </w:rPr>
        <w:t>, such as substance users, or those with mental health issues</w:t>
      </w:r>
      <w:r w:rsidRPr="00523EFB">
        <w:rPr>
          <w:rFonts w:ascii="Calibri" w:eastAsia="Times New Roman" w:hAnsi="Calibri" w:cs="Times New Roman"/>
          <w:lang w:val="en-GB"/>
        </w:rPr>
        <w:t xml:space="preserve"> has be</w:t>
      </w:r>
      <w:r>
        <w:rPr>
          <w:rFonts w:ascii="Calibri" w:eastAsia="Times New Roman" w:hAnsi="Calibri" w:cs="Times New Roman"/>
          <w:lang w:val="en-GB"/>
        </w:rPr>
        <w:t>en acknowledged in this section;</w:t>
      </w:r>
      <w:r w:rsidRPr="00523EFB">
        <w:rPr>
          <w:rFonts w:ascii="Calibri" w:eastAsia="Times New Roman" w:hAnsi="Calibri" w:cs="Times New Roman"/>
          <w:lang w:val="en-GB"/>
        </w:rPr>
        <w:t xml:space="preserve"> the following section considers</w:t>
      </w:r>
      <w:r>
        <w:rPr>
          <w:rFonts w:ascii="Calibri" w:eastAsia="Times New Roman" w:hAnsi="Calibri" w:cs="Times New Roman"/>
          <w:lang w:val="en-GB"/>
        </w:rPr>
        <w:t xml:space="preserve"> how those actors fit into plot types</w:t>
      </w:r>
      <w:r w:rsidRPr="00523EFB">
        <w:rPr>
          <w:rFonts w:ascii="Calibri" w:eastAsia="Times New Roman" w:hAnsi="Calibri" w:cs="Times New Roman"/>
          <w:lang w:val="en-GB"/>
        </w:rPr>
        <w:t xml:space="preserve"> and stories within narrative structures. </w:t>
      </w:r>
    </w:p>
    <w:p w14:paraId="644442EC" w14:textId="77777777" w:rsidR="00E87127" w:rsidRPr="00523EFB" w:rsidRDefault="00E87127" w:rsidP="00E87127">
      <w:pPr>
        <w:spacing w:after="0" w:line="360" w:lineRule="auto"/>
        <w:jc w:val="both"/>
        <w:rPr>
          <w:rFonts w:ascii="Calibri" w:eastAsia="Times New Roman" w:hAnsi="Calibri" w:cs="Times New Roman"/>
          <w:lang w:val="en-GB"/>
        </w:rPr>
      </w:pPr>
    </w:p>
    <w:p w14:paraId="29C8394B" w14:textId="77777777" w:rsidR="00E87127" w:rsidRPr="00523EFB" w:rsidRDefault="00E87127" w:rsidP="00E87127">
      <w:pPr>
        <w:spacing w:after="0" w:line="360" w:lineRule="auto"/>
        <w:jc w:val="both"/>
        <w:rPr>
          <w:rFonts w:ascii="Calibri" w:eastAsia="Times New Roman" w:hAnsi="Calibri" w:cs="Calibri"/>
          <w:b/>
          <w:i/>
          <w:lang w:val="en-GB"/>
        </w:rPr>
      </w:pPr>
      <w:r w:rsidRPr="00523EFB">
        <w:rPr>
          <w:rFonts w:ascii="Calibri" w:eastAsia="Times New Roman" w:hAnsi="Calibri" w:cs="Calibri"/>
          <w:b/>
          <w:i/>
          <w:lang w:val="en-GB"/>
        </w:rPr>
        <w:t>‘Chekhov’s gun’: constructing conditions</w:t>
      </w:r>
    </w:p>
    <w:p w14:paraId="014AB8C2" w14:textId="77777777" w:rsidR="00E87127" w:rsidRPr="00523EFB" w:rsidRDefault="00E87127" w:rsidP="00E87127">
      <w:pPr>
        <w:spacing w:after="0" w:line="360" w:lineRule="auto"/>
        <w:jc w:val="both"/>
        <w:rPr>
          <w:rFonts w:ascii="Calibri" w:eastAsia="Times New Roman" w:hAnsi="Calibri" w:cs="Calibri"/>
          <w:lang w:val="en-GB"/>
        </w:rPr>
      </w:pPr>
    </w:p>
    <w:p w14:paraId="2A9E9B08" w14:textId="77777777" w:rsidR="00E87127" w:rsidRPr="00523EFB" w:rsidRDefault="00E87127" w:rsidP="00E87127">
      <w:pPr>
        <w:spacing w:after="0" w:line="360" w:lineRule="auto"/>
        <w:jc w:val="both"/>
        <w:rPr>
          <w:rFonts w:ascii="Calibri" w:eastAsia="Times New Roman" w:hAnsi="Calibri" w:cs="Calibri"/>
          <w:lang w:val="en-GB"/>
        </w:rPr>
      </w:pPr>
      <w:r w:rsidRPr="00523EFB">
        <w:rPr>
          <w:rFonts w:ascii="Calibri" w:eastAsia="Times New Roman" w:hAnsi="Calibri" w:cs="Calibri"/>
          <w:lang w:val="en-GB"/>
        </w:rPr>
        <w:t xml:space="preserve">There are, then, boundaries that determine what can and cannot be said in official discourse about cases of DAPC. Constraining influences include institutional parameters, narrative structure and conventions, </w:t>
      </w:r>
      <w:r>
        <w:rPr>
          <w:rFonts w:ascii="Calibri" w:eastAsia="Times New Roman" w:hAnsi="Calibri" w:cs="Calibri"/>
          <w:lang w:val="en-GB"/>
        </w:rPr>
        <w:t xml:space="preserve">character types, </w:t>
      </w:r>
      <w:r w:rsidRPr="00523EFB">
        <w:rPr>
          <w:rFonts w:ascii="Calibri" w:eastAsia="Times New Roman" w:hAnsi="Calibri" w:cs="Calibri"/>
          <w:lang w:val="en-GB"/>
        </w:rPr>
        <w:t xml:space="preserve">social norms, </w:t>
      </w:r>
      <w:r>
        <w:rPr>
          <w:rFonts w:ascii="Calibri" w:eastAsia="Times New Roman" w:hAnsi="Calibri" w:cs="Calibri"/>
          <w:lang w:val="en-GB"/>
        </w:rPr>
        <w:t>and official discourse</w:t>
      </w:r>
      <w:r w:rsidRPr="00523EFB">
        <w:rPr>
          <w:rFonts w:ascii="Calibri" w:eastAsia="Times New Roman" w:hAnsi="Calibri" w:cs="Calibri"/>
          <w:lang w:val="en-GB"/>
        </w:rPr>
        <w:t>. This brings into question what sort of devices and structures juries use to construct narrative verdic</w:t>
      </w:r>
      <w:r>
        <w:rPr>
          <w:rFonts w:ascii="Calibri" w:eastAsia="Times New Roman" w:hAnsi="Calibri" w:cs="Calibri"/>
          <w:lang w:val="en-GB"/>
        </w:rPr>
        <w:t>ts</w:t>
      </w:r>
      <w:r w:rsidRPr="00523EFB">
        <w:rPr>
          <w:rFonts w:ascii="Calibri" w:eastAsia="Times New Roman" w:hAnsi="Calibri" w:cs="Calibri"/>
          <w:lang w:val="en-GB"/>
        </w:rPr>
        <w:t xml:space="preserve">. </w:t>
      </w:r>
      <w:r>
        <w:rPr>
          <w:rFonts w:ascii="Calibri" w:eastAsia="Times New Roman" w:hAnsi="Calibri" w:cs="Calibri"/>
          <w:lang w:val="en-GB"/>
        </w:rPr>
        <w:t xml:space="preserve">As discussed above, establishing character types is one way in which individuals may be slotted into narrative structures, but such types can also function as predictors of future behaviour and events. </w:t>
      </w:r>
    </w:p>
    <w:p w14:paraId="21AE505C" w14:textId="77777777" w:rsidR="00E87127" w:rsidRPr="00523EFB" w:rsidRDefault="00E87127" w:rsidP="00E87127">
      <w:pPr>
        <w:spacing w:after="0" w:line="360" w:lineRule="auto"/>
        <w:jc w:val="both"/>
        <w:rPr>
          <w:rFonts w:ascii="Calibri" w:eastAsia="Times New Roman" w:hAnsi="Calibri" w:cs="Calibri"/>
          <w:lang w:val="en-GB"/>
        </w:rPr>
      </w:pPr>
    </w:p>
    <w:p w14:paraId="374D9F38" w14:textId="77777777" w:rsidR="00E87127" w:rsidRDefault="00E87127" w:rsidP="00E87127">
      <w:pPr>
        <w:spacing w:after="0" w:line="360" w:lineRule="auto"/>
        <w:jc w:val="both"/>
        <w:rPr>
          <w:rFonts w:ascii="Calibri" w:eastAsia="Calibri" w:hAnsi="Calibri" w:cs="Times New Roman"/>
          <w:lang w:val="en-GB"/>
        </w:rPr>
      </w:pPr>
      <w:r w:rsidRPr="00523EFB">
        <w:rPr>
          <w:lang w:val="en-GB"/>
        </w:rPr>
        <w:t xml:space="preserve">Narratives possess dramaturgical elements (Todorov and Weinstein 1969, Bruner 1987). </w:t>
      </w:r>
      <w:r w:rsidRPr="00523EFB">
        <w:rPr>
          <w:rFonts w:ascii="Calibri" w:eastAsia="Calibri" w:hAnsi="Calibri" w:cs="Times New Roman"/>
          <w:lang w:val="en-GB"/>
        </w:rPr>
        <w:t>In literary theory, the axiom of ‘Chekhov’s gun’ relates to a basic principle in staging a th</w:t>
      </w:r>
      <w:r>
        <w:rPr>
          <w:rFonts w:ascii="Calibri" w:eastAsia="Calibri" w:hAnsi="Calibri" w:cs="Times New Roman"/>
          <w:lang w:val="en-GB"/>
        </w:rPr>
        <w:t>eatre production</w:t>
      </w:r>
      <w:r w:rsidRPr="00523EFB">
        <w:rPr>
          <w:rFonts w:ascii="Calibri" w:eastAsia="Calibri" w:hAnsi="Calibri" w:cs="Times New Roman"/>
          <w:lang w:val="en-GB"/>
        </w:rPr>
        <w:t>. This states that if the director has placed a gun on the wall in the first episode of the play, it should be used by the final episode. There would be no need to hang it on the wall were it not to be used. As such, it is a prop introduced early in the narrative whose full significance only becomes apparent towards the conclusion of the narrative (Scott 2012, Gilbey 2011). The concept is part of a wider explanatory system in literary</w:t>
      </w:r>
      <w:r>
        <w:rPr>
          <w:rFonts w:ascii="Calibri" w:eastAsia="Calibri" w:hAnsi="Calibri" w:cs="Times New Roman"/>
          <w:lang w:val="en-GB"/>
        </w:rPr>
        <w:t xml:space="preserve"> theory termed ‘foreshadowing’ </w:t>
      </w:r>
      <w:r w:rsidRPr="00523EFB">
        <w:rPr>
          <w:rFonts w:ascii="Calibri" w:eastAsia="Calibri" w:hAnsi="Calibri" w:cs="Times New Roman"/>
          <w:lang w:val="en-GB"/>
        </w:rPr>
        <w:t xml:space="preserve">(Pettijohn and Radvansky 2016, Booker 2004). It has been established that narrative verdicts follow an episodic structure. Foreshadowing in this sense establishes key details in the narrative at an early stage in order to contextualise events that subsequently occur. The majority of examples in the dataset situate the deceased individual within a recognisable frame. This might be as substance abusers, homeless individuals, or those with mental health issues. </w:t>
      </w:r>
      <w:r>
        <w:rPr>
          <w:rFonts w:ascii="Calibri" w:eastAsia="Calibri" w:hAnsi="Calibri" w:cs="Times New Roman"/>
          <w:lang w:val="en-GB"/>
        </w:rPr>
        <w:t>Examples from the opening lines of narrative verdicts include:</w:t>
      </w:r>
    </w:p>
    <w:p w14:paraId="37E1F59B" w14:textId="77777777" w:rsidR="00E87127" w:rsidRDefault="00E87127" w:rsidP="00E87127">
      <w:pPr>
        <w:spacing w:after="0" w:line="360" w:lineRule="auto"/>
        <w:jc w:val="both"/>
        <w:rPr>
          <w:rFonts w:ascii="Calibri" w:eastAsia="Calibri" w:hAnsi="Calibri" w:cs="Times New Roman"/>
          <w:lang w:val="en-GB"/>
        </w:rPr>
      </w:pPr>
    </w:p>
    <w:p w14:paraId="72981DC3" w14:textId="77777777" w:rsidR="00E87127" w:rsidRPr="00523EFB" w:rsidRDefault="00E87127" w:rsidP="00E87127">
      <w:pPr>
        <w:spacing w:after="0" w:line="360" w:lineRule="auto"/>
        <w:ind w:left="284" w:right="284"/>
        <w:jc w:val="both"/>
        <w:rPr>
          <w:rFonts w:ascii="Calibri" w:eastAsia="Times New Roman" w:hAnsi="Calibri" w:cs="Times New Roman"/>
          <w:i/>
          <w:lang w:val="en-GB"/>
        </w:rPr>
      </w:pPr>
      <w:r w:rsidRPr="00523EFB">
        <w:rPr>
          <w:rFonts w:ascii="Calibri" w:eastAsia="Times New Roman" w:hAnsi="Calibri" w:cs="Times New Roman"/>
          <w:b/>
          <w:lang w:val="en-GB"/>
        </w:rPr>
        <w:t>Case 7</w:t>
      </w:r>
      <w:r w:rsidRPr="00523EFB">
        <w:rPr>
          <w:rFonts w:ascii="Calibri" w:eastAsia="Times New Roman" w:hAnsi="Calibri" w:cs="Times New Roman"/>
          <w:lang w:val="en-GB"/>
        </w:rPr>
        <w:t xml:space="preserve">: </w:t>
      </w:r>
      <w:r w:rsidRPr="00523EFB">
        <w:rPr>
          <w:rFonts w:ascii="Calibri" w:eastAsia="Times New Roman" w:hAnsi="Calibri" w:cs="Times New Roman"/>
          <w:i/>
          <w:lang w:val="en-GB"/>
        </w:rPr>
        <w:t>‘[The deceased] was a 28 year old male suffering from schizophrenia and diabetes. He was 6ft tall and obese.’</w:t>
      </w:r>
    </w:p>
    <w:p w14:paraId="50BAB59A" w14:textId="77777777" w:rsidR="00E87127" w:rsidRDefault="00E87127" w:rsidP="00E87127">
      <w:pPr>
        <w:spacing w:after="0" w:line="360" w:lineRule="auto"/>
        <w:ind w:left="284" w:right="284"/>
        <w:jc w:val="both"/>
        <w:rPr>
          <w:rFonts w:ascii="Calibri" w:eastAsia="Times New Roman" w:hAnsi="Calibri" w:cs="Times New Roman"/>
          <w:i/>
          <w:lang w:val="en-GB"/>
        </w:rPr>
      </w:pPr>
      <w:r w:rsidRPr="00523EFB">
        <w:rPr>
          <w:rFonts w:ascii="Calibri" w:eastAsia="Times New Roman" w:hAnsi="Calibri" w:cs="Times New Roman"/>
          <w:b/>
          <w:lang w:val="en-GB"/>
        </w:rPr>
        <w:t>Case 61:</w:t>
      </w:r>
      <w:r w:rsidRPr="00523EFB">
        <w:rPr>
          <w:rFonts w:ascii="Calibri" w:eastAsia="Times New Roman" w:hAnsi="Calibri" w:cs="Times New Roman"/>
          <w:lang w:val="en-GB"/>
        </w:rPr>
        <w:t xml:space="preserve"> </w:t>
      </w:r>
      <w:r w:rsidRPr="00523EFB">
        <w:rPr>
          <w:rFonts w:ascii="Calibri" w:eastAsia="Times New Roman" w:hAnsi="Calibri" w:cs="Times New Roman"/>
          <w:i/>
          <w:lang w:val="en-GB"/>
        </w:rPr>
        <w:t xml:space="preserve">‘The deceased was an epileptic whose compliance with his medication was variable.’ </w:t>
      </w:r>
    </w:p>
    <w:p w14:paraId="25D5C736" w14:textId="77777777" w:rsidR="00E87127" w:rsidRPr="00523EFB" w:rsidRDefault="00E87127" w:rsidP="00E87127">
      <w:pPr>
        <w:spacing w:after="0" w:line="360" w:lineRule="auto"/>
        <w:ind w:left="284" w:right="284"/>
        <w:jc w:val="both"/>
        <w:rPr>
          <w:rFonts w:ascii="Calibri" w:eastAsia="Times New Roman" w:hAnsi="Calibri" w:cs="Times New Roman"/>
          <w:i/>
          <w:lang w:val="en-GB"/>
        </w:rPr>
      </w:pPr>
      <w:r>
        <w:rPr>
          <w:rFonts w:ascii="Calibri" w:eastAsia="Times New Roman" w:hAnsi="Calibri" w:cs="Times New Roman"/>
          <w:b/>
          <w:lang w:val="en-GB"/>
        </w:rPr>
        <w:t>Case 29:</w:t>
      </w:r>
      <w:r>
        <w:rPr>
          <w:rFonts w:ascii="Calibri" w:eastAsia="Times New Roman" w:hAnsi="Calibri" w:cs="Times New Roman"/>
          <w:i/>
          <w:lang w:val="en-GB"/>
        </w:rPr>
        <w:t xml:space="preserve"> ‘[The deceased] was a single man aged 29 who had abused drugs, particularly heroin and cocaine for many years.’ </w:t>
      </w:r>
    </w:p>
    <w:p w14:paraId="15483C89" w14:textId="77777777" w:rsidR="00E87127" w:rsidRPr="00523EFB" w:rsidRDefault="00E87127" w:rsidP="00E87127">
      <w:pPr>
        <w:spacing w:after="0" w:line="360" w:lineRule="auto"/>
        <w:jc w:val="both"/>
        <w:rPr>
          <w:rFonts w:ascii="Calibri" w:eastAsia="Calibri" w:hAnsi="Calibri" w:cs="Times New Roman"/>
          <w:lang w:val="en-GB"/>
        </w:rPr>
      </w:pPr>
    </w:p>
    <w:p w14:paraId="0F47060D" w14:textId="77777777" w:rsidR="00E87127" w:rsidRPr="00130D54" w:rsidRDefault="00E87127" w:rsidP="00E87127">
      <w:pPr>
        <w:spacing w:after="0" w:line="360" w:lineRule="auto"/>
        <w:jc w:val="both"/>
        <w:rPr>
          <w:rFonts w:ascii="Calibri" w:eastAsia="Calibri" w:hAnsi="Calibri" w:cs="Times New Roman"/>
          <w:lang w:val="en-GB"/>
        </w:rPr>
      </w:pPr>
      <w:r w:rsidRPr="00523EFB">
        <w:rPr>
          <w:rFonts w:ascii="Calibri" w:eastAsia="Calibri" w:hAnsi="Calibri" w:cs="Times New Roman"/>
          <w:lang w:val="en-GB"/>
        </w:rPr>
        <w:t>In this sense ‘Chekhov’s gun’ can be imagined not as a weapon but as a form of legitimisation that foreshadows the future actions or interventions of police. If the individual is constructed in terms of their pat</w:t>
      </w:r>
      <w:r>
        <w:rPr>
          <w:rFonts w:ascii="Calibri" w:eastAsia="Calibri" w:hAnsi="Calibri" w:cs="Times New Roman"/>
          <w:lang w:val="en-GB"/>
        </w:rPr>
        <w:t>hologies (Sim 2004</w:t>
      </w:r>
      <w:r w:rsidRPr="00523EFB">
        <w:rPr>
          <w:rFonts w:ascii="Calibri" w:eastAsia="Calibri" w:hAnsi="Calibri" w:cs="Times New Roman"/>
          <w:lang w:val="en-GB"/>
        </w:rPr>
        <w:t>) it suggests an inevitability within the context of the narrative that police will have to react to those pathologies if called upon by the public</w:t>
      </w:r>
      <w:r>
        <w:rPr>
          <w:rFonts w:ascii="Calibri" w:eastAsia="Calibri" w:hAnsi="Calibri" w:cs="Times New Roman"/>
          <w:lang w:val="en-GB"/>
        </w:rPr>
        <w:t>, or other services</w:t>
      </w:r>
      <w:r w:rsidRPr="00523EFB">
        <w:rPr>
          <w:rFonts w:ascii="Calibri" w:eastAsia="Calibri" w:hAnsi="Calibri" w:cs="Times New Roman"/>
          <w:lang w:val="en-GB"/>
        </w:rPr>
        <w:t>. By implication, then, it will be the original ‘condition’ of the individual which is predominantly focused upon in the narrative as distinct to subsequent actions or omissions by state agents that may have contributed to their death (Hyden 1997, McMullan 2007). Consequently, to some extent, the deceased is constructed as having a role in initiating their own death. In this sense, the story, which is, after all, told retrospectively, is over as so</w:t>
      </w:r>
      <w:r>
        <w:rPr>
          <w:rFonts w:ascii="Calibri" w:eastAsia="Calibri" w:hAnsi="Calibri" w:cs="Times New Roman"/>
          <w:lang w:val="en-GB"/>
        </w:rPr>
        <w:t>on as it has begun (Taylor 2016</w:t>
      </w:r>
      <w:r w:rsidRPr="00523EFB">
        <w:rPr>
          <w:rFonts w:ascii="Calibri" w:eastAsia="Calibri" w:hAnsi="Calibri" w:cs="Times New Roman"/>
          <w:lang w:val="en-GB"/>
        </w:rPr>
        <w:t>). Contextualising an element of pathology at an early stage of the narrative, appears to signal that an individual is an ‘acciden</w:t>
      </w:r>
      <w:r>
        <w:rPr>
          <w:rFonts w:ascii="Calibri" w:eastAsia="Calibri" w:hAnsi="Calibri" w:cs="Times New Roman"/>
          <w:lang w:val="en-GB"/>
        </w:rPr>
        <w:t xml:space="preserve">t waiting to happen’. </w:t>
      </w:r>
    </w:p>
    <w:p w14:paraId="32BFCFA1" w14:textId="77777777" w:rsidR="00E87127" w:rsidRPr="00523EFB" w:rsidRDefault="00E87127" w:rsidP="00E87127">
      <w:pPr>
        <w:spacing w:after="0" w:line="360" w:lineRule="auto"/>
        <w:jc w:val="both"/>
        <w:rPr>
          <w:rFonts w:ascii="Calibri" w:eastAsia="Times New Roman" w:hAnsi="Calibri" w:cs="Calibri"/>
          <w:b/>
          <w:i/>
          <w:lang w:val="en-GB"/>
        </w:rPr>
      </w:pPr>
    </w:p>
    <w:p w14:paraId="038D2218" w14:textId="77777777" w:rsidR="00E87127" w:rsidRPr="00523EFB" w:rsidRDefault="00E87127" w:rsidP="00E87127">
      <w:pPr>
        <w:spacing w:after="0" w:line="360" w:lineRule="auto"/>
        <w:jc w:val="both"/>
        <w:rPr>
          <w:rFonts w:ascii="Calibri" w:eastAsia="Times New Roman" w:hAnsi="Calibri" w:cs="Calibri"/>
          <w:b/>
          <w:i/>
          <w:lang w:val="en-GB"/>
        </w:rPr>
      </w:pPr>
      <w:r w:rsidRPr="00523EFB">
        <w:rPr>
          <w:rFonts w:ascii="Calibri" w:eastAsia="Times New Roman" w:hAnsi="Calibri" w:cs="Calibri"/>
          <w:b/>
          <w:i/>
          <w:lang w:val="en-GB"/>
        </w:rPr>
        <w:t>Ockham’s razor</w:t>
      </w:r>
      <w:r>
        <w:rPr>
          <w:rFonts w:ascii="Calibri" w:eastAsia="Times New Roman" w:hAnsi="Calibri" w:cs="Calibri"/>
          <w:b/>
          <w:i/>
          <w:lang w:val="en-GB"/>
        </w:rPr>
        <w:t>: cutting through complexity</w:t>
      </w:r>
    </w:p>
    <w:p w14:paraId="58619496" w14:textId="77777777" w:rsidR="00E87127" w:rsidRPr="00523EFB" w:rsidRDefault="00E87127" w:rsidP="00E87127">
      <w:pPr>
        <w:spacing w:after="0" w:line="360" w:lineRule="auto"/>
        <w:jc w:val="both"/>
        <w:rPr>
          <w:rFonts w:ascii="Calibri" w:eastAsia="Times New Roman" w:hAnsi="Calibri" w:cs="Calibri"/>
          <w:i/>
          <w:lang w:val="en-GB"/>
        </w:rPr>
      </w:pPr>
    </w:p>
    <w:p w14:paraId="328E1C3B" w14:textId="77777777" w:rsidR="00E87127" w:rsidRPr="00523EFB" w:rsidRDefault="00E87127" w:rsidP="00E87127">
      <w:pPr>
        <w:spacing w:after="0" w:line="360" w:lineRule="auto"/>
        <w:jc w:val="both"/>
        <w:rPr>
          <w:rFonts w:ascii="Calibri" w:eastAsia="Times New Roman" w:hAnsi="Calibri" w:cs="Calibri"/>
          <w:lang w:val="en-GB"/>
        </w:rPr>
      </w:pPr>
      <w:r w:rsidRPr="00523EFB">
        <w:rPr>
          <w:rFonts w:ascii="Calibri" w:eastAsia="Times New Roman" w:hAnsi="Calibri" w:cs="Calibri"/>
          <w:lang w:val="en-GB"/>
        </w:rPr>
        <w:t xml:space="preserve">Juries deal with complex cases involving individuals from marginalised groups, </w:t>
      </w:r>
      <w:r>
        <w:rPr>
          <w:rFonts w:ascii="Calibri" w:eastAsia="Times New Roman" w:hAnsi="Calibri" w:cs="Calibri"/>
          <w:lang w:val="en-GB"/>
        </w:rPr>
        <w:t xml:space="preserve">involving multi-agency contact, </w:t>
      </w:r>
      <w:r w:rsidRPr="00523EFB">
        <w:rPr>
          <w:rFonts w:ascii="Calibri" w:eastAsia="Times New Roman" w:hAnsi="Calibri" w:cs="Calibri"/>
          <w:lang w:val="en-GB"/>
        </w:rPr>
        <w:t xml:space="preserve">and multi-causal reasons for death in the context of a coronial system they have little knowledge or experience of. It is perhaps not surprising that juries fall back onto narrative devices in the form of narrative structures, personal characteristics, and their own experiences when constructing accountability in </w:t>
      </w:r>
      <w:r>
        <w:rPr>
          <w:rFonts w:ascii="Calibri" w:eastAsia="Times New Roman" w:hAnsi="Calibri" w:cs="Calibri"/>
          <w:lang w:val="en-GB"/>
        </w:rPr>
        <w:t>such</w:t>
      </w:r>
      <w:r w:rsidRPr="00523EFB">
        <w:rPr>
          <w:rFonts w:ascii="Calibri" w:eastAsia="Times New Roman" w:hAnsi="Calibri" w:cs="Calibri"/>
          <w:lang w:val="en-GB"/>
        </w:rPr>
        <w:t xml:space="preserve"> cases. Another explanatory </w:t>
      </w:r>
      <w:r>
        <w:rPr>
          <w:rFonts w:ascii="Calibri" w:eastAsia="Times New Roman" w:hAnsi="Calibri" w:cs="Calibri"/>
          <w:lang w:val="en-GB"/>
        </w:rPr>
        <w:t>device</w:t>
      </w:r>
      <w:r w:rsidRPr="00523EFB">
        <w:rPr>
          <w:rFonts w:ascii="Calibri" w:eastAsia="Times New Roman" w:hAnsi="Calibri" w:cs="Calibri"/>
          <w:lang w:val="en-GB"/>
        </w:rPr>
        <w:t xml:space="preserve"> is Ockham’s razor</w:t>
      </w:r>
      <w:r>
        <w:rPr>
          <w:rFonts w:ascii="Calibri" w:eastAsia="Times New Roman" w:hAnsi="Calibri" w:cs="Calibri"/>
          <w:lang w:val="en-GB"/>
        </w:rPr>
        <w:t xml:space="preserve">, which </w:t>
      </w:r>
      <w:r w:rsidRPr="00523EFB">
        <w:rPr>
          <w:rFonts w:ascii="Calibri" w:eastAsia="Times New Roman" w:hAnsi="Calibri" w:cs="Calibri"/>
          <w:lang w:val="en-GB"/>
        </w:rPr>
        <w:t xml:space="preserve">states that the most logical available explanation for an event is the most acceptable (Taliaferro 1996). Whilst the principle is ascribed to Ockham in the fourteenth century, according </w:t>
      </w:r>
      <w:r>
        <w:rPr>
          <w:rFonts w:ascii="Calibri" w:eastAsia="Times New Roman" w:hAnsi="Calibri" w:cs="Calibri"/>
          <w:lang w:val="en-GB"/>
        </w:rPr>
        <w:t>to Bö</w:t>
      </w:r>
      <w:r w:rsidRPr="00523EFB">
        <w:rPr>
          <w:rFonts w:ascii="Calibri" w:eastAsia="Times New Roman" w:hAnsi="Calibri" w:cs="Calibri"/>
          <w:lang w:val="en-GB"/>
        </w:rPr>
        <w:t xml:space="preserve">hner (1958) it pre-dates him and is an Aristotlean proposition. </w:t>
      </w:r>
      <w:r>
        <w:rPr>
          <w:rFonts w:ascii="Calibri" w:eastAsia="Times New Roman" w:hAnsi="Calibri" w:cs="Calibri"/>
          <w:lang w:val="en-GB"/>
        </w:rPr>
        <w:t>Bö</w:t>
      </w:r>
      <w:r w:rsidRPr="00523EFB">
        <w:rPr>
          <w:rFonts w:ascii="Calibri" w:eastAsia="Times New Roman" w:hAnsi="Calibri" w:cs="Calibri"/>
          <w:lang w:val="en-GB"/>
        </w:rPr>
        <w:t>hner states that it is a ‘principle of economy’ in philosophical tho</w:t>
      </w:r>
      <w:r>
        <w:rPr>
          <w:rFonts w:ascii="Calibri" w:eastAsia="Times New Roman" w:hAnsi="Calibri" w:cs="Calibri"/>
          <w:lang w:val="en-GB"/>
        </w:rPr>
        <w:t>ught as it favours</w:t>
      </w:r>
      <w:r w:rsidRPr="00523EFB">
        <w:rPr>
          <w:rFonts w:ascii="Calibri" w:eastAsia="Times New Roman" w:hAnsi="Calibri" w:cs="Calibri"/>
          <w:lang w:val="en-GB"/>
        </w:rPr>
        <w:t xml:space="preserve"> a singular rather th</w:t>
      </w:r>
      <w:r>
        <w:rPr>
          <w:rFonts w:ascii="Calibri" w:eastAsia="Times New Roman" w:hAnsi="Calibri" w:cs="Calibri"/>
          <w:lang w:val="en-GB"/>
        </w:rPr>
        <w:t>an plural explanation - providing a singular explanation appears</w:t>
      </w:r>
      <w:r w:rsidRPr="00523EFB">
        <w:rPr>
          <w:rFonts w:ascii="Calibri" w:eastAsia="Times New Roman" w:hAnsi="Calibri" w:cs="Calibri"/>
          <w:lang w:val="en-GB"/>
        </w:rPr>
        <w:t xml:space="preserve"> probable. Ockham’s view might be best encapsulated as: ‘What can be explained by the assumption of fewer things is vainly explained by the assumption of more things’ (cited in B</w:t>
      </w:r>
      <w:r>
        <w:rPr>
          <w:rFonts w:ascii="Calibri" w:eastAsia="Times New Roman" w:hAnsi="Calibri" w:cs="Calibri"/>
          <w:lang w:val="en-GB"/>
        </w:rPr>
        <w:t>ö</w:t>
      </w:r>
      <w:r w:rsidRPr="00523EFB">
        <w:rPr>
          <w:rFonts w:ascii="Calibri" w:eastAsia="Times New Roman" w:hAnsi="Calibri" w:cs="Calibri"/>
          <w:lang w:val="en-GB"/>
        </w:rPr>
        <w:t>hner 1962: xxi). Thus a desire for simplicity rejects the need to look further t</w:t>
      </w:r>
      <w:r>
        <w:rPr>
          <w:rFonts w:ascii="Calibri" w:eastAsia="Times New Roman" w:hAnsi="Calibri" w:cs="Calibri"/>
          <w:lang w:val="en-GB"/>
        </w:rPr>
        <w:t>han the most likely explanation. Ockham’s Razor</w:t>
      </w:r>
      <w:r w:rsidRPr="00523EFB">
        <w:rPr>
          <w:rFonts w:ascii="Calibri" w:eastAsia="Times New Roman" w:hAnsi="Calibri" w:cs="Calibri"/>
          <w:lang w:val="en-GB"/>
        </w:rPr>
        <w:t xml:space="preserve"> still holds as an empiricist method of assessing epistemology. In this sense, Agassi and Meidan (2008) posit that although </w:t>
      </w:r>
      <w:r>
        <w:rPr>
          <w:rFonts w:ascii="Calibri" w:eastAsia="Times New Roman" w:hAnsi="Calibri" w:cs="Calibri"/>
          <w:lang w:val="en-GB"/>
        </w:rPr>
        <w:t>it</w:t>
      </w:r>
      <w:r w:rsidRPr="00523EFB">
        <w:rPr>
          <w:rFonts w:ascii="Calibri" w:eastAsia="Times New Roman" w:hAnsi="Calibri" w:cs="Calibri"/>
          <w:lang w:val="en-GB"/>
        </w:rPr>
        <w:t xml:space="preserve"> is limiting from a methodological perspective, it is still a powerful hypothetical principle used by lay-persons to understand complex issues.</w:t>
      </w:r>
    </w:p>
    <w:p w14:paraId="10DDBFD4" w14:textId="77777777" w:rsidR="00E87127" w:rsidRPr="00523EFB" w:rsidRDefault="00E87127" w:rsidP="00E87127">
      <w:pPr>
        <w:spacing w:after="0" w:line="360" w:lineRule="auto"/>
        <w:jc w:val="both"/>
        <w:rPr>
          <w:rFonts w:ascii="Calibri" w:eastAsia="Times New Roman" w:hAnsi="Calibri" w:cs="Calibri"/>
          <w:lang w:val="en-GB"/>
        </w:rPr>
      </w:pPr>
    </w:p>
    <w:p w14:paraId="2614EAEE" w14:textId="77777777" w:rsidR="00E87127" w:rsidRDefault="00E87127" w:rsidP="00E87127">
      <w:pPr>
        <w:spacing w:after="0" w:line="360" w:lineRule="auto"/>
        <w:jc w:val="both"/>
        <w:rPr>
          <w:lang w:val="en-GB"/>
        </w:rPr>
      </w:pPr>
      <w:r w:rsidRPr="00523EFB">
        <w:rPr>
          <w:rFonts w:ascii="Calibri" w:eastAsia="Times New Roman" w:hAnsi="Calibri" w:cs="Times New Roman"/>
          <w:lang w:val="en-GB"/>
        </w:rPr>
        <w:t>Research on juries (of any sort) is limited (see Baldwin 2000). However, a strain within the extant literature suggests that juries tend to select verdicts based on explicable stories that fit their understandi</w:t>
      </w:r>
      <w:r>
        <w:rPr>
          <w:rFonts w:ascii="Calibri" w:eastAsia="Times New Roman" w:hAnsi="Calibri" w:cs="Times New Roman"/>
          <w:lang w:val="en-GB"/>
        </w:rPr>
        <w:t xml:space="preserve">ng of the evidence in the case. </w:t>
      </w:r>
      <w:r w:rsidRPr="00523EFB">
        <w:rPr>
          <w:rFonts w:ascii="Calibri" w:eastAsia="Times New Roman" w:hAnsi="Calibri" w:cs="Times New Roman"/>
          <w:lang w:val="en-GB"/>
        </w:rPr>
        <w:t xml:space="preserve">Pennington and Hastie (1986: 243) assert story construction is commonly used by juries, notably by adopting a 3 stage episodic process that conceives of events as having </w:t>
      </w:r>
      <w:r w:rsidRPr="00523EFB">
        <w:rPr>
          <w:lang w:val="en-GB"/>
        </w:rPr>
        <w:t>a: ‘beginning causing a development causing an ending’. This echoes the findings of Todorov and Weinstein (1969), Van Dijk (1975) and Labov and Waletzky (1961). Spottswood (2013: 148) notes that juries’: ‘reasoning tends to invoke “story structure</w:t>
      </w:r>
      <w:r>
        <w:rPr>
          <w:lang w:val="en-GB"/>
        </w:rPr>
        <w:t xml:space="preserve">s”’ </w:t>
      </w:r>
      <w:r w:rsidRPr="00523EFB">
        <w:rPr>
          <w:lang w:val="en-GB"/>
        </w:rPr>
        <w:t>to construct comprehensible narratives that make sense of complex evidence. Therefore, it appears that juries might utilise known struc</w:t>
      </w:r>
      <w:r>
        <w:rPr>
          <w:lang w:val="en-GB"/>
        </w:rPr>
        <w:t>tures to cut through the</w:t>
      </w:r>
      <w:r w:rsidRPr="00523EFB">
        <w:rPr>
          <w:lang w:val="en-GB"/>
        </w:rPr>
        <w:t xml:space="preserve"> complexity</w:t>
      </w:r>
      <w:r>
        <w:rPr>
          <w:lang w:val="en-GB"/>
        </w:rPr>
        <w:t xml:space="preserve"> of the cases they assess in the coronial system</w:t>
      </w:r>
      <w:r w:rsidRPr="00523EFB">
        <w:rPr>
          <w:lang w:val="en-GB"/>
        </w:rPr>
        <w:t xml:space="preserve">. </w:t>
      </w:r>
    </w:p>
    <w:p w14:paraId="0B8567CF" w14:textId="77777777" w:rsidR="00E87127" w:rsidRDefault="00E87127" w:rsidP="00E87127">
      <w:pPr>
        <w:spacing w:after="0" w:line="360" w:lineRule="auto"/>
        <w:jc w:val="both"/>
        <w:rPr>
          <w:lang w:val="en-GB"/>
        </w:rPr>
      </w:pPr>
    </w:p>
    <w:p w14:paraId="17EC1E48" w14:textId="77777777" w:rsidR="00E87127" w:rsidRDefault="00E87127" w:rsidP="00E87127">
      <w:pPr>
        <w:spacing w:after="0" w:line="360" w:lineRule="auto"/>
        <w:jc w:val="both"/>
        <w:rPr>
          <w:lang w:val="en-GB"/>
        </w:rPr>
      </w:pPr>
      <w:r w:rsidRPr="00523EFB">
        <w:rPr>
          <w:lang w:val="en-GB"/>
        </w:rPr>
        <w:t>Taylor (2016) notes that humans use narrative to search for singular causes for events, even whilst acknowledging that such events are multi-causal. In his analysis, this occurs because we extrapolate our experiences from generalisations about what we know and use them to make sense of stories told to us. Once we have weighed up and sifted the evidence, we tend to make a judgement that ‘serves to underpin a moral assessment’ (Taylor 2016: 295)</w:t>
      </w:r>
      <w:r>
        <w:rPr>
          <w:lang w:val="en-GB"/>
        </w:rPr>
        <w:t xml:space="preserve">, much as was seen in the evaluative examples earlier. Thus he provides an example that even a lengthy </w:t>
      </w:r>
      <w:r w:rsidRPr="00523EFB">
        <w:rPr>
          <w:lang w:val="en-GB"/>
        </w:rPr>
        <w:t xml:space="preserve">academic tome on the First World War will seek to attribute a few significant causes to it, while noting that the overarching causes may have been manifold and complex.  </w:t>
      </w:r>
    </w:p>
    <w:p w14:paraId="58527ED4" w14:textId="77777777" w:rsidR="00E87127" w:rsidRDefault="00E87127" w:rsidP="00E87127">
      <w:pPr>
        <w:spacing w:after="0" w:line="360" w:lineRule="auto"/>
        <w:jc w:val="both"/>
        <w:rPr>
          <w:lang w:val="en-GB"/>
        </w:rPr>
      </w:pPr>
    </w:p>
    <w:p w14:paraId="6FD88093" w14:textId="77777777" w:rsidR="00E87127" w:rsidRPr="00294570" w:rsidRDefault="00E87127" w:rsidP="00E87127">
      <w:pPr>
        <w:spacing w:after="0" w:line="360" w:lineRule="auto"/>
        <w:jc w:val="both"/>
        <w:rPr>
          <w:lang w:val="en-GB"/>
        </w:rPr>
      </w:pPr>
      <w:r>
        <w:rPr>
          <w:lang w:val="en-GB"/>
        </w:rPr>
        <w:t xml:space="preserve">Chekhov’s gun and Ockham’s razor represent devices used in narrative to enable the construction of a comprehensible narrative that is explicable to social audiences. In this sense, they are examples of structures used by juries to make sense of, by way of simplification, the complexity inherent in cases of DAPC. The third example, discussed below, suggests a somewhat converse reaction. ‘Hedging’ and ‘specific ambiguity’ represent instances where aspects of the institutional structure within the coronial system effectively produce opacity and ambiguity in the construction of narrative verdicts. </w:t>
      </w:r>
    </w:p>
    <w:p w14:paraId="5FC98761" w14:textId="77777777" w:rsidR="00E87127" w:rsidRPr="00523EFB" w:rsidRDefault="00E87127" w:rsidP="00E87127">
      <w:pPr>
        <w:spacing w:after="0" w:line="360" w:lineRule="auto"/>
        <w:jc w:val="both"/>
        <w:rPr>
          <w:rFonts w:ascii="Calibri" w:eastAsia="Times New Roman" w:hAnsi="Calibri" w:cs="Calibri"/>
          <w:lang w:val="en-GB"/>
        </w:rPr>
      </w:pPr>
    </w:p>
    <w:p w14:paraId="515B775E" w14:textId="77777777" w:rsidR="00E87127" w:rsidRPr="00523EFB" w:rsidRDefault="00E87127" w:rsidP="00E87127">
      <w:pPr>
        <w:spacing w:after="0" w:line="360" w:lineRule="auto"/>
        <w:jc w:val="both"/>
        <w:rPr>
          <w:rFonts w:ascii="Calibri" w:eastAsia="Times New Roman" w:hAnsi="Calibri" w:cs="Calibri"/>
          <w:b/>
          <w:i/>
          <w:lang w:val="en-GB"/>
        </w:rPr>
      </w:pPr>
      <w:r w:rsidRPr="00523EFB">
        <w:rPr>
          <w:rFonts w:ascii="Calibri" w:eastAsia="Times New Roman" w:hAnsi="Calibri" w:cs="Calibri"/>
          <w:b/>
          <w:i/>
          <w:lang w:val="en-GB"/>
        </w:rPr>
        <w:t xml:space="preserve">‘Hedging’ and </w:t>
      </w:r>
      <w:r w:rsidRPr="00523EFB">
        <w:rPr>
          <w:rFonts w:ascii="Calibri" w:eastAsia="Times New Roman" w:hAnsi="Calibri" w:cs="Calibri"/>
          <w:b/>
          <w:lang w:val="en-GB"/>
        </w:rPr>
        <w:t>‘</w:t>
      </w:r>
      <w:r w:rsidRPr="00523EFB">
        <w:rPr>
          <w:rFonts w:ascii="Calibri" w:eastAsia="Times New Roman" w:hAnsi="Calibri" w:cs="Calibri"/>
          <w:b/>
          <w:i/>
          <w:lang w:val="en-GB"/>
        </w:rPr>
        <w:t>specific ambiguity’</w:t>
      </w:r>
    </w:p>
    <w:p w14:paraId="3CFF36E7" w14:textId="77777777" w:rsidR="00E87127" w:rsidRPr="00523EFB" w:rsidRDefault="00E87127" w:rsidP="00E87127">
      <w:pPr>
        <w:spacing w:after="0" w:line="360" w:lineRule="auto"/>
        <w:jc w:val="both"/>
        <w:rPr>
          <w:rFonts w:ascii="Calibri" w:eastAsia="Times New Roman" w:hAnsi="Calibri" w:cs="Calibri"/>
          <w:b/>
          <w:u w:val="single"/>
          <w:lang w:val="en-GB"/>
        </w:rPr>
      </w:pPr>
    </w:p>
    <w:p w14:paraId="25EA0905" w14:textId="77777777" w:rsidR="00E87127" w:rsidRPr="00523EFB" w:rsidRDefault="00E87127" w:rsidP="00E87127">
      <w:pPr>
        <w:spacing w:after="0" w:line="360" w:lineRule="auto"/>
        <w:jc w:val="both"/>
        <w:rPr>
          <w:rFonts w:ascii="Calibri" w:eastAsia="Times New Roman" w:hAnsi="Calibri" w:cs="Calibri"/>
          <w:lang w:val="en-GB"/>
        </w:rPr>
      </w:pPr>
      <w:r>
        <w:rPr>
          <w:rFonts w:ascii="Calibri" w:eastAsia="Times New Roman" w:hAnsi="Calibri" w:cs="Calibri"/>
          <w:lang w:val="en-GB"/>
        </w:rPr>
        <w:t>T</w:t>
      </w:r>
      <w:r w:rsidRPr="00523EFB">
        <w:rPr>
          <w:rFonts w:ascii="Calibri" w:eastAsia="Times New Roman" w:hAnsi="Calibri" w:cs="Calibri"/>
          <w:lang w:val="en-GB"/>
        </w:rPr>
        <w:t xml:space="preserve">wo discursive practices are </w:t>
      </w:r>
      <w:r>
        <w:rPr>
          <w:rFonts w:ascii="Calibri" w:eastAsia="Times New Roman" w:hAnsi="Calibri" w:cs="Calibri"/>
          <w:lang w:val="en-GB"/>
        </w:rPr>
        <w:t xml:space="preserve">principally </w:t>
      </w:r>
      <w:r w:rsidRPr="00523EFB">
        <w:rPr>
          <w:rFonts w:ascii="Calibri" w:eastAsia="Times New Roman" w:hAnsi="Calibri" w:cs="Calibri"/>
          <w:lang w:val="en-GB"/>
        </w:rPr>
        <w:t xml:space="preserve">at play in </w:t>
      </w:r>
      <w:r>
        <w:rPr>
          <w:rFonts w:ascii="Calibri" w:eastAsia="Times New Roman" w:hAnsi="Calibri" w:cs="Calibri"/>
          <w:lang w:val="en-GB"/>
        </w:rPr>
        <w:t>the</w:t>
      </w:r>
      <w:r w:rsidRPr="00523EFB">
        <w:rPr>
          <w:rFonts w:ascii="Calibri" w:eastAsia="Times New Roman" w:hAnsi="Calibri" w:cs="Calibri"/>
          <w:lang w:val="en-GB"/>
        </w:rPr>
        <w:t xml:space="preserve"> construction</w:t>
      </w:r>
      <w:r>
        <w:rPr>
          <w:rFonts w:ascii="Calibri" w:eastAsia="Times New Roman" w:hAnsi="Calibri" w:cs="Calibri"/>
          <w:lang w:val="en-GB"/>
        </w:rPr>
        <w:t xml:space="preserve"> of narrative verdicts</w:t>
      </w:r>
      <w:r w:rsidRPr="00523EFB">
        <w:rPr>
          <w:rFonts w:ascii="Calibri" w:eastAsia="Times New Roman" w:hAnsi="Calibri" w:cs="Calibri"/>
          <w:lang w:val="en-GB"/>
        </w:rPr>
        <w:t>. First, the discursive practice of language, and secondly the discursive practice of institutional processes. One fits within the other, and the</w:t>
      </w:r>
      <w:r>
        <w:rPr>
          <w:rFonts w:ascii="Calibri" w:eastAsia="Times New Roman" w:hAnsi="Calibri" w:cs="Calibri"/>
          <w:lang w:val="en-GB"/>
        </w:rPr>
        <w:t>ir dynamic</w:t>
      </w:r>
      <w:r w:rsidRPr="00523EFB">
        <w:rPr>
          <w:rFonts w:ascii="Calibri" w:eastAsia="Times New Roman" w:hAnsi="Calibri" w:cs="Calibri"/>
          <w:lang w:val="en-GB"/>
        </w:rPr>
        <w:t xml:space="preserve"> relationship exists as a dialectical process that constructs accountability in the form of narrative verdicts. Emerging from these processes of dialectical contextualisation are manifestations I term ‘hedging’ and ‘specific ambiguity.’</w:t>
      </w:r>
    </w:p>
    <w:p w14:paraId="1E68DB23" w14:textId="77777777" w:rsidR="00E87127" w:rsidRPr="00523EFB" w:rsidRDefault="00E87127" w:rsidP="00E87127">
      <w:pPr>
        <w:spacing w:after="0" w:line="360" w:lineRule="auto"/>
        <w:jc w:val="both"/>
        <w:rPr>
          <w:rFonts w:ascii="Calibri" w:eastAsia="Times New Roman" w:hAnsi="Calibri" w:cs="Calibri"/>
          <w:lang w:val="en-GB"/>
        </w:rPr>
      </w:pPr>
    </w:p>
    <w:p w14:paraId="37AB8AC8" w14:textId="77777777" w:rsidR="00E87127" w:rsidRPr="00523EFB" w:rsidRDefault="00E87127" w:rsidP="00E87127">
      <w:pPr>
        <w:spacing w:after="0" w:line="360" w:lineRule="auto"/>
        <w:jc w:val="both"/>
        <w:rPr>
          <w:rFonts w:ascii="Times New Roman" w:eastAsia="Times New Roman" w:hAnsi="Times New Roman" w:cs="Times New Roman"/>
          <w:lang w:val="en-GB"/>
        </w:rPr>
      </w:pPr>
      <w:r w:rsidRPr="00523EFB">
        <w:rPr>
          <w:rFonts w:ascii="Calibri" w:eastAsia="Times New Roman" w:hAnsi="Calibri" w:cs="Calibri"/>
          <w:lang w:val="en-GB"/>
        </w:rPr>
        <w:t>The language permitted in the coronial system constrains narrative construction in the way that acts or omissions are recorded, as it is not possible to ascribe guilt or liability in an inquest. This, however, has not prevented the construction of some highly critical narrative verdicts.</w:t>
      </w:r>
      <w:r w:rsidRPr="00523EFB">
        <w:rPr>
          <w:rFonts w:ascii="Times New Roman" w:eastAsia="Times New Roman" w:hAnsi="Times New Roman" w:cs="Times New Roman"/>
          <w:lang w:val="en-GB"/>
        </w:rPr>
        <w:t xml:space="preserve"> </w:t>
      </w:r>
      <w:r w:rsidRPr="00523EFB">
        <w:rPr>
          <w:rFonts w:ascii="Calibri" w:eastAsia="Times New Roman" w:hAnsi="Calibri" w:cs="Calibri"/>
          <w:lang w:val="en-GB"/>
        </w:rPr>
        <w:t xml:space="preserve">What is notable about the more critical verdicts is their ability to hedge with words and formulate sentences that are </w:t>
      </w:r>
      <w:r>
        <w:rPr>
          <w:rFonts w:ascii="Calibri" w:eastAsia="Times New Roman" w:hAnsi="Calibri" w:cs="Calibri"/>
          <w:lang w:val="en-GB"/>
        </w:rPr>
        <w:t>more emphatic than others. In discourse analysis</w:t>
      </w:r>
      <w:r w:rsidRPr="00523EFB">
        <w:rPr>
          <w:rFonts w:ascii="Calibri" w:eastAsia="Times New Roman" w:hAnsi="Calibri" w:cs="Calibri"/>
          <w:lang w:val="en-GB"/>
        </w:rPr>
        <w:t xml:space="preserve"> this is termed ‘</w:t>
      </w:r>
      <w:r>
        <w:rPr>
          <w:rFonts w:ascii="Calibri" w:eastAsia="Times New Roman" w:hAnsi="Calibri" w:cs="Calibri"/>
          <w:lang w:val="en-GB"/>
        </w:rPr>
        <w:t xml:space="preserve">modality’ (Melia 2003). Below, </w:t>
      </w:r>
      <w:r w:rsidRPr="00523EFB">
        <w:rPr>
          <w:rFonts w:ascii="Calibri" w:eastAsia="Times New Roman" w:hAnsi="Calibri" w:cs="Calibri"/>
          <w:lang w:val="en-GB"/>
        </w:rPr>
        <w:t xml:space="preserve">a rising scale of critical statements </w:t>
      </w:r>
      <w:r>
        <w:rPr>
          <w:rFonts w:ascii="Calibri" w:eastAsia="Times New Roman" w:hAnsi="Calibri" w:cs="Calibri"/>
          <w:lang w:val="en-GB"/>
        </w:rPr>
        <w:t>are outlined</w:t>
      </w:r>
      <w:r w:rsidRPr="00523EFB">
        <w:rPr>
          <w:rFonts w:ascii="Calibri" w:eastAsia="Times New Roman" w:hAnsi="Calibri" w:cs="Calibri"/>
          <w:lang w:val="en-GB"/>
        </w:rPr>
        <w:t>, beginning with the relatively cautious:</w:t>
      </w:r>
    </w:p>
    <w:p w14:paraId="4AF7F5EB" w14:textId="77777777" w:rsidR="00E87127" w:rsidRPr="00523EFB" w:rsidRDefault="00E87127" w:rsidP="00E87127">
      <w:pPr>
        <w:spacing w:after="0" w:line="360" w:lineRule="auto"/>
        <w:jc w:val="both"/>
        <w:rPr>
          <w:rFonts w:ascii="Calibri" w:eastAsia="Times New Roman" w:hAnsi="Calibri" w:cs="Calibri"/>
          <w:lang w:val="en-GB"/>
        </w:rPr>
      </w:pPr>
    </w:p>
    <w:p w14:paraId="25A21B5A" w14:textId="77777777" w:rsidR="00E87127" w:rsidRPr="00523EFB" w:rsidRDefault="00E87127" w:rsidP="00E87127">
      <w:pPr>
        <w:spacing w:after="0" w:line="360" w:lineRule="auto"/>
        <w:ind w:left="284" w:right="284"/>
        <w:jc w:val="both"/>
        <w:rPr>
          <w:rFonts w:ascii="Calibri" w:eastAsia="Calibri" w:hAnsi="Calibri" w:cs="Times New Roman"/>
          <w:i/>
          <w:lang w:val="en-GB"/>
        </w:rPr>
      </w:pPr>
      <w:r w:rsidRPr="00523EFB">
        <w:rPr>
          <w:rFonts w:ascii="Calibri" w:eastAsia="Calibri" w:hAnsi="Calibri" w:cs="Times New Roman"/>
          <w:b/>
          <w:lang w:val="en-GB"/>
        </w:rPr>
        <w:t>Case 9</w:t>
      </w:r>
      <w:r w:rsidRPr="00523EFB">
        <w:rPr>
          <w:rFonts w:ascii="Calibri" w:eastAsia="Calibri" w:hAnsi="Calibri" w:cs="Times New Roman"/>
          <w:lang w:val="en-GB"/>
        </w:rPr>
        <w:t xml:space="preserve">: </w:t>
      </w:r>
      <w:r w:rsidRPr="00523EFB">
        <w:rPr>
          <w:rFonts w:ascii="Calibri" w:eastAsia="Calibri" w:hAnsi="Calibri" w:cs="Times New Roman"/>
          <w:i/>
          <w:lang w:val="en-GB"/>
        </w:rPr>
        <w:t>‘Had the appropriate precautions and actions been taken death may have been prevented.’</w:t>
      </w:r>
    </w:p>
    <w:p w14:paraId="57002383" w14:textId="77777777" w:rsidR="00E87127" w:rsidRPr="00523EFB" w:rsidRDefault="00E87127" w:rsidP="00E87127">
      <w:pPr>
        <w:spacing w:after="0" w:line="360" w:lineRule="auto"/>
        <w:ind w:left="284" w:right="284"/>
        <w:jc w:val="both"/>
        <w:rPr>
          <w:rFonts w:ascii="Calibri" w:eastAsia="Calibri" w:hAnsi="Calibri" w:cs="Times New Roman"/>
          <w:i/>
          <w:lang w:val="en-GB"/>
        </w:rPr>
      </w:pPr>
    </w:p>
    <w:p w14:paraId="3B5F2DEF" w14:textId="77777777" w:rsidR="00E87127" w:rsidRPr="00523EFB" w:rsidRDefault="00E87127" w:rsidP="00E87127">
      <w:pPr>
        <w:spacing w:after="0" w:line="360" w:lineRule="auto"/>
        <w:ind w:left="284" w:right="284"/>
        <w:jc w:val="both"/>
        <w:rPr>
          <w:rFonts w:ascii="Calibri" w:eastAsia="Calibri" w:hAnsi="Calibri" w:cs="Times New Roman"/>
          <w:i/>
          <w:lang w:val="en-GB"/>
        </w:rPr>
      </w:pPr>
      <w:r w:rsidRPr="00523EFB">
        <w:rPr>
          <w:rFonts w:ascii="Calibri" w:eastAsia="Calibri" w:hAnsi="Calibri" w:cs="Times New Roman"/>
          <w:b/>
          <w:lang w:val="en-GB"/>
        </w:rPr>
        <w:t>Case 20</w:t>
      </w:r>
      <w:r w:rsidRPr="00523EFB">
        <w:rPr>
          <w:rFonts w:ascii="Calibri" w:eastAsia="Calibri" w:hAnsi="Calibri" w:cs="Times New Roman"/>
          <w:lang w:val="en-GB"/>
        </w:rPr>
        <w:t xml:space="preserve">: </w:t>
      </w:r>
      <w:r w:rsidRPr="00523EFB">
        <w:rPr>
          <w:rFonts w:ascii="Calibri" w:eastAsia="Calibri" w:hAnsi="Calibri" w:cs="Times New Roman"/>
          <w:i/>
          <w:lang w:val="en-GB"/>
        </w:rPr>
        <w:t>‘These failings represented a significant loss of opportunity to properly care for and protect [the deceased]’.</w:t>
      </w:r>
    </w:p>
    <w:p w14:paraId="4D71FF64" w14:textId="77777777" w:rsidR="00E87127" w:rsidRPr="00523EFB" w:rsidRDefault="00E87127" w:rsidP="00E87127">
      <w:pPr>
        <w:spacing w:after="0" w:line="360" w:lineRule="auto"/>
        <w:jc w:val="both"/>
        <w:rPr>
          <w:rFonts w:ascii="Calibri" w:eastAsia="Calibri" w:hAnsi="Calibri" w:cs="Times New Roman"/>
          <w:lang w:val="en-GB"/>
        </w:rPr>
      </w:pPr>
    </w:p>
    <w:p w14:paraId="295F89CE" w14:textId="77777777" w:rsidR="00E87127" w:rsidRPr="00523EFB" w:rsidRDefault="00E87127" w:rsidP="00E87127">
      <w:pPr>
        <w:spacing w:after="0" w:line="360" w:lineRule="auto"/>
        <w:jc w:val="both"/>
        <w:rPr>
          <w:rFonts w:ascii="Calibri" w:eastAsia="Calibri" w:hAnsi="Calibri" w:cs="Times New Roman"/>
          <w:lang w:val="en-GB"/>
        </w:rPr>
      </w:pPr>
      <w:r w:rsidRPr="00523EFB">
        <w:rPr>
          <w:rFonts w:ascii="Calibri" w:eastAsia="Calibri" w:hAnsi="Calibri" w:cs="Times New Roman"/>
          <w:lang w:val="en-GB"/>
        </w:rPr>
        <w:t>Through to the more emphatic:</w:t>
      </w:r>
    </w:p>
    <w:p w14:paraId="51365B95" w14:textId="77777777" w:rsidR="00E87127" w:rsidRPr="00523EFB" w:rsidRDefault="00E87127" w:rsidP="00E87127">
      <w:pPr>
        <w:spacing w:after="0" w:line="360" w:lineRule="auto"/>
        <w:jc w:val="both"/>
        <w:rPr>
          <w:rFonts w:ascii="Calibri" w:eastAsia="Calibri" w:hAnsi="Calibri" w:cs="Times New Roman"/>
          <w:lang w:val="en-GB"/>
        </w:rPr>
      </w:pPr>
    </w:p>
    <w:p w14:paraId="2D64425D" w14:textId="77777777" w:rsidR="00E87127" w:rsidRPr="00523EFB" w:rsidRDefault="00E87127" w:rsidP="00E87127">
      <w:pPr>
        <w:spacing w:after="0" w:line="360" w:lineRule="auto"/>
        <w:ind w:left="284" w:right="284"/>
        <w:jc w:val="both"/>
        <w:rPr>
          <w:rFonts w:ascii="Calibri" w:eastAsia="Calibri" w:hAnsi="Calibri" w:cs="Times New Roman"/>
          <w:i/>
          <w:lang w:val="en-GB"/>
        </w:rPr>
      </w:pPr>
      <w:r w:rsidRPr="00523EFB">
        <w:rPr>
          <w:rFonts w:ascii="Calibri" w:eastAsia="Calibri" w:hAnsi="Calibri" w:cs="Times New Roman"/>
          <w:b/>
          <w:lang w:val="en-GB"/>
        </w:rPr>
        <w:t>Case 7</w:t>
      </w:r>
      <w:r w:rsidRPr="00523EFB">
        <w:rPr>
          <w:rFonts w:ascii="Calibri" w:eastAsia="Calibri" w:hAnsi="Calibri" w:cs="Times New Roman"/>
          <w:lang w:val="en-GB"/>
        </w:rPr>
        <w:t xml:space="preserve">: </w:t>
      </w:r>
      <w:r w:rsidRPr="00523EFB">
        <w:rPr>
          <w:rFonts w:ascii="Calibri" w:eastAsia="Calibri" w:hAnsi="Calibri" w:cs="Times New Roman"/>
          <w:i/>
          <w:lang w:val="en-GB"/>
        </w:rPr>
        <w:t>‘In all probability, if [the deceased’s] position had been changed and oxygen administered, his chance of survival would have greatly increased.</w:t>
      </w:r>
    </w:p>
    <w:p w14:paraId="7A52BE73" w14:textId="77777777" w:rsidR="00E87127" w:rsidRPr="00523EFB" w:rsidRDefault="00E87127" w:rsidP="00E87127">
      <w:pPr>
        <w:spacing w:after="0" w:line="360" w:lineRule="auto"/>
        <w:ind w:left="284" w:right="284"/>
        <w:jc w:val="both"/>
        <w:rPr>
          <w:rFonts w:ascii="Calibri" w:eastAsia="Calibri" w:hAnsi="Calibri" w:cs="Times New Roman"/>
          <w:i/>
          <w:lang w:val="en-GB"/>
        </w:rPr>
      </w:pPr>
      <w:r w:rsidRPr="00523EFB">
        <w:rPr>
          <w:rFonts w:ascii="Calibri" w:eastAsia="Calibri" w:hAnsi="Calibri" w:cs="Times New Roman"/>
          <w:b/>
          <w:lang w:val="en-GB"/>
        </w:rPr>
        <w:t>Case 28</w:t>
      </w:r>
      <w:r w:rsidRPr="00523EFB">
        <w:rPr>
          <w:rFonts w:ascii="Calibri" w:eastAsia="Calibri" w:hAnsi="Calibri" w:cs="Times New Roman"/>
          <w:lang w:val="en-GB"/>
        </w:rPr>
        <w:t xml:space="preserve">: </w:t>
      </w:r>
      <w:r w:rsidRPr="00523EFB">
        <w:rPr>
          <w:rFonts w:ascii="Calibri" w:eastAsia="Calibri" w:hAnsi="Calibri" w:cs="Times New Roman"/>
          <w:i/>
          <w:lang w:val="en-GB"/>
        </w:rPr>
        <w:t>Question: ‘Are there any further issues which you consider more than minimally contributed towards the death of [the deceased], and if so what are they?’</w:t>
      </w:r>
    </w:p>
    <w:p w14:paraId="53614BB8" w14:textId="77777777" w:rsidR="00E87127" w:rsidRPr="00523EFB" w:rsidRDefault="00E87127" w:rsidP="00E87127">
      <w:pPr>
        <w:spacing w:after="0" w:line="360" w:lineRule="auto"/>
        <w:ind w:left="284" w:right="284"/>
        <w:jc w:val="both"/>
        <w:rPr>
          <w:rFonts w:ascii="Calibri" w:eastAsia="Calibri" w:hAnsi="Calibri" w:cs="Times New Roman"/>
          <w:i/>
          <w:lang w:val="en-GB"/>
        </w:rPr>
      </w:pPr>
      <w:r w:rsidRPr="00523EFB">
        <w:rPr>
          <w:rFonts w:ascii="Calibri" w:eastAsia="Calibri" w:hAnsi="Calibri" w:cs="Times New Roman"/>
          <w:i/>
          <w:lang w:val="en-GB"/>
        </w:rPr>
        <w:t xml:space="preserve">Answer: </w:t>
      </w:r>
    </w:p>
    <w:p w14:paraId="56A2BB1E" w14:textId="77777777" w:rsidR="00E87127" w:rsidRPr="00523EFB" w:rsidRDefault="00E87127" w:rsidP="00E87127">
      <w:pPr>
        <w:spacing w:after="0" w:line="360" w:lineRule="auto"/>
        <w:ind w:left="284" w:right="284"/>
        <w:jc w:val="both"/>
        <w:rPr>
          <w:rFonts w:ascii="Calibri" w:eastAsia="Calibri" w:hAnsi="Calibri" w:cs="Times New Roman"/>
          <w:i/>
          <w:lang w:val="en-GB"/>
        </w:rPr>
      </w:pPr>
      <w:r w:rsidRPr="00523EFB">
        <w:rPr>
          <w:rFonts w:ascii="Calibri" w:eastAsia="Calibri" w:hAnsi="Calibri" w:cs="Times New Roman"/>
          <w:i/>
          <w:lang w:val="en-GB"/>
        </w:rPr>
        <w:t>‘Lack of management support and a lack of confidence in management, reflecting in low morale. Therefore the level of care was insufficient.</w:t>
      </w:r>
    </w:p>
    <w:p w14:paraId="3BF14F9B" w14:textId="77777777" w:rsidR="00E87127" w:rsidRPr="00523EFB" w:rsidRDefault="00E87127" w:rsidP="00E87127">
      <w:pPr>
        <w:spacing w:after="0" w:line="360" w:lineRule="auto"/>
        <w:ind w:left="284" w:right="284"/>
        <w:jc w:val="both"/>
        <w:rPr>
          <w:rFonts w:ascii="Calibri" w:eastAsia="Calibri" w:hAnsi="Calibri" w:cs="Times New Roman"/>
          <w:i/>
          <w:lang w:val="en-GB"/>
        </w:rPr>
      </w:pPr>
      <w:r w:rsidRPr="00523EFB">
        <w:rPr>
          <w:rFonts w:ascii="Calibri" w:eastAsia="Calibri" w:hAnsi="Calibri" w:cs="Times New Roman"/>
          <w:i/>
          <w:lang w:val="en-GB"/>
        </w:rPr>
        <w:t>NHS staff allowed personal issues to affect their judgement &amp; performance.</w:t>
      </w:r>
    </w:p>
    <w:p w14:paraId="3387C1C1" w14:textId="77777777" w:rsidR="00E87127" w:rsidRPr="00523EFB" w:rsidRDefault="00E87127" w:rsidP="00E87127">
      <w:pPr>
        <w:spacing w:after="0" w:line="360" w:lineRule="auto"/>
        <w:ind w:left="284" w:right="284"/>
        <w:jc w:val="both"/>
        <w:rPr>
          <w:rFonts w:ascii="Calibri" w:eastAsia="Calibri" w:hAnsi="Calibri" w:cs="Times New Roman"/>
          <w:lang w:val="en-GB"/>
        </w:rPr>
      </w:pPr>
      <w:r w:rsidRPr="00523EFB">
        <w:rPr>
          <w:rFonts w:ascii="Calibri" w:eastAsia="Calibri" w:hAnsi="Calibri" w:cs="Times New Roman"/>
          <w:i/>
          <w:lang w:val="en-GB"/>
        </w:rPr>
        <w:t>Inadequate nursing records &amp; failure to utilise them</w:t>
      </w:r>
      <w:r w:rsidRPr="00523EFB">
        <w:rPr>
          <w:rFonts w:ascii="Calibri" w:eastAsia="Calibri" w:hAnsi="Calibri" w:cs="Times New Roman"/>
          <w:lang w:val="en-GB"/>
        </w:rPr>
        <w:t>.’</w:t>
      </w:r>
    </w:p>
    <w:p w14:paraId="7A20D7C9" w14:textId="77777777" w:rsidR="00E87127" w:rsidRPr="00523EFB" w:rsidRDefault="00E87127" w:rsidP="00E87127">
      <w:pPr>
        <w:spacing w:after="0" w:line="360" w:lineRule="auto"/>
        <w:ind w:left="284" w:right="284"/>
        <w:jc w:val="both"/>
        <w:rPr>
          <w:rFonts w:ascii="Calibri" w:eastAsia="Calibri" w:hAnsi="Calibri" w:cs="Times New Roman"/>
          <w:lang w:val="en-GB"/>
        </w:rPr>
      </w:pPr>
    </w:p>
    <w:p w14:paraId="59032F95" w14:textId="77777777" w:rsidR="00E87127" w:rsidRPr="00523EFB" w:rsidRDefault="00E87127" w:rsidP="00E87127">
      <w:pPr>
        <w:spacing w:after="0" w:line="360" w:lineRule="auto"/>
        <w:jc w:val="both"/>
        <w:rPr>
          <w:rFonts w:ascii="Calibri" w:eastAsia="Calibri" w:hAnsi="Calibri" w:cs="Times New Roman"/>
          <w:lang w:val="en-GB"/>
        </w:rPr>
      </w:pPr>
      <w:r w:rsidRPr="00523EFB">
        <w:rPr>
          <w:rFonts w:ascii="Calibri" w:eastAsia="Calibri" w:hAnsi="Calibri" w:cs="Times New Roman"/>
          <w:lang w:val="en-GB"/>
        </w:rPr>
        <w:t>To the overtly emphatic:</w:t>
      </w:r>
    </w:p>
    <w:p w14:paraId="6A4540D1" w14:textId="77777777" w:rsidR="00E87127" w:rsidRPr="00523EFB" w:rsidRDefault="00E87127" w:rsidP="00E87127">
      <w:pPr>
        <w:spacing w:after="0" w:line="360" w:lineRule="auto"/>
        <w:jc w:val="both"/>
        <w:rPr>
          <w:rFonts w:ascii="Calibri" w:eastAsia="Calibri" w:hAnsi="Calibri" w:cs="Times New Roman"/>
          <w:lang w:val="en-GB"/>
        </w:rPr>
      </w:pPr>
    </w:p>
    <w:p w14:paraId="7DD47C05" w14:textId="77777777" w:rsidR="00E87127" w:rsidRPr="00523EFB" w:rsidRDefault="00E87127" w:rsidP="00E87127">
      <w:pPr>
        <w:spacing w:after="0" w:line="360" w:lineRule="auto"/>
        <w:ind w:left="284" w:right="284"/>
        <w:jc w:val="both"/>
        <w:rPr>
          <w:rFonts w:ascii="Calibri" w:eastAsia="Calibri" w:hAnsi="Calibri" w:cs="Times New Roman"/>
          <w:i/>
          <w:lang w:val="en-GB"/>
        </w:rPr>
      </w:pPr>
      <w:r w:rsidRPr="00523EFB">
        <w:rPr>
          <w:rFonts w:ascii="Calibri" w:eastAsia="Calibri" w:hAnsi="Calibri" w:cs="Times New Roman"/>
          <w:b/>
          <w:lang w:val="en-GB"/>
        </w:rPr>
        <w:t>Case 37</w:t>
      </w:r>
      <w:r w:rsidRPr="00523EFB">
        <w:rPr>
          <w:rFonts w:ascii="Calibri" w:eastAsia="Calibri" w:hAnsi="Calibri" w:cs="Times New Roman"/>
          <w:lang w:val="en-GB"/>
        </w:rPr>
        <w:t xml:space="preserve">: </w:t>
      </w:r>
      <w:r w:rsidRPr="00523EFB">
        <w:rPr>
          <w:rFonts w:ascii="Calibri" w:eastAsia="Calibri" w:hAnsi="Calibri" w:cs="Times New Roman"/>
          <w:i/>
          <w:lang w:val="en-GB"/>
        </w:rPr>
        <w:t>‘We unanimously agree that on the balance of probabilities, the omissions of the ambulance crew contributed to [the deceased’s] death.’</w:t>
      </w:r>
    </w:p>
    <w:p w14:paraId="5BA6D3CF" w14:textId="77777777" w:rsidR="00E87127" w:rsidRPr="00523EFB" w:rsidRDefault="00E87127" w:rsidP="00E87127">
      <w:pPr>
        <w:spacing w:after="0" w:line="360" w:lineRule="auto"/>
        <w:ind w:left="284" w:right="284"/>
        <w:jc w:val="both"/>
        <w:rPr>
          <w:rFonts w:ascii="Calibri" w:eastAsia="Calibri" w:hAnsi="Calibri" w:cs="Times New Roman"/>
          <w:lang w:val="en-GB"/>
        </w:rPr>
      </w:pPr>
    </w:p>
    <w:p w14:paraId="2A18A01D" w14:textId="77777777" w:rsidR="00E87127" w:rsidRPr="00523EFB" w:rsidRDefault="00E87127" w:rsidP="00E87127">
      <w:pPr>
        <w:spacing w:after="0" w:line="360" w:lineRule="auto"/>
        <w:jc w:val="both"/>
        <w:rPr>
          <w:rFonts w:eastAsia="Times New Roman" w:cs="Times New Roman"/>
          <w:lang w:val="en-GB"/>
        </w:rPr>
      </w:pPr>
      <w:r w:rsidRPr="00523EFB">
        <w:rPr>
          <w:rFonts w:eastAsia="Times New Roman" w:cs="Times New Roman"/>
          <w:lang w:val="en-GB"/>
        </w:rPr>
        <w:t xml:space="preserve">One objective of an inquest is to uncover facts </w:t>
      </w:r>
      <w:r>
        <w:rPr>
          <w:rFonts w:eastAsia="Times New Roman" w:cs="Times New Roman"/>
          <w:lang w:val="en-GB"/>
        </w:rPr>
        <w:t>about</w:t>
      </w:r>
      <w:r w:rsidRPr="00523EFB">
        <w:rPr>
          <w:rFonts w:eastAsia="Times New Roman" w:cs="Times New Roman"/>
          <w:lang w:val="en-GB"/>
        </w:rPr>
        <w:t xml:space="preserve"> how the individual came to meet their death. In terms of definitions, the words </w:t>
      </w:r>
      <w:r w:rsidRPr="00523EFB">
        <w:rPr>
          <w:rFonts w:eastAsia="Times New Roman" w:cs="Times New Roman"/>
          <w:i/>
          <w:lang w:val="en-GB"/>
        </w:rPr>
        <w:t>blame</w:t>
      </w:r>
      <w:r w:rsidRPr="00523EFB">
        <w:rPr>
          <w:rFonts w:eastAsia="Times New Roman" w:cs="Times New Roman"/>
          <w:lang w:val="en-GB"/>
        </w:rPr>
        <w:t xml:space="preserve"> and </w:t>
      </w:r>
      <w:r w:rsidRPr="00523EFB">
        <w:rPr>
          <w:rFonts w:eastAsia="Times New Roman" w:cs="Times New Roman"/>
          <w:i/>
          <w:lang w:val="en-GB"/>
        </w:rPr>
        <w:t>liability</w:t>
      </w:r>
      <w:r w:rsidRPr="00523EFB">
        <w:rPr>
          <w:rFonts w:eastAsia="Times New Roman" w:cs="Times New Roman"/>
          <w:lang w:val="en-GB"/>
        </w:rPr>
        <w:t xml:space="preserve"> are synonymous with being </w:t>
      </w:r>
      <w:r w:rsidRPr="00523EFB">
        <w:rPr>
          <w:rFonts w:eastAsia="Times New Roman" w:cs="Times New Roman"/>
          <w:i/>
          <w:lang w:val="en-GB"/>
        </w:rPr>
        <w:t>responsible</w:t>
      </w:r>
      <w:r w:rsidRPr="00523EFB">
        <w:rPr>
          <w:rFonts w:eastAsia="Times New Roman" w:cs="Times New Roman"/>
          <w:lang w:val="en-GB"/>
        </w:rPr>
        <w:t>. The latter specifically relates to legal responsibility. In terms of narrative construction, the onus is placed on juries and coroners to develop a lexicon that can identify acts or omissions with</w:t>
      </w:r>
      <w:r>
        <w:rPr>
          <w:rFonts w:eastAsia="Times New Roman" w:cs="Times New Roman"/>
          <w:lang w:val="en-GB"/>
        </w:rPr>
        <w:t>out ascribing liability</w:t>
      </w:r>
      <w:r w:rsidRPr="00523EFB">
        <w:rPr>
          <w:rFonts w:eastAsia="Times New Roman" w:cs="Times New Roman"/>
          <w:lang w:val="en-GB"/>
        </w:rPr>
        <w:t xml:space="preserve">. In this sense, the narrative that is constructed occurs </w:t>
      </w:r>
      <w:r>
        <w:rPr>
          <w:rFonts w:eastAsia="Times New Roman" w:cs="Times New Roman"/>
          <w:lang w:val="en-GB"/>
        </w:rPr>
        <w:t>as a result of multiple factors</w:t>
      </w:r>
      <w:r w:rsidRPr="00523EFB">
        <w:rPr>
          <w:rFonts w:eastAsia="Times New Roman" w:cs="Times New Roman"/>
          <w:lang w:val="en-GB"/>
        </w:rPr>
        <w:t xml:space="preserve">. It is a polyphonic process in the sense that its meaning develops from multiple voices and dialectics to </w:t>
      </w:r>
      <w:r>
        <w:rPr>
          <w:rFonts w:eastAsia="Times New Roman" w:cs="Times New Roman"/>
          <w:lang w:val="en-GB"/>
        </w:rPr>
        <w:t>produce a unified whole (Belova, King and Sliwa</w:t>
      </w:r>
      <w:r w:rsidRPr="00523EFB">
        <w:rPr>
          <w:rFonts w:eastAsia="Times New Roman" w:cs="Times New Roman"/>
          <w:lang w:val="en-GB"/>
        </w:rPr>
        <w:t xml:space="preserve"> 2008, Hermans 2001). Thus there are a number of phrases that sound unusual in conventional language, for example the repeated use of ‘more than minimally contributed to’ (used in one-fifth of cases</w:t>
      </w:r>
      <w:r>
        <w:rPr>
          <w:rFonts w:eastAsia="Times New Roman" w:cs="Times New Roman"/>
          <w:lang w:val="en-GB"/>
        </w:rPr>
        <w:t xml:space="preserve"> in the data set</w:t>
      </w:r>
      <w:r w:rsidRPr="00523EFB">
        <w:rPr>
          <w:rFonts w:eastAsia="Times New Roman" w:cs="Times New Roman"/>
          <w:lang w:val="en-GB"/>
        </w:rPr>
        <w:t>) in relation to actions or omissions leading to a death. Furthermore, there are examples of statements which are hedged to a point where they need to be read more than once to fully appreciate their meaning, for example:</w:t>
      </w:r>
    </w:p>
    <w:p w14:paraId="0DC3524D" w14:textId="77777777" w:rsidR="00E87127" w:rsidRPr="00523EFB" w:rsidRDefault="00E87127" w:rsidP="00E87127">
      <w:pPr>
        <w:spacing w:after="0" w:line="360" w:lineRule="auto"/>
        <w:jc w:val="both"/>
        <w:rPr>
          <w:rFonts w:eastAsia="Times New Roman" w:cs="Times New Roman"/>
          <w:lang w:val="en-GB"/>
        </w:rPr>
      </w:pPr>
    </w:p>
    <w:p w14:paraId="19391EAE" w14:textId="77777777" w:rsidR="00E87127" w:rsidRPr="00523EFB" w:rsidRDefault="00E87127" w:rsidP="00E87127">
      <w:pPr>
        <w:spacing w:after="0" w:line="360" w:lineRule="auto"/>
        <w:ind w:left="284" w:right="284"/>
        <w:jc w:val="both"/>
        <w:rPr>
          <w:rFonts w:eastAsia="Times New Roman" w:cs="Times New Roman"/>
          <w:i/>
          <w:lang w:val="en-GB"/>
        </w:rPr>
      </w:pPr>
      <w:r w:rsidRPr="00523EFB">
        <w:rPr>
          <w:rFonts w:eastAsia="Times New Roman" w:cs="Times New Roman"/>
          <w:b/>
          <w:lang w:val="en-GB"/>
        </w:rPr>
        <w:t>Case 37</w:t>
      </w:r>
      <w:r w:rsidRPr="00523EFB">
        <w:rPr>
          <w:rFonts w:eastAsia="Times New Roman" w:cs="Times New Roman"/>
          <w:lang w:val="en-GB"/>
        </w:rPr>
        <w:t xml:space="preserve">: </w:t>
      </w:r>
      <w:r w:rsidRPr="00523EFB">
        <w:rPr>
          <w:rFonts w:eastAsia="Times New Roman" w:cs="Times New Roman"/>
          <w:i/>
          <w:lang w:val="en-GB"/>
        </w:rPr>
        <w:t>‘We do not find on the balance of probabilities deficiencies in the ambulance crew’s training caused or contributed to the cause of [the deceased’s] death.’</w:t>
      </w:r>
    </w:p>
    <w:p w14:paraId="3F5AB05C" w14:textId="77777777" w:rsidR="00E87127" w:rsidRPr="00523EFB" w:rsidRDefault="00E87127" w:rsidP="00E87127">
      <w:pPr>
        <w:spacing w:after="0" w:line="360" w:lineRule="auto"/>
        <w:jc w:val="both"/>
        <w:rPr>
          <w:rFonts w:eastAsia="Times New Roman" w:cs="Times New Roman"/>
          <w:lang w:val="en-GB"/>
        </w:rPr>
      </w:pPr>
    </w:p>
    <w:p w14:paraId="152C8746" w14:textId="77777777" w:rsidR="00E87127" w:rsidRDefault="00E87127" w:rsidP="00E87127">
      <w:pPr>
        <w:spacing w:after="0" w:line="360" w:lineRule="auto"/>
        <w:jc w:val="both"/>
        <w:rPr>
          <w:rFonts w:eastAsia="Times New Roman" w:cs="Times New Roman"/>
          <w:lang w:val="en-GB"/>
        </w:rPr>
      </w:pPr>
      <w:r w:rsidRPr="00523EFB">
        <w:rPr>
          <w:rFonts w:eastAsia="Times New Roman" w:cs="Times New Roman"/>
          <w:lang w:val="en-GB"/>
        </w:rPr>
        <w:t xml:space="preserve">In this sense the practice of hedging, caused by a number of structural constraints in the production of narrative verdicts leads to a degree of what I term ‘specific ambiguity.’ Statements are specific in the sense that consideration </w:t>
      </w:r>
      <w:r>
        <w:rPr>
          <w:rFonts w:eastAsia="Times New Roman" w:cs="Times New Roman"/>
          <w:lang w:val="en-GB"/>
        </w:rPr>
        <w:t>is</w:t>
      </w:r>
      <w:r w:rsidRPr="00523EFB">
        <w:rPr>
          <w:rFonts w:eastAsia="Times New Roman" w:cs="Times New Roman"/>
          <w:lang w:val="en-GB"/>
        </w:rPr>
        <w:t xml:space="preserve"> given to the formulation of sentences or statements. They are not typically expositions that would occur in lay-persons’ discourse. Woods (2006), writing about discourse and law, obser</w:t>
      </w:r>
      <w:r>
        <w:rPr>
          <w:rFonts w:eastAsia="Times New Roman" w:cs="Times New Roman"/>
          <w:lang w:val="en-GB"/>
        </w:rPr>
        <w:t>ves the use of language in law a</w:t>
      </w:r>
      <w:r w:rsidRPr="00523EFB">
        <w:rPr>
          <w:rFonts w:eastAsia="Times New Roman" w:cs="Times New Roman"/>
          <w:lang w:val="en-GB"/>
        </w:rPr>
        <w:t xml:space="preserve">s </w:t>
      </w:r>
      <w:r>
        <w:rPr>
          <w:rFonts w:eastAsia="Times New Roman" w:cs="Times New Roman"/>
          <w:lang w:val="en-GB"/>
        </w:rPr>
        <w:t xml:space="preserve">being </w:t>
      </w:r>
      <w:r w:rsidRPr="00523EFB">
        <w:rPr>
          <w:rFonts w:eastAsia="Times New Roman" w:cs="Times New Roman"/>
          <w:lang w:val="en-GB"/>
        </w:rPr>
        <w:t xml:space="preserve">characterised by arcane vocabulary and sentence formulation that demands a specialised lexicon. He goes on to posit that statements: ‘frequently result in forms of language which are unusually and even outlandishly explicit, but which can be remarkably vague and open to subjective interpretation or semantic debate’ (Woods 2006: 94). The formulations are considered, measured and specific to the discursive forum in which they are produced. </w:t>
      </w:r>
    </w:p>
    <w:p w14:paraId="684E57B4" w14:textId="77777777" w:rsidR="00E87127" w:rsidRPr="00523EFB" w:rsidRDefault="00E87127" w:rsidP="00E87127">
      <w:pPr>
        <w:spacing w:after="0" w:line="360" w:lineRule="auto"/>
        <w:jc w:val="both"/>
        <w:rPr>
          <w:rFonts w:eastAsia="Times New Roman" w:cs="Times New Roman"/>
          <w:lang w:val="en-GB"/>
        </w:rPr>
      </w:pPr>
    </w:p>
    <w:p w14:paraId="208774FA" w14:textId="77777777" w:rsidR="00E87127" w:rsidRPr="00523EFB" w:rsidRDefault="00E87127" w:rsidP="00E87127">
      <w:pPr>
        <w:spacing w:after="0" w:line="360" w:lineRule="auto"/>
        <w:jc w:val="both"/>
        <w:rPr>
          <w:rFonts w:eastAsia="Times New Roman" w:cs="Times New Roman"/>
          <w:lang w:val="en-GB"/>
        </w:rPr>
      </w:pPr>
      <w:r w:rsidRPr="00523EFB">
        <w:rPr>
          <w:rFonts w:eastAsia="Times New Roman" w:cs="Times New Roman"/>
          <w:lang w:val="en-GB"/>
        </w:rPr>
        <w:t xml:space="preserve">The narrative verdict is not </w:t>
      </w:r>
      <w:r>
        <w:rPr>
          <w:rFonts w:eastAsia="Times New Roman" w:cs="Times New Roman"/>
          <w:lang w:val="en-GB"/>
        </w:rPr>
        <w:t>necessarily</w:t>
      </w:r>
      <w:r w:rsidRPr="00523EFB">
        <w:rPr>
          <w:rFonts w:eastAsia="Times New Roman" w:cs="Times New Roman"/>
          <w:lang w:val="en-GB"/>
        </w:rPr>
        <w:t xml:space="preserve"> a unified document, it can include aspects that appear to be at odds with the overall drift of the narrative, and this apparent lack of coherence can be summed </w:t>
      </w:r>
      <w:r>
        <w:rPr>
          <w:rFonts w:eastAsia="Times New Roman" w:cs="Times New Roman"/>
          <w:lang w:val="en-GB"/>
        </w:rPr>
        <w:t>up by Belova, King and Sliwa</w:t>
      </w:r>
      <w:r w:rsidRPr="00523EFB">
        <w:rPr>
          <w:rFonts w:eastAsia="Times New Roman" w:cs="Times New Roman"/>
          <w:lang w:val="en-GB"/>
        </w:rPr>
        <w:t>’s (2008: 495) view of polyphony in organisational meaning, that it: ‘respresent[s] complex webs of sense-making activities between groups and individuals whose understandings do not simply form a logical sequence but intersect, clash and interfere with each other.’ The use of narrative produces more specific detail in the construction of accountability in cases of DAPC, principally because of the discursive practice of narrative formation, yet this must co-exist with the discursive institutional practices within which narrative is constructed. This complex relationship can produce ambiguity</w:t>
      </w:r>
      <w:r>
        <w:rPr>
          <w:rFonts w:eastAsia="Times New Roman" w:cs="Times New Roman"/>
          <w:lang w:val="en-GB"/>
        </w:rPr>
        <w:t xml:space="preserve"> and opacity</w:t>
      </w:r>
      <w:r w:rsidRPr="00523EFB">
        <w:rPr>
          <w:rFonts w:eastAsia="Times New Roman" w:cs="Times New Roman"/>
          <w:lang w:val="en-GB"/>
        </w:rPr>
        <w:t xml:space="preserve">. Writing </w:t>
      </w:r>
      <w:r>
        <w:rPr>
          <w:rFonts w:eastAsia="Times New Roman" w:cs="Times New Roman"/>
          <w:lang w:val="en-GB"/>
        </w:rPr>
        <w:t>about discourse analysis</w:t>
      </w:r>
      <w:r w:rsidRPr="00523EFB">
        <w:rPr>
          <w:rFonts w:eastAsia="Times New Roman" w:cs="Times New Roman"/>
          <w:lang w:val="en-GB"/>
        </w:rPr>
        <w:t>, Fairclough</w:t>
      </w:r>
      <w:r>
        <w:rPr>
          <w:rFonts w:eastAsia="Times New Roman" w:cs="Times New Roman"/>
          <w:lang w:val="en-GB"/>
        </w:rPr>
        <w:t xml:space="preserve"> (1992: 83)</w:t>
      </w:r>
      <w:r w:rsidRPr="00523EFB">
        <w:rPr>
          <w:rFonts w:eastAsia="Times New Roman" w:cs="Times New Roman"/>
          <w:lang w:val="en-GB"/>
        </w:rPr>
        <w:t xml:space="preserve"> notes that: ‘Coherence is often treated as a property of texts, but is better regarded as a property of interpretations</w:t>
      </w:r>
      <w:r>
        <w:rPr>
          <w:rFonts w:eastAsia="Times New Roman" w:cs="Times New Roman"/>
          <w:lang w:val="en-GB"/>
        </w:rPr>
        <w:t>.</w:t>
      </w:r>
      <w:r w:rsidRPr="00523EFB">
        <w:rPr>
          <w:rFonts w:eastAsia="Times New Roman" w:cs="Times New Roman"/>
          <w:lang w:val="en-GB"/>
        </w:rPr>
        <w:t xml:space="preserve">’ Thus discrete sections of the text might be coherent, but the entirety of it might not. It could be argued that the way in which the story is told is more consistent than elements within it, suggesting the discursive practice of narrative </w:t>
      </w:r>
      <w:r>
        <w:rPr>
          <w:rFonts w:eastAsia="Times New Roman" w:cs="Times New Roman"/>
          <w:lang w:val="en-GB"/>
        </w:rPr>
        <w:t>might</w:t>
      </w:r>
      <w:r w:rsidRPr="00523EFB">
        <w:rPr>
          <w:rFonts w:eastAsia="Times New Roman" w:cs="Times New Roman"/>
          <w:lang w:val="en-GB"/>
        </w:rPr>
        <w:t xml:space="preserve"> override the discursive practices of the coronial system. </w:t>
      </w:r>
    </w:p>
    <w:p w14:paraId="079F5378" w14:textId="77777777" w:rsidR="00E87127" w:rsidRDefault="00E87127" w:rsidP="00E87127">
      <w:pPr>
        <w:rPr>
          <w:lang w:val="en-GB"/>
        </w:rPr>
      </w:pPr>
    </w:p>
    <w:p w14:paraId="0651E25D" w14:textId="77777777" w:rsidR="00E87127" w:rsidRDefault="00E87127" w:rsidP="00E87127">
      <w:pPr>
        <w:rPr>
          <w:b/>
          <w:i/>
          <w:lang w:val="en-GB"/>
        </w:rPr>
      </w:pPr>
      <w:r>
        <w:rPr>
          <w:b/>
          <w:i/>
          <w:lang w:val="en-GB"/>
        </w:rPr>
        <w:t>Conclusion</w:t>
      </w:r>
    </w:p>
    <w:p w14:paraId="0E65AD01" w14:textId="77777777" w:rsidR="00E87127" w:rsidRPr="00F3161E" w:rsidRDefault="00E87127" w:rsidP="00E87127">
      <w:pPr>
        <w:rPr>
          <w:b/>
          <w:i/>
          <w:lang w:val="en-GB"/>
        </w:rPr>
      </w:pPr>
    </w:p>
    <w:p w14:paraId="6DAAC113" w14:textId="77777777" w:rsidR="00E87127" w:rsidRPr="00F3161E" w:rsidRDefault="00E87127" w:rsidP="00E87127">
      <w:pPr>
        <w:spacing w:line="360" w:lineRule="auto"/>
        <w:jc w:val="both"/>
        <w:rPr>
          <w:lang w:val="en-GB"/>
        </w:rPr>
      </w:pPr>
      <w:r w:rsidRPr="00523EFB">
        <w:rPr>
          <w:lang w:val="en-GB"/>
        </w:rPr>
        <w:t xml:space="preserve">Narrative </w:t>
      </w:r>
      <w:r>
        <w:rPr>
          <w:lang w:val="en-GB"/>
        </w:rPr>
        <w:t>i</w:t>
      </w:r>
      <w:r w:rsidRPr="00523EFB">
        <w:rPr>
          <w:lang w:val="en-GB"/>
        </w:rPr>
        <w:t xml:space="preserve">s </w:t>
      </w:r>
      <w:r>
        <w:rPr>
          <w:lang w:val="en-GB"/>
        </w:rPr>
        <w:t>constructed</w:t>
      </w:r>
      <w:r w:rsidRPr="00523EFB">
        <w:rPr>
          <w:lang w:val="en-GB"/>
        </w:rPr>
        <w:t xml:space="preserve"> in a mediated and polyphonic way to </w:t>
      </w:r>
      <w:r>
        <w:rPr>
          <w:lang w:val="en-GB"/>
        </w:rPr>
        <w:t>produce</w:t>
      </w:r>
      <w:r w:rsidRPr="00523EFB">
        <w:rPr>
          <w:lang w:val="en-GB"/>
        </w:rPr>
        <w:t xml:space="preserve"> an officially recorded version of events in cases of DAPC. In this sense it is </w:t>
      </w:r>
      <w:r>
        <w:rPr>
          <w:lang w:val="en-GB"/>
        </w:rPr>
        <w:t>the result of various relationships and tensions inherent within its production</w:t>
      </w:r>
      <w:r w:rsidRPr="00523EFB">
        <w:rPr>
          <w:lang w:val="en-GB"/>
        </w:rPr>
        <w:t xml:space="preserve">. </w:t>
      </w:r>
      <w:r>
        <w:t xml:space="preserve">The use of concepts in narrative theory enables the examination of a complex and difficult to reach subject by using narrative verdicts to uncover what they may say about cases of DAPC in England and Wales. Analysing the relationships between different structures involved in the construction of narrative verdicts is key to understanding how they are produced, and how that affects what they tell us about cases of DAPC. In the first instance, Article 2 of the ECHR has been enforced upon the state, and this has affected the way in which cases of DAPC are regulated in the coronial system in England and Wales. That a supra-national structure has enforced change is notable, not least because of the government’s stated desire to leave the ECHR in the wake of Brexit (Human Rights Watch 2015). </w:t>
      </w:r>
    </w:p>
    <w:p w14:paraId="4ABDDB34" w14:textId="77777777" w:rsidR="00E87127" w:rsidRDefault="00E87127" w:rsidP="00E87127">
      <w:pPr>
        <w:spacing w:line="360" w:lineRule="auto"/>
        <w:jc w:val="both"/>
      </w:pPr>
      <w:r>
        <w:t xml:space="preserve">Structural change in the context of coronial practice was driven by the precedent of narrative verdicts being recorded more frequently in cases of DAPC. To some degree, institutional structures within the coronial system constrain how narrative verdicts are constructed. Investigating the structures, processes and style of narrative construction enabled an examination of how narrative verdicts are constructed. Evidently juries use types of story construction they are familiar with, not least by using episodic structures to present a relatively orderly and comprehensible narrative that is not only explicable to them, but to wider social audiences. In this sense, the supra-national structure of the ECHR and the institutional structures of the coronial system co-exist with socio-cultural structures in the form of narrative convention. This extends to the inscription of values and judgements within narrative by way of devices such as foreshadowing (in the guise of Chekhov’s gun) and the simplification of causality (in the form of Ockham’s razor). The relationships between these structures also produces ‘hedging’ and ‘specific ambiguity’, which, rather than simplify the narrative, tend to make it more equivocal. In this sense, coronial structures inhibit what can be said, but juries appear to use agency to test the boundaries of those structures, and this results in aspects of the narrative verdict being critical, or rather opaque. </w:t>
      </w:r>
    </w:p>
    <w:p w14:paraId="708F49E8" w14:textId="77777777" w:rsidR="00E87127" w:rsidRDefault="00E87127" w:rsidP="00E87127">
      <w:pPr>
        <w:spacing w:line="360" w:lineRule="auto"/>
        <w:jc w:val="both"/>
      </w:pPr>
      <w:r>
        <w:t xml:space="preserve">In the wider analysis, narrative verdicts are part of a coronial system that purports to learn lessons that prevent future deaths. But in the absence of a system to analyse their content, and because the coronial system is regional, not only is the content of narrative verdicts open to question in terms of learning such lessons, but so is the structure within which they are produced. Initially, narrative verdicts were considered a way in which to shine a light on complex cases, and to hold the state to account in cases of suspicious deaths in custody. It appears that these verdicts are circumscribed to some degree in terms of what they can say, and that they have limited value in terms of providing data that enable lessons to be learned due to the structural limitations of the coronial system in England and Wales. </w:t>
      </w:r>
    </w:p>
    <w:p w14:paraId="44133853" w14:textId="77777777" w:rsidR="00E87127" w:rsidRDefault="00E87127" w:rsidP="00E87127">
      <w:pPr>
        <w:spacing w:after="0" w:line="240" w:lineRule="auto"/>
      </w:pPr>
      <w:r>
        <w:br w:type="page"/>
      </w:r>
    </w:p>
    <w:p w14:paraId="3064A97C" w14:textId="77777777" w:rsidR="00E87127" w:rsidRPr="00FE029B" w:rsidRDefault="00E87127" w:rsidP="00E87127">
      <w:pPr>
        <w:spacing w:line="240" w:lineRule="auto"/>
        <w:jc w:val="both"/>
        <w:rPr>
          <w:color w:val="000000" w:themeColor="text1"/>
          <w:sz w:val="24"/>
          <w:szCs w:val="24"/>
          <w:lang w:val="en-GB"/>
        </w:rPr>
      </w:pPr>
    </w:p>
    <w:p w14:paraId="20C6D204" w14:textId="77777777" w:rsidR="00E87127" w:rsidRPr="00FE029B" w:rsidRDefault="00E87127" w:rsidP="00E87127">
      <w:pPr>
        <w:spacing w:line="240" w:lineRule="auto"/>
        <w:jc w:val="both"/>
        <w:rPr>
          <w:b/>
          <w:i/>
          <w:color w:val="000000" w:themeColor="text1"/>
          <w:sz w:val="24"/>
          <w:szCs w:val="24"/>
          <w:lang w:val="en-GB"/>
        </w:rPr>
      </w:pPr>
      <w:r w:rsidRPr="00FE029B">
        <w:rPr>
          <w:b/>
          <w:i/>
          <w:color w:val="000000" w:themeColor="text1"/>
          <w:sz w:val="24"/>
          <w:szCs w:val="24"/>
          <w:lang w:val="en-GB"/>
        </w:rPr>
        <w:t>Bibliography</w:t>
      </w:r>
    </w:p>
    <w:p w14:paraId="0673A060" w14:textId="77777777" w:rsidR="00E87127" w:rsidRPr="00FE029B" w:rsidRDefault="00E87127" w:rsidP="00E87127">
      <w:pPr>
        <w:widowControl w:val="0"/>
        <w:autoSpaceDE w:val="0"/>
        <w:autoSpaceDN w:val="0"/>
        <w:adjustRightInd w:val="0"/>
        <w:spacing w:after="240" w:line="240" w:lineRule="auto"/>
        <w:rPr>
          <w:rFonts w:cs="Times"/>
        </w:rPr>
      </w:pPr>
      <w:r w:rsidRPr="00FE029B">
        <w:rPr>
          <w:rFonts w:cs="Times"/>
        </w:rPr>
        <w:t xml:space="preserve">Agassi, J and Meidan, A (2008) </w:t>
      </w:r>
      <w:r w:rsidRPr="00FD42E7">
        <w:rPr>
          <w:rFonts w:cs="Times"/>
          <w:i/>
        </w:rPr>
        <w:t>Philosophy from a Skeptical Perspective.</w:t>
      </w:r>
      <w:r w:rsidRPr="00FE029B">
        <w:rPr>
          <w:rFonts w:cs="Times"/>
        </w:rPr>
        <w:t xml:space="preserve"> Cambridge. Cambridge University Press. </w:t>
      </w:r>
    </w:p>
    <w:p w14:paraId="1CDC29D7" w14:textId="77777777" w:rsidR="00E87127" w:rsidRPr="00FE029B" w:rsidRDefault="00E87127" w:rsidP="00E87127">
      <w:pPr>
        <w:rPr>
          <w:color w:val="000000" w:themeColor="text1"/>
          <w:lang w:val="en-GB"/>
        </w:rPr>
      </w:pPr>
      <w:r w:rsidRPr="00FE029B">
        <w:rPr>
          <w:color w:val="000000" w:themeColor="text1"/>
          <w:lang w:val="en-GB"/>
        </w:rPr>
        <w:t xml:space="preserve">Aradau, C (2004) ‘The Perverse Politics of Four-Letter Words: Risk and Pity in the Securitisation of Human Trafficking.’ </w:t>
      </w:r>
      <w:r w:rsidRPr="00FE029B">
        <w:rPr>
          <w:i/>
          <w:color w:val="000000" w:themeColor="text1"/>
          <w:lang w:val="en-GB"/>
        </w:rPr>
        <w:t>Millenium- Journal of International Studies</w:t>
      </w:r>
      <w:r w:rsidRPr="00FE029B">
        <w:rPr>
          <w:color w:val="000000" w:themeColor="text1"/>
          <w:lang w:val="en-GB"/>
        </w:rPr>
        <w:t>. 33 (2). 251-278.</w:t>
      </w:r>
    </w:p>
    <w:p w14:paraId="453DE1F7" w14:textId="77777777" w:rsidR="00E87127" w:rsidRPr="00FE029B" w:rsidRDefault="00E87127" w:rsidP="00E87127">
      <w:pPr>
        <w:spacing w:line="240" w:lineRule="auto"/>
        <w:jc w:val="both"/>
        <w:rPr>
          <w:color w:val="000000" w:themeColor="text1"/>
          <w:lang w:val="en-GB"/>
        </w:rPr>
      </w:pPr>
      <w:r>
        <w:rPr>
          <w:color w:val="000000" w:themeColor="text1"/>
          <w:lang w:val="en-GB"/>
        </w:rPr>
        <w:t>Xxxxx, X</w:t>
      </w:r>
      <w:r w:rsidRPr="00FE029B">
        <w:rPr>
          <w:color w:val="000000" w:themeColor="text1"/>
          <w:lang w:val="en-GB"/>
        </w:rPr>
        <w:t xml:space="preserve"> (2016a) </w:t>
      </w:r>
      <w:r>
        <w:rPr>
          <w:i/>
          <w:color w:val="000000" w:themeColor="text1"/>
          <w:lang w:val="en-GB"/>
        </w:rPr>
        <w:t>xxxxx</w:t>
      </w:r>
      <w:r w:rsidRPr="00FE029B">
        <w:rPr>
          <w:color w:val="000000" w:themeColor="text1"/>
          <w:lang w:val="en-GB"/>
        </w:rPr>
        <w:t xml:space="preserve"> </w:t>
      </w:r>
    </w:p>
    <w:p w14:paraId="721297CB" w14:textId="77777777" w:rsidR="00E87127" w:rsidRPr="00FE029B" w:rsidRDefault="00E87127" w:rsidP="00E87127">
      <w:pPr>
        <w:spacing w:line="240" w:lineRule="auto"/>
        <w:jc w:val="both"/>
        <w:rPr>
          <w:color w:val="000000" w:themeColor="text1"/>
          <w:lang w:val="en-GB"/>
        </w:rPr>
      </w:pPr>
      <w:r>
        <w:rPr>
          <w:color w:val="000000" w:themeColor="text1"/>
          <w:lang w:val="en-GB"/>
        </w:rPr>
        <w:t>Xxxxx, X</w:t>
      </w:r>
      <w:r w:rsidRPr="00FE029B">
        <w:rPr>
          <w:color w:val="000000" w:themeColor="text1"/>
          <w:lang w:val="en-GB"/>
        </w:rPr>
        <w:t xml:space="preserve"> (2016b) </w:t>
      </w:r>
      <w:r>
        <w:rPr>
          <w:color w:val="000000" w:themeColor="text1"/>
          <w:lang w:val="en-GB"/>
        </w:rPr>
        <w:t>xxxxx</w:t>
      </w:r>
    </w:p>
    <w:p w14:paraId="4E56497F" w14:textId="77777777" w:rsidR="00E87127" w:rsidRPr="00FE029B" w:rsidRDefault="00E87127" w:rsidP="00E87127">
      <w:pPr>
        <w:spacing w:line="240" w:lineRule="auto"/>
        <w:jc w:val="both"/>
        <w:rPr>
          <w:color w:val="000000" w:themeColor="text1"/>
          <w:lang w:val="en-GB"/>
        </w:rPr>
      </w:pPr>
      <w:r>
        <w:rPr>
          <w:color w:val="000000" w:themeColor="text1"/>
          <w:lang w:val="en-GB"/>
        </w:rPr>
        <w:t>Xxxxx, X</w:t>
      </w:r>
      <w:r w:rsidRPr="00FE029B">
        <w:rPr>
          <w:color w:val="000000" w:themeColor="text1"/>
          <w:lang w:val="en-GB"/>
        </w:rPr>
        <w:t xml:space="preserve"> (2016c) </w:t>
      </w:r>
      <w:r>
        <w:rPr>
          <w:color w:val="000000" w:themeColor="text1"/>
          <w:lang w:val="en-GB"/>
        </w:rPr>
        <w:t>xxxxx</w:t>
      </w:r>
    </w:p>
    <w:p w14:paraId="5F4E65A0" w14:textId="77777777" w:rsidR="00E87127" w:rsidRPr="00FE029B" w:rsidRDefault="00E87127" w:rsidP="00E87127">
      <w:pPr>
        <w:rPr>
          <w:color w:val="000000" w:themeColor="text1"/>
          <w:lang w:val="en-GB"/>
        </w:rPr>
      </w:pPr>
      <w:r w:rsidRPr="00FE029B">
        <w:rPr>
          <w:color w:val="000000" w:themeColor="text1"/>
          <w:lang w:val="en-GB"/>
        </w:rPr>
        <w:t xml:space="preserve">Bakhtin, M; trans Emerson, C (1984) </w:t>
      </w:r>
      <w:r w:rsidRPr="00FE029B">
        <w:rPr>
          <w:i/>
          <w:color w:val="000000" w:themeColor="text1"/>
          <w:lang w:val="en-GB"/>
        </w:rPr>
        <w:t>Problems of Dostoyevsky’s Poetics</w:t>
      </w:r>
      <w:r w:rsidRPr="00FE029B">
        <w:rPr>
          <w:color w:val="000000" w:themeColor="text1"/>
          <w:lang w:val="en-GB"/>
        </w:rPr>
        <w:t xml:space="preserve">. Minneapolis. University of Minnesota Press. </w:t>
      </w:r>
    </w:p>
    <w:p w14:paraId="5D9D98D2" w14:textId="77777777" w:rsidR="00E87127" w:rsidRPr="00FE029B" w:rsidRDefault="00E87127" w:rsidP="00E87127">
      <w:pPr>
        <w:rPr>
          <w:color w:val="000000" w:themeColor="text1"/>
          <w:lang w:val="en-GB"/>
        </w:rPr>
      </w:pPr>
      <w:r w:rsidRPr="00FE029B">
        <w:rPr>
          <w:color w:val="000000" w:themeColor="text1"/>
          <w:lang w:val="en-GB"/>
        </w:rPr>
        <w:t xml:space="preserve">Baldwin, J ‘Research on the Criminal Courts’ In King, R and Wincup, E (eds) (2000) </w:t>
      </w:r>
      <w:r w:rsidRPr="00FE029B">
        <w:rPr>
          <w:i/>
          <w:color w:val="000000" w:themeColor="text1"/>
          <w:lang w:val="en-GB"/>
        </w:rPr>
        <w:t>Doing Research on Crime and Justice</w:t>
      </w:r>
      <w:r w:rsidRPr="00FE029B">
        <w:rPr>
          <w:color w:val="000000" w:themeColor="text1"/>
          <w:lang w:val="en-GB"/>
        </w:rPr>
        <w:t>. Oxford. Oxford University Press. 236-258.</w:t>
      </w:r>
    </w:p>
    <w:p w14:paraId="01FC8723" w14:textId="77777777" w:rsidR="00E87127" w:rsidRPr="00FE029B" w:rsidRDefault="00E87127" w:rsidP="00E87127">
      <w:pPr>
        <w:rPr>
          <w:color w:val="000000" w:themeColor="text1"/>
          <w:lang w:val="en-GB"/>
        </w:rPr>
      </w:pPr>
      <w:r w:rsidRPr="00FE029B">
        <w:rPr>
          <w:color w:val="000000" w:themeColor="text1"/>
          <w:lang w:val="en-GB"/>
        </w:rPr>
        <w:t xml:space="preserve">Bauman, R. and Briggs, C.L.  (1990) </w:t>
      </w:r>
      <w:r>
        <w:rPr>
          <w:color w:val="000000" w:themeColor="text1"/>
          <w:lang w:val="en-GB"/>
        </w:rPr>
        <w:t>‘</w:t>
      </w:r>
      <w:r w:rsidRPr="00FE029B">
        <w:rPr>
          <w:color w:val="000000" w:themeColor="text1"/>
          <w:lang w:val="en-GB"/>
        </w:rPr>
        <w:t>Poetics and Performance as Critical Perspectives on Language and Social Life.</w:t>
      </w:r>
      <w:r>
        <w:rPr>
          <w:color w:val="000000" w:themeColor="text1"/>
          <w:lang w:val="en-GB"/>
        </w:rPr>
        <w:t>’</w:t>
      </w:r>
      <w:r w:rsidRPr="00FE029B">
        <w:rPr>
          <w:color w:val="000000" w:themeColor="text1"/>
          <w:lang w:val="en-GB"/>
        </w:rPr>
        <w:t xml:space="preserve"> </w:t>
      </w:r>
      <w:r w:rsidRPr="00FE029B">
        <w:rPr>
          <w:i/>
          <w:color w:val="000000" w:themeColor="text1"/>
          <w:lang w:val="en-GB"/>
        </w:rPr>
        <w:t>Annual Review of Anthropology</w:t>
      </w:r>
      <w:r w:rsidRPr="00FE029B">
        <w:rPr>
          <w:color w:val="000000" w:themeColor="text1"/>
          <w:lang w:val="en-GB"/>
        </w:rPr>
        <w:t>. 19. 59-88.</w:t>
      </w:r>
    </w:p>
    <w:p w14:paraId="4FD8EAD5" w14:textId="77777777" w:rsidR="00E87127" w:rsidRPr="00FE029B" w:rsidRDefault="00E87127" w:rsidP="00E87127">
      <w:pPr>
        <w:rPr>
          <w:lang w:val="en-GB"/>
        </w:rPr>
      </w:pPr>
      <w:r w:rsidRPr="00FE029B">
        <w:rPr>
          <w:lang w:val="en-GB"/>
        </w:rPr>
        <w:t xml:space="preserve">Belova, O, King, I and Sliwa, M (2008) ‘Introduction: Polyphony and Organization Studies: Mikhail Bakhtin and Beyond.’ </w:t>
      </w:r>
      <w:r w:rsidRPr="00FE029B">
        <w:rPr>
          <w:i/>
          <w:lang w:val="en-GB"/>
        </w:rPr>
        <w:t>Organization Studies.</w:t>
      </w:r>
      <w:r w:rsidRPr="00FE029B">
        <w:rPr>
          <w:lang w:val="en-GB"/>
        </w:rPr>
        <w:t xml:space="preserve"> 29 (4). 493-500. </w:t>
      </w:r>
    </w:p>
    <w:p w14:paraId="4FB5D229" w14:textId="77777777" w:rsidR="00E87127" w:rsidRPr="00FE029B" w:rsidRDefault="00E87127" w:rsidP="00E87127">
      <w:pPr>
        <w:spacing w:after="0" w:line="240" w:lineRule="auto"/>
        <w:rPr>
          <w:rFonts w:eastAsia="Times New Roman" w:cs="Times New Roman"/>
          <w:color w:val="000000" w:themeColor="text1"/>
          <w:lang w:val="en-GB"/>
        </w:rPr>
      </w:pPr>
      <w:r w:rsidRPr="00FE029B">
        <w:rPr>
          <w:rFonts w:eastAsia="Times New Roman" w:cs="Times New Roman"/>
          <w:color w:val="000000" w:themeColor="text1"/>
          <w:lang w:val="en-GB"/>
        </w:rPr>
        <w:t xml:space="preserve">Berger, P and Luckman, T (1972) </w:t>
      </w:r>
      <w:r w:rsidRPr="00FE029B">
        <w:rPr>
          <w:rFonts w:eastAsia="Times New Roman" w:cs="Times New Roman"/>
          <w:i/>
          <w:color w:val="000000" w:themeColor="text1"/>
          <w:lang w:val="en-GB"/>
        </w:rPr>
        <w:t>The Social Construction of Reality: A Treatise in the Sociology of Knowledge.</w:t>
      </w:r>
      <w:r w:rsidRPr="00FE029B">
        <w:rPr>
          <w:rFonts w:eastAsia="Times New Roman" w:cs="Times New Roman"/>
          <w:color w:val="000000" w:themeColor="text1"/>
          <w:lang w:val="en-GB"/>
        </w:rPr>
        <w:t xml:space="preserve"> Harmondsworth. Penguin. </w:t>
      </w:r>
    </w:p>
    <w:p w14:paraId="0D4C4524" w14:textId="77777777" w:rsidR="00E87127" w:rsidRPr="00FE029B" w:rsidRDefault="00E87127" w:rsidP="00E87127">
      <w:pPr>
        <w:spacing w:after="0" w:line="240" w:lineRule="auto"/>
        <w:rPr>
          <w:rFonts w:eastAsia="Times New Roman" w:cs="Times New Roman"/>
          <w:color w:val="000000" w:themeColor="text1"/>
          <w:lang w:val="en-GB"/>
        </w:rPr>
      </w:pPr>
    </w:p>
    <w:p w14:paraId="42052C2D" w14:textId="77777777" w:rsidR="00E87127" w:rsidRPr="00FE029B" w:rsidRDefault="00E87127" w:rsidP="00E87127">
      <w:pPr>
        <w:widowControl w:val="0"/>
        <w:autoSpaceDE w:val="0"/>
        <w:autoSpaceDN w:val="0"/>
        <w:adjustRightInd w:val="0"/>
        <w:spacing w:after="240" w:line="240" w:lineRule="auto"/>
        <w:rPr>
          <w:rFonts w:cs="Times"/>
        </w:rPr>
      </w:pPr>
      <w:r w:rsidRPr="00FE029B">
        <w:rPr>
          <w:rFonts w:cs="Times"/>
        </w:rPr>
        <w:t>B</w:t>
      </w:r>
      <w:r w:rsidRPr="00FE029B">
        <w:rPr>
          <w:rFonts w:ascii="Calibri" w:eastAsia="Times New Roman" w:hAnsi="Calibri" w:cs="Calibri"/>
          <w:lang w:val="en-GB"/>
        </w:rPr>
        <w:t>ö</w:t>
      </w:r>
      <w:r w:rsidRPr="00FE029B">
        <w:rPr>
          <w:rFonts w:cs="Times"/>
        </w:rPr>
        <w:t xml:space="preserve">hner, P (1962) </w:t>
      </w:r>
      <w:r w:rsidRPr="00FE029B">
        <w:rPr>
          <w:rFonts w:cs="Times"/>
          <w:i/>
        </w:rPr>
        <w:t>Ockham: Philosophical Writings</w:t>
      </w:r>
      <w:r w:rsidRPr="00FE029B">
        <w:rPr>
          <w:rFonts w:cs="Times"/>
        </w:rPr>
        <w:t xml:space="preserve">. London. Nelson and Sons. </w:t>
      </w:r>
    </w:p>
    <w:p w14:paraId="5B7C99BB" w14:textId="77777777" w:rsidR="00E87127" w:rsidRPr="00FE029B" w:rsidRDefault="00E87127" w:rsidP="00E87127">
      <w:pPr>
        <w:widowControl w:val="0"/>
        <w:autoSpaceDE w:val="0"/>
        <w:autoSpaceDN w:val="0"/>
        <w:adjustRightInd w:val="0"/>
        <w:spacing w:after="240" w:line="240" w:lineRule="auto"/>
        <w:rPr>
          <w:rFonts w:cs="Times"/>
        </w:rPr>
      </w:pPr>
      <w:r w:rsidRPr="00FE029B">
        <w:rPr>
          <w:rFonts w:cs="Times"/>
        </w:rPr>
        <w:t>B</w:t>
      </w:r>
      <w:r w:rsidRPr="00FE029B">
        <w:rPr>
          <w:rFonts w:ascii="Calibri" w:eastAsia="Times New Roman" w:hAnsi="Calibri" w:cs="Calibri"/>
          <w:lang w:val="en-GB"/>
        </w:rPr>
        <w:t>ö</w:t>
      </w:r>
      <w:r w:rsidRPr="00FE029B">
        <w:rPr>
          <w:rFonts w:cs="Times"/>
        </w:rPr>
        <w:t xml:space="preserve">hner, P (1958) </w:t>
      </w:r>
      <w:r w:rsidRPr="00FE029B">
        <w:rPr>
          <w:rFonts w:cs="Times"/>
          <w:i/>
        </w:rPr>
        <w:t>Collected Articles on Ockham</w:t>
      </w:r>
      <w:r w:rsidRPr="00FE029B">
        <w:rPr>
          <w:rFonts w:cs="Times"/>
        </w:rPr>
        <w:t xml:space="preserve">. New York. Franciscan Institute. </w:t>
      </w:r>
    </w:p>
    <w:p w14:paraId="56227D8A" w14:textId="77777777" w:rsidR="00E87127" w:rsidRPr="00FE029B" w:rsidRDefault="00E87127" w:rsidP="00E87127">
      <w:pPr>
        <w:spacing w:before="100" w:beforeAutospacing="1" w:after="100" w:afterAutospacing="1" w:line="240" w:lineRule="auto"/>
        <w:outlineLvl w:val="0"/>
        <w:rPr>
          <w:rFonts w:eastAsia="Times New Roman" w:cs="Times New Roman"/>
          <w:b/>
          <w:bCs/>
          <w:color w:val="000000" w:themeColor="text1"/>
          <w:kern w:val="36"/>
        </w:rPr>
      </w:pPr>
      <w:r w:rsidRPr="00FE029B">
        <w:rPr>
          <w:rFonts w:eastAsia="Times New Roman" w:cs="Times New Roman"/>
          <w:bCs/>
          <w:color w:val="000000" w:themeColor="text1"/>
          <w:kern w:val="36"/>
        </w:rPr>
        <w:t xml:space="preserve">Booker, C (2004) </w:t>
      </w:r>
      <w:r w:rsidRPr="00FE029B">
        <w:rPr>
          <w:rFonts w:eastAsia="Times New Roman" w:cs="Times New Roman"/>
          <w:bCs/>
          <w:i/>
          <w:color w:val="000000" w:themeColor="text1"/>
          <w:kern w:val="36"/>
        </w:rPr>
        <w:t>The Seven Basic Plots: Why we tell stories</w:t>
      </w:r>
      <w:r w:rsidRPr="00FE029B">
        <w:rPr>
          <w:rFonts w:eastAsia="Times New Roman" w:cs="Times New Roman"/>
          <w:bCs/>
          <w:color w:val="000000" w:themeColor="text1"/>
          <w:kern w:val="36"/>
        </w:rPr>
        <w:t xml:space="preserve">. London. Continuum. </w:t>
      </w:r>
      <w:r w:rsidRPr="00FE029B">
        <w:rPr>
          <w:rFonts w:eastAsia="Times New Roman" w:cs="Times New Roman"/>
          <w:b/>
          <w:bCs/>
          <w:color w:val="000000" w:themeColor="text1"/>
          <w:kern w:val="36"/>
        </w:rPr>
        <w:t xml:space="preserve"> </w:t>
      </w:r>
    </w:p>
    <w:p w14:paraId="0436F279" w14:textId="77777777" w:rsidR="00E87127" w:rsidRPr="00FE029B" w:rsidRDefault="00E87127" w:rsidP="00E87127">
      <w:pPr>
        <w:rPr>
          <w:color w:val="000000" w:themeColor="text1"/>
          <w:lang w:val="en-GB"/>
        </w:rPr>
      </w:pPr>
      <w:r w:rsidRPr="00FE029B">
        <w:rPr>
          <w:color w:val="000000" w:themeColor="text1"/>
          <w:lang w:val="en-GB"/>
        </w:rPr>
        <w:t xml:space="preserve">Bruner, J (1987) </w:t>
      </w:r>
      <w:r>
        <w:rPr>
          <w:color w:val="000000" w:themeColor="text1"/>
          <w:lang w:val="en-GB"/>
        </w:rPr>
        <w:t>‘</w:t>
      </w:r>
      <w:r w:rsidRPr="00FE029B">
        <w:rPr>
          <w:color w:val="000000" w:themeColor="text1"/>
          <w:lang w:val="en-GB"/>
        </w:rPr>
        <w:t>Life as Narrative.</w:t>
      </w:r>
      <w:r>
        <w:rPr>
          <w:color w:val="000000" w:themeColor="text1"/>
          <w:lang w:val="en-GB"/>
        </w:rPr>
        <w:t>’</w:t>
      </w:r>
      <w:r w:rsidRPr="00FE029B">
        <w:rPr>
          <w:color w:val="000000" w:themeColor="text1"/>
          <w:lang w:val="en-GB"/>
        </w:rPr>
        <w:t xml:space="preserve"> </w:t>
      </w:r>
      <w:r w:rsidRPr="00FE029B">
        <w:rPr>
          <w:i/>
          <w:color w:val="000000" w:themeColor="text1"/>
          <w:lang w:val="en-GB"/>
        </w:rPr>
        <w:t>Social Research</w:t>
      </w:r>
      <w:r w:rsidRPr="00FE029B">
        <w:rPr>
          <w:color w:val="000000" w:themeColor="text1"/>
          <w:lang w:val="en-GB"/>
        </w:rPr>
        <w:t xml:space="preserve">. 54 (1). 11-32. </w:t>
      </w:r>
    </w:p>
    <w:p w14:paraId="4B00CF8B" w14:textId="77777777" w:rsidR="00E87127" w:rsidRPr="00FE029B" w:rsidRDefault="00E87127" w:rsidP="00E87127">
      <w:pPr>
        <w:rPr>
          <w:color w:val="000000" w:themeColor="text1"/>
          <w:lang w:val="en-GB"/>
        </w:rPr>
      </w:pPr>
      <w:r w:rsidRPr="00FE029B">
        <w:rPr>
          <w:rFonts w:cs="Arial"/>
          <w:bCs/>
          <w:color w:val="000000" w:themeColor="text1"/>
        </w:rPr>
        <w:t xml:space="preserve">Carroll, R, Hawton, K, Kapur, N, Bennewith, O and Gunnell, D (2012) </w:t>
      </w:r>
      <w:r>
        <w:rPr>
          <w:rFonts w:cs="Arial"/>
          <w:bCs/>
          <w:color w:val="000000" w:themeColor="text1"/>
        </w:rPr>
        <w:t>‘</w:t>
      </w:r>
      <w:r w:rsidRPr="00FE029B">
        <w:rPr>
          <w:rFonts w:cs="Arial"/>
          <w:bCs/>
          <w:color w:val="000000" w:themeColor="text1"/>
        </w:rPr>
        <w:t>Impact of the growing use of narrative verdicts by coroners on geographic variations in suicide: analysis of coroners' inquest data.</w:t>
      </w:r>
      <w:r>
        <w:rPr>
          <w:rFonts w:cs="Arial"/>
          <w:bCs/>
          <w:color w:val="000000" w:themeColor="text1"/>
        </w:rPr>
        <w:t>’</w:t>
      </w:r>
      <w:r w:rsidRPr="00FE029B">
        <w:rPr>
          <w:rFonts w:cs="Arial"/>
          <w:bCs/>
          <w:color w:val="000000" w:themeColor="text1"/>
        </w:rPr>
        <w:t xml:space="preserve"> </w:t>
      </w:r>
      <w:r w:rsidRPr="00FE029B">
        <w:rPr>
          <w:rFonts w:cs="Arial"/>
          <w:bCs/>
          <w:i/>
          <w:color w:val="000000" w:themeColor="text1"/>
        </w:rPr>
        <w:t>Journal of Public Health</w:t>
      </w:r>
      <w:r w:rsidRPr="00FE029B">
        <w:rPr>
          <w:rFonts w:cs="Arial"/>
          <w:bCs/>
          <w:color w:val="000000" w:themeColor="text1"/>
        </w:rPr>
        <w:t xml:space="preserve">. 34 (3). 447-453. </w:t>
      </w:r>
    </w:p>
    <w:p w14:paraId="7926DB30" w14:textId="0F243FF9" w:rsidR="00E87127" w:rsidRPr="00FE029B" w:rsidRDefault="00E87127" w:rsidP="00FD42E7">
      <w:pPr>
        <w:spacing w:before="100" w:beforeAutospacing="1" w:after="100" w:afterAutospacing="1" w:line="240" w:lineRule="auto"/>
        <w:outlineLvl w:val="0"/>
        <w:rPr>
          <w:rFonts w:eastAsia="Times New Roman" w:cs="Calibri"/>
          <w:bCs/>
          <w:color w:val="000000" w:themeColor="text1"/>
          <w:kern w:val="36"/>
        </w:rPr>
      </w:pPr>
      <w:r w:rsidRPr="00FE029B">
        <w:rPr>
          <w:rFonts w:eastAsia="Times New Roman" w:cs="Calibri"/>
          <w:bCs/>
          <w:color w:val="000000" w:themeColor="text1"/>
          <w:kern w:val="36"/>
        </w:rPr>
        <w:t xml:space="preserve">Casale, S. </w:t>
      </w:r>
      <w:r w:rsidR="00FD42E7">
        <w:rPr>
          <w:rFonts w:eastAsia="Times New Roman" w:cs="Calibri"/>
          <w:bCs/>
          <w:color w:val="000000" w:themeColor="text1"/>
          <w:kern w:val="36"/>
        </w:rPr>
        <w:t xml:space="preserve">Corfe, M. and Lewis, J. (2013) </w:t>
      </w:r>
      <w:r w:rsidRPr="00FD42E7">
        <w:rPr>
          <w:rFonts w:eastAsia="Times New Roman" w:cs="Calibri"/>
          <w:bCs/>
          <w:i/>
          <w:color w:val="000000" w:themeColor="text1"/>
          <w:kern w:val="36"/>
        </w:rPr>
        <w:t>Report of the independent external review of the IPCC investigati</w:t>
      </w:r>
      <w:r w:rsidR="00FD42E7" w:rsidRPr="00FD42E7">
        <w:rPr>
          <w:rFonts w:eastAsia="Times New Roman" w:cs="Calibri"/>
          <w:bCs/>
          <w:i/>
          <w:color w:val="000000" w:themeColor="text1"/>
          <w:kern w:val="36"/>
        </w:rPr>
        <w:t>on into the death of Sean Rigg</w:t>
      </w:r>
      <w:r w:rsidR="00FD42E7">
        <w:rPr>
          <w:rFonts w:eastAsia="Times New Roman" w:cs="Calibri"/>
          <w:bCs/>
          <w:color w:val="000000" w:themeColor="text1"/>
          <w:kern w:val="36"/>
        </w:rPr>
        <w:t>.</w:t>
      </w:r>
      <w:r w:rsidRPr="00FE029B">
        <w:rPr>
          <w:rFonts w:eastAsia="Times New Roman" w:cs="Calibri"/>
          <w:bCs/>
          <w:color w:val="000000" w:themeColor="text1"/>
          <w:kern w:val="36"/>
        </w:rPr>
        <w:t xml:space="preserve"> Available at: </w:t>
      </w:r>
      <w:r w:rsidRPr="00FE029B">
        <w:rPr>
          <w:rFonts w:eastAsia="Times New Roman" w:cs="Calibri"/>
          <w:bCs/>
          <w:color w:val="000000" w:themeColor="text1"/>
          <w:kern w:val="36"/>
        </w:rPr>
        <w:fldChar w:fldCharType="begin"/>
      </w:r>
      <w:r w:rsidRPr="00FE029B">
        <w:rPr>
          <w:rFonts w:eastAsia="Times New Roman" w:cs="Calibri"/>
          <w:bCs/>
          <w:color w:val="000000" w:themeColor="text1"/>
          <w:kern w:val="36"/>
        </w:rPr>
        <w:instrText xml:space="preserve"> HYPERLINK "http://www.ipcc.gov.uk/news/Pages/pr_170513_Riggreview.aspx. Accessed 21/5/13</w:instrText>
      </w:r>
    </w:p>
    <w:p w14:paraId="62B3BC84" w14:textId="77777777" w:rsidR="00E87127" w:rsidRPr="00FE029B" w:rsidRDefault="00E87127" w:rsidP="00E87127">
      <w:pPr>
        <w:spacing w:before="100" w:beforeAutospacing="1" w:after="100" w:afterAutospacing="1" w:line="240" w:lineRule="auto"/>
        <w:jc w:val="both"/>
        <w:outlineLvl w:val="0"/>
        <w:rPr>
          <w:rFonts w:eastAsia="Times New Roman" w:cs="Calibri"/>
          <w:bCs/>
          <w:color w:val="000000" w:themeColor="text1"/>
          <w:kern w:val="36"/>
          <w:u w:val="single"/>
        </w:rPr>
      </w:pPr>
      <w:r w:rsidRPr="00FE029B">
        <w:rPr>
          <w:rFonts w:eastAsia="Times New Roman" w:cs="Calibri"/>
          <w:bCs/>
          <w:color w:val="000000" w:themeColor="text1"/>
          <w:kern w:val="36"/>
        </w:rPr>
        <w:instrText xml:space="preserve">" </w:instrText>
      </w:r>
      <w:r w:rsidRPr="00FE029B">
        <w:rPr>
          <w:rFonts w:eastAsia="Times New Roman" w:cs="Calibri"/>
          <w:bCs/>
          <w:color w:val="000000" w:themeColor="text1"/>
          <w:kern w:val="36"/>
        </w:rPr>
        <w:fldChar w:fldCharType="separate"/>
      </w:r>
      <w:r w:rsidRPr="00FE029B">
        <w:rPr>
          <w:rFonts w:eastAsia="Times New Roman" w:cs="Calibri"/>
          <w:bCs/>
          <w:color w:val="000000" w:themeColor="text1"/>
          <w:kern w:val="36"/>
          <w:u w:val="single"/>
        </w:rPr>
        <w:t>http://www.ipcc.gov.uk/news</w:t>
      </w:r>
      <w:r w:rsidRPr="00FE029B">
        <w:rPr>
          <w:rFonts w:eastAsia="Times New Roman" w:cs="Calibri"/>
          <w:bCs/>
          <w:color w:val="000000" w:themeColor="text1"/>
          <w:kern w:val="36"/>
          <w:u w:val="single"/>
        </w:rPr>
        <w:t>/</w:t>
      </w:r>
      <w:r w:rsidRPr="00FE029B">
        <w:rPr>
          <w:rFonts w:eastAsia="Times New Roman" w:cs="Calibri"/>
          <w:bCs/>
          <w:color w:val="000000" w:themeColor="text1"/>
          <w:kern w:val="36"/>
          <w:u w:val="single"/>
        </w:rPr>
        <w:t>Pages/pr_170513_Riggreview.aspx. Accessed 21/5/13</w:t>
      </w:r>
    </w:p>
    <w:p w14:paraId="24540C5D" w14:textId="77777777" w:rsidR="00E87127" w:rsidRPr="00FE029B" w:rsidRDefault="00E87127" w:rsidP="00E87127">
      <w:pPr>
        <w:spacing w:line="240" w:lineRule="auto"/>
        <w:jc w:val="both"/>
        <w:rPr>
          <w:rFonts w:cs="Calibri"/>
          <w:b/>
          <w:color w:val="000000" w:themeColor="text1"/>
          <w:lang w:val="en-GB"/>
        </w:rPr>
      </w:pPr>
      <w:r w:rsidRPr="00FE029B">
        <w:rPr>
          <w:rFonts w:cs="Calibri"/>
          <w:b/>
          <w:color w:val="000000" w:themeColor="text1"/>
          <w:lang w:val="en-GB"/>
        </w:rPr>
        <w:fldChar w:fldCharType="end"/>
      </w:r>
      <w:r w:rsidRPr="00FE029B">
        <w:rPr>
          <w:rFonts w:cs="Calibri"/>
          <w:lang w:val="en-GB"/>
        </w:rPr>
        <w:t xml:space="preserve">Chief Coroner (2014) </w:t>
      </w:r>
      <w:r w:rsidRPr="00FE029B">
        <w:rPr>
          <w:rFonts w:cs="Calibri"/>
          <w:i/>
          <w:lang w:val="en-GB"/>
        </w:rPr>
        <w:t>Report of the Chief Coroner to the Lord Chancellor. First Annual Report 2013-2014.</w:t>
      </w:r>
      <w:r w:rsidRPr="00FE029B">
        <w:rPr>
          <w:rFonts w:cs="Calibri"/>
          <w:lang w:val="en-GB"/>
        </w:rPr>
        <w:t xml:space="preserve"> Available at: </w:t>
      </w:r>
      <w:hyperlink r:id="rId6" w:history="1">
        <w:r w:rsidRPr="00FE029B">
          <w:rPr>
            <w:rFonts w:cs="Calibri"/>
            <w:color w:val="0563C1" w:themeColor="hyperlink"/>
            <w:u w:val="single"/>
            <w:lang w:val="en-GB"/>
          </w:rPr>
          <w:t>https://www.gov.uk/government/publications/chief-coroners-annual-report-2013-to-2014</w:t>
        </w:r>
      </w:hyperlink>
      <w:r w:rsidRPr="00FE029B">
        <w:rPr>
          <w:rFonts w:cs="Calibri"/>
          <w:lang w:val="en-GB"/>
        </w:rPr>
        <w:t xml:space="preserve">. Accessed 14/8/15. </w:t>
      </w:r>
    </w:p>
    <w:p w14:paraId="476B21A7" w14:textId="77777777" w:rsidR="00E87127" w:rsidRPr="00FE029B" w:rsidRDefault="00E87127" w:rsidP="00E87127">
      <w:pPr>
        <w:jc w:val="both"/>
        <w:rPr>
          <w:color w:val="000000" w:themeColor="text1"/>
          <w:lang w:val="en-GB"/>
        </w:rPr>
      </w:pPr>
      <w:r w:rsidRPr="00FE029B">
        <w:rPr>
          <w:color w:val="000000" w:themeColor="text1"/>
          <w:lang w:val="en-GB"/>
        </w:rPr>
        <w:t xml:space="preserve">Coles, D. &amp; Shaw, H. (2012) </w:t>
      </w:r>
      <w:r w:rsidRPr="00FE029B">
        <w:rPr>
          <w:i/>
          <w:color w:val="000000" w:themeColor="text1"/>
          <w:lang w:val="en-GB"/>
        </w:rPr>
        <w:t>Learning from Death in Custody Inquests: A New Framework for Action and Accountability.</w:t>
      </w:r>
      <w:r w:rsidRPr="00FE029B">
        <w:rPr>
          <w:color w:val="000000" w:themeColor="text1"/>
          <w:lang w:val="en-GB"/>
        </w:rPr>
        <w:t xml:space="preserve"> London: Russell Press.</w:t>
      </w:r>
    </w:p>
    <w:p w14:paraId="73F6E3A6" w14:textId="77777777" w:rsidR="00E87127" w:rsidRPr="00FE029B" w:rsidRDefault="00E87127" w:rsidP="00E87127">
      <w:pPr>
        <w:rPr>
          <w:rFonts w:cs="Georgia"/>
          <w:color w:val="262626"/>
        </w:rPr>
      </w:pPr>
      <w:r w:rsidRPr="00FE029B">
        <w:rPr>
          <w:rFonts w:cs="Helvetica"/>
          <w:color w:val="414141"/>
        </w:rPr>
        <w:t>Colvin, S. (2015) ‘</w:t>
      </w:r>
      <w:r w:rsidRPr="00FE029B">
        <w:rPr>
          <w:rFonts w:cs="Georgia"/>
          <w:color w:val="262626"/>
        </w:rPr>
        <w:t xml:space="preserve">Why should </w:t>
      </w:r>
      <w:r w:rsidRPr="00FE029B">
        <w:rPr>
          <w:rFonts w:cs="Georgia"/>
          <w:bCs/>
          <w:color w:val="262626"/>
        </w:rPr>
        <w:t>criminology</w:t>
      </w:r>
      <w:r w:rsidRPr="00FE029B">
        <w:rPr>
          <w:rFonts w:cs="Georgia"/>
          <w:color w:val="262626"/>
        </w:rPr>
        <w:t xml:space="preserve"> care about literary fiction? Literature, life </w:t>
      </w:r>
      <w:r w:rsidRPr="00FE029B">
        <w:rPr>
          <w:rFonts w:cs="Georgia"/>
          <w:bCs/>
          <w:color w:val="262626"/>
        </w:rPr>
        <w:t>narratives</w:t>
      </w:r>
      <w:r w:rsidRPr="00FE029B">
        <w:rPr>
          <w:rFonts w:cs="Georgia"/>
          <w:color w:val="262626"/>
        </w:rPr>
        <w:t xml:space="preserve"> and telling untellable stories.’</w:t>
      </w:r>
      <w:r w:rsidRPr="00FE029B">
        <w:rPr>
          <w:rFonts w:cs="Helvetica"/>
          <w:color w:val="414141"/>
        </w:rPr>
        <w:t xml:space="preserve"> </w:t>
      </w:r>
      <w:r w:rsidRPr="00FE029B">
        <w:rPr>
          <w:rFonts w:cs="Helvetica"/>
          <w:i/>
          <w:color w:val="414141"/>
        </w:rPr>
        <w:t>Punishment &amp; Society</w:t>
      </w:r>
      <w:r w:rsidRPr="00FE029B">
        <w:rPr>
          <w:rFonts w:cs="Helvetica"/>
          <w:color w:val="414141"/>
        </w:rPr>
        <w:t xml:space="preserve">. 17 (2) 211-229. </w:t>
      </w:r>
    </w:p>
    <w:p w14:paraId="61884B4B" w14:textId="77777777" w:rsidR="00E87127" w:rsidRPr="00FE029B" w:rsidRDefault="00E87127" w:rsidP="00E87127">
      <w:pPr>
        <w:rPr>
          <w:color w:val="000000" w:themeColor="text1"/>
          <w:lang w:val="en-GB"/>
        </w:rPr>
      </w:pPr>
      <w:r w:rsidRPr="00FE029B">
        <w:rPr>
          <w:color w:val="000000" w:themeColor="text1"/>
          <w:lang w:val="en-GB"/>
        </w:rPr>
        <w:t xml:space="preserve">Daftary-Kapur, T, Dumas, R and Penrod, S (2010) ‘Jury decision-making biases and methods to counter them.’ </w:t>
      </w:r>
      <w:r w:rsidRPr="00FE029B">
        <w:rPr>
          <w:i/>
          <w:color w:val="000000" w:themeColor="text1"/>
          <w:lang w:val="en-GB"/>
        </w:rPr>
        <w:t>Legal and Criminological Psychology</w:t>
      </w:r>
      <w:r w:rsidRPr="00FE029B">
        <w:rPr>
          <w:color w:val="000000" w:themeColor="text1"/>
          <w:lang w:val="en-GB"/>
        </w:rPr>
        <w:t>. 15 (1). 133-154.</w:t>
      </w:r>
    </w:p>
    <w:p w14:paraId="44BD5CFB" w14:textId="77777777" w:rsidR="00E87127" w:rsidRDefault="00E87127" w:rsidP="00E87127">
      <w:pPr>
        <w:spacing w:line="240" w:lineRule="auto"/>
        <w:jc w:val="both"/>
        <w:rPr>
          <w:rFonts w:cs="Times New Roman"/>
          <w:color w:val="000000" w:themeColor="text1"/>
          <w:lang w:val="en-GB"/>
        </w:rPr>
      </w:pPr>
      <w:r w:rsidRPr="00FE029B">
        <w:rPr>
          <w:rFonts w:cs="Times New Roman"/>
          <w:color w:val="000000" w:themeColor="text1"/>
          <w:lang w:val="en-GB"/>
        </w:rPr>
        <w:t xml:space="preserve">Dorries, C. (2004) </w:t>
      </w:r>
      <w:r w:rsidRPr="00FE029B">
        <w:rPr>
          <w:rFonts w:cs="Times New Roman"/>
          <w:i/>
          <w:color w:val="000000" w:themeColor="text1"/>
          <w:lang w:val="en-GB"/>
        </w:rPr>
        <w:t>Coroners’ Courts: A Guide to Law and Practice</w:t>
      </w:r>
      <w:r w:rsidRPr="00FE029B">
        <w:rPr>
          <w:rFonts w:cs="Times New Roman"/>
          <w:color w:val="000000" w:themeColor="text1"/>
          <w:lang w:val="en-GB"/>
        </w:rPr>
        <w:t>, 2</w:t>
      </w:r>
      <w:r w:rsidRPr="00FE029B">
        <w:rPr>
          <w:rFonts w:cs="Times New Roman"/>
          <w:color w:val="000000" w:themeColor="text1"/>
          <w:vertAlign w:val="superscript"/>
          <w:lang w:val="en-GB"/>
        </w:rPr>
        <w:t>nd</w:t>
      </w:r>
      <w:r w:rsidRPr="00FE029B">
        <w:rPr>
          <w:rFonts w:cs="Times New Roman"/>
          <w:color w:val="000000" w:themeColor="text1"/>
          <w:lang w:val="en-GB"/>
        </w:rPr>
        <w:t xml:space="preserve"> edn. Oxford: Oxford University Press. </w:t>
      </w:r>
    </w:p>
    <w:p w14:paraId="2FA4CFC4" w14:textId="77777777" w:rsidR="00E87127" w:rsidRPr="00E01146" w:rsidRDefault="00E87127" w:rsidP="00E87127">
      <w:pPr>
        <w:spacing w:line="240" w:lineRule="auto"/>
        <w:jc w:val="both"/>
        <w:rPr>
          <w:rFonts w:cs="Times New Roman"/>
          <w:color w:val="000000" w:themeColor="text1"/>
          <w:lang w:val="en-GB"/>
        </w:rPr>
      </w:pPr>
      <w:r w:rsidRPr="00FE029B">
        <w:rPr>
          <w:color w:val="000000" w:themeColor="text1"/>
          <w:lang w:val="en-GB"/>
        </w:rPr>
        <w:t xml:space="preserve">EHRC (2014) </w:t>
      </w:r>
      <w:r w:rsidRPr="00FD42E7">
        <w:rPr>
          <w:i/>
          <w:color w:val="000000" w:themeColor="text1"/>
          <w:lang w:val="en-GB"/>
        </w:rPr>
        <w:t xml:space="preserve">Inquiry into non-natural deaths in detention of adults with mental health conditions, 2010-13. </w:t>
      </w:r>
      <w:r w:rsidRPr="00FE029B">
        <w:rPr>
          <w:color w:val="000000" w:themeColor="text1"/>
          <w:lang w:val="en-GB"/>
        </w:rPr>
        <w:t xml:space="preserve">Available at: </w:t>
      </w:r>
      <w:hyperlink r:id="rId7" w:history="1">
        <w:r w:rsidRPr="00FE029B">
          <w:rPr>
            <w:color w:val="000000" w:themeColor="text1"/>
            <w:u w:val="single"/>
            <w:lang w:val="en-GB"/>
          </w:rPr>
          <w:t>http://www.equalityhumanrights.com/publication/inquiry-non-natural-deaths-detention-adults-mental-health-conditions-2010%E2%80%9313</w:t>
        </w:r>
      </w:hyperlink>
      <w:r w:rsidRPr="00FE029B">
        <w:rPr>
          <w:color w:val="000000" w:themeColor="text1"/>
          <w:lang w:val="en-GB"/>
        </w:rPr>
        <w:t>. Accessed 1/6/15</w:t>
      </w:r>
    </w:p>
    <w:p w14:paraId="60C37016" w14:textId="77777777" w:rsidR="00E87127" w:rsidRPr="00FE029B" w:rsidRDefault="00E87127" w:rsidP="00E87127">
      <w:pPr>
        <w:jc w:val="both"/>
        <w:rPr>
          <w:rFonts w:cs="Times New Roman"/>
          <w:color w:val="000000" w:themeColor="text1"/>
          <w:lang w:val="en-GB"/>
        </w:rPr>
      </w:pPr>
      <w:r w:rsidRPr="00FE029B">
        <w:rPr>
          <w:rFonts w:cs="Times New Roman"/>
          <w:color w:val="000000" w:themeColor="text1"/>
          <w:lang w:val="en-GB"/>
        </w:rPr>
        <w:t xml:space="preserve">European Court of Human Rights (2010) </w:t>
      </w:r>
      <w:r w:rsidRPr="00FE029B">
        <w:rPr>
          <w:rFonts w:cs="Times New Roman"/>
          <w:i/>
          <w:color w:val="000000" w:themeColor="text1"/>
          <w:lang w:val="en-GB"/>
        </w:rPr>
        <w:t>European Convention on Human Rights</w:t>
      </w:r>
      <w:r w:rsidRPr="00FE029B">
        <w:rPr>
          <w:rFonts w:cs="Times New Roman"/>
          <w:color w:val="000000" w:themeColor="text1"/>
          <w:lang w:val="en-GB"/>
        </w:rPr>
        <w:t xml:space="preserve">. Available at: </w:t>
      </w:r>
      <w:hyperlink r:id="rId8" w:history="1">
        <w:r w:rsidRPr="00FE029B">
          <w:rPr>
            <w:rFonts w:cs="Times New Roman"/>
            <w:color w:val="000000" w:themeColor="text1"/>
            <w:u w:val="single"/>
            <w:lang w:val="en-GB"/>
          </w:rPr>
          <w:t>http://www.echr.coe.int/Documents/Convention_ENG.pdf</w:t>
        </w:r>
      </w:hyperlink>
      <w:r w:rsidRPr="00FE029B">
        <w:rPr>
          <w:rFonts w:cs="Times New Roman"/>
          <w:color w:val="000000" w:themeColor="text1"/>
          <w:lang w:val="en-GB"/>
        </w:rPr>
        <w:t xml:space="preserve">. Accessed 1/6/14. </w:t>
      </w:r>
    </w:p>
    <w:p w14:paraId="44AFECAF" w14:textId="77777777" w:rsidR="00E87127" w:rsidRPr="00FE029B" w:rsidRDefault="00E87127" w:rsidP="00E87127">
      <w:pPr>
        <w:rPr>
          <w:color w:val="000000" w:themeColor="text1"/>
          <w:lang w:val="en-GB"/>
        </w:rPr>
      </w:pPr>
      <w:r w:rsidRPr="00FE029B">
        <w:rPr>
          <w:color w:val="000000" w:themeColor="text1"/>
          <w:lang w:val="en-GB"/>
        </w:rPr>
        <w:t xml:space="preserve">Fairclough, N (2003) </w:t>
      </w:r>
      <w:r w:rsidRPr="00FE029B">
        <w:rPr>
          <w:i/>
          <w:color w:val="000000" w:themeColor="text1"/>
          <w:lang w:val="en-GB"/>
        </w:rPr>
        <w:t>Analysing discourse: textual analysis for social research</w:t>
      </w:r>
      <w:r w:rsidRPr="00FE029B">
        <w:rPr>
          <w:color w:val="000000" w:themeColor="text1"/>
          <w:lang w:val="en-GB"/>
        </w:rPr>
        <w:t>. Oxford: Routledge.</w:t>
      </w:r>
    </w:p>
    <w:p w14:paraId="2C17D69C" w14:textId="77777777" w:rsidR="00E87127" w:rsidRPr="00FE029B" w:rsidRDefault="00E87127" w:rsidP="00E87127">
      <w:pPr>
        <w:spacing w:after="200" w:line="240" w:lineRule="auto"/>
        <w:rPr>
          <w:color w:val="000000" w:themeColor="text1"/>
          <w:lang w:val="en-GB"/>
        </w:rPr>
      </w:pPr>
      <w:r w:rsidRPr="00FE029B">
        <w:rPr>
          <w:color w:val="000000" w:themeColor="text1"/>
          <w:lang w:val="en-GB"/>
        </w:rPr>
        <w:t xml:space="preserve">Fairclough, N (1992) </w:t>
      </w:r>
      <w:r w:rsidRPr="00FE029B">
        <w:rPr>
          <w:i/>
          <w:color w:val="000000" w:themeColor="text1"/>
          <w:lang w:val="en-GB"/>
        </w:rPr>
        <w:t>Discourse and Social Change.</w:t>
      </w:r>
      <w:r w:rsidRPr="00FE029B">
        <w:rPr>
          <w:color w:val="000000" w:themeColor="text1"/>
          <w:lang w:val="en-GB"/>
        </w:rPr>
        <w:t xml:space="preserve"> Cambridge: Polity.</w:t>
      </w:r>
    </w:p>
    <w:p w14:paraId="2990DAC4" w14:textId="77777777" w:rsidR="00E87127" w:rsidRPr="00FE029B" w:rsidRDefault="00E87127" w:rsidP="00E87127">
      <w:pPr>
        <w:spacing w:line="240" w:lineRule="auto"/>
        <w:rPr>
          <w:rFonts w:eastAsia="Times New Roman"/>
          <w:color w:val="000000" w:themeColor="text1"/>
          <w:lang w:val="en-GB"/>
        </w:rPr>
      </w:pPr>
      <w:r w:rsidRPr="00FE029B">
        <w:rPr>
          <w:color w:val="000000" w:themeColor="text1"/>
          <w:lang w:val="en-GB"/>
        </w:rPr>
        <w:t xml:space="preserve">Foucault, M (1994) ‘Truth and Juridical Forms.’ In </w:t>
      </w:r>
      <w:r w:rsidRPr="00FE029B">
        <w:rPr>
          <w:rFonts w:eastAsia="Times New Roman"/>
          <w:color w:val="000000" w:themeColor="text1"/>
          <w:lang w:val="en-GB"/>
        </w:rPr>
        <w:t xml:space="preserve">Faubion, J. D (ed) </w:t>
      </w:r>
      <w:r w:rsidRPr="00FE029B">
        <w:rPr>
          <w:rFonts w:eastAsia="Times New Roman"/>
          <w:i/>
          <w:color w:val="000000" w:themeColor="text1"/>
          <w:lang w:val="en-GB"/>
        </w:rPr>
        <w:t>Michel Foucault – Power: Essential Works of Foucault 1954-1984 vol 3</w:t>
      </w:r>
      <w:r w:rsidRPr="00FE029B">
        <w:rPr>
          <w:rFonts w:eastAsia="Times New Roman"/>
          <w:color w:val="000000" w:themeColor="text1"/>
          <w:lang w:val="en-GB"/>
        </w:rPr>
        <w:t>. London: Penguin. 1-89.</w:t>
      </w:r>
    </w:p>
    <w:p w14:paraId="35255E9B" w14:textId="77777777" w:rsidR="00E87127" w:rsidRPr="00FE029B" w:rsidRDefault="00E87127" w:rsidP="00E87127">
      <w:pPr>
        <w:spacing w:line="240" w:lineRule="auto"/>
        <w:rPr>
          <w:lang w:val="en-GB"/>
        </w:rPr>
      </w:pPr>
      <w:r w:rsidRPr="00FE029B">
        <w:rPr>
          <w:lang w:val="en-GB"/>
        </w:rPr>
        <w:t xml:space="preserve">Fulton, R (2008) </w:t>
      </w:r>
      <w:r w:rsidRPr="00FE029B">
        <w:rPr>
          <w:i/>
          <w:lang w:val="en-GB"/>
        </w:rPr>
        <w:t>Review of the Forum for Preventing Deaths in Custody: Report of the Independent Reviewer.</w:t>
      </w:r>
      <w:r w:rsidRPr="00FE029B">
        <w:rPr>
          <w:lang w:val="en-GB"/>
        </w:rPr>
        <w:t xml:space="preserve"> London. TSO. </w:t>
      </w:r>
    </w:p>
    <w:p w14:paraId="75AB2C22" w14:textId="77777777" w:rsidR="00E87127" w:rsidRPr="00FE029B" w:rsidRDefault="00E87127" w:rsidP="00E87127">
      <w:pPr>
        <w:spacing w:line="240" w:lineRule="auto"/>
        <w:rPr>
          <w:lang w:val="en-GB"/>
        </w:rPr>
      </w:pPr>
      <w:r w:rsidRPr="00FE029B">
        <w:rPr>
          <w:lang w:val="en-GB"/>
        </w:rPr>
        <w:t xml:space="preserve">Goldson, B (2006) ‘Fatal Injustice: Rampant Punitiveness, Child Prisoner Deaths, and Institutional Denial – A Case for Comprehensive Independent Inquiry in England and Wales.’ </w:t>
      </w:r>
      <w:r w:rsidRPr="00FE029B">
        <w:rPr>
          <w:i/>
          <w:lang w:val="en-GB"/>
        </w:rPr>
        <w:t>Social Justice</w:t>
      </w:r>
      <w:r w:rsidRPr="00FE029B">
        <w:rPr>
          <w:lang w:val="en-GB"/>
        </w:rPr>
        <w:t xml:space="preserve">. 33 (4). 52-68. </w:t>
      </w:r>
    </w:p>
    <w:p w14:paraId="42C90DA9" w14:textId="77777777" w:rsidR="00E87127" w:rsidRPr="00FE029B" w:rsidRDefault="00E87127" w:rsidP="00E87127">
      <w:pPr>
        <w:spacing w:line="240" w:lineRule="auto"/>
        <w:jc w:val="both"/>
        <w:rPr>
          <w:rFonts w:cs="Times New Roman"/>
          <w:color w:val="000000" w:themeColor="text1"/>
          <w:lang w:val="en-GB"/>
        </w:rPr>
      </w:pPr>
      <w:r w:rsidRPr="00FE029B">
        <w:rPr>
          <w:rFonts w:cs="Times New Roman"/>
          <w:color w:val="000000" w:themeColor="text1"/>
          <w:lang w:val="en-GB"/>
        </w:rPr>
        <w:t xml:space="preserve">Gilbey, R (2011) ‘Bear Necessities.’ </w:t>
      </w:r>
      <w:r w:rsidRPr="00FD42E7">
        <w:rPr>
          <w:rFonts w:cs="Times New Roman"/>
          <w:i/>
          <w:color w:val="000000" w:themeColor="text1"/>
          <w:lang w:val="en-GB"/>
        </w:rPr>
        <w:t>New Statesman</w:t>
      </w:r>
      <w:r w:rsidRPr="00FE029B">
        <w:rPr>
          <w:rFonts w:cs="Times New Roman"/>
          <w:color w:val="000000" w:themeColor="text1"/>
          <w:lang w:val="en-GB"/>
        </w:rPr>
        <w:t>. April 25</w:t>
      </w:r>
      <w:r w:rsidRPr="00FE029B">
        <w:rPr>
          <w:rFonts w:cs="Times New Roman"/>
          <w:color w:val="000000" w:themeColor="text1"/>
          <w:vertAlign w:val="superscript"/>
          <w:lang w:val="en-GB"/>
        </w:rPr>
        <w:t>th</w:t>
      </w:r>
      <w:r w:rsidRPr="00FE029B">
        <w:rPr>
          <w:rFonts w:cs="Times New Roman"/>
          <w:color w:val="000000" w:themeColor="text1"/>
          <w:lang w:val="en-GB"/>
        </w:rPr>
        <w:t xml:space="preserve">, 2011. </w:t>
      </w:r>
    </w:p>
    <w:p w14:paraId="361DE93B" w14:textId="77777777" w:rsidR="00E87127" w:rsidRPr="00FE029B" w:rsidRDefault="00E87127" w:rsidP="00E87127">
      <w:pPr>
        <w:widowControl w:val="0"/>
        <w:autoSpaceDE w:val="0"/>
        <w:autoSpaceDN w:val="0"/>
        <w:adjustRightInd w:val="0"/>
        <w:spacing w:after="240" w:line="240" w:lineRule="auto"/>
        <w:rPr>
          <w:rFonts w:cs="Times"/>
        </w:rPr>
      </w:pPr>
      <w:r w:rsidRPr="00FE029B">
        <w:rPr>
          <w:rFonts w:cs="Times"/>
        </w:rPr>
        <w:t xml:space="preserve">Hannan, M, Hearnden, I, Grace, K &amp; Bucke, T (2010) </w:t>
      </w:r>
      <w:r w:rsidRPr="00FD42E7">
        <w:rPr>
          <w:rFonts w:cs="Times"/>
          <w:i/>
        </w:rPr>
        <w:t>Deaths in or following police custody: An examination of the cases 1998/99 – 2008/09.</w:t>
      </w:r>
      <w:r w:rsidRPr="00FE029B">
        <w:rPr>
          <w:rFonts w:cs="Times"/>
        </w:rPr>
        <w:t xml:space="preserve"> IPCC Research Series Paper: 17. </w:t>
      </w:r>
    </w:p>
    <w:p w14:paraId="3489584C" w14:textId="77777777" w:rsidR="00E87127" w:rsidRPr="00FE029B" w:rsidRDefault="00E87127" w:rsidP="00E87127">
      <w:pPr>
        <w:rPr>
          <w:lang w:val="en-GB"/>
        </w:rPr>
      </w:pPr>
      <w:r w:rsidRPr="00FE029B">
        <w:rPr>
          <w:lang w:val="en-GB"/>
        </w:rPr>
        <w:t xml:space="preserve">Hermans, H.J.M (2001) ‘The Dialogical Self: Toward a Theory of Personal and Cultural Positioning.’ </w:t>
      </w:r>
      <w:r w:rsidRPr="00FE029B">
        <w:rPr>
          <w:i/>
          <w:lang w:val="en-GB"/>
        </w:rPr>
        <w:t>Culture Psychology</w:t>
      </w:r>
      <w:r w:rsidRPr="00FE029B">
        <w:rPr>
          <w:lang w:val="en-GB"/>
        </w:rPr>
        <w:t>. 7 (3). 243-281.</w:t>
      </w:r>
    </w:p>
    <w:p w14:paraId="140D299D" w14:textId="77777777" w:rsidR="00E87127" w:rsidRPr="00FE029B" w:rsidRDefault="00E87127" w:rsidP="00E87127">
      <w:pPr>
        <w:spacing w:line="240" w:lineRule="auto"/>
        <w:jc w:val="both"/>
        <w:rPr>
          <w:rFonts w:cs="Times New Roman"/>
          <w:color w:val="000000" w:themeColor="text1"/>
          <w:lang w:val="en-GB"/>
        </w:rPr>
      </w:pPr>
      <w:r w:rsidRPr="00FE029B">
        <w:rPr>
          <w:rFonts w:cs="Times New Roman"/>
          <w:color w:val="000000" w:themeColor="text1"/>
          <w:lang w:val="en-GB"/>
        </w:rPr>
        <w:t xml:space="preserve">Hill, C. &amp; Cook, L. (2011) ‘Narrative Verdicts and their impact on mortality statistics in England and Wales.’ </w:t>
      </w:r>
      <w:r w:rsidRPr="00FE029B">
        <w:rPr>
          <w:rFonts w:cs="Times New Roman"/>
          <w:i/>
          <w:color w:val="000000" w:themeColor="text1"/>
          <w:lang w:val="en-GB"/>
        </w:rPr>
        <w:t>Health Statistics Quarterly.</w:t>
      </w:r>
      <w:r w:rsidRPr="00FE029B">
        <w:rPr>
          <w:rFonts w:cs="Times New Roman"/>
          <w:color w:val="000000" w:themeColor="text1"/>
          <w:lang w:val="en-GB"/>
        </w:rPr>
        <w:t xml:space="preserve"> 49 (1), pp. 1-20.</w:t>
      </w:r>
    </w:p>
    <w:p w14:paraId="580222E2" w14:textId="77777777" w:rsidR="00E87127" w:rsidRPr="00FE029B" w:rsidRDefault="00E87127" w:rsidP="00E87127">
      <w:pPr>
        <w:widowControl w:val="0"/>
        <w:autoSpaceDE w:val="0"/>
        <w:autoSpaceDN w:val="0"/>
        <w:adjustRightInd w:val="0"/>
        <w:spacing w:after="240" w:line="240" w:lineRule="auto"/>
        <w:rPr>
          <w:rFonts w:cs="Times"/>
        </w:rPr>
      </w:pPr>
      <w:r w:rsidRPr="00FE029B">
        <w:rPr>
          <w:rFonts w:cs="Times"/>
        </w:rPr>
        <w:t xml:space="preserve">HAC (2010) </w:t>
      </w:r>
      <w:r w:rsidRPr="00FE029B">
        <w:rPr>
          <w:rFonts w:cs="Times"/>
          <w:i/>
        </w:rPr>
        <w:t>The work of the Independent Police Complaints Commission.</w:t>
      </w:r>
      <w:r w:rsidRPr="00FE029B">
        <w:rPr>
          <w:rFonts w:cs="Times"/>
        </w:rPr>
        <w:t xml:space="preserve"> London: TSO. </w:t>
      </w:r>
    </w:p>
    <w:p w14:paraId="65011071" w14:textId="77777777" w:rsidR="00E87127" w:rsidRPr="00FE029B" w:rsidRDefault="00E87127" w:rsidP="00E87127">
      <w:pPr>
        <w:keepNext/>
        <w:keepLines/>
        <w:spacing w:before="240" w:after="0" w:line="240" w:lineRule="auto"/>
        <w:jc w:val="both"/>
        <w:outlineLvl w:val="0"/>
        <w:rPr>
          <w:rFonts w:eastAsia="Times New Roman" w:cs="Times New Roman"/>
          <w:bCs/>
          <w:kern w:val="36"/>
          <w:lang w:val="en-GB" w:eastAsia="en-GB"/>
        </w:rPr>
      </w:pPr>
      <w:r w:rsidRPr="00FE029B">
        <w:rPr>
          <w:rFonts w:eastAsiaTheme="majorEastAsia" w:cstheme="majorBidi"/>
          <w:lang w:val="en-GB"/>
        </w:rPr>
        <w:t xml:space="preserve">Human Rights Watch (2015) </w:t>
      </w:r>
      <w:r w:rsidRPr="00FE029B">
        <w:rPr>
          <w:rFonts w:eastAsia="Times New Roman" w:cs="Times New Roman"/>
          <w:bCs/>
          <w:i/>
          <w:kern w:val="36"/>
          <w:lang w:val="en-GB" w:eastAsia="en-GB"/>
        </w:rPr>
        <w:t>The UK government’s proposals regarding the Human Rights Act and the European Court of Human Rights.</w:t>
      </w:r>
      <w:r w:rsidRPr="00FE029B">
        <w:rPr>
          <w:rFonts w:eastAsia="Times New Roman" w:cs="Times New Roman"/>
          <w:bCs/>
          <w:kern w:val="36"/>
          <w:lang w:val="en-GB" w:eastAsia="en-GB"/>
        </w:rPr>
        <w:t xml:space="preserve"> Available at: </w:t>
      </w:r>
      <w:hyperlink r:id="rId9" w:history="1">
        <w:r w:rsidRPr="00FE029B">
          <w:rPr>
            <w:rFonts w:eastAsia="Times New Roman" w:cs="Times New Roman"/>
            <w:bCs/>
            <w:color w:val="0563C1" w:themeColor="hyperlink"/>
            <w:kern w:val="36"/>
            <w:u w:val="single"/>
            <w:lang w:val="en-GB" w:eastAsia="en-GB"/>
          </w:rPr>
          <w:t>https://www.hrw.org/news/2015/05/20/uk-governments-proposals-regarding-human-rights-act-and-european-court-human-rights</w:t>
        </w:r>
      </w:hyperlink>
      <w:r w:rsidRPr="00FE029B">
        <w:rPr>
          <w:rFonts w:eastAsia="Times New Roman" w:cs="Times New Roman"/>
          <w:bCs/>
          <w:kern w:val="36"/>
          <w:lang w:val="en-GB" w:eastAsia="en-GB"/>
        </w:rPr>
        <w:t>. Accessed 2/12/15</w:t>
      </w:r>
    </w:p>
    <w:p w14:paraId="74E09ECE" w14:textId="77777777" w:rsidR="00E87127" w:rsidRPr="00FE029B" w:rsidRDefault="00E87127" w:rsidP="00E87127">
      <w:pPr>
        <w:spacing w:before="100" w:beforeAutospacing="1" w:after="100" w:afterAutospacing="1" w:line="240" w:lineRule="auto"/>
        <w:outlineLvl w:val="0"/>
        <w:rPr>
          <w:rFonts w:eastAsia="Times New Roman" w:cs="Times New Roman"/>
          <w:bCs/>
          <w:color w:val="000000" w:themeColor="text1"/>
          <w:kern w:val="36"/>
        </w:rPr>
      </w:pPr>
      <w:r w:rsidRPr="00FE029B">
        <w:rPr>
          <w:rFonts w:eastAsia="Times New Roman" w:cs="Times New Roman"/>
          <w:bCs/>
          <w:color w:val="000000" w:themeColor="text1"/>
          <w:kern w:val="36"/>
        </w:rPr>
        <w:t xml:space="preserve">Hyden, L-C (1997) ‘The institutional narrative as drama.’ In Gunnarson, B-L, Linell, P and Nordberg, B (eds) </w:t>
      </w:r>
      <w:r w:rsidRPr="00FE029B">
        <w:rPr>
          <w:rFonts w:eastAsia="Times New Roman" w:cs="Times New Roman"/>
          <w:bCs/>
          <w:i/>
          <w:color w:val="000000" w:themeColor="text1"/>
          <w:kern w:val="36"/>
        </w:rPr>
        <w:t>The Construction of Professional Discourse.</w:t>
      </w:r>
      <w:r w:rsidRPr="00FE029B">
        <w:rPr>
          <w:rFonts w:eastAsia="Times New Roman" w:cs="Times New Roman"/>
          <w:bCs/>
          <w:color w:val="000000" w:themeColor="text1"/>
          <w:kern w:val="36"/>
        </w:rPr>
        <w:t xml:space="preserve"> Harlow. Longman.</w:t>
      </w:r>
      <w:r w:rsidRPr="00FE029B">
        <w:rPr>
          <w:rFonts w:eastAsia="Times New Roman" w:cs="Times New Roman"/>
          <w:b/>
          <w:bCs/>
          <w:color w:val="000000" w:themeColor="text1"/>
          <w:kern w:val="36"/>
        </w:rPr>
        <w:t xml:space="preserve"> </w:t>
      </w:r>
      <w:r w:rsidRPr="00FE029B">
        <w:rPr>
          <w:rFonts w:eastAsia="Times New Roman" w:cs="Times New Roman"/>
          <w:bCs/>
          <w:color w:val="000000" w:themeColor="text1"/>
          <w:kern w:val="36"/>
        </w:rPr>
        <w:t xml:space="preserve"> 245-264.</w:t>
      </w:r>
    </w:p>
    <w:p w14:paraId="68394A48" w14:textId="77777777" w:rsidR="00E87127" w:rsidRPr="00FE029B" w:rsidRDefault="00E87127" w:rsidP="00E87127">
      <w:pPr>
        <w:spacing w:before="100" w:beforeAutospacing="1" w:after="100" w:afterAutospacing="1" w:line="240" w:lineRule="auto"/>
        <w:outlineLvl w:val="0"/>
        <w:rPr>
          <w:rFonts w:eastAsia="Times New Roman" w:cs="Times New Roman"/>
          <w:bCs/>
          <w:color w:val="000000" w:themeColor="text1"/>
          <w:kern w:val="36"/>
        </w:rPr>
      </w:pPr>
      <w:r w:rsidRPr="00FE029B">
        <w:rPr>
          <w:rFonts w:eastAsia="Times New Roman" w:cs="Times New Roman"/>
          <w:bCs/>
          <w:color w:val="000000" w:themeColor="text1"/>
          <w:kern w:val="36"/>
        </w:rPr>
        <w:t xml:space="preserve">IPCC (2016) </w:t>
      </w:r>
      <w:r w:rsidRPr="00FE029B">
        <w:rPr>
          <w:rFonts w:eastAsia="Times New Roman" w:cs="Times New Roman"/>
          <w:bCs/>
          <w:i/>
          <w:color w:val="000000" w:themeColor="text1"/>
          <w:kern w:val="36"/>
        </w:rPr>
        <w:t>Deaths during or following police contact: Statistics for England and Wales 2015/16.</w:t>
      </w:r>
      <w:r w:rsidRPr="00FE029B">
        <w:rPr>
          <w:rFonts w:eastAsia="Times New Roman" w:cs="Times New Roman"/>
          <w:bCs/>
          <w:color w:val="000000" w:themeColor="text1"/>
          <w:kern w:val="36"/>
        </w:rPr>
        <w:t xml:space="preserve"> Available at: </w:t>
      </w:r>
      <w:hyperlink r:id="rId10" w:history="1">
        <w:r w:rsidRPr="001732CE">
          <w:rPr>
            <w:rFonts w:eastAsia="Times New Roman" w:cs="Times New Roman"/>
            <w:bCs/>
            <w:color w:val="0563C1" w:themeColor="hyperlink"/>
            <w:kern w:val="36"/>
            <w:u w:val="single"/>
          </w:rPr>
          <w:t>https://www.ipcc.gov.uk/sites/default/files/Documents/research_stats/Deaths_Report_1516.pdf</w:t>
        </w:r>
      </w:hyperlink>
      <w:r w:rsidRPr="00FE029B">
        <w:rPr>
          <w:rFonts w:eastAsia="Times New Roman" w:cs="Times New Roman"/>
          <w:bCs/>
          <w:color w:val="000000" w:themeColor="text1"/>
          <w:kern w:val="36"/>
        </w:rPr>
        <w:t xml:space="preserve">. Accessed 20/1/17. </w:t>
      </w:r>
    </w:p>
    <w:p w14:paraId="78E39953" w14:textId="77777777" w:rsidR="00E87127" w:rsidRPr="00FE029B" w:rsidRDefault="00E87127" w:rsidP="00E87127">
      <w:pPr>
        <w:spacing w:line="240" w:lineRule="auto"/>
        <w:rPr>
          <w:rFonts w:eastAsia="Times New Roman"/>
          <w:color w:val="000000" w:themeColor="text1"/>
          <w:lang w:val="en-GB"/>
        </w:rPr>
      </w:pPr>
      <w:r w:rsidRPr="00FE029B">
        <w:rPr>
          <w:rFonts w:eastAsia="Times New Roman"/>
          <w:color w:val="000000" w:themeColor="text1"/>
          <w:lang w:val="en-GB"/>
        </w:rPr>
        <w:t xml:space="preserve">Innes, M (2003) </w:t>
      </w:r>
      <w:r w:rsidRPr="00FE029B">
        <w:rPr>
          <w:rFonts w:eastAsia="Times New Roman"/>
          <w:i/>
          <w:color w:val="000000" w:themeColor="text1"/>
          <w:lang w:val="en-GB"/>
        </w:rPr>
        <w:t xml:space="preserve">Investigating Murder: Detective Work and the Police Response to Criminal Homicide. </w:t>
      </w:r>
      <w:r w:rsidRPr="00FE029B">
        <w:rPr>
          <w:rFonts w:eastAsia="Times New Roman"/>
          <w:color w:val="000000" w:themeColor="text1"/>
          <w:lang w:val="en-GB"/>
        </w:rPr>
        <w:t xml:space="preserve">Oxford. Oxford University Press.  </w:t>
      </w:r>
    </w:p>
    <w:p w14:paraId="4E7DF7F1" w14:textId="77777777" w:rsidR="00E87127" w:rsidRPr="00FE029B" w:rsidRDefault="00E87127" w:rsidP="00E87127">
      <w:pPr>
        <w:rPr>
          <w:color w:val="000000" w:themeColor="text1"/>
          <w:lang w:val="en-GB"/>
        </w:rPr>
      </w:pPr>
      <w:r w:rsidRPr="00FE029B">
        <w:rPr>
          <w:color w:val="000000" w:themeColor="text1"/>
          <w:lang w:val="en-GB"/>
        </w:rPr>
        <w:t xml:space="preserve">Inquest (2015) </w:t>
      </w:r>
      <w:r w:rsidRPr="00FD42E7">
        <w:rPr>
          <w:i/>
          <w:color w:val="000000" w:themeColor="text1"/>
          <w:lang w:val="en-GB"/>
        </w:rPr>
        <w:t xml:space="preserve">Stolen Lives and Missed Opportunities: The deaths of young adults and children in prison. </w:t>
      </w:r>
      <w:r w:rsidRPr="00FE029B">
        <w:rPr>
          <w:color w:val="000000" w:themeColor="text1"/>
          <w:lang w:val="en-GB"/>
        </w:rPr>
        <w:t xml:space="preserve">Available at: </w:t>
      </w:r>
      <w:hyperlink r:id="rId11" w:history="1">
        <w:r w:rsidRPr="00FE029B">
          <w:rPr>
            <w:color w:val="000000" w:themeColor="text1"/>
            <w:u w:val="single"/>
            <w:lang w:val="en-GB"/>
          </w:rPr>
          <w:t>http://inquest.org.uk/pdf/reports/INQUEST_T2A_report_final.pdf</w:t>
        </w:r>
      </w:hyperlink>
      <w:r w:rsidRPr="00FE029B">
        <w:rPr>
          <w:color w:val="000000" w:themeColor="text1"/>
          <w:lang w:val="en-GB"/>
        </w:rPr>
        <w:t>. Accessed 7/6/15.</w:t>
      </w:r>
    </w:p>
    <w:p w14:paraId="519DBCE1" w14:textId="77777777" w:rsidR="00E87127" w:rsidRPr="00FE029B" w:rsidRDefault="00E87127" w:rsidP="00E87127">
      <w:pPr>
        <w:widowControl w:val="0"/>
        <w:autoSpaceDE w:val="0"/>
        <w:autoSpaceDN w:val="0"/>
        <w:adjustRightInd w:val="0"/>
        <w:spacing w:after="240" w:line="240" w:lineRule="auto"/>
        <w:rPr>
          <w:rFonts w:cs="Times"/>
        </w:rPr>
      </w:pPr>
      <w:r w:rsidRPr="00FE029B">
        <w:rPr>
          <w:rFonts w:cs="Times"/>
        </w:rPr>
        <w:t xml:space="preserve">JCHR (2004) Third Report. Available at: </w:t>
      </w:r>
      <w:r w:rsidRPr="00FE029B">
        <w:rPr>
          <w:rFonts w:cs="Times"/>
          <w:color w:val="0000FF"/>
        </w:rPr>
        <w:t>http://www.publications.parliament.uk/pa/jt200405/jtselect/jtrights/15/1510.htm#a46</w:t>
      </w:r>
      <w:r w:rsidRPr="00FE029B">
        <w:rPr>
          <w:rFonts w:cs="Times"/>
        </w:rPr>
        <w:t xml:space="preserve">. Accessed 6.6.13 </w:t>
      </w:r>
    </w:p>
    <w:p w14:paraId="2B63E5E5" w14:textId="77777777" w:rsidR="00E87127" w:rsidRPr="00FE029B" w:rsidRDefault="00E87127" w:rsidP="00E87127">
      <w:pPr>
        <w:rPr>
          <w:color w:val="000000" w:themeColor="text1"/>
          <w:lang w:val="en-GB"/>
        </w:rPr>
      </w:pPr>
      <w:r w:rsidRPr="00FE029B">
        <w:rPr>
          <w:color w:val="000000" w:themeColor="text1"/>
          <w:lang w:val="en-GB"/>
        </w:rPr>
        <w:t xml:space="preserve">Labov, W and Waletzky, J (1961) ‘Narrative Analysis: Oral Versions of Personal Experience.’ In Helm, J (ed) </w:t>
      </w:r>
      <w:r w:rsidRPr="00FE029B">
        <w:rPr>
          <w:i/>
          <w:color w:val="000000" w:themeColor="text1"/>
          <w:lang w:val="en-GB"/>
        </w:rPr>
        <w:t>Essays on the Verbal and Visual Arts.</w:t>
      </w:r>
      <w:r w:rsidRPr="00FE029B">
        <w:rPr>
          <w:color w:val="000000" w:themeColor="text1"/>
          <w:lang w:val="en-GB"/>
        </w:rPr>
        <w:t xml:space="preserve"> Seattle. American Ethnographic Society. 12-44.</w:t>
      </w:r>
    </w:p>
    <w:p w14:paraId="32775A15" w14:textId="77777777" w:rsidR="00E87127" w:rsidRPr="00FE029B" w:rsidRDefault="00E87127" w:rsidP="00E87127">
      <w:pPr>
        <w:rPr>
          <w:lang w:val="en-GB"/>
        </w:rPr>
      </w:pPr>
      <w:r w:rsidRPr="00FE029B">
        <w:rPr>
          <w:lang w:val="en-GB"/>
        </w:rPr>
        <w:t xml:space="preserve">Langer, S, Scourfield, J and Fincham, B (2008) ‘Documenting the Quick and the Dead: A Study of Suicide Case Files in a Coroner’s Office.’ </w:t>
      </w:r>
      <w:r w:rsidRPr="00FE029B">
        <w:rPr>
          <w:i/>
          <w:lang w:val="en-GB"/>
        </w:rPr>
        <w:t>Sociological Review</w:t>
      </w:r>
      <w:r w:rsidRPr="00FE029B">
        <w:rPr>
          <w:lang w:val="en-GB"/>
        </w:rPr>
        <w:t>. 56 (2). 293-308.</w:t>
      </w:r>
    </w:p>
    <w:p w14:paraId="27C7B3F1" w14:textId="77777777" w:rsidR="00E87127" w:rsidRPr="00FE029B" w:rsidRDefault="00E87127" w:rsidP="00E87127">
      <w:pPr>
        <w:spacing w:line="240" w:lineRule="auto"/>
        <w:jc w:val="both"/>
        <w:rPr>
          <w:rFonts w:cs="Times New Roman"/>
          <w:color w:val="000000" w:themeColor="text1"/>
          <w:lang w:val="en-GB"/>
        </w:rPr>
      </w:pPr>
      <w:r w:rsidRPr="00FE029B">
        <w:rPr>
          <w:rFonts w:cs="Times New Roman"/>
          <w:color w:val="000000" w:themeColor="text1"/>
          <w:lang w:val="en-GB"/>
        </w:rPr>
        <w:t xml:space="preserve">Levine, M. (1999) </w:t>
      </w:r>
      <w:r w:rsidRPr="00FE029B">
        <w:rPr>
          <w:rFonts w:cs="Times New Roman"/>
          <w:i/>
          <w:color w:val="000000" w:themeColor="text1"/>
          <w:lang w:val="en-GB"/>
        </w:rPr>
        <w:t xml:space="preserve">Levine on Coroners’ Courts. </w:t>
      </w:r>
      <w:r w:rsidRPr="00FE029B">
        <w:rPr>
          <w:rFonts w:cs="Times New Roman"/>
          <w:color w:val="000000" w:themeColor="text1"/>
          <w:lang w:val="en-GB"/>
        </w:rPr>
        <w:t>London: Sweet and Maxwell.</w:t>
      </w:r>
    </w:p>
    <w:p w14:paraId="334EF600" w14:textId="77777777" w:rsidR="00E87127" w:rsidRPr="00FE029B" w:rsidRDefault="00E87127" w:rsidP="00E87127">
      <w:pPr>
        <w:spacing w:line="240" w:lineRule="auto"/>
        <w:jc w:val="both"/>
        <w:rPr>
          <w:rFonts w:cs="Times New Roman"/>
          <w:color w:val="000000" w:themeColor="text1"/>
          <w:lang w:val="en-GB"/>
        </w:rPr>
      </w:pPr>
      <w:r w:rsidRPr="00FE029B">
        <w:rPr>
          <w:rFonts w:cs="Times New Roman"/>
          <w:color w:val="000000" w:themeColor="text1"/>
          <w:lang w:val="en-GB"/>
        </w:rPr>
        <w:t xml:space="preserve">Luce, T (2003) </w:t>
      </w:r>
      <w:r w:rsidRPr="00FE029B">
        <w:rPr>
          <w:rFonts w:cs="Times New Roman"/>
          <w:i/>
          <w:color w:val="000000" w:themeColor="text1"/>
          <w:lang w:val="en-GB"/>
        </w:rPr>
        <w:t>Death Certification and Investigation in England, Wales and Northern Ireland: the Report of a Fundamental Review</w:t>
      </w:r>
      <w:r>
        <w:rPr>
          <w:rFonts w:cs="Times New Roman"/>
          <w:color w:val="000000" w:themeColor="text1"/>
          <w:lang w:val="en-GB"/>
        </w:rPr>
        <w:t>. London: T</w:t>
      </w:r>
      <w:r w:rsidRPr="00FE029B">
        <w:rPr>
          <w:rFonts w:cs="Times New Roman"/>
          <w:color w:val="000000" w:themeColor="text1"/>
          <w:lang w:val="en-GB"/>
        </w:rPr>
        <w:t>SO</w:t>
      </w:r>
      <w:r>
        <w:rPr>
          <w:rFonts w:cs="Times New Roman"/>
          <w:color w:val="000000" w:themeColor="text1"/>
          <w:lang w:val="en-GB"/>
        </w:rPr>
        <w:t>.</w:t>
      </w:r>
      <w:r w:rsidRPr="00FE029B">
        <w:rPr>
          <w:rFonts w:cs="Times New Roman"/>
          <w:color w:val="000000" w:themeColor="text1"/>
          <w:lang w:val="en-GB"/>
        </w:rPr>
        <w:t xml:space="preserve"> </w:t>
      </w:r>
    </w:p>
    <w:p w14:paraId="7740227B" w14:textId="77777777" w:rsidR="00E87127" w:rsidRPr="00FE029B" w:rsidRDefault="00E87127" w:rsidP="00E87127">
      <w:pPr>
        <w:spacing w:line="240" w:lineRule="auto"/>
        <w:jc w:val="both"/>
        <w:rPr>
          <w:color w:val="000000" w:themeColor="text1"/>
          <w:lang w:val="en-GB"/>
        </w:rPr>
      </w:pPr>
      <w:r w:rsidRPr="00FE029B">
        <w:rPr>
          <w:color w:val="000000" w:themeColor="text1"/>
          <w:lang w:val="en-GB"/>
        </w:rPr>
        <w:t xml:space="preserve">Matthews, P (2014) </w:t>
      </w:r>
      <w:r w:rsidRPr="00FE029B">
        <w:rPr>
          <w:i/>
          <w:color w:val="000000" w:themeColor="text1"/>
          <w:lang w:val="en-GB"/>
        </w:rPr>
        <w:t>Jervis on the Office and Duties of Coroners: with forms and precedents. 13th edn</w:t>
      </w:r>
      <w:r w:rsidRPr="00FE029B">
        <w:rPr>
          <w:color w:val="000000" w:themeColor="text1"/>
          <w:lang w:val="en-GB"/>
        </w:rPr>
        <w:t>. London. Sweet and Maxwell.</w:t>
      </w:r>
    </w:p>
    <w:p w14:paraId="7277C9A2" w14:textId="77777777" w:rsidR="00E87127" w:rsidRPr="00FE029B" w:rsidRDefault="00E87127" w:rsidP="00E87127">
      <w:pPr>
        <w:spacing w:line="240" w:lineRule="auto"/>
        <w:jc w:val="both"/>
        <w:rPr>
          <w:rFonts w:cs="Times New Roman"/>
          <w:color w:val="000000" w:themeColor="text1"/>
          <w:lang w:val="en-GB"/>
        </w:rPr>
      </w:pPr>
      <w:r w:rsidRPr="00FE029B">
        <w:rPr>
          <w:rFonts w:cs="Times New Roman"/>
          <w:color w:val="000000" w:themeColor="text1"/>
          <w:lang w:val="en-GB"/>
        </w:rPr>
        <w:t xml:space="preserve">McIntosh, S (2012) ‘Fulfilling their purpose: inquests, article 2 and next of kin.’ </w:t>
      </w:r>
      <w:r w:rsidRPr="00FE029B">
        <w:rPr>
          <w:rFonts w:cs="Times New Roman"/>
          <w:i/>
          <w:color w:val="000000" w:themeColor="text1"/>
          <w:lang w:val="en-GB"/>
        </w:rPr>
        <w:t>Public Law</w:t>
      </w:r>
      <w:r w:rsidRPr="00FE029B">
        <w:rPr>
          <w:rFonts w:cs="Times New Roman"/>
          <w:color w:val="000000" w:themeColor="text1"/>
          <w:lang w:val="en-GB"/>
        </w:rPr>
        <w:t>. July. pp. 407-415.</w:t>
      </w:r>
    </w:p>
    <w:p w14:paraId="787F3CEA" w14:textId="77777777" w:rsidR="00E87127" w:rsidRDefault="00E87127" w:rsidP="00E87127">
      <w:pPr>
        <w:spacing w:after="0" w:line="240" w:lineRule="auto"/>
        <w:rPr>
          <w:rFonts w:eastAsia="Times New Roman" w:cs="Times New Roman"/>
          <w:lang w:val="en-GB"/>
        </w:rPr>
      </w:pPr>
      <w:r w:rsidRPr="00FE029B">
        <w:rPr>
          <w:rFonts w:eastAsia="Times New Roman" w:cs="Times New Roman"/>
          <w:lang w:val="en-GB"/>
        </w:rPr>
        <w:t xml:space="preserve">McLaughlin, E (2007) </w:t>
      </w:r>
      <w:r w:rsidRPr="00FE029B">
        <w:rPr>
          <w:rFonts w:eastAsia="Times New Roman" w:cs="Times New Roman"/>
          <w:i/>
          <w:iCs/>
          <w:lang w:val="en-GB"/>
        </w:rPr>
        <w:t xml:space="preserve">The New Policing. </w:t>
      </w:r>
      <w:r w:rsidRPr="00FE029B">
        <w:rPr>
          <w:rFonts w:eastAsia="Times New Roman" w:cs="Times New Roman"/>
          <w:lang w:val="en-GB"/>
        </w:rPr>
        <w:t>London. Sage.</w:t>
      </w:r>
    </w:p>
    <w:p w14:paraId="4450E0F5" w14:textId="77777777" w:rsidR="00E87127" w:rsidRPr="001732CE" w:rsidRDefault="00E87127" w:rsidP="00E87127">
      <w:pPr>
        <w:spacing w:after="0" w:line="240" w:lineRule="auto"/>
        <w:rPr>
          <w:rFonts w:eastAsia="Times New Roman" w:cs="Times New Roman"/>
          <w:lang w:val="en-GB"/>
        </w:rPr>
      </w:pPr>
    </w:p>
    <w:p w14:paraId="6DD2EBE5" w14:textId="77777777" w:rsidR="00E87127" w:rsidRPr="00FE029B" w:rsidRDefault="00E87127" w:rsidP="00E87127">
      <w:pPr>
        <w:rPr>
          <w:lang w:val="en-GB"/>
        </w:rPr>
      </w:pPr>
      <w:r w:rsidRPr="00FE029B">
        <w:rPr>
          <w:lang w:val="en-GB"/>
        </w:rPr>
        <w:t xml:space="preserve">McMullan, J (2007) ‘Lost Lives at Westray: Official Discourse, Public Truth and Controversial Death.’ </w:t>
      </w:r>
      <w:r w:rsidRPr="00FE029B">
        <w:rPr>
          <w:i/>
          <w:lang w:val="en-GB"/>
        </w:rPr>
        <w:t>Canadian Journal of Law and Society.</w:t>
      </w:r>
      <w:r w:rsidRPr="00FE029B">
        <w:rPr>
          <w:lang w:val="en-GB"/>
        </w:rPr>
        <w:t xml:space="preserve"> 22 (1). 21-42.</w:t>
      </w:r>
    </w:p>
    <w:p w14:paraId="4FB0A8AD" w14:textId="77777777" w:rsidR="00E87127" w:rsidRPr="00FE029B" w:rsidRDefault="00E87127" w:rsidP="00E87127">
      <w:pPr>
        <w:spacing w:line="240" w:lineRule="auto"/>
        <w:jc w:val="both"/>
        <w:rPr>
          <w:rFonts w:cs="Times New Roman"/>
          <w:color w:val="000000" w:themeColor="text1"/>
          <w:lang w:val="en-GB"/>
        </w:rPr>
      </w:pPr>
      <w:r w:rsidRPr="00FE029B">
        <w:rPr>
          <w:rFonts w:cs="Times New Roman"/>
          <w:color w:val="000000" w:themeColor="text1"/>
          <w:lang w:val="en-GB"/>
        </w:rPr>
        <w:t xml:space="preserve">Ministry of Justice (2015) </w:t>
      </w:r>
      <w:r w:rsidRPr="00FE029B">
        <w:rPr>
          <w:rFonts w:cs="Times New Roman"/>
          <w:i/>
          <w:color w:val="000000" w:themeColor="text1"/>
          <w:lang w:val="en-GB"/>
        </w:rPr>
        <w:t>Coroners Statistics Annual 2015, England and Wales.</w:t>
      </w:r>
      <w:r w:rsidRPr="00FE029B">
        <w:rPr>
          <w:rFonts w:cs="Times New Roman"/>
          <w:color w:val="000000" w:themeColor="text1"/>
          <w:lang w:val="en-GB"/>
        </w:rPr>
        <w:t xml:space="preserve"> Available at: </w:t>
      </w:r>
      <w:hyperlink r:id="rId12" w:history="1">
        <w:r w:rsidRPr="00FE029B">
          <w:rPr>
            <w:color w:val="000000" w:themeColor="text1"/>
            <w:u w:val="single"/>
            <w:lang w:val="en-GB"/>
          </w:rPr>
          <w:t>https://www.gov.uk/government/uploads/system/uploads/attachment_data/file/525916/coroners-statistics-annual-2015-england-and-wales.pdf</w:t>
        </w:r>
      </w:hyperlink>
      <w:r w:rsidRPr="00FE029B">
        <w:rPr>
          <w:rFonts w:cs="Times New Roman"/>
          <w:color w:val="000000" w:themeColor="text1"/>
          <w:lang w:val="en-GB"/>
        </w:rPr>
        <w:t xml:space="preserve">. Accessed 24/11/16. </w:t>
      </w:r>
    </w:p>
    <w:p w14:paraId="4743D1AF" w14:textId="77777777" w:rsidR="00E87127" w:rsidRPr="00FE029B" w:rsidRDefault="00E87127" w:rsidP="00FD42E7">
      <w:pPr>
        <w:spacing w:line="240" w:lineRule="auto"/>
        <w:rPr>
          <w:color w:val="000000" w:themeColor="text1"/>
          <w:lang w:val="en-GB"/>
        </w:rPr>
      </w:pPr>
      <w:r w:rsidRPr="00FE029B">
        <w:rPr>
          <w:color w:val="000000" w:themeColor="text1"/>
          <w:lang w:val="en-GB"/>
        </w:rPr>
        <w:t xml:space="preserve">Parliament (2009) </w:t>
      </w:r>
      <w:r w:rsidRPr="00FE029B">
        <w:rPr>
          <w:i/>
          <w:color w:val="000000" w:themeColor="text1"/>
          <w:lang w:val="en-GB"/>
        </w:rPr>
        <w:t>Coroners and Justice Act.</w:t>
      </w:r>
      <w:r w:rsidRPr="00FE029B">
        <w:rPr>
          <w:color w:val="000000" w:themeColor="text1"/>
          <w:lang w:val="en-GB"/>
        </w:rPr>
        <w:t xml:space="preserve"> Available at: </w:t>
      </w:r>
      <w:hyperlink r:id="rId13" w:history="1">
        <w:r w:rsidRPr="00FE029B">
          <w:rPr>
            <w:color w:val="000000" w:themeColor="text1"/>
            <w:u w:val="single"/>
            <w:lang w:val="en-GB"/>
          </w:rPr>
          <w:t>http://www.legislation.gov.uk/ukpga/2009/25/section/1</w:t>
        </w:r>
      </w:hyperlink>
      <w:r w:rsidRPr="00FE029B">
        <w:rPr>
          <w:color w:val="000000" w:themeColor="text1"/>
          <w:lang w:val="en-GB"/>
        </w:rPr>
        <w:t xml:space="preserve">. Accessed 10/8/15. </w:t>
      </w:r>
    </w:p>
    <w:p w14:paraId="0FD00271" w14:textId="77777777" w:rsidR="00E87127" w:rsidRPr="00FE029B" w:rsidRDefault="00E87127" w:rsidP="00E87127">
      <w:pPr>
        <w:rPr>
          <w:color w:val="000000" w:themeColor="text1"/>
          <w:lang w:val="en-GB"/>
        </w:rPr>
      </w:pPr>
      <w:r w:rsidRPr="00FE029B">
        <w:rPr>
          <w:color w:val="000000" w:themeColor="text1"/>
          <w:lang w:val="en-GB"/>
        </w:rPr>
        <w:t xml:space="preserve">Pennington, N and Hastie, R (1986) ‘Evidence Evaluation in Complex Decision Making.’ </w:t>
      </w:r>
      <w:r w:rsidRPr="00FE029B">
        <w:rPr>
          <w:i/>
          <w:color w:val="000000" w:themeColor="text1"/>
          <w:lang w:val="en-GB"/>
        </w:rPr>
        <w:t>Journal of Personality and Social Psychology.</w:t>
      </w:r>
      <w:r w:rsidRPr="00FE029B">
        <w:rPr>
          <w:color w:val="000000" w:themeColor="text1"/>
          <w:lang w:val="en-GB"/>
        </w:rPr>
        <w:t xml:space="preserve"> 51 (2). 242-258.</w:t>
      </w:r>
    </w:p>
    <w:p w14:paraId="39FA50B0" w14:textId="77777777" w:rsidR="00E87127" w:rsidRPr="00FE029B" w:rsidRDefault="00E87127" w:rsidP="00E87127">
      <w:pPr>
        <w:rPr>
          <w:lang w:val="en-GB"/>
        </w:rPr>
      </w:pPr>
      <w:r w:rsidRPr="00FE029B">
        <w:rPr>
          <w:lang w:val="en-GB"/>
        </w:rPr>
        <w:t xml:space="preserve">Pettijohn, K. A. and Radvansky, G.A. (2016) ‘Narrative event boundaries, reading times, and expectation.’ </w:t>
      </w:r>
      <w:r w:rsidRPr="00FE029B">
        <w:rPr>
          <w:i/>
          <w:lang w:val="en-GB"/>
        </w:rPr>
        <w:t>Memory Cognition.</w:t>
      </w:r>
      <w:r w:rsidRPr="00FE029B">
        <w:rPr>
          <w:lang w:val="en-GB"/>
        </w:rPr>
        <w:t xml:space="preserve"> 44. 1064-1075.</w:t>
      </w:r>
    </w:p>
    <w:p w14:paraId="52F64D26" w14:textId="77777777" w:rsidR="00E87127" w:rsidRPr="00FE029B" w:rsidRDefault="00E87127" w:rsidP="00E87127">
      <w:pPr>
        <w:jc w:val="both"/>
        <w:rPr>
          <w:color w:val="000000" w:themeColor="text1"/>
          <w:lang w:val="en-GB"/>
        </w:rPr>
      </w:pPr>
      <w:r w:rsidRPr="00FE029B">
        <w:rPr>
          <w:color w:val="000000" w:themeColor="text1"/>
          <w:lang w:val="en-GB"/>
        </w:rPr>
        <w:t xml:space="preserve">Pilkington, P, Bird, E, Gray, S, Towner, E, Weld, S and McKibben, M (2014) ‘Understanding the social context of fatal road traffic collisions among young people: a qualitative analysis of narrative text in coroners’ records.’ </w:t>
      </w:r>
      <w:r w:rsidRPr="00FE029B">
        <w:rPr>
          <w:i/>
          <w:color w:val="000000" w:themeColor="text1"/>
          <w:lang w:val="en-GB"/>
        </w:rPr>
        <w:t>BMC Public Health</w:t>
      </w:r>
      <w:r w:rsidRPr="00FE029B">
        <w:rPr>
          <w:color w:val="000000" w:themeColor="text1"/>
          <w:lang w:val="en-GB"/>
        </w:rPr>
        <w:t>. 14. 78.</w:t>
      </w:r>
    </w:p>
    <w:p w14:paraId="4DFA8325" w14:textId="77777777" w:rsidR="00E87127" w:rsidRPr="00FE029B" w:rsidRDefault="00E87127" w:rsidP="00E87127">
      <w:pPr>
        <w:widowControl w:val="0"/>
        <w:autoSpaceDE w:val="0"/>
        <w:autoSpaceDN w:val="0"/>
        <w:adjustRightInd w:val="0"/>
        <w:rPr>
          <w:rFonts w:cs="Helvetica"/>
          <w:color w:val="414141"/>
        </w:rPr>
      </w:pPr>
      <w:r w:rsidRPr="00FE029B">
        <w:rPr>
          <w:rFonts w:cs="Helvetica"/>
          <w:color w:val="414141"/>
        </w:rPr>
        <w:t>Presser, L (2012) ‘</w:t>
      </w:r>
      <w:r w:rsidRPr="00FE029B">
        <w:rPr>
          <w:rFonts w:cs="Arial"/>
          <w:bCs/>
          <w:color w:val="434343"/>
        </w:rPr>
        <w:t xml:space="preserve">Getting on top through mass murder: Narrative, metaphor, and violence.’ </w:t>
      </w:r>
      <w:r w:rsidRPr="00FE029B">
        <w:rPr>
          <w:rFonts w:cs="Helvetica"/>
          <w:i/>
          <w:color w:val="414141"/>
        </w:rPr>
        <w:t>Crime, Media, Culture.</w:t>
      </w:r>
      <w:r w:rsidRPr="00FE029B">
        <w:rPr>
          <w:rFonts w:cs="Helvetica"/>
          <w:color w:val="414141"/>
        </w:rPr>
        <w:t xml:space="preserve"> 8 (1). 3-21. </w:t>
      </w:r>
    </w:p>
    <w:p w14:paraId="1E860234" w14:textId="77777777" w:rsidR="00E87127" w:rsidRPr="00FE029B" w:rsidRDefault="00E87127" w:rsidP="00E87127">
      <w:pPr>
        <w:rPr>
          <w:rFonts w:cs="Helvetica"/>
          <w:color w:val="414141"/>
        </w:rPr>
      </w:pPr>
      <w:r w:rsidRPr="00FE029B">
        <w:rPr>
          <w:rFonts w:cs="Helvetica"/>
          <w:color w:val="414141"/>
        </w:rPr>
        <w:t xml:space="preserve">Presser, L. (2009) ‘The Narratives of Offenders.’ </w:t>
      </w:r>
      <w:r w:rsidRPr="00FE029B">
        <w:rPr>
          <w:rFonts w:cs="Helvetica"/>
          <w:i/>
          <w:iCs/>
          <w:color w:val="414141"/>
        </w:rPr>
        <w:t xml:space="preserve">Theoretical </w:t>
      </w:r>
      <w:r w:rsidRPr="00FE029B">
        <w:rPr>
          <w:rFonts w:cs="Helvetica"/>
          <w:bCs/>
          <w:i/>
          <w:iCs/>
          <w:color w:val="414141"/>
        </w:rPr>
        <w:t>Criminology</w:t>
      </w:r>
      <w:r w:rsidRPr="00FE029B">
        <w:rPr>
          <w:rFonts w:cs="Helvetica"/>
          <w:i/>
          <w:iCs/>
          <w:color w:val="414141"/>
        </w:rPr>
        <w:t xml:space="preserve">. </w:t>
      </w:r>
      <w:r w:rsidRPr="00FE029B">
        <w:rPr>
          <w:rFonts w:cs="Helvetica"/>
          <w:color w:val="414141"/>
        </w:rPr>
        <w:t>13 (2) 177-200.</w:t>
      </w:r>
    </w:p>
    <w:p w14:paraId="160F3D9D" w14:textId="77777777" w:rsidR="00E87127" w:rsidRPr="00FE029B" w:rsidRDefault="00E87127" w:rsidP="00E87127">
      <w:pPr>
        <w:rPr>
          <w:color w:val="000000" w:themeColor="text1"/>
          <w:lang w:val="en-GB"/>
        </w:rPr>
      </w:pPr>
      <w:r w:rsidRPr="00FE029B">
        <w:rPr>
          <w:color w:val="000000" w:themeColor="text1"/>
          <w:lang w:val="en-GB"/>
        </w:rPr>
        <w:t xml:space="preserve">Presser, L and Sandberg, S (eds) (2015) </w:t>
      </w:r>
      <w:r w:rsidRPr="00FE029B">
        <w:rPr>
          <w:i/>
          <w:color w:val="000000" w:themeColor="text1"/>
          <w:lang w:val="en-GB"/>
        </w:rPr>
        <w:t xml:space="preserve">Narrative Criminology: Understanding Stories of Crime. </w:t>
      </w:r>
      <w:r w:rsidRPr="00FE029B">
        <w:rPr>
          <w:color w:val="000000" w:themeColor="text1"/>
          <w:lang w:val="en-GB"/>
        </w:rPr>
        <w:t xml:space="preserve">New York. New York University Press. </w:t>
      </w:r>
    </w:p>
    <w:p w14:paraId="61BB76C4" w14:textId="77777777" w:rsidR="00E87127" w:rsidRDefault="00E87127" w:rsidP="00E87127">
      <w:pPr>
        <w:rPr>
          <w:color w:val="000000" w:themeColor="text1"/>
          <w:lang w:val="en-GB"/>
        </w:rPr>
      </w:pPr>
      <w:r w:rsidRPr="00FE029B">
        <w:rPr>
          <w:color w:val="000000" w:themeColor="text1"/>
          <w:lang w:val="en-GB"/>
        </w:rPr>
        <w:t xml:space="preserve">Reiner, R (2013) ‘Who governs? Democracy, plutocracy, science and prophecy in policing.’ </w:t>
      </w:r>
      <w:r w:rsidRPr="00FE029B">
        <w:rPr>
          <w:i/>
          <w:color w:val="000000" w:themeColor="text1"/>
          <w:lang w:val="en-GB"/>
        </w:rPr>
        <w:t>Criminology and Criminal Justice.</w:t>
      </w:r>
      <w:r w:rsidRPr="00FE029B">
        <w:rPr>
          <w:color w:val="000000" w:themeColor="text1"/>
          <w:lang w:val="en-GB"/>
        </w:rPr>
        <w:t xml:space="preserve"> 13 (2). 161-180.</w:t>
      </w:r>
    </w:p>
    <w:p w14:paraId="6FC82906" w14:textId="77777777" w:rsidR="00E87127" w:rsidRDefault="00E87127" w:rsidP="00E87127">
      <w:pPr>
        <w:rPr>
          <w:rFonts w:eastAsia="Times New Roman" w:cs="Times New Roman"/>
          <w:color w:val="000000" w:themeColor="text1"/>
          <w:lang w:val="en-GB"/>
        </w:rPr>
      </w:pPr>
      <w:r>
        <w:rPr>
          <w:color w:val="000000" w:themeColor="text1"/>
          <w:lang w:val="en-GB"/>
        </w:rPr>
        <w:t xml:space="preserve">Reiner, R (2010) </w:t>
      </w:r>
      <w:r w:rsidRPr="00FE029B">
        <w:rPr>
          <w:rFonts w:eastAsia="Times New Roman" w:cs="Times New Roman"/>
          <w:i/>
          <w:iCs/>
          <w:color w:val="000000" w:themeColor="text1"/>
          <w:lang w:val="en-GB"/>
        </w:rPr>
        <w:t xml:space="preserve">The Politics of the Police. </w:t>
      </w:r>
      <w:r>
        <w:rPr>
          <w:rFonts w:eastAsia="Times New Roman" w:cs="Times New Roman"/>
          <w:iCs/>
          <w:color w:val="000000" w:themeColor="text1"/>
          <w:lang w:val="en-GB"/>
        </w:rPr>
        <w:t>4</w:t>
      </w:r>
      <w:r w:rsidRPr="001732CE">
        <w:rPr>
          <w:rFonts w:eastAsia="Times New Roman" w:cs="Times New Roman"/>
          <w:iCs/>
          <w:color w:val="000000" w:themeColor="text1"/>
          <w:vertAlign w:val="superscript"/>
          <w:lang w:val="en-GB"/>
        </w:rPr>
        <w:t>th</w:t>
      </w:r>
      <w:r w:rsidRPr="00FE029B">
        <w:rPr>
          <w:rFonts w:eastAsia="Times New Roman" w:cs="Times New Roman"/>
          <w:iCs/>
          <w:color w:val="000000" w:themeColor="text1"/>
          <w:lang w:val="en-GB"/>
        </w:rPr>
        <w:t xml:space="preserve"> edn.</w:t>
      </w:r>
      <w:r w:rsidRPr="00FE029B">
        <w:rPr>
          <w:rFonts w:eastAsia="Times New Roman" w:cs="Times New Roman"/>
          <w:color w:val="000000" w:themeColor="text1"/>
          <w:lang w:val="en-GB"/>
        </w:rPr>
        <w:t xml:space="preserve"> Oxford. Oxford University Press.</w:t>
      </w:r>
    </w:p>
    <w:p w14:paraId="6CDAB3A1" w14:textId="77777777" w:rsidR="00E87127" w:rsidRPr="00C2333B" w:rsidRDefault="00E87127" w:rsidP="00E87127">
      <w:r w:rsidRPr="00C2333B">
        <w:t xml:space="preserve">Ritchie, J and Spencer, L (1994) ‘Qualitative data analysis for applied policy research.’ In Bryman, A and Burgess, R (eds) (1994) </w:t>
      </w:r>
      <w:r w:rsidRPr="00C2333B">
        <w:rPr>
          <w:i/>
        </w:rPr>
        <w:t>Analysing Qualitative Data</w:t>
      </w:r>
      <w:r w:rsidRPr="00C2333B">
        <w:t>. London. Routledge. 188-209.</w:t>
      </w:r>
    </w:p>
    <w:p w14:paraId="1D2A096C" w14:textId="77777777" w:rsidR="00E87127" w:rsidRDefault="00E87127" w:rsidP="00E87127">
      <w:pPr>
        <w:rPr>
          <w:lang w:val="en-GB"/>
        </w:rPr>
      </w:pPr>
      <w:r w:rsidRPr="00FE029B">
        <w:rPr>
          <w:color w:val="000000" w:themeColor="text1"/>
          <w:lang w:val="en-GB"/>
        </w:rPr>
        <w:t xml:space="preserve">Robinson, J. A. (1981) </w:t>
      </w:r>
      <w:r>
        <w:rPr>
          <w:color w:val="000000" w:themeColor="text1"/>
          <w:lang w:val="en-GB"/>
        </w:rPr>
        <w:t>‘</w:t>
      </w:r>
      <w:r w:rsidRPr="00FE029B">
        <w:rPr>
          <w:color w:val="000000" w:themeColor="text1"/>
          <w:lang w:val="en-GB"/>
        </w:rPr>
        <w:t>Personal Narratives Reconsidered.</w:t>
      </w:r>
      <w:r>
        <w:rPr>
          <w:color w:val="000000" w:themeColor="text1"/>
          <w:lang w:val="en-GB"/>
        </w:rPr>
        <w:t>’</w:t>
      </w:r>
      <w:r w:rsidRPr="00FE029B">
        <w:rPr>
          <w:color w:val="000000" w:themeColor="text1"/>
          <w:lang w:val="en-GB"/>
        </w:rPr>
        <w:t xml:space="preserve"> </w:t>
      </w:r>
      <w:r w:rsidRPr="00FE029B">
        <w:rPr>
          <w:i/>
          <w:color w:val="000000" w:themeColor="text1"/>
          <w:lang w:val="en-GB"/>
        </w:rPr>
        <w:t>Journal of American Folklore.</w:t>
      </w:r>
      <w:r w:rsidRPr="00FE029B">
        <w:rPr>
          <w:color w:val="000000" w:themeColor="text1"/>
          <w:lang w:val="en-GB"/>
        </w:rPr>
        <w:t xml:space="preserve"> 94 </w:t>
      </w:r>
      <w:r w:rsidRPr="00FE029B">
        <w:rPr>
          <w:lang w:val="en-GB"/>
        </w:rPr>
        <w:t>(371). 58-85.</w:t>
      </w:r>
    </w:p>
    <w:p w14:paraId="70B8374B" w14:textId="77777777" w:rsidR="00E87127" w:rsidRPr="00FE55DA" w:rsidRDefault="00E87127" w:rsidP="00E87127">
      <w:r w:rsidRPr="00FE55DA">
        <w:t xml:space="preserve">Sandberg, S, Tutenges, S, and Copes, H. (2015) ‘Stories of Violence: A Narrative Criminological Study of Ambiguity.’ </w:t>
      </w:r>
      <w:r w:rsidRPr="00FE55DA">
        <w:rPr>
          <w:i/>
        </w:rPr>
        <w:t>British Journal of Criminology</w:t>
      </w:r>
      <w:r w:rsidRPr="00FE55DA">
        <w:t>. 55. 1168-1186</w:t>
      </w:r>
    </w:p>
    <w:p w14:paraId="662E27E3" w14:textId="77777777" w:rsidR="00E87127" w:rsidRPr="00FE029B" w:rsidRDefault="00E87127" w:rsidP="00E87127">
      <w:pPr>
        <w:rPr>
          <w:rFonts w:cs="Georgia"/>
          <w:color w:val="262626"/>
        </w:rPr>
      </w:pPr>
      <w:r w:rsidRPr="00FE029B">
        <w:rPr>
          <w:rFonts w:cs="Helvetica"/>
          <w:color w:val="414141"/>
        </w:rPr>
        <w:t xml:space="preserve">Sandberg, S. (2013) </w:t>
      </w:r>
      <w:r>
        <w:rPr>
          <w:rFonts w:cs="Helvetica"/>
          <w:color w:val="414141"/>
        </w:rPr>
        <w:t>‘</w:t>
      </w:r>
      <w:r w:rsidRPr="00FE029B">
        <w:rPr>
          <w:rFonts w:cs="Georgia"/>
          <w:color w:val="262626"/>
        </w:rPr>
        <w:t>Are self-</w:t>
      </w:r>
      <w:r w:rsidRPr="00FE029B">
        <w:rPr>
          <w:rFonts w:cs="Georgia"/>
          <w:bCs/>
          <w:color w:val="262626"/>
        </w:rPr>
        <w:t>narratives</w:t>
      </w:r>
      <w:r w:rsidRPr="00FE029B">
        <w:rPr>
          <w:rFonts w:cs="Georgia"/>
          <w:color w:val="262626"/>
        </w:rPr>
        <w:t xml:space="preserve"> strategic or determined, unified or fragmented? Reading Breivik’s Manifesto in light of </w:t>
      </w:r>
      <w:r w:rsidRPr="00FE029B">
        <w:rPr>
          <w:rFonts w:cs="Georgia"/>
          <w:bCs/>
          <w:color w:val="262626"/>
        </w:rPr>
        <w:t>narrative</w:t>
      </w:r>
      <w:r w:rsidRPr="00FE029B">
        <w:rPr>
          <w:rFonts w:cs="Georgia"/>
          <w:color w:val="262626"/>
        </w:rPr>
        <w:t xml:space="preserve"> </w:t>
      </w:r>
      <w:r w:rsidRPr="00FE029B">
        <w:rPr>
          <w:rFonts w:cs="Georgia"/>
          <w:bCs/>
          <w:color w:val="262626"/>
        </w:rPr>
        <w:t>criminology</w:t>
      </w:r>
      <w:r w:rsidRPr="00FE029B">
        <w:rPr>
          <w:rFonts w:cs="Georgia"/>
          <w:color w:val="262626"/>
        </w:rPr>
        <w:t>.</w:t>
      </w:r>
      <w:r>
        <w:rPr>
          <w:rFonts w:cs="Georgia"/>
          <w:color w:val="262626"/>
        </w:rPr>
        <w:t>’</w:t>
      </w:r>
      <w:r w:rsidRPr="00FE029B">
        <w:rPr>
          <w:rFonts w:cs="Georgia"/>
          <w:color w:val="262626"/>
        </w:rPr>
        <w:t xml:space="preserve"> </w:t>
      </w:r>
      <w:r w:rsidRPr="00FE029B">
        <w:rPr>
          <w:rFonts w:cs="Helvetica"/>
          <w:i/>
          <w:color w:val="414141"/>
        </w:rPr>
        <w:t>Acta Sociologica.</w:t>
      </w:r>
      <w:r w:rsidRPr="00FE029B">
        <w:rPr>
          <w:rFonts w:cs="Helvetica"/>
          <w:color w:val="414141"/>
        </w:rPr>
        <w:t xml:space="preserve"> 56. (1) 69-83. </w:t>
      </w:r>
    </w:p>
    <w:p w14:paraId="13BD222F" w14:textId="77777777" w:rsidR="00E87127" w:rsidRPr="00FE029B" w:rsidRDefault="00E87127" w:rsidP="00E87127">
      <w:pPr>
        <w:rPr>
          <w:rFonts w:cs="Helvetica"/>
          <w:color w:val="414141"/>
        </w:rPr>
      </w:pPr>
      <w:r w:rsidRPr="00FE029B">
        <w:rPr>
          <w:rFonts w:cs="Helvetica"/>
          <w:color w:val="414141"/>
        </w:rPr>
        <w:t>Sandberg, S. (2010) ‘</w:t>
      </w:r>
      <w:r w:rsidRPr="00FE029B">
        <w:rPr>
          <w:rFonts w:cs="Georgia"/>
          <w:color w:val="262626"/>
        </w:rPr>
        <w:t xml:space="preserve">What can 'Lies' Tell Us about Life? Notes towards a Framework of </w:t>
      </w:r>
      <w:r w:rsidRPr="00FE029B">
        <w:rPr>
          <w:rFonts w:cs="Georgia"/>
          <w:bCs/>
          <w:color w:val="262626"/>
        </w:rPr>
        <w:t>Narrative</w:t>
      </w:r>
      <w:r w:rsidRPr="00FE029B">
        <w:rPr>
          <w:rFonts w:cs="Georgia"/>
          <w:color w:val="262626"/>
        </w:rPr>
        <w:t xml:space="preserve"> </w:t>
      </w:r>
      <w:r w:rsidRPr="00FE029B">
        <w:rPr>
          <w:rFonts w:cs="Georgia"/>
          <w:bCs/>
          <w:color w:val="262626"/>
        </w:rPr>
        <w:t>Criminology</w:t>
      </w:r>
      <w:r w:rsidRPr="00FE029B">
        <w:rPr>
          <w:rFonts w:cs="Georgia"/>
          <w:color w:val="262626"/>
        </w:rPr>
        <w:t xml:space="preserve">.’ </w:t>
      </w:r>
      <w:r w:rsidRPr="00FE029B">
        <w:rPr>
          <w:rFonts w:cs="Helvetica"/>
          <w:i/>
          <w:iCs/>
          <w:color w:val="414141"/>
        </w:rPr>
        <w:t xml:space="preserve">Journal of Criminal Justice Education. </w:t>
      </w:r>
      <w:r w:rsidRPr="00FE029B">
        <w:rPr>
          <w:rFonts w:cs="Helvetica"/>
          <w:color w:val="414141"/>
        </w:rPr>
        <w:t>21 (4). 447-465.</w:t>
      </w:r>
    </w:p>
    <w:p w14:paraId="59D51C12" w14:textId="77777777" w:rsidR="00E87127" w:rsidRPr="00FE029B" w:rsidRDefault="00E87127" w:rsidP="00E87127">
      <w:pPr>
        <w:rPr>
          <w:lang w:val="en-GB"/>
        </w:rPr>
      </w:pPr>
      <w:r w:rsidRPr="00FE029B">
        <w:rPr>
          <w:lang w:val="en-GB"/>
        </w:rPr>
        <w:t xml:space="preserve">Savage, S (2013) ‘Thinking Independence: Calling the Police to Account through the Independent Investigation of Police Complaints.’ </w:t>
      </w:r>
      <w:r w:rsidRPr="00FE029B">
        <w:rPr>
          <w:i/>
          <w:lang w:val="en-GB"/>
        </w:rPr>
        <w:t>British Journal of Criminology</w:t>
      </w:r>
      <w:r w:rsidRPr="00FE029B">
        <w:rPr>
          <w:lang w:val="en-GB"/>
        </w:rPr>
        <w:t>. 53 (1). 94-112.</w:t>
      </w:r>
    </w:p>
    <w:p w14:paraId="5FA2C4D1" w14:textId="77777777" w:rsidR="00E87127" w:rsidRPr="00FE029B" w:rsidRDefault="00E87127" w:rsidP="00E87127">
      <w:pPr>
        <w:spacing w:line="240" w:lineRule="auto"/>
        <w:jc w:val="both"/>
        <w:rPr>
          <w:color w:val="000000" w:themeColor="text1"/>
          <w:lang w:val="en-GB"/>
        </w:rPr>
      </w:pPr>
      <w:r w:rsidRPr="00FE029B">
        <w:rPr>
          <w:color w:val="000000" w:themeColor="text1"/>
          <w:lang w:val="en-GB"/>
        </w:rPr>
        <w:t xml:space="preserve">Scraton, P (2006) ‘”They’d all love me dead…” Implications of the Death of Annie Kelly.’ </w:t>
      </w:r>
      <w:r w:rsidRPr="00FE029B">
        <w:rPr>
          <w:i/>
          <w:color w:val="000000" w:themeColor="text1"/>
          <w:lang w:val="en-GB"/>
        </w:rPr>
        <w:t>Social Justice</w:t>
      </w:r>
      <w:r w:rsidRPr="00FE029B">
        <w:rPr>
          <w:color w:val="000000" w:themeColor="text1"/>
          <w:lang w:val="en-GB"/>
        </w:rPr>
        <w:t xml:space="preserve">. 33 (4). 118-135. </w:t>
      </w:r>
    </w:p>
    <w:p w14:paraId="02655D72" w14:textId="77777777" w:rsidR="00E87127" w:rsidRPr="00FE029B" w:rsidRDefault="00E87127" w:rsidP="00E87127">
      <w:pPr>
        <w:jc w:val="both"/>
        <w:rPr>
          <w:rFonts w:cs="Times New Roman"/>
          <w:lang w:val="en-GB"/>
        </w:rPr>
      </w:pPr>
      <w:r w:rsidRPr="00FE029B">
        <w:rPr>
          <w:rFonts w:cs="Times New Roman"/>
          <w:lang w:val="en-GB"/>
        </w:rPr>
        <w:t xml:space="preserve">Scott, V (2012) ‘Cut the Cow, Cut the Queen.’ </w:t>
      </w:r>
      <w:r w:rsidRPr="00FE029B">
        <w:rPr>
          <w:rFonts w:cs="Times New Roman"/>
          <w:i/>
          <w:lang w:val="en-GB"/>
        </w:rPr>
        <w:t>Theatre History Studies</w:t>
      </w:r>
      <w:r w:rsidRPr="00FE029B">
        <w:rPr>
          <w:rFonts w:cs="Times New Roman"/>
          <w:lang w:val="en-GB"/>
        </w:rPr>
        <w:t xml:space="preserve">. 32 (1). 16-32. </w:t>
      </w:r>
    </w:p>
    <w:p w14:paraId="05BE97E3" w14:textId="77777777" w:rsidR="00E87127" w:rsidRPr="00FE029B" w:rsidRDefault="00E87127" w:rsidP="00E87127">
      <w:pPr>
        <w:rPr>
          <w:lang w:val="en-GB"/>
        </w:rPr>
      </w:pPr>
      <w:r w:rsidRPr="00FE029B">
        <w:rPr>
          <w:lang w:val="en-GB"/>
        </w:rPr>
        <w:t xml:space="preserve">Shuman, A and Bohmer, C (2004) ‘Representing Trauma: Political Asylum Narrative.’ </w:t>
      </w:r>
      <w:r w:rsidRPr="00FE029B">
        <w:rPr>
          <w:i/>
          <w:lang w:val="en-GB"/>
        </w:rPr>
        <w:t>Journal of American Folklore</w:t>
      </w:r>
      <w:r w:rsidRPr="00FE029B">
        <w:rPr>
          <w:lang w:val="en-GB"/>
        </w:rPr>
        <w:t>. 117 (466). 394-414</w:t>
      </w:r>
    </w:p>
    <w:p w14:paraId="7BD59F27" w14:textId="7BE285E7" w:rsidR="00E87127" w:rsidRPr="00FE029B" w:rsidRDefault="00E87127" w:rsidP="00E87127">
      <w:pPr>
        <w:rPr>
          <w:lang w:val="en-GB"/>
        </w:rPr>
      </w:pPr>
      <w:r w:rsidRPr="00FE029B">
        <w:rPr>
          <w:lang w:val="en-GB"/>
        </w:rPr>
        <w:t xml:space="preserve">Sim, J and Tombs, S (2009) ‘State Talk, State Silence: Work and ‘Violence’ in the UK.’ In: Panitch, Leo and Leys, Colin (eds) </w:t>
      </w:r>
      <w:r w:rsidRPr="00FE029B">
        <w:rPr>
          <w:i/>
          <w:iCs/>
          <w:lang w:val="en-GB"/>
        </w:rPr>
        <w:t>Violence Today: Actually Existing Barbarism.</w:t>
      </w:r>
      <w:r w:rsidR="00FD42E7">
        <w:rPr>
          <w:lang w:val="en-GB"/>
        </w:rPr>
        <w:t xml:space="preserve"> </w:t>
      </w:r>
      <w:r w:rsidRPr="00FE029B">
        <w:rPr>
          <w:lang w:val="en-GB"/>
        </w:rPr>
        <w:t>London. The Merlin Press. 88–104.</w:t>
      </w:r>
    </w:p>
    <w:p w14:paraId="4D479B23" w14:textId="77777777" w:rsidR="00E87127" w:rsidRPr="00FE029B" w:rsidRDefault="00E87127" w:rsidP="00E87127">
      <w:pPr>
        <w:jc w:val="both"/>
        <w:rPr>
          <w:rFonts w:cs="Times New Roman"/>
          <w:lang w:val="en-GB"/>
        </w:rPr>
      </w:pPr>
      <w:r w:rsidRPr="00FE029B">
        <w:rPr>
          <w:rFonts w:cs="Times New Roman"/>
          <w:lang w:val="en-GB"/>
        </w:rPr>
        <w:t xml:space="preserve">Sim, J (2004) ‘The victimised state and the mystification of social harm.’ In Hillyard, P, Pantazis, C, Tombs, S and Gordon, D (eds) </w:t>
      </w:r>
      <w:r w:rsidRPr="00FE029B">
        <w:rPr>
          <w:rFonts w:cs="Times New Roman"/>
          <w:i/>
          <w:lang w:val="en-GB"/>
        </w:rPr>
        <w:t>Beyond Criminology: Taking Harm Seriously</w:t>
      </w:r>
      <w:r w:rsidRPr="00FE029B">
        <w:rPr>
          <w:rFonts w:cs="Times New Roman"/>
          <w:lang w:val="en-GB"/>
        </w:rPr>
        <w:t>. London: Pluto. pp. 113-132.</w:t>
      </w:r>
    </w:p>
    <w:p w14:paraId="4F1761B5" w14:textId="77777777" w:rsidR="00E87127" w:rsidRPr="00FE029B" w:rsidRDefault="00E87127" w:rsidP="00E87127">
      <w:pPr>
        <w:spacing w:line="240" w:lineRule="auto"/>
        <w:jc w:val="both"/>
        <w:rPr>
          <w:color w:val="000000" w:themeColor="text1"/>
          <w:lang w:val="en-GB"/>
        </w:rPr>
      </w:pPr>
      <w:r w:rsidRPr="00FE029B">
        <w:rPr>
          <w:color w:val="000000" w:themeColor="text1"/>
          <w:lang w:val="en-GB"/>
        </w:rPr>
        <w:t xml:space="preserve">Shaw, H &amp; Coles, D (2007) </w:t>
      </w:r>
      <w:r w:rsidRPr="00FE029B">
        <w:rPr>
          <w:i/>
          <w:color w:val="000000" w:themeColor="text1"/>
          <w:lang w:val="en-GB"/>
        </w:rPr>
        <w:t>Unlocking the Truth: Families’ Experiences of the Investigation of Deaths in Custody.</w:t>
      </w:r>
      <w:r w:rsidRPr="00FE029B">
        <w:rPr>
          <w:color w:val="000000" w:themeColor="text1"/>
          <w:lang w:val="en-GB"/>
        </w:rPr>
        <w:t xml:space="preserve"> London: Inquest.</w:t>
      </w:r>
    </w:p>
    <w:p w14:paraId="4F0C4E58" w14:textId="77777777" w:rsidR="00E87127" w:rsidRDefault="00E87127" w:rsidP="00E87127">
      <w:pPr>
        <w:spacing w:after="0" w:line="240" w:lineRule="auto"/>
        <w:rPr>
          <w:rFonts w:eastAsia="Times New Roman" w:cs="Times New Roman"/>
          <w:lang w:val="en-GB"/>
        </w:rPr>
      </w:pPr>
      <w:r w:rsidRPr="00FE029B">
        <w:rPr>
          <w:rFonts w:eastAsia="Times New Roman" w:cs="Times New Roman"/>
          <w:lang w:val="en-GB"/>
        </w:rPr>
        <w:t xml:space="preserve">Smith, G (2009) ‘Why Don’t More People Complain Against the Police?’ </w:t>
      </w:r>
      <w:r w:rsidRPr="00FE029B">
        <w:rPr>
          <w:rFonts w:eastAsia="Times New Roman" w:cs="Times New Roman"/>
          <w:i/>
          <w:iCs/>
          <w:lang w:val="en-GB"/>
        </w:rPr>
        <w:t xml:space="preserve">European Journal of Criminology. </w:t>
      </w:r>
      <w:r w:rsidRPr="00FE029B">
        <w:rPr>
          <w:rFonts w:eastAsia="Times New Roman" w:cs="Times New Roman"/>
          <w:lang w:val="en-GB"/>
        </w:rPr>
        <w:t>6 (3). 249-266.</w:t>
      </w:r>
    </w:p>
    <w:p w14:paraId="26266DE5" w14:textId="77777777" w:rsidR="00E87127" w:rsidRPr="001732CE" w:rsidRDefault="00E87127" w:rsidP="00E87127">
      <w:pPr>
        <w:spacing w:after="0" w:line="240" w:lineRule="auto"/>
        <w:rPr>
          <w:rFonts w:eastAsia="Times New Roman" w:cs="Times New Roman"/>
          <w:lang w:val="en-GB"/>
        </w:rPr>
      </w:pPr>
    </w:p>
    <w:p w14:paraId="2B52C18F" w14:textId="77777777" w:rsidR="00E87127" w:rsidRPr="00FE029B" w:rsidRDefault="00E87127" w:rsidP="00E87127">
      <w:pPr>
        <w:spacing w:line="240" w:lineRule="auto"/>
        <w:jc w:val="both"/>
        <w:rPr>
          <w:color w:val="000000" w:themeColor="text1"/>
          <w:lang w:val="en-GB"/>
        </w:rPr>
      </w:pPr>
      <w:r w:rsidRPr="00FE029B">
        <w:rPr>
          <w:color w:val="000000" w:themeColor="text1"/>
          <w:lang w:val="en-GB"/>
        </w:rPr>
        <w:t xml:space="preserve">Smith, J (2003) </w:t>
      </w:r>
      <w:r w:rsidRPr="00FE029B">
        <w:rPr>
          <w:i/>
          <w:color w:val="000000" w:themeColor="text1"/>
          <w:lang w:val="en-GB"/>
        </w:rPr>
        <w:t>The Shipman Inquiry (Third Report): Death Certification and the Investigation of Deaths by Coroners.</w:t>
      </w:r>
      <w:r w:rsidRPr="00FE029B">
        <w:rPr>
          <w:color w:val="000000" w:themeColor="text1"/>
          <w:lang w:val="en-GB"/>
        </w:rPr>
        <w:t xml:space="preserve"> London: TSO. </w:t>
      </w:r>
    </w:p>
    <w:p w14:paraId="20D85CD9" w14:textId="77777777" w:rsidR="00E87127" w:rsidRPr="00FE029B" w:rsidRDefault="00E87127" w:rsidP="00E87127">
      <w:pPr>
        <w:rPr>
          <w:lang w:val="en-GB"/>
        </w:rPr>
      </w:pPr>
      <w:r w:rsidRPr="00FE029B">
        <w:rPr>
          <w:lang w:val="en-GB"/>
        </w:rPr>
        <w:t xml:space="preserve">Spottswood, M (2013) ‘The Hidden Structure of Fact-Finding.’ </w:t>
      </w:r>
      <w:r w:rsidRPr="00FE029B">
        <w:rPr>
          <w:i/>
          <w:lang w:val="en-GB"/>
        </w:rPr>
        <w:t>Case Western Reserve Law Review</w:t>
      </w:r>
      <w:r w:rsidRPr="00FE029B">
        <w:rPr>
          <w:lang w:val="en-GB"/>
        </w:rPr>
        <w:t>. 64 (1). 131-200.</w:t>
      </w:r>
    </w:p>
    <w:p w14:paraId="276EB8C4" w14:textId="77777777" w:rsidR="00E87127" w:rsidRPr="00FE029B" w:rsidRDefault="00E87127" w:rsidP="00E87127">
      <w:pPr>
        <w:rPr>
          <w:lang w:val="en-GB"/>
        </w:rPr>
      </w:pPr>
      <w:r w:rsidRPr="00FE029B">
        <w:rPr>
          <w:lang w:val="en-GB"/>
        </w:rPr>
        <w:t xml:space="preserve">Sullivan, P and McCarthy, J. (2008) ‘Managing the Polyphonic Sounds of Organizational Truths.’ </w:t>
      </w:r>
      <w:r w:rsidRPr="00FE029B">
        <w:rPr>
          <w:i/>
          <w:lang w:val="en-GB"/>
        </w:rPr>
        <w:t>Organization Studies.</w:t>
      </w:r>
      <w:r w:rsidRPr="00FE029B">
        <w:rPr>
          <w:lang w:val="en-GB"/>
        </w:rPr>
        <w:t xml:space="preserve"> 29 (4). 525-542.</w:t>
      </w:r>
    </w:p>
    <w:p w14:paraId="5DB2F910" w14:textId="77777777" w:rsidR="00E87127" w:rsidRPr="00FE029B" w:rsidRDefault="00E87127" w:rsidP="00E87127">
      <w:pPr>
        <w:widowControl w:val="0"/>
        <w:autoSpaceDE w:val="0"/>
        <w:autoSpaceDN w:val="0"/>
        <w:adjustRightInd w:val="0"/>
        <w:spacing w:after="240" w:line="240" w:lineRule="auto"/>
        <w:rPr>
          <w:rFonts w:cs="Times"/>
        </w:rPr>
      </w:pPr>
      <w:r w:rsidRPr="00FE029B">
        <w:rPr>
          <w:rFonts w:cs="Times"/>
        </w:rPr>
        <w:t>Taliaferro, C (1996) ‘Philosophy of Religion’ in Bunnin, N an</w:t>
      </w:r>
      <w:r>
        <w:rPr>
          <w:rFonts w:cs="Times"/>
        </w:rPr>
        <w:t xml:space="preserve">d Tsui-James, E. P (eds) </w:t>
      </w:r>
      <w:r w:rsidRPr="00D71A11">
        <w:rPr>
          <w:rFonts w:cs="Times"/>
          <w:i/>
        </w:rPr>
        <w:t xml:space="preserve">The Blackwell Companion to Philosophy. </w:t>
      </w:r>
      <w:r w:rsidRPr="00FE029B">
        <w:rPr>
          <w:rFonts w:cs="Times"/>
        </w:rPr>
        <w:t>Oxford. Blackwell. 443-481.</w:t>
      </w:r>
      <w:r w:rsidRPr="00FE029B">
        <w:rPr>
          <w:rFonts w:ascii="MS Mincho" w:eastAsia="MS Mincho" w:hAnsi="MS Mincho" w:cs="MS Mincho"/>
        </w:rPr>
        <w:t> </w:t>
      </w:r>
    </w:p>
    <w:p w14:paraId="3609CE0E" w14:textId="77777777" w:rsidR="00E87127" w:rsidRPr="00FE029B" w:rsidRDefault="00E87127" w:rsidP="00E87127">
      <w:pPr>
        <w:spacing w:line="240" w:lineRule="auto"/>
        <w:jc w:val="both"/>
        <w:rPr>
          <w:rFonts w:eastAsia="Calibri"/>
          <w:color w:val="000000" w:themeColor="text1"/>
          <w:lang w:val="en-GB"/>
        </w:rPr>
      </w:pPr>
      <w:r w:rsidRPr="00FE029B">
        <w:rPr>
          <w:color w:val="000000" w:themeColor="text1"/>
          <w:lang w:val="en-GB"/>
        </w:rPr>
        <w:t xml:space="preserve">Tarling, R </w:t>
      </w:r>
      <w:r w:rsidRPr="00FE029B">
        <w:rPr>
          <w:rFonts w:eastAsia="Calibri"/>
          <w:color w:val="000000" w:themeColor="text1"/>
          <w:lang w:val="en-GB"/>
        </w:rPr>
        <w:t xml:space="preserve">(1998) </w:t>
      </w:r>
      <w:r w:rsidRPr="00FE029B">
        <w:rPr>
          <w:rFonts w:eastAsia="Calibri"/>
          <w:i/>
          <w:color w:val="000000" w:themeColor="text1"/>
          <w:lang w:val="en-GB"/>
        </w:rPr>
        <w:t>Coroner Service Survey. Home Office Research Study 181.</w:t>
      </w:r>
      <w:r w:rsidRPr="00FE029B">
        <w:rPr>
          <w:rFonts w:eastAsia="Calibri"/>
          <w:color w:val="000000" w:themeColor="text1"/>
          <w:lang w:val="en-GB"/>
        </w:rPr>
        <w:t xml:space="preserve"> London: Home Office.</w:t>
      </w:r>
    </w:p>
    <w:p w14:paraId="3132B080" w14:textId="77777777" w:rsidR="00E87127" w:rsidRPr="00FE029B" w:rsidRDefault="00E87127" w:rsidP="00E87127">
      <w:pPr>
        <w:rPr>
          <w:lang w:val="en-GB"/>
        </w:rPr>
      </w:pPr>
      <w:r w:rsidRPr="00FE029B">
        <w:rPr>
          <w:lang w:val="en-GB"/>
        </w:rPr>
        <w:t xml:space="preserve">Taylor, C (2016) </w:t>
      </w:r>
      <w:r w:rsidRPr="00FE029B">
        <w:rPr>
          <w:i/>
          <w:lang w:val="en-GB"/>
        </w:rPr>
        <w:t>The Language Animal: The Full Shape of the Human Linguistic Capacity.</w:t>
      </w:r>
      <w:r w:rsidRPr="00FE029B">
        <w:rPr>
          <w:lang w:val="en-GB"/>
        </w:rPr>
        <w:t xml:space="preserve"> London. Harvard University Press.</w:t>
      </w:r>
    </w:p>
    <w:p w14:paraId="00A9E7EF" w14:textId="77777777" w:rsidR="00E87127" w:rsidRPr="00FE029B" w:rsidRDefault="00E87127" w:rsidP="00E87127">
      <w:pPr>
        <w:spacing w:line="240" w:lineRule="auto"/>
        <w:jc w:val="both"/>
        <w:rPr>
          <w:color w:val="000000" w:themeColor="text1"/>
          <w:lang w:val="en-GB"/>
        </w:rPr>
      </w:pPr>
      <w:r w:rsidRPr="00FE029B">
        <w:rPr>
          <w:color w:val="000000" w:themeColor="text1"/>
          <w:lang w:val="en-GB"/>
        </w:rPr>
        <w:t xml:space="preserve">Thomas, L. Straw, A, &amp; Friedman, D (2008) </w:t>
      </w:r>
      <w:r w:rsidRPr="00FE029B">
        <w:rPr>
          <w:i/>
          <w:color w:val="000000" w:themeColor="text1"/>
          <w:lang w:val="en-GB"/>
        </w:rPr>
        <w:t>Inquests: a practitioner’s guide</w:t>
      </w:r>
      <w:r w:rsidRPr="00FE029B">
        <w:rPr>
          <w:color w:val="000000" w:themeColor="text1"/>
          <w:lang w:val="en-GB"/>
        </w:rPr>
        <w:t>, 2</w:t>
      </w:r>
      <w:r w:rsidRPr="00FE029B">
        <w:rPr>
          <w:color w:val="000000" w:themeColor="text1"/>
          <w:vertAlign w:val="superscript"/>
          <w:lang w:val="en-GB"/>
        </w:rPr>
        <w:t>nd</w:t>
      </w:r>
      <w:r w:rsidRPr="00FE029B">
        <w:rPr>
          <w:color w:val="000000" w:themeColor="text1"/>
          <w:lang w:val="en-GB"/>
        </w:rPr>
        <w:t xml:space="preserve"> edn. London: Legal Action Group.</w:t>
      </w:r>
    </w:p>
    <w:p w14:paraId="11336F9A" w14:textId="77777777" w:rsidR="00E87127" w:rsidRPr="00FE029B" w:rsidRDefault="00E87127" w:rsidP="00E87127">
      <w:pPr>
        <w:rPr>
          <w:lang w:val="en-GB"/>
        </w:rPr>
      </w:pPr>
      <w:r w:rsidRPr="00FE029B">
        <w:rPr>
          <w:lang w:val="en-GB"/>
        </w:rPr>
        <w:t xml:space="preserve">Todorov, T and Weinstein, A (1969) ‘Structural Analysis of Narrative.’ </w:t>
      </w:r>
      <w:r w:rsidRPr="00FE029B">
        <w:rPr>
          <w:i/>
          <w:lang w:val="en-GB"/>
        </w:rPr>
        <w:t>NOVEL:  A Forum on Fiction</w:t>
      </w:r>
      <w:r w:rsidRPr="00FE029B">
        <w:rPr>
          <w:lang w:val="en-GB"/>
        </w:rPr>
        <w:t xml:space="preserve">. 3 (1). 70-76. </w:t>
      </w:r>
    </w:p>
    <w:p w14:paraId="7D4D2E20" w14:textId="77777777" w:rsidR="00E87127" w:rsidRPr="00FE029B" w:rsidRDefault="00E87127" w:rsidP="00E87127">
      <w:r w:rsidRPr="00FE029B">
        <w:t xml:space="preserve">Van Dijk, T. A. (1975) ‘Action, Action Description, and Narrative.’ </w:t>
      </w:r>
      <w:r w:rsidRPr="00FE029B">
        <w:rPr>
          <w:i/>
        </w:rPr>
        <w:t>New Literary History</w:t>
      </w:r>
      <w:r w:rsidRPr="00FE029B">
        <w:t xml:space="preserve">. 6. 273-294. </w:t>
      </w:r>
    </w:p>
    <w:p w14:paraId="14EF7C66" w14:textId="77777777" w:rsidR="00E87127" w:rsidRDefault="00E87127" w:rsidP="00E87127">
      <w:pPr>
        <w:spacing w:line="240" w:lineRule="auto"/>
        <w:jc w:val="both"/>
        <w:rPr>
          <w:rFonts w:cs="Calibri"/>
          <w:color w:val="000000" w:themeColor="text1"/>
          <w:lang w:val="en-GB"/>
        </w:rPr>
      </w:pPr>
      <w:r w:rsidRPr="00FE029B">
        <w:rPr>
          <w:rFonts w:cs="Calibri"/>
          <w:color w:val="000000" w:themeColor="text1"/>
          <w:lang w:val="en-GB"/>
        </w:rPr>
        <w:t xml:space="preserve">Widdicombe, K (2012) ‘How...The Deceased Came By His Death.’ In McDougall, I (ed) </w:t>
      </w:r>
      <w:r w:rsidRPr="00FE029B">
        <w:rPr>
          <w:rFonts w:cs="Calibri"/>
          <w:i/>
          <w:color w:val="000000" w:themeColor="text1"/>
          <w:lang w:val="en-GB"/>
        </w:rPr>
        <w:t>Cases That Changed Our Lives.</w:t>
      </w:r>
      <w:r w:rsidRPr="00FE029B">
        <w:rPr>
          <w:rFonts w:cs="Calibri"/>
          <w:color w:val="000000" w:themeColor="text1"/>
          <w:lang w:val="en-GB"/>
        </w:rPr>
        <w:t xml:space="preserve"> London: Lexis Nexis. 175-181.</w:t>
      </w:r>
    </w:p>
    <w:p w14:paraId="42840D2D" w14:textId="77777777" w:rsidR="00E87127" w:rsidRDefault="00E87127" w:rsidP="00E87127">
      <w:r w:rsidRPr="00767478">
        <w:t xml:space="preserve">Wilson, T. D. (2015) </w:t>
      </w:r>
      <w:r w:rsidRPr="00767478">
        <w:rPr>
          <w:i/>
        </w:rPr>
        <w:t>Redirect: Changing the stories we live by.</w:t>
      </w:r>
      <w:r w:rsidRPr="00767478">
        <w:t xml:space="preserve"> New York. Little Brown. </w:t>
      </w:r>
    </w:p>
    <w:p w14:paraId="5EFA530F" w14:textId="77777777" w:rsidR="00E87127" w:rsidRPr="00E01146" w:rsidRDefault="00E87127" w:rsidP="00E87127">
      <w:r w:rsidRPr="00E01146">
        <w:t xml:space="preserve">Woods, N (2006) </w:t>
      </w:r>
      <w:r w:rsidRPr="00E01146">
        <w:rPr>
          <w:i/>
        </w:rPr>
        <w:t>Describing Discourse: a practical guide to discourse analysis.</w:t>
      </w:r>
      <w:r w:rsidRPr="00E01146">
        <w:t xml:space="preserve"> London: Hodder Arnold.</w:t>
      </w:r>
    </w:p>
    <w:p w14:paraId="44514CE0" w14:textId="49DD1E6C" w:rsidR="00E87127" w:rsidRPr="00FE029B" w:rsidRDefault="00E87127" w:rsidP="00E87127">
      <w:pPr>
        <w:rPr>
          <w:lang w:val="en-GB"/>
        </w:rPr>
      </w:pPr>
      <w:r w:rsidRPr="00FE029B">
        <w:rPr>
          <w:lang w:val="en-GB"/>
        </w:rPr>
        <w:t xml:space="preserve">Youngs, D and Canter, D.V. (2012) ‘Narrative roles in criminal action: An integrative framework for differentiating offenders.’ </w:t>
      </w:r>
      <w:r w:rsidRPr="00FE029B">
        <w:rPr>
          <w:i/>
          <w:lang w:val="en-GB"/>
        </w:rPr>
        <w:t>Legal and Criminological Psychology.</w:t>
      </w:r>
      <w:r w:rsidR="00FD42E7">
        <w:rPr>
          <w:lang w:val="en-GB"/>
        </w:rPr>
        <w:t xml:space="preserve"> 17 (1</w:t>
      </w:r>
      <w:bookmarkStart w:id="0" w:name="_GoBack"/>
      <w:bookmarkEnd w:id="0"/>
      <w:r w:rsidRPr="00FE029B">
        <w:rPr>
          <w:lang w:val="en-GB"/>
        </w:rPr>
        <w:t>). 233-249</w:t>
      </w:r>
    </w:p>
    <w:p w14:paraId="7DFF12D3" w14:textId="77777777" w:rsidR="00E87127" w:rsidRPr="00523EFB" w:rsidRDefault="00E87127" w:rsidP="00E87127">
      <w:pPr>
        <w:spacing w:line="360" w:lineRule="auto"/>
        <w:jc w:val="both"/>
      </w:pPr>
    </w:p>
    <w:p w14:paraId="3D82269B" w14:textId="77777777" w:rsidR="00BA58D4" w:rsidRDefault="00BA58D4"/>
    <w:sectPr w:rsidR="00BA58D4" w:rsidSect="00FD5B09">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8F381" w14:textId="77777777" w:rsidR="00E354A4" w:rsidRDefault="00E354A4" w:rsidP="00E87127">
      <w:pPr>
        <w:spacing w:after="0" w:line="240" w:lineRule="auto"/>
      </w:pPr>
      <w:r>
        <w:separator/>
      </w:r>
    </w:p>
  </w:endnote>
  <w:endnote w:type="continuationSeparator" w:id="0">
    <w:p w14:paraId="775B23B6" w14:textId="77777777" w:rsidR="00E354A4" w:rsidRDefault="00E354A4" w:rsidP="00E8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EFDA1" w14:textId="77777777" w:rsidR="00755F27" w:rsidRDefault="00E354A4" w:rsidP="000204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50A4B" w14:textId="77777777" w:rsidR="00755F27" w:rsidRDefault="00FD42E7" w:rsidP="00755F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24F9" w14:textId="77777777" w:rsidR="00755F27" w:rsidRDefault="00E354A4" w:rsidP="000204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2E7">
      <w:rPr>
        <w:rStyle w:val="PageNumber"/>
        <w:noProof/>
      </w:rPr>
      <w:t>1</w:t>
    </w:r>
    <w:r>
      <w:rPr>
        <w:rStyle w:val="PageNumber"/>
      </w:rPr>
      <w:fldChar w:fldCharType="end"/>
    </w:r>
  </w:p>
  <w:p w14:paraId="50CE35AE" w14:textId="77777777" w:rsidR="00755F27" w:rsidRDefault="00FD42E7" w:rsidP="00755F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9E0F6" w14:textId="77777777" w:rsidR="00E354A4" w:rsidRDefault="00E354A4" w:rsidP="00E87127">
      <w:pPr>
        <w:spacing w:after="0" w:line="240" w:lineRule="auto"/>
      </w:pPr>
      <w:r>
        <w:separator/>
      </w:r>
    </w:p>
  </w:footnote>
  <w:footnote w:type="continuationSeparator" w:id="0">
    <w:p w14:paraId="1D4EE1DD" w14:textId="77777777" w:rsidR="00E354A4" w:rsidRDefault="00E354A4" w:rsidP="00E87127">
      <w:pPr>
        <w:spacing w:after="0" w:line="240" w:lineRule="auto"/>
      </w:pPr>
      <w:r>
        <w:continuationSeparator/>
      </w:r>
    </w:p>
  </w:footnote>
  <w:footnote w:id="1">
    <w:p w14:paraId="783BCBC3" w14:textId="77777777" w:rsidR="00E87127" w:rsidRDefault="00E87127" w:rsidP="00E87127">
      <w:pPr>
        <w:pStyle w:val="FootnoteText"/>
      </w:pPr>
      <w:r>
        <w:rPr>
          <w:rStyle w:val="FootnoteReference"/>
        </w:rPr>
        <w:footnoteRef/>
      </w:r>
      <w:r>
        <w:t xml:space="preserve"> There is insufficient space to list all of these, but common types are ‘suicide’, ‘death by misadventure’, ‘open’, and ‘natural causes’ (see, for example, Ministry of Justice, 2014; Dorries, 2004)</w:t>
      </w:r>
    </w:p>
  </w:footnote>
  <w:footnote w:id="2">
    <w:p w14:paraId="2904FF63" w14:textId="77777777" w:rsidR="00E87127" w:rsidRDefault="00E87127" w:rsidP="00E87127">
      <w:pPr>
        <w:pStyle w:val="FootnoteText"/>
      </w:pPr>
      <w:r>
        <w:rPr>
          <w:rStyle w:val="FootnoteReference"/>
        </w:rPr>
        <w:footnoteRef/>
      </w:r>
      <w:r>
        <w:t xml:space="preserve"> </w:t>
      </w:r>
      <w:r>
        <w:rPr>
          <w:rFonts w:ascii="Calibri" w:hAnsi="Calibri"/>
        </w:rPr>
        <w:t>Medical Examiner</w:t>
      </w:r>
    </w:p>
  </w:footnote>
  <w:footnote w:id="3">
    <w:p w14:paraId="3FC64312" w14:textId="77777777" w:rsidR="00E87127" w:rsidRPr="005057EF" w:rsidRDefault="00E87127" w:rsidP="00E87127">
      <w:pPr>
        <w:pStyle w:val="FootnoteText"/>
        <w:rPr>
          <w:lang w:val="en-GB"/>
        </w:rPr>
      </w:pPr>
      <w:r>
        <w:rPr>
          <w:rStyle w:val="FootnoteReference"/>
        </w:rPr>
        <w:footnoteRef/>
      </w:r>
      <w:r>
        <w:t xml:space="preserve"> </w:t>
      </w:r>
      <w:r>
        <w:rPr>
          <w:lang w:val="en-GB"/>
        </w:rPr>
        <w:t xml:space="preserve">The two contexts not considered here are ‘social base’ and ‘individual context’ (Bauman and Briggs 1990: 68) which relate to the contexts of speech and performance in narrative.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27"/>
    <w:rsid w:val="00BA58D4"/>
    <w:rsid w:val="00E354A4"/>
    <w:rsid w:val="00E87127"/>
    <w:rsid w:val="00FD42E7"/>
    <w:rsid w:val="00FD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6C8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2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7127"/>
    <w:pPr>
      <w:spacing w:after="0" w:line="240" w:lineRule="auto"/>
    </w:pPr>
    <w:rPr>
      <w:sz w:val="20"/>
      <w:szCs w:val="20"/>
    </w:rPr>
  </w:style>
  <w:style w:type="character" w:customStyle="1" w:styleId="FootnoteTextChar">
    <w:name w:val="Footnote Text Char"/>
    <w:basedOn w:val="DefaultParagraphFont"/>
    <w:link w:val="FootnoteText"/>
    <w:uiPriority w:val="99"/>
    <w:rsid w:val="00E87127"/>
    <w:rPr>
      <w:sz w:val="20"/>
      <w:szCs w:val="20"/>
    </w:rPr>
  </w:style>
  <w:style w:type="paragraph" w:styleId="Footer">
    <w:name w:val="footer"/>
    <w:basedOn w:val="Normal"/>
    <w:link w:val="FooterChar"/>
    <w:uiPriority w:val="99"/>
    <w:semiHidden/>
    <w:unhideWhenUsed/>
    <w:rsid w:val="00E871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7127"/>
    <w:rPr>
      <w:sz w:val="22"/>
      <w:szCs w:val="22"/>
    </w:rPr>
  </w:style>
  <w:style w:type="character" w:styleId="FootnoteReference">
    <w:name w:val="footnote reference"/>
    <w:basedOn w:val="DefaultParagraphFont"/>
    <w:uiPriority w:val="99"/>
    <w:unhideWhenUsed/>
    <w:rsid w:val="00E87127"/>
    <w:rPr>
      <w:vertAlign w:val="superscript"/>
    </w:rPr>
  </w:style>
  <w:style w:type="character" w:styleId="PageNumber">
    <w:name w:val="page number"/>
    <w:basedOn w:val="DefaultParagraphFont"/>
    <w:uiPriority w:val="99"/>
    <w:semiHidden/>
    <w:unhideWhenUsed/>
    <w:rsid w:val="00E8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nquest.org.uk/pdf/reports/INQUEST_T2A_report_final.pdf" TargetMode="External"/><Relationship Id="rId12" Type="http://schemas.openxmlformats.org/officeDocument/2006/relationships/hyperlink" Target="https://www.gov.uk/government/uploads/system/uploads/attachment_data/file/525916/coroners-statistics-annual-2015-england-and-wales.pdf" TargetMode="External"/><Relationship Id="rId13" Type="http://schemas.openxmlformats.org/officeDocument/2006/relationships/hyperlink" Target="http://www.legislation.gov.uk/ukpga/2009/25/section/1"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gov.uk/government/publications/chief-coroners-annual-report-2013-to-2014" TargetMode="External"/><Relationship Id="rId7" Type="http://schemas.openxmlformats.org/officeDocument/2006/relationships/hyperlink" Target="http://www.equalityhumanrights.com/publication/inquiry-non-natural-deaths-detention-adults-mental-health-conditions-2010%E2%80%9313" TargetMode="External"/><Relationship Id="rId8" Type="http://schemas.openxmlformats.org/officeDocument/2006/relationships/hyperlink" Target="http://www.echr.coe.int/Documents/Convention_ENG.pdf" TargetMode="External"/><Relationship Id="rId9" Type="http://schemas.openxmlformats.org/officeDocument/2006/relationships/hyperlink" Target="https://www.hrw.org/news/2015/05/20/uk-governments-proposals-regarding-human-rights-act-and-european-court-human-rights" TargetMode="External"/><Relationship Id="rId10" Type="http://schemas.openxmlformats.org/officeDocument/2006/relationships/hyperlink" Target="https://www.ipcc.gov.uk/sites/default/files/Documents/research_stats/Deaths_Report_15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8909</Words>
  <Characters>50787</Characters>
  <Application>Microsoft Macintosh Word</Application>
  <DocSecurity>0</DocSecurity>
  <Lines>423</Lines>
  <Paragraphs>119</Paragraphs>
  <ScaleCrop>false</ScaleCrop>
  <LinksUpToDate>false</LinksUpToDate>
  <CharactersWithSpaces>59577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Baker</dc:creator>
  <cp:keywords/>
  <dc:description/>
  <cp:lastModifiedBy>David Baker</cp:lastModifiedBy>
  <cp:revision>2</cp:revision>
  <dcterms:created xsi:type="dcterms:W3CDTF">2017-02-27T10:21:00Z</dcterms:created>
  <dcterms:modified xsi:type="dcterms:W3CDTF">2017-02-27T10:27:00Z</dcterms:modified>
</cp:coreProperties>
</file>