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62E60" w14:textId="77777777" w:rsidR="00103DDC" w:rsidRPr="005726D8" w:rsidRDefault="00045087" w:rsidP="00090D07">
      <w:pPr>
        <w:spacing w:after="200" w:line="360" w:lineRule="auto"/>
        <w:rPr>
          <w:rFonts w:ascii="Cambria" w:eastAsia="Times New Roman" w:hAnsi="Cambria" w:cs="Times New Roman"/>
          <w:i/>
          <w:color w:val="17365D"/>
          <w:spacing w:val="5"/>
          <w:kern w:val="28"/>
          <w:sz w:val="36"/>
          <w:szCs w:val="52"/>
          <w:lang w:val="en-GB"/>
        </w:rPr>
      </w:pPr>
      <w:r w:rsidRPr="005726D8">
        <w:rPr>
          <w:rFonts w:ascii="Cambria" w:eastAsia="Times New Roman" w:hAnsi="Cambria" w:cs="Times New Roman"/>
          <w:b/>
          <w:color w:val="17365D"/>
          <w:spacing w:val="5"/>
          <w:kern w:val="28"/>
          <w:sz w:val="36"/>
          <w:szCs w:val="52"/>
          <w:lang w:val="en-GB"/>
        </w:rPr>
        <w:t>A</w:t>
      </w:r>
      <w:r w:rsidR="00103DDC" w:rsidRPr="005726D8">
        <w:rPr>
          <w:rFonts w:ascii="Cambria" w:eastAsia="Times New Roman" w:hAnsi="Cambria" w:cs="Times New Roman"/>
          <w:b/>
          <w:color w:val="17365D"/>
          <w:spacing w:val="5"/>
          <w:kern w:val="28"/>
          <w:sz w:val="36"/>
          <w:szCs w:val="52"/>
          <w:lang w:val="en-GB"/>
        </w:rPr>
        <w:t xml:space="preserve">utoantibodies to neutrophil extracellular traps </w:t>
      </w:r>
      <w:r w:rsidRPr="005726D8">
        <w:rPr>
          <w:rFonts w:ascii="Cambria" w:eastAsia="Times New Roman" w:hAnsi="Cambria" w:cs="Times New Roman"/>
          <w:b/>
          <w:color w:val="17365D"/>
          <w:spacing w:val="5"/>
          <w:kern w:val="28"/>
          <w:sz w:val="36"/>
          <w:szCs w:val="52"/>
          <w:lang w:val="en-GB"/>
        </w:rPr>
        <w:t xml:space="preserve">represent a potential serological biomarker </w:t>
      </w:r>
      <w:r w:rsidR="00103DDC" w:rsidRPr="005726D8">
        <w:rPr>
          <w:rFonts w:ascii="Cambria" w:eastAsia="Times New Roman" w:hAnsi="Cambria" w:cs="Times New Roman"/>
          <w:b/>
          <w:color w:val="17365D"/>
          <w:spacing w:val="5"/>
          <w:kern w:val="28"/>
          <w:sz w:val="36"/>
          <w:szCs w:val="52"/>
          <w:lang w:val="en-GB"/>
        </w:rPr>
        <w:t xml:space="preserve">in rheumatoid arthritis </w:t>
      </w:r>
    </w:p>
    <w:p w14:paraId="38CDD6B1" w14:textId="77777777" w:rsidR="00103DDC" w:rsidRPr="005726D8" w:rsidRDefault="00103DDC" w:rsidP="00090D07">
      <w:pPr>
        <w:spacing w:after="200" w:line="360" w:lineRule="auto"/>
        <w:rPr>
          <w:rFonts w:ascii="Calibri" w:eastAsia="Calibri" w:hAnsi="Calibri" w:cs="Times New Roman"/>
          <w:sz w:val="24"/>
          <w:szCs w:val="24"/>
          <w:lang w:val="en-US"/>
        </w:rPr>
      </w:pPr>
    </w:p>
    <w:p w14:paraId="4BB21885" w14:textId="77777777" w:rsidR="00103DDC" w:rsidRPr="005726D8" w:rsidRDefault="00103DDC" w:rsidP="00090D07">
      <w:pPr>
        <w:spacing w:after="200" w:line="360" w:lineRule="auto"/>
        <w:rPr>
          <w:rFonts w:ascii="Calibri" w:eastAsia="Calibri" w:hAnsi="Calibri" w:cs="Times New Roman"/>
          <w:sz w:val="24"/>
          <w:szCs w:val="24"/>
          <w:vertAlign w:val="superscript"/>
        </w:rPr>
      </w:pPr>
      <w:r w:rsidRPr="005726D8">
        <w:rPr>
          <w:rFonts w:ascii="Calibri" w:eastAsia="Calibri" w:hAnsi="Calibri" w:cs="Times New Roman"/>
          <w:sz w:val="24"/>
          <w:szCs w:val="24"/>
        </w:rPr>
        <w:t>Cynthia M de Bont</w:t>
      </w:r>
      <w:r w:rsidRPr="005726D8">
        <w:rPr>
          <w:rFonts w:ascii="Calibri" w:eastAsia="Calibri" w:hAnsi="Calibri" w:cs="Times New Roman"/>
          <w:sz w:val="24"/>
          <w:szCs w:val="24"/>
          <w:vertAlign w:val="superscript"/>
        </w:rPr>
        <w:t>1</w:t>
      </w:r>
      <w:r w:rsidRPr="005726D8">
        <w:rPr>
          <w:rFonts w:ascii="Calibri" w:eastAsia="Calibri" w:hAnsi="Calibri" w:cs="Times New Roman"/>
          <w:sz w:val="24"/>
          <w:szCs w:val="24"/>
        </w:rPr>
        <w:t>, Marloes EM Stokman</w:t>
      </w:r>
      <w:r w:rsidRPr="005726D8">
        <w:rPr>
          <w:rFonts w:ascii="Calibri" w:eastAsia="Calibri" w:hAnsi="Calibri" w:cs="Times New Roman"/>
          <w:sz w:val="24"/>
          <w:szCs w:val="24"/>
          <w:vertAlign w:val="superscript"/>
        </w:rPr>
        <w:t>1</w:t>
      </w:r>
      <w:r w:rsidRPr="005726D8">
        <w:rPr>
          <w:rFonts w:ascii="Calibri" w:eastAsia="Calibri" w:hAnsi="Calibri" w:cs="Times New Roman"/>
          <w:sz w:val="24"/>
          <w:szCs w:val="24"/>
        </w:rPr>
        <w:t>, Priscilla Faas</w:t>
      </w:r>
      <w:r w:rsidRPr="005726D8">
        <w:rPr>
          <w:rFonts w:ascii="Calibri" w:eastAsia="Calibri" w:hAnsi="Calibri" w:cs="Times New Roman"/>
          <w:sz w:val="24"/>
          <w:szCs w:val="24"/>
          <w:vertAlign w:val="superscript"/>
        </w:rPr>
        <w:t>1</w:t>
      </w:r>
      <w:r w:rsidRPr="005726D8">
        <w:rPr>
          <w:rFonts w:ascii="Calibri" w:eastAsia="Calibri" w:hAnsi="Calibri" w:cs="Times New Roman"/>
          <w:sz w:val="24"/>
          <w:szCs w:val="24"/>
        </w:rPr>
        <w:t>, Rogier M Thurlings</w:t>
      </w:r>
      <w:r w:rsidRPr="005726D8">
        <w:rPr>
          <w:rFonts w:ascii="Calibri" w:eastAsia="Calibri" w:hAnsi="Calibri" w:cs="Times New Roman"/>
          <w:sz w:val="24"/>
          <w:szCs w:val="24"/>
          <w:vertAlign w:val="superscript"/>
        </w:rPr>
        <w:t>2</w:t>
      </w:r>
      <w:r w:rsidRPr="005726D8">
        <w:rPr>
          <w:rFonts w:ascii="Calibri" w:eastAsia="Calibri" w:hAnsi="Calibri" w:cs="Times New Roman"/>
          <w:sz w:val="24"/>
          <w:szCs w:val="24"/>
        </w:rPr>
        <w:t>, Wilbert C Boelens</w:t>
      </w:r>
      <w:r w:rsidRPr="005726D8">
        <w:rPr>
          <w:rFonts w:ascii="Calibri" w:eastAsia="Calibri" w:hAnsi="Calibri" w:cs="Times New Roman"/>
          <w:sz w:val="24"/>
          <w:szCs w:val="24"/>
          <w:vertAlign w:val="superscript"/>
        </w:rPr>
        <w:t>1</w:t>
      </w:r>
      <w:r w:rsidRPr="005726D8">
        <w:rPr>
          <w:rFonts w:ascii="Calibri" w:eastAsia="Calibri" w:hAnsi="Calibri" w:cs="Times New Roman"/>
          <w:sz w:val="24"/>
          <w:szCs w:val="24"/>
        </w:rPr>
        <w:t>, Helen L Wright</w:t>
      </w:r>
      <w:r w:rsidRPr="005726D8">
        <w:rPr>
          <w:rFonts w:ascii="Calibri" w:eastAsia="Calibri" w:hAnsi="Calibri" w:cs="Times New Roman"/>
          <w:sz w:val="24"/>
          <w:szCs w:val="24"/>
          <w:vertAlign w:val="superscript"/>
        </w:rPr>
        <w:t>3</w:t>
      </w:r>
      <w:r w:rsidRPr="005726D8">
        <w:rPr>
          <w:rFonts w:ascii="Calibri" w:eastAsia="Calibri" w:hAnsi="Calibri" w:cs="Times New Roman"/>
          <w:sz w:val="24"/>
          <w:szCs w:val="24"/>
        </w:rPr>
        <w:t>, Ger J M Pruijn</w:t>
      </w:r>
      <w:r w:rsidRPr="005726D8">
        <w:rPr>
          <w:rFonts w:ascii="Calibri" w:eastAsia="Calibri" w:hAnsi="Calibri" w:cs="Times New Roman"/>
          <w:sz w:val="24"/>
          <w:szCs w:val="24"/>
          <w:vertAlign w:val="superscript"/>
        </w:rPr>
        <w:t>1*</w:t>
      </w:r>
    </w:p>
    <w:p w14:paraId="0A638674" w14:textId="77777777" w:rsidR="00103DDC" w:rsidRPr="005726D8" w:rsidRDefault="00103DDC" w:rsidP="00090D07">
      <w:pPr>
        <w:spacing w:after="200" w:line="360" w:lineRule="auto"/>
        <w:rPr>
          <w:rFonts w:ascii="Calibri" w:eastAsia="Calibri" w:hAnsi="Calibri" w:cs="Times New Roman"/>
          <w:sz w:val="24"/>
          <w:szCs w:val="24"/>
        </w:rPr>
      </w:pPr>
    </w:p>
    <w:p w14:paraId="2729C557" w14:textId="77777777" w:rsidR="00103DDC" w:rsidRPr="005726D8" w:rsidRDefault="00103DDC" w:rsidP="00090D07">
      <w:pPr>
        <w:spacing w:after="200" w:line="360" w:lineRule="auto"/>
        <w:rPr>
          <w:rFonts w:ascii="Calibri" w:eastAsia="Calibri" w:hAnsi="Calibri" w:cs="Times New Roman"/>
          <w:sz w:val="24"/>
          <w:szCs w:val="24"/>
          <w:lang w:val="en-GB"/>
        </w:rPr>
      </w:pPr>
      <w:r w:rsidRPr="005726D8">
        <w:rPr>
          <w:rFonts w:ascii="Calibri" w:eastAsia="Calibri" w:hAnsi="Calibri" w:cs="Times New Roman"/>
          <w:sz w:val="24"/>
          <w:szCs w:val="24"/>
          <w:vertAlign w:val="superscript"/>
          <w:lang w:val="en-GB"/>
        </w:rPr>
        <w:t xml:space="preserve">1 </w:t>
      </w:r>
      <w:r w:rsidRPr="005726D8">
        <w:rPr>
          <w:rFonts w:ascii="Calibri" w:eastAsia="Calibri" w:hAnsi="Calibri" w:cs="Times New Roman"/>
          <w:sz w:val="24"/>
          <w:szCs w:val="24"/>
          <w:lang w:val="en-GB"/>
        </w:rPr>
        <w:t xml:space="preserve">Department of Biomolecular Chemistry, Institute of Molecules and Materials (IMM), </w:t>
      </w:r>
      <w:proofErr w:type="spellStart"/>
      <w:r w:rsidRPr="005726D8">
        <w:rPr>
          <w:rFonts w:ascii="Calibri" w:eastAsia="Calibri" w:hAnsi="Calibri" w:cs="Times New Roman"/>
          <w:sz w:val="24"/>
          <w:szCs w:val="24"/>
          <w:lang w:val="en-GB"/>
        </w:rPr>
        <w:t>Radboud</w:t>
      </w:r>
      <w:proofErr w:type="spellEnd"/>
      <w:r w:rsidRPr="005726D8">
        <w:rPr>
          <w:rFonts w:ascii="Calibri" w:eastAsia="Calibri" w:hAnsi="Calibri" w:cs="Times New Roman"/>
          <w:sz w:val="24"/>
          <w:szCs w:val="24"/>
          <w:lang w:val="en-GB"/>
        </w:rPr>
        <w:t xml:space="preserve"> University, Nijmegen, the Netherlands</w:t>
      </w:r>
    </w:p>
    <w:p w14:paraId="08847319" w14:textId="77777777" w:rsidR="00103DDC" w:rsidRPr="005726D8" w:rsidRDefault="00103DDC" w:rsidP="00090D07">
      <w:pPr>
        <w:spacing w:after="200" w:line="360" w:lineRule="auto"/>
        <w:rPr>
          <w:rFonts w:ascii="Calibri" w:eastAsia="Calibri" w:hAnsi="Calibri" w:cs="Times New Roman"/>
          <w:sz w:val="24"/>
          <w:szCs w:val="24"/>
          <w:lang w:val="en-GB"/>
        </w:rPr>
      </w:pPr>
      <w:r w:rsidRPr="005726D8">
        <w:rPr>
          <w:rFonts w:ascii="Calibri" w:eastAsia="Calibri" w:hAnsi="Calibri" w:cs="Times New Roman"/>
          <w:sz w:val="24"/>
          <w:szCs w:val="24"/>
          <w:vertAlign w:val="superscript"/>
          <w:lang w:val="en-GB"/>
        </w:rPr>
        <w:t xml:space="preserve">2 </w:t>
      </w:r>
      <w:r w:rsidRPr="005726D8">
        <w:rPr>
          <w:rFonts w:ascii="Calibri" w:eastAsia="Calibri" w:hAnsi="Calibri" w:cs="Times New Roman"/>
          <w:sz w:val="24"/>
          <w:szCs w:val="24"/>
          <w:lang w:val="en-GB"/>
        </w:rPr>
        <w:t xml:space="preserve">Department of Rheumatology, </w:t>
      </w:r>
      <w:proofErr w:type="spellStart"/>
      <w:r w:rsidRPr="005726D8">
        <w:rPr>
          <w:rFonts w:ascii="Calibri" w:eastAsia="Calibri" w:hAnsi="Calibri" w:cs="Times New Roman"/>
          <w:sz w:val="24"/>
          <w:szCs w:val="24"/>
          <w:lang w:val="en-GB"/>
        </w:rPr>
        <w:t>Radboud</w:t>
      </w:r>
      <w:proofErr w:type="spellEnd"/>
      <w:r w:rsidRPr="005726D8">
        <w:rPr>
          <w:rFonts w:ascii="Calibri" w:eastAsia="Calibri" w:hAnsi="Calibri" w:cs="Times New Roman"/>
          <w:sz w:val="24"/>
          <w:szCs w:val="24"/>
          <w:lang w:val="en-GB"/>
        </w:rPr>
        <w:t xml:space="preserve"> University, Nijmegen, the Netherlands</w:t>
      </w:r>
    </w:p>
    <w:p w14:paraId="5C404D6A" w14:textId="77777777" w:rsidR="00103DDC" w:rsidRPr="005726D8" w:rsidRDefault="00103DDC" w:rsidP="00090D07">
      <w:pPr>
        <w:spacing w:after="200" w:line="360" w:lineRule="auto"/>
        <w:rPr>
          <w:rFonts w:ascii="Calibri" w:eastAsia="Calibri" w:hAnsi="Calibri" w:cs="Times New Roman"/>
          <w:sz w:val="24"/>
          <w:szCs w:val="24"/>
          <w:lang w:val="en-GB"/>
        </w:rPr>
      </w:pPr>
      <w:r w:rsidRPr="005726D8">
        <w:rPr>
          <w:rFonts w:ascii="Calibri" w:eastAsia="Calibri" w:hAnsi="Calibri" w:cs="Times New Roman"/>
          <w:sz w:val="24"/>
          <w:szCs w:val="24"/>
          <w:vertAlign w:val="superscript"/>
          <w:lang w:val="en-GB"/>
        </w:rPr>
        <w:t xml:space="preserve">3 </w:t>
      </w:r>
      <w:r w:rsidRPr="005726D8">
        <w:rPr>
          <w:rFonts w:ascii="Calibri" w:eastAsia="Calibri" w:hAnsi="Calibri" w:cs="Times New Roman"/>
          <w:sz w:val="24"/>
          <w:szCs w:val="24"/>
          <w:lang w:val="en-GB"/>
        </w:rPr>
        <w:t>Department of Musculoskeletal Biology I, Institute of Ageing and Chronic Disease, University of Liverpool, Liverpool, United Kingdom.</w:t>
      </w:r>
    </w:p>
    <w:p w14:paraId="29E6B25A" w14:textId="77777777" w:rsidR="00103DDC" w:rsidRPr="005726D8" w:rsidRDefault="00103DDC" w:rsidP="00090D07">
      <w:pPr>
        <w:spacing w:after="0" w:line="360" w:lineRule="auto"/>
        <w:rPr>
          <w:rFonts w:ascii="Calibri" w:eastAsia="Calibri" w:hAnsi="Calibri" w:cs="Times New Roman"/>
          <w:sz w:val="24"/>
          <w:szCs w:val="24"/>
          <w:lang w:val="en-GB"/>
        </w:rPr>
      </w:pPr>
    </w:p>
    <w:p w14:paraId="1254EE2E" w14:textId="77777777" w:rsidR="00103DDC" w:rsidRPr="005726D8" w:rsidRDefault="00103DDC" w:rsidP="00090D07">
      <w:pPr>
        <w:spacing w:after="0" w:line="360" w:lineRule="auto"/>
        <w:rPr>
          <w:rFonts w:ascii="Calibri" w:eastAsia="Calibri" w:hAnsi="Calibri" w:cs="Times New Roman"/>
          <w:sz w:val="24"/>
          <w:szCs w:val="24"/>
          <w:lang w:val="en-GB"/>
        </w:rPr>
      </w:pPr>
      <w:r w:rsidRPr="005726D8">
        <w:rPr>
          <w:rFonts w:ascii="Calibri" w:eastAsia="Calibri" w:hAnsi="Calibri" w:cs="Times New Roman"/>
          <w:sz w:val="24"/>
          <w:szCs w:val="24"/>
          <w:lang w:val="en-GB"/>
        </w:rPr>
        <w:t>* Correspondence:</w:t>
      </w:r>
    </w:p>
    <w:p w14:paraId="5F421920" w14:textId="77777777" w:rsidR="00103DDC" w:rsidRPr="005726D8" w:rsidRDefault="00103DDC" w:rsidP="00090D07">
      <w:pPr>
        <w:spacing w:after="0" w:line="360" w:lineRule="auto"/>
        <w:rPr>
          <w:rFonts w:ascii="Calibri" w:eastAsia="Calibri" w:hAnsi="Calibri" w:cs="Times New Roman"/>
          <w:sz w:val="24"/>
          <w:szCs w:val="24"/>
          <w:lang w:val="en-GB"/>
        </w:rPr>
      </w:pPr>
      <w:proofErr w:type="spellStart"/>
      <w:r w:rsidRPr="005726D8">
        <w:rPr>
          <w:rFonts w:ascii="Calibri" w:eastAsia="Calibri" w:hAnsi="Calibri" w:cs="Times New Roman"/>
          <w:sz w:val="24"/>
          <w:szCs w:val="24"/>
          <w:lang w:val="en-GB"/>
        </w:rPr>
        <w:t>Ger</w:t>
      </w:r>
      <w:proofErr w:type="spellEnd"/>
      <w:r w:rsidRPr="005726D8">
        <w:rPr>
          <w:rFonts w:ascii="Calibri" w:eastAsia="Calibri" w:hAnsi="Calibri" w:cs="Times New Roman"/>
          <w:sz w:val="24"/>
          <w:szCs w:val="24"/>
          <w:lang w:val="en-GB"/>
        </w:rPr>
        <w:t xml:space="preserve"> </w:t>
      </w:r>
      <w:proofErr w:type="spellStart"/>
      <w:r w:rsidRPr="005726D8">
        <w:rPr>
          <w:rFonts w:ascii="Calibri" w:eastAsia="Calibri" w:hAnsi="Calibri" w:cs="Times New Roman"/>
          <w:sz w:val="24"/>
          <w:szCs w:val="24"/>
          <w:lang w:val="en-GB"/>
        </w:rPr>
        <w:t>Pruijn</w:t>
      </w:r>
      <w:proofErr w:type="spellEnd"/>
    </w:p>
    <w:p w14:paraId="05CAC63B" w14:textId="77777777" w:rsidR="00103DDC" w:rsidRPr="005726D8" w:rsidRDefault="00103DDC" w:rsidP="00090D07">
      <w:pPr>
        <w:spacing w:after="0" w:line="360" w:lineRule="auto"/>
        <w:rPr>
          <w:rFonts w:ascii="Calibri" w:eastAsia="Calibri" w:hAnsi="Calibri" w:cs="Times New Roman"/>
          <w:sz w:val="24"/>
          <w:szCs w:val="24"/>
          <w:lang w:val="en-GB"/>
        </w:rPr>
      </w:pPr>
      <w:r w:rsidRPr="005726D8">
        <w:rPr>
          <w:rFonts w:ascii="Calibri" w:eastAsia="Calibri" w:hAnsi="Calibri" w:cs="Times New Roman"/>
          <w:sz w:val="24"/>
          <w:szCs w:val="24"/>
          <w:lang w:val="en-GB"/>
        </w:rPr>
        <w:t>284 – Biomolecular Chemistry</w:t>
      </w:r>
    </w:p>
    <w:p w14:paraId="4F238499" w14:textId="77777777" w:rsidR="00103DDC" w:rsidRPr="005726D8" w:rsidRDefault="00103DDC" w:rsidP="00090D07">
      <w:pPr>
        <w:spacing w:after="0" w:line="360" w:lineRule="auto"/>
        <w:rPr>
          <w:rFonts w:ascii="Calibri" w:eastAsia="Calibri" w:hAnsi="Calibri" w:cs="Times New Roman"/>
          <w:sz w:val="24"/>
          <w:szCs w:val="24"/>
          <w:lang w:val="en-GB"/>
        </w:rPr>
      </w:pPr>
      <w:proofErr w:type="spellStart"/>
      <w:r w:rsidRPr="005726D8">
        <w:rPr>
          <w:rFonts w:ascii="Calibri" w:eastAsia="Calibri" w:hAnsi="Calibri" w:cs="Times New Roman"/>
          <w:sz w:val="24"/>
          <w:szCs w:val="24"/>
          <w:lang w:val="en-GB"/>
        </w:rPr>
        <w:t>Radboud</w:t>
      </w:r>
      <w:proofErr w:type="spellEnd"/>
      <w:r w:rsidRPr="005726D8">
        <w:rPr>
          <w:rFonts w:ascii="Calibri" w:eastAsia="Calibri" w:hAnsi="Calibri" w:cs="Times New Roman"/>
          <w:sz w:val="24"/>
          <w:szCs w:val="24"/>
          <w:lang w:val="en-GB"/>
        </w:rPr>
        <w:t xml:space="preserve"> University</w:t>
      </w:r>
    </w:p>
    <w:p w14:paraId="20A2C025" w14:textId="77777777" w:rsidR="00103DDC" w:rsidRPr="005726D8" w:rsidRDefault="00103DDC" w:rsidP="00090D07">
      <w:pPr>
        <w:spacing w:after="0" w:line="360" w:lineRule="auto"/>
        <w:rPr>
          <w:rFonts w:ascii="Calibri" w:eastAsia="Calibri" w:hAnsi="Calibri" w:cs="Times New Roman"/>
          <w:sz w:val="24"/>
          <w:szCs w:val="24"/>
          <w:lang w:val="en-GB"/>
        </w:rPr>
      </w:pPr>
      <w:r w:rsidRPr="005726D8">
        <w:rPr>
          <w:rFonts w:ascii="Calibri" w:eastAsia="Calibri" w:hAnsi="Calibri" w:cs="Times New Roman"/>
          <w:sz w:val="24"/>
          <w:szCs w:val="24"/>
          <w:lang w:val="en-GB"/>
        </w:rPr>
        <w:t>PO Box 9101</w:t>
      </w:r>
    </w:p>
    <w:p w14:paraId="1EB207C3" w14:textId="77777777" w:rsidR="00103DDC" w:rsidRPr="005726D8" w:rsidRDefault="00103DDC" w:rsidP="00090D07">
      <w:pPr>
        <w:spacing w:after="0" w:line="360" w:lineRule="auto"/>
        <w:rPr>
          <w:rFonts w:ascii="Calibri" w:eastAsia="Calibri" w:hAnsi="Calibri" w:cs="Times New Roman"/>
          <w:sz w:val="24"/>
          <w:szCs w:val="24"/>
          <w:lang w:val="en-GB"/>
        </w:rPr>
      </w:pPr>
      <w:r w:rsidRPr="005726D8">
        <w:rPr>
          <w:rFonts w:ascii="Calibri" w:eastAsia="Calibri" w:hAnsi="Calibri" w:cs="Times New Roman"/>
          <w:sz w:val="24"/>
          <w:szCs w:val="24"/>
          <w:lang w:val="en-GB"/>
        </w:rPr>
        <w:t>NL-6500 HB Nijmegen</w:t>
      </w:r>
    </w:p>
    <w:p w14:paraId="2EE07FC9" w14:textId="77777777" w:rsidR="00103DDC" w:rsidRPr="005726D8" w:rsidRDefault="00103DDC" w:rsidP="00090D07">
      <w:pPr>
        <w:spacing w:after="0" w:line="360" w:lineRule="auto"/>
        <w:rPr>
          <w:rFonts w:ascii="Calibri" w:eastAsia="Calibri" w:hAnsi="Calibri" w:cs="Times New Roman"/>
          <w:sz w:val="24"/>
          <w:szCs w:val="24"/>
          <w:lang w:val="en-GB"/>
        </w:rPr>
      </w:pPr>
      <w:r w:rsidRPr="005726D8">
        <w:rPr>
          <w:rFonts w:ascii="Calibri" w:eastAsia="Calibri" w:hAnsi="Calibri" w:cs="Times New Roman"/>
          <w:sz w:val="24"/>
          <w:szCs w:val="24"/>
          <w:lang w:val="en-GB"/>
        </w:rPr>
        <w:t>The Netherlands</w:t>
      </w:r>
    </w:p>
    <w:p w14:paraId="7593017B" w14:textId="77777777" w:rsidR="00103DDC" w:rsidRPr="005726D8" w:rsidRDefault="00103DDC" w:rsidP="00090D07">
      <w:pPr>
        <w:spacing w:after="0" w:line="360" w:lineRule="auto"/>
        <w:rPr>
          <w:rFonts w:ascii="Calibri" w:eastAsia="Calibri" w:hAnsi="Calibri" w:cs="Times New Roman"/>
          <w:sz w:val="24"/>
          <w:szCs w:val="24"/>
          <w:lang w:val="en-GB"/>
        </w:rPr>
      </w:pPr>
      <w:r w:rsidRPr="005726D8">
        <w:rPr>
          <w:rFonts w:ascii="Calibri" w:eastAsia="Calibri" w:hAnsi="Calibri" w:cs="Times New Roman"/>
          <w:sz w:val="24"/>
          <w:szCs w:val="24"/>
          <w:lang w:val="en-GB"/>
        </w:rPr>
        <w:t>G.Pruijn@science.ru.nl</w:t>
      </w:r>
    </w:p>
    <w:p w14:paraId="23ACC61E" w14:textId="77777777" w:rsidR="00103DDC" w:rsidRPr="005726D8" w:rsidRDefault="00103DDC" w:rsidP="00090D07">
      <w:pPr>
        <w:spacing w:after="200" w:line="360" w:lineRule="auto"/>
        <w:rPr>
          <w:rFonts w:ascii="Calibri" w:eastAsia="Calibri" w:hAnsi="Calibri" w:cs="Times New Roman"/>
          <w:b/>
          <w:lang w:val="en-GB"/>
        </w:rPr>
      </w:pPr>
      <w:r w:rsidRPr="005726D8">
        <w:rPr>
          <w:rFonts w:ascii="Calibri" w:eastAsia="Calibri" w:hAnsi="Calibri" w:cs="Times New Roman"/>
          <w:b/>
          <w:lang w:val="en-GB"/>
        </w:rPr>
        <w:br w:type="page"/>
      </w:r>
    </w:p>
    <w:p w14:paraId="36393F3F" w14:textId="36DCCB53" w:rsidR="00103DDC" w:rsidRPr="005726D8" w:rsidRDefault="00103DDC" w:rsidP="00090D07">
      <w:pPr>
        <w:pStyle w:val="Geenafstand"/>
        <w:spacing w:line="360" w:lineRule="auto"/>
        <w:rPr>
          <w:b/>
          <w:lang w:val="en-GB"/>
        </w:rPr>
      </w:pPr>
      <w:r w:rsidRPr="005726D8">
        <w:rPr>
          <w:b/>
          <w:lang w:val="en-GB"/>
        </w:rPr>
        <w:lastRenderedPageBreak/>
        <w:t xml:space="preserve">Neutrophil extracellular traps (NETs) are networks of extracellular chromatin decorated with antimicrobial proteins, formed by neutrophils to entrap pathogens. NETs have been implicated in the generation of autoimmune reactions. Here, we investigate the reactivity of rheumatoid arthritis (RA) serum antibodies with NETs and explore whether anti-NET antibodies (ANETA) have a potential as biomarker in RA. To quantify ANETA, we developed an ELISA with NETs isolated from stimulated human neutrophils and verified the results by immunofluorescence </w:t>
      </w:r>
      <w:r w:rsidRPr="005726D8">
        <w:rPr>
          <w:b/>
          <w:lang w:val="en-US"/>
        </w:rPr>
        <w:t>staining</w:t>
      </w:r>
      <w:r w:rsidRPr="005726D8">
        <w:rPr>
          <w:b/>
          <w:lang w:val="en-GB"/>
        </w:rPr>
        <w:t xml:space="preserve"> of NETs. </w:t>
      </w:r>
      <w:bookmarkStart w:id="0" w:name="_Hlk36642480"/>
      <w:r w:rsidRPr="005726D8">
        <w:rPr>
          <w:b/>
          <w:lang w:val="en-GB"/>
        </w:rPr>
        <w:t xml:space="preserve">ANETA were detected in </w:t>
      </w:r>
      <w:r w:rsidR="00D81F78" w:rsidRPr="005726D8">
        <w:rPr>
          <w:b/>
          <w:lang w:val="en-GB"/>
        </w:rPr>
        <w:t>22% – 69% of</w:t>
      </w:r>
      <w:r w:rsidRPr="005726D8">
        <w:rPr>
          <w:b/>
          <w:lang w:val="en-GB"/>
        </w:rPr>
        <w:t xml:space="preserve"> RA sera</w:t>
      </w:r>
      <w:bookmarkEnd w:id="0"/>
      <w:r w:rsidRPr="005726D8">
        <w:rPr>
          <w:b/>
          <w:lang w:val="en-GB"/>
        </w:rPr>
        <w:t xml:space="preserve">. No significant differences were observed in the reactivity of RA sera with NETs originating from RA patients and healthy control neutrophils, nor with NETs induced by </w:t>
      </w:r>
      <w:proofErr w:type="spellStart"/>
      <w:r w:rsidRPr="005726D8">
        <w:rPr>
          <w:b/>
          <w:lang w:val="en-GB"/>
        </w:rPr>
        <w:t>phorbol</w:t>
      </w:r>
      <w:proofErr w:type="spellEnd"/>
      <w:r w:rsidRPr="005726D8">
        <w:rPr>
          <w:b/>
          <w:lang w:val="en-GB"/>
        </w:rPr>
        <w:t xml:space="preserve"> 12-myristate 13-acetate or the calcium </w:t>
      </w:r>
      <w:proofErr w:type="spellStart"/>
      <w:r w:rsidRPr="005726D8">
        <w:rPr>
          <w:b/>
          <w:lang w:val="en-GB"/>
        </w:rPr>
        <w:t>ionophore</w:t>
      </w:r>
      <w:proofErr w:type="spellEnd"/>
      <w:r w:rsidRPr="005726D8">
        <w:rPr>
          <w:b/>
          <w:lang w:val="en-GB"/>
        </w:rPr>
        <w:t xml:space="preserve"> A23187. </w:t>
      </w:r>
      <w:bookmarkStart w:id="1" w:name="_Hlk36642620"/>
      <w:bookmarkStart w:id="2" w:name="_Hlk35594197"/>
      <w:bookmarkStart w:id="3" w:name="_Hlk35594057"/>
      <w:r w:rsidR="00D81F78" w:rsidRPr="005726D8">
        <w:rPr>
          <w:b/>
          <w:lang w:val="en-GB"/>
        </w:rPr>
        <w:t>ANETA were detected already at baseline in newly diagnosed RA patients and both increased an</w:t>
      </w:r>
      <w:r w:rsidR="007D64ED" w:rsidRPr="005726D8">
        <w:rPr>
          <w:b/>
          <w:lang w:val="en-GB"/>
        </w:rPr>
        <w:t>d</w:t>
      </w:r>
      <w:r w:rsidR="00D81F78" w:rsidRPr="005726D8">
        <w:rPr>
          <w:b/>
          <w:lang w:val="en-GB"/>
        </w:rPr>
        <w:t xml:space="preserve"> decreased levels were observed in samples with a median follow-up of 7 years.</w:t>
      </w:r>
      <w:bookmarkEnd w:id="1"/>
      <w:r w:rsidR="00D81F78" w:rsidRPr="005726D8">
        <w:rPr>
          <w:b/>
          <w:lang w:val="en-GB"/>
        </w:rPr>
        <w:t xml:space="preserve"> </w:t>
      </w:r>
      <w:bookmarkStart w:id="4" w:name="_Hlk35869404"/>
      <w:bookmarkEnd w:id="2"/>
      <w:r w:rsidR="00D81F78" w:rsidRPr="005726D8">
        <w:rPr>
          <w:b/>
          <w:lang w:val="en-GB"/>
        </w:rPr>
        <w:t xml:space="preserve">By </w:t>
      </w:r>
      <w:r w:rsidR="00077542" w:rsidRPr="005726D8">
        <w:rPr>
          <w:b/>
          <w:lang w:val="en-GB"/>
        </w:rPr>
        <w:t>A</w:t>
      </w:r>
      <w:r w:rsidR="00D81F78" w:rsidRPr="005726D8">
        <w:rPr>
          <w:b/>
          <w:lang w:val="en-GB"/>
        </w:rPr>
        <w:t>NET</w:t>
      </w:r>
      <w:r w:rsidR="00077542" w:rsidRPr="005726D8">
        <w:rPr>
          <w:b/>
          <w:lang w:val="en-GB"/>
        </w:rPr>
        <w:t>A</w:t>
      </w:r>
      <w:r w:rsidR="00D81F78" w:rsidRPr="005726D8">
        <w:rPr>
          <w:b/>
          <w:lang w:val="en-GB"/>
        </w:rPr>
        <w:t xml:space="preserve"> ELISA, we showed that</w:t>
      </w:r>
      <w:r w:rsidR="00623221" w:rsidRPr="005726D8">
        <w:rPr>
          <w:b/>
          <w:lang w:val="en-GB"/>
        </w:rPr>
        <w:t xml:space="preserve"> </w:t>
      </w:r>
      <w:r w:rsidR="007A2189" w:rsidRPr="005726D8">
        <w:rPr>
          <w:b/>
          <w:lang w:val="en-GB"/>
        </w:rPr>
        <w:t xml:space="preserve">ANETA </w:t>
      </w:r>
      <w:r w:rsidR="00D81F78" w:rsidRPr="005726D8">
        <w:rPr>
          <w:b/>
          <w:lang w:val="en-GB"/>
        </w:rPr>
        <w:t xml:space="preserve">are </w:t>
      </w:r>
      <w:r w:rsidR="007A2189" w:rsidRPr="005726D8">
        <w:rPr>
          <w:b/>
          <w:lang w:val="en-GB"/>
        </w:rPr>
        <w:t>also present in</w:t>
      </w:r>
      <w:r w:rsidR="00623221" w:rsidRPr="005726D8">
        <w:rPr>
          <w:b/>
          <w:lang w:val="en-GB"/>
        </w:rPr>
        <w:t xml:space="preserve"> sera of</w:t>
      </w:r>
      <w:r w:rsidR="007A2189" w:rsidRPr="005726D8">
        <w:rPr>
          <w:b/>
          <w:lang w:val="en-GB"/>
        </w:rPr>
        <w:t xml:space="preserve"> patients with systemic lupus erythematosus</w:t>
      </w:r>
      <w:r w:rsidR="007A4270" w:rsidRPr="005726D8">
        <w:rPr>
          <w:b/>
          <w:lang w:val="en-GB"/>
        </w:rPr>
        <w:t xml:space="preserve"> (36%)</w:t>
      </w:r>
      <w:r w:rsidR="00D81F78" w:rsidRPr="005726D8">
        <w:rPr>
          <w:b/>
          <w:lang w:val="en-GB"/>
        </w:rPr>
        <w:t>,</w:t>
      </w:r>
      <w:r w:rsidR="007A2189" w:rsidRPr="005726D8">
        <w:rPr>
          <w:b/>
          <w:lang w:val="en-GB"/>
        </w:rPr>
        <w:t xml:space="preserve"> </w:t>
      </w:r>
      <w:bookmarkStart w:id="5" w:name="_Hlk35591288"/>
      <w:proofErr w:type="spellStart"/>
      <w:r w:rsidR="007A2189" w:rsidRPr="005726D8">
        <w:rPr>
          <w:b/>
          <w:lang w:val="en-GB"/>
        </w:rPr>
        <w:t>Sjögren’s</w:t>
      </w:r>
      <w:proofErr w:type="spellEnd"/>
      <w:r w:rsidR="007A2189" w:rsidRPr="005726D8">
        <w:rPr>
          <w:b/>
          <w:lang w:val="en-GB"/>
        </w:rPr>
        <w:t xml:space="preserve"> </w:t>
      </w:r>
      <w:r w:rsidR="00D81F78" w:rsidRPr="005726D8">
        <w:rPr>
          <w:b/>
          <w:lang w:val="en-GB"/>
        </w:rPr>
        <w:t>s</w:t>
      </w:r>
      <w:r w:rsidR="007A2189" w:rsidRPr="005726D8">
        <w:rPr>
          <w:b/>
          <w:lang w:val="en-GB"/>
        </w:rPr>
        <w:t>yndrome</w:t>
      </w:r>
      <w:bookmarkEnd w:id="5"/>
      <w:r w:rsidR="00D81F78" w:rsidRPr="005726D8">
        <w:rPr>
          <w:b/>
          <w:lang w:val="en-GB"/>
        </w:rPr>
        <w:t xml:space="preserve"> </w:t>
      </w:r>
      <w:r w:rsidR="007A4270" w:rsidRPr="005726D8">
        <w:rPr>
          <w:b/>
          <w:lang w:val="en-GB"/>
        </w:rPr>
        <w:t xml:space="preserve">(76%) </w:t>
      </w:r>
      <w:r w:rsidR="00D81F78" w:rsidRPr="005726D8">
        <w:rPr>
          <w:b/>
          <w:lang w:val="en-GB"/>
        </w:rPr>
        <w:t>and scleroderma</w:t>
      </w:r>
      <w:r w:rsidR="007A4270" w:rsidRPr="005726D8">
        <w:rPr>
          <w:b/>
          <w:lang w:val="en-GB"/>
        </w:rPr>
        <w:t xml:space="preserve"> (61%)</w:t>
      </w:r>
      <w:r w:rsidR="007A2189" w:rsidRPr="005726D8">
        <w:rPr>
          <w:b/>
          <w:lang w:val="en-GB"/>
        </w:rPr>
        <w:t>.</w:t>
      </w:r>
      <w:r w:rsidRPr="005726D8">
        <w:rPr>
          <w:b/>
          <w:lang w:val="en-GB"/>
        </w:rPr>
        <w:t xml:space="preserve"> </w:t>
      </w:r>
      <w:bookmarkEnd w:id="3"/>
      <w:bookmarkEnd w:id="4"/>
      <w:r w:rsidR="00094CED" w:rsidRPr="005726D8">
        <w:rPr>
          <w:b/>
          <w:lang w:val="en-GB"/>
        </w:rPr>
        <w:t xml:space="preserve">In addition to antibodies to NETs, also the presence of NETs or NET fragments in RA sera was determined using </w:t>
      </w:r>
      <w:r w:rsidR="00F71A68" w:rsidRPr="005726D8">
        <w:rPr>
          <w:b/>
          <w:lang w:val="en-GB"/>
        </w:rPr>
        <w:t>a sandwich ELISA</w:t>
      </w:r>
      <w:r w:rsidR="00740702" w:rsidRPr="005726D8">
        <w:rPr>
          <w:b/>
          <w:lang w:val="en-GB"/>
        </w:rPr>
        <w:t>.</w:t>
      </w:r>
      <w:r w:rsidR="00F71A68" w:rsidRPr="005726D8">
        <w:rPr>
          <w:b/>
          <w:lang w:val="en-GB"/>
        </w:rPr>
        <w:t xml:space="preserve"> </w:t>
      </w:r>
      <w:r w:rsidR="00094CED" w:rsidRPr="005726D8">
        <w:rPr>
          <w:b/>
          <w:lang w:val="en-GB"/>
        </w:rPr>
        <w:t>E</w:t>
      </w:r>
      <w:r w:rsidR="00F71A68" w:rsidRPr="005726D8">
        <w:rPr>
          <w:b/>
          <w:lang w:val="en-GB"/>
        </w:rPr>
        <w:t xml:space="preserve">levated levels of NETs or NET fragments were detected in 32% of the sera. </w:t>
      </w:r>
      <w:r w:rsidRPr="005726D8">
        <w:rPr>
          <w:b/>
          <w:lang w:val="en-GB"/>
        </w:rPr>
        <w:t>To assess the potency of ANETA as a biomarker in RA, we compared ANETA positivity with other clinical features. The presence of ANETA was significantly higher in rheumatoid factor (RF)-positive patients, but did not correlate with anti-</w:t>
      </w:r>
      <w:proofErr w:type="spellStart"/>
      <w:r w:rsidRPr="005726D8">
        <w:rPr>
          <w:b/>
          <w:lang w:val="en-GB"/>
        </w:rPr>
        <w:t>citrullinated</w:t>
      </w:r>
      <w:proofErr w:type="spellEnd"/>
      <w:r w:rsidRPr="005726D8">
        <w:rPr>
          <w:b/>
          <w:lang w:val="en-GB"/>
        </w:rPr>
        <w:t xml:space="preserve"> protein antibodies (ACPA), nor with the presence of NET fragments in serum. In addition, no correlation was observed with age, gender, onset of the disease, disease activity and inflammatory markers. </w:t>
      </w:r>
      <w:bookmarkStart w:id="6" w:name="_Hlk35594080"/>
      <w:r w:rsidRPr="005726D8">
        <w:rPr>
          <w:b/>
          <w:lang w:val="en-GB"/>
        </w:rPr>
        <w:t>These findings suggest that ANETA may be an independent biomarker in RA</w:t>
      </w:r>
      <w:r w:rsidR="007A2189" w:rsidRPr="005726D8">
        <w:rPr>
          <w:b/>
          <w:lang w:val="en-GB"/>
        </w:rPr>
        <w:t xml:space="preserve"> </w:t>
      </w:r>
      <w:r w:rsidR="007A4270" w:rsidRPr="005726D8">
        <w:rPr>
          <w:b/>
          <w:lang w:val="en-GB"/>
        </w:rPr>
        <w:t xml:space="preserve">and possibly also </w:t>
      </w:r>
      <w:r w:rsidR="007A2189" w:rsidRPr="005726D8">
        <w:rPr>
          <w:b/>
          <w:lang w:val="en-GB"/>
        </w:rPr>
        <w:t>in other autoimmune diseases</w:t>
      </w:r>
      <w:r w:rsidRPr="005726D8">
        <w:rPr>
          <w:b/>
          <w:lang w:val="en-GB"/>
        </w:rPr>
        <w:t>.</w:t>
      </w:r>
      <w:bookmarkEnd w:id="6"/>
    </w:p>
    <w:p w14:paraId="4D3C1F44" w14:textId="77777777" w:rsidR="00103DDC" w:rsidRPr="005726D8" w:rsidRDefault="00103DDC" w:rsidP="00090D07">
      <w:pPr>
        <w:pStyle w:val="Geenafstand"/>
        <w:spacing w:line="360" w:lineRule="auto"/>
        <w:rPr>
          <w:b/>
          <w:lang w:val="en-GB"/>
        </w:rPr>
      </w:pPr>
    </w:p>
    <w:p w14:paraId="16884334" w14:textId="77777777" w:rsidR="00103DDC" w:rsidRPr="005726D8" w:rsidRDefault="00103DDC" w:rsidP="00090D07">
      <w:pPr>
        <w:pStyle w:val="Kop1"/>
        <w:spacing w:line="360" w:lineRule="auto"/>
        <w:rPr>
          <w:b/>
          <w:lang w:val="en-US"/>
        </w:rPr>
      </w:pPr>
      <w:r w:rsidRPr="005726D8">
        <w:rPr>
          <w:b/>
          <w:lang w:val="en-US"/>
        </w:rPr>
        <w:t>Keywords</w:t>
      </w:r>
    </w:p>
    <w:p w14:paraId="0486F105" w14:textId="77777777" w:rsidR="00103DDC" w:rsidRPr="005726D8" w:rsidRDefault="00103DDC" w:rsidP="00090D07">
      <w:pPr>
        <w:spacing w:line="360" w:lineRule="auto"/>
        <w:rPr>
          <w:lang w:val="en-US"/>
        </w:rPr>
      </w:pPr>
      <w:proofErr w:type="spellStart"/>
      <w:r w:rsidRPr="005726D8">
        <w:rPr>
          <w:lang w:val="en-US"/>
        </w:rPr>
        <w:t>NETosis</w:t>
      </w:r>
      <w:proofErr w:type="spellEnd"/>
      <w:r w:rsidRPr="005726D8">
        <w:rPr>
          <w:lang w:val="en-US"/>
        </w:rPr>
        <w:t xml:space="preserve"> – rheumatoid arthritis – autoantibodies – ACPA – RF </w:t>
      </w:r>
    </w:p>
    <w:p w14:paraId="47D8F919" w14:textId="77777777" w:rsidR="00103DDC" w:rsidRPr="005726D8" w:rsidRDefault="00103DDC">
      <w:pPr>
        <w:rPr>
          <w:rFonts w:asciiTheme="majorHAnsi" w:eastAsiaTheme="majorEastAsia" w:hAnsiTheme="majorHAnsi" w:cstheme="majorBidi"/>
          <w:color w:val="365F91" w:themeColor="accent1" w:themeShade="BF"/>
          <w:sz w:val="32"/>
          <w:szCs w:val="32"/>
          <w:lang w:val="en-GB"/>
        </w:rPr>
      </w:pPr>
      <w:r w:rsidRPr="005726D8">
        <w:rPr>
          <w:lang w:val="en-GB"/>
        </w:rPr>
        <w:br w:type="page"/>
      </w:r>
    </w:p>
    <w:p w14:paraId="69D91B55" w14:textId="77777777" w:rsidR="00103DDC" w:rsidRPr="005726D8" w:rsidRDefault="00103DDC" w:rsidP="00090D07">
      <w:pPr>
        <w:pStyle w:val="Kop1"/>
        <w:numPr>
          <w:ilvl w:val="0"/>
          <w:numId w:val="7"/>
        </w:numPr>
        <w:spacing w:line="360" w:lineRule="auto"/>
        <w:rPr>
          <w:b/>
          <w:lang w:val="en-GB"/>
        </w:rPr>
      </w:pPr>
      <w:r w:rsidRPr="005726D8">
        <w:rPr>
          <w:b/>
          <w:lang w:val="en-GB"/>
        </w:rPr>
        <w:lastRenderedPageBreak/>
        <w:t>Introduction</w:t>
      </w:r>
    </w:p>
    <w:p w14:paraId="48FA7142" w14:textId="77777777" w:rsidR="00103DDC" w:rsidRPr="005726D8" w:rsidRDefault="00103DDC" w:rsidP="00090D07">
      <w:pPr>
        <w:pStyle w:val="Geenafstand"/>
        <w:spacing w:line="360" w:lineRule="auto"/>
        <w:rPr>
          <w:lang w:val="en-GB"/>
        </w:rPr>
      </w:pPr>
    </w:p>
    <w:p w14:paraId="4AD7C199" w14:textId="77777777" w:rsidR="00103DDC" w:rsidRPr="005726D8" w:rsidRDefault="00103DDC" w:rsidP="00090D07">
      <w:pPr>
        <w:pStyle w:val="Geenafstand"/>
        <w:spacing w:line="360" w:lineRule="auto"/>
        <w:rPr>
          <w:lang w:val="en-GB"/>
        </w:rPr>
      </w:pPr>
      <w:r w:rsidRPr="005726D8">
        <w:rPr>
          <w:lang w:val="en-GB"/>
        </w:rPr>
        <w:t xml:space="preserve">Rheumatoid arthritis (RA) is an autoimmune disease, which affects about 1% of the world’s population and is characterized by inflammation-mediated joint destruction </w:t>
      </w:r>
      <w:r w:rsidRPr="005726D8">
        <w:rPr>
          <w:noProof/>
          <w:lang w:val="en-GB"/>
        </w:rPr>
        <w:t>[1]</w:t>
      </w:r>
      <w:r w:rsidRPr="005726D8">
        <w:rPr>
          <w:lang w:val="en-GB"/>
        </w:rPr>
        <w:t xml:space="preserve">. Two autoantibody </w:t>
      </w:r>
      <w:proofErr w:type="spellStart"/>
      <w:r w:rsidRPr="005726D8">
        <w:rPr>
          <w:lang w:val="en-GB"/>
        </w:rPr>
        <w:t>reactivities</w:t>
      </w:r>
      <w:proofErr w:type="spellEnd"/>
      <w:r w:rsidRPr="005726D8">
        <w:rPr>
          <w:lang w:val="en-GB"/>
        </w:rPr>
        <w:t xml:space="preserve"> that are frequently found in the sera of RA patients, anti-</w:t>
      </w:r>
      <w:proofErr w:type="spellStart"/>
      <w:r w:rsidRPr="005726D8">
        <w:rPr>
          <w:lang w:val="en-GB"/>
        </w:rPr>
        <w:t>citrullinated</w:t>
      </w:r>
      <w:proofErr w:type="spellEnd"/>
      <w:r w:rsidRPr="005726D8">
        <w:rPr>
          <w:lang w:val="en-GB"/>
        </w:rPr>
        <w:t xml:space="preserve"> protein antibodies (ACPA) and antibodies against the Fc portion of IgG, named rheumatoid factor (RF), are included in the ACR/EULAR criteria for the classification of RA </w:t>
      </w:r>
      <w:r w:rsidRPr="005726D8">
        <w:rPr>
          <w:noProof/>
          <w:color w:val="000000"/>
          <w:shd w:val="clear" w:color="auto" w:fill="FFFFFF"/>
          <w:lang w:val="en-GB"/>
        </w:rPr>
        <w:t>[2]</w:t>
      </w:r>
      <w:r w:rsidRPr="005726D8">
        <w:rPr>
          <w:lang w:val="en-GB"/>
        </w:rPr>
        <w:t>. The presence of these antibodies correlates with disease activity, prognosis</w:t>
      </w:r>
      <w:r w:rsidRPr="005726D8">
        <w:rPr>
          <w:color w:val="000000"/>
          <w:shd w:val="clear" w:color="auto" w:fill="FFFFFF"/>
          <w:lang w:val="en-GB"/>
        </w:rPr>
        <w:t xml:space="preserve"> and outcome </w:t>
      </w:r>
      <w:r w:rsidRPr="005726D8">
        <w:rPr>
          <w:noProof/>
          <w:lang w:val="en-GB"/>
        </w:rPr>
        <w:t>[3]</w:t>
      </w:r>
      <w:r w:rsidRPr="005726D8">
        <w:rPr>
          <w:color w:val="000000"/>
          <w:shd w:val="clear" w:color="auto" w:fill="FFFFFF"/>
          <w:lang w:val="en-GB"/>
        </w:rPr>
        <w:t xml:space="preserve">. Both ACPA and RF are sensitive biomarkers for RA, although RF is less specific </w:t>
      </w:r>
      <w:r w:rsidRPr="005726D8">
        <w:rPr>
          <w:noProof/>
          <w:color w:val="000000"/>
          <w:shd w:val="clear" w:color="auto" w:fill="FFFFFF"/>
          <w:lang w:val="en-GB"/>
        </w:rPr>
        <w:t>[4]</w:t>
      </w:r>
      <w:r w:rsidRPr="005726D8">
        <w:rPr>
          <w:color w:val="000000"/>
          <w:shd w:val="clear" w:color="auto" w:fill="FFFFFF"/>
          <w:lang w:val="en-GB"/>
        </w:rPr>
        <w:t xml:space="preserve">. A relatively small, though significant group of RA patients have neither ACPA nor RF (seronegative RA) and are being diagnosed via physical examination, imaging of the affected joints, or by other means. The identification of new biomarkers for RA that facilitate diagnosis, have prognostic potential for disease outcome or are predictors for treatment response, is an ongoing challenge. </w:t>
      </w:r>
    </w:p>
    <w:p w14:paraId="522AF581" w14:textId="77777777" w:rsidR="00103DDC" w:rsidRPr="005726D8" w:rsidRDefault="00103DDC" w:rsidP="00090D07">
      <w:pPr>
        <w:pStyle w:val="Geenafstand"/>
        <w:spacing w:line="360" w:lineRule="auto"/>
        <w:rPr>
          <w:lang w:val="en-GB"/>
        </w:rPr>
      </w:pPr>
    </w:p>
    <w:p w14:paraId="5519376B" w14:textId="77777777" w:rsidR="00103DDC" w:rsidRPr="005726D8" w:rsidRDefault="00103DDC" w:rsidP="00090D07">
      <w:pPr>
        <w:pStyle w:val="Geenafstand"/>
        <w:spacing w:line="360" w:lineRule="auto"/>
        <w:rPr>
          <w:lang w:val="en-GB"/>
        </w:rPr>
      </w:pPr>
      <w:r w:rsidRPr="005726D8">
        <w:rPr>
          <w:lang w:val="en-GB"/>
        </w:rPr>
        <w:t xml:space="preserve">About 15 years ago, neutrophil extracellular traps (NETs) were described as a new mechanism of neutrophils to fight infections </w:t>
      </w:r>
      <w:r w:rsidRPr="005726D8">
        <w:rPr>
          <w:noProof/>
          <w:lang w:val="en-GB"/>
        </w:rPr>
        <w:t>[5]</w:t>
      </w:r>
      <w:r w:rsidRPr="005726D8">
        <w:rPr>
          <w:lang w:val="en-GB"/>
        </w:rPr>
        <w:t xml:space="preserve">. NETs consist of chromatin mixed with granular proteins and neutrophils form them to entrap pathogens. Soon after their discovery, NETs were implicated in multiple autoimmune diseases, such as systemic lupus erythematosus (SLE), ANCA-associated vasculitis and RA </w:t>
      </w:r>
      <w:r w:rsidRPr="005726D8">
        <w:rPr>
          <w:noProof/>
          <w:lang w:val="en-GB"/>
        </w:rPr>
        <w:t>[6-8]</w:t>
      </w:r>
      <w:r w:rsidRPr="005726D8">
        <w:rPr>
          <w:lang w:val="en-GB"/>
        </w:rPr>
        <w:t xml:space="preserve">. </w:t>
      </w:r>
      <w:r w:rsidRPr="005726D8">
        <w:rPr>
          <w:rFonts w:ascii="Calibri" w:hAnsi="Calibri"/>
          <w:color w:val="000000"/>
          <w:lang w:val="en-GB"/>
        </w:rPr>
        <w:t>Neutrophils</w:t>
      </w:r>
      <w:r w:rsidRPr="005726D8">
        <w:rPr>
          <w:lang w:val="en-GB"/>
        </w:rPr>
        <w:t xml:space="preserve"> of RA patients were found to have an increased propensity to form NETs and to respond more vigorously to neutrophil-activating stimuli </w:t>
      </w:r>
      <w:r w:rsidRPr="005726D8">
        <w:rPr>
          <w:noProof/>
          <w:lang w:val="en-GB"/>
        </w:rPr>
        <w:t>[9-11]</w:t>
      </w:r>
      <w:r w:rsidRPr="005726D8">
        <w:rPr>
          <w:lang w:val="en-GB"/>
        </w:rPr>
        <w:t xml:space="preserve">. </w:t>
      </w:r>
    </w:p>
    <w:p w14:paraId="436FF0BE" w14:textId="77777777" w:rsidR="00103DDC" w:rsidRPr="005726D8" w:rsidRDefault="00103DDC" w:rsidP="00090D07">
      <w:pPr>
        <w:pStyle w:val="Geenafstand"/>
        <w:spacing w:line="360" w:lineRule="auto"/>
        <w:rPr>
          <w:lang w:val="en-GB"/>
        </w:rPr>
      </w:pPr>
    </w:p>
    <w:p w14:paraId="38737FF1" w14:textId="77777777" w:rsidR="00103DDC" w:rsidRPr="005726D8" w:rsidRDefault="00103DDC" w:rsidP="00090D07">
      <w:pPr>
        <w:pStyle w:val="Geenafstand"/>
        <w:spacing w:line="360" w:lineRule="auto"/>
        <w:rPr>
          <w:lang w:val="en-GB"/>
        </w:rPr>
      </w:pPr>
      <w:r w:rsidRPr="005726D8">
        <w:rPr>
          <w:lang w:val="en-GB"/>
        </w:rPr>
        <w:t xml:space="preserve">Interestingly, several studies have identified </w:t>
      </w:r>
      <w:proofErr w:type="spellStart"/>
      <w:r w:rsidRPr="005726D8">
        <w:rPr>
          <w:lang w:val="en-GB"/>
        </w:rPr>
        <w:t>citrullinated</w:t>
      </w:r>
      <w:proofErr w:type="spellEnd"/>
      <w:r w:rsidRPr="005726D8">
        <w:rPr>
          <w:lang w:val="en-GB"/>
        </w:rPr>
        <w:t xml:space="preserve"> proteins on NETs, including histones, neutrophil elastase, </w:t>
      </w:r>
      <w:proofErr w:type="spellStart"/>
      <w:r w:rsidRPr="005726D8">
        <w:rPr>
          <w:lang w:val="en-GB"/>
        </w:rPr>
        <w:t>azurocidin</w:t>
      </w:r>
      <w:proofErr w:type="spellEnd"/>
      <w:r w:rsidRPr="005726D8">
        <w:rPr>
          <w:lang w:val="en-GB"/>
        </w:rPr>
        <w:t xml:space="preserve"> and </w:t>
      </w:r>
      <w:r w:rsidRPr="005726D8">
        <w:rPr>
          <w:lang w:val="en-US"/>
        </w:rPr>
        <w:t xml:space="preserve">myeloid cell nuclear differentiation antigen (MNDA) </w:t>
      </w:r>
      <w:r w:rsidRPr="005726D8">
        <w:rPr>
          <w:noProof/>
          <w:lang w:val="en-US"/>
        </w:rPr>
        <w:t>[9, 12, 13]</w:t>
      </w:r>
      <w:r w:rsidRPr="005726D8">
        <w:rPr>
          <w:lang w:val="en-US"/>
        </w:rPr>
        <w:t xml:space="preserve">. These proteins may contain epitopes that are recognized by autoantibodies in RA sera. Indeed, RA sera were shown to have antibodies against NETs, </w:t>
      </w:r>
      <w:r w:rsidRPr="005726D8">
        <w:rPr>
          <w:lang w:val="en-GB"/>
        </w:rPr>
        <w:t xml:space="preserve">and their reactivity was diminished when ACPA were depleted from the sera </w:t>
      </w:r>
      <w:r w:rsidRPr="005726D8">
        <w:rPr>
          <w:rFonts w:ascii="Calibri" w:hAnsi="Calibri"/>
          <w:noProof/>
          <w:color w:val="000000"/>
          <w:lang w:val="en-GB"/>
        </w:rPr>
        <w:t>[9, 13-15]</w:t>
      </w:r>
      <w:r w:rsidRPr="005726D8">
        <w:rPr>
          <w:lang w:val="en-GB"/>
        </w:rPr>
        <w:t xml:space="preserve">. </w:t>
      </w:r>
      <w:r w:rsidRPr="005726D8">
        <w:rPr>
          <w:rFonts w:ascii="Calibri" w:hAnsi="Calibri"/>
          <w:color w:val="000000"/>
          <w:lang w:val="en-GB"/>
        </w:rPr>
        <w:t xml:space="preserve">ACPA have also been reported to stimulate NET formation, suggesting an inflammatory feed forward loop </w:t>
      </w:r>
      <w:r w:rsidRPr="005726D8">
        <w:rPr>
          <w:rFonts w:ascii="Calibri" w:hAnsi="Calibri"/>
          <w:noProof/>
          <w:color w:val="000000"/>
          <w:lang w:val="en-GB"/>
        </w:rPr>
        <w:t>[9, 16, 17]</w:t>
      </w:r>
      <w:r w:rsidRPr="005726D8">
        <w:rPr>
          <w:rFonts w:ascii="Calibri" w:hAnsi="Calibri"/>
          <w:color w:val="000000"/>
          <w:lang w:val="en-GB"/>
        </w:rPr>
        <w:t xml:space="preserve">. </w:t>
      </w:r>
      <w:r w:rsidRPr="005726D8">
        <w:rPr>
          <w:lang w:val="en-GB"/>
        </w:rPr>
        <w:t xml:space="preserve">Little is known about the other anti-NET antibodies in RA that do not target </w:t>
      </w:r>
      <w:proofErr w:type="spellStart"/>
      <w:r w:rsidRPr="005726D8">
        <w:rPr>
          <w:lang w:val="en-GB"/>
        </w:rPr>
        <w:t>citrulline</w:t>
      </w:r>
      <w:proofErr w:type="spellEnd"/>
      <w:r w:rsidRPr="005726D8">
        <w:rPr>
          <w:lang w:val="en-GB"/>
        </w:rPr>
        <w:t>, and the overall prevalence of ANETA in RA patients is unclear.</w:t>
      </w:r>
    </w:p>
    <w:p w14:paraId="42000F00" w14:textId="77777777" w:rsidR="00103DDC" w:rsidRPr="005726D8" w:rsidRDefault="00103DDC" w:rsidP="00090D07">
      <w:pPr>
        <w:pStyle w:val="Geenafstand"/>
        <w:spacing w:line="360" w:lineRule="auto"/>
        <w:rPr>
          <w:lang w:val="en-GB"/>
        </w:rPr>
      </w:pPr>
    </w:p>
    <w:p w14:paraId="174C53A9" w14:textId="3E3BAC5C" w:rsidR="00103DDC" w:rsidRPr="005726D8" w:rsidRDefault="00103DDC" w:rsidP="00090D07">
      <w:pPr>
        <w:pStyle w:val="Geenafstand"/>
        <w:spacing w:line="360" w:lineRule="auto"/>
        <w:rPr>
          <w:lang w:val="en-GB"/>
        </w:rPr>
      </w:pPr>
      <w:r w:rsidRPr="005726D8">
        <w:rPr>
          <w:color w:val="000000"/>
          <w:shd w:val="clear" w:color="auto" w:fill="FFFFFF"/>
          <w:lang w:val="en-GB"/>
        </w:rPr>
        <w:t>The aim of this work was to assess the prevalence of a</w:t>
      </w:r>
      <w:r w:rsidRPr="005726D8">
        <w:rPr>
          <w:rFonts w:ascii="Calibri" w:hAnsi="Calibri"/>
          <w:color w:val="000000"/>
          <w:lang w:val="en-GB"/>
        </w:rPr>
        <w:t xml:space="preserve">utoantibodies against NETs in RA and their potential as a biomarker in RA. </w:t>
      </w:r>
      <w:r w:rsidRPr="005726D8">
        <w:rPr>
          <w:lang w:val="en-GB"/>
        </w:rPr>
        <w:t xml:space="preserve">The prevalence of ANETA in RA patient sera was determined by an anti-NET ELISA with four different types of NETs and the results were verified by an immunofluorescence assay. In order to determine the clinical value of ANETA as a biomarker, the </w:t>
      </w:r>
      <w:r w:rsidRPr="005726D8">
        <w:rPr>
          <w:lang w:val="en-GB"/>
        </w:rPr>
        <w:lastRenderedPageBreak/>
        <w:t xml:space="preserve">results were compared </w:t>
      </w:r>
      <w:r w:rsidR="007E4EE7" w:rsidRPr="005726D8">
        <w:rPr>
          <w:lang w:val="en-GB"/>
        </w:rPr>
        <w:t>with</w:t>
      </w:r>
      <w:r w:rsidRPr="005726D8">
        <w:rPr>
          <w:lang w:val="en-GB"/>
        </w:rPr>
        <w:t xml:space="preserve"> ACPA</w:t>
      </w:r>
      <w:r w:rsidR="007E4EE7" w:rsidRPr="005726D8">
        <w:rPr>
          <w:lang w:val="en-GB"/>
        </w:rPr>
        <w:t xml:space="preserve"> and </w:t>
      </w:r>
      <w:r w:rsidRPr="005726D8">
        <w:rPr>
          <w:lang w:val="en-GB"/>
        </w:rPr>
        <w:t>RF</w:t>
      </w:r>
      <w:r w:rsidR="007E4EE7" w:rsidRPr="005726D8">
        <w:rPr>
          <w:lang w:val="en-GB"/>
        </w:rPr>
        <w:t xml:space="preserve"> levels. Finally, we compared ANETA levels with other clinical parameters such as </w:t>
      </w:r>
      <w:r w:rsidRPr="005726D8">
        <w:rPr>
          <w:lang w:val="en-GB"/>
        </w:rPr>
        <w:t>the presence of circulating NETs or NET fragments , disease activity scores and inflammation markers.</w:t>
      </w:r>
    </w:p>
    <w:p w14:paraId="66323A02" w14:textId="77777777" w:rsidR="00103DDC" w:rsidRPr="005726D8" w:rsidRDefault="00103DDC" w:rsidP="00090D07">
      <w:pPr>
        <w:pStyle w:val="Geenafstand"/>
        <w:spacing w:line="360" w:lineRule="auto"/>
        <w:rPr>
          <w:lang w:val="en-GB"/>
        </w:rPr>
      </w:pPr>
    </w:p>
    <w:p w14:paraId="2FE840BC" w14:textId="77777777" w:rsidR="00103DDC" w:rsidRPr="005726D8" w:rsidRDefault="00103DDC" w:rsidP="00090D07">
      <w:pPr>
        <w:pStyle w:val="Geenafstand"/>
        <w:spacing w:line="360" w:lineRule="auto"/>
        <w:rPr>
          <w:lang w:val="en-GB"/>
        </w:rPr>
      </w:pPr>
    </w:p>
    <w:p w14:paraId="7C08363F" w14:textId="77777777" w:rsidR="00103DDC" w:rsidRPr="005726D8" w:rsidRDefault="00103DDC" w:rsidP="00090D07">
      <w:pPr>
        <w:pStyle w:val="Kop1"/>
        <w:numPr>
          <w:ilvl w:val="0"/>
          <w:numId w:val="7"/>
        </w:numPr>
        <w:spacing w:line="360" w:lineRule="auto"/>
        <w:rPr>
          <w:b/>
          <w:lang w:val="en-GB"/>
        </w:rPr>
      </w:pPr>
      <w:r w:rsidRPr="005726D8">
        <w:rPr>
          <w:b/>
          <w:lang w:val="en-GB"/>
        </w:rPr>
        <w:t>Material and Methods</w:t>
      </w:r>
    </w:p>
    <w:p w14:paraId="621619CD" w14:textId="77777777" w:rsidR="00103DDC" w:rsidRPr="005726D8" w:rsidRDefault="00103DDC" w:rsidP="00090D07">
      <w:pPr>
        <w:pStyle w:val="Geenafstand"/>
        <w:spacing w:line="360" w:lineRule="auto"/>
        <w:rPr>
          <w:b/>
          <w:lang w:val="en-GB"/>
        </w:rPr>
      </w:pPr>
    </w:p>
    <w:p w14:paraId="04E8C4B0" w14:textId="77777777" w:rsidR="00103DDC" w:rsidRPr="005726D8" w:rsidRDefault="00103DDC" w:rsidP="00090D07">
      <w:pPr>
        <w:pStyle w:val="Geenafstand"/>
        <w:spacing w:line="360" w:lineRule="auto"/>
        <w:rPr>
          <w:b/>
          <w:lang w:val="en-GB"/>
        </w:rPr>
      </w:pPr>
      <w:r w:rsidRPr="005726D8">
        <w:rPr>
          <w:b/>
          <w:lang w:val="en-GB"/>
        </w:rPr>
        <w:t>2.1 Patient sera</w:t>
      </w:r>
    </w:p>
    <w:p w14:paraId="70CE4709" w14:textId="07B9314B" w:rsidR="00103DDC" w:rsidRPr="005726D8" w:rsidRDefault="00103DDC" w:rsidP="002B0C14">
      <w:pPr>
        <w:pStyle w:val="Geenafstand"/>
        <w:spacing w:line="360" w:lineRule="auto"/>
        <w:rPr>
          <w:lang w:val="en-GB"/>
        </w:rPr>
      </w:pPr>
      <w:r w:rsidRPr="005726D8">
        <w:rPr>
          <w:lang w:val="en-GB"/>
        </w:rPr>
        <w:t>This study was carried out in accordance with the recommendations of the National Research Ethics Service (NRES) Committee Northwest (Greater Manchester West), UK for RA patients and was approved by the ‘</w:t>
      </w:r>
      <w:proofErr w:type="spellStart"/>
      <w:r w:rsidRPr="005726D8">
        <w:rPr>
          <w:lang w:val="en-GB"/>
        </w:rPr>
        <w:t>Commissie</w:t>
      </w:r>
      <w:proofErr w:type="spellEnd"/>
      <w:r w:rsidRPr="005726D8">
        <w:rPr>
          <w:lang w:val="en-GB"/>
        </w:rPr>
        <w:t xml:space="preserve"> </w:t>
      </w:r>
      <w:proofErr w:type="spellStart"/>
      <w:r w:rsidRPr="005726D8">
        <w:rPr>
          <w:lang w:val="en-GB"/>
        </w:rPr>
        <w:t>Mensgebonden</w:t>
      </w:r>
      <w:proofErr w:type="spellEnd"/>
      <w:r w:rsidRPr="005726D8">
        <w:rPr>
          <w:lang w:val="en-GB"/>
        </w:rPr>
        <w:t xml:space="preserve"> </w:t>
      </w:r>
      <w:proofErr w:type="spellStart"/>
      <w:r w:rsidRPr="005726D8">
        <w:rPr>
          <w:lang w:val="en-GB"/>
        </w:rPr>
        <w:t>Onderzoek</w:t>
      </w:r>
      <w:proofErr w:type="spellEnd"/>
      <w:r w:rsidRPr="005726D8">
        <w:rPr>
          <w:lang w:val="en-GB"/>
        </w:rPr>
        <w:t xml:space="preserve">’ region Arnhem Nijmegen, with written informed consent from all subjects in accordance with the Declaration of Helsinki. All </w:t>
      </w:r>
      <w:r w:rsidR="00090D07" w:rsidRPr="005726D8">
        <w:rPr>
          <w:lang w:val="en-GB"/>
        </w:rPr>
        <w:t xml:space="preserve">RA </w:t>
      </w:r>
      <w:r w:rsidRPr="005726D8">
        <w:rPr>
          <w:lang w:val="en-GB"/>
        </w:rPr>
        <w:t xml:space="preserve">patients fulfilled ACR criteria for RA and were recruited from clinics at University Hospital Aintree in Liverpool and at </w:t>
      </w:r>
      <w:proofErr w:type="spellStart"/>
      <w:r w:rsidRPr="005726D8">
        <w:rPr>
          <w:lang w:val="en-GB"/>
        </w:rPr>
        <w:t>Radboud</w:t>
      </w:r>
      <w:proofErr w:type="spellEnd"/>
      <w:r w:rsidRPr="005726D8">
        <w:rPr>
          <w:lang w:val="en-GB"/>
        </w:rPr>
        <w:t xml:space="preserve"> University Medical </w:t>
      </w:r>
      <w:proofErr w:type="spellStart"/>
      <w:r w:rsidRPr="005726D8">
        <w:rPr>
          <w:lang w:val="en-GB"/>
        </w:rPr>
        <w:t>Center</w:t>
      </w:r>
      <w:proofErr w:type="spellEnd"/>
      <w:r w:rsidRPr="005726D8">
        <w:rPr>
          <w:lang w:val="en-GB"/>
        </w:rPr>
        <w:t>/</w:t>
      </w:r>
      <w:proofErr w:type="spellStart"/>
      <w:r w:rsidRPr="005726D8">
        <w:rPr>
          <w:lang w:val="en-GB"/>
        </w:rPr>
        <w:t>Sint</w:t>
      </w:r>
      <w:proofErr w:type="spellEnd"/>
      <w:r w:rsidRPr="005726D8">
        <w:rPr>
          <w:lang w:val="en-GB"/>
        </w:rPr>
        <w:t xml:space="preserve"> </w:t>
      </w:r>
      <w:proofErr w:type="spellStart"/>
      <w:r w:rsidRPr="005726D8">
        <w:rPr>
          <w:lang w:val="en-GB"/>
        </w:rPr>
        <w:t>Maartenskliniek</w:t>
      </w:r>
      <w:proofErr w:type="spellEnd"/>
      <w:r w:rsidRPr="005726D8">
        <w:rPr>
          <w:lang w:val="en-GB"/>
        </w:rPr>
        <w:t xml:space="preserve"> in Nijmegen.</w:t>
      </w:r>
      <w:r w:rsidR="002B0C14" w:rsidRPr="005726D8">
        <w:rPr>
          <w:lang w:val="en-GB"/>
        </w:rPr>
        <w:t xml:space="preserve"> </w:t>
      </w:r>
      <w:bookmarkStart w:id="7" w:name="_Hlk36642740"/>
      <w:r w:rsidR="002B0C14" w:rsidRPr="005726D8">
        <w:rPr>
          <w:lang w:val="en-GB"/>
        </w:rPr>
        <w:t>The sera from RA patients at baseline and follow-up were from the Leiden Early Arthritis Clinic and have been described previously [</w:t>
      </w:r>
      <w:r w:rsidR="00802283" w:rsidRPr="005726D8">
        <w:rPr>
          <w:lang w:val="en-GB"/>
        </w:rPr>
        <w:t>18</w:t>
      </w:r>
      <w:r w:rsidR="002B0C14" w:rsidRPr="005726D8">
        <w:rPr>
          <w:lang w:val="en-GB"/>
        </w:rPr>
        <w:t>]</w:t>
      </w:r>
      <w:r w:rsidR="00802283" w:rsidRPr="005726D8">
        <w:rPr>
          <w:lang w:val="en-GB"/>
        </w:rPr>
        <w:t>.</w:t>
      </w:r>
      <w:bookmarkEnd w:id="7"/>
      <w:r w:rsidR="00495635" w:rsidRPr="005726D8">
        <w:rPr>
          <w:lang w:val="en-GB"/>
        </w:rPr>
        <w:t xml:space="preserve"> </w:t>
      </w:r>
      <w:bookmarkStart w:id="8" w:name="_Hlk36642694"/>
      <w:bookmarkStart w:id="9" w:name="_Hlk35869648"/>
      <w:r w:rsidR="00495635" w:rsidRPr="005726D8">
        <w:rPr>
          <w:lang w:val="en-GB"/>
        </w:rPr>
        <w:t xml:space="preserve">The scleroderma, </w:t>
      </w:r>
      <w:r w:rsidR="00090D07" w:rsidRPr="005726D8">
        <w:rPr>
          <w:lang w:val="en-GB"/>
        </w:rPr>
        <w:t xml:space="preserve">systemic lupus erythematosus and </w:t>
      </w:r>
      <w:proofErr w:type="spellStart"/>
      <w:r w:rsidR="00090D07" w:rsidRPr="005726D8">
        <w:rPr>
          <w:lang w:val="en-GB"/>
        </w:rPr>
        <w:t>Sjögren's</w:t>
      </w:r>
      <w:proofErr w:type="spellEnd"/>
      <w:r w:rsidR="00090D07" w:rsidRPr="005726D8">
        <w:rPr>
          <w:lang w:val="en-GB"/>
        </w:rPr>
        <w:t xml:space="preserve"> syndrome patient</w:t>
      </w:r>
      <w:r w:rsidR="00495635" w:rsidRPr="005726D8">
        <w:rPr>
          <w:lang w:val="en-GB"/>
        </w:rPr>
        <w:t xml:space="preserve"> sera were a kind gift from </w:t>
      </w:r>
      <w:proofErr w:type="spellStart"/>
      <w:r w:rsidR="005E0415" w:rsidRPr="005726D8">
        <w:rPr>
          <w:lang w:val="en-GB"/>
        </w:rPr>
        <w:t>Dr.</w:t>
      </w:r>
      <w:proofErr w:type="spellEnd"/>
      <w:r w:rsidR="005E0415" w:rsidRPr="005726D8">
        <w:rPr>
          <w:lang w:val="en-GB"/>
        </w:rPr>
        <w:t xml:space="preserve"> </w:t>
      </w:r>
      <w:r w:rsidR="00495635" w:rsidRPr="005726D8">
        <w:rPr>
          <w:lang w:val="en-GB"/>
        </w:rPr>
        <w:t>Alain Meyer</w:t>
      </w:r>
      <w:r w:rsidR="002B0C14" w:rsidRPr="005726D8">
        <w:rPr>
          <w:lang w:val="en-GB"/>
        </w:rPr>
        <w:t xml:space="preserve"> (</w:t>
      </w:r>
      <w:proofErr w:type="spellStart"/>
      <w:r w:rsidR="002B0C14" w:rsidRPr="005726D8">
        <w:rPr>
          <w:lang w:val="en-GB"/>
        </w:rPr>
        <w:t>Université</w:t>
      </w:r>
      <w:proofErr w:type="spellEnd"/>
      <w:r w:rsidR="002B0C14" w:rsidRPr="005726D8">
        <w:rPr>
          <w:lang w:val="en-GB"/>
        </w:rPr>
        <w:t xml:space="preserve"> de Strasbourg, Strasbourg, France</w:t>
      </w:r>
      <w:r w:rsidR="005E0415" w:rsidRPr="005726D8">
        <w:rPr>
          <w:lang w:val="en-GB"/>
        </w:rPr>
        <w:t>)</w:t>
      </w:r>
      <w:r w:rsidR="00495635" w:rsidRPr="005726D8">
        <w:rPr>
          <w:lang w:val="en-GB"/>
        </w:rPr>
        <w:t xml:space="preserve">. </w:t>
      </w:r>
      <w:bookmarkEnd w:id="8"/>
    </w:p>
    <w:bookmarkEnd w:id="9"/>
    <w:p w14:paraId="34881FD4" w14:textId="77777777" w:rsidR="00103DDC" w:rsidRPr="005726D8" w:rsidRDefault="00103DDC" w:rsidP="00090D07">
      <w:pPr>
        <w:pStyle w:val="Geenafstand"/>
        <w:spacing w:line="360" w:lineRule="auto"/>
        <w:rPr>
          <w:lang w:val="en-GB"/>
        </w:rPr>
      </w:pPr>
    </w:p>
    <w:p w14:paraId="6539CFB8" w14:textId="77777777" w:rsidR="00103DDC" w:rsidRPr="005726D8" w:rsidRDefault="00103DDC" w:rsidP="00090D07">
      <w:pPr>
        <w:pStyle w:val="Geenafstand"/>
        <w:spacing w:line="360" w:lineRule="auto"/>
        <w:rPr>
          <w:b/>
          <w:lang w:val="en-GB"/>
        </w:rPr>
      </w:pPr>
      <w:r w:rsidRPr="005726D8">
        <w:rPr>
          <w:b/>
          <w:lang w:val="en-GB"/>
        </w:rPr>
        <w:t>2.2 RF quantification in sera</w:t>
      </w:r>
    </w:p>
    <w:p w14:paraId="75E2BF86" w14:textId="77777777" w:rsidR="00103DDC" w:rsidRPr="005726D8" w:rsidRDefault="00103DDC" w:rsidP="00090D07">
      <w:pPr>
        <w:pStyle w:val="Geenafstand"/>
        <w:spacing w:line="360" w:lineRule="auto"/>
        <w:rPr>
          <w:lang w:val="en-GB"/>
        </w:rPr>
      </w:pPr>
      <w:r w:rsidRPr="005726D8">
        <w:rPr>
          <w:lang w:val="en-GB"/>
        </w:rPr>
        <w:t xml:space="preserve">RF was determined by ELISA (Rheumatoid Factor Ab ELISA kit; </w:t>
      </w:r>
      <w:proofErr w:type="spellStart"/>
      <w:r w:rsidRPr="005726D8">
        <w:rPr>
          <w:lang w:val="en-GB"/>
        </w:rPr>
        <w:t>Abnova</w:t>
      </w:r>
      <w:proofErr w:type="spellEnd"/>
      <w:r w:rsidRPr="005726D8">
        <w:rPr>
          <w:lang w:val="en-GB"/>
        </w:rPr>
        <w:t xml:space="preserve"> Cat. no. KA1442) in accordance with the manufacturer’s instructions. </w:t>
      </w:r>
    </w:p>
    <w:p w14:paraId="16DA7749" w14:textId="77777777" w:rsidR="00103DDC" w:rsidRPr="005726D8" w:rsidRDefault="00103DDC" w:rsidP="00090D07">
      <w:pPr>
        <w:pStyle w:val="Geenafstand"/>
        <w:spacing w:line="360" w:lineRule="auto"/>
        <w:rPr>
          <w:lang w:val="en-GB"/>
        </w:rPr>
      </w:pPr>
    </w:p>
    <w:p w14:paraId="561EEBE2" w14:textId="77777777" w:rsidR="00103DDC" w:rsidRPr="005726D8" w:rsidRDefault="00103DDC" w:rsidP="00090D07">
      <w:pPr>
        <w:pStyle w:val="Geenafstand"/>
        <w:spacing w:line="360" w:lineRule="auto"/>
        <w:rPr>
          <w:b/>
          <w:lang w:val="en-GB"/>
        </w:rPr>
      </w:pPr>
      <w:r w:rsidRPr="005726D8">
        <w:rPr>
          <w:b/>
          <w:lang w:val="en-GB"/>
        </w:rPr>
        <w:t>2.3 Measurement of soluble NET components in sera</w:t>
      </w:r>
    </w:p>
    <w:p w14:paraId="7B4C1810" w14:textId="13590C8D" w:rsidR="00103DDC" w:rsidRPr="005726D8" w:rsidRDefault="00103DDC" w:rsidP="00090D07">
      <w:pPr>
        <w:pStyle w:val="Geenafstand"/>
        <w:spacing w:line="360" w:lineRule="auto"/>
        <w:rPr>
          <w:lang w:val="en-GB"/>
        </w:rPr>
      </w:pPr>
      <w:r w:rsidRPr="005726D8">
        <w:rPr>
          <w:lang w:val="en-GB"/>
        </w:rPr>
        <w:t xml:space="preserve">The amount of NETs in the sera was quantified as has been described previously, using a NET ELISA </w:t>
      </w:r>
      <w:r w:rsidRPr="005726D8">
        <w:rPr>
          <w:noProof/>
          <w:lang w:val="en-GB"/>
        </w:rPr>
        <w:t>[1</w:t>
      </w:r>
      <w:r w:rsidR="00802283" w:rsidRPr="005726D8">
        <w:rPr>
          <w:noProof/>
          <w:lang w:val="en-GB"/>
        </w:rPr>
        <w:t>9</w:t>
      </w:r>
      <w:r w:rsidRPr="005726D8">
        <w:rPr>
          <w:noProof/>
          <w:lang w:val="en-GB"/>
        </w:rPr>
        <w:t>]</w:t>
      </w:r>
      <w:r w:rsidRPr="005726D8">
        <w:rPr>
          <w:lang w:val="en-GB"/>
        </w:rPr>
        <w:t>. Briefly, a sandwich ELISA was performed in which the anti-MPO antibody (</w:t>
      </w:r>
      <w:proofErr w:type="spellStart"/>
      <w:r w:rsidRPr="005726D8">
        <w:rPr>
          <w:lang w:val="en-GB"/>
        </w:rPr>
        <w:t>Biorad</w:t>
      </w:r>
      <w:proofErr w:type="spellEnd"/>
      <w:r w:rsidRPr="005726D8">
        <w:rPr>
          <w:lang w:val="en-GB"/>
        </w:rPr>
        <w:t xml:space="preserve"> Cat.no 0400-0002) served as a capturing antibody to bind NETs or NET remnants. The anti-DNA antibody conjugated to peroxidase (Cell Death Detection ELISAPLUS, Roche, Cat.no 11774425001) was subsequently used to detect bound NETs.  </w:t>
      </w:r>
    </w:p>
    <w:p w14:paraId="31440B49" w14:textId="77777777" w:rsidR="00103DDC" w:rsidRPr="005726D8" w:rsidRDefault="00103DDC" w:rsidP="00090D07">
      <w:pPr>
        <w:pStyle w:val="Geenafstand"/>
        <w:spacing w:line="360" w:lineRule="auto"/>
        <w:rPr>
          <w:lang w:val="en-GB"/>
        </w:rPr>
      </w:pPr>
    </w:p>
    <w:p w14:paraId="1A71B189" w14:textId="77777777" w:rsidR="00103DDC" w:rsidRPr="005726D8" w:rsidRDefault="00103DDC" w:rsidP="00090D07">
      <w:pPr>
        <w:pStyle w:val="Geenafstand"/>
        <w:spacing w:line="360" w:lineRule="auto"/>
        <w:rPr>
          <w:b/>
          <w:lang w:val="en-GB"/>
        </w:rPr>
      </w:pPr>
      <w:r w:rsidRPr="005726D8">
        <w:rPr>
          <w:b/>
          <w:lang w:val="en-GB"/>
        </w:rPr>
        <w:t>2.4 Neutrophil isolation and induction of NET formation</w:t>
      </w:r>
    </w:p>
    <w:p w14:paraId="16B48939" w14:textId="32DB2D5F" w:rsidR="00103DDC" w:rsidRPr="005726D8" w:rsidRDefault="00103DDC" w:rsidP="00090D07">
      <w:pPr>
        <w:pStyle w:val="Geenafstand"/>
        <w:spacing w:line="360" w:lineRule="auto"/>
        <w:rPr>
          <w:lang w:val="en-GB"/>
        </w:rPr>
      </w:pPr>
      <w:r w:rsidRPr="005726D8">
        <w:rPr>
          <w:lang w:val="en-GB"/>
        </w:rPr>
        <w:t xml:space="preserve">Blood was collected from healthy donors or from RA patients (with informed consent from all subjects). To 25 ml of anti-coagulated blood 5 ml </w:t>
      </w:r>
      <w:proofErr w:type="spellStart"/>
      <w:r w:rsidRPr="005726D8">
        <w:rPr>
          <w:lang w:val="en-GB"/>
        </w:rPr>
        <w:t>HetaSep</w:t>
      </w:r>
      <w:proofErr w:type="spellEnd"/>
      <w:r w:rsidRPr="005726D8">
        <w:rPr>
          <w:lang w:val="en-GB"/>
        </w:rPr>
        <w:t xml:space="preserve"> (</w:t>
      </w:r>
      <w:proofErr w:type="spellStart"/>
      <w:r w:rsidRPr="005726D8">
        <w:rPr>
          <w:lang w:val="en-GB"/>
        </w:rPr>
        <w:t>Stemcell</w:t>
      </w:r>
      <w:proofErr w:type="spellEnd"/>
      <w:r w:rsidRPr="005726D8">
        <w:rPr>
          <w:lang w:val="en-GB"/>
        </w:rPr>
        <w:t xml:space="preserve"> Technologies, Cat.no 07806) was added, followed by incubation for 30 min at 37°C. The top layer containing white blood cells was then collected and layered on top of 15 ml </w:t>
      </w:r>
      <w:proofErr w:type="spellStart"/>
      <w:r w:rsidRPr="005726D8">
        <w:rPr>
          <w:lang w:val="en-GB"/>
        </w:rPr>
        <w:t>Ficoll</w:t>
      </w:r>
      <w:proofErr w:type="spellEnd"/>
      <w:r w:rsidRPr="005726D8">
        <w:rPr>
          <w:lang w:val="en-GB"/>
        </w:rPr>
        <w:t xml:space="preserve"> (GE Healthcare, Cat.no 17-1440-02) and centrifuged </w:t>
      </w:r>
      <w:r w:rsidRPr="005726D8">
        <w:rPr>
          <w:lang w:val="en-GB"/>
        </w:rPr>
        <w:lastRenderedPageBreak/>
        <w:t xml:space="preserve">for 30 minutes at 500xg. The granulocytes were washed once with PBS and remaining red blood cells were removed by hypotonic lysis with ammonium chloride (150 </w:t>
      </w:r>
      <w:proofErr w:type="spellStart"/>
      <w:r w:rsidRPr="005726D8">
        <w:rPr>
          <w:lang w:val="en-GB"/>
        </w:rPr>
        <w:t>mM</w:t>
      </w:r>
      <w:proofErr w:type="spellEnd"/>
      <w:r w:rsidRPr="005726D8">
        <w:rPr>
          <w:lang w:val="en-GB"/>
        </w:rPr>
        <w:t xml:space="preserve">). Subsequently, the granulocytes were collected by centrifugation and </w:t>
      </w:r>
      <w:proofErr w:type="spellStart"/>
      <w:r w:rsidRPr="005726D8">
        <w:rPr>
          <w:lang w:val="en-GB"/>
        </w:rPr>
        <w:t>resuspended</w:t>
      </w:r>
      <w:proofErr w:type="spellEnd"/>
      <w:r w:rsidRPr="005726D8">
        <w:rPr>
          <w:lang w:val="en-GB"/>
        </w:rPr>
        <w:t xml:space="preserve"> in pre-warmed DMEM/F12 medium without phenol-red (</w:t>
      </w:r>
      <w:proofErr w:type="spellStart"/>
      <w:r w:rsidRPr="005726D8">
        <w:rPr>
          <w:lang w:val="en-GB"/>
        </w:rPr>
        <w:t>Gibco</w:t>
      </w:r>
      <w:proofErr w:type="spellEnd"/>
      <w:r w:rsidRPr="005726D8">
        <w:rPr>
          <w:lang w:val="en-GB"/>
        </w:rPr>
        <w:t>, Cat.no 11039-021). Per petri dish (60 cm</w:t>
      </w:r>
      <w:r w:rsidRPr="005726D8">
        <w:rPr>
          <w:vertAlign w:val="superscript"/>
          <w:lang w:val="en-GB"/>
        </w:rPr>
        <w:t>2</w:t>
      </w:r>
      <w:r w:rsidRPr="005726D8">
        <w:rPr>
          <w:lang w:val="en-GB"/>
        </w:rPr>
        <w:t xml:space="preserve">), 20 to 30 million neutrophils were seeded in a total volume of 15 ml. The cells were allowed to adhere to the plate for 30 min at 37°C and subsequently stimulated with 5 </w:t>
      </w:r>
      <w:proofErr w:type="spellStart"/>
      <w:r w:rsidRPr="005726D8">
        <w:rPr>
          <w:lang w:val="en-GB"/>
        </w:rPr>
        <w:t>nM</w:t>
      </w:r>
      <w:proofErr w:type="spellEnd"/>
      <w:r w:rsidRPr="005726D8">
        <w:rPr>
          <w:lang w:val="en-GB"/>
        </w:rPr>
        <w:t xml:space="preserve"> PMA (Sigma Aldrich, Cat.no P1585) or 4 µM A23187 (Sigma Aldrich, Cat.no C7522).  NETs were allowed to form during culturing for 3 hours and 15 minutes. In order to inhibit proteolytic degradation of NET-associated proteins, PMSF was added at 2h15m, 2h30m, 2h45m and 3h after induction for the PMA-treated cells and at 2h45m and 3h after A23187 stimulation </w:t>
      </w:r>
      <w:r w:rsidRPr="005726D8">
        <w:rPr>
          <w:noProof/>
          <w:lang w:val="en-GB"/>
        </w:rPr>
        <w:t>[</w:t>
      </w:r>
      <w:r w:rsidR="00802283" w:rsidRPr="005726D8">
        <w:rPr>
          <w:noProof/>
          <w:lang w:val="en-GB"/>
        </w:rPr>
        <w:t>20</w:t>
      </w:r>
      <w:r w:rsidRPr="005726D8">
        <w:rPr>
          <w:noProof/>
          <w:lang w:val="en-GB"/>
        </w:rPr>
        <w:t>, 2</w:t>
      </w:r>
      <w:r w:rsidR="00802283" w:rsidRPr="005726D8">
        <w:rPr>
          <w:noProof/>
          <w:lang w:val="en-GB"/>
        </w:rPr>
        <w:t>1</w:t>
      </w:r>
      <w:r w:rsidRPr="005726D8">
        <w:rPr>
          <w:noProof/>
          <w:lang w:val="en-GB"/>
        </w:rPr>
        <w:t>]</w:t>
      </w:r>
      <w:r w:rsidRPr="005726D8">
        <w:rPr>
          <w:lang w:val="en-GB"/>
        </w:rPr>
        <w:t xml:space="preserve">. After 3h15m, the culture medium was discarded and the cells were washed once with PBS before incubation with 4 ml 5 U/ml </w:t>
      </w:r>
      <w:proofErr w:type="spellStart"/>
      <w:r w:rsidRPr="005726D8">
        <w:rPr>
          <w:lang w:val="en-GB"/>
        </w:rPr>
        <w:t>micrococcal</w:t>
      </w:r>
      <w:proofErr w:type="spellEnd"/>
      <w:r w:rsidRPr="005726D8">
        <w:rPr>
          <w:lang w:val="en-GB"/>
        </w:rPr>
        <w:t xml:space="preserve"> nuclease (</w:t>
      </w:r>
      <w:proofErr w:type="spellStart"/>
      <w:r w:rsidRPr="005726D8">
        <w:rPr>
          <w:lang w:val="en-GB"/>
        </w:rPr>
        <w:t>MNase</w:t>
      </w:r>
      <w:proofErr w:type="spellEnd"/>
      <w:r w:rsidRPr="005726D8">
        <w:rPr>
          <w:lang w:val="en-GB"/>
        </w:rPr>
        <w:t xml:space="preserve">; </w:t>
      </w:r>
      <w:proofErr w:type="spellStart"/>
      <w:r w:rsidRPr="005726D8">
        <w:rPr>
          <w:lang w:val="en-GB"/>
        </w:rPr>
        <w:t>Boehringer</w:t>
      </w:r>
      <w:proofErr w:type="spellEnd"/>
      <w:r w:rsidRPr="005726D8">
        <w:rPr>
          <w:lang w:val="en-GB"/>
        </w:rPr>
        <w:t xml:space="preserve"> Mannheim, Cat.no. 85446620) in pre-warmed DMEM/F12 medium for 10 min at 37°C. The supernatant was collected, supplemented with 5 </w:t>
      </w:r>
      <w:proofErr w:type="spellStart"/>
      <w:r w:rsidRPr="005726D8">
        <w:rPr>
          <w:lang w:val="en-GB"/>
        </w:rPr>
        <w:t>mM</w:t>
      </w:r>
      <w:proofErr w:type="spellEnd"/>
      <w:r w:rsidRPr="005726D8">
        <w:rPr>
          <w:lang w:val="en-GB"/>
        </w:rPr>
        <w:t xml:space="preserve"> EDTA to inhibit </w:t>
      </w:r>
      <w:proofErr w:type="spellStart"/>
      <w:r w:rsidRPr="005726D8">
        <w:rPr>
          <w:lang w:val="en-GB"/>
        </w:rPr>
        <w:t>MNase</w:t>
      </w:r>
      <w:proofErr w:type="spellEnd"/>
      <w:r w:rsidRPr="005726D8">
        <w:rPr>
          <w:lang w:val="en-GB"/>
        </w:rPr>
        <w:t xml:space="preserve"> and centrifuged for 5 min at 1500xg to remove cell remnants. The resulting NET harvests were supplemented with 10% glycerol and 1 </w:t>
      </w:r>
      <w:proofErr w:type="spellStart"/>
      <w:r w:rsidRPr="005726D8">
        <w:rPr>
          <w:lang w:val="en-GB"/>
        </w:rPr>
        <w:t>mM</w:t>
      </w:r>
      <w:proofErr w:type="spellEnd"/>
      <w:r w:rsidRPr="005726D8">
        <w:rPr>
          <w:lang w:val="en-GB"/>
        </w:rPr>
        <w:t xml:space="preserve"> </w:t>
      </w:r>
      <w:proofErr w:type="spellStart"/>
      <w:r w:rsidRPr="005726D8">
        <w:rPr>
          <w:lang w:val="en-GB"/>
        </w:rPr>
        <w:t>dithiothreitol</w:t>
      </w:r>
      <w:proofErr w:type="spellEnd"/>
      <w:r w:rsidRPr="005726D8">
        <w:rPr>
          <w:lang w:val="en-GB"/>
        </w:rPr>
        <w:t xml:space="preserve"> and stored at -20°C until further use.</w:t>
      </w:r>
    </w:p>
    <w:p w14:paraId="270108E1" w14:textId="77777777" w:rsidR="00103DDC" w:rsidRPr="005726D8" w:rsidRDefault="00103DDC" w:rsidP="00090D07">
      <w:pPr>
        <w:pStyle w:val="Geenafstand"/>
        <w:spacing w:line="360" w:lineRule="auto"/>
        <w:rPr>
          <w:lang w:val="en-GB"/>
        </w:rPr>
      </w:pPr>
    </w:p>
    <w:p w14:paraId="6DBE69EA" w14:textId="77777777" w:rsidR="00103DDC" w:rsidRPr="005726D8" w:rsidRDefault="00103DDC" w:rsidP="00090D07">
      <w:pPr>
        <w:pStyle w:val="Geenafstand"/>
        <w:spacing w:line="360" w:lineRule="auto"/>
        <w:rPr>
          <w:b/>
          <w:lang w:val="en-GB"/>
        </w:rPr>
      </w:pPr>
      <w:r w:rsidRPr="005726D8">
        <w:rPr>
          <w:b/>
          <w:lang w:val="en-GB"/>
        </w:rPr>
        <w:t>2.5 ANETA ELISA</w:t>
      </w:r>
    </w:p>
    <w:p w14:paraId="3CF22F78" w14:textId="1D0650BF" w:rsidR="00103DDC" w:rsidRPr="005726D8" w:rsidRDefault="00103DDC" w:rsidP="00090D07">
      <w:pPr>
        <w:pStyle w:val="Geenafstand"/>
        <w:spacing w:line="360" w:lineRule="auto"/>
        <w:rPr>
          <w:rFonts w:ascii="Calibri" w:hAnsi="Calibri" w:cs="Calibri"/>
          <w:lang w:val="en-GB"/>
        </w:rPr>
      </w:pPr>
      <w:r w:rsidRPr="005726D8">
        <w:rPr>
          <w:lang w:val="en-GB"/>
        </w:rPr>
        <w:t xml:space="preserve">Multiple NET harvests originating from several blood donors, either RA patients or healthy individuals, and from neutrophils stimulated with either PMA or A23187 were pooled in order to generate homogenous NET preparations sufficient for the analysis of </w:t>
      </w:r>
      <w:r w:rsidR="00AE5C15" w:rsidRPr="005726D8">
        <w:rPr>
          <w:lang w:val="en-GB"/>
        </w:rPr>
        <w:t>all tested samples</w:t>
      </w:r>
      <w:r w:rsidRPr="005726D8">
        <w:rPr>
          <w:lang w:val="en-GB"/>
        </w:rPr>
        <w:t xml:space="preserve">. The amount of DNA was determined by adding 5 </w:t>
      </w:r>
      <w:proofErr w:type="spellStart"/>
      <w:r w:rsidRPr="005726D8">
        <w:rPr>
          <w:lang w:val="en-GB"/>
        </w:rPr>
        <w:t>mM</w:t>
      </w:r>
      <w:proofErr w:type="spellEnd"/>
      <w:r w:rsidRPr="005726D8">
        <w:rPr>
          <w:lang w:val="en-GB"/>
        </w:rPr>
        <w:t xml:space="preserve"> of </w:t>
      </w:r>
      <w:proofErr w:type="spellStart"/>
      <w:r w:rsidRPr="005726D8">
        <w:rPr>
          <w:lang w:val="en-GB"/>
        </w:rPr>
        <w:t>Sytox</w:t>
      </w:r>
      <w:proofErr w:type="spellEnd"/>
      <w:r w:rsidRPr="005726D8">
        <w:rPr>
          <w:lang w:val="en-GB"/>
        </w:rPr>
        <w:t xml:space="preserve"> Green and measuring the DNA content using a DNA calibration curve. In a Nunc </w:t>
      </w:r>
      <w:proofErr w:type="spellStart"/>
      <w:r w:rsidRPr="005726D8">
        <w:rPr>
          <w:lang w:val="en-GB"/>
        </w:rPr>
        <w:t>Maxisorp</w:t>
      </w:r>
      <w:proofErr w:type="spellEnd"/>
      <w:r w:rsidRPr="005726D8">
        <w:rPr>
          <w:lang w:val="en-GB"/>
        </w:rPr>
        <w:t xml:space="preserve"> plate (</w:t>
      </w:r>
      <w:proofErr w:type="spellStart"/>
      <w:r w:rsidRPr="005726D8">
        <w:rPr>
          <w:lang w:val="en-GB"/>
        </w:rPr>
        <w:t>Thermo</w:t>
      </w:r>
      <w:proofErr w:type="spellEnd"/>
      <w:r w:rsidRPr="005726D8">
        <w:rPr>
          <w:lang w:val="en-GB"/>
        </w:rPr>
        <w:t xml:space="preserve"> Fisher Scientific, Cat.no 442404), NET harvests corresponding to an equivalent of 675 ng DNA was added to each well (in 100 </w:t>
      </w:r>
      <w:r w:rsidRPr="005726D8">
        <w:rPr>
          <w:lang w:val="en-GB"/>
        </w:rPr>
        <w:sym w:font="Symbol" w:char="F06D"/>
      </w:r>
      <w:r w:rsidRPr="005726D8">
        <w:rPr>
          <w:lang w:val="en-GB"/>
        </w:rPr>
        <w:t>l DMEM) and incubated overnight at 4</w:t>
      </w:r>
      <w:r w:rsidRPr="005726D8">
        <w:rPr>
          <w:rFonts w:ascii="Calibri" w:hAnsi="Calibri" w:cs="Calibri"/>
          <w:lang w:val="en-GB"/>
        </w:rPr>
        <w:t xml:space="preserve">°C. </w:t>
      </w:r>
      <w:bookmarkStart w:id="10" w:name="_Hlk36642795"/>
      <w:r w:rsidR="00527413" w:rsidRPr="005726D8">
        <w:rPr>
          <w:rFonts w:ascii="Calibri" w:hAnsi="Calibri" w:cs="Calibri"/>
          <w:lang w:val="en-GB"/>
        </w:rPr>
        <w:t xml:space="preserve">For the analyses of the samples from RA cohorts </w:t>
      </w:r>
      <w:r w:rsidR="007D64ED" w:rsidRPr="005726D8">
        <w:rPr>
          <w:rFonts w:ascii="Calibri" w:hAnsi="Calibri" w:cs="Calibri"/>
          <w:lang w:val="en-GB"/>
        </w:rPr>
        <w:t xml:space="preserve">B and C and from baseline, </w:t>
      </w:r>
      <w:r w:rsidR="00527413" w:rsidRPr="005726D8">
        <w:rPr>
          <w:rFonts w:ascii="Calibri" w:hAnsi="Calibri" w:cs="Calibri"/>
          <w:lang w:val="en-GB"/>
        </w:rPr>
        <w:t xml:space="preserve">and </w:t>
      </w:r>
      <w:r w:rsidR="007D64ED" w:rsidRPr="005726D8">
        <w:rPr>
          <w:rFonts w:ascii="Calibri" w:hAnsi="Calibri" w:cs="Calibri"/>
          <w:lang w:val="en-GB"/>
        </w:rPr>
        <w:t xml:space="preserve">of the samples </w:t>
      </w:r>
      <w:r w:rsidR="00527413" w:rsidRPr="005726D8">
        <w:rPr>
          <w:rFonts w:ascii="Calibri" w:hAnsi="Calibri" w:cs="Calibri"/>
          <w:lang w:val="en-GB"/>
        </w:rPr>
        <w:t xml:space="preserve">from other autoimmune diseases </w:t>
      </w:r>
      <w:r w:rsidR="00D2196E" w:rsidRPr="005726D8">
        <w:rPr>
          <w:rFonts w:ascii="Calibri" w:hAnsi="Calibri" w:cs="Calibri"/>
          <w:lang w:val="en-GB"/>
        </w:rPr>
        <w:t xml:space="preserve">mixed </w:t>
      </w:r>
      <w:r w:rsidR="00527413" w:rsidRPr="005726D8">
        <w:rPr>
          <w:rFonts w:ascii="Calibri" w:hAnsi="Calibri" w:cs="Calibri"/>
          <w:lang w:val="en-GB"/>
        </w:rPr>
        <w:t>NET preparations from PMA- and A23187-stimulated neutrophils</w:t>
      </w:r>
      <w:r w:rsidR="007D64ED" w:rsidRPr="005726D8">
        <w:rPr>
          <w:rFonts w:ascii="Calibri" w:hAnsi="Calibri" w:cs="Calibri"/>
          <w:lang w:val="en-GB"/>
        </w:rPr>
        <w:t xml:space="preserve"> were used</w:t>
      </w:r>
      <w:r w:rsidR="00527413" w:rsidRPr="005726D8">
        <w:rPr>
          <w:rFonts w:ascii="Calibri" w:hAnsi="Calibri" w:cs="Calibri"/>
          <w:lang w:val="en-GB"/>
        </w:rPr>
        <w:t xml:space="preserve">.  </w:t>
      </w:r>
      <w:bookmarkEnd w:id="10"/>
      <w:r w:rsidRPr="005726D8">
        <w:rPr>
          <w:rFonts w:ascii="Calibri" w:hAnsi="Calibri" w:cs="Calibri"/>
          <w:lang w:val="en-GB"/>
        </w:rPr>
        <w:t>Subsequently, the wells were blocked by incubation for 1h</w:t>
      </w:r>
      <w:r w:rsidR="00090D07" w:rsidRPr="005726D8">
        <w:rPr>
          <w:rFonts w:ascii="Calibri" w:hAnsi="Calibri" w:cs="Calibri"/>
          <w:lang w:val="en-GB"/>
        </w:rPr>
        <w:t xml:space="preserve"> at room temperature</w:t>
      </w:r>
      <w:r w:rsidRPr="005726D8">
        <w:rPr>
          <w:rFonts w:ascii="Calibri" w:hAnsi="Calibri" w:cs="Calibri"/>
          <w:lang w:val="en-GB"/>
        </w:rPr>
        <w:t xml:space="preserve"> with blocking buffer (</w:t>
      </w:r>
      <w:r w:rsidRPr="005726D8">
        <w:rPr>
          <w:lang w:val="en-GB"/>
        </w:rPr>
        <w:t xml:space="preserve">5% </w:t>
      </w:r>
      <w:r w:rsidRPr="005726D8">
        <w:rPr>
          <w:rFonts w:ascii="Calibri" w:hAnsi="Calibri" w:cs="Calibri"/>
          <w:lang w:val="en-GB"/>
        </w:rPr>
        <w:t xml:space="preserve">non-fat dry milk in PBS containing 0.05% Tween-20 (PBST)). After blocking, patient sera were added, 100-fold diluted in blocking buffer, followed by an incubation for 1.5h at 37°C. After 3 washings with PBST, the wells were incubated with 100 </w:t>
      </w:r>
      <w:r w:rsidRPr="005726D8">
        <w:rPr>
          <w:lang w:val="en-GB"/>
        </w:rPr>
        <w:sym w:font="Symbol" w:char="F06D"/>
      </w:r>
      <w:r w:rsidRPr="005726D8">
        <w:rPr>
          <w:lang w:val="en-GB"/>
        </w:rPr>
        <w:t xml:space="preserve">l </w:t>
      </w:r>
      <w:r w:rsidRPr="005726D8">
        <w:rPr>
          <w:rFonts w:ascii="Calibri" w:hAnsi="Calibri" w:cs="Calibri"/>
          <w:lang w:val="en-GB"/>
        </w:rPr>
        <w:t>peroxidase-conjugated goat-anti-human immunoglobulin (</w:t>
      </w:r>
      <w:proofErr w:type="spellStart"/>
      <w:r w:rsidRPr="005726D8">
        <w:rPr>
          <w:rFonts w:ascii="Calibri" w:hAnsi="Calibri" w:cs="Calibri"/>
          <w:lang w:val="en-GB"/>
        </w:rPr>
        <w:t>Dako</w:t>
      </w:r>
      <w:proofErr w:type="spellEnd"/>
      <w:r w:rsidRPr="005726D8">
        <w:rPr>
          <w:rFonts w:ascii="Calibri" w:hAnsi="Calibri" w:cs="Calibri"/>
          <w:lang w:val="en-GB"/>
        </w:rPr>
        <w:t>, Cat.no P0212), 2000-fold diluted in blocking buffer, for 1h at room temperature. After final washings with PBST (twice) and PBS (twice), the wells were incubated with TMB (Invitrogen, Cat.no 00-4201-56) according to the manufacturer’s guidelines. The staining reaction was stopped by adding 2 M H</w:t>
      </w:r>
      <w:r w:rsidRPr="005726D8">
        <w:rPr>
          <w:rFonts w:ascii="Calibri" w:hAnsi="Calibri" w:cs="Calibri"/>
          <w:vertAlign w:val="subscript"/>
          <w:lang w:val="en-GB"/>
        </w:rPr>
        <w:t>2</w:t>
      </w:r>
      <w:r w:rsidRPr="005726D8">
        <w:rPr>
          <w:rFonts w:ascii="Calibri" w:hAnsi="Calibri" w:cs="Calibri"/>
          <w:lang w:val="en-GB"/>
        </w:rPr>
        <w:t>SO</w:t>
      </w:r>
      <w:r w:rsidRPr="005726D8">
        <w:rPr>
          <w:rFonts w:ascii="Calibri" w:hAnsi="Calibri" w:cs="Calibri"/>
          <w:vertAlign w:val="subscript"/>
          <w:lang w:val="en-GB"/>
        </w:rPr>
        <w:t>4</w:t>
      </w:r>
      <w:r w:rsidRPr="005726D8">
        <w:rPr>
          <w:rFonts w:ascii="Calibri" w:hAnsi="Calibri" w:cs="Calibri"/>
          <w:lang w:val="en-GB"/>
        </w:rPr>
        <w:t xml:space="preserve"> and the absorbance at 450nm was measured with a plate reader (</w:t>
      </w:r>
      <w:proofErr w:type="spellStart"/>
      <w:r w:rsidRPr="005726D8">
        <w:rPr>
          <w:rFonts w:ascii="Calibri" w:hAnsi="Calibri" w:cs="Calibri"/>
          <w:lang w:val="en-GB"/>
        </w:rPr>
        <w:t>Tecan</w:t>
      </w:r>
      <w:proofErr w:type="spellEnd"/>
      <w:r w:rsidRPr="005726D8">
        <w:rPr>
          <w:rFonts w:ascii="Calibri" w:hAnsi="Calibri" w:cs="Calibri"/>
          <w:lang w:val="en-GB"/>
        </w:rPr>
        <w:t xml:space="preserve"> Sunrise). </w:t>
      </w:r>
    </w:p>
    <w:p w14:paraId="3213D301" w14:textId="77777777" w:rsidR="00103DDC" w:rsidRPr="005726D8" w:rsidRDefault="00103DDC" w:rsidP="00090D07">
      <w:pPr>
        <w:pStyle w:val="Geenafstand"/>
        <w:spacing w:line="360" w:lineRule="auto"/>
        <w:rPr>
          <w:rFonts w:ascii="Calibri" w:hAnsi="Calibri" w:cs="Calibri"/>
          <w:lang w:val="en-GB"/>
        </w:rPr>
      </w:pPr>
    </w:p>
    <w:p w14:paraId="3D92A0FC" w14:textId="2235C8ED" w:rsidR="00103DDC" w:rsidRPr="005726D8" w:rsidRDefault="00103DDC" w:rsidP="00513097">
      <w:pPr>
        <w:spacing w:after="200" w:line="276" w:lineRule="auto"/>
        <w:rPr>
          <w:b/>
          <w:lang w:val="en-GB"/>
        </w:rPr>
      </w:pPr>
      <w:r w:rsidRPr="005726D8">
        <w:rPr>
          <w:b/>
          <w:lang w:val="en-GB"/>
        </w:rPr>
        <w:lastRenderedPageBreak/>
        <w:t>2.6 Immunofluorescence microscopy</w:t>
      </w:r>
    </w:p>
    <w:p w14:paraId="3D36B24C" w14:textId="77777777" w:rsidR="00103DDC" w:rsidRPr="005726D8" w:rsidRDefault="00103DDC" w:rsidP="00090D07">
      <w:pPr>
        <w:pStyle w:val="Geenafstand"/>
        <w:spacing w:line="360" w:lineRule="auto"/>
        <w:rPr>
          <w:lang w:val="en-GB"/>
        </w:rPr>
      </w:pPr>
      <w:r w:rsidRPr="005726D8">
        <w:rPr>
          <w:lang w:val="en-GB"/>
        </w:rPr>
        <w:t xml:space="preserve">Neutrophils were seeded on microscopic glass slides, NET formation was induced, and the cultures were treated with PMSF as described above. After 3h15m, the slides were washed once with PBS before the cells were fixed with ice-cold methanol for 30 minutes at -20°C. After 3 washes with ice-cold acetone, the slides were air-dried and stored at -20°C until further use. For immunofluorescence, the slides were blocked with </w:t>
      </w:r>
      <w:r w:rsidRPr="005726D8">
        <w:rPr>
          <w:rFonts w:ascii="Calibri" w:hAnsi="Calibri" w:cs="Calibri"/>
          <w:lang w:val="en-GB"/>
        </w:rPr>
        <w:t>blocking buffer (</w:t>
      </w:r>
      <w:r w:rsidRPr="005726D8">
        <w:rPr>
          <w:lang w:val="en-GB"/>
        </w:rPr>
        <w:t xml:space="preserve">5% </w:t>
      </w:r>
      <w:r w:rsidRPr="005726D8">
        <w:rPr>
          <w:rFonts w:ascii="Calibri" w:hAnsi="Calibri" w:cs="Calibri"/>
          <w:lang w:val="en-GB"/>
        </w:rPr>
        <w:t>non-fat dry milk in PBS containing 0.05% Tween-20 (PBST))</w:t>
      </w:r>
      <w:r w:rsidRPr="005726D8">
        <w:rPr>
          <w:lang w:val="en-GB"/>
        </w:rPr>
        <w:t xml:space="preserve"> for 60 minutes at room temperature. Subsequently, the cells/NETs were incubated with 100-fold diluted patient serum in blocking buffer for 1.5h at room temperature. After three washes with PBST, the cells were incubated with 400-fold diluted ALEXA Fluor® 568-conjugated goat-anti-human IgG antibody (Life Technologies, cat.no. A11004) in blocking buffer for 30 min at room temperature. The slides were washed three times with PBS before staining with 1 </w:t>
      </w:r>
      <w:proofErr w:type="spellStart"/>
      <w:r w:rsidRPr="005726D8">
        <w:rPr>
          <w:lang w:val="en-GB"/>
        </w:rPr>
        <w:t>μg</w:t>
      </w:r>
      <w:proofErr w:type="spellEnd"/>
      <w:r w:rsidRPr="005726D8">
        <w:rPr>
          <w:lang w:val="en-GB"/>
        </w:rPr>
        <w:t>/ml 4′,6</w:t>
      </w:r>
      <w:r w:rsidRPr="005726D8">
        <w:rPr>
          <w:rFonts w:ascii="Cambria Math" w:hAnsi="Cambria Math" w:cs="Cambria Math"/>
          <w:lang w:val="en-GB"/>
        </w:rPr>
        <w:t>-</w:t>
      </w:r>
      <w:r w:rsidRPr="005726D8">
        <w:rPr>
          <w:lang w:val="en-GB"/>
        </w:rPr>
        <w:t>diamidino</w:t>
      </w:r>
      <w:r w:rsidRPr="005726D8">
        <w:rPr>
          <w:rFonts w:ascii="Cambria Math" w:hAnsi="Cambria Math" w:cs="Cambria Math"/>
          <w:lang w:val="en-GB"/>
        </w:rPr>
        <w:t>-</w:t>
      </w:r>
      <w:r w:rsidRPr="005726D8">
        <w:rPr>
          <w:lang w:val="en-GB"/>
        </w:rPr>
        <w:t>2</w:t>
      </w:r>
      <w:r w:rsidRPr="005726D8">
        <w:rPr>
          <w:rFonts w:ascii="Cambria Math" w:hAnsi="Cambria Math" w:cs="Cambria Math"/>
          <w:lang w:val="en-GB"/>
        </w:rPr>
        <w:t>-</w:t>
      </w:r>
      <w:r w:rsidRPr="005726D8">
        <w:rPr>
          <w:lang w:val="en-GB"/>
        </w:rPr>
        <w:t>phenylindole (DAPI, Sigma Aldrich) in PBS for 5</w:t>
      </w:r>
      <w:r w:rsidRPr="005726D8">
        <w:rPr>
          <w:rFonts w:ascii="Calibri" w:hAnsi="Calibri" w:cs="Calibri"/>
          <w:lang w:val="en-GB"/>
        </w:rPr>
        <w:t> </w:t>
      </w:r>
      <w:r w:rsidRPr="005726D8">
        <w:rPr>
          <w:lang w:val="en-GB"/>
        </w:rPr>
        <w:t xml:space="preserve">min. After final washings in PBS and </w:t>
      </w:r>
      <w:proofErr w:type="spellStart"/>
      <w:r w:rsidRPr="005726D8">
        <w:rPr>
          <w:lang w:val="en-GB"/>
        </w:rPr>
        <w:t>milli</w:t>
      </w:r>
      <w:proofErr w:type="spellEnd"/>
      <w:r w:rsidRPr="005726D8">
        <w:rPr>
          <w:lang w:val="en-GB"/>
        </w:rPr>
        <w:t xml:space="preserve">-Q water, the slides were covered with coverslips using </w:t>
      </w:r>
      <w:proofErr w:type="spellStart"/>
      <w:r w:rsidRPr="005726D8">
        <w:rPr>
          <w:lang w:val="en-GB"/>
        </w:rPr>
        <w:t>Mowiol</w:t>
      </w:r>
      <w:proofErr w:type="spellEnd"/>
      <w:r w:rsidRPr="005726D8">
        <w:rPr>
          <w:lang w:val="en-GB"/>
        </w:rPr>
        <w:t xml:space="preserve"> (Sigma Aldrich). Cell staining was analysed on a Leica DMRA Fluorescence microscope with a Leica DFC340 FX CCD camera.</w:t>
      </w:r>
    </w:p>
    <w:p w14:paraId="7662E3C6" w14:textId="77777777" w:rsidR="00103DDC" w:rsidRPr="005726D8" w:rsidRDefault="00103DDC" w:rsidP="00090D07">
      <w:pPr>
        <w:pStyle w:val="Geenafstand"/>
        <w:spacing w:line="360" w:lineRule="auto"/>
        <w:rPr>
          <w:lang w:val="en-GB"/>
        </w:rPr>
      </w:pPr>
    </w:p>
    <w:p w14:paraId="4AC91EC9" w14:textId="77777777" w:rsidR="00103DDC" w:rsidRPr="005726D8" w:rsidRDefault="00103DDC" w:rsidP="00090D07">
      <w:pPr>
        <w:pStyle w:val="Geenafstand"/>
        <w:spacing w:line="360" w:lineRule="auto"/>
        <w:rPr>
          <w:b/>
          <w:lang w:val="en-GB"/>
        </w:rPr>
      </w:pPr>
      <w:r w:rsidRPr="005726D8">
        <w:rPr>
          <w:b/>
          <w:lang w:val="en-GB"/>
        </w:rPr>
        <w:t>2.7 Image analysis</w:t>
      </w:r>
    </w:p>
    <w:p w14:paraId="20AEE89A" w14:textId="0CA6343D" w:rsidR="00103DDC" w:rsidRPr="005726D8" w:rsidRDefault="00103DDC" w:rsidP="00090D07">
      <w:pPr>
        <w:pStyle w:val="Geenafstand"/>
        <w:spacing w:line="360" w:lineRule="auto"/>
        <w:rPr>
          <w:lang w:val="en-GB"/>
        </w:rPr>
      </w:pPr>
      <w:r w:rsidRPr="005726D8">
        <w:rPr>
          <w:lang w:val="en-GB"/>
        </w:rPr>
        <w:t xml:space="preserve">Immunofluorescence image analysis was performed semi-automated using FIJI software </w:t>
      </w:r>
      <w:r w:rsidRPr="005726D8">
        <w:rPr>
          <w:noProof/>
          <w:lang w:val="en-GB"/>
        </w:rPr>
        <w:t>[2</w:t>
      </w:r>
      <w:r w:rsidR="00802283" w:rsidRPr="005726D8">
        <w:rPr>
          <w:noProof/>
          <w:lang w:val="en-GB"/>
        </w:rPr>
        <w:t>2</w:t>
      </w:r>
      <w:r w:rsidRPr="005726D8">
        <w:rPr>
          <w:noProof/>
          <w:lang w:val="en-GB"/>
        </w:rPr>
        <w:t>]</w:t>
      </w:r>
      <w:r w:rsidRPr="005726D8">
        <w:rPr>
          <w:lang w:val="en-GB"/>
        </w:rPr>
        <w:t xml:space="preserve">. To measure the binding of RA antibodies to NETs, a mask of the NET structures was determined by subtracting the mask of all cell bodies from the mask of all the stained structures in the image. The mask of all stained structures in the image was made with a low threshold to get rid of background pixels. The mask of the cell bodies was made with a high threshold to select for cell nuclei or cell bodies still containing high DNA levels. This approach allowed the determination of fluorescence intensities of the NETs (expressed in grey values), which were measured in both the DAPI and ALEXA Fluor 568 channels.  As a consequence, the staining of NETs by the RA sera (ALEXA Fluor 568 channel) could be normalized based on the amount of NETs as measured in the DAPI channel. </w:t>
      </w:r>
    </w:p>
    <w:p w14:paraId="711E1EC7" w14:textId="77777777" w:rsidR="00103DDC" w:rsidRPr="005726D8" w:rsidRDefault="00103DDC" w:rsidP="00090D07">
      <w:pPr>
        <w:pStyle w:val="Geenafstand"/>
        <w:spacing w:line="360" w:lineRule="auto"/>
        <w:rPr>
          <w:lang w:val="en-GB"/>
        </w:rPr>
      </w:pPr>
    </w:p>
    <w:p w14:paraId="2B8FB965" w14:textId="77777777" w:rsidR="00103DDC" w:rsidRPr="005726D8" w:rsidRDefault="00103DDC" w:rsidP="00090D07">
      <w:pPr>
        <w:pStyle w:val="Geenafstand"/>
        <w:spacing w:line="360" w:lineRule="auto"/>
        <w:rPr>
          <w:b/>
          <w:lang w:val="en-GB"/>
        </w:rPr>
      </w:pPr>
      <w:r w:rsidRPr="005726D8">
        <w:rPr>
          <w:b/>
          <w:lang w:val="en-GB"/>
        </w:rPr>
        <w:t>2.8 Statistical analysis</w:t>
      </w:r>
    </w:p>
    <w:p w14:paraId="43C83055" w14:textId="77777777" w:rsidR="00103DDC" w:rsidRPr="005726D8" w:rsidRDefault="00103DDC" w:rsidP="00090D07">
      <w:pPr>
        <w:pStyle w:val="Geenafstand"/>
        <w:spacing w:line="360" w:lineRule="auto"/>
        <w:rPr>
          <w:rFonts w:ascii="Calibri" w:hAnsi="Calibri"/>
          <w:color w:val="000000"/>
          <w:lang w:val="en-GB"/>
        </w:rPr>
      </w:pPr>
      <w:r w:rsidRPr="005726D8">
        <w:rPr>
          <w:rFonts w:ascii="Calibri" w:hAnsi="Calibri"/>
          <w:color w:val="000000"/>
          <w:lang w:val="en-GB"/>
        </w:rPr>
        <w:t xml:space="preserve">The significance of differences between datasets was determined by a Student’s t-test. For correlation analysis, the Pearson r was calculated. Graphs were made and statistical analyses were performed using the </w:t>
      </w:r>
      <w:proofErr w:type="spellStart"/>
      <w:r w:rsidRPr="005726D8">
        <w:rPr>
          <w:rFonts w:ascii="Calibri" w:hAnsi="Calibri"/>
          <w:color w:val="000000"/>
          <w:lang w:val="en-GB"/>
        </w:rPr>
        <w:t>GraphPad</w:t>
      </w:r>
      <w:proofErr w:type="spellEnd"/>
      <w:r w:rsidRPr="005726D8">
        <w:rPr>
          <w:rFonts w:ascii="Calibri" w:hAnsi="Calibri"/>
          <w:color w:val="000000"/>
          <w:lang w:val="en-GB"/>
        </w:rPr>
        <w:t xml:space="preserve"> Prism 7 software (version 7.04, </w:t>
      </w:r>
      <w:proofErr w:type="spellStart"/>
      <w:r w:rsidRPr="005726D8">
        <w:rPr>
          <w:rFonts w:ascii="Calibri" w:hAnsi="Calibri"/>
          <w:color w:val="000000"/>
          <w:lang w:val="en-GB"/>
        </w:rPr>
        <w:t>GraphPad</w:t>
      </w:r>
      <w:proofErr w:type="spellEnd"/>
      <w:r w:rsidRPr="005726D8">
        <w:rPr>
          <w:rFonts w:ascii="Calibri" w:hAnsi="Calibri"/>
          <w:color w:val="000000"/>
          <w:lang w:val="en-GB"/>
        </w:rPr>
        <w:t xml:space="preserve"> Software, </w:t>
      </w:r>
      <w:proofErr w:type="spellStart"/>
      <w:r w:rsidRPr="005726D8">
        <w:rPr>
          <w:rFonts w:ascii="Calibri" w:hAnsi="Calibri"/>
          <w:color w:val="000000"/>
          <w:lang w:val="en-GB"/>
        </w:rPr>
        <w:t>Inc</w:t>
      </w:r>
      <w:proofErr w:type="spellEnd"/>
      <w:r w:rsidRPr="005726D8">
        <w:rPr>
          <w:rFonts w:ascii="Calibri" w:hAnsi="Calibri"/>
          <w:color w:val="000000"/>
          <w:lang w:val="en-GB"/>
        </w:rPr>
        <w:t xml:space="preserve">). </w:t>
      </w:r>
    </w:p>
    <w:p w14:paraId="71F30225" w14:textId="77777777" w:rsidR="00103DDC" w:rsidRPr="005726D8" w:rsidRDefault="00103DDC" w:rsidP="00090D07">
      <w:pPr>
        <w:pStyle w:val="Geenafstand"/>
        <w:spacing w:line="360" w:lineRule="auto"/>
        <w:rPr>
          <w:rFonts w:ascii="Calibri" w:hAnsi="Calibri"/>
          <w:color w:val="000000"/>
          <w:lang w:val="en-GB"/>
        </w:rPr>
      </w:pPr>
    </w:p>
    <w:p w14:paraId="12A63A68" w14:textId="77777777" w:rsidR="00103DDC" w:rsidRPr="005726D8" w:rsidRDefault="00103DDC" w:rsidP="00090D07">
      <w:pPr>
        <w:pStyle w:val="Geenafstand"/>
        <w:spacing w:line="360" w:lineRule="auto"/>
        <w:rPr>
          <w:rFonts w:ascii="Calibri" w:hAnsi="Calibri"/>
          <w:color w:val="000000"/>
          <w:lang w:val="en-GB"/>
        </w:rPr>
      </w:pPr>
    </w:p>
    <w:p w14:paraId="0E1B7017" w14:textId="77777777" w:rsidR="00103DDC" w:rsidRPr="005726D8" w:rsidRDefault="00103DDC" w:rsidP="00090D07">
      <w:pPr>
        <w:pStyle w:val="Kop1"/>
        <w:numPr>
          <w:ilvl w:val="0"/>
          <w:numId w:val="7"/>
        </w:numPr>
        <w:spacing w:line="360" w:lineRule="auto"/>
        <w:rPr>
          <w:b/>
          <w:lang w:val="en-GB"/>
        </w:rPr>
      </w:pPr>
      <w:r w:rsidRPr="005726D8">
        <w:rPr>
          <w:b/>
          <w:lang w:val="en-GB"/>
        </w:rPr>
        <w:lastRenderedPageBreak/>
        <w:t>Results</w:t>
      </w:r>
    </w:p>
    <w:p w14:paraId="7B3265A1" w14:textId="77777777" w:rsidR="006F6E10" w:rsidRPr="005726D8" w:rsidRDefault="006F6E10" w:rsidP="00090D07">
      <w:pPr>
        <w:pStyle w:val="Geenafstand"/>
        <w:spacing w:line="360" w:lineRule="auto"/>
        <w:rPr>
          <w:b/>
          <w:lang w:val="en-GB"/>
        </w:rPr>
      </w:pPr>
    </w:p>
    <w:p w14:paraId="3C63EB4D" w14:textId="6AC3F8F3" w:rsidR="00103DDC" w:rsidRPr="005726D8" w:rsidRDefault="00103DDC" w:rsidP="00090D07">
      <w:pPr>
        <w:pStyle w:val="Geenafstand"/>
        <w:spacing w:line="360" w:lineRule="auto"/>
        <w:rPr>
          <w:b/>
          <w:lang w:val="en-GB"/>
        </w:rPr>
      </w:pPr>
      <w:r w:rsidRPr="005726D8">
        <w:rPr>
          <w:b/>
          <w:lang w:val="en-GB"/>
        </w:rPr>
        <w:t xml:space="preserve">3.1 ELISA analysis of ANETA in RA patient sera </w:t>
      </w:r>
    </w:p>
    <w:p w14:paraId="6046AC42" w14:textId="6A8FB089" w:rsidR="00103DDC" w:rsidRPr="005726D8" w:rsidRDefault="00103DDC" w:rsidP="00090D07">
      <w:pPr>
        <w:pStyle w:val="Geenafstand"/>
        <w:spacing w:line="360" w:lineRule="auto"/>
        <w:rPr>
          <w:lang w:val="en-GB"/>
        </w:rPr>
      </w:pPr>
      <w:r w:rsidRPr="005726D8">
        <w:rPr>
          <w:lang w:val="en-GB"/>
        </w:rPr>
        <w:t xml:space="preserve">To detect the presence of anti-NET antibodies (ANETA) in sera we developed an ELISA using NET preparations harvested from freshly isolated neutrophils. Since it has been previously reported that NETs induced by different stimuli partially differ in composition </w:t>
      </w:r>
      <w:r w:rsidRPr="005726D8">
        <w:rPr>
          <w:noProof/>
          <w:lang w:val="en-GB"/>
        </w:rPr>
        <w:t>[12]</w:t>
      </w:r>
      <w:r w:rsidRPr="005726D8">
        <w:rPr>
          <w:lang w:val="en-GB"/>
        </w:rPr>
        <w:t xml:space="preserve">, we first assessed the reactivity of </w:t>
      </w:r>
      <w:r w:rsidR="00EB0566" w:rsidRPr="005726D8">
        <w:rPr>
          <w:lang w:val="en-GB"/>
        </w:rPr>
        <w:t xml:space="preserve">168 </w:t>
      </w:r>
      <w:r w:rsidRPr="005726D8">
        <w:rPr>
          <w:lang w:val="en-GB"/>
        </w:rPr>
        <w:t xml:space="preserve">RA sera </w:t>
      </w:r>
      <w:r w:rsidR="00EB0566" w:rsidRPr="005726D8">
        <w:rPr>
          <w:lang w:val="en-GB"/>
        </w:rPr>
        <w:t xml:space="preserve">(Cohort A) </w:t>
      </w:r>
      <w:r w:rsidRPr="005726D8">
        <w:rPr>
          <w:lang w:val="en-GB"/>
        </w:rPr>
        <w:t xml:space="preserve">with NETs induced by either A23187 or PMA, using neutrophils from both healthy individuals and RA patients. The immobilized NETs were incubated with 36 healthy control and 168 RA sera to allow the ANETA to bind. The average signals of healthy control sera plus two times the standard deviation were used as cut-off values. </w:t>
      </w:r>
    </w:p>
    <w:p w14:paraId="124B3E2A" w14:textId="77777777" w:rsidR="00103DDC" w:rsidRPr="005726D8" w:rsidRDefault="00103DDC" w:rsidP="00090D07">
      <w:pPr>
        <w:pStyle w:val="Geenafstand"/>
        <w:spacing w:line="360" w:lineRule="auto"/>
        <w:rPr>
          <w:lang w:val="en-GB"/>
        </w:rPr>
      </w:pPr>
    </w:p>
    <w:p w14:paraId="6B9C9118" w14:textId="77777777" w:rsidR="00103DDC" w:rsidRPr="005726D8" w:rsidRDefault="00103DDC" w:rsidP="00090D07">
      <w:pPr>
        <w:pStyle w:val="Geenafstand"/>
        <w:spacing w:line="360" w:lineRule="auto"/>
        <w:rPr>
          <w:lang w:val="en-GB"/>
        </w:rPr>
      </w:pPr>
      <w:r w:rsidRPr="005726D8">
        <w:rPr>
          <w:lang w:val="en-GB"/>
        </w:rPr>
        <w:t xml:space="preserve">In total, 85 of the 168 RA sera (51%) showed reactivity against at least one of the NET preparations (Figure 1A). More than 40% of the RA sera were reactive with NETs from RA neutrophils; 43% reacted with A23187-induced NETs and 39% reacted with PMA-induced NETs. Twenty eight percent of the RA sera were reactive with NETs from healthy individuals, </w:t>
      </w:r>
      <w:bookmarkStart w:id="11" w:name="OLE_LINK2"/>
      <w:r w:rsidRPr="005726D8">
        <w:rPr>
          <w:lang w:val="en-GB"/>
        </w:rPr>
        <w:t>generated either with A23187or with PMA</w:t>
      </w:r>
      <w:bookmarkEnd w:id="11"/>
      <w:r w:rsidRPr="005726D8">
        <w:rPr>
          <w:lang w:val="en-GB"/>
        </w:rPr>
        <w:t xml:space="preserve">. Although NETs from healthy controls were somewhat less frequently recognized compared to those from RA patients, this difference did not appear to be statistically significant (p-value = 0.278). The difference between RA reactivity against A23187-induced and PMA-induced NETs almost reached statistical significance (p-value = 0.06). The strong ANETA-positive sera showed reactivity with most if not all NET preparations, whereas the sera that were less strongly reactive recognized only one or a subset of NET preparations (Figure 1B). </w:t>
      </w:r>
    </w:p>
    <w:p w14:paraId="70773CA1" w14:textId="77777777" w:rsidR="00103DDC" w:rsidRPr="005726D8" w:rsidRDefault="00103DDC" w:rsidP="00090D07">
      <w:pPr>
        <w:pStyle w:val="Geenafstand"/>
        <w:spacing w:line="360" w:lineRule="auto"/>
        <w:rPr>
          <w:lang w:val="en-GB"/>
        </w:rPr>
      </w:pPr>
      <w:r w:rsidRPr="005726D8">
        <w:rPr>
          <w:lang w:val="en-GB"/>
        </w:rPr>
        <w:t xml:space="preserve"> </w:t>
      </w:r>
    </w:p>
    <w:p w14:paraId="295DD085" w14:textId="77777777" w:rsidR="00103DDC" w:rsidRPr="005726D8" w:rsidRDefault="00103DDC" w:rsidP="00090D07">
      <w:pPr>
        <w:pStyle w:val="Geenafstand"/>
        <w:spacing w:line="360" w:lineRule="auto"/>
        <w:rPr>
          <w:b/>
          <w:lang w:val="en-GB"/>
        </w:rPr>
      </w:pPr>
      <w:r w:rsidRPr="005726D8">
        <w:rPr>
          <w:b/>
          <w:lang w:val="en-GB"/>
        </w:rPr>
        <w:t>3.2 ANETA in RA patient sera detected by immunofluorescence</w:t>
      </w:r>
    </w:p>
    <w:p w14:paraId="0F1544AD" w14:textId="76497405" w:rsidR="00103DDC" w:rsidRPr="005726D8" w:rsidRDefault="00103DDC" w:rsidP="00090D07">
      <w:pPr>
        <w:pStyle w:val="Geenafstand"/>
        <w:spacing w:line="360" w:lineRule="auto"/>
        <w:rPr>
          <w:lang w:val="en-GB"/>
        </w:rPr>
      </w:pPr>
      <w:r w:rsidRPr="005726D8">
        <w:rPr>
          <w:lang w:val="en-GB"/>
        </w:rPr>
        <w:t xml:space="preserve">To substantiate the results obtained with the ANETA ELISA, we analysed the same sera in an immunofluorescence assay. In brief, neutrophils of RA patients and healthy individuals were seeded on glass slides and stimulated with PMA to form NETs. After fixation of the cells and NETs, the slides were incubated with the RA patient and healthy control sera and antibody-binding was visualized with an Alexa-568-labeled secondary antibody with DAPI used as counterstain. Digital images were recorded by fluorescence microscopy and quantified with a semi-automated approach using FIJI software. The FIJI script differentiates between autoantibody binding to NETs and to cell bodies as described in the Methods section. All samples, 112 RA and 19 healthy control sera, analysed in these immunofluorescent assays (Figure 2A) were also used in the ANETA ELISA described above. The quantification of NET fluorescence by the FIJI script showed that there was no significant difference between the signals obtained with NETs originating from RA neutrophils and from healthy control </w:t>
      </w:r>
      <w:r w:rsidRPr="005726D8">
        <w:rPr>
          <w:lang w:val="en-GB"/>
        </w:rPr>
        <w:lastRenderedPageBreak/>
        <w:t xml:space="preserve">neutrophils (data not shown). The FIJI-based quantification data correlated well with the assessment of the same images by eye, indicating that this approach results in an accurate quantification of ANETA (Supplementary Figure 1). In total, the immunofluorescence analyses showed that 48% of the RA patients are ANETA-positive (Figure 2B). This is similar to the percentage of RA patients’ sera that were found to contain ANETA by ELISA (51%, Figure 1). Indeed, the immunofluorescence scores correlate reasonably well with the ELISA scores (Pearson r = 0.601, p&lt;0.0001), indicating that both methods can be applied to quantify the reactivity of the RA sera against NETs (Figure 2C). </w:t>
      </w:r>
    </w:p>
    <w:p w14:paraId="7AF4D04F" w14:textId="1FEC3B07" w:rsidR="002E5331" w:rsidRPr="005726D8" w:rsidRDefault="002E5331" w:rsidP="00090D07">
      <w:pPr>
        <w:pStyle w:val="Geenafstand"/>
        <w:spacing w:line="360" w:lineRule="auto"/>
        <w:rPr>
          <w:lang w:val="en-GB"/>
        </w:rPr>
      </w:pPr>
    </w:p>
    <w:p w14:paraId="44A13D1B" w14:textId="282E65FF" w:rsidR="002E5331" w:rsidRPr="005726D8" w:rsidRDefault="002E5331" w:rsidP="002E5331">
      <w:pPr>
        <w:pStyle w:val="Geenafstand"/>
        <w:numPr>
          <w:ilvl w:val="1"/>
          <w:numId w:val="7"/>
        </w:numPr>
        <w:spacing w:line="360" w:lineRule="auto"/>
        <w:rPr>
          <w:b/>
          <w:bCs/>
          <w:lang w:val="en-GB"/>
        </w:rPr>
      </w:pPr>
      <w:r w:rsidRPr="005726D8">
        <w:rPr>
          <w:b/>
          <w:bCs/>
          <w:lang w:val="en-GB"/>
        </w:rPr>
        <w:t xml:space="preserve">ANETA in other </w:t>
      </w:r>
      <w:r w:rsidR="00AE5C15" w:rsidRPr="005726D8">
        <w:rPr>
          <w:b/>
          <w:bCs/>
          <w:lang w:val="en-GB"/>
        </w:rPr>
        <w:t xml:space="preserve">RA </w:t>
      </w:r>
      <w:r w:rsidRPr="005726D8">
        <w:rPr>
          <w:b/>
          <w:bCs/>
          <w:lang w:val="en-GB"/>
        </w:rPr>
        <w:t>patient cohorts</w:t>
      </w:r>
      <w:r w:rsidR="00AE5C15" w:rsidRPr="005726D8">
        <w:rPr>
          <w:b/>
          <w:bCs/>
          <w:lang w:val="en-GB"/>
        </w:rPr>
        <w:t xml:space="preserve"> and in other autoimmune diseases</w:t>
      </w:r>
    </w:p>
    <w:p w14:paraId="1EC7B968" w14:textId="3EECB8EB" w:rsidR="002E5331" w:rsidRPr="005726D8" w:rsidRDefault="00AE5C15" w:rsidP="002E5331">
      <w:pPr>
        <w:pStyle w:val="Geenafstand"/>
        <w:spacing w:line="360" w:lineRule="auto"/>
        <w:rPr>
          <w:lang w:val="en-GB"/>
        </w:rPr>
      </w:pPr>
      <w:bookmarkStart w:id="12" w:name="_Hlk36642866"/>
      <w:bookmarkStart w:id="13" w:name="_Hlk35599640"/>
      <w:r w:rsidRPr="005726D8">
        <w:rPr>
          <w:lang w:val="en-GB"/>
        </w:rPr>
        <w:t>To get more insight in the frequency by which ANETA occur in established RA patients, samples from</w:t>
      </w:r>
      <w:r w:rsidR="002E5331" w:rsidRPr="005726D8">
        <w:rPr>
          <w:lang w:val="en-GB"/>
        </w:rPr>
        <w:t xml:space="preserve"> two other RA cohorts</w:t>
      </w:r>
      <w:r w:rsidRPr="005726D8">
        <w:rPr>
          <w:lang w:val="en-GB"/>
        </w:rPr>
        <w:t xml:space="preserve"> </w:t>
      </w:r>
      <w:r w:rsidR="00EB0566" w:rsidRPr="005726D8">
        <w:rPr>
          <w:lang w:val="en-GB"/>
        </w:rPr>
        <w:t xml:space="preserve">(B and C) </w:t>
      </w:r>
      <w:r w:rsidRPr="005726D8">
        <w:rPr>
          <w:lang w:val="en-GB"/>
        </w:rPr>
        <w:t xml:space="preserve">were analysed by the </w:t>
      </w:r>
      <w:r w:rsidR="007D64ED" w:rsidRPr="005726D8">
        <w:rPr>
          <w:lang w:val="en-GB"/>
        </w:rPr>
        <w:t>A</w:t>
      </w:r>
      <w:r w:rsidRPr="005726D8">
        <w:rPr>
          <w:lang w:val="en-GB"/>
        </w:rPr>
        <w:t>NET</w:t>
      </w:r>
      <w:r w:rsidR="007D64ED" w:rsidRPr="005726D8">
        <w:rPr>
          <w:lang w:val="en-GB"/>
        </w:rPr>
        <w:t>A</w:t>
      </w:r>
      <w:r w:rsidRPr="005726D8">
        <w:rPr>
          <w:lang w:val="en-GB"/>
        </w:rPr>
        <w:t xml:space="preserve"> ELISA</w:t>
      </w:r>
      <w:r w:rsidR="00971717" w:rsidRPr="005726D8">
        <w:rPr>
          <w:lang w:val="en-GB"/>
        </w:rPr>
        <w:t xml:space="preserve">. </w:t>
      </w:r>
      <w:r w:rsidR="002E5331" w:rsidRPr="005726D8">
        <w:rPr>
          <w:lang w:val="en-GB"/>
        </w:rPr>
        <w:t xml:space="preserve"> </w:t>
      </w:r>
      <w:r w:rsidR="00527413" w:rsidRPr="005726D8">
        <w:rPr>
          <w:lang w:val="en-GB"/>
        </w:rPr>
        <w:t>Also in</w:t>
      </w:r>
      <w:r w:rsidR="002E5331" w:rsidRPr="005726D8">
        <w:rPr>
          <w:lang w:val="en-GB"/>
        </w:rPr>
        <w:t xml:space="preserve"> these </w:t>
      </w:r>
      <w:r w:rsidR="00527413" w:rsidRPr="005726D8">
        <w:rPr>
          <w:lang w:val="en-GB"/>
        </w:rPr>
        <w:t xml:space="preserve">RA </w:t>
      </w:r>
      <w:r w:rsidR="002E5331" w:rsidRPr="005726D8">
        <w:rPr>
          <w:lang w:val="en-GB"/>
        </w:rPr>
        <w:t xml:space="preserve">cohorts </w:t>
      </w:r>
      <w:r w:rsidR="00527413" w:rsidRPr="005726D8">
        <w:rPr>
          <w:lang w:val="en-GB"/>
        </w:rPr>
        <w:t>ANETA were frequently detected, although the percentages of</w:t>
      </w:r>
      <w:r w:rsidR="002E5331" w:rsidRPr="005726D8">
        <w:rPr>
          <w:lang w:val="en-GB"/>
        </w:rPr>
        <w:t xml:space="preserve"> ANETA</w:t>
      </w:r>
      <w:r w:rsidR="00527413" w:rsidRPr="005726D8">
        <w:rPr>
          <w:lang w:val="en-GB"/>
        </w:rPr>
        <w:t>-</w:t>
      </w:r>
      <w:r w:rsidR="002E5331" w:rsidRPr="005726D8">
        <w:rPr>
          <w:lang w:val="en-GB"/>
        </w:rPr>
        <w:t>positiv</w:t>
      </w:r>
      <w:r w:rsidR="00527413" w:rsidRPr="005726D8">
        <w:rPr>
          <w:lang w:val="en-GB"/>
        </w:rPr>
        <w:t xml:space="preserve">e samples showed </w:t>
      </w:r>
      <w:r w:rsidR="00EB0566" w:rsidRPr="005726D8">
        <w:rPr>
          <w:lang w:val="en-GB"/>
        </w:rPr>
        <w:t>marked differences</w:t>
      </w:r>
      <w:r w:rsidR="002E5331" w:rsidRPr="005726D8">
        <w:rPr>
          <w:lang w:val="en-GB"/>
        </w:rPr>
        <w:t>, 22% and 69%</w:t>
      </w:r>
      <w:r w:rsidR="007D64ED" w:rsidRPr="005726D8">
        <w:rPr>
          <w:lang w:val="en-GB"/>
        </w:rPr>
        <w:t>, respectively</w:t>
      </w:r>
      <w:r w:rsidR="00EB0566" w:rsidRPr="005726D8">
        <w:rPr>
          <w:lang w:val="en-GB"/>
        </w:rPr>
        <w:t xml:space="preserve"> (Table 1)</w:t>
      </w:r>
      <w:r w:rsidR="002E5331" w:rsidRPr="005726D8">
        <w:rPr>
          <w:lang w:val="en-GB"/>
        </w:rPr>
        <w:t xml:space="preserve">. </w:t>
      </w:r>
      <w:bookmarkStart w:id="14" w:name="_Hlk36642898"/>
      <w:bookmarkEnd w:id="12"/>
      <w:r w:rsidR="00EB0566" w:rsidRPr="005726D8">
        <w:rPr>
          <w:lang w:val="en-GB"/>
        </w:rPr>
        <w:t xml:space="preserve">The combination of all established RA sera tested </w:t>
      </w:r>
      <w:r w:rsidR="0048149D" w:rsidRPr="005726D8">
        <w:rPr>
          <w:lang w:val="en-GB"/>
        </w:rPr>
        <w:t xml:space="preserve">(Cohorts A, B and C) </w:t>
      </w:r>
      <w:r w:rsidR="00EB0566" w:rsidRPr="005726D8">
        <w:rPr>
          <w:lang w:val="en-GB"/>
        </w:rPr>
        <w:t>leads to a frequency</w:t>
      </w:r>
      <w:r w:rsidR="0048127C" w:rsidRPr="005726D8">
        <w:rPr>
          <w:lang w:val="en-GB"/>
        </w:rPr>
        <w:t xml:space="preserve"> of 41%. </w:t>
      </w:r>
      <w:bookmarkStart w:id="15" w:name="_Hlk35599661"/>
      <w:bookmarkEnd w:id="13"/>
      <w:r w:rsidR="00EB0566" w:rsidRPr="005726D8">
        <w:rPr>
          <w:lang w:val="en-GB"/>
        </w:rPr>
        <w:t>To investigate whether ANETA are preferentially found in RA sera or occur also in sera from other autoimmune patients,</w:t>
      </w:r>
      <w:r w:rsidR="00610823" w:rsidRPr="005726D8">
        <w:rPr>
          <w:lang w:val="en-GB"/>
        </w:rPr>
        <w:t xml:space="preserve"> </w:t>
      </w:r>
      <w:r w:rsidR="00EB0566" w:rsidRPr="005726D8">
        <w:rPr>
          <w:lang w:val="en-GB"/>
        </w:rPr>
        <w:t>serum samples</w:t>
      </w:r>
      <w:r w:rsidR="00610823" w:rsidRPr="005726D8">
        <w:rPr>
          <w:lang w:val="en-GB"/>
        </w:rPr>
        <w:t xml:space="preserve"> of patients with systemic lupus erythematosus (SLE), </w:t>
      </w:r>
      <w:proofErr w:type="spellStart"/>
      <w:r w:rsidR="00610823" w:rsidRPr="005726D8">
        <w:rPr>
          <w:lang w:val="en-GB"/>
        </w:rPr>
        <w:t>Sjögren's</w:t>
      </w:r>
      <w:proofErr w:type="spellEnd"/>
      <w:r w:rsidR="00610823" w:rsidRPr="005726D8">
        <w:rPr>
          <w:lang w:val="en-GB"/>
        </w:rPr>
        <w:t xml:space="preserve"> syndrome (</w:t>
      </w:r>
      <w:proofErr w:type="spellStart"/>
      <w:r w:rsidR="00610823" w:rsidRPr="005726D8">
        <w:rPr>
          <w:lang w:val="en-GB"/>
        </w:rPr>
        <w:t>SjS</w:t>
      </w:r>
      <w:proofErr w:type="spellEnd"/>
      <w:r w:rsidR="00610823" w:rsidRPr="005726D8">
        <w:rPr>
          <w:lang w:val="en-GB"/>
        </w:rPr>
        <w:t>)</w:t>
      </w:r>
      <w:r w:rsidR="00C36F15" w:rsidRPr="005726D8">
        <w:rPr>
          <w:lang w:val="en-GB"/>
        </w:rPr>
        <w:t xml:space="preserve"> and scleroderma (</w:t>
      </w:r>
      <w:proofErr w:type="spellStart"/>
      <w:r w:rsidR="00C36F15" w:rsidRPr="005726D8">
        <w:rPr>
          <w:lang w:val="en-GB"/>
        </w:rPr>
        <w:t>SSc</w:t>
      </w:r>
      <w:proofErr w:type="spellEnd"/>
      <w:r w:rsidR="00C36F15" w:rsidRPr="005726D8">
        <w:rPr>
          <w:lang w:val="en-GB"/>
        </w:rPr>
        <w:t>)</w:t>
      </w:r>
      <w:r w:rsidR="009956C4" w:rsidRPr="005726D8">
        <w:rPr>
          <w:lang w:val="en-GB"/>
        </w:rPr>
        <w:t xml:space="preserve"> </w:t>
      </w:r>
      <w:r w:rsidR="00513097" w:rsidRPr="005726D8">
        <w:rPr>
          <w:lang w:val="en-GB"/>
        </w:rPr>
        <w:t xml:space="preserve">were analysed for the presence of ANETA </w:t>
      </w:r>
      <w:r w:rsidR="009956C4" w:rsidRPr="005726D8">
        <w:rPr>
          <w:lang w:val="en-GB"/>
        </w:rPr>
        <w:t>(Table 1)</w:t>
      </w:r>
      <w:r w:rsidR="00610823" w:rsidRPr="005726D8">
        <w:rPr>
          <w:lang w:val="en-GB"/>
        </w:rPr>
        <w:t xml:space="preserve">. </w:t>
      </w:r>
      <w:r w:rsidR="00971717" w:rsidRPr="005726D8">
        <w:rPr>
          <w:lang w:val="en-GB"/>
        </w:rPr>
        <w:t>Most ANETA</w:t>
      </w:r>
      <w:r w:rsidR="00C36F15" w:rsidRPr="005726D8">
        <w:rPr>
          <w:lang w:val="en-GB"/>
        </w:rPr>
        <w:t>-</w:t>
      </w:r>
      <w:r w:rsidR="00971717" w:rsidRPr="005726D8">
        <w:rPr>
          <w:lang w:val="en-GB"/>
        </w:rPr>
        <w:t xml:space="preserve">positive patients were found in the </w:t>
      </w:r>
      <w:proofErr w:type="spellStart"/>
      <w:r w:rsidR="00971717" w:rsidRPr="005726D8">
        <w:rPr>
          <w:lang w:val="en-GB"/>
        </w:rPr>
        <w:t>SjS</w:t>
      </w:r>
      <w:proofErr w:type="spellEnd"/>
      <w:r w:rsidR="00971717" w:rsidRPr="005726D8">
        <w:rPr>
          <w:lang w:val="en-GB"/>
        </w:rPr>
        <w:t xml:space="preserve"> cohort (76%), followed by the </w:t>
      </w:r>
      <w:proofErr w:type="spellStart"/>
      <w:r w:rsidR="00971717" w:rsidRPr="005726D8">
        <w:rPr>
          <w:lang w:val="en-GB"/>
        </w:rPr>
        <w:t>S</w:t>
      </w:r>
      <w:r w:rsidR="00FC716E" w:rsidRPr="005726D8">
        <w:rPr>
          <w:lang w:val="en-GB"/>
        </w:rPr>
        <w:t>S</w:t>
      </w:r>
      <w:r w:rsidR="00971717" w:rsidRPr="005726D8">
        <w:rPr>
          <w:lang w:val="en-GB"/>
        </w:rPr>
        <w:t>c</w:t>
      </w:r>
      <w:proofErr w:type="spellEnd"/>
      <w:r w:rsidR="00971717" w:rsidRPr="005726D8">
        <w:rPr>
          <w:lang w:val="en-GB"/>
        </w:rPr>
        <w:t xml:space="preserve"> cohort (61%). In SLE 36% of the patients </w:t>
      </w:r>
      <w:r w:rsidR="00C36F15" w:rsidRPr="005726D8">
        <w:rPr>
          <w:lang w:val="en-GB"/>
        </w:rPr>
        <w:t>was</w:t>
      </w:r>
      <w:r w:rsidR="00971717" w:rsidRPr="005726D8">
        <w:rPr>
          <w:lang w:val="en-GB"/>
        </w:rPr>
        <w:t xml:space="preserve"> ANETA</w:t>
      </w:r>
      <w:r w:rsidR="00C36F15" w:rsidRPr="005726D8">
        <w:rPr>
          <w:lang w:val="en-GB"/>
        </w:rPr>
        <w:t>-</w:t>
      </w:r>
      <w:r w:rsidR="00971717" w:rsidRPr="005726D8">
        <w:rPr>
          <w:lang w:val="en-GB"/>
        </w:rPr>
        <w:t xml:space="preserve">positive, </w:t>
      </w:r>
      <w:r w:rsidR="0048127C" w:rsidRPr="005726D8">
        <w:rPr>
          <w:lang w:val="en-GB"/>
        </w:rPr>
        <w:t>but the ANETA</w:t>
      </w:r>
      <w:r w:rsidR="00C36F15" w:rsidRPr="005726D8">
        <w:rPr>
          <w:lang w:val="en-GB"/>
        </w:rPr>
        <w:t>-</w:t>
      </w:r>
      <w:r w:rsidR="0048127C" w:rsidRPr="005726D8">
        <w:rPr>
          <w:lang w:val="en-GB"/>
        </w:rPr>
        <w:t xml:space="preserve">positive </w:t>
      </w:r>
      <w:r w:rsidR="00C36F15" w:rsidRPr="005726D8">
        <w:rPr>
          <w:lang w:val="en-GB"/>
        </w:rPr>
        <w:t xml:space="preserve">SLE </w:t>
      </w:r>
      <w:r w:rsidR="0048127C" w:rsidRPr="005726D8">
        <w:rPr>
          <w:lang w:val="en-GB"/>
        </w:rPr>
        <w:t>patients on average have the highest ELISA scores</w:t>
      </w:r>
      <w:r w:rsidR="00971717" w:rsidRPr="005726D8">
        <w:rPr>
          <w:lang w:val="en-GB"/>
        </w:rPr>
        <w:t xml:space="preserve"> compared to the other disease groups (Supplementary Figure 2)</w:t>
      </w:r>
      <w:r w:rsidR="0048127C" w:rsidRPr="005726D8">
        <w:rPr>
          <w:lang w:val="en-GB"/>
        </w:rPr>
        <w:t>.</w:t>
      </w:r>
      <w:bookmarkEnd w:id="14"/>
      <w:r w:rsidR="0048127C" w:rsidRPr="005726D8">
        <w:rPr>
          <w:lang w:val="en-GB"/>
        </w:rPr>
        <w:t xml:space="preserve"> </w:t>
      </w:r>
      <w:bookmarkEnd w:id="15"/>
    </w:p>
    <w:p w14:paraId="3C0EE71C" w14:textId="77777777" w:rsidR="00FE64F0" w:rsidRPr="005726D8" w:rsidRDefault="00FE64F0" w:rsidP="002E5331">
      <w:pPr>
        <w:pStyle w:val="Geenafstand"/>
        <w:spacing w:line="360" w:lineRule="auto"/>
        <w:rPr>
          <w:lang w:val="en-GB"/>
        </w:rPr>
      </w:pPr>
    </w:p>
    <w:p w14:paraId="46C79331" w14:textId="3609CA84" w:rsidR="00B80187" w:rsidRPr="005726D8" w:rsidRDefault="00B80187" w:rsidP="00B80187">
      <w:pPr>
        <w:pStyle w:val="Geenafstand"/>
        <w:numPr>
          <w:ilvl w:val="1"/>
          <w:numId w:val="7"/>
        </w:numPr>
        <w:spacing w:line="360" w:lineRule="auto"/>
        <w:rPr>
          <w:b/>
          <w:bCs/>
          <w:lang w:val="en-GB"/>
        </w:rPr>
      </w:pPr>
      <w:r w:rsidRPr="005726D8">
        <w:rPr>
          <w:b/>
          <w:bCs/>
          <w:lang w:val="en-GB"/>
        </w:rPr>
        <w:t xml:space="preserve">ANETA in </w:t>
      </w:r>
      <w:r w:rsidR="0048149D" w:rsidRPr="005726D8">
        <w:rPr>
          <w:b/>
          <w:bCs/>
          <w:lang w:val="en-GB"/>
        </w:rPr>
        <w:t>newly diagnosed</w:t>
      </w:r>
      <w:r w:rsidRPr="005726D8">
        <w:rPr>
          <w:b/>
          <w:bCs/>
          <w:lang w:val="en-GB"/>
        </w:rPr>
        <w:t xml:space="preserve"> RA</w:t>
      </w:r>
      <w:r w:rsidR="0048149D" w:rsidRPr="005726D8">
        <w:rPr>
          <w:b/>
          <w:bCs/>
          <w:lang w:val="en-GB"/>
        </w:rPr>
        <w:t xml:space="preserve"> patients and after follow-up</w:t>
      </w:r>
    </w:p>
    <w:p w14:paraId="45A0C373" w14:textId="5351B3D4" w:rsidR="00B80187" w:rsidRPr="005726D8" w:rsidRDefault="00C36F15" w:rsidP="00B80187">
      <w:pPr>
        <w:pStyle w:val="Geenafstand"/>
        <w:spacing w:line="360" w:lineRule="auto"/>
        <w:rPr>
          <w:lang w:val="en-GB"/>
        </w:rPr>
      </w:pPr>
      <w:bookmarkStart w:id="16" w:name="_Hlk36642925"/>
      <w:bookmarkStart w:id="17" w:name="_Hlk35601492"/>
      <w:r w:rsidRPr="005726D8">
        <w:rPr>
          <w:lang w:val="en-GB"/>
        </w:rPr>
        <w:t xml:space="preserve">It has been well documented that the best characterized autoantibodies in RA, ACPA and RF, </w:t>
      </w:r>
      <w:r w:rsidR="00131CAA" w:rsidRPr="005726D8">
        <w:rPr>
          <w:lang w:val="en-GB"/>
        </w:rPr>
        <w:t>in most cases can be detected already early during disease development. To get more insight in the appearance of ANETA during the course of RA, samples taken at baseline (BL) and after a median follow-up of 7 years (</w:t>
      </w:r>
      <w:r w:rsidR="00FE64F0" w:rsidRPr="005726D8">
        <w:rPr>
          <w:lang w:val="en-GB"/>
        </w:rPr>
        <w:t xml:space="preserve">FU; </w:t>
      </w:r>
      <w:r w:rsidR="00131CAA" w:rsidRPr="005726D8">
        <w:rPr>
          <w:lang w:val="en-GB"/>
        </w:rPr>
        <w:t>IQR: 6.2–7.9 years)</w:t>
      </w:r>
      <w:r w:rsidR="00FE64F0" w:rsidRPr="005726D8">
        <w:rPr>
          <w:lang w:val="en-GB"/>
        </w:rPr>
        <w:t xml:space="preserve"> </w:t>
      </w:r>
      <w:r w:rsidR="00131CAA" w:rsidRPr="005726D8">
        <w:rPr>
          <w:lang w:val="en-GB"/>
        </w:rPr>
        <w:t>were tested in the ANETA ELISA</w:t>
      </w:r>
      <w:r w:rsidR="00FE64F0" w:rsidRPr="005726D8">
        <w:rPr>
          <w:lang w:val="en-GB"/>
        </w:rPr>
        <w:t>.</w:t>
      </w:r>
      <w:r w:rsidR="00131CAA" w:rsidRPr="005726D8">
        <w:rPr>
          <w:lang w:val="en-GB"/>
        </w:rPr>
        <w:t xml:space="preserve"> </w:t>
      </w:r>
      <w:r w:rsidR="00705CCF" w:rsidRPr="005726D8">
        <w:rPr>
          <w:lang w:val="en-GB"/>
        </w:rPr>
        <w:t xml:space="preserve">ANETA were present both in </w:t>
      </w:r>
      <w:r w:rsidR="00131CAA" w:rsidRPr="005726D8">
        <w:rPr>
          <w:lang w:val="en-GB"/>
        </w:rPr>
        <w:t>BL and FU samples</w:t>
      </w:r>
      <w:r w:rsidR="00705CCF" w:rsidRPr="005726D8">
        <w:rPr>
          <w:lang w:val="en-GB"/>
        </w:rPr>
        <w:t xml:space="preserve"> (Figure 3). </w:t>
      </w:r>
      <w:r w:rsidR="00FE64F0" w:rsidRPr="005726D8">
        <w:rPr>
          <w:lang w:val="en-GB"/>
        </w:rPr>
        <w:t xml:space="preserve">Both increased an decreased ANETA levels were observed in FU samples as compared to the </w:t>
      </w:r>
      <w:r w:rsidR="0048149D" w:rsidRPr="005726D8">
        <w:rPr>
          <w:lang w:val="en-GB"/>
        </w:rPr>
        <w:t xml:space="preserve">matching </w:t>
      </w:r>
      <w:r w:rsidR="00FE64F0" w:rsidRPr="005726D8">
        <w:rPr>
          <w:lang w:val="en-GB"/>
        </w:rPr>
        <w:t>BL</w:t>
      </w:r>
      <w:r w:rsidR="0048149D" w:rsidRPr="005726D8">
        <w:rPr>
          <w:lang w:val="en-GB"/>
        </w:rPr>
        <w:t xml:space="preserve"> samples</w:t>
      </w:r>
      <w:r w:rsidR="00FE64F0" w:rsidRPr="005726D8">
        <w:rPr>
          <w:lang w:val="en-GB"/>
        </w:rPr>
        <w:t xml:space="preserve">. </w:t>
      </w:r>
      <w:r w:rsidR="0048149D" w:rsidRPr="005726D8">
        <w:rPr>
          <w:lang w:val="en-GB"/>
        </w:rPr>
        <w:t>No</w:t>
      </w:r>
      <w:r w:rsidR="00705CCF" w:rsidRPr="005726D8">
        <w:rPr>
          <w:lang w:val="en-GB"/>
        </w:rPr>
        <w:t xml:space="preserve"> significant differences in ANETA levels between </w:t>
      </w:r>
      <w:r w:rsidR="00FE64F0" w:rsidRPr="005726D8">
        <w:rPr>
          <w:lang w:val="en-GB"/>
        </w:rPr>
        <w:t>the BL and FU samples</w:t>
      </w:r>
      <w:r w:rsidR="0048149D" w:rsidRPr="005726D8">
        <w:rPr>
          <w:lang w:val="en-GB"/>
        </w:rPr>
        <w:t xml:space="preserve"> were observed</w:t>
      </w:r>
      <w:r w:rsidR="00FE64F0" w:rsidRPr="005726D8">
        <w:rPr>
          <w:lang w:val="en-GB"/>
        </w:rPr>
        <w:t>.</w:t>
      </w:r>
      <w:bookmarkEnd w:id="16"/>
    </w:p>
    <w:bookmarkEnd w:id="17"/>
    <w:p w14:paraId="3DF869D4" w14:textId="5A7EC23C" w:rsidR="00103DDC" w:rsidRPr="005726D8" w:rsidRDefault="00103DDC" w:rsidP="00090D07">
      <w:pPr>
        <w:pStyle w:val="Geenafstand"/>
        <w:spacing w:line="360" w:lineRule="auto"/>
        <w:rPr>
          <w:lang w:val="en-GB"/>
        </w:rPr>
      </w:pPr>
    </w:p>
    <w:p w14:paraId="7E00C0B4" w14:textId="309B62EE" w:rsidR="00103DDC" w:rsidRPr="005726D8" w:rsidRDefault="00103DDC" w:rsidP="00090D07">
      <w:pPr>
        <w:pStyle w:val="Geenafstand"/>
        <w:spacing w:line="360" w:lineRule="auto"/>
        <w:rPr>
          <w:b/>
          <w:lang w:val="en-GB"/>
        </w:rPr>
      </w:pPr>
      <w:r w:rsidRPr="005726D8">
        <w:rPr>
          <w:b/>
          <w:lang w:val="en-GB"/>
        </w:rPr>
        <w:t>3.</w:t>
      </w:r>
      <w:r w:rsidR="00B80187" w:rsidRPr="005726D8">
        <w:rPr>
          <w:b/>
          <w:lang w:val="en-GB"/>
        </w:rPr>
        <w:t>5</w:t>
      </w:r>
      <w:r w:rsidRPr="005726D8">
        <w:rPr>
          <w:b/>
          <w:lang w:val="en-GB"/>
        </w:rPr>
        <w:t xml:space="preserve"> Circulating NETs in RA patient sera </w:t>
      </w:r>
    </w:p>
    <w:p w14:paraId="7DEDBFA9" w14:textId="7A9A1431" w:rsidR="00103DDC" w:rsidRPr="005726D8" w:rsidRDefault="00103DDC" w:rsidP="00090D07">
      <w:pPr>
        <w:pStyle w:val="Geenafstand"/>
        <w:spacing w:line="360" w:lineRule="auto"/>
        <w:rPr>
          <w:lang w:val="en-GB"/>
        </w:rPr>
      </w:pPr>
      <w:r w:rsidRPr="005726D8">
        <w:rPr>
          <w:lang w:val="en-GB"/>
        </w:rPr>
        <w:t xml:space="preserve">The presence of ANETA in the sera of </w:t>
      </w:r>
      <w:r w:rsidR="002E5331" w:rsidRPr="005726D8">
        <w:rPr>
          <w:lang w:val="en-GB"/>
        </w:rPr>
        <w:t xml:space="preserve">RA </w:t>
      </w:r>
      <w:r w:rsidRPr="005726D8">
        <w:rPr>
          <w:lang w:val="en-GB"/>
        </w:rPr>
        <w:t>patients raised the question whether also NETs or NET fragments were present in the</w:t>
      </w:r>
      <w:r w:rsidR="002E5331" w:rsidRPr="005726D8">
        <w:rPr>
          <w:lang w:val="en-GB"/>
        </w:rPr>
        <w:t>se</w:t>
      </w:r>
      <w:r w:rsidRPr="005726D8">
        <w:rPr>
          <w:lang w:val="en-GB"/>
        </w:rPr>
        <w:t xml:space="preserve"> sera. The presence of NET fragments might increase the chance of developing autoantibodies against them. To investigate this possibility, we applied a sandwich ELISA to detect NET fragments in the </w:t>
      </w:r>
      <w:r w:rsidR="006F6E10" w:rsidRPr="005726D8">
        <w:rPr>
          <w:lang w:val="en-GB"/>
        </w:rPr>
        <w:t>sera of RA cohort</w:t>
      </w:r>
      <w:r w:rsidR="000077EB" w:rsidRPr="005726D8">
        <w:rPr>
          <w:lang w:val="en-GB"/>
        </w:rPr>
        <w:t xml:space="preserve"> A</w:t>
      </w:r>
      <w:r w:rsidRPr="005726D8">
        <w:rPr>
          <w:lang w:val="en-GB"/>
        </w:rPr>
        <w:t xml:space="preserve">. An immobilized mouse monoclonal antibody to </w:t>
      </w:r>
      <w:r w:rsidRPr="005726D8">
        <w:rPr>
          <w:lang w:val="en-GB"/>
        </w:rPr>
        <w:lastRenderedPageBreak/>
        <w:t xml:space="preserve">human myeloperoxidase (MPO) was used to capture MPO-containing complexes in patient sera. Captured NET complexes were detected with a peroxidase-conjugated monoclonal anti-DNA antibody. Variable levels of NET fragments were detected in 32% of the RA sera (Figure </w:t>
      </w:r>
      <w:r w:rsidR="006F6E10" w:rsidRPr="005726D8">
        <w:rPr>
          <w:lang w:val="en-GB"/>
        </w:rPr>
        <w:t>4</w:t>
      </w:r>
      <w:r w:rsidRPr="005726D8">
        <w:rPr>
          <w:lang w:val="en-GB"/>
        </w:rPr>
        <w:t xml:space="preserve">A). Interestingly, we did not find a significant correlation between circulating NETs and ANETA (Figure </w:t>
      </w:r>
      <w:r w:rsidR="006F6E10" w:rsidRPr="005726D8">
        <w:rPr>
          <w:lang w:val="en-GB"/>
        </w:rPr>
        <w:t>4</w:t>
      </w:r>
      <w:r w:rsidRPr="005726D8">
        <w:rPr>
          <w:lang w:val="en-GB"/>
        </w:rPr>
        <w:t>B).</w:t>
      </w:r>
    </w:p>
    <w:p w14:paraId="500577CB" w14:textId="77777777" w:rsidR="0000279F" w:rsidRPr="005726D8" w:rsidRDefault="0000279F" w:rsidP="00090D07">
      <w:pPr>
        <w:pStyle w:val="Geenafstand"/>
        <w:spacing w:line="360" w:lineRule="auto"/>
        <w:rPr>
          <w:lang w:val="en-GB"/>
        </w:rPr>
      </w:pPr>
    </w:p>
    <w:p w14:paraId="24DEA36B" w14:textId="7F6B06AF" w:rsidR="00103DDC" w:rsidRPr="005726D8" w:rsidRDefault="00103DDC" w:rsidP="00090D07">
      <w:pPr>
        <w:pStyle w:val="Geenafstand"/>
        <w:spacing w:line="360" w:lineRule="auto"/>
        <w:rPr>
          <w:b/>
          <w:lang w:val="en-GB"/>
        </w:rPr>
      </w:pPr>
      <w:r w:rsidRPr="005726D8">
        <w:rPr>
          <w:b/>
          <w:lang w:val="en-GB"/>
        </w:rPr>
        <w:t>3.</w:t>
      </w:r>
      <w:r w:rsidR="00B80187" w:rsidRPr="005726D8">
        <w:rPr>
          <w:b/>
          <w:lang w:val="en-GB"/>
        </w:rPr>
        <w:t>6</w:t>
      </w:r>
      <w:r w:rsidRPr="005726D8">
        <w:rPr>
          <w:b/>
          <w:lang w:val="en-GB"/>
        </w:rPr>
        <w:t xml:space="preserve"> ANETA and circulating NETs in seropositive and seronegative RA patients</w:t>
      </w:r>
    </w:p>
    <w:p w14:paraId="0C2FFE71" w14:textId="0C21D76E" w:rsidR="00103DDC" w:rsidRPr="005726D8" w:rsidRDefault="00103DDC" w:rsidP="00090D07">
      <w:pPr>
        <w:pStyle w:val="Geenafstand"/>
        <w:spacing w:line="360" w:lineRule="auto"/>
        <w:rPr>
          <w:lang w:val="en-GB"/>
        </w:rPr>
      </w:pPr>
      <w:r w:rsidRPr="005726D8">
        <w:rPr>
          <w:lang w:val="en-GB"/>
        </w:rPr>
        <w:t>To investigate whether the presence of ANETA or circulating NETs is associated with the autoantibodies often found in RA, RF and ACPA, their co-occurrence was analysed. No association was observed between ANETA and ACPA as measured by the anti-CCP2 test</w:t>
      </w:r>
      <w:r w:rsidR="00F13AB4" w:rsidRPr="005726D8">
        <w:rPr>
          <w:lang w:val="en-GB"/>
        </w:rPr>
        <w:t xml:space="preserve"> for RA cohort A</w:t>
      </w:r>
      <w:r w:rsidRPr="005726D8">
        <w:rPr>
          <w:lang w:val="en-GB"/>
        </w:rPr>
        <w:t xml:space="preserve"> (Figure </w:t>
      </w:r>
      <w:r w:rsidR="006F6E10" w:rsidRPr="005726D8">
        <w:rPr>
          <w:lang w:val="en-GB"/>
        </w:rPr>
        <w:t>5</w:t>
      </w:r>
      <w:r w:rsidRPr="005726D8">
        <w:rPr>
          <w:lang w:val="en-GB"/>
        </w:rPr>
        <w:t xml:space="preserve">A). This suggests that anti-NET reactivity is not or only to a limited extent mediated by the recognition of </w:t>
      </w:r>
      <w:proofErr w:type="spellStart"/>
      <w:r w:rsidRPr="005726D8">
        <w:rPr>
          <w:lang w:val="en-GB"/>
        </w:rPr>
        <w:t>citrullinated</w:t>
      </w:r>
      <w:proofErr w:type="spellEnd"/>
      <w:r w:rsidRPr="005726D8">
        <w:rPr>
          <w:lang w:val="en-GB"/>
        </w:rPr>
        <w:t xml:space="preserve"> epitopes on NETs. </w:t>
      </w:r>
      <w:bookmarkStart w:id="18" w:name="_Hlk35869868"/>
      <w:r w:rsidR="00E71E0E" w:rsidRPr="005726D8">
        <w:rPr>
          <w:lang w:val="en-GB"/>
        </w:rPr>
        <w:t xml:space="preserve">This was corroborated </w:t>
      </w:r>
      <w:r w:rsidR="00DC64C2" w:rsidRPr="005726D8">
        <w:rPr>
          <w:lang w:val="en-GB"/>
        </w:rPr>
        <w:t xml:space="preserve">by the results obtained with </w:t>
      </w:r>
      <w:r w:rsidR="00E71E0E" w:rsidRPr="005726D8">
        <w:rPr>
          <w:lang w:val="en-GB"/>
        </w:rPr>
        <w:t>RA cohort</w:t>
      </w:r>
      <w:r w:rsidR="00711CA2" w:rsidRPr="005726D8">
        <w:rPr>
          <w:lang w:val="en-GB"/>
        </w:rPr>
        <w:t>s</w:t>
      </w:r>
      <w:r w:rsidR="00077542" w:rsidRPr="005726D8">
        <w:rPr>
          <w:lang w:val="en-GB"/>
        </w:rPr>
        <w:t xml:space="preserve"> B &amp;</w:t>
      </w:r>
      <w:r w:rsidR="00E71E0E" w:rsidRPr="005726D8">
        <w:rPr>
          <w:lang w:val="en-GB"/>
        </w:rPr>
        <w:t xml:space="preserve"> C</w:t>
      </w:r>
      <w:r w:rsidR="00315E48" w:rsidRPr="005726D8">
        <w:rPr>
          <w:lang w:val="en-GB"/>
        </w:rPr>
        <w:t xml:space="preserve"> (Supplementary Figure 3)</w:t>
      </w:r>
      <w:r w:rsidR="00E71E0E" w:rsidRPr="005726D8">
        <w:rPr>
          <w:lang w:val="en-GB"/>
        </w:rPr>
        <w:t xml:space="preserve">. </w:t>
      </w:r>
      <w:bookmarkEnd w:id="18"/>
      <w:r w:rsidRPr="005726D8">
        <w:rPr>
          <w:lang w:val="en-GB"/>
        </w:rPr>
        <w:t xml:space="preserve">In contrast, ANETA levels appeared to be significantly higher in RF-positive than in RF-negative sera (Figure </w:t>
      </w:r>
      <w:r w:rsidR="006F6E10" w:rsidRPr="005726D8">
        <w:rPr>
          <w:lang w:val="en-GB"/>
        </w:rPr>
        <w:t>5</w:t>
      </w:r>
      <w:r w:rsidRPr="005726D8">
        <w:rPr>
          <w:lang w:val="en-GB"/>
        </w:rPr>
        <w:t xml:space="preserve">B, p&lt;0.001). No significant association was found between circulating NET levels and either ACPA or RF (Figure </w:t>
      </w:r>
      <w:r w:rsidR="006F6E10" w:rsidRPr="005726D8">
        <w:rPr>
          <w:lang w:val="en-GB"/>
        </w:rPr>
        <w:t>5</w:t>
      </w:r>
      <w:r w:rsidRPr="005726D8">
        <w:rPr>
          <w:lang w:val="en-GB"/>
        </w:rPr>
        <w:t>C,D). The lack of an association between ANETA and ACPA and between circulating NETs and ACPA suggested that ANETA and/or circulating NETs might be interesting for the classification of the seronegative subgroup of RA patients. However, the frequency by which they occur in this group of patients is relatively low. Only 1 of the 27 seronegative patients has ANETA and circulating NETs were detected in only 4 of these patients.</w:t>
      </w:r>
    </w:p>
    <w:p w14:paraId="2840DBDE" w14:textId="77777777" w:rsidR="00103DDC" w:rsidRPr="005726D8" w:rsidRDefault="00103DDC" w:rsidP="00090D07">
      <w:pPr>
        <w:pStyle w:val="Geenafstand"/>
        <w:spacing w:line="360" w:lineRule="auto"/>
        <w:rPr>
          <w:lang w:val="en-GB"/>
        </w:rPr>
      </w:pPr>
    </w:p>
    <w:p w14:paraId="5B3F8A92" w14:textId="6A624BBC" w:rsidR="00103DDC" w:rsidRPr="005726D8" w:rsidRDefault="00103DDC" w:rsidP="00090D07">
      <w:pPr>
        <w:pStyle w:val="Geenafstand"/>
        <w:spacing w:line="360" w:lineRule="auto"/>
        <w:rPr>
          <w:lang w:val="en-GB"/>
        </w:rPr>
      </w:pPr>
      <w:r w:rsidRPr="005726D8">
        <w:rPr>
          <w:lang w:val="en-GB"/>
        </w:rPr>
        <w:t xml:space="preserve">The association of ANETA with RF might at least in part be explained by the binding of RF to the Fc region of ANETA that have bound their targets on NETs and thereby enhance the signal. Furthermore, RF is known for its non-specific binding and its interference with other laboratory tests that detect antibodies </w:t>
      </w:r>
      <w:r w:rsidRPr="005726D8">
        <w:rPr>
          <w:noProof/>
          <w:lang w:val="en-GB"/>
        </w:rPr>
        <w:t>[2</w:t>
      </w:r>
      <w:r w:rsidR="00802283" w:rsidRPr="005726D8">
        <w:rPr>
          <w:noProof/>
          <w:lang w:val="en-GB"/>
        </w:rPr>
        <w:t>3</w:t>
      </w:r>
      <w:r w:rsidRPr="005726D8">
        <w:rPr>
          <w:noProof/>
          <w:lang w:val="en-GB"/>
        </w:rPr>
        <w:t>]</w:t>
      </w:r>
      <w:r w:rsidRPr="005726D8">
        <w:rPr>
          <w:lang w:val="en-GB"/>
        </w:rPr>
        <w:t xml:space="preserve">. Since IgM is also the most prominent isoform of RF in RA </w:t>
      </w:r>
      <w:r w:rsidRPr="005726D8">
        <w:rPr>
          <w:noProof/>
          <w:lang w:val="en-GB"/>
        </w:rPr>
        <w:t>[2</w:t>
      </w:r>
      <w:r w:rsidR="00802283" w:rsidRPr="005726D8">
        <w:rPr>
          <w:noProof/>
          <w:lang w:val="en-GB"/>
        </w:rPr>
        <w:t>4</w:t>
      </w:r>
      <w:r w:rsidRPr="005726D8">
        <w:rPr>
          <w:noProof/>
          <w:lang w:val="en-GB"/>
        </w:rPr>
        <w:t>]</w:t>
      </w:r>
      <w:r w:rsidRPr="005726D8">
        <w:rPr>
          <w:lang w:val="en-GB"/>
        </w:rPr>
        <w:t xml:space="preserve">, we repeated our ANETA ELISA by using a secondary antibody that is specific for IgG. We did not find any difference between anti-IgG and anti-IgG, -IgA, -IgM as secondary antibody, suggesting that RF does not yield false positive results in our ANETA assay (data not shown). </w:t>
      </w:r>
    </w:p>
    <w:p w14:paraId="2FB3E259" w14:textId="77777777" w:rsidR="00103DDC" w:rsidRPr="005726D8" w:rsidRDefault="00103DDC" w:rsidP="00090D07">
      <w:pPr>
        <w:pStyle w:val="Geenafstand"/>
        <w:spacing w:line="360" w:lineRule="auto"/>
        <w:rPr>
          <w:i/>
          <w:lang w:val="en-GB"/>
        </w:rPr>
      </w:pPr>
    </w:p>
    <w:p w14:paraId="22FF4BF9" w14:textId="248FAF8B" w:rsidR="00103DDC" w:rsidRPr="005726D8" w:rsidRDefault="00103DDC" w:rsidP="00090D07">
      <w:pPr>
        <w:pStyle w:val="Geenafstand"/>
        <w:spacing w:line="360" w:lineRule="auto"/>
        <w:rPr>
          <w:b/>
          <w:lang w:val="en-GB"/>
        </w:rPr>
      </w:pPr>
      <w:r w:rsidRPr="005726D8">
        <w:rPr>
          <w:b/>
          <w:lang w:val="en-GB"/>
        </w:rPr>
        <w:t>3.</w:t>
      </w:r>
      <w:r w:rsidR="00B80187" w:rsidRPr="005726D8">
        <w:rPr>
          <w:b/>
          <w:lang w:val="en-GB"/>
        </w:rPr>
        <w:t>7</w:t>
      </w:r>
      <w:r w:rsidRPr="005726D8">
        <w:rPr>
          <w:b/>
          <w:lang w:val="en-GB"/>
        </w:rPr>
        <w:t xml:space="preserve"> Association of ANETA with demographic and clinical parameters</w:t>
      </w:r>
    </w:p>
    <w:p w14:paraId="537632CC" w14:textId="2A374FA0" w:rsidR="00103DDC" w:rsidRPr="005726D8" w:rsidRDefault="00103DDC" w:rsidP="00090D07">
      <w:pPr>
        <w:pStyle w:val="Geenafstand"/>
        <w:spacing w:line="360" w:lineRule="auto"/>
        <w:rPr>
          <w:lang w:val="en-GB"/>
        </w:rPr>
      </w:pPr>
      <w:r w:rsidRPr="005726D8">
        <w:rPr>
          <w:lang w:val="en-GB"/>
        </w:rPr>
        <w:t xml:space="preserve">To gain more insight in the clinical value of ANETA as a biomarker, we investigated their association with clinical features. In addition to age and gender, ANETA levels of ANETA-positive RA patients were compared with disease duration and activity scores (DAS28) and with the general inflammation markers C-reactive protein (CRP) and the erythrocyte sedimentation rate (ESR). No correlation was observed for any of these features (Figure </w:t>
      </w:r>
      <w:r w:rsidR="006F6E10" w:rsidRPr="005726D8">
        <w:rPr>
          <w:lang w:val="en-GB"/>
        </w:rPr>
        <w:t>6</w:t>
      </w:r>
      <w:r w:rsidRPr="005726D8">
        <w:rPr>
          <w:lang w:val="en-GB"/>
        </w:rPr>
        <w:t>).</w:t>
      </w:r>
    </w:p>
    <w:p w14:paraId="042BC17B" w14:textId="77777777" w:rsidR="00103DDC" w:rsidRPr="005726D8" w:rsidRDefault="00103DDC" w:rsidP="00090D07">
      <w:pPr>
        <w:pStyle w:val="Kop1"/>
        <w:numPr>
          <w:ilvl w:val="0"/>
          <w:numId w:val="7"/>
        </w:numPr>
        <w:spacing w:line="360" w:lineRule="auto"/>
        <w:rPr>
          <w:b/>
          <w:lang w:val="en-GB"/>
        </w:rPr>
      </w:pPr>
      <w:r w:rsidRPr="005726D8">
        <w:rPr>
          <w:b/>
          <w:lang w:val="en-GB"/>
        </w:rPr>
        <w:lastRenderedPageBreak/>
        <w:t>Discussion</w:t>
      </w:r>
    </w:p>
    <w:p w14:paraId="7371B881" w14:textId="77777777" w:rsidR="006F6E10" w:rsidRPr="005726D8" w:rsidRDefault="006F6E10" w:rsidP="00090D07">
      <w:pPr>
        <w:pStyle w:val="Geenafstand"/>
        <w:spacing w:line="360" w:lineRule="auto"/>
        <w:rPr>
          <w:lang w:val="en-GB"/>
        </w:rPr>
      </w:pPr>
    </w:p>
    <w:p w14:paraId="25D5EA1F" w14:textId="50B6B299" w:rsidR="00103DDC" w:rsidRPr="005726D8" w:rsidRDefault="00103DDC" w:rsidP="00090D07">
      <w:pPr>
        <w:pStyle w:val="Geenafstand"/>
        <w:spacing w:line="360" w:lineRule="auto"/>
        <w:rPr>
          <w:lang w:val="en-GB"/>
        </w:rPr>
      </w:pPr>
      <w:bookmarkStart w:id="19" w:name="_Hlk36643000"/>
      <w:r w:rsidRPr="005726D8">
        <w:rPr>
          <w:lang w:val="en-GB"/>
        </w:rPr>
        <w:t xml:space="preserve">In this study we have shown that </w:t>
      </w:r>
      <w:r w:rsidR="00DE1CC1" w:rsidRPr="005726D8">
        <w:rPr>
          <w:lang w:val="en-GB"/>
        </w:rPr>
        <w:t>a substantial fraction</w:t>
      </w:r>
      <w:r w:rsidRPr="005726D8">
        <w:rPr>
          <w:lang w:val="en-GB"/>
        </w:rPr>
        <w:t xml:space="preserve"> of RA patients</w:t>
      </w:r>
      <w:r w:rsidR="00DE1CC1" w:rsidRPr="005726D8">
        <w:rPr>
          <w:lang w:val="en-GB"/>
        </w:rPr>
        <w:t xml:space="preserve"> and patients with other autoimmune diseases</w:t>
      </w:r>
      <w:r w:rsidRPr="005726D8">
        <w:rPr>
          <w:lang w:val="en-GB"/>
        </w:rPr>
        <w:t xml:space="preserve"> have antibodies against NETs. </w:t>
      </w:r>
      <w:bookmarkEnd w:id="19"/>
      <w:r w:rsidRPr="005726D8">
        <w:rPr>
          <w:lang w:val="en-GB"/>
        </w:rPr>
        <w:t xml:space="preserve">ANETA in patient sera were detected both by a newly developed ELISA assay and by immunofluorescence, and a significant correlation between the results obtained with both methods was observed. The reactivity of the RA sera with NETs generated with neutrophils from different donors, RA patients or healthy controls, and produced upon stimulation with PMA or A23187, did not significantly differ. </w:t>
      </w:r>
      <w:bookmarkStart w:id="20" w:name="_Hlk35869947"/>
      <w:bookmarkStart w:id="21" w:name="_Hlk36643146"/>
      <w:r w:rsidRPr="005726D8">
        <w:rPr>
          <w:lang w:val="en-GB"/>
        </w:rPr>
        <w:t>The presence of ANETA weakly correlated with RF, but not with</w:t>
      </w:r>
      <w:r w:rsidR="00A80E8B" w:rsidRPr="005726D8">
        <w:rPr>
          <w:lang w:val="en-GB"/>
        </w:rPr>
        <w:t xml:space="preserve"> </w:t>
      </w:r>
      <w:r w:rsidRPr="005726D8">
        <w:rPr>
          <w:lang w:val="en-GB"/>
        </w:rPr>
        <w:t>ACPA, circulating NETs in serum,</w:t>
      </w:r>
      <w:r w:rsidR="00077542" w:rsidRPr="005726D8">
        <w:rPr>
          <w:lang w:val="en-GB"/>
        </w:rPr>
        <w:t xml:space="preserve"> disease </w:t>
      </w:r>
      <w:r w:rsidR="00D474F6" w:rsidRPr="005726D8">
        <w:rPr>
          <w:lang w:val="en-GB"/>
        </w:rPr>
        <w:t>progression</w:t>
      </w:r>
      <w:r w:rsidR="00077542" w:rsidRPr="005726D8">
        <w:rPr>
          <w:lang w:val="en-GB"/>
        </w:rPr>
        <w:t>,</w:t>
      </w:r>
      <w:r w:rsidRPr="005726D8">
        <w:rPr>
          <w:lang w:val="en-GB"/>
        </w:rPr>
        <w:t xml:space="preserve"> disease activity or inflammation markers</w:t>
      </w:r>
      <w:bookmarkEnd w:id="20"/>
      <w:r w:rsidRPr="005726D8">
        <w:rPr>
          <w:lang w:val="en-GB"/>
        </w:rPr>
        <w:t xml:space="preserve">. </w:t>
      </w:r>
      <w:bookmarkStart w:id="22" w:name="_Hlk36643029"/>
      <w:bookmarkEnd w:id="21"/>
      <w:r w:rsidRPr="005726D8">
        <w:rPr>
          <w:lang w:val="en-GB"/>
        </w:rPr>
        <w:t xml:space="preserve">This makes ANETA an independent biomarker and additional studies have to reveal whether it might be associated with a clinical subgroup of RA </w:t>
      </w:r>
      <w:r w:rsidR="00DE1CC1" w:rsidRPr="005726D8">
        <w:rPr>
          <w:lang w:val="en-GB"/>
        </w:rPr>
        <w:t xml:space="preserve">and other autoimmune </w:t>
      </w:r>
      <w:r w:rsidRPr="005726D8">
        <w:rPr>
          <w:lang w:val="en-GB"/>
        </w:rPr>
        <w:t xml:space="preserve">patients. </w:t>
      </w:r>
      <w:bookmarkEnd w:id="22"/>
    </w:p>
    <w:p w14:paraId="1A837710" w14:textId="77777777" w:rsidR="00103DDC" w:rsidRPr="005726D8" w:rsidRDefault="00103DDC" w:rsidP="00090D07">
      <w:pPr>
        <w:pStyle w:val="Geenafstand"/>
        <w:spacing w:line="360" w:lineRule="auto"/>
        <w:rPr>
          <w:lang w:val="en-GB"/>
        </w:rPr>
      </w:pPr>
    </w:p>
    <w:p w14:paraId="407B6572" w14:textId="56314705" w:rsidR="00103DDC" w:rsidRPr="005726D8" w:rsidRDefault="00103DDC" w:rsidP="00090D07">
      <w:pPr>
        <w:pStyle w:val="Geenafstand"/>
        <w:spacing w:line="360" w:lineRule="auto"/>
        <w:rPr>
          <w:lang w:val="en-GB"/>
        </w:rPr>
      </w:pPr>
      <w:r w:rsidRPr="005726D8">
        <w:rPr>
          <w:lang w:val="en-GB"/>
        </w:rPr>
        <w:t xml:space="preserve">To our knowledge, this is the first study that reports the prevalence of ANETA in RA sera. The presence of ANETA in RA sera was reported before, but these studies did not address the frequency by which ANETA occur in RA patients </w:t>
      </w:r>
      <w:r w:rsidRPr="005726D8">
        <w:rPr>
          <w:noProof/>
          <w:lang w:val="en-GB"/>
        </w:rPr>
        <w:t>[9, 13, 2</w:t>
      </w:r>
      <w:r w:rsidR="00802283" w:rsidRPr="005726D8">
        <w:rPr>
          <w:noProof/>
          <w:lang w:val="en-GB"/>
        </w:rPr>
        <w:t>5</w:t>
      </w:r>
      <w:r w:rsidRPr="005726D8">
        <w:rPr>
          <w:noProof/>
          <w:lang w:val="en-GB"/>
        </w:rPr>
        <w:t>]</w:t>
      </w:r>
      <w:r w:rsidRPr="005726D8">
        <w:rPr>
          <w:lang w:val="en-GB"/>
        </w:rPr>
        <w:t xml:space="preserve">. </w:t>
      </w:r>
      <w:bookmarkStart w:id="23" w:name="_Hlk35870087"/>
      <w:r w:rsidRPr="005726D8">
        <w:rPr>
          <w:lang w:val="en-GB"/>
        </w:rPr>
        <w:t>Our study indicates that antibodies against NETs are frequently present in RA patients (</w:t>
      </w:r>
      <w:r w:rsidR="00DE1CC1" w:rsidRPr="005726D8">
        <w:rPr>
          <w:lang w:val="en-GB"/>
        </w:rPr>
        <w:t>22% – 69</w:t>
      </w:r>
      <w:r w:rsidRPr="005726D8">
        <w:rPr>
          <w:lang w:val="en-GB"/>
        </w:rPr>
        <w:t>% of established RA patients),</w:t>
      </w:r>
      <w:r w:rsidR="00E13585" w:rsidRPr="005726D8">
        <w:rPr>
          <w:lang w:val="en-GB"/>
        </w:rPr>
        <w:t xml:space="preserve"> and </w:t>
      </w:r>
      <w:r w:rsidR="00D474F6" w:rsidRPr="005726D8">
        <w:rPr>
          <w:lang w:val="en-GB"/>
        </w:rPr>
        <w:t xml:space="preserve">often </w:t>
      </w:r>
      <w:r w:rsidR="00E13585" w:rsidRPr="005726D8">
        <w:rPr>
          <w:lang w:val="en-GB"/>
        </w:rPr>
        <w:t>can already be detected at baseline.</w:t>
      </w:r>
      <w:r w:rsidRPr="005726D8">
        <w:rPr>
          <w:lang w:val="en-GB"/>
        </w:rPr>
        <w:t xml:space="preserve"> </w:t>
      </w:r>
      <w:bookmarkEnd w:id="23"/>
      <w:r w:rsidRPr="005726D8">
        <w:rPr>
          <w:lang w:val="en-GB"/>
        </w:rPr>
        <w:t xml:space="preserve">NETs and ANETA were proposed to contribute to the onset and progression of RA </w:t>
      </w:r>
      <w:r w:rsidRPr="005726D8">
        <w:rPr>
          <w:noProof/>
          <w:lang w:val="en-GB"/>
        </w:rPr>
        <w:t>[9]</w:t>
      </w:r>
      <w:r w:rsidRPr="005726D8">
        <w:rPr>
          <w:lang w:val="en-GB"/>
        </w:rPr>
        <w:t xml:space="preserve">, but evidence is lacking. Since NETs are formed in response to pathogens, NET fragments might be cleared by local phagocytes together with bacterial remnants, which may act as adjuvants and in that way initiate an autoimmune response against NETs in genetically susceptible individuals </w:t>
      </w:r>
      <w:r w:rsidRPr="005726D8">
        <w:rPr>
          <w:noProof/>
          <w:lang w:val="en-GB"/>
        </w:rPr>
        <w:t>[15]</w:t>
      </w:r>
      <w:r w:rsidRPr="005726D8">
        <w:rPr>
          <w:lang w:val="en-GB"/>
        </w:rPr>
        <w:t>. Once the immune response against NETs has been initiated, ANETA might contribute to the vicious cycle of inflammation in RA patients.</w:t>
      </w:r>
      <w:r w:rsidRPr="005726D8">
        <w:rPr>
          <w:i/>
          <w:color w:val="808080" w:themeColor="background1" w:themeShade="80"/>
          <w:lang w:val="en-GB"/>
        </w:rPr>
        <w:t xml:space="preserve"> </w:t>
      </w:r>
      <w:r w:rsidRPr="005726D8">
        <w:rPr>
          <w:lang w:val="en-GB"/>
        </w:rPr>
        <w:t xml:space="preserve">ANETA bound to NETs may activate the complement system via the classic pathway, leading to an inflammatory response </w:t>
      </w:r>
      <w:r w:rsidRPr="005726D8">
        <w:rPr>
          <w:noProof/>
          <w:lang w:val="en-GB"/>
        </w:rPr>
        <w:t>[2</w:t>
      </w:r>
      <w:r w:rsidR="00802283" w:rsidRPr="005726D8">
        <w:rPr>
          <w:noProof/>
          <w:lang w:val="en-GB"/>
        </w:rPr>
        <w:t>6</w:t>
      </w:r>
      <w:r w:rsidRPr="005726D8">
        <w:rPr>
          <w:noProof/>
          <w:lang w:val="en-GB"/>
        </w:rPr>
        <w:t>]</w:t>
      </w:r>
      <w:r w:rsidRPr="005726D8">
        <w:rPr>
          <w:lang w:val="en-GB"/>
        </w:rPr>
        <w:t xml:space="preserve">. </w:t>
      </w:r>
    </w:p>
    <w:p w14:paraId="58177D88" w14:textId="2F68F094" w:rsidR="00A73463" w:rsidRPr="005726D8" w:rsidRDefault="00A73463" w:rsidP="00090D07">
      <w:pPr>
        <w:pStyle w:val="Geenafstand"/>
        <w:spacing w:line="360" w:lineRule="auto"/>
        <w:rPr>
          <w:lang w:val="en-GB"/>
        </w:rPr>
      </w:pPr>
    </w:p>
    <w:p w14:paraId="67E23AD3" w14:textId="04FF62CB" w:rsidR="00A73463" w:rsidRPr="005726D8" w:rsidRDefault="004B36B1" w:rsidP="00090D07">
      <w:pPr>
        <w:pStyle w:val="Geenafstand"/>
        <w:spacing w:line="360" w:lineRule="auto"/>
        <w:rPr>
          <w:rFonts w:ascii="Calibri" w:hAnsi="Calibri"/>
          <w:i/>
          <w:color w:val="808080" w:themeColor="background1" w:themeShade="80"/>
          <w:lang w:val="en-GB"/>
        </w:rPr>
      </w:pPr>
      <w:bookmarkStart w:id="24" w:name="_Hlk36643207"/>
      <w:r w:rsidRPr="005726D8">
        <w:rPr>
          <w:lang w:val="en-GB"/>
        </w:rPr>
        <w:t xml:space="preserve">We observed </w:t>
      </w:r>
      <w:r w:rsidR="00094CED" w:rsidRPr="005726D8">
        <w:rPr>
          <w:lang w:val="en-GB"/>
        </w:rPr>
        <w:t xml:space="preserve">variation </w:t>
      </w:r>
      <w:r w:rsidRPr="005726D8">
        <w:rPr>
          <w:lang w:val="en-GB"/>
        </w:rPr>
        <w:t xml:space="preserve">in the </w:t>
      </w:r>
      <w:r w:rsidR="00D474F6" w:rsidRPr="005726D8">
        <w:rPr>
          <w:lang w:val="en-GB"/>
        </w:rPr>
        <w:t xml:space="preserve">prevalence of </w:t>
      </w:r>
      <w:r w:rsidRPr="005726D8">
        <w:rPr>
          <w:lang w:val="en-GB"/>
        </w:rPr>
        <w:t xml:space="preserve">ANETA </w:t>
      </w:r>
      <w:r w:rsidR="00D474F6" w:rsidRPr="005726D8">
        <w:rPr>
          <w:lang w:val="en-GB"/>
        </w:rPr>
        <w:t>in</w:t>
      </w:r>
      <w:r w:rsidRPr="005726D8">
        <w:rPr>
          <w:lang w:val="en-GB"/>
        </w:rPr>
        <w:t xml:space="preserve"> the three RA cohorts tested, </w:t>
      </w:r>
      <w:r w:rsidR="00D474F6" w:rsidRPr="005726D8">
        <w:rPr>
          <w:lang w:val="en-GB"/>
        </w:rPr>
        <w:t xml:space="preserve">which varied from </w:t>
      </w:r>
      <w:r w:rsidRPr="005726D8">
        <w:rPr>
          <w:lang w:val="en-GB"/>
        </w:rPr>
        <w:t>22</w:t>
      </w:r>
      <w:r w:rsidR="00D474F6" w:rsidRPr="005726D8">
        <w:rPr>
          <w:lang w:val="en-GB"/>
        </w:rPr>
        <w:t>% to</w:t>
      </w:r>
      <w:r w:rsidRPr="005726D8">
        <w:rPr>
          <w:lang w:val="en-GB"/>
        </w:rPr>
        <w:t xml:space="preserve"> 69%. </w:t>
      </w:r>
      <w:r w:rsidR="00D474F6" w:rsidRPr="005726D8">
        <w:rPr>
          <w:lang w:val="en-GB"/>
        </w:rPr>
        <w:t>Although t</w:t>
      </w:r>
      <w:r w:rsidR="00A71B16" w:rsidRPr="005726D8">
        <w:rPr>
          <w:lang w:val="en-GB"/>
        </w:rPr>
        <w:t xml:space="preserve">hese differences </w:t>
      </w:r>
      <w:r w:rsidR="00D474F6" w:rsidRPr="005726D8">
        <w:rPr>
          <w:lang w:val="en-GB"/>
        </w:rPr>
        <w:t xml:space="preserve">might </w:t>
      </w:r>
      <w:r w:rsidR="00A71B16" w:rsidRPr="005726D8">
        <w:rPr>
          <w:lang w:val="en-GB"/>
        </w:rPr>
        <w:t xml:space="preserve">be due to differences in patient sampling and </w:t>
      </w:r>
      <w:r w:rsidR="00E97108" w:rsidRPr="005726D8">
        <w:rPr>
          <w:lang w:val="en-GB"/>
        </w:rPr>
        <w:t xml:space="preserve">sample </w:t>
      </w:r>
      <w:r w:rsidR="00A71B16" w:rsidRPr="005726D8">
        <w:rPr>
          <w:lang w:val="en-GB"/>
        </w:rPr>
        <w:t xml:space="preserve">storage, </w:t>
      </w:r>
      <w:r w:rsidR="00E97108" w:rsidRPr="005726D8">
        <w:rPr>
          <w:lang w:val="en-GB"/>
        </w:rPr>
        <w:t>it would be interesting to investigate whether therapeutic differences affect the occurrence of ANETA</w:t>
      </w:r>
      <w:r w:rsidR="00A71B16" w:rsidRPr="005726D8">
        <w:rPr>
          <w:lang w:val="en-GB"/>
        </w:rPr>
        <w:t xml:space="preserve"> in patient</w:t>
      </w:r>
      <w:r w:rsidR="00E97108" w:rsidRPr="005726D8">
        <w:rPr>
          <w:lang w:val="en-GB"/>
        </w:rPr>
        <w:t>s</w:t>
      </w:r>
      <w:r w:rsidR="00A71B16" w:rsidRPr="005726D8">
        <w:rPr>
          <w:lang w:val="en-GB"/>
        </w:rPr>
        <w:t>.</w:t>
      </w:r>
      <w:bookmarkEnd w:id="24"/>
      <w:r w:rsidR="00A71B16" w:rsidRPr="005726D8">
        <w:rPr>
          <w:lang w:val="en-GB"/>
        </w:rPr>
        <w:t xml:space="preserve"> </w:t>
      </w:r>
      <w:bookmarkStart w:id="25" w:name="_Hlk36643354"/>
      <w:r w:rsidR="00E97108" w:rsidRPr="005726D8">
        <w:rPr>
          <w:lang w:val="en-GB"/>
        </w:rPr>
        <w:t>The analysis of</w:t>
      </w:r>
      <w:r w:rsidRPr="005726D8">
        <w:rPr>
          <w:lang w:val="en-GB"/>
        </w:rPr>
        <w:t xml:space="preserve"> BL and FU samples of </w:t>
      </w:r>
      <w:r w:rsidR="00E97108" w:rsidRPr="005726D8">
        <w:rPr>
          <w:lang w:val="en-GB"/>
        </w:rPr>
        <w:t>34 RA</w:t>
      </w:r>
      <w:r w:rsidRPr="005726D8">
        <w:rPr>
          <w:lang w:val="en-GB"/>
        </w:rPr>
        <w:t xml:space="preserve"> patient</w:t>
      </w:r>
      <w:r w:rsidR="00E97108" w:rsidRPr="005726D8">
        <w:rPr>
          <w:lang w:val="en-GB"/>
        </w:rPr>
        <w:t>s did not support a common change in ANETA levels during the course of the disease</w:t>
      </w:r>
      <w:r w:rsidRPr="005726D8">
        <w:rPr>
          <w:lang w:val="en-GB"/>
        </w:rPr>
        <w:t xml:space="preserve">. </w:t>
      </w:r>
      <w:bookmarkEnd w:id="25"/>
      <w:r w:rsidR="00D869D0" w:rsidRPr="005726D8">
        <w:rPr>
          <w:lang w:val="en-GB"/>
        </w:rPr>
        <w:t>The elucidation of the underlying cause of the fluctuations observed in a subset of patients requires further research.</w:t>
      </w:r>
    </w:p>
    <w:p w14:paraId="58EFAEF0" w14:textId="77777777" w:rsidR="00103DDC" w:rsidRPr="005726D8" w:rsidRDefault="00103DDC" w:rsidP="00090D07">
      <w:pPr>
        <w:pStyle w:val="Geenafstand"/>
        <w:spacing w:line="360" w:lineRule="auto"/>
        <w:rPr>
          <w:rFonts w:ascii="Calibri" w:hAnsi="Calibri"/>
          <w:i/>
          <w:color w:val="808080" w:themeColor="background1" w:themeShade="80"/>
          <w:lang w:val="en-GB"/>
        </w:rPr>
      </w:pPr>
    </w:p>
    <w:p w14:paraId="700E8CAF" w14:textId="5941A670" w:rsidR="00103DDC" w:rsidRPr="005726D8" w:rsidRDefault="00A80E8B" w:rsidP="005726D8">
      <w:pPr>
        <w:pStyle w:val="Geenafstand"/>
        <w:spacing w:line="360" w:lineRule="auto"/>
        <w:rPr>
          <w:strike/>
          <w:lang w:val="en-GB"/>
        </w:rPr>
      </w:pPr>
      <w:bookmarkStart w:id="26" w:name="_Hlk36643438"/>
      <w:r w:rsidRPr="005726D8">
        <w:rPr>
          <w:lang w:val="en-GB"/>
        </w:rPr>
        <w:t xml:space="preserve">We have also assessed the prevalence of ANETA in </w:t>
      </w:r>
      <w:r w:rsidR="004B6DEC" w:rsidRPr="005726D8">
        <w:rPr>
          <w:lang w:val="en-GB"/>
        </w:rPr>
        <w:t xml:space="preserve">patients with SLE, </w:t>
      </w:r>
      <w:proofErr w:type="spellStart"/>
      <w:r w:rsidR="004B6DEC" w:rsidRPr="005726D8">
        <w:rPr>
          <w:lang w:val="en-GB"/>
        </w:rPr>
        <w:t>SjS</w:t>
      </w:r>
      <w:proofErr w:type="spellEnd"/>
      <w:r w:rsidR="004B6DEC" w:rsidRPr="005726D8">
        <w:rPr>
          <w:lang w:val="en-GB"/>
        </w:rPr>
        <w:t xml:space="preserve"> and </w:t>
      </w:r>
      <w:proofErr w:type="spellStart"/>
      <w:r w:rsidR="004B6DEC" w:rsidRPr="005726D8">
        <w:rPr>
          <w:lang w:val="en-GB"/>
        </w:rPr>
        <w:t>SSc</w:t>
      </w:r>
      <w:proofErr w:type="spellEnd"/>
      <w:r w:rsidR="004B6DEC" w:rsidRPr="005726D8">
        <w:rPr>
          <w:lang w:val="en-GB"/>
        </w:rPr>
        <w:t xml:space="preserve"> </w:t>
      </w:r>
      <w:r w:rsidRPr="005726D8">
        <w:rPr>
          <w:lang w:val="en-GB"/>
        </w:rPr>
        <w:t xml:space="preserve">and conclude that </w:t>
      </w:r>
      <w:r w:rsidR="004B6DEC" w:rsidRPr="005726D8">
        <w:rPr>
          <w:lang w:val="en-GB"/>
        </w:rPr>
        <w:t xml:space="preserve">the production of </w:t>
      </w:r>
      <w:r w:rsidR="00103DDC" w:rsidRPr="005726D8">
        <w:rPr>
          <w:lang w:val="en-GB"/>
        </w:rPr>
        <w:t xml:space="preserve">ANETA </w:t>
      </w:r>
      <w:r w:rsidRPr="005726D8">
        <w:rPr>
          <w:lang w:val="en-GB"/>
        </w:rPr>
        <w:t>is</w:t>
      </w:r>
      <w:r w:rsidR="00103DDC" w:rsidRPr="005726D8">
        <w:rPr>
          <w:lang w:val="en-GB"/>
        </w:rPr>
        <w:t xml:space="preserve"> not specific</w:t>
      </w:r>
      <w:r w:rsidR="004B6DEC" w:rsidRPr="005726D8">
        <w:rPr>
          <w:lang w:val="en-GB"/>
        </w:rPr>
        <w:t>ally associated with</w:t>
      </w:r>
      <w:r w:rsidR="00103DDC" w:rsidRPr="005726D8">
        <w:rPr>
          <w:lang w:val="en-GB"/>
        </w:rPr>
        <w:t xml:space="preserve"> RA</w:t>
      </w:r>
      <w:r w:rsidRPr="005726D8">
        <w:rPr>
          <w:lang w:val="en-GB"/>
        </w:rPr>
        <w:t xml:space="preserve">. </w:t>
      </w:r>
      <w:r w:rsidR="00641CB1" w:rsidRPr="005726D8">
        <w:rPr>
          <w:lang w:val="en-GB"/>
        </w:rPr>
        <w:t xml:space="preserve">The presence of ANETA in other </w:t>
      </w:r>
      <w:r w:rsidR="00641CB1" w:rsidRPr="005726D8">
        <w:rPr>
          <w:lang w:val="en-GB"/>
        </w:rPr>
        <w:lastRenderedPageBreak/>
        <w:t>diseases</w:t>
      </w:r>
      <w:r w:rsidR="004B6DEC" w:rsidRPr="005726D8">
        <w:rPr>
          <w:lang w:val="en-GB"/>
        </w:rPr>
        <w:t>, in particular SLE,</w:t>
      </w:r>
      <w:r w:rsidR="00641CB1" w:rsidRPr="005726D8">
        <w:rPr>
          <w:lang w:val="en-GB"/>
        </w:rPr>
        <w:t xml:space="preserve"> ha</w:t>
      </w:r>
      <w:r w:rsidR="004B6DEC" w:rsidRPr="005726D8">
        <w:rPr>
          <w:lang w:val="en-GB"/>
        </w:rPr>
        <w:t>s</w:t>
      </w:r>
      <w:r w:rsidR="00103DDC" w:rsidRPr="005726D8">
        <w:rPr>
          <w:lang w:val="en-GB"/>
        </w:rPr>
        <w:t xml:space="preserve"> been reported </w:t>
      </w:r>
      <w:r w:rsidR="004B6DEC" w:rsidRPr="005726D8">
        <w:rPr>
          <w:lang w:val="en-GB"/>
        </w:rPr>
        <w:t xml:space="preserve">previously </w:t>
      </w:r>
      <w:r w:rsidR="00103DDC" w:rsidRPr="005726D8">
        <w:rPr>
          <w:lang w:val="en-GB"/>
        </w:rPr>
        <w:t xml:space="preserve">by several investigators </w:t>
      </w:r>
      <w:r w:rsidR="00103DDC" w:rsidRPr="005726D8">
        <w:rPr>
          <w:noProof/>
          <w:lang w:val="en-GB"/>
        </w:rPr>
        <w:t>[2</w:t>
      </w:r>
      <w:r w:rsidR="00802283" w:rsidRPr="005726D8">
        <w:rPr>
          <w:noProof/>
          <w:lang w:val="en-GB"/>
        </w:rPr>
        <w:t>1</w:t>
      </w:r>
      <w:r w:rsidR="00103DDC" w:rsidRPr="005726D8">
        <w:rPr>
          <w:noProof/>
          <w:lang w:val="en-GB"/>
        </w:rPr>
        <w:t>, 2</w:t>
      </w:r>
      <w:r w:rsidR="00802283" w:rsidRPr="005726D8">
        <w:rPr>
          <w:noProof/>
          <w:lang w:val="en-GB"/>
        </w:rPr>
        <w:t>7</w:t>
      </w:r>
      <w:r w:rsidR="00103DDC" w:rsidRPr="005726D8">
        <w:rPr>
          <w:noProof/>
          <w:lang w:val="en-GB"/>
        </w:rPr>
        <w:t>]</w:t>
      </w:r>
      <w:r w:rsidR="00641CB1" w:rsidRPr="005726D8">
        <w:rPr>
          <w:lang w:val="en-GB"/>
        </w:rPr>
        <w:t xml:space="preserve">. </w:t>
      </w:r>
      <w:r w:rsidR="004B6DEC" w:rsidRPr="005726D8">
        <w:rPr>
          <w:lang w:val="en-GB"/>
        </w:rPr>
        <w:t>Although we observed a lower frequency</w:t>
      </w:r>
      <w:r w:rsidR="00103DDC" w:rsidRPr="005726D8">
        <w:rPr>
          <w:lang w:val="en-GB"/>
        </w:rPr>
        <w:t xml:space="preserve"> of ANETA</w:t>
      </w:r>
      <w:r w:rsidR="00641CB1" w:rsidRPr="005726D8">
        <w:rPr>
          <w:lang w:val="en-GB"/>
        </w:rPr>
        <w:t xml:space="preserve"> in SLE than </w:t>
      </w:r>
      <w:r w:rsidR="004B6DEC" w:rsidRPr="005726D8">
        <w:rPr>
          <w:lang w:val="en-GB"/>
        </w:rPr>
        <w:t xml:space="preserve">in </w:t>
      </w:r>
      <w:proofErr w:type="spellStart"/>
      <w:r w:rsidR="00641CB1" w:rsidRPr="005726D8">
        <w:rPr>
          <w:lang w:val="en-GB"/>
        </w:rPr>
        <w:t>SjS</w:t>
      </w:r>
      <w:proofErr w:type="spellEnd"/>
      <w:r w:rsidR="00641CB1" w:rsidRPr="005726D8">
        <w:rPr>
          <w:lang w:val="en-GB"/>
        </w:rPr>
        <w:t xml:space="preserve"> and </w:t>
      </w:r>
      <w:proofErr w:type="spellStart"/>
      <w:r w:rsidR="00641CB1" w:rsidRPr="005726D8">
        <w:rPr>
          <w:lang w:val="en-GB"/>
        </w:rPr>
        <w:t>S</w:t>
      </w:r>
      <w:r w:rsidR="004B6DEC" w:rsidRPr="005726D8">
        <w:rPr>
          <w:lang w:val="en-GB"/>
        </w:rPr>
        <w:t>S</w:t>
      </w:r>
      <w:r w:rsidR="00641CB1" w:rsidRPr="005726D8">
        <w:rPr>
          <w:lang w:val="en-GB"/>
        </w:rPr>
        <w:t>c</w:t>
      </w:r>
      <w:proofErr w:type="spellEnd"/>
      <w:r w:rsidR="004B6DEC" w:rsidRPr="005726D8">
        <w:rPr>
          <w:lang w:val="en-GB"/>
        </w:rPr>
        <w:t>, the reactivity levels appeared to be highest in SLE</w:t>
      </w:r>
      <w:r w:rsidR="00641CB1" w:rsidRPr="005726D8">
        <w:rPr>
          <w:lang w:val="en-GB"/>
        </w:rPr>
        <w:t xml:space="preserve">. </w:t>
      </w:r>
      <w:r w:rsidR="004B6DEC" w:rsidRPr="005726D8">
        <w:rPr>
          <w:lang w:val="en-GB"/>
        </w:rPr>
        <w:t xml:space="preserve">Additional studies with </w:t>
      </w:r>
      <w:r w:rsidR="00AE1CA5" w:rsidRPr="005726D8">
        <w:rPr>
          <w:lang w:val="en-GB"/>
        </w:rPr>
        <w:t xml:space="preserve">larger </w:t>
      </w:r>
      <w:r w:rsidR="004B6DEC" w:rsidRPr="005726D8">
        <w:rPr>
          <w:lang w:val="en-GB"/>
        </w:rPr>
        <w:t>numbers of patient samples will be required</w:t>
      </w:r>
      <w:r w:rsidR="00641CB1" w:rsidRPr="005726D8">
        <w:rPr>
          <w:lang w:val="en-GB"/>
        </w:rPr>
        <w:t xml:space="preserve"> to draw sound conclusions on the prevalence of ANETA in </w:t>
      </w:r>
      <w:r w:rsidR="004B6DEC" w:rsidRPr="005726D8">
        <w:rPr>
          <w:lang w:val="en-GB"/>
        </w:rPr>
        <w:t>autoimmune, and possibly also other inflammatory</w:t>
      </w:r>
      <w:r w:rsidR="00641CB1" w:rsidRPr="005726D8">
        <w:rPr>
          <w:lang w:val="en-GB"/>
        </w:rPr>
        <w:t xml:space="preserve"> diseases.</w:t>
      </w:r>
      <w:r w:rsidR="00BD285E" w:rsidRPr="005726D8">
        <w:rPr>
          <w:lang w:val="en-GB"/>
        </w:rPr>
        <w:t xml:space="preserve"> </w:t>
      </w:r>
      <w:bookmarkEnd w:id="26"/>
      <w:r w:rsidR="00BD285E" w:rsidRPr="005726D8">
        <w:rPr>
          <w:lang w:val="en-GB"/>
        </w:rPr>
        <w:t xml:space="preserve">Indeed, </w:t>
      </w:r>
      <w:r w:rsidR="00641CB1" w:rsidRPr="005726D8">
        <w:rPr>
          <w:lang w:val="en-GB"/>
        </w:rPr>
        <w:t>ANETA</w:t>
      </w:r>
      <w:r w:rsidR="00103DDC" w:rsidRPr="005726D8">
        <w:rPr>
          <w:lang w:val="en-GB"/>
        </w:rPr>
        <w:t xml:space="preserve"> was also demonstrated in microscopic </w:t>
      </w:r>
      <w:proofErr w:type="spellStart"/>
      <w:r w:rsidR="00103DDC" w:rsidRPr="005726D8">
        <w:rPr>
          <w:lang w:val="en-GB"/>
        </w:rPr>
        <w:t>polyangiitis</w:t>
      </w:r>
      <w:proofErr w:type="spellEnd"/>
      <w:r w:rsidR="00103DDC" w:rsidRPr="005726D8">
        <w:rPr>
          <w:lang w:val="en-GB"/>
        </w:rPr>
        <w:t xml:space="preserve"> </w:t>
      </w:r>
      <w:r w:rsidR="00103DDC" w:rsidRPr="005726D8">
        <w:rPr>
          <w:noProof/>
          <w:lang w:val="en-GB"/>
        </w:rPr>
        <w:t>[2</w:t>
      </w:r>
      <w:r w:rsidR="00802283" w:rsidRPr="005726D8">
        <w:rPr>
          <w:noProof/>
          <w:lang w:val="en-GB"/>
        </w:rPr>
        <w:t>8</w:t>
      </w:r>
      <w:r w:rsidR="00103DDC" w:rsidRPr="005726D8">
        <w:rPr>
          <w:noProof/>
          <w:lang w:val="en-GB"/>
        </w:rPr>
        <w:t>]</w:t>
      </w:r>
      <w:r w:rsidR="00103DDC" w:rsidRPr="005726D8">
        <w:rPr>
          <w:lang w:val="en-GB"/>
        </w:rPr>
        <w:t xml:space="preserve">. </w:t>
      </w:r>
    </w:p>
    <w:p w14:paraId="79380EF4" w14:textId="7CC28B01" w:rsidR="00103DDC" w:rsidRPr="005726D8" w:rsidRDefault="00103DDC" w:rsidP="00090D07">
      <w:pPr>
        <w:pStyle w:val="Geenafstand"/>
        <w:spacing w:line="360" w:lineRule="auto"/>
        <w:rPr>
          <w:lang w:val="en-GB"/>
        </w:rPr>
      </w:pPr>
      <w:r w:rsidRPr="005726D8">
        <w:rPr>
          <w:lang w:val="en-GB"/>
        </w:rPr>
        <w:br/>
        <w:t xml:space="preserve">The epitopes that are recognized by ANETA remain unknown. The results of many studies have shown that NETs contain </w:t>
      </w:r>
      <w:proofErr w:type="spellStart"/>
      <w:r w:rsidRPr="005726D8">
        <w:rPr>
          <w:lang w:val="en-GB"/>
        </w:rPr>
        <w:t>citrullinated</w:t>
      </w:r>
      <w:proofErr w:type="spellEnd"/>
      <w:r w:rsidRPr="005726D8">
        <w:rPr>
          <w:lang w:val="en-GB"/>
        </w:rPr>
        <w:t xml:space="preserve"> proteins </w:t>
      </w:r>
      <w:r w:rsidRPr="005726D8">
        <w:rPr>
          <w:noProof/>
          <w:lang w:val="en-US"/>
        </w:rPr>
        <w:t>[9, 12, 13]</w:t>
      </w:r>
      <w:r w:rsidRPr="005726D8">
        <w:rPr>
          <w:lang w:val="en-US"/>
        </w:rPr>
        <w:t>,</w:t>
      </w:r>
      <w:r w:rsidRPr="005726D8">
        <w:rPr>
          <w:lang w:val="en-GB"/>
        </w:rPr>
        <w:t xml:space="preserve"> and therefore, it is likely that at least some of the ANETA represent ACPA. ANETA reactivity in RA sera did not correlate with ACPA reactivity, which strongly suggests that other epitopes play a more prominent role. It is possible that NETs contain multiple epitopes that are recognised by different sera.  </w:t>
      </w:r>
    </w:p>
    <w:p w14:paraId="76A2B0BB" w14:textId="77777777" w:rsidR="00103DDC" w:rsidRPr="005726D8" w:rsidRDefault="00103DDC" w:rsidP="00090D07">
      <w:pPr>
        <w:pStyle w:val="Geenafstand"/>
        <w:spacing w:line="360" w:lineRule="auto"/>
        <w:rPr>
          <w:lang w:val="en-GB"/>
        </w:rPr>
      </w:pPr>
    </w:p>
    <w:p w14:paraId="5A62ED25" w14:textId="02B14F8F" w:rsidR="00103DDC" w:rsidRPr="005726D8" w:rsidRDefault="00103DDC" w:rsidP="00090D07">
      <w:pPr>
        <w:pStyle w:val="Geenafstand"/>
        <w:spacing w:line="360" w:lineRule="auto"/>
        <w:rPr>
          <w:lang w:val="en-GB"/>
        </w:rPr>
      </w:pPr>
      <w:r w:rsidRPr="005726D8">
        <w:rPr>
          <w:lang w:val="en-GB"/>
        </w:rPr>
        <w:t xml:space="preserve">Knowledge on the main NET-associated </w:t>
      </w:r>
      <w:proofErr w:type="spellStart"/>
      <w:r w:rsidRPr="005726D8">
        <w:rPr>
          <w:lang w:val="en-GB"/>
        </w:rPr>
        <w:t>autoepitopes</w:t>
      </w:r>
      <w:proofErr w:type="spellEnd"/>
      <w:r w:rsidRPr="005726D8">
        <w:rPr>
          <w:lang w:val="en-GB"/>
        </w:rPr>
        <w:t xml:space="preserve"> would facilitate the development of a more standardized anti-NET ELISA. </w:t>
      </w:r>
      <w:r w:rsidR="00BD285E" w:rsidRPr="005726D8">
        <w:rPr>
          <w:lang w:val="en-GB"/>
        </w:rPr>
        <w:t>T</w:t>
      </w:r>
      <w:r w:rsidRPr="005726D8">
        <w:rPr>
          <w:lang w:val="en-GB"/>
        </w:rPr>
        <w:t xml:space="preserve">he need for </w:t>
      </w:r>
      <w:r w:rsidR="00BD285E" w:rsidRPr="005726D8">
        <w:rPr>
          <w:lang w:val="en-GB"/>
        </w:rPr>
        <w:t xml:space="preserve">fresh </w:t>
      </w:r>
      <w:r w:rsidRPr="005726D8">
        <w:rPr>
          <w:lang w:val="en-GB"/>
        </w:rPr>
        <w:t xml:space="preserve">human </w:t>
      </w:r>
      <w:r w:rsidR="00BD285E" w:rsidRPr="005726D8">
        <w:rPr>
          <w:lang w:val="en-GB"/>
        </w:rPr>
        <w:t xml:space="preserve">blood samples and the </w:t>
      </w:r>
      <w:r w:rsidR="002B775B" w:rsidRPr="005726D8">
        <w:rPr>
          <w:lang w:val="en-GB"/>
        </w:rPr>
        <w:t xml:space="preserve">technically challenging </w:t>
      </w:r>
      <w:r w:rsidR="00BD285E" w:rsidRPr="005726D8">
        <w:rPr>
          <w:lang w:val="en-GB"/>
        </w:rPr>
        <w:t>procedure to generate</w:t>
      </w:r>
      <w:r w:rsidRPr="005726D8">
        <w:rPr>
          <w:lang w:val="en-GB"/>
        </w:rPr>
        <w:t xml:space="preserve"> NETs </w:t>
      </w:r>
      <w:r w:rsidR="002B775B" w:rsidRPr="005726D8">
        <w:rPr>
          <w:lang w:val="en-GB"/>
        </w:rPr>
        <w:t>imply that independently prepared NETs may show some heterogeneity</w:t>
      </w:r>
      <w:r w:rsidRPr="005726D8">
        <w:rPr>
          <w:lang w:val="en-GB"/>
        </w:rPr>
        <w:t xml:space="preserve">. </w:t>
      </w:r>
      <w:r w:rsidR="0028517F" w:rsidRPr="005726D8">
        <w:rPr>
          <w:lang w:val="en-GB"/>
        </w:rPr>
        <w:t>Although</w:t>
      </w:r>
      <w:r w:rsidRPr="005726D8">
        <w:rPr>
          <w:lang w:val="en-GB"/>
        </w:rPr>
        <w:t xml:space="preserve"> pooling </w:t>
      </w:r>
      <w:r w:rsidR="0028517F" w:rsidRPr="005726D8">
        <w:rPr>
          <w:lang w:val="en-GB"/>
        </w:rPr>
        <w:t xml:space="preserve">of </w:t>
      </w:r>
      <w:r w:rsidRPr="005726D8">
        <w:rPr>
          <w:lang w:val="en-GB"/>
        </w:rPr>
        <w:t>NET</w:t>
      </w:r>
      <w:r w:rsidR="0028517F" w:rsidRPr="005726D8">
        <w:rPr>
          <w:lang w:val="en-GB"/>
        </w:rPr>
        <w:t xml:space="preserve"> harvest</w:t>
      </w:r>
      <w:r w:rsidRPr="005726D8">
        <w:rPr>
          <w:lang w:val="en-GB"/>
        </w:rPr>
        <w:t xml:space="preserve">s </w:t>
      </w:r>
      <w:r w:rsidR="0028517F" w:rsidRPr="005726D8">
        <w:rPr>
          <w:lang w:val="en-GB"/>
        </w:rPr>
        <w:t>may at least in part resolve this problem, it is important to note that</w:t>
      </w:r>
      <w:r w:rsidRPr="005726D8">
        <w:rPr>
          <w:lang w:val="en-GB"/>
        </w:rPr>
        <w:t xml:space="preserve"> we did not observe significant differences between the recognition of the NETs of healthy controls and RA patients, nor between that of NETs that were induced by PMA </w:t>
      </w:r>
      <w:r w:rsidR="0028517F" w:rsidRPr="005726D8">
        <w:rPr>
          <w:lang w:val="en-GB"/>
        </w:rPr>
        <w:t xml:space="preserve">and </w:t>
      </w:r>
      <w:r w:rsidRPr="005726D8">
        <w:rPr>
          <w:lang w:val="en-GB"/>
        </w:rPr>
        <w:t xml:space="preserve">A23187. Interestingly, Chapman and colleagues showed that the protein composition of NETs induced by PMA and A23187 do show differences </w:t>
      </w:r>
      <w:r w:rsidRPr="005726D8">
        <w:rPr>
          <w:noProof/>
          <w:lang w:val="en-GB"/>
        </w:rPr>
        <w:t>[12]</w:t>
      </w:r>
      <w:r w:rsidR="0028517F" w:rsidRPr="005726D8">
        <w:rPr>
          <w:noProof/>
          <w:lang w:val="en-GB"/>
        </w:rPr>
        <w:t>, which</w:t>
      </w:r>
      <w:r w:rsidRPr="005726D8">
        <w:rPr>
          <w:lang w:val="en-GB"/>
        </w:rPr>
        <w:t xml:space="preserve"> suggests that </w:t>
      </w:r>
      <w:r w:rsidR="00BD285E" w:rsidRPr="005726D8">
        <w:rPr>
          <w:lang w:val="en-GB"/>
        </w:rPr>
        <w:t>universal</w:t>
      </w:r>
      <w:r w:rsidRPr="005726D8">
        <w:rPr>
          <w:lang w:val="en-GB"/>
        </w:rPr>
        <w:t xml:space="preserve"> NET components confer their main antigenicity.</w:t>
      </w:r>
    </w:p>
    <w:p w14:paraId="20307DFC" w14:textId="77777777" w:rsidR="00103DDC" w:rsidRPr="005726D8" w:rsidRDefault="00103DDC" w:rsidP="00090D07">
      <w:pPr>
        <w:pStyle w:val="Geenafstand"/>
        <w:spacing w:line="360" w:lineRule="auto"/>
        <w:rPr>
          <w:lang w:val="en-GB"/>
        </w:rPr>
      </w:pPr>
    </w:p>
    <w:p w14:paraId="7F5DE258" w14:textId="1D50D259" w:rsidR="00103DDC" w:rsidRPr="005726D8" w:rsidRDefault="00103DDC" w:rsidP="00090D07">
      <w:pPr>
        <w:pStyle w:val="Geenafstand"/>
        <w:spacing w:line="360" w:lineRule="auto"/>
        <w:rPr>
          <w:strike/>
          <w:lang w:val="en-GB"/>
        </w:rPr>
      </w:pPr>
      <w:r w:rsidRPr="005726D8">
        <w:rPr>
          <w:lang w:val="en-GB"/>
        </w:rPr>
        <w:t xml:space="preserve">We validated our anti-NET ELISA by performing immunofluorescent staining of NETs with the same sera that were tested in ELISA. There is a significant correlation between the results of both methods, substantiating the applicability of the anti-NET ELISA. However, some sera show high reactivity with NETs in immunofluorescence, but have a relatively low ANETA response in the ELISA or vice versa. This might be due to technical differences between both techniques, since immunofluorescent staining of NETs includes a fixation step, whereas the NETs are not fixed in the ELISA. Fixation might affect the accessibility and the structure of epitopes. </w:t>
      </w:r>
    </w:p>
    <w:p w14:paraId="4FC133D7" w14:textId="77777777" w:rsidR="00103DDC" w:rsidRPr="005726D8" w:rsidRDefault="00103DDC" w:rsidP="00090D07">
      <w:pPr>
        <w:pStyle w:val="Geenafstand"/>
        <w:spacing w:line="360" w:lineRule="auto"/>
        <w:rPr>
          <w:lang w:val="en-GB"/>
        </w:rPr>
      </w:pPr>
    </w:p>
    <w:p w14:paraId="41EEB245" w14:textId="77777777" w:rsidR="00103DDC" w:rsidRPr="005726D8" w:rsidRDefault="00103DDC" w:rsidP="00090D07">
      <w:pPr>
        <w:pStyle w:val="Geenafstand"/>
        <w:spacing w:line="360" w:lineRule="auto"/>
        <w:rPr>
          <w:lang w:val="en-GB"/>
        </w:rPr>
      </w:pPr>
      <w:r w:rsidRPr="005726D8">
        <w:rPr>
          <w:lang w:val="en-GB"/>
        </w:rPr>
        <w:t xml:space="preserve">Interestingly, ANETA do not correlate with the presence of NET fragments in serum. The co-occurrence of ANETA and NET fragments in the sera of some patients raises the question as to what extent ANETA and NETs exist as immune complexes and to what extent such immune complexes affected their detection in the assays applied. ANETA binding to NETs in serum may interfere with their binding to NETs in the ANETA ELISA and immunofluorescence assays. As a consequence, the </w:t>
      </w:r>
      <w:r w:rsidRPr="005726D8">
        <w:rPr>
          <w:lang w:val="en-GB"/>
        </w:rPr>
        <w:lastRenderedPageBreak/>
        <w:t xml:space="preserve">ANETA levels detected may be an underestimation of the actual levels. Similarly, ANETA-binding to circulating NETs may reduce the levels of NETs that can be detected in sera. Further studies are needed to clarify this issue. </w:t>
      </w:r>
    </w:p>
    <w:p w14:paraId="7D39E1DF" w14:textId="77777777" w:rsidR="00103DDC" w:rsidRPr="005726D8" w:rsidRDefault="00103DDC" w:rsidP="00090D07">
      <w:pPr>
        <w:pStyle w:val="Geenafstand"/>
        <w:spacing w:line="360" w:lineRule="auto"/>
        <w:rPr>
          <w:lang w:val="en-GB"/>
        </w:rPr>
      </w:pPr>
    </w:p>
    <w:p w14:paraId="309B1BED" w14:textId="77777777" w:rsidR="00103DDC" w:rsidRPr="005726D8" w:rsidRDefault="00103DDC" w:rsidP="00090D07">
      <w:pPr>
        <w:pStyle w:val="Kop1"/>
        <w:numPr>
          <w:ilvl w:val="0"/>
          <w:numId w:val="7"/>
        </w:numPr>
        <w:spacing w:line="360" w:lineRule="auto"/>
        <w:rPr>
          <w:b/>
          <w:lang w:val="en-GB"/>
        </w:rPr>
      </w:pPr>
      <w:r w:rsidRPr="005726D8">
        <w:rPr>
          <w:b/>
          <w:lang w:val="en-GB"/>
        </w:rPr>
        <w:t>Conclusions</w:t>
      </w:r>
    </w:p>
    <w:p w14:paraId="498B2CF0" w14:textId="77777777" w:rsidR="00103DDC" w:rsidRPr="005726D8" w:rsidRDefault="00103DDC" w:rsidP="00090D07">
      <w:pPr>
        <w:pStyle w:val="Geenafstand"/>
        <w:spacing w:line="360" w:lineRule="auto"/>
        <w:rPr>
          <w:lang w:val="en-GB"/>
        </w:rPr>
      </w:pPr>
    </w:p>
    <w:p w14:paraId="4AD09C5D" w14:textId="78D88F5C" w:rsidR="00103DDC" w:rsidRPr="005726D8" w:rsidRDefault="00103DDC" w:rsidP="00802283">
      <w:pPr>
        <w:pStyle w:val="Geenafstand"/>
        <w:spacing w:line="360" w:lineRule="auto"/>
        <w:rPr>
          <w:b/>
          <w:lang w:val="en-GB"/>
        </w:rPr>
      </w:pPr>
      <w:r w:rsidRPr="005726D8">
        <w:rPr>
          <w:lang w:val="en-GB"/>
        </w:rPr>
        <w:t xml:space="preserve">In this study, an anti-NET ELISA was developed that can be used for the detection of ANETA in human serum. </w:t>
      </w:r>
      <w:bookmarkStart w:id="27" w:name="_Hlk35870173"/>
      <w:r w:rsidR="002D3700" w:rsidRPr="005726D8">
        <w:rPr>
          <w:lang w:val="en-GB"/>
        </w:rPr>
        <w:t>A substantial fraction of both early and</w:t>
      </w:r>
      <w:r w:rsidRPr="005726D8">
        <w:rPr>
          <w:lang w:val="en-GB"/>
        </w:rPr>
        <w:t xml:space="preserve"> established RA patients appeared to have antibodies against NETs in their serum and about one third of the patients have detectable levels of NET(-fragment)s. </w:t>
      </w:r>
      <w:bookmarkStart w:id="28" w:name="_Hlk36643473"/>
      <w:bookmarkEnd w:id="27"/>
      <w:r w:rsidR="002D3700" w:rsidRPr="005726D8">
        <w:rPr>
          <w:lang w:val="en-GB"/>
        </w:rPr>
        <w:t xml:space="preserve">ANETA are not specific for RA, but are also found in sera from patients with other autoimmune diseases. </w:t>
      </w:r>
      <w:bookmarkEnd w:id="28"/>
      <w:r w:rsidRPr="005726D8">
        <w:rPr>
          <w:lang w:val="en-GB"/>
        </w:rPr>
        <w:t xml:space="preserve">ANETA were significantly higher in those patients who were RF positive, but ANETA were not associated with ACPA or any other clinical parameter. Further research is needed to investigate the clinical value of ANETA and circulating NET(-fragment)s. </w:t>
      </w:r>
    </w:p>
    <w:p w14:paraId="400B6E82" w14:textId="77777777" w:rsidR="00103DDC" w:rsidRPr="005726D8" w:rsidRDefault="00103DDC" w:rsidP="00090D07">
      <w:pPr>
        <w:pStyle w:val="Kop1"/>
        <w:spacing w:line="360" w:lineRule="auto"/>
        <w:rPr>
          <w:b/>
          <w:lang w:val="en-GB"/>
        </w:rPr>
      </w:pPr>
      <w:r w:rsidRPr="005726D8">
        <w:rPr>
          <w:b/>
          <w:lang w:val="en-GB"/>
        </w:rPr>
        <w:t>Acknowledgements</w:t>
      </w:r>
    </w:p>
    <w:p w14:paraId="119B3916" w14:textId="62726390" w:rsidR="00103DDC" w:rsidRPr="005726D8" w:rsidRDefault="00103DDC" w:rsidP="00090D07">
      <w:pPr>
        <w:spacing w:line="360" w:lineRule="auto"/>
        <w:rPr>
          <w:lang w:val="en-GB"/>
        </w:rPr>
      </w:pPr>
      <w:r w:rsidRPr="005726D8">
        <w:rPr>
          <w:lang w:val="en-GB"/>
        </w:rPr>
        <w:t xml:space="preserve">We would like to thank the rheumatology nurses and consultants at University Hospital Aintree and the nurses at the </w:t>
      </w:r>
      <w:proofErr w:type="spellStart"/>
      <w:r w:rsidRPr="005726D8">
        <w:rPr>
          <w:lang w:val="en-GB"/>
        </w:rPr>
        <w:t>Radboud</w:t>
      </w:r>
      <w:proofErr w:type="spellEnd"/>
      <w:r w:rsidRPr="005726D8">
        <w:rPr>
          <w:lang w:val="en-GB"/>
        </w:rPr>
        <w:t xml:space="preserve"> University Medical Centre for their assistance in recruiting patients for this study and blood sampling. </w:t>
      </w:r>
      <w:bookmarkStart w:id="29" w:name="_Hlk36643715"/>
      <w:proofErr w:type="spellStart"/>
      <w:r w:rsidR="00B80187" w:rsidRPr="005726D8">
        <w:rPr>
          <w:lang w:val="en-GB"/>
        </w:rPr>
        <w:t>Prof.</w:t>
      </w:r>
      <w:proofErr w:type="spellEnd"/>
      <w:r w:rsidR="00B80187" w:rsidRPr="005726D8">
        <w:rPr>
          <w:lang w:val="en-GB"/>
        </w:rPr>
        <w:t xml:space="preserve"> René Toes</w:t>
      </w:r>
      <w:r w:rsidR="00B2050C">
        <w:rPr>
          <w:lang w:val="en-GB"/>
        </w:rPr>
        <w:t xml:space="preserve"> and </w:t>
      </w:r>
      <w:proofErr w:type="spellStart"/>
      <w:r w:rsidR="00B2050C">
        <w:rPr>
          <w:lang w:val="en-GB"/>
        </w:rPr>
        <w:t>Dr.</w:t>
      </w:r>
      <w:proofErr w:type="spellEnd"/>
      <w:r w:rsidR="00B2050C">
        <w:rPr>
          <w:lang w:val="en-GB"/>
        </w:rPr>
        <w:t xml:space="preserve"> Diane van der </w:t>
      </w:r>
      <w:proofErr w:type="spellStart"/>
      <w:r w:rsidR="00B2050C">
        <w:rPr>
          <w:lang w:val="en-GB"/>
        </w:rPr>
        <w:t>Woude</w:t>
      </w:r>
      <w:proofErr w:type="spellEnd"/>
      <w:r w:rsidR="00B80187" w:rsidRPr="005726D8">
        <w:rPr>
          <w:lang w:val="en-GB"/>
        </w:rPr>
        <w:t xml:space="preserve"> </w:t>
      </w:r>
      <w:r w:rsidR="002D3700" w:rsidRPr="005726D8">
        <w:rPr>
          <w:lang w:val="en-GB"/>
        </w:rPr>
        <w:t xml:space="preserve">(Leiden University Medical </w:t>
      </w:r>
      <w:proofErr w:type="spellStart"/>
      <w:r w:rsidR="002D3700" w:rsidRPr="005726D8">
        <w:rPr>
          <w:lang w:val="en-GB"/>
        </w:rPr>
        <w:t>Center</w:t>
      </w:r>
      <w:proofErr w:type="spellEnd"/>
      <w:r w:rsidR="002D3700" w:rsidRPr="005726D8">
        <w:rPr>
          <w:lang w:val="en-GB"/>
        </w:rPr>
        <w:t>, The Netherlands)</w:t>
      </w:r>
      <w:r w:rsidR="00B2050C">
        <w:rPr>
          <w:lang w:val="en-GB"/>
        </w:rPr>
        <w:t>,</w:t>
      </w:r>
      <w:r w:rsidR="002D3700" w:rsidRPr="005726D8">
        <w:rPr>
          <w:lang w:val="en-GB"/>
        </w:rPr>
        <w:t xml:space="preserve"> </w:t>
      </w:r>
      <w:r w:rsidR="00B80187" w:rsidRPr="005726D8">
        <w:rPr>
          <w:lang w:val="en-GB"/>
        </w:rPr>
        <w:t xml:space="preserve">and </w:t>
      </w:r>
      <w:proofErr w:type="spellStart"/>
      <w:r w:rsidR="00B80187" w:rsidRPr="005726D8">
        <w:rPr>
          <w:lang w:val="en-GB"/>
        </w:rPr>
        <w:t>Dr.</w:t>
      </w:r>
      <w:proofErr w:type="spellEnd"/>
      <w:r w:rsidR="00B80187" w:rsidRPr="005726D8">
        <w:rPr>
          <w:lang w:val="en-GB"/>
        </w:rPr>
        <w:t xml:space="preserve"> Alain Meyer </w:t>
      </w:r>
      <w:r w:rsidR="002D3700" w:rsidRPr="005726D8">
        <w:rPr>
          <w:lang w:val="en-GB"/>
        </w:rPr>
        <w:t>(</w:t>
      </w:r>
      <w:proofErr w:type="spellStart"/>
      <w:r w:rsidR="002D3700" w:rsidRPr="005726D8">
        <w:rPr>
          <w:lang w:val="en-GB"/>
        </w:rPr>
        <w:t>Université</w:t>
      </w:r>
      <w:proofErr w:type="spellEnd"/>
      <w:r w:rsidR="002D3700" w:rsidRPr="005726D8">
        <w:rPr>
          <w:lang w:val="en-GB"/>
        </w:rPr>
        <w:t xml:space="preserve"> de Strasbourg, Strasbourg, France) are gratefully acknowledged </w:t>
      </w:r>
      <w:r w:rsidR="00B80187" w:rsidRPr="005726D8">
        <w:rPr>
          <w:lang w:val="en-GB"/>
        </w:rPr>
        <w:t xml:space="preserve">for their </w:t>
      </w:r>
      <w:r w:rsidR="00ED5FD8" w:rsidRPr="005726D8">
        <w:rPr>
          <w:lang w:val="en-GB"/>
        </w:rPr>
        <w:t>kind gift of</w:t>
      </w:r>
      <w:r w:rsidR="00B80187" w:rsidRPr="005726D8">
        <w:rPr>
          <w:lang w:val="en-GB"/>
        </w:rPr>
        <w:t xml:space="preserve"> patient </w:t>
      </w:r>
      <w:r w:rsidR="00ED5FD8" w:rsidRPr="005726D8">
        <w:rPr>
          <w:lang w:val="en-GB"/>
        </w:rPr>
        <w:t>sera</w:t>
      </w:r>
      <w:r w:rsidR="00B80187" w:rsidRPr="005726D8">
        <w:rPr>
          <w:lang w:val="en-GB"/>
        </w:rPr>
        <w:t>.</w:t>
      </w:r>
      <w:bookmarkEnd w:id="29"/>
    </w:p>
    <w:p w14:paraId="0AE9BBE4" w14:textId="77777777" w:rsidR="00103DDC" w:rsidRPr="005726D8" w:rsidRDefault="00103DDC" w:rsidP="00090D07">
      <w:pPr>
        <w:spacing w:line="360" w:lineRule="auto"/>
        <w:rPr>
          <w:lang w:val="en-GB"/>
        </w:rPr>
      </w:pPr>
    </w:p>
    <w:p w14:paraId="43D9C476" w14:textId="77777777" w:rsidR="00103DDC" w:rsidRPr="005726D8" w:rsidRDefault="00103DDC" w:rsidP="00090D07">
      <w:pPr>
        <w:pStyle w:val="Kop1"/>
        <w:spacing w:line="360" w:lineRule="auto"/>
        <w:rPr>
          <w:b/>
          <w:lang w:val="en-GB"/>
        </w:rPr>
      </w:pPr>
      <w:r w:rsidRPr="005726D8">
        <w:rPr>
          <w:b/>
          <w:lang w:val="en-GB"/>
        </w:rPr>
        <w:t>Funding</w:t>
      </w:r>
    </w:p>
    <w:p w14:paraId="47268605" w14:textId="3862E366" w:rsidR="00103DDC" w:rsidRPr="005726D8" w:rsidRDefault="00103DDC" w:rsidP="00090D07">
      <w:pPr>
        <w:spacing w:line="360" w:lineRule="auto"/>
        <w:rPr>
          <w:lang w:val="en-GB"/>
        </w:rPr>
      </w:pPr>
      <w:r w:rsidRPr="005726D8">
        <w:rPr>
          <w:lang w:val="en-GB"/>
        </w:rPr>
        <w:t>This work was supported in part by the Dutch Technology Foundation STW (Grant number 05188). HLW was supported by Versus Arthritis (Grant number 21430).</w:t>
      </w:r>
    </w:p>
    <w:p w14:paraId="44BA8FDA" w14:textId="77777777" w:rsidR="00802283" w:rsidRPr="005726D8" w:rsidRDefault="00802283" w:rsidP="00090D07">
      <w:pPr>
        <w:spacing w:line="360" w:lineRule="auto"/>
        <w:rPr>
          <w:lang w:val="en-GB"/>
        </w:rPr>
      </w:pPr>
    </w:p>
    <w:p w14:paraId="2BF03633" w14:textId="77777777" w:rsidR="00103DDC" w:rsidRPr="005726D8" w:rsidRDefault="00103DDC" w:rsidP="00090D07">
      <w:pPr>
        <w:pStyle w:val="Kop1"/>
        <w:spacing w:line="360" w:lineRule="auto"/>
        <w:rPr>
          <w:b/>
          <w:lang w:val="en-GB"/>
        </w:rPr>
      </w:pPr>
      <w:r w:rsidRPr="005726D8">
        <w:rPr>
          <w:b/>
          <w:lang w:val="en-GB"/>
        </w:rPr>
        <w:t>Conflicts of Interests</w:t>
      </w:r>
    </w:p>
    <w:p w14:paraId="58DCE2A3" w14:textId="02E59F4B" w:rsidR="00103DDC" w:rsidRPr="005726D8" w:rsidRDefault="00103DDC" w:rsidP="00802283">
      <w:pPr>
        <w:spacing w:line="360" w:lineRule="auto"/>
        <w:rPr>
          <w:lang w:val="en-GB"/>
        </w:rPr>
      </w:pPr>
      <w:r w:rsidRPr="005726D8">
        <w:rPr>
          <w:lang w:val="en-GB"/>
        </w:rPr>
        <w:t>The authors declare no conflicting interests.</w:t>
      </w:r>
      <w:r w:rsidRPr="005726D8">
        <w:rPr>
          <w:lang w:val="en-GB"/>
        </w:rPr>
        <w:br w:type="page"/>
      </w:r>
    </w:p>
    <w:p w14:paraId="2CEF61E1" w14:textId="77777777" w:rsidR="00103DDC" w:rsidRPr="005726D8" w:rsidRDefault="00103DDC" w:rsidP="00090D07">
      <w:pPr>
        <w:pStyle w:val="Kop1"/>
        <w:spacing w:line="360" w:lineRule="auto"/>
        <w:rPr>
          <w:b/>
          <w:lang w:val="en-GB"/>
        </w:rPr>
      </w:pPr>
      <w:r w:rsidRPr="005726D8">
        <w:rPr>
          <w:b/>
          <w:lang w:val="en-GB"/>
        </w:rPr>
        <w:lastRenderedPageBreak/>
        <w:t>References</w:t>
      </w:r>
    </w:p>
    <w:p w14:paraId="768AC655" w14:textId="77777777" w:rsidR="00103DDC" w:rsidRPr="005726D8" w:rsidRDefault="00103DDC" w:rsidP="00C0745D">
      <w:pPr>
        <w:pStyle w:val="EndNoteBibliography"/>
        <w:spacing w:after="0" w:line="360" w:lineRule="auto"/>
        <w:ind w:left="426" w:hanging="426"/>
      </w:pPr>
      <w:r w:rsidRPr="005726D8">
        <w:t>1.</w:t>
      </w:r>
      <w:r w:rsidRPr="005726D8">
        <w:tab/>
        <w:t>D.L. Scott, F. Wolfe, T.W. Huizinga, Rheumatoid arthritis</w:t>
      </w:r>
      <w:r w:rsidRPr="005726D8">
        <w:rPr>
          <w:i/>
        </w:rPr>
        <w:t>,</w:t>
      </w:r>
      <w:r w:rsidRPr="005726D8">
        <w:t xml:space="preserve"> Lancet. 376 (2010) 1094-1108. https://doi.org/10.1016/S0140-6736(10)60826-4</w:t>
      </w:r>
    </w:p>
    <w:p w14:paraId="44E7A3AA" w14:textId="77777777" w:rsidR="00103DDC" w:rsidRPr="005726D8" w:rsidRDefault="00103DDC" w:rsidP="00C0745D">
      <w:pPr>
        <w:pStyle w:val="EndNoteBibliography"/>
        <w:spacing w:after="0" w:line="360" w:lineRule="auto"/>
        <w:ind w:left="426" w:hanging="426"/>
      </w:pPr>
      <w:r w:rsidRPr="005726D8">
        <w:t>2.</w:t>
      </w:r>
      <w:r w:rsidRPr="005726D8">
        <w:tab/>
        <w:t>D. Aletaha, T. Neogi, A.J. Silman, J. Funovits, D.T. Felson, C.O. Bingham, 3rd, et al., 2010 Rheumatoid arthritis classification criteria: an American College of Rheumatology/European League Against Rheumatism collaborative initiative</w:t>
      </w:r>
      <w:r w:rsidRPr="005726D8">
        <w:rPr>
          <w:i/>
        </w:rPr>
        <w:t>,</w:t>
      </w:r>
      <w:r w:rsidRPr="005726D8">
        <w:t xml:space="preserve"> Arthritis Rheum. 62 (2010) 2569-2581. https://doi.org/10.1002/art.27584</w:t>
      </w:r>
    </w:p>
    <w:p w14:paraId="057E831C" w14:textId="77777777" w:rsidR="00103DDC" w:rsidRPr="005726D8" w:rsidRDefault="00103DDC" w:rsidP="00C0745D">
      <w:pPr>
        <w:pStyle w:val="EndNoteBibliography"/>
        <w:spacing w:after="0" w:line="360" w:lineRule="auto"/>
        <w:ind w:left="426" w:hanging="426"/>
      </w:pPr>
      <w:r w:rsidRPr="005726D8">
        <w:t>3.</w:t>
      </w:r>
      <w:r w:rsidRPr="005726D8">
        <w:tab/>
        <w:t>X. Dong, Z. Zheng, Y. Zhai, Y. Zheng, J. Ding, J. Jiang, et al., ACPA mediates the interplay between innate and adaptive immunity in rheumatoid arthritis</w:t>
      </w:r>
      <w:r w:rsidRPr="005726D8">
        <w:rPr>
          <w:i/>
        </w:rPr>
        <w:t>,</w:t>
      </w:r>
      <w:r w:rsidRPr="005726D8">
        <w:t xml:space="preserve"> Autoimmun. Rev. 17 (2018) 845-853. https://doi.org/10.1016/j.autrev.2018.02.014</w:t>
      </w:r>
    </w:p>
    <w:p w14:paraId="61786E2F" w14:textId="77777777" w:rsidR="00103DDC" w:rsidRPr="005726D8" w:rsidRDefault="00103DDC" w:rsidP="00C0745D">
      <w:pPr>
        <w:pStyle w:val="EndNoteBibliography"/>
        <w:spacing w:after="0" w:line="360" w:lineRule="auto"/>
        <w:ind w:left="426" w:hanging="426"/>
      </w:pPr>
      <w:r w:rsidRPr="005726D8">
        <w:t>4.</w:t>
      </w:r>
      <w:r w:rsidRPr="005726D8">
        <w:tab/>
        <w:t>M. Kourilovitch, C. Galarza-Maldonado, E. Ortiz-Prado, Diagnosis and classification of rheumatoid arthritis</w:t>
      </w:r>
      <w:r w:rsidRPr="005726D8">
        <w:rPr>
          <w:i/>
        </w:rPr>
        <w:t>,</w:t>
      </w:r>
      <w:r w:rsidRPr="005726D8">
        <w:t xml:space="preserve"> J. Autoimmun. 48-49 (2014) 26-30. https://doi.org/10.1016/j.jaut.2014.01.027</w:t>
      </w:r>
    </w:p>
    <w:p w14:paraId="6427F6EF" w14:textId="77777777" w:rsidR="00103DDC" w:rsidRPr="005726D8" w:rsidRDefault="00103DDC" w:rsidP="00C0745D">
      <w:pPr>
        <w:pStyle w:val="EndNoteBibliography"/>
        <w:spacing w:after="0" w:line="360" w:lineRule="auto"/>
        <w:ind w:left="426" w:hanging="426"/>
      </w:pPr>
      <w:r w:rsidRPr="005726D8">
        <w:t>5.</w:t>
      </w:r>
      <w:r w:rsidRPr="005726D8">
        <w:tab/>
        <w:t>V. Brinkmann, U. Reichard, C. Goosmann, B. Fauler, Y. Uhlemann, D.S. Weiss, et al., Neutrophil extracellular traps kill bacteria</w:t>
      </w:r>
      <w:r w:rsidRPr="005726D8">
        <w:rPr>
          <w:i/>
        </w:rPr>
        <w:t>,</w:t>
      </w:r>
      <w:r w:rsidRPr="005726D8">
        <w:t xml:space="preserve"> Science. 303 (2004) 1532-1535. https://doi.org/10.1126/science.1092385</w:t>
      </w:r>
    </w:p>
    <w:p w14:paraId="6C39244F" w14:textId="77777777" w:rsidR="00103DDC" w:rsidRPr="005726D8" w:rsidRDefault="00103DDC" w:rsidP="00C0745D">
      <w:pPr>
        <w:pStyle w:val="EndNoteBibliography"/>
        <w:spacing w:after="0" w:line="360" w:lineRule="auto"/>
        <w:ind w:left="426" w:hanging="426"/>
      </w:pPr>
      <w:r w:rsidRPr="005726D8">
        <w:t>6.</w:t>
      </w:r>
      <w:r w:rsidRPr="005726D8">
        <w:tab/>
        <w:t>K. Kessenbrock, M. Krumbholz, U. Schonermarck, W. Back, W.L. Gross, Z. Werb, et al., Netting neutrophils in autoimmune small-vessel vasculitis</w:t>
      </w:r>
      <w:r w:rsidRPr="005726D8">
        <w:rPr>
          <w:i/>
        </w:rPr>
        <w:t>,</w:t>
      </w:r>
      <w:r w:rsidRPr="005726D8">
        <w:t xml:space="preserve"> Nat. Med. 15 (2009) 623-625. https://doi.org/10.1038/nm.1959</w:t>
      </w:r>
    </w:p>
    <w:p w14:paraId="6732E3B5" w14:textId="77777777" w:rsidR="00103DDC" w:rsidRPr="005726D8" w:rsidRDefault="00103DDC" w:rsidP="00C0745D">
      <w:pPr>
        <w:pStyle w:val="EndNoteBibliography"/>
        <w:spacing w:after="0" w:line="360" w:lineRule="auto"/>
        <w:ind w:left="426" w:hanging="426"/>
      </w:pPr>
      <w:r w:rsidRPr="005726D8">
        <w:t>7.</w:t>
      </w:r>
      <w:r w:rsidRPr="005726D8">
        <w:tab/>
        <w:t>E. Villanueva, S. Yalavarthi, C.C. Berthier, J.B. Hodgin, R. Khandpur, A.M. Lin, et al., Netting neutrophils induce endothelial damage, infiltrate tissues, and expose immunostimulatory molecules in systemic lupus erythematosus</w:t>
      </w:r>
      <w:r w:rsidRPr="005726D8">
        <w:rPr>
          <w:i/>
        </w:rPr>
        <w:t>,</w:t>
      </w:r>
      <w:r w:rsidRPr="005726D8">
        <w:t xml:space="preserve"> J. Immunol. 187 (2011) 538-552. https://doi.org/10.4049/jimmunol.1100450</w:t>
      </w:r>
    </w:p>
    <w:p w14:paraId="26567E15" w14:textId="77777777" w:rsidR="00103DDC" w:rsidRPr="005726D8" w:rsidRDefault="00103DDC" w:rsidP="00C0745D">
      <w:pPr>
        <w:pStyle w:val="EndNoteBibliography"/>
        <w:spacing w:after="0" w:line="360" w:lineRule="auto"/>
        <w:ind w:left="426" w:hanging="426"/>
      </w:pPr>
      <w:r w:rsidRPr="005726D8">
        <w:t>8.</w:t>
      </w:r>
      <w:r w:rsidRPr="005726D8">
        <w:tab/>
        <w:t>D. Soderberg, M. Segelmark, Neutrophil Extracellular Traps in ANCA-Associated Vasculitis</w:t>
      </w:r>
      <w:r w:rsidRPr="005726D8">
        <w:rPr>
          <w:i/>
        </w:rPr>
        <w:t>,</w:t>
      </w:r>
      <w:r w:rsidRPr="005726D8">
        <w:t xml:space="preserve"> Front. Immunol. 7 (2016) 256. https://doi.org/10.3389/fimmu.2016.00256</w:t>
      </w:r>
    </w:p>
    <w:p w14:paraId="5F2FB19C" w14:textId="77777777" w:rsidR="00103DDC" w:rsidRPr="005726D8" w:rsidRDefault="00103DDC" w:rsidP="00C0745D">
      <w:pPr>
        <w:pStyle w:val="EndNoteBibliography"/>
        <w:spacing w:after="0" w:line="360" w:lineRule="auto"/>
        <w:ind w:left="426" w:hanging="426"/>
      </w:pPr>
      <w:r w:rsidRPr="005726D8">
        <w:t>9.</w:t>
      </w:r>
      <w:r w:rsidRPr="005726D8">
        <w:tab/>
        <w:t>R. Khandpur, C. Carmona-Rivera, A. Vivekanandan-Giri, A. Gizinski, S. Yalavarthi, J.S. Knight, et al., NETs are a source of citrullinated autoantigens and stimulate inflammatory responses in rheumatoid arthritis</w:t>
      </w:r>
      <w:r w:rsidRPr="005726D8">
        <w:rPr>
          <w:i/>
        </w:rPr>
        <w:t>,</w:t>
      </w:r>
      <w:r w:rsidRPr="005726D8">
        <w:t xml:space="preserve"> Sci. Transl. Med. 5 (2013) 178ra40. https://doi.org/10.1126/scitranslmed.3005580</w:t>
      </w:r>
    </w:p>
    <w:p w14:paraId="43BDA089" w14:textId="77777777" w:rsidR="00103DDC" w:rsidRPr="005726D8" w:rsidRDefault="00103DDC" w:rsidP="00C0745D">
      <w:pPr>
        <w:pStyle w:val="EndNoteBibliography"/>
        <w:spacing w:after="0" w:line="360" w:lineRule="auto"/>
        <w:ind w:left="426" w:hanging="426"/>
      </w:pPr>
      <w:r w:rsidRPr="005726D8">
        <w:t>10.</w:t>
      </w:r>
      <w:r w:rsidRPr="005726D8">
        <w:tab/>
        <w:t>G. Papadaki, K. Kambas, C. Choulaki, K. Vlachou, E. Drakos, G. Bertsias, et al., Neutrophil extracellular traps exacerbate Th1-mediated autoimmune responses in rheumatoid arthritis by promoting DC maturation</w:t>
      </w:r>
      <w:r w:rsidRPr="005726D8">
        <w:rPr>
          <w:i/>
        </w:rPr>
        <w:t>,</w:t>
      </w:r>
      <w:r w:rsidRPr="005726D8">
        <w:t xml:space="preserve"> Eur. J. Immunol. 46 (2016) 2542-2554. https://doi.org/10.1002/eji.201646542</w:t>
      </w:r>
    </w:p>
    <w:p w14:paraId="5CC49311" w14:textId="77777777" w:rsidR="00103DDC" w:rsidRPr="005726D8" w:rsidRDefault="00103DDC" w:rsidP="00C0745D">
      <w:pPr>
        <w:pStyle w:val="EndNoteBibliography"/>
        <w:spacing w:after="0" w:line="360" w:lineRule="auto"/>
        <w:ind w:left="426" w:hanging="426"/>
      </w:pPr>
      <w:r w:rsidRPr="005726D8">
        <w:lastRenderedPageBreak/>
        <w:t>11.</w:t>
      </w:r>
      <w:r w:rsidRPr="005726D8">
        <w:tab/>
        <w:t>C. Perez-Sanchez, P. Ruiz-Limon, M.A. Aguirre, Y. Jimenez-Gomez, I. Arias-de la Rosa, M.C. Abalos-Aguilera, et al., Diagnostic potential of NETosis-derived products for disease activity, atherosclerosis and therapeutic effectiveness in Rheumatoid Arthritis patients</w:t>
      </w:r>
      <w:r w:rsidRPr="005726D8">
        <w:rPr>
          <w:i/>
        </w:rPr>
        <w:t>,</w:t>
      </w:r>
      <w:r w:rsidRPr="005726D8">
        <w:t xml:space="preserve"> J. Autoimmun. 82 (2017) 31-40. https://doi.org/10.1016/j.jaut.2017.04.007</w:t>
      </w:r>
    </w:p>
    <w:p w14:paraId="7C4AD135" w14:textId="77777777" w:rsidR="00103DDC" w:rsidRPr="005726D8" w:rsidRDefault="00103DDC" w:rsidP="00C0745D">
      <w:pPr>
        <w:pStyle w:val="EndNoteBibliography"/>
        <w:spacing w:after="0" w:line="360" w:lineRule="auto"/>
        <w:ind w:left="426" w:hanging="426"/>
      </w:pPr>
      <w:r w:rsidRPr="005726D8">
        <w:t>12.</w:t>
      </w:r>
      <w:r w:rsidRPr="005726D8">
        <w:tab/>
        <w:t>E.A. Chapman, M. Lyon, D. Simpson, D. Mason, R.J. Beynon, R.J. Moots, et al., Caught in a Trap? Proteomic Analysis of Neutrophil Extracellular Traps in Rheumatoid Arthritis and Systemic Lupus Erythematosus</w:t>
      </w:r>
      <w:r w:rsidRPr="005726D8">
        <w:rPr>
          <w:i/>
        </w:rPr>
        <w:t>,</w:t>
      </w:r>
      <w:r w:rsidRPr="005726D8">
        <w:t xml:space="preserve"> Front. Immunol. 10 (2019) 423. https://doi.org/10.3389/fimmu.2019.00423</w:t>
      </w:r>
    </w:p>
    <w:p w14:paraId="5D48DCE2" w14:textId="77777777" w:rsidR="00103DDC" w:rsidRPr="005726D8" w:rsidRDefault="00103DDC" w:rsidP="00C0745D">
      <w:pPr>
        <w:pStyle w:val="EndNoteBibliography"/>
        <w:spacing w:after="0" w:line="360" w:lineRule="auto"/>
        <w:ind w:left="426" w:hanging="426"/>
      </w:pPr>
      <w:r w:rsidRPr="005726D8">
        <w:t>13.</w:t>
      </w:r>
      <w:r w:rsidRPr="005726D8">
        <w:tab/>
        <w:t>F. Pratesi, I. Dioni, C. Tommasi, M.C. Alcaro, I. Paolini, F. Barbetti, et al., Antibodies from patients with rheumatoid arthritis target citrullinated histone 4 contained in neutrophils extracellular traps</w:t>
      </w:r>
      <w:r w:rsidRPr="005726D8">
        <w:rPr>
          <w:i/>
        </w:rPr>
        <w:t>,</w:t>
      </w:r>
      <w:r w:rsidRPr="005726D8">
        <w:t xml:space="preserve"> Ann. Rheum. Dis. 73 (2014) 1414-1422. https://doi.org/10.1136/annrheumdis-2012-202765</w:t>
      </w:r>
    </w:p>
    <w:p w14:paraId="4F4EA30A" w14:textId="77777777" w:rsidR="00103DDC" w:rsidRPr="005726D8" w:rsidRDefault="00103DDC" w:rsidP="00C0745D">
      <w:pPr>
        <w:pStyle w:val="EndNoteBibliography"/>
        <w:spacing w:after="0" w:line="360" w:lineRule="auto"/>
        <w:ind w:left="426" w:hanging="426"/>
      </w:pPr>
      <w:r w:rsidRPr="005726D8">
        <w:t>14.</w:t>
      </w:r>
      <w:r w:rsidRPr="005726D8">
        <w:tab/>
        <w:t>E. Corsiero, M. Bombardieri, E. Carlotti, F. Pratesi, W. Robinson, P. Migliorini, et al., Single cell cloning and recombinant monoclonal antibodies generation from RA synovial B cells reveal frequent targeting of citrullinated histones of NETs</w:t>
      </w:r>
      <w:r w:rsidRPr="005726D8">
        <w:rPr>
          <w:i/>
        </w:rPr>
        <w:t>,</w:t>
      </w:r>
      <w:r w:rsidRPr="005726D8">
        <w:t xml:space="preserve"> Ann. Rheum. Dis. 75 (2015) 1866-1875. https://doi.org/10.1136/annrheumdis-2015-208356</w:t>
      </w:r>
    </w:p>
    <w:p w14:paraId="16D1A7C7" w14:textId="77777777" w:rsidR="00103DDC" w:rsidRPr="005726D8" w:rsidRDefault="00103DDC" w:rsidP="00C0745D">
      <w:pPr>
        <w:pStyle w:val="EndNoteBibliography"/>
        <w:spacing w:after="0" w:line="360" w:lineRule="auto"/>
        <w:ind w:left="426" w:hanging="426"/>
      </w:pPr>
      <w:r w:rsidRPr="005726D8">
        <w:t>15.</w:t>
      </w:r>
      <w:r w:rsidRPr="005726D8">
        <w:tab/>
        <w:t>N. Dwivedi, M. Radic, Citrullination of autoantigens implicates NETosis in the induction of autoimmunity</w:t>
      </w:r>
      <w:r w:rsidRPr="005726D8">
        <w:rPr>
          <w:i/>
        </w:rPr>
        <w:t>,</w:t>
      </w:r>
      <w:r w:rsidRPr="005726D8">
        <w:t xml:space="preserve"> Ann. Rheum. Dis. 73 (2014) 483-491. https://doi.org/10.1136/annrheumdis-2013-203844</w:t>
      </w:r>
    </w:p>
    <w:p w14:paraId="041E3B6A" w14:textId="77777777" w:rsidR="00103DDC" w:rsidRPr="005726D8" w:rsidRDefault="00103DDC" w:rsidP="00C0745D">
      <w:pPr>
        <w:pStyle w:val="EndNoteBibliography"/>
        <w:spacing w:after="0" w:line="360" w:lineRule="auto"/>
        <w:ind w:left="426" w:hanging="426"/>
      </w:pPr>
      <w:r w:rsidRPr="005726D8">
        <w:t>16.</w:t>
      </w:r>
      <w:r w:rsidRPr="005726D8">
        <w:tab/>
        <w:t>C. Carmona-Rivera, P.M. Carlucci, E. Moore, N. Lingampalli, H. Uchtenhagen, E. James, et al., Synovial fibroblast-neutrophil interactions promote pathogenic adaptive immunity in rheumatoid arthritis</w:t>
      </w:r>
      <w:r w:rsidRPr="005726D8">
        <w:rPr>
          <w:i/>
        </w:rPr>
        <w:t>,</w:t>
      </w:r>
      <w:r w:rsidRPr="005726D8">
        <w:t xml:space="preserve"> Sci. Immunol. 2 (2017)</w:t>
      </w:r>
      <w:r w:rsidR="00C0745D" w:rsidRPr="005726D8">
        <w:t xml:space="preserve"> eaag3358.</w:t>
      </w:r>
      <w:r w:rsidRPr="005726D8">
        <w:t xml:space="preserve"> https://doi.org/10.1126/sciimmunol.aag3358</w:t>
      </w:r>
    </w:p>
    <w:p w14:paraId="16D9F4E0" w14:textId="694608E4" w:rsidR="00103DDC" w:rsidRPr="005726D8" w:rsidRDefault="00103DDC" w:rsidP="00C0745D">
      <w:pPr>
        <w:pStyle w:val="EndNoteBibliography"/>
        <w:spacing w:after="0" w:line="360" w:lineRule="auto"/>
        <w:ind w:left="426" w:hanging="426"/>
      </w:pPr>
      <w:r w:rsidRPr="005726D8">
        <w:t>17.</w:t>
      </w:r>
      <w:r w:rsidRPr="005726D8">
        <w:tab/>
        <w:t>M. Ribon, S. Seninet, J. Mussard, M. Sebbag, C. Clavel, G. Serre, et al., Neutrophil extracellular traps exert both pro- and anti-inflammatory actions in rheumatoid arthritis that are modulated by C1q and LL-37</w:t>
      </w:r>
      <w:r w:rsidRPr="005726D8">
        <w:rPr>
          <w:i/>
        </w:rPr>
        <w:t>,</w:t>
      </w:r>
      <w:r w:rsidRPr="005726D8">
        <w:t xml:space="preserve"> J. Autoimmun. 98 (2019) 122-131. </w:t>
      </w:r>
      <w:r w:rsidR="00056197" w:rsidRPr="005726D8">
        <w:t>https://doi.org/10.1016/j.jaut.2019.01.003</w:t>
      </w:r>
    </w:p>
    <w:p w14:paraId="66772050" w14:textId="02A79A4B" w:rsidR="00802283" w:rsidRPr="005726D8" w:rsidRDefault="00802283" w:rsidP="00C0745D">
      <w:pPr>
        <w:pStyle w:val="EndNoteBibliography"/>
        <w:spacing w:after="0" w:line="360" w:lineRule="auto"/>
        <w:ind w:left="426" w:hanging="426"/>
        <w:rPr>
          <w:lang w:val="en-GB"/>
        </w:rPr>
      </w:pPr>
      <w:r w:rsidRPr="005726D8">
        <w:rPr>
          <w:lang w:val="en-GB"/>
        </w:rPr>
        <w:t>18.</w:t>
      </w:r>
      <w:r w:rsidRPr="005726D8">
        <w:rPr>
          <w:lang w:val="en-GB"/>
        </w:rPr>
        <w:tab/>
        <w:t xml:space="preserve">D. van der Woude, S. Rantapää-Dahlqvist, A. Ioan-Fascinay, C. Onnekink, C.M. Schwarte, K.N. Verpoort, et al., Epitopespreading of the anti-citrullinated protein antibody response occurs before disease onset and is associated with the disease course of early arthritis, Ann. Rheum. Dis. 69 (2010) 1554-1561. </w:t>
      </w:r>
      <w:r w:rsidRPr="005726D8">
        <w:t>https://doi.org/ 10.1136/ard.2009.124537</w:t>
      </w:r>
    </w:p>
    <w:p w14:paraId="42940506" w14:textId="53735A43" w:rsidR="00103DDC" w:rsidRPr="005726D8" w:rsidRDefault="00103DDC" w:rsidP="00C0745D">
      <w:pPr>
        <w:pStyle w:val="EndNoteBibliography"/>
        <w:spacing w:after="0" w:line="360" w:lineRule="auto"/>
        <w:ind w:left="426" w:hanging="426"/>
      </w:pPr>
      <w:r w:rsidRPr="005726D8">
        <w:t>1</w:t>
      </w:r>
      <w:r w:rsidR="00802283" w:rsidRPr="005726D8">
        <w:t>9</w:t>
      </w:r>
      <w:r w:rsidRPr="005726D8">
        <w:t>.</w:t>
      </w:r>
      <w:r w:rsidRPr="005726D8">
        <w:tab/>
        <w:t>A. Caudrillier, K. Kessenbrock, B.M. Gilliss, J.X. Nguyen, M.B. Marques, M. Monestier, et al., Platelets induce neutrophil extracellular traps in transfusion-related acute lung injury</w:t>
      </w:r>
      <w:r w:rsidRPr="005726D8">
        <w:rPr>
          <w:i/>
        </w:rPr>
        <w:t>,</w:t>
      </w:r>
      <w:r w:rsidRPr="005726D8">
        <w:t xml:space="preserve"> J. Clin. Invest. 122 (2012) 2661-2671. https://doi.org/10.1172/JCI61303</w:t>
      </w:r>
    </w:p>
    <w:p w14:paraId="4391943E" w14:textId="1EC7BB7E" w:rsidR="00103DDC" w:rsidRPr="005726D8" w:rsidRDefault="00802283" w:rsidP="00C0745D">
      <w:pPr>
        <w:pStyle w:val="EndNoteBibliography"/>
        <w:spacing w:after="0" w:line="360" w:lineRule="auto"/>
        <w:ind w:left="426" w:hanging="426"/>
      </w:pPr>
      <w:r w:rsidRPr="005726D8">
        <w:t>20</w:t>
      </w:r>
      <w:r w:rsidR="00103DDC" w:rsidRPr="005726D8">
        <w:t>.</w:t>
      </w:r>
      <w:r w:rsidR="00103DDC" w:rsidRPr="005726D8">
        <w:tab/>
        <w:t>C.M. de Bont, W.J.H. Koopman, W.C. Boelens, G.J.M. Pruijn, Stimulus-dependent chromatin dynamics, citrullination, calcium signalling and ROS production during NET formation</w:t>
      </w:r>
      <w:r w:rsidR="00103DDC" w:rsidRPr="005726D8">
        <w:rPr>
          <w:i/>
        </w:rPr>
        <w:t>,</w:t>
      </w:r>
      <w:r w:rsidR="00103DDC" w:rsidRPr="005726D8">
        <w:t xml:space="preserve"> Biochim. </w:t>
      </w:r>
      <w:r w:rsidR="00103DDC" w:rsidRPr="005726D8">
        <w:lastRenderedPageBreak/>
        <w:t>Biophys. Acta. Mol. Cell. Res. 1865 (2018) 1621-1629. https://doi.org/10.1016/j.bbamcr.2018.08.014</w:t>
      </w:r>
    </w:p>
    <w:p w14:paraId="42F0D8ED" w14:textId="79587A6B" w:rsidR="00103DDC" w:rsidRPr="005726D8" w:rsidRDefault="00103DDC" w:rsidP="00C0745D">
      <w:pPr>
        <w:pStyle w:val="EndNoteBibliography"/>
        <w:spacing w:after="0" w:line="360" w:lineRule="auto"/>
        <w:ind w:left="426" w:hanging="426"/>
      </w:pPr>
      <w:r w:rsidRPr="005726D8">
        <w:t>2</w:t>
      </w:r>
      <w:r w:rsidR="00802283" w:rsidRPr="005726D8">
        <w:t>1</w:t>
      </w:r>
      <w:r w:rsidRPr="005726D8">
        <w:t>.</w:t>
      </w:r>
      <w:r w:rsidRPr="005726D8">
        <w:tab/>
        <w:t>C.M. de Bont, N. Eerden, W.C. Boelens, G.J.M. Pruijn, Neutrophil proteases degrade autoepitopes of NET-associated proteins</w:t>
      </w:r>
      <w:r w:rsidRPr="005726D8">
        <w:rPr>
          <w:i/>
        </w:rPr>
        <w:t>,</w:t>
      </w:r>
      <w:r w:rsidRPr="005726D8">
        <w:t xml:space="preserve"> Clin. Exp. Immunol. (2020) 1-8. https://doi.org/10.1111/cei.13392</w:t>
      </w:r>
    </w:p>
    <w:p w14:paraId="2CBEE41A" w14:textId="5E8FA2CA" w:rsidR="00103DDC" w:rsidRPr="005726D8" w:rsidRDefault="00103DDC" w:rsidP="00C0745D">
      <w:pPr>
        <w:pStyle w:val="EndNoteBibliography"/>
        <w:spacing w:after="0" w:line="360" w:lineRule="auto"/>
        <w:ind w:left="426" w:hanging="426"/>
      </w:pPr>
      <w:r w:rsidRPr="005726D8">
        <w:t>2</w:t>
      </w:r>
      <w:r w:rsidR="00802283" w:rsidRPr="005726D8">
        <w:t>2</w:t>
      </w:r>
      <w:r w:rsidRPr="005726D8">
        <w:t>.</w:t>
      </w:r>
      <w:r w:rsidRPr="005726D8">
        <w:tab/>
        <w:t>J. Schindelin, I. Arganda-Carreras, E. Frise, V. Kaynig, M. Longair, T. Pietzsch, et al., Fiji: an open-source platform for biological-image analysis</w:t>
      </w:r>
      <w:r w:rsidRPr="005726D8">
        <w:rPr>
          <w:i/>
        </w:rPr>
        <w:t>,</w:t>
      </w:r>
      <w:r w:rsidRPr="005726D8">
        <w:t xml:space="preserve"> Nat. Methods. 9 (2012) 676-682. https://doi.org/10.1038/nmeth.2019</w:t>
      </w:r>
    </w:p>
    <w:p w14:paraId="3241716B" w14:textId="35A294EA" w:rsidR="00103DDC" w:rsidRPr="005726D8" w:rsidRDefault="00103DDC" w:rsidP="00C0745D">
      <w:pPr>
        <w:pStyle w:val="EndNoteBibliography"/>
        <w:spacing w:after="0" w:line="360" w:lineRule="auto"/>
        <w:ind w:left="426" w:hanging="426"/>
      </w:pPr>
      <w:r w:rsidRPr="005726D8">
        <w:t>2</w:t>
      </w:r>
      <w:r w:rsidR="00802283" w:rsidRPr="005726D8">
        <w:t>3</w:t>
      </w:r>
      <w:r w:rsidRPr="005726D8">
        <w:t>.</w:t>
      </w:r>
      <w:r w:rsidRPr="005726D8">
        <w:tab/>
        <w:t>F. Ingegnoli, R. Castelli, R. Gualtierotti, Rheumatoid factors: clinical applications</w:t>
      </w:r>
      <w:r w:rsidRPr="005726D8">
        <w:rPr>
          <w:i/>
        </w:rPr>
        <w:t>,</w:t>
      </w:r>
      <w:r w:rsidRPr="005726D8">
        <w:t xml:space="preserve"> Dis. Markers. 35 (2013) 727-734. https://doi.org/10.1155/2013/726598</w:t>
      </w:r>
    </w:p>
    <w:p w14:paraId="13A8E3A6" w14:textId="1A22C660" w:rsidR="00103DDC" w:rsidRPr="005726D8" w:rsidRDefault="00103DDC" w:rsidP="00C0745D">
      <w:pPr>
        <w:pStyle w:val="EndNoteBibliography"/>
        <w:spacing w:after="0" w:line="360" w:lineRule="auto"/>
        <w:ind w:left="426" w:hanging="426"/>
      </w:pPr>
      <w:r w:rsidRPr="005726D8">
        <w:t>2</w:t>
      </w:r>
      <w:r w:rsidR="00802283" w:rsidRPr="005726D8">
        <w:t>4</w:t>
      </w:r>
      <w:r w:rsidRPr="005726D8">
        <w:t>.</w:t>
      </w:r>
      <w:r w:rsidRPr="005726D8">
        <w:tab/>
        <w:t>H.W. Schroeder, Jr., L. Cavacini, Structure and function of immunoglobulins</w:t>
      </w:r>
      <w:r w:rsidRPr="005726D8">
        <w:rPr>
          <w:i/>
        </w:rPr>
        <w:t>,</w:t>
      </w:r>
      <w:r w:rsidRPr="005726D8">
        <w:t xml:space="preserve"> J. Allergy Clin. Immunol. 125 (2010) S41-52. https://doi.org/10.1016/j.jaci.2009.09.046</w:t>
      </w:r>
    </w:p>
    <w:p w14:paraId="51321F9C" w14:textId="156FB3C5" w:rsidR="00103DDC" w:rsidRPr="005726D8" w:rsidRDefault="00103DDC" w:rsidP="00C0745D">
      <w:pPr>
        <w:pStyle w:val="EndNoteBibliography"/>
        <w:spacing w:after="0" w:line="360" w:lineRule="auto"/>
        <w:ind w:left="426" w:hanging="426"/>
      </w:pPr>
      <w:r w:rsidRPr="005726D8">
        <w:t>2</w:t>
      </w:r>
      <w:r w:rsidR="00802283" w:rsidRPr="005726D8">
        <w:t>5</w:t>
      </w:r>
      <w:r w:rsidRPr="005726D8">
        <w:t>.</w:t>
      </w:r>
      <w:r w:rsidRPr="005726D8">
        <w:tab/>
        <w:t>N. Dwivedi, J. Upadhyay, I. Neeli, S. Khan, D. Pattanaik, L. Myers, et al., Felty's syndrome autoantibodies bind to deiminated histones and neutrophil extracellular chromatin traps</w:t>
      </w:r>
      <w:r w:rsidRPr="005726D8">
        <w:rPr>
          <w:i/>
        </w:rPr>
        <w:t>,</w:t>
      </w:r>
      <w:r w:rsidRPr="005726D8">
        <w:t xml:space="preserve"> Arthritis Rheum. 64 (2012) 982-992. https://doi.org/10.1002/art.33432</w:t>
      </w:r>
    </w:p>
    <w:p w14:paraId="0AF38861" w14:textId="1B684DC0" w:rsidR="00103DDC" w:rsidRPr="005726D8" w:rsidRDefault="00103DDC" w:rsidP="00C0745D">
      <w:pPr>
        <w:pStyle w:val="EndNoteBibliography"/>
        <w:spacing w:after="0" w:line="360" w:lineRule="auto"/>
        <w:ind w:left="426" w:hanging="426"/>
      </w:pPr>
      <w:r w:rsidRPr="005726D8">
        <w:t>2</w:t>
      </w:r>
      <w:r w:rsidR="00802283" w:rsidRPr="005726D8">
        <w:t>6</w:t>
      </w:r>
      <w:r w:rsidRPr="005726D8">
        <w:t>.</w:t>
      </w:r>
      <w:r w:rsidRPr="005726D8">
        <w:tab/>
        <w:t>C.M. de Bont, W.C. Boelens, G.J.M. Pruijn, NETosis, complement, and coagulation: a triangular relationship</w:t>
      </w:r>
      <w:r w:rsidRPr="005726D8">
        <w:rPr>
          <w:i/>
        </w:rPr>
        <w:t>,</w:t>
      </w:r>
      <w:r w:rsidRPr="005726D8">
        <w:t xml:space="preserve"> Cell. Mol. Immunol. (2018) 9-27. https://doi.org/10.1038/s41423-018-0024-0</w:t>
      </w:r>
    </w:p>
    <w:p w14:paraId="3BC3A983" w14:textId="51298227" w:rsidR="00103DDC" w:rsidRPr="005726D8" w:rsidRDefault="00103DDC" w:rsidP="00C0745D">
      <w:pPr>
        <w:pStyle w:val="EndNoteBibliography"/>
        <w:spacing w:after="0" w:line="360" w:lineRule="auto"/>
        <w:ind w:left="426" w:hanging="426"/>
        <w:rPr>
          <w:lang w:val="nl-NL"/>
        </w:rPr>
      </w:pPr>
      <w:r w:rsidRPr="005726D8">
        <w:t>2</w:t>
      </w:r>
      <w:r w:rsidR="00802283" w:rsidRPr="005726D8">
        <w:t>7</w:t>
      </w:r>
      <w:r w:rsidRPr="005726D8">
        <w:t>.</w:t>
      </w:r>
      <w:r w:rsidRPr="005726D8">
        <w:tab/>
        <w:t>A. Hakkim, B.G. Furnrohr, K. Amann, B. Laube, U.A. Abed, V. Brinkmann, et al., Impairment of neutrophil extracellular trap degradation is associated with lupus nephritis</w:t>
      </w:r>
      <w:r w:rsidRPr="005726D8">
        <w:rPr>
          <w:i/>
        </w:rPr>
        <w:t>,</w:t>
      </w:r>
      <w:r w:rsidRPr="005726D8">
        <w:t xml:space="preserve"> Proc. </w:t>
      </w:r>
      <w:r w:rsidRPr="005726D8">
        <w:rPr>
          <w:lang w:val="nl-NL"/>
        </w:rPr>
        <w:t>Natl. Acad. Sci. U S A. 107 (2010) 9813-9818. https://doi.org/10.1073/pnas.0909927107</w:t>
      </w:r>
    </w:p>
    <w:p w14:paraId="3C2F748F" w14:textId="308684D2" w:rsidR="00103DDC" w:rsidRPr="005726D8" w:rsidRDefault="00103DDC" w:rsidP="00802283">
      <w:pPr>
        <w:pStyle w:val="EndNoteBibliography"/>
        <w:spacing w:line="360" w:lineRule="auto"/>
        <w:ind w:left="426" w:hanging="426"/>
      </w:pPr>
      <w:r w:rsidRPr="005726D8">
        <w:t>2</w:t>
      </w:r>
      <w:r w:rsidR="00802283" w:rsidRPr="005726D8">
        <w:t>8</w:t>
      </w:r>
      <w:r w:rsidRPr="005726D8">
        <w:t>.</w:t>
      </w:r>
      <w:r w:rsidRPr="005726D8">
        <w:tab/>
        <w:t>F. Hattanda, D. Nakazawa, K. Watanabe-Kusunoki, Y. Kusunoki, H. Shida, S. Masuda, et al., The presence of anti-neutrophil extracellular trap antibody in patients with microscopic polyangiitis</w:t>
      </w:r>
      <w:r w:rsidRPr="005726D8">
        <w:rPr>
          <w:i/>
        </w:rPr>
        <w:t>,</w:t>
      </w:r>
      <w:r w:rsidRPr="005726D8">
        <w:t xml:space="preserve"> Rheumatology (Oxford). 58 (2019) 1293-1298. https://doi.org/10.1093/rheumatology/kez089</w:t>
      </w:r>
      <w:r w:rsidRPr="005726D8">
        <w:rPr>
          <w:lang w:val="en-GB"/>
        </w:rPr>
        <w:br w:type="page"/>
      </w:r>
    </w:p>
    <w:p w14:paraId="1C178C29" w14:textId="5519C982" w:rsidR="00090D07" w:rsidRPr="005726D8" w:rsidRDefault="00090D07" w:rsidP="00090D07">
      <w:pPr>
        <w:pStyle w:val="Kop1"/>
        <w:spacing w:line="360" w:lineRule="auto"/>
        <w:rPr>
          <w:b/>
          <w:lang w:val="en-GB"/>
        </w:rPr>
      </w:pPr>
      <w:r w:rsidRPr="005726D8">
        <w:rPr>
          <w:b/>
          <w:lang w:val="en-GB"/>
        </w:rPr>
        <w:lastRenderedPageBreak/>
        <w:t>Table</w:t>
      </w:r>
    </w:p>
    <w:p w14:paraId="252245E8" w14:textId="77777777" w:rsidR="00A00C97" w:rsidRPr="005726D8" w:rsidRDefault="00A00C97" w:rsidP="00FE64F0">
      <w:pPr>
        <w:rPr>
          <w:b/>
          <w:bCs/>
          <w:lang w:val="en-GB"/>
        </w:rPr>
      </w:pPr>
    </w:p>
    <w:p w14:paraId="1B918008" w14:textId="77777777" w:rsidR="00FE64F0" w:rsidRPr="005726D8" w:rsidRDefault="00FE64F0" w:rsidP="00FE64F0">
      <w:pPr>
        <w:rPr>
          <w:b/>
          <w:bCs/>
          <w:lang w:val="en-GB"/>
        </w:rPr>
      </w:pPr>
      <w:r w:rsidRPr="005726D8">
        <w:rPr>
          <w:b/>
          <w:bCs/>
          <w:lang w:val="en-GB"/>
        </w:rPr>
        <w:t>Table 1: Frequency of ANETA positive patients in different disease cohorts</w:t>
      </w:r>
    </w:p>
    <w:tbl>
      <w:tblPr>
        <w:tblStyle w:val="Tabelraster"/>
        <w:tblW w:w="7621" w:type="dxa"/>
        <w:tblLook w:val="04A0" w:firstRow="1" w:lastRow="0" w:firstColumn="1" w:lastColumn="0" w:noHBand="0" w:noVBand="1"/>
      </w:tblPr>
      <w:tblGrid>
        <w:gridCol w:w="1905"/>
        <w:gridCol w:w="1905"/>
        <w:gridCol w:w="1905"/>
        <w:gridCol w:w="1906"/>
      </w:tblGrid>
      <w:tr w:rsidR="00A5046C" w:rsidRPr="005726D8" w14:paraId="4EF23AEC" w14:textId="77777777" w:rsidTr="00A5046C">
        <w:tc>
          <w:tcPr>
            <w:tcW w:w="1905" w:type="dxa"/>
            <w:tcBorders>
              <w:top w:val="single" w:sz="12" w:space="0" w:color="auto"/>
              <w:left w:val="nil"/>
              <w:bottom w:val="single" w:sz="8" w:space="0" w:color="auto"/>
              <w:right w:val="nil"/>
            </w:tcBorders>
          </w:tcPr>
          <w:p w14:paraId="79DE2F1D" w14:textId="77777777" w:rsidR="00A5046C" w:rsidRPr="005726D8" w:rsidRDefault="00A5046C" w:rsidP="00056197">
            <w:pPr>
              <w:spacing w:line="240" w:lineRule="auto"/>
              <w:rPr>
                <w:b/>
                <w:bCs/>
                <w:lang w:val="en-GB"/>
              </w:rPr>
            </w:pPr>
          </w:p>
        </w:tc>
        <w:tc>
          <w:tcPr>
            <w:tcW w:w="1905" w:type="dxa"/>
            <w:tcBorders>
              <w:top w:val="single" w:sz="12" w:space="0" w:color="auto"/>
              <w:left w:val="nil"/>
              <w:bottom w:val="single" w:sz="8" w:space="0" w:color="auto"/>
              <w:right w:val="nil"/>
            </w:tcBorders>
            <w:tcMar>
              <w:top w:w="113" w:type="dxa"/>
            </w:tcMar>
            <w:vAlign w:val="center"/>
          </w:tcPr>
          <w:p w14:paraId="11514089" w14:textId="53F5056E" w:rsidR="00A5046C" w:rsidRPr="005726D8" w:rsidRDefault="00A5046C" w:rsidP="00A5046C">
            <w:pPr>
              <w:spacing w:line="240" w:lineRule="auto"/>
              <w:jc w:val="center"/>
              <w:rPr>
                <w:b/>
                <w:bCs/>
                <w:lang w:val="en-GB"/>
              </w:rPr>
            </w:pPr>
            <w:r w:rsidRPr="005726D8">
              <w:rPr>
                <w:b/>
                <w:bCs/>
                <w:lang w:val="en-GB"/>
              </w:rPr>
              <w:t># of patients</w:t>
            </w:r>
          </w:p>
        </w:tc>
        <w:tc>
          <w:tcPr>
            <w:tcW w:w="1905" w:type="dxa"/>
            <w:tcBorders>
              <w:top w:val="single" w:sz="12" w:space="0" w:color="auto"/>
              <w:left w:val="nil"/>
              <w:bottom w:val="single" w:sz="8" w:space="0" w:color="auto"/>
              <w:right w:val="nil"/>
            </w:tcBorders>
            <w:tcMar>
              <w:top w:w="113" w:type="dxa"/>
            </w:tcMar>
            <w:vAlign w:val="center"/>
          </w:tcPr>
          <w:p w14:paraId="7525715A" w14:textId="57F56754" w:rsidR="00A5046C" w:rsidRPr="005726D8" w:rsidRDefault="00A5046C" w:rsidP="00A5046C">
            <w:pPr>
              <w:spacing w:line="240" w:lineRule="auto"/>
              <w:jc w:val="center"/>
              <w:rPr>
                <w:b/>
                <w:bCs/>
                <w:lang w:val="en-GB"/>
              </w:rPr>
            </w:pPr>
            <w:r w:rsidRPr="005726D8">
              <w:rPr>
                <w:b/>
                <w:bCs/>
                <w:lang w:val="en-GB"/>
              </w:rPr>
              <w:t># ANETA-positive</w:t>
            </w:r>
          </w:p>
        </w:tc>
        <w:tc>
          <w:tcPr>
            <w:tcW w:w="1906" w:type="dxa"/>
            <w:tcBorders>
              <w:top w:val="single" w:sz="12" w:space="0" w:color="auto"/>
              <w:left w:val="nil"/>
              <w:bottom w:val="single" w:sz="8" w:space="0" w:color="auto"/>
              <w:right w:val="nil"/>
            </w:tcBorders>
            <w:tcMar>
              <w:top w:w="113" w:type="dxa"/>
            </w:tcMar>
            <w:vAlign w:val="center"/>
          </w:tcPr>
          <w:p w14:paraId="387A82A1" w14:textId="6AB08FE0" w:rsidR="00A5046C" w:rsidRPr="005726D8" w:rsidRDefault="00A5046C" w:rsidP="00A5046C">
            <w:pPr>
              <w:spacing w:line="240" w:lineRule="auto"/>
              <w:jc w:val="center"/>
              <w:rPr>
                <w:b/>
                <w:bCs/>
                <w:lang w:val="en-GB"/>
              </w:rPr>
            </w:pPr>
            <w:r w:rsidRPr="005726D8">
              <w:rPr>
                <w:b/>
                <w:bCs/>
                <w:lang w:val="en-GB"/>
              </w:rPr>
              <w:t>% ANETA-positive</w:t>
            </w:r>
          </w:p>
        </w:tc>
      </w:tr>
      <w:tr w:rsidR="00A5046C" w:rsidRPr="005726D8" w14:paraId="2DA78B76" w14:textId="77777777" w:rsidTr="00A5046C">
        <w:tc>
          <w:tcPr>
            <w:tcW w:w="1905" w:type="dxa"/>
            <w:tcBorders>
              <w:top w:val="single" w:sz="8" w:space="0" w:color="auto"/>
              <w:left w:val="nil"/>
              <w:bottom w:val="nil"/>
              <w:right w:val="nil"/>
            </w:tcBorders>
          </w:tcPr>
          <w:p w14:paraId="4C6146C5" w14:textId="55B1A21C" w:rsidR="00A5046C" w:rsidRPr="005726D8" w:rsidRDefault="00A5046C" w:rsidP="00056197">
            <w:pPr>
              <w:spacing w:line="240" w:lineRule="auto"/>
              <w:rPr>
                <w:b/>
                <w:bCs/>
                <w:lang w:val="en-GB"/>
              </w:rPr>
            </w:pPr>
            <w:r w:rsidRPr="005726D8">
              <w:rPr>
                <w:b/>
                <w:bCs/>
                <w:lang w:val="en-GB"/>
              </w:rPr>
              <w:t>Established RA</w:t>
            </w:r>
          </w:p>
        </w:tc>
        <w:tc>
          <w:tcPr>
            <w:tcW w:w="1905" w:type="dxa"/>
            <w:tcBorders>
              <w:top w:val="single" w:sz="8" w:space="0" w:color="auto"/>
              <w:left w:val="nil"/>
              <w:bottom w:val="single" w:sz="4" w:space="0" w:color="FFFFFF" w:themeColor="background1"/>
              <w:right w:val="nil"/>
            </w:tcBorders>
            <w:tcMar>
              <w:top w:w="113" w:type="dxa"/>
              <w:right w:w="794" w:type="dxa"/>
            </w:tcMar>
            <w:vAlign w:val="center"/>
          </w:tcPr>
          <w:p w14:paraId="1A43168A" w14:textId="5BC269CA" w:rsidR="00A5046C" w:rsidRPr="005726D8" w:rsidRDefault="00A5046C" w:rsidP="00A5046C">
            <w:pPr>
              <w:spacing w:line="240" w:lineRule="auto"/>
              <w:jc w:val="right"/>
              <w:rPr>
                <w:b/>
                <w:bCs/>
                <w:lang w:val="en-GB"/>
              </w:rPr>
            </w:pPr>
            <w:r w:rsidRPr="005726D8">
              <w:rPr>
                <w:b/>
                <w:bCs/>
                <w:lang w:val="en-GB"/>
              </w:rPr>
              <w:t>453</w:t>
            </w:r>
          </w:p>
        </w:tc>
        <w:tc>
          <w:tcPr>
            <w:tcW w:w="1905" w:type="dxa"/>
            <w:tcBorders>
              <w:top w:val="single" w:sz="8" w:space="0" w:color="auto"/>
              <w:left w:val="nil"/>
              <w:bottom w:val="single" w:sz="4" w:space="0" w:color="FFFFFF" w:themeColor="background1"/>
              <w:right w:val="nil"/>
            </w:tcBorders>
            <w:tcMar>
              <w:top w:w="113" w:type="dxa"/>
              <w:right w:w="794" w:type="dxa"/>
            </w:tcMar>
            <w:vAlign w:val="center"/>
          </w:tcPr>
          <w:p w14:paraId="1AC4720B" w14:textId="77777777" w:rsidR="00A5046C" w:rsidRPr="005726D8" w:rsidRDefault="00A5046C" w:rsidP="00A5046C">
            <w:pPr>
              <w:spacing w:line="240" w:lineRule="auto"/>
              <w:jc w:val="right"/>
              <w:rPr>
                <w:b/>
                <w:bCs/>
                <w:lang w:val="en-GB"/>
              </w:rPr>
            </w:pPr>
            <w:r w:rsidRPr="005726D8">
              <w:rPr>
                <w:b/>
                <w:bCs/>
                <w:lang w:val="en-GB"/>
              </w:rPr>
              <w:t>181</w:t>
            </w:r>
          </w:p>
        </w:tc>
        <w:tc>
          <w:tcPr>
            <w:tcW w:w="1906" w:type="dxa"/>
            <w:tcBorders>
              <w:top w:val="single" w:sz="8" w:space="0" w:color="auto"/>
              <w:left w:val="nil"/>
              <w:bottom w:val="single" w:sz="4" w:space="0" w:color="FFFFFF" w:themeColor="background1"/>
              <w:right w:val="nil"/>
            </w:tcBorders>
            <w:tcMar>
              <w:top w:w="113" w:type="dxa"/>
              <w:right w:w="794" w:type="dxa"/>
            </w:tcMar>
            <w:vAlign w:val="center"/>
          </w:tcPr>
          <w:p w14:paraId="7D57D587" w14:textId="77777777" w:rsidR="00A5046C" w:rsidRPr="005726D8" w:rsidRDefault="00A5046C" w:rsidP="00A5046C">
            <w:pPr>
              <w:spacing w:line="240" w:lineRule="auto"/>
              <w:jc w:val="right"/>
              <w:rPr>
                <w:b/>
                <w:bCs/>
                <w:lang w:val="en-GB"/>
              </w:rPr>
            </w:pPr>
            <w:r w:rsidRPr="005726D8">
              <w:rPr>
                <w:b/>
                <w:bCs/>
                <w:lang w:val="en-GB"/>
              </w:rPr>
              <w:t>40</w:t>
            </w:r>
          </w:p>
        </w:tc>
      </w:tr>
      <w:tr w:rsidR="00A5046C" w:rsidRPr="005726D8" w14:paraId="173E2BA8" w14:textId="77777777" w:rsidTr="00A5046C">
        <w:tc>
          <w:tcPr>
            <w:tcW w:w="1905" w:type="dxa"/>
            <w:tcBorders>
              <w:top w:val="nil"/>
              <w:left w:val="nil"/>
              <w:bottom w:val="nil"/>
              <w:right w:val="nil"/>
            </w:tcBorders>
            <w:tcMar>
              <w:left w:w="397" w:type="dxa"/>
            </w:tcMar>
          </w:tcPr>
          <w:p w14:paraId="467242E9" w14:textId="38BD553D" w:rsidR="00A5046C" w:rsidRPr="005726D8" w:rsidRDefault="00A5046C" w:rsidP="00056197">
            <w:pPr>
              <w:spacing w:line="240" w:lineRule="auto"/>
              <w:rPr>
                <w:lang w:val="en-GB"/>
              </w:rPr>
            </w:pPr>
            <w:r w:rsidRPr="005726D8">
              <w:rPr>
                <w:lang w:val="en-GB"/>
              </w:rPr>
              <w:t>Cohort A</w:t>
            </w:r>
          </w:p>
        </w:tc>
        <w:tc>
          <w:tcPr>
            <w:tcW w:w="1905" w:type="dxa"/>
            <w:tcBorders>
              <w:top w:val="single" w:sz="4" w:space="0" w:color="FFFFFF" w:themeColor="background1"/>
              <w:left w:val="nil"/>
              <w:bottom w:val="single" w:sz="4" w:space="0" w:color="FFFFFF" w:themeColor="background1"/>
              <w:right w:val="nil"/>
            </w:tcBorders>
            <w:tcMar>
              <w:top w:w="113" w:type="dxa"/>
              <w:right w:w="794" w:type="dxa"/>
            </w:tcMar>
            <w:vAlign w:val="center"/>
          </w:tcPr>
          <w:p w14:paraId="3D2FF5B4" w14:textId="4AE4CBFB" w:rsidR="00A5046C" w:rsidRPr="005726D8" w:rsidRDefault="00A5046C" w:rsidP="00A5046C">
            <w:pPr>
              <w:spacing w:line="240" w:lineRule="auto"/>
              <w:jc w:val="right"/>
              <w:rPr>
                <w:lang w:val="en-GB"/>
              </w:rPr>
            </w:pPr>
            <w:r w:rsidRPr="005726D8">
              <w:rPr>
                <w:lang w:val="en-GB"/>
              </w:rPr>
              <w:t>168</w:t>
            </w:r>
          </w:p>
        </w:tc>
        <w:tc>
          <w:tcPr>
            <w:tcW w:w="1905" w:type="dxa"/>
            <w:tcBorders>
              <w:top w:val="single" w:sz="4" w:space="0" w:color="FFFFFF" w:themeColor="background1"/>
              <w:left w:val="nil"/>
              <w:bottom w:val="single" w:sz="4" w:space="0" w:color="FFFFFF" w:themeColor="background1"/>
              <w:right w:val="nil"/>
            </w:tcBorders>
            <w:tcMar>
              <w:top w:w="113" w:type="dxa"/>
              <w:right w:w="794" w:type="dxa"/>
            </w:tcMar>
            <w:vAlign w:val="center"/>
          </w:tcPr>
          <w:p w14:paraId="73F1BD4C" w14:textId="77777777" w:rsidR="00A5046C" w:rsidRPr="005726D8" w:rsidRDefault="00A5046C" w:rsidP="00A5046C">
            <w:pPr>
              <w:spacing w:line="240" w:lineRule="auto"/>
              <w:jc w:val="right"/>
              <w:rPr>
                <w:lang w:val="en-GB"/>
              </w:rPr>
            </w:pPr>
            <w:r w:rsidRPr="005726D8">
              <w:rPr>
                <w:lang w:val="en-GB"/>
              </w:rPr>
              <w:t>85</w:t>
            </w:r>
          </w:p>
        </w:tc>
        <w:tc>
          <w:tcPr>
            <w:tcW w:w="1906" w:type="dxa"/>
            <w:tcBorders>
              <w:top w:val="single" w:sz="4" w:space="0" w:color="FFFFFF" w:themeColor="background1"/>
              <w:left w:val="nil"/>
              <w:bottom w:val="single" w:sz="4" w:space="0" w:color="FFFFFF" w:themeColor="background1"/>
              <w:right w:val="nil"/>
            </w:tcBorders>
            <w:tcMar>
              <w:top w:w="113" w:type="dxa"/>
              <w:right w:w="794" w:type="dxa"/>
            </w:tcMar>
            <w:vAlign w:val="center"/>
          </w:tcPr>
          <w:p w14:paraId="1BF814AF" w14:textId="77777777" w:rsidR="00A5046C" w:rsidRPr="005726D8" w:rsidRDefault="00A5046C" w:rsidP="00A5046C">
            <w:pPr>
              <w:spacing w:line="240" w:lineRule="auto"/>
              <w:jc w:val="right"/>
              <w:rPr>
                <w:lang w:val="en-GB"/>
              </w:rPr>
            </w:pPr>
            <w:r w:rsidRPr="005726D8">
              <w:rPr>
                <w:lang w:val="en-GB"/>
              </w:rPr>
              <w:t>51</w:t>
            </w:r>
          </w:p>
        </w:tc>
      </w:tr>
      <w:tr w:rsidR="00A5046C" w:rsidRPr="005726D8" w14:paraId="550818DA" w14:textId="77777777" w:rsidTr="00A5046C">
        <w:tc>
          <w:tcPr>
            <w:tcW w:w="1905" w:type="dxa"/>
            <w:tcBorders>
              <w:top w:val="nil"/>
              <w:left w:val="nil"/>
              <w:bottom w:val="nil"/>
              <w:right w:val="nil"/>
            </w:tcBorders>
            <w:tcMar>
              <w:left w:w="397" w:type="dxa"/>
            </w:tcMar>
          </w:tcPr>
          <w:p w14:paraId="7B2C8AC7" w14:textId="6EEE7839" w:rsidR="00A5046C" w:rsidRPr="005726D8" w:rsidRDefault="00A5046C" w:rsidP="00056197">
            <w:pPr>
              <w:spacing w:line="240" w:lineRule="auto"/>
              <w:rPr>
                <w:lang w:val="en-GB"/>
              </w:rPr>
            </w:pPr>
            <w:r w:rsidRPr="005726D8">
              <w:rPr>
                <w:lang w:val="en-GB"/>
              </w:rPr>
              <w:t>Cohort B</w:t>
            </w:r>
          </w:p>
        </w:tc>
        <w:tc>
          <w:tcPr>
            <w:tcW w:w="1905" w:type="dxa"/>
            <w:tcBorders>
              <w:top w:val="single" w:sz="4" w:space="0" w:color="FFFFFF" w:themeColor="background1"/>
              <w:left w:val="nil"/>
              <w:bottom w:val="single" w:sz="4" w:space="0" w:color="FFFFFF" w:themeColor="background1"/>
              <w:right w:val="nil"/>
            </w:tcBorders>
            <w:tcMar>
              <w:top w:w="113" w:type="dxa"/>
              <w:right w:w="794" w:type="dxa"/>
            </w:tcMar>
            <w:vAlign w:val="center"/>
          </w:tcPr>
          <w:p w14:paraId="55C4E0F4" w14:textId="287DBF9C" w:rsidR="00A5046C" w:rsidRPr="005726D8" w:rsidRDefault="00A5046C" w:rsidP="00A5046C">
            <w:pPr>
              <w:spacing w:line="240" w:lineRule="auto"/>
              <w:jc w:val="right"/>
              <w:rPr>
                <w:lang w:val="en-GB"/>
              </w:rPr>
            </w:pPr>
            <w:r w:rsidRPr="005726D8">
              <w:rPr>
                <w:lang w:val="en-GB"/>
              </w:rPr>
              <w:t>215</w:t>
            </w:r>
          </w:p>
        </w:tc>
        <w:tc>
          <w:tcPr>
            <w:tcW w:w="1905" w:type="dxa"/>
            <w:tcBorders>
              <w:top w:val="single" w:sz="4" w:space="0" w:color="FFFFFF" w:themeColor="background1"/>
              <w:left w:val="nil"/>
              <w:bottom w:val="single" w:sz="4" w:space="0" w:color="FFFFFF" w:themeColor="background1"/>
              <w:right w:val="nil"/>
            </w:tcBorders>
            <w:tcMar>
              <w:top w:w="113" w:type="dxa"/>
              <w:right w:w="794" w:type="dxa"/>
            </w:tcMar>
            <w:vAlign w:val="center"/>
          </w:tcPr>
          <w:p w14:paraId="7CF6CA40" w14:textId="77777777" w:rsidR="00A5046C" w:rsidRPr="005726D8" w:rsidRDefault="00A5046C" w:rsidP="00A5046C">
            <w:pPr>
              <w:spacing w:line="240" w:lineRule="auto"/>
              <w:jc w:val="right"/>
              <w:rPr>
                <w:lang w:val="en-GB"/>
              </w:rPr>
            </w:pPr>
            <w:r w:rsidRPr="005726D8">
              <w:rPr>
                <w:lang w:val="en-GB"/>
              </w:rPr>
              <w:t>48</w:t>
            </w:r>
          </w:p>
        </w:tc>
        <w:tc>
          <w:tcPr>
            <w:tcW w:w="1906" w:type="dxa"/>
            <w:tcBorders>
              <w:top w:val="single" w:sz="4" w:space="0" w:color="FFFFFF" w:themeColor="background1"/>
              <w:left w:val="nil"/>
              <w:bottom w:val="single" w:sz="4" w:space="0" w:color="FFFFFF" w:themeColor="background1"/>
              <w:right w:val="nil"/>
            </w:tcBorders>
            <w:tcMar>
              <w:top w:w="113" w:type="dxa"/>
              <w:right w:w="794" w:type="dxa"/>
            </w:tcMar>
            <w:vAlign w:val="center"/>
          </w:tcPr>
          <w:p w14:paraId="22BA02BF" w14:textId="77777777" w:rsidR="00A5046C" w:rsidRPr="005726D8" w:rsidRDefault="00A5046C" w:rsidP="00A5046C">
            <w:pPr>
              <w:spacing w:line="240" w:lineRule="auto"/>
              <w:jc w:val="right"/>
              <w:rPr>
                <w:lang w:val="en-GB"/>
              </w:rPr>
            </w:pPr>
            <w:r w:rsidRPr="005726D8">
              <w:rPr>
                <w:lang w:val="en-GB"/>
              </w:rPr>
              <w:t>22</w:t>
            </w:r>
          </w:p>
        </w:tc>
      </w:tr>
      <w:tr w:rsidR="00A5046C" w:rsidRPr="005726D8" w14:paraId="1A61FAA3" w14:textId="77777777" w:rsidTr="00A5046C">
        <w:tc>
          <w:tcPr>
            <w:tcW w:w="1905" w:type="dxa"/>
            <w:tcBorders>
              <w:top w:val="nil"/>
              <w:left w:val="nil"/>
              <w:bottom w:val="nil"/>
              <w:right w:val="nil"/>
            </w:tcBorders>
            <w:tcMar>
              <w:left w:w="397" w:type="dxa"/>
            </w:tcMar>
          </w:tcPr>
          <w:p w14:paraId="5F1F8710" w14:textId="0F60B936" w:rsidR="00A5046C" w:rsidRPr="005726D8" w:rsidRDefault="00A5046C" w:rsidP="00056197">
            <w:pPr>
              <w:spacing w:line="240" w:lineRule="auto"/>
              <w:rPr>
                <w:lang w:val="en-GB"/>
              </w:rPr>
            </w:pPr>
            <w:r w:rsidRPr="005726D8">
              <w:rPr>
                <w:lang w:val="en-GB"/>
              </w:rPr>
              <w:t>Cohort C</w:t>
            </w:r>
          </w:p>
        </w:tc>
        <w:tc>
          <w:tcPr>
            <w:tcW w:w="1905" w:type="dxa"/>
            <w:tcBorders>
              <w:top w:val="single" w:sz="4" w:space="0" w:color="FFFFFF" w:themeColor="background1"/>
              <w:left w:val="nil"/>
              <w:bottom w:val="nil"/>
              <w:right w:val="nil"/>
            </w:tcBorders>
            <w:tcMar>
              <w:top w:w="113" w:type="dxa"/>
              <w:right w:w="794" w:type="dxa"/>
            </w:tcMar>
            <w:vAlign w:val="center"/>
          </w:tcPr>
          <w:p w14:paraId="608AFDE6" w14:textId="76D4DC97" w:rsidR="00A5046C" w:rsidRPr="005726D8" w:rsidRDefault="00A5046C" w:rsidP="00A5046C">
            <w:pPr>
              <w:spacing w:line="240" w:lineRule="auto"/>
              <w:jc w:val="right"/>
              <w:rPr>
                <w:lang w:val="en-GB"/>
              </w:rPr>
            </w:pPr>
            <w:r w:rsidRPr="005726D8">
              <w:rPr>
                <w:lang w:val="en-GB"/>
              </w:rPr>
              <w:t>70</w:t>
            </w:r>
          </w:p>
        </w:tc>
        <w:tc>
          <w:tcPr>
            <w:tcW w:w="1905" w:type="dxa"/>
            <w:tcBorders>
              <w:top w:val="single" w:sz="4" w:space="0" w:color="FFFFFF" w:themeColor="background1"/>
              <w:left w:val="nil"/>
              <w:bottom w:val="nil"/>
              <w:right w:val="nil"/>
            </w:tcBorders>
            <w:tcMar>
              <w:top w:w="113" w:type="dxa"/>
              <w:right w:w="794" w:type="dxa"/>
            </w:tcMar>
            <w:vAlign w:val="center"/>
          </w:tcPr>
          <w:p w14:paraId="4F3B445C" w14:textId="77777777" w:rsidR="00A5046C" w:rsidRPr="005726D8" w:rsidRDefault="00A5046C" w:rsidP="00A5046C">
            <w:pPr>
              <w:spacing w:line="240" w:lineRule="auto"/>
              <w:jc w:val="right"/>
              <w:rPr>
                <w:lang w:val="en-GB"/>
              </w:rPr>
            </w:pPr>
            <w:r w:rsidRPr="005726D8">
              <w:rPr>
                <w:lang w:val="en-GB"/>
              </w:rPr>
              <w:t>48</w:t>
            </w:r>
          </w:p>
        </w:tc>
        <w:tc>
          <w:tcPr>
            <w:tcW w:w="1906" w:type="dxa"/>
            <w:tcBorders>
              <w:top w:val="single" w:sz="4" w:space="0" w:color="FFFFFF" w:themeColor="background1"/>
              <w:left w:val="nil"/>
              <w:bottom w:val="nil"/>
              <w:right w:val="nil"/>
            </w:tcBorders>
            <w:tcMar>
              <w:top w:w="113" w:type="dxa"/>
              <w:right w:w="794" w:type="dxa"/>
            </w:tcMar>
            <w:vAlign w:val="center"/>
          </w:tcPr>
          <w:p w14:paraId="2FBA552A" w14:textId="77777777" w:rsidR="00A5046C" w:rsidRPr="005726D8" w:rsidRDefault="00A5046C" w:rsidP="00A5046C">
            <w:pPr>
              <w:spacing w:line="240" w:lineRule="auto"/>
              <w:jc w:val="right"/>
              <w:rPr>
                <w:lang w:val="en-GB"/>
              </w:rPr>
            </w:pPr>
            <w:r w:rsidRPr="005726D8">
              <w:rPr>
                <w:lang w:val="en-GB"/>
              </w:rPr>
              <w:t>69</w:t>
            </w:r>
          </w:p>
        </w:tc>
      </w:tr>
      <w:tr w:rsidR="00A5046C" w:rsidRPr="005726D8" w14:paraId="7F75F976" w14:textId="77777777" w:rsidTr="00A5046C">
        <w:tc>
          <w:tcPr>
            <w:tcW w:w="1905" w:type="dxa"/>
            <w:tcBorders>
              <w:top w:val="nil"/>
              <w:left w:val="nil"/>
              <w:bottom w:val="nil"/>
              <w:right w:val="nil"/>
            </w:tcBorders>
          </w:tcPr>
          <w:p w14:paraId="63F12944" w14:textId="613B0A8B" w:rsidR="00A5046C" w:rsidRPr="005726D8" w:rsidRDefault="00A5046C" w:rsidP="00056197">
            <w:pPr>
              <w:spacing w:line="240" w:lineRule="auto"/>
              <w:rPr>
                <w:b/>
                <w:bCs/>
                <w:lang w:val="en-GB"/>
              </w:rPr>
            </w:pPr>
            <w:r w:rsidRPr="005726D8">
              <w:rPr>
                <w:b/>
                <w:bCs/>
                <w:lang w:val="en-GB"/>
              </w:rPr>
              <w:t>Early RA</w:t>
            </w:r>
          </w:p>
        </w:tc>
        <w:tc>
          <w:tcPr>
            <w:tcW w:w="1905" w:type="dxa"/>
            <w:tcBorders>
              <w:top w:val="nil"/>
              <w:left w:val="nil"/>
              <w:bottom w:val="nil"/>
              <w:right w:val="nil"/>
            </w:tcBorders>
            <w:tcMar>
              <w:top w:w="113" w:type="dxa"/>
              <w:right w:w="794" w:type="dxa"/>
            </w:tcMar>
            <w:vAlign w:val="center"/>
          </w:tcPr>
          <w:p w14:paraId="0CDD823C" w14:textId="578D548A" w:rsidR="00A5046C" w:rsidRPr="005726D8" w:rsidRDefault="00A5046C" w:rsidP="00A5046C">
            <w:pPr>
              <w:spacing w:line="240" w:lineRule="auto"/>
              <w:jc w:val="right"/>
              <w:rPr>
                <w:rFonts w:ascii="Calibri" w:hAnsi="Calibri" w:cs="Calibri"/>
                <w:b/>
                <w:bCs/>
                <w:color w:val="000000"/>
              </w:rPr>
            </w:pPr>
            <w:r w:rsidRPr="005726D8">
              <w:rPr>
                <w:b/>
                <w:bCs/>
                <w:lang w:val="en-GB"/>
              </w:rPr>
              <w:t>59</w:t>
            </w:r>
          </w:p>
        </w:tc>
        <w:tc>
          <w:tcPr>
            <w:tcW w:w="1905" w:type="dxa"/>
            <w:tcBorders>
              <w:top w:val="nil"/>
              <w:left w:val="nil"/>
              <w:bottom w:val="nil"/>
              <w:right w:val="nil"/>
            </w:tcBorders>
            <w:tcMar>
              <w:top w:w="113" w:type="dxa"/>
              <w:right w:w="794" w:type="dxa"/>
            </w:tcMar>
            <w:vAlign w:val="center"/>
          </w:tcPr>
          <w:p w14:paraId="28D9F311" w14:textId="77777777" w:rsidR="00A5046C" w:rsidRPr="005726D8" w:rsidRDefault="00A5046C" w:rsidP="00A5046C">
            <w:pPr>
              <w:spacing w:line="240" w:lineRule="auto"/>
              <w:jc w:val="right"/>
              <w:rPr>
                <w:rFonts w:ascii="Calibri" w:hAnsi="Calibri" w:cs="Calibri"/>
                <w:b/>
                <w:bCs/>
                <w:color w:val="000000"/>
              </w:rPr>
            </w:pPr>
            <w:r w:rsidRPr="005726D8">
              <w:rPr>
                <w:b/>
                <w:bCs/>
                <w:lang w:val="en-GB"/>
              </w:rPr>
              <w:t>41</w:t>
            </w:r>
          </w:p>
        </w:tc>
        <w:tc>
          <w:tcPr>
            <w:tcW w:w="1906" w:type="dxa"/>
            <w:tcBorders>
              <w:top w:val="nil"/>
              <w:left w:val="nil"/>
              <w:bottom w:val="nil"/>
              <w:right w:val="nil"/>
            </w:tcBorders>
            <w:tcMar>
              <w:top w:w="113" w:type="dxa"/>
              <w:right w:w="794" w:type="dxa"/>
            </w:tcMar>
            <w:vAlign w:val="center"/>
          </w:tcPr>
          <w:p w14:paraId="4C4EA0A7" w14:textId="77777777" w:rsidR="00A5046C" w:rsidRPr="005726D8" w:rsidRDefault="00A5046C" w:rsidP="00A5046C">
            <w:pPr>
              <w:spacing w:line="240" w:lineRule="auto"/>
              <w:jc w:val="right"/>
              <w:rPr>
                <w:rFonts w:ascii="Calibri" w:hAnsi="Calibri" w:cs="Calibri"/>
                <w:b/>
                <w:bCs/>
                <w:color w:val="000000"/>
              </w:rPr>
            </w:pPr>
            <w:r w:rsidRPr="005726D8">
              <w:rPr>
                <w:b/>
                <w:bCs/>
                <w:lang w:val="en-GB"/>
              </w:rPr>
              <w:t>69</w:t>
            </w:r>
          </w:p>
        </w:tc>
      </w:tr>
      <w:tr w:rsidR="00A5046C" w:rsidRPr="005726D8" w14:paraId="39129DEA" w14:textId="77777777" w:rsidTr="00A5046C">
        <w:tc>
          <w:tcPr>
            <w:tcW w:w="1905" w:type="dxa"/>
            <w:tcBorders>
              <w:top w:val="nil"/>
              <w:left w:val="nil"/>
              <w:bottom w:val="nil"/>
              <w:right w:val="nil"/>
            </w:tcBorders>
          </w:tcPr>
          <w:p w14:paraId="7D4083A0" w14:textId="448F6678" w:rsidR="00A5046C" w:rsidRPr="005726D8" w:rsidRDefault="00A5046C" w:rsidP="00056197">
            <w:pPr>
              <w:spacing w:line="240" w:lineRule="auto"/>
              <w:rPr>
                <w:rFonts w:ascii="Calibri" w:hAnsi="Calibri" w:cs="Calibri"/>
                <w:b/>
                <w:bCs/>
                <w:color w:val="000000"/>
              </w:rPr>
            </w:pPr>
            <w:r w:rsidRPr="005726D8">
              <w:rPr>
                <w:rFonts w:ascii="Calibri" w:hAnsi="Calibri" w:cs="Calibri"/>
                <w:b/>
                <w:bCs/>
                <w:color w:val="000000"/>
              </w:rPr>
              <w:t>SLE</w:t>
            </w:r>
          </w:p>
        </w:tc>
        <w:tc>
          <w:tcPr>
            <w:tcW w:w="1905" w:type="dxa"/>
            <w:tcBorders>
              <w:top w:val="nil"/>
              <w:left w:val="nil"/>
              <w:bottom w:val="nil"/>
              <w:right w:val="nil"/>
            </w:tcBorders>
            <w:tcMar>
              <w:top w:w="113" w:type="dxa"/>
              <w:right w:w="794" w:type="dxa"/>
            </w:tcMar>
            <w:vAlign w:val="center"/>
          </w:tcPr>
          <w:p w14:paraId="74FE0B38" w14:textId="35C90E90" w:rsidR="00A5046C" w:rsidRPr="005726D8" w:rsidRDefault="00A5046C" w:rsidP="00A5046C">
            <w:pPr>
              <w:spacing w:line="240" w:lineRule="auto"/>
              <w:jc w:val="right"/>
              <w:rPr>
                <w:b/>
                <w:bCs/>
                <w:lang w:val="en-GB"/>
              </w:rPr>
            </w:pPr>
            <w:r w:rsidRPr="005726D8">
              <w:rPr>
                <w:rFonts w:ascii="Calibri" w:hAnsi="Calibri" w:cs="Calibri"/>
                <w:b/>
                <w:bCs/>
                <w:color w:val="000000"/>
              </w:rPr>
              <w:t>56</w:t>
            </w:r>
          </w:p>
        </w:tc>
        <w:tc>
          <w:tcPr>
            <w:tcW w:w="1905" w:type="dxa"/>
            <w:tcBorders>
              <w:top w:val="nil"/>
              <w:left w:val="nil"/>
              <w:bottom w:val="nil"/>
              <w:right w:val="nil"/>
            </w:tcBorders>
            <w:tcMar>
              <w:top w:w="113" w:type="dxa"/>
              <w:right w:w="794" w:type="dxa"/>
            </w:tcMar>
            <w:vAlign w:val="center"/>
          </w:tcPr>
          <w:p w14:paraId="51015B27" w14:textId="77777777" w:rsidR="00A5046C" w:rsidRPr="005726D8" w:rsidRDefault="00A5046C" w:rsidP="00A5046C">
            <w:pPr>
              <w:spacing w:line="240" w:lineRule="auto"/>
              <w:jc w:val="right"/>
              <w:rPr>
                <w:b/>
                <w:bCs/>
                <w:lang w:val="en-GB"/>
              </w:rPr>
            </w:pPr>
            <w:r w:rsidRPr="005726D8">
              <w:rPr>
                <w:rFonts w:ascii="Calibri" w:hAnsi="Calibri" w:cs="Calibri"/>
                <w:b/>
                <w:bCs/>
                <w:color w:val="000000"/>
              </w:rPr>
              <w:t>20</w:t>
            </w:r>
          </w:p>
        </w:tc>
        <w:tc>
          <w:tcPr>
            <w:tcW w:w="1906" w:type="dxa"/>
            <w:tcBorders>
              <w:top w:val="nil"/>
              <w:left w:val="nil"/>
              <w:bottom w:val="nil"/>
              <w:right w:val="nil"/>
            </w:tcBorders>
            <w:tcMar>
              <w:top w:w="113" w:type="dxa"/>
              <w:right w:w="794" w:type="dxa"/>
            </w:tcMar>
            <w:vAlign w:val="center"/>
          </w:tcPr>
          <w:p w14:paraId="3C12D217" w14:textId="77777777" w:rsidR="00A5046C" w:rsidRPr="005726D8" w:rsidRDefault="00A5046C" w:rsidP="00A5046C">
            <w:pPr>
              <w:spacing w:line="240" w:lineRule="auto"/>
              <w:jc w:val="right"/>
              <w:rPr>
                <w:b/>
                <w:bCs/>
                <w:lang w:val="en-GB"/>
              </w:rPr>
            </w:pPr>
            <w:r w:rsidRPr="005726D8">
              <w:rPr>
                <w:rFonts w:ascii="Calibri" w:hAnsi="Calibri" w:cs="Calibri"/>
                <w:b/>
                <w:bCs/>
                <w:color w:val="000000"/>
              </w:rPr>
              <w:t>36</w:t>
            </w:r>
          </w:p>
        </w:tc>
      </w:tr>
      <w:tr w:rsidR="00A5046C" w:rsidRPr="005726D8" w14:paraId="42FEA4CF" w14:textId="77777777" w:rsidTr="00A5046C">
        <w:tc>
          <w:tcPr>
            <w:tcW w:w="1905" w:type="dxa"/>
            <w:tcBorders>
              <w:top w:val="nil"/>
              <w:left w:val="nil"/>
              <w:bottom w:val="nil"/>
              <w:right w:val="nil"/>
            </w:tcBorders>
          </w:tcPr>
          <w:p w14:paraId="27393556" w14:textId="7EADA403" w:rsidR="00A5046C" w:rsidRPr="005726D8" w:rsidRDefault="00A5046C" w:rsidP="00056197">
            <w:pPr>
              <w:spacing w:line="240" w:lineRule="auto"/>
              <w:rPr>
                <w:rFonts w:ascii="Calibri" w:hAnsi="Calibri" w:cs="Calibri"/>
                <w:b/>
                <w:bCs/>
                <w:color w:val="000000"/>
              </w:rPr>
            </w:pPr>
            <w:proofErr w:type="spellStart"/>
            <w:r w:rsidRPr="005726D8">
              <w:rPr>
                <w:rFonts w:ascii="Calibri" w:hAnsi="Calibri" w:cs="Calibri"/>
                <w:b/>
                <w:bCs/>
                <w:color w:val="000000"/>
              </w:rPr>
              <w:t>SjS</w:t>
            </w:r>
            <w:proofErr w:type="spellEnd"/>
          </w:p>
        </w:tc>
        <w:tc>
          <w:tcPr>
            <w:tcW w:w="1905" w:type="dxa"/>
            <w:tcBorders>
              <w:top w:val="nil"/>
              <w:left w:val="nil"/>
              <w:bottom w:val="nil"/>
              <w:right w:val="nil"/>
            </w:tcBorders>
            <w:tcMar>
              <w:top w:w="113" w:type="dxa"/>
              <w:right w:w="794" w:type="dxa"/>
            </w:tcMar>
            <w:vAlign w:val="center"/>
          </w:tcPr>
          <w:p w14:paraId="45F1FEDF" w14:textId="2F067EBF" w:rsidR="00A5046C" w:rsidRPr="005726D8" w:rsidRDefault="00A5046C" w:rsidP="00A5046C">
            <w:pPr>
              <w:spacing w:line="240" w:lineRule="auto"/>
              <w:jc w:val="right"/>
              <w:rPr>
                <w:b/>
                <w:bCs/>
                <w:lang w:val="en-GB"/>
              </w:rPr>
            </w:pPr>
            <w:r w:rsidRPr="005726D8">
              <w:rPr>
                <w:rFonts w:ascii="Calibri" w:hAnsi="Calibri" w:cs="Calibri"/>
                <w:b/>
                <w:bCs/>
                <w:color w:val="000000"/>
              </w:rPr>
              <w:t>59</w:t>
            </w:r>
          </w:p>
        </w:tc>
        <w:tc>
          <w:tcPr>
            <w:tcW w:w="1905" w:type="dxa"/>
            <w:tcBorders>
              <w:top w:val="nil"/>
              <w:left w:val="nil"/>
              <w:bottom w:val="nil"/>
              <w:right w:val="nil"/>
            </w:tcBorders>
            <w:tcMar>
              <w:top w:w="113" w:type="dxa"/>
              <w:right w:w="794" w:type="dxa"/>
            </w:tcMar>
            <w:vAlign w:val="center"/>
          </w:tcPr>
          <w:p w14:paraId="6FCB7F76" w14:textId="77777777" w:rsidR="00A5046C" w:rsidRPr="005726D8" w:rsidRDefault="00A5046C" w:rsidP="00A5046C">
            <w:pPr>
              <w:spacing w:line="240" w:lineRule="auto"/>
              <w:jc w:val="right"/>
              <w:rPr>
                <w:b/>
                <w:bCs/>
                <w:lang w:val="en-GB"/>
              </w:rPr>
            </w:pPr>
            <w:r w:rsidRPr="005726D8">
              <w:rPr>
                <w:rFonts w:ascii="Calibri" w:hAnsi="Calibri" w:cs="Calibri"/>
                <w:b/>
                <w:bCs/>
                <w:color w:val="000000"/>
              </w:rPr>
              <w:t>45</w:t>
            </w:r>
          </w:p>
        </w:tc>
        <w:tc>
          <w:tcPr>
            <w:tcW w:w="1906" w:type="dxa"/>
            <w:tcBorders>
              <w:top w:val="nil"/>
              <w:left w:val="nil"/>
              <w:bottom w:val="nil"/>
              <w:right w:val="nil"/>
            </w:tcBorders>
            <w:tcMar>
              <w:top w:w="113" w:type="dxa"/>
              <w:right w:w="794" w:type="dxa"/>
            </w:tcMar>
            <w:vAlign w:val="center"/>
          </w:tcPr>
          <w:p w14:paraId="6CE5B286" w14:textId="77777777" w:rsidR="00A5046C" w:rsidRPr="005726D8" w:rsidRDefault="00A5046C" w:rsidP="00A5046C">
            <w:pPr>
              <w:spacing w:line="240" w:lineRule="auto"/>
              <w:jc w:val="right"/>
              <w:rPr>
                <w:b/>
                <w:bCs/>
                <w:lang w:val="en-GB"/>
              </w:rPr>
            </w:pPr>
            <w:r w:rsidRPr="005726D8">
              <w:rPr>
                <w:rFonts w:ascii="Calibri" w:hAnsi="Calibri" w:cs="Calibri"/>
                <w:b/>
                <w:bCs/>
                <w:color w:val="000000"/>
              </w:rPr>
              <w:t>76</w:t>
            </w:r>
          </w:p>
        </w:tc>
      </w:tr>
      <w:tr w:rsidR="00A5046C" w:rsidRPr="005726D8" w14:paraId="329D6808" w14:textId="77777777" w:rsidTr="00A5046C">
        <w:tc>
          <w:tcPr>
            <w:tcW w:w="1905" w:type="dxa"/>
            <w:tcBorders>
              <w:top w:val="nil"/>
              <w:left w:val="nil"/>
              <w:bottom w:val="single" w:sz="12" w:space="0" w:color="auto"/>
              <w:right w:val="nil"/>
            </w:tcBorders>
          </w:tcPr>
          <w:p w14:paraId="576C69D8" w14:textId="2863F9B1" w:rsidR="00A5046C" w:rsidRPr="005726D8" w:rsidRDefault="00A5046C" w:rsidP="00056197">
            <w:pPr>
              <w:spacing w:line="240" w:lineRule="auto"/>
              <w:rPr>
                <w:rFonts w:ascii="Calibri" w:hAnsi="Calibri" w:cs="Calibri"/>
                <w:b/>
                <w:bCs/>
                <w:color w:val="000000"/>
              </w:rPr>
            </w:pPr>
            <w:proofErr w:type="spellStart"/>
            <w:r w:rsidRPr="005726D8">
              <w:rPr>
                <w:rFonts w:ascii="Calibri" w:hAnsi="Calibri" w:cs="Calibri"/>
                <w:b/>
                <w:bCs/>
                <w:color w:val="000000"/>
              </w:rPr>
              <w:t>SSc</w:t>
            </w:r>
            <w:proofErr w:type="spellEnd"/>
          </w:p>
        </w:tc>
        <w:tc>
          <w:tcPr>
            <w:tcW w:w="1905" w:type="dxa"/>
            <w:tcBorders>
              <w:top w:val="nil"/>
              <w:left w:val="nil"/>
              <w:bottom w:val="single" w:sz="12" w:space="0" w:color="auto"/>
              <w:right w:val="nil"/>
            </w:tcBorders>
            <w:tcMar>
              <w:top w:w="113" w:type="dxa"/>
              <w:right w:w="794" w:type="dxa"/>
            </w:tcMar>
            <w:vAlign w:val="center"/>
          </w:tcPr>
          <w:p w14:paraId="6FAE343D" w14:textId="58BFF6D0" w:rsidR="00A5046C" w:rsidRPr="005726D8" w:rsidRDefault="00A5046C" w:rsidP="00A5046C">
            <w:pPr>
              <w:spacing w:line="240" w:lineRule="auto"/>
              <w:jc w:val="right"/>
              <w:rPr>
                <w:b/>
                <w:bCs/>
                <w:lang w:val="en-GB"/>
              </w:rPr>
            </w:pPr>
            <w:r w:rsidRPr="005726D8">
              <w:rPr>
                <w:rFonts w:ascii="Calibri" w:hAnsi="Calibri" w:cs="Calibri"/>
                <w:b/>
                <w:bCs/>
                <w:color w:val="000000"/>
              </w:rPr>
              <w:t>57</w:t>
            </w:r>
          </w:p>
        </w:tc>
        <w:tc>
          <w:tcPr>
            <w:tcW w:w="1905" w:type="dxa"/>
            <w:tcBorders>
              <w:top w:val="nil"/>
              <w:left w:val="nil"/>
              <w:bottom w:val="single" w:sz="12" w:space="0" w:color="auto"/>
              <w:right w:val="nil"/>
            </w:tcBorders>
            <w:tcMar>
              <w:top w:w="113" w:type="dxa"/>
              <w:right w:w="794" w:type="dxa"/>
            </w:tcMar>
            <w:vAlign w:val="center"/>
          </w:tcPr>
          <w:p w14:paraId="0916E959" w14:textId="77777777" w:rsidR="00A5046C" w:rsidRPr="005726D8" w:rsidRDefault="00A5046C" w:rsidP="00A5046C">
            <w:pPr>
              <w:spacing w:line="240" w:lineRule="auto"/>
              <w:jc w:val="right"/>
              <w:rPr>
                <w:b/>
                <w:bCs/>
                <w:lang w:val="en-GB"/>
              </w:rPr>
            </w:pPr>
            <w:r w:rsidRPr="005726D8">
              <w:rPr>
                <w:rFonts w:ascii="Calibri" w:hAnsi="Calibri" w:cs="Calibri"/>
                <w:b/>
                <w:bCs/>
                <w:color w:val="000000"/>
              </w:rPr>
              <w:t>35</w:t>
            </w:r>
          </w:p>
        </w:tc>
        <w:tc>
          <w:tcPr>
            <w:tcW w:w="1906" w:type="dxa"/>
            <w:tcBorders>
              <w:top w:val="nil"/>
              <w:left w:val="nil"/>
              <w:bottom w:val="single" w:sz="12" w:space="0" w:color="auto"/>
              <w:right w:val="nil"/>
            </w:tcBorders>
            <w:tcMar>
              <w:top w:w="113" w:type="dxa"/>
              <w:right w:w="794" w:type="dxa"/>
            </w:tcMar>
            <w:vAlign w:val="center"/>
          </w:tcPr>
          <w:p w14:paraId="4F029F12" w14:textId="77777777" w:rsidR="00A5046C" w:rsidRPr="005726D8" w:rsidRDefault="00A5046C" w:rsidP="00A5046C">
            <w:pPr>
              <w:spacing w:line="240" w:lineRule="auto"/>
              <w:jc w:val="right"/>
              <w:rPr>
                <w:b/>
                <w:bCs/>
                <w:lang w:val="en-GB"/>
              </w:rPr>
            </w:pPr>
            <w:r w:rsidRPr="005726D8">
              <w:rPr>
                <w:rFonts w:ascii="Calibri" w:hAnsi="Calibri" w:cs="Calibri"/>
                <w:b/>
                <w:bCs/>
                <w:color w:val="000000"/>
              </w:rPr>
              <w:t>61</w:t>
            </w:r>
          </w:p>
        </w:tc>
      </w:tr>
    </w:tbl>
    <w:p w14:paraId="5BACC35C" w14:textId="77777777" w:rsidR="00FE64F0" w:rsidRPr="005726D8" w:rsidRDefault="00FE64F0" w:rsidP="00FE64F0">
      <w:pPr>
        <w:pStyle w:val="Geenafstand"/>
        <w:spacing w:line="360" w:lineRule="auto"/>
        <w:rPr>
          <w:lang w:val="en-GB"/>
        </w:rPr>
      </w:pPr>
    </w:p>
    <w:p w14:paraId="293DFA97" w14:textId="77777777" w:rsidR="00090D07" w:rsidRPr="005726D8" w:rsidRDefault="00090D07" w:rsidP="00090D07">
      <w:pPr>
        <w:rPr>
          <w:b/>
          <w:bCs/>
          <w:lang w:val="en-GB"/>
        </w:rPr>
      </w:pPr>
    </w:p>
    <w:p w14:paraId="3E59EB1E" w14:textId="77777777" w:rsidR="00A00C97" w:rsidRPr="005726D8" w:rsidRDefault="00A00C97">
      <w:pPr>
        <w:spacing w:after="200" w:line="276" w:lineRule="auto"/>
        <w:rPr>
          <w:rFonts w:asciiTheme="majorHAnsi" w:eastAsiaTheme="majorEastAsia" w:hAnsiTheme="majorHAnsi" w:cstheme="majorBidi"/>
          <w:b/>
          <w:color w:val="365F91" w:themeColor="accent1" w:themeShade="BF"/>
          <w:sz w:val="32"/>
          <w:szCs w:val="32"/>
          <w:lang w:val="en-GB"/>
        </w:rPr>
      </w:pPr>
      <w:r w:rsidRPr="005726D8">
        <w:rPr>
          <w:b/>
          <w:lang w:val="en-GB"/>
        </w:rPr>
        <w:br w:type="page"/>
      </w:r>
    </w:p>
    <w:p w14:paraId="64E940B7" w14:textId="50BB5933" w:rsidR="00103DDC" w:rsidRPr="005726D8" w:rsidRDefault="00103DDC" w:rsidP="00802283">
      <w:pPr>
        <w:pStyle w:val="Kop1"/>
        <w:spacing w:line="360" w:lineRule="auto"/>
        <w:rPr>
          <w:b/>
          <w:lang w:val="en-GB"/>
        </w:rPr>
      </w:pPr>
      <w:r w:rsidRPr="005726D8">
        <w:rPr>
          <w:b/>
          <w:lang w:val="en-GB"/>
        </w:rPr>
        <w:lastRenderedPageBreak/>
        <w:t>Figure captions</w:t>
      </w:r>
    </w:p>
    <w:p w14:paraId="79A8FE9A" w14:textId="77777777" w:rsidR="00A00C97" w:rsidRPr="005726D8" w:rsidRDefault="00A00C97" w:rsidP="00090D07">
      <w:pPr>
        <w:spacing w:line="360" w:lineRule="auto"/>
        <w:rPr>
          <w:b/>
          <w:lang w:val="en-GB"/>
        </w:rPr>
      </w:pPr>
    </w:p>
    <w:p w14:paraId="6364906F" w14:textId="77777777" w:rsidR="00103DDC" w:rsidRPr="005726D8" w:rsidRDefault="00103DDC" w:rsidP="00A00C97">
      <w:pPr>
        <w:spacing w:after="0" w:line="360" w:lineRule="auto"/>
        <w:rPr>
          <w:lang w:val="en-GB"/>
        </w:rPr>
      </w:pPr>
      <w:r w:rsidRPr="005726D8">
        <w:rPr>
          <w:b/>
          <w:lang w:val="en-GB"/>
        </w:rPr>
        <w:t>Figure 1: ANETA in sera of RA patients.</w:t>
      </w:r>
      <w:r w:rsidRPr="005726D8">
        <w:rPr>
          <w:lang w:val="en-GB"/>
        </w:rPr>
        <w:t xml:space="preserve"> (A) ANETA was measured in 168 RA sera and 36 healthy control sera using ELISA with pooled NET preparations obtained from neutrophils of human controls (HC) and RA patients (RA), which were stimulated by either A23187 or PMA. The reactivity values (</w:t>
      </w:r>
      <w:proofErr w:type="spellStart"/>
      <w:r w:rsidRPr="005726D8">
        <w:rPr>
          <w:lang w:val="en-GB"/>
        </w:rPr>
        <w:t>a.u</w:t>
      </w:r>
      <w:proofErr w:type="spellEnd"/>
      <w:r w:rsidRPr="005726D8">
        <w:rPr>
          <w:lang w:val="en-GB"/>
        </w:rPr>
        <w:t xml:space="preserve">.: arbitrary units) were calculated by dividing the absorption of each individual serum by the average of the healthy control sera. Blue bars represent the cut-off values (mean plus 2 times standard deviation of healthy control sera that were analysed in parallel on the same plate). *p &lt; 0.01, **p &lt; 0.001, Student’s t-test. (B) </w:t>
      </w:r>
      <w:proofErr w:type="spellStart"/>
      <w:r w:rsidRPr="005726D8">
        <w:rPr>
          <w:lang w:val="en-GB"/>
        </w:rPr>
        <w:t>Heatmap</w:t>
      </w:r>
      <w:proofErr w:type="spellEnd"/>
      <w:r w:rsidRPr="005726D8">
        <w:rPr>
          <w:lang w:val="en-GB"/>
        </w:rPr>
        <w:t xml:space="preserve"> of the reactivity of the RA sera with the different types of NETs. Red intensity corresponds to reactivity value, blue indicates no reactivity.</w:t>
      </w:r>
    </w:p>
    <w:p w14:paraId="7C6E5534" w14:textId="77777777" w:rsidR="00A00C97" w:rsidRPr="005726D8" w:rsidRDefault="00A00C97" w:rsidP="00A00C97">
      <w:pPr>
        <w:spacing w:after="0" w:line="360" w:lineRule="auto"/>
        <w:rPr>
          <w:lang w:val="en-GB"/>
        </w:rPr>
      </w:pPr>
    </w:p>
    <w:p w14:paraId="2405D801" w14:textId="381C6EAE" w:rsidR="00103DDC" w:rsidRPr="005726D8" w:rsidRDefault="00103DDC" w:rsidP="00A00C97">
      <w:pPr>
        <w:spacing w:after="0" w:line="360" w:lineRule="auto"/>
        <w:rPr>
          <w:lang w:val="en-GB"/>
        </w:rPr>
      </w:pPr>
      <w:r w:rsidRPr="005726D8">
        <w:rPr>
          <w:b/>
          <w:lang w:val="en-GB"/>
        </w:rPr>
        <w:t>Figure 2: Reactivity of RA patients’ sera with NETs visualized by immunofluorescence and quantified by FIJI.</w:t>
      </w:r>
      <w:r w:rsidRPr="005726D8">
        <w:rPr>
          <w:lang w:val="en-GB"/>
        </w:rPr>
        <w:t xml:space="preserve"> (A) Examples of images representing ANETA-positive and ANETA-negative RA sera. (B) FIJI-based quantification of ANETA in sera of RA patients and healthy controls (HC) (n=112 *p &lt; 0.01 ). (C) Correlation between ANETA detection by ELISA and by immunofluorescence (FIJI score). </w:t>
      </w:r>
      <w:proofErr w:type="spellStart"/>
      <w:r w:rsidRPr="005726D8">
        <w:rPr>
          <w:lang w:val="en-GB"/>
        </w:rPr>
        <w:t>a.u</w:t>
      </w:r>
      <w:proofErr w:type="spellEnd"/>
      <w:r w:rsidRPr="005726D8">
        <w:rPr>
          <w:lang w:val="en-GB"/>
        </w:rPr>
        <w:t xml:space="preserve">.: arbitrary units. n=112. </w:t>
      </w:r>
    </w:p>
    <w:p w14:paraId="0CD55D39" w14:textId="77777777" w:rsidR="00A00C97" w:rsidRPr="005726D8" w:rsidRDefault="00A00C97" w:rsidP="00A00C97">
      <w:pPr>
        <w:spacing w:after="0" w:line="360" w:lineRule="auto"/>
        <w:rPr>
          <w:lang w:val="en-GB"/>
        </w:rPr>
      </w:pPr>
    </w:p>
    <w:p w14:paraId="79E0836C" w14:textId="7FB66FFF" w:rsidR="00C619D2" w:rsidRPr="005726D8" w:rsidRDefault="00C619D2" w:rsidP="00A00C97">
      <w:pPr>
        <w:pStyle w:val="Geenafstand"/>
        <w:spacing w:line="360" w:lineRule="auto"/>
        <w:rPr>
          <w:lang w:val="en-GB"/>
        </w:rPr>
      </w:pPr>
      <w:r w:rsidRPr="005726D8">
        <w:rPr>
          <w:b/>
          <w:lang w:val="en-GB"/>
        </w:rPr>
        <w:t xml:space="preserve">Figure 3: </w:t>
      </w:r>
      <w:r w:rsidRPr="005726D8">
        <w:rPr>
          <w:b/>
          <w:bCs/>
          <w:lang w:val="en-GB"/>
        </w:rPr>
        <w:t>Presence of ANETA in RA</w:t>
      </w:r>
      <w:r w:rsidR="00CD405B" w:rsidRPr="005726D8">
        <w:rPr>
          <w:b/>
          <w:bCs/>
          <w:lang w:val="en-GB"/>
        </w:rPr>
        <w:t xml:space="preserve"> at baseline and after follow-up</w:t>
      </w:r>
      <w:r w:rsidRPr="005726D8">
        <w:rPr>
          <w:b/>
          <w:bCs/>
          <w:lang w:val="en-GB"/>
        </w:rPr>
        <w:t xml:space="preserve">. </w:t>
      </w:r>
      <w:r w:rsidRPr="005726D8">
        <w:rPr>
          <w:lang w:val="en-GB"/>
        </w:rPr>
        <w:t>(A)</w:t>
      </w:r>
      <w:r w:rsidRPr="005726D8">
        <w:rPr>
          <w:b/>
          <w:bCs/>
          <w:lang w:val="en-GB"/>
        </w:rPr>
        <w:t xml:space="preserve"> </w:t>
      </w:r>
      <w:r w:rsidRPr="005726D8">
        <w:rPr>
          <w:lang w:val="en-GB"/>
        </w:rPr>
        <w:t xml:space="preserve">Serum was taken from 34 RA patients shortly after diagnosis (BL) and after a median follow-up of 7 years (FU). </w:t>
      </w:r>
      <w:r w:rsidR="00A00C97" w:rsidRPr="005726D8">
        <w:rPr>
          <w:lang w:val="en-GB"/>
        </w:rPr>
        <w:t xml:space="preserve">The presence of </w:t>
      </w:r>
      <w:r w:rsidRPr="005726D8">
        <w:rPr>
          <w:lang w:val="en-GB"/>
        </w:rPr>
        <w:t xml:space="preserve">ANETA was </w:t>
      </w:r>
      <w:r w:rsidR="00A00C97" w:rsidRPr="005726D8">
        <w:rPr>
          <w:lang w:val="en-GB"/>
        </w:rPr>
        <w:t xml:space="preserve">determined </w:t>
      </w:r>
      <w:r w:rsidRPr="005726D8">
        <w:rPr>
          <w:lang w:val="en-GB"/>
        </w:rPr>
        <w:t>by ANETA ELISA. The reactivity values (</w:t>
      </w:r>
      <w:proofErr w:type="spellStart"/>
      <w:r w:rsidRPr="005726D8">
        <w:rPr>
          <w:lang w:val="en-GB"/>
        </w:rPr>
        <w:t>a.u</w:t>
      </w:r>
      <w:proofErr w:type="spellEnd"/>
      <w:r w:rsidRPr="005726D8">
        <w:rPr>
          <w:lang w:val="en-GB"/>
        </w:rPr>
        <w:t xml:space="preserve">.: arbitrary units) were calculated by dividing the absorption of each individual serum by the average of the healthy control sera. (B) Average </w:t>
      </w:r>
      <w:r w:rsidR="00A00C97" w:rsidRPr="005726D8">
        <w:rPr>
          <w:lang w:val="en-GB"/>
        </w:rPr>
        <w:t xml:space="preserve">ANETA </w:t>
      </w:r>
      <w:proofErr w:type="spellStart"/>
      <w:r w:rsidR="00A00C97" w:rsidRPr="005726D8">
        <w:rPr>
          <w:lang w:val="en-GB"/>
        </w:rPr>
        <w:t>reactivities</w:t>
      </w:r>
      <w:proofErr w:type="spellEnd"/>
      <w:r w:rsidR="00A00C97" w:rsidRPr="005726D8">
        <w:rPr>
          <w:lang w:val="en-GB"/>
        </w:rPr>
        <w:t xml:space="preserve"> </w:t>
      </w:r>
      <w:r w:rsidRPr="005726D8">
        <w:rPr>
          <w:lang w:val="en-GB"/>
        </w:rPr>
        <w:t>of BL and FU samples (n=34).</w:t>
      </w:r>
    </w:p>
    <w:p w14:paraId="0A209AB0" w14:textId="77777777" w:rsidR="00A00C97" w:rsidRPr="005726D8" w:rsidRDefault="00A00C97" w:rsidP="00A00C97">
      <w:pPr>
        <w:pStyle w:val="Geenafstand"/>
        <w:spacing w:line="360" w:lineRule="auto"/>
        <w:rPr>
          <w:b/>
          <w:bCs/>
          <w:lang w:val="en-GB"/>
        </w:rPr>
      </w:pPr>
    </w:p>
    <w:p w14:paraId="7DA247B5" w14:textId="012AAE4C" w:rsidR="00802283" w:rsidRPr="005726D8" w:rsidRDefault="00103DDC" w:rsidP="00A00C97">
      <w:pPr>
        <w:pStyle w:val="Geenafstand"/>
        <w:spacing w:line="360" w:lineRule="auto"/>
        <w:rPr>
          <w:lang w:val="en-GB"/>
        </w:rPr>
      </w:pPr>
      <w:r w:rsidRPr="005726D8">
        <w:rPr>
          <w:b/>
          <w:lang w:val="en-GB"/>
        </w:rPr>
        <w:t xml:space="preserve">Figure </w:t>
      </w:r>
      <w:r w:rsidR="006F6E10" w:rsidRPr="005726D8">
        <w:rPr>
          <w:b/>
          <w:lang w:val="en-GB"/>
        </w:rPr>
        <w:t>4</w:t>
      </w:r>
      <w:r w:rsidRPr="005726D8">
        <w:rPr>
          <w:b/>
          <w:lang w:val="en-GB"/>
        </w:rPr>
        <w:t>: Circulating NETs in RA patient sera.</w:t>
      </w:r>
      <w:r w:rsidRPr="005726D8">
        <w:rPr>
          <w:lang w:val="en-GB"/>
        </w:rPr>
        <w:t xml:space="preserve"> (A) Using a sandwich ELISA circulating NETs in sera of RA patients (n=110) and healthy controls (n=9) were determined. *p &lt; 0.05 (B) Correlation between circulating NETs in RA sera and ANETA as measured by ELISA (n=110). </w:t>
      </w:r>
    </w:p>
    <w:p w14:paraId="5D6D52DA" w14:textId="77777777" w:rsidR="00802283" w:rsidRPr="005726D8" w:rsidRDefault="00802283" w:rsidP="00A00C97">
      <w:pPr>
        <w:pStyle w:val="Geenafstand"/>
        <w:spacing w:line="360" w:lineRule="auto"/>
        <w:rPr>
          <w:lang w:val="en-GB"/>
        </w:rPr>
      </w:pPr>
    </w:p>
    <w:p w14:paraId="1AE83694" w14:textId="17C93F91" w:rsidR="00103DDC" w:rsidRPr="005726D8" w:rsidRDefault="00103DDC" w:rsidP="00A00C97">
      <w:pPr>
        <w:spacing w:after="0" w:line="360" w:lineRule="auto"/>
        <w:rPr>
          <w:lang w:val="en-GB"/>
        </w:rPr>
      </w:pPr>
      <w:r w:rsidRPr="005726D8">
        <w:rPr>
          <w:b/>
          <w:lang w:val="en-GB"/>
        </w:rPr>
        <w:t xml:space="preserve">Figure </w:t>
      </w:r>
      <w:r w:rsidR="006F6E10" w:rsidRPr="005726D8">
        <w:rPr>
          <w:b/>
          <w:lang w:val="en-GB"/>
        </w:rPr>
        <w:t>5</w:t>
      </w:r>
      <w:r w:rsidRPr="005726D8">
        <w:rPr>
          <w:b/>
          <w:lang w:val="en-GB"/>
        </w:rPr>
        <w:t xml:space="preserve">: </w:t>
      </w:r>
      <w:bookmarkStart w:id="30" w:name="_Hlk35862641"/>
      <w:r w:rsidRPr="005726D8">
        <w:rPr>
          <w:b/>
          <w:lang w:val="en-GB"/>
        </w:rPr>
        <w:t>Association of ANETA and circulating NETs with ACPA and RF.</w:t>
      </w:r>
      <w:r w:rsidRPr="005726D8">
        <w:rPr>
          <w:lang w:val="en-GB"/>
        </w:rPr>
        <w:t xml:space="preserve"> (A) Average ANETA ELISA score for ACPA-negative and positive (anti-CCP2) sera. </w:t>
      </w:r>
      <w:bookmarkEnd w:id="30"/>
      <w:r w:rsidRPr="005726D8">
        <w:rPr>
          <w:lang w:val="en-GB"/>
        </w:rPr>
        <w:t>(B) Average ANETA ELISA score for RF-negative and positive sera. n=168 *p &lt; 0.001, student’s t-test. (C) Average circulating NETs level for ACPA-negative and positive (anti-CCP2) sera. (</w:t>
      </w:r>
      <w:r w:rsidR="00972341">
        <w:rPr>
          <w:lang w:val="en-GB"/>
        </w:rPr>
        <w:t>D</w:t>
      </w:r>
      <w:r w:rsidRPr="005726D8">
        <w:rPr>
          <w:lang w:val="en-GB"/>
        </w:rPr>
        <w:t>) Average circulating NETs level for RF-negative and positive sera. n=110</w:t>
      </w:r>
    </w:p>
    <w:p w14:paraId="17A946BE" w14:textId="77777777" w:rsidR="00A00C97" w:rsidRPr="005726D8" w:rsidRDefault="00A00C97" w:rsidP="00A00C97">
      <w:pPr>
        <w:spacing w:after="0" w:line="360" w:lineRule="auto"/>
        <w:rPr>
          <w:lang w:val="en-GB"/>
        </w:rPr>
      </w:pPr>
    </w:p>
    <w:p w14:paraId="59828875" w14:textId="29E17CD3" w:rsidR="00103DDC" w:rsidRDefault="00103DDC" w:rsidP="00A00C97">
      <w:pPr>
        <w:spacing w:after="0" w:line="360" w:lineRule="auto"/>
        <w:rPr>
          <w:lang w:val="en-GB"/>
        </w:rPr>
      </w:pPr>
      <w:r w:rsidRPr="005726D8">
        <w:rPr>
          <w:b/>
          <w:lang w:val="en-GB"/>
        </w:rPr>
        <w:lastRenderedPageBreak/>
        <w:t xml:space="preserve">Figure </w:t>
      </w:r>
      <w:r w:rsidR="006F6E10" w:rsidRPr="005726D8">
        <w:rPr>
          <w:b/>
          <w:lang w:val="en-GB"/>
        </w:rPr>
        <w:t>6</w:t>
      </w:r>
      <w:r w:rsidRPr="005726D8">
        <w:rPr>
          <w:b/>
          <w:lang w:val="en-GB"/>
        </w:rPr>
        <w:t>: Correlation analysis between ANETA and demographic/clinical features.</w:t>
      </w:r>
      <w:r w:rsidRPr="005726D8">
        <w:rPr>
          <w:lang w:val="en-GB"/>
        </w:rPr>
        <w:t xml:space="preserve"> The ANETA levels were compared with several demographic and clinical features of the RA patients. (A) Age. (B) Gender (female, F and male, M). (C) Disease duration (year of diagnosis). (D) DAS28. (E) CRP levels. (F) ESR scores.  N=47.</w:t>
      </w:r>
    </w:p>
    <w:p w14:paraId="23F80D1A" w14:textId="1F870214" w:rsidR="00F3531A" w:rsidRDefault="00F3531A">
      <w:pPr>
        <w:spacing w:after="200" w:line="276" w:lineRule="auto"/>
        <w:rPr>
          <w:lang w:val="en-GB"/>
        </w:rPr>
      </w:pPr>
      <w:r>
        <w:rPr>
          <w:lang w:val="en-GB"/>
        </w:rPr>
        <w:br w:type="page"/>
      </w:r>
    </w:p>
    <w:p w14:paraId="19678851" w14:textId="437AD058" w:rsidR="00F3531A" w:rsidRPr="00F3531A" w:rsidRDefault="00F3531A" w:rsidP="00A00C97">
      <w:pPr>
        <w:spacing w:after="0" w:line="360" w:lineRule="auto"/>
        <w:rPr>
          <w:b/>
          <w:lang w:val="en-GB"/>
        </w:rPr>
      </w:pPr>
      <w:r w:rsidRPr="00F3531A">
        <w:rPr>
          <w:b/>
          <w:lang w:val="en-GB"/>
        </w:rPr>
        <w:lastRenderedPageBreak/>
        <w:t>Figure 1</w:t>
      </w:r>
    </w:p>
    <w:p w14:paraId="101B64DD" w14:textId="02634D3D" w:rsidR="00F3531A" w:rsidRDefault="00F3531A" w:rsidP="00A00C97">
      <w:pPr>
        <w:spacing w:after="0" w:line="360" w:lineRule="auto"/>
        <w:rPr>
          <w:lang w:val="en-GB"/>
        </w:rPr>
      </w:pPr>
      <w:r w:rsidRPr="00F3531A">
        <w:drawing>
          <wp:inline distT="0" distB="0" distL="0" distR="0" wp14:anchorId="4E66FD03" wp14:editId="69B5DB47">
            <wp:extent cx="5760720" cy="42833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283305"/>
                    </a:xfrm>
                    <a:prstGeom prst="rect">
                      <a:avLst/>
                    </a:prstGeom>
                    <a:noFill/>
                    <a:ln>
                      <a:noFill/>
                    </a:ln>
                  </pic:spPr>
                </pic:pic>
              </a:graphicData>
            </a:graphic>
          </wp:inline>
        </w:drawing>
      </w:r>
    </w:p>
    <w:p w14:paraId="659BBB90" w14:textId="052881FC" w:rsidR="00F3531A" w:rsidRDefault="00F3531A">
      <w:pPr>
        <w:spacing w:after="200" w:line="276" w:lineRule="auto"/>
        <w:rPr>
          <w:lang w:val="en-GB"/>
        </w:rPr>
      </w:pPr>
      <w:r>
        <w:rPr>
          <w:lang w:val="en-GB"/>
        </w:rPr>
        <w:br w:type="page"/>
      </w:r>
    </w:p>
    <w:p w14:paraId="7E0F5093" w14:textId="6626569C" w:rsidR="00F3531A" w:rsidRPr="00F3531A" w:rsidRDefault="00F3531A" w:rsidP="00A00C97">
      <w:pPr>
        <w:spacing w:after="0" w:line="360" w:lineRule="auto"/>
        <w:rPr>
          <w:b/>
          <w:lang w:val="en-GB"/>
        </w:rPr>
      </w:pPr>
      <w:r w:rsidRPr="00F3531A">
        <w:rPr>
          <w:b/>
          <w:lang w:val="en-GB"/>
        </w:rPr>
        <w:lastRenderedPageBreak/>
        <w:t>Figure 2</w:t>
      </w:r>
    </w:p>
    <w:p w14:paraId="187F9EA0" w14:textId="3FC39F6C" w:rsidR="00F3531A" w:rsidRDefault="00F3531A" w:rsidP="00A00C97">
      <w:pPr>
        <w:spacing w:after="0" w:line="360" w:lineRule="auto"/>
        <w:rPr>
          <w:lang w:val="en-GB"/>
        </w:rPr>
      </w:pPr>
      <w:r w:rsidRPr="00F3531A">
        <w:drawing>
          <wp:inline distT="0" distB="0" distL="0" distR="0" wp14:anchorId="6EBAF81B" wp14:editId="6E185F17">
            <wp:extent cx="5760720" cy="426236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262363"/>
                    </a:xfrm>
                    <a:prstGeom prst="rect">
                      <a:avLst/>
                    </a:prstGeom>
                    <a:noFill/>
                    <a:ln>
                      <a:noFill/>
                    </a:ln>
                  </pic:spPr>
                </pic:pic>
              </a:graphicData>
            </a:graphic>
          </wp:inline>
        </w:drawing>
      </w:r>
    </w:p>
    <w:p w14:paraId="684ED982" w14:textId="358BCCD2" w:rsidR="00F3531A" w:rsidRDefault="00F3531A">
      <w:pPr>
        <w:spacing w:after="200" w:line="276" w:lineRule="auto"/>
        <w:rPr>
          <w:lang w:val="en-GB"/>
        </w:rPr>
      </w:pPr>
      <w:r>
        <w:rPr>
          <w:lang w:val="en-GB"/>
        </w:rPr>
        <w:br w:type="page"/>
      </w:r>
    </w:p>
    <w:p w14:paraId="4F3D71E9" w14:textId="08DD0373" w:rsidR="00F3531A" w:rsidRPr="00F3531A" w:rsidRDefault="00F3531A" w:rsidP="00A00C97">
      <w:pPr>
        <w:spacing w:after="0" w:line="360" w:lineRule="auto"/>
        <w:rPr>
          <w:b/>
          <w:lang w:val="en-GB"/>
        </w:rPr>
      </w:pPr>
      <w:r w:rsidRPr="00F3531A">
        <w:rPr>
          <w:b/>
          <w:lang w:val="en-GB"/>
        </w:rPr>
        <w:lastRenderedPageBreak/>
        <w:t>Figure 3</w:t>
      </w:r>
    </w:p>
    <w:p w14:paraId="027EE9C1" w14:textId="4FD48284" w:rsidR="00F3531A" w:rsidRDefault="00F3531A" w:rsidP="00A00C97">
      <w:pPr>
        <w:spacing w:after="0" w:line="360" w:lineRule="auto"/>
        <w:rPr>
          <w:lang w:val="en-GB"/>
        </w:rPr>
      </w:pPr>
      <w:r w:rsidRPr="00F3531A">
        <w:drawing>
          <wp:inline distT="0" distB="0" distL="0" distR="0" wp14:anchorId="2A21039A" wp14:editId="5CB88E11">
            <wp:extent cx="5760720" cy="364731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47315"/>
                    </a:xfrm>
                    <a:prstGeom prst="rect">
                      <a:avLst/>
                    </a:prstGeom>
                    <a:noFill/>
                    <a:ln>
                      <a:noFill/>
                    </a:ln>
                  </pic:spPr>
                </pic:pic>
              </a:graphicData>
            </a:graphic>
          </wp:inline>
        </w:drawing>
      </w:r>
    </w:p>
    <w:p w14:paraId="7154371B" w14:textId="24BE2C2F" w:rsidR="00F3531A" w:rsidRDefault="00F3531A">
      <w:pPr>
        <w:spacing w:after="200" w:line="276" w:lineRule="auto"/>
        <w:rPr>
          <w:lang w:val="en-GB"/>
        </w:rPr>
      </w:pPr>
      <w:r>
        <w:rPr>
          <w:lang w:val="en-GB"/>
        </w:rPr>
        <w:br w:type="page"/>
      </w:r>
    </w:p>
    <w:p w14:paraId="2EB1C38B" w14:textId="3EA580EF" w:rsidR="00F3531A" w:rsidRPr="00F3531A" w:rsidRDefault="00F3531A" w:rsidP="00A00C97">
      <w:pPr>
        <w:spacing w:after="0" w:line="360" w:lineRule="auto"/>
        <w:rPr>
          <w:b/>
          <w:lang w:val="en-GB"/>
        </w:rPr>
      </w:pPr>
      <w:r w:rsidRPr="00F3531A">
        <w:rPr>
          <w:b/>
          <w:lang w:val="en-GB"/>
        </w:rPr>
        <w:lastRenderedPageBreak/>
        <w:t>Figure 4</w:t>
      </w:r>
    </w:p>
    <w:p w14:paraId="2D042AF6" w14:textId="0F9A42EC" w:rsidR="00F3531A" w:rsidRDefault="00F3531A" w:rsidP="00A00C97">
      <w:pPr>
        <w:spacing w:after="0" w:line="360" w:lineRule="auto"/>
        <w:rPr>
          <w:lang w:val="en-GB"/>
        </w:rPr>
      </w:pPr>
      <w:r w:rsidRPr="00F3531A">
        <w:drawing>
          <wp:inline distT="0" distB="0" distL="0" distR="0" wp14:anchorId="2FB9EF22" wp14:editId="53D17958">
            <wp:extent cx="5760720" cy="209645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096451"/>
                    </a:xfrm>
                    <a:prstGeom prst="rect">
                      <a:avLst/>
                    </a:prstGeom>
                    <a:noFill/>
                    <a:ln>
                      <a:noFill/>
                    </a:ln>
                  </pic:spPr>
                </pic:pic>
              </a:graphicData>
            </a:graphic>
          </wp:inline>
        </w:drawing>
      </w:r>
    </w:p>
    <w:p w14:paraId="188FE41E" w14:textId="2AC267EF" w:rsidR="00F3531A" w:rsidRDefault="00F3531A">
      <w:pPr>
        <w:spacing w:after="200" w:line="276" w:lineRule="auto"/>
        <w:rPr>
          <w:lang w:val="en-GB"/>
        </w:rPr>
      </w:pPr>
      <w:r>
        <w:rPr>
          <w:lang w:val="en-GB"/>
        </w:rPr>
        <w:br w:type="page"/>
      </w:r>
    </w:p>
    <w:p w14:paraId="7F1A0BD8" w14:textId="1DD58319" w:rsidR="00F3531A" w:rsidRPr="00F3531A" w:rsidRDefault="00F3531A" w:rsidP="00A00C97">
      <w:pPr>
        <w:spacing w:after="0" w:line="360" w:lineRule="auto"/>
        <w:rPr>
          <w:b/>
          <w:lang w:val="en-GB"/>
        </w:rPr>
      </w:pPr>
      <w:r w:rsidRPr="00F3531A">
        <w:rPr>
          <w:b/>
          <w:lang w:val="en-GB"/>
        </w:rPr>
        <w:lastRenderedPageBreak/>
        <w:t>Figure 5</w:t>
      </w:r>
    </w:p>
    <w:p w14:paraId="0AF4AE97" w14:textId="0CF40A4E" w:rsidR="00F3531A" w:rsidRDefault="00F3531A" w:rsidP="00A00C97">
      <w:pPr>
        <w:spacing w:after="0" w:line="360" w:lineRule="auto"/>
        <w:rPr>
          <w:lang w:val="en-GB"/>
        </w:rPr>
      </w:pPr>
      <w:r w:rsidRPr="00F3531A">
        <w:drawing>
          <wp:inline distT="0" distB="0" distL="0" distR="0" wp14:anchorId="2D8FFDE0" wp14:editId="614A06CB">
            <wp:extent cx="5760720" cy="427400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274002"/>
                    </a:xfrm>
                    <a:prstGeom prst="rect">
                      <a:avLst/>
                    </a:prstGeom>
                    <a:noFill/>
                    <a:ln>
                      <a:noFill/>
                    </a:ln>
                  </pic:spPr>
                </pic:pic>
              </a:graphicData>
            </a:graphic>
          </wp:inline>
        </w:drawing>
      </w:r>
    </w:p>
    <w:p w14:paraId="0EA0ABB8" w14:textId="772BB6B9" w:rsidR="00F3531A" w:rsidRDefault="00F3531A">
      <w:pPr>
        <w:spacing w:after="200" w:line="276" w:lineRule="auto"/>
        <w:rPr>
          <w:lang w:val="en-GB"/>
        </w:rPr>
      </w:pPr>
      <w:r>
        <w:rPr>
          <w:lang w:val="en-GB"/>
        </w:rPr>
        <w:br w:type="page"/>
      </w:r>
    </w:p>
    <w:p w14:paraId="630DC3A0" w14:textId="76616494" w:rsidR="00F3531A" w:rsidRPr="00F3531A" w:rsidRDefault="00F3531A" w:rsidP="00A00C97">
      <w:pPr>
        <w:spacing w:after="0" w:line="360" w:lineRule="auto"/>
        <w:rPr>
          <w:b/>
          <w:lang w:val="en-GB"/>
        </w:rPr>
      </w:pPr>
      <w:r w:rsidRPr="00F3531A">
        <w:rPr>
          <w:b/>
          <w:lang w:val="en-GB"/>
        </w:rPr>
        <w:lastRenderedPageBreak/>
        <w:t>Figure 6</w:t>
      </w:r>
    </w:p>
    <w:p w14:paraId="375AA136" w14:textId="30F4A785" w:rsidR="00F3531A" w:rsidRDefault="00F3531A" w:rsidP="00A00C97">
      <w:pPr>
        <w:spacing w:after="0" w:line="360" w:lineRule="auto"/>
        <w:rPr>
          <w:lang w:val="en-GB"/>
        </w:rPr>
      </w:pPr>
      <w:r w:rsidRPr="00F3531A">
        <w:drawing>
          <wp:inline distT="0" distB="0" distL="0" distR="0" wp14:anchorId="1E452F6E" wp14:editId="1239413C">
            <wp:extent cx="5760720" cy="338103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381038"/>
                    </a:xfrm>
                    <a:prstGeom prst="rect">
                      <a:avLst/>
                    </a:prstGeom>
                    <a:noFill/>
                    <a:ln>
                      <a:noFill/>
                    </a:ln>
                  </pic:spPr>
                </pic:pic>
              </a:graphicData>
            </a:graphic>
          </wp:inline>
        </w:drawing>
      </w:r>
    </w:p>
    <w:p w14:paraId="57F6AC79" w14:textId="77E7E8F9" w:rsidR="00751A31" w:rsidRDefault="00751A31">
      <w:pPr>
        <w:spacing w:after="200" w:line="276" w:lineRule="auto"/>
        <w:rPr>
          <w:lang w:val="en-GB"/>
        </w:rPr>
      </w:pPr>
      <w:r>
        <w:rPr>
          <w:lang w:val="en-GB"/>
        </w:rPr>
        <w:br w:type="page"/>
      </w:r>
    </w:p>
    <w:p w14:paraId="2D00AF46" w14:textId="77777777" w:rsidR="00751A31" w:rsidRPr="00337DF6" w:rsidRDefault="00751A31" w:rsidP="00751A31">
      <w:pPr>
        <w:spacing w:after="200" w:line="360" w:lineRule="auto"/>
        <w:rPr>
          <w:rFonts w:ascii="Cambria" w:eastAsia="Times New Roman" w:hAnsi="Cambria" w:cs="Times New Roman"/>
          <w:i/>
          <w:color w:val="17365D"/>
          <w:spacing w:val="5"/>
          <w:kern w:val="28"/>
          <w:sz w:val="28"/>
          <w:szCs w:val="28"/>
          <w:lang w:val="en-GB"/>
        </w:rPr>
      </w:pPr>
      <w:r w:rsidRPr="00337DF6">
        <w:rPr>
          <w:rFonts w:ascii="Cambria" w:eastAsia="Times New Roman" w:hAnsi="Cambria" w:cs="Times New Roman"/>
          <w:b/>
          <w:color w:val="17365D"/>
          <w:spacing w:val="5"/>
          <w:kern w:val="28"/>
          <w:sz w:val="28"/>
          <w:szCs w:val="28"/>
          <w:lang w:val="en-GB"/>
        </w:rPr>
        <w:lastRenderedPageBreak/>
        <w:t xml:space="preserve">Autoantibodies to neutrophil extracellular traps represent a potential serological biomarker in rheumatoid arthritis </w:t>
      </w:r>
    </w:p>
    <w:p w14:paraId="0E50DE35" w14:textId="77777777" w:rsidR="00751A31" w:rsidRPr="00490F08" w:rsidRDefault="00751A31" w:rsidP="00751A31">
      <w:pPr>
        <w:spacing w:after="200" w:line="360" w:lineRule="auto"/>
        <w:rPr>
          <w:rFonts w:ascii="Calibri" w:eastAsia="Calibri" w:hAnsi="Calibri" w:cs="Times New Roman"/>
          <w:sz w:val="24"/>
          <w:szCs w:val="24"/>
          <w:lang w:val="en-US"/>
        </w:rPr>
      </w:pPr>
    </w:p>
    <w:p w14:paraId="4F695F8F" w14:textId="77777777" w:rsidR="00751A31" w:rsidRPr="00631274" w:rsidRDefault="00751A31" w:rsidP="00751A31">
      <w:pPr>
        <w:spacing w:after="200" w:line="360" w:lineRule="auto"/>
        <w:rPr>
          <w:rFonts w:ascii="Calibri" w:eastAsia="Calibri" w:hAnsi="Calibri" w:cs="Times New Roman"/>
          <w:sz w:val="24"/>
          <w:szCs w:val="24"/>
          <w:vertAlign w:val="superscript"/>
        </w:rPr>
      </w:pPr>
      <w:r w:rsidRPr="00D863BB">
        <w:rPr>
          <w:rFonts w:ascii="Calibri" w:eastAsia="Calibri" w:hAnsi="Calibri" w:cs="Times New Roman"/>
          <w:sz w:val="24"/>
          <w:szCs w:val="24"/>
        </w:rPr>
        <w:t xml:space="preserve">Cynthia M de Bont, Marloes </w:t>
      </w:r>
      <w:r>
        <w:rPr>
          <w:rFonts w:ascii="Calibri" w:eastAsia="Calibri" w:hAnsi="Calibri" w:cs="Times New Roman"/>
          <w:sz w:val="24"/>
          <w:szCs w:val="24"/>
        </w:rPr>
        <w:t xml:space="preserve">EM </w:t>
      </w:r>
      <w:r w:rsidRPr="00D863BB">
        <w:rPr>
          <w:rFonts w:ascii="Calibri" w:eastAsia="Calibri" w:hAnsi="Calibri" w:cs="Times New Roman"/>
          <w:sz w:val="24"/>
          <w:szCs w:val="24"/>
        </w:rPr>
        <w:t xml:space="preserve">Stokman, Priscilla Faas, Rogier M </w:t>
      </w:r>
      <w:proofErr w:type="spellStart"/>
      <w:r w:rsidRPr="00D863BB">
        <w:rPr>
          <w:rFonts w:ascii="Calibri" w:eastAsia="Calibri" w:hAnsi="Calibri" w:cs="Times New Roman"/>
          <w:sz w:val="24"/>
          <w:szCs w:val="24"/>
        </w:rPr>
        <w:t>Thurlings</w:t>
      </w:r>
      <w:proofErr w:type="spellEnd"/>
      <w:r w:rsidRPr="00D863BB">
        <w:rPr>
          <w:rFonts w:ascii="Calibri" w:eastAsia="Calibri" w:hAnsi="Calibri" w:cs="Times New Roman"/>
          <w:sz w:val="24"/>
          <w:szCs w:val="24"/>
        </w:rPr>
        <w:t>, Wilbert C Boelens, Helen L Wright,</w:t>
      </w:r>
      <w:r w:rsidRPr="00631274">
        <w:rPr>
          <w:rFonts w:ascii="Calibri" w:eastAsia="Calibri" w:hAnsi="Calibri" w:cs="Times New Roman"/>
          <w:sz w:val="24"/>
          <w:szCs w:val="24"/>
        </w:rPr>
        <w:t xml:space="preserve"> Ger J M </w:t>
      </w:r>
      <w:proofErr w:type="spellStart"/>
      <w:r w:rsidRPr="00631274">
        <w:rPr>
          <w:rFonts w:ascii="Calibri" w:eastAsia="Calibri" w:hAnsi="Calibri" w:cs="Times New Roman"/>
          <w:sz w:val="24"/>
          <w:szCs w:val="24"/>
        </w:rPr>
        <w:t>Pruijn</w:t>
      </w:r>
      <w:proofErr w:type="spellEnd"/>
    </w:p>
    <w:p w14:paraId="1883D5A8" w14:textId="77777777" w:rsidR="00751A31" w:rsidRPr="00337DF6" w:rsidRDefault="00751A31" w:rsidP="00751A31">
      <w:pPr>
        <w:pStyle w:val="Ondertitel"/>
        <w:rPr>
          <w:b/>
          <w:sz w:val="36"/>
          <w:szCs w:val="36"/>
        </w:rPr>
      </w:pPr>
    </w:p>
    <w:p w14:paraId="14A8464E" w14:textId="77777777" w:rsidR="00751A31" w:rsidRDefault="00751A31" w:rsidP="00751A31">
      <w:pPr>
        <w:pStyle w:val="Ondertitel"/>
        <w:rPr>
          <w:b/>
          <w:sz w:val="36"/>
          <w:szCs w:val="36"/>
          <w:lang w:val="en-GB"/>
        </w:rPr>
      </w:pPr>
      <w:r w:rsidRPr="00337DF6">
        <w:rPr>
          <w:b/>
          <w:sz w:val="36"/>
          <w:szCs w:val="36"/>
          <w:lang w:val="en-GB"/>
        </w:rPr>
        <w:t>Supplementary data</w:t>
      </w:r>
    </w:p>
    <w:p w14:paraId="169DE1A0" w14:textId="77777777" w:rsidR="00751A31" w:rsidRDefault="00751A31" w:rsidP="00751A31">
      <w:pPr>
        <w:spacing w:after="200" w:line="276" w:lineRule="auto"/>
        <w:rPr>
          <w:lang w:val="en-GB"/>
        </w:rPr>
      </w:pPr>
      <w:r>
        <w:rPr>
          <w:lang w:val="en-GB"/>
        </w:rPr>
        <w:br w:type="page"/>
      </w:r>
    </w:p>
    <w:p w14:paraId="41E56EF2" w14:textId="77777777" w:rsidR="00751A31" w:rsidRPr="00337DF6" w:rsidRDefault="00751A31" w:rsidP="00751A31">
      <w:pPr>
        <w:rPr>
          <w:lang w:val="en-GB"/>
        </w:rPr>
      </w:pPr>
    </w:p>
    <w:tbl>
      <w:tblPr>
        <w:tblStyle w:val="Tabelraster"/>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gridCol w:w="222"/>
      </w:tblGrid>
      <w:tr w:rsidR="00751A31" w14:paraId="5B19EE06" w14:textId="77777777" w:rsidTr="00222007">
        <w:tc>
          <w:tcPr>
            <w:tcW w:w="9242" w:type="dxa"/>
            <w:vMerge w:val="restart"/>
          </w:tcPr>
          <w:p w14:paraId="19DE201E" w14:textId="77777777" w:rsidR="00751A31" w:rsidRDefault="00751A31" w:rsidP="00222007">
            <w:pPr>
              <w:pStyle w:val="Geenafstand"/>
              <w:rPr>
                <w:lang w:val="en-GB"/>
              </w:rPr>
            </w:pPr>
            <w:r>
              <w:rPr>
                <w:noProof/>
                <w:lang w:eastAsia="nl-NL"/>
              </w:rPr>
              <w:drawing>
                <wp:inline distT="0" distB="0" distL="0" distR="0" wp14:anchorId="0BBB5877" wp14:editId="2D3D7FE2">
                  <wp:extent cx="4238625" cy="4646367"/>
                  <wp:effectExtent l="0" t="0" r="0" b="190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4504" cy="4652811"/>
                          </a:xfrm>
                          <a:prstGeom prst="rect">
                            <a:avLst/>
                          </a:prstGeom>
                          <a:noFill/>
                        </pic:spPr>
                      </pic:pic>
                    </a:graphicData>
                  </a:graphic>
                </wp:inline>
              </w:drawing>
            </w:r>
          </w:p>
          <w:p w14:paraId="7982EF71" w14:textId="77777777" w:rsidR="00751A31" w:rsidRDefault="00751A31" w:rsidP="00222007">
            <w:pPr>
              <w:pStyle w:val="Geenafstand"/>
              <w:rPr>
                <w:lang w:val="en-GB"/>
              </w:rPr>
            </w:pPr>
          </w:p>
          <w:p w14:paraId="2F28CC5F" w14:textId="77777777" w:rsidR="00751A31" w:rsidRDefault="00751A31" w:rsidP="00222007">
            <w:pPr>
              <w:pStyle w:val="Geenafstand"/>
              <w:rPr>
                <w:lang w:val="en-GB"/>
              </w:rPr>
            </w:pPr>
            <w:r>
              <w:rPr>
                <w:noProof/>
                <w:lang w:eastAsia="nl-NL"/>
              </w:rPr>
              <w:drawing>
                <wp:inline distT="0" distB="0" distL="0" distR="0" wp14:anchorId="2B5FD2DA" wp14:editId="1628AF31">
                  <wp:extent cx="2886534" cy="2092148"/>
                  <wp:effectExtent l="0" t="0" r="0" b="381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89487" cy="2094289"/>
                          </a:xfrm>
                          <a:prstGeom prst="rect">
                            <a:avLst/>
                          </a:prstGeom>
                        </pic:spPr>
                      </pic:pic>
                    </a:graphicData>
                  </a:graphic>
                </wp:inline>
              </w:drawing>
            </w:r>
          </w:p>
          <w:p w14:paraId="4B3517FA" w14:textId="77777777" w:rsidR="00751A31" w:rsidRDefault="00751A31" w:rsidP="00222007">
            <w:pPr>
              <w:pStyle w:val="Geenafstand"/>
              <w:rPr>
                <w:lang w:val="en-GB"/>
              </w:rPr>
            </w:pPr>
          </w:p>
        </w:tc>
        <w:tc>
          <w:tcPr>
            <w:tcW w:w="222" w:type="dxa"/>
          </w:tcPr>
          <w:p w14:paraId="4EE5A5E4" w14:textId="77777777" w:rsidR="00751A31" w:rsidRDefault="00751A31" w:rsidP="00222007">
            <w:pPr>
              <w:pStyle w:val="Geenafstand"/>
              <w:rPr>
                <w:lang w:val="en-GB"/>
              </w:rPr>
            </w:pPr>
          </w:p>
        </w:tc>
      </w:tr>
      <w:tr w:rsidR="00751A31" w14:paraId="1525AB43" w14:textId="77777777" w:rsidTr="00222007">
        <w:tc>
          <w:tcPr>
            <w:tcW w:w="9242" w:type="dxa"/>
            <w:vMerge/>
          </w:tcPr>
          <w:p w14:paraId="0CCD3FFD" w14:textId="77777777" w:rsidR="00751A31" w:rsidRDefault="00751A31" w:rsidP="00222007">
            <w:pPr>
              <w:pStyle w:val="Geenafstand"/>
              <w:rPr>
                <w:lang w:val="en-GB"/>
              </w:rPr>
            </w:pPr>
          </w:p>
        </w:tc>
        <w:tc>
          <w:tcPr>
            <w:tcW w:w="222" w:type="dxa"/>
          </w:tcPr>
          <w:p w14:paraId="391C7E4A" w14:textId="77777777" w:rsidR="00751A31" w:rsidRDefault="00751A31" w:rsidP="00222007">
            <w:pPr>
              <w:pStyle w:val="Geenafstand"/>
              <w:rPr>
                <w:lang w:val="en-GB"/>
              </w:rPr>
            </w:pPr>
          </w:p>
        </w:tc>
      </w:tr>
      <w:tr w:rsidR="00751A31" w:rsidRPr="009D22D8" w14:paraId="51494FDB" w14:textId="77777777" w:rsidTr="00222007">
        <w:tc>
          <w:tcPr>
            <w:tcW w:w="9464" w:type="dxa"/>
            <w:gridSpan w:val="2"/>
          </w:tcPr>
          <w:p w14:paraId="6127DCAA" w14:textId="77777777" w:rsidR="00751A31" w:rsidRPr="00803AF9" w:rsidRDefault="00751A31" w:rsidP="00222007">
            <w:pPr>
              <w:pStyle w:val="Geenafstand"/>
              <w:rPr>
                <w:i/>
                <w:lang w:val="en-US"/>
              </w:rPr>
            </w:pPr>
            <w:r>
              <w:rPr>
                <w:b/>
                <w:i/>
                <w:lang w:val="en-GB"/>
              </w:rPr>
              <w:t>Supplementary Figure 1</w:t>
            </w:r>
            <w:r w:rsidRPr="00973E8A">
              <w:rPr>
                <w:b/>
                <w:i/>
                <w:lang w:val="en-GB"/>
              </w:rPr>
              <w:t xml:space="preserve">: </w:t>
            </w:r>
            <w:r>
              <w:rPr>
                <w:b/>
                <w:i/>
                <w:lang w:val="en-GB"/>
              </w:rPr>
              <w:t xml:space="preserve">ANETA assessment by immunofluorescence microscopy. </w:t>
            </w:r>
            <w:r>
              <w:rPr>
                <w:i/>
                <w:lang w:val="en-GB"/>
              </w:rPr>
              <w:t>Staining of NETs by antibodies present in patient sera was quantified by digital image scoring by</w:t>
            </w:r>
            <w:r w:rsidRPr="00D41129">
              <w:rPr>
                <w:i/>
                <w:lang w:val="en-GB"/>
              </w:rPr>
              <w:t xml:space="preserve"> FIJI</w:t>
            </w:r>
            <w:r>
              <w:rPr>
                <w:i/>
                <w:lang w:val="en-GB"/>
              </w:rPr>
              <w:t xml:space="preserve">, as described in the main document, </w:t>
            </w:r>
            <w:r w:rsidRPr="00D41129">
              <w:rPr>
                <w:i/>
                <w:lang w:val="en-GB"/>
              </w:rPr>
              <w:t xml:space="preserve"> and by eye.</w:t>
            </w:r>
            <w:r w:rsidRPr="00AF240E">
              <w:rPr>
                <w:i/>
                <w:lang w:val="en-GB"/>
              </w:rPr>
              <w:t xml:space="preserve"> </w:t>
            </w:r>
            <w:r>
              <w:rPr>
                <w:i/>
                <w:lang w:val="en-GB"/>
              </w:rPr>
              <w:t>(A) Examples of images that were visually assessed and categorized 1, 2, 3 and 4 by two independent researchers. In this discrete scoring system,</w:t>
            </w:r>
            <w:r w:rsidRPr="00DB7720">
              <w:rPr>
                <w:lang w:val="en-GB"/>
              </w:rPr>
              <w:t xml:space="preserve"> “1” </w:t>
            </w:r>
            <w:r>
              <w:rPr>
                <w:lang w:val="en-GB"/>
              </w:rPr>
              <w:t>corresponded to lack of reactivity with  NETs</w:t>
            </w:r>
            <w:r w:rsidRPr="00DB7720">
              <w:rPr>
                <w:lang w:val="en-GB"/>
              </w:rPr>
              <w:t xml:space="preserve">, “2” to </w:t>
            </w:r>
            <w:r>
              <w:rPr>
                <w:lang w:val="en-GB"/>
              </w:rPr>
              <w:t>weak</w:t>
            </w:r>
            <w:r w:rsidRPr="00DB7720">
              <w:rPr>
                <w:lang w:val="en-GB"/>
              </w:rPr>
              <w:t xml:space="preserve"> reactivity with NETs, “3” to intermediate reactivity with NETs</w:t>
            </w:r>
            <w:r>
              <w:rPr>
                <w:lang w:val="en-GB"/>
              </w:rPr>
              <w:t>,</w:t>
            </w:r>
            <w:r w:rsidRPr="00DB7720">
              <w:rPr>
                <w:lang w:val="en-GB"/>
              </w:rPr>
              <w:t xml:space="preserve"> and “4” to </w:t>
            </w:r>
            <w:r>
              <w:rPr>
                <w:lang w:val="en-GB"/>
              </w:rPr>
              <w:t>strong reactivity with NETs. Reactivity with cell bodies</w:t>
            </w:r>
            <w:r w:rsidRPr="00DB7720">
              <w:rPr>
                <w:lang w:val="en-GB"/>
              </w:rPr>
              <w:t xml:space="preserve"> was not taken into account </w:t>
            </w:r>
            <w:r>
              <w:rPr>
                <w:lang w:val="en-GB"/>
              </w:rPr>
              <w:t>during</w:t>
            </w:r>
            <w:r w:rsidRPr="00DB7720">
              <w:rPr>
                <w:lang w:val="en-GB"/>
              </w:rPr>
              <w:t xml:space="preserve"> </w:t>
            </w:r>
            <w:r>
              <w:rPr>
                <w:lang w:val="en-GB"/>
              </w:rPr>
              <w:t>assessment of the images</w:t>
            </w:r>
            <w:r w:rsidRPr="00DB7720">
              <w:rPr>
                <w:lang w:val="en-GB"/>
              </w:rPr>
              <w:t>.</w:t>
            </w:r>
            <w:r>
              <w:rPr>
                <w:lang w:val="en-GB"/>
              </w:rPr>
              <w:t xml:space="preserve"> </w:t>
            </w:r>
            <w:r>
              <w:rPr>
                <w:i/>
                <w:lang w:val="en-GB"/>
              </w:rPr>
              <w:t xml:space="preserve">(B) Correlation between visual and FIJI scoring of ANETA </w:t>
            </w:r>
            <w:proofErr w:type="spellStart"/>
            <w:r w:rsidRPr="00803AF9">
              <w:rPr>
                <w:i/>
                <w:lang w:val="en-GB"/>
              </w:rPr>
              <w:t>reactivities</w:t>
            </w:r>
            <w:proofErr w:type="spellEnd"/>
            <w:r w:rsidRPr="00803AF9">
              <w:rPr>
                <w:i/>
                <w:lang w:val="en-GB"/>
              </w:rPr>
              <w:t xml:space="preserve"> (Spearman r = 0.7067, n=144</w:t>
            </w:r>
            <w:r w:rsidRPr="00643149">
              <w:rPr>
                <w:i/>
                <w:lang w:val="en-GB"/>
              </w:rPr>
              <w:t>). *p &lt; 0.01, **p &lt; 0.001</w:t>
            </w:r>
          </w:p>
        </w:tc>
      </w:tr>
    </w:tbl>
    <w:p w14:paraId="04896632" w14:textId="77777777" w:rsidR="00751A31" w:rsidRDefault="00751A31" w:rsidP="00751A31"/>
    <w:p w14:paraId="26223347" w14:textId="77777777" w:rsidR="00751A31" w:rsidRDefault="00751A31" w:rsidP="00751A31">
      <w:pPr>
        <w:ind w:firstLine="708"/>
        <w:rPr>
          <w:lang w:val="en-GB"/>
        </w:rPr>
      </w:pPr>
      <w:r>
        <w:rPr>
          <w:rFonts w:eastAsiaTheme="minorEastAsia"/>
          <w:noProof/>
          <w:lang w:eastAsia="nl-NL"/>
        </w:rPr>
        <w:pict w14:anchorId="029DD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16.65pt;height:208.85pt;z-index:-251657216;mso-position-horizontal-relative:text;mso-position-vertical-relative:text" wrapcoords="1632 1632 1554 2176 1593 2409 2370 2875 2370 4118 1709 5361 738 6138 738 9013 1709 9091 894 9479 583 9790 583 11111 738 11577 1010 11577 583 11965 622 12820 1865 12820 1865 13442 2098 14063 2370 14063 2370 15306 738 15384 738 16239 1865 16550 1865 17171 2370 17793 2914 17793 2914 18414 3341 18647 4545 18647 12626 18647 18881 18492 19036 18104 18686 17793 19891 17094 19891 16783 19735 16472 19735 15773 18764 15306 18803 13675 15190 13286 6954 12820 13830 12820 18686 12276 18725 11188 12859 10334 18686 10023 18609 8314 2564 7847 18609 7692 18609 6993 2564 6604 18453 5827 18531 5361 10178 5361 12742 4273 12820 3885 2564 2875 2603 2331 2486 1942 2137 1632 1632 1632">
            <v:imagedata r:id="rId17" o:title=""/>
            <w10:wrap type="tight"/>
          </v:shape>
          <o:OLEObject Type="Embed" ProgID="Prism5.Document" ShapeID="_x0000_s1026" DrawAspect="Content" ObjectID="_1651324748" r:id="rId18"/>
        </w:pict>
      </w:r>
    </w:p>
    <w:p w14:paraId="0915FD98" w14:textId="77777777" w:rsidR="00751A31" w:rsidRPr="00B0365A" w:rsidRDefault="00751A31" w:rsidP="00751A31">
      <w:pPr>
        <w:rPr>
          <w:lang w:val="en-GB"/>
        </w:rPr>
      </w:pPr>
    </w:p>
    <w:p w14:paraId="2BAE58AE" w14:textId="77777777" w:rsidR="00751A31" w:rsidRPr="00B0365A" w:rsidRDefault="00751A31" w:rsidP="00751A31">
      <w:pPr>
        <w:rPr>
          <w:lang w:val="en-GB"/>
        </w:rPr>
      </w:pPr>
    </w:p>
    <w:p w14:paraId="5A8CE858" w14:textId="77777777" w:rsidR="00751A31" w:rsidRPr="00B0365A" w:rsidRDefault="00751A31" w:rsidP="00751A31">
      <w:pPr>
        <w:rPr>
          <w:lang w:val="en-GB"/>
        </w:rPr>
      </w:pPr>
    </w:p>
    <w:p w14:paraId="6ABA6FB4" w14:textId="77777777" w:rsidR="00751A31" w:rsidRPr="00B0365A" w:rsidRDefault="00751A31" w:rsidP="00751A31">
      <w:pPr>
        <w:rPr>
          <w:lang w:val="en-GB"/>
        </w:rPr>
      </w:pPr>
    </w:p>
    <w:p w14:paraId="0D5C3046" w14:textId="77777777" w:rsidR="00751A31" w:rsidRPr="00B0365A" w:rsidRDefault="00751A31" w:rsidP="00751A31">
      <w:pPr>
        <w:rPr>
          <w:lang w:val="en-GB"/>
        </w:rPr>
      </w:pPr>
    </w:p>
    <w:p w14:paraId="24B4A5C7" w14:textId="77777777" w:rsidR="00751A31" w:rsidRPr="00B0365A" w:rsidRDefault="00751A31" w:rsidP="00751A31">
      <w:pPr>
        <w:rPr>
          <w:lang w:val="en-GB"/>
        </w:rPr>
      </w:pPr>
    </w:p>
    <w:p w14:paraId="41488D8C" w14:textId="77777777" w:rsidR="00751A31" w:rsidRPr="00B0365A" w:rsidRDefault="00751A31" w:rsidP="00751A31">
      <w:pPr>
        <w:rPr>
          <w:lang w:val="en-GB"/>
        </w:rPr>
      </w:pPr>
    </w:p>
    <w:p w14:paraId="176B0DED" w14:textId="77777777" w:rsidR="00751A31" w:rsidRPr="00B0365A" w:rsidRDefault="00751A31" w:rsidP="00751A31">
      <w:pPr>
        <w:rPr>
          <w:lang w:val="en-GB"/>
        </w:rPr>
      </w:pPr>
    </w:p>
    <w:p w14:paraId="0101FD51" w14:textId="77777777" w:rsidR="00751A31" w:rsidRDefault="00751A31" w:rsidP="00751A31">
      <w:pPr>
        <w:rPr>
          <w:lang w:val="en-GB"/>
        </w:rPr>
      </w:pPr>
      <w:r w:rsidRPr="005C7F5E">
        <w:rPr>
          <w:b/>
          <w:i/>
          <w:lang w:val="en-GB"/>
        </w:rPr>
        <w:t xml:space="preserve">Supplementary Figure 2: </w:t>
      </w:r>
      <w:r w:rsidRPr="005C7F5E">
        <w:rPr>
          <w:b/>
          <w:bCs/>
          <w:i/>
          <w:iCs/>
          <w:lang w:val="en-GB"/>
        </w:rPr>
        <w:t xml:space="preserve">ANETA levels </w:t>
      </w:r>
      <w:r>
        <w:rPr>
          <w:b/>
          <w:bCs/>
          <w:i/>
          <w:iCs/>
          <w:lang w:val="en-GB"/>
        </w:rPr>
        <w:t>in established RA</w:t>
      </w:r>
      <w:r w:rsidRPr="005C7F5E">
        <w:rPr>
          <w:b/>
          <w:bCs/>
          <w:i/>
          <w:iCs/>
          <w:lang w:val="en-GB"/>
        </w:rPr>
        <w:t xml:space="preserve"> cohorts</w:t>
      </w:r>
      <w:r>
        <w:rPr>
          <w:b/>
          <w:bCs/>
          <w:i/>
          <w:iCs/>
          <w:lang w:val="en-GB"/>
        </w:rPr>
        <w:t xml:space="preserve"> and in SLE, </w:t>
      </w:r>
      <w:proofErr w:type="spellStart"/>
      <w:r>
        <w:rPr>
          <w:b/>
          <w:bCs/>
          <w:i/>
          <w:iCs/>
          <w:lang w:val="en-GB"/>
        </w:rPr>
        <w:t>SjS</w:t>
      </w:r>
      <w:proofErr w:type="spellEnd"/>
      <w:r>
        <w:rPr>
          <w:b/>
          <w:bCs/>
          <w:i/>
          <w:iCs/>
          <w:lang w:val="en-GB"/>
        </w:rPr>
        <w:t xml:space="preserve"> and </w:t>
      </w:r>
      <w:proofErr w:type="spellStart"/>
      <w:r>
        <w:rPr>
          <w:b/>
          <w:bCs/>
          <w:i/>
          <w:iCs/>
          <w:lang w:val="en-GB"/>
        </w:rPr>
        <w:t>SSc</w:t>
      </w:r>
      <w:proofErr w:type="spellEnd"/>
      <w:r>
        <w:rPr>
          <w:b/>
          <w:bCs/>
          <w:i/>
          <w:iCs/>
          <w:lang w:val="en-GB"/>
        </w:rPr>
        <w:t xml:space="preserve"> sera</w:t>
      </w:r>
      <w:r w:rsidRPr="005C7F5E">
        <w:rPr>
          <w:b/>
          <w:i/>
          <w:lang w:val="en-GB"/>
        </w:rPr>
        <w:t>.</w:t>
      </w:r>
      <w:r w:rsidRPr="005C7F5E">
        <w:rPr>
          <w:i/>
          <w:lang w:val="en-GB"/>
        </w:rPr>
        <w:t xml:space="preserve"> </w:t>
      </w:r>
      <w:r w:rsidRPr="005C7F5E">
        <w:rPr>
          <w:lang w:val="en-GB"/>
        </w:rPr>
        <w:t xml:space="preserve">ANETA </w:t>
      </w:r>
      <w:r>
        <w:rPr>
          <w:lang w:val="en-GB"/>
        </w:rPr>
        <w:t>were</w:t>
      </w:r>
      <w:r w:rsidRPr="005C7F5E">
        <w:rPr>
          <w:lang w:val="en-GB"/>
        </w:rPr>
        <w:t xml:space="preserve"> measured in sera from three RA cohorts</w:t>
      </w:r>
      <w:r>
        <w:rPr>
          <w:lang w:val="en-GB"/>
        </w:rPr>
        <w:t>, A, B and C</w:t>
      </w:r>
      <w:r w:rsidRPr="005C7F5E">
        <w:rPr>
          <w:lang w:val="en-GB"/>
        </w:rPr>
        <w:t xml:space="preserve"> (n=168, n=215 and n=70 respectively)</w:t>
      </w:r>
      <w:r>
        <w:rPr>
          <w:lang w:val="en-GB"/>
        </w:rPr>
        <w:t xml:space="preserve">, and from </w:t>
      </w:r>
      <w:r w:rsidRPr="005C7F5E">
        <w:rPr>
          <w:lang w:val="en-GB"/>
        </w:rPr>
        <w:t xml:space="preserve">SLE (n=56), </w:t>
      </w:r>
      <w:proofErr w:type="spellStart"/>
      <w:r w:rsidRPr="005C7F5E">
        <w:rPr>
          <w:lang w:val="en-GB"/>
        </w:rPr>
        <w:t>SjS</w:t>
      </w:r>
      <w:proofErr w:type="spellEnd"/>
      <w:r w:rsidRPr="005C7F5E">
        <w:rPr>
          <w:lang w:val="en-GB"/>
        </w:rPr>
        <w:t xml:space="preserve"> (n=59)</w:t>
      </w:r>
      <w:r>
        <w:rPr>
          <w:lang w:val="en-GB"/>
        </w:rPr>
        <w:t xml:space="preserve"> and</w:t>
      </w:r>
      <w:r w:rsidRPr="005C7F5E">
        <w:rPr>
          <w:lang w:val="en-GB"/>
        </w:rPr>
        <w:t xml:space="preserve"> </w:t>
      </w:r>
      <w:proofErr w:type="spellStart"/>
      <w:r w:rsidRPr="005C7F5E">
        <w:rPr>
          <w:lang w:val="en-GB"/>
        </w:rPr>
        <w:t>SSc</w:t>
      </w:r>
      <w:proofErr w:type="spellEnd"/>
      <w:r w:rsidRPr="005C7F5E">
        <w:rPr>
          <w:lang w:val="en-GB"/>
        </w:rPr>
        <w:t xml:space="preserve"> (n=57)</w:t>
      </w:r>
      <w:r>
        <w:rPr>
          <w:lang w:val="en-GB"/>
        </w:rPr>
        <w:t xml:space="preserve"> patients</w:t>
      </w:r>
      <w:r w:rsidRPr="005C7F5E">
        <w:rPr>
          <w:lang w:val="en-GB"/>
        </w:rPr>
        <w:t xml:space="preserve">,  </w:t>
      </w:r>
      <w:r>
        <w:rPr>
          <w:lang w:val="en-GB"/>
        </w:rPr>
        <w:t>as well as in sera from</w:t>
      </w:r>
      <w:r w:rsidRPr="005C7F5E">
        <w:rPr>
          <w:lang w:val="en-GB"/>
        </w:rPr>
        <w:t xml:space="preserve"> healthy individuals (n=48), using ELISA with pooled NET preparations obtained from </w:t>
      </w:r>
      <w:r>
        <w:rPr>
          <w:lang w:val="en-GB"/>
        </w:rPr>
        <w:t xml:space="preserve">human </w:t>
      </w:r>
      <w:r w:rsidRPr="005C7F5E">
        <w:rPr>
          <w:lang w:val="en-GB"/>
        </w:rPr>
        <w:t>neutrophils stimulated by either A23187 or PMA. The reactivity values (</w:t>
      </w:r>
      <w:proofErr w:type="spellStart"/>
      <w:r w:rsidRPr="005C7F5E">
        <w:rPr>
          <w:lang w:val="en-GB"/>
        </w:rPr>
        <w:t>a.u</w:t>
      </w:r>
      <w:proofErr w:type="spellEnd"/>
      <w:r w:rsidRPr="005C7F5E">
        <w:rPr>
          <w:lang w:val="en-GB"/>
        </w:rPr>
        <w:t>.: arbitrary units) were calculated by dividing the absorption of each individual serum by the average of the healthy</w:t>
      </w:r>
      <w:r w:rsidRPr="00BE2FFF">
        <w:rPr>
          <w:lang w:val="en-GB"/>
        </w:rPr>
        <w:t xml:space="preserve"> control sera. </w:t>
      </w:r>
      <w:r>
        <w:rPr>
          <w:lang w:val="en-GB"/>
        </w:rPr>
        <w:t>Blue lines</w:t>
      </w:r>
      <w:r w:rsidRPr="00BE2FFF">
        <w:rPr>
          <w:lang w:val="en-GB"/>
        </w:rPr>
        <w:t xml:space="preserve"> represent</w:t>
      </w:r>
      <w:r>
        <w:rPr>
          <w:lang w:val="en-GB"/>
        </w:rPr>
        <w:t>s</w:t>
      </w:r>
      <w:r w:rsidRPr="00BE2FFF">
        <w:rPr>
          <w:lang w:val="en-GB"/>
        </w:rPr>
        <w:t xml:space="preserve"> the cut-off value</w:t>
      </w:r>
      <w:r>
        <w:rPr>
          <w:lang w:val="en-GB"/>
        </w:rPr>
        <w:t>s</w:t>
      </w:r>
      <w:r w:rsidRPr="00BE2FFF">
        <w:rPr>
          <w:lang w:val="en-GB"/>
        </w:rPr>
        <w:t xml:space="preserve"> (mean plus 2 times standard deviation of healthy control sera that were analysed in parallel on the same plate).</w:t>
      </w:r>
    </w:p>
    <w:p w14:paraId="445FB317" w14:textId="77777777" w:rsidR="00751A31" w:rsidRDefault="00751A31" w:rsidP="00751A31">
      <w:pPr>
        <w:rPr>
          <w:lang w:val="en-GB"/>
        </w:rPr>
      </w:pPr>
    </w:p>
    <w:p w14:paraId="266648B5" w14:textId="77777777" w:rsidR="00751A31" w:rsidRDefault="00751A31" w:rsidP="00751A31">
      <w:pPr>
        <w:rPr>
          <w:b/>
          <w:i/>
          <w:lang w:val="en-GB"/>
        </w:rPr>
      </w:pPr>
      <w:r>
        <w:rPr>
          <w:lang w:val="en-GB"/>
        </w:rPr>
        <w:br/>
      </w:r>
    </w:p>
    <w:p w14:paraId="3D001468" w14:textId="77777777" w:rsidR="00751A31" w:rsidRDefault="00751A31" w:rsidP="00751A31">
      <w:pPr>
        <w:rPr>
          <w:b/>
          <w:i/>
          <w:lang w:val="en-GB"/>
        </w:rPr>
      </w:pPr>
      <w:r>
        <w:rPr>
          <w:noProof/>
          <w:lang w:eastAsia="nl-NL"/>
        </w:rPr>
        <w:drawing>
          <wp:inline distT="0" distB="0" distL="0" distR="0" wp14:anchorId="31D5B4E8" wp14:editId="6E89F468">
            <wp:extent cx="3222625" cy="322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22625" cy="3222625"/>
                    </a:xfrm>
                    <a:prstGeom prst="rect">
                      <a:avLst/>
                    </a:prstGeom>
                  </pic:spPr>
                </pic:pic>
              </a:graphicData>
            </a:graphic>
          </wp:inline>
        </w:drawing>
      </w:r>
    </w:p>
    <w:p w14:paraId="16E19E5B" w14:textId="3B862D83" w:rsidR="00F3531A" w:rsidRPr="00287EA5" w:rsidRDefault="00751A31" w:rsidP="00751A31">
      <w:pPr>
        <w:rPr>
          <w:lang w:val="en-GB"/>
        </w:rPr>
      </w:pPr>
      <w:r>
        <w:rPr>
          <w:b/>
          <w:i/>
          <w:lang w:val="en-GB"/>
        </w:rPr>
        <w:t xml:space="preserve">Supplementary Figure 3: </w:t>
      </w:r>
      <w:r w:rsidRPr="00973E8A">
        <w:rPr>
          <w:b/>
          <w:i/>
          <w:lang w:val="en-GB"/>
        </w:rPr>
        <w:t xml:space="preserve"> </w:t>
      </w:r>
      <w:r>
        <w:rPr>
          <w:b/>
          <w:bCs/>
          <w:i/>
          <w:iCs/>
          <w:lang w:val="en-GB"/>
        </w:rPr>
        <w:t>Co-occurrence</w:t>
      </w:r>
      <w:r w:rsidRPr="00C475DA">
        <w:rPr>
          <w:b/>
          <w:bCs/>
          <w:i/>
          <w:iCs/>
          <w:lang w:val="en-GB"/>
        </w:rPr>
        <w:t xml:space="preserve"> of ANETA </w:t>
      </w:r>
      <w:r>
        <w:rPr>
          <w:b/>
          <w:bCs/>
          <w:i/>
          <w:iCs/>
          <w:lang w:val="en-GB"/>
        </w:rPr>
        <w:t>and</w:t>
      </w:r>
      <w:r w:rsidRPr="00C475DA">
        <w:rPr>
          <w:b/>
          <w:bCs/>
          <w:i/>
          <w:iCs/>
          <w:lang w:val="en-GB"/>
        </w:rPr>
        <w:t xml:space="preserve"> ACPA </w:t>
      </w:r>
      <w:r>
        <w:rPr>
          <w:b/>
          <w:bCs/>
          <w:i/>
          <w:iCs/>
          <w:lang w:val="en-GB"/>
        </w:rPr>
        <w:t>in RA cohorts B and C</w:t>
      </w:r>
      <w:r w:rsidRPr="00C475DA">
        <w:rPr>
          <w:b/>
          <w:bCs/>
          <w:i/>
          <w:iCs/>
          <w:lang w:val="en-GB"/>
        </w:rPr>
        <w:t>.</w:t>
      </w:r>
      <w:r>
        <w:rPr>
          <w:b/>
          <w:bCs/>
          <w:i/>
          <w:iCs/>
          <w:lang w:val="en-GB"/>
        </w:rPr>
        <w:t xml:space="preserve"> </w:t>
      </w:r>
      <w:r w:rsidRPr="00C475DA">
        <w:rPr>
          <w:i/>
          <w:iCs/>
          <w:lang w:val="en-GB"/>
        </w:rPr>
        <w:t xml:space="preserve">Average ANETA ELISA score for ACPA-negative and positive (anti-CCP2) </w:t>
      </w:r>
      <w:r>
        <w:rPr>
          <w:i/>
          <w:iCs/>
          <w:lang w:val="en-GB"/>
        </w:rPr>
        <w:t>sera from established RA patients (n=285).</w:t>
      </w:r>
      <w:r w:rsidRPr="00E45587">
        <w:rPr>
          <w:i/>
          <w:iCs/>
          <w:lang w:val="en-GB"/>
        </w:rPr>
        <w:t xml:space="preserve"> </w:t>
      </w:r>
      <w:bookmarkStart w:id="31" w:name="_GoBack"/>
      <w:bookmarkEnd w:id="31"/>
    </w:p>
    <w:sectPr w:rsidR="00F3531A" w:rsidRPr="00287EA5" w:rsidSect="0017540B">
      <w:footerReference w:type="default" r:id="rId20"/>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096CB" w14:textId="77777777" w:rsidR="00591DD7" w:rsidRDefault="00591DD7">
      <w:pPr>
        <w:spacing w:after="0" w:line="240" w:lineRule="auto"/>
      </w:pPr>
      <w:r>
        <w:separator/>
      </w:r>
    </w:p>
  </w:endnote>
  <w:endnote w:type="continuationSeparator" w:id="0">
    <w:p w14:paraId="15F59D6C" w14:textId="77777777" w:rsidR="00591DD7" w:rsidRDefault="00591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800088"/>
      <w:docPartObj>
        <w:docPartGallery w:val="Page Numbers (Bottom of Page)"/>
        <w:docPartUnique/>
      </w:docPartObj>
    </w:sdtPr>
    <w:sdtEndPr/>
    <w:sdtContent>
      <w:p w14:paraId="4265C356" w14:textId="77777777" w:rsidR="00802283" w:rsidRDefault="00802283">
        <w:pPr>
          <w:pStyle w:val="Voettekst"/>
          <w:jc w:val="center"/>
        </w:pPr>
        <w:r>
          <w:fldChar w:fldCharType="begin"/>
        </w:r>
        <w:r>
          <w:instrText>PAGE   \* MERGEFORMAT</w:instrText>
        </w:r>
        <w:r>
          <w:fldChar w:fldCharType="separate"/>
        </w:r>
        <w:r w:rsidR="00751A31">
          <w:rPr>
            <w:noProof/>
          </w:rPr>
          <w:t>1</w:t>
        </w:r>
        <w:r>
          <w:fldChar w:fldCharType="end"/>
        </w:r>
      </w:p>
    </w:sdtContent>
  </w:sdt>
  <w:p w14:paraId="55039102" w14:textId="77777777" w:rsidR="00802283" w:rsidRDefault="0080228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E55CD" w14:textId="77777777" w:rsidR="00591DD7" w:rsidRDefault="00591DD7">
      <w:pPr>
        <w:spacing w:after="0" w:line="240" w:lineRule="auto"/>
      </w:pPr>
      <w:r>
        <w:separator/>
      </w:r>
    </w:p>
  </w:footnote>
  <w:footnote w:type="continuationSeparator" w:id="0">
    <w:p w14:paraId="1A18CDE8" w14:textId="77777777" w:rsidR="00591DD7" w:rsidRDefault="00591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1455C"/>
    <w:multiLevelType w:val="hybridMultilevel"/>
    <w:tmpl w:val="252A3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DE13F01"/>
    <w:multiLevelType w:val="hybridMultilevel"/>
    <w:tmpl w:val="821A7E16"/>
    <w:lvl w:ilvl="0" w:tplc="927C2C9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670794D"/>
    <w:multiLevelType w:val="multilevel"/>
    <w:tmpl w:val="AD481BE8"/>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5BF6355D"/>
    <w:multiLevelType w:val="hybridMultilevel"/>
    <w:tmpl w:val="E3E42D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7A03505"/>
    <w:multiLevelType w:val="hybridMultilevel"/>
    <w:tmpl w:val="8AA440B0"/>
    <w:lvl w:ilvl="0" w:tplc="81D43D4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B524008"/>
    <w:multiLevelType w:val="hybridMultilevel"/>
    <w:tmpl w:val="AFB8CC6C"/>
    <w:lvl w:ilvl="0" w:tplc="81D43D4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D7D0B5D"/>
    <w:multiLevelType w:val="hybridMultilevel"/>
    <w:tmpl w:val="252C4A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FAF2236"/>
    <w:multiLevelType w:val="hybridMultilevel"/>
    <w:tmpl w:val="BFF6F92A"/>
    <w:lvl w:ilvl="0" w:tplc="927C2C9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4"/>
  </w:num>
  <w:num w:numId="5">
    <w:abstractNumId w:val="3"/>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03DDC"/>
    <w:rsid w:val="0000279F"/>
    <w:rsid w:val="000077EB"/>
    <w:rsid w:val="00023365"/>
    <w:rsid w:val="00045087"/>
    <w:rsid w:val="00056197"/>
    <w:rsid w:val="00077542"/>
    <w:rsid w:val="00077974"/>
    <w:rsid w:val="00090D07"/>
    <w:rsid w:val="00094CED"/>
    <w:rsid w:val="000B619B"/>
    <w:rsid w:val="000E5C8B"/>
    <w:rsid w:val="000F43AE"/>
    <w:rsid w:val="00103DDC"/>
    <w:rsid w:val="00112DE0"/>
    <w:rsid w:val="00122505"/>
    <w:rsid w:val="0012679E"/>
    <w:rsid w:val="00131CAA"/>
    <w:rsid w:val="0017540B"/>
    <w:rsid w:val="00194FBE"/>
    <w:rsid w:val="001D178E"/>
    <w:rsid w:val="0028517F"/>
    <w:rsid w:val="002A44AD"/>
    <w:rsid w:val="002A4BFF"/>
    <w:rsid w:val="002A5E06"/>
    <w:rsid w:val="002B0C14"/>
    <w:rsid w:val="002B775B"/>
    <w:rsid w:val="002D3700"/>
    <w:rsid w:val="002E5331"/>
    <w:rsid w:val="00315E48"/>
    <w:rsid w:val="00371A49"/>
    <w:rsid w:val="003B23E9"/>
    <w:rsid w:val="0048127C"/>
    <w:rsid w:val="0048149D"/>
    <w:rsid w:val="00495635"/>
    <w:rsid w:val="004B36B1"/>
    <w:rsid w:val="004B6DEC"/>
    <w:rsid w:val="004C1FE7"/>
    <w:rsid w:val="00513097"/>
    <w:rsid w:val="00527413"/>
    <w:rsid w:val="005726D8"/>
    <w:rsid w:val="00591DD7"/>
    <w:rsid w:val="005A66E9"/>
    <w:rsid w:val="005B5185"/>
    <w:rsid w:val="005E0415"/>
    <w:rsid w:val="00610823"/>
    <w:rsid w:val="00623221"/>
    <w:rsid w:val="00641CB1"/>
    <w:rsid w:val="00665C88"/>
    <w:rsid w:val="00674465"/>
    <w:rsid w:val="006F6E10"/>
    <w:rsid w:val="00705CCF"/>
    <w:rsid w:val="0070656B"/>
    <w:rsid w:val="00711CA2"/>
    <w:rsid w:val="00711D28"/>
    <w:rsid w:val="00740702"/>
    <w:rsid w:val="00751A31"/>
    <w:rsid w:val="0075327F"/>
    <w:rsid w:val="007A2189"/>
    <w:rsid w:val="007A4270"/>
    <w:rsid w:val="007D64ED"/>
    <w:rsid w:val="007E4EE7"/>
    <w:rsid w:val="00802283"/>
    <w:rsid w:val="0085222F"/>
    <w:rsid w:val="00852DA9"/>
    <w:rsid w:val="008A0308"/>
    <w:rsid w:val="00946D80"/>
    <w:rsid w:val="00954CA8"/>
    <w:rsid w:val="00971717"/>
    <w:rsid w:val="00972341"/>
    <w:rsid w:val="0097261D"/>
    <w:rsid w:val="00984B27"/>
    <w:rsid w:val="009956C4"/>
    <w:rsid w:val="00A00C97"/>
    <w:rsid w:val="00A5046C"/>
    <w:rsid w:val="00A62186"/>
    <w:rsid w:val="00A71B16"/>
    <w:rsid w:val="00A73463"/>
    <w:rsid w:val="00A80E8B"/>
    <w:rsid w:val="00AE1CA5"/>
    <w:rsid w:val="00AE5C15"/>
    <w:rsid w:val="00AF6669"/>
    <w:rsid w:val="00B2050C"/>
    <w:rsid w:val="00B22420"/>
    <w:rsid w:val="00B6476D"/>
    <w:rsid w:val="00B80187"/>
    <w:rsid w:val="00B81CED"/>
    <w:rsid w:val="00BD285E"/>
    <w:rsid w:val="00BD46BF"/>
    <w:rsid w:val="00C0745D"/>
    <w:rsid w:val="00C1434F"/>
    <w:rsid w:val="00C26806"/>
    <w:rsid w:val="00C36F15"/>
    <w:rsid w:val="00C619D2"/>
    <w:rsid w:val="00CD405B"/>
    <w:rsid w:val="00D2196E"/>
    <w:rsid w:val="00D21F5E"/>
    <w:rsid w:val="00D474F6"/>
    <w:rsid w:val="00D54F81"/>
    <w:rsid w:val="00D71BE9"/>
    <w:rsid w:val="00D81F78"/>
    <w:rsid w:val="00D869D0"/>
    <w:rsid w:val="00DC64C2"/>
    <w:rsid w:val="00DE1CC1"/>
    <w:rsid w:val="00E13585"/>
    <w:rsid w:val="00E71E0E"/>
    <w:rsid w:val="00E97108"/>
    <w:rsid w:val="00EA50EA"/>
    <w:rsid w:val="00EB0566"/>
    <w:rsid w:val="00EB1143"/>
    <w:rsid w:val="00ED5FD8"/>
    <w:rsid w:val="00F13AB4"/>
    <w:rsid w:val="00F3531A"/>
    <w:rsid w:val="00F71A68"/>
    <w:rsid w:val="00FB2F42"/>
    <w:rsid w:val="00FC716E"/>
    <w:rsid w:val="00FE64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32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03DDC"/>
    <w:pPr>
      <w:spacing w:after="160" w:line="259" w:lineRule="auto"/>
    </w:pPr>
  </w:style>
  <w:style w:type="paragraph" w:styleId="Kop1">
    <w:name w:val="heading 1"/>
    <w:basedOn w:val="Standaard"/>
    <w:next w:val="Standaard"/>
    <w:link w:val="Kop1Char"/>
    <w:uiPriority w:val="9"/>
    <w:qFormat/>
    <w:rsid w:val="00103D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103D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3DDC"/>
    <w:rPr>
      <w:rFonts w:asciiTheme="majorHAnsi" w:eastAsiaTheme="majorEastAsia" w:hAnsiTheme="majorHAnsi" w:cstheme="majorBidi"/>
      <w:color w:val="365F91" w:themeColor="accent1" w:themeShade="BF"/>
      <w:sz w:val="32"/>
      <w:szCs w:val="32"/>
    </w:rPr>
  </w:style>
  <w:style w:type="character" w:customStyle="1" w:styleId="Kop3Char">
    <w:name w:val="Kop 3 Char"/>
    <w:basedOn w:val="Standaardalinea-lettertype"/>
    <w:link w:val="Kop3"/>
    <w:uiPriority w:val="9"/>
    <w:semiHidden/>
    <w:rsid w:val="00103DDC"/>
    <w:rPr>
      <w:rFonts w:asciiTheme="majorHAnsi" w:eastAsiaTheme="majorEastAsia" w:hAnsiTheme="majorHAnsi" w:cstheme="majorBidi"/>
      <w:color w:val="243F60" w:themeColor="accent1" w:themeShade="7F"/>
      <w:sz w:val="24"/>
      <w:szCs w:val="24"/>
    </w:rPr>
  </w:style>
  <w:style w:type="paragraph" w:styleId="Titel">
    <w:name w:val="Title"/>
    <w:basedOn w:val="Standaard"/>
    <w:next w:val="Standaard"/>
    <w:link w:val="TitelChar"/>
    <w:uiPriority w:val="10"/>
    <w:qFormat/>
    <w:rsid w:val="00103D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03DDC"/>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103DDC"/>
    <w:pPr>
      <w:spacing w:after="0" w:line="240" w:lineRule="auto"/>
    </w:pPr>
  </w:style>
  <w:style w:type="paragraph" w:styleId="Lijstalinea">
    <w:name w:val="List Paragraph"/>
    <w:basedOn w:val="Standaard"/>
    <w:uiPriority w:val="34"/>
    <w:qFormat/>
    <w:rsid w:val="00103DDC"/>
    <w:pPr>
      <w:ind w:left="720"/>
      <w:contextualSpacing/>
    </w:pPr>
  </w:style>
  <w:style w:type="character" w:customStyle="1" w:styleId="GeenafstandChar">
    <w:name w:val="Geen afstand Char"/>
    <w:basedOn w:val="Standaardalinea-lettertype"/>
    <w:link w:val="Geenafstand"/>
    <w:uiPriority w:val="1"/>
    <w:rsid w:val="00103DDC"/>
  </w:style>
  <w:style w:type="paragraph" w:customStyle="1" w:styleId="EndNoteBibliographyTitle">
    <w:name w:val="EndNote Bibliography Title"/>
    <w:basedOn w:val="Standaard"/>
    <w:link w:val="EndNoteBibliographyTitleChar"/>
    <w:rsid w:val="00103DDC"/>
    <w:pPr>
      <w:spacing w:after="0"/>
      <w:jc w:val="center"/>
    </w:pPr>
    <w:rPr>
      <w:rFonts w:ascii="Calibri" w:hAnsi="Calibri"/>
      <w:noProof/>
      <w:lang w:val="en-US"/>
    </w:rPr>
  </w:style>
  <w:style w:type="character" w:customStyle="1" w:styleId="EndNoteBibliographyTitleChar">
    <w:name w:val="EndNote Bibliography Title Char"/>
    <w:basedOn w:val="GeenafstandChar"/>
    <w:link w:val="EndNoteBibliographyTitle"/>
    <w:rsid w:val="00103DDC"/>
    <w:rPr>
      <w:rFonts w:ascii="Calibri" w:hAnsi="Calibri"/>
      <w:noProof/>
      <w:lang w:val="en-US"/>
    </w:rPr>
  </w:style>
  <w:style w:type="paragraph" w:customStyle="1" w:styleId="EndNoteBibliography">
    <w:name w:val="EndNote Bibliography"/>
    <w:basedOn w:val="Standaard"/>
    <w:link w:val="EndNoteBibliographyChar"/>
    <w:rsid w:val="00103DDC"/>
    <w:pPr>
      <w:spacing w:line="240" w:lineRule="auto"/>
    </w:pPr>
    <w:rPr>
      <w:rFonts w:ascii="Calibri" w:hAnsi="Calibri"/>
      <w:noProof/>
      <w:lang w:val="en-US"/>
    </w:rPr>
  </w:style>
  <w:style w:type="character" w:customStyle="1" w:styleId="EndNoteBibliographyChar">
    <w:name w:val="EndNote Bibliography Char"/>
    <w:basedOn w:val="GeenafstandChar"/>
    <w:link w:val="EndNoteBibliography"/>
    <w:rsid w:val="00103DDC"/>
    <w:rPr>
      <w:rFonts w:ascii="Calibri" w:hAnsi="Calibri"/>
      <w:noProof/>
      <w:lang w:val="en-US"/>
    </w:rPr>
  </w:style>
  <w:style w:type="table" w:styleId="Tabelraster">
    <w:name w:val="Table Grid"/>
    <w:basedOn w:val="Standaardtabel"/>
    <w:uiPriority w:val="39"/>
    <w:rsid w:val="00103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03D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3DDC"/>
    <w:rPr>
      <w:rFonts w:ascii="Tahoma" w:hAnsi="Tahoma" w:cs="Tahoma"/>
      <w:sz w:val="16"/>
      <w:szCs w:val="16"/>
    </w:rPr>
  </w:style>
  <w:style w:type="character" w:styleId="Verwijzingopmerking">
    <w:name w:val="annotation reference"/>
    <w:basedOn w:val="Standaardalinea-lettertype"/>
    <w:uiPriority w:val="99"/>
    <w:semiHidden/>
    <w:unhideWhenUsed/>
    <w:rsid w:val="00103DDC"/>
    <w:rPr>
      <w:sz w:val="16"/>
      <w:szCs w:val="16"/>
    </w:rPr>
  </w:style>
  <w:style w:type="paragraph" w:styleId="Tekstopmerking">
    <w:name w:val="annotation text"/>
    <w:basedOn w:val="Standaard"/>
    <w:link w:val="TekstopmerkingChar"/>
    <w:uiPriority w:val="99"/>
    <w:semiHidden/>
    <w:unhideWhenUsed/>
    <w:rsid w:val="00103DD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03DDC"/>
    <w:rPr>
      <w:sz w:val="20"/>
      <w:szCs w:val="20"/>
    </w:rPr>
  </w:style>
  <w:style w:type="paragraph" w:styleId="Onderwerpvanopmerking">
    <w:name w:val="annotation subject"/>
    <w:basedOn w:val="Tekstopmerking"/>
    <w:next w:val="Tekstopmerking"/>
    <w:link w:val="OnderwerpvanopmerkingChar"/>
    <w:uiPriority w:val="99"/>
    <w:semiHidden/>
    <w:unhideWhenUsed/>
    <w:rsid w:val="00103DDC"/>
    <w:rPr>
      <w:b/>
      <w:bCs/>
    </w:rPr>
  </w:style>
  <w:style w:type="character" w:customStyle="1" w:styleId="OnderwerpvanopmerkingChar">
    <w:name w:val="Onderwerp van opmerking Char"/>
    <w:basedOn w:val="TekstopmerkingChar"/>
    <w:link w:val="Onderwerpvanopmerking"/>
    <w:uiPriority w:val="99"/>
    <w:semiHidden/>
    <w:rsid w:val="00103DDC"/>
    <w:rPr>
      <w:b/>
      <w:bCs/>
      <w:sz w:val="20"/>
      <w:szCs w:val="20"/>
    </w:rPr>
  </w:style>
  <w:style w:type="paragraph" w:styleId="Revisie">
    <w:name w:val="Revision"/>
    <w:hidden/>
    <w:uiPriority w:val="99"/>
    <w:semiHidden/>
    <w:rsid w:val="00103DDC"/>
    <w:pPr>
      <w:spacing w:after="0" w:line="240" w:lineRule="auto"/>
    </w:pPr>
  </w:style>
  <w:style w:type="paragraph" w:styleId="Koptekst">
    <w:name w:val="header"/>
    <w:basedOn w:val="Standaard"/>
    <w:link w:val="KoptekstChar"/>
    <w:uiPriority w:val="99"/>
    <w:unhideWhenUsed/>
    <w:rsid w:val="00103D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3DDC"/>
  </w:style>
  <w:style w:type="paragraph" w:styleId="Voettekst">
    <w:name w:val="footer"/>
    <w:basedOn w:val="Standaard"/>
    <w:link w:val="VoettekstChar"/>
    <w:uiPriority w:val="99"/>
    <w:unhideWhenUsed/>
    <w:rsid w:val="00103D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3DDC"/>
  </w:style>
  <w:style w:type="paragraph" w:styleId="Ondertitel">
    <w:name w:val="Subtitle"/>
    <w:basedOn w:val="Standaard"/>
    <w:next w:val="Standaard"/>
    <w:link w:val="OndertitelChar"/>
    <w:uiPriority w:val="11"/>
    <w:qFormat/>
    <w:rsid w:val="00103DD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103DDC"/>
    <w:rPr>
      <w:rFonts w:asciiTheme="majorHAnsi" w:eastAsiaTheme="majorEastAsia" w:hAnsiTheme="majorHAnsi" w:cstheme="majorBidi"/>
      <w:i/>
      <w:iCs/>
      <w:color w:val="4F81BD" w:themeColor="accent1"/>
      <w:spacing w:val="15"/>
      <w:sz w:val="24"/>
      <w:szCs w:val="24"/>
    </w:rPr>
  </w:style>
  <w:style w:type="character" w:styleId="Regelnummer">
    <w:name w:val="line number"/>
    <w:basedOn w:val="Standaardalinea-lettertype"/>
    <w:uiPriority w:val="99"/>
    <w:semiHidden/>
    <w:unhideWhenUsed/>
    <w:rsid w:val="00103DDC"/>
  </w:style>
  <w:style w:type="character" w:styleId="Hyperlink">
    <w:name w:val="Hyperlink"/>
    <w:basedOn w:val="Standaardalinea-lettertype"/>
    <w:uiPriority w:val="99"/>
    <w:unhideWhenUsed/>
    <w:rsid w:val="00103DDC"/>
    <w:rPr>
      <w:color w:val="0000FF" w:themeColor="hyperlink"/>
      <w:u w:val="single"/>
    </w:rPr>
  </w:style>
  <w:style w:type="character" w:customStyle="1" w:styleId="UnresolvedMention1">
    <w:name w:val="Unresolved Mention1"/>
    <w:basedOn w:val="Standaardalinea-lettertype"/>
    <w:uiPriority w:val="99"/>
    <w:semiHidden/>
    <w:unhideWhenUsed/>
    <w:rsid w:val="0080228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03DDC"/>
    <w:pPr>
      <w:spacing w:after="160" w:line="259" w:lineRule="auto"/>
    </w:pPr>
  </w:style>
  <w:style w:type="paragraph" w:styleId="Kop1">
    <w:name w:val="heading 1"/>
    <w:basedOn w:val="Standaard"/>
    <w:next w:val="Standaard"/>
    <w:link w:val="Kop1Char"/>
    <w:uiPriority w:val="9"/>
    <w:qFormat/>
    <w:rsid w:val="00103D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103D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3DDC"/>
    <w:rPr>
      <w:rFonts w:asciiTheme="majorHAnsi" w:eastAsiaTheme="majorEastAsia" w:hAnsiTheme="majorHAnsi" w:cstheme="majorBidi"/>
      <w:color w:val="365F91" w:themeColor="accent1" w:themeShade="BF"/>
      <w:sz w:val="32"/>
      <w:szCs w:val="32"/>
    </w:rPr>
  </w:style>
  <w:style w:type="character" w:customStyle="1" w:styleId="Kop3Char">
    <w:name w:val="Kop 3 Char"/>
    <w:basedOn w:val="Standaardalinea-lettertype"/>
    <w:link w:val="Kop3"/>
    <w:uiPriority w:val="9"/>
    <w:semiHidden/>
    <w:rsid w:val="00103DDC"/>
    <w:rPr>
      <w:rFonts w:asciiTheme="majorHAnsi" w:eastAsiaTheme="majorEastAsia" w:hAnsiTheme="majorHAnsi" w:cstheme="majorBidi"/>
      <w:color w:val="243F60" w:themeColor="accent1" w:themeShade="7F"/>
      <w:sz w:val="24"/>
      <w:szCs w:val="24"/>
    </w:rPr>
  </w:style>
  <w:style w:type="paragraph" w:styleId="Titel">
    <w:name w:val="Title"/>
    <w:basedOn w:val="Standaard"/>
    <w:next w:val="Standaard"/>
    <w:link w:val="TitelChar"/>
    <w:uiPriority w:val="10"/>
    <w:qFormat/>
    <w:rsid w:val="00103D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03DDC"/>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103DDC"/>
    <w:pPr>
      <w:spacing w:after="0" w:line="240" w:lineRule="auto"/>
    </w:pPr>
  </w:style>
  <w:style w:type="paragraph" w:styleId="Lijstalinea">
    <w:name w:val="List Paragraph"/>
    <w:basedOn w:val="Standaard"/>
    <w:uiPriority w:val="34"/>
    <w:qFormat/>
    <w:rsid w:val="00103DDC"/>
    <w:pPr>
      <w:ind w:left="720"/>
      <w:contextualSpacing/>
    </w:pPr>
  </w:style>
  <w:style w:type="character" w:customStyle="1" w:styleId="GeenafstandChar">
    <w:name w:val="Geen afstand Char"/>
    <w:basedOn w:val="Standaardalinea-lettertype"/>
    <w:link w:val="Geenafstand"/>
    <w:uiPriority w:val="1"/>
    <w:rsid w:val="00103DDC"/>
  </w:style>
  <w:style w:type="paragraph" w:customStyle="1" w:styleId="EndNoteBibliographyTitle">
    <w:name w:val="EndNote Bibliography Title"/>
    <w:basedOn w:val="Standaard"/>
    <w:link w:val="EndNoteBibliographyTitleChar"/>
    <w:rsid w:val="00103DDC"/>
    <w:pPr>
      <w:spacing w:after="0"/>
      <w:jc w:val="center"/>
    </w:pPr>
    <w:rPr>
      <w:rFonts w:ascii="Calibri" w:hAnsi="Calibri"/>
      <w:noProof/>
      <w:lang w:val="en-US"/>
    </w:rPr>
  </w:style>
  <w:style w:type="character" w:customStyle="1" w:styleId="EndNoteBibliographyTitleChar">
    <w:name w:val="EndNote Bibliography Title Char"/>
    <w:basedOn w:val="GeenafstandChar"/>
    <w:link w:val="EndNoteBibliographyTitle"/>
    <w:rsid w:val="00103DDC"/>
    <w:rPr>
      <w:rFonts w:ascii="Calibri" w:hAnsi="Calibri"/>
      <w:noProof/>
      <w:lang w:val="en-US"/>
    </w:rPr>
  </w:style>
  <w:style w:type="paragraph" w:customStyle="1" w:styleId="EndNoteBibliography">
    <w:name w:val="EndNote Bibliography"/>
    <w:basedOn w:val="Standaard"/>
    <w:link w:val="EndNoteBibliographyChar"/>
    <w:rsid w:val="00103DDC"/>
    <w:pPr>
      <w:spacing w:line="240" w:lineRule="auto"/>
    </w:pPr>
    <w:rPr>
      <w:rFonts w:ascii="Calibri" w:hAnsi="Calibri"/>
      <w:noProof/>
      <w:lang w:val="en-US"/>
    </w:rPr>
  </w:style>
  <w:style w:type="character" w:customStyle="1" w:styleId="EndNoteBibliographyChar">
    <w:name w:val="EndNote Bibliography Char"/>
    <w:basedOn w:val="GeenafstandChar"/>
    <w:link w:val="EndNoteBibliography"/>
    <w:rsid w:val="00103DDC"/>
    <w:rPr>
      <w:rFonts w:ascii="Calibri" w:hAnsi="Calibri"/>
      <w:noProof/>
      <w:lang w:val="en-US"/>
    </w:rPr>
  </w:style>
  <w:style w:type="table" w:styleId="Tabelraster">
    <w:name w:val="Table Grid"/>
    <w:basedOn w:val="Standaardtabel"/>
    <w:uiPriority w:val="39"/>
    <w:rsid w:val="00103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03D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3DDC"/>
    <w:rPr>
      <w:rFonts w:ascii="Tahoma" w:hAnsi="Tahoma" w:cs="Tahoma"/>
      <w:sz w:val="16"/>
      <w:szCs w:val="16"/>
    </w:rPr>
  </w:style>
  <w:style w:type="character" w:styleId="Verwijzingopmerking">
    <w:name w:val="annotation reference"/>
    <w:basedOn w:val="Standaardalinea-lettertype"/>
    <w:uiPriority w:val="99"/>
    <w:semiHidden/>
    <w:unhideWhenUsed/>
    <w:rsid w:val="00103DDC"/>
    <w:rPr>
      <w:sz w:val="16"/>
      <w:szCs w:val="16"/>
    </w:rPr>
  </w:style>
  <w:style w:type="paragraph" w:styleId="Tekstopmerking">
    <w:name w:val="annotation text"/>
    <w:basedOn w:val="Standaard"/>
    <w:link w:val="TekstopmerkingChar"/>
    <w:uiPriority w:val="99"/>
    <w:semiHidden/>
    <w:unhideWhenUsed/>
    <w:rsid w:val="00103DD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03DDC"/>
    <w:rPr>
      <w:sz w:val="20"/>
      <w:szCs w:val="20"/>
    </w:rPr>
  </w:style>
  <w:style w:type="paragraph" w:styleId="Onderwerpvanopmerking">
    <w:name w:val="annotation subject"/>
    <w:basedOn w:val="Tekstopmerking"/>
    <w:next w:val="Tekstopmerking"/>
    <w:link w:val="OnderwerpvanopmerkingChar"/>
    <w:uiPriority w:val="99"/>
    <w:semiHidden/>
    <w:unhideWhenUsed/>
    <w:rsid w:val="00103DDC"/>
    <w:rPr>
      <w:b/>
      <w:bCs/>
    </w:rPr>
  </w:style>
  <w:style w:type="character" w:customStyle="1" w:styleId="OnderwerpvanopmerkingChar">
    <w:name w:val="Onderwerp van opmerking Char"/>
    <w:basedOn w:val="TekstopmerkingChar"/>
    <w:link w:val="Onderwerpvanopmerking"/>
    <w:uiPriority w:val="99"/>
    <w:semiHidden/>
    <w:rsid w:val="00103DDC"/>
    <w:rPr>
      <w:b/>
      <w:bCs/>
      <w:sz w:val="20"/>
      <w:szCs w:val="20"/>
    </w:rPr>
  </w:style>
  <w:style w:type="paragraph" w:styleId="Revisie">
    <w:name w:val="Revision"/>
    <w:hidden/>
    <w:uiPriority w:val="99"/>
    <w:semiHidden/>
    <w:rsid w:val="00103DDC"/>
    <w:pPr>
      <w:spacing w:after="0" w:line="240" w:lineRule="auto"/>
    </w:pPr>
  </w:style>
  <w:style w:type="paragraph" w:styleId="Koptekst">
    <w:name w:val="header"/>
    <w:basedOn w:val="Standaard"/>
    <w:link w:val="KoptekstChar"/>
    <w:uiPriority w:val="99"/>
    <w:unhideWhenUsed/>
    <w:rsid w:val="00103D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3DDC"/>
  </w:style>
  <w:style w:type="paragraph" w:styleId="Voettekst">
    <w:name w:val="footer"/>
    <w:basedOn w:val="Standaard"/>
    <w:link w:val="VoettekstChar"/>
    <w:uiPriority w:val="99"/>
    <w:unhideWhenUsed/>
    <w:rsid w:val="00103D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3DDC"/>
  </w:style>
  <w:style w:type="paragraph" w:styleId="Ondertitel">
    <w:name w:val="Subtitle"/>
    <w:basedOn w:val="Standaard"/>
    <w:next w:val="Standaard"/>
    <w:link w:val="OndertitelChar"/>
    <w:uiPriority w:val="11"/>
    <w:qFormat/>
    <w:rsid w:val="00103DD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103DDC"/>
    <w:rPr>
      <w:rFonts w:asciiTheme="majorHAnsi" w:eastAsiaTheme="majorEastAsia" w:hAnsiTheme="majorHAnsi" w:cstheme="majorBidi"/>
      <w:i/>
      <w:iCs/>
      <w:color w:val="4F81BD" w:themeColor="accent1"/>
      <w:spacing w:val="15"/>
      <w:sz w:val="24"/>
      <w:szCs w:val="24"/>
    </w:rPr>
  </w:style>
  <w:style w:type="character" w:styleId="Regelnummer">
    <w:name w:val="line number"/>
    <w:basedOn w:val="Standaardalinea-lettertype"/>
    <w:uiPriority w:val="99"/>
    <w:semiHidden/>
    <w:unhideWhenUsed/>
    <w:rsid w:val="00103DDC"/>
  </w:style>
  <w:style w:type="character" w:styleId="Hyperlink">
    <w:name w:val="Hyperlink"/>
    <w:basedOn w:val="Standaardalinea-lettertype"/>
    <w:uiPriority w:val="99"/>
    <w:unhideWhenUsed/>
    <w:rsid w:val="00103DDC"/>
    <w:rPr>
      <w:color w:val="0000FF" w:themeColor="hyperlink"/>
      <w:u w:val="single"/>
    </w:rPr>
  </w:style>
  <w:style w:type="character" w:customStyle="1" w:styleId="UnresolvedMention1">
    <w:name w:val="Unresolved Mention1"/>
    <w:basedOn w:val="Standaardalinea-lettertype"/>
    <w:uiPriority w:val="99"/>
    <w:semiHidden/>
    <w:unhideWhenUsed/>
    <w:rsid w:val="00802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4BCB6-8C54-4682-B8B8-5856A655B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6258</Words>
  <Characters>34419</Characters>
  <Application>Microsoft Office Word</Application>
  <DocSecurity>0</DocSecurity>
  <Lines>286</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40596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Bont, Cynthia de</dc:creator>
  <cp:lastModifiedBy>Ger Pruijn</cp:lastModifiedBy>
  <cp:revision>2</cp:revision>
  <dcterms:created xsi:type="dcterms:W3CDTF">2020-05-18T14:33:00Z</dcterms:created>
  <dcterms:modified xsi:type="dcterms:W3CDTF">2020-05-18T14:33:00Z</dcterms:modified>
</cp:coreProperties>
</file>