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7F87" w14:textId="6F28DE18" w:rsidR="00E24038" w:rsidRPr="00E24038" w:rsidRDefault="00E24038" w:rsidP="00481EE8">
      <w:pPr>
        <w:spacing w:line="480" w:lineRule="auto"/>
        <w:rPr>
          <w:rFonts w:hAnsi="Times New Roman" w:cs="Times New Roman"/>
          <w:b/>
          <w:lang w:eastAsia="zh-TW"/>
        </w:rPr>
      </w:pPr>
      <w:r w:rsidRPr="00E24038">
        <w:rPr>
          <w:rFonts w:hAnsi="Times New Roman" w:cs="Times New Roman"/>
          <w:b/>
        </w:rPr>
        <w:t xml:space="preserve">Colonic </w:t>
      </w:r>
      <w:r w:rsidR="00AD6379">
        <w:rPr>
          <w:rFonts w:hAnsi="Times New Roman" w:cs="Times New Roman"/>
          <w:b/>
        </w:rPr>
        <w:t>D</w:t>
      </w:r>
      <w:r w:rsidRPr="00E24038">
        <w:rPr>
          <w:rFonts w:hAnsi="Times New Roman" w:cs="Times New Roman"/>
          <w:b/>
        </w:rPr>
        <w:t xml:space="preserve">iverticular </w:t>
      </w:r>
      <w:r w:rsidR="00AD6379">
        <w:rPr>
          <w:rFonts w:hAnsi="Times New Roman" w:cs="Times New Roman"/>
          <w:b/>
        </w:rPr>
        <w:t>D</w:t>
      </w:r>
      <w:r w:rsidRPr="00E24038">
        <w:rPr>
          <w:rFonts w:hAnsi="Times New Roman" w:cs="Times New Roman"/>
          <w:b/>
        </w:rPr>
        <w:t xml:space="preserve">isease: </w:t>
      </w:r>
      <w:r w:rsidR="00BB73C5">
        <w:rPr>
          <w:rFonts w:hAnsi="Times New Roman" w:cs="Times New Roman"/>
          <w:b/>
        </w:rPr>
        <w:t>A</w:t>
      </w:r>
      <w:r w:rsidRPr="00E24038">
        <w:rPr>
          <w:rFonts w:hAnsi="Times New Roman" w:cs="Times New Roman"/>
          <w:b/>
        </w:rPr>
        <w:t xml:space="preserve"> </w:t>
      </w:r>
      <w:r w:rsidR="00AD6379">
        <w:rPr>
          <w:rFonts w:hAnsi="Times New Roman" w:cs="Times New Roman"/>
          <w:b/>
        </w:rPr>
        <w:t>N</w:t>
      </w:r>
      <w:r w:rsidRPr="00E24038">
        <w:rPr>
          <w:rFonts w:hAnsi="Times New Roman" w:cs="Times New Roman"/>
          <w:b/>
        </w:rPr>
        <w:t>ew</w:t>
      </w:r>
      <w:r w:rsidR="00A50FDE">
        <w:rPr>
          <w:rFonts w:hAnsi="Times New Roman" w:cs="Times New Roman"/>
          <w:b/>
        </w:rPr>
        <w:t xml:space="preserve"> </w:t>
      </w:r>
      <w:r w:rsidR="00AD6379">
        <w:rPr>
          <w:rFonts w:hAnsi="Times New Roman" w:cs="Times New Roman"/>
          <w:b/>
        </w:rPr>
        <w:t>R</w:t>
      </w:r>
      <w:r w:rsidRPr="00E24038">
        <w:rPr>
          <w:rFonts w:hAnsi="Times New Roman" w:cs="Times New Roman"/>
          <w:b/>
        </w:rPr>
        <w:t>isk</w:t>
      </w:r>
      <w:r w:rsidR="00AD6379">
        <w:rPr>
          <w:rFonts w:hAnsi="Times New Roman" w:cs="Times New Roman"/>
          <w:b/>
        </w:rPr>
        <w:t xml:space="preserve"> F</w:t>
      </w:r>
      <w:r w:rsidR="00BB73C5">
        <w:rPr>
          <w:rFonts w:hAnsi="Times New Roman" w:cs="Times New Roman"/>
          <w:b/>
        </w:rPr>
        <w:t>actor</w:t>
      </w:r>
      <w:r w:rsidRPr="00E24038">
        <w:rPr>
          <w:rFonts w:hAnsi="Times New Roman" w:cs="Times New Roman"/>
          <w:b/>
        </w:rPr>
        <w:t xml:space="preserve"> for </w:t>
      </w:r>
      <w:r w:rsidR="00481EE8" w:rsidRPr="00E24038">
        <w:rPr>
          <w:rFonts w:hAnsi="Times New Roman" w:cs="Times New Roman"/>
          <w:b/>
        </w:rPr>
        <w:t>Parkinson’s disease</w:t>
      </w:r>
      <w:r w:rsidR="000C2E78">
        <w:rPr>
          <w:rFonts w:hAnsi="Times New Roman" w:cs="Times New Roman"/>
          <w:b/>
        </w:rPr>
        <w:t>?</w:t>
      </w:r>
    </w:p>
    <w:p w14:paraId="37723C14" w14:textId="77777777" w:rsidR="00E24038" w:rsidRPr="00E24038" w:rsidRDefault="00E24038"/>
    <w:p w14:paraId="3477A388" w14:textId="77777777" w:rsidR="00E24038" w:rsidRPr="00E24038" w:rsidRDefault="00E24038">
      <w:pPr>
        <w:rPr>
          <w:lang w:eastAsia="zh-TW"/>
        </w:rPr>
      </w:pPr>
    </w:p>
    <w:p w14:paraId="6CC97132" w14:textId="6F7D15BB" w:rsidR="00A45E98" w:rsidRPr="00D328BF" w:rsidRDefault="00F56868" w:rsidP="00E24038">
      <w:pPr>
        <w:spacing w:line="480" w:lineRule="auto"/>
        <w:rPr>
          <w:color w:val="auto"/>
          <w:vertAlign w:val="superscript"/>
          <w:lang w:eastAsia="zh-TW"/>
        </w:rPr>
      </w:pPr>
      <w:r w:rsidRPr="00D328BF">
        <w:rPr>
          <w:color w:val="auto"/>
        </w:rPr>
        <w:t>Antonella</w:t>
      </w:r>
      <w:r w:rsidR="00E24038" w:rsidRPr="00D328BF">
        <w:rPr>
          <w:color w:val="auto"/>
        </w:rPr>
        <w:t xml:space="preserve"> Macerollo</w:t>
      </w:r>
      <w:r w:rsidR="00B127E5" w:rsidRPr="00D328BF">
        <w:rPr>
          <w:rFonts w:hint="eastAsia"/>
          <w:color w:val="auto"/>
          <w:lang w:eastAsia="zh-TW"/>
        </w:rPr>
        <w:t>,</w:t>
      </w:r>
      <w:r w:rsidR="00A50FDE">
        <w:rPr>
          <w:color w:val="auto"/>
          <w:lang w:eastAsia="zh-TW"/>
        </w:rPr>
        <w:t xml:space="preserve"> </w:t>
      </w:r>
      <w:r w:rsidR="001E09CD" w:rsidRPr="00D328BF">
        <w:rPr>
          <w:color w:val="auto"/>
          <w:lang w:eastAsia="zh-TW"/>
        </w:rPr>
        <w:t>MD</w:t>
      </w:r>
      <w:r w:rsidR="00A50FDE">
        <w:rPr>
          <w:color w:val="auto"/>
          <w:lang w:eastAsia="zh-TW"/>
        </w:rPr>
        <w:t xml:space="preserve"> </w:t>
      </w:r>
      <w:r w:rsidR="00E57098" w:rsidRPr="00D328BF">
        <w:rPr>
          <w:rFonts w:hint="eastAsia"/>
          <w:color w:val="auto"/>
          <w:vertAlign w:val="superscript"/>
          <w:lang w:eastAsia="zh-TW"/>
        </w:rPr>
        <w:t>a</w:t>
      </w:r>
      <w:r w:rsidR="00B127E5" w:rsidRPr="00D328BF">
        <w:rPr>
          <w:rFonts w:hint="eastAsia"/>
          <w:color w:val="auto"/>
          <w:lang w:eastAsia="zh-TW"/>
        </w:rPr>
        <w:t xml:space="preserve"> </w:t>
      </w:r>
      <w:r w:rsidR="003E0ADB" w:rsidRPr="00D328BF">
        <w:rPr>
          <w:rFonts w:hint="eastAsia"/>
          <w:color w:val="auto"/>
          <w:lang w:eastAsia="zh-TW"/>
        </w:rPr>
        <w:t>Ming-</w:t>
      </w:r>
      <w:proofErr w:type="spellStart"/>
      <w:r w:rsidR="003E0ADB" w:rsidRPr="00D328BF">
        <w:rPr>
          <w:rFonts w:hint="eastAsia"/>
          <w:color w:val="auto"/>
          <w:lang w:eastAsia="zh-TW"/>
        </w:rPr>
        <w:t>Kuei</w:t>
      </w:r>
      <w:proofErr w:type="spellEnd"/>
      <w:r w:rsidR="003E0ADB" w:rsidRPr="00D328BF">
        <w:rPr>
          <w:rFonts w:hint="eastAsia"/>
          <w:color w:val="auto"/>
          <w:lang w:eastAsia="zh-TW"/>
        </w:rPr>
        <w:t xml:space="preserve"> Lu</w:t>
      </w:r>
      <w:r w:rsidR="00AB222C" w:rsidRPr="00D328BF">
        <w:rPr>
          <w:color w:val="auto"/>
          <w:lang w:eastAsia="zh-TW"/>
        </w:rPr>
        <w:t>,</w:t>
      </w:r>
      <w:r w:rsidR="00864647" w:rsidRPr="00D328BF">
        <w:rPr>
          <w:color w:val="auto"/>
          <w:lang w:eastAsia="zh-TW"/>
        </w:rPr>
        <w:t xml:space="preserve"> </w:t>
      </w:r>
      <w:r w:rsidR="001E09CD" w:rsidRPr="00D328BF">
        <w:rPr>
          <w:color w:val="auto"/>
          <w:lang w:eastAsia="zh-TW"/>
        </w:rPr>
        <w:t>MD</w:t>
      </w:r>
      <w:r w:rsidR="00A50FDE">
        <w:rPr>
          <w:color w:val="auto"/>
          <w:lang w:eastAsia="zh-TW"/>
        </w:rPr>
        <w:t xml:space="preserve"> </w:t>
      </w:r>
      <w:r w:rsidR="004E4CE8" w:rsidRPr="00D328BF">
        <w:rPr>
          <w:rFonts w:hint="eastAsia"/>
          <w:color w:val="auto"/>
          <w:vertAlign w:val="superscript"/>
          <w:lang w:eastAsia="zh-TW"/>
        </w:rPr>
        <w:t>b</w:t>
      </w:r>
      <w:r w:rsidR="003E0ADB" w:rsidRPr="00D328BF">
        <w:rPr>
          <w:color w:val="auto"/>
          <w:lang w:eastAsia="zh-TW"/>
        </w:rPr>
        <w:t xml:space="preserve"> </w:t>
      </w:r>
      <w:r w:rsidR="00AD7A0E" w:rsidRPr="00D328BF">
        <w:rPr>
          <w:rFonts w:hint="eastAsia"/>
          <w:color w:val="auto"/>
          <w:lang w:eastAsia="zh-TW"/>
        </w:rPr>
        <w:t>Hui-Chun</w:t>
      </w:r>
      <w:r w:rsidR="003E0ADB" w:rsidRPr="00D328BF">
        <w:rPr>
          <w:rFonts w:hint="eastAsia"/>
          <w:color w:val="auto"/>
          <w:lang w:eastAsia="zh-TW"/>
        </w:rPr>
        <w:t xml:space="preserve"> Huang</w:t>
      </w:r>
      <w:r w:rsidR="00AB222C" w:rsidRPr="00D328BF">
        <w:rPr>
          <w:color w:val="auto"/>
          <w:lang w:eastAsia="zh-TW"/>
        </w:rPr>
        <w:t>,</w:t>
      </w:r>
      <w:r w:rsidR="003E0ADB" w:rsidRPr="00D328BF">
        <w:rPr>
          <w:rFonts w:hint="eastAsia"/>
          <w:color w:val="auto"/>
          <w:lang w:eastAsia="zh-TW"/>
        </w:rPr>
        <w:t xml:space="preserve"> </w:t>
      </w:r>
      <w:r w:rsidR="001E09CD" w:rsidRPr="00D328BF">
        <w:rPr>
          <w:color w:val="auto"/>
          <w:lang w:eastAsia="zh-TW"/>
        </w:rPr>
        <w:t>MD</w:t>
      </w:r>
      <w:r w:rsidR="00A50FDE">
        <w:rPr>
          <w:color w:val="auto"/>
          <w:lang w:eastAsia="zh-TW"/>
        </w:rPr>
        <w:t xml:space="preserve"> </w:t>
      </w:r>
      <w:r w:rsidR="004E4CE8" w:rsidRPr="00D328BF">
        <w:rPr>
          <w:rFonts w:hint="eastAsia"/>
          <w:color w:val="auto"/>
          <w:vertAlign w:val="superscript"/>
          <w:lang w:eastAsia="zh-TW"/>
        </w:rPr>
        <w:t>b</w:t>
      </w:r>
      <w:r w:rsidR="003E0ADB" w:rsidRPr="00D328BF">
        <w:rPr>
          <w:color w:val="auto"/>
          <w:lang w:eastAsia="zh-TW"/>
        </w:rPr>
        <w:t xml:space="preserve"> </w:t>
      </w:r>
      <w:proofErr w:type="spellStart"/>
      <w:r w:rsidRPr="00D328BF">
        <w:rPr>
          <w:color w:val="auto"/>
        </w:rPr>
        <w:t>Hsuan</w:t>
      </w:r>
      <w:proofErr w:type="spellEnd"/>
      <w:r w:rsidRPr="00D328BF">
        <w:rPr>
          <w:color w:val="auto"/>
        </w:rPr>
        <w:t>-Ju Chen</w:t>
      </w:r>
      <w:r w:rsidR="00AB222C" w:rsidRPr="00D328BF">
        <w:rPr>
          <w:color w:val="auto"/>
        </w:rPr>
        <w:t>,</w:t>
      </w:r>
      <w:r w:rsidR="00A50FDE">
        <w:rPr>
          <w:color w:val="auto"/>
        </w:rPr>
        <w:t xml:space="preserve"> </w:t>
      </w:r>
      <w:r w:rsidR="00E9332C" w:rsidRPr="00D328BF">
        <w:rPr>
          <w:color w:val="auto"/>
        </w:rPr>
        <w:t xml:space="preserve">MS </w:t>
      </w:r>
      <w:r w:rsidR="000A2E72" w:rsidRPr="00D328BF">
        <w:rPr>
          <w:color w:val="auto"/>
          <w:vertAlign w:val="superscript"/>
        </w:rPr>
        <w:t>c</w:t>
      </w:r>
      <w:r w:rsidR="00E9332C" w:rsidRPr="00D328BF">
        <w:rPr>
          <w:color w:val="auto"/>
        </w:rPr>
        <w:t xml:space="preserve"> Che-Chen Lin,</w:t>
      </w:r>
      <w:r w:rsidR="00A50FDE">
        <w:rPr>
          <w:color w:val="auto"/>
        </w:rPr>
        <w:t xml:space="preserve"> </w:t>
      </w:r>
      <w:r w:rsidR="00E9332C" w:rsidRPr="00D328BF">
        <w:rPr>
          <w:color w:val="auto"/>
        </w:rPr>
        <w:t>MS</w:t>
      </w:r>
      <w:r w:rsidR="00E9332C" w:rsidRPr="00D328BF">
        <w:rPr>
          <w:color w:val="auto"/>
          <w:vertAlign w:val="superscript"/>
          <w:lang w:eastAsia="zh-TW"/>
        </w:rPr>
        <w:t xml:space="preserve"> </w:t>
      </w:r>
      <w:r w:rsidR="000A2E72" w:rsidRPr="00D328BF">
        <w:rPr>
          <w:color w:val="auto"/>
          <w:vertAlign w:val="superscript"/>
          <w:lang w:eastAsia="zh-TW"/>
        </w:rPr>
        <w:t>c</w:t>
      </w:r>
      <w:r w:rsidR="00E9332C" w:rsidRPr="00D328BF">
        <w:rPr>
          <w:color w:val="auto"/>
        </w:rPr>
        <w:t xml:space="preserve"> </w:t>
      </w:r>
      <w:r w:rsidR="002F5831" w:rsidRPr="00D328BF">
        <w:rPr>
          <w:color w:val="auto"/>
          <w:lang w:eastAsia="zh-TW"/>
        </w:rPr>
        <w:t>Chia-Hung Kao</w:t>
      </w:r>
      <w:r w:rsidR="000C2E78" w:rsidRPr="00D328BF">
        <w:rPr>
          <w:color w:val="auto"/>
          <w:lang w:eastAsia="zh-TW"/>
        </w:rPr>
        <w:t>,</w:t>
      </w:r>
      <w:r w:rsidR="00A50FDE">
        <w:rPr>
          <w:color w:val="auto"/>
          <w:lang w:eastAsia="zh-TW"/>
        </w:rPr>
        <w:t xml:space="preserve"> </w:t>
      </w:r>
      <w:r w:rsidR="001E09CD" w:rsidRPr="00D328BF">
        <w:rPr>
          <w:color w:val="auto"/>
          <w:lang w:eastAsia="zh-TW"/>
        </w:rPr>
        <w:t>MD</w:t>
      </w:r>
      <w:r w:rsidR="00A50FDE">
        <w:rPr>
          <w:color w:val="auto"/>
          <w:lang w:eastAsia="zh-TW"/>
        </w:rPr>
        <w:t xml:space="preserve"> </w:t>
      </w:r>
      <w:r w:rsidR="004E4CE8" w:rsidRPr="00D328BF">
        <w:rPr>
          <w:color w:val="auto"/>
          <w:vertAlign w:val="superscript"/>
          <w:lang w:eastAsia="zh-TW"/>
        </w:rPr>
        <w:t>d</w:t>
      </w:r>
      <w:r w:rsidR="002D314D" w:rsidRPr="00D328BF">
        <w:rPr>
          <w:color w:val="auto"/>
          <w:vertAlign w:val="superscript"/>
          <w:lang w:eastAsia="zh-TW"/>
        </w:rPr>
        <w:t>,</w:t>
      </w:r>
      <w:r w:rsidR="00A50FDE">
        <w:rPr>
          <w:color w:val="auto"/>
          <w:vertAlign w:val="superscript"/>
          <w:lang w:eastAsia="zh-TW"/>
        </w:rPr>
        <w:t xml:space="preserve"> </w:t>
      </w:r>
      <w:r w:rsidR="002D314D" w:rsidRPr="00D328BF">
        <w:rPr>
          <w:color w:val="auto"/>
          <w:vertAlign w:val="superscript"/>
          <w:lang w:eastAsia="zh-TW"/>
        </w:rPr>
        <w:t>e,</w:t>
      </w:r>
      <w:r w:rsidR="00A50FDE">
        <w:rPr>
          <w:color w:val="auto"/>
          <w:vertAlign w:val="superscript"/>
          <w:lang w:eastAsia="zh-TW"/>
        </w:rPr>
        <w:t xml:space="preserve"> </w:t>
      </w:r>
      <w:r w:rsidR="002D314D" w:rsidRPr="00D328BF">
        <w:rPr>
          <w:color w:val="auto"/>
          <w:vertAlign w:val="superscript"/>
          <w:lang w:eastAsia="zh-TW"/>
        </w:rPr>
        <w:t>f</w:t>
      </w:r>
      <w:r w:rsidR="002F5831" w:rsidRPr="00D328BF">
        <w:rPr>
          <w:rFonts w:hint="eastAsia"/>
          <w:color w:val="auto"/>
          <w:lang w:eastAsia="zh-TW"/>
        </w:rPr>
        <w:t xml:space="preserve"> Chon-Haw Tsai</w:t>
      </w:r>
      <w:r w:rsidR="000C2E78" w:rsidRPr="00D328BF">
        <w:rPr>
          <w:color w:val="auto"/>
          <w:lang w:eastAsia="zh-TW"/>
        </w:rPr>
        <w:t>,</w:t>
      </w:r>
      <w:r w:rsidR="00A50FDE">
        <w:rPr>
          <w:color w:val="auto"/>
          <w:lang w:eastAsia="zh-TW"/>
        </w:rPr>
        <w:t xml:space="preserve"> </w:t>
      </w:r>
      <w:r w:rsidR="001E09CD" w:rsidRPr="00D328BF">
        <w:rPr>
          <w:color w:val="auto"/>
          <w:lang w:eastAsia="zh-TW"/>
        </w:rPr>
        <w:t>MD</w:t>
      </w:r>
      <w:r w:rsidR="00A50FDE">
        <w:rPr>
          <w:color w:val="auto"/>
          <w:lang w:eastAsia="zh-TW"/>
        </w:rPr>
        <w:t xml:space="preserve"> </w:t>
      </w:r>
      <w:r w:rsidR="004E4CE8" w:rsidRPr="00D328BF">
        <w:rPr>
          <w:rFonts w:hint="eastAsia"/>
          <w:color w:val="auto"/>
          <w:vertAlign w:val="superscript"/>
          <w:lang w:eastAsia="zh-TW"/>
        </w:rPr>
        <w:t>b</w:t>
      </w:r>
      <w:r w:rsidR="000C2E78" w:rsidRPr="00D328BF">
        <w:rPr>
          <w:rFonts w:hint="eastAsia"/>
          <w:color w:val="auto"/>
          <w:lang w:eastAsia="zh-TW"/>
        </w:rPr>
        <w:t xml:space="preserve"> </w:t>
      </w:r>
      <w:proofErr w:type="spellStart"/>
      <w:r w:rsidR="00B127E5" w:rsidRPr="00D328BF">
        <w:rPr>
          <w:color w:val="auto"/>
          <w:lang w:eastAsia="zh-TW"/>
        </w:rPr>
        <w:t>Jui</w:t>
      </w:r>
      <w:proofErr w:type="spellEnd"/>
      <w:r w:rsidR="00B127E5" w:rsidRPr="00D328BF">
        <w:rPr>
          <w:color w:val="auto"/>
          <w:lang w:eastAsia="zh-TW"/>
        </w:rPr>
        <w:t>-Cheng Chen</w:t>
      </w:r>
      <w:r w:rsidR="001E09CD" w:rsidRPr="00D328BF">
        <w:rPr>
          <w:color w:val="auto"/>
          <w:lang w:eastAsia="zh-TW"/>
        </w:rPr>
        <w:t>, MD, PhD</w:t>
      </w:r>
      <w:r w:rsidR="00A50FDE">
        <w:rPr>
          <w:color w:val="auto"/>
          <w:lang w:eastAsia="zh-TW"/>
        </w:rPr>
        <w:t xml:space="preserve"> </w:t>
      </w:r>
      <w:r w:rsidR="004E4CE8" w:rsidRPr="00D328BF">
        <w:rPr>
          <w:rFonts w:hint="eastAsia"/>
          <w:color w:val="auto"/>
          <w:vertAlign w:val="superscript"/>
          <w:lang w:eastAsia="zh-TW"/>
        </w:rPr>
        <w:t>b</w:t>
      </w:r>
      <w:r w:rsidR="00F90B83">
        <w:rPr>
          <w:rFonts w:hint="eastAsia"/>
          <w:color w:val="auto"/>
          <w:vertAlign w:val="superscript"/>
          <w:lang w:eastAsia="zh-TW"/>
        </w:rPr>
        <w:t>,</w:t>
      </w:r>
      <w:r w:rsidR="00A50FDE">
        <w:rPr>
          <w:color w:val="auto"/>
          <w:vertAlign w:val="superscript"/>
          <w:lang w:eastAsia="zh-TW"/>
        </w:rPr>
        <w:t xml:space="preserve"> </w:t>
      </w:r>
      <w:r w:rsidR="00F90B83">
        <w:rPr>
          <w:rFonts w:hint="eastAsia"/>
          <w:color w:val="auto"/>
          <w:vertAlign w:val="superscript"/>
          <w:lang w:eastAsia="zh-TW"/>
        </w:rPr>
        <w:t>g,</w:t>
      </w:r>
      <w:r w:rsidR="00A50FDE">
        <w:rPr>
          <w:color w:val="auto"/>
          <w:vertAlign w:val="superscript"/>
          <w:lang w:eastAsia="zh-TW"/>
        </w:rPr>
        <w:t xml:space="preserve"> </w:t>
      </w:r>
      <w:r w:rsidR="00F90B83">
        <w:rPr>
          <w:rFonts w:hint="eastAsia"/>
          <w:color w:val="auto"/>
          <w:vertAlign w:val="superscript"/>
          <w:lang w:eastAsia="zh-TW"/>
        </w:rPr>
        <w:t>h</w:t>
      </w:r>
    </w:p>
    <w:p w14:paraId="07086E5F" w14:textId="77777777" w:rsidR="001E1453" w:rsidRPr="00A35C60" w:rsidRDefault="001E1453">
      <w:pPr>
        <w:widowControl/>
      </w:pPr>
    </w:p>
    <w:p w14:paraId="697EF8DE" w14:textId="47370438" w:rsidR="00A45E98" w:rsidRPr="00D328BF" w:rsidRDefault="00F56868">
      <w:pPr>
        <w:widowControl/>
        <w:rPr>
          <w:color w:val="auto"/>
          <w:lang w:eastAsia="zh-TW"/>
        </w:rPr>
      </w:pPr>
      <w:proofErr w:type="spellStart"/>
      <w:proofErr w:type="gramStart"/>
      <w:r w:rsidRPr="00D328BF">
        <w:rPr>
          <w:color w:val="auto"/>
          <w:vertAlign w:val="superscript"/>
        </w:rPr>
        <w:t>a</w:t>
      </w:r>
      <w:proofErr w:type="spellEnd"/>
      <w:proofErr w:type="gramEnd"/>
      <w:r w:rsidR="00A50FDE">
        <w:rPr>
          <w:color w:val="auto"/>
          <w:vertAlign w:val="superscript"/>
        </w:rPr>
        <w:t xml:space="preserve"> </w:t>
      </w:r>
      <w:r w:rsidR="00B94146" w:rsidRPr="00D328BF">
        <w:rPr>
          <w:color w:val="auto"/>
          <w:lang w:eastAsia="zh-TW"/>
        </w:rPr>
        <w:t xml:space="preserve">Institute of Neurology, </w:t>
      </w:r>
      <w:r w:rsidR="00E57098" w:rsidRPr="00D328BF">
        <w:rPr>
          <w:color w:val="auto"/>
          <w:lang w:eastAsia="zh-TW"/>
        </w:rPr>
        <w:t>UCL</w:t>
      </w:r>
      <w:r w:rsidR="00B94146" w:rsidRPr="00D328BF">
        <w:rPr>
          <w:color w:val="auto"/>
          <w:lang w:eastAsia="zh-TW"/>
        </w:rPr>
        <w:t>, London, UK;</w:t>
      </w:r>
    </w:p>
    <w:p w14:paraId="69DD6047" w14:textId="77777777" w:rsidR="00A50FDE" w:rsidRDefault="00F90B83">
      <w:pPr>
        <w:rPr>
          <w:color w:val="auto"/>
          <w:vertAlign w:val="superscript"/>
        </w:rPr>
      </w:pPr>
      <w:r w:rsidRPr="00D328BF">
        <w:rPr>
          <w:color w:val="auto"/>
          <w:vertAlign w:val="superscript"/>
        </w:rPr>
        <w:t>b</w:t>
      </w:r>
      <w:r w:rsidRPr="0021047B">
        <w:rPr>
          <w:rFonts w:eastAsia="PMingLiU" w:hAnsi="Times New Roman" w:cs="Times New Roman"/>
          <w:bCs/>
          <w:color w:val="auto"/>
          <w:sz w:val="20"/>
          <w:szCs w:val="20"/>
          <w:bdr w:val="none" w:sz="0" w:space="0" w:color="auto"/>
          <w:lang w:val="en-GB" w:eastAsia="zh-TW"/>
        </w:rPr>
        <w:t xml:space="preserve"> </w:t>
      </w:r>
      <w:r w:rsidRPr="0021047B">
        <w:rPr>
          <w:bCs/>
          <w:color w:val="auto"/>
          <w:lang w:val="en-GB"/>
        </w:rPr>
        <w:t>Neuroscience Laboratory, Department of Neurology, China Medical University Hospital, Taichung, Taiwan</w:t>
      </w:r>
      <w:r w:rsidRPr="00D328BF" w:rsidDel="00F90B83">
        <w:rPr>
          <w:color w:val="auto"/>
          <w:vertAlign w:val="superscript"/>
        </w:rPr>
        <w:t xml:space="preserve"> </w:t>
      </w:r>
    </w:p>
    <w:p w14:paraId="114056C9" w14:textId="7B6A3C41" w:rsidR="00A45E98" w:rsidRPr="00D328BF" w:rsidRDefault="000A2E72">
      <w:pPr>
        <w:rPr>
          <w:color w:val="auto"/>
        </w:rPr>
      </w:pPr>
      <w:r w:rsidRPr="00D328BF">
        <w:rPr>
          <w:color w:val="auto"/>
          <w:vertAlign w:val="superscript"/>
        </w:rPr>
        <w:t>c</w:t>
      </w:r>
      <w:r w:rsidR="00A50FDE">
        <w:rPr>
          <w:color w:val="auto"/>
          <w:vertAlign w:val="superscript"/>
        </w:rPr>
        <w:t xml:space="preserve"> </w:t>
      </w:r>
      <w:r w:rsidRPr="00D328BF">
        <w:rPr>
          <w:color w:val="auto"/>
        </w:rPr>
        <w:t>Management Office for Health Data, China Medical University Hospital, Taichung, Taiwan;</w:t>
      </w:r>
    </w:p>
    <w:p w14:paraId="01EB020A" w14:textId="18F7901E" w:rsidR="002D314D" w:rsidRPr="00D328BF" w:rsidRDefault="002D314D">
      <w:pPr>
        <w:rPr>
          <w:rFonts w:eastAsia="PMingLiU" w:hAnsi="Times New Roman" w:cs="Times New Roman"/>
          <w:color w:val="auto"/>
          <w:kern w:val="0"/>
        </w:rPr>
      </w:pPr>
      <w:r w:rsidRPr="00D328BF">
        <w:rPr>
          <w:color w:val="auto"/>
          <w:vertAlign w:val="superscript"/>
        </w:rPr>
        <w:t>d</w:t>
      </w:r>
      <w:r w:rsidR="00A50FDE">
        <w:rPr>
          <w:color w:val="auto"/>
          <w:vertAlign w:val="superscript"/>
        </w:rPr>
        <w:t xml:space="preserve"> </w:t>
      </w:r>
      <w:r w:rsidRPr="00D328BF">
        <w:rPr>
          <w:rFonts w:eastAsia="PMingLiU" w:hAnsi="Times New Roman" w:cs="Times New Roman"/>
          <w:color w:val="auto"/>
          <w:kern w:val="0"/>
        </w:rPr>
        <w:t>Graduate Institute of Clinical Medical Science and School of Medicine, College of Medicine, China Medical University, Taichung, Taiwan;</w:t>
      </w:r>
    </w:p>
    <w:p w14:paraId="1CDB6437" w14:textId="319F27FE" w:rsidR="002D314D" w:rsidRPr="00D328BF" w:rsidRDefault="002D314D">
      <w:pPr>
        <w:rPr>
          <w:rFonts w:eastAsia="PMingLiU" w:hAnsi="Times New Roman" w:cs="Times New Roman"/>
          <w:color w:val="auto"/>
          <w:kern w:val="0"/>
        </w:rPr>
      </w:pPr>
      <w:r w:rsidRPr="00D328BF">
        <w:rPr>
          <w:rFonts w:eastAsia="PMingLiU" w:hAnsi="Times New Roman" w:cs="Times New Roman"/>
          <w:color w:val="auto"/>
          <w:kern w:val="0"/>
          <w:vertAlign w:val="superscript"/>
        </w:rPr>
        <w:t>e</w:t>
      </w:r>
      <w:r w:rsidR="00A50FDE">
        <w:rPr>
          <w:rFonts w:eastAsia="PMingLiU" w:hAnsi="Times New Roman" w:cs="Times New Roman"/>
          <w:color w:val="auto"/>
          <w:kern w:val="0"/>
          <w:vertAlign w:val="superscript"/>
        </w:rPr>
        <w:t xml:space="preserve"> </w:t>
      </w:r>
      <w:r w:rsidRPr="00D328BF">
        <w:rPr>
          <w:rFonts w:eastAsia="PMingLiU" w:hAnsi="Times New Roman" w:cs="Times New Roman"/>
          <w:color w:val="auto"/>
          <w:kern w:val="0"/>
        </w:rPr>
        <w:t>Department of Nuclear Medicine and PET Center, China Medical University Hospital, Taichung, Taiwan;</w:t>
      </w:r>
    </w:p>
    <w:p w14:paraId="68C5FE85" w14:textId="2BF111EE" w:rsidR="002D314D" w:rsidRDefault="002D314D">
      <w:pPr>
        <w:rPr>
          <w:rFonts w:eastAsia="PMingLiU" w:hAnsi="Times New Roman" w:cs="Times New Roman"/>
          <w:color w:val="auto"/>
          <w:kern w:val="0"/>
        </w:rPr>
      </w:pPr>
      <w:r w:rsidRPr="00D328BF">
        <w:rPr>
          <w:rFonts w:eastAsia="PMingLiU" w:hAnsi="Times New Roman" w:cs="Times New Roman"/>
          <w:color w:val="auto"/>
          <w:kern w:val="0"/>
          <w:vertAlign w:val="superscript"/>
        </w:rPr>
        <w:t>f</w:t>
      </w:r>
      <w:r w:rsidR="00A50FDE">
        <w:rPr>
          <w:rFonts w:eastAsia="PMingLiU" w:hAnsi="Times New Roman" w:cs="Times New Roman"/>
          <w:color w:val="auto"/>
          <w:kern w:val="0"/>
          <w:vertAlign w:val="superscript"/>
        </w:rPr>
        <w:t xml:space="preserve"> </w:t>
      </w:r>
      <w:r w:rsidRPr="00D328BF">
        <w:rPr>
          <w:rFonts w:eastAsia="PMingLiU" w:hAnsi="Times New Roman" w:cs="Times New Roman"/>
          <w:color w:val="auto"/>
          <w:kern w:val="0"/>
        </w:rPr>
        <w:t>Department of Bioinformatics and Medical Engineering, Asia University, Taichung, Taiwan</w:t>
      </w:r>
    </w:p>
    <w:p w14:paraId="72C4B6EE" w14:textId="55264191" w:rsidR="00F90B83" w:rsidRPr="00A50FDE" w:rsidRDefault="00F90B83" w:rsidP="00F90B83">
      <w:pPr>
        <w:rPr>
          <w:color w:val="auto"/>
          <w:lang w:eastAsia="zh-TW"/>
        </w:rPr>
      </w:pPr>
      <w:r w:rsidRPr="00A50FDE">
        <w:rPr>
          <w:rFonts w:hint="eastAsia"/>
          <w:bCs/>
          <w:color w:val="auto"/>
          <w:vertAlign w:val="superscript"/>
          <w:lang w:val="en-GB" w:eastAsia="zh-TW"/>
        </w:rPr>
        <w:t>g</w:t>
      </w:r>
      <w:r w:rsidR="00A50FDE" w:rsidRPr="00A50FDE">
        <w:rPr>
          <w:bCs/>
          <w:color w:val="auto"/>
          <w:vertAlign w:val="superscript"/>
          <w:lang w:val="en-GB" w:eastAsia="zh-TW"/>
        </w:rPr>
        <w:t xml:space="preserve"> </w:t>
      </w:r>
      <w:r w:rsidRPr="00A50FDE">
        <w:rPr>
          <w:bCs/>
          <w:color w:val="auto"/>
          <w:lang w:val="en-GB" w:eastAsia="zh-TW"/>
        </w:rPr>
        <w:t>School of Medicine, China Medical University, Taichung, Taiwan;</w:t>
      </w:r>
    </w:p>
    <w:p w14:paraId="6622F41E" w14:textId="28AA038F" w:rsidR="004E4CE8" w:rsidRPr="00A50FDE" w:rsidRDefault="00F90B83">
      <w:pPr>
        <w:rPr>
          <w:bCs/>
          <w:color w:val="auto"/>
          <w:lang w:val="en-GB"/>
        </w:rPr>
      </w:pPr>
      <w:r>
        <w:rPr>
          <w:rFonts w:hint="eastAsia"/>
          <w:bCs/>
          <w:color w:val="auto"/>
          <w:vertAlign w:val="superscript"/>
          <w:lang w:val="en-GB"/>
        </w:rPr>
        <w:t>h</w:t>
      </w:r>
      <w:r w:rsidR="00A50FDE">
        <w:rPr>
          <w:bCs/>
          <w:color w:val="auto"/>
          <w:vertAlign w:val="superscript"/>
          <w:lang w:val="en-GB"/>
        </w:rPr>
        <w:t xml:space="preserve"> </w:t>
      </w:r>
      <w:r w:rsidRPr="0021047B">
        <w:rPr>
          <w:bCs/>
          <w:color w:val="auto"/>
          <w:lang w:val="en-GB"/>
        </w:rPr>
        <w:t>Brain Disease Research Cent</w:t>
      </w:r>
      <w:r>
        <w:rPr>
          <w:rFonts w:hint="eastAsia"/>
          <w:bCs/>
          <w:color w:val="auto"/>
          <w:lang w:val="en-GB"/>
        </w:rPr>
        <w:t>re</w:t>
      </w:r>
      <w:r w:rsidRPr="0021047B">
        <w:rPr>
          <w:bCs/>
          <w:color w:val="auto"/>
          <w:lang w:val="en-GB"/>
        </w:rPr>
        <w:t>, China Medical University Hospital, Taichung, Taiwan</w:t>
      </w:r>
      <w:r w:rsidRPr="00D328BF">
        <w:rPr>
          <w:color w:val="auto"/>
        </w:rPr>
        <w:t>;</w:t>
      </w:r>
    </w:p>
    <w:p w14:paraId="6C4E1597" w14:textId="3B5C5FAD" w:rsidR="00E24038" w:rsidRPr="00A35C60" w:rsidRDefault="00E24038">
      <w:pPr>
        <w:rPr>
          <w:lang w:eastAsia="zh-TW"/>
        </w:rPr>
      </w:pPr>
      <w:r w:rsidRPr="00A35C60">
        <w:t xml:space="preserve">Corresponding Author: </w:t>
      </w:r>
      <w:proofErr w:type="spellStart"/>
      <w:r w:rsidR="00B94146" w:rsidRPr="00A35C60">
        <w:rPr>
          <w:rFonts w:hint="eastAsia"/>
          <w:lang w:eastAsia="zh-TW"/>
        </w:rPr>
        <w:t>Jui</w:t>
      </w:r>
      <w:proofErr w:type="spellEnd"/>
      <w:r w:rsidR="00B94146" w:rsidRPr="00A35C60">
        <w:rPr>
          <w:rFonts w:hint="eastAsia"/>
          <w:lang w:eastAsia="zh-TW"/>
        </w:rPr>
        <w:t>-Cheng Chen</w:t>
      </w:r>
    </w:p>
    <w:p w14:paraId="0A9F2105" w14:textId="77777777" w:rsidR="00B94146" w:rsidRPr="00A35C60" w:rsidRDefault="00B94146">
      <w:pPr>
        <w:rPr>
          <w:lang w:eastAsia="zh-TW"/>
        </w:rPr>
      </w:pPr>
      <w:r w:rsidRPr="00A35C60">
        <w:rPr>
          <w:rFonts w:hint="eastAsia"/>
          <w:lang w:eastAsia="zh-TW"/>
        </w:rPr>
        <w:t xml:space="preserve">China Medical University, 2 </w:t>
      </w:r>
      <w:proofErr w:type="spellStart"/>
      <w:r w:rsidRPr="00A35C60">
        <w:rPr>
          <w:rFonts w:hint="eastAsia"/>
          <w:lang w:eastAsia="zh-TW"/>
        </w:rPr>
        <w:t>Yuh</w:t>
      </w:r>
      <w:proofErr w:type="spellEnd"/>
      <w:r w:rsidRPr="00A35C60">
        <w:rPr>
          <w:rFonts w:hint="eastAsia"/>
          <w:lang w:eastAsia="zh-TW"/>
        </w:rPr>
        <w:t xml:space="preserve">-der Rd, Taichung, Taiwan </w:t>
      </w:r>
    </w:p>
    <w:p w14:paraId="15C2644E" w14:textId="579CB96E" w:rsidR="00E24038" w:rsidRPr="00A35C60" w:rsidRDefault="00E57098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Email:</w:t>
      </w:r>
      <w:r w:rsidR="001C7852" w:rsidRPr="00A35C60">
        <w:rPr>
          <w:rFonts w:hint="eastAsia"/>
          <w:lang w:eastAsia="zh-TW"/>
        </w:rPr>
        <w:t>andrewtw717@gmail.com</w:t>
      </w:r>
      <w:proofErr w:type="gramEnd"/>
    </w:p>
    <w:p w14:paraId="4B58E841" w14:textId="7901CBBC" w:rsidR="00426527" w:rsidRPr="00A35C60" w:rsidRDefault="00426527"/>
    <w:p w14:paraId="2CD2E4A0" w14:textId="179ABA65" w:rsidR="00426527" w:rsidRPr="00E56E2C" w:rsidRDefault="00426527" w:rsidP="00426527">
      <w:pPr>
        <w:spacing w:line="480" w:lineRule="auto"/>
        <w:rPr>
          <w:rFonts w:eastAsia="Times New Roman" w:hAnsi="Times New Roman" w:cs="Times New Roman"/>
          <w:lang w:eastAsia="de-DE"/>
        </w:rPr>
      </w:pPr>
      <w:r w:rsidRPr="00E56E2C">
        <w:rPr>
          <w:rFonts w:eastAsia="Times New Roman" w:hAnsi="Times New Roman" w:cs="Times New Roman"/>
          <w:b/>
          <w:lang w:eastAsia="de-DE"/>
        </w:rPr>
        <w:t>Num</w:t>
      </w:r>
      <w:r w:rsidR="00E57098" w:rsidRPr="00E56E2C">
        <w:rPr>
          <w:rFonts w:eastAsia="Times New Roman" w:hAnsi="Times New Roman" w:cs="Times New Roman"/>
          <w:b/>
          <w:lang w:eastAsia="de-DE"/>
        </w:rPr>
        <w:t>ber of characters in the title:</w:t>
      </w:r>
      <w:r w:rsidR="00F95E15" w:rsidRPr="00E56E2C">
        <w:rPr>
          <w:rFonts w:eastAsia="Times New Roman" w:hAnsi="Times New Roman" w:cs="Times New Roman"/>
          <w:b/>
          <w:lang w:eastAsia="de-DE"/>
        </w:rPr>
        <w:t xml:space="preserve"> </w:t>
      </w:r>
      <w:r w:rsidR="000C2E78" w:rsidRPr="00E56E2C">
        <w:rPr>
          <w:rFonts w:eastAsia="Times New Roman" w:hAnsi="Times New Roman" w:cs="Times New Roman"/>
          <w:lang w:eastAsia="de-DE"/>
        </w:rPr>
        <w:t>7</w:t>
      </w:r>
      <w:r w:rsidR="00A50FDE">
        <w:rPr>
          <w:rFonts w:eastAsia="Times New Roman" w:hAnsi="Times New Roman" w:cs="Times New Roman"/>
          <w:lang w:eastAsia="de-DE"/>
        </w:rPr>
        <w:t>2</w:t>
      </w:r>
    </w:p>
    <w:p w14:paraId="31998DE4" w14:textId="05C38A39" w:rsidR="007554A8" w:rsidRPr="00E56E2C" w:rsidRDefault="007554A8" w:rsidP="00426527">
      <w:pPr>
        <w:spacing w:line="480" w:lineRule="auto"/>
        <w:rPr>
          <w:rFonts w:eastAsia="Times New Roman" w:hAnsi="Times New Roman" w:cs="Times New Roman"/>
          <w:b/>
          <w:lang w:eastAsia="de-DE"/>
        </w:rPr>
      </w:pPr>
      <w:r w:rsidRPr="00E56E2C">
        <w:rPr>
          <w:rFonts w:eastAsia="Times New Roman" w:hAnsi="Times New Roman" w:cs="Times New Roman"/>
          <w:b/>
          <w:lang w:eastAsia="de-DE"/>
        </w:rPr>
        <w:t>N</w:t>
      </w:r>
      <w:r w:rsidR="00E57098" w:rsidRPr="00E56E2C">
        <w:rPr>
          <w:rFonts w:eastAsia="Times New Roman" w:hAnsi="Times New Roman" w:cs="Times New Roman"/>
          <w:b/>
          <w:lang w:eastAsia="de-DE"/>
        </w:rPr>
        <w:t>umber of words in the abstract:</w:t>
      </w:r>
      <w:r w:rsidR="00F95E15" w:rsidRPr="00E56E2C">
        <w:rPr>
          <w:rFonts w:eastAsia="Times New Roman" w:hAnsi="Times New Roman" w:cs="Times New Roman"/>
          <w:b/>
          <w:lang w:eastAsia="de-DE"/>
        </w:rPr>
        <w:t xml:space="preserve"> </w:t>
      </w:r>
      <w:r w:rsidR="00E56E2C" w:rsidRPr="00E56E2C">
        <w:rPr>
          <w:rFonts w:eastAsia="Times New Roman" w:hAnsi="Times New Roman" w:cs="Times New Roman"/>
          <w:lang w:eastAsia="de-DE"/>
        </w:rPr>
        <w:t>21</w:t>
      </w:r>
      <w:r w:rsidR="00A50FDE">
        <w:rPr>
          <w:rFonts w:eastAsia="Times New Roman" w:hAnsi="Times New Roman" w:cs="Times New Roman"/>
          <w:lang w:eastAsia="de-DE"/>
        </w:rPr>
        <w:t>9</w:t>
      </w:r>
    </w:p>
    <w:p w14:paraId="6AE52D68" w14:textId="37EE0CDE" w:rsidR="00426527" w:rsidRPr="009F454C" w:rsidRDefault="00426527" w:rsidP="00426527">
      <w:pPr>
        <w:spacing w:line="480" w:lineRule="auto"/>
        <w:rPr>
          <w:rFonts w:eastAsia="Times New Roman" w:hAnsi="Times New Roman" w:cs="Times New Roman"/>
          <w:lang w:eastAsia="de-DE"/>
        </w:rPr>
      </w:pPr>
      <w:r w:rsidRPr="009F454C">
        <w:rPr>
          <w:rFonts w:eastAsia="Times New Roman" w:hAnsi="Times New Roman" w:cs="Times New Roman"/>
          <w:b/>
          <w:lang w:eastAsia="de-DE"/>
        </w:rPr>
        <w:t>Number of words in the manuscript:</w:t>
      </w:r>
      <w:r w:rsidR="00F95E15" w:rsidRPr="009F454C">
        <w:rPr>
          <w:rFonts w:eastAsia="Times New Roman" w:hAnsi="Times New Roman" w:cs="Times New Roman"/>
          <w:b/>
          <w:lang w:eastAsia="de-DE"/>
        </w:rPr>
        <w:t xml:space="preserve"> </w:t>
      </w:r>
      <w:r w:rsidR="008517E7" w:rsidRPr="009F454C">
        <w:rPr>
          <w:rFonts w:eastAsia="Times New Roman" w:hAnsi="Times New Roman" w:cs="Times New Roman"/>
          <w:lang w:eastAsia="de-DE"/>
        </w:rPr>
        <w:t>22</w:t>
      </w:r>
      <w:r w:rsidR="00A50FDE">
        <w:rPr>
          <w:rFonts w:eastAsia="Times New Roman" w:hAnsi="Times New Roman" w:cs="Times New Roman"/>
          <w:lang w:eastAsia="de-DE"/>
        </w:rPr>
        <w:t>57</w:t>
      </w:r>
    </w:p>
    <w:p w14:paraId="750BD6DB" w14:textId="41F75C8C" w:rsidR="00426527" w:rsidRPr="000E2A28" w:rsidRDefault="00426527" w:rsidP="00426527">
      <w:pPr>
        <w:spacing w:line="480" w:lineRule="auto"/>
        <w:rPr>
          <w:rFonts w:eastAsia="Times New Roman" w:hAnsi="Times New Roman" w:cs="Times New Roman"/>
          <w:lang w:eastAsia="de-DE"/>
        </w:rPr>
      </w:pPr>
      <w:r w:rsidRPr="000E2A28">
        <w:rPr>
          <w:rFonts w:eastAsia="Times New Roman" w:hAnsi="Times New Roman" w:cs="Times New Roman"/>
          <w:b/>
          <w:lang w:eastAsia="de-DE"/>
        </w:rPr>
        <w:t>References:</w:t>
      </w:r>
      <w:r w:rsidR="00F95E15" w:rsidRPr="000E2A28">
        <w:rPr>
          <w:rFonts w:eastAsia="Times New Roman" w:hAnsi="Times New Roman" w:cs="Times New Roman"/>
          <w:b/>
          <w:lang w:eastAsia="de-DE"/>
        </w:rPr>
        <w:t xml:space="preserve"> </w:t>
      </w:r>
      <w:r w:rsidR="00D062D5">
        <w:rPr>
          <w:rFonts w:eastAsia="Times New Roman" w:hAnsi="Times New Roman" w:cs="Times New Roman"/>
          <w:lang w:eastAsia="de-DE"/>
        </w:rPr>
        <w:t>20</w:t>
      </w:r>
    </w:p>
    <w:p w14:paraId="53215AA7" w14:textId="6E2184BE" w:rsidR="00E57098" w:rsidRPr="00E57098" w:rsidRDefault="001E1453" w:rsidP="00E57098">
      <w:pPr>
        <w:spacing w:line="480" w:lineRule="auto"/>
        <w:rPr>
          <w:rFonts w:eastAsia="Times New Roman" w:hAnsi="Times New Roman" w:cs="Times New Roman"/>
          <w:lang w:eastAsia="de-DE"/>
        </w:rPr>
      </w:pPr>
      <w:r w:rsidRPr="00E56E2C">
        <w:rPr>
          <w:rFonts w:eastAsia="Times New Roman" w:hAnsi="Times New Roman" w:cs="Times New Roman"/>
          <w:b/>
          <w:lang w:eastAsia="de-DE"/>
        </w:rPr>
        <w:t>Tables\</w:t>
      </w:r>
      <w:r w:rsidR="00426527" w:rsidRPr="00E56E2C">
        <w:rPr>
          <w:rFonts w:eastAsia="Times New Roman" w:hAnsi="Times New Roman" w:cs="Times New Roman"/>
          <w:b/>
          <w:lang w:eastAsia="de-DE"/>
        </w:rPr>
        <w:t>Figures</w:t>
      </w:r>
      <w:r w:rsidR="00D328BF">
        <w:rPr>
          <w:rFonts w:eastAsia="Times New Roman" w:hAnsi="Times New Roman" w:cs="Times New Roman"/>
          <w:b/>
          <w:lang w:eastAsia="de-DE"/>
        </w:rPr>
        <w:t xml:space="preserve">: </w:t>
      </w:r>
      <w:r w:rsidR="00E56E2C" w:rsidRPr="00E56E2C">
        <w:rPr>
          <w:rFonts w:eastAsia="Times New Roman" w:hAnsi="Times New Roman" w:cs="Times New Roman"/>
          <w:lang w:eastAsia="de-DE"/>
        </w:rPr>
        <w:t>3</w:t>
      </w:r>
    </w:p>
    <w:p w14:paraId="041E2EFF" w14:textId="6A5D169F" w:rsidR="00E24038" w:rsidRPr="00A35C60" w:rsidRDefault="00E24038">
      <w:r w:rsidRPr="00A35C60">
        <w:t>Keywords: Colonic diverticular disease, Parkinson</w:t>
      </w:r>
      <w:r w:rsidRPr="00A35C60">
        <w:t>’</w:t>
      </w:r>
      <w:r w:rsidR="004E4CE8">
        <w:t>s disease</w:t>
      </w:r>
    </w:p>
    <w:p w14:paraId="14FDA3B6" w14:textId="77777777" w:rsidR="00E24038" w:rsidRPr="00D328BF" w:rsidRDefault="00E24038">
      <w:pPr>
        <w:rPr>
          <w:color w:val="auto"/>
        </w:rPr>
      </w:pPr>
    </w:p>
    <w:p w14:paraId="57181316" w14:textId="2A2E7D46" w:rsidR="00A45E98" w:rsidRPr="00D328BF" w:rsidRDefault="00E47B93">
      <w:pPr>
        <w:rPr>
          <w:color w:val="auto"/>
        </w:rPr>
        <w:sectPr w:rsidR="00A45E98" w:rsidRPr="00D328BF">
          <w:footerReference w:type="default" r:id="rId8"/>
          <w:pgSz w:w="11900" w:h="16840"/>
          <w:pgMar w:top="1440" w:right="1800" w:bottom="1440" w:left="1800" w:header="851" w:footer="992" w:gutter="0"/>
          <w:cols w:space="720"/>
        </w:sectPr>
      </w:pPr>
      <w:r w:rsidRPr="00A50FDE">
        <w:rPr>
          <w:color w:val="auto"/>
          <w:lang w:eastAsia="zh-TW"/>
        </w:rPr>
        <w:t>Acknowledgement</w:t>
      </w:r>
      <w:r w:rsidRPr="00A50FDE">
        <w:rPr>
          <w:rFonts w:hint="eastAsia"/>
          <w:color w:val="auto"/>
          <w:lang w:eastAsia="zh-TW"/>
        </w:rPr>
        <w:t xml:space="preserve">: </w:t>
      </w:r>
      <w:r w:rsidR="00B438DF" w:rsidRPr="00A50FDE">
        <w:rPr>
          <w:color w:val="auto"/>
          <w:lang w:eastAsia="zh-TW"/>
        </w:rPr>
        <w:t>This study is supported in part by Taiwan Ministry of Health and Welfare Clinical Trial and Research Center of Excellence (</w:t>
      </w:r>
      <w:r w:rsidR="00F90B83" w:rsidRPr="00A50FDE">
        <w:rPr>
          <w:color w:val="auto"/>
          <w:lang w:eastAsia="zh-TW"/>
        </w:rPr>
        <w:t>(</w:t>
      </w:r>
      <w:r w:rsidR="00F90B83" w:rsidRPr="00A50FDE">
        <w:t>MOHW106-TDU-B-212-113004</w:t>
      </w:r>
      <w:r w:rsidR="00F90B83" w:rsidRPr="00A50FDE">
        <w:rPr>
          <w:color w:val="auto"/>
          <w:lang w:eastAsia="zh-TW"/>
        </w:rPr>
        <w:t>)</w:t>
      </w:r>
      <w:r w:rsidR="00F90B83" w:rsidRPr="00A50FDE">
        <w:rPr>
          <w:rFonts w:hint="eastAsia"/>
          <w:color w:val="auto"/>
          <w:lang w:eastAsia="zh-TW"/>
        </w:rPr>
        <w:t xml:space="preserve">, </w:t>
      </w:r>
      <w:r w:rsidR="00B438DF" w:rsidRPr="00A50FDE">
        <w:rPr>
          <w:color w:val="auto"/>
          <w:lang w:eastAsia="zh-TW"/>
        </w:rPr>
        <w:t xml:space="preserve">China Medical University Hospital, Academia </w:t>
      </w:r>
      <w:proofErr w:type="spellStart"/>
      <w:r w:rsidR="00B438DF" w:rsidRPr="00A50FDE">
        <w:rPr>
          <w:color w:val="auto"/>
          <w:lang w:eastAsia="zh-TW"/>
        </w:rPr>
        <w:t>Sinica</w:t>
      </w:r>
      <w:proofErr w:type="spellEnd"/>
      <w:r w:rsidR="00B438DF" w:rsidRPr="00A50FDE">
        <w:rPr>
          <w:color w:val="auto"/>
          <w:lang w:eastAsia="zh-TW"/>
        </w:rPr>
        <w:t xml:space="preserve"> Taiwan Biobank Stroke </w:t>
      </w:r>
      <w:proofErr w:type="spellStart"/>
      <w:r w:rsidR="00B438DF" w:rsidRPr="00A50FDE">
        <w:rPr>
          <w:color w:val="auto"/>
          <w:lang w:eastAsia="zh-TW"/>
        </w:rPr>
        <w:t>Biosignature</w:t>
      </w:r>
      <w:proofErr w:type="spellEnd"/>
      <w:r w:rsidR="00B438DF" w:rsidRPr="00A50FDE">
        <w:rPr>
          <w:color w:val="auto"/>
          <w:lang w:eastAsia="zh-TW"/>
        </w:rPr>
        <w:t xml:space="preserve"> Project (BM10501010037), NRPB Stroke Clinical Trial Consortium (</w:t>
      </w:r>
      <w:r w:rsidR="007C23F3" w:rsidRPr="00A50FDE">
        <w:rPr>
          <w:color w:val="auto"/>
          <w:lang w:eastAsia="zh-TW"/>
        </w:rPr>
        <w:t>MOST 105-2325-B-039-003</w:t>
      </w:r>
      <w:r w:rsidR="00B438DF" w:rsidRPr="00A50FDE">
        <w:rPr>
          <w:color w:val="auto"/>
          <w:lang w:eastAsia="zh-TW"/>
        </w:rPr>
        <w:t xml:space="preserve">), Tseng-Lien Lin Foundation, Taichung, Taiwan, Taiwan Brain </w:t>
      </w:r>
      <w:proofErr w:type="spellStart"/>
      <w:r w:rsidR="00B438DF" w:rsidRPr="00A50FDE">
        <w:rPr>
          <w:color w:val="auto"/>
          <w:lang w:eastAsia="zh-TW"/>
        </w:rPr>
        <w:t>DiseaseFoundation</w:t>
      </w:r>
      <w:proofErr w:type="spellEnd"/>
      <w:r w:rsidR="00B438DF" w:rsidRPr="00A50FDE">
        <w:rPr>
          <w:color w:val="auto"/>
          <w:lang w:eastAsia="zh-TW"/>
        </w:rPr>
        <w:t xml:space="preserve">, Taipei, Taiwan, </w:t>
      </w:r>
      <w:proofErr w:type="spellStart"/>
      <w:r w:rsidR="00B438DF" w:rsidRPr="00A50FDE">
        <w:rPr>
          <w:color w:val="auto"/>
          <w:lang w:eastAsia="zh-TW"/>
        </w:rPr>
        <w:t>Katsuzo</w:t>
      </w:r>
      <w:proofErr w:type="spellEnd"/>
      <w:r w:rsidR="00B438DF" w:rsidRPr="00A50FDE">
        <w:rPr>
          <w:color w:val="auto"/>
          <w:lang w:eastAsia="zh-TW"/>
        </w:rPr>
        <w:t xml:space="preserve"> and Kiyo</w:t>
      </w:r>
      <w:r w:rsidR="00B438DF" w:rsidRPr="00D328BF">
        <w:rPr>
          <w:color w:val="auto"/>
          <w:lang w:eastAsia="zh-TW"/>
        </w:rPr>
        <w:t xml:space="preserve"> </w:t>
      </w:r>
      <w:proofErr w:type="spellStart"/>
      <w:r w:rsidR="00B438DF" w:rsidRPr="00D328BF">
        <w:rPr>
          <w:color w:val="auto"/>
          <w:lang w:eastAsia="zh-TW"/>
        </w:rPr>
        <w:t>AoshimaMemorial</w:t>
      </w:r>
      <w:proofErr w:type="spellEnd"/>
      <w:r w:rsidR="00B438DF" w:rsidRPr="00D328BF">
        <w:rPr>
          <w:color w:val="auto"/>
          <w:lang w:eastAsia="zh-TW"/>
        </w:rPr>
        <w:t xml:space="preserve"> Funds, Japan,</w:t>
      </w:r>
      <w:r w:rsidR="00B438DF" w:rsidRPr="00D328BF">
        <w:rPr>
          <w:rFonts w:hint="eastAsia"/>
          <w:color w:val="auto"/>
          <w:lang w:eastAsia="zh-TW"/>
        </w:rPr>
        <w:t xml:space="preserve"> </w:t>
      </w:r>
      <w:r w:rsidR="00740E57" w:rsidRPr="00D328BF">
        <w:rPr>
          <w:color w:val="auto"/>
        </w:rPr>
        <w:t>DMR-105-181</w:t>
      </w:r>
      <w:r w:rsidR="00740E57" w:rsidRPr="00D328BF">
        <w:rPr>
          <w:rFonts w:hint="eastAsia"/>
          <w:color w:val="auto"/>
        </w:rPr>
        <w:t xml:space="preserve">, </w:t>
      </w:r>
      <w:r w:rsidR="00740E57" w:rsidRPr="00D328BF">
        <w:rPr>
          <w:color w:val="auto"/>
        </w:rPr>
        <w:t>MOST 105-2632-B-039-003-</w:t>
      </w:r>
      <w:r w:rsidR="00740E57" w:rsidRPr="00D328BF">
        <w:rPr>
          <w:rFonts w:hint="eastAsia"/>
          <w:color w:val="auto"/>
        </w:rPr>
        <w:t xml:space="preserve">, </w:t>
      </w:r>
      <w:r w:rsidR="00740E57" w:rsidRPr="00D328BF">
        <w:rPr>
          <w:color w:val="auto"/>
        </w:rPr>
        <w:t xml:space="preserve"> MOST 105-2314-B-039-005-MY2</w:t>
      </w:r>
      <w:r w:rsidR="00740E57" w:rsidRPr="00D328BF">
        <w:rPr>
          <w:rFonts w:hint="eastAsia"/>
          <w:color w:val="auto"/>
        </w:rPr>
        <w:t xml:space="preserve"> and </w:t>
      </w:r>
      <w:r w:rsidR="00740E57" w:rsidRPr="00D328BF">
        <w:rPr>
          <w:color w:val="auto"/>
        </w:rPr>
        <w:t>CMU104-N-12</w:t>
      </w:r>
      <w:r w:rsidR="00740E57" w:rsidRPr="00D328BF">
        <w:rPr>
          <w:rFonts w:hint="eastAsia"/>
          <w:color w:val="auto"/>
        </w:rPr>
        <w:t>.</w:t>
      </w:r>
    </w:p>
    <w:p w14:paraId="29A4427E" w14:textId="434F5BC5" w:rsidR="006472EA" w:rsidRDefault="00E24038" w:rsidP="003E41B2">
      <w:pPr>
        <w:spacing w:line="480" w:lineRule="auto"/>
        <w:rPr>
          <w:rFonts w:hAnsi="Times New Roman" w:cs="Times New Roman"/>
          <w:b/>
        </w:rPr>
      </w:pPr>
      <w:r w:rsidRPr="003E41B2">
        <w:rPr>
          <w:rFonts w:hAnsi="Times New Roman" w:cs="Times New Roman"/>
          <w:b/>
        </w:rPr>
        <w:lastRenderedPageBreak/>
        <w:t>ABSTRACT</w:t>
      </w:r>
    </w:p>
    <w:p w14:paraId="12A2C8D0" w14:textId="77777777" w:rsidR="002A3BF7" w:rsidRPr="00D328BF" w:rsidRDefault="002A3BF7" w:rsidP="003E41B2">
      <w:pPr>
        <w:spacing w:line="480" w:lineRule="auto"/>
        <w:rPr>
          <w:rFonts w:hAnsi="Times New Roman" w:cs="Times New Roman"/>
          <w:b/>
          <w:color w:val="auto"/>
        </w:rPr>
      </w:pPr>
    </w:p>
    <w:p w14:paraId="1D97AF19" w14:textId="123E0517" w:rsidR="00B438DF" w:rsidRPr="00D328BF" w:rsidRDefault="00B438DF" w:rsidP="00B438DF">
      <w:pPr>
        <w:spacing w:line="480" w:lineRule="auto"/>
        <w:jc w:val="both"/>
        <w:rPr>
          <w:rFonts w:hAnsi="Times New Roman" w:cs="Times New Roman"/>
          <w:color w:val="auto"/>
          <w:lang w:eastAsia="zh-TW"/>
        </w:rPr>
      </w:pPr>
      <w:r w:rsidRPr="00D328BF">
        <w:rPr>
          <w:rFonts w:hAnsi="Times New Roman" w:cs="Times New Roman" w:hint="eastAsia"/>
          <w:color w:val="auto"/>
          <w:lang w:eastAsia="zh-TW"/>
        </w:rPr>
        <w:t>Background</w:t>
      </w:r>
      <w:r w:rsidR="005D6C15" w:rsidRPr="00D328BF">
        <w:rPr>
          <w:rFonts w:hAnsi="Times New Roman" w:cs="Times New Roman"/>
          <w:color w:val="auto"/>
          <w:lang w:eastAsia="zh-TW"/>
        </w:rPr>
        <w:t>:</w:t>
      </w:r>
      <w:r w:rsidR="002A3BF7" w:rsidRPr="00D328BF">
        <w:rPr>
          <w:rFonts w:hAnsi="Times New Roman" w:cs="Times New Roman"/>
          <w:color w:val="auto"/>
          <w:lang w:eastAsia="zh-TW"/>
        </w:rPr>
        <w:t xml:space="preserve"> </w:t>
      </w:r>
      <w:r w:rsidR="001E09CD" w:rsidRPr="00D328BF">
        <w:rPr>
          <w:rFonts w:hAnsi="Times New Roman" w:cs="Times New Roman"/>
          <w:color w:val="auto"/>
          <w:lang w:val="en" w:eastAsia="zh-TW"/>
        </w:rPr>
        <w:t>Colonic diverticular diseas</w:t>
      </w:r>
      <w:r w:rsidR="00E56E2C" w:rsidRPr="00D328BF">
        <w:rPr>
          <w:rFonts w:hAnsi="Times New Roman" w:cs="Times New Roman"/>
          <w:color w:val="auto"/>
          <w:lang w:val="en" w:eastAsia="zh-TW"/>
        </w:rPr>
        <w:t>e</w:t>
      </w:r>
      <w:r w:rsidRPr="00D328BF">
        <w:rPr>
          <w:rFonts w:hAnsi="Times New Roman" w:cs="Times New Roman"/>
          <w:color w:val="auto"/>
          <w:lang w:eastAsia="zh-TW"/>
        </w:rPr>
        <w:t xml:space="preserve"> is a chronic gastrointestinal disorder. Previous studies have suggested that chronic gastrointestinal tract </w:t>
      </w:r>
      <w:r w:rsidR="00D328BF">
        <w:rPr>
          <w:rFonts w:hAnsi="Times New Roman" w:cs="Times New Roman"/>
          <w:color w:val="auto"/>
          <w:lang w:eastAsia="zh-TW"/>
        </w:rPr>
        <w:t>is involved in the pathophysiology</w:t>
      </w:r>
      <w:r w:rsidR="005D6C15" w:rsidRPr="00D328BF">
        <w:rPr>
          <w:rFonts w:hAnsi="Times New Roman" w:cs="Times New Roman"/>
          <w:color w:val="auto"/>
          <w:lang w:eastAsia="zh-TW"/>
        </w:rPr>
        <w:t xml:space="preserve"> of </w:t>
      </w:r>
      <w:r w:rsidR="00E56E2C" w:rsidRPr="00D328BF">
        <w:rPr>
          <w:rFonts w:hAnsi="Times New Roman" w:cs="Times New Roman"/>
          <w:color w:val="auto"/>
          <w:lang w:eastAsia="zh-TW"/>
        </w:rPr>
        <w:t>Parkinson’s disease</w:t>
      </w:r>
      <w:r w:rsidRPr="00D328BF">
        <w:rPr>
          <w:rFonts w:hAnsi="Times New Roman" w:cs="Times New Roman"/>
          <w:color w:val="auto"/>
          <w:lang w:eastAsia="zh-TW"/>
        </w:rPr>
        <w:t xml:space="preserve">. </w:t>
      </w:r>
    </w:p>
    <w:p w14:paraId="5F2504F5" w14:textId="353085AB" w:rsidR="00B438DF" w:rsidRPr="00D328BF" w:rsidRDefault="005D6C15" w:rsidP="00B438DF">
      <w:pPr>
        <w:spacing w:line="480" w:lineRule="auto"/>
        <w:jc w:val="both"/>
        <w:rPr>
          <w:rFonts w:hAnsi="Times New Roman" w:cs="Times New Roman"/>
          <w:color w:val="auto"/>
          <w:lang w:eastAsia="zh-TW"/>
        </w:rPr>
      </w:pPr>
      <w:r w:rsidRPr="00D328BF">
        <w:rPr>
          <w:rFonts w:hAnsi="Times New Roman" w:cs="Times New Roman" w:hint="eastAsia"/>
          <w:color w:val="auto"/>
          <w:lang w:eastAsia="zh-TW"/>
        </w:rPr>
        <w:t>Object:</w:t>
      </w:r>
      <w:r w:rsidR="002A3BF7" w:rsidRPr="00D328BF">
        <w:rPr>
          <w:rFonts w:hAnsi="Times New Roman" w:cs="Times New Roman"/>
          <w:color w:val="auto"/>
          <w:lang w:eastAsia="zh-TW"/>
        </w:rPr>
        <w:t xml:space="preserve"> 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This study </w:t>
      </w:r>
      <w:bookmarkStart w:id="0" w:name="_Hlk478139106"/>
      <w:r w:rsidR="002A3BF7" w:rsidRPr="00D328BF">
        <w:rPr>
          <w:rFonts w:hAnsi="Times New Roman" w:cs="Times New Roman"/>
          <w:color w:val="auto"/>
          <w:lang w:eastAsia="zh-TW"/>
        </w:rPr>
        <w:t xml:space="preserve">investigated 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the </w:t>
      </w:r>
      <w:r w:rsidR="002A3BF7" w:rsidRPr="00D328BF">
        <w:rPr>
          <w:rFonts w:hAnsi="Times New Roman" w:cs="Times New Roman"/>
          <w:color w:val="auto"/>
          <w:lang w:eastAsia="zh-TW"/>
        </w:rPr>
        <w:t xml:space="preserve">potential link between </w:t>
      </w:r>
      <w:r w:rsidR="00E56E2C" w:rsidRPr="00D328BF">
        <w:rPr>
          <w:rFonts w:hAnsi="Times New Roman" w:cs="Times New Roman"/>
          <w:color w:val="auto"/>
          <w:lang w:val="en" w:eastAsia="zh-TW"/>
        </w:rPr>
        <w:t>colonic diverticular disease</w:t>
      </w:r>
      <w:r w:rsidR="002A3BF7" w:rsidRPr="00D328BF">
        <w:rPr>
          <w:rFonts w:hAnsi="Times New Roman" w:cs="Times New Roman"/>
          <w:color w:val="auto"/>
          <w:lang w:eastAsia="zh-TW"/>
        </w:rPr>
        <w:t xml:space="preserve"> and risk of </w:t>
      </w:r>
      <w:r w:rsidR="00D328BF" w:rsidRPr="00D328BF">
        <w:rPr>
          <w:rFonts w:hAnsi="Times New Roman" w:cs="Times New Roman"/>
          <w:color w:val="auto"/>
          <w:lang w:eastAsia="zh-TW"/>
        </w:rPr>
        <w:t>Parkinson’s disease</w:t>
      </w:r>
      <w:r w:rsidR="00E56E2C" w:rsidRPr="00D328BF">
        <w:rPr>
          <w:rFonts w:hAnsi="Times New Roman" w:cs="Times New Roman"/>
          <w:color w:val="auto"/>
          <w:lang w:eastAsia="zh-TW"/>
        </w:rPr>
        <w:t>.</w:t>
      </w:r>
      <w:bookmarkEnd w:id="0"/>
    </w:p>
    <w:p w14:paraId="2A3C11A8" w14:textId="661455B8" w:rsidR="00B438DF" w:rsidRPr="00D328BF" w:rsidRDefault="005D6C15" w:rsidP="00B438DF">
      <w:pPr>
        <w:spacing w:line="480" w:lineRule="auto"/>
        <w:jc w:val="both"/>
        <w:rPr>
          <w:rFonts w:hAnsi="Times New Roman" w:cs="Times New Roman"/>
          <w:color w:val="auto"/>
          <w:lang w:eastAsia="zh-TW"/>
        </w:rPr>
      </w:pPr>
      <w:r w:rsidRPr="00D328BF">
        <w:rPr>
          <w:rFonts w:hAnsi="Times New Roman" w:cs="Times New Roman"/>
          <w:color w:val="auto"/>
          <w:lang w:eastAsia="zh-TW"/>
        </w:rPr>
        <w:t>Methods:</w:t>
      </w:r>
      <w:r w:rsidR="002A3BF7" w:rsidRPr="00D328BF">
        <w:rPr>
          <w:rFonts w:hAnsi="Times New Roman" w:cs="Times New Roman"/>
          <w:color w:val="auto"/>
          <w:lang w:eastAsia="zh-TW"/>
        </w:rPr>
        <w:t xml:space="preserve"> 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Data in this nationwide population-based cohort study were obtained from the National Health Insurance Research Database. </w:t>
      </w:r>
      <w:bookmarkStart w:id="1" w:name="_Hlk478139284"/>
      <w:r w:rsidR="00D328BF" w:rsidRPr="00D328BF">
        <w:rPr>
          <w:rFonts w:hAnsi="Times New Roman" w:cs="Times New Roman"/>
          <w:color w:val="auto"/>
          <w:lang w:eastAsia="zh-TW"/>
        </w:rPr>
        <w:t>Patients with</w:t>
      </w:r>
      <w:r w:rsidR="00E56E2C" w:rsidRPr="00D328BF">
        <w:rPr>
          <w:rFonts w:hAnsi="Times New Roman" w:cs="Times New Roman"/>
          <w:color w:val="auto"/>
          <w:lang w:val="en" w:eastAsia="zh-TW"/>
        </w:rPr>
        <w:t xml:space="preserve"> colonic diverticular disease</w:t>
      </w:r>
      <w:r w:rsidR="001E09CD" w:rsidRPr="00D328BF">
        <w:rPr>
          <w:rFonts w:hAnsi="Times New Roman" w:cs="Times New Roman"/>
          <w:color w:val="auto"/>
          <w:lang w:eastAsia="zh-TW"/>
        </w:rPr>
        <w:t xml:space="preserve"> </w:t>
      </w:r>
      <w:r w:rsidR="002A3BF7" w:rsidRPr="00D328BF">
        <w:rPr>
          <w:rFonts w:hAnsi="Times New Roman" w:cs="Times New Roman"/>
          <w:color w:val="auto"/>
          <w:lang w:eastAsia="zh-TW"/>
        </w:rPr>
        <w:t xml:space="preserve">were identified </w:t>
      </w:r>
      <w:r w:rsidR="00B438DF" w:rsidRPr="00D328BF">
        <w:rPr>
          <w:rFonts w:hAnsi="Times New Roman" w:cs="Times New Roman"/>
          <w:color w:val="auto"/>
          <w:lang w:eastAsia="zh-TW"/>
        </w:rPr>
        <w:t>from among 23.22 million insured Taiwanese residents who had been diagnosed betwee</w:t>
      </w:r>
      <w:r w:rsidR="00E57098" w:rsidRPr="00D328BF">
        <w:rPr>
          <w:rFonts w:hAnsi="Times New Roman" w:cs="Times New Roman"/>
          <w:color w:val="auto"/>
          <w:lang w:eastAsia="zh-TW"/>
        </w:rPr>
        <w:t>n 2000 and 2005 and were aged ≥</w:t>
      </w:r>
      <w:r w:rsidR="00B438DF" w:rsidRPr="00D328BF">
        <w:rPr>
          <w:rFonts w:hAnsi="Times New Roman" w:cs="Times New Roman"/>
          <w:color w:val="auto"/>
          <w:lang w:eastAsia="zh-TW"/>
        </w:rPr>
        <w:t>20 years (</w:t>
      </w:r>
      <w:r w:rsidR="00B438DF" w:rsidRPr="00D328BF">
        <w:rPr>
          <w:rFonts w:hAnsi="Times New Roman" w:cs="Times New Roman"/>
          <w:i/>
          <w:color w:val="auto"/>
          <w:lang w:eastAsia="zh-TW"/>
        </w:rPr>
        <w:t>n</w:t>
      </w:r>
      <w:r w:rsidRPr="00D328BF">
        <w:rPr>
          <w:rFonts w:hAnsi="Times New Roman" w:cs="Times New Roman"/>
          <w:color w:val="auto"/>
          <w:lang w:eastAsia="zh-TW"/>
        </w:rPr>
        <w:t>=</w:t>
      </w:r>
      <w:r w:rsidR="00973D23" w:rsidRPr="00D328BF">
        <w:rPr>
          <w:color w:val="auto"/>
        </w:rPr>
        <w:t>23367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). </w:t>
      </w:r>
      <w:r w:rsidR="002A3BF7" w:rsidRPr="00D328BF">
        <w:rPr>
          <w:rFonts w:hAnsi="Times New Roman" w:cs="Times New Roman"/>
          <w:color w:val="auto"/>
          <w:lang w:eastAsia="zh-TW"/>
        </w:rPr>
        <w:t xml:space="preserve">The comparison cohort included 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patients without </w:t>
      </w:r>
      <w:r w:rsidR="001E09CD" w:rsidRPr="00D328BF">
        <w:rPr>
          <w:rFonts w:hAnsi="Times New Roman" w:cs="Times New Roman"/>
          <w:color w:val="auto"/>
          <w:lang w:val="en" w:eastAsia="zh-TW"/>
        </w:rPr>
        <w:t>colonic diverticular disease</w:t>
      </w:r>
      <w:r w:rsidR="00D328BF" w:rsidRPr="00D328BF">
        <w:rPr>
          <w:rFonts w:hAnsi="Times New Roman" w:cs="Times New Roman"/>
          <w:color w:val="auto"/>
          <w:lang w:eastAsia="zh-TW"/>
        </w:rPr>
        <w:t>, matched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 by </w:t>
      </w:r>
      <w:r w:rsidR="00973D23" w:rsidRPr="00D328BF">
        <w:rPr>
          <w:rFonts w:hAnsi="Times New Roman" w:cs="Times New Roman"/>
          <w:color w:val="auto"/>
          <w:lang w:eastAsia="zh-TW"/>
        </w:rPr>
        <w:t xml:space="preserve">sex, </w:t>
      </w:r>
      <w:r w:rsidR="00B438DF" w:rsidRPr="00D328BF">
        <w:rPr>
          <w:rFonts w:hAnsi="Times New Roman" w:cs="Times New Roman"/>
          <w:color w:val="auto"/>
          <w:lang w:eastAsia="zh-TW"/>
        </w:rPr>
        <w:t>age</w:t>
      </w:r>
      <w:r w:rsidR="00973D23" w:rsidRPr="00D328BF">
        <w:rPr>
          <w:rFonts w:hAnsi="Times New Roman" w:cs="Times New Roman"/>
          <w:color w:val="auto"/>
          <w:lang w:eastAsia="zh-TW"/>
        </w:rPr>
        <w:t>,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 and</w:t>
      </w:r>
      <w:r w:rsidR="00973D23" w:rsidRPr="00D328BF">
        <w:rPr>
          <w:rFonts w:hAnsi="Times New Roman" w:cs="Times New Roman"/>
          <w:color w:val="auto"/>
          <w:lang w:eastAsia="zh-TW"/>
        </w:rPr>
        <w:t xml:space="preserve"> </w:t>
      </w:r>
      <w:r w:rsidR="00973D23" w:rsidRPr="00D328BF">
        <w:rPr>
          <w:color w:val="auto"/>
          <w:lang w:eastAsia="zh-TW"/>
        </w:rPr>
        <w:t>all comorbidities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 with the </w:t>
      </w:r>
      <w:r w:rsidR="001E09CD" w:rsidRPr="00D328BF">
        <w:rPr>
          <w:rFonts w:hAnsi="Times New Roman" w:cs="Times New Roman"/>
          <w:color w:val="auto"/>
          <w:lang w:val="en" w:eastAsia="zh-TW"/>
        </w:rPr>
        <w:t>colonic diverticular disease</w:t>
      </w:r>
      <w:r w:rsidR="00E56E2C" w:rsidRPr="00D328BF">
        <w:rPr>
          <w:rFonts w:hAnsi="Times New Roman" w:cs="Times New Roman"/>
          <w:color w:val="auto"/>
          <w:lang w:val="en" w:eastAsia="zh-TW"/>
        </w:rPr>
        <w:t xml:space="preserve"> </w:t>
      </w:r>
      <w:proofErr w:type="gramStart"/>
      <w:r w:rsidR="002A3BF7" w:rsidRPr="00D328BF">
        <w:rPr>
          <w:rFonts w:hAnsi="Times New Roman" w:cs="Times New Roman"/>
          <w:color w:val="auto"/>
          <w:lang w:val="en" w:eastAsia="zh-TW"/>
        </w:rPr>
        <w:t>patients</w:t>
      </w:r>
      <w:proofErr w:type="gramEnd"/>
      <w:r w:rsidR="00B438DF" w:rsidRPr="00D328BF">
        <w:rPr>
          <w:rFonts w:hAnsi="Times New Roman" w:cs="Times New Roman"/>
          <w:color w:val="auto"/>
          <w:lang w:eastAsia="zh-TW"/>
        </w:rPr>
        <w:t xml:space="preserve"> cohort</w:t>
      </w:r>
      <w:r w:rsidR="00D328BF">
        <w:rPr>
          <w:rFonts w:hAnsi="Times New Roman" w:cs="Times New Roman"/>
          <w:color w:val="auto"/>
          <w:lang w:eastAsia="zh-TW"/>
        </w:rPr>
        <w:t xml:space="preserve"> </w:t>
      </w:r>
      <w:bookmarkEnd w:id="1"/>
      <w:r w:rsidR="00B438DF" w:rsidRPr="00D328BF">
        <w:rPr>
          <w:rFonts w:hAnsi="Times New Roman" w:cs="Times New Roman"/>
          <w:color w:val="auto"/>
          <w:lang w:eastAsia="zh-TW"/>
        </w:rPr>
        <w:t>(</w:t>
      </w:r>
      <w:r w:rsidR="00B438DF" w:rsidRPr="00D328BF">
        <w:rPr>
          <w:rFonts w:hAnsi="Times New Roman" w:cs="Times New Roman"/>
          <w:i/>
          <w:color w:val="auto"/>
          <w:lang w:eastAsia="zh-TW"/>
        </w:rPr>
        <w:t>n</w:t>
      </w:r>
      <w:r w:rsidR="00E57098" w:rsidRPr="00D328BF">
        <w:rPr>
          <w:rFonts w:hAnsi="Times New Roman" w:cs="Times New Roman"/>
          <w:color w:val="auto"/>
          <w:lang w:eastAsia="zh-TW"/>
        </w:rPr>
        <w:t>=</w:t>
      </w:r>
      <w:r w:rsidR="00973D23" w:rsidRPr="00D328BF">
        <w:rPr>
          <w:color w:val="auto"/>
        </w:rPr>
        <w:t>23367</w:t>
      </w:r>
      <w:r w:rsidR="00B438DF" w:rsidRPr="00D328BF">
        <w:rPr>
          <w:rFonts w:hAnsi="Times New Roman" w:cs="Times New Roman"/>
          <w:color w:val="auto"/>
          <w:lang w:eastAsia="zh-TW"/>
        </w:rPr>
        <w:t>). Using univariable and multivariable Cox proportional hazard regression models, we estimated the adjusted hazard ratio (</w:t>
      </w:r>
      <w:proofErr w:type="spellStart"/>
      <w:r w:rsidR="00B438DF" w:rsidRPr="00D328BF">
        <w:rPr>
          <w:rFonts w:hAnsi="Times New Roman" w:cs="Times New Roman"/>
          <w:color w:val="auto"/>
          <w:lang w:eastAsia="zh-TW"/>
        </w:rPr>
        <w:t>aHR</w:t>
      </w:r>
      <w:proofErr w:type="spellEnd"/>
      <w:r w:rsidR="00B438DF" w:rsidRPr="00D328BF">
        <w:rPr>
          <w:rFonts w:hAnsi="Times New Roman" w:cs="Times New Roman"/>
          <w:color w:val="auto"/>
          <w:lang w:eastAsia="zh-TW"/>
        </w:rPr>
        <w:t>) for PD with</w:t>
      </w:r>
      <w:r w:rsidR="001E09CD" w:rsidRPr="00D328BF">
        <w:rPr>
          <w:rFonts w:hAnsi="Times New Roman" w:cs="Times New Roman"/>
          <w:color w:val="auto"/>
          <w:lang w:eastAsia="zh-TW"/>
        </w:rPr>
        <w:t xml:space="preserve"> a 95% confidence interval (CI) 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after adjusting for age, sex, and </w:t>
      </w:r>
      <w:r w:rsidR="00CB744C" w:rsidRPr="00D328BF">
        <w:rPr>
          <w:color w:val="auto"/>
          <w:lang w:eastAsia="zh-TW"/>
        </w:rPr>
        <w:t xml:space="preserve">all of </w:t>
      </w:r>
      <w:r w:rsidR="00D328BF" w:rsidRPr="00D328BF">
        <w:rPr>
          <w:color w:val="auto"/>
          <w:lang w:eastAsia="zh-TW"/>
        </w:rPr>
        <w:t>comorbidities</w:t>
      </w:r>
      <w:r w:rsidR="00D328BF" w:rsidRPr="00D328BF" w:rsidDel="00CB744C">
        <w:rPr>
          <w:rFonts w:hAnsi="Times New Roman" w:cs="Times New Roman"/>
          <w:color w:val="auto"/>
          <w:lang w:eastAsia="zh-TW"/>
        </w:rPr>
        <w:t>.</w:t>
      </w:r>
    </w:p>
    <w:p w14:paraId="5D7E2E06" w14:textId="1FB59554" w:rsidR="00B438DF" w:rsidRPr="00D328BF" w:rsidRDefault="00B438DF" w:rsidP="00B438DF">
      <w:pPr>
        <w:spacing w:line="480" w:lineRule="auto"/>
        <w:jc w:val="both"/>
        <w:rPr>
          <w:rFonts w:hAnsi="Times New Roman" w:cs="Times New Roman"/>
          <w:color w:val="auto"/>
          <w:lang w:eastAsia="zh-TW"/>
        </w:rPr>
      </w:pPr>
      <w:r w:rsidRPr="00D328BF">
        <w:rPr>
          <w:rFonts w:hAnsi="Times New Roman" w:cs="Times New Roman"/>
          <w:color w:val="auto"/>
          <w:lang w:eastAsia="zh-TW"/>
        </w:rPr>
        <w:t xml:space="preserve">Results: </w:t>
      </w:r>
      <w:bookmarkStart w:id="2" w:name="_Hlk478139450"/>
      <w:r w:rsidRPr="00D328BF">
        <w:rPr>
          <w:rFonts w:hAnsi="Times New Roman" w:cs="Times New Roman"/>
          <w:color w:val="auto"/>
          <w:lang w:eastAsia="zh-TW"/>
        </w:rPr>
        <w:t xml:space="preserve">The </w:t>
      </w:r>
      <w:r w:rsidR="00F90B83">
        <w:rPr>
          <w:rFonts w:hAnsi="Times New Roman" w:cs="Times New Roman"/>
          <w:color w:val="auto"/>
          <w:lang w:eastAsia="zh-TW"/>
        </w:rPr>
        <w:t>risk</w:t>
      </w:r>
      <w:r w:rsidR="00F90B83" w:rsidRPr="00D328BF">
        <w:rPr>
          <w:rFonts w:hAnsi="Times New Roman" w:cs="Times New Roman"/>
          <w:color w:val="auto"/>
          <w:lang w:eastAsia="zh-TW"/>
        </w:rPr>
        <w:t xml:space="preserve"> </w:t>
      </w:r>
      <w:r w:rsidRPr="00D328BF">
        <w:rPr>
          <w:rFonts w:hAnsi="Times New Roman" w:cs="Times New Roman"/>
          <w:color w:val="auto"/>
          <w:lang w:eastAsia="zh-TW"/>
        </w:rPr>
        <w:t xml:space="preserve">of </w:t>
      </w:r>
      <w:r w:rsidR="00E56E2C" w:rsidRPr="00D328BF">
        <w:rPr>
          <w:rFonts w:hAnsi="Times New Roman" w:cs="Times New Roman"/>
          <w:color w:val="auto"/>
          <w:lang w:eastAsia="zh-TW"/>
        </w:rPr>
        <w:t xml:space="preserve">Parkinson’s disease </w:t>
      </w:r>
      <w:r w:rsidRPr="00D328BF">
        <w:rPr>
          <w:rFonts w:hAnsi="Times New Roman" w:cs="Times New Roman"/>
          <w:color w:val="auto"/>
          <w:lang w:eastAsia="zh-TW"/>
        </w:rPr>
        <w:t xml:space="preserve">was higher in the </w:t>
      </w:r>
      <w:r w:rsidR="002A3BF7" w:rsidRPr="00D328BF">
        <w:rPr>
          <w:rFonts w:hAnsi="Times New Roman" w:cs="Times New Roman"/>
          <w:color w:val="auto"/>
          <w:lang w:val="en" w:eastAsia="zh-TW"/>
        </w:rPr>
        <w:t>CDD</w:t>
      </w:r>
      <w:r w:rsidR="001E09CD" w:rsidRPr="00D328BF">
        <w:rPr>
          <w:rFonts w:hAnsi="Times New Roman" w:cs="Times New Roman"/>
          <w:color w:val="auto"/>
          <w:lang w:eastAsia="zh-TW"/>
        </w:rPr>
        <w:t xml:space="preserve"> </w:t>
      </w:r>
      <w:r w:rsidRPr="00D328BF">
        <w:rPr>
          <w:rFonts w:hAnsi="Times New Roman" w:cs="Times New Roman"/>
          <w:color w:val="auto"/>
          <w:lang w:eastAsia="zh-TW"/>
        </w:rPr>
        <w:t>cohort than</w:t>
      </w:r>
      <w:r w:rsidR="00E57098" w:rsidRPr="00D328BF">
        <w:rPr>
          <w:rFonts w:hAnsi="Times New Roman" w:cs="Times New Roman"/>
          <w:color w:val="auto"/>
          <w:lang w:eastAsia="zh-TW"/>
        </w:rPr>
        <w:t xml:space="preserve"> in the comparison cohort (HR</w:t>
      </w:r>
      <w:r w:rsidR="005D6C15" w:rsidRPr="00D328BF">
        <w:rPr>
          <w:rFonts w:hAnsi="Times New Roman" w:cs="Times New Roman"/>
          <w:color w:val="auto"/>
          <w:lang w:eastAsia="zh-TW"/>
        </w:rPr>
        <w:t>=</w:t>
      </w:r>
      <w:r w:rsidR="00CB744C" w:rsidRPr="00D328BF">
        <w:rPr>
          <w:rFonts w:eastAsia="DFKai-SB" w:cs="Arial"/>
          <w:color w:val="auto"/>
        </w:rPr>
        <w:t>1.27</w:t>
      </w:r>
      <w:r w:rsidR="005D6C15" w:rsidRPr="00D328BF">
        <w:rPr>
          <w:rFonts w:hAnsi="Times New Roman" w:cs="Times New Roman"/>
          <w:color w:val="auto"/>
          <w:lang w:eastAsia="zh-TW"/>
        </w:rPr>
        <w:t>, 95%CI=</w:t>
      </w:r>
      <w:r w:rsidR="00CB744C" w:rsidRPr="00D328BF">
        <w:rPr>
          <w:rFonts w:eastAsia="DFKai-SB" w:cs="Arial"/>
          <w:color w:val="auto"/>
        </w:rPr>
        <w:t>1.10</w:t>
      </w:r>
      <w:r w:rsidRPr="00D328BF">
        <w:rPr>
          <w:rFonts w:hAnsi="Times New Roman" w:cs="Times New Roman"/>
          <w:color w:val="auto"/>
          <w:lang w:eastAsia="zh-TW"/>
        </w:rPr>
        <w:t>–</w:t>
      </w:r>
      <w:r w:rsidR="00CB744C" w:rsidRPr="00D328BF">
        <w:rPr>
          <w:rFonts w:eastAsia="DFKai-SB" w:cs="Arial"/>
          <w:color w:val="auto"/>
        </w:rPr>
        <w:t>1.47</w:t>
      </w:r>
      <w:r w:rsidRPr="00D328BF">
        <w:rPr>
          <w:rFonts w:hAnsi="Times New Roman" w:cs="Times New Roman"/>
          <w:color w:val="auto"/>
          <w:lang w:eastAsia="zh-TW"/>
        </w:rPr>
        <w:t>)</w:t>
      </w:r>
      <w:bookmarkEnd w:id="2"/>
      <w:r w:rsidRPr="00D328BF">
        <w:rPr>
          <w:rFonts w:hAnsi="Times New Roman" w:cs="Times New Roman"/>
          <w:color w:val="auto"/>
          <w:lang w:eastAsia="zh-TW"/>
        </w:rPr>
        <w:t xml:space="preserve">. Compared </w:t>
      </w:r>
      <w:r w:rsidR="00D328BF" w:rsidRPr="00D328BF">
        <w:rPr>
          <w:rFonts w:hAnsi="Times New Roman" w:cs="Times New Roman"/>
          <w:color w:val="auto"/>
          <w:lang w:eastAsia="zh-TW"/>
        </w:rPr>
        <w:t>with patients</w:t>
      </w:r>
      <w:r w:rsidR="005D6C15" w:rsidRPr="00D328BF">
        <w:rPr>
          <w:rFonts w:hAnsi="Times New Roman" w:cs="Times New Roman"/>
          <w:color w:val="auto"/>
          <w:lang w:eastAsia="zh-TW"/>
        </w:rPr>
        <w:t xml:space="preserve"> aged ≥</w:t>
      </w:r>
      <w:r w:rsidRPr="00D328BF">
        <w:rPr>
          <w:rFonts w:hAnsi="Times New Roman" w:cs="Times New Roman"/>
          <w:color w:val="auto"/>
          <w:lang w:eastAsia="zh-TW"/>
        </w:rPr>
        <w:t xml:space="preserve">65 years without </w:t>
      </w:r>
      <w:r w:rsidR="002A3BF7" w:rsidRPr="00D328BF">
        <w:rPr>
          <w:rFonts w:hAnsi="Times New Roman" w:cs="Times New Roman"/>
          <w:color w:val="auto"/>
          <w:lang w:val="en" w:eastAsia="zh-TW"/>
        </w:rPr>
        <w:t>CDD</w:t>
      </w:r>
      <w:r w:rsidRPr="00D328BF">
        <w:rPr>
          <w:rFonts w:hAnsi="Times New Roman" w:cs="Times New Roman"/>
          <w:color w:val="auto"/>
          <w:lang w:eastAsia="zh-TW"/>
        </w:rPr>
        <w:t xml:space="preserve">, the </w:t>
      </w:r>
      <w:r w:rsidR="002A3BF7" w:rsidRPr="00D328BF">
        <w:rPr>
          <w:rFonts w:hAnsi="Times New Roman" w:cs="Times New Roman"/>
          <w:color w:val="auto"/>
          <w:lang w:val="en" w:eastAsia="zh-TW"/>
        </w:rPr>
        <w:t>CDD</w:t>
      </w:r>
      <w:r w:rsidRPr="00D328BF">
        <w:rPr>
          <w:rFonts w:hAnsi="Times New Roman" w:cs="Times New Roman"/>
          <w:color w:val="auto"/>
          <w:lang w:eastAsia="zh-TW"/>
        </w:rPr>
        <w:t xml:space="preserve"> patients in the</w:t>
      </w:r>
      <w:r w:rsidR="002A3BF7" w:rsidRPr="00D328BF">
        <w:rPr>
          <w:rFonts w:hAnsi="Times New Roman" w:cs="Times New Roman"/>
          <w:color w:val="auto"/>
          <w:lang w:eastAsia="zh-TW"/>
        </w:rPr>
        <w:t xml:space="preserve"> </w:t>
      </w:r>
      <w:r w:rsidR="00D328BF" w:rsidRPr="00D328BF">
        <w:rPr>
          <w:rFonts w:hAnsi="Times New Roman" w:cs="Times New Roman"/>
          <w:color w:val="auto"/>
          <w:lang w:eastAsia="zh-TW"/>
        </w:rPr>
        <w:t>equal age</w:t>
      </w:r>
      <w:r w:rsidRPr="00D328BF">
        <w:rPr>
          <w:rFonts w:hAnsi="Times New Roman" w:cs="Times New Roman"/>
          <w:color w:val="auto"/>
          <w:lang w:eastAsia="zh-TW"/>
        </w:rPr>
        <w:t xml:space="preserve"> group had a </w:t>
      </w:r>
      <w:r w:rsidR="00CB744C" w:rsidRPr="00D328BF">
        <w:rPr>
          <w:rFonts w:eastAsia="DFKai-SB" w:cs="Arial"/>
          <w:color w:val="auto"/>
        </w:rPr>
        <w:t>1.25</w:t>
      </w:r>
      <w:r w:rsidRPr="00D328BF">
        <w:rPr>
          <w:rFonts w:hAnsi="Times New Roman" w:cs="Times New Roman"/>
          <w:color w:val="auto"/>
          <w:lang w:eastAsia="zh-TW"/>
        </w:rPr>
        <w:t xml:space="preserve">-fold </w:t>
      </w:r>
      <w:r w:rsidR="00CB744C" w:rsidRPr="00D328BF">
        <w:rPr>
          <w:rFonts w:hAnsi="Times New Roman" w:cs="Times New Roman"/>
          <w:color w:val="auto"/>
          <w:lang w:eastAsia="zh-TW"/>
        </w:rPr>
        <w:t>i</w:t>
      </w:r>
      <w:r w:rsidRPr="00D328BF">
        <w:rPr>
          <w:rFonts w:hAnsi="Times New Roman" w:cs="Times New Roman"/>
          <w:color w:val="auto"/>
          <w:lang w:eastAsia="zh-TW"/>
        </w:rPr>
        <w:t>ncreas</w:t>
      </w:r>
      <w:r w:rsidR="005D6C15" w:rsidRPr="00D328BF">
        <w:rPr>
          <w:rFonts w:hAnsi="Times New Roman" w:cs="Times New Roman"/>
          <w:color w:val="auto"/>
          <w:lang w:eastAsia="zh-TW"/>
        </w:rPr>
        <w:t>ed risk of PD (95% CI=</w:t>
      </w:r>
      <w:r w:rsidR="00CB744C" w:rsidRPr="00D328BF">
        <w:rPr>
          <w:rFonts w:eastAsia="DFKai-SB" w:cs="Arial"/>
          <w:color w:val="auto"/>
        </w:rPr>
        <w:t>1.07</w:t>
      </w:r>
      <w:r w:rsidRPr="00D328BF">
        <w:rPr>
          <w:rFonts w:hAnsi="Times New Roman" w:cs="Times New Roman"/>
          <w:color w:val="auto"/>
          <w:lang w:eastAsia="zh-TW"/>
        </w:rPr>
        <w:t>–</w:t>
      </w:r>
      <w:r w:rsidR="00CB744C" w:rsidRPr="00D328BF">
        <w:rPr>
          <w:rFonts w:eastAsia="DFKai-SB" w:cs="Arial"/>
          <w:color w:val="auto"/>
        </w:rPr>
        <w:t>1.46</w:t>
      </w:r>
      <w:r w:rsidRPr="00D328BF">
        <w:rPr>
          <w:rFonts w:hAnsi="Times New Roman" w:cs="Times New Roman"/>
          <w:color w:val="auto"/>
          <w:lang w:eastAsia="zh-TW"/>
        </w:rPr>
        <w:t xml:space="preserve">). </w:t>
      </w:r>
    </w:p>
    <w:p w14:paraId="4CB88DC5" w14:textId="602D04D4" w:rsidR="00B438DF" w:rsidRPr="00D328BF" w:rsidRDefault="005D6C15" w:rsidP="00B438DF">
      <w:pPr>
        <w:spacing w:line="480" w:lineRule="auto"/>
        <w:jc w:val="both"/>
        <w:rPr>
          <w:rFonts w:hAnsi="Times New Roman" w:cs="Times New Roman"/>
          <w:color w:val="auto"/>
          <w:lang w:eastAsia="zh-TW"/>
        </w:rPr>
      </w:pPr>
      <w:r w:rsidRPr="00D328BF">
        <w:rPr>
          <w:rFonts w:hAnsi="Times New Roman" w:cs="Times New Roman"/>
          <w:color w:val="auto"/>
          <w:lang w:eastAsia="zh-TW"/>
        </w:rPr>
        <w:t>Conclusion:</w:t>
      </w:r>
      <w:r w:rsidR="002A3BF7" w:rsidRPr="00D328BF">
        <w:rPr>
          <w:rFonts w:hAnsi="Times New Roman" w:cs="Times New Roman"/>
          <w:color w:val="auto"/>
          <w:lang w:eastAsia="zh-TW"/>
        </w:rPr>
        <w:t xml:space="preserve"> </w:t>
      </w:r>
      <w:bookmarkStart w:id="3" w:name="_Hlk478142219"/>
      <w:r w:rsidR="001E09CD" w:rsidRPr="00D328BF">
        <w:rPr>
          <w:rFonts w:hAnsi="Times New Roman" w:cs="Times New Roman"/>
          <w:color w:val="auto"/>
          <w:lang w:val="en" w:eastAsia="zh-TW"/>
        </w:rPr>
        <w:t>Colonic diverticular disease</w:t>
      </w:r>
      <w:r w:rsidR="005240C4">
        <w:rPr>
          <w:rFonts w:hAnsi="Times New Roman" w:cs="Times New Roman"/>
          <w:color w:val="auto"/>
          <w:lang w:val="en" w:eastAsia="zh-TW"/>
        </w:rPr>
        <w:t xml:space="preserve"> 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may be associated with an increased risk of </w:t>
      </w:r>
      <w:r w:rsidR="00E56E2C" w:rsidRPr="00D328BF">
        <w:rPr>
          <w:rFonts w:hAnsi="Times New Roman" w:cs="Times New Roman"/>
          <w:color w:val="auto"/>
          <w:lang w:eastAsia="zh-TW"/>
        </w:rPr>
        <w:t>Parkinson’s disease</w:t>
      </w:r>
      <w:bookmarkEnd w:id="3"/>
      <w:r w:rsidR="00B438DF" w:rsidRPr="00D328BF">
        <w:rPr>
          <w:rFonts w:hAnsi="Times New Roman" w:cs="Times New Roman"/>
          <w:color w:val="auto"/>
          <w:lang w:eastAsia="zh-TW"/>
        </w:rPr>
        <w:t xml:space="preserve">. Thus, the risk of </w:t>
      </w:r>
      <w:r w:rsidR="00E56E2C" w:rsidRPr="00D328BF">
        <w:rPr>
          <w:rFonts w:hAnsi="Times New Roman" w:cs="Times New Roman"/>
          <w:color w:val="auto"/>
          <w:lang w:eastAsia="zh-TW"/>
        </w:rPr>
        <w:t xml:space="preserve">this neurodegenerative </w:t>
      </w:r>
      <w:r w:rsidR="00D328BF" w:rsidRPr="00D328BF">
        <w:rPr>
          <w:rFonts w:hAnsi="Times New Roman" w:cs="Times New Roman"/>
          <w:color w:val="auto"/>
          <w:lang w:eastAsia="zh-TW"/>
        </w:rPr>
        <w:t>disease should</w:t>
      </w:r>
      <w:r w:rsidR="00B438DF" w:rsidRPr="00D328BF">
        <w:rPr>
          <w:rFonts w:hAnsi="Times New Roman" w:cs="Times New Roman"/>
          <w:color w:val="auto"/>
          <w:lang w:eastAsia="zh-TW"/>
        </w:rPr>
        <w:t xml:space="preserve"> be considered in patients with </w:t>
      </w:r>
      <w:r w:rsidR="001E09CD" w:rsidRPr="00D328BF">
        <w:rPr>
          <w:rFonts w:hAnsi="Times New Roman" w:cs="Times New Roman"/>
          <w:color w:val="auto"/>
          <w:lang w:val="en" w:eastAsia="zh-TW"/>
        </w:rPr>
        <w:t>colonic diverticular disease</w:t>
      </w:r>
      <w:r w:rsidR="00B438DF" w:rsidRPr="00D328BF">
        <w:rPr>
          <w:rFonts w:hAnsi="Times New Roman" w:cs="Times New Roman"/>
          <w:color w:val="auto"/>
          <w:lang w:eastAsia="zh-TW"/>
        </w:rPr>
        <w:t>.</w:t>
      </w:r>
    </w:p>
    <w:p w14:paraId="27720E3D" w14:textId="77777777" w:rsidR="002A3BF7" w:rsidRPr="00D328BF" w:rsidRDefault="002A3BF7" w:rsidP="00B438DF">
      <w:pPr>
        <w:spacing w:line="480" w:lineRule="auto"/>
        <w:jc w:val="both"/>
        <w:rPr>
          <w:rFonts w:hAnsi="Times New Roman" w:cs="Times New Roman"/>
          <w:color w:val="auto"/>
          <w:lang w:eastAsia="zh-TW"/>
        </w:rPr>
      </w:pPr>
    </w:p>
    <w:p w14:paraId="781A53A0" w14:textId="77777777" w:rsidR="005F754A" w:rsidRPr="00D328BF" w:rsidRDefault="005F754A" w:rsidP="004E4CE8">
      <w:pPr>
        <w:rPr>
          <w:b/>
          <w:color w:val="auto"/>
        </w:rPr>
      </w:pPr>
    </w:p>
    <w:p w14:paraId="1D2DBBD4" w14:textId="77777777" w:rsidR="00D328BF" w:rsidRDefault="00D328BF" w:rsidP="004E4CE8">
      <w:pPr>
        <w:rPr>
          <w:b/>
          <w:color w:val="auto"/>
        </w:rPr>
      </w:pPr>
    </w:p>
    <w:p w14:paraId="20F4E88E" w14:textId="57FC4C56" w:rsidR="00E24038" w:rsidRDefault="00E24038" w:rsidP="004E4CE8">
      <w:pPr>
        <w:rPr>
          <w:b/>
        </w:rPr>
      </w:pPr>
      <w:r w:rsidRPr="00E24038">
        <w:rPr>
          <w:b/>
        </w:rPr>
        <w:lastRenderedPageBreak/>
        <w:t>INTRODUCTION</w:t>
      </w:r>
    </w:p>
    <w:p w14:paraId="52B720E1" w14:textId="77777777" w:rsidR="009D4A4E" w:rsidRDefault="009D4A4E" w:rsidP="004E4CE8">
      <w:pPr>
        <w:rPr>
          <w:b/>
        </w:rPr>
      </w:pPr>
    </w:p>
    <w:p w14:paraId="4A1604A8" w14:textId="77777777" w:rsidR="00E67BF8" w:rsidRDefault="00E67BF8" w:rsidP="004E4CE8">
      <w:pPr>
        <w:rPr>
          <w:b/>
        </w:rPr>
      </w:pPr>
    </w:p>
    <w:p w14:paraId="3B1871E5" w14:textId="4FBBB026" w:rsidR="00634C4C" w:rsidRPr="00E741C7" w:rsidRDefault="00FC03DA" w:rsidP="004E4CE8">
      <w:pPr>
        <w:spacing w:line="48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Progress in </w:t>
      </w:r>
      <w:r w:rsidR="00426527" w:rsidRPr="00426527">
        <w:rPr>
          <w:rFonts w:hAnsi="Times New Roman" w:cs="Times New Roman"/>
        </w:rPr>
        <w:t>understanding the role of</w:t>
      </w:r>
      <w:r w:rsidR="00426527">
        <w:rPr>
          <w:rFonts w:hAnsi="Times New Roman" w:cs="Times New Roman"/>
        </w:rPr>
        <w:t xml:space="preserve"> </w:t>
      </w:r>
      <w:r w:rsidR="00426527" w:rsidRPr="00426527">
        <w:rPr>
          <w:rFonts w:hAnsi="Times New Roman" w:cs="Times New Roman"/>
        </w:rPr>
        <w:t>gastrointestinal dysfunc</w:t>
      </w:r>
      <w:r w:rsidR="00426527">
        <w:rPr>
          <w:rFonts w:hAnsi="Times New Roman" w:cs="Times New Roman"/>
        </w:rPr>
        <w:t>tion in Parkinson’s disease</w:t>
      </w:r>
      <w:r w:rsidR="00FB021F">
        <w:rPr>
          <w:rFonts w:hAnsi="Times New Roman" w:cs="Times New Roman"/>
        </w:rPr>
        <w:t xml:space="preserve"> (PD)</w:t>
      </w:r>
      <w:r w:rsidR="00426527">
        <w:rPr>
          <w:rFonts w:hAnsi="Times New Roman" w:cs="Times New Roman"/>
        </w:rPr>
        <w:t xml:space="preserve"> has </w:t>
      </w:r>
      <w:r w:rsidR="00426527" w:rsidRPr="00426527">
        <w:rPr>
          <w:rFonts w:hAnsi="Times New Roman" w:cs="Times New Roman"/>
        </w:rPr>
        <w:t>substantially</w:t>
      </w:r>
      <w:r w:rsidR="00FE5946" w:rsidRPr="00FE5946">
        <w:rPr>
          <w:rFonts w:hAnsi="Times New Roman" w:cs="Times New Roman"/>
        </w:rPr>
        <w:t xml:space="preserve"> </w:t>
      </w:r>
      <w:r w:rsidR="00FE5946">
        <w:rPr>
          <w:rFonts w:hAnsi="Times New Roman" w:cs="Times New Roman"/>
        </w:rPr>
        <w:t>i</w:t>
      </w:r>
      <w:r w:rsidR="00FE5946" w:rsidRPr="00426527">
        <w:rPr>
          <w:rFonts w:hAnsi="Times New Roman" w:cs="Times New Roman"/>
        </w:rPr>
        <w:t>ncreased</w:t>
      </w:r>
      <w:r w:rsidR="00426527" w:rsidRPr="00426527">
        <w:rPr>
          <w:rFonts w:hAnsi="Times New Roman" w:cs="Times New Roman"/>
        </w:rPr>
        <w:t xml:space="preserve"> in the past decade</w:t>
      </w:r>
      <w:r w:rsidR="00D328BF">
        <w:rPr>
          <w:rFonts w:hAnsi="Times New Roman" w:cs="Times New Roman"/>
        </w:rPr>
        <w:t xml:space="preserve"> [1]</w:t>
      </w:r>
      <w:r w:rsidR="00426527" w:rsidRPr="00426527">
        <w:rPr>
          <w:rFonts w:hAnsi="Times New Roman" w:cs="Times New Roman"/>
        </w:rPr>
        <w:t>.</w:t>
      </w:r>
      <w:r w:rsidR="00DD262F">
        <w:rPr>
          <w:rFonts w:hAnsi="Times New Roman" w:cs="Times New Roman"/>
          <w:vertAlign w:val="superscript"/>
        </w:rPr>
        <w:t xml:space="preserve"> </w:t>
      </w:r>
      <w:r w:rsidR="00012AD9">
        <w:rPr>
          <w:rFonts w:hAnsi="Times New Roman" w:cs="Times New Roman"/>
        </w:rPr>
        <w:t>S</w:t>
      </w:r>
      <w:r w:rsidR="0035398E">
        <w:rPr>
          <w:rFonts w:hAnsi="Times New Roman" w:cs="Times New Roman"/>
        </w:rPr>
        <w:t>everal</w:t>
      </w:r>
      <w:r w:rsidR="0035398E" w:rsidRPr="00D76C33">
        <w:rPr>
          <w:rFonts w:hAnsi="Times New Roman" w:cs="Times New Roman"/>
        </w:rPr>
        <w:t xml:space="preserve"> </w:t>
      </w:r>
      <w:r w:rsidR="00426527" w:rsidRPr="00D76C33">
        <w:rPr>
          <w:rFonts w:hAnsi="Times New Roman" w:cs="Times New Roman"/>
        </w:rPr>
        <w:t>s</w:t>
      </w:r>
      <w:r w:rsidR="00FB021F" w:rsidRPr="00D76C33">
        <w:rPr>
          <w:rFonts w:hAnsi="Times New Roman" w:cs="Times New Roman"/>
        </w:rPr>
        <w:t xml:space="preserve">tudies </w:t>
      </w:r>
      <w:r w:rsidR="0035398E">
        <w:rPr>
          <w:rFonts w:hAnsi="Times New Roman" w:cs="Times New Roman"/>
        </w:rPr>
        <w:t xml:space="preserve">have </w:t>
      </w:r>
      <w:r w:rsidR="00426527" w:rsidRPr="00D76C33">
        <w:rPr>
          <w:rFonts w:hAnsi="Times New Roman" w:cs="Times New Roman"/>
        </w:rPr>
        <w:t>indicate</w:t>
      </w:r>
      <w:r w:rsidR="0035398E">
        <w:rPr>
          <w:rFonts w:hAnsi="Times New Roman" w:cs="Times New Roman"/>
        </w:rPr>
        <w:t>d</w:t>
      </w:r>
      <w:r w:rsidR="00426527" w:rsidRPr="00D76C33">
        <w:rPr>
          <w:rFonts w:hAnsi="Times New Roman" w:cs="Times New Roman"/>
        </w:rPr>
        <w:t xml:space="preserve"> that the enteric</w:t>
      </w:r>
      <w:r w:rsidR="00FB021F" w:rsidRPr="00D76C33">
        <w:rPr>
          <w:rFonts w:hAnsi="Times New Roman" w:cs="Times New Roman"/>
        </w:rPr>
        <w:t xml:space="preserve"> </w:t>
      </w:r>
      <w:r w:rsidR="00426527" w:rsidRPr="00D76C33">
        <w:rPr>
          <w:rFonts w:hAnsi="Times New Roman" w:cs="Times New Roman"/>
        </w:rPr>
        <w:t xml:space="preserve">nervous system might </w:t>
      </w:r>
      <w:r w:rsidR="00FB021F" w:rsidRPr="00D76C33">
        <w:rPr>
          <w:rFonts w:hAnsi="Times New Roman" w:cs="Times New Roman"/>
        </w:rPr>
        <w:t>be the conductor of α-</w:t>
      </w:r>
      <w:proofErr w:type="spellStart"/>
      <w:r w:rsidR="00FB021F" w:rsidRPr="00D76C33">
        <w:rPr>
          <w:rFonts w:hAnsi="Times New Roman" w:cs="Times New Roman"/>
        </w:rPr>
        <w:t>synuclein</w:t>
      </w:r>
      <w:proofErr w:type="spellEnd"/>
      <w:r w:rsidR="001E6788">
        <w:rPr>
          <w:rFonts w:hAnsi="Times New Roman" w:cs="Times New Roman"/>
        </w:rPr>
        <w:t xml:space="preserve"> </w:t>
      </w:r>
      <w:r w:rsidR="001E6788" w:rsidRPr="00D76C33">
        <w:rPr>
          <w:rFonts w:hAnsi="Times New Roman" w:cs="Times New Roman"/>
        </w:rPr>
        <w:t>(α-</w:t>
      </w:r>
      <w:proofErr w:type="spellStart"/>
      <w:r w:rsidR="001E6788" w:rsidRPr="00D76C33">
        <w:rPr>
          <w:rFonts w:hAnsi="Times New Roman" w:cs="Times New Roman"/>
        </w:rPr>
        <w:t>Syn</w:t>
      </w:r>
      <w:proofErr w:type="spellEnd"/>
      <w:r w:rsidR="001E6788" w:rsidRPr="00D76C33">
        <w:rPr>
          <w:rFonts w:hAnsi="Times New Roman" w:cs="Times New Roman"/>
        </w:rPr>
        <w:t>)</w:t>
      </w:r>
      <w:r w:rsidR="00FB021F" w:rsidRPr="00D76C33">
        <w:rPr>
          <w:rFonts w:hAnsi="Times New Roman" w:cs="Times New Roman"/>
        </w:rPr>
        <w:t xml:space="preserve"> </w:t>
      </w:r>
      <w:r w:rsidR="00D76C33">
        <w:rPr>
          <w:rFonts w:hAnsi="Times New Roman" w:cs="Times New Roman"/>
        </w:rPr>
        <w:t xml:space="preserve">propagation </w:t>
      </w:r>
      <w:r w:rsidR="002A30F4">
        <w:rPr>
          <w:rFonts w:hAnsi="Times New Roman" w:cs="Times New Roman"/>
        </w:rPr>
        <w:t>toward</w:t>
      </w:r>
      <w:r w:rsidR="00426527" w:rsidRPr="00D76C33">
        <w:rPr>
          <w:rFonts w:hAnsi="Times New Roman" w:cs="Times New Roman"/>
        </w:rPr>
        <w:t xml:space="preserve"> the </w:t>
      </w:r>
      <w:r w:rsidR="00135CF9">
        <w:rPr>
          <w:rFonts w:hAnsi="Times New Roman" w:cs="Times New Roman"/>
        </w:rPr>
        <w:t>central nervous system (</w:t>
      </w:r>
      <w:r w:rsidR="00426527" w:rsidRPr="00D76C33">
        <w:rPr>
          <w:rFonts w:hAnsi="Times New Roman" w:cs="Times New Roman"/>
        </w:rPr>
        <w:t>CNS</w:t>
      </w:r>
      <w:r w:rsidR="00135CF9">
        <w:rPr>
          <w:rFonts w:hAnsi="Times New Roman" w:cs="Times New Roman"/>
        </w:rPr>
        <w:t>)</w:t>
      </w:r>
      <w:r w:rsidR="00D328BF">
        <w:rPr>
          <w:rFonts w:hAnsi="Times New Roman" w:cs="Times New Roman"/>
        </w:rPr>
        <w:t xml:space="preserve"> [2]</w:t>
      </w:r>
      <w:r w:rsidR="00426527" w:rsidRPr="00D76C33">
        <w:rPr>
          <w:rFonts w:hAnsi="Times New Roman" w:cs="Times New Roman"/>
        </w:rPr>
        <w:t>.</w:t>
      </w:r>
      <w:r w:rsidR="00FB021F" w:rsidRPr="00D76C33">
        <w:rPr>
          <w:rFonts w:hAnsi="Times New Roman" w:cs="Times New Roman"/>
        </w:rPr>
        <w:t xml:space="preserve"> </w:t>
      </w:r>
      <w:r w:rsidR="001E6788" w:rsidRPr="00D76C33">
        <w:rPr>
          <w:rFonts w:hAnsi="Times New Roman" w:cs="Times New Roman"/>
        </w:rPr>
        <w:t>α-</w:t>
      </w:r>
      <w:proofErr w:type="spellStart"/>
      <w:r w:rsidR="001E6788" w:rsidRPr="00D76C33">
        <w:rPr>
          <w:rFonts w:hAnsi="Times New Roman" w:cs="Times New Roman"/>
        </w:rPr>
        <w:t>Syn</w:t>
      </w:r>
      <w:proofErr w:type="spellEnd"/>
      <w:r w:rsidR="00C45553" w:rsidRPr="00D76C33">
        <w:rPr>
          <w:rFonts w:hAnsi="Times New Roman" w:cs="Times New Roman"/>
        </w:rPr>
        <w:t xml:space="preserve">, a neuronal protein encoded by </w:t>
      </w:r>
      <w:r w:rsidR="00C45553" w:rsidRPr="00D76C33">
        <w:rPr>
          <w:rFonts w:hAnsi="Times New Roman" w:cs="Times New Roman"/>
          <w:i/>
        </w:rPr>
        <w:t xml:space="preserve">SNCA </w:t>
      </w:r>
      <w:r w:rsidR="00C45553" w:rsidRPr="00D76C33">
        <w:rPr>
          <w:rFonts w:hAnsi="Times New Roman" w:cs="Times New Roman"/>
        </w:rPr>
        <w:t>(</w:t>
      </w:r>
      <w:proofErr w:type="spellStart"/>
      <w:r w:rsidR="00C45553" w:rsidRPr="00D76C33">
        <w:rPr>
          <w:rFonts w:hAnsi="Times New Roman" w:cs="Times New Roman"/>
        </w:rPr>
        <w:t>synuclein</w:t>
      </w:r>
      <w:proofErr w:type="spellEnd"/>
      <w:r w:rsidR="00C45553" w:rsidRPr="00D76C33">
        <w:rPr>
          <w:rFonts w:hAnsi="Times New Roman" w:cs="Times New Roman"/>
        </w:rPr>
        <w:t>, alpha, non</w:t>
      </w:r>
      <w:r w:rsidR="00162C04">
        <w:rPr>
          <w:rFonts w:hAnsi="Times New Roman" w:cs="Times New Roman"/>
        </w:rPr>
        <w:t>-</w:t>
      </w:r>
      <w:r w:rsidR="00C45553" w:rsidRPr="00D76C33">
        <w:rPr>
          <w:rFonts w:hAnsi="Times New Roman" w:cs="Times New Roman"/>
        </w:rPr>
        <w:t>A4 component of amyloid precursor)</w:t>
      </w:r>
      <w:r w:rsidR="00D328BF">
        <w:rPr>
          <w:rFonts w:hAnsi="Times New Roman" w:cs="Times New Roman"/>
        </w:rPr>
        <w:t xml:space="preserve"> [3]</w:t>
      </w:r>
      <w:r w:rsidR="00C45553" w:rsidRPr="00D76C33">
        <w:rPr>
          <w:rFonts w:hAnsi="Times New Roman" w:cs="Times New Roman"/>
        </w:rPr>
        <w:t>,</w:t>
      </w:r>
      <w:r w:rsidR="00D328BF">
        <w:rPr>
          <w:rFonts w:hAnsi="Times New Roman" w:cs="Times New Roman"/>
          <w:vertAlign w:val="superscript"/>
        </w:rPr>
        <w:t xml:space="preserve"> </w:t>
      </w:r>
      <w:r w:rsidR="00C45553" w:rsidRPr="00D76C33">
        <w:rPr>
          <w:rFonts w:hAnsi="Times New Roman" w:cs="Times New Roman"/>
        </w:rPr>
        <w:t xml:space="preserve">is one of the key proteins implicated in </w:t>
      </w:r>
      <w:r w:rsidR="00D76C33" w:rsidRPr="00D76C33">
        <w:rPr>
          <w:rFonts w:hAnsi="Times New Roman" w:cs="Times New Roman"/>
        </w:rPr>
        <w:t>the pathogenesis of PD</w:t>
      </w:r>
      <w:r w:rsidR="00C45553" w:rsidRPr="00D76C33">
        <w:rPr>
          <w:rFonts w:hAnsi="Times New Roman" w:cs="Times New Roman"/>
        </w:rPr>
        <w:t xml:space="preserve"> and the main component of Lewy bodies</w:t>
      </w:r>
      <w:r w:rsidR="00D328BF">
        <w:rPr>
          <w:rFonts w:hAnsi="Times New Roman" w:cs="Times New Roman"/>
        </w:rPr>
        <w:t xml:space="preserve"> [4]</w:t>
      </w:r>
      <w:r w:rsidR="00C45553" w:rsidRPr="00D76C33">
        <w:rPr>
          <w:rFonts w:hAnsi="Times New Roman" w:cs="Times New Roman"/>
        </w:rPr>
        <w:t>.</w:t>
      </w:r>
      <w:r w:rsidR="00C45553" w:rsidRPr="00D76C33">
        <w:rPr>
          <w:rFonts w:hAnsi="Times New Roman" w:cs="Times New Roman"/>
          <w:vertAlign w:val="superscript"/>
        </w:rPr>
        <w:t xml:space="preserve"> </w:t>
      </w:r>
      <w:r w:rsidR="00D328BF">
        <w:rPr>
          <w:rFonts w:hAnsi="Times New Roman" w:cs="Times New Roman"/>
        </w:rPr>
        <w:t xml:space="preserve"> </w:t>
      </w:r>
      <w:r w:rsidR="005240C4" w:rsidRPr="00D76C33">
        <w:rPr>
          <w:rFonts w:hAnsi="Times New Roman" w:cs="Times New Roman"/>
        </w:rPr>
        <w:t>α-</w:t>
      </w:r>
      <w:proofErr w:type="spellStart"/>
      <w:r w:rsidR="005240C4" w:rsidRPr="00D76C33">
        <w:rPr>
          <w:rFonts w:hAnsi="Times New Roman" w:cs="Times New Roman"/>
        </w:rPr>
        <w:t>Syn</w:t>
      </w:r>
      <w:proofErr w:type="spellEnd"/>
      <w:r w:rsidR="00D328BF">
        <w:rPr>
          <w:rFonts w:hAnsi="Times New Roman" w:cs="Times New Roman"/>
        </w:rPr>
        <w:t xml:space="preserve"> has been demonstrated </w:t>
      </w:r>
      <w:r w:rsidR="00012AD9" w:rsidRPr="00D76C33">
        <w:rPr>
          <w:rFonts w:hAnsi="Times New Roman" w:cs="Times New Roman"/>
        </w:rPr>
        <w:t xml:space="preserve">in nerve </w:t>
      </w:r>
      <w:r w:rsidR="00012AD9">
        <w:rPr>
          <w:rFonts w:hAnsi="Times New Roman" w:cs="Times New Roman"/>
        </w:rPr>
        <w:t>fibers</w:t>
      </w:r>
      <w:r w:rsidR="00012AD9" w:rsidRPr="00D76C33">
        <w:rPr>
          <w:rFonts w:hAnsi="Times New Roman" w:cs="Times New Roman"/>
        </w:rPr>
        <w:t xml:space="preserve"> of the colonic submucosa </w:t>
      </w:r>
      <w:r w:rsidR="00012AD9">
        <w:rPr>
          <w:rFonts w:hAnsi="Times New Roman" w:cs="Times New Roman"/>
        </w:rPr>
        <w:t>in</w:t>
      </w:r>
      <w:r w:rsidR="00012AD9" w:rsidRPr="00D76C33">
        <w:rPr>
          <w:rFonts w:hAnsi="Times New Roman" w:cs="Times New Roman"/>
        </w:rPr>
        <w:t xml:space="preserve"> </w:t>
      </w:r>
      <w:r w:rsidR="00012AD9">
        <w:rPr>
          <w:rFonts w:hAnsi="Times New Roman" w:cs="Times New Roman"/>
        </w:rPr>
        <w:t xml:space="preserve">early-stage </w:t>
      </w:r>
      <w:r w:rsidR="00012AD9" w:rsidRPr="00D76C33">
        <w:rPr>
          <w:rFonts w:hAnsi="Times New Roman" w:cs="Times New Roman"/>
        </w:rPr>
        <w:t>PD</w:t>
      </w:r>
      <w:r w:rsidR="00012AD9">
        <w:rPr>
          <w:rFonts w:hAnsi="Times New Roman" w:cs="Times New Roman"/>
        </w:rPr>
        <w:t xml:space="preserve"> patients</w:t>
      </w:r>
      <w:r w:rsidR="00D328BF">
        <w:rPr>
          <w:rFonts w:hAnsi="Times New Roman" w:cs="Times New Roman"/>
        </w:rPr>
        <w:t xml:space="preserve"> </w:t>
      </w:r>
      <w:r w:rsidR="00012AD9" w:rsidRPr="00D76C33">
        <w:rPr>
          <w:rFonts w:hAnsi="Times New Roman" w:cs="Times New Roman"/>
        </w:rPr>
        <w:t>and even before the onset of motor symptoms</w:t>
      </w:r>
      <w:r w:rsidR="00B77893">
        <w:rPr>
          <w:rFonts w:hAnsi="Times New Roman" w:cs="Times New Roman"/>
        </w:rPr>
        <w:t xml:space="preserve"> [5]</w:t>
      </w:r>
      <w:r w:rsidR="00012AD9" w:rsidRPr="00D76C33">
        <w:rPr>
          <w:rFonts w:hAnsi="Times New Roman" w:cs="Times New Roman"/>
        </w:rPr>
        <w:t xml:space="preserve">. </w:t>
      </w:r>
    </w:p>
    <w:p w14:paraId="01A7B3AB" w14:textId="7259A12C" w:rsidR="005240C4" w:rsidRDefault="00D328BF" w:rsidP="004B351F">
      <w:pPr>
        <w:spacing w:line="480" w:lineRule="auto"/>
        <w:jc w:val="both"/>
        <w:rPr>
          <w:rFonts w:hAnsi="Times New Roman" w:cs="Times New Roman"/>
          <w:lang w:eastAsia="zh-TW"/>
        </w:rPr>
      </w:pPr>
      <w:r>
        <w:rPr>
          <w:rFonts w:hAnsi="Times New Roman" w:cs="Times New Roman"/>
        </w:rPr>
        <w:t>Furthermore</w:t>
      </w:r>
      <w:r w:rsidR="003C2614">
        <w:rPr>
          <w:rFonts w:hAnsi="Times New Roman" w:cs="Times New Roman"/>
        </w:rPr>
        <w:t xml:space="preserve">, the involvement of gastrointestinal system </w:t>
      </w:r>
      <w:r w:rsidR="005240C4">
        <w:rPr>
          <w:rFonts w:hAnsi="Times New Roman" w:cs="Times New Roman"/>
        </w:rPr>
        <w:t xml:space="preserve">in PD </w:t>
      </w:r>
      <w:r w:rsidR="003C2614">
        <w:rPr>
          <w:rFonts w:hAnsi="Times New Roman" w:cs="Times New Roman"/>
        </w:rPr>
        <w:t xml:space="preserve">plays an important role during the disease course as </w:t>
      </w:r>
      <w:r w:rsidR="00A117E7">
        <w:rPr>
          <w:rFonts w:hAnsi="Times New Roman" w:cs="Times New Roman"/>
        </w:rPr>
        <w:t xml:space="preserve">source of </w:t>
      </w:r>
      <w:r w:rsidR="00D97ABB">
        <w:rPr>
          <w:rFonts w:hAnsi="Times New Roman" w:cs="Times New Roman"/>
        </w:rPr>
        <w:t>non-motor</w:t>
      </w:r>
      <w:r w:rsidR="00A117E7">
        <w:rPr>
          <w:rFonts w:hAnsi="Times New Roman" w:cs="Times New Roman"/>
        </w:rPr>
        <w:t xml:space="preserve"> symptoms</w:t>
      </w:r>
      <w:r>
        <w:rPr>
          <w:rFonts w:hAnsi="Times New Roman" w:cs="Times New Roman"/>
        </w:rPr>
        <w:t>, as constipation</w:t>
      </w:r>
      <w:r w:rsidR="00A117E7">
        <w:rPr>
          <w:rFonts w:hAnsi="Times New Roman" w:cs="Times New Roman"/>
        </w:rPr>
        <w:t xml:space="preserve"> </w:t>
      </w:r>
      <w:r w:rsidRPr="00D328BF">
        <w:rPr>
          <w:rFonts w:hAnsi="Times New Roman" w:cs="Times New Roman"/>
        </w:rPr>
        <w:t>[2].</w:t>
      </w:r>
      <w:r>
        <w:rPr>
          <w:rFonts w:hAnsi="Times New Roman" w:cs="Times New Roman"/>
        </w:rPr>
        <w:t xml:space="preserve"> Therefore, it</w:t>
      </w:r>
      <w:r w:rsidR="004B351F" w:rsidRPr="007856AA">
        <w:rPr>
          <w:rFonts w:hAnsi="Times New Roman" w:cs="Times New Roman"/>
        </w:rPr>
        <w:t xml:space="preserve"> is worthwhile to </w:t>
      </w:r>
      <w:r>
        <w:rPr>
          <w:rFonts w:hAnsi="Times New Roman" w:cs="Times New Roman"/>
        </w:rPr>
        <w:t>investigate</w:t>
      </w:r>
      <w:r w:rsidR="004B351F" w:rsidRPr="007856AA">
        <w:rPr>
          <w:rFonts w:hAnsi="Times New Roman" w:cs="Times New Roman"/>
        </w:rPr>
        <w:t xml:space="preserve"> if </w:t>
      </w:r>
      <w:r w:rsidR="004B351F" w:rsidRPr="007856AA">
        <w:rPr>
          <w:rFonts w:hAnsi="Times New Roman" w:cs="Times New Roman"/>
          <w:lang w:eastAsia="zh-TW"/>
        </w:rPr>
        <w:t>chronic gastrointestinal disease</w:t>
      </w:r>
      <w:r w:rsidR="005F754A">
        <w:rPr>
          <w:rFonts w:hAnsi="Times New Roman" w:cs="Times New Roman"/>
          <w:lang w:eastAsia="zh-TW"/>
        </w:rPr>
        <w:t>s</w:t>
      </w:r>
      <w:r w:rsidR="004B351F" w:rsidRPr="007856AA">
        <w:rPr>
          <w:rFonts w:hAnsi="Times New Roman" w:cs="Times New Roman"/>
          <w:lang w:eastAsia="zh-TW"/>
        </w:rPr>
        <w:t xml:space="preserve"> m</w:t>
      </w:r>
      <w:r w:rsidR="00B77893">
        <w:rPr>
          <w:rFonts w:hAnsi="Times New Roman" w:cs="Times New Roman"/>
          <w:lang w:eastAsia="zh-TW"/>
        </w:rPr>
        <w:t>ight</w:t>
      </w:r>
      <w:r w:rsidR="004B351F" w:rsidRPr="007856AA">
        <w:rPr>
          <w:rFonts w:hAnsi="Times New Roman" w:cs="Times New Roman"/>
          <w:lang w:eastAsia="zh-TW"/>
        </w:rPr>
        <w:t xml:space="preserve"> </w:t>
      </w:r>
      <w:r w:rsidR="005240C4">
        <w:rPr>
          <w:rFonts w:hAnsi="Times New Roman" w:cs="Times New Roman"/>
          <w:lang w:eastAsia="zh-TW"/>
        </w:rPr>
        <w:t>be linked to the development of</w:t>
      </w:r>
      <w:r w:rsidR="004B351F" w:rsidRPr="007856AA">
        <w:rPr>
          <w:rFonts w:hAnsi="Times New Roman" w:cs="Times New Roman"/>
          <w:lang w:eastAsia="zh-TW"/>
        </w:rPr>
        <w:t xml:space="preserve"> </w:t>
      </w:r>
      <w:r w:rsidR="005F754A">
        <w:rPr>
          <w:rFonts w:hAnsi="Times New Roman" w:cs="Times New Roman"/>
          <w:lang w:eastAsia="zh-TW"/>
        </w:rPr>
        <w:t>PD</w:t>
      </w:r>
      <w:r>
        <w:rPr>
          <w:rFonts w:hAnsi="Times New Roman" w:cs="Times New Roman"/>
          <w:lang w:eastAsia="zh-TW"/>
        </w:rPr>
        <w:t xml:space="preserve">. </w:t>
      </w:r>
    </w:p>
    <w:p w14:paraId="49BD7447" w14:textId="19A452F5" w:rsidR="001C7247" w:rsidRDefault="005F754A" w:rsidP="004B351F">
      <w:pPr>
        <w:spacing w:line="480" w:lineRule="auto"/>
        <w:jc w:val="both"/>
        <w:rPr>
          <w:rFonts w:hAnsi="Times New Roman" w:cs="Times New Roman"/>
        </w:rPr>
      </w:pPr>
      <w:r>
        <w:rPr>
          <w:rFonts w:hAnsi="Times New Roman" w:cs="Times New Roman"/>
          <w:lang w:eastAsia="zh-TW"/>
        </w:rPr>
        <w:t xml:space="preserve">Here, </w:t>
      </w:r>
      <w:r w:rsidR="006472EA">
        <w:rPr>
          <w:rFonts w:hAnsi="Times New Roman" w:cs="Times New Roman"/>
          <w:lang w:eastAsia="zh-TW"/>
        </w:rPr>
        <w:t xml:space="preserve">we </w:t>
      </w:r>
      <w:r w:rsidR="005240C4">
        <w:rPr>
          <w:rFonts w:hAnsi="Times New Roman" w:cs="Times New Roman"/>
          <w:lang w:eastAsia="zh-TW"/>
        </w:rPr>
        <w:t>studied</w:t>
      </w:r>
      <w:r w:rsidR="00112756">
        <w:rPr>
          <w:rFonts w:hAnsi="Times New Roman" w:cs="Times New Roman"/>
          <w:lang w:eastAsia="zh-TW"/>
        </w:rPr>
        <w:t xml:space="preserve"> </w:t>
      </w:r>
      <w:r>
        <w:rPr>
          <w:rFonts w:hAnsi="Times New Roman" w:cs="Times New Roman"/>
          <w:lang w:eastAsia="zh-TW"/>
        </w:rPr>
        <w:t xml:space="preserve">a </w:t>
      </w:r>
      <w:r w:rsidR="00112756">
        <w:rPr>
          <w:rFonts w:hAnsi="Times New Roman" w:cs="Times New Roman"/>
          <w:lang w:eastAsia="zh-TW"/>
        </w:rPr>
        <w:t xml:space="preserve">common disease of this group: the colonic diverticular disease (CDD). </w:t>
      </w:r>
    </w:p>
    <w:p w14:paraId="4A8B6A8B" w14:textId="5D030E46" w:rsidR="004B351F" w:rsidRDefault="00E10D14" w:rsidP="004B351F">
      <w:pPr>
        <w:spacing w:line="480" w:lineRule="auto"/>
        <w:jc w:val="both"/>
        <w:rPr>
          <w:lang w:val="en"/>
        </w:rPr>
      </w:pPr>
      <w:r>
        <w:rPr>
          <w:rFonts w:hAnsi="Times New Roman" w:cs="Times New Roman"/>
          <w:lang w:eastAsia="zh-TW"/>
        </w:rPr>
        <w:t>I</w:t>
      </w:r>
      <w:r w:rsidRPr="00E10D14">
        <w:rPr>
          <w:rFonts w:hAnsi="Times New Roman" w:cs="Times New Roman"/>
          <w:lang w:eastAsia="zh-TW"/>
        </w:rPr>
        <w:t>t is important to first define some key terms</w:t>
      </w:r>
      <w:r w:rsidR="005F754A">
        <w:rPr>
          <w:rFonts w:hAnsi="Times New Roman" w:cs="Times New Roman"/>
          <w:lang w:eastAsia="zh-TW"/>
        </w:rPr>
        <w:t>.</w:t>
      </w:r>
      <w:r w:rsidR="003E2548">
        <w:rPr>
          <w:rFonts w:hAnsi="Times New Roman" w:cs="Times New Roman"/>
          <w:lang w:eastAsia="zh-TW"/>
        </w:rPr>
        <w:t xml:space="preserve"> </w:t>
      </w:r>
      <w:r w:rsidR="004B351F">
        <w:rPr>
          <w:lang w:val="en"/>
        </w:rPr>
        <w:t>Colonic diverticulosis is the presence of sac-like protrusions (i.e., diverticula) formed when the colonic mucosa and submucosa herniate through defects in the muscle layer of the colon wall</w:t>
      </w:r>
      <w:r w:rsidR="003E2548">
        <w:rPr>
          <w:lang w:val="en"/>
        </w:rPr>
        <w:t xml:space="preserve"> [</w:t>
      </w:r>
      <w:r w:rsidR="00B77893">
        <w:rPr>
          <w:lang w:val="en"/>
        </w:rPr>
        <w:t>6</w:t>
      </w:r>
      <w:r w:rsidR="003E2548">
        <w:rPr>
          <w:lang w:val="en"/>
        </w:rPr>
        <w:t>]</w:t>
      </w:r>
      <w:r w:rsidR="004B351F">
        <w:rPr>
          <w:lang w:val="en"/>
        </w:rPr>
        <w:t>.</w:t>
      </w:r>
      <w:r w:rsidR="003E2548">
        <w:rPr>
          <w:vertAlign w:val="superscript"/>
          <w:lang w:val="en"/>
        </w:rPr>
        <w:t xml:space="preserve"> </w:t>
      </w:r>
      <w:r w:rsidR="004B351F">
        <w:rPr>
          <w:lang w:val="en"/>
        </w:rPr>
        <w:t>Approximately 20% of colonic diverticulosis develops the ty</w:t>
      </w:r>
      <w:r w:rsidR="005F754A">
        <w:rPr>
          <w:lang w:val="en"/>
        </w:rPr>
        <w:t>pical relate</w:t>
      </w:r>
      <w:r w:rsidR="005240C4">
        <w:rPr>
          <w:lang w:val="en"/>
        </w:rPr>
        <w:t>d symptoms. T</w:t>
      </w:r>
      <w:r w:rsidR="003E2548">
        <w:rPr>
          <w:lang w:val="en"/>
        </w:rPr>
        <w:t>he symptomatic condition</w:t>
      </w:r>
      <w:r w:rsidR="005F754A">
        <w:rPr>
          <w:lang w:val="en"/>
        </w:rPr>
        <w:t xml:space="preserve"> is </w:t>
      </w:r>
      <w:r w:rsidR="004B351F">
        <w:rPr>
          <w:lang w:val="en"/>
        </w:rPr>
        <w:t>labelled CDD</w:t>
      </w:r>
      <w:r w:rsidR="003E2548">
        <w:rPr>
          <w:lang w:val="en"/>
        </w:rPr>
        <w:t xml:space="preserve"> [</w:t>
      </w:r>
      <w:r w:rsidR="00EC67F1">
        <w:rPr>
          <w:lang w:val="en"/>
        </w:rPr>
        <w:t>6</w:t>
      </w:r>
      <w:r w:rsidR="003E2548">
        <w:rPr>
          <w:lang w:val="en"/>
        </w:rPr>
        <w:t>]</w:t>
      </w:r>
      <w:r w:rsidR="004B351F">
        <w:rPr>
          <w:lang w:val="en"/>
        </w:rPr>
        <w:t xml:space="preserve">. </w:t>
      </w:r>
    </w:p>
    <w:p w14:paraId="04229A11" w14:textId="3C23DE38" w:rsidR="0005695A" w:rsidRDefault="004B351F" w:rsidP="004B351F">
      <w:pPr>
        <w:spacing w:line="480" w:lineRule="auto"/>
        <w:jc w:val="both"/>
        <w:rPr>
          <w:lang w:val="en"/>
        </w:rPr>
      </w:pPr>
      <w:r>
        <w:rPr>
          <w:lang w:val="en"/>
        </w:rPr>
        <w:t xml:space="preserve">15% of CDD patients ultimately develop diverticulitis, which indicates the macroscopic inflammation of diverticula with related </w:t>
      </w:r>
      <w:r w:rsidR="00D328BF">
        <w:rPr>
          <w:lang w:val="en"/>
        </w:rPr>
        <w:t>acute or chronic complications</w:t>
      </w:r>
      <w:r w:rsidR="003E2548">
        <w:rPr>
          <w:lang w:val="en"/>
        </w:rPr>
        <w:t xml:space="preserve"> [</w:t>
      </w:r>
      <w:r w:rsidR="00EC67F1">
        <w:rPr>
          <w:lang w:val="en"/>
        </w:rPr>
        <w:t>7</w:t>
      </w:r>
      <w:r w:rsidR="003E2548">
        <w:rPr>
          <w:lang w:val="en"/>
        </w:rPr>
        <w:t>]</w:t>
      </w:r>
      <w:r w:rsidR="00D328BF">
        <w:rPr>
          <w:lang w:val="en"/>
        </w:rPr>
        <w:t>.</w:t>
      </w:r>
      <w:r w:rsidR="00E10D14">
        <w:rPr>
          <w:vertAlign w:val="superscript"/>
          <w:lang w:val="en"/>
        </w:rPr>
        <w:t xml:space="preserve"> </w:t>
      </w:r>
    </w:p>
    <w:p w14:paraId="36D82F15" w14:textId="27300C36" w:rsidR="003E2548" w:rsidRDefault="00F96270" w:rsidP="003B54AF">
      <w:pPr>
        <w:spacing w:line="480" w:lineRule="auto"/>
        <w:jc w:val="both"/>
        <w:rPr>
          <w:vertAlign w:val="superscript"/>
        </w:rPr>
      </w:pPr>
      <w:r>
        <w:t>T</w:t>
      </w:r>
      <w:r w:rsidRPr="00463488">
        <w:t>he underlying pathological mechanisms caus</w:t>
      </w:r>
      <w:r>
        <w:t>ing</w:t>
      </w:r>
      <w:r w:rsidRPr="00463488">
        <w:t xml:space="preserve"> the formation of colonic diverticula </w:t>
      </w:r>
      <w:r w:rsidRPr="00463488">
        <w:lastRenderedPageBreak/>
        <w:t>remain unclear</w:t>
      </w:r>
      <w:r>
        <w:t>,</w:t>
      </w:r>
      <w:r w:rsidRPr="00463488">
        <w:t xml:space="preserve"> but are likely </w:t>
      </w:r>
      <w:r>
        <w:t>caused by</w:t>
      </w:r>
      <w:r w:rsidRPr="00463488">
        <w:t xml:space="preserve"> complex interactions among </w:t>
      </w:r>
      <w:r>
        <w:t xml:space="preserve">factors of </w:t>
      </w:r>
      <w:r w:rsidRPr="00463488">
        <w:t xml:space="preserve">age, diet, genetic factors, </w:t>
      </w:r>
      <w:r>
        <w:t>abnormal motility due to autonomic dysfunction</w:t>
      </w:r>
      <w:r w:rsidRPr="00463488">
        <w:t xml:space="preserve">, and changes in </w:t>
      </w:r>
      <w:r>
        <w:t xml:space="preserve">the </w:t>
      </w:r>
      <w:r w:rsidRPr="00463488">
        <w:t>colonic structure</w:t>
      </w:r>
      <w:r w:rsidR="003E2548">
        <w:t xml:space="preserve"> [</w:t>
      </w:r>
      <w:r w:rsidR="00B77893">
        <w:t>6</w:t>
      </w:r>
      <w:r w:rsidR="003E2548">
        <w:t>]</w:t>
      </w:r>
      <w:r>
        <w:t>.</w:t>
      </w:r>
      <w:r>
        <w:rPr>
          <w:vertAlign w:val="superscript"/>
        </w:rPr>
        <w:t xml:space="preserve"> </w:t>
      </w:r>
    </w:p>
    <w:p w14:paraId="63EC2AE0" w14:textId="7D4643BF" w:rsidR="00A36097" w:rsidRPr="009D4A4E" w:rsidRDefault="003B54AF" w:rsidP="003B54AF">
      <w:pPr>
        <w:spacing w:line="480" w:lineRule="auto"/>
        <w:jc w:val="both"/>
      </w:pPr>
      <w:r>
        <w:rPr>
          <w:rFonts w:hAnsi="Times New Roman" w:cs="Times New Roman"/>
        </w:rPr>
        <w:t>We expect to find an increased risk of PD in CDD patient</w:t>
      </w:r>
      <w:r w:rsidR="004066D1">
        <w:rPr>
          <w:rFonts w:hAnsi="Times New Roman" w:cs="Times New Roman"/>
        </w:rPr>
        <w:t>s</w:t>
      </w:r>
      <w:r w:rsidR="001162D5">
        <w:rPr>
          <w:rFonts w:hAnsi="Times New Roman" w:cs="Times New Roman"/>
        </w:rPr>
        <w:t xml:space="preserve"> due to several factors that may link the two conditions</w:t>
      </w:r>
      <w:r w:rsidR="004066D1">
        <w:rPr>
          <w:rFonts w:hAnsi="Times New Roman" w:cs="Times New Roman"/>
        </w:rPr>
        <w:t>.</w:t>
      </w:r>
      <w:r w:rsidR="00103132">
        <w:rPr>
          <w:rFonts w:hAnsi="Times New Roman" w:cs="Times New Roman"/>
        </w:rPr>
        <w:t xml:space="preserve"> </w:t>
      </w:r>
      <w:r w:rsidR="003E2548">
        <w:rPr>
          <w:rFonts w:hAnsi="Times New Roman" w:cs="Times New Roman"/>
        </w:rPr>
        <w:t xml:space="preserve">Firstly, </w:t>
      </w:r>
      <w:r w:rsidR="00103132">
        <w:rPr>
          <w:rFonts w:hAnsi="Times New Roman" w:cs="Times New Roman"/>
        </w:rPr>
        <w:t xml:space="preserve">the </w:t>
      </w:r>
      <w:proofErr w:type="spellStart"/>
      <w:r w:rsidR="00F56729" w:rsidRPr="00F56729">
        <w:rPr>
          <w:rFonts w:hAnsi="Times New Roman" w:cs="Times New Roman"/>
        </w:rPr>
        <w:t>aSyn</w:t>
      </w:r>
      <w:proofErr w:type="spellEnd"/>
      <w:r w:rsidR="00F56729" w:rsidRPr="00F56729">
        <w:rPr>
          <w:rFonts w:hAnsi="Times New Roman" w:cs="Times New Roman"/>
        </w:rPr>
        <w:t xml:space="preserve"> pathology</w:t>
      </w:r>
      <w:r w:rsidR="00F56729">
        <w:rPr>
          <w:rFonts w:hAnsi="Times New Roman" w:cs="Times New Roman"/>
        </w:rPr>
        <w:t xml:space="preserve"> </w:t>
      </w:r>
      <w:r w:rsidR="00103132" w:rsidRPr="00103132">
        <w:rPr>
          <w:rFonts w:hAnsi="Times New Roman" w:cs="Times New Roman"/>
        </w:rPr>
        <w:t xml:space="preserve">in enteric neurons </w:t>
      </w:r>
      <w:r w:rsidR="003E2548">
        <w:rPr>
          <w:rFonts w:hAnsi="Times New Roman" w:cs="Times New Roman"/>
        </w:rPr>
        <w:t>[</w:t>
      </w:r>
      <w:r w:rsidR="00B77893">
        <w:rPr>
          <w:rFonts w:hAnsi="Times New Roman" w:cs="Times New Roman"/>
        </w:rPr>
        <w:t>8</w:t>
      </w:r>
      <w:r w:rsidR="000E2A28">
        <w:rPr>
          <w:rFonts w:hAnsi="Times New Roman" w:cs="Times New Roman"/>
        </w:rPr>
        <w:t xml:space="preserve">, </w:t>
      </w:r>
      <w:r w:rsidR="00B77893">
        <w:rPr>
          <w:rFonts w:hAnsi="Times New Roman" w:cs="Times New Roman"/>
        </w:rPr>
        <w:t>9</w:t>
      </w:r>
      <w:r w:rsidR="003E2548">
        <w:rPr>
          <w:rFonts w:hAnsi="Times New Roman" w:cs="Times New Roman"/>
        </w:rPr>
        <w:t>]</w:t>
      </w:r>
      <w:r w:rsidR="00C60B33">
        <w:rPr>
          <w:rFonts w:hAnsi="Times New Roman" w:cs="Times New Roman"/>
          <w:vertAlign w:val="superscript"/>
        </w:rPr>
        <w:t xml:space="preserve"> </w:t>
      </w:r>
      <w:r w:rsidR="00F56729">
        <w:rPr>
          <w:rFonts w:hAnsi="Times New Roman" w:cs="Times New Roman"/>
        </w:rPr>
        <w:t>causes autonomic dysfunction and</w:t>
      </w:r>
      <w:r w:rsidR="00C60B33">
        <w:rPr>
          <w:rFonts w:hAnsi="Times New Roman" w:cs="Times New Roman"/>
        </w:rPr>
        <w:t>, consequentially,</w:t>
      </w:r>
      <w:r w:rsidR="00103132">
        <w:rPr>
          <w:rFonts w:hAnsi="Times New Roman" w:cs="Times New Roman"/>
        </w:rPr>
        <w:t xml:space="preserve"> the low gastrointe</w:t>
      </w:r>
      <w:r w:rsidR="003E2548">
        <w:rPr>
          <w:rFonts w:hAnsi="Times New Roman" w:cs="Times New Roman"/>
        </w:rPr>
        <w:t xml:space="preserve">stinal mobility. The latter </w:t>
      </w:r>
      <w:r w:rsidR="005240C4">
        <w:rPr>
          <w:rFonts w:hAnsi="Times New Roman" w:cs="Times New Roman"/>
        </w:rPr>
        <w:t>was</w:t>
      </w:r>
      <w:r w:rsidR="003E2548">
        <w:rPr>
          <w:rFonts w:hAnsi="Times New Roman" w:cs="Times New Roman"/>
        </w:rPr>
        <w:t xml:space="preserve"> typically found </w:t>
      </w:r>
      <w:r w:rsidR="004066D1">
        <w:rPr>
          <w:rFonts w:hAnsi="Times New Roman" w:cs="Times New Roman"/>
        </w:rPr>
        <w:t xml:space="preserve">in </w:t>
      </w:r>
      <w:r w:rsidR="001162D5">
        <w:rPr>
          <w:rFonts w:hAnsi="Times New Roman" w:cs="Times New Roman"/>
        </w:rPr>
        <w:t xml:space="preserve">pre-motor </w:t>
      </w:r>
      <w:r w:rsidR="004066D1">
        <w:rPr>
          <w:rFonts w:hAnsi="Times New Roman" w:cs="Times New Roman"/>
        </w:rPr>
        <w:t>PD patients</w:t>
      </w:r>
      <w:r w:rsidR="003E2548">
        <w:rPr>
          <w:rFonts w:hAnsi="Times New Roman" w:cs="Times New Roman"/>
        </w:rPr>
        <w:t xml:space="preserve"> [</w:t>
      </w:r>
      <w:r w:rsidR="00B77893">
        <w:rPr>
          <w:rFonts w:hAnsi="Times New Roman" w:cs="Times New Roman"/>
        </w:rPr>
        <w:t>10</w:t>
      </w:r>
      <w:r w:rsidR="003E2548">
        <w:rPr>
          <w:rFonts w:hAnsi="Times New Roman" w:cs="Times New Roman"/>
        </w:rPr>
        <w:t>]</w:t>
      </w:r>
      <w:r w:rsidR="004066D1">
        <w:rPr>
          <w:rFonts w:hAnsi="Times New Roman" w:cs="Times New Roman"/>
        </w:rPr>
        <w:t>.</w:t>
      </w:r>
      <w:r w:rsidR="005240C4">
        <w:rPr>
          <w:rFonts w:hAnsi="Times New Roman" w:cs="Times New Roman"/>
        </w:rPr>
        <w:t xml:space="preserve"> </w:t>
      </w:r>
      <w:r w:rsidR="004066D1">
        <w:rPr>
          <w:rFonts w:hAnsi="Times New Roman" w:cs="Times New Roman"/>
        </w:rPr>
        <w:t xml:space="preserve">The </w:t>
      </w:r>
      <w:r w:rsidR="00C60B33">
        <w:rPr>
          <w:rFonts w:hAnsi="Times New Roman" w:cs="Times New Roman"/>
        </w:rPr>
        <w:t xml:space="preserve">resulted </w:t>
      </w:r>
      <w:r w:rsidR="004066D1">
        <w:rPr>
          <w:rFonts w:hAnsi="Times New Roman" w:cs="Times New Roman"/>
        </w:rPr>
        <w:t>high intral</w:t>
      </w:r>
      <w:r w:rsidR="00C60B33">
        <w:rPr>
          <w:rFonts w:hAnsi="Times New Roman" w:cs="Times New Roman"/>
        </w:rPr>
        <w:t xml:space="preserve">uminal pressure </w:t>
      </w:r>
      <w:r w:rsidR="004066D1">
        <w:rPr>
          <w:rFonts w:hAnsi="Times New Roman" w:cs="Times New Roman"/>
        </w:rPr>
        <w:t xml:space="preserve">is the main </w:t>
      </w:r>
      <w:r w:rsidR="005240C4">
        <w:rPr>
          <w:rFonts w:hAnsi="Times New Roman" w:cs="Times New Roman"/>
        </w:rPr>
        <w:t>cause</w:t>
      </w:r>
      <w:r w:rsidR="004066D1">
        <w:rPr>
          <w:rFonts w:hAnsi="Times New Roman" w:cs="Times New Roman"/>
        </w:rPr>
        <w:t xml:space="preserve"> of developing diverticula</w:t>
      </w:r>
      <w:r w:rsidR="001162D5">
        <w:rPr>
          <w:rFonts w:hAnsi="Times New Roman" w:cs="Times New Roman"/>
        </w:rPr>
        <w:t xml:space="preserve"> before the clinical onset of PD</w:t>
      </w:r>
      <w:r w:rsidR="004066D1">
        <w:rPr>
          <w:rFonts w:hAnsi="Times New Roman" w:cs="Times New Roman"/>
        </w:rPr>
        <w:t>.</w:t>
      </w:r>
      <w:r w:rsidR="00C60B33">
        <w:rPr>
          <w:rFonts w:hAnsi="Times New Roman" w:cs="Times New Roman"/>
        </w:rPr>
        <w:t xml:space="preserve"> </w:t>
      </w:r>
      <w:r w:rsidR="003E2548">
        <w:rPr>
          <w:rFonts w:hAnsi="Times New Roman" w:cs="Times New Roman"/>
        </w:rPr>
        <w:t>Furthermore</w:t>
      </w:r>
      <w:r w:rsidR="001162D5">
        <w:rPr>
          <w:rFonts w:hAnsi="Times New Roman" w:cs="Times New Roman"/>
        </w:rPr>
        <w:t>, t</w:t>
      </w:r>
      <w:r w:rsidR="00C60B33">
        <w:rPr>
          <w:rFonts w:hAnsi="Times New Roman" w:cs="Times New Roman"/>
        </w:rPr>
        <w:t xml:space="preserve">he </w:t>
      </w:r>
      <w:r w:rsidR="003E2548">
        <w:rPr>
          <w:rFonts w:hAnsi="Times New Roman" w:cs="Times New Roman"/>
        </w:rPr>
        <w:t xml:space="preserve">abnormal </w:t>
      </w:r>
      <w:r w:rsidR="00C60B33">
        <w:rPr>
          <w:rFonts w:hAnsi="Times New Roman" w:cs="Times New Roman"/>
        </w:rPr>
        <w:t>intestinal microbiota in PD</w:t>
      </w:r>
      <w:r w:rsidR="003E2548">
        <w:rPr>
          <w:rFonts w:hAnsi="Times New Roman" w:cs="Times New Roman"/>
        </w:rPr>
        <w:t xml:space="preserve"> patients [</w:t>
      </w:r>
      <w:r w:rsidR="00EC67F1">
        <w:rPr>
          <w:rFonts w:hAnsi="Times New Roman" w:cs="Times New Roman"/>
        </w:rPr>
        <w:t>1</w:t>
      </w:r>
      <w:r w:rsidR="00B77893">
        <w:rPr>
          <w:rFonts w:hAnsi="Times New Roman" w:cs="Times New Roman"/>
        </w:rPr>
        <w:t>1</w:t>
      </w:r>
      <w:r w:rsidR="003E2548">
        <w:rPr>
          <w:rFonts w:hAnsi="Times New Roman" w:cs="Times New Roman"/>
        </w:rPr>
        <w:t xml:space="preserve">] </w:t>
      </w:r>
      <w:r w:rsidR="00C60B33">
        <w:rPr>
          <w:rFonts w:hAnsi="Times New Roman" w:cs="Times New Roman"/>
        </w:rPr>
        <w:t>plays a double role in this scenario. Indeed, it</w:t>
      </w:r>
      <w:r w:rsidR="001162D5">
        <w:rPr>
          <w:rFonts w:hAnsi="Times New Roman" w:cs="Times New Roman"/>
        </w:rPr>
        <w:t xml:space="preserve"> </w:t>
      </w:r>
      <w:r w:rsidR="005240C4">
        <w:rPr>
          <w:rFonts w:hAnsi="Times New Roman" w:cs="Times New Roman"/>
        </w:rPr>
        <w:t>was</w:t>
      </w:r>
      <w:r w:rsidR="001162D5">
        <w:rPr>
          <w:rFonts w:hAnsi="Times New Roman" w:cs="Times New Roman"/>
        </w:rPr>
        <w:t xml:space="preserve"> found to</w:t>
      </w:r>
      <w:r w:rsidR="00C60B33">
        <w:rPr>
          <w:rFonts w:hAnsi="Times New Roman" w:cs="Times New Roman"/>
        </w:rPr>
        <w:t xml:space="preserve"> promote the </w:t>
      </w:r>
      <w:r w:rsidR="001162D5">
        <w:rPr>
          <w:rFonts w:hAnsi="Times New Roman" w:cs="Times New Roman"/>
        </w:rPr>
        <w:t>Lewy bod</w:t>
      </w:r>
      <w:r w:rsidR="005240C4">
        <w:rPr>
          <w:rFonts w:hAnsi="Times New Roman" w:cs="Times New Roman"/>
        </w:rPr>
        <w:t xml:space="preserve">y </w:t>
      </w:r>
      <w:r w:rsidR="001162D5">
        <w:rPr>
          <w:rFonts w:hAnsi="Times New Roman" w:cs="Times New Roman"/>
        </w:rPr>
        <w:t>pathology</w:t>
      </w:r>
      <w:r w:rsidR="003E2548">
        <w:rPr>
          <w:rFonts w:hAnsi="Times New Roman" w:cs="Times New Roman"/>
        </w:rPr>
        <w:t xml:space="preserve">, </w:t>
      </w:r>
      <w:r w:rsidR="001162D5">
        <w:rPr>
          <w:rFonts w:hAnsi="Times New Roman" w:cs="Times New Roman"/>
        </w:rPr>
        <w:t xml:space="preserve">and </w:t>
      </w:r>
      <w:r w:rsidR="003E2548">
        <w:rPr>
          <w:rFonts w:hAnsi="Times New Roman" w:cs="Times New Roman"/>
        </w:rPr>
        <w:t>consequentially</w:t>
      </w:r>
      <w:r w:rsidR="001162D5">
        <w:rPr>
          <w:rFonts w:hAnsi="Times New Roman" w:cs="Times New Roman"/>
        </w:rPr>
        <w:t xml:space="preserve"> the </w:t>
      </w:r>
      <w:r w:rsidR="00F90B83">
        <w:rPr>
          <w:rFonts w:hAnsi="Times New Roman" w:cs="Times New Roman"/>
        </w:rPr>
        <w:t>hy</w:t>
      </w:r>
      <w:r w:rsidR="001162D5">
        <w:rPr>
          <w:rFonts w:hAnsi="Times New Roman" w:cs="Times New Roman"/>
        </w:rPr>
        <w:t>pomob</w:t>
      </w:r>
      <w:r w:rsidR="003E2548">
        <w:rPr>
          <w:rFonts w:hAnsi="Times New Roman" w:cs="Times New Roman"/>
        </w:rPr>
        <w:t>ility of gastrointestinal tract,</w:t>
      </w:r>
      <w:r w:rsidR="001162D5">
        <w:rPr>
          <w:rFonts w:hAnsi="Times New Roman" w:cs="Times New Roman"/>
        </w:rPr>
        <w:t xml:space="preserve"> as well as</w:t>
      </w:r>
      <w:r w:rsidR="00C60B33">
        <w:rPr>
          <w:rFonts w:hAnsi="Times New Roman" w:cs="Times New Roman"/>
        </w:rPr>
        <w:t xml:space="preserve"> </w:t>
      </w:r>
      <w:r w:rsidR="00C60B33" w:rsidRPr="00C60B33">
        <w:rPr>
          <w:rFonts w:hAnsi="Times New Roman" w:cs="Times New Roman"/>
        </w:rPr>
        <w:t>intestinal inflammation</w:t>
      </w:r>
      <w:r w:rsidR="003E2548">
        <w:rPr>
          <w:rFonts w:hAnsi="Times New Roman" w:cs="Times New Roman"/>
        </w:rPr>
        <w:t>. The latter i</w:t>
      </w:r>
      <w:r w:rsidR="001162D5">
        <w:rPr>
          <w:rFonts w:hAnsi="Times New Roman" w:cs="Times New Roman"/>
        </w:rPr>
        <w:t>s another contributory factor to develop CDD</w:t>
      </w:r>
      <w:r w:rsidR="005240C4">
        <w:rPr>
          <w:rFonts w:hAnsi="Times New Roman" w:cs="Times New Roman"/>
        </w:rPr>
        <w:t xml:space="preserve"> [</w:t>
      </w:r>
      <w:r w:rsidR="00B77893">
        <w:rPr>
          <w:rFonts w:hAnsi="Times New Roman" w:cs="Times New Roman"/>
        </w:rPr>
        <w:t>6</w:t>
      </w:r>
      <w:r w:rsidR="005240C4">
        <w:rPr>
          <w:rFonts w:hAnsi="Times New Roman" w:cs="Times New Roman"/>
        </w:rPr>
        <w:t>]</w:t>
      </w:r>
      <w:r w:rsidR="001162D5">
        <w:rPr>
          <w:rFonts w:hAnsi="Times New Roman" w:cs="Times New Roman"/>
        </w:rPr>
        <w:t>.</w:t>
      </w:r>
    </w:p>
    <w:p w14:paraId="11501A40" w14:textId="77777777" w:rsidR="00A36097" w:rsidRPr="00A117E7" w:rsidRDefault="00A36097" w:rsidP="004E4CE8">
      <w:pPr>
        <w:spacing w:line="480" w:lineRule="auto"/>
        <w:jc w:val="both"/>
        <w:rPr>
          <w:rFonts w:hAnsi="Times New Roman" w:cs="Times New Roman"/>
          <w:vertAlign w:val="superscript"/>
        </w:rPr>
      </w:pPr>
    </w:p>
    <w:p w14:paraId="076D79B1" w14:textId="77777777" w:rsidR="00A45E98" w:rsidRDefault="00E24038" w:rsidP="004E4CE8">
      <w:pPr>
        <w:rPr>
          <w:b/>
        </w:rPr>
      </w:pPr>
      <w:r w:rsidRPr="00E24038">
        <w:rPr>
          <w:b/>
        </w:rPr>
        <w:t>METHODS</w:t>
      </w:r>
    </w:p>
    <w:p w14:paraId="0DE22A95" w14:textId="77777777" w:rsidR="00E24038" w:rsidRDefault="00E24038" w:rsidP="004E4CE8">
      <w:pPr>
        <w:rPr>
          <w:b/>
        </w:rPr>
      </w:pPr>
    </w:p>
    <w:p w14:paraId="38886135" w14:textId="77777777" w:rsidR="00E24038" w:rsidRPr="00E24038" w:rsidRDefault="00E24038" w:rsidP="004E4CE8">
      <w:pPr>
        <w:rPr>
          <w:b/>
        </w:rPr>
      </w:pPr>
    </w:p>
    <w:p w14:paraId="6306083E" w14:textId="77777777" w:rsidR="00A45E98" w:rsidRDefault="00F56868" w:rsidP="004E4CE8">
      <w:pPr>
        <w:rPr>
          <w:b/>
        </w:rPr>
      </w:pPr>
      <w:r w:rsidRPr="00E24038">
        <w:rPr>
          <w:b/>
        </w:rPr>
        <w:t>Data source</w:t>
      </w:r>
    </w:p>
    <w:p w14:paraId="79771221" w14:textId="77777777" w:rsidR="00E24038" w:rsidRPr="003E2548" w:rsidRDefault="00E24038" w:rsidP="004E4CE8">
      <w:pPr>
        <w:spacing w:line="480" w:lineRule="auto"/>
        <w:rPr>
          <w:b/>
          <w:color w:val="auto"/>
        </w:rPr>
      </w:pPr>
    </w:p>
    <w:p w14:paraId="7EB90593" w14:textId="77777777" w:rsidR="003E2548" w:rsidRDefault="00EA0D6D" w:rsidP="004E4CE8">
      <w:pPr>
        <w:spacing w:line="480" w:lineRule="auto"/>
        <w:jc w:val="both"/>
        <w:rPr>
          <w:color w:val="auto"/>
        </w:rPr>
      </w:pPr>
      <w:r w:rsidRPr="003E2548">
        <w:rPr>
          <w:color w:val="auto"/>
        </w:rPr>
        <w:t>The</w:t>
      </w:r>
      <w:r w:rsidR="00F56868" w:rsidRPr="003E2548">
        <w:rPr>
          <w:color w:val="auto"/>
        </w:rPr>
        <w:t xml:space="preserve"> data </w:t>
      </w:r>
      <w:r w:rsidR="00F863FF" w:rsidRPr="003E2548">
        <w:rPr>
          <w:color w:val="auto"/>
        </w:rPr>
        <w:t>were</w:t>
      </w:r>
      <w:r w:rsidRPr="003E2548">
        <w:rPr>
          <w:color w:val="auto"/>
        </w:rPr>
        <w:t xml:space="preserve"> obtained </w:t>
      </w:r>
      <w:r w:rsidR="00F56868" w:rsidRPr="003E2548">
        <w:rPr>
          <w:color w:val="auto"/>
        </w:rPr>
        <w:t xml:space="preserve">from the </w:t>
      </w:r>
      <w:r w:rsidRPr="003E2548">
        <w:rPr>
          <w:color w:val="auto"/>
        </w:rPr>
        <w:t xml:space="preserve">Taiwan </w:t>
      </w:r>
      <w:r w:rsidR="00F56868" w:rsidRPr="003E2548">
        <w:rPr>
          <w:color w:val="auto"/>
        </w:rPr>
        <w:t xml:space="preserve">National Health Insurance Research Database (NHIRD). </w:t>
      </w:r>
    </w:p>
    <w:p w14:paraId="7ABB5CA0" w14:textId="77777777" w:rsidR="003E2548" w:rsidRDefault="00F56868" w:rsidP="004E4CE8">
      <w:pPr>
        <w:spacing w:line="480" w:lineRule="auto"/>
        <w:jc w:val="both"/>
        <w:rPr>
          <w:color w:val="auto"/>
        </w:rPr>
      </w:pPr>
      <w:r w:rsidRPr="003E2548">
        <w:rPr>
          <w:color w:val="auto"/>
        </w:rPr>
        <w:t xml:space="preserve">The </w:t>
      </w:r>
      <w:r w:rsidR="00EA0D6D" w:rsidRPr="003E2548">
        <w:rPr>
          <w:color w:val="auto"/>
        </w:rPr>
        <w:t xml:space="preserve">Taiwan National Health Insurance (NHI) program </w:t>
      </w:r>
      <w:r w:rsidR="001C7F23" w:rsidRPr="003E2548">
        <w:rPr>
          <w:color w:val="auto"/>
        </w:rPr>
        <w:t>was established</w:t>
      </w:r>
      <w:r w:rsidR="00EA0D6D" w:rsidRPr="003E2548">
        <w:rPr>
          <w:color w:val="auto"/>
        </w:rPr>
        <w:t xml:space="preserve"> in 1995 </w:t>
      </w:r>
      <w:r w:rsidR="00035BC2" w:rsidRPr="003E2548">
        <w:rPr>
          <w:color w:val="auto"/>
        </w:rPr>
        <w:t>through a</w:t>
      </w:r>
      <w:r w:rsidR="001C7F23" w:rsidRPr="003E2548">
        <w:rPr>
          <w:color w:val="auto"/>
        </w:rPr>
        <w:t xml:space="preserve"> co</w:t>
      </w:r>
      <w:r w:rsidR="00035BC2" w:rsidRPr="003E2548">
        <w:rPr>
          <w:color w:val="auto"/>
        </w:rPr>
        <w:t>nsolidation of</w:t>
      </w:r>
      <w:r w:rsidRPr="003E2548">
        <w:rPr>
          <w:color w:val="auto"/>
        </w:rPr>
        <w:t xml:space="preserve"> </w:t>
      </w:r>
      <w:r w:rsidR="00035BC2" w:rsidRPr="003E2548">
        <w:rPr>
          <w:color w:val="auto"/>
        </w:rPr>
        <w:t xml:space="preserve">the </w:t>
      </w:r>
      <w:proofErr w:type="gramStart"/>
      <w:r w:rsidRPr="003E2548">
        <w:rPr>
          <w:color w:val="auto"/>
        </w:rPr>
        <w:t>13 exist</w:t>
      </w:r>
      <w:r w:rsidR="001C7F23" w:rsidRPr="003E2548">
        <w:rPr>
          <w:color w:val="auto"/>
        </w:rPr>
        <w:t>ing</w:t>
      </w:r>
      <w:proofErr w:type="gramEnd"/>
      <w:r w:rsidRPr="003E2548">
        <w:rPr>
          <w:color w:val="auto"/>
        </w:rPr>
        <w:t xml:space="preserve"> social health insurance </w:t>
      </w:r>
      <w:r w:rsidR="001C7F23" w:rsidRPr="003E2548">
        <w:rPr>
          <w:color w:val="auto"/>
        </w:rPr>
        <w:t xml:space="preserve">programs </w:t>
      </w:r>
      <w:r w:rsidRPr="003E2548">
        <w:rPr>
          <w:color w:val="auto"/>
        </w:rPr>
        <w:t>into a nationwide, single</w:t>
      </w:r>
      <w:r w:rsidR="001C7F23" w:rsidRPr="003E2548">
        <w:rPr>
          <w:color w:val="auto"/>
        </w:rPr>
        <w:t>-</w:t>
      </w:r>
      <w:r w:rsidR="00E4579E" w:rsidRPr="003E2548">
        <w:rPr>
          <w:color w:val="auto"/>
        </w:rPr>
        <w:t>payer</w:t>
      </w:r>
      <w:r w:rsidR="00E4579E" w:rsidRPr="003E2548" w:rsidDel="00E4579E">
        <w:rPr>
          <w:color w:val="auto"/>
        </w:rPr>
        <w:t xml:space="preserve"> </w:t>
      </w:r>
      <w:r w:rsidRPr="003E2548">
        <w:rPr>
          <w:color w:val="auto"/>
        </w:rPr>
        <w:t xml:space="preserve">health insurance </w:t>
      </w:r>
      <w:bookmarkStart w:id="4" w:name="OLE_LINK40"/>
      <w:r w:rsidRPr="003E2548">
        <w:rPr>
          <w:color w:val="auto"/>
        </w:rPr>
        <w:t>program</w:t>
      </w:r>
      <w:bookmarkEnd w:id="4"/>
      <w:r w:rsidRPr="003E2548">
        <w:rPr>
          <w:color w:val="auto"/>
        </w:rPr>
        <w:t xml:space="preserve">. The </w:t>
      </w:r>
      <w:bookmarkStart w:id="5" w:name="OLE_LINK43"/>
      <w:r w:rsidRPr="003E2548">
        <w:rPr>
          <w:color w:val="auto"/>
        </w:rPr>
        <w:t>Taiwan NHI program</w:t>
      </w:r>
      <w:bookmarkEnd w:id="5"/>
      <w:r w:rsidRPr="003E2548">
        <w:rPr>
          <w:color w:val="auto"/>
        </w:rPr>
        <w:t xml:space="preserve"> </w:t>
      </w:r>
      <w:r w:rsidR="001C7F23" w:rsidRPr="003E2548">
        <w:rPr>
          <w:color w:val="auto"/>
        </w:rPr>
        <w:t xml:space="preserve">is </w:t>
      </w:r>
      <w:r w:rsidRPr="003E2548">
        <w:rPr>
          <w:color w:val="auto"/>
        </w:rPr>
        <w:t xml:space="preserve">a compulsory insurance </w:t>
      </w:r>
      <w:r w:rsidR="001C7F23" w:rsidRPr="003E2548">
        <w:rPr>
          <w:color w:val="auto"/>
        </w:rPr>
        <w:t xml:space="preserve">program </w:t>
      </w:r>
      <w:r w:rsidRPr="003E2548">
        <w:rPr>
          <w:color w:val="auto"/>
        </w:rPr>
        <w:t xml:space="preserve">for </w:t>
      </w:r>
      <w:r w:rsidR="00035BC2" w:rsidRPr="003E2548">
        <w:rPr>
          <w:color w:val="auto"/>
        </w:rPr>
        <w:t xml:space="preserve">Taiwanese </w:t>
      </w:r>
      <w:r w:rsidR="001C7F23" w:rsidRPr="003E2548">
        <w:rPr>
          <w:color w:val="auto"/>
        </w:rPr>
        <w:t>residents,</w:t>
      </w:r>
      <w:r w:rsidRPr="003E2548">
        <w:rPr>
          <w:color w:val="auto"/>
        </w:rPr>
        <w:t xml:space="preserve"> </w:t>
      </w:r>
      <w:r w:rsidR="001C7F23" w:rsidRPr="003E2548">
        <w:rPr>
          <w:color w:val="auto"/>
        </w:rPr>
        <w:t>cover</w:t>
      </w:r>
      <w:r w:rsidR="001243EE" w:rsidRPr="003E2548">
        <w:rPr>
          <w:color w:val="auto"/>
        </w:rPr>
        <w:t>ing</w:t>
      </w:r>
      <w:r w:rsidR="001C7F23" w:rsidRPr="003E2548">
        <w:rPr>
          <w:color w:val="auto"/>
        </w:rPr>
        <w:t xml:space="preserve"> </w:t>
      </w:r>
      <w:r w:rsidRPr="003E2548">
        <w:rPr>
          <w:color w:val="auto"/>
        </w:rPr>
        <w:t xml:space="preserve">99.9% of 23 million </w:t>
      </w:r>
      <w:r w:rsidR="001C7F23" w:rsidRPr="003E2548">
        <w:rPr>
          <w:color w:val="auto"/>
        </w:rPr>
        <w:t>residents</w:t>
      </w:r>
      <w:r w:rsidRPr="003E2548">
        <w:rPr>
          <w:color w:val="auto"/>
        </w:rPr>
        <w:t xml:space="preserve"> in 2014. </w:t>
      </w:r>
    </w:p>
    <w:p w14:paraId="464171FE" w14:textId="77777777" w:rsidR="003E2548" w:rsidRDefault="0011729D" w:rsidP="004E4CE8">
      <w:pPr>
        <w:spacing w:line="480" w:lineRule="auto"/>
        <w:jc w:val="both"/>
        <w:rPr>
          <w:rFonts w:eastAsia="DFKai-SB" w:hAnsi="Times New Roman"/>
          <w:color w:val="auto"/>
        </w:rPr>
      </w:pPr>
      <w:r w:rsidRPr="003E2548">
        <w:rPr>
          <w:rFonts w:eastAsia="DFKai-SB" w:hAnsi="Times New Roman"/>
          <w:color w:val="auto"/>
        </w:rPr>
        <w:t xml:space="preserve">In this study, we used the hospitalization claims data of all enrollees (23 million residents) in Taiwan, which contained information on beneficiary registry, dates of </w:t>
      </w:r>
      <w:r w:rsidRPr="003E2548">
        <w:rPr>
          <w:rFonts w:eastAsia="DFKai-SB" w:hAnsi="Times New Roman"/>
          <w:color w:val="auto"/>
        </w:rPr>
        <w:lastRenderedPageBreak/>
        <w:t>admission and discharge, disease record, and discharge status.</w:t>
      </w:r>
      <w:r w:rsidRPr="003E2548">
        <w:rPr>
          <w:rFonts w:eastAsia="DFKai-SB" w:hAnsi="Times New Roman" w:hint="eastAsia"/>
          <w:color w:val="auto"/>
        </w:rPr>
        <w:t xml:space="preserve"> </w:t>
      </w:r>
    </w:p>
    <w:p w14:paraId="2E639128" w14:textId="77777777" w:rsidR="003E2548" w:rsidRDefault="0011729D" w:rsidP="004E4CE8">
      <w:pPr>
        <w:spacing w:line="480" w:lineRule="auto"/>
        <w:jc w:val="both"/>
        <w:rPr>
          <w:color w:val="auto"/>
          <w:kern w:val="0"/>
        </w:rPr>
      </w:pPr>
      <w:r w:rsidRPr="003E2548">
        <w:rPr>
          <w:color w:val="auto"/>
        </w:rPr>
        <w:t xml:space="preserve">The disease record system in the NHIRD is based on the codes of the International Classification of Diseases, Ninth Revision, Clinical Modification (ICD-9-CM). </w:t>
      </w:r>
      <w:r w:rsidR="00F56868" w:rsidRPr="003E2548">
        <w:rPr>
          <w:color w:val="auto"/>
        </w:rPr>
        <w:t xml:space="preserve">The database </w:t>
      </w:r>
      <w:r w:rsidR="00A22022" w:rsidRPr="003E2548">
        <w:rPr>
          <w:color w:val="auto"/>
        </w:rPr>
        <w:t xml:space="preserve">renews </w:t>
      </w:r>
      <w:r w:rsidR="00F56868" w:rsidRPr="003E2548">
        <w:rPr>
          <w:color w:val="auto"/>
        </w:rPr>
        <w:t>the</w:t>
      </w:r>
      <w:r w:rsidR="00F56868" w:rsidRPr="003E2548">
        <w:rPr>
          <w:color w:val="auto"/>
          <w:kern w:val="0"/>
        </w:rPr>
        <w:t xml:space="preserve"> data </w:t>
      </w:r>
      <w:r w:rsidR="001243EE" w:rsidRPr="003E2548">
        <w:rPr>
          <w:color w:val="auto"/>
          <w:kern w:val="0"/>
        </w:rPr>
        <w:t>annually</w:t>
      </w:r>
      <w:r w:rsidR="00F56868" w:rsidRPr="003E2548">
        <w:rPr>
          <w:color w:val="auto"/>
          <w:kern w:val="0"/>
        </w:rPr>
        <w:t xml:space="preserve">. </w:t>
      </w:r>
    </w:p>
    <w:p w14:paraId="48A3FB49" w14:textId="77777777" w:rsidR="003E2548" w:rsidRDefault="00F56868" w:rsidP="004E4CE8">
      <w:pPr>
        <w:spacing w:line="480" w:lineRule="auto"/>
        <w:jc w:val="both"/>
        <w:rPr>
          <w:color w:val="auto"/>
        </w:rPr>
      </w:pPr>
      <w:r w:rsidRPr="003E2548">
        <w:rPr>
          <w:color w:val="auto"/>
          <w:kern w:val="0"/>
        </w:rPr>
        <w:t xml:space="preserve">Before releasing the data for research, the </w:t>
      </w:r>
      <w:r w:rsidRPr="003E2548">
        <w:rPr>
          <w:color w:val="auto"/>
        </w:rPr>
        <w:t xml:space="preserve">Taiwan government </w:t>
      </w:r>
      <w:r w:rsidR="00A22022" w:rsidRPr="003E2548">
        <w:rPr>
          <w:color w:val="auto"/>
        </w:rPr>
        <w:t>encrypts</w:t>
      </w:r>
      <w:r w:rsidRPr="003E2548">
        <w:rPr>
          <w:color w:val="auto"/>
        </w:rPr>
        <w:t xml:space="preserve"> the original identification number and provide</w:t>
      </w:r>
      <w:r w:rsidR="00A22022" w:rsidRPr="003E2548">
        <w:rPr>
          <w:color w:val="auto"/>
        </w:rPr>
        <w:t>s</w:t>
      </w:r>
      <w:r w:rsidRPr="003E2548">
        <w:rPr>
          <w:color w:val="auto"/>
        </w:rPr>
        <w:t xml:space="preserve"> a scrambled</w:t>
      </w:r>
      <w:r w:rsidR="00F56646" w:rsidRPr="003E2548">
        <w:rPr>
          <w:color w:val="auto"/>
        </w:rPr>
        <w:t>,</w:t>
      </w:r>
      <w:r w:rsidRPr="003E2548">
        <w:rPr>
          <w:color w:val="auto"/>
        </w:rPr>
        <w:t xml:space="preserve"> anonymous number for each insured p</w:t>
      </w:r>
      <w:r w:rsidR="00A22022" w:rsidRPr="003E2548">
        <w:rPr>
          <w:color w:val="auto"/>
        </w:rPr>
        <w:t>erson</w:t>
      </w:r>
      <w:r w:rsidRPr="003E2548">
        <w:rPr>
          <w:color w:val="auto"/>
        </w:rPr>
        <w:t xml:space="preserve"> to link their data. </w:t>
      </w:r>
    </w:p>
    <w:p w14:paraId="67FF737F" w14:textId="55EBFD67" w:rsidR="00A45E98" w:rsidRPr="003E2548" w:rsidRDefault="00A22022" w:rsidP="004E4CE8">
      <w:pPr>
        <w:spacing w:line="480" w:lineRule="auto"/>
        <w:jc w:val="both"/>
        <w:rPr>
          <w:color w:val="auto"/>
        </w:rPr>
      </w:pPr>
      <w:r w:rsidRPr="003E2548">
        <w:rPr>
          <w:color w:val="auto"/>
        </w:rPr>
        <w:t>T</w:t>
      </w:r>
      <w:r w:rsidR="00F56868" w:rsidRPr="003E2548">
        <w:rPr>
          <w:color w:val="auto"/>
        </w:rPr>
        <w:t>his study was approved by the Ethics Review Board of China Medical University (CMU-REC-101-012).</w:t>
      </w:r>
    </w:p>
    <w:p w14:paraId="41C720E7" w14:textId="77777777" w:rsidR="00A45E98" w:rsidRPr="003E2548" w:rsidRDefault="00A45E98" w:rsidP="004E4CE8">
      <w:pPr>
        <w:spacing w:line="480" w:lineRule="auto"/>
        <w:jc w:val="both"/>
        <w:rPr>
          <w:color w:val="auto"/>
        </w:rPr>
      </w:pPr>
    </w:p>
    <w:p w14:paraId="0F4602EE" w14:textId="77777777" w:rsidR="00A45E98" w:rsidRDefault="00F56868" w:rsidP="004E4CE8">
      <w:pPr>
        <w:spacing w:line="480" w:lineRule="auto"/>
        <w:jc w:val="both"/>
        <w:rPr>
          <w:b/>
        </w:rPr>
      </w:pPr>
      <w:r w:rsidRPr="006C1B37">
        <w:rPr>
          <w:b/>
        </w:rPr>
        <w:t>Study population</w:t>
      </w:r>
    </w:p>
    <w:p w14:paraId="0BEB231B" w14:textId="77777777" w:rsidR="006C1B37" w:rsidRPr="006C1B37" w:rsidRDefault="006C1B37" w:rsidP="004E4CE8">
      <w:pPr>
        <w:spacing w:line="480" w:lineRule="auto"/>
        <w:jc w:val="both"/>
        <w:rPr>
          <w:b/>
        </w:rPr>
      </w:pPr>
    </w:p>
    <w:p w14:paraId="036D34CD" w14:textId="77777777" w:rsidR="00966BD4" w:rsidRDefault="00F56868" w:rsidP="004754CC">
      <w:pPr>
        <w:spacing w:line="480" w:lineRule="auto"/>
        <w:ind w:firstLineChars="100" w:firstLine="240"/>
        <w:jc w:val="both"/>
        <w:rPr>
          <w:color w:val="auto"/>
        </w:rPr>
      </w:pPr>
      <w:r w:rsidRPr="003E2548">
        <w:rPr>
          <w:color w:val="auto"/>
        </w:rPr>
        <w:t xml:space="preserve">This </w:t>
      </w:r>
      <w:r w:rsidR="00E05CBC" w:rsidRPr="003E2548">
        <w:rPr>
          <w:color w:val="auto"/>
        </w:rPr>
        <w:t>study</w:t>
      </w:r>
      <w:r w:rsidRPr="003E2548">
        <w:rPr>
          <w:color w:val="auto"/>
        </w:rPr>
        <w:t xml:space="preserve"> </w:t>
      </w:r>
      <w:r w:rsidR="00E05CBC" w:rsidRPr="003E2548">
        <w:rPr>
          <w:color w:val="auto"/>
        </w:rPr>
        <w:t xml:space="preserve">investigated </w:t>
      </w:r>
      <w:r w:rsidRPr="003E2548">
        <w:rPr>
          <w:color w:val="auto"/>
        </w:rPr>
        <w:t xml:space="preserve">the risk of </w:t>
      </w:r>
      <w:r w:rsidR="00E05CBC" w:rsidRPr="003E2548">
        <w:rPr>
          <w:color w:val="auto"/>
        </w:rPr>
        <w:t>PD</w:t>
      </w:r>
      <w:r w:rsidRPr="003E2548">
        <w:rPr>
          <w:color w:val="auto"/>
        </w:rPr>
        <w:t xml:space="preserve"> in </w:t>
      </w:r>
      <w:r w:rsidR="00F56646" w:rsidRPr="003E2548">
        <w:rPr>
          <w:color w:val="auto"/>
        </w:rPr>
        <w:t xml:space="preserve">CDD </w:t>
      </w:r>
      <w:r w:rsidR="00E05CBC" w:rsidRPr="003E2548">
        <w:rPr>
          <w:color w:val="auto"/>
        </w:rPr>
        <w:t>patients</w:t>
      </w:r>
      <w:r w:rsidR="00F56646" w:rsidRPr="003E2548">
        <w:rPr>
          <w:color w:val="auto"/>
        </w:rPr>
        <w:t xml:space="preserve">, employing a </w:t>
      </w:r>
      <w:r w:rsidRPr="003E2548">
        <w:rPr>
          <w:color w:val="auto"/>
        </w:rPr>
        <w:t xml:space="preserve">CDD </w:t>
      </w:r>
      <w:r w:rsidR="00F56646" w:rsidRPr="003E2548">
        <w:rPr>
          <w:color w:val="auto"/>
        </w:rPr>
        <w:t xml:space="preserve">cohort </w:t>
      </w:r>
      <w:r w:rsidRPr="003E2548">
        <w:rPr>
          <w:color w:val="auto"/>
        </w:rPr>
        <w:t xml:space="preserve">and </w:t>
      </w:r>
      <w:r w:rsidR="00F56646" w:rsidRPr="003E2548">
        <w:rPr>
          <w:color w:val="auto"/>
        </w:rPr>
        <w:t xml:space="preserve">a </w:t>
      </w:r>
      <w:r w:rsidRPr="003E2548">
        <w:rPr>
          <w:color w:val="auto"/>
        </w:rPr>
        <w:t xml:space="preserve">comparison cohort. </w:t>
      </w:r>
    </w:p>
    <w:p w14:paraId="0903630E" w14:textId="77777777" w:rsidR="00966BD4" w:rsidRDefault="0047480A" w:rsidP="004754CC">
      <w:pPr>
        <w:spacing w:line="480" w:lineRule="auto"/>
        <w:ind w:firstLineChars="100" w:firstLine="240"/>
        <w:jc w:val="both"/>
        <w:rPr>
          <w:color w:val="auto"/>
        </w:rPr>
      </w:pPr>
      <w:r w:rsidRPr="003E2548">
        <w:rPr>
          <w:rFonts w:hAnsi="Times New Roman" w:cs="Times New Roman"/>
          <w:color w:val="auto"/>
        </w:rPr>
        <w:t>The CDD cohort</w:t>
      </w:r>
      <w:r w:rsidRPr="003E2548" w:rsidDel="004D19D0">
        <w:rPr>
          <w:color w:val="auto"/>
        </w:rPr>
        <w:t xml:space="preserve"> </w:t>
      </w:r>
      <w:r w:rsidRPr="003E2548">
        <w:rPr>
          <w:color w:val="auto"/>
        </w:rPr>
        <w:t>comprised p</w:t>
      </w:r>
      <w:r w:rsidR="004D19D0" w:rsidRPr="003E2548">
        <w:rPr>
          <w:color w:val="auto"/>
        </w:rPr>
        <w:t xml:space="preserve">atients </w:t>
      </w:r>
      <w:r w:rsidR="00F8240A" w:rsidRPr="003E2548">
        <w:rPr>
          <w:color w:val="auto"/>
        </w:rPr>
        <w:t xml:space="preserve">who </w:t>
      </w:r>
      <w:r w:rsidR="00F56646" w:rsidRPr="003E2548">
        <w:rPr>
          <w:color w:val="auto"/>
        </w:rPr>
        <w:t xml:space="preserve">had </w:t>
      </w:r>
      <w:r w:rsidRPr="003E2548">
        <w:rPr>
          <w:color w:val="auto"/>
        </w:rPr>
        <w:t xml:space="preserve">been </w:t>
      </w:r>
      <w:r w:rsidR="00F56868" w:rsidRPr="003E2548">
        <w:rPr>
          <w:color w:val="auto"/>
        </w:rPr>
        <w:t>ne</w:t>
      </w:r>
      <w:r w:rsidR="00F56868" w:rsidRPr="003E2548">
        <w:rPr>
          <w:rFonts w:hAnsi="Times New Roman" w:cs="Times New Roman"/>
          <w:color w:val="auto"/>
        </w:rPr>
        <w:t>w</w:t>
      </w:r>
      <w:r w:rsidR="004D19D0" w:rsidRPr="003E2548">
        <w:rPr>
          <w:rFonts w:hAnsi="Times New Roman" w:cs="Times New Roman"/>
          <w:color w:val="auto"/>
        </w:rPr>
        <w:t>ly diagnos</w:t>
      </w:r>
      <w:r w:rsidRPr="003E2548">
        <w:rPr>
          <w:rFonts w:hAnsi="Times New Roman" w:cs="Times New Roman"/>
          <w:color w:val="auto"/>
        </w:rPr>
        <w:t>ed</w:t>
      </w:r>
      <w:r w:rsidR="004D19D0" w:rsidRPr="003E2548">
        <w:rPr>
          <w:rFonts w:hAnsi="Times New Roman" w:cs="Times New Roman"/>
          <w:color w:val="auto"/>
        </w:rPr>
        <w:t xml:space="preserve"> </w:t>
      </w:r>
      <w:r w:rsidRPr="003E2548">
        <w:rPr>
          <w:rFonts w:hAnsi="Times New Roman" w:cs="Times New Roman"/>
          <w:color w:val="auto"/>
        </w:rPr>
        <w:t>with</w:t>
      </w:r>
      <w:r w:rsidR="00F56868" w:rsidRPr="003E2548">
        <w:rPr>
          <w:rFonts w:hAnsi="Times New Roman" w:cs="Times New Roman"/>
          <w:color w:val="auto"/>
        </w:rPr>
        <w:t xml:space="preserve"> CDD (ICD-9-CM 562.1) </w:t>
      </w:r>
      <w:r w:rsidR="004D19D0" w:rsidRPr="003E2548">
        <w:rPr>
          <w:rFonts w:hAnsi="Times New Roman" w:cs="Times New Roman"/>
          <w:color w:val="auto"/>
        </w:rPr>
        <w:t>between</w:t>
      </w:r>
      <w:r w:rsidR="00F56868" w:rsidRPr="003E2548">
        <w:rPr>
          <w:rFonts w:hAnsi="Times New Roman" w:cs="Times New Roman"/>
          <w:color w:val="auto"/>
        </w:rPr>
        <w:t xml:space="preserve"> 2000 </w:t>
      </w:r>
      <w:r w:rsidR="004D19D0" w:rsidRPr="003E2548">
        <w:rPr>
          <w:rFonts w:hAnsi="Times New Roman" w:cs="Times New Roman"/>
          <w:color w:val="auto"/>
        </w:rPr>
        <w:t xml:space="preserve">and </w:t>
      </w:r>
      <w:r w:rsidR="00F56868" w:rsidRPr="003E2548">
        <w:rPr>
          <w:rFonts w:hAnsi="Times New Roman" w:cs="Times New Roman"/>
          <w:color w:val="auto"/>
        </w:rPr>
        <w:t xml:space="preserve">2005 and </w:t>
      </w:r>
      <w:r w:rsidR="00F8240A" w:rsidRPr="003E2548">
        <w:rPr>
          <w:rFonts w:hAnsi="Times New Roman" w:cs="Times New Roman"/>
          <w:color w:val="auto"/>
        </w:rPr>
        <w:t xml:space="preserve">were aged </w:t>
      </w:r>
      <w:r w:rsidR="00824288" w:rsidRPr="003E2548">
        <w:rPr>
          <w:rFonts w:hAnsi="Times New Roman" w:cs="Times New Roman"/>
          <w:color w:val="auto"/>
        </w:rPr>
        <w:t>≥</w:t>
      </w:r>
      <w:r w:rsidR="000204CD" w:rsidRPr="003E2548">
        <w:rPr>
          <w:rFonts w:hAnsi="Times New Roman" w:cs="Times New Roman"/>
          <w:color w:val="auto"/>
        </w:rPr>
        <w:t xml:space="preserve"> </w:t>
      </w:r>
      <w:r w:rsidR="00F8240A" w:rsidRPr="003E2548">
        <w:rPr>
          <w:rFonts w:hAnsi="Times New Roman" w:cs="Times New Roman"/>
          <w:color w:val="auto"/>
        </w:rPr>
        <w:t>20 years</w:t>
      </w:r>
      <w:r w:rsidR="00F56868" w:rsidRPr="003E2548">
        <w:rPr>
          <w:rFonts w:hAnsi="Times New Roman" w:cs="Times New Roman"/>
          <w:color w:val="auto"/>
        </w:rPr>
        <w:t xml:space="preserve">. The index date of </w:t>
      </w:r>
      <w:r w:rsidRPr="003E2548">
        <w:rPr>
          <w:rFonts w:hAnsi="Times New Roman" w:cs="Times New Roman"/>
          <w:color w:val="auto"/>
        </w:rPr>
        <w:t xml:space="preserve">the </w:t>
      </w:r>
      <w:r w:rsidRPr="003E2548">
        <w:rPr>
          <w:color w:val="auto"/>
        </w:rPr>
        <w:t>CDD</w:t>
      </w:r>
      <w:r w:rsidRPr="003E2548">
        <w:rPr>
          <w:rFonts w:hAnsi="Times New Roman" w:cs="Times New Roman"/>
          <w:color w:val="auto"/>
        </w:rPr>
        <w:t xml:space="preserve"> </w:t>
      </w:r>
      <w:r w:rsidR="00F8240A" w:rsidRPr="003E2548">
        <w:rPr>
          <w:rFonts w:hAnsi="Times New Roman" w:cs="Times New Roman"/>
          <w:color w:val="auto"/>
        </w:rPr>
        <w:t xml:space="preserve">patients </w:t>
      </w:r>
      <w:r w:rsidR="00F56868" w:rsidRPr="003E2548">
        <w:rPr>
          <w:color w:val="auto"/>
        </w:rPr>
        <w:t>was the initial CDD diagnosis</w:t>
      </w:r>
      <w:r w:rsidR="00F8240A" w:rsidRPr="003E2548">
        <w:rPr>
          <w:color w:val="auto"/>
        </w:rPr>
        <w:t xml:space="preserve"> date</w:t>
      </w:r>
      <w:r w:rsidR="00F56868" w:rsidRPr="003E2548">
        <w:rPr>
          <w:color w:val="auto"/>
        </w:rPr>
        <w:t xml:space="preserve">. </w:t>
      </w:r>
      <w:r w:rsidR="00F8240A" w:rsidRPr="003E2548">
        <w:rPr>
          <w:color w:val="auto"/>
        </w:rPr>
        <w:t>Furthermore, w</w:t>
      </w:r>
      <w:r w:rsidR="00F56868" w:rsidRPr="003E2548">
        <w:rPr>
          <w:color w:val="auto"/>
        </w:rPr>
        <w:t xml:space="preserve">e </w:t>
      </w:r>
      <w:r w:rsidR="00F8240A" w:rsidRPr="003E2548">
        <w:rPr>
          <w:color w:val="auto"/>
        </w:rPr>
        <w:t>divided</w:t>
      </w:r>
      <w:r w:rsidR="00F56868" w:rsidRPr="003E2548">
        <w:rPr>
          <w:color w:val="auto"/>
        </w:rPr>
        <w:t xml:space="preserve"> the CDD </w:t>
      </w:r>
      <w:r w:rsidR="00F8240A" w:rsidRPr="003E2548">
        <w:rPr>
          <w:color w:val="auto"/>
        </w:rPr>
        <w:t xml:space="preserve">cohort </w:t>
      </w:r>
      <w:r w:rsidR="00F56868" w:rsidRPr="003E2548">
        <w:rPr>
          <w:color w:val="auto"/>
        </w:rPr>
        <w:t xml:space="preserve">into </w:t>
      </w:r>
      <w:r w:rsidR="00F8240A" w:rsidRPr="003E2548">
        <w:rPr>
          <w:color w:val="auto"/>
        </w:rPr>
        <w:t>the following two</w:t>
      </w:r>
      <w:r w:rsidR="00F56868" w:rsidRPr="003E2548">
        <w:rPr>
          <w:color w:val="auto"/>
        </w:rPr>
        <w:t xml:space="preserve"> subgroup</w:t>
      </w:r>
      <w:r w:rsidR="00F8240A" w:rsidRPr="003E2548">
        <w:rPr>
          <w:color w:val="auto"/>
        </w:rPr>
        <w:t>s</w:t>
      </w:r>
      <w:r w:rsidR="00F56868" w:rsidRPr="003E2548">
        <w:rPr>
          <w:color w:val="auto"/>
        </w:rPr>
        <w:t xml:space="preserve">: </w:t>
      </w:r>
      <w:r w:rsidRPr="003E2548">
        <w:rPr>
          <w:color w:val="auto"/>
        </w:rPr>
        <w:t xml:space="preserve">the </w:t>
      </w:r>
      <w:r w:rsidR="00F56868" w:rsidRPr="003E2548">
        <w:rPr>
          <w:color w:val="auto"/>
        </w:rPr>
        <w:t xml:space="preserve">diverticulosis </w:t>
      </w:r>
      <w:r w:rsidR="00A7688D" w:rsidRPr="003E2548">
        <w:rPr>
          <w:color w:val="auto"/>
        </w:rPr>
        <w:t>sub</w:t>
      </w:r>
      <w:r w:rsidR="00F56868" w:rsidRPr="003E2548">
        <w:rPr>
          <w:color w:val="auto"/>
        </w:rPr>
        <w:t xml:space="preserve">group (only with ICD-9-CM 562.10 and/or 562.12) and diverticulitis </w:t>
      </w:r>
      <w:r w:rsidR="00A7688D" w:rsidRPr="003E2548">
        <w:rPr>
          <w:color w:val="auto"/>
        </w:rPr>
        <w:t>sub</w:t>
      </w:r>
      <w:r w:rsidR="00F56868" w:rsidRPr="003E2548">
        <w:rPr>
          <w:color w:val="auto"/>
        </w:rPr>
        <w:t>group (only with ICD-9-CM 562.11 and/or 562.13</w:t>
      </w:r>
      <w:r w:rsidRPr="003E2548">
        <w:rPr>
          <w:color w:val="auto"/>
        </w:rPr>
        <w:t>,</w:t>
      </w:r>
      <w:r w:rsidR="00F56868" w:rsidRPr="003E2548">
        <w:rPr>
          <w:color w:val="auto"/>
        </w:rPr>
        <w:t xml:space="preserve"> both 562.11 and 562.13</w:t>
      </w:r>
      <w:r w:rsidRPr="003E2548">
        <w:rPr>
          <w:color w:val="auto"/>
        </w:rPr>
        <w:t>, or both</w:t>
      </w:r>
      <w:r w:rsidR="00F56868" w:rsidRPr="003E2548">
        <w:rPr>
          <w:color w:val="auto"/>
        </w:rPr>
        <w:t xml:space="preserve"> 562.10 and 562.12). </w:t>
      </w:r>
    </w:p>
    <w:p w14:paraId="018EE6B0" w14:textId="77777777" w:rsidR="000A25A7" w:rsidRDefault="00FF22FC" w:rsidP="004754CC">
      <w:pPr>
        <w:spacing w:line="480" w:lineRule="auto"/>
        <w:ind w:firstLineChars="100" w:firstLine="240"/>
        <w:jc w:val="both"/>
        <w:rPr>
          <w:rFonts w:hAnsi="Times New Roman" w:cs="Times New Roman"/>
          <w:color w:val="auto"/>
          <w:shd w:val="clear" w:color="auto" w:fill="FFFFFF"/>
          <w:lang w:val="en-GB"/>
        </w:rPr>
      </w:pPr>
      <w:r w:rsidRPr="003E2548">
        <w:rPr>
          <w:color w:val="auto"/>
        </w:rPr>
        <w:t>For the comparison cohort,</w:t>
      </w:r>
      <w:r w:rsidRPr="003E2548" w:rsidDel="00D91B30">
        <w:rPr>
          <w:color w:val="auto"/>
        </w:rPr>
        <w:t xml:space="preserve"> </w:t>
      </w:r>
      <w:r w:rsidRPr="003E2548">
        <w:rPr>
          <w:color w:val="auto"/>
        </w:rPr>
        <w:t>w</w:t>
      </w:r>
      <w:r w:rsidR="00D91B30" w:rsidRPr="003E2548">
        <w:rPr>
          <w:color w:val="auto"/>
        </w:rPr>
        <w:t>e</w:t>
      </w:r>
      <w:r w:rsidR="00F56868" w:rsidRPr="003E2548">
        <w:rPr>
          <w:color w:val="auto"/>
        </w:rPr>
        <w:t xml:space="preserve"> sampled </w:t>
      </w:r>
      <w:r w:rsidR="00D91B30" w:rsidRPr="003E2548">
        <w:rPr>
          <w:color w:val="auto"/>
        </w:rPr>
        <w:t>patients</w:t>
      </w:r>
      <w:r w:rsidR="00F56868" w:rsidRPr="003E2548">
        <w:rPr>
          <w:color w:val="auto"/>
        </w:rPr>
        <w:t xml:space="preserve"> without CDD </w:t>
      </w:r>
      <w:r w:rsidR="00D91B30" w:rsidRPr="003E2548">
        <w:rPr>
          <w:color w:val="auto"/>
        </w:rPr>
        <w:t xml:space="preserve">from the </w:t>
      </w:r>
      <w:r w:rsidR="00F56868" w:rsidRPr="003E2548">
        <w:rPr>
          <w:color w:val="auto"/>
        </w:rPr>
        <w:t>NHIRD</w:t>
      </w:r>
      <w:r w:rsidR="00D91B30" w:rsidRPr="003E2548">
        <w:rPr>
          <w:color w:val="auto"/>
        </w:rPr>
        <w:t>,</w:t>
      </w:r>
      <w:r w:rsidR="00F56868" w:rsidRPr="003E2548">
        <w:rPr>
          <w:color w:val="auto"/>
        </w:rPr>
        <w:t xml:space="preserve"> frequency</w:t>
      </w:r>
      <w:r w:rsidR="00D91B30" w:rsidRPr="003E2548">
        <w:rPr>
          <w:color w:val="auto"/>
        </w:rPr>
        <w:t xml:space="preserve"> </w:t>
      </w:r>
      <w:r w:rsidR="00F56868" w:rsidRPr="003E2548">
        <w:rPr>
          <w:color w:val="auto"/>
        </w:rPr>
        <w:t>match</w:t>
      </w:r>
      <w:r w:rsidRPr="003E2548">
        <w:rPr>
          <w:color w:val="auto"/>
        </w:rPr>
        <w:t>ing</w:t>
      </w:r>
      <w:r w:rsidR="00F56868" w:rsidRPr="003E2548">
        <w:rPr>
          <w:color w:val="auto"/>
        </w:rPr>
        <w:t xml:space="preserve"> by </w:t>
      </w:r>
      <w:r w:rsidR="00D52824" w:rsidRPr="003E2548">
        <w:rPr>
          <w:color w:val="auto"/>
        </w:rPr>
        <w:t xml:space="preserve">sex, </w:t>
      </w:r>
      <w:r w:rsidR="00F56868" w:rsidRPr="003E2548">
        <w:rPr>
          <w:color w:val="auto"/>
        </w:rPr>
        <w:t xml:space="preserve">age (per </w:t>
      </w:r>
      <w:r w:rsidR="00D52824" w:rsidRPr="003E2548">
        <w:rPr>
          <w:color w:val="auto"/>
        </w:rPr>
        <w:t xml:space="preserve">1 </w:t>
      </w:r>
      <w:r w:rsidR="00F56868" w:rsidRPr="003E2548">
        <w:rPr>
          <w:color w:val="auto"/>
        </w:rPr>
        <w:t>years)</w:t>
      </w:r>
      <w:r w:rsidR="00D52824" w:rsidRPr="003E2548">
        <w:rPr>
          <w:color w:val="auto"/>
        </w:rPr>
        <w:t>,</w:t>
      </w:r>
      <w:r w:rsidR="00F56868" w:rsidRPr="003E2548">
        <w:rPr>
          <w:color w:val="auto"/>
        </w:rPr>
        <w:t xml:space="preserve"> and </w:t>
      </w:r>
      <w:r w:rsidR="00B57F27" w:rsidRPr="003E2548">
        <w:rPr>
          <w:color w:val="auto"/>
        </w:rPr>
        <w:t xml:space="preserve">all of comorbidities </w:t>
      </w:r>
      <w:r w:rsidR="00D52824" w:rsidRPr="003E2548">
        <w:rPr>
          <w:color w:val="auto"/>
        </w:rPr>
        <w:t xml:space="preserve">(including </w:t>
      </w:r>
      <w:r w:rsidR="006C07BD" w:rsidRPr="003E2548">
        <w:rPr>
          <w:color w:val="auto"/>
        </w:rPr>
        <w:t xml:space="preserve">diabetes mellitus, hyperlipidemia, hypertension, dementia, depression, anxiety, head injury, stroke, and constipation) </w:t>
      </w:r>
      <w:r w:rsidR="00F56868" w:rsidRPr="003E2548">
        <w:rPr>
          <w:color w:val="auto"/>
        </w:rPr>
        <w:t xml:space="preserve">at </w:t>
      </w:r>
      <w:r w:rsidR="00D91B30" w:rsidRPr="003E2548">
        <w:rPr>
          <w:color w:val="auto"/>
        </w:rPr>
        <w:t xml:space="preserve">a ratio of </w:t>
      </w:r>
      <w:r w:rsidR="00F56868" w:rsidRPr="003E2548">
        <w:rPr>
          <w:color w:val="auto"/>
        </w:rPr>
        <w:t>1:</w:t>
      </w:r>
      <w:r w:rsidR="006C07BD" w:rsidRPr="003E2548">
        <w:rPr>
          <w:color w:val="auto"/>
        </w:rPr>
        <w:t xml:space="preserve">1 </w:t>
      </w:r>
      <w:r w:rsidR="00D91B30" w:rsidRPr="003E2548">
        <w:rPr>
          <w:color w:val="auto"/>
        </w:rPr>
        <w:t>with the CDD cohort</w:t>
      </w:r>
      <w:r w:rsidR="00F56868" w:rsidRPr="003E2548">
        <w:rPr>
          <w:color w:val="auto"/>
        </w:rPr>
        <w:t xml:space="preserve">. </w:t>
      </w:r>
      <w:r w:rsidR="000A25A7" w:rsidRPr="007B4421">
        <w:rPr>
          <w:rFonts w:hAnsi="Times New Roman" w:cs="Times New Roman"/>
          <w:color w:val="auto"/>
          <w:shd w:val="clear" w:color="auto" w:fill="FFFFFF"/>
          <w:lang w:val="en-GB"/>
        </w:rPr>
        <w:t>For age-</w:t>
      </w:r>
      <w:r w:rsidR="000A25A7" w:rsidRPr="007B4421">
        <w:rPr>
          <w:rFonts w:hAnsi="Times New Roman" w:cs="Times New Roman"/>
          <w:shd w:val="clear" w:color="auto" w:fill="FFFFFF"/>
          <w:lang w:val="en-GB"/>
        </w:rPr>
        <w:t>matched</w:t>
      </w:r>
      <w:r w:rsidR="000A25A7" w:rsidRPr="007B4421">
        <w:rPr>
          <w:rFonts w:hAnsi="Times New Roman" w:cs="Times New Roman"/>
          <w:color w:val="auto"/>
          <w:shd w:val="clear" w:color="auto" w:fill="FFFFFF"/>
          <w:lang w:val="en-GB"/>
        </w:rPr>
        <w:t xml:space="preserve"> subjects in the comparison cohort, we </w:t>
      </w:r>
      <w:r w:rsidR="000A25A7" w:rsidRPr="007B4421">
        <w:rPr>
          <w:rFonts w:hAnsi="Times New Roman" w:cs="Times New Roman"/>
          <w:shd w:val="clear" w:color="auto" w:fill="FFFFFF"/>
          <w:lang w:val="en-GB"/>
        </w:rPr>
        <w:t>randomly</w:t>
      </w:r>
      <w:r w:rsidR="000A25A7" w:rsidRPr="007B4421">
        <w:rPr>
          <w:rFonts w:hAnsi="Times New Roman" w:cs="Times New Roman"/>
          <w:color w:val="auto"/>
          <w:shd w:val="clear" w:color="auto" w:fill="FFFFFF"/>
          <w:lang w:val="en-GB"/>
        </w:rPr>
        <w:t xml:space="preserve"> assigned a month and day in </w:t>
      </w:r>
      <w:r w:rsidR="000A25A7" w:rsidRPr="007B4421">
        <w:rPr>
          <w:rFonts w:hAnsi="Times New Roman" w:cs="Times New Roman"/>
          <w:color w:val="auto"/>
          <w:shd w:val="clear" w:color="auto" w:fill="FFFFFF"/>
          <w:lang w:val="en-GB"/>
        </w:rPr>
        <w:lastRenderedPageBreak/>
        <w:t>the index year of the matched case index date.</w:t>
      </w:r>
    </w:p>
    <w:p w14:paraId="13257601" w14:textId="4CC9AAF3" w:rsidR="00966BD4" w:rsidRDefault="00966BD4" w:rsidP="004754CC">
      <w:pPr>
        <w:spacing w:line="480" w:lineRule="auto"/>
        <w:ind w:firstLineChars="100" w:firstLine="240"/>
        <w:jc w:val="both"/>
        <w:rPr>
          <w:color w:val="auto"/>
        </w:rPr>
      </w:pPr>
    </w:p>
    <w:p w14:paraId="4D299A2C" w14:textId="1F2CBF09" w:rsidR="00CA5D01" w:rsidRPr="003E2548" w:rsidRDefault="00F56868" w:rsidP="004754CC">
      <w:pPr>
        <w:spacing w:line="480" w:lineRule="auto"/>
        <w:ind w:firstLineChars="100" w:firstLine="240"/>
        <w:jc w:val="both"/>
        <w:rPr>
          <w:color w:val="auto"/>
        </w:rPr>
      </w:pPr>
      <w:r w:rsidRPr="003E2548">
        <w:rPr>
          <w:color w:val="auto"/>
        </w:rPr>
        <w:t xml:space="preserve">We excluded </w:t>
      </w:r>
      <w:r w:rsidR="007313D2" w:rsidRPr="003E2548">
        <w:rPr>
          <w:color w:val="auto"/>
        </w:rPr>
        <w:t>patients</w:t>
      </w:r>
      <w:r w:rsidRPr="003E2548">
        <w:rPr>
          <w:color w:val="auto"/>
        </w:rPr>
        <w:t xml:space="preserve"> </w:t>
      </w:r>
      <w:r w:rsidR="00EC0568" w:rsidRPr="003E2548">
        <w:rPr>
          <w:rFonts w:eastAsia="DFKai-SB"/>
          <w:color w:val="auto"/>
        </w:rPr>
        <w:t>with missing information (age and/or sex)</w:t>
      </w:r>
      <w:r w:rsidR="00EC0568" w:rsidRPr="003E2548">
        <w:rPr>
          <w:color w:val="auto"/>
        </w:rPr>
        <w:t xml:space="preserve"> or with </w:t>
      </w:r>
      <w:r w:rsidR="007313D2" w:rsidRPr="003E2548">
        <w:rPr>
          <w:color w:val="auto"/>
        </w:rPr>
        <w:t xml:space="preserve">having a </w:t>
      </w:r>
      <w:r w:rsidRPr="003E2548">
        <w:rPr>
          <w:color w:val="auto"/>
        </w:rPr>
        <w:t xml:space="preserve">history of </w:t>
      </w:r>
      <w:r w:rsidR="007313D2" w:rsidRPr="003E2548">
        <w:rPr>
          <w:color w:val="auto"/>
        </w:rPr>
        <w:t>PD</w:t>
      </w:r>
      <w:r w:rsidRPr="003E2548">
        <w:rPr>
          <w:color w:val="auto"/>
        </w:rPr>
        <w:t xml:space="preserve"> (ICD-9-CM 332) before </w:t>
      </w:r>
      <w:r w:rsidR="007313D2" w:rsidRPr="003E2548">
        <w:rPr>
          <w:color w:val="auto"/>
        </w:rPr>
        <w:t xml:space="preserve">the </w:t>
      </w:r>
      <w:r w:rsidRPr="003E2548">
        <w:rPr>
          <w:color w:val="auto"/>
        </w:rPr>
        <w:t>index date</w:t>
      </w:r>
      <w:r w:rsidR="00EC0568" w:rsidRPr="003E2548">
        <w:rPr>
          <w:color w:val="auto"/>
        </w:rPr>
        <w:t xml:space="preserve"> in both cohorts</w:t>
      </w:r>
      <w:r w:rsidRPr="003E2548">
        <w:rPr>
          <w:color w:val="auto"/>
        </w:rPr>
        <w:t xml:space="preserve">. </w:t>
      </w:r>
      <w:r w:rsidR="007313D2" w:rsidRPr="003E2548">
        <w:rPr>
          <w:color w:val="auto"/>
        </w:rPr>
        <w:t xml:space="preserve">All patients in </w:t>
      </w:r>
      <w:r w:rsidR="00FF22FC" w:rsidRPr="003E2548">
        <w:rPr>
          <w:color w:val="auto"/>
        </w:rPr>
        <w:t>each</w:t>
      </w:r>
      <w:r w:rsidR="007313D2" w:rsidRPr="003E2548">
        <w:rPr>
          <w:color w:val="auto"/>
        </w:rPr>
        <w:t xml:space="preserve"> cohort were followed</w:t>
      </w:r>
      <w:r w:rsidR="00FF22FC" w:rsidRPr="003E2548">
        <w:rPr>
          <w:color w:val="auto"/>
        </w:rPr>
        <w:t>-up</w:t>
      </w:r>
      <w:r w:rsidR="007313D2" w:rsidRPr="003E2548">
        <w:rPr>
          <w:color w:val="auto"/>
        </w:rPr>
        <w:t xml:space="preserve"> until the occurrence of PD,</w:t>
      </w:r>
      <w:r w:rsidRPr="003E2548">
        <w:rPr>
          <w:color w:val="auto"/>
        </w:rPr>
        <w:t xml:space="preserve"> withdraw</w:t>
      </w:r>
      <w:r w:rsidR="007313D2" w:rsidRPr="003E2548">
        <w:rPr>
          <w:color w:val="auto"/>
        </w:rPr>
        <w:t>al</w:t>
      </w:r>
      <w:r w:rsidRPr="003E2548">
        <w:rPr>
          <w:color w:val="auto"/>
        </w:rPr>
        <w:t xml:space="preserve"> </w:t>
      </w:r>
      <w:r w:rsidR="007313D2" w:rsidRPr="003E2548">
        <w:rPr>
          <w:color w:val="auto"/>
        </w:rPr>
        <w:t>from the NHI program</w:t>
      </w:r>
      <w:r w:rsidRPr="003E2548">
        <w:rPr>
          <w:color w:val="auto"/>
        </w:rPr>
        <w:t xml:space="preserve">, or December 31, </w:t>
      </w:r>
      <w:r w:rsidR="005A5578" w:rsidRPr="003E2548">
        <w:rPr>
          <w:color w:val="auto"/>
        </w:rPr>
        <w:t>2013</w:t>
      </w:r>
      <w:r w:rsidRPr="003E2548">
        <w:rPr>
          <w:color w:val="auto"/>
        </w:rPr>
        <w:t>.</w:t>
      </w:r>
    </w:p>
    <w:p w14:paraId="0A7B5531" w14:textId="77777777" w:rsidR="00966BD4" w:rsidRDefault="00C071E9">
      <w:pPr>
        <w:spacing w:line="480" w:lineRule="auto"/>
        <w:jc w:val="both"/>
        <w:rPr>
          <w:color w:val="auto"/>
        </w:rPr>
      </w:pPr>
      <w:r w:rsidRPr="003E2548">
        <w:rPr>
          <w:color w:val="auto"/>
        </w:rPr>
        <w:t>A</w:t>
      </w:r>
      <w:r w:rsidR="00F56868" w:rsidRPr="003E2548">
        <w:rPr>
          <w:color w:val="auto"/>
        </w:rPr>
        <w:t xml:space="preserve">ge and sex </w:t>
      </w:r>
      <w:r w:rsidR="00053CF4" w:rsidRPr="003E2548">
        <w:rPr>
          <w:color w:val="auto"/>
        </w:rPr>
        <w:t>were</w:t>
      </w:r>
      <w:r w:rsidRPr="003E2548">
        <w:rPr>
          <w:color w:val="auto"/>
        </w:rPr>
        <w:t xml:space="preserve"> considered as </w:t>
      </w:r>
      <w:r w:rsidR="009D4A4E" w:rsidRPr="003E2548">
        <w:rPr>
          <w:rFonts w:hAnsi="Times New Roman" w:cs="Times New Roman"/>
          <w:color w:val="auto"/>
          <w:lang w:eastAsia="zh-TW"/>
        </w:rPr>
        <w:t>covariates in this study</w:t>
      </w:r>
      <w:r w:rsidR="00966BD4">
        <w:rPr>
          <w:rFonts w:hAnsi="Times New Roman" w:cs="Times New Roman"/>
          <w:color w:val="auto"/>
          <w:lang w:eastAsia="zh-TW"/>
        </w:rPr>
        <w:t>.</w:t>
      </w:r>
      <w:r w:rsidR="009D4A4E" w:rsidRPr="003E2548">
        <w:rPr>
          <w:color w:val="auto"/>
        </w:rPr>
        <w:t xml:space="preserve"> </w:t>
      </w:r>
    </w:p>
    <w:p w14:paraId="1C7EA9A7" w14:textId="77777777" w:rsidR="00966BD4" w:rsidRDefault="00C071E9">
      <w:pPr>
        <w:spacing w:line="480" w:lineRule="auto"/>
        <w:jc w:val="both"/>
        <w:rPr>
          <w:rFonts w:hAnsi="Times New Roman" w:cs="Times New Roman"/>
          <w:color w:val="auto"/>
        </w:rPr>
      </w:pPr>
      <w:r w:rsidRPr="003E2548">
        <w:rPr>
          <w:color w:val="auto"/>
        </w:rPr>
        <w:t>I</w:t>
      </w:r>
      <w:r w:rsidR="00F56868" w:rsidRPr="003E2548">
        <w:rPr>
          <w:color w:val="auto"/>
        </w:rPr>
        <w:t xml:space="preserve">n addition, </w:t>
      </w:r>
      <w:r w:rsidRPr="003E2548">
        <w:rPr>
          <w:color w:val="auto"/>
        </w:rPr>
        <w:t xml:space="preserve">we considered </w:t>
      </w:r>
      <w:bookmarkStart w:id="6" w:name="OLE_LINK10"/>
      <w:r w:rsidRPr="003E2548">
        <w:rPr>
          <w:color w:val="auto"/>
        </w:rPr>
        <w:t>PD</w:t>
      </w:r>
      <w:r w:rsidR="00F56868" w:rsidRPr="003E2548">
        <w:rPr>
          <w:color w:val="auto"/>
        </w:rPr>
        <w:t>-associated comorbidit</w:t>
      </w:r>
      <w:r w:rsidRPr="003E2548">
        <w:rPr>
          <w:color w:val="auto"/>
        </w:rPr>
        <w:t>ies</w:t>
      </w:r>
      <w:bookmarkEnd w:id="6"/>
      <w:r w:rsidR="00F56868" w:rsidRPr="003E2548">
        <w:rPr>
          <w:color w:val="auto"/>
        </w:rPr>
        <w:t xml:space="preserve"> as </w:t>
      </w:r>
      <w:r w:rsidR="00FF22FC" w:rsidRPr="003E2548">
        <w:rPr>
          <w:color w:val="auto"/>
        </w:rPr>
        <w:t xml:space="preserve">the </w:t>
      </w:r>
      <w:r w:rsidR="00F56868" w:rsidRPr="003E2548">
        <w:rPr>
          <w:color w:val="auto"/>
        </w:rPr>
        <w:t>confounding factor</w:t>
      </w:r>
      <w:r w:rsidRPr="003E2548">
        <w:rPr>
          <w:color w:val="auto"/>
        </w:rPr>
        <w:t>s</w:t>
      </w:r>
      <w:r w:rsidR="00FF22FC" w:rsidRPr="003E2548">
        <w:rPr>
          <w:color w:val="auto"/>
        </w:rPr>
        <w:t xml:space="preserve"> of the study</w:t>
      </w:r>
      <w:r w:rsidR="00F56868" w:rsidRPr="003E2548">
        <w:rPr>
          <w:color w:val="auto"/>
        </w:rPr>
        <w:t xml:space="preserve">. </w:t>
      </w:r>
      <w:r w:rsidR="00FF22FC" w:rsidRPr="003E2548">
        <w:rPr>
          <w:color w:val="auto"/>
        </w:rPr>
        <w:t xml:space="preserve">Comorbidity </w:t>
      </w:r>
      <w:r w:rsidR="00F56868" w:rsidRPr="003E2548">
        <w:rPr>
          <w:color w:val="auto"/>
        </w:rPr>
        <w:t xml:space="preserve">was defined </w:t>
      </w:r>
      <w:r w:rsidRPr="003E2548">
        <w:rPr>
          <w:color w:val="auto"/>
        </w:rPr>
        <w:t>as</w:t>
      </w:r>
      <w:r w:rsidR="00F56868" w:rsidRPr="003E2548">
        <w:rPr>
          <w:color w:val="auto"/>
        </w:rPr>
        <w:t xml:space="preserve"> </w:t>
      </w:r>
      <w:r w:rsidRPr="003E2548">
        <w:rPr>
          <w:color w:val="auto"/>
        </w:rPr>
        <w:t>a</w:t>
      </w:r>
      <w:r w:rsidR="00F56868" w:rsidRPr="003E2548">
        <w:rPr>
          <w:color w:val="auto"/>
        </w:rPr>
        <w:t xml:space="preserve"> history of </w:t>
      </w:r>
      <w:r w:rsidR="00FF22FC" w:rsidRPr="003E2548">
        <w:rPr>
          <w:color w:val="auto"/>
        </w:rPr>
        <w:t xml:space="preserve">a given </w:t>
      </w:r>
      <w:r w:rsidR="00F56868" w:rsidRPr="003E2548">
        <w:rPr>
          <w:color w:val="auto"/>
        </w:rPr>
        <w:t xml:space="preserve">comorbidity before </w:t>
      </w:r>
      <w:r w:rsidRPr="003E2548">
        <w:rPr>
          <w:color w:val="auto"/>
        </w:rPr>
        <w:t xml:space="preserve">the </w:t>
      </w:r>
      <w:r w:rsidR="00F56868" w:rsidRPr="003E2548">
        <w:rPr>
          <w:color w:val="auto"/>
        </w:rPr>
        <w:t xml:space="preserve">index date. </w:t>
      </w:r>
      <w:r w:rsidR="00FF22FC" w:rsidRPr="003E2548">
        <w:rPr>
          <w:color w:val="auto"/>
        </w:rPr>
        <w:t xml:space="preserve">The </w:t>
      </w:r>
      <w:r w:rsidR="00C01C42" w:rsidRPr="003E2548">
        <w:rPr>
          <w:color w:val="auto"/>
        </w:rPr>
        <w:t>PD</w:t>
      </w:r>
      <w:r w:rsidR="00F56868" w:rsidRPr="003E2548">
        <w:rPr>
          <w:color w:val="auto"/>
        </w:rPr>
        <w:t>-associated comorbidit</w:t>
      </w:r>
      <w:r w:rsidR="00C01C42" w:rsidRPr="003E2548">
        <w:rPr>
          <w:color w:val="auto"/>
        </w:rPr>
        <w:t>ies</w:t>
      </w:r>
      <w:r w:rsidR="00F56868" w:rsidRPr="003E2548">
        <w:rPr>
          <w:color w:val="auto"/>
        </w:rPr>
        <w:t xml:space="preserve"> </w:t>
      </w:r>
      <w:bookmarkStart w:id="7" w:name="OLE_LINK18"/>
      <w:r w:rsidR="00F3334E" w:rsidRPr="003E2548">
        <w:rPr>
          <w:color w:val="auto"/>
        </w:rPr>
        <w:t>comprised</w:t>
      </w:r>
      <w:r w:rsidR="00EC7B1A" w:rsidRPr="003E2548">
        <w:rPr>
          <w:color w:val="auto"/>
        </w:rPr>
        <w:t xml:space="preserve"> </w:t>
      </w:r>
      <w:r w:rsidR="00F56868" w:rsidRPr="003E2548">
        <w:rPr>
          <w:color w:val="auto"/>
        </w:rPr>
        <w:t>diabetes mellitus</w:t>
      </w:r>
      <w:bookmarkEnd w:id="7"/>
      <w:r w:rsidR="00F56868" w:rsidRPr="003E2548">
        <w:rPr>
          <w:color w:val="auto"/>
        </w:rPr>
        <w:t xml:space="preserve"> (DM</w:t>
      </w:r>
      <w:r w:rsidR="00F56868" w:rsidRPr="003E2548">
        <w:rPr>
          <w:rFonts w:hAnsi="Times New Roman" w:cs="Times New Roman"/>
          <w:color w:val="auto"/>
        </w:rPr>
        <w:t>, ICD-9-CM 250), hyperlipidemia (ICD-9-CM 272), hypertension (ICD-9-CM 401</w:t>
      </w:r>
      <w:r w:rsidR="00C01C42" w:rsidRPr="003E2548">
        <w:rPr>
          <w:rFonts w:hAnsi="Times New Roman" w:cs="Times New Roman"/>
          <w:color w:val="auto"/>
        </w:rPr>
        <w:t>–</w:t>
      </w:r>
      <w:r w:rsidR="00F56868" w:rsidRPr="003E2548">
        <w:rPr>
          <w:rFonts w:hAnsi="Times New Roman" w:cs="Times New Roman"/>
          <w:color w:val="auto"/>
        </w:rPr>
        <w:t>405), dementia (ICD-9-CM 290, 294.1</w:t>
      </w:r>
      <w:r w:rsidR="00C01C42" w:rsidRPr="003E2548">
        <w:rPr>
          <w:rFonts w:hAnsi="Times New Roman" w:cs="Times New Roman"/>
          <w:color w:val="auto"/>
        </w:rPr>
        <w:t>,</w:t>
      </w:r>
      <w:r w:rsidR="00F56868" w:rsidRPr="003E2548">
        <w:rPr>
          <w:rFonts w:hAnsi="Times New Roman" w:cs="Times New Roman"/>
          <w:color w:val="auto"/>
        </w:rPr>
        <w:t xml:space="preserve"> and 331.0), depression (ICD-9-CM 296.2, 296.3, 300.4, and 311), anxiety (ICD-9-CM 300.00), head injury (ICD-9-CM 310.2, 800, 801, 803, 804, 850</w:t>
      </w:r>
      <w:r w:rsidR="00C01C42" w:rsidRPr="003E2548">
        <w:rPr>
          <w:rFonts w:hAnsi="Times New Roman" w:cs="Times New Roman"/>
          <w:color w:val="auto"/>
        </w:rPr>
        <w:t>–</w:t>
      </w:r>
      <w:r w:rsidR="00F56868" w:rsidRPr="003E2548">
        <w:rPr>
          <w:rFonts w:hAnsi="Times New Roman" w:cs="Times New Roman"/>
          <w:color w:val="auto"/>
        </w:rPr>
        <w:t>854, and 959.01)</w:t>
      </w:r>
      <w:r w:rsidR="00C01C42" w:rsidRPr="003E2548">
        <w:rPr>
          <w:rFonts w:hAnsi="Times New Roman" w:cs="Times New Roman"/>
          <w:color w:val="auto"/>
        </w:rPr>
        <w:t>,</w:t>
      </w:r>
      <w:r w:rsidR="00F56868" w:rsidRPr="003E2548">
        <w:rPr>
          <w:rFonts w:hAnsi="Times New Roman" w:cs="Times New Roman"/>
          <w:color w:val="auto"/>
        </w:rPr>
        <w:t xml:space="preserve"> stroke (ICD-9-CM 430</w:t>
      </w:r>
      <w:r w:rsidR="00F3334E" w:rsidRPr="003E2548">
        <w:rPr>
          <w:rFonts w:hAnsi="Times New Roman" w:cs="Times New Roman"/>
          <w:color w:val="auto"/>
        </w:rPr>
        <w:t>–</w:t>
      </w:r>
      <w:r w:rsidR="00F56868" w:rsidRPr="003E2548">
        <w:rPr>
          <w:rFonts w:hAnsi="Times New Roman" w:cs="Times New Roman"/>
          <w:color w:val="auto"/>
        </w:rPr>
        <w:t>438)</w:t>
      </w:r>
      <w:r w:rsidR="006C07BD" w:rsidRPr="003E2548">
        <w:rPr>
          <w:rFonts w:hAnsi="Times New Roman" w:cs="Times New Roman"/>
          <w:color w:val="auto"/>
        </w:rPr>
        <w:t>, and</w:t>
      </w:r>
      <w:r w:rsidR="006C07BD" w:rsidRPr="003E2548">
        <w:rPr>
          <w:color w:val="auto"/>
        </w:rPr>
        <w:t xml:space="preserve"> constipation (ICD-9-CM 564.0)</w:t>
      </w:r>
      <w:r w:rsidR="00F56868" w:rsidRPr="003E2548">
        <w:rPr>
          <w:rFonts w:hAnsi="Times New Roman" w:cs="Times New Roman"/>
          <w:color w:val="auto"/>
        </w:rPr>
        <w:t>.</w:t>
      </w:r>
      <w:r w:rsidR="00FE08D2" w:rsidRPr="003E2548">
        <w:rPr>
          <w:rFonts w:hAnsi="Times New Roman" w:cs="Times New Roman"/>
          <w:color w:val="auto"/>
        </w:rPr>
        <w:t xml:space="preserve"> </w:t>
      </w:r>
    </w:p>
    <w:p w14:paraId="0B0ABB13" w14:textId="0162F394" w:rsidR="00966BD4" w:rsidRDefault="00112756">
      <w:pPr>
        <w:spacing w:line="480" w:lineRule="auto"/>
        <w:jc w:val="both"/>
        <w:rPr>
          <w:rFonts w:hAnsi="Times New Roman" w:cs="Times New Roman"/>
          <w:color w:val="auto"/>
        </w:rPr>
      </w:pPr>
      <w:r w:rsidRPr="003E2548">
        <w:rPr>
          <w:rFonts w:hAnsi="Times New Roman" w:cs="Times New Roman"/>
          <w:color w:val="auto"/>
        </w:rPr>
        <w:t>Of note, t</w:t>
      </w:r>
      <w:r w:rsidR="005300FE" w:rsidRPr="003E2548">
        <w:rPr>
          <w:rFonts w:hAnsi="Times New Roman" w:cs="Times New Roman"/>
          <w:color w:val="auto"/>
        </w:rPr>
        <w:t>hese specific PD-associated comorbidities</w:t>
      </w:r>
      <w:r w:rsidRPr="003E2548">
        <w:rPr>
          <w:rFonts w:hAnsi="Times New Roman" w:cs="Times New Roman"/>
          <w:color w:val="auto"/>
        </w:rPr>
        <w:t xml:space="preserve"> have been selected</w:t>
      </w:r>
      <w:r w:rsidR="005300FE" w:rsidRPr="003E2548">
        <w:rPr>
          <w:rFonts w:hAnsi="Times New Roman" w:cs="Times New Roman"/>
          <w:color w:val="auto"/>
        </w:rPr>
        <w:t xml:space="preserve"> according to previous literature as confounding factors to avoid the bias caused by comorbidities</w:t>
      </w:r>
      <w:r w:rsidR="00966BD4">
        <w:rPr>
          <w:rFonts w:hAnsi="Times New Roman" w:cs="Times New Roman"/>
          <w:color w:val="auto"/>
        </w:rPr>
        <w:t xml:space="preserve"> [</w:t>
      </w:r>
      <w:r w:rsidR="00585783">
        <w:rPr>
          <w:rFonts w:hAnsi="Times New Roman" w:cs="Times New Roman"/>
          <w:color w:val="auto"/>
        </w:rPr>
        <w:t>12</w:t>
      </w:r>
      <w:r w:rsidR="00966BD4">
        <w:rPr>
          <w:rFonts w:hAnsi="Times New Roman" w:cs="Times New Roman"/>
          <w:color w:val="auto"/>
        </w:rPr>
        <w:t>]</w:t>
      </w:r>
      <w:r w:rsidR="005300FE" w:rsidRPr="003E2548">
        <w:rPr>
          <w:rFonts w:hAnsi="Times New Roman" w:cs="Times New Roman"/>
          <w:color w:val="auto"/>
        </w:rPr>
        <w:t xml:space="preserve">. </w:t>
      </w:r>
    </w:p>
    <w:p w14:paraId="763A125A" w14:textId="79816BDF" w:rsidR="00FE08D2" w:rsidRPr="003E2548" w:rsidRDefault="00FE08D2">
      <w:pPr>
        <w:spacing w:line="480" w:lineRule="auto"/>
        <w:jc w:val="both"/>
        <w:rPr>
          <w:rFonts w:hAnsi="Times New Roman" w:cs="Times New Roman"/>
          <w:color w:val="auto"/>
        </w:rPr>
      </w:pPr>
      <w:r w:rsidRPr="003E2548">
        <w:rPr>
          <w:rFonts w:hAnsi="Times New Roman" w:cs="Times New Roman"/>
          <w:color w:val="auto"/>
        </w:rPr>
        <w:t xml:space="preserve">All insurance claims </w:t>
      </w:r>
      <w:r w:rsidR="000A3E3C" w:rsidRPr="003E2548">
        <w:rPr>
          <w:rFonts w:hAnsi="Times New Roman" w:cs="Times New Roman"/>
          <w:color w:val="auto"/>
        </w:rPr>
        <w:t>were</w:t>
      </w:r>
      <w:r w:rsidRPr="003E2548">
        <w:rPr>
          <w:rFonts w:hAnsi="Times New Roman" w:cs="Times New Roman"/>
          <w:color w:val="auto"/>
        </w:rPr>
        <w:t xml:space="preserve"> scrutinized and coded by medical reimbursement specialists and peer reviewed according to the</w:t>
      </w:r>
      <w:r w:rsidR="00CA5D01" w:rsidRPr="003E2548">
        <w:rPr>
          <w:color w:val="auto"/>
        </w:rPr>
        <w:t xml:space="preserve"> </w:t>
      </w:r>
      <w:r w:rsidR="00CA5D01" w:rsidRPr="003E2548">
        <w:rPr>
          <w:rFonts w:hAnsi="Times New Roman" w:cs="Times New Roman"/>
          <w:color w:val="auto"/>
        </w:rPr>
        <w:t>standard diagnosed criteria</w:t>
      </w:r>
      <w:r w:rsidRPr="003E2548">
        <w:rPr>
          <w:rFonts w:hAnsi="Times New Roman" w:cs="Times New Roman"/>
          <w:color w:val="auto"/>
        </w:rPr>
        <w:t xml:space="preserve"> in this study. </w:t>
      </w:r>
      <w:r w:rsidR="00966BD4">
        <w:rPr>
          <w:rFonts w:hAnsi="Times New Roman" w:cs="Times New Roman"/>
          <w:color w:val="auto"/>
        </w:rPr>
        <w:t>D</w:t>
      </w:r>
      <w:r w:rsidRPr="003E2548">
        <w:rPr>
          <w:rFonts w:hAnsi="Times New Roman" w:cs="Times New Roman"/>
          <w:color w:val="auto"/>
        </w:rPr>
        <w:t xml:space="preserve">octors or hospitals </w:t>
      </w:r>
      <w:r w:rsidR="00966BD4">
        <w:rPr>
          <w:rFonts w:hAnsi="Times New Roman" w:cs="Times New Roman"/>
          <w:color w:val="auto"/>
        </w:rPr>
        <w:t xml:space="preserve">that </w:t>
      </w:r>
      <w:r w:rsidRPr="003E2548">
        <w:rPr>
          <w:rFonts w:hAnsi="Times New Roman" w:cs="Times New Roman"/>
          <w:color w:val="auto"/>
        </w:rPr>
        <w:t xml:space="preserve">commit errors in diagnoses or coding </w:t>
      </w:r>
      <w:r w:rsidR="00966BD4">
        <w:rPr>
          <w:rFonts w:hAnsi="Times New Roman" w:cs="Times New Roman"/>
          <w:color w:val="auto"/>
        </w:rPr>
        <w:t>are</w:t>
      </w:r>
      <w:r w:rsidR="00966BD4" w:rsidRPr="003E2548">
        <w:rPr>
          <w:rFonts w:hAnsi="Times New Roman" w:cs="Times New Roman"/>
          <w:color w:val="auto"/>
        </w:rPr>
        <w:t xml:space="preserve"> severely</w:t>
      </w:r>
      <w:r w:rsidR="000A3E3C" w:rsidRPr="003E2548">
        <w:rPr>
          <w:rFonts w:hAnsi="Times New Roman" w:cs="Times New Roman"/>
          <w:color w:val="auto"/>
        </w:rPr>
        <w:t xml:space="preserve"> prosecuted. </w:t>
      </w:r>
      <w:r w:rsidR="00AD7EA1">
        <w:rPr>
          <w:rFonts w:hAnsi="Times New Roman" w:cs="Times New Roman"/>
          <w:color w:val="auto"/>
        </w:rPr>
        <w:t xml:space="preserve"> </w:t>
      </w:r>
      <w:r w:rsidR="00AD7EA1" w:rsidRPr="00AD7EA1">
        <w:rPr>
          <w:rFonts w:hAnsi="Times New Roman" w:cs="Times New Roman"/>
          <w:color w:val="auto"/>
        </w:rPr>
        <w:t>Therefore, the diagnoses and coding of CDD, PD, and all comorbidities in the study wer</w:t>
      </w:r>
      <w:r w:rsidR="00AD7EA1">
        <w:rPr>
          <w:rFonts w:hAnsi="Times New Roman" w:cs="Times New Roman"/>
          <w:color w:val="auto"/>
        </w:rPr>
        <w:t>e considered as highly reliable</w:t>
      </w:r>
      <w:r w:rsidR="00AD7EA1" w:rsidRPr="00AD7EA1">
        <w:rPr>
          <w:rFonts w:hAnsi="Times New Roman" w:cs="Times New Roman"/>
          <w:color w:val="auto"/>
        </w:rPr>
        <w:t>.</w:t>
      </w:r>
    </w:p>
    <w:p w14:paraId="341CC289" w14:textId="77777777" w:rsidR="00EC7B1A" w:rsidRPr="003E2548" w:rsidRDefault="00EC7B1A" w:rsidP="004E4CE8">
      <w:pPr>
        <w:spacing w:line="480" w:lineRule="auto"/>
        <w:jc w:val="both"/>
        <w:rPr>
          <w:b/>
          <w:color w:val="auto"/>
        </w:rPr>
      </w:pPr>
    </w:p>
    <w:p w14:paraId="1A459F97" w14:textId="7AA42141" w:rsidR="00A969AF" w:rsidRDefault="00F56868" w:rsidP="004E4CE8">
      <w:pPr>
        <w:spacing w:line="480" w:lineRule="auto"/>
        <w:jc w:val="both"/>
        <w:rPr>
          <w:b/>
        </w:rPr>
      </w:pPr>
      <w:r w:rsidRPr="006C1B37">
        <w:rPr>
          <w:b/>
        </w:rPr>
        <w:t>Statistical analysis</w:t>
      </w:r>
    </w:p>
    <w:p w14:paraId="059CA17E" w14:textId="2892D4C4" w:rsidR="00EC7B1A" w:rsidRPr="00966BD4" w:rsidRDefault="00EC7B1A" w:rsidP="004E4CE8">
      <w:pPr>
        <w:spacing w:line="480" w:lineRule="auto"/>
        <w:jc w:val="both"/>
        <w:rPr>
          <w:b/>
          <w:color w:val="auto"/>
        </w:rPr>
      </w:pPr>
    </w:p>
    <w:p w14:paraId="2A667B7E" w14:textId="77777777" w:rsidR="00966BD4" w:rsidRDefault="00F56868" w:rsidP="0089729D">
      <w:pPr>
        <w:spacing w:line="480" w:lineRule="auto"/>
        <w:jc w:val="both"/>
        <w:rPr>
          <w:color w:val="auto"/>
        </w:rPr>
      </w:pPr>
      <w:r w:rsidRPr="00966BD4">
        <w:rPr>
          <w:color w:val="auto"/>
        </w:rPr>
        <w:t xml:space="preserve">We </w:t>
      </w:r>
      <w:r w:rsidR="007B55D8" w:rsidRPr="00966BD4">
        <w:rPr>
          <w:color w:val="auto"/>
        </w:rPr>
        <w:t xml:space="preserve">determined </w:t>
      </w:r>
      <w:r w:rsidRPr="00966BD4">
        <w:rPr>
          <w:color w:val="auto"/>
        </w:rPr>
        <w:t xml:space="preserve">the mean and standard deviation for age </w:t>
      </w:r>
      <w:r w:rsidR="007B55D8" w:rsidRPr="00966BD4">
        <w:rPr>
          <w:color w:val="auto"/>
        </w:rPr>
        <w:t xml:space="preserve">as well as </w:t>
      </w:r>
      <w:r w:rsidR="00BF00B5" w:rsidRPr="00966BD4">
        <w:rPr>
          <w:color w:val="auto"/>
        </w:rPr>
        <w:t xml:space="preserve">the </w:t>
      </w:r>
      <w:r w:rsidRPr="00966BD4">
        <w:rPr>
          <w:color w:val="auto"/>
        </w:rPr>
        <w:t xml:space="preserve">number and percentage for sex and comorbidities </w:t>
      </w:r>
      <w:r w:rsidR="008B2F17" w:rsidRPr="00966BD4">
        <w:rPr>
          <w:color w:val="auto"/>
        </w:rPr>
        <w:t xml:space="preserve">in the </w:t>
      </w:r>
      <w:r w:rsidRPr="00966BD4">
        <w:rPr>
          <w:color w:val="auto"/>
        </w:rPr>
        <w:t>C</w:t>
      </w:r>
      <w:r w:rsidR="008B2F17" w:rsidRPr="00966BD4">
        <w:rPr>
          <w:color w:val="auto"/>
        </w:rPr>
        <w:t>D</w:t>
      </w:r>
      <w:r w:rsidRPr="00966BD4">
        <w:rPr>
          <w:color w:val="auto"/>
        </w:rPr>
        <w:t>D and comparison cohort</w:t>
      </w:r>
      <w:r w:rsidR="008B2F17" w:rsidRPr="00966BD4">
        <w:rPr>
          <w:color w:val="auto"/>
        </w:rPr>
        <w:t>s</w:t>
      </w:r>
      <w:r w:rsidRPr="00966BD4">
        <w:rPr>
          <w:color w:val="auto"/>
        </w:rPr>
        <w:t xml:space="preserve">. </w:t>
      </w:r>
    </w:p>
    <w:p w14:paraId="5D55B9E8" w14:textId="77777777" w:rsidR="0000604F" w:rsidRDefault="008B2F17" w:rsidP="0089729D">
      <w:pPr>
        <w:spacing w:line="480" w:lineRule="auto"/>
        <w:jc w:val="both"/>
        <w:rPr>
          <w:color w:val="auto"/>
        </w:rPr>
      </w:pPr>
      <w:r w:rsidRPr="00966BD4">
        <w:rPr>
          <w:color w:val="auto"/>
        </w:rPr>
        <w:t xml:space="preserve">We evaluated the difference in </w:t>
      </w:r>
      <w:r w:rsidR="00F56868" w:rsidRPr="00966BD4">
        <w:rPr>
          <w:color w:val="auto"/>
        </w:rPr>
        <w:t xml:space="preserve">distribution between </w:t>
      </w:r>
      <w:r w:rsidRPr="00966BD4">
        <w:rPr>
          <w:color w:val="auto"/>
        </w:rPr>
        <w:t xml:space="preserve">the two </w:t>
      </w:r>
      <w:r w:rsidR="00F56868" w:rsidRPr="00966BD4">
        <w:rPr>
          <w:color w:val="auto"/>
        </w:rPr>
        <w:t xml:space="preserve">cohorts by </w:t>
      </w:r>
      <w:r w:rsidRPr="00966BD4">
        <w:rPr>
          <w:color w:val="auto"/>
        </w:rPr>
        <w:t xml:space="preserve">using </w:t>
      </w:r>
      <w:r w:rsidR="007B55D8" w:rsidRPr="00966BD4">
        <w:rPr>
          <w:color w:val="auto"/>
        </w:rPr>
        <w:t xml:space="preserve">a </w:t>
      </w:r>
      <w:r w:rsidR="00F56868" w:rsidRPr="00966BD4">
        <w:rPr>
          <w:color w:val="auto"/>
        </w:rPr>
        <w:t>two</w:t>
      </w:r>
      <w:r w:rsidRPr="00966BD4">
        <w:rPr>
          <w:color w:val="auto"/>
        </w:rPr>
        <w:t>-</w:t>
      </w:r>
      <w:r w:rsidR="00F56868" w:rsidRPr="00966BD4">
        <w:rPr>
          <w:color w:val="auto"/>
        </w:rPr>
        <w:t xml:space="preserve">sample </w:t>
      </w:r>
      <w:r w:rsidR="00F56868" w:rsidRPr="00966BD4">
        <w:rPr>
          <w:i/>
          <w:color w:val="auto"/>
        </w:rPr>
        <w:t>t</w:t>
      </w:r>
      <w:r w:rsidR="00F56868" w:rsidRPr="00966BD4">
        <w:rPr>
          <w:color w:val="auto"/>
        </w:rPr>
        <w:t xml:space="preserve"> test for age and </w:t>
      </w:r>
      <w:r w:rsidR="007B55D8" w:rsidRPr="00966BD4">
        <w:rPr>
          <w:color w:val="auto"/>
        </w:rPr>
        <w:t xml:space="preserve">a </w:t>
      </w:r>
      <w:r w:rsidR="00F56868" w:rsidRPr="00966BD4">
        <w:rPr>
          <w:color w:val="auto"/>
        </w:rPr>
        <w:t>chi</w:t>
      </w:r>
      <w:r w:rsidR="007B55D8" w:rsidRPr="00966BD4">
        <w:rPr>
          <w:color w:val="auto"/>
        </w:rPr>
        <w:t xml:space="preserve"> </w:t>
      </w:r>
      <w:r w:rsidR="00F56868" w:rsidRPr="00966BD4">
        <w:rPr>
          <w:color w:val="auto"/>
        </w:rPr>
        <w:t xml:space="preserve">square test for sex and comorbidities. </w:t>
      </w:r>
    </w:p>
    <w:p w14:paraId="56A83FF7" w14:textId="3CC9D30C" w:rsidR="00966BD4" w:rsidRDefault="00F56868" w:rsidP="0089729D">
      <w:pPr>
        <w:spacing w:line="480" w:lineRule="auto"/>
        <w:jc w:val="both"/>
        <w:rPr>
          <w:color w:val="auto"/>
        </w:rPr>
      </w:pPr>
      <w:r w:rsidRPr="00966BD4">
        <w:rPr>
          <w:color w:val="auto"/>
        </w:rPr>
        <w:t xml:space="preserve">The incidence density of </w:t>
      </w:r>
      <w:r w:rsidR="008B2F17" w:rsidRPr="00966BD4">
        <w:rPr>
          <w:color w:val="auto"/>
        </w:rPr>
        <w:t>PD</w:t>
      </w:r>
      <w:r w:rsidRPr="00966BD4">
        <w:rPr>
          <w:color w:val="auto"/>
        </w:rPr>
        <w:t xml:space="preserve"> </w:t>
      </w:r>
      <w:r w:rsidR="00885100" w:rsidRPr="00966BD4">
        <w:rPr>
          <w:color w:val="auto"/>
        </w:rPr>
        <w:t xml:space="preserve">in </w:t>
      </w:r>
      <w:r w:rsidRPr="00966BD4">
        <w:rPr>
          <w:color w:val="auto"/>
        </w:rPr>
        <w:t>each group w</w:t>
      </w:r>
      <w:r w:rsidR="008B2F17" w:rsidRPr="00966BD4">
        <w:rPr>
          <w:color w:val="auto"/>
        </w:rPr>
        <w:t>as</w:t>
      </w:r>
      <w:r w:rsidRPr="00966BD4">
        <w:rPr>
          <w:color w:val="auto"/>
        </w:rPr>
        <w:t xml:space="preserve"> estimated </w:t>
      </w:r>
      <w:r w:rsidR="008B2F17" w:rsidRPr="00966BD4">
        <w:rPr>
          <w:color w:val="auto"/>
        </w:rPr>
        <w:t xml:space="preserve">by dividing </w:t>
      </w:r>
      <w:r w:rsidRPr="00966BD4">
        <w:rPr>
          <w:color w:val="auto"/>
        </w:rPr>
        <w:t xml:space="preserve">the number of </w:t>
      </w:r>
      <w:r w:rsidR="008B2F17" w:rsidRPr="00966BD4">
        <w:rPr>
          <w:color w:val="auto"/>
        </w:rPr>
        <w:t>PD</w:t>
      </w:r>
      <w:r w:rsidRPr="00966BD4">
        <w:rPr>
          <w:color w:val="auto"/>
        </w:rPr>
        <w:t xml:space="preserve"> event</w:t>
      </w:r>
      <w:r w:rsidR="008B2F17" w:rsidRPr="00966BD4">
        <w:rPr>
          <w:color w:val="auto"/>
        </w:rPr>
        <w:t>s</w:t>
      </w:r>
      <w:r w:rsidRPr="00966BD4">
        <w:rPr>
          <w:color w:val="auto"/>
        </w:rPr>
        <w:t xml:space="preserve"> </w:t>
      </w:r>
      <w:r w:rsidR="007B55D8" w:rsidRPr="00966BD4">
        <w:rPr>
          <w:color w:val="auto"/>
        </w:rPr>
        <w:t>by</w:t>
      </w:r>
      <w:r w:rsidRPr="00966BD4">
        <w:rPr>
          <w:color w:val="auto"/>
        </w:rPr>
        <w:t xml:space="preserve"> </w:t>
      </w:r>
      <w:r w:rsidR="008B2F17" w:rsidRPr="00966BD4">
        <w:rPr>
          <w:color w:val="auto"/>
        </w:rPr>
        <w:t xml:space="preserve">the </w:t>
      </w:r>
      <w:r w:rsidR="007B55D8" w:rsidRPr="00966BD4">
        <w:rPr>
          <w:color w:val="auto"/>
        </w:rPr>
        <w:t xml:space="preserve">total </w:t>
      </w:r>
      <w:r w:rsidRPr="00966BD4">
        <w:rPr>
          <w:color w:val="auto"/>
        </w:rPr>
        <w:t xml:space="preserve">follow-up </w:t>
      </w:r>
      <w:r w:rsidR="007B55D8" w:rsidRPr="00966BD4">
        <w:rPr>
          <w:color w:val="auto"/>
        </w:rPr>
        <w:t>time</w:t>
      </w:r>
      <w:r w:rsidRPr="00966BD4">
        <w:rPr>
          <w:color w:val="auto"/>
        </w:rPr>
        <w:t xml:space="preserve"> (per 1000 person-years). </w:t>
      </w:r>
    </w:p>
    <w:p w14:paraId="7C0829D6" w14:textId="1D9E08F0" w:rsidR="00A45E98" w:rsidRPr="00966BD4" w:rsidRDefault="00F90B83" w:rsidP="00966BD4">
      <w:pPr>
        <w:spacing w:line="480" w:lineRule="auto"/>
        <w:jc w:val="both"/>
        <w:rPr>
          <w:color w:val="auto"/>
        </w:rPr>
      </w:pPr>
      <w:r w:rsidRPr="00A50FDE">
        <w:rPr>
          <w:color w:val="auto"/>
        </w:rPr>
        <w:t>The Kapla</w:t>
      </w:r>
      <w:r w:rsidRPr="00A50FDE">
        <w:rPr>
          <w:rFonts w:hAnsi="Times New Roman" w:cs="Times New Roman"/>
          <w:color w:val="auto"/>
        </w:rPr>
        <w:t>n–</w:t>
      </w:r>
      <w:r w:rsidRPr="00A50FDE">
        <w:rPr>
          <w:color w:val="auto"/>
        </w:rPr>
        <w:t>Meier method was applied to plot cumulative incidence curves for each cohort, and the log rank test was used to assess the difference in curves between these two cohorts.</w:t>
      </w:r>
      <w:r w:rsidRPr="007F007A">
        <w:rPr>
          <w:color w:val="FF0000"/>
        </w:rPr>
        <w:t xml:space="preserve"> </w:t>
      </w:r>
      <w:r w:rsidR="00F56868" w:rsidRPr="00966BD4">
        <w:rPr>
          <w:color w:val="auto"/>
        </w:rPr>
        <w:t>The hazard ratios (HRs) and 95% confidence intervals (CIs) w</w:t>
      </w:r>
      <w:r w:rsidR="00885100" w:rsidRPr="00966BD4">
        <w:rPr>
          <w:color w:val="auto"/>
        </w:rPr>
        <w:t>ere</w:t>
      </w:r>
      <w:r w:rsidR="00F56868" w:rsidRPr="00966BD4">
        <w:rPr>
          <w:color w:val="auto"/>
        </w:rPr>
        <w:t xml:space="preserve"> estimated </w:t>
      </w:r>
      <w:r w:rsidR="00885100" w:rsidRPr="00966BD4">
        <w:rPr>
          <w:color w:val="auto"/>
        </w:rPr>
        <w:t xml:space="preserve">using </w:t>
      </w:r>
      <w:r w:rsidR="009A1856" w:rsidRPr="00966BD4">
        <w:rPr>
          <w:color w:val="auto"/>
        </w:rPr>
        <w:t>uni</w:t>
      </w:r>
      <w:r w:rsidR="00F56868" w:rsidRPr="00966BD4">
        <w:rPr>
          <w:color w:val="auto"/>
        </w:rPr>
        <w:t xml:space="preserve">variable and multivariable Cox proportional hazard models to </w:t>
      </w:r>
      <w:r w:rsidR="00BF2B86" w:rsidRPr="00966BD4">
        <w:rPr>
          <w:color w:val="auto"/>
        </w:rPr>
        <w:t xml:space="preserve">evaluate </w:t>
      </w:r>
      <w:r w:rsidR="00F56868" w:rsidRPr="00966BD4">
        <w:rPr>
          <w:color w:val="auto"/>
        </w:rPr>
        <w:t xml:space="preserve">the risk of </w:t>
      </w:r>
      <w:r w:rsidR="00BF2B86" w:rsidRPr="00966BD4">
        <w:rPr>
          <w:color w:val="auto"/>
        </w:rPr>
        <w:t xml:space="preserve">PD </w:t>
      </w:r>
      <w:r w:rsidR="006F75B5" w:rsidRPr="00966BD4">
        <w:rPr>
          <w:color w:val="auto"/>
        </w:rPr>
        <w:t xml:space="preserve">in </w:t>
      </w:r>
      <w:r w:rsidR="00BF2B86" w:rsidRPr="00966BD4">
        <w:rPr>
          <w:color w:val="auto"/>
        </w:rPr>
        <w:t>patients</w:t>
      </w:r>
      <w:r w:rsidR="00F56868" w:rsidRPr="00966BD4">
        <w:rPr>
          <w:color w:val="auto"/>
        </w:rPr>
        <w:t xml:space="preserve"> with and without C</w:t>
      </w:r>
      <w:r w:rsidR="00BF2B86" w:rsidRPr="00966BD4">
        <w:rPr>
          <w:color w:val="auto"/>
        </w:rPr>
        <w:t>D</w:t>
      </w:r>
      <w:r w:rsidR="00F56868" w:rsidRPr="00966BD4">
        <w:rPr>
          <w:color w:val="auto"/>
        </w:rPr>
        <w:t>D</w:t>
      </w:r>
      <w:r w:rsidR="006F75B5" w:rsidRPr="00966BD4">
        <w:rPr>
          <w:color w:val="auto"/>
        </w:rPr>
        <w:t xml:space="preserve">, as well as </w:t>
      </w:r>
      <w:r w:rsidR="00BF2B86" w:rsidRPr="00966BD4">
        <w:rPr>
          <w:color w:val="auto"/>
        </w:rPr>
        <w:t xml:space="preserve">those with </w:t>
      </w:r>
      <w:r w:rsidR="006F75B5" w:rsidRPr="00966BD4">
        <w:rPr>
          <w:color w:val="auto"/>
        </w:rPr>
        <w:t xml:space="preserve">various </w:t>
      </w:r>
      <w:r w:rsidR="00BF2B86" w:rsidRPr="00966BD4">
        <w:rPr>
          <w:color w:val="auto"/>
        </w:rPr>
        <w:t xml:space="preserve">CDD </w:t>
      </w:r>
      <w:r w:rsidR="00F56868" w:rsidRPr="00966BD4">
        <w:rPr>
          <w:color w:val="auto"/>
        </w:rPr>
        <w:t>subtype</w:t>
      </w:r>
      <w:r w:rsidR="00BF2B86" w:rsidRPr="00966BD4">
        <w:rPr>
          <w:color w:val="auto"/>
        </w:rPr>
        <w:t>s</w:t>
      </w:r>
      <w:r w:rsidR="00F56868" w:rsidRPr="00966BD4">
        <w:rPr>
          <w:color w:val="auto"/>
        </w:rPr>
        <w:t>.</w:t>
      </w:r>
      <w:r w:rsidR="00B57F27" w:rsidRPr="00966BD4">
        <w:rPr>
          <w:rFonts w:hint="eastAsia"/>
          <w:color w:val="auto"/>
          <w:lang w:eastAsia="zh-TW"/>
        </w:rPr>
        <w:t xml:space="preserve"> </w:t>
      </w:r>
      <w:r w:rsidR="00B57F27" w:rsidRPr="00966BD4">
        <w:rPr>
          <w:color w:val="auto"/>
        </w:rPr>
        <w:t>The multivariable Cox regression models</w:t>
      </w:r>
      <w:r w:rsidR="00072BF9" w:rsidRPr="00966BD4">
        <w:rPr>
          <w:color w:val="auto"/>
        </w:rPr>
        <w:t xml:space="preserve"> </w:t>
      </w:r>
      <w:r w:rsidR="0065754E" w:rsidRPr="00966BD4">
        <w:rPr>
          <w:color w:val="auto"/>
        </w:rPr>
        <w:t>were</w:t>
      </w:r>
      <w:r w:rsidR="00B57F27" w:rsidRPr="00966BD4">
        <w:rPr>
          <w:color w:val="auto"/>
        </w:rPr>
        <w:t xml:space="preserve"> adjusted for age, sex and all of comorbidities</w:t>
      </w:r>
      <w:r w:rsidR="00B57F27" w:rsidRPr="00966BD4">
        <w:rPr>
          <w:rFonts w:hint="eastAsia"/>
          <w:color w:val="auto"/>
          <w:lang w:eastAsia="zh-TW"/>
        </w:rPr>
        <w:t xml:space="preserve"> (</w:t>
      </w:r>
      <w:r w:rsidR="00B57F27" w:rsidRPr="00966BD4">
        <w:rPr>
          <w:color w:val="auto"/>
        </w:rPr>
        <w:t>including diabetes mellitus, hyperlipidemia, hypertension, dementia, depression, anxiety, head injury, stroke, and constipation).</w:t>
      </w:r>
    </w:p>
    <w:p w14:paraId="6039E99B" w14:textId="77777777" w:rsidR="00A45E98" w:rsidRPr="00966BD4" w:rsidRDefault="00BF2B86" w:rsidP="004E4CE8">
      <w:pPr>
        <w:spacing w:line="480" w:lineRule="auto"/>
        <w:jc w:val="both"/>
        <w:rPr>
          <w:color w:val="auto"/>
        </w:rPr>
      </w:pPr>
      <w:r w:rsidRPr="00966BD4">
        <w:rPr>
          <w:color w:val="auto"/>
        </w:rPr>
        <w:t>Data management and statistical analyses were</w:t>
      </w:r>
      <w:r w:rsidR="00F56868" w:rsidRPr="00966BD4">
        <w:rPr>
          <w:color w:val="auto"/>
        </w:rPr>
        <w:t xml:space="preserve"> performed </w:t>
      </w:r>
      <w:r w:rsidRPr="00966BD4">
        <w:rPr>
          <w:color w:val="auto"/>
        </w:rPr>
        <w:t xml:space="preserve">using </w:t>
      </w:r>
      <w:r w:rsidR="00F56868" w:rsidRPr="00966BD4">
        <w:rPr>
          <w:color w:val="auto"/>
        </w:rPr>
        <w:t>SAS software</w:t>
      </w:r>
      <w:r w:rsidRPr="00966BD4">
        <w:rPr>
          <w:color w:val="auto"/>
        </w:rPr>
        <w:t>, Version 9.4</w:t>
      </w:r>
      <w:r w:rsidR="00F56868" w:rsidRPr="00966BD4">
        <w:rPr>
          <w:color w:val="auto"/>
        </w:rPr>
        <w:t xml:space="preserve"> (SAS Institute, Cary, NC, USA). The cumulative incidence curve was plotted </w:t>
      </w:r>
      <w:r w:rsidRPr="00966BD4">
        <w:rPr>
          <w:color w:val="auto"/>
        </w:rPr>
        <w:t xml:space="preserve">using </w:t>
      </w:r>
      <w:r w:rsidR="00F56868" w:rsidRPr="00966BD4">
        <w:rPr>
          <w:color w:val="auto"/>
          <w:kern w:val="0"/>
        </w:rPr>
        <w:t xml:space="preserve">R software. </w:t>
      </w:r>
      <w:r w:rsidR="00F56868" w:rsidRPr="00966BD4">
        <w:rPr>
          <w:color w:val="auto"/>
        </w:rPr>
        <w:t xml:space="preserve">The </w:t>
      </w:r>
      <w:r w:rsidR="006F75B5" w:rsidRPr="00966BD4">
        <w:rPr>
          <w:color w:val="auto"/>
        </w:rPr>
        <w:t xml:space="preserve">significance </w:t>
      </w:r>
      <w:r w:rsidR="00F56868" w:rsidRPr="00966BD4">
        <w:rPr>
          <w:color w:val="auto"/>
        </w:rPr>
        <w:t xml:space="preserve">level </w:t>
      </w:r>
      <w:r w:rsidR="008F08BE" w:rsidRPr="00966BD4">
        <w:rPr>
          <w:color w:val="auto"/>
        </w:rPr>
        <w:t xml:space="preserve">was </w:t>
      </w:r>
      <w:r w:rsidR="00F56868" w:rsidRPr="00966BD4">
        <w:rPr>
          <w:color w:val="auto"/>
        </w:rPr>
        <w:t xml:space="preserve">set at less than 0.05 for </w:t>
      </w:r>
      <w:r w:rsidR="008F08BE" w:rsidRPr="00966BD4">
        <w:rPr>
          <w:color w:val="auto"/>
        </w:rPr>
        <w:t xml:space="preserve">the </w:t>
      </w:r>
      <w:r w:rsidR="00F56868" w:rsidRPr="00966BD4">
        <w:rPr>
          <w:color w:val="auto"/>
        </w:rPr>
        <w:t xml:space="preserve">two-side </w:t>
      </w:r>
      <w:r w:rsidR="006F75B5" w:rsidRPr="00966BD4">
        <w:rPr>
          <w:i/>
          <w:color w:val="auto"/>
        </w:rPr>
        <w:t>p</w:t>
      </w:r>
      <w:r w:rsidR="006F75B5" w:rsidRPr="00966BD4">
        <w:rPr>
          <w:color w:val="auto"/>
        </w:rPr>
        <w:t xml:space="preserve"> value </w:t>
      </w:r>
      <w:r w:rsidR="00F56868" w:rsidRPr="00966BD4">
        <w:rPr>
          <w:color w:val="auto"/>
        </w:rPr>
        <w:t>testing.</w:t>
      </w:r>
    </w:p>
    <w:p w14:paraId="28C3CAAF" w14:textId="77777777" w:rsidR="00A45E98" w:rsidRDefault="00A45E98" w:rsidP="004E4CE8">
      <w:pPr>
        <w:spacing w:line="480" w:lineRule="auto"/>
        <w:jc w:val="both"/>
        <w:rPr>
          <w:lang w:eastAsia="zh-TW"/>
        </w:rPr>
      </w:pPr>
    </w:p>
    <w:p w14:paraId="7A435A36" w14:textId="644168AC" w:rsidR="00A969AF" w:rsidRDefault="006C1B37" w:rsidP="004E4CE8">
      <w:pPr>
        <w:spacing w:line="480" w:lineRule="auto"/>
        <w:jc w:val="both"/>
        <w:rPr>
          <w:b/>
        </w:rPr>
      </w:pPr>
      <w:r w:rsidRPr="006C1B37">
        <w:rPr>
          <w:b/>
        </w:rPr>
        <w:t>RESULTS</w:t>
      </w:r>
    </w:p>
    <w:p w14:paraId="3C59694C" w14:textId="77777777" w:rsidR="006E6CD9" w:rsidRDefault="006E6CD9" w:rsidP="004E4CE8">
      <w:pPr>
        <w:spacing w:line="480" w:lineRule="auto"/>
        <w:jc w:val="both"/>
        <w:rPr>
          <w:b/>
          <w:lang w:eastAsia="zh-TW"/>
        </w:rPr>
      </w:pPr>
    </w:p>
    <w:p w14:paraId="6A5EAA2C" w14:textId="77777777" w:rsidR="00966BD4" w:rsidRDefault="00B438DF" w:rsidP="004E4CE8">
      <w:pPr>
        <w:spacing w:line="480" w:lineRule="auto"/>
        <w:jc w:val="both"/>
        <w:rPr>
          <w:rFonts w:hAnsi="Times New Roman" w:cs="Times New Roman"/>
          <w:color w:val="auto"/>
        </w:rPr>
      </w:pPr>
      <w:r w:rsidRPr="00966BD4">
        <w:rPr>
          <w:rFonts w:hAnsi="Times New Roman" w:cs="Times New Roman"/>
          <w:color w:val="auto"/>
        </w:rPr>
        <w:t xml:space="preserve">In total, we included </w:t>
      </w:r>
      <w:r w:rsidR="00B73D0E" w:rsidRPr="00966BD4">
        <w:rPr>
          <w:color w:val="auto"/>
        </w:rPr>
        <w:t>23367</w:t>
      </w:r>
      <w:r w:rsidRPr="00966BD4">
        <w:rPr>
          <w:rFonts w:hAnsi="Times New Roman" w:cs="Times New Roman"/>
          <w:color w:val="auto"/>
        </w:rPr>
        <w:t xml:space="preserve"> and </w:t>
      </w:r>
      <w:r w:rsidR="00B73D0E" w:rsidRPr="00966BD4">
        <w:rPr>
          <w:color w:val="auto"/>
        </w:rPr>
        <w:t>23367</w:t>
      </w:r>
      <w:r w:rsidRPr="00966BD4">
        <w:rPr>
          <w:rFonts w:hAnsi="Times New Roman" w:cs="Times New Roman"/>
          <w:color w:val="auto"/>
        </w:rPr>
        <w:t xml:space="preserve"> patients in the CDD and comparison individuals, respectively; the mean age (57</w:t>
      </w:r>
      <w:r w:rsidR="00B73D0E" w:rsidRPr="00966BD4">
        <w:rPr>
          <w:rFonts w:hAnsi="Times New Roman" w:cs="Times New Roman"/>
          <w:color w:val="auto"/>
        </w:rPr>
        <w:t>.8</w:t>
      </w:r>
      <w:r w:rsidRPr="00966BD4">
        <w:rPr>
          <w:rFonts w:hAnsi="Times New Roman" w:cs="Times New Roman"/>
          <w:color w:val="auto"/>
        </w:rPr>
        <w:t xml:space="preserve"> years) and sex ratio (male: 56.8%) were sim</w:t>
      </w:r>
      <w:r w:rsidR="00E57098" w:rsidRPr="00966BD4">
        <w:rPr>
          <w:rFonts w:hAnsi="Times New Roman" w:cs="Times New Roman"/>
          <w:color w:val="auto"/>
        </w:rPr>
        <w:t>ilar between the cohorts (Table</w:t>
      </w:r>
      <w:r w:rsidR="00966BD4">
        <w:rPr>
          <w:rFonts w:hAnsi="Times New Roman" w:cs="Times New Roman"/>
          <w:color w:val="auto"/>
        </w:rPr>
        <w:t xml:space="preserve"> </w:t>
      </w:r>
      <w:r w:rsidRPr="00966BD4">
        <w:rPr>
          <w:rFonts w:hAnsi="Times New Roman" w:cs="Times New Roman"/>
          <w:color w:val="auto"/>
        </w:rPr>
        <w:t xml:space="preserve">1). </w:t>
      </w:r>
    </w:p>
    <w:p w14:paraId="36648508" w14:textId="42635680" w:rsidR="003D0B46" w:rsidRDefault="00B73D0E" w:rsidP="004E4CE8">
      <w:pPr>
        <w:spacing w:line="480" w:lineRule="auto"/>
        <w:jc w:val="both"/>
        <w:rPr>
          <w:color w:val="auto"/>
        </w:rPr>
      </w:pPr>
      <w:r w:rsidRPr="00966BD4">
        <w:rPr>
          <w:rFonts w:hAnsi="Times New Roman" w:cs="Times New Roman"/>
          <w:bCs/>
          <w:color w:val="auto"/>
        </w:rPr>
        <w:lastRenderedPageBreak/>
        <w:t xml:space="preserve">After </w:t>
      </w:r>
      <w:r w:rsidR="00BF6408" w:rsidRPr="00966BD4">
        <w:rPr>
          <w:color w:val="auto"/>
        </w:rPr>
        <w:t>frequency matching</w:t>
      </w:r>
      <w:r w:rsidRPr="00966BD4">
        <w:rPr>
          <w:rFonts w:hAnsi="Times New Roman" w:cs="Times New Roman"/>
          <w:bCs/>
          <w:color w:val="auto"/>
        </w:rPr>
        <w:t xml:space="preserve">, both the </w:t>
      </w:r>
      <w:r w:rsidR="00BF6408" w:rsidRPr="00966BD4">
        <w:rPr>
          <w:rFonts w:hAnsi="Times New Roman" w:cs="Times New Roman"/>
          <w:color w:val="auto"/>
        </w:rPr>
        <w:t>CDD and comparison</w:t>
      </w:r>
      <w:r w:rsidRPr="00966BD4">
        <w:rPr>
          <w:rFonts w:hAnsi="Times New Roman" w:cs="Times New Roman"/>
          <w:bCs/>
          <w:color w:val="auto"/>
        </w:rPr>
        <w:t xml:space="preserve"> </w:t>
      </w:r>
      <w:r w:rsidR="00BF6408" w:rsidRPr="00966BD4">
        <w:rPr>
          <w:rFonts w:hAnsi="Times New Roman" w:cs="Times New Roman"/>
          <w:bCs/>
          <w:color w:val="auto"/>
        </w:rPr>
        <w:t>cohorts</w:t>
      </w:r>
      <w:r w:rsidRPr="00966BD4">
        <w:rPr>
          <w:rFonts w:hAnsi="Times New Roman" w:cs="Times New Roman"/>
          <w:bCs/>
          <w:color w:val="auto"/>
        </w:rPr>
        <w:t xml:space="preserve"> had similar</w:t>
      </w:r>
      <w:r w:rsidR="00752948" w:rsidRPr="00966BD4">
        <w:rPr>
          <w:rFonts w:hAnsi="Times New Roman" w:cs="Times New Roman"/>
          <w:bCs/>
          <w:color w:val="auto"/>
        </w:rPr>
        <w:t xml:space="preserve"> the percentages of </w:t>
      </w:r>
      <w:r w:rsidRPr="00966BD4">
        <w:rPr>
          <w:rFonts w:hAnsi="Times New Roman" w:cs="Times New Roman"/>
          <w:bCs/>
          <w:color w:val="auto"/>
        </w:rPr>
        <w:t xml:space="preserve">sex, age, and </w:t>
      </w:r>
      <w:r w:rsidR="00A778A2" w:rsidRPr="00966BD4">
        <w:rPr>
          <w:color w:val="auto"/>
        </w:rPr>
        <w:t>all of comorbidities</w:t>
      </w:r>
      <w:r w:rsidR="0000604F">
        <w:rPr>
          <w:color w:val="auto"/>
        </w:rPr>
        <w:t>.</w:t>
      </w:r>
    </w:p>
    <w:p w14:paraId="77FA3E65" w14:textId="5E1C09F5" w:rsidR="00F90B83" w:rsidRPr="00966BD4" w:rsidRDefault="00F90B83" w:rsidP="004E4CE8">
      <w:pPr>
        <w:spacing w:line="480" w:lineRule="auto"/>
        <w:jc w:val="both"/>
        <w:rPr>
          <w:rFonts w:hAnsi="Times New Roman" w:cs="Times New Roman"/>
          <w:bCs/>
          <w:color w:val="auto"/>
        </w:rPr>
      </w:pPr>
      <w:r w:rsidRPr="00966BD4">
        <w:rPr>
          <w:color w:val="auto"/>
        </w:rPr>
        <w:t xml:space="preserve">The median (range) of follow-up period were 9.54 </w:t>
      </w:r>
      <w:r w:rsidRPr="00966BD4">
        <w:rPr>
          <w:color w:val="auto"/>
          <w:lang w:eastAsia="zh-TW"/>
        </w:rPr>
        <w:t>(</w:t>
      </w:r>
      <w:r w:rsidRPr="00966BD4">
        <w:rPr>
          <w:rFonts w:hint="eastAsia"/>
          <w:color w:val="auto"/>
          <w:lang w:eastAsia="zh-TW"/>
        </w:rPr>
        <w:t>0.003</w:t>
      </w:r>
      <w:r w:rsidRPr="00966BD4">
        <w:rPr>
          <w:rFonts w:hAnsiTheme="minorHAnsi" w:cstheme="minorBidi"/>
          <w:color w:val="auto"/>
          <w:lang w:eastAsia="zh-TW"/>
        </w:rPr>
        <w:t>–</w:t>
      </w:r>
      <w:r w:rsidRPr="00966BD4">
        <w:rPr>
          <w:rFonts w:hAnsiTheme="minorHAnsi" w:cstheme="minorBidi" w:hint="eastAsia"/>
          <w:color w:val="auto"/>
          <w:lang w:eastAsia="zh-TW"/>
        </w:rPr>
        <w:t>13.9</w:t>
      </w:r>
      <w:r w:rsidRPr="00966BD4">
        <w:rPr>
          <w:rFonts w:hint="eastAsia"/>
          <w:color w:val="auto"/>
          <w:lang w:eastAsia="zh-TW"/>
        </w:rPr>
        <w:t>6</w:t>
      </w:r>
      <w:r w:rsidRPr="00966BD4">
        <w:rPr>
          <w:color w:val="auto"/>
          <w:lang w:eastAsia="zh-TW"/>
        </w:rPr>
        <w:t>)</w:t>
      </w:r>
      <w:r w:rsidRPr="00966BD4">
        <w:rPr>
          <w:color w:val="auto"/>
        </w:rPr>
        <w:t xml:space="preserve"> years and 9.29 (</w:t>
      </w:r>
      <w:r w:rsidRPr="00966BD4">
        <w:rPr>
          <w:rFonts w:hint="eastAsia"/>
          <w:color w:val="auto"/>
          <w:lang w:eastAsia="zh-TW"/>
        </w:rPr>
        <w:t>0.003</w:t>
      </w:r>
      <w:r w:rsidRPr="00966BD4">
        <w:rPr>
          <w:rFonts w:hAnsi="Times New Roman" w:cs="Times New Roman"/>
          <w:color w:val="auto"/>
        </w:rPr>
        <w:t>–</w:t>
      </w:r>
      <w:r w:rsidRPr="00966BD4">
        <w:rPr>
          <w:rFonts w:hAnsi="Times New Roman" w:cs="Times New Roman" w:hint="eastAsia"/>
          <w:color w:val="auto"/>
          <w:lang w:eastAsia="zh-TW"/>
        </w:rPr>
        <w:t>13.99</w:t>
      </w:r>
      <w:r w:rsidRPr="00966BD4">
        <w:rPr>
          <w:color w:val="auto"/>
        </w:rPr>
        <w:t xml:space="preserve">) years for </w:t>
      </w:r>
      <w:r w:rsidRPr="00966BD4">
        <w:rPr>
          <w:rFonts w:hAnsi="Times New Roman" w:cs="Times New Roman"/>
          <w:color w:val="auto"/>
        </w:rPr>
        <w:t>comparison</w:t>
      </w:r>
      <w:r w:rsidRPr="00966BD4">
        <w:rPr>
          <w:color w:val="auto"/>
        </w:rPr>
        <w:t xml:space="preserve"> cohort and CDD cohort, respectively</w:t>
      </w:r>
      <w:r>
        <w:rPr>
          <w:color w:val="auto"/>
        </w:rPr>
        <w:t xml:space="preserve">. </w:t>
      </w:r>
      <w:r w:rsidRPr="00A50FDE">
        <w:rPr>
          <w:rFonts w:hAnsi="Times New Roman" w:cs="Times New Roman"/>
          <w:color w:val="auto"/>
        </w:rPr>
        <w:t>As shown in Figure</w:t>
      </w:r>
      <w:r w:rsidR="00A50FDE">
        <w:rPr>
          <w:rFonts w:hAnsi="Times New Roman" w:cs="Times New Roman"/>
          <w:color w:val="auto"/>
        </w:rPr>
        <w:t xml:space="preserve"> </w:t>
      </w:r>
      <w:r w:rsidRPr="00A50FDE">
        <w:rPr>
          <w:rFonts w:hAnsi="Times New Roman" w:cs="Times New Roman"/>
          <w:color w:val="auto"/>
        </w:rPr>
        <w:t>1, the cumulative incidence was significantly higher in the CDD cohort than in the comparison cohort (</w:t>
      </w:r>
      <w:r w:rsidRPr="00A50FDE">
        <w:rPr>
          <w:rFonts w:hAnsi="Times New Roman" w:cs="Times New Roman"/>
          <w:i/>
          <w:color w:val="auto"/>
        </w:rPr>
        <w:t>p</w:t>
      </w:r>
      <w:r w:rsidRPr="00A50FDE">
        <w:rPr>
          <w:rFonts w:hAnsi="Times New Roman" w:cs="Times New Roman"/>
          <w:color w:val="auto"/>
        </w:rPr>
        <w:t>&lt;0.001).</w:t>
      </w:r>
    </w:p>
    <w:p w14:paraId="28365962" w14:textId="10509BAA" w:rsidR="00966BD4" w:rsidRDefault="00B438DF" w:rsidP="0000604F">
      <w:pPr>
        <w:spacing w:line="480" w:lineRule="auto"/>
        <w:jc w:val="both"/>
        <w:rPr>
          <w:rFonts w:hAnsi="Times New Roman" w:cs="Times New Roman"/>
          <w:color w:val="auto"/>
        </w:rPr>
      </w:pPr>
      <w:r w:rsidRPr="00966BD4">
        <w:rPr>
          <w:rFonts w:hAnsi="Times New Roman" w:cs="Times New Roman"/>
          <w:color w:val="auto"/>
        </w:rPr>
        <w:t xml:space="preserve">The incidence of PD was only </w:t>
      </w:r>
      <w:r w:rsidR="003D0B46" w:rsidRPr="00966BD4">
        <w:rPr>
          <w:rFonts w:hAnsi="Times New Roman" w:cs="Times New Roman"/>
          <w:color w:val="auto"/>
        </w:rPr>
        <w:t>1.71</w:t>
      </w:r>
      <w:r w:rsidRPr="00966BD4">
        <w:rPr>
          <w:rFonts w:hAnsi="Times New Roman" w:cs="Times New Roman"/>
          <w:color w:val="auto"/>
        </w:rPr>
        <w:t xml:space="preserve"> per 1000 person-years in the patients without CDD and </w:t>
      </w:r>
      <w:r w:rsidR="003D0B46" w:rsidRPr="00966BD4">
        <w:rPr>
          <w:rFonts w:hAnsi="Times New Roman" w:cs="Times New Roman"/>
          <w:color w:val="auto"/>
        </w:rPr>
        <w:t>2.00</w:t>
      </w:r>
      <w:r w:rsidRPr="00966BD4">
        <w:rPr>
          <w:rFonts w:hAnsi="Times New Roman" w:cs="Times New Roman"/>
          <w:color w:val="auto"/>
        </w:rPr>
        <w:t xml:space="preserve"> per 1000 person-y</w:t>
      </w:r>
      <w:r w:rsidR="00AC5EBB" w:rsidRPr="00966BD4">
        <w:rPr>
          <w:rFonts w:hAnsi="Times New Roman" w:cs="Times New Roman"/>
          <w:color w:val="auto"/>
        </w:rPr>
        <w:t>ears in the CDD patients (Table</w:t>
      </w:r>
      <w:r w:rsidR="00966BD4">
        <w:rPr>
          <w:rFonts w:hAnsi="Times New Roman" w:cs="Times New Roman"/>
          <w:color w:val="auto"/>
        </w:rPr>
        <w:t xml:space="preserve"> </w:t>
      </w:r>
      <w:r w:rsidR="00AC5EBB" w:rsidRPr="00966BD4">
        <w:rPr>
          <w:rFonts w:hAnsi="Times New Roman" w:cs="Times New Roman"/>
          <w:color w:val="auto"/>
        </w:rPr>
        <w:t xml:space="preserve">2). </w:t>
      </w:r>
    </w:p>
    <w:p w14:paraId="686C5AA3" w14:textId="480FBEE5" w:rsidR="000A3E3C" w:rsidRPr="00966BD4" w:rsidRDefault="00B438DF" w:rsidP="009F454C">
      <w:pPr>
        <w:spacing w:line="480" w:lineRule="auto"/>
        <w:jc w:val="both"/>
        <w:rPr>
          <w:rFonts w:hAnsi="Times New Roman" w:cs="Times New Roman"/>
          <w:color w:val="auto"/>
        </w:rPr>
      </w:pPr>
      <w:r w:rsidRPr="00966BD4">
        <w:rPr>
          <w:rFonts w:hAnsi="Times New Roman" w:cs="Times New Roman"/>
          <w:color w:val="auto"/>
        </w:rPr>
        <w:t xml:space="preserve">After adjustment for </w:t>
      </w:r>
      <w:r w:rsidR="00D00F29" w:rsidRPr="00966BD4">
        <w:rPr>
          <w:rFonts w:hAnsi="Times New Roman" w:cs="Times New Roman"/>
          <w:color w:val="auto"/>
        </w:rPr>
        <w:t xml:space="preserve">sex, </w:t>
      </w:r>
      <w:r w:rsidRPr="00966BD4">
        <w:rPr>
          <w:rFonts w:hAnsi="Times New Roman" w:cs="Times New Roman"/>
          <w:color w:val="auto"/>
        </w:rPr>
        <w:t xml:space="preserve">age, </w:t>
      </w:r>
      <w:r w:rsidR="00D00F29" w:rsidRPr="00966BD4">
        <w:rPr>
          <w:rFonts w:hAnsi="Times New Roman" w:cs="Times New Roman"/>
          <w:color w:val="auto"/>
        </w:rPr>
        <w:t xml:space="preserve">and </w:t>
      </w:r>
      <w:r w:rsidR="00D00F29" w:rsidRPr="00966BD4">
        <w:rPr>
          <w:color w:val="auto"/>
        </w:rPr>
        <w:t>all of comorbidities</w:t>
      </w:r>
      <w:r w:rsidR="003D0B46" w:rsidRPr="00966BD4">
        <w:rPr>
          <w:rFonts w:hAnsi="Times New Roman" w:cs="Times New Roman"/>
          <w:color w:val="auto"/>
        </w:rPr>
        <w:t xml:space="preserve">, </w:t>
      </w:r>
      <w:r w:rsidRPr="00966BD4">
        <w:rPr>
          <w:rFonts w:hAnsi="Times New Roman" w:cs="Times New Roman"/>
          <w:color w:val="auto"/>
        </w:rPr>
        <w:t>the risk of PD in the CDD cohort</w:t>
      </w:r>
      <w:r w:rsidRPr="00966BD4" w:rsidDel="002162AD">
        <w:rPr>
          <w:rFonts w:hAnsi="Times New Roman" w:cs="Times New Roman"/>
          <w:color w:val="auto"/>
        </w:rPr>
        <w:t xml:space="preserve"> </w:t>
      </w:r>
      <w:r w:rsidRPr="00966BD4">
        <w:rPr>
          <w:rFonts w:hAnsi="Times New Roman" w:cs="Times New Roman"/>
          <w:color w:val="auto"/>
        </w:rPr>
        <w:t>was 1.</w:t>
      </w:r>
      <w:r w:rsidR="003D0B46" w:rsidRPr="00966BD4">
        <w:rPr>
          <w:rFonts w:hAnsi="Times New Roman" w:cs="Times New Roman"/>
          <w:color w:val="auto"/>
        </w:rPr>
        <w:t>27</w:t>
      </w:r>
      <w:r w:rsidRPr="00966BD4">
        <w:rPr>
          <w:rFonts w:hAnsi="Times New Roman" w:cs="Times New Roman"/>
          <w:color w:val="auto"/>
        </w:rPr>
        <w:t>-fold higher than th</w:t>
      </w:r>
      <w:r w:rsidR="00AC5EBB" w:rsidRPr="00966BD4">
        <w:rPr>
          <w:rFonts w:hAnsi="Times New Roman" w:cs="Times New Roman"/>
          <w:color w:val="auto"/>
        </w:rPr>
        <w:t>at in the comparison cohort (95% CI</w:t>
      </w:r>
      <w:r w:rsidR="000F3387" w:rsidRPr="00966BD4">
        <w:rPr>
          <w:rFonts w:hAnsi="Times New Roman" w:cs="Times New Roman"/>
          <w:color w:val="auto"/>
        </w:rPr>
        <w:t xml:space="preserve"> </w:t>
      </w:r>
      <w:r w:rsidR="00AC5EBB" w:rsidRPr="00966BD4">
        <w:rPr>
          <w:rFonts w:hAnsi="Times New Roman" w:cs="Times New Roman"/>
          <w:color w:val="auto"/>
        </w:rPr>
        <w:t>=</w:t>
      </w:r>
      <w:r w:rsidR="000F3387" w:rsidRPr="00966BD4">
        <w:rPr>
          <w:rFonts w:hAnsi="Times New Roman" w:cs="Times New Roman"/>
          <w:color w:val="auto"/>
        </w:rPr>
        <w:t xml:space="preserve"> </w:t>
      </w:r>
      <w:r w:rsidR="00B90D26" w:rsidRPr="00966BD4">
        <w:rPr>
          <w:rFonts w:eastAsia="DFKai-SB" w:cs="Arial"/>
          <w:color w:val="auto"/>
        </w:rPr>
        <w:t>1.10</w:t>
      </w:r>
      <w:r w:rsidRPr="00966BD4">
        <w:rPr>
          <w:rFonts w:hAnsi="Times New Roman" w:cs="Times New Roman"/>
          <w:color w:val="auto"/>
        </w:rPr>
        <w:t>–</w:t>
      </w:r>
      <w:r w:rsidR="00B90D26" w:rsidRPr="00966BD4">
        <w:rPr>
          <w:rFonts w:eastAsia="DFKai-SB" w:cs="Arial"/>
          <w:color w:val="auto"/>
        </w:rPr>
        <w:t>1.47</w:t>
      </w:r>
      <w:r w:rsidR="00204FFE" w:rsidRPr="00966BD4">
        <w:rPr>
          <w:rFonts w:hAnsi="Times New Roman" w:cs="Times New Roman"/>
          <w:color w:val="auto"/>
        </w:rPr>
        <w:t>,</w:t>
      </w:r>
      <w:r w:rsidR="003D0B46" w:rsidRPr="00966BD4">
        <w:rPr>
          <w:rFonts w:hAnsi="Times New Roman" w:cs="Times New Roman"/>
          <w:color w:val="auto"/>
        </w:rPr>
        <w:t xml:space="preserve"> p-value</w:t>
      </w:r>
      <w:r w:rsidR="000F3387" w:rsidRPr="00966BD4">
        <w:rPr>
          <w:rFonts w:hAnsi="Times New Roman" w:cs="Times New Roman"/>
          <w:color w:val="auto"/>
        </w:rPr>
        <w:t xml:space="preserve"> </w:t>
      </w:r>
      <w:r w:rsidR="003D0B46" w:rsidRPr="00966BD4">
        <w:rPr>
          <w:rFonts w:hAnsi="Times New Roman" w:cs="Times New Roman"/>
          <w:color w:val="auto"/>
        </w:rPr>
        <w:t>=</w:t>
      </w:r>
      <w:r w:rsidR="000F3387" w:rsidRPr="00966BD4">
        <w:rPr>
          <w:rFonts w:hAnsi="Times New Roman" w:cs="Times New Roman"/>
          <w:color w:val="auto"/>
        </w:rPr>
        <w:t xml:space="preserve"> </w:t>
      </w:r>
      <w:r w:rsidR="003D0B46" w:rsidRPr="00966BD4">
        <w:rPr>
          <w:rFonts w:hAnsi="Times New Roman" w:cs="Times New Roman"/>
          <w:color w:val="auto"/>
        </w:rPr>
        <w:t>0.001</w:t>
      </w:r>
      <w:r w:rsidRPr="00966BD4">
        <w:rPr>
          <w:rFonts w:hAnsi="Times New Roman" w:cs="Times New Roman"/>
          <w:color w:val="auto"/>
        </w:rPr>
        <w:t xml:space="preserve">). </w:t>
      </w:r>
    </w:p>
    <w:p w14:paraId="2423A32E" w14:textId="77777777" w:rsidR="000A3E3C" w:rsidRPr="00966BD4" w:rsidRDefault="007E3E40" w:rsidP="009F454C">
      <w:pPr>
        <w:spacing w:line="480" w:lineRule="auto"/>
        <w:jc w:val="both"/>
        <w:rPr>
          <w:rFonts w:hAnsi="Times New Roman" w:cs="Times New Roman"/>
          <w:color w:val="auto"/>
        </w:rPr>
      </w:pPr>
      <w:r w:rsidRPr="00966BD4">
        <w:rPr>
          <w:rFonts w:hAnsi="Times New Roman" w:cs="Times New Roman"/>
          <w:color w:val="auto"/>
        </w:rPr>
        <w:t>Stratified by sex, the results showed that males with CDD were associated with increased risk of PD than in those without CDD (HR = 1.30, 95% CI = 1.07</w:t>
      </w:r>
      <w:r w:rsidR="00BB06E2" w:rsidRPr="00966BD4">
        <w:rPr>
          <w:rFonts w:hAnsi="Times New Roman" w:cs="Times New Roman"/>
          <w:color w:val="auto"/>
        </w:rPr>
        <w:t>–</w:t>
      </w:r>
      <w:r w:rsidRPr="00966BD4">
        <w:rPr>
          <w:rFonts w:hAnsi="Times New Roman" w:cs="Times New Roman"/>
          <w:color w:val="auto"/>
        </w:rPr>
        <w:t xml:space="preserve">1.58, p-value = 0.008). </w:t>
      </w:r>
    </w:p>
    <w:p w14:paraId="1F1B3D2C" w14:textId="77777777" w:rsidR="00966BD4" w:rsidRDefault="007E3E40" w:rsidP="009F454C">
      <w:pPr>
        <w:spacing w:line="480" w:lineRule="auto"/>
        <w:jc w:val="both"/>
        <w:rPr>
          <w:rFonts w:hAnsi="Times New Roman" w:cs="Times New Roman"/>
          <w:color w:val="auto"/>
        </w:rPr>
      </w:pPr>
      <w:r w:rsidRPr="00966BD4">
        <w:rPr>
          <w:rFonts w:hAnsi="Times New Roman" w:cs="Times New Roman"/>
          <w:color w:val="auto"/>
        </w:rPr>
        <w:t>Stratified by age groups, the results showed that patients with CDD had a higher risk of PD compared with subjects without CDD in the age group of 65 years and above (adjusted HR = 1.25, 95% CI = 1.07</w:t>
      </w:r>
      <w:r w:rsidR="00BB06E2" w:rsidRPr="00966BD4">
        <w:rPr>
          <w:rFonts w:hAnsi="Times New Roman" w:cs="Times New Roman"/>
          <w:color w:val="auto"/>
        </w:rPr>
        <w:t>–</w:t>
      </w:r>
      <w:r w:rsidRPr="00966BD4">
        <w:rPr>
          <w:rFonts w:hAnsi="Times New Roman" w:cs="Times New Roman"/>
          <w:color w:val="auto"/>
        </w:rPr>
        <w:t xml:space="preserve">1.46, p-value = 0.004). </w:t>
      </w:r>
    </w:p>
    <w:p w14:paraId="329DDE92" w14:textId="3BF6FA25" w:rsidR="000F3387" w:rsidRPr="00966BD4" w:rsidRDefault="000F3387" w:rsidP="009F454C">
      <w:pPr>
        <w:spacing w:line="480" w:lineRule="auto"/>
        <w:jc w:val="both"/>
        <w:rPr>
          <w:color w:val="auto"/>
          <w:lang w:eastAsia="zh-TW"/>
        </w:rPr>
      </w:pPr>
      <w:r w:rsidRPr="00966BD4">
        <w:rPr>
          <w:color w:val="auto"/>
          <w:lang w:eastAsia="zh-TW"/>
        </w:rPr>
        <w:t>In the individuals with comorbidity, the CDD patient was significantly associated with higher risk of PD than non-CDD subject (HR = 1.36, 95% CI = 1.12</w:t>
      </w:r>
      <w:r w:rsidR="00BB06E2" w:rsidRPr="00966BD4">
        <w:rPr>
          <w:rFonts w:hAnsi="Times New Roman" w:cs="Times New Roman"/>
          <w:color w:val="auto"/>
        </w:rPr>
        <w:t>–</w:t>
      </w:r>
      <w:r w:rsidRPr="00966BD4">
        <w:rPr>
          <w:color w:val="auto"/>
          <w:lang w:eastAsia="zh-TW"/>
        </w:rPr>
        <w:t xml:space="preserve">1.66, </w:t>
      </w:r>
      <w:r w:rsidRPr="00966BD4">
        <w:rPr>
          <w:rFonts w:hAnsi="Times New Roman" w:cs="Times New Roman"/>
          <w:color w:val="auto"/>
        </w:rPr>
        <w:t>p-value = 0.002</w:t>
      </w:r>
      <w:r w:rsidR="00966BD4">
        <w:rPr>
          <w:color w:val="auto"/>
          <w:lang w:eastAsia="zh-TW"/>
        </w:rPr>
        <w:t>). H</w:t>
      </w:r>
      <w:r w:rsidRPr="00966BD4">
        <w:rPr>
          <w:color w:val="auto"/>
          <w:lang w:eastAsia="zh-TW"/>
        </w:rPr>
        <w:t>owever, there was no risk difference between CDD group and non-CDD group in the individuals without any comorbidities (HR = 1.18, 95% CI = 0.96</w:t>
      </w:r>
      <w:r w:rsidR="00BB06E2" w:rsidRPr="00966BD4">
        <w:rPr>
          <w:rFonts w:hAnsi="Times New Roman" w:cs="Times New Roman"/>
          <w:color w:val="auto"/>
        </w:rPr>
        <w:t>–</w:t>
      </w:r>
      <w:r w:rsidRPr="00966BD4">
        <w:rPr>
          <w:color w:val="auto"/>
          <w:lang w:eastAsia="zh-TW"/>
        </w:rPr>
        <w:t xml:space="preserve">1.46, </w:t>
      </w:r>
      <w:r w:rsidRPr="00966BD4">
        <w:rPr>
          <w:rFonts w:hAnsi="Times New Roman" w:cs="Times New Roman"/>
          <w:color w:val="auto"/>
        </w:rPr>
        <w:t>p-value = 0.11</w:t>
      </w:r>
      <w:r w:rsidRPr="00966BD4">
        <w:rPr>
          <w:color w:val="auto"/>
          <w:lang w:eastAsia="zh-TW"/>
        </w:rPr>
        <w:t>).</w:t>
      </w:r>
    </w:p>
    <w:p w14:paraId="0CE73B41" w14:textId="77777777" w:rsidR="00966BD4" w:rsidRDefault="00B438DF" w:rsidP="004E4CE8">
      <w:pPr>
        <w:spacing w:line="480" w:lineRule="auto"/>
        <w:jc w:val="both"/>
        <w:rPr>
          <w:rFonts w:hAnsi="Times New Roman" w:cs="Times New Roman"/>
          <w:color w:val="auto"/>
        </w:rPr>
      </w:pPr>
      <w:r w:rsidRPr="00966BD4">
        <w:rPr>
          <w:rFonts w:hAnsi="Times New Roman" w:cs="Times New Roman"/>
          <w:color w:val="auto"/>
        </w:rPr>
        <w:t xml:space="preserve">Table 3 illustrates the risk of PD in different CDD subtypes. </w:t>
      </w:r>
    </w:p>
    <w:p w14:paraId="7019D754" w14:textId="59062AC0" w:rsidR="00643875" w:rsidRPr="00966BD4" w:rsidRDefault="00B438DF" w:rsidP="004E4CE8">
      <w:pPr>
        <w:spacing w:line="480" w:lineRule="auto"/>
        <w:jc w:val="both"/>
        <w:rPr>
          <w:rFonts w:hAnsi="Times New Roman" w:cs="Times New Roman"/>
          <w:b/>
          <w:color w:val="auto"/>
        </w:rPr>
      </w:pPr>
      <w:r w:rsidRPr="00966BD4">
        <w:rPr>
          <w:rFonts w:hAnsi="Times New Roman" w:cs="Times New Roman"/>
          <w:color w:val="auto"/>
        </w:rPr>
        <w:t>After adjustment for</w:t>
      </w:r>
      <w:r w:rsidR="00DF0833" w:rsidRPr="00966BD4">
        <w:rPr>
          <w:rFonts w:hAnsi="Times New Roman" w:cs="Times New Roman"/>
          <w:color w:val="auto"/>
        </w:rPr>
        <w:t xml:space="preserve"> sex, </w:t>
      </w:r>
      <w:r w:rsidRPr="00966BD4">
        <w:rPr>
          <w:rFonts w:hAnsi="Times New Roman" w:cs="Times New Roman"/>
          <w:color w:val="auto"/>
        </w:rPr>
        <w:t xml:space="preserve">age, and </w:t>
      </w:r>
      <w:r w:rsidR="00D47307" w:rsidRPr="00966BD4">
        <w:rPr>
          <w:color w:val="auto"/>
        </w:rPr>
        <w:t>all of comorbidities</w:t>
      </w:r>
      <w:r w:rsidRPr="00966BD4">
        <w:rPr>
          <w:rFonts w:hAnsi="Times New Roman" w:cs="Times New Roman"/>
          <w:color w:val="auto"/>
        </w:rPr>
        <w:t xml:space="preserve">, compared with the patients without CCD, the patients with </w:t>
      </w:r>
      <w:r w:rsidR="00BB06E2" w:rsidRPr="00966BD4">
        <w:rPr>
          <w:rFonts w:hAnsi="Times New Roman" w:cs="Times New Roman"/>
          <w:color w:val="auto"/>
        </w:rPr>
        <w:t>diverticulitis</w:t>
      </w:r>
      <w:r w:rsidR="00BB06E2" w:rsidRPr="00966BD4" w:rsidDel="00BB06E2">
        <w:rPr>
          <w:rFonts w:hAnsi="Times New Roman" w:cs="Times New Roman"/>
          <w:color w:val="auto"/>
        </w:rPr>
        <w:t xml:space="preserve"> </w:t>
      </w:r>
      <w:r w:rsidRPr="00966BD4">
        <w:rPr>
          <w:rFonts w:hAnsi="Times New Roman" w:cs="Times New Roman"/>
          <w:color w:val="auto"/>
        </w:rPr>
        <w:t xml:space="preserve">and </w:t>
      </w:r>
      <w:r w:rsidR="00BB06E2" w:rsidRPr="00966BD4">
        <w:rPr>
          <w:rFonts w:hAnsi="Times New Roman" w:cs="Times New Roman"/>
          <w:color w:val="auto"/>
        </w:rPr>
        <w:t xml:space="preserve">diverticulosis </w:t>
      </w:r>
      <w:r w:rsidRPr="00966BD4">
        <w:rPr>
          <w:rFonts w:hAnsi="Times New Roman" w:cs="Times New Roman"/>
          <w:color w:val="auto"/>
        </w:rPr>
        <w:t xml:space="preserve">had a </w:t>
      </w:r>
      <w:r w:rsidR="00BB06E2" w:rsidRPr="00966BD4">
        <w:rPr>
          <w:rFonts w:hAnsi="Times New Roman" w:cs="Times New Roman"/>
          <w:color w:val="auto"/>
        </w:rPr>
        <w:t>1.20</w:t>
      </w:r>
      <w:r w:rsidRPr="00966BD4">
        <w:rPr>
          <w:rFonts w:hAnsi="Times New Roman" w:cs="Times New Roman"/>
          <w:color w:val="auto"/>
        </w:rPr>
        <w:t>-fold</w:t>
      </w:r>
      <w:r w:rsidR="00BB06E2" w:rsidRPr="00966BD4">
        <w:rPr>
          <w:rFonts w:hAnsi="Times New Roman" w:cs="Times New Roman"/>
          <w:color w:val="auto"/>
        </w:rPr>
        <w:t xml:space="preserve"> (</w:t>
      </w:r>
      <w:r w:rsidR="00BB06E2" w:rsidRPr="00966BD4">
        <w:rPr>
          <w:color w:val="auto"/>
          <w:lang w:eastAsia="zh-TW"/>
        </w:rPr>
        <w:t xml:space="preserve">95% </w:t>
      </w:r>
      <w:r w:rsidR="00BB06E2" w:rsidRPr="00966BD4">
        <w:rPr>
          <w:color w:val="auto"/>
          <w:lang w:eastAsia="zh-TW"/>
        </w:rPr>
        <w:lastRenderedPageBreak/>
        <w:t xml:space="preserve">CI = </w:t>
      </w:r>
      <w:r w:rsidR="00BB06E2" w:rsidRPr="00966BD4">
        <w:rPr>
          <w:rFonts w:eastAsia="DFKai-SB" w:cs="Times New Roman"/>
          <w:color w:val="auto"/>
        </w:rPr>
        <w:t>1.01</w:t>
      </w:r>
      <w:r w:rsidR="00BB06E2" w:rsidRPr="00966BD4">
        <w:rPr>
          <w:rFonts w:hAnsi="Times New Roman" w:cs="Times New Roman"/>
          <w:color w:val="auto"/>
        </w:rPr>
        <w:t>–</w:t>
      </w:r>
      <w:r w:rsidR="00BB06E2" w:rsidRPr="00966BD4">
        <w:rPr>
          <w:rFonts w:eastAsia="DFKai-SB" w:cs="Times New Roman"/>
          <w:color w:val="auto"/>
        </w:rPr>
        <w:t>1.44</w:t>
      </w:r>
      <w:r w:rsidR="00BB06E2" w:rsidRPr="00966BD4">
        <w:rPr>
          <w:color w:val="auto"/>
          <w:lang w:eastAsia="zh-TW"/>
        </w:rPr>
        <w:t xml:space="preserve">, </w:t>
      </w:r>
      <w:r w:rsidR="00BB06E2" w:rsidRPr="00966BD4">
        <w:rPr>
          <w:rFonts w:hAnsi="Times New Roman" w:cs="Times New Roman"/>
          <w:color w:val="auto"/>
        </w:rPr>
        <w:t xml:space="preserve">p-value = </w:t>
      </w:r>
      <w:r w:rsidR="00BB06E2" w:rsidRPr="00966BD4">
        <w:rPr>
          <w:rFonts w:eastAsia="DFKai-SB" w:cs="Times New Roman"/>
          <w:color w:val="auto"/>
        </w:rPr>
        <w:t xml:space="preserve">0.04) </w:t>
      </w:r>
      <w:r w:rsidRPr="00966BD4">
        <w:rPr>
          <w:rFonts w:hAnsi="Times New Roman" w:cs="Times New Roman"/>
          <w:color w:val="auto"/>
        </w:rPr>
        <w:t xml:space="preserve">and </w:t>
      </w:r>
      <w:r w:rsidR="00BB06E2" w:rsidRPr="00966BD4">
        <w:rPr>
          <w:rFonts w:eastAsia="DFKai-SB" w:cs="Times New Roman"/>
          <w:color w:val="auto"/>
        </w:rPr>
        <w:t>1.34</w:t>
      </w:r>
      <w:r w:rsidRPr="00966BD4">
        <w:rPr>
          <w:rFonts w:hAnsi="Times New Roman" w:cs="Times New Roman"/>
          <w:color w:val="auto"/>
        </w:rPr>
        <w:t xml:space="preserve">-fold </w:t>
      </w:r>
      <w:r w:rsidR="00BB06E2" w:rsidRPr="00966BD4">
        <w:rPr>
          <w:rFonts w:hAnsi="Times New Roman" w:cs="Times New Roman"/>
          <w:color w:val="auto"/>
        </w:rPr>
        <w:t>(</w:t>
      </w:r>
      <w:r w:rsidR="00BB06E2" w:rsidRPr="00966BD4">
        <w:rPr>
          <w:color w:val="auto"/>
          <w:lang w:eastAsia="zh-TW"/>
        </w:rPr>
        <w:t xml:space="preserve">95% CI = </w:t>
      </w:r>
      <w:r w:rsidR="00BB06E2" w:rsidRPr="00966BD4">
        <w:rPr>
          <w:rFonts w:eastAsia="DFKai-SB" w:cs="Times New Roman"/>
          <w:color w:val="auto"/>
        </w:rPr>
        <w:t>1.13</w:t>
      </w:r>
      <w:r w:rsidR="00BB06E2" w:rsidRPr="00966BD4">
        <w:rPr>
          <w:rFonts w:hAnsi="Times New Roman" w:cs="Times New Roman"/>
          <w:color w:val="auto"/>
        </w:rPr>
        <w:t>–</w:t>
      </w:r>
      <w:r w:rsidR="00BB06E2" w:rsidRPr="00966BD4">
        <w:rPr>
          <w:rFonts w:eastAsia="DFKai-SB" w:cs="Times New Roman"/>
          <w:color w:val="auto"/>
        </w:rPr>
        <w:t>1.59</w:t>
      </w:r>
      <w:r w:rsidR="00BB06E2" w:rsidRPr="00966BD4">
        <w:rPr>
          <w:color w:val="auto"/>
          <w:lang w:eastAsia="zh-TW"/>
        </w:rPr>
        <w:t xml:space="preserve">, </w:t>
      </w:r>
      <w:r w:rsidR="00BB06E2" w:rsidRPr="00966BD4">
        <w:rPr>
          <w:rFonts w:hAnsi="Times New Roman" w:cs="Times New Roman"/>
          <w:color w:val="auto"/>
        </w:rPr>
        <w:t xml:space="preserve">p-value </w:t>
      </w:r>
      <w:r w:rsidR="00BB06E2" w:rsidRPr="00966BD4">
        <w:rPr>
          <w:color w:val="auto"/>
        </w:rPr>
        <w:t>&lt;0.001</w:t>
      </w:r>
      <w:r w:rsidR="00966BD4">
        <w:rPr>
          <w:rFonts w:eastAsia="DFKai-SB" w:cs="Times New Roman"/>
          <w:color w:val="auto"/>
        </w:rPr>
        <w:t xml:space="preserve">) </w:t>
      </w:r>
      <w:r w:rsidRPr="00966BD4">
        <w:rPr>
          <w:rFonts w:hAnsi="Times New Roman" w:cs="Times New Roman"/>
          <w:color w:val="auto"/>
        </w:rPr>
        <w:t>increased risk of PD, respectively.</w:t>
      </w:r>
    </w:p>
    <w:p w14:paraId="2A66B11F" w14:textId="77777777" w:rsidR="00643875" w:rsidRDefault="00643875" w:rsidP="004E4CE8">
      <w:pPr>
        <w:spacing w:line="480" w:lineRule="auto"/>
        <w:jc w:val="both"/>
      </w:pPr>
    </w:p>
    <w:p w14:paraId="4F705C77" w14:textId="6CC447F8" w:rsidR="000B2003" w:rsidRDefault="006C1B37" w:rsidP="004E4CE8">
      <w:pPr>
        <w:spacing w:line="480" w:lineRule="auto"/>
        <w:jc w:val="both"/>
        <w:rPr>
          <w:b/>
        </w:rPr>
      </w:pPr>
      <w:r w:rsidRPr="00234D2E">
        <w:rPr>
          <w:b/>
        </w:rPr>
        <w:t>DISCUSSION</w:t>
      </w:r>
    </w:p>
    <w:p w14:paraId="5CA2FF09" w14:textId="77777777" w:rsidR="00966BD4" w:rsidRPr="00A969AF" w:rsidRDefault="00966BD4" w:rsidP="004E4CE8">
      <w:pPr>
        <w:spacing w:line="480" w:lineRule="auto"/>
        <w:jc w:val="both"/>
        <w:rPr>
          <w:b/>
          <w:lang w:eastAsia="zh-TW"/>
        </w:rPr>
      </w:pPr>
    </w:p>
    <w:p w14:paraId="29C1A8E0" w14:textId="77777777" w:rsidR="00966BD4" w:rsidRDefault="00AA4F1F" w:rsidP="004E4CE8">
      <w:pPr>
        <w:spacing w:line="480" w:lineRule="auto"/>
        <w:jc w:val="both"/>
      </w:pPr>
      <w:r>
        <w:t>Our results</w:t>
      </w:r>
      <w:r w:rsidR="003266B5" w:rsidRPr="003266B5">
        <w:t xml:space="preserve"> </w:t>
      </w:r>
      <w:r w:rsidR="009B756C">
        <w:t>revealed</w:t>
      </w:r>
      <w:r w:rsidR="009B756C" w:rsidRPr="003266B5">
        <w:t xml:space="preserve"> </w:t>
      </w:r>
      <w:r w:rsidR="003266B5" w:rsidRPr="003266B5">
        <w:t xml:space="preserve">that </w:t>
      </w:r>
      <w:r w:rsidR="00CA74ED" w:rsidRPr="003266B5">
        <w:t xml:space="preserve">CDD </w:t>
      </w:r>
      <w:r w:rsidR="003266B5" w:rsidRPr="003266B5">
        <w:t xml:space="preserve">patients </w:t>
      </w:r>
      <w:r w:rsidR="00234D2E" w:rsidRPr="003266B5">
        <w:t xml:space="preserve">in Taiwan have a significantly </w:t>
      </w:r>
      <w:r w:rsidR="003266B5" w:rsidRPr="003266B5">
        <w:t xml:space="preserve">higher overall </w:t>
      </w:r>
      <w:r w:rsidR="009B756C">
        <w:t>risk</w:t>
      </w:r>
      <w:r w:rsidR="009B756C" w:rsidRPr="003266B5">
        <w:t xml:space="preserve"> </w:t>
      </w:r>
      <w:r w:rsidR="00234D2E" w:rsidRPr="003266B5">
        <w:t>of</w:t>
      </w:r>
      <w:r w:rsidR="003266B5" w:rsidRPr="003266B5">
        <w:t xml:space="preserve"> PD. </w:t>
      </w:r>
      <w:r w:rsidR="00966BD4">
        <w:t>O</w:t>
      </w:r>
      <w:r w:rsidR="005F754A">
        <w:t>ur</w:t>
      </w:r>
      <w:r w:rsidR="005F754A" w:rsidRPr="0049552B">
        <w:t xml:space="preserve"> </w:t>
      </w:r>
      <w:r w:rsidR="00234D2E" w:rsidRPr="0049552B">
        <w:t>data were</w:t>
      </w:r>
      <w:r w:rsidR="004376DF">
        <w:t xml:space="preserve"> obtained</w:t>
      </w:r>
      <w:r w:rsidR="00234D2E" w:rsidRPr="0049552B">
        <w:t xml:space="preserve"> from the NHI</w:t>
      </w:r>
      <w:r w:rsidR="0049552B" w:rsidRPr="0049552B">
        <w:t xml:space="preserve">RD, which covers </w:t>
      </w:r>
      <w:r w:rsidR="00EF3C67">
        <w:t>99.9</w:t>
      </w:r>
      <w:r w:rsidR="00234D2E" w:rsidRPr="0049552B">
        <w:t xml:space="preserve">% of the </w:t>
      </w:r>
      <w:r w:rsidR="009B0833">
        <w:t xml:space="preserve">Taiwanese </w:t>
      </w:r>
      <w:r w:rsidR="00234D2E" w:rsidRPr="0049552B">
        <w:t>populat</w:t>
      </w:r>
      <w:r w:rsidR="0049552B" w:rsidRPr="0049552B">
        <w:t xml:space="preserve">ion and is contracted by 97% of </w:t>
      </w:r>
      <w:r w:rsidR="009B0833">
        <w:t xml:space="preserve">Taiwanese </w:t>
      </w:r>
      <w:r w:rsidR="00234D2E" w:rsidRPr="0049552B">
        <w:t>hospitals</w:t>
      </w:r>
      <w:r w:rsidR="00966BD4">
        <w:t>.</w:t>
      </w:r>
      <w:r w:rsidR="00234D2E" w:rsidRPr="0049552B">
        <w:t xml:space="preserve"> </w:t>
      </w:r>
      <w:r w:rsidR="00966BD4">
        <w:t>T</w:t>
      </w:r>
      <w:r w:rsidR="009B0833" w:rsidRPr="0049552B">
        <w:t>h</w:t>
      </w:r>
      <w:r w:rsidR="009B0833">
        <w:t>erefore</w:t>
      </w:r>
      <w:r w:rsidR="00234D2E" w:rsidRPr="0049552B">
        <w:t xml:space="preserve">, </w:t>
      </w:r>
      <w:r w:rsidR="00966BD4">
        <w:t xml:space="preserve">our </w:t>
      </w:r>
      <w:r w:rsidR="009B0833">
        <w:t xml:space="preserve">findings </w:t>
      </w:r>
      <w:r w:rsidR="00234D2E" w:rsidRPr="0049552B">
        <w:t xml:space="preserve">can be generalized. </w:t>
      </w:r>
    </w:p>
    <w:p w14:paraId="38A4A13D" w14:textId="1E97A940" w:rsidR="00234D2E" w:rsidRPr="0049552B" w:rsidRDefault="009B0833" w:rsidP="004E4CE8">
      <w:pPr>
        <w:spacing w:line="480" w:lineRule="auto"/>
        <w:jc w:val="both"/>
      </w:pPr>
      <w:r>
        <w:t>Each</w:t>
      </w:r>
      <w:r w:rsidR="005D129C">
        <w:t xml:space="preserve"> p</w:t>
      </w:r>
      <w:r w:rsidR="00234D2E" w:rsidRPr="0049552B">
        <w:t>atient</w:t>
      </w:r>
      <w:r w:rsidR="00E06C0F">
        <w:rPr>
          <w:rFonts w:hint="eastAsia"/>
          <w:lang w:eastAsia="zh-TW"/>
        </w:rPr>
        <w:t xml:space="preserve"> </w:t>
      </w:r>
      <w:r w:rsidR="00234D2E" w:rsidRPr="0049552B">
        <w:t xml:space="preserve">in the </w:t>
      </w:r>
      <w:r w:rsidR="006015E0">
        <w:t>CDD</w:t>
      </w:r>
      <w:r w:rsidR="006015E0" w:rsidRPr="0049552B">
        <w:t xml:space="preserve"> </w:t>
      </w:r>
      <w:r w:rsidR="005D129C">
        <w:t>cohort</w:t>
      </w:r>
      <w:r w:rsidR="005D129C" w:rsidRPr="0049552B">
        <w:t xml:space="preserve"> </w:t>
      </w:r>
      <w:r w:rsidR="00966BD4" w:rsidRPr="0049552B">
        <w:t>w</w:t>
      </w:r>
      <w:r w:rsidR="00966BD4">
        <w:t>as</w:t>
      </w:r>
      <w:r w:rsidR="00966BD4" w:rsidRPr="0049552B">
        <w:t xml:space="preserve"> frequency</w:t>
      </w:r>
      <w:r w:rsidR="00234D2E" w:rsidRPr="0049552B">
        <w:t xml:space="preserve"> matched</w:t>
      </w:r>
      <w:r w:rsidR="0049552B" w:rsidRPr="0049552B">
        <w:t xml:space="preserve"> </w:t>
      </w:r>
      <w:r w:rsidR="00234D2E" w:rsidRPr="0049552B">
        <w:t>according to age, sex, and</w:t>
      </w:r>
      <w:r w:rsidR="0049552B" w:rsidRPr="0049552B">
        <w:t xml:space="preserve"> index year </w:t>
      </w:r>
      <w:proofErr w:type="gramStart"/>
      <w:r w:rsidR="0049552B" w:rsidRPr="0049552B">
        <w:t xml:space="preserve">with </w:t>
      </w:r>
      <w:r w:rsidR="00AD7EA1">
        <w:t xml:space="preserve"> a</w:t>
      </w:r>
      <w:proofErr w:type="gramEnd"/>
      <w:r w:rsidR="00AD7EA1">
        <w:t xml:space="preserve"> person</w:t>
      </w:r>
      <w:r w:rsidR="005D129C" w:rsidRPr="0049552B">
        <w:t xml:space="preserve"> </w:t>
      </w:r>
      <w:r w:rsidR="006015E0">
        <w:t>without CDD</w:t>
      </w:r>
      <w:r w:rsidR="005D129C">
        <w:t xml:space="preserve"> </w:t>
      </w:r>
      <w:r w:rsidR="0049552B" w:rsidRPr="0049552B">
        <w:t xml:space="preserve">from </w:t>
      </w:r>
      <w:r w:rsidR="00234D2E" w:rsidRPr="0049552B">
        <w:t>the general population.</w:t>
      </w:r>
    </w:p>
    <w:p w14:paraId="1ECA70D0" w14:textId="28766EA2" w:rsidR="00192095" w:rsidRDefault="00952322" w:rsidP="004E4CE8">
      <w:pPr>
        <w:spacing w:line="480" w:lineRule="auto"/>
        <w:jc w:val="both"/>
      </w:pPr>
      <w:r>
        <w:t>Prior s</w:t>
      </w:r>
      <w:r w:rsidR="0049552B" w:rsidRPr="0049552B">
        <w:t xml:space="preserve">tudies </w:t>
      </w:r>
      <w:r w:rsidR="005D129C">
        <w:t>have reported</w:t>
      </w:r>
      <w:r w:rsidR="005D129C" w:rsidRPr="0049552B">
        <w:t xml:space="preserve"> </w:t>
      </w:r>
      <w:r w:rsidR="00234D2E" w:rsidRPr="0049552B">
        <w:t>mixed results regarding</w:t>
      </w:r>
      <w:r w:rsidR="0049552B" w:rsidRPr="0049552B">
        <w:t xml:space="preserve"> the association between PD and </w:t>
      </w:r>
      <w:r w:rsidR="00234D2E" w:rsidRPr="0049552B">
        <w:t>comorbidities</w:t>
      </w:r>
      <w:r w:rsidR="00966BD4">
        <w:t xml:space="preserve"> [</w:t>
      </w:r>
      <w:r w:rsidR="00585783">
        <w:t>12</w:t>
      </w:r>
      <w:r w:rsidR="00966BD4">
        <w:t>]</w:t>
      </w:r>
      <w:r w:rsidR="0049552B">
        <w:t>.</w:t>
      </w:r>
      <w:r w:rsidR="00966BD4">
        <w:rPr>
          <w:vertAlign w:val="superscript"/>
        </w:rPr>
        <w:t xml:space="preserve"> </w:t>
      </w:r>
      <w:r w:rsidR="009F4ADF">
        <w:rPr>
          <w:rFonts w:hint="eastAsia"/>
        </w:rPr>
        <w:t>O</w:t>
      </w:r>
      <w:r w:rsidR="009F4ADF">
        <w:t xml:space="preserve">ur </w:t>
      </w:r>
      <w:r w:rsidR="009F4ADF">
        <w:rPr>
          <w:rFonts w:hint="eastAsia"/>
        </w:rPr>
        <w:t>data also</w:t>
      </w:r>
      <w:r w:rsidR="009F4ADF">
        <w:t xml:space="preserve"> </w:t>
      </w:r>
      <w:r w:rsidR="009F4ADF">
        <w:rPr>
          <w:rFonts w:hint="eastAsia"/>
        </w:rPr>
        <w:t>showed</w:t>
      </w:r>
      <w:r w:rsidR="009F4ADF">
        <w:t xml:space="preserve"> that </w:t>
      </w:r>
      <w:r w:rsidR="009F4ADF">
        <w:rPr>
          <w:lang w:eastAsia="zh-TW"/>
        </w:rPr>
        <w:t xml:space="preserve">the percentage of comorbidities, </w:t>
      </w:r>
      <w:r w:rsidR="009F4ADF">
        <w:rPr>
          <w:rFonts w:hint="eastAsia"/>
          <w:lang w:eastAsia="zh-TW"/>
        </w:rPr>
        <w:t xml:space="preserve">according to </w:t>
      </w:r>
      <w:r w:rsidR="009F4ADF">
        <w:rPr>
          <w:lang w:eastAsia="zh-TW"/>
        </w:rPr>
        <w:t>previous</w:t>
      </w:r>
      <w:r w:rsidR="009F4ADF">
        <w:rPr>
          <w:rFonts w:hint="eastAsia"/>
          <w:lang w:eastAsia="zh-TW"/>
        </w:rPr>
        <w:t xml:space="preserve"> PD studies, </w:t>
      </w:r>
      <w:r w:rsidR="009F4ADF">
        <w:rPr>
          <w:lang w:eastAsia="zh-TW"/>
        </w:rPr>
        <w:t xml:space="preserve">namely </w:t>
      </w:r>
      <w:r w:rsidR="009F4ADF">
        <w:t>DM, hyperlipidemia, hypertension, dementia, depression, anxiety, head injury, and stroke,</w:t>
      </w:r>
      <w:r w:rsidR="009F4ADF">
        <w:rPr>
          <w:lang w:eastAsia="zh-TW"/>
        </w:rPr>
        <w:t xml:space="preserve"> </w:t>
      </w:r>
      <w:r w:rsidR="009F4ADF">
        <w:rPr>
          <w:rFonts w:hint="eastAsia"/>
          <w:lang w:eastAsia="zh-TW"/>
        </w:rPr>
        <w:t>were</w:t>
      </w:r>
      <w:r w:rsidR="009F4ADF">
        <w:rPr>
          <w:lang w:eastAsia="zh-TW"/>
        </w:rPr>
        <w:t xml:space="preserve"> significantly higher in the </w:t>
      </w:r>
      <w:r w:rsidR="009F4ADF">
        <w:rPr>
          <w:rFonts w:hint="eastAsia"/>
          <w:lang w:eastAsia="zh-TW"/>
        </w:rPr>
        <w:t xml:space="preserve">CDD </w:t>
      </w:r>
      <w:r w:rsidR="009F4ADF">
        <w:t>cohort than in the comparison cohort</w:t>
      </w:r>
      <w:r w:rsidR="009F4ADF" w:rsidRPr="00F357D2">
        <w:t xml:space="preserve">. </w:t>
      </w:r>
      <w:r w:rsidR="009F4ADF">
        <w:rPr>
          <w:rFonts w:hint="eastAsia"/>
        </w:rPr>
        <w:t xml:space="preserve"> </w:t>
      </w:r>
      <w:r w:rsidR="009F4ADF">
        <w:t>T</w:t>
      </w:r>
      <w:r w:rsidR="009F4ADF">
        <w:rPr>
          <w:rFonts w:hint="eastAsia"/>
        </w:rPr>
        <w:t xml:space="preserve">herefore, we </w:t>
      </w:r>
      <w:r w:rsidR="009F4ADF">
        <w:t>adjust</w:t>
      </w:r>
      <w:r w:rsidR="009F4ADF">
        <w:rPr>
          <w:rFonts w:hint="eastAsia"/>
        </w:rPr>
        <w:t xml:space="preserve">ed the HR with these </w:t>
      </w:r>
      <w:r w:rsidR="009F4ADF">
        <w:t>comorbid</w:t>
      </w:r>
      <w:r w:rsidR="009F4ADF">
        <w:rPr>
          <w:rFonts w:hint="eastAsia"/>
        </w:rPr>
        <w:t xml:space="preserve">ities. </w:t>
      </w:r>
      <w:r w:rsidR="006C498C">
        <w:t>T</w:t>
      </w:r>
      <w:r w:rsidR="00BD46BD" w:rsidRPr="00F357D2">
        <w:t xml:space="preserve">he </w:t>
      </w:r>
      <w:r w:rsidR="00D039C2">
        <w:t xml:space="preserve">risk </w:t>
      </w:r>
      <w:r w:rsidR="006A77F8">
        <w:t xml:space="preserve">of </w:t>
      </w:r>
      <w:r w:rsidR="00BD46BD" w:rsidRPr="00F357D2">
        <w:t xml:space="preserve">PD in </w:t>
      </w:r>
      <w:r w:rsidR="006A77F8">
        <w:t xml:space="preserve">patients with </w:t>
      </w:r>
      <w:r w:rsidR="00BD46BD" w:rsidRPr="00F357D2">
        <w:t>C</w:t>
      </w:r>
      <w:r w:rsidR="006A77F8">
        <w:t>D</w:t>
      </w:r>
      <w:r w:rsidR="00BD46BD" w:rsidRPr="00F357D2">
        <w:t xml:space="preserve">D </w:t>
      </w:r>
      <w:r w:rsidR="006A77F8">
        <w:t>was</w:t>
      </w:r>
      <w:r w:rsidR="00BD46BD" w:rsidRPr="00F357D2">
        <w:t xml:space="preserve"> 2.0</w:t>
      </w:r>
      <w:r w:rsidR="004B1B9C">
        <w:t>0</w:t>
      </w:r>
      <w:r w:rsidR="00BD46BD" w:rsidRPr="00F357D2">
        <w:t xml:space="preserve"> per 1000 person-years.</w:t>
      </w:r>
    </w:p>
    <w:p w14:paraId="5AAECAAC" w14:textId="10D64593" w:rsidR="009450E7" w:rsidRDefault="00185EAC" w:rsidP="004E4CE8">
      <w:pPr>
        <w:spacing w:line="480" w:lineRule="auto"/>
        <w:jc w:val="both"/>
        <w:rPr>
          <w:rFonts w:hAnsi="Times New Roman" w:cs="Times New Roman"/>
          <w:vertAlign w:val="superscript"/>
        </w:rPr>
      </w:pPr>
      <w:r w:rsidRPr="00984B10">
        <w:rPr>
          <w:rFonts w:hAnsi="Times New Roman" w:cs="Times New Roman"/>
        </w:rPr>
        <w:t>In addition</w:t>
      </w:r>
      <w:r w:rsidR="000B2003" w:rsidRPr="00984B10">
        <w:rPr>
          <w:rFonts w:hAnsi="Times New Roman" w:cs="Times New Roman"/>
        </w:rPr>
        <w:t xml:space="preserve">, </w:t>
      </w:r>
      <w:r w:rsidRPr="00984B10">
        <w:rPr>
          <w:rFonts w:hAnsi="Times New Roman" w:cs="Times New Roman"/>
        </w:rPr>
        <w:t xml:space="preserve">compared with </w:t>
      </w:r>
      <w:r w:rsidR="00952322">
        <w:rPr>
          <w:rFonts w:hAnsi="Times New Roman" w:cs="Times New Roman"/>
        </w:rPr>
        <w:t xml:space="preserve">the </w:t>
      </w:r>
      <w:r w:rsidRPr="00984B10">
        <w:rPr>
          <w:rFonts w:hAnsi="Times New Roman" w:cs="Times New Roman"/>
        </w:rPr>
        <w:t xml:space="preserve">patients without CDD, </w:t>
      </w:r>
      <w:r w:rsidR="00952322">
        <w:rPr>
          <w:rFonts w:hAnsi="Times New Roman" w:cs="Times New Roman"/>
        </w:rPr>
        <w:t xml:space="preserve">the </w:t>
      </w:r>
      <w:r w:rsidR="00952322" w:rsidRPr="008D5737">
        <w:rPr>
          <w:rFonts w:hAnsi="Times New Roman" w:cs="Times New Roman"/>
        </w:rPr>
        <w:t>CDD</w:t>
      </w:r>
      <w:r w:rsidR="00952322" w:rsidRPr="003E0EEF" w:rsidDel="00185EAC">
        <w:rPr>
          <w:rFonts w:hAnsi="Times New Roman" w:cs="Times New Roman"/>
        </w:rPr>
        <w:t xml:space="preserve"> </w:t>
      </w:r>
      <w:r w:rsidR="000B2003" w:rsidRPr="00984B10">
        <w:rPr>
          <w:rFonts w:hAnsi="Times New Roman" w:cs="Times New Roman"/>
        </w:rPr>
        <w:t>patients</w:t>
      </w:r>
      <w:r w:rsidRPr="00984B10">
        <w:rPr>
          <w:rFonts w:hAnsi="Times New Roman" w:cs="Times New Roman"/>
        </w:rPr>
        <w:t xml:space="preserve"> aged </w:t>
      </w:r>
      <w:r w:rsidRPr="00D77BC7">
        <w:rPr>
          <w:rFonts w:hAnsi="Times New Roman" w:cs="Times New Roman"/>
        </w:rPr>
        <w:t xml:space="preserve">≥65 years </w:t>
      </w:r>
      <w:r w:rsidR="000B2003" w:rsidRPr="00984B10">
        <w:rPr>
          <w:rFonts w:hAnsi="Times New Roman" w:cs="Times New Roman"/>
        </w:rPr>
        <w:t xml:space="preserve">had </w:t>
      </w:r>
      <w:r w:rsidRPr="00984B10">
        <w:rPr>
          <w:rFonts w:hAnsi="Times New Roman" w:cs="Times New Roman"/>
        </w:rPr>
        <w:t xml:space="preserve">a </w:t>
      </w:r>
      <w:r w:rsidR="000B2003" w:rsidRPr="00984B10">
        <w:rPr>
          <w:rFonts w:hAnsi="Times New Roman" w:cs="Times New Roman"/>
        </w:rPr>
        <w:t>1.2</w:t>
      </w:r>
      <w:r w:rsidR="009450E7">
        <w:rPr>
          <w:rFonts w:hAnsi="Times New Roman" w:cs="Times New Roman"/>
        </w:rPr>
        <w:t>5</w:t>
      </w:r>
      <w:r w:rsidR="000B2003" w:rsidRPr="00984B10">
        <w:rPr>
          <w:rFonts w:hAnsi="Times New Roman" w:cs="Times New Roman"/>
        </w:rPr>
        <w:t xml:space="preserve">-fold increased risk of </w:t>
      </w:r>
      <w:r w:rsidRPr="00984B10">
        <w:rPr>
          <w:rFonts w:hAnsi="Times New Roman" w:cs="Times New Roman"/>
        </w:rPr>
        <w:t>PD</w:t>
      </w:r>
      <w:r w:rsidR="009F4ADF">
        <w:rPr>
          <w:rFonts w:hAnsi="Times New Roman" w:cs="Times New Roman"/>
        </w:rPr>
        <w:t>.</w:t>
      </w:r>
    </w:p>
    <w:p w14:paraId="57569242" w14:textId="2B48712A" w:rsidR="00E52E2F" w:rsidRDefault="00D77BC7" w:rsidP="004E4CE8">
      <w:pPr>
        <w:spacing w:line="480" w:lineRule="auto"/>
        <w:jc w:val="both"/>
        <w:rPr>
          <w:vertAlign w:val="superscript"/>
        </w:rPr>
      </w:pPr>
      <w:r>
        <w:rPr>
          <w:rFonts w:hAnsi="Times New Roman" w:cs="Times New Roman"/>
        </w:rPr>
        <w:t>Furthermore,</w:t>
      </w:r>
      <w:r w:rsidRPr="00984B10">
        <w:rPr>
          <w:rFonts w:hAnsi="Times New Roman" w:cs="Times New Roman"/>
        </w:rPr>
        <w:t xml:space="preserve"> </w:t>
      </w:r>
      <w:r w:rsidR="00EB6A74" w:rsidRPr="00984B10">
        <w:rPr>
          <w:rFonts w:hAnsi="Times New Roman" w:cs="Times New Roman"/>
        </w:rPr>
        <w:t xml:space="preserve">male patients with CDD had a </w:t>
      </w:r>
      <w:r w:rsidR="006C498C">
        <w:rPr>
          <w:rFonts w:hAnsi="Times New Roman" w:cs="Times New Roman"/>
        </w:rPr>
        <w:t>1.30-fold increased</w:t>
      </w:r>
      <w:r w:rsidR="00EB6A74" w:rsidRPr="00EB6A74">
        <w:t xml:space="preserve"> risk of PD</w:t>
      </w:r>
      <w:r w:rsidR="00EB6A74">
        <w:t xml:space="preserve">. </w:t>
      </w:r>
      <w:r>
        <w:t>This finding may be attribut</w:t>
      </w:r>
      <w:r w:rsidR="00952322">
        <w:t>able</w:t>
      </w:r>
      <w:r>
        <w:t xml:space="preserve"> to</w:t>
      </w:r>
      <w:r w:rsidR="00EB6A74">
        <w:t xml:space="preserve"> the neuroprotective effect of estrogens</w:t>
      </w:r>
      <w:r>
        <w:t>; however,</w:t>
      </w:r>
      <w:r w:rsidR="00EB6A74">
        <w:t xml:space="preserve"> their role remains controversial</w:t>
      </w:r>
      <w:r w:rsidR="00481EE8">
        <w:t xml:space="preserve"> </w:t>
      </w:r>
      <w:r w:rsidR="00EC67F1">
        <w:t>[1</w:t>
      </w:r>
      <w:r w:rsidR="00D062D5">
        <w:t>3</w:t>
      </w:r>
      <w:r w:rsidR="00481EE8">
        <w:t>]</w:t>
      </w:r>
      <w:r w:rsidR="00EB6A74">
        <w:t>.</w:t>
      </w:r>
    </w:p>
    <w:p w14:paraId="19D7C21C" w14:textId="1D47DF34" w:rsidR="009450E7" w:rsidRDefault="006C498C" w:rsidP="004E4CE8">
      <w:pPr>
        <w:spacing w:line="480" w:lineRule="auto"/>
        <w:jc w:val="both"/>
      </w:pPr>
      <w:r>
        <w:t>Interestingly</w:t>
      </w:r>
      <w:r w:rsidR="009450E7">
        <w:t xml:space="preserve">, the </w:t>
      </w:r>
      <w:r>
        <w:t>risk</w:t>
      </w:r>
      <w:r w:rsidR="009450E7">
        <w:t xml:space="preserve"> of PD was </w:t>
      </w:r>
      <w:r>
        <w:t>increased</w:t>
      </w:r>
      <w:r w:rsidR="009450E7">
        <w:t xml:space="preserve"> both in </w:t>
      </w:r>
      <w:r w:rsidR="009450E7" w:rsidRPr="00E52E2F">
        <w:t>patient</w:t>
      </w:r>
      <w:r w:rsidR="009450E7">
        <w:t>s</w:t>
      </w:r>
      <w:r w:rsidR="009450E7" w:rsidRPr="00E52E2F">
        <w:t xml:space="preserve"> with diverticulosis </w:t>
      </w:r>
      <w:r>
        <w:t xml:space="preserve">(1.20-fold) as well as </w:t>
      </w:r>
      <w:r w:rsidR="009450E7">
        <w:t xml:space="preserve">with </w:t>
      </w:r>
      <w:r w:rsidR="009450E7" w:rsidRPr="00E52E2F">
        <w:t>diverticulitis</w:t>
      </w:r>
      <w:r>
        <w:t xml:space="preserve"> (1.34-fold) compared to the comparison cohort</w:t>
      </w:r>
      <w:r w:rsidR="009450E7">
        <w:t xml:space="preserve">. </w:t>
      </w:r>
    </w:p>
    <w:p w14:paraId="1169ADF8" w14:textId="053E65DF" w:rsidR="009450E7" w:rsidRPr="00E741C7" w:rsidRDefault="009450E7" w:rsidP="004E4CE8">
      <w:pPr>
        <w:spacing w:line="480" w:lineRule="auto"/>
        <w:jc w:val="both"/>
      </w:pPr>
      <w:r>
        <w:t>Our findings confirm the critical involvement of colon disease in early-stage PD.</w:t>
      </w:r>
    </w:p>
    <w:p w14:paraId="5084818D" w14:textId="427FA09C" w:rsidR="00F96270" w:rsidRPr="00925561" w:rsidRDefault="00F96270" w:rsidP="00F96270">
      <w:pPr>
        <w:spacing w:line="480" w:lineRule="auto"/>
        <w:jc w:val="both"/>
        <w:rPr>
          <w:rFonts w:hAnsi="Times New Roman" w:cs="Times New Roman"/>
        </w:rPr>
      </w:pPr>
      <w:r>
        <w:lastRenderedPageBreak/>
        <w:t>The importance of non-motor features of PD has been increasingly recognized for several years</w:t>
      </w:r>
      <w:r w:rsidR="00EC67F1">
        <w:t xml:space="preserve"> [1</w:t>
      </w:r>
      <w:r w:rsidR="00D062D5">
        <w:t>4</w:t>
      </w:r>
      <w:r w:rsidR="009F454C">
        <w:t>]</w:t>
      </w:r>
      <w:r>
        <w:t>.</w:t>
      </w:r>
      <w:r w:rsidR="009F454C">
        <w:rPr>
          <w:vertAlign w:val="superscript"/>
        </w:rPr>
        <w:t xml:space="preserve"> </w:t>
      </w:r>
      <w:r>
        <w:rPr>
          <w:rFonts w:hAnsi="Times New Roman" w:cs="Times New Roman"/>
        </w:rPr>
        <w:t>Several of these symptoms are caused by damage of</w:t>
      </w:r>
      <w:r w:rsidR="00966BD4">
        <w:rPr>
          <w:rFonts w:hAnsi="Times New Roman" w:cs="Times New Roman"/>
        </w:rPr>
        <w:t xml:space="preserve"> </w:t>
      </w:r>
      <w:r w:rsidR="00925561">
        <w:rPr>
          <w:rFonts w:hAnsi="Times New Roman" w:cs="Times New Roman"/>
        </w:rPr>
        <w:t>p</w:t>
      </w:r>
      <w:r w:rsidR="00925561" w:rsidRPr="00F233A1">
        <w:rPr>
          <w:rFonts w:hAnsi="Times New Roman" w:cs="Times New Roman"/>
        </w:rPr>
        <w:t xml:space="preserve">eripheral autonomic ganglia </w:t>
      </w:r>
      <w:r w:rsidR="00925561">
        <w:rPr>
          <w:rFonts w:hAnsi="Times New Roman" w:cs="Times New Roman"/>
        </w:rPr>
        <w:t xml:space="preserve">due to </w:t>
      </w:r>
      <w:r>
        <w:rPr>
          <w:rFonts w:hAnsi="Times New Roman" w:cs="Times New Roman"/>
        </w:rPr>
        <w:t>α-</w:t>
      </w:r>
      <w:proofErr w:type="spellStart"/>
      <w:r>
        <w:rPr>
          <w:rFonts w:hAnsi="Times New Roman" w:cs="Times New Roman"/>
        </w:rPr>
        <w:t>Syn</w:t>
      </w:r>
      <w:proofErr w:type="spellEnd"/>
      <w:r>
        <w:rPr>
          <w:rFonts w:hAnsi="Times New Roman" w:cs="Times New Roman"/>
        </w:rPr>
        <w:t xml:space="preserve"> deposition in th</w:t>
      </w:r>
      <w:r w:rsidRPr="00F233A1">
        <w:rPr>
          <w:rFonts w:hAnsi="Times New Roman" w:cs="Times New Roman"/>
        </w:rPr>
        <w:t>e Stage 1</w:t>
      </w:r>
      <w:r>
        <w:rPr>
          <w:rFonts w:hAnsi="Times New Roman" w:cs="Times New Roman"/>
        </w:rPr>
        <w:t xml:space="preserve"> of </w:t>
      </w:r>
      <w:proofErr w:type="spellStart"/>
      <w:r>
        <w:rPr>
          <w:rFonts w:hAnsi="Times New Roman" w:cs="Times New Roman"/>
        </w:rPr>
        <w:t>Braak</w:t>
      </w:r>
      <w:proofErr w:type="spellEnd"/>
      <w:r>
        <w:rPr>
          <w:rFonts w:hAnsi="Times New Roman" w:cs="Times New Roman"/>
        </w:rPr>
        <w:t xml:space="preserve"> theory</w:t>
      </w:r>
      <w:r w:rsidR="00EC67F1">
        <w:rPr>
          <w:rFonts w:hAnsi="Times New Roman" w:cs="Times New Roman"/>
        </w:rPr>
        <w:t xml:space="preserve"> [</w:t>
      </w:r>
      <w:r w:rsidR="00585783">
        <w:rPr>
          <w:rFonts w:hAnsi="Times New Roman" w:cs="Times New Roman"/>
        </w:rPr>
        <w:t>9</w:t>
      </w:r>
      <w:r w:rsidR="00925561">
        <w:rPr>
          <w:rFonts w:hAnsi="Times New Roman" w:cs="Times New Roman"/>
        </w:rPr>
        <w:t>]</w:t>
      </w:r>
      <w:r w:rsidRPr="00F233A1">
        <w:rPr>
          <w:rFonts w:hAnsi="Times New Roman" w:cs="Times New Roman"/>
        </w:rPr>
        <w:t>.</w:t>
      </w:r>
      <w:r>
        <w:rPr>
          <w:rFonts w:hAnsi="Times New Roman" w:cs="Times New Roman"/>
        </w:rPr>
        <w:t xml:space="preserve"> </w:t>
      </w:r>
      <w:r w:rsidR="00925561">
        <w:rPr>
          <w:rFonts w:hAnsi="Times New Roman" w:cs="Times New Roman"/>
        </w:rPr>
        <w:t>Additionally, s</w:t>
      </w:r>
      <w:r>
        <w:rPr>
          <w:rFonts w:hAnsi="Times New Roman" w:cs="Times New Roman"/>
        </w:rPr>
        <w:t>ome studies explained the autonomic dysfunction also with a</w:t>
      </w:r>
      <w:r w:rsidR="00925561">
        <w:rPr>
          <w:rFonts w:hAnsi="Times New Roman" w:cs="Times New Roman"/>
        </w:rPr>
        <w:t xml:space="preserve"> </w:t>
      </w:r>
      <w:r w:rsidRPr="00F233A1">
        <w:rPr>
          <w:rFonts w:hAnsi="Times New Roman" w:cs="Times New Roman"/>
        </w:rPr>
        <w:t>peripheral postganglionic sympathetic denervation</w:t>
      </w:r>
      <w:r w:rsidR="00925561">
        <w:rPr>
          <w:rFonts w:hAnsi="Times New Roman" w:cs="Times New Roman"/>
        </w:rPr>
        <w:t xml:space="preserve"> [</w:t>
      </w:r>
      <w:r w:rsidR="000E2A28">
        <w:rPr>
          <w:rFonts w:hAnsi="Times New Roman" w:cs="Times New Roman"/>
        </w:rPr>
        <w:t>15</w:t>
      </w:r>
      <w:r w:rsidR="00D062D5">
        <w:rPr>
          <w:rFonts w:hAnsi="Times New Roman" w:cs="Times New Roman"/>
        </w:rPr>
        <w:t>, 16</w:t>
      </w:r>
      <w:r w:rsidR="00925561">
        <w:rPr>
          <w:rFonts w:hAnsi="Times New Roman" w:cs="Times New Roman"/>
        </w:rPr>
        <w:t>].</w:t>
      </w:r>
    </w:p>
    <w:p w14:paraId="6B3E4BF6" w14:textId="68878D04" w:rsidR="00F96270" w:rsidRPr="00A6523F" w:rsidRDefault="00F96270" w:rsidP="00F96270">
      <w:pPr>
        <w:spacing w:line="480" w:lineRule="auto"/>
        <w:jc w:val="both"/>
        <w:rPr>
          <w:rFonts w:hAnsi="Times New Roman" w:cs="Times New Roman"/>
          <w:vertAlign w:val="superscript"/>
        </w:rPr>
      </w:pPr>
      <w:r>
        <w:rPr>
          <w:rFonts w:hAnsi="Times New Roman" w:cs="Times New Roman"/>
        </w:rPr>
        <w:t xml:space="preserve">Interestingly, </w:t>
      </w:r>
      <w:r w:rsidR="00925561">
        <w:rPr>
          <w:rFonts w:hAnsi="Times New Roman" w:cs="Times New Roman"/>
        </w:rPr>
        <w:t xml:space="preserve">it has been showed that </w:t>
      </w:r>
      <w:r>
        <w:rPr>
          <w:rFonts w:hAnsi="Times New Roman" w:cs="Times New Roman"/>
        </w:rPr>
        <w:t xml:space="preserve">patients diagnosed with pure autonomic dysfunction developed PD nearly 15 years </w:t>
      </w:r>
      <w:r w:rsidR="00925561">
        <w:rPr>
          <w:rFonts w:hAnsi="Times New Roman" w:cs="Times New Roman"/>
        </w:rPr>
        <w:t>later the</w:t>
      </w:r>
      <w:r>
        <w:rPr>
          <w:rFonts w:hAnsi="Times New Roman" w:cs="Times New Roman"/>
        </w:rPr>
        <w:t xml:space="preserve"> first diagnose</w:t>
      </w:r>
      <w:r w:rsidR="00925561">
        <w:rPr>
          <w:rFonts w:hAnsi="Times New Roman" w:cs="Times New Roman"/>
        </w:rPr>
        <w:t xml:space="preserve"> [</w:t>
      </w:r>
      <w:r w:rsidR="000E2A28">
        <w:rPr>
          <w:rFonts w:hAnsi="Times New Roman" w:cs="Times New Roman"/>
        </w:rPr>
        <w:t>1</w:t>
      </w:r>
      <w:r w:rsidR="00D062D5">
        <w:rPr>
          <w:rFonts w:hAnsi="Times New Roman" w:cs="Times New Roman"/>
        </w:rPr>
        <w:t>7</w:t>
      </w:r>
      <w:r w:rsidR="00925561">
        <w:rPr>
          <w:rFonts w:hAnsi="Times New Roman" w:cs="Times New Roman"/>
        </w:rPr>
        <w:t>]</w:t>
      </w:r>
      <w:r>
        <w:rPr>
          <w:rFonts w:hAnsi="Times New Roman" w:cs="Times New Roman"/>
        </w:rPr>
        <w:t xml:space="preserve">. </w:t>
      </w:r>
    </w:p>
    <w:p w14:paraId="17CD98CF" w14:textId="35794AC0" w:rsidR="00792E9D" w:rsidRDefault="00925561" w:rsidP="00792E9D">
      <w:pPr>
        <w:spacing w:line="480" w:lineRule="auto"/>
        <w:jc w:val="both"/>
        <w:rPr>
          <w:vertAlign w:val="superscript"/>
        </w:rPr>
      </w:pPr>
      <w:r>
        <w:t>The role of abnormal intestinal motility, result of autonomic dysfunction, in the developing of diverticula is controversial</w:t>
      </w:r>
      <w:r w:rsidR="00F96270">
        <w:t>. It is well known that constipation leads to high intraluminal pressure and, consequentially, facilitates the development of diverticulosis</w:t>
      </w:r>
      <w:r>
        <w:t xml:space="preserve"> [</w:t>
      </w:r>
      <w:r w:rsidR="000E2A28">
        <w:t>1</w:t>
      </w:r>
      <w:r w:rsidR="00D062D5">
        <w:t>8</w:t>
      </w:r>
      <w:r>
        <w:t>]</w:t>
      </w:r>
      <w:r w:rsidR="00F96270">
        <w:t>.</w:t>
      </w:r>
      <w:r w:rsidRPr="00925561">
        <w:t xml:space="preserve"> However</w:t>
      </w:r>
      <w:r w:rsidR="00F96270">
        <w:t xml:space="preserve">, Peery et al. observed that increased bowel frequency, rather than the expected decrease, was noted </w:t>
      </w:r>
      <w:r>
        <w:t>in patients with diverticulosis [</w:t>
      </w:r>
      <w:r w:rsidR="000E2A28">
        <w:t>1</w:t>
      </w:r>
      <w:r w:rsidR="00D062D5">
        <w:t>9</w:t>
      </w:r>
      <w:r>
        <w:t>].</w:t>
      </w:r>
      <w:r w:rsidR="00F96270">
        <w:t xml:space="preserve"> </w:t>
      </w:r>
    </w:p>
    <w:p w14:paraId="61F466F4" w14:textId="12CD1D7E" w:rsidR="00620151" w:rsidRPr="00D328BF" w:rsidRDefault="00E15F20" w:rsidP="001D4967">
      <w:pPr>
        <w:spacing w:line="480" w:lineRule="auto"/>
        <w:jc w:val="both"/>
        <w:rPr>
          <w:vertAlign w:val="superscript"/>
        </w:rPr>
      </w:pPr>
      <w:r>
        <w:t xml:space="preserve">Sampson et al. </w:t>
      </w:r>
      <w:r w:rsidR="00792E9D">
        <w:t>showed that gut bacteria regulate movement disorders in mice and suggest that alterations in the human microbiome represent a risk factor for PD</w:t>
      </w:r>
      <w:r w:rsidR="00925561">
        <w:t xml:space="preserve"> [</w:t>
      </w:r>
      <w:r w:rsidR="000E2A28">
        <w:t>1</w:t>
      </w:r>
      <w:r w:rsidR="00585783">
        <w:t>1</w:t>
      </w:r>
      <w:r w:rsidR="00925561">
        <w:t>]</w:t>
      </w:r>
      <w:r w:rsidR="00792E9D">
        <w:t>.</w:t>
      </w:r>
      <w:r w:rsidR="001D4967">
        <w:rPr>
          <w:vertAlign w:val="superscript"/>
        </w:rPr>
        <w:t xml:space="preserve"> </w:t>
      </w:r>
      <w:r w:rsidR="001D4967">
        <w:t xml:space="preserve">It is found that the </w:t>
      </w:r>
      <w:r w:rsidR="009F4ADF">
        <w:t>different</w:t>
      </w:r>
      <w:r w:rsidR="001D4967">
        <w:t xml:space="preserve"> intestinal microbiome is involved in modulation of inflammatory and immunological processes in the regional microglia, which</w:t>
      </w:r>
      <w:r w:rsidR="00925561">
        <w:t xml:space="preserve"> are implicated in PD pathology [</w:t>
      </w:r>
      <w:r w:rsidR="00D062D5">
        <w:t>20</w:t>
      </w:r>
      <w:r w:rsidR="00925561">
        <w:t>].</w:t>
      </w:r>
      <w:r w:rsidR="009F4ADF">
        <w:t xml:space="preserve"> </w:t>
      </w:r>
      <w:r w:rsidR="009F4ADF">
        <w:rPr>
          <w:rFonts w:hint="eastAsia"/>
        </w:rPr>
        <w:t xml:space="preserve">The </w:t>
      </w:r>
      <w:r w:rsidR="009F4ADF">
        <w:t>development</w:t>
      </w:r>
      <w:r w:rsidR="009F4ADF">
        <w:rPr>
          <w:rFonts w:hint="eastAsia"/>
        </w:rPr>
        <w:t xml:space="preserve"> of CDD which leads to the change the colonic </w:t>
      </w:r>
      <w:r w:rsidR="009F4ADF">
        <w:t>flora may</w:t>
      </w:r>
      <w:r w:rsidR="009F4ADF">
        <w:rPr>
          <w:rFonts w:hint="eastAsia"/>
        </w:rPr>
        <w:t xml:space="preserve"> </w:t>
      </w:r>
      <w:r w:rsidR="009F4ADF">
        <w:t>involve</w:t>
      </w:r>
      <w:r w:rsidR="009F4ADF">
        <w:rPr>
          <w:rFonts w:hint="eastAsia"/>
        </w:rPr>
        <w:t xml:space="preserve"> in this </w:t>
      </w:r>
      <w:r w:rsidR="009F4ADF">
        <w:t>patholog</w:t>
      </w:r>
      <w:r w:rsidR="009F4ADF">
        <w:rPr>
          <w:rFonts w:hint="eastAsia"/>
        </w:rPr>
        <w:t>y.</w:t>
      </w:r>
    </w:p>
    <w:p w14:paraId="6F43D1A4" w14:textId="6B1605C5" w:rsidR="00E54A35" w:rsidRDefault="00A17830">
      <w:pPr>
        <w:spacing w:line="480" w:lineRule="auto"/>
        <w:jc w:val="both"/>
        <w:rPr>
          <w:lang w:eastAsia="zh-TW"/>
        </w:rPr>
      </w:pPr>
      <w:r>
        <w:rPr>
          <w:rFonts w:hint="eastAsia"/>
          <w:lang w:eastAsia="zh-TW"/>
        </w:rPr>
        <w:t>Given the above evidences</w:t>
      </w:r>
      <w:r w:rsidR="00E54A35">
        <w:t xml:space="preserve">, our results supported </w:t>
      </w:r>
      <w:r w:rsidR="00957D5A">
        <w:t xml:space="preserve">the hypothesis that the </w:t>
      </w:r>
      <w:r w:rsidR="00957D5A" w:rsidRPr="00957D5A">
        <w:t xml:space="preserve">altered colonic motility in PD </w:t>
      </w:r>
      <w:r w:rsidR="00957D5A">
        <w:t xml:space="preserve">patients </w:t>
      </w:r>
      <w:r w:rsidR="00957D5A" w:rsidRPr="00957D5A">
        <w:t>and inc</w:t>
      </w:r>
      <w:r w:rsidR="00957D5A">
        <w:t>reased intraluminal pressure has an important role on</w:t>
      </w:r>
      <w:r w:rsidR="00957D5A" w:rsidRPr="00957D5A">
        <w:t xml:space="preserve"> the form</w:t>
      </w:r>
      <w:r w:rsidR="00957D5A">
        <w:t>ation of diverticula. I</w:t>
      </w:r>
      <w:r w:rsidR="00E54A35">
        <w:t>n this regard</w:t>
      </w:r>
      <w:r w:rsidR="00957D5A">
        <w:t xml:space="preserve">, </w:t>
      </w:r>
      <w:r>
        <w:rPr>
          <w:rFonts w:hint="eastAsia"/>
          <w:lang w:eastAsia="zh-TW"/>
        </w:rPr>
        <w:t xml:space="preserve">there is </w:t>
      </w:r>
      <w:r w:rsidR="00E54A35">
        <w:rPr>
          <w:lang w:eastAsia="zh-TW"/>
        </w:rPr>
        <w:t xml:space="preserve">the </w:t>
      </w:r>
      <w:r>
        <w:rPr>
          <w:rFonts w:hint="eastAsia"/>
          <w:lang w:eastAsia="zh-TW"/>
        </w:rPr>
        <w:t xml:space="preserve">possibility that </w:t>
      </w:r>
      <w:r w:rsidR="006C498C">
        <w:t>CDD</w:t>
      </w:r>
      <w:r w:rsidR="006C498C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is</w:t>
      </w:r>
      <w:r w:rsidR="00957D5A" w:rsidRPr="00957D5A">
        <w:t xml:space="preserve"> a representation of prodromal constipation related to PD.</w:t>
      </w:r>
      <w:r>
        <w:rPr>
          <w:rFonts w:hint="eastAsia"/>
          <w:lang w:eastAsia="zh-TW"/>
        </w:rPr>
        <w:t xml:space="preserve"> </w:t>
      </w:r>
    </w:p>
    <w:p w14:paraId="3582F63E" w14:textId="1906E28B" w:rsidR="00D809CA" w:rsidRPr="00E54A35" w:rsidRDefault="00A17830">
      <w:pPr>
        <w:spacing w:line="480" w:lineRule="auto"/>
        <w:jc w:val="both"/>
        <w:rPr>
          <w:lang w:eastAsia="zh-TW"/>
        </w:rPr>
      </w:pPr>
      <w:r>
        <w:rPr>
          <w:rFonts w:hint="eastAsia"/>
          <w:lang w:eastAsia="zh-TW"/>
        </w:rPr>
        <w:t xml:space="preserve">To avoid this bias, we included the constipation as a </w:t>
      </w:r>
      <w:r>
        <w:rPr>
          <w:lang w:eastAsia="zh-TW"/>
        </w:rPr>
        <w:t>comorbidity</w:t>
      </w:r>
      <w:r>
        <w:rPr>
          <w:rFonts w:hint="eastAsia"/>
          <w:lang w:eastAsia="zh-TW"/>
        </w:rPr>
        <w:t xml:space="preserve"> and </w:t>
      </w:r>
      <w:r w:rsidR="006E6CD9">
        <w:rPr>
          <w:lang w:eastAsia="zh-TW"/>
        </w:rPr>
        <w:t>observed</w:t>
      </w:r>
      <w:r w:rsidRPr="00A17830">
        <w:rPr>
          <w:lang w:eastAsia="zh-TW"/>
        </w:rPr>
        <w:t xml:space="preserve"> that the risk of PD was still significantly higher for the CDD patient than for the age-m</w:t>
      </w:r>
      <w:r w:rsidR="00AC5EBB">
        <w:rPr>
          <w:lang w:eastAsia="zh-TW"/>
        </w:rPr>
        <w:t>atched comparisons (adjusted HR=1.25, 95% CI=</w:t>
      </w:r>
      <w:r w:rsidRPr="00A17830">
        <w:rPr>
          <w:lang w:eastAsia="zh-TW"/>
        </w:rPr>
        <w:t xml:space="preserve">1.11-1.41) even with the </w:t>
      </w:r>
      <w:r w:rsidRPr="00A17830">
        <w:rPr>
          <w:lang w:eastAsia="zh-TW"/>
        </w:rPr>
        <w:lastRenderedPageBreak/>
        <w:t>confounding factor of constipation.</w:t>
      </w:r>
    </w:p>
    <w:p w14:paraId="57284450" w14:textId="40ABDA0A" w:rsidR="00620151" w:rsidRDefault="00290F3E" w:rsidP="004E4CE8">
      <w:pPr>
        <w:spacing w:line="480" w:lineRule="auto"/>
        <w:jc w:val="both"/>
      </w:pPr>
      <w:r>
        <w:t xml:space="preserve">We recognized </w:t>
      </w:r>
      <w:r w:rsidR="009F4ADF">
        <w:t xml:space="preserve">the </w:t>
      </w:r>
      <w:r>
        <w:t xml:space="preserve">strengths as well as </w:t>
      </w:r>
      <w:r w:rsidR="009F4ADF">
        <w:t xml:space="preserve">some </w:t>
      </w:r>
      <w:r>
        <w:t xml:space="preserve">limitations of our study. </w:t>
      </w:r>
    </w:p>
    <w:p w14:paraId="18140E37" w14:textId="2A67008B" w:rsidR="00481EE8" w:rsidRDefault="00290F3E" w:rsidP="004E4CE8">
      <w:pPr>
        <w:spacing w:line="480" w:lineRule="auto"/>
        <w:jc w:val="both"/>
      </w:pPr>
      <w:r w:rsidRPr="00290F3E">
        <w:t xml:space="preserve">The strengths of our study </w:t>
      </w:r>
      <w:r>
        <w:t>were</w:t>
      </w:r>
      <w:r w:rsidRPr="00290F3E">
        <w:t xml:space="preserve"> its population-based design, generalizability of findings, and use of population-based data and NHIRD records using a large sample size and having low loss to follow-up in the longitudinal design, including study and control cohorts. In addition, NHIRD </w:t>
      </w:r>
      <w:r w:rsidRPr="006E6CD9">
        <w:rPr>
          <w:rFonts w:hAnsi="Times New Roman" w:cs="Times New Roman"/>
        </w:rPr>
        <w:t>covers a highly representative sample of Taiwan’s</w:t>
      </w:r>
      <w:r w:rsidR="006E6CD9" w:rsidRPr="006E6CD9">
        <w:rPr>
          <w:rFonts w:hAnsi="Times New Roman" w:cs="Times New Roman"/>
        </w:rPr>
        <w:t xml:space="preserve"> general population because the </w:t>
      </w:r>
      <w:r w:rsidRPr="006E6CD9">
        <w:rPr>
          <w:rFonts w:hAnsi="Times New Roman" w:cs="Times New Roman"/>
        </w:rPr>
        <w:t>reimbursement policy is universal and operated by a single-buyer, the government in</w:t>
      </w:r>
      <w:r w:rsidRPr="00290F3E">
        <w:t xml:space="preserve"> Taiwan. </w:t>
      </w:r>
    </w:p>
    <w:p w14:paraId="136B5DE9" w14:textId="126F814F" w:rsidR="00F42E6E" w:rsidRDefault="00481EE8" w:rsidP="004E4CE8">
      <w:pPr>
        <w:spacing w:line="480" w:lineRule="auto"/>
        <w:jc w:val="both"/>
      </w:pPr>
      <w:r>
        <w:t>W</w:t>
      </w:r>
      <w:r w:rsidR="00290F3E" w:rsidRPr="00290F3E">
        <w:t xml:space="preserve">e </w:t>
      </w:r>
      <w:r w:rsidR="009F4ADF">
        <w:t xml:space="preserve">admit </w:t>
      </w:r>
      <w:r w:rsidR="006C498C">
        <w:t xml:space="preserve">some limitations. </w:t>
      </w:r>
      <w:r w:rsidR="006C498C" w:rsidRPr="006C498C">
        <w:t>Especially, the absence of information about life style of participants. Consequentially, there is a lack of record about the presence of risk factors for CDD including body mass index, smoking and alcohol status, intake of opioids or non-steroidal anti-inflammatory drugs. Notable, it was not possible to review the individual chart of participants due to government</w:t>
      </w:r>
      <w:r w:rsidR="006C498C" w:rsidRPr="006C498C">
        <w:t>’</w:t>
      </w:r>
      <w:r w:rsidR="006C498C" w:rsidRPr="006C498C">
        <w:t>s rules</w:t>
      </w:r>
      <w:r>
        <w:t xml:space="preserve">. </w:t>
      </w:r>
    </w:p>
    <w:p w14:paraId="205352A5" w14:textId="18FE682C" w:rsidR="00481EE8" w:rsidRPr="00481EE8" w:rsidRDefault="00481EE8" w:rsidP="004E4CE8">
      <w:pPr>
        <w:spacing w:line="480" w:lineRule="auto"/>
        <w:jc w:val="both"/>
      </w:pPr>
      <w:r>
        <w:t xml:space="preserve">We aimed to </w:t>
      </w:r>
      <w:r w:rsidR="00AB351C">
        <w:t xml:space="preserve">investigate the effect of </w:t>
      </w:r>
      <w:r w:rsidR="00AB351C" w:rsidRPr="00AC5EBB">
        <w:t>constipation</w:t>
      </w:r>
      <w:r w:rsidR="00AB351C">
        <w:t>. However,</w:t>
      </w:r>
      <w:r w:rsidR="00AB351C" w:rsidRPr="00AC5EBB">
        <w:t xml:space="preserve"> due to the insurance system only severe constipation who need</w:t>
      </w:r>
      <w:r w:rsidR="00AB351C">
        <w:t>ed</w:t>
      </w:r>
      <w:r w:rsidR="00AB351C" w:rsidRPr="00AC5EBB">
        <w:t xml:space="preserve"> treatme</w:t>
      </w:r>
      <w:r w:rsidR="00AB351C">
        <w:t>nt have been included. We recognize that this is</w:t>
      </w:r>
      <w:r w:rsidR="00AB351C" w:rsidRPr="00AC5EBB">
        <w:t xml:space="preserve"> </w:t>
      </w:r>
      <w:r w:rsidR="00AB351C">
        <w:t xml:space="preserve">a potential weakness </w:t>
      </w:r>
      <w:r w:rsidR="00AB351C" w:rsidRPr="00AC5EBB">
        <w:t xml:space="preserve">of </w:t>
      </w:r>
      <w:r w:rsidR="00AB351C">
        <w:t>our study</w:t>
      </w:r>
      <w:r w:rsidR="00AB351C" w:rsidRPr="00AC5EBB">
        <w:t>, but</w:t>
      </w:r>
      <w:r w:rsidR="00AB351C">
        <w:t xml:space="preserve"> it is</w:t>
      </w:r>
      <w:r w:rsidR="00AB351C" w:rsidRPr="00AC5EBB">
        <w:t xml:space="preserve"> </w:t>
      </w:r>
      <w:r w:rsidR="00AB351C">
        <w:t xml:space="preserve">also the strength. Indeed, </w:t>
      </w:r>
      <w:r w:rsidR="00AB351C" w:rsidRPr="00AC5EBB">
        <w:t xml:space="preserve">minor symptom of constipation </w:t>
      </w:r>
      <w:r w:rsidR="00AB351C">
        <w:t>may be</w:t>
      </w:r>
      <w:r w:rsidR="00AB351C" w:rsidRPr="00AC5EBB">
        <w:t xml:space="preserve"> over looked. </w:t>
      </w:r>
    </w:p>
    <w:p w14:paraId="5C694B82" w14:textId="083EF136" w:rsidR="00611A58" w:rsidRDefault="00611A58" w:rsidP="004E4CE8">
      <w:pPr>
        <w:spacing w:line="480" w:lineRule="auto"/>
        <w:jc w:val="both"/>
        <w:rPr>
          <w:rFonts w:hAnsi="Times New Roman" w:cs="Times New Roman"/>
        </w:rPr>
      </w:pPr>
      <w:r>
        <w:t>In summary,</w:t>
      </w:r>
      <w:r w:rsidR="00DA2A91">
        <w:t xml:space="preserve"> </w:t>
      </w:r>
      <w:r>
        <w:t>o</w:t>
      </w:r>
      <w:r w:rsidR="002C568E">
        <w:t>ur study suggested that</w:t>
      </w:r>
      <w:r w:rsidR="00DA2A91">
        <w:t xml:space="preserve"> CDD may be considered as another predict</w:t>
      </w:r>
      <w:r w:rsidR="00AD6379">
        <w:t>ive risk factor</w:t>
      </w:r>
      <w:r w:rsidR="00DA2A91">
        <w:t xml:space="preserve"> </w:t>
      </w:r>
      <w:r w:rsidR="00AD6379">
        <w:t>for</w:t>
      </w:r>
      <w:r w:rsidR="00DA2A91">
        <w:t xml:space="preserve"> PD.</w:t>
      </w:r>
      <w:r w:rsidR="002C568E">
        <w:t xml:space="preserve"> However, </w:t>
      </w:r>
      <w:r>
        <w:rPr>
          <w:rFonts w:hAnsi="Times New Roman" w:cs="Times New Roman"/>
        </w:rPr>
        <w:t>future study would be crucial to investigate other physio-pathological factors (genetic and environmental) that may explain the association of these two diseases.</w:t>
      </w:r>
    </w:p>
    <w:p w14:paraId="1C169A81" w14:textId="77777777" w:rsidR="00764419" w:rsidRDefault="002C568E" w:rsidP="006E6CD9">
      <w:pPr>
        <w:spacing w:line="480" w:lineRule="auto"/>
        <w:jc w:val="both"/>
      </w:pPr>
      <w:r>
        <w:t xml:space="preserve"> </w:t>
      </w:r>
    </w:p>
    <w:p w14:paraId="70C3B109" w14:textId="2A3214A4" w:rsidR="00A45E98" w:rsidRPr="00764419" w:rsidRDefault="00426527" w:rsidP="006E6CD9">
      <w:pPr>
        <w:spacing w:line="480" w:lineRule="auto"/>
        <w:jc w:val="both"/>
      </w:pPr>
      <w:r w:rsidRPr="00426527">
        <w:rPr>
          <w:b/>
        </w:rPr>
        <w:t>REFERENCES</w:t>
      </w:r>
    </w:p>
    <w:p w14:paraId="39F0ED58" w14:textId="77777777" w:rsidR="000E2A28" w:rsidRPr="000E2A28" w:rsidRDefault="000E2A28" w:rsidP="000E2A2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</w:p>
    <w:p w14:paraId="16133B66" w14:textId="39B20208" w:rsidR="00585783" w:rsidRPr="000E2A28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[1]</w:t>
      </w:r>
      <w:r>
        <w:rPr>
          <w:rFonts w:hAnsi="Times New Roman" w:cs="Times New Roman"/>
        </w:rPr>
        <w:tab/>
      </w:r>
      <w:r w:rsidRPr="000E2A28">
        <w:rPr>
          <w:rFonts w:hAnsi="Times New Roman" w:cs="Times New Roman"/>
        </w:rPr>
        <w:t>Pfeiffer RF. Gastrointestinal dysfunction in Par</w:t>
      </w:r>
      <w:r w:rsidR="006D04EE">
        <w:rPr>
          <w:rFonts w:hAnsi="Times New Roman" w:cs="Times New Roman"/>
        </w:rPr>
        <w:t xml:space="preserve">kinson’s disease. Lancet Neurol. </w:t>
      </w:r>
      <w:r w:rsidRPr="000E2A28">
        <w:rPr>
          <w:rFonts w:hAnsi="Times New Roman" w:cs="Times New Roman"/>
        </w:rPr>
        <w:t>2</w:t>
      </w:r>
      <w:r w:rsidR="006D04EE">
        <w:rPr>
          <w:rFonts w:hAnsi="Times New Roman" w:cs="Times New Roman"/>
        </w:rPr>
        <w:t xml:space="preserve"> (</w:t>
      </w:r>
      <w:r w:rsidR="006D04EE" w:rsidRPr="000E2A28">
        <w:rPr>
          <w:rFonts w:hAnsi="Times New Roman" w:cs="Times New Roman"/>
        </w:rPr>
        <w:t>2003</w:t>
      </w:r>
      <w:r w:rsidR="006D04EE">
        <w:rPr>
          <w:rFonts w:hAnsi="Times New Roman" w:cs="Times New Roman"/>
        </w:rPr>
        <w:t xml:space="preserve">) </w:t>
      </w:r>
      <w:r w:rsidRPr="000E2A28">
        <w:rPr>
          <w:rFonts w:hAnsi="Times New Roman" w:cs="Times New Roman"/>
        </w:rPr>
        <w:t>107–116.</w:t>
      </w:r>
    </w:p>
    <w:p w14:paraId="7ADA695B" w14:textId="25A2B130" w:rsidR="00585783" w:rsidRPr="000E2A28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[2] </w:t>
      </w:r>
      <w:r w:rsidRPr="000E2A28">
        <w:rPr>
          <w:rFonts w:hAnsi="Times New Roman" w:cs="Times New Roman"/>
        </w:rPr>
        <w:t xml:space="preserve">Fasano A, </w:t>
      </w:r>
      <w:proofErr w:type="spellStart"/>
      <w:r w:rsidRPr="000E2A28">
        <w:rPr>
          <w:rFonts w:hAnsi="Times New Roman" w:cs="Times New Roman"/>
        </w:rPr>
        <w:t>Visanji</w:t>
      </w:r>
      <w:proofErr w:type="spellEnd"/>
      <w:r w:rsidRPr="000E2A28">
        <w:rPr>
          <w:rFonts w:hAnsi="Times New Roman" w:cs="Times New Roman"/>
        </w:rPr>
        <w:t xml:space="preserve"> NP, Liu LW, Lang AE, Pfeiffer RF. Gastrointestinal dysfunction in Parkinson's disease. Lancet Neurol. </w:t>
      </w:r>
      <w:r w:rsidR="006D04EE">
        <w:rPr>
          <w:rFonts w:hAnsi="Times New Roman" w:cs="Times New Roman"/>
        </w:rPr>
        <w:t xml:space="preserve">14 (2015) </w:t>
      </w:r>
      <w:r w:rsidRPr="000E2A28">
        <w:rPr>
          <w:rFonts w:hAnsi="Times New Roman" w:cs="Times New Roman"/>
        </w:rPr>
        <w:t>625-639.</w:t>
      </w:r>
    </w:p>
    <w:p w14:paraId="2808B5D5" w14:textId="7D47F887" w:rsidR="00585783" w:rsidRPr="000E2A28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[3] </w:t>
      </w:r>
      <w:r w:rsidRPr="000E2A28">
        <w:rPr>
          <w:rFonts w:hAnsi="Times New Roman" w:cs="Times New Roman"/>
        </w:rPr>
        <w:t xml:space="preserve">Nussbaum RL, </w:t>
      </w:r>
      <w:proofErr w:type="spellStart"/>
      <w:r w:rsidRPr="000E2A28">
        <w:rPr>
          <w:rFonts w:hAnsi="Times New Roman" w:cs="Times New Roman"/>
        </w:rPr>
        <w:t>Polymeropoulos</w:t>
      </w:r>
      <w:proofErr w:type="spellEnd"/>
      <w:r w:rsidRPr="000E2A28">
        <w:rPr>
          <w:rFonts w:hAnsi="Times New Roman" w:cs="Times New Roman"/>
        </w:rPr>
        <w:t xml:space="preserve"> MH. Genetics of Parkinson'</w:t>
      </w:r>
      <w:r w:rsidR="006D04EE">
        <w:rPr>
          <w:rFonts w:hAnsi="Times New Roman" w:cs="Times New Roman"/>
        </w:rPr>
        <w:t xml:space="preserve">s disease. Hum </w:t>
      </w:r>
      <w:proofErr w:type="spellStart"/>
      <w:r w:rsidR="006D04EE">
        <w:rPr>
          <w:rFonts w:hAnsi="Times New Roman" w:cs="Times New Roman"/>
        </w:rPr>
        <w:t>Mol</w:t>
      </w:r>
      <w:proofErr w:type="spellEnd"/>
      <w:r w:rsidR="006D04EE">
        <w:rPr>
          <w:rFonts w:hAnsi="Times New Roman" w:cs="Times New Roman"/>
        </w:rPr>
        <w:t xml:space="preserve"> Genet. 6 (1997) </w:t>
      </w:r>
      <w:r w:rsidRPr="000E2A28">
        <w:rPr>
          <w:rFonts w:hAnsi="Times New Roman" w:cs="Times New Roman"/>
        </w:rPr>
        <w:t>1687-1691.</w:t>
      </w:r>
    </w:p>
    <w:p w14:paraId="713463E6" w14:textId="7928CE05" w:rsidR="00585783" w:rsidRPr="000E2A28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[4]</w:t>
      </w:r>
      <w:r>
        <w:rPr>
          <w:rFonts w:hAnsi="Times New Roman" w:cs="Times New Roman"/>
        </w:rPr>
        <w:tab/>
      </w:r>
      <w:proofErr w:type="spellStart"/>
      <w:r w:rsidRPr="000E2A28">
        <w:rPr>
          <w:rFonts w:hAnsi="Times New Roman" w:cs="Times New Roman"/>
        </w:rPr>
        <w:t>Dehay</w:t>
      </w:r>
      <w:proofErr w:type="spellEnd"/>
      <w:r w:rsidRPr="000E2A28">
        <w:rPr>
          <w:rFonts w:hAnsi="Times New Roman" w:cs="Times New Roman"/>
        </w:rPr>
        <w:t xml:space="preserve"> B, Vila M, </w:t>
      </w:r>
      <w:proofErr w:type="spellStart"/>
      <w:r w:rsidRPr="000E2A28">
        <w:rPr>
          <w:rFonts w:hAnsi="Times New Roman" w:cs="Times New Roman"/>
        </w:rPr>
        <w:t>Bezard</w:t>
      </w:r>
      <w:proofErr w:type="spellEnd"/>
      <w:r w:rsidRPr="000E2A28">
        <w:rPr>
          <w:rFonts w:hAnsi="Times New Roman" w:cs="Times New Roman"/>
        </w:rPr>
        <w:t xml:space="preserve"> E, </w:t>
      </w:r>
      <w:proofErr w:type="spellStart"/>
      <w:r w:rsidRPr="000E2A28">
        <w:rPr>
          <w:rFonts w:hAnsi="Times New Roman" w:cs="Times New Roman"/>
        </w:rPr>
        <w:t>Brundin</w:t>
      </w:r>
      <w:proofErr w:type="spellEnd"/>
      <w:r w:rsidRPr="000E2A28">
        <w:rPr>
          <w:rFonts w:hAnsi="Times New Roman" w:cs="Times New Roman"/>
        </w:rPr>
        <w:t xml:space="preserve"> P, </w:t>
      </w:r>
      <w:proofErr w:type="spellStart"/>
      <w:r w:rsidRPr="000E2A28">
        <w:rPr>
          <w:rFonts w:hAnsi="Times New Roman" w:cs="Times New Roman"/>
        </w:rPr>
        <w:t>Kordower</w:t>
      </w:r>
      <w:proofErr w:type="spellEnd"/>
      <w:r w:rsidRPr="000E2A28">
        <w:rPr>
          <w:rFonts w:hAnsi="Times New Roman" w:cs="Times New Roman"/>
        </w:rPr>
        <w:t xml:space="preserve"> JH. Alpha-</w:t>
      </w:r>
      <w:proofErr w:type="spellStart"/>
      <w:r w:rsidRPr="000E2A28">
        <w:rPr>
          <w:rFonts w:hAnsi="Times New Roman" w:cs="Times New Roman"/>
        </w:rPr>
        <w:t>synuclein</w:t>
      </w:r>
      <w:proofErr w:type="spellEnd"/>
      <w:r w:rsidRPr="000E2A28">
        <w:rPr>
          <w:rFonts w:hAnsi="Times New Roman" w:cs="Times New Roman"/>
        </w:rPr>
        <w:t xml:space="preserve"> propagation: New insights from animal models. </w:t>
      </w:r>
      <w:proofErr w:type="spellStart"/>
      <w:r w:rsidRPr="000E2A28">
        <w:rPr>
          <w:rFonts w:hAnsi="Times New Roman" w:cs="Times New Roman"/>
        </w:rPr>
        <w:t>Mov</w:t>
      </w:r>
      <w:proofErr w:type="spellEnd"/>
      <w:r w:rsidRPr="000E2A28">
        <w:rPr>
          <w:rFonts w:hAnsi="Times New Roman" w:cs="Times New Roman"/>
        </w:rPr>
        <w:t xml:space="preserve"> </w:t>
      </w:r>
      <w:proofErr w:type="spellStart"/>
      <w:r w:rsidRPr="000E2A28">
        <w:rPr>
          <w:rFonts w:hAnsi="Times New Roman" w:cs="Times New Roman"/>
        </w:rPr>
        <w:t>Disord</w:t>
      </w:r>
      <w:proofErr w:type="spellEnd"/>
      <w:r w:rsidRPr="000E2A28">
        <w:rPr>
          <w:rFonts w:hAnsi="Times New Roman" w:cs="Times New Roman"/>
        </w:rPr>
        <w:t xml:space="preserve"> </w:t>
      </w:r>
      <w:r w:rsidR="006D04EE">
        <w:rPr>
          <w:rFonts w:hAnsi="Times New Roman" w:cs="Times New Roman"/>
        </w:rPr>
        <w:t xml:space="preserve">31 (2016) </w:t>
      </w:r>
      <w:r w:rsidRPr="000E2A28">
        <w:rPr>
          <w:rFonts w:hAnsi="Times New Roman" w:cs="Times New Roman"/>
        </w:rPr>
        <w:t xml:space="preserve">161-168. </w:t>
      </w:r>
    </w:p>
    <w:p w14:paraId="01E95F40" w14:textId="6CA9170B" w:rsidR="00585783" w:rsidRPr="00A50FDE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  <w:lang w:val="it-IT"/>
        </w:rPr>
      </w:pPr>
      <w:r>
        <w:rPr>
          <w:rFonts w:hAnsi="Times New Roman" w:cs="Times New Roman"/>
        </w:rPr>
        <w:t>[5]</w:t>
      </w:r>
      <w:r>
        <w:rPr>
          <w:rFonts w:hAnsi="Times New Roman" w:cs="Times New Roman"/>
        </w:rPr>
        <w:tab/>
      </w:r>
      <w:r w:rsidR="006D04EE">
        <w:rPr>
          <w:rFonts w:hAnsi="Times New Roman" w:cs="Times New Roman"/>
        </w:rPr>
        <w:t>Shannon KM</w:t>
      </w:r>
      <w:r w:rsidR="006D04EE" w:rsidRPr="006D04EE">
        <w:rPr>
          <w:rFonts w:hAnsi="Times New Roman" w:cs="Times New Roman"/>
        </w:rPr>
        <w:t xml:space="preserve">, </w:t>
      </w:r>
      <w:proofErr w:type="spellStart"/>
      <w:r w:rsidR="006D04EE" w:rsidRPr="006D04EE">
        <w:rPr>
          <w:rFonts w:hAnsi="Times New Roman" w:cs="Times New Roman"/>
        </w:rPr>
        <w:t>Keshavarzian</w:t>
      </w:r>
      <w:proofErr w:type="spellEnd"/>
      <w:r w:rsidR="006D04EE" w:rsidRPr="006D04EE">
        <w:rPr>
          <w:rFonts w:hAnsi="Times New Roman" w:cs="Times New Roman"/>
        </w:rPr>
        <w:t xml:space="preserve"> A, </w:t>
      </w:r>
      <w:proofErr w:type="spellStart"/>
      <w:r w:rsidR="006D04EE" w:rsidRPr="006D04EE">
        <w:rPr>
          <w:rFonts w:hAnsi="Times New Roman" w:cs="Times New Roman"/>
        </w:rPr>
        <w:t>Mutlu</w:t>
      </w:r>
      <w:proofErr w:type="spellEnd"/>
      <w:r w:rsidR="006D04EE" w:rsidRPr="006D04EE">
        <w:rPr>
          <w:rFonts w:hAnsi="Times New Roman" w:cs="Times New Roman"/>
        </w:rPr>
        <w:t xml:space="preserve"> E, </w:t>
      </w:r>
      <w:proofErr w:type="spellStart"/>
      <w:r w:rsidR="006D04EE" w:rsidRPr="006D04EE">
        <w:rPr>
          <w:rFonts w:hAnsi="Times New Roman" w:cs="Times New Roman"/>
        </w:rPr>
        <w:t>Dodiya</w:t>
      </w:r>
      <w:proofErr w:type="spellEnd"/>
      <w:r w:rsidR="006D04EE" w:rsidRPr="006D04EE">
        <w:rPr>
          <w:rFonts w:hAnsi="Times New Roman" w:cs="Times New Roman"/>
        </w:rPr>
        <w:t xml:space="preserve"> HB, </w:t>
      </w:r>
      <w:proofErr w:type="spellStart"/>
      <w:r w:rsidR="006D04EE" w:rsidRPr="006D04EE">
        <w:rPr>
          <w:rFonts w:hAnsi="Times New Roman" w:cs="Times New Roman"/>
        </w:rPr>
        <w:t>Daian</w:t>
      </w:r>
      <w:proofErr w:type="spellEnd"/>
      <w:r w:rsidR="006D04EE" w:rsidRPr="006D04EE">
        <w:rPr>
          <w:rFonts w:hAnsi="Times New Roman" w:cs="Times New Roman"/>
        </w:rPr>
        <w:t xml:space="preserve"> D, </w:t>
      </w:r>
      <w:proofErr w:type="spellStart"/>
      <w:r w:rsidR="006D04EE" w:rsidRPr="006D04EE">
        <w:rPr>
          <w:rFonts w:hAnsi="Times New Roman" w:cs="Times New Roman"/>
        </w:rPr>
        <w:t>Jaglin</w:t>
      </w:r>
      <w:proofErr w:type="spellEnd"/>
      <w:r w:rsidR="006D04EE" w:rsidRPr="006D04EE">
        <w:rPr>
          <w:rFonts w:hAnsi="Times New Roman" w:cs="Times New Roman"/>
        </w:rPr>
        <w:t xml:space="preserve"> JA, </w:t>
      </w:r>
      <w:proofErr w:type="spellStart"/>
      <w:r w:rsidR="006D04EE" w:rsidRPr="006D04EE">
        <w:rPr>
          <w:rFonts w:hAnsi="Times New Roman" w:cs="Times New Roman"/>
        </w:rPr>
        <w:t>Kordower</w:t>
      </w:r>
      <w:proofErr w:type="spellEnd"/>
      <w:r w:rsidR="006D04EE" w:rsidRPr="006D04EE">
        <w:rPr>
          <w:rFonts w:hAnsi="Times New Roman" w:cs="Times New Roman"/>
        </w:rPr>
        <w:t xml:space="preserve"> JH.</w:t>
      </w:r>
      <w:r w:rsidR="006D04EE">
        <w:rPr>
          <w:rFonts w:hAnsi="Times New Roman" w:cs="Times New Roman"/>
        </w:rPr>
        <w:t xml:space="preserve"> </w:t>
      </w:r>
      <w:r w:rsidRPr="000E2A28">
        <w:rPr>
          <w:rFonts w:hAnsi="Times New Roman" w:cs="Times New Roman"/>
        </w:rPr>
        <w:t>Alpha-</w:t>
      </w:r>
      <w:proofErr w:type="spellStart"/>
      <w:r w:rsidRPr="000E2A28">
        <w:rPr>
          <w:rFonts w:hAnsi="Times New Roman" w:cs="Times New Roman"/>
        </w:rPr>
        <w:t>synuclein</w:t>
      </w:r>
      <w:proofErr w:type="spellEnd"/>
      <w:r w:rsidRPr="000E2A28">
        <w:rPr>
          <w:rFonts w:hAnsi="Times New Roman" w:cs="Times New Roman"/>
        </w:rPr>
        <w:t xml:space="preserve"> in colonic submucosa in early untreated Parkinson's disease. </w:t>
      </w:r>
      <w:r w:rsidRPr="00A50FDE">
        <w:rPr>
          <w:rFonts w:hAnsi="Times New Roman" w:cs="Times New Roman"/>
          <w:lang w:val="it-IT"/>
        </w:rPr>
        <w:t xml:space="preserve">Mov Disord. </w:t>
      </w:r>
      <w:r w:rsidR="006D04EE" w:rsidRPr="00A50FDE">
        <w:rPr>
          <w:rFonts w:hAnsi="Times New Roman" w:cs="Times New Roman"/>
          <w:lang w:val="it-IT"/>
        </w:rPr>
        <w:t xml:space="preserve">27 (2012) </w:t>
      </w:r>
      <w:r w:rsidRPr="00A50FDE">
        <w:rPr>
          <w:rFonts w:hAnsi="Times New Roman" w:cs="Times New Roman"/>
          <w:lang w:val="it-IT"/>
        </w:rPr>
        <w:t xml:space="preserve">709-715. </w:t>
      </w:r>
    </w:p>
    <w:p w14:paraId="70F7D4EB" w14:textId="585143AA" w:rsidR="00585783" w:rsidRPr="000E2A28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 w:rsidRPr="00A50FDE">
        <w:rPr>
          <w:rFonts w:hAnsi="Times New Roman" w:cs="Times New Roman"/>
          <w:lang w:val="it-IT"/>
        </w:rPr>
        <w:t>[6]</w:t>
      </w:r>
      <w:r w:rsidRPr="00A50FDE">
        <w:rPr>
          <w:rFonts w:hAnsi="Times New Roman" w:cs="Times New Roman"/>
          <w:lang w:val="it-IT"/>
        </w:rPr>
        <w:tab/>
        <w:t xml:space="preserve">Strate LL, Modi R, Cohen E, Spiegel BM. </w:t>
      </w:r>
      <w:r w:rsidRPr="000E2A28">
        <w:rPr>
          <w:rFonts w:hAnsi="Times New Roman" w:cs="Times New Roman"/>
        </w:rPr>
        <w:t xml:space="preserve">Diverticular disease as a chronic illness: evolving epidemiologic and clinical insights. Am J </w:t>
      </w:r>
      <w:proofErr w:type="spellStart"/>
      <w:r w:rsidRPr="000E2A28">
        <w:rPr>
          <w:rFonts w:hAnsi="Times New Roman" w:cs="Times New Roman"/>
        </w:rPr>
        <w:t>Gastroenterol</w:t>
      </w:r>
      <w:proofErr w:type="spellEnd"/>
      <w:r w:rsidRPr="000E2A28">
        <w:rPr>
          <w:rFonts w:hAnsi="Times New Roman" w:cs="Times New Roman"/>
        </w:rPr>
        <w:t xml:space="preserve">. </w:t>
      </w:r>
      <w:r w:rsidR="006D04EE">
        <w:rPr>
          <w:rFonts w:hAnsi="Times New Roman" w:cs="Times New Roman"/>
        </w:rPr>
        <w:t xml:space="preserve">107 (2012) </w:t>
      </w:r>
      <w:r w:rsidRPr="000E2A28">
        <w:rPr>
          <w:rFonts w:hAnsi="Times New Roman" w:cs="Times New Roman"/>
        </w:rPr>
        <w:t xml:space="preserve">1486–1493. </w:t>
      </w:r>
    </w:p>
    <w:p w14:paraId="6EB01DD4" w14:textId="761809D7" w:rsidR="00585783" w:rsidRPr="000E2A28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[7]</w:t>
      </w:r>
      <w:r>
        <w:rPr>
          <w:rFonts w:hAnsi="Times New Roman" w:cs="Times New Roman"/>
        </w:rPr>
        <w:tab/>
      </w:r>
      <w:proofErr w:type="spellStart"/>
      <w:r w:rsidRPr="000E2A28">
        <w:rPr>
          <w:rFonts w:hAnsi="Times New Roman" w:cs="Times New Roman"/>
        </w:rPr>
        <w:t>Elisei</w:t>
      </w:r>
      <w:proofErr w:type="spellEnd"/>
      <w:r w:rsidRPr="000E2A28">
        <w:rPr>
          <w:rFonts w:hAnsi="Times New Roman" w:cs="Times New Roman"/>
        </w:rPr>
        <w:t xml:space="preserve"> W, </w:t>
      </w:r>
      <w:proofErr w:type="spellStart"/>
      <w:r w:rsidRPr="000E2A28">
        <w:rPr>
          <w:rFonts w:hAnsi="Times New Roman" w:cs="Times New Roman"/>
        </w:rPr>
        <w:t>Tursi</w:t>
      </w:r>
      <w:proofErr w:type="spellEnd"/>
      <w:r w:rsidRPr="000E2A28">
        <w:rPr>
          <w:rFonts w:hAnsi="Times New Roman" w:cs="Times New Roman"/>
        </w:rPr>
        <w:t xml:space="preserve"> A. Recent advances in the treatment of colonic diverticular disease and prevention of acute diverticulitis. Ann </w:t>
      </w:r>
      <w:proofErr w:type="spellStart"/>
      <w:r w:rsidRPr="000E2A28">
        <w:rPr>
          <w:rFonts w:hAnsi="Times New Roman" w:cs="Times New Roman"/>
        </w:rPr>
        <w:t>Gastroenterol</w:t>
      </w:r>
      <w:proofErr w:type="spellEnd"/>
      <w:r w:rsidRPr="000E2A28">
        <w:rPr>
          <w:rFonts w:hAnsi="Times New Roman" w:cs="Times New Roman"/>
        </w:rPr>
        <w:t xml:space="preserve">. </w:t>
      </w:r>
      <w:r w:rsidR="006D04EE">
        <w:rPr>
          <w:rFonts w:hAnsi="Times New Roman" w:cs="Times New Roman"/>
        </w:rPr>
        <w:t xml:space="preserve">29 (2016) </w:t>
      </w:r>
      <w:r w:rsidRPr="000E2A28">
        <w:rPr>
          <w:rFonts w:hAnsi="Times New Roman" w:cs="Times New Roman"/>
        </w:rPr>
        <w:t>24</w:t>
      </w:r>
    </w:p>
    <w:p w14:paraId="7575327E" w14:textId="52DC9E02" w:rsidR="00585783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[8]</w:t>
      </w:r>
      <w:r>
        <w:rPr>
          <w:rFonts w:hAnsi="Times New Roman" w:cs="Times New Roman"/>
        </w:rPr>
        <w:tab/>
      </w:r>
      <w:proofErr w:type="spellStart"/>
      <w:r w:rsidRPr="000E2A28">
        <w:rPr>
          <w:rFonts w:hAnsi="Times New Roman" w:cs="Times New Roman"/>
        </w:rPr>
        <w:t>Verbaan</w:t>
      </w:r>
      <w:proofErr w:type="spellEnd"/>
      <w:r w:rsidRPr="000E2A28">
        <w:rPr>
          <w:rFonts w:hAnsi="Times New Roman" w:cs="Times New Roman"/>
        </w:rPr>
        <w:t xml:space="preserve"> D, Marinus J, </w:t>
      </w:r>
      <w:proofErr w:type="spellStart"/>
      <w:r w:rsidRPr="000E2A28">
        <w:rPr>
          <w:rFonts w:hAnsi="Times New Roman" w:cs="Times New Roman"/>
        </w:rPr>
        <w:t>Visser</w:t>
      </w:r>
      <w:proofErr w:type="spellEnd"/>
      <w:r w:rsidRPr="000E2A28">
        <w:rPr>
          <w:rFonts w:hAnsi="Times New Roman" w:cs="Times New Roman"/>
        </w:rPr>
        <w:t xml:space="preserve"> M, van </w:t>
      </w:r>
      <w:proofErr w:type="spellStart"/>
      <w:r w:rsidRPr="000E2A28">
        <w:rPr>
          <w:rFonts w:hAnsi="Times New Roman" w:cs="Times New Roman"/>
        </w:rPr>
        <w:t>Rooden</w:t>
      </w:r>
      <w:proofErr w:type="spellEnd"/>
      <w:r w:rsidRPr="000E2A28">
        <w:rPr>
          <w:rFonts w:hAnsi="Times New Roman" w:cs="Times New Roman"/>
        </w:rPr>
        <w:t xml:space="preserve"> SM, </w:t>
      </w:r>
      <w:proofErr w:type="spellStart"/>
      <w:r w:rsidRPr="000E2A28">
        <w:rPr>
          <w:rFonts w:hAnsi="Times New Roman" w:cs="Times New Roman"/>
        </w:rPr>
        <w:t>Stiggelbout</w:t>
      </w:r>
      <w:proofErr w:type="spellEnd"/>
      <w:r w:rsidRPr="000E2A28">
        <w:rPr>
          <w:rFonts w:hAnsi="Times New Roman" w:cs="Times New Roman"/>
        </w:rPr>
        <w:t xml:space="preserve"> AM, van </w:t>
      </w:r>
      <w:proofErr w:type="spellStart"/>
      <w:r w:rsidRPr="000E2A28">
        <w:rPr>
          <w:rFonts w:hAnsi="Times New Roman" w:cs="Times New Roman"/>
        </w:rPr>
        <w:t>Hilten</w:t>
      </w:r>
      <w:proofErr w:type="spellEnd"/>
      <w:r w:rsidRPr="000E2A28">
        <w:rPr>
          <w:rFonts w:hAnsi="Times New Roman" w:cs="Times New Roman"/>
        </w:rPr>
        <w:t xml:space="preserve"> JJ. Patient-reported autonomic symptoms </w:t>
      </w:r>
      <w:r w:rsidR="006D04EE">
        <w:rPr>
          <w:rFonts w:hAnsi="Times New Roman" w:cs="Times New Roman"/>
        </w:rPr>
        <w:t xml:space="preserve">in Parkinson disease. Neurology. 69 (2007) </w:t>
      </w:r>
      <w:r w:rsidRPr="000E2A28">
        <w:rPr>
          <w:rFonts w:hAnsi="Times New Roman" w:cs="Times New Roman"/>
        </w:rPr>
        <w:t>333–</w:t>
      </w:r>
      <w:r w:rsidR="006D04EE">
        <w:rPr>
          <w:rFonts w:hAnsi="Times New Roman" w:cs="Times New Roman"/>
        </w:rPr>
        <w:t>3</w:t>
      </w:r>
      <w:r w:rsidRPr="000E2A28">
        <w:rPr>
          <w:rFonts w:hAnsi="Times New Roman" w:cs="Times New Roman"/>
        </w:rPr>
        <w:t>41.</w:t>
      </w:r>
    </w:p>
    <w:p w14:paraId="2C1EFBF1" w14:textId="65A98D77" w:rsidR="00585783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[9] </w:t>
      </w:r>
      <w:proofErr w:type="spellStart"/>
      <w:r w:rsidRPr="000E2A28">
        <w:rPr>
          <w:rFonts w:hAnsi="Times New Roman" w:cs="Times New Roman"/>
        </w:rPr>
        <w:t>Braak</w:t>
      </w:r>
      <w:proofErr w:type="spellEnd"/>
      <w:r w:rsidRPr="000E2A28">
        <w:rPr>
          <w:rFonts w:hAnsi="Times New Roman" w:cs="Times New Roman"/>
        </w:rPr>
        <w:t xml:space="preserve"> H, de Vos RA, </w:t>
      </w:r>
      <w:proofErr w:type="spellStart"/>
      <w:r w:rsidRPr="000E2A28">
        <w:rPr>
          <w:rFonts w:hAnsi="Times New Roman" w:cs="Times New Roman"/>
        </w:rPr>
        <w:t>Bohl</w:t>
      </w:r>
      <w:proofErr w:type="spellEnd"/>
      <w:r w:rsidRPr="000E2A28">
        <w:rPr>
          <w:rFonts w:hAnsi="Times New Roman" w:cs="Times New Roman"/>
        </w:rPr>
        <w:t xml:space="preserve"> J, Del </w:t>
      </w:r>
      <w:proofErr w:type="spellStart"/>
      <w:r w:rsidRPr="000E2A28">
        <w:rPr>
          <w:rFonts w:hAnsi="Times New Roman" w:cs="Times New Roman"/>
        </w:rPr>
        <w:t>Tredici</w:t>
      </w:r>
      <w:proofErr w:type="spellEnd"/>
      <w:r w:rsidRPr="000E2A28">
        <w:rPr>
          <w:rFonts w:hAnsi="Times New Roman" w:cs="Times New Roman"/>
        </w:rPr>
        <w:t xml:space="preserve"> K. Gastric alpha-</w:t>
      </w:r>
      <w:proofErr w:type="spellStart"/>
      <w:r w:rsidRPr="000E2A28">
        <w:rPr>
          <w:rFonts w:hAnsi="Times New Roman" w:cs="Times New Roman"/>
        </w:rPr>
        <w:t>synuclein</w:t>
      </w:r>
      <w:proofErr w:type="spellEnd"/>
      <w:r w:rsidRPr="000E2A28">
        <w:rPr>
          <w:rFonts w:hAnsi="Times New Roman" w:cs="Times New Roman"/>
        </w:rPr>
        <w:t xml:space="preserve"> </w:t>
      </w:r>
      <w:proofErr w:type="spellStart"/>
      <w:r w:rsidRPr="000E2A28">
        <w:rPr>
          <w:rFonts w:hAnsi="Times New Roman" w:cs="Times New Roman"/>
        </w:rPr>
        <w:t>immunoreactive</w:t>
      </w:r>
      <w:proofErr w:type="spellEnd"/>
      <w:r w:rsidRPr="000E2A28">
        <w:rPr>
          <w:rFonts w:hAnsi="Times New Roman" w:cs="Times New Roman"/>
        </w:rPr>
        <w:t xml:space="preserve"> inclusions in Meissner’s and Auerbach’s plexuses in cases staged for Parkinson’s disease-related brain path</w:t>
      </w:r>
      <w:r w:rsidR="006D04EE">
        <w:rPr>
          <w:rFonts w:hAnsi="Times New Roman" w:cs="Times New Roman"/>
        </w:rPr>
        <w:t xml:space="preserve">ology. </w:t>
      </w:r>
      <w:proofErr w:type="spellStart"/>
      <w:r w:rsidR="006D04EE">
        <w:rPr>
          <w:rFonts w:hAnsi="Times New Roman" w:cs="Times New Roman"/>
        </w:rPr>
        <w:t>Neurosci</w:t>
      </w:r>
      <w:proofErr w:type="spellEnd"/>
      <w:r w:rsidR="006D04EE">
        <w:rPr>
          <w:rFonts w:hAnsi="Times New Roman" w:cs="Times New Roman"/>
        </w:rPr>
        <w:t xml:space="preserve"> Lett. 396 (2006) </w:t>
      </w:r>
      <w:r w:rsidRPr="000E2A28">
        <w:rPr>
          <w:rFonts w:hAnsi="Times New Roman" w:cs="Times New Roman"/>
        </w:rPr>
        <w:t>67–72</w:t>
      </w:r>
    </w:p>
    <w:p w14:paraId="3BB4233E" w14:textId="427A92A9" w:rsidR="00585783" w:rsidRPr="00265107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[10]</w:t>
      </w:r>
      <w:r>
        <w:rPr>
          <w:rFonts w:hAnsi="Times New Roman" w:cs="Times New Roman"/>
        </w:rPr>
        <w:tab/>
      </w:r>
      <w:proofErr w:type="spellStart"/>
      <w:r w:rsidRPr="000E2A28">
        <w:rPr>
          <w:rFonts w:hAnsi="Times New Roman" w:cs="Times New Roman"/>
        </w:rPr>
        <w:t>Derkinderen</w:t>
      </w:r>
      <w:proofErr w:type="spellEnd"/>
      <w:r w:rsidRPr="000E2A28">
        <w:rPr>
          <w:rFonts w:hAnsi="Times New Roman" w:cs="Times New Roman"/>
        </w:rPr>
        <w:t xml:space="preserve"> P, </w:t>
      </w:r>
      <w:proofErr w:type="spellStart"/>
      <w:r w:rsidRPr="000E2A28">
        <w:rPr>
          <w:rFonts w:hAnsi="Times New Roman" w:cs="Times New Roman"/>
        </w:rPr>
        <w:t>Rouaud</w:t>
      </w:r>
      <w:proofErr w:type="spellEnd"/>
      <w:r w:rsidRPr="000E2A28">
        <w:rPr>
          <w:rFonts w:hAnsi="Times New Roman" w:cs="Times New Roman"/>
        </w:rPr>
        <w:t xml:space="preserve"> T, </w:t>
      </w:r>
      <w:proofErr w:type="spellStart"/>
      <w:r w:rsidRPr="000E2A28">
        <w:rPr>
          <w:rFonts w:hAnsi="Times New Roman" w:cs="Times New Roman"/>
        </w:rPr>
        <w:t>Lebouvier</w:t>
      </w:r>
      <w:proofErr w:type="spellEnd"/>
      <w:r w:rsidRPr="000E2A28">
        <w:rPr>
          <w:rFonts w:hAnsi="Times New Roman" w:cs="Times New Roman"/>
        </w:rPr>
        <w:t xml:space="preserve"> T, </w:t>
      </w:r>
      <w:proofErr w:type="spellStart"/>
      <w:r w:rsidRPr="000E2A28">
        <w:rPr>
          <w:rFonts w:hAnsi="Times New Roman" w:cs="Times New Roman"/>
        </w:rPr>
        <w:t>Bruley</w:t>
      </w:r>
      <w:proofErr w:type="spellEnd"/>
      <w:r w:rsidRPr="000E2A28">
        <w:rPr>
          <w:rFonts w:hAnsi="Times New Roman" w:cs="Times New Roman"/>
        </w:rPr>
        <w:t xml:space="preserve"> des </w:t>
      </w:r>
      <w:proofErr w:type="spellStart"/>
      <w:r w:rsidRPr="000E2A28">
        <w:rPr>
          <w:rFonts w:hAnsi="Times New Roman" w:cs="Times New Roman"/>
        </w:rPr>
        <w:t>Varannes</w:t>
      </w:r>
      <w:proofErr w:type="spellEnd"/>
      <w:r w:rsidRPr="000E2A28">
        <w:rPr>
          <w:rFonts w:hAnsi="Times New Roman" w:cs="Times New Roman"/>
        </w:rPr>
        <w:t xml:space="preserve"> S, </w:t>
      </w:r>
      <w:proofErr w:type="spellStart"/>
      <w:r w:rsidRPr="000E2A28">
        <w:rPr>
          <w:rFonts w:hAnsi="Times New Roman" w:cs="Times New Roman"/>
        </w:rPr>
        <w:t>Neunlist</w:t>
      </w:r>
      <w:proofErr w:type="spellEnd"/>
      <w:r w:rsidRPr="000E2A28">
        <w:rPr>
          <w:rFonts w:hAnsi="Times New Roman" w:cs="Times New Roman"/>
        </w:rPr>
        <w:t xml:space="preserve"> M,</w:t>
      </w:r>
      <w:r w:rsidR="006D04EE">
        <w:rPr>
          <w:rFonts w:hAnsi="Times New Roman" w:cs="Times New Roman"/>
        </w:rPr>
        <w:t xml:space="preserve"> </w:t>
      </w:r>
      <w:r w:rsidRPr="000E2A28">
        <w:rPr>
          <w:rFonts w:hAnsi="Times New Roman" w:cs="Times New Roman"/>
        </w:rPr>
        <w:t>De Giorgio R. Parkinson disease: The enteric nervous system spills its guts.</w:t>
      </w:r>
      <w:r>
        <w:rPr>
          <w:rFonts w:hAnsi="Times New Roman" w:cs="Times New Roman"/>
        </w:rPr>
        <w:t xml:space="preserve"> </w:t>
      </w:r>
      <w:r w:rsidR="006D04EE">
        <w:rPr>
          <w:rFonts w:hAnsi="Times New Roman" w:cs="Times New Roman"/>
        </w:rPr>
        <w:t xml:space="preserve">Neurology. 77 (2011) </w:t>
      </w:r>
      <w:r w:rsidRPr="000E2A28">
        <w:rPr>
          <w:rFonts w:hAnsi="Times New Roman" w:cs="Times New Roman"/>
        </w:rPr>
        <w:t>1761–</w:t>
      </w:r>
      <w:r w:rsidR="006D04EE">
        <w:rPr>
          <w:rFonts w:hAnsi="Times New Roman" w:cs="Times New Roman"/>
        </w:rPr>
        <w:t>176</w:t>
      </w:r>
      <w:r w:rsidRPr="000E2A28">
        <w:rPr>
          <w:rFonts w:hAnsi="Times New Roman" w:cs="Times New Roman"/>
        </w:rPr>
        <w:t>7.</w:t>
      </w:r>
    </w:p>
    <w:p w14:paraId="15B74687" w14:textId="77777777" w:rsidR="006D04EE" w:rsidRDefault="00585783" w:rsidP="006D04E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[11] </w:t>
      </w:r>
      <w:r w:rsidR="006D04EE">
        <w:rPr>
          <w:rFonts w:hAnsi="Times New Roman" w:cs="Times New Roman"/>
        </w:rPr>
        <w:t>Sampson TR</w:t>
      </w:r>
      <w:r w:rsidR="006D04EE" w:rsidRPr="006D04EE">
        <w:rPr>
          <w:rFonts w:hAnsi="Times New Roman" w:cs="Times New Roman"/>
        </w:rPr>
        <w:t xml:space="preserve">, </w:t>
      </w:r>
      <w:proofErr w:type="spellStart"/>
      <w:r w:rsidR="006D04EE" w:rsidRPr="006D04EE">
        <w:rPr>
          <w:rFonts w:hAnsi="Times New Roman" w:cs="Times New Roman"/>
        </w:rPr>
        <w:t>Debelius</w:t>
      </w:r>
      <w:proofErr w:type="spellEnd"/>
      <w:r w:rsidR="006D04EE" w:rsidRPr="006D04EE">
        <w:rPr>
          <w:rFonts w:hAnsi="Times New Roman" w:cs="Times New Roman"/>
        </w:rPr>
        <w:t xml:space="preserve"> JW, </w:t>
      </w:r>
      <w:proofErr w:type="spellStart"/>
      <w:r w:rsidR="006D04EE" w:rsidRPr="006D04EE">
        <w:rPr>
          <w:rFonts w:hAnsi="Times New Roman" w:cs="Times New Roman"/>
        </w:rPr>
        <w:t>Thron</w:t>
      </w:r>
      <w:proofErr w:type="spellEnd"/>
      <w:r w:rsidR="006D04EE" w:rsidRPr="006D04EE">
        <w:rPr>
          <w:rFonts w:hAnsi="Times New Roman" w:cs="Times New Roman"/>
        </w:rPr>
        <w:t xml:space="preserve"> T, Janssen S, </w:t>
      </w:r>
      <w:proofErr w:type="spellStart"/>
      <w:r w:rsidR="006D04EE" w:rsidRPr="006D04EE">
        <w:rPr>
          <w:rFonts w:hAnsi="Times New Roman" w:cs="Times New Roman"/>
        </w:rPr>
        <w:t>Shastri</w:t>
      </w:r>
      <w:proofErr w:type="spellEnd"/>
      <w:r w:rsidR="006D04EE" w:rsidRPr="006D04EE">
        <w:rPr>
          <w:rFonts w:hAnsi="Times New Roman" w:cs="Times New Roman"/>
        </w:rPr>
        <w:t xml:space="preserve"> GG, </w:t>
      </w:r>
      <w:proofErr w:type="spellStart"/>
      <w:r w:rsidR="006D04EE" w:rsidRPr="006D04EE">
        <w:rPr>
          <w:rFonts w:hAnsi="Times New Roman" w:cs="Times New Roman"/>
        </w:rPr>
        <w:t>Ilhan</w:t>
      </w:r>
      <w:proofErr w:type="spellEnd"/>
      <w:r w:rsidR="006D04EE" w:rsidRPr="006D04EE">
        <w:rPr>
          <w:rFonts w:hAnsi="Times New Roman" w:cs="Times New Roman"/>
        </w:rPr>
        <w:t xml:space="preserve"> ZE, Challis C, </w:t>
      </w:r>
      <w:proofErr w:type="spellStart"/>
      <w:r w:rsidR="006D04EE" w:rsidRPr="006D04EE">
        <w:rPr>
          <w:rFonts w:hAnsi="Times New Roman" w:cs="Times New Roman"/>
        </w:rPr>
        <w:t>Schretter</w:t>
      </w:r>
      <w:proofErr w:type="spellEnd"/>
      <w:r w:rsidR="006D04EE" w:rsidRPr="006D04EE">
        <w:rPr>
          <w:rFonts w:hAnsi="Times New Roman" w:cs="Times New Roman"/>
        </w:rPr>
        <w:t xml:space="preserve"> CE</w:t>
      </w:r>
      <w:r w:rsidR="006D04EE">
        <w:rPr>
          <w:rFonts w:hAnsi="Times New Roman" w:cs="Times New Roman"/>
        </w:rPr>
        <w:t xml:space="preserve">, Rocha S, </w:t>
      </w:r>
      <w:proofErr w:type="spellStart"/>
      <w:r w:rsidR="006D04EE">
        <w:rPr>
          <w:rFonts w:hAnsi="Times New Roman" w:cs="Times New Roman"/>
        </w:rPr>
        <w:t>Gradinaru</w:t>
      </w:r>
      <w:proofErr w:type="spellEnd"/>
      <w:r w:rsidR="006D04EE">
        <w:rPr>
          <w:rFonts w:hAnsi="Times New Roman" w:cs="Times New Roman"/>
        </w:rPr>
        <w:t xml:space="preserve"> V, </w:t>
      </w:r>
      <w:proofErr w:type="spellStart"/>
      <w:r w:rsidR="006D04EE">
        <w:rPr>
          <w:rFonts w:hAnsi="Times New Roman" w:cs="Times New Roman"/>
        </w:rPr>
        <w:t>Chesselet</w:t>
      </w:r>
      <w:proofErr w:type="spellEnd"/>
      <w:r w:rsidR="006D04EE">
        <w:rPr>
          <w:rFonts w:hAnsi="Times New Roman" w:cs="Times New Roman"/>
        </w:rPr>
        <w:t xml:space="preserve"> MF, </w:t>
      </w:r>
      <w:proofErr w:type="spellStart"/>
      <w:r w:rsidR="006D04EE">
        <w:rPr>
          <w:rFonts w:hAnsi="Times New Roman" w:cs="Times New Roman"/>
        </w:rPr>
        <w:t>Keshavarzian</w:t>
      </w:r>
      <w:proofErr w:type="spellEnd"/>
      <w:r w:rsidR="006D04EE">
        <w:rPr>
          <w:rFonts w:hAnsi="Times New Roman" w:cs="Times New Roman"/>
        </w:rPr>
        <w:t xml:space="preserve"> A, Shannon KM, </w:t>
      </w:r>
      <w:proofErr w:type="spellStart"/>
      <w:r w:rsidR="006D04EE">
        <w:rPr>
          <w:rFonts w:hAnsi="Times New Roman" w:cs="Times New Roman"/>
        </w:rPr>
        <w:t>Krajmalnik</w:t>
      </w:r>
      <w:proofErr w:type="spellEnd"/>
      <w:r w:rsidR="006D04EE">
        <w:rPr>
          <w:rFonts w:hAnsi="Times New Roman" w:cs="Times New Roman"/>
        </w:rPr>
        <w:t xml:space="preserve">-Brown R, </w:t>
      </w:r>
      <w:proofErr w:type="spellStart"/>
      <w:r w:rsidR="006D04EE">
        <w:rPr>
          <w:rFonts w:hAnsi="Times New Roman" w:cs="Times New Roman"/>
        </w:rPr>
        <w:t>Wittung-Stafshede</w:t>
      </w:r>
      <w:proofErr w:type="spellEnd"/>
      <w:r w:rsidR="006D04EE">
        <w:rPr>
          <w:rFonts w:hAnsi="Times New Roman" w:cs="Times New Roman"/>
        </w:rPr>
        <w:t xml:space="preserve"> P, Knight R, </w:t>
      </w:r>
      <w:proofErr w:type="spellStart"/>
      <w:r w:rsidR="006D04EE">
        <w:rPr>
          <w:rFonts w:hAnsi="Times New Roman" w:cs="Times New Roman"/>
        </w:rPr>
        <w:t>Mazmanian</w:t>
      </w:r>
      <w:proofErr w:type="spellEnd"/>
      <w:r w:rsidR="006D04EE">
        <w:rPr>
          <w:rFonts w:hAnsi="Times New Roman" w:cs="Times New Roman"/>
        </w:rPr>
        <w:t xml:space="preserve"> SK</w:t>
      </w:r>
      <w:r w:rsidR="006D04EE" w:rsidRPr="006D04EE">
        <w:rPr>
          <w:rFonts w:hAnsi="Times New Roman" w:cs="Times New Roman"/>
        </w:rPr>
        <w:t>.</w:t>
      </w:r>
      <w:r w:rsidR="006D04EE">
        <w:rPr>
          <w:rFonts w:hAnsi="Times New Roman" w:cs="Times New Roman"/>
        </w:rPr>
        <w:t xml:space="preserve"> </w:t>
      </w:r>
      <w:r w:rsidRPr="000E2A28">
        <w:rPr>
          <w:rFonts w:hAnsi="Times New Roman" w:cs="Times New Roman"/>
        </w:rPr>
        <w:t>Gut Microbiota Regulate Motor Deficits and Neuroinflammation in a Model of Park</w:t>
      </w:r>
      <w:r w:rsidR="006D04EE">
        <w:rPr>
          <w:rFonts w:hAnsi="Times New Roman" w:cs="Times New Roman"/>
        </w:rPr>
        <w:t xml:space="preserve">inson's Disease. Cell. 167 (2016) </w:t>
      </w:r>
      <w:r w:rsidRPr="000E2A28">
        <w:rPr>
          <w:rFonts w:hAnsi="Times New Roman" w:cs="Times New Roman"/>
        </w:rPr>
        <w:t>1469-1480.</w:t>
      </w:r>
    </w:p>
    <w:p w14:paraId="21F68CD8" w14:textId="042C6A54" w:rsidR="00585783" w:rsidRPr="006D04EE" w:rsidRDefault="00585783" w:rsidP="006D04E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 w:rsidRPr="006D04EE">
        <w:rPr>
          <w:rFonts w:hAnsi="Times New Roman" w:cs="Times New Roman"/>
        </w:rPr>
        <w:t>[12</w:t>
      </w:r>
      <w:r w:rsidR="006D04EE">
        <w:rPr>
          <w:rFonts w:hAnsi="Times New Roman" w:cs="Times New Roman"/>
        </w:rPr>
        <w:t xml:space="preserve">] </w:t>
      </w:r>
      <w:r w:rsidRPr="006D04EE">
        <w:rPr>
          <w:rFonts w:hAnsi="Times New Roman" w:cs="Times New Roman"/>
        </w:rPr>
        <w:t>Simon KC, Chen</w:t>
      </w:r>
      <w:r w:rsidR="006D04EE">
        <w:rPr>
          <w:rFonts w:hAnsi="Times New Roman" w:cs="Times New Roman"/>
        </w:rPr>
        <w:t xml:space="preserve"> H, Schwarzschild M, </w:t>
      </w:r>
      <w:proofErr w:type="spellStart"/>
      <w:r w:rsidR="006D04EE">
        <w:rPr>
          <w:rFonts w:hAnsi="Times New Roman" w:cs="Times New Roman"/>
        </w:rPr>
        <w:t>Ascherio</w:t>
      </w:r>
      <w:proofErr w:type="spellEnd"/>
      <w:r w:rsidR="006D04EE">
        <w:rPr>
          <w:rFonts w:hAnsi="Times New Roman" w:cs="Times New Roman"/>
        </w:rPr>
        <w:t xml:space="preserve"> A.</w:t>
      </w:r>
      <w:r w:rsidRPr="006D04EE">
        <w:rPr>
          <w:rFonts w:hAnsi="Times New Roman" w:cs="Times New Roman"/>
        </w:rPr>
        <w:t xml:space="preserve"> Hypertension, hypercholesterolemia, diabetes, and risk of Parkinson</w:t>
      </w:r>
      <w:r w:rsidR="006D04EE">
        <w:rPr>
          <w:rFonts w:hAnsi="Times New Roman" w:cs="Times New Roman"/>
        </w:rPr>
        <w:t xml:space="preserve"> disease. Neurology. 69 (2007) </w:t>
      </w:r>
      <w:r w:rsidRPr="006D04EE">
        <w:rPr>
          <w:rFonts w:hAnsi="Times New Roman" w:cs="Times New Roman"/>
        </w:rPr>
        <w:t>1688–1695.</w:t>
      </w:r>
    </w:p>
    <w:p w14:paraId="0A85F584" w14:textId="70BB7C13" w:rsidR="00585783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[13] </w:t>
      </w:r>
      <w:r w:rsidRPr="000E2A28">
        <w:rPr>
          <w:rFonts w:hAnsi="Times New Roman" w:cs="Times New Roman"/>
        </w:rPr>
        <w:t>Saunders-Pullman R. Estrogens and Parkinson disease: neuroprotective, symptomatic, nei</w:t>
      </w:r>
      <w:r w:rsidR="006D04EE">
        <w:rPr>
          <w:rFonts w:hAnsi="Times New Roman" w:cs="Times New Roman"/>
        </w:rPr>
        <w:t>ther, or both? Endocrine. 21</w:t>
      </w:r>
      <w:r w:rsidR="00764419">
        <w:rPr>
          <w:rFonts w:hAnsi="Times New Roman" w:cs="Times New Roman"/>
        </w:rPr>
        <w:t xml:space="preserve"> (2003)</w:t>
      </w:r>
      <w:r w:rsidR="006D04EE">
        <w:rPr>
          <w:rFonts w:hAnsi="Times New Roman" w:cs="Times New Roman"/>
        </w:rPr>
        <w:t xml:space="preserve"> </w:t>
      </w:r>
      <w:r w:rsidRPr="000E2A28">
        <w:rPr>
          <w:rFonts w:hAnsi="Times New Roman" w:cs="Times New Roman"/>
        </w:rPr>
        <w:t>81–87</w:t>
      </w:r>
      <w:r w:rsidR="00764419">
        <w:rPr>
          <w:rFonts w:hAnsi="Times New Roman" w:cs="Times New Roman"/>
        </w:rPr>
        <w:t>.</w:t>
      </w:r>
      <w:r w:rsidRPr="000E2A28">
        <w:rPr>
          <w:rFonts w:hAnsi="Times New Roman" w:cs="Times New Roman"/>
        </w:rPr>
        <w:t xml:space="preserve"> </w:t>
      </w:r>
    </w:p>
    <w:p w14:paraId="50288186" w14:textId="073E828B" w:rsidR="00585783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[14] </w:t>
      </w:r>
      <w:r w:rsidR="00764419">
        <w:rPr>
          <w:rFonts w:hAnsi="Times New Roman" w:cs="Times New Roman"/>
        </w:rPr>
        <w:t>Chaudhuri KR</w:t>
      </w:r>
      <w:r w:rsidR="00764419" w:rsidRPr="00764419">
        <w:rPr>
          <w:rFonts w:hAnsi="Times New Roman" w:cs="Times New Roman"/>
        </w:rPr>
        <w:t xml:space="preserve">, Healy DG, </w:t>
      </w:r>
      <w:proofErr w:type="spellStart"/>
      <w:r w:rsidR="00764419" w:rsidRPr="00764419">
        <w:rPr>
          <w:rFonts w:hAnsi="Times New Roman" w:cs="Times New Roman"/>
        </w:rPr>
        <w:t>Schapira</w:t>
      </w:r>
      <w:proofErr w:type="spellEnd"/>
      <w:r w:rsidR="00764419" w:rsidRPr="00764419">
        <w:rPr>
          <w:rFonts w:hAnsi="Times New Roman" w:cs="Times New Roman"/>
        </w:rPr>
        <w:t xml:space="preserve"> AH; National Institute for Clinical Excellence.</w:t>
      </w:r>
      <w:r w:rsidR="00764419">
        <w:rPr>
          <w:rFonts w:hAnsi="Times New Roman" w:cs="Times New Roman"/>
        </w:rPr>
        <w:t xml:space="preserve"> </w:t>
      </w:r>
      <w:r w:rsidRPr="000E2A28">
        <w:rPr>
          <w:rFonts w:hAnsi="Times New Roman" w:cs="Times New Roman"/>
        </w:rPr>
        <w:t xml:space="preserve">Non-motor symptoms of Parkinson’s disease: diagnosis and </w:t>
      </w:r>
      <w:r w:rsidR="00764419">
        <w:rPr>
          <w:rFonts w:hAnsi="Times New Roman" w:cs="Times New Roman"/>
        </w:rPr>
        <w:t xml:space="preserve">management. Lancet Neurol. 5 (2006) </w:t>
      </w:r>
      <w:r w:rsidRPr="000E2A28">
        <w:rPr>
          <w:rFonts w:hAnsi="Times New Roman" w:cs="Times New Roman"/>
        </w:rPr>
        <w:t>235–245.</w:t>
      </w:r>
    </w:p>
    <w:p w14:paraId="3CFDD0D7" w14:textId="59311785" w:rsidR="00585783" w:rsidRPr="00A50FDE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  <w:lang w:val="it-IT"/>
        </w:rPr>
      </w:pPr>
      <w:r>
        <w:rPr>
          <w:rFonts w:hAnsi="Times New Roman" w:cs="Times New Roman"/>
        </w:rPr>
        <w:t xml:space="preserve">[15] </w:t>
      </w:r>
      <w:proofErr w:type="spellStart"/>
      <w:r w:rsidRPr="000E2A28">
        <w:rPr>
          <w:rFonts w:hAnsi="Times New Roman" w:cs="Times New Roman"/>
        </w:rPr>
        <w:t>Braak</w:t>
      </w:r>
      <w:proofErr w:type="spellEnd"/>
      <w:r w:rsidRPr="000E2A28">
        <w:rPr>
          <w:rFonts w:hAnsi="Times New Roman" w:cs="Times New Roman"/>
        </w:rPr>
        <w:t xml:space="preserve"> H, </w:t>
      </w:r>
      <w:proofErr w:type="spellStart"/>
      <w:r w:rsidRPr="000E2A28">
        <w:rPr>
          <w:rFonts w:hAnsi="Times New Roman" w:cs="Times New Roman"/>
        </w:rPr>
        <w:t>Sastre</w:t>
      </w:r>
      <w:proofErr w:type="spellEnd"/>
      <w:r w:rsidRPr="000E2A28">
        <w:rPr>
          <w:rFonts w:hAnsi="Times New Roman" w:cs="Times New Roman"/>
        </w:rPr>
        <w:t xml:space="preserve"> M, </w:t>
      </w:r>
      <w:proofErr w:type="spellStart"/>
      <w:r w:rsidRPr="000E2A28">
        <w:rPr>
          <w:rFonts w:hAnsi="Times New Roman" w:cs="Times New Roman"/>
        </w:rPr>
        <w:t>Bohl</w:t>
      </w:r>
      <w:proofErr w:type="spellEnd"/>
      <w:r w:rsidRPr="000E2A28">
        <w:rPr>
          <w:rFonts w:hAnsi="Times New Roman" w:cs="Times New Roman"/>
        </w:rPr>
        <w:t xml:space="preserve"> JR, de Vos RA, Del </w:t>
      </w:r>
      <w:proofErr w:type="spellStart"/>
      <w:r w:rsidRPr="000E2A28">
        <w:rPr>
          <w:rFonts w:hAnsi="Times New Roman" w:cs="Times New Roman"/>
        </w:rPr>
        <w:t>Tredici</w:t>
      </w:r>
      <w:proofErr w:type="spellEnd"/>
      <w:r w:rsidRPr="000E2A28">
        <w:rPr>
          <w:rFonts w:hAnsi="Times New Roman" w:cs="Times New Roman"/>
        </w:rPr>
        <w:t xml:space="preserve"> K. Parkinson’s </w:t>
      </w:r>
      <w:proofErr w:type="spellStart"/>
      <w:proofErr w:type="gramStart"/>
      <w:r w:rsidRPr="000E2A28">
        <w:rPr>
          <w:rFonts w:hAnsi="Times New Roman" w:cs="Times New Roman"/>
        </w:rPr>
        <w:t>disease:lesions</w:t>
      </w:r>
      <w:proofErr w:type="spellEnd"/>
      <w:proofErr w:type="gramEnd"/>
      <w:r w:rsidRPr="000E2A28">
        <w:rPr>
          <w:rFonts w:hAnsi="Times New Roman" w:cs="Times New Roman"/>
        </w:rPr>
        <w:t xml:space="preserve"> in dorsal horn layer I, involvement of parasympathetic and </w:t>
      </w:r>
      <w:proofErr w:type="spellStart"/>
      <w:r w:rsidRPr="000E2A28">
        <w:rPr>
          <w:rFonts w:hAnsi="Times New Roman" w:cs="Times New Roman"/>
        </w:rPr>
        <w:t>sympatheticpre</w:t>
      </w:r>
      <w:proofErr w:type="spellEnd"/>
      <w:r w:rsidRPr="000E2A28">
        <w:rPr>
          <w:rFonts w:hAnsi="Times New Roman" w:cs="Times New Roman"/>
        </w:rPr>
        <w:t>- and postganglionic</w:t>
      </w:r>
      <w:r w:rsidR="00764419">
        <w:rPr>
          <w:rFonts w:hAnsi="Times New Roman" w:cs="Times New Roman"/>
        </w:rPr>
        <w:t xml:space="preserve"> neurons. </w:t>
      </w:r>
      <w:r w:rsidR="00764419" w:rsidRPr="00A50FDE">
        <w:rPr>
          <w:rFonts w:hAnsi="Times New Roman" w:cs="Times New Roman"/>
          <w:lang w:val="it-IT"/>
        </w:rPr>
        <w:t xml:space="preserve">Acta Neuropathol 113 (2007) </w:t>
      </w:r>
      <w:r w:rsidRPr="00A50FDE">
        <w:rPr>
          <w:rFonts w:hAnsi="Times New Roman" w:cs="Times New Roman"/>
          <w:lang w:val="it-IT"/>
        </w:rPr>
        <w:t>421–</w:t>
      </w:r>
      <w:r w:rsidR="00764419" w:rsidRPr="00A50FDE">
        <w:rPr>
          <w:rFonts w:hAnsi="Times New Roman" w:cs="Times New Roman"/>
          <w:lang w:val="it-IT"/>
        </w:rPr>
        <w:t>42</w:t>
      </w:r>
      <w:r w:rsidRPr="00A50FDE">
        <w:rPr>
          <w:rFonts w:hAnsi="Times New Roman" w:cs="Times New Roman"/>
          <w:lang w:val="it-IT"/>
        </w:rPr>
        <w:t>9.</w:t>
      </w:r>
    </w:p>
    <w:p w14:paraId="704195CE" w14:textId="7F8B2864" w:rsidR="00585783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 w:rsidRPr="00A50FDE">
        <w:rPr>
          <w:rFonts w:hAnsi="Times New Roman" w:cs="Times New Roman"/>
          <w:lang w:val="it-IT"/>
        </w:rPr>
        <w:t xml:space="preserve">[16] Minguez-Castellanos A, Chamorro CE, Escamilla-Sevilla F, Ortega-Moreno A,Rebollo AC, Gomez-Rio M, et al. </w:t>
      </w:r>
      <w:r w:rsidRPr="000E2A28">
        <w:rPr>
          <w:rFonts w:hAnsi="Times New Roman" w:cs="Times New Roman"/>
        </w:rPr>
        <w:t>Do alpha-</w:t>
      </w:r>
      <w:proofErr w:type="spellStart"/>
      <w:r w:rsidRPr="000E2A28">
        <w:rPr>
          <w:rFonts w:hAnsi="Times New Roman" w:cs="Times New Roman"/>
        </w:rPr>
        <w:t>synuclein</w:t>
      </w:r>
      <w:proofErr w:type="spellEnd"/>
      <w:r w:rsidRPr="000E2A28">
        <w:rPr>
          <w:rFonts w:hAnsi="Times New Roman" w:cs="Times New Roman"/>
        </w:rPr>
        <w:t xml:space="preserve"> aggregates in autonomic plexuses predate Lewy body disor</w:t>
      </w:r>
      <w:r w:rsidR="00764419">
        <w:rPr>
          <w:rFonts w:hAnsi="Times New Roman" w:cs="Times New Roman"/>
        </w:rPr>
        <w:t xml:space="preserve">ders? A cohort study. Neurology. 68 (2007) </w:t>
      </w:r>
      <w:r w:rsidRPr="000E2A28">
        <w:rPr>
          <w:rFonts w:hAnsi="Times New Roman" w:cs="Times New Roman"/>
        </w:rPr>
        <w:t>2012–</w:t>
      </w:r>
      <w:r w:rsidR="00764419">
        <w:rPr>
          <w:rFonts w:hAnsi="Times New Roman" w:cs="Times New Roman"/>
        </w:rPr>
        <w:t>201</w:t>
      </w:r>
      <w:r w:rsidRPr="000E2A28">
        <w:rPr>
          <w:rFonts w:hAnsi="Times New Roman" w:cs="Times New Roman"/>
        </w:rPr>
        <w:t>8.</w:t>
      </w:r>
    </w:p>
    <w:p w14:paraId="1F1CE78A" w14:textId="03D3BA5B" w:rsidR="00585783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 xml:space="preserve">[17] </w:t>
      </w:r>
      <w:r w:rsidRPr="000E2A28">
        <w:rPr>
          <w:rFonts w:hAnsi="Times New Roman" w:cs="Times New Roman"/>
        </w:rPr>
        <w:t xml:space="preserve">Kaufmann H, </w:t>
      </w:r>
      <w:proofErr w:type="spellStart"/>
      <w:r w:rsidRPr="000E2A28">
        <w:rPr>
          <w:rFonts w:hAnsi="Times New Roman" w:cs="Times New Roman"/>
        </w:rPr>
        <w:t>Nahm</w:t>
      </w:r>
      <w:proofErr w:type="spellEnd"/>
      <w:r w:rsidRPr="000E2A28">
        <w:rPr>
          <w:rFonts w:hAnsi="Times New Roman" w:cs="Times New Roman"/>
        </w:rPr>
        <w:t xml:space="preserve"> K, </w:t>
      </w:r>
      <w:proofErr w:type="spellStart"/>
      <w:r w:rsidRPr="000E2A28">
        <w:rPr>
          <w:rFonts w:hAnsi="Times New Roman" w:cs="Times New Roman"/>
        </w:rPr>
        <w:t>Purohit</w:t>
      </w:r>
      <w:proofErr w:type="spellEnd"/>
      <w:r w:rsidRPr="000E2A28">
        <w:rPr>
          <w:rFonts w:hAnsi="Times New Roman" w:cs="Times New Roman"/>
        </w:rPr>
        <w:t xml:space="preserve"> D, Wolfe D. Autonomic failure as the initial presentation of Parkinson disease and dementia w</w:t>
      </w:r>
      <w:r w:rsidR="00764419">
        <w:rPr>
          <w:rFonts w:hAnsi="Times New Roman" w:cs="Times New Roman"/>
        </w:rPr>
        <w:t xml:space="preserve">ith Lewy bodies. Neurology. 63 (2004) </w:t>
      </w:r>
      <w:r w:rsidRPr="000E2A28">
        <w:rPr>
          <w:rFonts w:hAnsi="Times New Roman" w:cs="Times New Roman"/>
        </w:rPr>
        <w:t>1093–</w:t>
      </w:r>
      <w:r w:rsidR="00764419">
        <w:rPr>
          <w:rFonts w:hAnsi="Times New Roman" w:cs="Times New Roman"/>
        </w:rPr>
        <w:t>109</w:t>
      </w:r>
      <w:r w:rsidRPr="000E2A28">
        <w:rPr>
          <w:rFonts w:hAnsi="Times New Roman" w:cs="Times New Roman"/>
        </w:rPr>
        <w:t>5</w:t>
      </w:r>
      <w:r w:rsidR="00764419">
        <w:rPr>
          <w:rFonts w:hAnsi="Times New Roman" w:cs="Times New Roman"/>
        </w:rPr>
        <w:t>.</w:t>
      </w:r>
    </w:p>
    <w:p w14:paraId="32EB5B98" w14:textId="72684564" w:rsidR="00585783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[18] </w:t>
      </w:r>
      <w:proofErr w:type="spellStart"/>
      <w:r w:rsidRPr="000E2A28">
        <w:rPr>
          <w:rFonts w:hAnsi="Times New Roman" w:cs="Times New Roman"/>
        </w:rPr>
        <w:t>Tursi</w:t>
      </w:r>
      <w:proofErr w:type="spellEnd"/>
      <w:r w:rsidRPr="000E2A28">
        <w:rPr>
          <w:rFonts w:hAnsi="Times New Roman" w:cs="Times New Roman"/>
        </w:rPr>
        <w:t xml:space="preserve"> A. Diverticulosis today: unfashionable and still under-researched. </w:t>
      </w:r>
      <w:proofErr w:type="spellStart"/>
      <w:r w:rsidRPr="000E2A28">
        <w:rPr>
          <w:rFonts w:hAnsi="Times New Roman" w:cs="Times New Roman"/>
        </w:rPr>
        <w:t>Therap</w:t>
      </w:r>
      <w:proofErr w:type="spellEnd"/>
      <w:r w:rsidRPr="000E2A28">
        <w:rPr>
          <w:rFonts w:hAnsi="Times New Roman" w:cs="Times New Roman"/>
        </w:rPr>
        <w:t xml:space="preserve"> </w:t>
      </w:r>
      <w:proofErr w:type="spellStart"/>
      <w:r w:rsidRPr="000E2A28">
        <w:rPr>
          <w:rFonts w:hAnsi="Times New Roman" w:cs="Times New Roman"/>
        </w:rPr>
        <w:t>Adv</w:t>
      </w:r>
      <w:proofErr w:type="spellEnd"/>
      <w:r w:rsidRPr="000E2A28">
        <w:rPr>
          <w:rFonts w:hAnsi="Times New Roman" w:cs="Times New Roman"/>
        </w:rPr>
        <w:t xml:space="preserve"> </w:t>
      </w:r>
      <w:proofErr w:type="spellStart"/>
      <w:r w:rsidRPr="000E2A28">
        <w:rPr>
          <w:rFonts w:hAnsi="Times New Roman" w:cs="Times New Roman"/>
        </w:rPr>
        <w:t>Gastroenterol</w:t>
      </w:r>
      <w:proofErr w:type="spellEnd"/>
      <w:r w:rsidRPr="000E2A28">
        <w:rPr>
          <w:rFonts w:hAnsi="Times New Roman" w:cs="Times New Roman"/>
        </w:rPr>
        <w:t xml:space="preserve">. </w:t>
      </w:r>
      <w:r w:rsidR="00764419">
        <w:rPr>
          <w:rFonts w:hAnsi="Times New Roman" w:cs="Times New Roman"/>
        </w:rPr>
        <w:t xml:space="preserve">9 (2016) </w:t>
      </w:r>
      <w:r w:rsidRPr="000E2A28">
        <w:rPr>
          <w:rFonts w:hAnsi="Times New Roman" w:cs="Times New Roman"/>
        </w:rPr>
        <w:t xml:space="preserve">213-228. </w:t>
      </w:r>
    </w:p>
    <w:p w14:paraId="0A25B47B" w14:textId="3067EF2F" w:rsidR="00585783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[19] </w:t>
      </w:r>
      <w:r w:rsidR="00764419" w:rsidRPr="00764419">
        <w:rPr>
          <w:rFonts w:hAnsi="Times New Roman" w:cs="Times New Roman"/>
        </w:rPr>
        <w:t xml:space="preserve">Peery AF, Sandler RS, </w:t>
      </w:r>
      <w:proofErr w:type="spellStart"/>
      <w:r w:rsidR="00764419" w:rsidRPr="00764419">
        <w:rPr>
          <w:rFonts w:hAnsi="Times New Roman" w:cs="Times New Roman"/>
        </w:rPr>
        <w:t>Ahnen</w:t>
      </w:r>
      <w:proofErr w:type="spellEnd"/>
      <w:r w:rsidR="00764419" w:rsidRPr="00764419">
        <w:rPr>
          <w:rFonts w:hAnsi="Times New Roman" w:cs="Times New Roman"/>
        </w:rPr>
        <w:t xml:space="preserve"> DJ, </w:t>
      </w:r>
      <w:proofErr w:type="spellStart"/>
      <w:r w:rsidR="00764419" w:rsidRPr="00764419">
        <w:rPr>
          <w:rFonts w:hAnsi="Times New Roman" w:cs="Times New Roman"/>
        </w:rPr>
        <w:t>Galanko</w:t>
      </w:r>
      <w:proofErr w:type="spellEnd"/>
      <w:r w:rsidR="00764419" w:rsidRPr="00764419">
        <w:rPr>
          <w:rFonts w:hAnsi="Times New Roman" w:cs="Times New Roman"/>
        </w:rPr>
        <w:t xml:space="preserve"> JA, Holm AN, </w:t>
      </w:r>
      <w:proofErr w:type="spellStart"/>
      <w:r w:rsidR="00764419" w:rsidRPr="00764419">
        <w:rPr>
          <w:rFonts w:hAnsi="Times New Roman" w:cs="Times New Roman"/>
        </w:rPr>
        <w:t>Shaukat</w:t>
      </w:r>
      <w:proofErr w:type="spellEnd"/>
      <w:r w:rsidR="00764419" w:rsidRPr="00764419">
        <w:rPr>
          <w:rFonts w:hAnsi="Times New Roman" w:cs="Times New Roman"/>
        </w:rPr>
        <w:t xml:space="preserve"> A, Mott LA, Barry EL, Fried DA, Baron JA.</w:t>
      </w:r>
      <w:r w:rsidR="00764419">
        <w:rPr>
          <w:rFonts w:hAnsi="Times New Roman" w:cs="Times New Roman"/>
        </w:rPr>
        <w:t xml:space="preserve"> </w:t>
      </w:r>
      <w:r w:rsidRPr="000E2A28">
        <w:rPr>
          <w:rFonts w:hAnsi="Times New Roman" w:cs="Times New Roman"/>
        </w:rPr>
        <w:t>Constipation and a low-fiber diet are not associated with diverticulo</w:t>
      </w:r>
      <w:r w:rsidR="00764419">
        <w:rPr>
          <w:rFonts w:hAnsi="Times New Roman" w:cs="Times New Roman"/>
        </w:rPr>
        <w:t xml:space="preserve">sis. </w:t>
      </w:r>
      <w:proofErr w:type="spellStart"/>
      <w:r w:rsidR="00764419">
        <w:rPr>
          <w:rFonts w:hAnsi="Times New Roman" w:cs="Times New Roman"/>
        </w:rPr>
        <w:t>Clin</w:t>
      </w:r>
      <w:proofErr w:type="spellEnd"/>
      <w:r w:rsidR="00764419">
        <w:rPr>
          <w:rFonts w:hAnsi="Times New Roman" w:cs="Times New Roman"/>
        </w:rPr>
        <w:t xml:space="preserve"> </w:t>
      </w:r>
      <w:proofErr w:type="spellStart"/>
      <w:r w:rsidR="00764419">
        <w:rPr>
          <w:rFonts w:hAnsi="Times New Roman" w:cs="Times New Roman"/>
        </w:rPr>
        <w:t>Gastroenterol</w:t>
      </w:r>
      <w:proofErr w:type="spellEnd"/>
      <w:r w:rsidR="00764419">
        <w:rPr>
          <w:rFonts w:hAnsi="Times New Roman" w:cs="Times New Roman"/>
        </w:rPr>
        <w:t xml:space="preserve"> </w:t>
      </w:r>
      <w:proofErr w:type="spellStart"/>
      <w:r w:rsidR="00764419">
        <w:rPr>
          <w:rFonts w:hAnsi="Times New Roman" w:cs="Times New Roman"/>
        </w:rPr>
        <w:t>Hepatol</w:t>
      </w:r>
      <w:proofErr w:type="spellEnd"/>
      <w:r w:rsidR="00764419">
        <w:rPr>
          <w:rFonts w:hAnsi="Times New Roman" w:cs="Times New Roman"/>
        </w:rPr>
        <w:t xml:space="preserve">. 11 (2013) </w:t>
      </w:r>
      <w:r w:rsidRPr="000E2A28">
        <w:rPr>
          <w:rFonts w:hAnsi="Times New Roman" w:cs="Times New Roman"/>
        </w:rPr>
        <w:t>1622–1627.</w:t>
      </w:r>
    </w:p>
    <w:p w14:paraId="6389997D" w14:textId="1216466A" w:rsidR="00585783" w:rsidRPr="00D062D5" w:rsidRDefault="00585783" w:rsidP="0058578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[20] </w:t>
      </w:r>
      <w:r w:rsidRPr="000E2A28">
        <w:rPr>
          <w:rFonts w:hAnsi="Times New Roman" w:cs="Times New Roman"/>
        </w:rPr>
        <w:t xml:space="preserve">Palma JA1, Kaufmann H. Autonomic disorders predicting Parkinson's disease. Parkinsonism </w:t>
      </w:r>
      <w:proofErr w:type="spellStart"/>
      <w:r w:rsidRPr="000E2A28">
        <w:rPr>
          <w:rFonts w:hAnsi="Times New Roman" w:cs="Times New Roman"/>
        </w:rPr>
        <w:t>Relat</w:t>
      </w:r>
      <w:proofErr w:type="spellEnd"/>
      <w:r w:rsidRPr="000E2A28">
        <w:rPr>
          <w:rFonts w:hAnsi="Times New Roman" w:cs="Times New Roman"/>
        </w:rPr>
        <w:t xml:space="preserve"> </w:t>
      </w:r>
      <w:proofErr w:type="spellStart"/>
      <w:r w:rsidRPr="000E2A28">
        <w:rPr>
          <w:rFonts w:hAnsi="Times New Roman" w:cs="Times New Roman"/>
        </w:rPr>
        <w:t>Disord</w:t>
      </w:r>
      <w:proofErr w:type="spellEnd"/>
      <w:r w:rsidRPr="000E2A28">
        <w:rPr>
          <w:rFonts w:hAnsi="Times New Roman" w:cs="Times New Roman"/>
        </w:rPr>
        <w:t xml:space="preserve">. 20 </w:t>
      </w:r>
      <w:r w:rsidR="00764419">
        <w:rPr>
          <w:rFonts w:hAnsi="Times New Roman" w:cs="Times New Roman"/>
        </w:rPr>
        <w:t xml:space="preserve">(2014) </w:t>
      </w:r>
      <w:proofErr w:type="spellStart"/>
      <w:r w:rsidRPr="000E2A28">
        <w:rPr>
          <w:rFonts w:hAnsi="Times New Roman" w:cs="Times New Roman"/>
        </w:rPr>
        <w:t>Suppl</w:t>
      </w:r>
      <w:proofErr w:type="spellEnd"/>
      <w:r w:rsidRPr="000E2A28">
        <w:rPr>
          <w:rFonts w:hAnsi="Times New Roman" w:cs="Times New Roman"/>
        </w:rPr>
        <w:t xml:space="preserve"> </w:t>
      </w:r>
      <w:proofErr w:type="gramStart"/>
      <w:r w:rsidRPr="000E2A28">
        <w:rPr>
          <w:rFonts w:hAnsi="Times New Roman" w:cs="Times New Roman"/>
        </w:rPr>
        <w:t>1:S</w:t>
      </w:r>
      <w:proofErr w:type="gramEnd"/>
      <w:r w:rsidRPr="000E2A28">
        <w:rPr>
          <w:rFonts w:hAnsi="Times New Roman" w:cs="Times New Roman"/>
        </w:rPr>
        <w:t>94-8.</w:t>
      </w:r>
    </w:p>
    <w:p w14:paraId="7BE64A78" w14:textId="729D6F6F" w:rsidR="00F90B83" w:rsidRPr="00A50FDE" w:rsidRDefault="00F90B83" w:rsidP="00F90B83">
      <w:pPr>
        <w:rPr>
          <w:rFonts w:eastAsia="DFKai-SB"/>
          <w:color w:val="auto"/>
        </w:rPr>
      </w:pPr>
      <w:r w:rsidRPr="00A50FDE">
        <w:rPr>
          <w:b/>
          <w:color w:val="auto"/>
        </w:rPr>
        <w:t>Figure 1.</w:t>
      </w:r>
      <w:r w:rsidRPr="00A50FDE">
        <w:rPr>
          <w:color w:val="auto"/>
        </w:rPr>
        <w:t xml:space="preserve"> Cumulative incidence curves of </w:t>
      </w:r>
      <w:r w:rsidRPr="00A50FDE">
        <w:rPr>
          <w:rFonts w:eastAsia="DFKai-SB"/>
          <w:color w:val="auto"/>
        </w:rPr>
        <w:t>Parkinson</w:t>
      </w:r>
      <w:r w:rsidRPr="00A50FDE">
        <w:rPr>
          <w:rFonts w:eastAsia="DFKai-SB"/>
          <w:color w:val="auto"/>
        </w:rPr>
        <w:t>’</w:t>
      </w:r>
      <w:r w:rsidRPr="00A50FDE">
        <w:rPr>
          <w:rFonts w:eastAsia="DFKai-SB"/>
          <w:color w:val="auto"/>
        </w:rPr>
        <w:t>s disease</w:t>
      </w:r>
      <w:r w:rsidRPr="00A50FDE">
        <w:rPr>
          <w:color w:val="auto"/>
        </w:rPr>
        <w:t xml:space="preserve"> in CDD and comparison cohorts</w:t>
      </w:r>
      <w:r w:rsidR="00A50FDE" w:rsidRPr="00A50FDE">
        <w:rPr>
          <w:color w:val="auto"/>
        </w:rPr>
        <w:t>.</w:t>
      </w:r>
    </w:p>
    <w:p w14:paraId="4CC3D182" w14:textId="77777777" w:rsidR="00F90B83" w:rsidRPr="00A50FDE" w:rsidRDefault="00F90B83" w:rsidP="00F90B83">
      <w:pPr>
        <w:rPr>
          <w:rFonts w:eastAsia="DFKai-SB"/>
          <w:color w:val="auto"/>
        </w:rPr>
      </w:pPr>
      <w:r w:rsidRPr="00A50FDE">
        <w:rPr>
          <w:rFonts w:eastAsia="DFKai-SB"/>
          <w:color w:val="auto"/>
        </w:rPr>
        <w:t>Abbreviations: PD, Parkinson</w:t>
      </w:r>
      <w:r w:rsidRPr="00A50FDE">
        <w:rPr>
          <w:rFonts w:eastAsia="DFKai-SB"/>
          <w:color w:val="auto"/>
        </w:rPr>
        <w:t>’</w:t>
      </w:r>
      <w:r w:rsidRPr="00A50FDE">
        <w:rPr>
          <w:rFonts w:eastAsia="DFKai-SB"/>
          <w:color w:val="auto"/>
        </w:rPr>
        <w:t>s disease; CDD, colonic diverticular disease.</w:t>
      </w:r>
    </w:p>
    <w:p w14:paraId="0F494212" w14:textId="77777777" w:rsidR="00F90B83" w:rsidRPr="003C10CA" w:rsidRDefault="00F90B83" w:rsidP="00F90B83"/>
    <w:p w14:paraId="3211AEE8" w14:textId="613BA3A6" w:rsidR="00A45E98" w:rsidRPr="00D062D5" w:rsidRDefault="00A45E98" w:rsidP="00D062D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600"/>
        <w:jc w:val="both"/>
        <w:rPr>
          <w:rFonts w:hAnsi="Times New Roman" w:cs="Times New Roman"/>
        </w:rPr>
      </w:pPr>
      <w:bookmarkStart w:id="8" w:name="_GoBack"/>
      <w:bookmarkEnd w:id="8"/>
    </w:p>
    <w:sectPr w:rsidR="00A45E98" w:rsidRPr="00D062D5" w:rsidSect="005240C4">
      <w:pgSz w:w="11900" w:h="16840"/>
      <w:pgMar w:top="1440" w:right="1800" w:bottom="1440" w:left="1800" w:header="851" w:footer="992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4C602" w14:textId="77777777" w:rsidR="000748A1" w:rsidRDefault="000748A1">
      <w:r>
        <w:separator/>
      </w:r>
    </w:p>
  </w:endnote>
  <w:endnote w:type="continuationSeparator" w:id="0">
    <w:p w14:paraId="121A3F2B" w14:textId="77777777" w:rsidR="000748A1" w:rsidRDefault="0007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Calibri"/>
    <w:panose1 w:val="02010601000101010101"/>
    <w:charset w:val="51"/>
    <w:family w:val="auto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51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8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DF06B" w14:textId="70748520" w:rsidR="005240C4" w:rsidRDefault="005240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D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6D2AA1F" w14:textId="77777777" w:rsidR="001642BE" w:rsidRDefault="00164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ADE6" w14:textId="77777777" w:rsidR="000748A1" w:rsidRDefault="000748A1">
      <w:r>
        <w:separator/>
      </w:r>
    </w:p>
  </w:footnote>
  <w:footnote w:type="continuationSeparator" w:id="0">
    <w:p w14:paraId="60B76900" w14:textId="77777777" w:rsidR="000748A1" w:rsidRDefault="0007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3142"/>
    <w:multiLevelType w:val="hybridMultilevel"/>
    <w:tmpl w:val="F9828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2792"/>
    <w:multiLevelType w:val="hybridMultilevel"/>
    <w:tmpl w:val="D80E3434"/>
    <w:lvl w:ilvl="0" w:tplc="E99211E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4D5D"/>
    <w:multiLevelType w:val="hybridMultilevel"/>
    <w:tmpl w:val="D2F463BE"/>
    <w:lvl w:ilvl="0" w:tplc="27AE84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D3C6A56"/>
    <w:multiLevelType w:val="hybridMultilevel"/>
    <w:tmpl w:val="8878D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123BF"/>
    <w:multiLevelType w:val="hybridMultilevel"/>
    <w:tmpl w:val="8522CE18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78C61BA7"/>
    <w:multiLevelType w:val="hybridMultilevel"/>
    <w:tmpl w:val="EA7C1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98"/>
    <w:rsid w:val="00000D96"/>
    <w:rsid w:val="00002943"/>
    <w:rsid w:val="0000604F"/>
    <w:rsid w:val="00012AD9"/>
    <w:rsid w:val="000204CD"/>
    <w:rsid w:val="000330F9"/>
    <w:rsid w:val="00035BC2"/>
    <w:rsid w:val="00037FCA"/>
    <w:rsid w:val="00043477"/>
    <w:rsid w:val="00044794"/>
    <w:rsid w:val="00053CF4"/>
    <w:rsid w:val="0005695A"/>
    <w:rsid w:val="00056A4C"/>
    <w:rsid w:val="00072BF9"/>
    <w:rsid w:val="000748A1"/>
    <w:rsid w:val="000860C4"/>
    <w:rsid w:val="000A231F"/>
    <w:rsid w:val="000A25A7"/>
    <w:rsid w:val="000A2E72"/>
    <w:rsid w:val="000A3E3C"/>
    <w:rsid w:val="000B1855"/>
    <w:rsid w:val="000B2003"/>
    <w:rsid w:val="000C2E78"/>
    <w:rsid w:val="000C5836"/>
    <w:rsid w:val="000C6042"/>
    <w:rsid w:val="000E2A28"/>
    <w:rsid w:val="000E6000"/>
    <w:rsid w:val="000F3387"/>
    <w:rsid w:val="00103132"/>
    <w:rsid w:val="00112756"/>
    <w:rsid w:val="001162D5"/>
    <w:rsid w:val="00116849"/>
    <w:rsid w:val="0011729D"/>
    <w:rsid w:val="001243EE"/>
    <w:rsid w:val="00126BB1"/>
    <w:rsid w:val="00127BFA"/>
    <w:rsid w:val="00135CF9"/>
    <w:rsid w:val="001365DA"/>
    <w:rsid w:val="001438F9"/>
    <w:rsid w:val="00155341"/>
    <w:rsid w:val="00162C04"/>
    <w:rsid w:val="001642BE"/>
    <w:rsid w:val="00166BE5"/>
    <w:rsid w:val="00185EAC"/>
    <w:rsid w:val="0019086B"/>
    <w:rsid w:val="00191397"/>
    <w:rsid w:val="00192095"/>
    <w:rsid w:val="001B18DE"/>
    <w:rsid w:val="001B72B8"/>
    <w:rsid w:val="001C7247"/>
    <w:rsid w:val="001C7852"/>
    <w:rsid w:val="001C78E3"/>
    <w:rsid w:val="001C7F23"/>
    <w:rsid w:val="001D4675"/>
    <w:rsid w:val="001D4967"/>
    <w:rsid w:val="001E09CD"/>
    <w:rsid w:val="001E1067"/>
    <w:rsid w:val="001E1453"/>
    <w:rsid w:val="001E6788"/>
    <w:rsid w:val="00204FFE"/>
    <w:rsid w:val="00213928"/>
    <w:rsid w:val="002162AD"/>
    <w:rsid w:val="00217C52"/>
    <w:rsid w:val="00234D2E"/>
    <w:rsid w:val="0024377D"/>
    <w:rsid w:val="0025475F"/>
    <w:rsid w:val="00290F3E"/>
    <w:rsid w:val="00293579"/>
    <w:rsid w:val="002971B1"/>
    <w:rsid w:val="002A30F4"/>
    <w:rsid w:val="002A3BF7"/>
    <w:rsid w:val="002A3DE0"/>
    <w:rsid w:val="002B2A75"/>
    <w:rsid w:val="002C568E"/>
    <w:rsid w:val="002D27FA"/>
    <w:rsid w:val="002D314D"/>
    <w:rsid w:val="002D42A9"/>
    <w:rsid w:val="002D4594"/>
    <w:rsid w:val="002E51A1"/>
    <w:rsid w:val="002E7234"/>
    <w:rsid w:val="002F5831"/>
    <w:rsid w:val="00321586"/>
    <w:rsid w:val="003266B5"/>
    <w:rsid w:val="00335848"/>
    <w:rsid w:val="0033776D"/>
    <w:rsid w:val="0034776B"/>
    <w:rsid w:val="0035398E"/>
    <w:rsid w:val="00363E7B"/>
    <w:rsid w:val="00372577"/>
    <w:rsid w:val="00372E66"/>
    <w:rsid w:val="003A1305"/>
    <w:rsid w:val="003A7E32"/>
    <w:rsid w:val="003B2228"/>
    <w:rsid w:val="003B429C"/>
    <w:rsid w:val="003B4FE7"/>
    <w:rsid w:val="003B54AF"/>
    <w:rsid w:val="003C2614"/>
    <w:rsid w:val="003C5DDA"/>
    <w:rsid w:val="003D01B4"/>
    <w:rsid w:val="003D0802"/>
    <w:rsid w:val="003D0B46"/>
    <w:rsid w:val="003E0ADB"/>
    <w:rsid w:val="003E0EEF"/>
    <w:rsid w:val="003E2548"/>
    <w:rsid w:val="003E32F2"/>
    <w:rsid w:val="003E41B2"/>
    <w:rsid w:val="003F10CF"/>
    <w:rsid w:val="00405D38"/>
    <w:rsid w:val="004066D1"/>
    <w:rsid w:val="00423E9E"/>
    <w:rsid w:val="00426527"/>
    <w:rsid w:val="00427E86"/>
    <w:rsid w:val="0043133A"/>
    <w:rsid w:val="004376DF"/>
    <w:rsid w:val="004628A8"/>
    <w:rsid w:val="00463488"/>
    <w:rsid w:val="0047480A"/>
    <w:rsid w:val="004754CC"/>
    <w:rsid w:val="00481EE8"/>
    <w:rsid w:val="00490ACE"/>
    <w:rsid w:val="0049552B"/>
    <w:rsid w:val="004A484F"/>
    <w:rsid w:val="004A5F5B"/>
    <w:rsid w:val="004B1B9C"/>
    <w:rsid w:val="004B351F"/>
    <w:rsid w:val="004B46C6"/>
    <w:rsid w:val="004C5E05"/>
    <w:rsid w:val="004D19D0"/>
    <w:rsid w:val="004E4CE8"/>
    <w:rsid w:val="004F2F28"/>
    <w:rsid w:val="005240C4"/>
    <w:rsid w:val="00524A16"/>
    <w:rsid w:val="005300FE"/>
    <w:rsid w:val="005345FF"/>
    <w:rsid w:val="005675BB"/>
    <w:rsid w:val="005745E9"/>
    <w:rsid w:val="00574D53"/>
    <w:rsid w:val="00576782"/>
    <w:rsid w:val="00585783"/>
    <w:rsid w:val="00585EBA"/>
    <w:rsid w:val="005A1F63"/>
    <w:rsid w:val="005A30F0"/>
    <w:rsid w:val="005A5578"/>
    <w:rsid w:val="005A7E5D"/>
    <w:rsid w:val="005B3CF6"/>
    <w:rsid w:val="005B6C29"/>
    <w:rsid w:val="005D129C"/>
    <w:rsid w:val="005D314F"/>
    <w:rsid w:val="005D6C15"/>
    <w:rsid w:val="005F40C8"/>
    <w:rsid w:val="005F754A"/>
    <w:rsid w:val="006015E0"/>
    <w:rsid w:val="00611A58"/>
    <w:rsid w:val="00620151"/>
    <w:rsid w:val="00634C4C"/>
    <w:rsid w:val="00643875"/>
    <w:rsid w:val="006472EA"/>
    <w:rsid w:val="00647614"/>
    <w:rsid w:val="0065754E"/>
    <w:rsid w:val="00671DBC"/>
    <w:rsid w:val="006752FC"/>
    <w:rsid w:val="006A77F8"/>
    <w:rsid w:val="006A7EC6"/>
    <w:rsid w:val="006B239F"/>
    <w:rsid w:val="006B2A0F"/>
    <w:rsid w:val="006C07BD"/>
    <w:rsid w:val="006C1B37"/>
    <w:rsid w:val="006C498C"/>
    <w:rsid w:val="006D04EE"/>
    <w:rsid w:val="006D66DA"/>
    <w:rsid w:val="006D6AA1"/>
    <w:rsid w:val="006D6C59"/>
    <w:rsid w:val="006E6CD9"/>
    <w:rsid w:val="006F1C75"/>
    <w:rsid w:val="006F56D0"/>
    <w:rsid w:val="006F75B5"/>
    <w:rsid w:val="00707EB4"/>
    <w:rsid w:val="007110A0"/>
    <w:rsid w:val="00715471"/>
    <w:rsid w:val="00724F10"/>
    <w:rsid w:val="007313D2"/>
    <w:rsid w:val="00733245"/>
    <w:rsid w:val="00740E57"/>
    <w:rsid w:val="007418C1"/>
    <w:rsid w:val="00752948"/>
    <w:rsid w:val="00753C56"/>
    <w:rsid w:val="007554A8"/>
    <w:rsid w:val="00764138"/>
    <w:rsid w:val="00764419"/>
    <w:rsid w:val="00773B6B"/>
    <w:rsid w:val="007775BA"/>
    <w:rsid w:val="00784E48"/>
    <w:rsid w:val="00792E9D"/>
    <w:rsid w:val="007964B5"/>
    <w:rsid w:val="007A0513"/>
    <w:rsid w:val="007A2472"/>
    <w:rsid w:val="007A56C5"/>
    <w:rsid w:val="007B4361"/>
    <w:rsid w:val="007B55D8"/>
    <w:rsid w:val="007B6872"/>
    <w:rsid w:val="007C23F3"/>
    <w:rsid w:val="007E3E40"/>
    <w:rsid w:val="007F64CD"/>
    <w:rsid w:val="007F7202"/>
    <w:rsid w:val="00823AAF"/>
    <w:rsid w:val="00824288"/>
    <w:rsid w:val="0083058F"/>
    <w:rsid w:val="00847AD9"/>
    <w:rsid w:val="008517E7"/>
    <w:rsid w:val="00855281"/>
    <w:rsid w:val="00864647"/>
    <w:rsid w:val="008648A6"/>
    <w:rsid w:val="0087293E"/>
    <w:rsid w:val="008764AC"/>
    <w:rsid w:val="00885100"/>
    <w:rsid w:val="0089729D"/>
    <w:rsid w:val="008B2F17"/>
    <w:rsid w:val="008B526B"/>
    <w:rsid w:val="008C0339"/>
    <w:rsid w:val="008C12ED"/>
    <w:rsid w:val="008D5872"/>
    <w:rsid w:val="008D5ED6"/>
    <w:rsid w:val="008E1A78"/>
    <w:rsid w:val="008E4ACB"/>
    <w:rsid w:val="008F08BE"/>
    <w:rsid w:val="00900246"/>
    <w:rsid w:val="00907151"/>
    <w:rsid w:val="00911352"/>
    <w:rsid w:val="009142BC"/>
    <w:rsid w:val="00914B55"/>
    <w:rsid w:val="00925561"/>
    <w:rsid w:val="00942852"/>
    <w:rsid w:val="00943A22"/>
    <w:rsid w:val="009450E7"/>
    <w:rsid w:val="00952322"/>
    <w:rsid w:val="009523D4"/>
    <w:rsid w:val="00957D5A"/>
    <w:rsid w:val="00966BD4"/>
    <w:rsid w:val="00966D31"/>
    <w:rsid w:val="00973D23"/>
    <w:rsid w:val="00974739"/>
    <w:rsid w:val="00977248"/>
    <w:rsid w:val="00984B10"/>
    <w:rsid w:val="0099057B"/>
    <w:rsid w:val="00990B30"/>
    <w:rsid w:val="009A0BA2"/>
    <w:rsid w:val="009A1856"/>
    <w:rsid w:val="009A57EB"/>
    <w:rsid w:val="009B0833"/>
    <w:rsid w:val="009B6178"/>
    <w:rsid w:val="009B756C"/>
    <w:rsid w:val="009C7BC6"/>
    <w:rsid w:val="009D4A4E"/>
    <w:rsid w:val="009E6603"/>
    <w:rsid w:val="009F15B6"/>
    <w:rsid w:val="009F454C"/>
    <w:rsid w:val="009F4ADF"/>
    <w:rsid w:val="00A00CEB"/>
    <w:rsid w:val="00A117E7"/>
    <w:rsid w:val="00A17830"/>
    <w:rsid w:val="00A22022"/>
    <w:rsid w:val="00A35C60"/>
    <w:rsid w:val="00A36097"/>
    <w:rsid w:val="00A445C2"/>
    <w:rsid w:val="00A45E98"/>
    <w:rsid w:val="00A50C8B"/>
    <w:rsid w:val="00A50FDE"/>
    <w:rsid w:val="00A6435E"/>
    <w:rsid w:val="00A6597E"/>
    <w:rsid w:val="00A70477"/>
    <w:rsid w:val="00A71014"/>
    <w:rsid w:val="00A7688D"/>
    <w:rsid w:val="00A778A2"/>
    <w:rsid w:val="00A83524"/>
    <w:rsid w:val="00A969AF"/>
    <w:rsid w:val="00AA4F1F"/>
    <w:rsid w:val="00AB222C"/>
    <w:rsid w:val="00AB351C"/>
    <w:rsid w:val="00AC5E36"/>
    <w:rsid w:val="00AC5EBB"/>
    <w:rsid w:val="00AD5262"/>
    <w:rsid w:val="00AD6379"/>
    <w:rsid w:val="00AD7A0E"/>
    <w:rsid w:val="00AD7EA1"/>
    <w:rsid w:val="00AF2D0A"/>
    <w:rsid w:val="00B01D86"/>
    <w:rsid w:val="00B02BA2"/>
    <w:rsid w:val="00B0701D"/>
    <w:rsid w:val="00B07C40"/>
    <w:rsid w:val="00B127E5"/>
    <w:rsid w:val="00B14B23"/>
    <w:rsid w:val="00B364F1"/>
    <w:rsid w:val="00B438DF"/>
    <w:rsid w:val="00B52A16"/>
    <w:rsid w:val="00B57F27"/>
    <w:rsid w:val="00B64ED1"/>
    <w:rsid w:val="00B73D0E"/>
    <w:rsid w:val="00B74675"/>
    <w:rsid w:val="00B76DD9"/>
    <w:rsid w:val="00B77893"/>
    <w:rsid w:val="00B90D26"/>
    <w:rsid w:val="00B94146"/>
    <w:rsid w:val="00BB06E2"/>
    <w:rsid w:val="00BB6376"/>
    <w:rsid w:val="00BB73C5"/>
    <w:rsid w:val="00BC1464"/>
    <w:rsid w:val="00BC2BAC"/>
    <w:rsid w:val="00BD46BD"/>
    <w:rsid w:val="00BE526D"/>
    <w:rsid w:val="00BE693E"/>
    <w:rsid w:val="00BE7E95"/>
    <w:rsid w:val="00BF00B5"/>
    <w:rsid w:val="00BF2B86"/>
    <w:rsid w:val="00BF6408"/>
    <w:rsid w:val="00C01C42"/>
    <w:rsid w:val="00C071E9"/>
    <w:rsid w:val="00C370B4"/>
    <w:rsid w:val="00C37129"/>
    <w:rsid w:val="00C45553"/>
    <w:rsid w:val="00C60B33"/>
    <w:rsid w:val="00C73FAF"/>
    <w:rsid w:val="00C76E09"/>
    <w:rsid w:val="00C84D3C"/>
    <w:rsid w:val="00CA453B"/>
    <w:rsid w:val="00CA5D01"/>
    <w:rsid w:val="00CA74ED"/>
    <w:rsid w:val="00CA7F87"/>
    <w:rsid w:val="00CB1970"/>
    <w:rsid w:val="00CB51BF"/>
    <w:rsid w:val="00CB61A8"/>
    <w:rsid w:val="00CB744C"/>
    <w:rsid w:val="00CC78D8"/>
    <w:rsid w:val="00CD1EC5"/>
    <w:rsid w:val="00CE4375"/>
    <w:rsid w:val="00CE5566"/>
    <w:rsid w:val="00D00F29"/>
    <w:rsid w:val="00D039C2"/>
    <w:rsid w:val="00D062D5"/>
    <w:rsid w:val="00D06D60"/>
    <w:rsid w:val="00D1389B"/>
    <w:rsid w:val="00D25647"/>
    <w:rsid w:val="00D27189"/>
    <w:rsid w:val="00D328BF"/>
    <w:rsid w:val="00D4673B"/>
    <w:rsid w:val="00D47307"/>
    <w:rsid w:val="00D52824"/>
    <w:rsid w:val="00D55A76"/>
    <w:rsid w:val="00D70AB6"/>
    <w:rsid w:val="00D729A3"/>
    <w:rsid w:val="00D76C33"/>
    <w:rsid w:val="00D77BC7"/>
    <w:rsid w:val="00D809CA"/>
    <w:rsid w:val="00D91B30"/>
    <w:rsid w:val="00D97ABB"/>
    <w:rsid w:val="00DA093C"/>
    <w:rsid w:val="00DA0BAA"/>
    <w:rsid w:val="00DA2A91"/>
    <w:rsid w:val="00DD262F"/>
    <w:rsid w:val="00DD2F90"/>
    <w:rsid w:val="00DD50BD"/>
    <w:rsid w:val="00DE33B3"/>
    <w:rsid w:val="00DF0833"/>
    <w:rsid w:val="00DF147E"/>
    <w:rsid w:val="00E04088"/>
    <w:rsid w:val="00E05CBC"/>
    <w:rsid w:val="00E06C0F"/>
    <w:rsid w:val="00E10D14"/>
    <w:rsid w:val="00E15F20"/>
    <w:rsid w:val="00E24038"/>
    <w:rsid w:val="00E3316C"/>
    <w:rsid w:val="00E34DAB"/>
    <w:rsid w:val="00E4579E"/>
    <w:rsid w:val="00E45DF5"/>
    <w:rsid w:val="00E47B93"/>
    <w:rsid w:val="00E52E2F"/>
    <w:rsid w:val="00E54A35"/>
    <w:rsid w:val="00E56E2C"/>
    <w:rsid w:val="00E57098"/>
    <w:rsid w:val="00E63DDD"/>
    <w:rsid w:val="00E64962"/>
    <w:rsid w:val="00E670D7"/>
    <w:rsid w:val="00E678C1"/>
    <w:rsid w:val="00E67BF8"/>
    <w:rsid w:val="00E741C7"/>
    <w:rsid w:val="00E77A7B"/>
    <w:rsid w:val="00E867B4"/>
    <w:rsid w:val="00E9332C"/>
    <w:rsid w:val="00EA0D6D"/>
    <w:rsid w:val="00EB0B59"/>
    <w:rsid w:val="00EB6A74"/>
    <w:rsid w:val="00EC0568"/>
    <w:rsid w:val="00EC67F1"/>
    <w:rsid w:val="00EC7B1A"/>
    <w:rsid w:val="00ED2D16"/>
    <w:rsid w:val="00ED6138"/>
    <w:rsid w:val="00EE017D"/>
    <w:rsid w:val="00EF0592"/>
    <w:rsid w:val="00EF0A6D"/>
    <w:rsid w:val="00EF3C67"/>
    <w:rsid w:val="00F04D26"/>
    <w:rsid w:val="00F23182"/>
    <w:rsid w:val="00F233A1"/>
    <w:rsid w:val="00F311EA"/>
    <w:rsid w:val="00F3334E"/>
    <w:rsid w:val="00F35694"/>
    <w:rsid w:val="00F357D2"/>
    <w:rsid w:val="00F369B0"/>
    <w:rsid w:val="00F42A36"/>
    <w:rsid w:val="00F42E6E"/>
    <w:rsid w:val="00F53AFF"/>
    <w:rsid w:val="00F56646"/>
    <w:rsid w:val="00F56729"/>
    <w:rsid w:val="00F56868"/>
    <w:rsid w:val="00F8240A"/>
    <w:rsid w:val="00F825C4"/>
    <w:rsid w:val="00F83FB0"/>
    <w:rsid w:val="00F863FF"/>
    <w:rsid w:val="00F90B83"/>
    <w:rsid w:val="00F9206D"/>
    <w:rsid w:val="00F95E15"/>
    <w:rsid w:val="00F96270"/>
    <w:rsid w:val="00FB021F"/>
    <w:rsid w:val="00FC03DA"/>
    <w:rsid w:val="00FD11AC"/>
    <w:rsid w:val="00FE08D2"/>
    <w:rsid w:val="00FE1B2C"/>
    <w:rsid w:val="00FE1F78"/>
    <w:rsid w:val="00FE5946"/>
    <w:rsid w:val="00FF22FC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3D7B29F"/>
  <w15:docId w15:val="{A910CC16-5BEC-4C86-B1CF-5ECB5904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</w:pPr>
    <w:rPr>
      <w:rFonts w:hAnsi="Arial Unicode MS" w:cs="Arial Unicode MS"/>
      <w:color w:val="000000"/>
      <w:kern w:val="2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527"/>
    <w:pPr>
      <w:ind w:left="720"/>
      <w:contextualSpacing/>
    </w:pPr>
  </w:style>
  <w:style w:type="paragraph" w:customStyle="1" w:styleId="title1">
    <w:name w:val="title1"/>
    <w:basedOn w:val="Normal"/>
    <w:rsid w:val="00F825C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kern w:val="0"/>
      <w:sz w:val="27"/>
      <w:szCs w:val="27"/>
      <w:bdr w:val="none" w:sz="0" w:space="0" w:color="auto"/>
      <w:lang w:val="en-GB" w:eastAsia="en-GB"/>
    </w:rPr>
  </w:style>
  <w:style w:type="paragraph" w:customStyle="1" w:styleId="desc2">
    <w:name w:val="desc2"/>
    <w:basedOn w:val="Normal"/>
    <w:rsid w:val="00F825C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kern w:val="0"/>
      <w:sz w:val="26"/>
      <w:szCs w:val="26"/>
      <w:bdr w:val="none" w:sz="0" w:space="0" w:color="auto"/>
      <w:lang w:val="en-GB" w:eastAsia="en-GB"/>
    </w:rPr>
  </w:style>
  <w:style w:type="paragraph" w:customStyle="1" w:styleId="details1">
    <w:name w:val="details1"/>
    <w:basedOn w:val="Normal"/>
    <w:rsid w:val="00F825C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kern w:val="0"/>
      <w:sz w:val="22"/>
      <w:szCs w:val="22"/>
      <w:bdr w:val="none" w:sz="0" w:space="0" w:color="auto"/>
      <w:lang w:val="en-GB" w:eastAsia="en-GB"/>
    </w:rPr>
  </w:style>
  <w:style w:type="character" w:customStyle="1" w:styleId="jrnl">
    <w:name w:val="jrnl"/>
    <w:basedOn w:val="DefaultParagraphFont"/>
    <w:rsid w:val="00F825C4"/>
  </w:style>
  <w:style w:type="character" w:customStyle="1" w:styleId="element-citation">
    <w:name w:val="element-citation"/>
    <w:basedOn w:val="DefaultParagraphFont"/>
    <w:rsid w:val="00FD11AC"/>
  </w:style>
  <w:style w:type="character" w:customStyle="1" w:styleId="ref-journal">
    <w:name w:val="ref-journal"/>
    <w:basedOn w:val="DefaultParagraphFont"/>
    <w:rsid w:val="00FD11AC"/>
  </w:style>
  <w:style w:type="character" w:customStyle="1" w:styleId="ref-vol">
    <w:name w:val="ref-vol"/>
    <w:basedOn w:val="DefaultParagraphFont"/>
    <w:rsid w:val="00FD11AC"/>
  </w:style>
  <w:style w:type="character" w:customStyle="1" w:styleId="nowrap">
    <w:name w:val="nowrap"/>
    <w:basedOn w:val="DefaultParagraphFont"/>
    <w:rsid w:val="00FD11AC"/>
  </w:style>
  <w:style w:type="paragraph" w:styleId="Header">
    <w:name w:val="header"/>
    <w:basedOn w:val="Normal"/>
    <w:link w:val="HeaderChar"/>
    <w:uiPriority w:val="99"/>
    <w:unhideWhenUsed/>
    <w:rsid w:val="00A4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45C2"/>
    <w:rPr>
      <w:rFonts w:hAnsi="Arial Unicode MS" w:cs="Arial Unicode MS"/>
      <w:color w:val="000000"/>
      <w:kern w:val="2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45C2"/>
    <w:rPr>
      <w:rFonts w:hAnsi="Arial Unicode MS" w:cs="Arial Unicode MS"/>
      <w:color w:val="000000"/>
      <w:kern w:val="2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614"/>
    <w:rPr>
      <w:rFonts w:hAnsi="Arial Unicode MS" w:cs="Arial Unicode MS"/>
      <w:color w:val="000000"/>
      <w:kern w:val="2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614"/>
    <w:rPr>
      <w:rFonts w:hAnsi="Arial Unicode MS" w:cs="Arial Unicode MS"/>
      <w:b/>
      <w:bCs/>
      <w:color w:val="000000"/>
      <w:kern w:val="2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14"/>
    <w:rPr>
      <w:rFonts w:ascii="Tahoma" w:hAnsi="Tahoma" w:cs="Tahoma"/>
      <w:color w:val="000000"/>
      <w:kern w:val="2"/>
      <w:sz w:val="16"/>
      <w:szCs w:val="16"/>
      <w:u w:color="000000"/>
      <w:lang w:val="en-US" w:eastAsia="en-US"/>
    </w:rPr>
  </w:style>
  <w:style w:type="paragraph" w:styleId="Revision">
    <w:name w:val="Revision"/>
    <w:hidden/>
    <w:uiPriority w:val="99"/>
    <w:semiHidden/>
    <w:rsid w:val="003E0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kern w:val="2"/>
      <w:sz w:val="24"/>
      <w:szCs w:val="24"/>
      <w:u w:color="000000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D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6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79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81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55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2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00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6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96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2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70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3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647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14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5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4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0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5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4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4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9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88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23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3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5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2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11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164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2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7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61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0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29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41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11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8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5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30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19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3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3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43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0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3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20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7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08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76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49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5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299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8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0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D134-EFF6-4BE8-AA31-82469AE0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14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Macerollo</dc:creator>
  <cp:lastModifiedBy>Macerollo, Antonella</cp:lastModifiedBy>
  <cp:revision>75</cp:revision>
  <dcterms:created xsi:type="dcterms:W3CDTF">2017-01-24T02:49:00Z</dcterms:created>
  <dcterms:modified xsi:type="dcterms:W3CDTF">2017-05-15T11:04:00Z</dcterms:modified>
</cp:coreProperties>
</file>