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80" w:rsidRPr="00733180" w:rsidRDefault="00733180" w:rsidP="00733180">
      <w:pPr>
        <w:rPr>
          <w:b/>
          <w:bCs/>
        </w:rPr>
      </w:pPr>
      <w:r w:rsidRPr="00733180">
        <w:rPr>
          <w:b/>
          <w:bCs/>
        </w:rPr>
        <w:t xml:space="preserve">Effect of dapagliflozin </w:t>
      </w:r>
      <w:proofErr w:type="gramStart"/>
      <w:r w:rsidRPr="00733180">
        <w:rPr>
          <w:b/>
          <w:bCs/>
        </w:rPr>
        <w:t>on cardiovascular outcomes in patients with type 2 diabetes according to baseline renal function and albuminuria status</w:t>
      </w:r>
      <w:proofErr w:type="gramEnd"/>
      <w:r w:rsidRPr="00733180">
        <w:rPr>
          <w:b/>
          <w:bCs/>
        </w:rPr>
        <w:t>: Insights from DECLARE-TIMI 58</w:t>
      </w:r>
    </w:p>
    <w:p w:rsidR="00733180" w:rsidRDefault="00733180"/>
    <w:tbl>
      <w:tblPr>
        <w:tblW w:w="0" w:type="auto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26"/>
      </w:tblGrid>
      <w:tr w:rsidR="005D22DA" w:rsidRPr="005D22DA" w:rsidTr="005D22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22DA" w:rsidRPr="005D22DA" w:rsidRDefault="005D22DA" w:rsidP="005D22DA">
            <w:r w:rsidRPr="005D22DA">
              <w:rPr>
                <w:b/>
                <w:bCs/>
              </w:rPr>
              <w:t>Authors:</w:t>
            </w:r>
            <w:r w:rsidRPr="005D22DA">
              <w:br/>
            </w:r>
            <w:hyperlink r:id="rId4" w:history="1">
              <w:r w:rsidRPr="005D22DA">
                <w:rPr>
                  <w:rStyle w:val="Hyperlink"/>
                  <w:b/>
                  <w:bCs/>
                </w:rPr>
                <w:t>TA Zelniker</w:t>
              </w:r>
            </w:hyperlink>
            <w:r w:rsidRPr="005D22DA">
              <w:t> (TIMI Study Group, Brigham and Women's Hospital and Harvard Medical School, Boston /United States of America), </w:t>
            </w:r>
            <w:hyperlink r:id="rId5" w:history="1">
              <w:r w:rsidRPr="005D22DA">
                <w:rPr>
                  <w:rStyle w:val="Hyperlink"/>
                  <w:b/>
                  <w:bCs/>
                </w:rPr>
                <w:t>I Raz</w:t>
              </w:r>
            </w:hyperlink>
            <w:r w:rsidRPr="005D22DA">
              <w:t xml:space="preserve"> (Hadassah University Medical </w:t>
            </w:r>
            <w:proofErr w:type="spellStart"/>
            <w:r w:rsidRPr="005D22DA">
              <w:t>Center</w:t>
            </w:r>
            <w:proofErr w:type="spellEnd"/>
            <w:r w:rsidRPr="005D22DA">
              <w:t>, Jerusalem /Israel), </w:t>
            </w:r>
            <w:hyperlink r:id="rId6" w:history="1">
              <w:r w:rsidRPr="005D22DA">
                <w:rPr>
                  <w:rStyle w:val="Hyperlink"/>
                  <w:b/>
                  <w:bCs/>
                </w:rPr>
                <w:t>O Mosenzon</w:t>
              </w:r>
            </w:hyperlink>
            <w:r w:rsidRPr="005D22DA">
              <w:t xml:space="preserve"> (Hadassah University Medical </w:t>
            </w:r>
            <w:proofErr w:type="spellStart"/>
            <w:r w:rsidRPr="005D22DA">
              <w:t>Center</w:t>
            </w:r>
            <w:proofErr w:type="spellEnd"/>
            <w:r w:rsidRPr="005D22DA">
              <w:t>, Jerusalem /Israel), </w:t>
            </w:r>
            <w:hyperlink r:id="rId7" w:history="1">
              <w:r w:rsidRPr="005D22DA">
                <w:rPr>
                  <w:rStyle w:val="Hyperlink"/>
                  <w:b/>
                  <w:bCs/>
                </w:rPr>
                <w:t>JP Dwyer</w:t>
              </w:r>
            </w:hyperlink>
            <w:r w:rsidRPr="005D22DA">
              <w:t> (Vanderbilt University, Nashville /United States of America), </w:t>
            </w:r>
            <w:hyperlink r:id="rId8" w:history="1">
              <w:r w:rsidRPr="005D22DA">
                <w:rPr>
                  <w:rStyle w:val="Hyperlink"/>
                  <w:b/>
                  <w:bCs/>
                </w:rPr>
                <w:t>HJL Heerspink</w:t>
              </w:r>
            </w:hyperlink>
            <w:r w:rsidRPr="005D22DA">
              <w:t xml:space="preserve"> (University Medical </w:t>
            </w:r>
            <w:proofErr w:type="spellStart"/>
            <w:r w:rsidRPr="005D22DA">
              <w:t>Center</w:t>
            </w:r>
            <w:proofErr w:type="spellEnd"/>
            <w:r w:rsidRPr="005D22DA">
              <w:t xml:space="preserve"> Groningen, Groningen /Netherlands (The)), </w:t>
            </w:r>
            <w:hyperlink r:id="rId9" w:history="1">
              <w:r w:rsidRPr="005D22DA">
                <w:rPr>
                  <w:rStyle w:val="Hyperlink"/>
                  <w:b/>
                  <w:bCs/>
                </w:rPr>
                <w:t>A Cahn</w:t>
              </w:r>
            </w:hyperlink>
            <w:r w:rsidRPr="005D22DA">
              <w:t xml:space="preserve"> (Hadassah University Medical </w:t>
            </w:r>
            <w:proofErr w:type="spellStart"/>
            <w:r w:rsidRPr="005D22DA">
              <w:t>Center</w:t>
            </w:r>
            <w:proofErr w:type="spellEnd"/>
            <w:r w:rsidRPr="005D22DA">
              <w:t>, Jerusalem /Israel), </w:t>
            </w:r>
            <w:hyperlink r:id="rId10" w:history="1">
              <w:r w:rsidRPr="005D22DA">
                <w:rPr>
                  <w:rStyle w:val="Hyperlink"/>
                  <w:b/>
                  <w:bCs/>
                </w:rPr>
                <w:t>K Im</w:t>
              </w:r>
            </w:hyperlink>
            <w:r w:rsidRPr="005D22DA">
              <w:t> (TIMI Study Group, Brigham and Women's Hospital and Harvard Medical School, Boston /United States of America), </w:t>
            </w:r>
            <w:hyperlink r:id="rId11" w:history="1">
              <w:r w:rsidRPr="005D22DA">
                <w:rPr>
                  <w:rStyle w:val="Hyperlink"/>
                  <w:b/>
                  <w:bCs/>
                </w:rPr>
                <w:t>DL Bhatt</w:t>
              </w:r>
            </w:hyperlink>
            <w:r w:rsidRPr="005D22DA">
              <w:t> (TIMI Study Group, Brigham and Women's Hospital and Harvard Medical School, Boston /United States of America), </w:t>
            </w:r>
            <w:hyperlink r:id="rId12" w:history="1">
              <w:r w:rsidRPr="005D22DA">
                <w:rPr>
                  <w:rStyle w:val="Hyperlink"/>
                  <w:b/>
                  <w:bCs/>
                </w:rPr>
                <w:t>LA Leiter</w:t>
              </w:r>
            </w:hyperlink>
            <w:r w:rsidRPr="005D22DA">
              <w:t> (University of Toronto, Toronto /Canada), </w:t>
            </w:r>
            <w:hyperlink r:id="rId13" w:history="1">
              <w:r w:rsidRPr="005D22DA">
                <w:rPr>
                  <w:rStyle w:val="Hyperlink"/>
                  <w:b/>
                  <w:bCs/>
                </w:rPr>
                <w:t xml:space="preserve">DK </w:t>
              </w:r>
              <w:proofErr w:type="spellStart"/>
              <w:r w:rsidRPr="005D22DA">
                <w:rPr>
                  <w:rStyle w:val="Hyperlink"/>
                  <w:b/>
                  <w:bCs/>
                </w:rPr>
                <w:t>Mcguire</w:t>
              </w:r>
              <w:proofErr w:type="spellEnd"/>
            </w:hyperlink>
            <w:r w:rsidRPr="005D22DA">
              <w:t xml:space="preserve"> (University of Texas </w:t>
            </w:r>
            <w:proofErr w:type="spellStart"/>
            <w:r w:rsidRPr="005D22DA">
              <w:t>Southwestern</w:t>
            </w:r>
            <w:proofErr w:type="spellEnd"/>
            <w:r w:rsidRPr="005D22DA">
              <w:t xml:space="preserve"> Medical </w:t>
            </w:r>
            <w:proofErr w:type="spellStart"/>
            <w:r w:rsidRPr="005D22DA">
              <w:t>Center</w:t>
            </w:r>
            <w:proofErr w:type="spellEnd"/>
            <w:r w:rsidRPr="005D22DA">
              <w:t>, Dallas /United States of America), </w:t>
            </w:r>
            <w:hyperlink r:id="rId14" w:history="1">
              <w:r w:rsidRPr="005D22DA">
                <w:rPr>
                  <w:rStyle w:val="Hyperlink"/>
                  <w:b/>
                  <w:bCs/>
                </w:rPr>
                <w:t>JPH Wilding</w:t>
              </w:r>
            </w:hyperlink>
            <w:r w:rsidRPr="005D22DA">
              <w:t> (University of Liverpool, Liverpool /United Kingdom of Great Britain &amp; Northern Ireland), </w:t>
            </w:r>
            <w:hyperlink r:id="rId15" w:history="1">
              <w:r w:rsidRPr="005D22DA">
                <w:rPr>
                  <w:rStyle w:val="Hyperlink"/>
                  <w:b/>
                  <w:bCs/>
                </w:rPr>
                <w:t>IAM Gause-Nilsson</w:t>
              </w:r>
            </w:hyperlink>
            <w:r w:rsidRPr="005D22DA">
              <w:t> (AstraZeneca, Gothenburg /Sweden), </w:t>
            </w:r>
            <w:hyperlink r:id="rId16" w:history="1">
              <w:r w:rsidRPr="005D22DA">
                <w:rPr>
                  <w:rStyle w:val="Hyperlink"/>
                  <w:b/>
                  <w:bCs/>
                </w:rPr>
                <w:t>AM Langkilde</w:t>
              </w:r>
            </w:hyperlink>
            <w:r w:rsidRPr="005D22DA">
              <w:t> (AstraZeneca, Gothenburg /Sweden), </w:t>
            </w:r>
            <w:hyperlink r:id="rId17" w:history="1">
              <w:r w:rsidRPr="005D22DA">
                <w:rPr>
                  <w:rStyle w:val="Hyperlink"/>
                  <w:b/>
                  <w:bCs/>
                </w:rPr>
                <w:t>MS Sabatine</w:t>
              </w:r>
            </w:hyperlink>
            <w:r w:rsidRPr="005D22DA">
              <w:t> (TIMI Study Group, Brigham and Women's Hospital and Harvard Medical School, Boston /United States of America), </w:t>
            </w:r>
            <w:hyperlink r:id="rId18" w:history="1">
              <w:r w:rsidRPr="005D22DA">
                <w:rPr>
                  <w:rStyle w:val="Hyperlink"/>
                  <w:b/>
                  <w:bCs/>
                </w:rPr>
                <w:t>SD Wiviott</w:t>
              </w:r>
            </w:hyperlink>
            <w:r w:rsidRPr="005D22DA">
              <w:t> (TIMI Study Group, Brigham and Women's Hospital and Harvard Medical School, Boston /United States of America)</w:t>
            </w:r>
          </w:p>
        </w:tc>
      </w:tr>
      <w:tr w:rsidR="005D22DA" w:rsidRPr="005D22DA" w:rsidTr="007331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5D22DA" w:rsidRPr="005D22DA" w:rsidRDefault="005D22DA" w:rsidP="005D22DA">
            <w:bookmarkStart w:id="0" w:name="_GoBack"/>
            <w:bookmarkEnd w:id="0"/>
          </w:p>
        </w:tc>
      </w:tr>
      <w:tr w:rsidR="005D22DA" w:rsidRPr="005D22DA" w:rsidTr="007331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5D22DA" w:rsidRPr="005D22DA" w:rsidRDefault="005D22DA" w:rsidP="005D22DA"/>
        </w:tc>
      </w:tr>
      <w:tr w:rsidR="005D22DA" w:rsidRPr="005D22DA" w:rsidTr="005D22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22DA" w:rsidRPr="005D22DA" w:rsidRDefault="005D22DA" w:rsidP="005D22DA">
            <w:r w:rsidRPr="005D22DA">
              <w:t xml:space="preserve">Background: Renal dysfunction including both reduced estimated glomerular filtration rate (eGFR) and the presence of albuminuria </w:t>
            </w:r>
            <w:proofErr w:type="gramStart"/>
            <w:r w:rsidRPr="005D22DA">
              <w:t>have each been shown</w:t>
            </w:r>
            <w:proofErr w:type="gramEnd"/>
            <w:r w:rsidRPr="005D22DA">
              <w:t xml:space="preserve"> to predict cardiovascular (CV) outcomes. Sodium glucose co-transporter 2 inhibitors (SGLT2i), which promote glucose excretion in the kidneys, reduce CV events and hospitalizations for heart failure (HHF) in patients with type 2 diabetes mellitus (T2DM).</w:t>
            </w:r>
            <w:r w:rsidRPr="005D22DA">
              <w:br/>
            </w:r>
            <w:r w:rsidRPr="005D22DA">
              <w:br/>
              <w:t xml:space="preserve">Purpose: To </w:t>
            </w:r>
            <w:proofErr w:type="spellStart"/>
            <w:r w:rsidRPr="005D22DA">
              <w:t>analyze</w:t>
            </w:r>
            <w:proofErr w:type="spellEnd"/>
            <w:r w:rsidRPr="005D22DA">
              <w:t xml:space="preserve"> the CV efficacy of dapagliflozin according to baseline renal function and albuminuria status in DECLARE-TIMI 58.</w:t>
            </w:r>
            <w:r w:rsidRPr="005D22DA">
              <w:br/>
            </w:r>
            <w:r w:rsidRPr="005D22DA">
              <w:br/>
              <w:t xml:space="preserve">Methods: The DECLARE-TIMI 58 trial compared dapagliflozin vs. placebo in 17,160 patients with T2DM and a creatinine clearance &gt;60 ml/min/1.73m² at </w:t>
            </w:r>
            <w:proofErr w:type="spellStart"/>
            <w:r w:rsidRPr="005D22DA">
              <w:t>enrollment</w:t>
            </w:r>
            <w:proofErr w:type="spellEnd"/>
            <w:r w:rsidRPr="005D22DA">
              <w:t xml:space="preserve">. The dual primary endpoints were CV death/HHF and MACE (MI, stroke, CV death). We categorized patients according baseline eGFR [&lt;60 vs. =60 ml/min/1.73m² according to the CKD-EPI formula] and urinary </w:t>
            </w:r>
            <w:proofErr w:type="spellStart"/>
            <w:r w:rsidRPr="005D22DA">
              <w:t>albumin</w:t>
            </w:r>
            <w:proofErr w:type="gramStart"/>
            <w:r w:rsidRPr="005D22DA">
              <w:t>:creatinine</w:t>
            </w:r>
            <w:proofErr w:type="spellEnd"/>
            <w:proofErr w:type="gramEnd"/>
            <w:r w:rsidRPr="005D22DA">
              <w:t xml:space="preserve"> ratio (UACR) [&lt;30 vs. =30 mg/g]. Cox regression models with interaction testing </w:t>
            </w:r>
            <w:proofErr w:type="gramStart"/>
            <w:r w:rsidRPr="005D22DA">
              <w:t>were applied</w:t>
            </w:r>
            <w:proofErr w:type="gramEnd"/>
            <w:r w:rsidRPr="005D22DA">
              <w:t xml:space="preserve">. The Gail-Simon test </w:t>
            </w:r>
            <w:proofErr w:type="gramStart"/>
            <w:r w:rsidRPr="005D22DA">
              <w:t>was used</w:t>
            </w:r>
            <w:proofErr w:type="gramEnd"/>
            <w:r w:rsidRPr="005D22DA">
              <w:t xml:space="preserve"> to test for interaction of the absolute risk differences.</w:t>
            </w:r>
            <w:r w:rsidRPr="005D22DA">
              <w:br/>
            </w:r>
            <w:r w:rsidRPr="005D22DA">
              <w:br/>
              <w:t xml:space="preserve">Results: In total, 5198 (30.3%) patients had albuminuria (UACR 30-300: n=4029; UACR &gt;300: n=1169) and 1265 (7.4%) had an eGFR &lt;60 ml/min/1.73m². Accordingly, 10958 (63.9%) patients had no manifestation of CKD, 5367 (31.3%) had either an eGFR &lt;60 ml/min/1.73m² or albuminuria, and 548 (3.2%) patients had both manifestations. Patients with more abnormal markers had higher event rates for CV death/HHF (KM event rates at 4 years of 3.9%, 8.3%, </w:t>
            </w:r>
            <w:proofErr w:type="gramStart"/>
            <w:r w:rsidRPr="005D22DA">
              <w:t>17.4</w:t>
            </w:r>
            <w:proofErr w:type="gramEnd"/>
            <w:r w:rsidRPr="005D22DA">
              <w:t xml:space="preserve">%) and MACE (7.5%, 11.7%, and 18.9%) for no, 1, or 2 markers of CKD, respectively. The relative risk reductions for CV </w:t>
            </w:r>
            <w:r w:rsidRPr="005D22DA">
              <w:lastRenderedPageBreak/>
              <w:t>death/HHF and MACE were generally consistent across the subgroups (both P-interaction &gt;0.29), though numerically greatest (42%) in patients with reduced eGFR and albuminuria. However, the absolute risk difference increased substantially in patients with greater kidney damage (absolute risk difference of CV death/HHF: -0.5%, -1.0%, and -8.3%, respectively; P-INT for ARD 0.002; Figure). See figure for MACE and component outcomes.</w:t>
            </w:r>
            <w:r w:rsidRPr="005D22DA">
              <w:br/>
            </w:r>
            <w:r w:rsidRPr="005D22DA">
              <w:br/>
              <w:t>Conclusions: Patients with baseline renal disease had higher rates of adverse CV outcomes. Dapagliflozin reduced events with generally consistent relative risk, but reduced the absolute risk of CVD/HHF by the greatest amount in patients with kidney disease evidenced by both reduced eGFR and albuminuria.</w:t>
            </w:r>
          </w:p>
        </w:tc>
      </w:tr>
      <w:tr w:rsidR="005D22DA" w:rsidRPr="005D22DA" w:rsidTr="005D22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22DA" w:rsidRPr="005D22DA" w:rsidRDefault="005D22DA" w:rsidP="005D22DA"/>
        </w:tc>
      </w:tr>
      <w:tr w:rsidR="005D22DA" w:rsidRPr="005D22DA" w:rsidTr="005D22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22DA" w:rsidRPr="005D22DA" w:rsidRDefault="005D22DA" w:rsidP="005D22DA"/>
        </w:tc>
      </w:tr>
      <w:tr w:rsidR="005D22DA" w:rsidRPr="005D22DA" w:rsidTr="005D22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22DA" w:rsidRPr="005D22DA" w:rsidRDefault="005D22DA" w:rsidP="005D22DA"/>
        </w:tc>
      </w:tr>
      <w:tr w:rsidR="005D22DA" w:rsidRPr="005D22DA" w:rsidTr="005D22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22DA" w:rsidRPr="005D22DA" w:rsidRDefault="005D22DA" w:rsidP="005D22DA">
            <w:r w:rsidRPr="005D22DA">
              <w:drawing>
                <wp:inline distT="0" distB="0" distL="0" distR="0">
                  <wp:extent cx="7277100" cy="3857625"/>
                  <wp:effectExtent l="0" t="0" r="0" b="9525"/>
                  <wp:docPr id="1" name="Picture 1" descr="http://spo.escardio.org/Abstract%20Book%20Content/ESC%20CONGRESS%202019/23851320190214193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po.escardio.org/Abstract%20Book%20Content/ESC%20CONGRESS%202019/23851320190214193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5FBC" w:rsidRDefault="00B45FBC"/>
    <w:sectPr w:rsidR="00B4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DA"/>
    <w:rsid w:val="005D22DA"/>
    <w:rsid w:val="00733180"/>
    <w:rsid w:val="00B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887"/>
  <w15:chartTrackingRefBased/>
  <w15:docId w15:val="{ED7D1809-BF8B-4CC7-AF34-3B655FF5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.escardio.org/abstract-book/authors.aspx?id=236716" TargetMode="External"/><Relationship Id="rId13" Type="http://schemas.openxmlformats.org/officeDocument/2006/relationships/hyperlink" Target="http://spo.escardio.org/abstract-book/authors.aspx?id=4974" TargetMode="External"/><Relationship Id="rId18" Type="http://schemas.openxmlformats.org/officeDocument/2006/relationships/hyperlink" Target="http://spo.escardio.org/abstract-book/authors.aspx?id=3933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po.escardio.org/abstract-book/authors.aspx?id=236715" TargetMode="External"/><Relationship Id="rId12" Type="http://schemas.openxmlformats.org/officeDocument/2006/relationships/hyperlink" Target="http://spo.escardio.org/abstract-book/authors.aspx?id=9994" TargetMode="External"/><Relationship Id="rId17" Type="http://schemas.openxmlformats.org/officeDocument/2006/relationships/hyperlink" Target="http://spo.escardio.org/abstract-book/authors.aspx?id=107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o.escardio.org/abstract-book/authors.aspx?id=13244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po.escardio.org/abstract-book/authors.aspx?id=236714" TargetMode="External"/><Relationship Id="rId11" Type="http://schemas.openxmlformats.org/officeDocument/2006/relationships/hyperlink" Target="http://spo.escardio.org/abstract-book/authors.aspx?id=1004" TargetMode="External"/><Relationship Id="rId5" Type="http://schemas.openxmlformats.org/officeDocument/2006/relationships/hyperlink" Target="http://spo.escardio.org/abstract-book/authors.aspx?id=107977" TargetMode="External"/><Relationship Id="rId15" Type="http://schemas.openxmlformats.org/officeDocument/2006/relationships/hyperlink" Target="http://spo.escardio.org/abstract-book/authors.aspx?id=236719" TargetMode="External"/><Relationship Id="rId10" Type="http://schemas.openxmlformats.org/officeDocument/2006/relationships/hyperlink" Target="http://spo.escardio.org/abstract-book/authors.aspx?id=128260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://spo.escardio.org/abstract-book/authors.aspx?id=236713" TargetMode="External"/><Relationship Id="rId9" Type="http://schemas.openxmlformats.org/officeDocument/2006/relationships/hyperlink" Target="http://spo.escardio.org/abstract-book/authors.aspx?id=236717" TargetMode="External"/><Relationship Id="rId14" Type="http://schemas.openxmlformats.org/officeDocument/2006/relationships/hyperlink" Target="http://spo.escardio.org/abstract-book/authors.aspx?id=23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Wilding, John</dc:creator>
  <cp:keywords/>
  <dc:description/>
  <cp:lastModifiedBy>Wilding, John</cp:lastModifiedBy>
  <cp:revision>2</cp:revision>
  <dcterms:created xsi:type="dcterms:W3CDTF">2020-06-01T10:38:00Z</dcterms:created>
  <dcterms:modified xsi:type="dcterms:W3CDTF">2020-06-01T10:41:00Z</dcterms:modified>
</cp:coreProperties>
</file>