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40DF2" w14:textId="70F51AAB" w:rsidR="00E75BB3" w:rsidRPr="00B27E58" w:rsidRDefault="00B30524" w:rsidP="006E41A7">
      <w:pPr>
        <w:rPr>
          <w:b/>
          <w:bCs/>
        </w:rPr>
      </w:pPr>
      <w:r w:rsidRPr="00B27E58">
        <w:rPr>
          <w:b/>
          <w:bCs/>
        </w:rPr>
        <w:t>Scleraxis is required for the growth of adult tendons in response to mechanical loading</w:t>
      </w:r>
    </w:p>
    <w:p w14:paraId="57E7FF70" w14:textId="77777777" w:rsidR="00B30524" w:rsidRDefault="00B30524" w:rsidP="006E41A7"/>
    <w:p w14:paraId="7A3F55B5" w14:textId="77777777" w:rsidR="00B30524" w:rsidRDefault="00B27E58" w:rsidP="006E41A7">
      <w:r>
        <w:t>Jonathan P Gumucio</w:t>
      </w:r>
      <w:r w:rsidRPr="00B27E58">
        <w:rPr>
          <w:vertAlign w:val="superscript"/>
        </w:rPr>
        <w:t>1,2</w:t>
      </w:r>
      <w:r>
        <w:rPr>
          <w:vertAlign w:val="superscript"/>
        </w:rPr>
        <w:t>,^</w:t>
      </w:r>
      <w:r>
        <w:t>, Martin M Schonk</w:t>
      </w:r>
      <w:r w:rsidRPr="00B27E58">
        <w:rPr>
          <w:vertAlign w:val="superscript"/>
        </w:rPr>
        <w:t>3</w:t>
      </w:r>
      <w:r>
        <w:rPr>
          <w:vertAlign w:val="superscript"/>
        </w:rPr>
        <w:t>,^</w:t>
      </w:r>
      <w:r>
        <w:t xml:space="preserve">, </w:t>
      </w:r>
      <w:proofErr w:type="spellStart"/>
      <w:r w:rsidRPr="00B27E58">
        <w:t>Yalda</w:t>
      </w:r>
      <w:proofErr w:type="spellEnd"/>
      <w:r w:rsidRPr="00B27E58">
        <w:t xml:space="preserve"> A Kharaz</w:t>
      </w:r>
      <w:r w:rsidRPr="00B27E58">
        <w:rPr>
          <w:vertAlign w:val="superscript"/>
        </w:rPr>
        <w:t>4</w:t>
      </w:r>
      <w:r>
        <w:t>, Eithne Comerford</w:t>
      </w:r>
      <w:r w:rsidRPr="00B27E58">
        <w:rPr>
          <w:vertAlign w:val="superscript"/>
        </w:rPr>
        <w:t>4</w:t>
      </w:r>
      <w:r>
        <w:t>, Christopher L Mendias</w:t>
      </w:r>
      <w:r w:rsidRPr="00B27E58">
        <w:rPr>
          <w:vertAlign w:val="superscript"/>
        </w:rPr>
        <w:t>1,2,3,5,*</w:t>
      </w:r>
    </w:p>
    <w:p w14:paraId="6AC801C7" w14:textId="77777777" w:rsidR="00B27E58" w:rsidRDefault="00B27E58" w:rsidP="006E41A7"/>
    <w:p w14:paraId="15F92768" w14:textId="77777777" w:rsidR="00B27E58" w:rsidRDefault="00B27E58" w:rsidP="006E41A7">
      <w:r>
        <w:t xml:space="preserve">Departments of </w:t>
      </w:r>
      <w:r w:rsidRPr="00B27E58">
        <w:rPr>
          <w:vertAlign w:val="superscript"/>
        </w:rPr>
        <w:t>1</w:t>
      </w:r>
      <w:r>
        <w:t xml:space="preserve">Molecular &amp; Integrative Physiology and </w:t>
      </w:r>
      <w:r w:rsidRPr="00B27E58">
        <w:rPr>
          <w:vertAlign w:val="superscript"/>
        </w:rPr>
        <w:t>2</w:t>
      </w:r>
      <w:r>
        <w:t>Orthopaedic Surgery, University of Michigan Medical School, Ann Arbor, MI, USA</w:t>
      </w:r>
    </w:p>
    <w:p w14:paraId="12697ADB" w14:textId="77777777" w:rsidR="00B27E58" w:rsidRDefault="00B27E58" w:rsidP="006E41A7"/>
    <w:p w14:paraId="739ACE44" w14:textId="77777777" w:rsidR="00B27E58" w:rsidRDefault="00B27E58" w:rsidP="006E41A7">
      <w:r w:rsidRPr="00B27E58">
        <w:rPr>
          <w:vertAlign w:val="superscript"/>
        </w:rPr>
        <w:t>3</w:t>
      </w:r>
      <w:r>
        <w:t>Hospital for Special Surgery, New York, NY, USA</w:t>
      </w:r>
    </w:p>
    <w:p w14:paraId="14E7F513" w14:textId="77777777" w:rsidR="00B27E58" w:rsidRDefault="00B27E58" w:rsidP="006E41A7"/>
    <w:p w14:paraId="21B1A2CF" w14:textId="32AAFA81" w:rsidR="00B27E58" w:rsidRDefault="00B27E58" w:rsidP="006E41A7">
      <w:r w:rsidRPr="00B27E58">
        <w:rPr>
          <w:vertAlign w:val="superscript"/>
        </w:rPr>
        <w:t>4</w:t>
      </w:r>
      <w:r w:rsidRPr="00B27E58">
        <w:t>Department of Musculoskeletal Biology, Institute of Ageing and Chronic Disease,</w:t>
      </w:r>
      <w:r w:rsidR="00D07F98">
        <w:t xml:space="preserve"> </w:t>
      </w:r>
      <w:r w:rsidR="00D07F98" w:rsidRPr="00D07F98">
        <w:t>and Medical Research Council Versus Arthritis Centre for Integrated Research into Musculoskeletal Ageing</w:t>
      </w:r>
      <w:r w:rsidR="00D07F98">
        <w:t>,</w:t>
      </w:r>
      <w:r w:rsidRPr="00B27E58">
        <w:t xml:space="preserve"> University of Li</w:t>
      </w:r>
      <w:r w:rsidR="00D07F98">
        <w:t xml:space="preserve">verpool, </w:t>
      </w:r>
      <w:r w:rsidRPr="00B27E58">
        <w:t>Liverpool, UK</w:t>
      </w:r>
    </w:p>
    <w:p w14:paraId="36BFAEEC" w14:textId="77777777" w:rsidR="00B27E58" w:rsidRDefault="00B27E58" w:rsidP="006E41A7"/>
    <w:p w14:paraId="72A677C3" w14:textId="77777777" w:rsidR="00B27E58" w:rsidRDefault="00B27E58" w:rsidP="006E41A7">
      <w:r w:rsidRPr="00B27E58">
        <w:rPr>
          <w:vertAlign w:val="superscript"/>
        </w:rPr>
        <w:t>5</w:t>
      </w:r>
      <w:r>
        <w:t>Department of Physiology &amp; Biophysics, Weill Cornell Medical College, New York, NY, USA</w:t>
      </w:r>
    </w:p>
    <w:p w14:paraId="774D607C" w14:textId="77777777" w:rsidR="00B27E58" w:rsidRDefault="00B27E58" w:rsidP="006E41A7"/>
    <w:p w14:paraId="6E7B5D92" w14:textId="77777777" w:rsidR="00B27E58" w:rsidRDefault="00B27E58" w:rsidP="006E41A7"/>
    <w:p w14:paraId="0DC192DE" w14:textId="77777777" w:rsidR="00B27E58" w:rsidRDefault="00B27E58" w:rsidP="006E41A7">
      <w:r w:rsidRPr="00B27E58">
        <w:rPr>
          <w:vertAlign w:val="superscript"/>
        </w:rPr>
        <w:t>^</w:t>
      </w:r>
      <w:r>
        <w:t>These authors contributed equally to this work</w:t>
      </w:r>
    </w:p>
    <w:p w14:paraId="562C069E" w14:textId="77777777" w:rsidR="00B27E58" w:rsidRDefault="00B27E58" w:rsidP="006E41A7"/>
    <w:p w14:paraId="7206CF89" w14:textId="77777777" w:rsidR="00B27E58" w:rsidRDefault="00B27E58" w:rsidP="006E41A7"/>
    <w:p w14:paraId="0A54A971" w14:textId="77777777" w:rsidR="00B27E58" w:rsidRPr="00E06338" w:rsidRDefault="00B27E58" w:rsidP="006E41A7">
      <w:pPr>
        <w:outlineLvl w:val="0"/>
        <w:rPr>
          <w:i/>
          <w:iCs/>
          <w:u w:val="single"/>
        </w:rPr>
      </w:pPr>
      <w:r w:rsidRPr="00E06338">
        <w:rPr>
          <w:i/>
          <w:iCs/>
          <w:u w:val="single"/>
        </w:rPr>
        <w:t>Running Title</w:t>
      </w:r>
    </w:p>
    <w:p w14:paraId="6CF51277" w14:textId="77777777" w:rsidR="00B27E58" w:rsidRDefault="00B27E58" w:rsidP="006E41A7">
      <w:pPr>
        <w:outlineLvl w:val="0"/>
      </w:pPr>
      <w:r>
        <w:t xml:space="preserve">Scleraxis in adult tendon growth </w:t>
      </w:r>
    </w:p>
    <w:p w14:paraId="10D244D6" w14:textId="77777777" w:rsidR="00B27E58" w:rsidRDefault="00B27E58" w:rsidP="006E41A7">
      <w:pPr>
        <w:outlineLvl w:val="0"/>
      </w:pPr>
    </w:p>
    <w:p w14:paraId="6DA784E7" w14:textId="77777777" w:rsidR="00B27E58" w:rsidRDefault="00B27E58" w:rsidP="006E41A7">
      <w:pPr>
        <w:outlineLvl w:val="0"/>
      </w:pPr>
    </w:p>
    <w:p w14:paraId="4EA296D7" w14:textId="77777777" w:rsidR="00B27E58" w:rsidRPr="004E6D23" w:rsidRDefault="00B27E58" w:rsidP="006E41A7">
      <w:pPr>
        <w:rPr>
          <w:i/>
        </w:rPr>
      </w:pPr>
      <w:r w:rsidRPr="004E6D23">
        <w:rPr>
          <w:i/>
        </w:rPr>
        <w:t>*Corresponding author</w:t>
      </w:r>
    </w:p>
    <w:p w14:paraId="4E8198EF" w14:textId="77777777" w:rsidR="00B27E58" w:rsidRDefault="00B27E58" w:rsidP="006E41A7">
      <w:r>
        <w:t>Christopher Mendias, PhD</w:t>
      </w:r>
    </w:p>
    <w:p w14:paraId="5CD4F911" w14:textId="77777777" w:rsidR="00B27E58" w:rsidRDefault="00B27E58" w:rsidP="006E41A7">
      <w:r>
        <w:t>Hospital for Special Surgery</w:t>
      </w:r>
    </w:p>
    <w:p w14:paraId="7163DEC2" w14:textId="77777777" w:rsidR="00B27E58" w:rsidRDefault="00B27E58" w:rsidP="006E41A7">
      <w:r>
        <w:t xml:space="preserve">535 E 70th St </w:t>
      </w:r>
    </w:p>
    <w:p w14:paraId="1F65B3A9" w14:textId="77777777" w:rsidR="00B27E58" w:rsidRDefault="00B27E58" w:rsidP="006E41A7">
      <w:r>
        <w:t>New York, NY 10021</w:t>
      </w:r>
    </w:p>
    <w:p w14:paraId="1BAA258D" w14:textId="77777777" w:rsidR="00B27E58" w:rsidRDefault="00B27E58" w:rsidP="006E41A7">
      <w:r>
        <w:t>USA</w:t>
      </w:r>
    </w:p>
    <w:p w14:paraId="696F4CD0" w14:textId="77777777" w:rsidR="00B27E58" w:rsidRDefault="00B27E58" w:rsidP="006E41A7">
      <w:r>
        <w:t>+1 212-606-1785 office</w:t>
      </w:r>
    </w:p>
    <w:p w14:paraId="6DE2C969" w14:textId="77777777" w:rsidR="00B27E58" w:rsidRDefault="00B27E58" w:rsidP="006E41A7">
      <w:r>
        <w:t>+1 212-249-2373 fax</w:t>
      </w:r>
    </w:p>
    <w:p w14:paraId="3055B908" w14:textId="77777777" w:rsidR="00B27E58" w:rsidRDefault="00B27E58" w:rsidP="006E41A7">
      <w:r>
        <w:t>mendiasc@hss.edu</w:t>
      </w:r>
    </w:p>
    <w:p w14:paraId="63A8335B" w14:textId="77777777" w:rsidR="00B27E58" w:rsidRDefault="00B27E58" w:rsidP="006E41A7"/>
    <w:p w14:paraId="46C726E4" w14:textId="77777777" w:rsidR="00B27E58" w:rsidRDefault="00B27E58" w:rsidP="006E41A7"/>
    <w:p w14:paraId="612BC3D4" w14:textId="77777777" w:rsidR="00B27E58" w:rsidRDefault="00B27E58" w:rsidP="006E41A7">
      <w:r>
        <w:br w:type="page"/>
      </w:r>
    </w:p>
    <w:p w14:paraId="67049566" w14:textId="77777777" w:rsidR="00B27E58" w:rsidRPr="001B34F2" w:rsidRDefault="00B27E58" w:rsidP="006E41A7">
      <w:pPr>
        <w:spacing w:line="480" w:lineRule="auto"/>
        <w:rPr>
          <w:b/>
          <w:bCs/>
        </w:rPr>
      </w:pPr>
      <w:r w:rsidRPr="001B34F2">
        <w:rPr>
          <w:b/>
          <w:bCs/>
        </w:rPr>
        <w:lastRenderedPageBreak/>
        <w:t>Abstract</w:t>
      </w:r>
    </w:p>
    <w:p w14:paraId="35E44DC9" w14:textId="1A639A3B" w:rsidR="00CC2460" w:rsidRDefault="00987A57" w:rsidP="004E255D">
      <w:pPr>
        <w:pStyle w:val="NoSpacing"/>
        <w:spacing w:line="480" w:lineRule="auto"/>
      </w:pPr>
      <w:r>
        <w:tab/>
      </w:r>
      <w:r w:rsidR="00906348" w:rsidRPr="00906348">
        <w:t>Scleraxis is a basic</w:t>
      </w:r>
      <w:r w:rsidR="00906348" w:rsidRPr="00906348">
        <w:rPr>
          <w:color w:val="000000"/>
          <w:shd w:val="clear" w:color="auto" w:fill="FFFFFF"/>
        </w:rPr>
        <w:t xml:space="preserve"> helix-loop-helix transcription factor that plays a central role in promoting </w:t>
      </w:r>
      <w:r w:rsidR="00ED7386">
        <w:rPr>
          <w:color w:val="000000"/>
          <w:shd w:val="clear" w:color="auto" w:fill="FFFFFF"/>
        </w:rPr>
        <w:t>tenocyte</w:t>
      </w:r>
      <w:r w:rsidR="00906348" w:rsidRPr="00906348">
        <w:rPr>
          <w:color w:val="000000"/>
          <w:shd w:val="clear" w:color="auto" w:fill="FFFFFF"/>
        </w:rPr>
        <w:t> proliferation and matrix synthesis during embryonic</w:t>
      </w:r>
      <w:r w:rsidR="00ED7386">
        <w:rPr>
          <w:color w:val="000000"/>
          <w:shd w:val="clear" w:color="auto" w:fill="FFFFFF"/>
        </w:rPr>
        <w:t xml:space="preserve"> tendon</w:t>
      </w:r>
      <w:r w:rsidR="00906348" w:rsidRPr="00906348">
        <w:rPr>
          <w:color w:val="000000"/>
          <w:shd w:val="clear" w:color="auto" w:fill="FFFFFF"/>
        </w:rPr>
        <w:t xml:space="preserve"> development.</w:t>
      </w:r>
      <w:r w:rsidR="00906348" w:rsidRPr="00906348">
        <w:rPr>
          <w:b/>
        </w:rPr>
        <w:t xml:space="preserve"> </w:t>
      </w:r>
      <w:r w:rsidR="00906348" w:rsidRPr="00906348">
        <w:t xml:space="preserve">However, the role of scleraxis in </w:t>
      </w:r>
      <w:r w:rsidR="00ED7386">
        <w:t>the growth and adaptation of</w:t>
      </w:r>
      <w:r w:rsidR="00906348" w:rsidRPr="00906348">
        <w:t xml:space="preserve"> </w:t>
      </w:r>
      <w:r w:rsidR="00ED7386">
        <w:t xml:space="preserve">adult </w:t>
      </w:r>
      <w:r w:rsidR="00906348" w:rsidRPr="00906348">
        <w:t xml:space="preserve">tendons </w:t>
      </w:r>
      <w:r w:rsidR="0042488E">
        <w:t>i</w:t>
      </w:r>
      <w:r w:rsidR="006B264B">
        <w:t>s not known</w:t>
      </w:r>
      <w:r w:rsidR="00906348" w:rsidRPr="00906348">
        <w:t xml:space="preserve">. </w:t>
      </w:r>
      <w:r w:rsidR="00ED7386">
        <w:t>We hypothesized that</w:t>
      </w:r>
      <w:r w:rsidR="00906348">
        <w:t xml:space="preserve"> scleraxis </w:t>
      </w:r>
      <w:r w:rsidR="00EE246B">
        <w:t>is</w:t>
      </w:r>
      <w:r w:rsidR="00906348">
        <w:t xml:space="preserve"> required for tendon </w:t>
      </w:r>
      <w:r w:rsidR="00ED7386">
        <w:t xml:space="preserve">growth in response </w:t>
      </w:r>
      <w:r w:rsidR="00906348" w:rsidRPr="00EE246B">
        <w:t>to mechanical loading</w:t>
      </w:r>
      <w:r w:rsidR="006B264B">
        <w:t>,</w:t>
      </w:r>
      <w:r w:rsidR="00F162E3" w:rsidRPr="00F162E3">
        <w:t xml:space="preserve"> </w:t>
      </w:r>
      <w:r w:rsidR="00F162E3">
        <w:t xml:space="preserve">and </w:t>
      </w:r>
      <w:r w:rsidR="006B264B">
        <w:t xml:space="preserve">that scleraxis </w:t>
      </w:r>
      <w:r w:rsidR="00F162E3">
        <w:t xml:space="preserve">promotes the </w:t>
      </w:r>
      <w:r w:rsidR="00ED7386">
        <w:t>specification</w:t>
      </w:r>
      <w:r w:rsidR="00F162E3">
        <w:t xml:space="preserve"> of </w:t>
      </w:r>
      <w:r w:rsidR="00ED7386">
        <w:t>progenitor cells</w:t>
      </w:r>
      <w:r w:rsidR="00F162E3">
        <w:t xml:space="preserve"> into tenocytes</w:t>
      </w:r>
      <w:r w:rsidR="00906348" w:rsidRPr="00EE246B">
        <w:t xml:space="preserve">. </w:t>
      </w:r>
      <w:r w:rsidR="00ED7386">
        <w:t xml:space="preserve">We </w:t>
      </w:r>
      <w:r w:rsidR="00906348" w:rsidRPr="00EE246B">
        <w:t xml:space="preserve">conditionally deleted scleraxis </w:t>
      </w:r>
      <w:r w:rsidR="00ED7386">
        <w:t>in adult mice</w:t>
      </w:r>
      <w:r w:rsidR="00906348" w:rsidRPr="00EE246B">
        <w:t xml:space="preserve"> using a</w:t>
      </w:r>
      <w:r w:rsidR="00EE246B" w:rsidRPr="00EE246B">
        <w:t xml:space="preserve"> </w:t>
      </w:r>
      <w:r w:rsidR="00906348" w:rsidRPr="00EE246B">
        <w:t>tamoxifen-inducible Cre-recombinase</w:t>
      </w:r>
      <w:r w:rsidR="006B264B">
        <w:t xml:space="preserve"> expressed from the </w:t>
      </w:r>
      <w:r w:rsidR="006B264B" w:rsidRPr="006B264B">
        <w:rPr>
          <w:i/>
          <w:iCs/>
        </w:rPr>
        <w:t>Rosa26</w:t>
      </w:r>
      <w:r w:rsidR="006B264B">
        <w:t xml:space="preserve"> locus</w:t>
      </w:r>
      <w:r w:rsidR="003E618D">
        <w:t xml:space="preserve"> (</w:t>
      </w:r>
      <w:proofErr w:type="spellStart"/>
      <w:r w:rsidR="003E618D" w:rsidRPr="00435075">
        <w:rPr>
          <w:i/>
        </w:rPr>
        <w:t>Scx</w:t>
      </w:r>
      <w:r w:rsidR="003E618D" w:rsidRPr="00594224">
        <w:rPr>
          <w:vertAlign w:val="superscript"/>
        </w:rPr>
        <w:t>Δ</w:t>
      </w:r>
      <w:proofErr w:type="spellEnd"/>
      <w:r w:rsidR="003E618D">
        <w:t>)</w:t>
      </w:r>
      <w:r w:rsidR="00EE246B" w:rsidRPr="00EE246B">
        <w:t xml:space="preserve">, </w:t>
      </w:r>
      <w:r w:rsidR="00906348" w:rsidRPr="00EE246B">
        <w:t xml:space="preserve">and </w:t>
      </w:r>
      <w:r w:rsidR="00ED7386">
        <w:t xml:space="preserve">then </w:t>
      </w:r>
      <w:r w:rsidR="00EE246B" w:rsidRPr="00EE246B">
        <w:t>induced</w:t>
      </w:r>
      <w:r w:rsidR="00906348" w:rsidRPr="00EE246B">
        <w:t xml:space="preserve"> tendon growth in </w:t>
      </w:r>
      <w:proofErr w:type="spellStart"/>
      <w:r w:rsidR="0020664C" w:rsidRPr="00435075">
        <w:rPr>
          <w:i/>
        </w:rPr>
        <w:t>Scx</w:t>
      </w:r>
      <w:proofErr w:type="spellEnd"/>
      <w:r w:rsidR="0020664C" w:rsidRPr="003E618D">
        <w:rPr>
          <w:vertAlign w:val="superscript"/>
        </w:rPr>
        <w:t>+</w:t>
      </w:r>
      <w:r w:rsidR="0020664C">
        <w:t xml:space="preserve"> and </w:t>
      </w:r>
      <w:proofErr w:type="spellStart"/>
      <w:r w:rsidR="0020664C" w:rsidRPr="00435075">
        <w:rPr>
          <w:i/>
        </w:rPr>
        <w:t>Scx</w:t>
      </w:r>
      <w:r w:rsidR="0020664C" w:rsidRPr="00594224">
        <w:rPr>
          <w:vertAlign w:val="superscript"/>
        </w:rPr>
        <w:t>Δ</w:t>
      </w:r>
      <w:proofErr w:type="spellEnd"/>
      <w:r w:rsidR="0020664C">
        <w:t xml:space="preserve"> </w:t>
      </w:r>
      <w:r w:rsidR="00906348" w:rsidRPr="00EE246B">
        <w:t xml:space="preserve">adult mice via </w:t>
      </w:r>
      <w:r w:rsidR="00ED7386" w:rsidRPr="00EE246B">
        <w:t xml:space="preserve">plantaris tendon </w:t>
      </w:r>
      <w:r w:rsidR="00906348" w:rsidRPr="00EE246B">
        <w:t>mechanical overload.</w:t>
      </w:r>
      <w:r w:rsidR="00EE246B">
        <w:t xml:space="preserve"> </w:t>
      </w:r>
      <w:r w:rsidR="003E618D">
        <w:t>Compared to the</w:t>
      </w:r>
      <w:r w:rsidR="006B264B">
        <w:t xml:space="preserve"> wild type</w:t>
      </w:r>
      <w:r w:rsidR="003E618D">
        <w:t xml:space="preserve"> </w:t>
      </w:r>
      <w:proofErr w:type="spellStart"/>
      <w:r w:rsidR="003E618D" w:rsidRPr="00435075">
        <w:rPr>
          <w:i/>
        </w:rPr>
        <w:t>Scx</w:t>
      </w:r>
      <w:proofErr w:type="spellEnd"/>
      <w:r w:rsidR="003E618D" w:rsidRPr="003E618D">
        <w:rPr>
          <w:vertAlign w:val="superscript"/>
        </w:rPr>
        <w:t>+</w:t>
      </w:r>
      <w:r w:rsidR="003E618D">
        <w:t xml:space="preserve"> group,</w:t>
      </w:r>
      <w:r w:rsidR="0009209E">
        <w:t xml:space="preserve"> </w:t>
      </w:r>
      <w:proofErr w:type="spellStart"/>
      <w:r w:rsidR="0009209E" w:rsidRPr="00435075">
        <w:rPr>
          <w:i/>
        </w:rPr>
        <w:t>Scx</w:t>
      </w:r>
      <w:r w:rsidR="0009209E" w:rsidRPr="00594224">
        <w:rPr>
          <w:vertAlign w:val="superscript"/>
        </w:rPr>
        <w:t>Δ</w:t>
      </w:r>
      <w:proofErr w:type="spellEnd"/>
      <w:r w:rsidR="0009209E">
        <w:t xml:space="preserve"> mice </w:t>
      </w:r>
      <w:r w:rsidR="0094064C">
        <w:t>demonstrated</w:t>
      </w:r>
      <w:r w:rsidR="0009209E">
        <w:t xml:space="preserve"> blunted </w:t>
      </w:r>
      <w:r w:rsidR="00ED7386">
        <w:t>tendon growth</w:t>
      </w:r>
      <w:r w:rsidR="003E618D">
        <w:t xml:space="preserve">. </w:t>
      </w:r>
      <w:r w:rsidR="001870F5">
        <w:t>Transcript</w:t>
      </w:r>
      <w:r w:rsidR="00ED7386">
        <w:t>ional</w:t>
      </w:r>
      <w:r w:rsidR="001870F5">
        <w:t xml:space="preserve"> </w:t>
      </w:r>
      <w:r w:rsidR="0060596A">
        <w:t>and</w:t>
      </w:r>
      <w:r w:rsidR="001870F5">
        <w:t xml:space="preserve"> proteom</w:t>
      </w:r>
      <w:r w:rsidR="00ED7386">
        <w:t>ic</w:t>
      </w:r>
      <w:r w:rsidR="001870F5">
        <w:t xml:space="preserve"> anal</w:t>
      </w:r>
      <w:r w:rsidR="00ED7386">
        <w:t>y</w:t>
      </w:r>
      <w:r w:rsidR="00D07696">
        <w:t>s</w:t>
      </w:r>
      <w:r w:rsidR="0060596A">
        <w:t>es</w:t>
      </w:r>
      <w:r w:rsidR="001870F5">
        <w:t xml:space="preserve"> </w:t>
      </w:r>
      <w:r w:rsidR="00141857">
        <w:t xml:space="preserve">revealed significant </w:t>
      </w:r>
      <w:r w:rsidR="00ED7386">
        <w:t>reductions</w:t>
      </w:r>
      <w:r w:rsidR="00141857">
        <w:t xml:space="preserve"> in </w:t>
      </w:r>
      <w:r w:rsidR="00ED7386">
        <w:t>cell proliferation</w:t>
      </w:r>
      <w:r w:rsidR="004E255D">
        <w:t>, protein synthesis, and extracellular matrix genes and proteins</w:t>
      </w:r>
      <w:r w:rsidR="00141857">
        <w:t xml:space="preserve">. </w:t>
      </w:r>
      <w:r w:rsidR="00906348">
        <w:t>Our</w:t>
      </w:r>
      <w:r w:rsidR="00CC2460">
        <w:t xml:space="preserve"> results indicate that </w:t>
      </w:r>
      <w:r w:rsidR="004E255D">
        <w:t xml:space="preserve">scleraxis is required for mechanically-stimulated adult tendon growth by </w:t>
      </w:r>
      <w:r w:rsidR="004E255D">
        <w:rPr>
          <w:bCs/>
          <w:iCs/>
        </w:rPr>
        <w:t>causing the commitment of CD146</w:t>
      </w:r>
      <w:r w:rsidR="004E255D" w:rsidRPr="00DE5EB1">
        <w:rPr>
          <w:bCs/>
          <w:iCs/>
          <w:vertAlign w:val="superscript"/>
        </w:rPr>
        <w:t>+</w:t>
      </w:r>
      <w:r w:rsidR="004E255D">
        <w:rPr>
          <w:bCs/>
          <w:iCs/>
        </w:rPr>
        <w:t xml:space="preserve"> p</w:t>
      </w:r>
      <w:r w:rsidR="00AC27D5">
        <w:rPr>
          <w:bCs/>
          <w:iCs/>
        </w:rPr>
        <w:t>ericytes</w:t>
      </w:r>
      <w:r w:rsidR="004E255D">
        <w:rPr>
          <w:bCs/>
          <w:iCs/>
        </w:rPr>
        <w:t xml:space="preserve"> into the tenogenic lineage,</w:t>
      </w:r>
      <w:r w:rsidR="006B264B">
        <w:rPr>
          <w:bCs/>
          <w:iCs/>
        </w:rPr>
        <w:t xml:space="preserve"> and by promoting</w:t>
      </w:r>
      <w:r w:rsidR="004E255D">
        <w:rPr>
          <w:bCs/>
          <w:iCs/>
        </w:rPr>
        <w:t xml:space="preserve"> the initial expansion of newly committed tenocytes and the production of </w:t>
      </w:r>
      <w:r w:rsidR="006B264B">
        <w:rPr>
          <w:bCs/>
          <w:iCs/>
        </w:rPr>
        <w:t xml:space="preserve">extracellular </w:t>
      </w:r>
      <w:r w:rsidR="004E255D">
        <w:rPr>
          <w:bCs/>
          <w:iCs/>
        </w:rPr>
        <w:t>matrix proteins.</w:t>
      </w:r>
      <w:r w:rsidR="003E618D" w:rsidRPr="00CB4DAC">
        <w:rPr>
          <w:color w:val="000000" w:themeColor="text1"/>
        </w:rPr>
        <w:t xml:space="preserve"> </w:t>
      </w:r>
    </w:p>
    <w:p w14:paraId="1288E8CC" w14:textId="77777777" w:rsidR="00B27E58" w:rsidRDefault="00B27E58" w:rsidP="006E41A7">
      <w:pPr>
        <w:spacing w:line="480" w:lineRule="auto"/>
      </w:pPr>
    </w:p>
    <w:p w14:paraId="2957863E" w14:textId="77777777" w:rsidR="001B34F2" w:rsidRPr="00987A57" w:rsidRDefault="001B34F2" w:rsidP="00987A57">
      <w:pPr>
        <w:spacing w:line="480" w:lineRule="auto"/>
      </w:pPr>
      <w:r w:rsidRPr="006E2104">
        <w:rPr>
          <w:i/>
          <w:iCs/>
        </w:rPr>
        <w:t>Keywords:</w:t>
      </w:r>
      <w:r w:rsidR="00CC2460">
        <w:t xml:space="preserve"> </w:t>
      </w:r>
      <w:r w:rsidR="00CF0554">
        <w:t xml:space="preserve">extracellular matrix; </w:t>
      </w:r>
      <w:r w:rsidR="00CC2460">
        <w:t>fibroblasts</w:t>
      </w:r>
      <w:r w:rsidR="006E2104">
        <w:t>;</w:t>
      </w:r>
      <w:r w:rsidR="00CC2460">
        <w:t xml:space="preserve"> </w:t>
      </w:r>
      <w:r w:rsidR="00355E47">
        <w:t>p</w:t>
      </w:r>
      <w:r w:rsidR="00251043">
        <w:t>e</w:t>
      </w:r>
      <w:r w:rsidR="00355E47">
        <w:t>ricytes</w:t>
      </w:r>
      <w:r w:rsidR="006E2104">
        <w:t>; tenocytes</w:t>
      </w:r>
      <w:r>
        <w:rPr>
          <w:b/>
          <w:bCs/>
        </w:rPr>
        <w:br w:type="page"/>
      </w:r>
    </w:p>
    <w:p w14:paraId="1DC5D1D7" w14:textId="77777777" w:rsidR="00B27E58" w:rsidRPr="001B34F2" w:rsidRDefault="00B27E58" w:rsidP="006E41A7">
      <w:pPr>
        <w:spacing w:line="480" w:lineRule="auto"/>
        <w:rPr>
          <w:b/>
          <w:bCs/>
        </w:rPr>
      </w:pPr>
      <w:r w:rsidRPr="001B34F2">
        <w:rPr>
          <w:b/>
          <w:bCs/>
        </w:rPr>
        <w:lastRenderedPageBreak/>
        <w:t>Introduction</w:t>
      </w:r>
    </w:p>
    <w:p w14:paraId="490FEC5D" w14:textId="453F855C" w:rsidR="009F6EEC" w:rsidRDefault="00A91BE6" w:rsidP="006E41A7">
      <w:pPr>
        <w:spacing w:line="480" w:lineRule="auto"/>
      </w:pPr>
      <w:r>
        <w:tab/>
      </w:r>
      <w:r w:rsidRPr="00A91BE6">
        <w:t xml:space="preserve">Tendons are made up of an extracellular matrix (ECM) containing primarily type I collagen, </w:t>
      </w:r>
      <w:r w:rsidR="006B264B">
        <w:t>as well as</w:t>
      </w:r>
      <w:r w:rsidRPr="00A91BE6">
        <w:t xml:space="preserve"> other collagens, elastin, and various proteoglycans</w:t>
      </w:r>
      <w:r>
        <w:t xml:space="preserve"> </w:t>
      </w:r>
      <w:r w:rsidR="006E2104">
        <w:fldChar w:fldCharType="begin"/>
      </w:r>
      <w:r w:rsidR="00A1782A">
        <w:instrText xml:space="preserve"> ADDIN PAPERS2_CITATIONS &lt;citation&gt;&lt;priority&gt;0&lt;/priority&gt;&lt;uuid&gt;6A71DEB8-DE03-4E04-98DB-374080A9177C&lt;/uuid&gt;&lt;publications&gt;&lt;publication&gt;&lt;subtype&gt;400&lt;/subtype&gt;&lt;location&gt;&amp;lt;html&amp;gt;&amp;lt;head&amp;gt;&amp;lt;meta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Home&amp;lt;/a&amp;gt;&amp;lt;/div&amp;gt;&amp;lt;/body&amp;gt;&amp;lt;/html&amp;gt;&lt;/location&gt;&lt;title&gt;MMP inhibition as a potential method to augment the healing of skeletal muscle and tendon extracellular matrix.&lt;/title&gt;&lt;url&gt;http://eutils.ncbi.nlm.nih.gov/entrez/eutils/elink.fcgi?dbfrom=pubmed&amp;amp;id=23640595&amp;amp;retmode=ref&amp;amp;cmd=prlinks&lt;/url&gt;&lt;volume&gt;115&lt;/volume&gt;&lt;publication_date&gt;99201309001200000000220000&lt;/publication_date&gt;&lt;uuid&gt;CA8FAC2A-852F-4A1A-93F4-27542C780D39&lt;/uuid&gt;&lt;type&gt;400&lt;/type&gt;&lt;number&gt;6&lt;/number&gt;&lt;citekey&gt;Davis:2013gk&lt;/citekey&gt;&lt;doi&gt;10.1152/japplphysiol.00137.2013&lt;/doi&gt;&lt;institution&gt;Department of Orthopaedic Surgery, University of Michigan Medical School, Ann Arbor, Michigan;&lt;/institution&gt;&lt;startpage&gt;884&lt;/startpage&gt;&lt;endpage&gt;891&lt;/endpage&gt;&lt;bundle&gt;&lt;publication&gt;&lt;title&gt;Journal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Davis&lt;/lastName&gt;&lt;firstName&gt;Max&lt;/firstName&gt;&lt;middleNames&gt;E&lt;/middleNames&gt;&lt;/author&gt;&lt;author&gt;&lt;lastName&gt;Gumucio&lt;/lastName&gt;&lt;firstName&gt;Jonathan&lt;/firstName&gt;&lt;middleNames&gt;P&lt;/middleNames&gt;&lt;/author&gt;&lt;author&gt;&lt;lastName&gt;Sugg&lt;/lastName&gt;&lt;firstName&gt;Kristoffer&lt;/firstName&gt;&lt;middleNames&gt;B&lt;/middleNames&gt;&lt;/author&gt;&lt;author&gt;&lt;lastName&gt;Bedi&lt;/lastName&gt;&lt;firstName&gt;Asheesh&lt;/firstName&gt;&lt;/author&gt;&lt;author&gt;&lt;lastName&gt;Mendias&lt;/lastName&gt;&lt;firstName&gt;Christopher&lt;/firstName&gt;&lt;middleNames&gt;L&lt;/middleNames&gt;&lt;/author&gt;&lt;/authors&gt;&lt;/publication&gt;&lt;/publications&gt;&lt;cites&gt;&lt;/cites&gt;&lt;/citation&gt;</w:instrText>
      </w:r>
      <w:r w:rsidR="006E2104">
        <w:fldChar w:fldCharType="separate"/>
      </w:r>
      <w:r w:rsidR="00A1782A">
        <w:rPr>
          <w:rFonts w:cs="Times New Roman"/>
        </w:rPr>
        <w:t>(1)</w:t>
      </w:r>
      <w:r w:rsidR="006E2104">
        <w:fldChar w:fldCharType="end"/>
      </w:r>
      <w:r w:rsidRPr="00A91BE6">
        <w:t xml:space="preserve">. </w:t>
      </w:r>
      <w:r w:rsidR="006B264B">
        <w:t xml:space="preserve">Tendon ECM is </w:t>
      </w:r>
      <w:r w:rsidR="006B264B" w:rsidRPr="00A91BE6">
        <w:t xml:space="preserve">arranged in </w:t>
      </w:r>
      <w:r w:rsidR="006B264B">
        <w:t xml:space="preserve">a </w:t>
      </w:r>
      <w:r w:rsidR="006B264B" w:rsidRPr="00A91BE6">
        <w:t xml:space="preserve">hierarchical </w:t>
      </w:r>
      <w:r w:rsidR="006B264B">
        <w:t>manner</w:t>
      </w:r>
      <w:r w:rsidR="006B264B" w:rsidRPr="00A91BE6">
        <w:t>, with densely packed collagen fibers wrapped by layers of basement membrane</w:t>
      </w:r>
      <w:r w:rsidR="006B264B">
        <w:t xml:space="preserve"> </w:t>
      </w:r>
      <w:r w:rsidR="006B264B">
        <w:fldChar w:fldCharType="begin"/>
      </w:r>
      <w:r w:rsidR="00A1782A">
        <w:instrText xml:space="preserve"> ADDIN PAPERS2_CITATIONS &lt;citation&gt;&lt;priority&gt;2&lt;/priority&gt;&lt;uuid&gt;65D2C9CE-E56E-42E8-A5C8-844F593A60A9&lt;/uuid&gt;&lt;publications&gt;&lt;publication&gt;&lt;subtype&gt;400&lt;/subtype&gt;&lt;location&gt;&amp;lt;html&amp;gt;&amp;lt;head&amp;gt;&amp;lt;meta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Home&amp;lt;/a&amp;gt;&amp;lt;/div&amp;gt;&amp;lt;/body&amp;gt;&amp;lt;/html&amp;gt;&lt;/location&gt;&lt;title&gt;MMP inhibition as a potential method to augment the healing of skeletal muscle and tendon extracellular matrix.&lt;/title&gt;&lt;url&gt;http://eutils.ncbi.nlm.nih.gov/entrez/eutils/elink.fcgi?dbfrom=pubmed&amp;amp;id=23640595&amp;amp;retmode=ref&amp;amp;cmd=prlinks&lt;/url&gt;&lt;volume&gt;115&lt;/volume&gt;&lt;publication_date&gt;99201309001200000000220000&lt;/publication_date&gt;&lt;uuid&gt;CA8FAC2A-852F-4A1A-93F4-27542C780D39&lt;/uuid&gt;&lt;type&gt;400&lt;/type&gt;&lt;number&gt;6&lt;/number&gt;&lt;citekey&gt;Davis:2013gk&lt;/citekey&gt;&lt;doi&gt;10.1152/japplphysiol.00137.2013&lt;/doi&gt;&lt;institution&gt;Department of Orthopaedic Surgery, University of Michigan Medical School, Ann Arbor, Michigan;&lt;/institution&gt;&lt;startpage&gt;884&lt;/startpage&gt;&lt;endpage&gt;891&lt;/endpage&gt;&lt;bundle&gt;&lt;publication&gt;&lt;title&gt;Journal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Davis&lt;/lastName&gt;&lt;firstName&gt;Max&lt;/firstName&gt;&lt;middleNames&gt;E&lt;/middleNames&gt;&lt;/author&gt;&lt;author&gt;&lt;lastName&gt;Gumucio&lt;/lastName&gt;&lt;firstName&gt;Jonathan&lt;/firstName&gt;&lt;middleNames&gt;P&lt;/middleNames&gt;&lt;/author&gt;&lt;author&gt;&lt;lastName&gt;Sugg&lt;/lastName&gt;&lt;firstName&gt;Kristoffer&lt;/firstName&gt;&lt;middleNames&gt;B&lt;/middleNames&gt;&lt;/author&gt;&lt;author&gt;&lt;lastName&gt;Bedi&lt;/lastName&gt;&lt;firstName&gt;Asheesh&lt;/firstName&gt;&lt;/author&gt;&lt;author&gt;&lt;lastName&gt;Mendias&lt;/lastName&gt;&lt;firstName&gt;Christopher&lt;/firstName&gt;&lt;middleNames&gt;L&lt;/middleNames&gt;&lt;/author&gt;&lt;/authors&gt;&lt;/publication&gt;&lt;/publications&gt;&lt;cites&gt;&lt;/cites&gt;&lt;/citation&gt;</w:instrText>
      </w:r>
      <w:r w:rsidR="006B264B">
        <w:fldChar w:fldCharType="separate"/>
      </w:r>
      <w:r w:rsidR="00A1782A">
        <w:rPr>
          <w:rFonts w:cs="Times New Roman"/>
        </w:rPr>
        <w:t>(1)</w:t>
      </w:r>
      <w:r w:rsidR="006B264B">
        <w:fldChar w:fldCharType="end"/>
      </w:r>
      <w:r w:rsidR="006B264B" w:rsidRPr="00A91BE6">
        <w:t xml:space="preserve">. </w:t>
      </w:r>
      <w:r w:rsidR="00A65357">
        <w:t xml:space="preserve">Tenocytes, or tendon fibroblasts, </w:t>
      </w:r>
      <w:r w:rsidR="00A65357" w:rsidRPr="00A65357">
        <w:rPr>
          <w:bCs/>
        </w:rPr>
        <w:t xml:space="preserve">are the main cell type in tendons and are thought to be responsible for </w:t>
      </w:r>
      <w:r w:rsidR="00A65357">
        <w:rPr>
          <w:bCs/>
        </w:rPr>
        <w:t xml:space="preserve">the </w:t>
      </w:r>
      <w:r w:rsidR="00A65357" w:rsidRPr="00A65357">
        <w:rPr>
          <w:bCs/>
        </w:rPr>
        <w:t>production, organization, and maintenance</w:t>
      </w:r>
      <w:r w:rsidR="00A65357" w:rsidRPr="00A65357">
        <w:t xml:space="preserve"> </w:t>
      </w:r>
      <w:r w:rsidR="00A65357">
        <w:t xml:space="preserve">of the tendon </w:t>
      </w:r>
      <w:r w:rsidR="006B264B">
        <w:t>ECM</w:t>
      </w:r>
      <w:r w:rsidR="00A65357">
        <w:t xml:space="preserve"> </w:t>
      </w:r>
      <w:r w:rsidR="006E2104">
        <w:rPr>
          <w:rFonts w:cs="Times New Roman"/>
        </w:rPr>
        <w:fldChar w:fldCharType="begin"/>
      </w:r>
      <w:r w:rsidR="00A1782A">
        <w:rPr>
          <w:rFonts w:cs="Times New Roman"/>
        </w:rPr>
        <w:instrText xml:space="preserve"> ADDIN PAPERS2_CITATIONS &lt;citation&gt;&lt;priority&gt;1&lt;/priority&gt;&lt;uuid&gt;A3AC86BF-9C8B-456E-977E-E3949B008974&lt;/uuid&gt;&lt;publications&gt;&lt;publication&gt;&lt;subtype&gt;400&lt;/subtype&gt;&lt;title&gt;TGF-β Superfamily Signaling in Muscle and Tendon Adaptation to Resistance Exercise.&lt;/title&gt;&lt;url&gt;http://content.wkhealth.com/linkback/openurl?sid=WKPTLP:landingpage&amp;amp;an=00003677-201504000-00005&lt;/url&gt;&lt;volume&gt;43&lt;/volume&gt;&lt;publication_date&gt;99201504001200000000220000&lt;/publication_date&gt;&lt;uuid&gt;B55CB443-0F75-4CF2-8EB3-B850643D4FC4&lt;/uuid&gt;&lt;type&gt;400&lt;/type&gt;&lt;number&gt;2&lt;/number&gt;&lt;doi&gt;10.1249/JES.0000000000000041&lt;/doi&gt;&lt;institution&gt;Departments of 1Orthopaedic Surgery, 2Molecular and Integrative Physiology, and 3Surgery, Section of Plastic Surgery, University of Michigan Medical School, Ann Arbor, MI.&lt;/institution&gt;&lt;startpage&gt;93&lt;/startpage&gt;&lt;endpage&gt;99&lt;/endpage&gt;&lt;bundle&gt;&lt;publication&gt;&lt;title&gt;Exercise and sport sciences reviews&lt;/title&gt;&lt;uuid&gt;1DDACEAC-1B2E-411C-A24C-581117D25F03&lt;/uuid&gt;&lt;subtype&gt;-100&lt;/subtype&gt;&lt;type&gt;-100&lt;/type&gt;&lt;url&gt;http://ovidsp.tx.ovid.com&lt;/url&gt;&lt;/publication&gt;&lt;/bundle&gt;&lt;authors&gt;&lt;author&gt;&lt;lastName&gt;Gumucio&lt;/lastName&gt;&lt;firstName&gt;Jonathan&lt;/firstName&gt;&lt;middleNames&gt;P&lt;/middleNames&gt;&lt;/author&gt;&lt;author&gt;&lt;lastName&gt;Sugg&lt;/lastName&gt;&lt;firstName&gt;Kristoffer&lt;/firstName&gt;&lt;middleNames&gt;B&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(2)</w:t>
      </w:r>
      <w:r w:rsidR="006E2104">
        <w:rPr>
          <w:rFonts w:cs="Times New Roman"/>
        </w:rPr>
        <w:fldChar w:fldCharType="end"/>
      </w:r>
      <w:r w:rsidR="00A65357">
        <w:t xml:space="preserve">. </w:t>
      </w:r>
      <w:r w:rsidR="006B264B">
        <w:t>Tendons are</w:t>
      </w:r>
      <w:r w:rsidRPr="00A91BE6">
        <w:t xml:space="preserve"> </w:t>
      </w:r>
      <w:r w:rsidR="006B264B">
        <w:t>surrounded by</w:t>
      </w:r>
      <w:r w:rsidRPr="00A91BE6">
        <w:t xml:space="preserve"> </w:t>
      </w:r>
      <w:r w:rsidR="006B264B">
        <w:t>an</w:t>
      </w:r>
      <w:r w:rsidRPr="00A91BE6">
        <w:t xml:space="preserve"> outermost basement membrane called the epitenon, which provides blood and nerve supply to the tendon</w:t>
      </w:r>
      <w:r w:rsidR="0075281F">
        <w:t xml:space="preserve"> </w:t>
      </w:r>
      <w:r w:rsidR="006E2104">
        <w:rPr>
          <w:rFonts w:cs="Times New Roman"/>
        </w:rPr>
        <w:fldChar w:fldCharType="begin"/>
      </w:r>
      <w:r w:rsidR="00A1782A">
        <w:rPr>
          <w:rFonts w:cs="Times New Roman"/>
        </w:rPr>
        <w:instrText xml:space="preserve"> ADDIN PAPERS2_CITATIONS &lt;citation&gt;&lt;priority&gt;3&lt;/priority&gt;&lt;uuid&gt;B880753D-EA0D-4BAB-B742-485EF4B91803&lt;/uuid&gt;&lt;publications&gt;&lt;publication&gt;&lt;subtype&gt;400&lt;/subtype&gt;&lt;location&gt;&amp;lt;html&amp;gt;&amp;lt;head&amp;gt;&amp;lt;meta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Home&amp;lt;/a&amp;gt;&amp;lt;/div&amp;gt;&amp;lt;/body&amp;gt;&amp;lt;/html&amp;gt;&lt;/location&gt;&lt;title&gt;MMP inhibition as a potential method to augment the healing of skeletal muscle and tendon extracellular matrix.&lt;/title&gt;&lt;url&gt;http://eutils.ncbi.nlm.nih.gov/entrez/eutils/elink.fcgi?dbfrom=pubmed&amp;amp;id=23640595&amp;amp;retmode=ref&amp;amp;cmd=prlinks&lt;/url&gt;&lt;volume&gt;115&lt;/volume&gt;&lt;publication_date&gt;99201309001200000000220000&lt;/publication_date&gt;&lt;uuid&gt;CA8FAC2A-852F-4A1A-93F4-27542C780D39&lt;/uuid&gt;&lt;type&gt;400&lt;/type&gt;&lt;number&gt;6&lt;/number&gt;&lt;citekey&gt;Davis:2013gk&lt;/citekey&gt;&lt;doi&gt;10.1152/japplphysiol.00137.2013&lt;/doi&gt;&lt;institution&gt;Department of Orthopaedic Surgery, University of Michigan Medical School, Ann Arbor, Michigan;&lt;/institution&gt;&lt;startpage&gt;884&lt;/startpage&gt;&lt;endpage&gt;891&lt;/endpage&gt;&lt;bundle&gt;&lt;publication&gt;&lt;title&gt;Journal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Davis&lt;/lastName&gt;&lt;firstName&gt;Max&lt;/firstName&gt;&lt;middleNames&gt;E&lt;/middleNames&gt;&lt;/author&gt;&lt;author&gt;&lt;lastName&gt;Gumucio&lt;/lastName&gt;&lt;firstName&gt;Jonathan&lt;/firstName&gt;&lt;middleNames&gt;P&lt;/middleNames&gt;&lt;/author&gt;&lt;author&gt;&lt;lastName&gt;Sugg&lt;/lastName&gt;&lt;firstName&gt;Kristoffer&lt;/firstName&gt;&lt;middleNames&gt;B&lt;/middleNames&gt;&lt;/author&gt;&lt;author&gt;&lt;lastName&gt;Bedi&lt;/lastName&gt;&lt;firstName&gt;Asheesh&lt;/firstName&gt;&lt;/author&gt;&lt;author&gt;&lt;lastName&gt;Mendias&lt;/lastName&gt;&lt;firstName&gt;Christopher&lt;/firstName&gt;&lt;middleNames&gt;L&lt;/middleNames&gt;&lt;/author&gt;&lt;/authors&gt;&lt;/publication&gt;&lt;publication&gt;&lt;subtype&gt;400&lt;/subtype&gt;&lt;title&gt;Adaptive and innate immune cell responses in tendons and lymph nodes after tendon injury and repair.&lt;/title&gt;&lt;url&gt;https://journals.physiology.org/doi/10.1152/japplphysiol.00682.2019&lt;/url&gt;&lt;volume&gt;128&lt;/volume&gt;&lt;publication_date&gt;99202003011200000000222000&lt;/publication_date&gt;&lt;uuid&gt;1907A46E-BEFB-493E-9ED3-45CD37C11C04&lt;/uuid&gt;&lt;type&gt;400&lt;/type&gt;&lt;number&gt;3&lt;/number&gt;&lt;doi&gt;10.1152/japplphysiol.00682.2019&lt;/doi&gt;&lt;institution&gt;Hospital for Special Surgery, New York, New York.&lt;/institution&gt;&lt;startpage&gt;473&lt;/startpage&gt;&lt;endpage&gt;482&lt;/endpage&gt;&lt;bundle&gt;&lt;publication&gt;&lt;title&gt;Journal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Noah&lt;/lastName&gt;&lt;firstName&gt;Andrew&lt;/firstName&gt;&lt;middleNames&gt;C&lt;/middleNames&gt;&lt;/author&gt;&lt;author&gt;&lt;lastName&gt;Li&lt;/lastName&gt;&lt;firstName&gt;Thomas&lt;/firstName&gt;&lt;middleNames&gt;M&lt;/middleNames&gt;&lt;/author&gt;&lt;author&gt;&lt;lastName&gt;Martinez&lt;/lastName&gt;&lt;firstName&gt;Leandro&lt;/firstName&gt;&lt;middleNames&gt;M&lt;/middleNames&gt;&lt;/author&gt;&lt;author&gt;&lt;lastName&gt;Wada&lt;/lastName&gt;&lt;firstName&gt;Susumu&lt;/firstName&gt;&lt;/author&gt;&lt;author&gt;&lt;lastName&gt;Swanson&lt;/lastName&gt;&lt;firstName&gt;Jacob&lt;/firstName&gt;&lt;middleNames&gt;B&lt;/middleNames&gt;&lt;/author&gt;&lt;author&gt;&lt;lastName&gt;Disser&lt;/lastName&gt;&lt;firstName&gt;Nathaniel&lt;/firstName&gt;&lt;middleNames&gt;P&lt;/middleNames&gt;&lt;/author&gt;&lt;author&gt;&lt;lastName&gt;Sugg&lt;/lastName&gt;&lt;firstName&gt;Kristoffer&lt;/firstName&gt;&lt;middleNames&gt;B&lt;/middleNames&gt;&lt;/author&gt;&lt;author&gt;&lt;lastName&gt;Rodeo&lt;/lastName&gt;&lt;firstName&gt;Scott&lt;/firstName&gt;&lt;middleNames&gt;A&lt;/middleNames&gt;&lt;/author&gt;&lt;author&gt;&lt;lastName&gt;Lu&lt;/lastName&gt;&lt;firstName&gt;Theresa&lt;/firstName&gt;&lt;middleNames&gt;T&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(1, 3)</w:t>
      </w:r>
      <w:r w:rsidR="006E2104">
        <w:rPr>
          <w:rFonts w:cs="Times New Roman"/>
        </w:rPr>
        <w:fldChar w:fldCharType="end"/>
      </w:r>
      <w:r w:rsidRPr="00A91BE6">
        <w:t xml:space="preserve">. The organization of the ECM allows the tendon to properly transmit forces from muscle to bone and allow for locomotion, and </w:t>
      </w:r>
      <w:r>
        <w:t xml:space="preserve">to </w:t>
      </w:r>
      <w:r w:rsidRPr="00A91BE6">
        <w:t>respond to mechanical stimuli</w:t>
      </w:r>
      <w:r>
        <w:t xml:space="preserve"> </w:t>
      </w:r>
      <w:r w:rsidR="006E2104">
        <w:fldChar w:fldCharType="begin"/>
      </w:r>
      <w:r w:rsidR="00A1782A">
        <w:instrText xml:space="preserve"> ADDIN PAPERS2_CITATIONS &lt;citation&gt;&lt;priority&gt;4&lt;/priority&gt;&lt;uuid&gt;2BBEF433-F48E-49B1-98F7-236E81C1D9DD&lt;/uuid&gt;&lt;publications&gt;&lt;publication&gt;&lt;subtype&gt;400&lt;/subtype&gt;&lt;title&gt;Comparative multi-scale hierarchical structure of the tail, plantaris, and Achilles tendons in the rat.&lt;/title&gt;&lt;url&gt;http://doi.wiley.com/10.1111/joa.12913&lt;/url&gt;&lt;volume&gt;234&lt;/volume&gt;&lt;publication_date&gt;99201902001200000000220000&lt;/publication_date&gt;&lt;uuid&gt;E8CB44D9-D3CC-4BE0-A421-56A69EB232B1&lt;/uuid&gt;&lt;type&gt;400&lt;/type&gt;&lt;accepted_date&gt;99201810181200000000222000&lt;/accepted_date&gt;&lt;number&gt;2&lt;/number&gt;&lt;doi&gt;10.1111/joa.12913&lt;/doi&gt;&lt;institution&gt;Department of Biomedical Engineering, University of Delaware, Newark, USA.&lt;/institution&gt;&lt;startpage&gt;252&lt;/startpage&gt;&lt;endpage&gt;262&lt;/endpage&gt;&lt;bundle&gt;&lt;publication&gt;&lt;title&gt;Journal of anatomy&lt;/title&gt;&lt;uuid&gt;EE16671A-F5D8-46C7-821E-A9C8D309329D&lt;/uuid&gt;&lt;subtype&gt;-100&lt;/subtype&gt;&lt;publisher&gt;Blackwell Publishing&lt;/publisher&gt;&lt;type&gt;-100&lt;/type&gt;&lt;url&gt;http://onlinelibrary.wiley.com&lt;/url&gt;&lt;/publication&gt;&lt;/bundle&gt;&lt;authors&gt;&lt;author&gt;&lt;lastName&gt;Lee&lt;/lastName&gt;&lt;firstName&gt;Andrea&lt;/firstName&gt;&lt;middleNames&gt;H&lt;/middleNames&gt;&lt;/author&gt;&lt;author&gt;&lt;lastName&gt;Elliott&lt;/lastName&gt;&lt;firstName&gt;Dawn&lt;/firstName&gt;&lt;middleNames&gt;M&lt;/middleNames&gt;&lt;/author&gt;&lt;/authors&gt;&lt;/publication&gt;&lt;publication&gt;&lt;subtype&gt;400&lt;/subtype&gt;&lt;title&gt;The impact of loading, unloading, ageing and injury on the human tendon.&lt;/title&gt;&lt;url&gt;https://onlinelibrary.wiley.com/doi/abs/10.1113/JP275450&lt;/url&gt;&lt;volume&gt;597&lt;/volume&gt;&lt;publication_date&gt;99201903001200000000220000&lt;/publication_date&gt;&lt;uuid&gt;70C74CA8-EBAE-4057-B049-CE90D98D200A&lt;/uuid&gt;&lt;type&gt;400&lt;/type&gt;&lt;accepted_date&gt;99201805301200000000222000&lt;/accepted_date&gt;&lt;number&gt;5&lt;/number&gt;&lt;submission_date&gt;99201803201200000000222000&lt;/submission_date&gt;&lt;doi&gt;10.1113/JP275450&lt;/doi&gt;&lt;institution&gt;Institute of Sports Medicine Copenhagen, Bispebjerg Hospital, Copenhagen, NV.&lt;/institution&gt;&lt;startpage&gt;1283&lt;/startpage&gt;&lt;endpage&gt;1298&lt;/endpage&gt;&lt;bundle&gt;&lt;publication&gt;&lt;title&gt;The Journal of physiology&lt;/title&gt;&lt;uuid&gt;46F2272B-F152-4516-8744-07BE57954398&lt;/uuid&gt;&lt;subtype&gt;-100&lt;/subtype&gt;&lt;publisher&gt;Blackwell Publishing Ltd&lt;/publisher&gt;&lt;type&gt;-100&lt;/type&gt;&lt;url&gt;http://jp.physoc.org.proxy.lib.umich.edu&lt;/url&gt;&lt;/publication&gt;&lt;/bundle&gt;&lt;authors&gt;&lt;author&gt;&lt;lastName&gt;Magnusson&lt;/lastName&gt;&lt;firstName&gt;S&lt;/firstName&gt;&lt;middleNames&gt;Peter&lt;/middleNames&gt;&lt;/author&gt;&lt;author&gt;&lt;lastName&gt;Kjaer&lt;/lastName&gt;&lt;firstName&gt;Michael&lt;/firstName&gt;&lt;/author&gt;&lt;/authors&gt;&lt;/publication&gt;&lt;/publications&gt;&lt;cites&gt;&lt;/cites&gt;&lt;/citation&gt;</w:instrText>
      </w:r>
      <w:r w:rsidR="006E2104">
        <w:fldChar w:fldCharType="separate"/>
      </w:r>
      <w:r w:rsidR="00A1782A">
        <w:rPr>
          <w:rFonts w:cs="Times New Roman"/>
        </w:rPr>
        <w:t>(4, 5)</w:t>
      </w:r>
      <w:r w:rsidR="006E2104">
        <w:fldChar w:fldCharType="end"/>
      </w:r>
      <w:r w:rsidRPr="00A91BE6">
        <w:t>. Mechanical loading can increase tendon cross sectional area (CSA) up to 30%</w:t>
      </w:r>
      <w:r w:rsidR="0075281F">
        <w:t xml:space="preserve"> </w:t>
      </w:r>
      <w:r w:rsidR="006E2104">
        <w:fldChar w:fldCharType="begin"/>
      </w:r>
      <w:r w:rsidR="00A1782A">
        <w:instrText xml:space="preserve"> ADDIN PAPERS2_CITATIONS &lt;citation&gt;&lt;priority&gt;5&lt;/priority&gt;&lt;uuid&gt;AE6CA269-39F6-44FB-A4F5-3C374A012F95&lt;/uuid&gt;&lt;publications&gt;&lt;publication&gt;&lt;subtype&gt;400&lt;/subtype&gt;&lt;location&gt;200,9,42.2803545,-83.7403132&lt;/location&gt;&lt;title&gt;Physiological loading of tendons induces scleraxis expression in epitenon fibroblasts.&lt;/title&gt;&lt;url&gt;http://eutils.ncbi.nlm.nih.gov/entrez/eutils/elink.fcgi?dbfrom=pubmed&amp;amp;id=21913219&amp;amp;retmode=ref&amp;amp;cmd=prlinks&lt;/url&gt;&lt;volume&gt;30&lt;/volume&gt;&lt;publication_date&gt;99201204001200000000220000&lt;/publication_date&gt;&lt;uuid&gt;AE6F045B-505B-43D7-9C63-3B9BE135BBFC&lt;/uuid&gt;&lt;type&gt;400&lt;/type&gt;&lt;accepted_date&gt;99201108221200000000222000&lt;/accepted_date&gt;&lt;number&gt;4&lt;/number&gt;&lt;citekey&gt;Mendias:2012bo&lt;/citekey&gt;&lt;submission_date&gt;99201103161200000000222000&lt;/submission_date&gt;&lt;doi&gt;10.1002/jor.21550&lt;/doi&gt;&lt;institution&gt;Orthopaedic Surgery, University of Michigan, 109 Zina Pitcher Place, BSRB 2017, Ann Arbor, 48109; Kinesiology, University of Michigan, Ann Arbor, 48109. cmendias@umich.edu.&lt;/institution&gt;&lt;startpage&gt;606&lt;/startpage&gt;&lt;endpage&gt;612&lt;/endpage&gt;&lt;bundle&gt;&lt;publication&gt;&lt;title&gt;Journal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Mendias&lt;/lastName&gt;&lt;firstName&gt;Christopher&lt;/firstName&gt;&lt;middleNames&gt;L&lt;/middleNames&gt;&lt;/author&gt;&lt;author&gt;&lt;lastName&gt;Gumucio&lt;/lastName&gt;&lt;firstName&gt;Jonathan&lt;/firstName&gt;&lt;middleNames&gt;P&lt;/middleNames&gt;&lt;/author&gt;&lt;author&gt;&lt;lastName&gt;Bakhurin&lt;/lastName&gt;&lt;firstName&gt;Konstantin&lt;/firstName&gt;&lt;middleNames&gt;I&lt;/middleNames&gt;&lt;/author&gt;&lt;author&gt;&lt;lastName&gt;Lynch&lt;/lastName&gt;&lt;firstName&gt;Evan&lt;/firstName&gt;&lt;middleNames&gt;B&lt;/middleNames&gt;&lt;/author&gt;&lt;author&gt;&lt;lastName&gt;Brooks&lt;/lastName&gt;&lt;firstName&gt;Susan&lt;/firstName&gt;&lt;middleNames&gt;V&lt;/middleNames&gt;&lt;/author&gt;&lt;/authors&gt;&lt;/publication&gt;&lt;/publications&gt;&lt;cites&gt;&lt;/cites&gt;&lt;/citation&gt;</w:instrText>
      </w:r>
      <w:r w:rsidR="006E2104">
        <w:fldChar w:fldCharType="separate"/>
      </w:r>
      <w:r w:rsidR="00A1782A">
        <w:rPr>
          <w:rFonts w:cs="Times New Roman"/>
        </w:rPr>
        <w:t>(6)</w:t>
      </w:r>
      <w:r w:rsidR="006E2104">
        <w:fldChar w:fldCharType="end"/>
      </w:r>
      <w:r w:rsidRPr="00A91BE6">
        <w:t xml:space="preserve"> and improve tendon mechanical properties </w:t>
      </w:r>
      <w:r w:rsidR="006E2104">
        <w:fldChar w:fldCharType="begin"/>
      </w:r>
      <w:r w:rsidR="00A1782A">
        <w:instrText xml:space="preserve"> ADDIN PAPERS2_CITATIONS &lt;citation&gt;&lt;priority&gt;6&lt;/priority&gt;&lt;uuid&gt;91C6807F-2586-4F9B-BC3B-C81D0062408B&lt;/uuid&gt;&lt;publications&gt;&lt;publication&gt;&lt;subtype&gt;400&lt;/subtype&gt;&lt;location&gt;200,4,55.6934030,12.5830460&lt;/location&gt;&lt;title&gt;Extracellular matrix adaptation of tendon and skeletal muscle to exercise&lt;/title&gt;&lt;url&gt;http://www.ncbi.nlm.nih.gov/entrez/query.fcgi?db=pubmed&amp;amp;cmd=Retrieve&amp;amp;dopt=AbstractPlus&amp;amp;list_uids=16637870&lt;/url&gt;&lt;volume&gt;208&lt;/volume&gt;&lt;publication_date&gt;99200604011200000000222000&lt;/publication_date&gt;&lt;uuid&gt;743681AE-9BCF-4722-978A-FD1A4DEFE732&lt;/uuid&gt;&lt;type&gt;400&lt;/type&gt;&lt;number&gt;4&lt;/number&gt;&lt;citekey&gt;Kjaer:2006p692&lt;/citekey&gt;&lt;doi&gt;10.1111/j.1469-7580.2006.00549.x&lt;/doi&gt;&lt;institution&gt;Institute of Sports Medicine, Bispebjerg Hospital, Copenhagen, Denmark. mk01@bbh.hosp.dk&lt;/institution&gt;&lt;startpage&gt;445&lt;/startpage&gt;&lt;endpage&gt;450&lt;/endpage&gt;&lt;bundle&gt;&lt;publication&gt;&lt;title&gt;Journal of anatomy&lt;/title&gt;&lt;uuid&gt;EE16671A-F5D8-46C7-821E-A9C8D309329D&lt;/uuid&gt;&lt;subtype&gt;-100&lt;/subtype&gt;&lt;publisher&gt;Blackwell Publishing&lt;/publisher&gt;&lt;type&gt;-100&lt;/type&gt;&lt;url&gt;http://onlinelibrary.wiley.com&lt;/url&gt;&lt;/publication&gt;&lt;/bundle&gt;&lt;authors&gt;&lt;author&gt;&lt;lastName&gt;Kjaer&lt;/lastName&gt;&lt;firstName&gt;Michael&lt;/firstName&gt;&lt;/author&gt;&lt;author&gt;&lt;lastName&gt;Magnusson&lt;/lastName&gt;&lt;firstName&gt;Peter&lt;/firstName&gt;&lt;/author&gt;&lt;author&gt;&lt;lastName&gt;Krogsgaard&lt;/lastName&gt;&lt;firstName&gt;Michael&lt;/firstName&gt;&lt;/author&gt;&lt;author&gt;&lt;lastName&gt;Boysen Møller&lt;/lastName&gt;&lt;firstName&gt;Jens&lt;/firstName&gt;&lt;/author&gt;&lt;author&gt;&lt;lastName&gt;Olesen&lt;/lastName&gt;&lt;firstName&gt;Jens&lt;/firstName&gt;&lt;/author&gt;&lt;author&gt;&lt;lastName&gt;Heinemeier&lt;/lastName&gt;&lt;firstName&gt;Katja&lt;/firstName&gt;&lt;/author&gt;&lt;author&gt;&lt;lastName&gt;Hansen&lt;/lastName&gt;&lt;firstName&gt;Mette&lt;/firstName&gt;&lt;/author&gt;&lt;author&gt;&lt;lastName&gt;Haraldsson&lt;/lastName&gt;&lt;firstName&gt;Bjarki&lt;/firstName&gt;&lt;/author&gt;&lt;author&gt;&lt;lastName&gt;Koskinen&lt;/lastName&gt;&lt;firstName&gt;Satu&lt;/firstName&gt;&lt;/author&gt;&lt;author&gt;&lt;lastName&gt;Esmarck&lt;/lastName&gt;&lt;firstName&gt;Birgitte&lt;/firstName&gt;&lt;/author&gt;&lt;author&gt;&lt;lastName&gt;Langberg&lt;/lastName&gt;&lt;firstName&gt;Henning&lt;/firstName&gt;&lt;/author&gt;&lt;/authors&gt;&lt;/publication&gt;&lt;publication&gt;&lt;subtype&gt;400&lt;/subtype&gt;&lt;title&gt;The impact of loading, unloading, ageing and injury on the human tendon.&lt;/title&gt;&lt;url&gt;https://onlinelibrary.wiley.com/doi/abs/10.1113/JP275450&lt;/url&gt;&lt;volume&gt;597&lt;/volume&gt;&lt;publication_date&gt;99201903001200000000220000&lt;/publication_date&gt;&lt;uuid&gt;70C74CA8-EBAE-4057-B049-CE90D98D200A&lt;/uuid&gt;&lt;type&gt;400&lt;/type&gt;&lt;accepted_date&gt;99201805301200000000222000&lt;/accepted_date&gt;&lt;number&gt;5&lt;/number&gt;&lt;submission_date&gt;99201803201200000000222000&lt;/submission_date&gt;&lt;doi&gt;10.1113/JP275450&lt;/doi&gt;&lt;institution&gt;Institute of Sports Medicine Copenhagen, Bispebjerg Hospital, Copenhagen, NV.&lt;/institution&gt;&lt;startpage&gt;1283&lt;/startpage&gt;&lt;endpage&gt;1298&lt;/endpage&gt;&lt;bundle&gt;&lt;publication&gt;&lt;title&gt;The Journal of physiology&lt;/title&gt;&lt;uuid&gt;46F2272B-F152-4516-8744-07BE57954398&lt;/uuid&gt;&lt;subtype&gt;-100&lt;/subtype&gt;&lt;publisher&gt;Blackwell Publishing Ltd&lt;/publisher&gt;&lt;type&gt;-100&lt;/type&gt;&lt;url&gt;http://jp.physoc.org.proxy.lib.umich.edu&lt;/url&gt;&lt;/publication&gt;&lt;/bundle&gt;&lt;authors&gt;&lt;author&gt;&lt;lastName&gt;Magnusson&lt;/lastName&gt;&lt;firstName&gt;S&lt;/firstName&gt;&lt;middleNames&gt;Peter&lt;/middleNames&gt;&lt;/author&gt;&lt;author&gt;&lt;lastName&gt;Kjaer&lt;/lastName&gt;&lt;firstName&gt;Michael&lt;/firstName&gt;&lt;/author&gt;&lt;/authors&gt;&lt;/publication&gt;&lt;/publications&gt;&lt;cites&gt;&lt;/cites&gt;&lt;/citation&gt;</w:instrText>
      </w:r>
      <w:r w:rsidR="006E2104">
        <w:fldChar w:fldCharType="separate"/>
      </w:r>
      <w:r w:rsidR="00A1782A">
        <w:rPr>
          <w:rFonts w:cs="Times New Roman"/>
        </w:rPr>
        <w:t>(5, 7)</w:t>
      </w:r>
      <w:r w:rsidR="006E2104">
        <w:fldChar w:fldCharType="end"/>
      </w:r>
      <w:r w:rsidRPr="00A91BE6">
        <w:t xml:space="preserve">, but </w:t>
      </w:r>
      <w:r>
        <w:t>less is known about the</w:t>
      </w:r>
      <w:r w:rsidRPr="00A91BE6">
        <w:t xml:space="preserve"> cellular and molecular mechanisms </w:t>
      </w:r>
      <w:r>
        <w:t xml:space="preserve">behind tendon growth and adaptation in adult animals. </w:t>
      </w:r>
    </w:p>
    <w:p w14:paraId="02EB7BAA" w14:textId="721DC1B9" w:rsidR="00A91BE6" w:rsidRDefault="009F6EEC" w:rsidP="006E41A7">
      <w:pPr>
        <w:spacing w:line="480" w:lineRule="auto"/>
      </w:pPr>
      <w:r>
        <w:tab/>
      </w:r>
      <w:r w:rsidR="00A91BE6" w:rsidRPr="00A91BE6">
        <w:t>Scleraxis (</w:t>
      </w:r>
      <w:proofErr w:type="spellStart"/>
      <w:r w:rsidR="00A91BE6" w:rsidRPr="00435075">
        <w:rPr>
          <w:i/>
        </w:rPr>
        <w:t>Scx</w:t>
      </w:r>
      <w:proofErr w:type="spellEnd"/>
      <w:r w:rsidR="00A91BE6" w:rsidRPr="00A91BE6">
        <w:t>) is a basic helix-loop-helix (</w:t>
      </w:r>
      <w:proofErr w:type="spellStart"/>
      <w:r w:rsidR="00A91BE6" w:rsidRPr="00A91BE6">
        <w:t>bHLH</w:t>
      </w:r>
      <w:proofErr w:type="spellEnd"/>
      <w:r w:rsidR="00A91BE6" w:rsidRPr="00A91BE6">
        <w:t xml:space="preserve">) transcription factor that </w:t>
      </w:r>
      <w:r>
        <w:t xml:space="preserve">is </w:t>
      </w:r>
      <w:r w:rsidR="00EB0701">
        <w:t xml:space="preserve">regulated by TGFβ signaling and is </w:t>
      </w:r>
      <w:r>
        <w:t xml:space="preserve">required for </w:t>
      </w:r>
      <w:r w:rsidR="00EB0701">
        <w:t xml:space="preserve">the </w:t>
      </w:r>
      <w:r>
        <w:t xml:space="preserve">proper </w:t>
      </w:r>
      <w:r w:rsidR="00EB0701">
        <w:t xml:space="preserve">embryonic development of </w:t>
      </w:r>
      <w:r>
        <w:t>tendon</w:t>
      </w:r>
      <w:r w:rsidR="00EB0701">
        <w:t xml:space="preserve">s </w:t>
      </w:r>
      <w:r w:rsidR="006E2104">
        <w:fldChar w:fldCharType="begin"/>
      </w:r>
      <w:r w:rsidR="00A1782A">
        <w:instrText xml:space="preserve"> ADDIN PAPERS2_CITATIONS &lt;citation&gt;&lt;priority&gt;7&lt;/priority&gt;&lt;uuid&gt;2A836A56-3B48-4B6A-A535-2B815E8D22A6&lt;/uuid&gt;&lt;publications&gt;&lt;publication&gt;&lt;subtype&gt;400&lt;/subtype&gt;&lt;location&gt;200,9,42.3355089,-71.1043686&lt;/location&gt;&lt;title&gt;Regulation of tendon differentiation by scleraxis distinguishes force-transmitting tendons from muscle-anchoring tendons.&lt;/title&gt;&lt;url&gt;http://dev.biologists.org/cgi/doi/10.1242/dev.001933&lt;/url&gt;&lt;volume&gt;134&lt;/volume&gt;&lt;publication_date&gt;99200707001200000000220000&lt;/publication_date&gt;&lt;uuid&gt;4062C5F6-005D-4937-BD12-6852BA68B7E9&lt;/uuid&gt;&lt;type&gt;400&lt;/type&gt;&lt;number&gt;14&lt;/number&gt;&lt;citekey&gt;Murchison:2007p324&lt;/citekey&gt;&lt;doi&gt;10.1242/dev.001933&lt;/doi&gt;&lt;institution&gt;Shriners Hospital for Children, Research Division, Portland, OR 97239, and Department of Genetics, Harvard Medical School, Boston, MA 02115, USA.&lt;/institution&gt;&lt;startpage&gt;2697&lt;/startpage&gt;&lt;endpage&gt;2708&lt;/endpage&gt;&lt;bundle&gt;&lt;publication&gt;&lt;title&gt;Development (Cambridge, England)&lt;/title&gt;&lt;uuid&gt;302310D9-63C5-46C6-A71B-2FA7510DA5B5&lt;/uuid&gt;&lt;subtype&gt;-100&lt;/subtype&gt;&lt;publisher&gt;Oxford University Press for The Company of Biologists Limited&lt;/publisher&gt;&lt;type&gt;-100&lt;/type&gt;&lt;url&gt;http://dev.biologists.org.proxy.lib.umich.edu&lt;/url&gt;&lt;/publication&gt;&lt;/bundle&gt;&lt;authors&gt;&lt;author&gt;&lt;lastName&gt;Murchison&lt;/lastName&gt;&lt;firstName&gt;Nicholas&lt;/firstName&gt;&lt;middleNames&gt;D&lt;/middleNames&gt;&lt;/author&gt;&lt;author&gt;&lt;lastName&gt;Price&lt;/lastName&gt;&lt;firstName&gt;Brian&lt;/firstName&gt;&lt;middleNames&gt;A&lt;/middleNames&gt;&lt;/author&gt;&lt;author&gt;&lt;lastName&gt;Conner&lt;/lastName&gt;&lt;firstName&gt;David&lt;/firstName&gt;&lt;middleNames&gt;A&lt;/middleNames&gt;&lt;/author&gt;&lt;author&gt;&lt;lastName&gt;Keene&lt;/lastName&gt;&lt;firstName&gt;Douglas&lt;/firstName&gt;&lt;middleNames&gt;R&lt;/middleNames&gt;&lt;/author&gt;&lt;author&gt;&lt;lastName&gt;Olson&lt;/lastName&gt;&lt;firstName&gt;Eric&lt;/firstName&gt;&lt;middleNames&gt;N&lt;/middleNames&gt;&lt;/author&gt;&lt;author&gt;&lt;lastName&gt;Tabin&lt;/lastName&gt;&lt;firstName&gt;Clifford&lt;/firstName&gt;&lt;middleNames&gt;J&lt;/middleNames&gt;&lt;/author&gt;&lt;author&gt;&lt;lastName&gt;Schweitzer&lt;/lastName&gt;&lt;firstName&gt;Ronen&lt;/firstName&gt;&lt;/author&gt;&lt;/authors&gt;&lt;/publication&gt;&lt;publication&gt;&lt;subtype&gt;400&lt;/subtype&gt;&lt;location&gt;200,5,45.4874111,-122.6875541&lt;/location&gt;&lt;title&gt;Recruitment and maintenance of tendon progenitors by TGF{beta} signaling are essential for tendon formation&lt;/title&gt;&lt;url&gt;http://www.ncbi.nlm.nih.gov/entrez/query.fcgi?db=pubmed&amp;amp;cmd=Retrieve&amp;amp;dopt=AbstractPlus&amp;amp;list_uids=19304887&lt;/url&gt;&lt;volume&gt;136&lt;/volume&gt;&lt;publication_date&gt;99200904011200000000222000&lt;/publication_date&gt;&lt;uuid&gt;A207F101-77F6-4248-8ABE-F816F23FF7C5&lt;/uuid&gt;&lt;type&gt;400&lt;/type&gt;&lt;number&gt;8&lt;/number&gt;&lt;citekey&gt;Pryce:2009p489&lt;/citekey&gt;&lt;doi&gt;10.1242/dev.027342&lt;/doi&gt;&lt;institution&gt;Shriners Hospital for Children, Research Division, Portland, OR 97239, USA.&lt;/institution&gt;&lt;startpage&gt;1351&lt;/startpage&gt;&lt;endpage&gt;1361&lt;/endpage&gt;&lt;bundle&gt;&lt;publication&gt;&lt;title&gt;Development (Cambridge, England)&lt;/title&gt;&lt;uuid&gt;33F6C469-3741-40AA-BD88-1436B1CFA4F5&lt;/uuid&gt;&lt;subtype&gt;-200&lt;/subtype&gt;&lt;type&gt;-200&lt;/type&gt;&lt;/publication&gt;&lt;/bundle&gt;&lt;authors&gt;&lt;author&gt;&lt;lastName&gt;Pryce&lt;/lastName&gt;&lt;firstName&gt;Brian&lt;/firstName&gt;&lt;middleNames&gt;A&lt;/middleNames&gt;&lt;/author&gt;&lt;author&gt;&lt;lastName&gt;Watson&lt;/lastName&gt;&lt;firstName&gt;Spencer&lt;/firstName&gt;&lt;middleNames&gt;S&lt;/middleNames&gt;&lt;/author&gt;&lt;author&gt;&lt;lastName&gt;Murchison&lt;/lastName&gt;&lt;firstName&gt;Nicholas&lt;/firstName&gt;&lt;middleNames&gt;D&lt;/middleNames&gt;&lt;/author&gt;&lt;author&gt;&lt;lastName&gt;Staverosky&lt;/lastName&gt;&lt;firstName&gt;Julia&lt;/firstName&gt;&lt;middleNames&gt;A&lt;/middleNames&gt;&lt;/author&gt;&lt;author&gt;&lt;lastName&gt;Dünker&lt;/lastName&gt;&lt;firstName&gt;Nicole&lt;/firstName&gt;&lt;/author&gt;&lt;author&gt;&lt;lastName&gt;Schweitzer&lt;/lastName&gt;&lt;firstName&gt;Ronen&lt;/firstName&gt;&lt;/author&gt;&lt;/authors&gt;&lt;/publication&gt;&lt;/publications&gt;&lt;cites&gt;&lt;/cites&gt;&lt;/citation&gt;</w:instrText>
      </w:r>
      <w:r w:rsidR="006E2104">
        <w:fldChar w:fldCharType="separate"/>
      </w:r>
      <w:r w:rsidR="00A1782A">
        <w:rPr>
          <w:rFonts w:cs="Times New Roman"/>
        </w:rPr>
        <w:t>(8, 9)</w:t>
      </w:r>
      <w:r w:rsidR="006E2104">
        <w:fldChar w:fldCharType="end"/>
      </w:r>
      <w:r w:rsidR="00A91BE6" w:rsidRPr="00A91BE6">
        <w:t xml:space="preserve">. </w:t>
      </w:r>
      <w:r>
        <w:t>S</w:t>
      </w:r>
      <w:r w:rsidR="00A91BE6" w:rsidRPr="00A91BE6">
        <w:t>cleraxis is the earliest detectible marker for differentiated tendon cells</w:t>
      </w:r>
      <w:r>
        <w:t xml:space="preserve"> </w:t>
      </w:r>
      <w:r w:rsidR="006E2104">
        <w:fldChar w:fldCharType="begin"/>
      </w:r>
      <w:r w:rsidR="00A1782A">
        <w:instrText xml:space="preserve"> ADDIN PAPERS2_CITATIONS &lt;citation&gt;&lt;priority&gt;8&lt;/priority&gt;&lt;uuid&gt;A935FE30-EE01-47B7-A0AC-DD5041253087&lt;/uuid&gt;&lt;publications&gt;&lt;publication&gt;&lt;subtype&gt;400&lt;/subtype&gt;&lt;title&gt;Molecular regulation of tendon cell fate during development&lt;/title&gt;&lt;url&gt;http://onlinelibrary.wiley.com.proxy.lib.umich.edu/doi/10.1002/jor.22834/full&lt;/url&gt;&lt;volume&gt;33&lt;/volume&gt;&lt;publication_date&gt;99201506011200000000222000&lt;/publication_date&gt;&lt;uuid&gt;0F6825BC-8F07-4780-BBE1-8D7559E071C1&lt;/uuid&gt;&lt;type&gt;400&lt;/type&gt;&lt;number&gt;6&lt;/number&gt;&lt;subtitle&gt;MOLECULAR REGULATION OF TENDON FATE&lt;/subtitle&gt;&lt;doi&gt;10.1002/jor.22834&lt;/doi&gt;&lt;startpage&gt;800&lt;/startpage&gt;&lt;endpage&gt;812&lt;/endpage&gt;&lt;bundle&gt;&lt;publication&gt;&lt;title&gt;Journal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Huang&lt;/lastName&gt;&lt;firstName&gt;Alice&lt;/firstName&gt;&lt;middleNames&gt;H&lt;/middleNames&gt;&lt;/author&gt;&lt;author&gt;&lt;lastName&gt;Lu&lt;/lastName&gt;&lt;firstName&gt;Helen&lt;/firstName&gt;&lt;middleNames&gt;H&lt;/middleNames&gt;&lt;/author&gt;&lt;author&gt;&lt;lastName&gt;Schweitzer&lt;/lastName&gt;&lt;firstName&gt;Ronen&lt;/firstName&gt;&lt;/author&gt;&lt;/authors&gt;&lt;editors&gt;&lt;author&gt;&lt;lastName&gt;Andarawis-Puri&lt;/lastName&gt;&lt;firstName&gt;Nelly&lt;/firstName&gt;&lt;/author&gt;&lt;author&gt;&lt;lastName&gt;Flatow&lt;/lastName&gt;&lt;firstName&gt;Evan&lt;/firstName&gt;&lt;middleNames&gt;L&lt;/middleNames&gt;&lt;/author&gt;&lt;author&gt;&lt;lastName&gt;Soslowsky&lt;/lastName&gt;&lt;firstName&gt;Louis&lt;/firstName&gt;&lt;middleNames&gt;J&lt;/middleNames&gt;&lt;/author&gt;&lt;/editors&gt;&lt;/publication&gt;&lt;/publications&gt;&lt;cites&gt;&lt;/cites&gt;&lt;/citation&gt;</w:instrText>
      </w:r>
      <w:r w:rsidR="006E2104">
        <w:fldChar w:fldCharType="separate"/>
      </w:r>
      <w:r w:rsidR="00A1782A">
        <w:rPr>
          <w:rFonts w:cs="Times New Roman"/>
        </w:rPr>
        <w:t>(10)</w:t>
      </w:r>
      <w:r w:rsidR="006E2104">
        <w:fldChar w:fldCharType="end"/>
      </w:r>
      <w:r w:rsidR="00A91BE6" w:rsidRPr="00A91BE6">
        <w:t xml:space="preserve">, and activates downstream tendon differentiation genes such as </w:t>
      </w:r>
      <w:r>
        <w:t>type I</w:t>
      </w:r>
      <w:r w:rsidR="00AD0040">
        <w:t xml:space="preserve"> </w:t>
      </w:r>
      <w:r w:rsidRPr="00A91BE6">
        <w:t>α</w:t>
      </w:r>
      <w:r w:rsidR="00AD0040">
        <w:t>-</w:t>
      </w:r>
      <w:r w:rsidRPr="00A91BE6">
        <w:t>1</w:t>
      </w:r>
      <w:r>
        <w:t xml:space="preserve"> </w:t>
      </w:r>
      <w:r w:rsidR="00AD0040">
        <w:t xml:space="preserve">chain </w:t>
      </w:r>
      <w:r>
        <w:t>c</w:t>
      </w:r>
      <w:r w:rsidR="00A91BE6" w:rsidRPr="00A91BE6">
        <w:t>ollagen 1 (</w:t>
      </w:r>
      <w:r w:rsidR="00A91BE6" w:rsidRPr="00A91BE6">
        <w:rPr>
          <w:i/>
        </w:rPr>
        <w:t>Col1a1</w:t>
      </w:r>
      <w:r w:rsidR="00A91BE6" w:rsidRPr="00A91BE6">
        <w:t>)</w:t>
      </w:r>
      <w:r>
        <w:t>, mohawk (</w:t>
      </w:r>
      <w:proofErr w:type="spellStart"/>
      <w:r w:rsidRPr="009F6EEC">
        <w:rPr>
          <w:i/>
          <w:iCs/>
        </w:rPr>
        <w:t>Mkx</w:t>
      </w:r>
      <w:proofErr w:type="spellEnd"/>
      <w:r>
        <w:t>)</w:t>
      </w:r>
      <w:r w:rsidR="00A91BE6" w:rsidRPr="00A91BE6">
        <w:t xml:space="preserve"> and </w:t>
      </w:r>
      <w:r>
        <w:t>t</w:t>
      </w:r>
      <w:r w:rsidR="00A91BE6" w:rsidRPr="00A91BE6">
        <w:t>enomodulin (</w:t>
      </w:r>
      <w:proofErr w:type="spellStart"/>
      <w:r w:rsidR="00A91BE6" w:rsidRPr="00A91BE6">
        <w:rPr>
          <w:i/>
        </w:rPr>
        <w:t>Tmnd</w:t>
      </w:r>
      <w:proofErr w:type="spellEnd"/>
      <w:r w:rsidR="00A91BE6" w:rsidRPr="00A91BE6">
        <w:t xml:space="preserve">) through its interaction with the </w:t>
      </w:r>
      <w:proofErr w:type="spellStart"/>
      <w:r w:rsidR="00A91BE6" w:rsidRPr="00A91BE6">
        <w:t>bHLH</w:t>
      </w:r>
      <w:proofErr w:type="spellEnd"/>
      <w:r w:rsidR="00A91BE6" w:rsidRPr="00A91BE6">
        <w:t xml:space="preserve"> transcription factor E47</w:t>
      </w:r>
      <w:r>
        <w:t xml:space="preserve">, among others </w:t>
      </w:r>
      <w:r w:rsidR="006E2104">
        <w:fldChar w:fldCharType="begin"/>
      </w:r>
      <w:r w:rsidR="00A1782A">
        <w:instrText xml:space="preserve"> ADDIN PAPERS2_CITATIONS &lt;citation&gt;&lt;priority&gt;9&lt;/priority&gt;&lt;uuid&gt;E22A525F-2A4A-4884-9146-B298A7E753D4&lt;/uuid&gt;&lt;publications&gt;&lt;publication&gt;&lt;subtype&gt;400&lt;/subtype&gt;&lt;location&gt;200,5,39.9509036,-75.1574567&lt;/location&gt;&lt;title&gt;Regulation of scleraxis function by interaction with the bHLH protein E47&lt;/title&gt;&lt;url&gt;http://linkinghub.elsevier.com/retrieve/pii/S1522472400901958&lt;/url&gt;&lt;volume&gt;3&lt;/volume&gt;&lt;publication_date&gt;99200002011200000000222000&lt;/publication_date&gt;&lt;uuid&gt;A7361FA2-9F4F-453B-8FCE-77286F1D0293&lt;/uuid&gt;&lt;type&gt;400&lt;/type&gt;&lt;number&gt;2&lt;/number&gt;&lt;citekey&gt;Carlberg:2000p460&lt;/citekey&gt;&lt;doi&gt;10.1006/mcbr.2000.0195&lt;/doi&gt;&lt;institution&gt;Department of Orthopaedic Surgery, Thomas Jefferson University, 501 Curtis, 1015 Walnut, Philadelphia, Pennsylvania, 19107, USA.&lt;/institution&gt;&lt;startpage&gt;82&lt;/startpage&gt;&lt;endpage&gt;86&lt;/endpage&gt;&lt;bundle&gt;&lt;publication&gt;&lt;title&gt;Molecular cell biology research communications : MCBRC&lt;/title&gt;&lt;uuid&gt;F8B5690C-08EC-41CE-AB84-344E2A978DE7&lt;/uuid&gt;&lt;subtype&gt;-100&lt;/subtype&gt;&lt;type&gt;-100&lt;/type&gt;&lt;/publication&gt;&lt;/bundle&gt;&lt;authors&gt;&lt;author&gt;&lt;lastName&gt;Carlberg&lt;/lastName&gt;&lt;firstName&gt;A&lt;/firstName&gt;&lt;middleNames&gt;L&lt;/middleNames&gt;&lt;/author&gt;&lt;author&gt;&lt;lastName&gt;Tuan&lt;/lastName&gt;&lt;firstName&gt;R&lt;/firstName&gt;&lt;middleNames&gt;S&lt;/middleNames&gt;&lt;/author&gt;&lt;author&gt;&lt;lastName&gt;Hall&lt;/lastName&gt;&lt;firstName&gt;D&lt;/firstName&gt;&lt;middleNames&gt;J&lt;/middleNames&gt;&lt;/author&gt;&lt;/authors&gt;&lt;/publication&gt;&lt;publication&gt;&lt;subtype&gt;400&lt;/subtype&gt;&lt;location&gt;200,9,48.8517458,2.3404008&lt;/location&gt;&lt;title&gt;Scleraxis and NFATc regulate the expression of the pro-alpha1(I) collagen gene in tendon fibroblasts.&lt;/title&gt;&lt;url&gt;http://www.jbc.org/cgi/doi/10.1074/jbc.M610113200&lt;/url&gt;&lt;volume&gt;282&lt;/volume&gt;&lt;publication_date&gt;99200706151200000000222000&lt;/publication_date&gt;&lt;uuid&gt;F77C6529-F7B4-499F-83DC-D0547ADF7577&lt;/uuid&gt;&lt;type&gt;400&lt;/type&gt;&lt;number&gt;24&lt;/number&gt;&lt;citekey&gt;Lejard:2007p274&lt;/citekey&gt;&lt;doi&gt;10.1074/jbc.M610113200&lt;/doi&gt;&lt;institution&gt;INSERM U652 and Paris-Descartes University, 75006 Paris, France.&lt;/institution&gt;&lt;startpage&gt;17665&lt;/startpage&gt;&lt;endpage&gt;17675&lt;/endpage&gt;&lt;bundle&gt;&lt;publication&gt;&lt;title&gt;The Journal of biological chemistry&lt;/title&gt;&lt;uuid&gt;C686AE55-7C67-4A7F-8D42-7B183F2CCDEC&lt;/uuid&gt;&lt;subtype&gt;-100&lt;/subtype&gt;&lt;type&gt;-100&lt;/type&gt;&lt;url&gt;http://www.jbc.org.proxy.lib.umich.edu&lt;/url&gt;&lt;/publication&gt;&lt;/bundle&gt;&lt;authors&gt;&lt;author&gt;&lt;lastName&gt;Léjard&lt;/lastName&gt;&lt;firstName&gt;Véronique&lt;/firstName&gt;&lt;/author&gt;&lt;author&gt;&lt;lastName&gt;Brideau&lt;/lastName&gt;&lt;firstName&gt;Gaelle&lt;/firstName&gt;&lt;/author&gt;&lt;author&gt;&lt;lastName&gt;Blais&lt;/lastName&gt;&lt;firstName&gt;Frédéric&lt;/firstName&gt;&lt;/author&gt;&lt;author&gt;&lt;lastName&gt;Salingcarnboriboon&lt;/lastName&gt;&lt;firstName&gt;Ruchanee&lt;/firstName&gt;&lt;/author&gt;&lt;author&gt;&lt;lastName&gt;Wagner&lt;/lastName&gt;&lt;firstName&gt;Gerhard&lt;/firstName&gt;&lt;/author&gt;&lt;author&gt;&lt;lastName&gt;Roehrl&lt;/lastName&gt;&lt;firstName&gt;Michael&lt;/firstName&gt;&lt;middleNames&gt;H A&lt;/middleNames&gt;&lt;/author&gt;&lt;author&gt;&lt;lastName&gt;Noda&lt;/lastName&gt;&lt;firstName&gt;Masaki&lt;/firstName&gt;&lt;/author&gt;&lt;author&gt;&lt;lastName&gt;Duprez&lt;/lastName&gt;&lt;firstName&gt;Delphine&lt;/firstName&gt;&lt;/author&gt;&lt;author&gt;&lt;lastName&gt;Houillier&lt;/lastName&gt;&lt;firstName&gt;Pascal&lt;/firstName&gt;&lt;/author&gt;&lt;author&gt;&lt;lastName&gt;Rossert&lt;/lastName&gt;&lt;firstName&gt;Jérôme&lt;/firstName&gt;&lt;/author&gt;&lt;/authors&gt;&lt;/publication&gt;&lt;publication&gt;&lt;subtype&gt;400&lt;/subtype&gt;&lt;location&gt;200,5,35.0197745,135.7776757&lt;/location&gt;&lt;title&gt;Scleraxis positively regulates the expression of tenomodulin, a differentiation marker of tenocytes&lt;/title&gt;&lt;url&gt;http://www.ncbi.nlm.nih.gov/entrez/query.fcgi?db=pubmed&amp;amp;cmd=Retrieve&amp;amp;dopt=AbstractPlus&amp;amp;list_uids=16876153&lt;/url&gt;&lt;volume&gt;298&lt;/volume&gt;&lt;publication_date&gt;99200610011200000000222000&lt;/publication_date&gt;&lt;uuid&gt;4283B3A6-F1C6-4E7F-8107-2AA1C92253EE&lt;/uuid&gt;&lt;type&gt;400&lt;/type&gt;&lt;number&gt;1&lt;/number&gt;&lt;citekey&gt;Shukunami:2006p621&lt;/citekey&gt;&lt;doi&gt;10.1016/j.ydbio.2006.06.036&lt;/doi&gt;&lt;institution&gt;Department of Cellular Differentiation, Institute for Frontier Medical Sciences, Kyoto University, Kyoto 606-8507, Japan. shukunam@frontier.kyoto-u.ac.jp&lt;/institution&gt;&lt;startpage&gt;234&lt;/startpage&gt;&lt;endpage&gt;247&lt;/endpage&gt;&lt;bundle&gt;&lt;publication&gt;&lt;title&gt;Developmental Biology&lt;/title&gt;&lt;uuid&gt;829BD0AF-B6C5-4D57-B0A6-EA14E5418C5A&lt;/uuid&gt;&lt;subtype&gt;-100&lt;/subtype&gt;&lt;publisher&gt;Elsevier Inc.&lt;/publisher&gt;&lt;type&gt;-100&lt;/type&gt;&lt;url&gt;http://www.sciencedirect.com.proxy.lib.umich.edu&lt;/url&gt;&lt;/publication&gt;&lt;/bundle&gt;&lt;authors&gt;&lt;author&gt;&lt;lastName&gt;Shukunami&lt;/lastName&gt;&lt;firstName&gt;Chisa&lt;/firstName&gt;&lt;/author&gt;&lt;author&gt;&lt;lastName&gt;Takimoto&lt;/lastName&gt;&lt;firstName&gt;Aki&lt;/firstName&gt;&lt;/author&gt;&lt;author&gt;&lt;lastName&gt;Oro&lt;/lastName&gt;&lt;firstName&gt;Miwa&lt;/firstName&gt;&lt;/author&gt;&lt;author&gt;&lt;lastName&gt;Hiraki&lt;/lastName&gt;&lt;firstName&gt;Yuji&lt;/firstName&gt;&lt;/author&gt;&lt;/authors&gt;&lt;/publication&gt;&lt;/publications&gt;&lt;cites&gt;&lt;/cites&gt;&lt;/citation&gt;</w:instrText>
      </w:r>
      <w:r w:rsidR="006E2104">
        <w:fldChar w:fldCharType="separate"/>
      </w:r>
      <w:r w:rsidR="00A1782A">
        <w:rPr>
          <w:rFonts w:cs="Times New Roman"/>
        </w:rPr>
        <w:t>(11-13)</w:t>
      </w:r>
      <w:r w:rsidR="006E2104">
        <w:fldChar w:fldCharType="end"/>
      </w:r>
      <w:r w:rsidR="00A91BE6" w:rsidRPr="00A91BE6">
        <w:t xml:space="preserve">. Scleraxis is expressed through birth and </w:t>
      </w:r>
      <w:r w:rsidR="00A65357">
        <w:t xml:space="preserve">the </w:t>
      </w:r>
      <w:r w:rsidR="00A91BE6" w:rsidRPr="00A91BE6">
        <w:t xml:space="preserve">early postnatal period, but </w:t>
      </w:r>
      <w:r>
        <w:t>beyond 3 months of age</w:t>
      </w:r>
      <w:r w:rsidR="00A65357">
        <w:t xml:space="preserve"> </w:t>
      </w:r>
      <w:r w:rsidR="00A65357" w:rsidRPr="001870F5">
        <w:rPr>
          <w:color w:val="000000" w:themeColor="text1"/>
        </w:rPr>
        <w:t>in mice</w:t>
      </w:r>
      <w:r w:rsidR="001870F5" w:rsidRPr="001870F5">
        <w:rPr>
          <w:color w:val="000000" w:themeColor="text1"/>
        </w:rPr>
        <w:t>,</w:t>
      </w:r>
      <w:r w:rsidR="00A65357" w:rsidRPr="001870F5">
        <w:rPr>
          <w:color w:val="000000" w:themeColor="text1"/>
        </w:rPr>
        <w:t xml:space="preserve"> </w:t>
      </w:r>
      <w:r w:rsidR="00A91BE6" w:rsidRPr="001870F5">
        <w:rPr>
          <w:color w:val="000000" w:themeColor="text1"/>
        </w:rPr>
        <w:t xml:space="preserve">scleraxis </w:t>
      </w:r>
      <w:r w:rsidR="00A91BE6" w:rsidRPr="00A91BE6">
        <w:t>expression i</w:t>
      </w:r>
      <w:r w:rsidR="00A65357">
        <w:t xml:space="preserve">n tendons is </w:t>
      </w:r>
      <w:r w:rsidR="00A91BE6" w:rsidRPr="00A91BE6">
        <w:t xml:space="preserve">limited to the epitenon </w:t>
      </w:r>
      <w:r w:rsidR="006E2104">
        <w:fldChar w:fldCharType="begin"/>
      </w:r>
      <w:r w:rsidR="00A1782A">
        <w:instrText xml:space="preserve"> ADDIN PAPERS2_CITATIONS &lt;citation&gt;&lt;priority&gt;11&lt;/priority&gt;&lt;uuid&gt;2F43B4CC-6E45-4590-B308-93705008A3D5&lt;/uuid&gt;&lt;publications&gt;&lt;publication&gt;&lt;subtype&gt;400&lt;/subtype&gt;&lt;location&gt;200,9,42.2803545,-83.7403132&lt;/location&gt;&lt;title&gt;Physiological loading of tendons induces scleraxis expression in epitenon fibroblasts.&lt;/title&gt;&lt;url&gt;http://eutils.ncbi.nlm.nih.gov/entrez/eutils/elink.fcgi?dbfrom=pubmed&amp;amp;id=21913219&amp;amp;retmode=ref&amp;amp;cmd=prlinks&lt;/url&gt;&lt;volume&gt;30&lt;/volume&gt;&lt;publication_date&gt;99201204001200000000220000&lt;/publication_date&gt;&lt;uuid&gt;AE6F045B-505B-43D7-9C63-3B9BE135BBFC&lt;/uuid&gt;&lt;type&gt;400&lt;/type&gt;&lt;accepted_date&gt;99201108221200000000222000&lt;/accepted_date&gt;&lt;number&gt;4&lt;/number&gt;&lt;citekey&gt;Mendias:2012bo&lt;/citekey&gt;&lt;submission_date&gt;99201103161200000000222000&lt;/submission_date&gt;&lt;doi&gt;10.1002/jor.21550&lt;/doi&gt;&lt;institution&gt;Orthopaedic Surgery, University of Michigan, 109 Zina Pitcher Place, BSRB 2017, Ann Arbor, 48109; Kinesiology, University of Michigan, Ann Arbor, 48109. cmendias@umich.edu.&lt;/institution&gt;&lt;startpage&gt;606&lt;/startpage&gt;&lt;endpage&gt;612&lt;/endpage&gt;&lt;bundle&gt;&lt;publication&gt;&lt;title&gt;Journal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Mendias&lt;/lastName&gt;&lt;firstName&gt;Christopher&lt;/firstName&gt;&lt;middleNames&gt;L&lt;/middleNames&gt;&lt;/author&gt;&lt;author&gt;&lt;lastName&gt;Gumucio&lt;/lastName&gt;&lt;firstName&gt;Jonathan&lt;/firstName&gt;&lt;middleNames&gt;P&lt;/middleNames&gt;&lt;/author&gt;&lt;author&gt;&lt;lastName&gt;Bakhurin&lt;/lastName&gt;&lt;firstName&gt;Konstantin&lt;/firstName&gt;&lt;middleNames&gt;I&lt;/middleNames&gt;&lt;/author&gt;&lt;author&gt;&lt;lastName&gt;Lynch&lt;/lastName&gt;&lt;firstName&gt;Evan&lt;/firstName&gt;&lt;middleNames&gt;B&lt;/middleNames&gt;&lt;/author&gt;&lt;author&gt;&lt;lastName&gt;Brooks&lt;/lastName&gt;&lt;firstName&gt;Susan&lt;/firstName&gt;&lt;middleNames&gt;V&lt;/middleNames&gt;&lt;/author&gt;&lt;/authors&gt;&lt;/publication&gt;&lt;/publications&gt;&lt;cites&gt;&lt;/cites&gt;&lt;/citation&gt;</w:instrText>
      </w:r>
      <w:r w:rsidR="006E2104">
        <w:fldChar w:fldCharType="separate"/>
      </w:r>
      <w:r w:rsidR="00A1782A">
        <w:rPr>
          <w:rFonts w:cs="Times New Roman"/>
        </w:rPr>
        <w:t>(6)</w:t>
      </w:r>
      <w:r w:rsidR="006E2104">
        <w:fldChar w:fldCharType="end"/>
      </w:r>
      <w:r w:rsidR="00A91BE6" w:rsidRPr="00A91BE6">
        <w:t xml:space="preserve">. </w:t>
      </w:r>
      <w:r w:rsidR="00CE5CED" w:rsidRPr="00A91BE6">
        <w:t>Loss of scleraxis results in the loss or severe disruption of long tendons throughout the body</w:t>
      </w:r>
      <w:r w:rsidR="00CE5CED">
        <w:t xml:space="preserve"> </w:t>
      </w:r>
      <w:r w:rsidR="00CE5CED">
        <w:fldChar w:fldCharType="begin"/>
      </w:r>
      <w:r w:rsidR="00A1782A">
        <w:instrText xml:space="preserve"> ADDIN PAPERS2_CITATIONS &lt;citation&gt;&lt;priority&gt;10&lt;/priority&gt;&lt;uuid&gt;F565A2B9-C71B-41C9-BBEA-65F4C016C6DB&lt;/uuid&gt;&lt;publications&gt;&lt;publication&gt;&lt;subtype&gt;400&lt;/subtype&gt;&lt;location&gt;200,9,42.3355089,-71.1043686&lt;/location&gt;&lt;title&gt;Regulation of tendon differentiation by scleraxis distinguishes force-transmitting tendons from muscle-anchoring tendons.&lt;/title&gt;&lt;url&gt;http://dev.biologists.org/cgi/doi/10.1242/dev.001933&lt;/url&gt;&lt;volume&gt;134&lt;/volume&gt;&lt;publication_date&gt;99200707001200000000220000&lt;/publication_date&gt;&lt;uuid&gt;4062C5F6-005D-4937-BD12-6852BA68B7E9&lt;/uuid&gt;&lt;type&gt;400&lt;/type&gt;&lt;number&gt;14&lt;/number&gt;&lt;citekey&gt;Murchison:2007p324&lt;/citekey&gt;&lt;doi&gt;10.1242/dev.001933&lt;/doi&gt;&lt;institution&gt;Shriners Hospital for Children, Research Division, Portland, OR 97239, and Department of Genetics, Harvard Medical School, Boston, MA 02115, USA.&lt;/institution&gt;&lt;startpage&gt;2697&lt;/startpage&gt;&lt;endpage&gt;2708&lt;/endpage&gt;&lt;bundle&gt;&lt;publication&gt;&lt;title&gt;Development (Cambridge, England)&lt;/title&gt;&lt;uuid&gt;302310D9-63C5-46C6-A71B-2FA7510DA5B5&lt;/uuid&gt;&lt;subtype&gt;-100&lt;/subtype&gt;&lt;publisher&gt;Oxford University Press for The Company of Biologists Limited&lt;/publisher&gt;&lt;type&gt;-100&lt;/type&gt;&lt;url&gt;http://dev.biologists.org.proxy.lib.umich.edu&lt;/url&gt;&lt;/publication&gt;&lt;/bundle&gt;&lt;authors&gt;&lt;author&gt;&lt;lastName&gt;Murchison&lt;/lastName&gt;&lt;firstName&gt;Nicholas&lt;/firstName&gt;&lt;middleNames&gt;D&lt;/middleNames&gt;&lt;/author&gt;&lt;author&gt;&lt;lastName&gt;Price&lt;/lastName&gt;&lt;firstName&gt;Brian&lt;/firstName&gt;&lt;middleNames&gt;A&lt;/middleNames&gt;&lt;/author&gt;&lt;author&gt;&lt;lastName&gt;Conner&lt;/lastName&gt;&lt;firstName&gt;David&lt;/firstName&gt;&lt;middleNames&gt;A&lt;/middleNames&gt;&lt;/author&gt;&lt;author&gt;&lt;lastName&gt;Keene&lt;/lastName&gt;&lt;firstName&gt;Douglas&lt;/firstName&gt;&lt;middleNames&gt;R&lt;/middleNames&gt;&lt;/author&gt;&lt;author&gt;&lt;lastName&gt;Olson&lt;/lastName&gt;&lt;firstName&gt;Eric&lt;/firstName&gt;&lt;middleNames&gt;N&lt;/middleNames&gt;&lt;/author&gt;&lt;author&gt;&lt;lastName&gt;Tabin&lt;/lastName&gt;&lt;firstName&gt;Clifford&lt;/firstName&gt;&lt;middleNames&gt;J&lt;/middleNames&gt;&lt;/author&gt;&lt;author&gt;&lt;lastName&gt;Schweitzer&lt;/lastName&gt;&lt;firstName&gt;Ronen&lt;/firstName&gt;&lt;/author&gt;&lt;/authors&gt;&lt;/publication&gt;&lt;/publications&gt;&lt;cites&gt;&lt;/cites&gt;&lt;/citation&gt;</w:instrText>
      </w:r>
      <w:r w:rsidR="00CE5CED">
        <w:fldChar w:fldCharType="separate"/>
      </w:r>
      <w:r w:rsidR="00A1782A">
        <w:rPr>
          <w:rFonts w:cs="Times New Roman"/>
        </w:rPr>
        <w:t>(8)</w:t>
      </w:r>
      <w:r w:rsidR="00CE5CED">
        <w:fldChar w:fldCharType="end"/>
      </w:r>
      <w:r w:rsidR="00CE5CED">
        <w:t xml:space="preserve">. In adult animals, </w:t>
      </w:r>
      <w:r w:rsidR="00D23BE4">
        <w:t>m</w:t>
      </w:r>
      <w:r w:rsidR="00A91BE6" w:rsidRPr="00A91BE6">
        <w:t>echanical loading increases scleraxis expression and promotes the proliferation of scleraxis</w:t>
      </w:r>
      <w:r>
        <w:t>-expressing</w:t>
      </w:r>
      <w:r w:rsidR="00A91BE6" w:rsidRPr="00A91BE6">
        <w:t xml:space="preserve"> cells in the epitenon, which correlates to increased type I </w:t>
      </w:r>
      <w:r w:rsidR="00A91BE6" w:rsidRPr="00A91BE6">
        <w:lastRenderedPageBreak/>
        <w:t xml:space="preserve">collagen </w:t>
      </w:r>
      <w:r w:rsidR="006B264B">
        <w:t>levels</w:t>
      </w:r>
      <w:r w:rsidR="00A91BE6" w:rsidRPr="00A91BE6">
        <w:t xml:space="preserve"> and increased CSA of the tendon</w:t>
      </w:r>
      <w:r w:rsidR="00693C15">
        <w:t xml:space="preserve"> </w:t>
      </w:r>
      <w:r w:rsidR="006E2104">
        <w:fldChar w:fldCharType="begin"/>
      </w:r>
      <w:r w:rsidR="00A1782A">
        <w:instrText xml:space="preserve"> ADDIN PAPERS2_CITATIONS &lt;citation&gt;&lt;priority&gt;12&lt;/priority&gt;&lt;uuid&gt;C19A58CA-67C6-43D1-B732-FFF6DAEBA77D&lt;/uuid&gt;&lt;publications&gt;&lt;publication&gt;&lt;subtype&gt;400&lt;/subtype&gt;&lt;title&gt;Synergist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gt;&lt;subtype&gt;400&lt;/subtype&gt;&lt;location&gt;200,9,42.2803545,-83.7403132&lt;/location&gt;&lt;title&gt;Physiological loading of tendons induces scleraxis expression in epitenon fibroblasts.&lt;/title&gt;&lt;url&gt;http://eutils.ncbi.nlm.nih.gov/entrez/eutils/elink.fcgi?dbfrom=pubmed&amp;amp;id=21913219&amp;amp;retmode=ref&amp;amp;cmd=prlinks&lt;/url&gt;&lt;volume&gt;30&lt;/volume&gt;&lt;publication_date&gt;99201204001200000000220000&lt;/publication_date&gt;&lt;uuid&gt;AE6F045B-505B-43D7-9C63-3B9BE135BBFC&lt;/uuid&gt;&lt;type&gt;400&lt;/type&gt;&lt;accepted_date&gt;99201108221200000000222000&lt;/accepted_date&gt;&lt;number&gt;4&lt;/number&gt;&lt;citekey&gt;Mendias:2012bo&lt;/citekey&gt;&lt;submission_date&gt;99201103161200000000222000&lt;/submission_date&gt;&lt;doi&gt;10.1002/jor.21550&lt;/doi&gt;&lt;institution&gt;Orthopaedic Surgery, University of Michigan, 109 Zina Pitcher Place, BSRB 2017, Ann Arbor, 48109; Kinesiology, University of Michigan, Ann Arbor, 48109. cmendias@umich.edu.&lt;/institution&gt;&lt;startpage&gt;606&lt;/startpage&gt;&lt;endpage&gt;612&lt;/endpage&gt;&lt;bundle&gt;&lt;publication&gt;&lt;title&gt;Journal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Mendias&lt;/lastName&gt;&lt;firstName&gt;Christopher&lt;/firstName&gt;&lt;middleNames&gt;L&lt;/middleNames&gt;&lt;/author&gt;&lt;author&gt;&lt;lastName&gt;Gumucio&lt;/lastName&gt;&lt;firstName&gt;Jonathan&lt;/firstName&gt;&lt;middleNames&gt;P&lt;/middleNames&gt;&lt;/author&gt;&lt;author&gt;&lt;lastName&gt;Bakhurin&lt;/lastName&gt;&lt;firstName&gt;Konstantin&lt;/firstName&gt;&lt;middleNames&gt;I&lt;/middleNames&gt;&lt;/author&gt;&lt;author&gt;&lt;lastName&gt;Lynch&lt;/lastName&gt;&lt;firstName&gt;Evan&lt;/firstName&gt;&lt;middleNames&gt;B&lt;/middleNames&gt;&lt;/author&gt;&lt;author&gt;&lt;lastName&gt;Brooks&lt;/lastName&gt;&lt;firstName&gt;Susan&lt;/firstName&gt;&lt;middleNames&gt;V&lt;/middleNames&gt;&lt;/author&gt;&lt;/authors&gt;&lt;/publication&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s&gt;&lt;cites&gt;&lt;/cites&gt;&lt;/citation&gt;</w:instrText>
      </w:r>
      <w:r w:rsidR="006E2104">
        <w:fldChar w:fldCharType="separate"/>
      </w:r>
      <w:r w:rsidR="00A1782A">
        <w:rPr>
          <w:rFonts w:cs="Times New Roman"/>
        </w:rPr>
        <w:t>(6, 14, 15)</w:t>
      </w:r>
      <w:r w:rsidR="006E2104">
        <w:fldChar w:fldCharType="end"/>
      </w:r>
      <w:r w:rsidR="00693C15">
        <w:t>, while</w:t>
      </w:r>
      <w:r w:rsidR="00A91BE6" w:rsidRPr="00A91BE6">
        <w:t xml:space="preserve"> </w:t>
      </w:r>
      <w:r w:rsidR="00693C15">
        <w:t xml:space="preserve">immobilization reduces scleraxis </w:t>
      </w:r>
      <w:r w:rsidR="00D23BE4">
        <w:t>levels</w:t>
      </w:r>
      <w:r w:rsidR="00693C15">
        <w:t xml:space="preserve"> </w:t>
      </w:r>
      <w:r w:rsidR="006E2104">
        <w:fldChar w:fldCharType="begin"/>
      </w:r>
      <w:r w:rsidR="00A1782A">
        <w:instrText xml:space="preserve"> ADDIN PAPERS2_CITATIONS &lt;citation&gt;&lt;priority&gt;13&lt;/priority&gt;&lt;uuid&gt;99F943DB-4C4A-4AAE-906A-52E3BEB36AFD&lt;/uuid&gt;&lt;publications&gt;&lt;publication&gt;&lt;subtype&gt;400&lt;/subtype&gt;&lt;title&gt;Tendon collagen synthesis declines with immobilization in elderly humans: no effect of anti-inflammatory medication.&lt;/title&gt;&lt;url&gt;https://www.physiology.org/doi/10.1152/japplphysiol.00809.2015&lt;/url&gt;&lt;volume&gt;122&lt;/volume&gt;&lt;revision_date&gt;99201611231200000000222000&lt;/revision_date&gt;&lt;publication_date&gt;99201702011200000000222000&lt;/publication_date&gt;&lt;uuid&gt;EBAA46E8-71FC-4F3F-96E9-B69BA106A999&lt;/uuid&gt;&lt;type&gt;400&lt;/type&gt;&lt;accepted_date&gt;99201612011200000000222000&lt;/accepted_date&gt;&lt;number&gt;2&lt;/number&gt;&lt;submission_date&gt;99201509241200000000222000&lt;/submission_date&gt;&lt;doi&gt;10.1152/japplphysiol.00809.2015&lt;/doi&gt;&lt;institution&gt;Institute of Sports Medicine Copenhagen, Department of Orthopedic Surgery M, Bispebjerg Hospital and Center for Healthy Aging, Faculty of Health and Medical Sciences, University of Copenhagen, Denmark; kasperjuel@hotmail.com.&lt;/institution&gt;&lt;startpage&gt;273&lt;/startpage&gt;&lt;endpage&gt;282&lt;/endpage&gt;&lt;bundle&gt;&lt;publication&gt;&lt;title&gt;Journal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Dideriksen&lt;/lastName&gt;&lt;firstName&gt;Kasper&lt;/firstName&gt;&lt;/author&gt;&lt;author&gt;&lt;lastName&gt;Boesen&lt;/lastName&gt;&lt;firstName&gt;Anders&lt;/firstName&gt;&lt;middleNames&gt;P&lt;/middleNames&gt;&lt;/author&gt;&lt;author&gt;&lt;lastName&gt;Reitelseder&lt;/lastName&gt;&lt;firstName&gt;Søren&lt;/firstName&gt;&lt;/author&gt;&lt;author&gt;&lt;lastName&gt;Couppe&lt;/lastName&gt;&lt;firstName&gt;Christian&lt;/firstName&gt;&lt;/author&gt;&lt;author&gt;&lt;lastName&gt;Svensson&lt;/lastName&gt;&lt;firstName&gt;Rene&lt;/firstName&gt;&lt;/author&gt;&lt;author&gt;&lt;lastName&gt;Schjerling&lt;/lastName&gt;&lt;firstName&gt;Peter&lt;/firstName&gt;&lt;/author&gt;&lt;author&gt;&lt;lastName&gt;Magnusson&lt;/lastName&gt;&lt;firstName&gt;S&lt;/firstName&gt;&lt;middleNames&gt;Peter&lt;/middleNames&gt;&lt;/author&gt;&lt;author&gt;&lt;lastName&gt;Holm&lt;/lastName&gt;&lt;firstName&gt;Lars&lt;/firstName&gt;&lt;/author&gt;&lt;author&gt;&lt;lastName&gt;Kjaer&lt;/lastName&gt;&lt;firstName&gt;Michael&lt;/firstName&gt;&lt;/author&gt;&lt;/authors&gt;&lt;/publication&gt;&lt;/publications&gt;&lt;cites&gt;&lt;/cites&gt;&lt;/citation&gt;</w:instrText>
      </w:r>
      <w:r w:rsidR="006E2104">
        <w:fldChar w:fldCharType="separate"/>
      </w:r>
      <w:r w:rsidR="00A1782A">
        <w:rPr>
          <w:rFonts w:cs="Times New Roman"/>
        </w:rPr>
        <w:t>(16)</w:t>
      </w:r>
      <w:r w:rsidR="006E2104">
        <w:fldChar w:fldCharType="end"/>
      </w:r>
      <w:r w:rsidR="00693C15">
        <w:t xml:space="preserve">. </w:t>
      </w:r>
      <w:r w:rsidR="00A65357">
        <w:t>Although</w:t>
      </w:r>
      <w:r w:rsidR="00EB0701">
        <w:t xml:space="preserve"> scleraxis is required for </w:t>
      </w:r>
      <w:r w:rsidR="00A65357">
        <w:t>proper embryonic</w:t>
      </w:r>
      <w:r w:rsidR="006B264B">
        <w:t xml:space="preserve"> tendon</w:t>
      </w:r>
      <w:r w:rsidR="00A65357">
        <w:t xml:space="preserve"> development, it is not known whether scleraxis is required for growth of tendons in adult animals. </w:t>
      </w:r>
    </w:p>
    <w:p w14:paraId="1EF3CE00" w14:textId="3F134532" w:rsidR="001B34F2" w:rsidRPr="008D010B" w:rsidRDefault="00A65357" w:rsidP="008D010B">
      <w:pPr>
        <w:spacing w:line="480" w:lineRule="auto"/>
      </w:pPr>
      <w:r>
        <w:tab/>
      </w:r>
      <w:r w:rsidRPr="00A91BE6">
        <w:t xml:space="preserve">Pericytes, or perivascular stem cells, are a population of multipotent stem cells surrounding small </w:t>
      </w:r>
      <w:r w:rsidR="004A06BC">
        <w:t xml:space="preserve">blood </w:t>
      </w:r>
      <w:r w:rsidRPr="00A91BE6">
        <w:t>vessels</w:t>
      </w:r>
      <w:r w:rsidR="00CE5CED">
        <w:t xml:space="preserve"> and</w:t>
      </w:r>
      <w:r w:rsidR="009C0FFB">
        <w:t xml:space="preserve"> </w:t>
      </w:r>
      <w:r w:rsidRPr="00A91BE6">
        <w:t>are capable of differentiation into many types of mesenchymal cells, including fibroblasts</w:t>
      </w:r>
      <w:r>
        <w:t xml:space="preserve"> </w:t>
      </w:r>
      <w:r w:rsidR="006E2104">
        <w:fldChar w:fldCharType="begin"/>
      </w:r>
      <w:r w:rsidR="00A1782A">
        <w:instrText xml:space="preserve"> ADDIN PAPERS2_CITATIONS &lt;citation&gt;&lt;priority&gt;14&lt;/priority&gt;&lt;uuid&gt;8B9BEDE5-C1A3-4531-87AC-E36E0D298554&lt;/uuid&gt;&lt;publications&gt;&lt;publication&gt;&lt;subtype&gt;400&lt;/subtype&gt;&lt;title&gt;New MSC: MSCs as pericytes are Sentinels and gatekeepers.&lt;/title&gt;&lt;url&gt;http://doi.wiley.com/10.1002/jor.23560&lt;/url&gt;&lt;volume&gt;35&lt;/volume&gt;&lt;publication_date&gt;99201706001200000000220000&lt;/publication_date&gt;&lt;uuid&gt;3E1E6B77-07BC-466E-BCF7-7D107CB3F3C7&lt;/uuid&gt;&lt;type&gt;400&lt;/type&gt;&lt;accepted_date&gt;99201703061200000000222000&lt;/accepted_date&gt;&lt;number&gt;6&lt;/number&gt;&lt;subtitle&gt;MSCs, PERICYTES, METASTASIS, REGENERATIVE MEDICINE&lt;/subtitle&gt;&lt;doi&gt;10.1002/jor.23560&lt;/doi&gt;&lt;submission_date&gt;99201612121200000000222000&lt;/submission_date&gt;&lt;institution&gt;Department of Biology, Case Western Reserve University, Skeletal Research Center, 10600 Euclid Avenue, Cleveland, Ohio, 44106.&lt;/institution&gt;&lt;startpage&gt;1151&lt;/startpage&gt;&lt;endpage&gt;1159&lt;/endpage&gt;&lt;bundle&gt;&lt;publication&gt;&lt;title&gt;Journal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Caplan&lt;/lastName&gt;&lt;firstName&gt;Arnold&lt;/firstName&gt;&lt;middleNames&gt;I&lt;/middleNames&gt;&lt;/author&gt;&lt;/authors&gt;&lt;/publication&gt;&lt;/publications&gt;&lt;cites&gt;&lt;/cites&gt;&lt;/citation&gt;</w:instrText>
      </w:r>
      <w:r w:rsidR="006E2104">
        <w:fldChar w:fldCharType="separate"/>
      </w:r>
      <w:r w:rsidR="00A1782A">
        <w:rPr>
          <w:rFonts w:cs="Times New Roman"/>
        </w:rPr>
        <w:t>(17)</w:t>
      </w:r>
      <w:r w:rsidR="006E2104">
        <w:fldChar w:fldCharType="end"/>
      </w:r>
      <w:r w:rsidRPr="00A91BE6">
        <w:t xml:space="preserve">. </w:t>
      </w:r>
      <w:r w:rsidR="00AD4231" w:rsidRPr="00AD4231">
        <w:t>Tendon</w:t>
      </w:r>
      <w:r w:rsidR="009C0FFB" w:rsidRPr="00AD4231">
        <w:t xml:space="preserve"> </w:t>
      </w:r>
      <w:r w:rsidR="009C0FFB">
        <w:t>p</w:t>
      </w:r>
      <w:r w:rsidRPr="00A91BE6">
        <w:t>ericytes</w:t>
      </w:r>
      <w:r>
        <w:t xml:space="preserve"> express the marker CD146 (</w:t>
      </w:r>
      <w:proofErr w:type="spellStart"/>
      <w:r w:rsidRPr="00A65357">
        <w:rPr>
          <w:i/>
          <w:iCs/>
        </w:rPr>
        <w:t>Mcam</w:t>
      </w:r>
      <w:proofErr w:type="spellEnd"/>
      <w:r>
        <w:t>)</w:t>
      </w:r>
      <w:r w:rsidR="004A06BC">
        <w:t xml:space="preserve"> </w:t>
      </w:r>
      <w:r w:rsidR="006E2104">
        <w:fldChar w:fldCharType="begin"/>
      </w:r>
      <w:r w:rsidR="00A1782A">
        <w:instrText xml:space="preserve"> ADDIN PAPERS2_CITATIONS &lt;citation&gt;&lt;priority&gt;15&lt;/priority&gt;&lt;uuid&gt;021A62C6-A160-4ABD-A51D-50165922E4C0&lt;/uuid&gt;&lt;publications&gt;&lt;publication&gt;&lt;subtype&gt;400&lt;/subtype&gt;&lt;title&gt;Harnessing endogenous stem/progenitor cells for tendon regeneration.&lt;/title&gt;&lt;url&gt;http://www.jci.org/articles/view/81589&lt;/url&gt;&lt;volume&gt;125&lt;/volume&gt;&lt;publication_date&gt;99201507011200000000222000&lt;/publication_date&gt;&lt;uuid&gt;799AED72-5CB3-4472-9262-60C4575678EF&lt;/uuid&gt;&lt;type&gt;400&lt;/type&gt;&lt;accepted_date&gt;99201504301200000000222000&lt;/accepted_date&gt;&lt;number&gt;7&lt;/number&gt;&lt;submission_date&gt;99201502201200000000222000&lt;/submission_date&gt;&lt;doi&gt;10.1172/JCI81589&lt;/doi&gt;&lt;startpage&gt;2690&lt;/startpage&gt;&lt;endpage&gt;2701&lt;/endpage&gt;&lt;bundle&gt;&lt;publication&gt;&lt;title&gt;The Journal of clinical investigation&lt;/title&gt;&lt;uuid&gt;0E144D7C-E87A-4B6E-89AB-38B969BBB1BA&lt;/uuid&gt;&lt;subtype&gt;-100&lt;/subtype&gt;&lt;type&gt;-100&lt;/type&gt;&lt;/publication&gt;&lt;/bundle&gt;&lt;authors&gt;&lt;author&gt;&lt;lastName&gt;Lee&lt;/lastName&gt;&lt;firstName&gt;Chang&lt;/firstName&gt;&lt;middleNames&gt;H&lt;/middleNames&gt;&lt;/author&gt;&lt;author&gt;&lt;lastName&gt;Lee&lt;/lastName&gt;&lt;firstName&gt;Francis&lt;/firstName&gt;&lt;middleNames&gt;Y&lt;/middleNames&gt;&lt;/author&gt;&lt;author&gt;&lt;lastName&gt;Tarafder&lt;/lastName&gt;&lt;firstName&gt;Solaiman&lt;/firstName&gt;&lt;/author&gt;&lt;author&gt;&lt;lastName&gt;Kao&lt;/lastName&gt;&lt;firstName&gt;Kristy&lt;/firstName&gt;&lt;/author&gt;&lt;author&gt;&lt;lastName&gt;Jun&lt;/lastName&gt;&lt;firstName&gt;Yena&lt;/firstName&gt;&lt;/author&gt;&lt;author&gt;&lt;lastName&gt;Yang&lt;/lastName&gt;&lt;firstName&gt;Guodong&lt;/firstName&gt;&lt;/author&gt;&lt;author&gt;&lt;lastName&gt;Mao&lt;/lastName&gt;&lt;firstName&gt;Jeremy&lt;/firstName&gt;&lt;middleNames&gt;J&lt;/middleNames&gt;&lt;/author&gt;&lt;/authors&gt;&lt;/publication&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Home&amp;lt;/a&amp;gt;&amp;lt;/div&amp;gt;&amp;lt;/body&amp;gt;&amp;lt;/html&amp;gt;&lt;/location&gt;&lt;title&gt;In vivo identity of tendon stem cells and the roles of stem cells in tendon healing.&lt;/title&gt;&lt;url&gt;http://eutils.ncbi.nlm.nih.gov/entrez/eutils/elink.fcgi?dbfrom=pubmed&amp;amp;id=23815595&amp;amp;retmode=ref&amp;amp;cmd=prlinks&lt;/url&gt;&lt;volume&gt;22&lt;/volume&gt;&lt;publication_date&gt;99201312011200000000222000&lt;/publication_date&gt;&lt;uuid&gt;57126A27-3038-42A3-AC47-F115160AD79F&lt;/uuid&gt;&lt;type&gt;400&lt;/type&gt;&lt;number&gt;23&lt;/number&gt;&lt;doi&gt;10.1089/scd.2013.0073&lt;/doi&gt;&lt;institution&gt;1 Department of Orthopaedics and Traumatology, The Chinese University of Hong Kong , Hong Kong SAR, China .&lt;/institution&gt;&lt;startpage&gt;3128&lt;/startpage&gt;&lt;endpage&gt;3140&lt;/endpage&gt;&lt;bundle&gt;&lt;publication&gt;&lt;title&gt;Stem cells and development&lt;/title&gt;&lt;uuid&gt;A0B06645-6FDD-4729-B1AA-2A43652354A6&lt;/uuid&gt;&lt;subtype&gt;-100&lt;/subtype&gt;&lt;publisher&gt; Mary Ann Liebert, Inc. 140 Huguenot Street, 3rd Floor New Rochelle, NY 10801 USA&lt;/publisher&gt;&lt;type&gt;-100&lt;/type&gt;&lt;url&gt;http://online.liebertpub.com&lt;/url&gt;&lt;/publication&gt;&lt;/bundle&gt;&lt;authors&gt;&lt;author&gt;&lt;lastName&gt;Tan&lt;/lastName&gt;&lt;firstName&gt;Qi&lt;/firstName&gt;&lt;/author&gt;&lt;author&gt;&lt;lastName&gt;Lui&lt;/lastName&gt;&lt;firstName&gt;Pauline&lt;/firstName&gt;&lt;middleNames&gt;Po Yee&lt;/middleNames&gt;&lt;/author&gt;&lt;author&gt;&lt;lastName&gt;Lee&lt;/lastName&gt;&lt;firstName&gt;Yuk&lt;/firstName&gt;&lt;middleNames&gt;Wa&lt;/middleNames&gt;&lt;/author&gt;&lt;/authors&gt;&lt;/publication&gt;&lt;/publications&gt;&lt;cites&gt;&lt;/cites&gt;&lt;/citation&gt;</w:instrText>
      </w:r>
      <w:r w:rsidR="006E2104">
        <w:fldChar w:fldCharType="separate"/>
      </w:r>
      <w:r w:rsidR="00A1782A">
        <w:rPr>
          <w:rFonts w:cs="Times New Roman"/>
        </w:rPr>
        <w:t>(15, 18, 19)</w:t>
      </w:r>
      <w:r w:rsidR="006E2104">
        <w:fldChar w:fldCharType="end"/>
      </w:r>
      <w:r>
        <w:t xml:space="preserve">. Most of the tenocytes within tendon of adult animals appear to be terminally withdrawn from the cell cycle, with low rates of cell proliferation observed in homeostatic and mechanically loaded tendons </w:t>
      </w:r>
      <w:r w:rsidR="006E2104">
        <w:fldChar w:fldCharType="begin"/>
      </w:r>
      <w:r w:rsidR="00A1782A">
        <w:instrText xml:space="preserve"> ADDIN PAPERS2_CITATIONS &lt;citation&gt;&lt;priority&gt;16&lt;/priority&gt;&lt;uuid&gt;61F59BAC-B83F-4FAC-9B78-C1CCBAB8BFDF&lt;/uuid&gt;&lt;publications&gt;&lt;publication&gt;&lt;subtype&gt;400&lt;/subtype&gt;&lt;title&gt;Synergist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s&gt;&lt;cites&gt;&lt;/cites&gt;&lt;/citation&gt;</w:instrText>
      </w:r>
      <w:r w:rsidR="006E2104">
        <w:fldChar w:fldCharType="separate"/>
      </w:r>
      <w:r w:rsidR="00A1782A">
        <w:rPr>
          <w:rFonts w:cs="Times New Roman"/>
        </w:rPr>
        <w:t>(14)</w:t>
      </w:r>
      <w:r w:rsidR="006E2104">
        <w:fldChar w:fldCharType="end"/>
      </w:r>
      <w:r>
        <w:t xml:space="preserve">. </w:t>
      </w:r>
      <w:r w:rsidR="009C0FFB" w:rsidRPr="009C0FFB">
        <w:t>Since pericytes are thought to be a progenitor cell population in adult tendons</w:t>
      </w:r>
      <w:r w:rsidR="009C0FFB">
        <w:t xml:space="preserve"> </w:t>
      </w:r>
      <w:r w:rsidR="006E2104">
        <w:fldChar w:fldCharType="begin"/>
      </w:r>
      <w:r w:rsidR="00A1782A">
        <w:instrText xml:space="preserve"> ADDIN PAPERS2_CITATIONS &lt;citation&gt;&lt;priority&gt;17&lt;/priority&gt;&lt;uuid&gt;58772EC5-CA63-4B41-9331-D2D0FCE36A05&lt;/uuid&gt;&lt;publications&gt;&lt;publication&gt;&lt;subtype&gt;400&lt;/subtype&gt;&lt;title&gt;Harnessing endogenous stem/progenitor cells for tendon regeneration.&lt;/title&gt;&lt;url&gt;http://www.jci.org/articles/view/81589&lt;/url&gt;&lt;volume&gt;125&lt;/volume&gt;&lt;publication_date&gt;99201507011200000000222000&lt;/publication_date&gt;&lt;uuid&gt;799AED72-5CB3-4472-9262-60C4575678EF&lt;/uuid&gt;&lt;type&gt;400&lt;/type&gt;&lt;accepted_date&gt;99201504301200000000222000&lt;/accepted_date&gt;&lt;number&gt;7&lt;/number&gt;&lt;submission_date&gt;99201502201200000000222000&lt;/submission_date&gt;&lt;doi&gt;10.1172/JCI81589&lt;/doi&gt;&lt;startpage&gt;2690&lt;/startpage&gt;&lt;endpage&gt;2701&lt;/endpage&gt;&lt;bundle&gt;&lt;publication&gt;&lt;title&gt;The Journal of clinical investigation&lt;/title&gt;&lt;uuid&gt;0E144D7C-E87A-4B6E-89AB-38B969BBB1BA&lt;/uuid&gt;&lt;subtype&gt;-100&lt;/subtype&gt;&lt;type&gt;-100&lt;/type&gt;&lt;/publication&gt;&lt;/bundle&gt;&lt;authors&gt;&lt;author&gt;&lt;lastName&gt;Lee&lt;/lastName&gt;&lt;firstName&gt;Chang&lt;/firstName&gt;&lt;middleNames&gt;H&lt;/middleNames&gt;&lt;/author&gt;&lt;author&gt;&lt;lastName&gt;Lee&lt;/lastName&gt;&lt;firstName&gt;Francis&lt;/firstName&gt;&lt;middleNames&gt;Y&lt;/middleNames&gt;&lt;/author&gt;&lt;author&gt;&lt;lastName&gt;Tarafder&lt;/lastName&gt;&lt;firstName&gt;Solaiman&lt;/firstName&gt;&lt;/author&gt;&lt;author&gt;&lt;lastName&gt;Kao&lt;/lastName&gt;&lt;firstName&gt;Kristy&lt;/firstName&gt;&lt;/author&gt;&lt;author&gt;&lt;lastName&gt;Jun&lt;/lastName&gt;&lt;firstName&gt;Yena&lt;/firstName&gt;&lt;/author&gt;&lt;author&gt;&lt;lastName&gt;Yang&lt;/lastName&gt;&lt;firstName&gt;Guodong&lt;/firstName&gt;&lt;/author&gt;&lt;author&gt;&lt;lastName&gt;Mao&lt;/lastName&gt;&lt;firstName&gt;Jeremy&lt;/firstName&gt;&lt;middleNames&gt;J&lt;/middleNames&gt;&lt;/author&gt;&lt;/authors&gt;&lt;/publication&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Home&amp;lt;/a&amp;gt;&amp;lt;/div&amp;gt;&amp;lt;/body&amp;gt;&amp;lt;/html&amp;gt;&lt;/location&gt;&lt;title&gt;In vivo identity of tendon stem cells and the roles of stem cells in tendon healing.&lt;/title&gt;&lt;url&gt;http://eutils.ncbi.nlm.nih.gov/entrez/eutils/elink.fcgi?dbfrom=pubmed&amp;amp;id=23815595&amp;amp;retmode=ref&amp;amp;cmd=prlinks&lt;/url&gt;&lt;volume&gt;22&lt;/volume&gt;&lt;publication_date&gt;99201312011200000000222000&lt;/publication_date&gt;&lt;uuid&gt;57126A27-3038-42A3-AC47-F115160AD79F&lt;/uuid&gt;&lt;type&gt;400&lt;/type&gt;&lt;number&gt;23&lt;/number&gt;&lt;doi&gt;10.1089/scd.2013.0073&lt;/doi&gt;&lt;institution&gt;1 Department of Orthopaedics and Traumatology, The Chinese University of Hong Kong , Hong Kong SAR, China .&lt;/institution&gt;&lt;startpage&gt;3128&lt;/startpage&gt;&lt;endpage&gt;3140&lt;/endpage&gt;&lt;bundle&gt;&lt;publication&gt;&lt;title&gt;Stem cells and development&lt;/title&gt;&lt;uuid&gt;A0B06645-6FDD-4729-B1AA-2A43652354A6&lt;/uuid&gt;&lt;subtype&gt;-100&lt;/subtype&gt;&lt;publisher&gt; Mary Ann Liebert, Inc. 140 Huguenot Street, 3rd Floor New Rochelle, NY 10801 USA&lt;/publisher&gt;&lt;type&gt;-100&lt;/type&gt;&lt;url&gt;http://online.liebertpub.com&lt;/url&gt;&lt;/publication&gt;&lt;/bundle&gt;&lt;authors&gt;&lt;author&gt;&lt;lastName&gt;Tan&lt;/lastName&gt;&lt;firstName&gt;Qi&lt;/firstName&gt;&lt;/author&gt;&lt;author&gt;&lt;lastName&gt;Lui&lt;/lastName&gt;&lt;firstName&gt;Pauline&lt;/firstName&gt;&lt;middleNames&gt;Po Yee&lt;/middleNames&gt;&lt;/author&gt;&lt;author&gt;&lt;lastName&gt;Lee&lt;/lastName&gt;&lt;firstName&gt;Yuk&lt;/firstName&gt;&lt;middleNames&gt;Wa&lt;/middleNames&gt;&lt;/author&gt;&lt;/authors&gt;&lt;/publication&gt;&lt;/publications&gt;&lt;cites&gt;&lt;/cites&gt;&lt;/citation&gt;</w:instrText>
      </w:r>
      <w:r w:rsidR="006E2104">
        <w:fldChar w:fldCharType="separate"/>
      </w:r>
      <w:r w:rsidR="00A1782A">
        <w:rPr>
          <w:rFonts w:cs="Times New Roman"/>
        </w:rPr>
        <w:t>(15, 18, 19)</w:t>
      </w:r>
      <w:r w:rsidR="006E2104">
        <w:fldChar w:fldCharType="end"/>
      </w:r>
      <w:r w:rsidR="009C0FFB" w:rsidRPr="009C0FFB">
        <w:t xml:space="preserve">, and scleraxis is required for the proper </w:t>
      </w:r>
      <w:r w:rsidR="0075281F">
        <w:t xml:space="preserve">embryonic </w:t>
      </w:r>
      <w:r w:rsidR="009C0FFB" w:rsidRPr="009C0FFB">
        <w:t xml:space="preserve">development of tendons, the objective of this study was to determine the role of scleraxis in </w:t>
      </w:r>
      <w:r w:rsidR="008D010B">
        <w:t>adult tendon growth</w:t>
      </w:r>
      <w:r w:rsidR="009C0FFB" w:rsidRPr="009C0FFB">
        <w:t>.</w:t>
      </w:r>
      <w:r w:rsidR="00312502">
        <w:t xml:space="preserve"> We hypothesized that scleraxis is required for proper tendon growth</w:t>
      </w:r>
      <w:r w:rsidR="008D010B">
        <w:t xml:space="preserve"> in adult animals</w:t>
      </w:r>
      <w:r w:rsidR="00312502">
        <w:t xml:space="preserve">, and that scleraxis promotes the </w:t>
      </w:r>
      <w:r w:rsidR="006B264B">
        <w:t>commitment</w:t>
      </w:r>
      <w:r w:rsidR="00312502">
        <w:t xml:space="preserve"> of pericytes into the tendon lineage. To test this hypothesis, we conditionally deleted scleraxis in adult animals using </w:t>
      </w:r>
      <w:r w:rsidR="00312502" w:rsidRPr="00BA6ADF">
        <w:rPr>
          <w:i/>
        </w:rPr>
        <w:t>R</w:t>
      </w:r>
      <w:r w:rsidR="00312502">
        <w:rPr>
          <w:i/>
        </w:rPr>
        <w:t>osa26</w:t>
      </w:r>
      <w:r w:rsidR="00312502">
        <w:rPr>
          <w:vertAlign w:val="superscript"/>
        </w:rPr>
        <w:t>CreERT2/CreERT2</w:t>
      </w:r>
      <w:r w:rsidR="00312502">
        <w:t>:</w:t>
      </w:r>
      <w:r w:rsidR="00312502">
        <w:rPr>
          <w:i/>
        </w:rPr>
        <w:t>Scx</w:t>
      </w:r>
      <w:r w:rsidR="00312502" w:rsidRPr="00BA6ADF">
        <w:rPr>
          <w:vertAlign w:val="superscript"/>
        </w:rPr>
        <w:t>flox/</w:t>
      </w:r>
      <w:proofErr w:type="spellStart"/>
      <w:r w:rsidR="00312502" w:rsidRPr="00BA6ADF">
        <w:rPr>
          <w:vertAlign w:val="superscript"/>
        </w:rPr>
        <w:t>flox</w:t>
      </w:r>
      <w:proofErr w:type="spellEnd"/>
      <w:r w:rsidR="00312502" w:rsidRPr="00BA6ADF">
        <w:t xml:space="preserve"> mice</w:t>
      </w:r>
      <w:r w:rsidR="00312502">
        <w:t xml:space="preserve">, and induced tendon growth via mechanical overload of the plantaris tendon. Additionally, we performed a series of </w:t>
      </w:r>
      <w:r w:rsidR="00312502" w:rsidRPr="00312502">
        <w:rPr>
          <w:i/>
          <w:iCs/>
        </w:rPr>
        <w:t>in vitro</w:t>
      </w:r>
      <w:r w:rsidR="00312502">
        <w:t xml:space="preserve"> experiments with pericytes and tenocytes to gain further mechanistic insight into </w:t>
      </w:r>
      <w:r w:rsidR="00084B6F">
        <w:t xml:space="preserve">the observed structural and transcriptional changes in mechanically stimulated tendons that lack scleraxis.  </w:t>
      </w:r>
    </w:p>
    <w:p w14:paraId="0A32940C" w14:textId="77777777" w:rsidR="006B264B" w:rsidRDefault="006B264B">
      <w:pPr>
        <w:rPr>
          <w:b/>
          <w:bCs/>
        </w:rPr>
      </w:pPr>
      <w:r>
        <w:rPr>
          <w:b/>
          <w:bCs/>
        </w:rPr>
        <w:br w:type="page"/>
      </w:r>
    </w:p>
    <w:p w14:paraId="516643C2" w14:textId="77777777" w:rsidR="00B27E58" w:rsidRDefault="00B27E58" w:rsidP="006E41A7">
      <w:pPr>
        <w:spacing w:line="480" w:lineRule="auto"/>
        <w:rPr>
          <w:b/>
          <w:bCs/>
        </w:rPr>
      </w:pPr>
      <w:r w:rsidRPr="001B34F2">
        <w:rPr>
          <w:b/>
          <w:bCs/>
        </w:rPr>
        <w:lastRenderedPageBreak/>
        <w:t>Results</w:t>
      </w:r>
    </w:p>
    <w:p w14:paraId="5B425A8B" w14:textId="4BFA4197" w:rsidR="000642F2" w:rsidRPr="000642F2" w:rsidRDefault="00F5252D" w:rsidP="00F5252D">
      <w:pPr>
        <w:spacing w:line="480" w:lineRule="auto"/>
      </w:pPr>
      <w:r w:rsidRPr="00F5252D">
        <w:rPr>
          <w:b/>
          <w:bCs/>
          <w:i/>
          <w:iCs/>
        </w:rPr>
        <w:tab/>
        <w:t>Overview.</w:t>
      </w:r>
      <w:r>
        <w:t xml:space="preserve"> </w:t>
      </w:r>
      <w:r w:rsidR="000642F2" w:rsidRPr="000642F2">
        <w:t xml:space="preserve">To study the role of </w:t>
      </w:r>
      <w:r w:rsidR="008D010B">
        <w:t>s</w:t>
      </w:r>
      <w:r w:rsidR="000642F2">
        <w:t xml:space="preserve">cleraxis </w:t>
      </w:r>
      <w:r w:rsidR="000642F2" w:rsidRPr="000642F2">
        <w:t xml:space="preserve">in adult tendon </w:t>
      </w:r>
      <w:r w:rsidR="000642F2">
        <w:t>growth</w:t>
      </w:r>
      <w:r w:rsidR="000642F2" w:rsidRPr="000642F2">
        <w:t>,</w:t>
      </w:r>
      <w:r w:rsidR="000642F2">
        <w:t xml:space="preserve"> </w:t>
      </w:r>
      <w:r w:rsidR="001B6777" w:rsidRPr="00BA6ADF">
        <w:t xml:space="preserve">we generated </w:t>
      </w:r>
      <w:r w:rsidR="001B6777" w:rsidRPr="00BA6ADF">
        <w:rPr>
          <w:i/>
        </w:rPr>
        <w:t>R</w:t>
      </w:r>
      <w:r w:rsidR="001B6777">
        <w:rPr>
          <w:i/>
        </w:rPr>
        <w:t>osa26</w:t>
      </w:r>
      <w:r w:rsidR="001B6777">
        <w:rPr>
          <w:vertAlign w:val="superscript"/>
        </w:rPr>
        <w:t>CreERT2/CreERT2</w:t>
      </w:r>
      <w:r w:rsidR="001B6777">
        <w:t>:</w:t>
      </w:r>
      <w:r w:rsidR="001B6777">
        <w:rPr>
          <w:i/>
        </w:rPr>
        <w:t>Scx</w:t>
      </w:r>
      <w:r w:rsidR="001B6777" w:rsidRPr="00BA6ADF">
        <w:rPr>
          <w:vertAlign w:val="superscript"/>
        </w:rPr>
        <w:t>flox/</w:t>
      </w:r>
      <w:proofErr w:type="spellStart"/>
      <w:r w:rsidR="001B6777" w:rsidRPr="00BA6ADF">
        <w:rPr>
          <w:vertAlign w:val="superscript"/>
        </w:rPr>
        <w:t>flox</w:t>
      </w:r>
      <w:proofErr w:type="spellEnd"/>
      <w:r w:rsidR="001B6777" w:rsidRPr="00BA6ADF">
        <w:t xml:space="preserve"> mice to allow </w:t>
      </w:r>
      <w:r w:rsidR="001B6777">
        <w:t>for the</w:t>
      </w:r>
      <w:r w:rsidR="001B6777" w:rsidRPr="00BA6ADF">
        <w:t xml:space="preserve"> inactivat</w:t>
      </w:r>
      <w:r w:rsidR="001B6777">
        <w:t>ion</w:t>
      </w:r>
      <w:r w:rsidR="001B6777" w:rsidRPr="00BA6ADF">
        <w:t xml:space="preserve"> </w:t>
      </w:r>
      <w:r w:rsidR="001B6777" w:rsidRPr="00042CB3">
        <w:rPr>
          <w:iCs/>
        </w:rPr>
        <w:t>of</w:t>
      </w:r>
      <w:r w:rsidR="001B6777" w:rsidRPr="00BA6ADF">
        <w:t xml:space="preserve"> scleraxis upon treatment with tamoxifen</w:t>
      </w:r>
      <w:r w:rsidR="001B6777">
        <w:t xml:space="preserve"> </w:t>
      </w:r>
      <w:r w:rsidR="001B6777" w:rsidRPr="00BA6ADF">
        <w:t xml:space="preserve">(referred to as </w:t>
      </w:r>
      <w:proofErr w:type="spellStart"/>
      <w:r w:rsidR="001B6777" w:rsidRPr="00BA6ADF">
        <w:rPr>
          <w:i/>
        </w:rPr>
        <w:t>Scx</w:t>
      </w:r>
      <w:r w:rsidR="001B6777" w:rsidRPr="00BA6ADF">
        <w:rPr>
          <w:vertAlign w:val="superscript"/>
        </w:rPr>
        <w:t>Δ</w:t>
      </w:r>
      <w:proofErr w:type="spellEnd"/>
      <w:r w:rsidR="001B6777" w:rsidRPr="00BA6ADF">
        <w:t xml:space="preserve"> mice), while</w:t>
      </w:r>
      <w:r w:rsidR="001B6777">
        <w:t xml:space="preserve"> </w:t>
      </w:r>
      <w:r w:rsidR="001B6777" w:rsidRPr="00BA6ADF">
        <w:rPr>
          <w:i/>
        </w:rPr>
        <w:t>R</w:t>
      </w:r>
      <w:r w:rsidR="001B6777">
        <w:rPr>
          <w:i/>
        </w:rPr>
        <w:t>osa26</w:t>
      </w:r>
      <w:r w:rsidR="001B6777">
        <w:rPr>
          <w:vertAlign w:val="superscript"/>
        </w:rPr>
        <w:t>CreERT2/CreERT2</w:t>
      </w:r>
      <w:r w:rsidR="001B6777">
        <w:t>:</w:t>
      </w:r>
      <w:r w:rsidR="001B6777">
        <w:rPr>
          <w:i/>
        </w:rPr>
        <w:t>Scx</w:t>
      </w:r>
      <w:r w:rsidR="001B6777">
        <w:rPr>
          <w:vertAlign w:val="superscript"/>
        </w:rPr>
        <w:t>+</w:t>
      </w:r>
      <w:r w:rsidR="001B6777" w:rsidRPr="00BA6ADF">
        <w:rPr>
          <w:vertAlign w:val="superscript"/>
        </w:rPr>
        <w:t>/</w:t>
      </w:r>
      <w:r w:rsidR="001B6777">
        <w:rPr>
          <w:vertAlign w:val="superscript"/>
        </w:rPr>
        <w:t>+</w:t>
      </w:r>
      <w:r w:rsidR="001B6777" w:rsidRPr="00BA6ADF">
        <w:t xml:space="preserve"> mice maintain the expression of </w:t>
      </w:r>
      <w:proofErr w:type="spellStart"/>
      <w:r w:rsidR="001B6777">
        <w:rPr>
          <w:i/>
        </w:rPr>
        <w:t>Scx</w:t>
      </w:r>
      <w:proofErr w:type="spellEnd"/>
      <w:r w:rsidR="001B6777" w:rsidRPr="00BA6ADF">
        <w:t xml:space="preserve"> after </w:t>
      </w:r>
      <w:r w:rsidR="001B6777">
        <w:t xml:space="preserve">tamoxifen </w:t>
      </w:r>
      <w:r w:rsidR="001B6777" w:rsidRPr="00BA6ADF">
        <w:t xml:space="preserve">treatment (referred to as </w:t>
      </w:r>
      <w:proofErr w:type="spellStart"/>
      <w:r w:rsidR="001B6777" w:rsidRPr="00BA6ADF">
        <w:rPr>
          <w:i/>
        </w:rPr>
        <w:t>Scx</w:t>
      </w:r>
      <w:proofErr w:type="spellEnd"/>
      <w:r w:rsidR="001B6777" w:rsidRPr="00BA6ADF">
        <w:rPr>
          <w:vertAlign w:val="superscript"/>
        </w:rPr>
        <w:t>+</w:t>
      </w:r>
      <w:r w:rsidR="001B6777" w:rsidRPr="00BA6ADF">
        <w:t xml:space="preserve"> mice). </w:t>
      </w:r>
      <w:r w:rsidR="001B6777">
        <w:t>A</w:t>
      </w:r>
      <w:r w:rsidR="001B6777" w:rsidRPr="00BA6ADF">
        <w:t xml:space="preserve">n overview of the </w:t>
      </w:r>
      <w:r w:rsidR="001B6777" w:rsidRPr="00BA6ADF">
        <w:rPr>
          <w:i/>
        </w:rPr>
        <w:t>R</w:t>
      </w:r>
      <w:r w:rsidR="001B6777">
        <w:rPr>
          <w:i/>
        </w:rPr>
        <w:t>osa26</w:t>
      </w:r>
      <w:r w:rsidR="001B6777">
        <w:rPr>
          <w:vertAlign w:val="superscript"/>
        </w:rPr>
        <w:t>CreERT2</w:t>
      </w:r>
      <w:r w:rsidR="001B6777">
        <w:t xml:space="preserve">, </w:t>
      </w:r>
      <w:proofErr w:type="spellStart"/>
      <w:r w:rsidR="001B6777">
        <w:rPr>
          <w:i/>
        </w:rPr>
        <w:t>Scx</w:t>
      </w:r>
      <w:proofErr w:type="spellEnd"/>
      <w:r w:rsidR="001B6777">
        <w:rPr>
          <w:vertAlign w:val="superscript"/>
        </w:rPr>
        <w:t>+</w:t>
      </w:r>
      <w:r w:rsidR="001B6777">
        <w:t xml:space="preserve">, </w:t>
      </w:r>
      <w:proofErr w:type="spellStart"/>
      <w:r w:rsidR="001B6777">
        <w:rPr>
          <w:i/>
        </w:rPr>
        <w:t>Scx</w:t>
      </w:r>
      <w:r w:rsidR="001B6777" w:rsidRPr="00BA6ADF">
        <w:rPr>
          <w:vertAlign w:val="superscript"/>
        </w:rPr>
        <w:t>flox</w:t>
      </w:r>
      <w:proofErr w:type="spellEnd"/>
      <w:r w:rsidR="001B6777">
        <w:t xml:space="preserve">, and </w:t>
      </w:r>
      <w:proofErr w:type="spellStart"/>
      <w:r w:rsidR="001B6777" w:rsidRPr="00BA6ADF">
        <w:rPr>
          <w:i/>
        </w:rPr>
        <w:t>Scx</w:t>
      </w:r>
      <w:r w:rsidR="001B6777" w:rsidRPr="00BA6ADF">
        <w:rPr>
          <w:vertAlign w:val="superscript"/>
        </w:rPr>
        <w:t>Δ</w:t>
      </w:r>
      <w:proofErr w:type="spellEnd"/>
      <w:r w:rsidR="001B6777">
        <w:t xml:space="preserve"> al</w:t>
      </w:r>
      <w:r w:rsidR="001B6777" w:rsidRPr="00BA6ADF">
        <w:t xml:space="preserve">leles is provided in Figure 1A. </w:t>
      </w:r>
      <w:r w:rsidR="001B6777">
        <w:t>Following tamoxifen</w:t>
      </w:r>
      <w:r w:rsidR="00C04BDD">
        <w:t xml:space="preserve"> treatment</w:t>
      </w:r>
      <w:r w:rsidR="001B6777">
        <w:t xml:space="preserve">, we </w:t>
      </w:r>
      <w:r w:rsidR="001B6777" w:rsidRPr="000642F2">
        <w:t>induced a</w:t>
      </w:r>
      <w:r w:rsidR="001B6777">
        <w:t xml:space="preserve"> supraphysiological</w:t>
      </w:r>
      <w:r w:rsidR="001B6777" w:rsidRPr="000642F2">
        <w:t xml:space="preserve"> overload </w:t>
      </w:r>
      <w:r w:rsidR="001B6777">
        <w:t>of the</w:t>
      </w:r>
      <w:r w:rsidR="001B6777" w:rsidRPr="000642F2">
        <w:t xml:space="preserve"> plantaris tendons</w:t>
      </w:r>
      <w:r w:rsidR="001B6777">
        <w:t xml:space="preserve"> of</w:t>
      </w:r>
      <w:r w:rsidR="001B6777" w:rsidRPr="000642F2">
        <w:t xml:space="preserve"> </w:t>
      </w:r>
      <w:proofErr w:type="spellStart"/>
      <w:r w:rsidR="001B6777" w:rsidRPr="00435075">
        <w:rPr>
          <w:i/>
        </w:rPr>
        <w:t>Scx</w:t>
      </w:r>
      <w:proofErr w:type="spellEnd"/>
      <w:r w:rsidR="001B6777" w:rsidRPr="000642F2">
        <w:rPr>
          <w:vertAlign w:val="superscript"/>
        </w:rPr>
        <w:t>+</w:t>
      </w:r>
      <w:r w:rsidR="001B6777">
        <w:t xml:space="preserve"> </w:t>
      </w:r>
      <w:r w:rsidR="001B6777" w:rsidRPr="000642F2">
        <w:t xml:space="preserve">and </w:t>
      </w:r>
      <w:proofErr w:type="spellStart"/>
      <w:r w:rsidR="001B6777" w:rsidRPr="00435075">
        <w:rPr>
          <w:i/>
        </w:rPr>
        <w:t>Scx</w:t>
      </w:r>
      <w:r w:rsidR="001B6777" w:rsidRPr="00594224">
        <w:rPr>
          <w:vertAlign w:val="superscript"/>
        </w:rPr>
        <w:t>Δ</w:t>
      </w:r>
      <w:proofErr w:type="spellEnd"/>
      <w:r w:rsidR="001B6777" w:rsidRPr="000642F2">
        <w:t xml:space="preserve"> mice</w:t>
      </w:r>
      <w:r w:rsidR="001B6777">
        <w:t xml:space="preserve"> by synergist ablation</w:t>
      </w:r>
      <w:r w:rsidR="001B6777" w:rsidRPr="000642F2">
        <w:t>, and</w:t>
      </w:r>
      <w:r w:rsidR="001B6777">
        <w:t xml:space="preserve"> then</w:t>
      </w:r>
      <w:r w:rsidR="001B6777" w:rsidRPr="000642F2">
        <w:t xml:space="preserve"> analyzed </w:t>
      </w:r>
      <w:r w:rsidR="001B6777">
        <w:t>tendons</w:t>
      </w:r>
      <w:r w:rsidR="001B6777" w:rsidRPr="00907CB1">
        <w:t xml:space="preserve"> at either </w:t>
      </w:r>
      <w:r w:rsidR="001B6777">
        <w:t>7D or 14D</w:t>
      </w:r>
      <w:r w:rsidR="001B6777" w:rsidRPr="00907CB1">
        <w:t xml:space="preserve"> after </w:t>
      </w:r>
      <w:r w:rsidR="001B6777" w:rsidRPr="00906348">
        <w:rPr>
          <w:color w:val="000000" w:themeColor="text1"/>
        </w:rPr>
        <w:t>surgery (Figure 1B</w:t>
      </w:r>
      <w:r w:rsidR="0042488E">
        <w:rPr>
          <w:color w:val="000000" w:themeColor="text1"/>
        </w:rPr>
        <w:t>-C</w:t>
      </w:r>
      <w:r w:rsidR="001B6777" w:rsidRPr="00906348">
        <w:rPr>
          <w:color w:val="000000" w:themeColor="text1"/>
        </w:rPr>
        <w:t>).</w:t>
      </w:r>
      <w:r w:rsidR="001B6777">
        <w:t xml:space="preserve"> </w:t>
      </w:r>
      <w:r w:rsidR="00EE43D4" w:rsidRPr="00907CB1">
        <w:t xml:space="preserve">We also isolated </w:t>
      </w:r>
      <w:r w:rsidR="001B6777">
        <w:t>cells</w:t>
      </w:r>
      <w:r w:rsidR="000D28E6" w:rsidRPr="00907CB1">
        <w:t xml:space="preserve"> from </w:t>
      </w:r>
      <w:proofErr w:type="spellStart"/>
      <w:r w:rsidR="000D28E6" w:rsidRPr="00435075">
        <w:rPr>
          <w:i/>
        </w:rPr>
        <w:t>Scx</w:t>
      </w:r>
      <w:proofErr w:type="spellEnd"/>
      <w:r w:rsidR="000D28E6" w:rsidRPr="00907CB1">
        <w:rPr>
          <w:vertAlign w:val="superscript"/>
        </w:rPr>
        <w:t>+</w:t>
      </w:r>
      <w:r w:rsidR="000D28E6" w:rsidRPr="00907CB1">
        <w:t xml:space="preserve"> and </w:t>
      </w:r>
      <w:proofErr w:type="spellStart"/>
      <w:r w:rsidR="000D28E6" w:rsidRPr="00435075">
        <w:rPr>
          <w:i/>
        </w:rPr>
        <w:t>Scx</w:t>
      </w:r>
      <w:r w:rsidR="000D28E6" w:rsidRPr="00907CB1">
        <w:rPr>
          <w:vertAlign w:val="superscript"/>
        </w:rPr>
        <w:t>Δ</w:t>
      </w:r>
      <w:proofErr w:type="spellEnd"/>
      <w:r w:rsidR="000D28E6" w:rsidRPr="00907CB1">
        <w:t xml:space="preserve"> mice to further </w:t>
      </w:r>
      <w:r w:rsidR="001B6777">
        <w:t xml:space="preserve">mechanistically </w:t>
      </w:r>
      <w:r w:rsidR="000D28E6" w:rsidRPr="00907CB1">
        <w:t xml:space="preserve">study </w:t>
      </w:r>
      <w:r w:rsidR="001B6777">
        <w:t xml:space="preserve">the effects of scleraxis on the behavior of tenocytes </w:t>
      </w:r>
      <w:r w:rsidR="001B6777" w:rsidRPr="001B6777">
        <w:rPr>
          <w:i/>
          <w:iCs/>
        </w:rPr>
        <w:t>in vitro</w:t>
      </w:r>
      <w:r w:rsidR="001B6777">
        <w:t xml:space="preserve">. To verify efficient deletion of scleraxis, we isolated DNA and RNA from tendons of animals treated with tamoxifen, and cultured cells treated with 4-hydroxytamoxifen (4HT). </w:t>
      </w:r>
      <w:r w:rsidR="00C04BDD">
        <w:t xml:space="preserve">There was a </w:t>
      </w:r>
      <w:r w:rsidR="000E476E">
        <w:t xml:space="preserve">97% </w:t>
      </w:r>
      <w:r w:rsidR="00CA7F13">
        <w:t xml:space="preserve">and 93% </w:t>
      </w:r>
      <w:r w:rsidR="000E476E">
        <w:t>reduction</w:t>
      </w:r>
      <w:r w:rsidR="00CC3C51">
        <w:t xml:space="preserve"> </w:t>
      </w:r>
      <w:r w:rsidR="00C04BDD">
        <w:t>in</w:t>
      </w:r>
      <w:r w:rsidR="00CC3C51">
        <w:t xml:space="preserve"> </w:t>
      </w:r>
      <w:proofErr w:type="spellStart"/>
      <w:r w:rsidR="00CC3C51" w:rsidRPr="00435075">
        <w:rPr>
          <w:i/>
        </w:rPr>
        <w:t>Scx</w:t>
      </w:r>
      <w:proofErr w:type="spellEnd"/>
      <w:r w:rsidR="00CC3C51">
        <w:t xml:space="preserve"> exon 1</w:t>
      </w:r>
      <w:r w:rsidR="00C04BDD">
        <w:t xml:space="preserve"> abundance </w:t>
      </w:r>
      <w:r w:rsidR="00CC3C51">
        <w:t xml:space="preserve">in 7D </w:t>
      </w:r>
      <w:r w:rsidR="00CA7F13">
        <w:t xml:space="preserve">and 14D </w:t>
      </w:r>
      <w:r w:rsidR="00CC3C51">
        <w:t>plantaris</w:t>
      </w:r>
      <w:r w:rsidR="000E476E">
        <w:t xml:space="preserve"> </w:t>
      </w:r>
      <w:r w:rsidR="00CA7F13">
        <w:t>tendons</w:t>
      </w:r>
      <w:r w:rsidR="00C04BDD">
        <w:t>, respectively</w:t>
      </w:r>
      <w:r w:rsidR="006B264B">
        <w:t xml:space="preserve"> </w:t>
      </w:r>
      <w:r w:rsidR="00C04BDD">
        <w:t xml:space="preserve">(Figure 1D). Cultured tenocytes of </w:t>
      </w:r>
      <w:proofErr w:type="spellStart"/>
      <w:r w:rsidR="00C04BDD" w:rsidRPr="00435075">
        <w:rPr>
          <w:i/>
        </w:rPr>
        <w:t>Scx</w:t>
      </w:r>
      <w:r w:rsidR="00C04BDD" w:rsidRPr="00907CB1">
        <w:rPr>
          <w:vertAlign w:val="superscript"/>
        </w:rPr>
        <w:t>Δ</w:t>
      </w:r>
      <w:proofErr w:type="spellEnd"/>
      <w:r w:rsidR="00C04BDD" w:rsidRPr="00907CB1">
        <w:t xml:space="preserve"> mice</w:t>
      </w:r>
      <w:r w:rsidR="00C04BDD">
        <w:t xml:space="preserve"> had a </w:t>
      </w:r>
      <w:r w:rsidR="00CA7F13">
        <w:t xml:space="preserve">99% reduction in </w:t>
      </w:r>
      <w:r w:rsidR="00C04BDD">
        <w:t xml:space="preserve">exon 1 abundance compared to </w:t>
      </w:r>
      <w:proofErr w:type="spellStart"/>
      <w:r w:rsidR="00C04BDD" w:rsidRPr="00435075">
        <w:rPr>
          <w:i/>
        </w:rPr>
        <w:t>Scx</w:t>
      </w:r>
      <w:proofErr w:type="spellEnd"/>
      <w:r w:rsidR="00C04BDD" w:rsidRPr="00907CB1">
        <w:rPr>
          <w:vertAlign w:val="superscript"/>
        </w:rPr>
        <w:t>+</w:t>
      </w:r>
      <w:r w:rsidR="00C04BDD">
        <w:t xml:space="preserve"> </w:t>
      </w:r>
      <w:r w:rsidR="00907CB1">
        <w:t>tenocytes</w:t>
      </w:r>
      <w:r w:rsidR="00FD2561">
        <w:t xml:space="preserve"> </w:t>
      </w:r>
      <w:r w:rsidR="00CA7F13">
        <w:t>(Figure 1</w:t>
      </w:r>
      <w:r w:rsidR="00FD2561">
        <w:t>F</w:t>
      </w:r>
      <w:r w:rsidR="00CA7F13">
        <w:t>).</w:t>
      </w:r>
      <w:r w:rsidR="003A1C64">
        <w:t xml:space="preserve"> </w:t>
      </w:r>
      <w:r w:rsidR="00CC3C51">
        <w:t xml:space="preserve">RNAseq data </w:t>
      </w:r>
      <w:r w:rsidR="00CA7F13">
        <w:t xml:space="preserve">also </w:t>
      </w:r>
      <w:r w:rsidR="00CC3C51">
        <w:t xml:space="preserve">revealed </w:t>
      </w:r>
      <w:r w:rsidR="00C04BDD">
        <w:t>a significant downregulation in</w:t>
      </w:r>
      <w:r w:rsidR="00CA7F13">
        <w:t xml:space="preserve"> </w:t>
      </w:r>
      <w:proofErr w:type="spellStart"/>
      <w:r w:rsidR="00CA7F13" w:rsidRPr="00435075">
        <w:rPr>
          <w:i/>
        </w:rPr>
        <w:t>Scx</w:t>
      </w:r>
      <w:proofErr w:type="spellEnd"/>
      <w:r w:rsidR="00CA7F13">
        <w:t xml:space="preserve"> transcr</w:t>
      </w:r>
      <w:r w:rsidR="00C04BDD">
        <w:t>i</w:t>
      </w:r>
      <w:r w:rsidR="00CA7F13">
        <w:t xml:space="preserve">pt </w:t>
      </w:r>
      <w:r w:rsidR="00C04BDD">
        <w:t>levels</w:t>
      </w:r>
      <w:r w:rsidR="00CA7F13">
        <w:t xml:space="preserve"> in plantaris tendons and cultured cells (Figure 1</w:t>
      </w:r>
      <w:r w:rsidR="00FD2561">
        <w:t>E, G</w:t>
      </w:r>
      <w:r w:rsidR="00CA7F13">
        <w:t>).</w:t>
      </w:r>
      <w:r w:rsidR="00CC3C51">
        <w:t xml:space="preserve"> </w:t>
      </w:r>
      <w:r w:rsidR="000E476E">
        <w:t xml:space="preserve">These data </w:t>
      </w:r>
      <w:r w:rsidR="003A1C64">
        <w:t xml:space="preserve">confirm the </w:t>
      </w:r>
      <w:r w:rsidR="000E476E">
        <w:t xml:space="preserve">efficient </w:t>
      </w:r>
      <w:r w:rsidR="00FD2561">
        <w:t xml:space="preserve">conditional </w:t>
      </w:r>
      <w:r w:rsidR="000E476E">
        <w:t>deletion of scleraxis</w:t>
      </w:r>
      <w:r w:rsidR="003A1C64">
        <w:t xml:space="preserve"> </w:t>
      </w:r>
      <w:r w:rsidR="000E476E">
        <w:t>in</w:t>
      </w:r>
      <w:r w:rsidR="003A1C64">
        <w:t xml:space="preserve"> </w:t>
      </w:r>
      <w:r w:rsidR="00C04BDD">
        <w:t>the</w:t>
      </w:r>
      <w:r w:rsidR="003A1C64">
        <w:t xml:space="preserve"> model</w:t>
      </w:r>
      <w:r w:rsidR="00C04BDD">
        <w:t xml:space="preserve">s used in this </w:t>
      </w:r>
      <w:r w:rsidR="008E52AF">
        <w:t>study</w:t>
      </w:r>
      <w:r w:rsidR="000E476E">
        <w:t>.</w:t>
      </w:r>
    </w:p>
    <w:p w14:paraId="1B986402" w14:textId="77777777" w:rsidR="00487E24" w:rsidRDefault="00F5252D" w:rsidP="00F5252D">
      <w:pPr>
        <w:spacing w:line="480" w:lineRule="auto"/>
        <w:rPr>
          <w:color w:val="000000" w:themeColor="text1"/>
        </w:rPr>
      </w:pPr>
      <w:r>
        <w:rPr>
          <w:b/>
          <w:i/>
          <w:iCs/>
        </w:rPr>
        <w:tab/>
      </w:r>
      <w:r w:rsidR="00164C50">
        <w:rPr>
          <w:b/>
          <w:i/>
          <w:iCs/>
        </w:rPr>
        <w:t>S</w:t>
      </w:r>
      <w:r w:rsidR="007007DB" w:rsidRPr="00F5252D">
        <w:rPr>
          <w:b/>
          <w:i/>
          <w:iCs/>
        </w:rPr>
        <w:t>cleraxis deletion</w:t>
      </w:r>
      <w:r w:rsidR="00594224" w:rsidRPr="00F5252D">
        <w:rPr>
          <w:b/>
          <w:i/>
          <w:iCs/>
        </w:rPr>
        <w:t xml:space="preserve"> </w:t>
      </w:r>
      <w:r w:rsidR="00164C50">
        <w:rPr>
          <w:b/>
          <w:i/>
          <w:iCs/>
        </w:rPr>
        <w:t>impairs</w:t>
      </w:r>
      <w:r w:rsidR="00594224" w:rsidRPr="00F5252D">
        <w:rPr>
          <w:b/>
          <w:i/>
          <w:iCs/>
        </w:rPr>
        <w:t xml:space="preserve"> tendon growth</w:t>
      </w:r>
      <w:r w:rsidRPr="00F5252D">
        <w:rPr>
          <w:b/>
          <w:i/>
          <w:iCs/>
        </w:rPr>
        <w:t>.</w:t>
      </w:r>
      <w:r>
        <w:rPr>
          <w:b/>
        </w:rPr>
        <w:t xml:space="preserve"> </w:t>
      </w:r>
      <w:r w:rsidR="009E188B">
        <w:t xml:space="preserve">Following synergist ablation, </w:t>
      </w:r>
      <w:proofErr w:type="spellStart"/>
      <w:r w:rsidR="005C7960" w:rsidRPr="00435075">
        <w:rPr>
          <w:i/>
        </w:rPr>
        <w:t>Scx</w:t>
      </w:r>
      <w:proofErr w:type="spellEnd"/>
      <w:r w:rsidR="005C7960" w:rsidRPr="0047344C">
        <w:rPr>
          <w:vertAlign w:val="superscript"/>
        </w:rPr>
        <w:t>+</w:t>
      </w:r>
      <w:r w:rsidR="005C7960">
        <w:t xml:space="preserve"> mice </w:t>
      </w:r>
      <w:r w:rsidR="008E52AF">
        <w:t>demonstrated</w:t>
      </w:r>
      <w:r w:rsidR="005C7960">
        <w:t xml:space="preserve"> a</w:t>
      </w:r>
      <w:r w:rsidR="008E52AF">
        <w:t xml:space="preserve">n </w:t>
      </w:r>
      <w:r w:rsidR="009E188B">
        <w:t xml:space="preserve">increase in plantaris tendon </w:t>
      </w:r>
      <w:r w:rsidR="00026C8F">
        <w:t>cross section area (CSA)</w:t>
      </w:r>
      <w:r w:rsidR="009E188B">
        <w:t xml:space="preserve"> through the formation of neotendon matrix</w:t>
      </w:r>
      <w:r w:rsidR="008E52AF">
        <w:t xml:space="preserve">, while this response was blunted in </w:t>
      </w:r>
      <w:proofErr w:type="spellStart"/>
      <w:r w:rsidR="008E52AF" w:rsidRPr="00435075">
        <w:rPr>
          <w:i/>
        </w:rPr>
        <w:t>Scx</w:t>
      </w:r>
      <w:r w:rsidR="008E52AF" w:rsidRPr="00907CB1">
        <w:rPr>
          <w:vertAlign w:val="superscript"/>
        </w:rPr>
        <w:t>Δ</w:t>
      </w:r>
      <w:proofErr w:type="spellEnd"/>
      <w:r w:rsidR="008E52AF" w:rsidRPr="00907CB1">
        <w:t xml:space="preserve"> mice</w:t>
      </w:r>
      <w:r w:rsidR="009E188B">
        <w:t xml:space="preserve"> (Figure 2A). The original tendon</w:t>
      </w:r>
      <w:r w:rsidR="005C7960">
        <w:t xml:space="preserve"> </w:t>
      </w:r>
      <w:r w:rsidR="00026C8F">
        <w:t>CSA</w:t>
      </w:r>
      <w:r w:rsidR="009E188B">
        <w:t xml:space="preserve"> </w:t>
      </w:r>
      <w:r w:rsidR="00026C8F">
        <w:t xml:space="preserve">and cell density </w:t>
      </w:r>
      <w:r w:rsidR="009E188B">
        <w:t xml:space="preserve">did not change between groups (Figure </w:t>
      </w:r>
      <w:r w:rsidR="005C7960">
        <w:t>2</w:t>
      </w:r>
      <w:r w:rsidR="00BF5F16">
        <w:t>B</w:t>
      </w:r>
      <w:r w:rsidR="00FB10AF">
        <w:t xml:space="preserve">, </w:t>
      </w:r>
      <w:r w:rsidR="00BF5F16">
        <w:t>C</w:t>
      </w:r>
      <w:r w:rsidR="009E188B">
        <w:t>)</w:t>
      </w:r>
      <w:r w:rsidR="00487E24">
        <w:t>. However,</w:t>
      </w:r>
      <w:r w:rsidR="009E188B">
        <w:t xml:space="preserve"> </w:t>
      </w:r>
      <w:r w:rsidR="00487E24">
        <w:t xml:space="preserve">at 7 days </w:t>
      </w:r>
      <w:proofErr w:type="spellStart"/>
      <w:r w:rsidR="00487E24" w:rsidRPr="00435075">
        <w:rPr>
          <w:i/>
        </w:rPr>
        <w:t>Scx</w:t>
      </w:r>
      <w:r w:rsidR="00487E24" w:rsidRPr="00594224">
        <w:rPr>
          <w:vertAlign w:val="superscript"/>
        </w:rPr>
        <w:t>Δ</w:t>
      </w:r>
      <w:proofErr w:type="spellEnd"/>
      <w:r w:rsidR="00487E24">
        <w:t xml:space="preserve"> mice had a 60% reduction in neotendon CSA which resulted in a 36% smaller total tendon area (Figure 2B). At 14 days, </w:t>
      </w:r>
      <w:proofErr w:type="spellStart"/>
      <w:r w:rsidR="000754AD" w:rsidRPr="00435075">
        <w:rPr>
          <w:i/>
          <w:color w:val="000000" w:themeColor="text1"/>
        </w:rPr>
        <w:t>Scx</w:t>
      </w:r>
      <w:r w:rsidR="000754AD" w:rsidRPr="00E52E8A">
        <w:rPr>
          <w:color w:val="000000" w:themeColor="text1"/>
          <w:vertAlign w:val="superscript"/>
        </w:rPr>
        <w:t>Δ</w:t>
      </w:r>
      <w:proofErr w:type="spellEnd"/>
      <w:r w:rsidR="0029418D">
        <w:rPr>
          <w:color w:val="000000" w:themeColor="text1"/>
        </w:rPr>
        <w:t xml:space="preserve"> </w:t>
      </w:r>
      <w:r w:rsidR="00487E24">
        <w:rPr>
          <w:color w:val="000000" w:themeColor="text1"/>
        </w:rPr>
        <w:t xml:space="preserve">mice had a </w:t>
      </w:r>
      <w:r w:rsidR="00487E24" w:rsidRPr="00616595">
        <w:rPr>
          <w:color w:val="000000" w:themeColor="text1"/>
        </w:rPr>
        <w:t>65% decrease in neotendon CSA</w:t>
      </w:r>
      <w:r w:rsidR="00487E24">
        <w:rPr>
          <w:color w:val="000000" w:themeColor="text1"/>
        </w:rPr>
        <w:t xml:space="preserve"> and a </w:t>
      </w:r>
      <w:r w:rsidR="00251CC5" w:rsidRPr="00E52E8A">
        <w:rPr>
          <w:color w:val="000000" w:themeColor="text1"/>
        </w:rPr>
        <w:t xml:space="preserve">47% decrease </w:t>
      </w:r>
      <w:r w:rsidR="00251CC5" w:rsidRPr="00E52E8A">
        <w:rPr>
          <w:color w:val="000000" w:themeColor="text1"/>
        </w:rPr>
        <w:lastRenderedPageBreak/>
        <w:t xml:space="preserve">in </w:t>
      </w:r>
      <w:r w:rsidR="00487E24">
        <w:rPr>
          <w:color w:val="000000" w:themeColor="text1"/>
        </w:rPr>
        <w:t>overall</w:t>
      </w:r>
      <w:r w:rsidR="00251CC5" w:rsidRPr="00E52E8A">
        <w:rPr>
          <w:color w:val="000000" w:themeColor="text1"/>
        </w:rPr>
        <w:t xml:space="preserve"> tendon CSA </w:t>
      </w:r>
      <w:r w:rsidR="000754AD">
        <w:rPr>
          <w:color w:val="000000" w:themeColor="text1"/>
        </w:rPr>
        <w:t xml:space="preserve">compared to </w:t>
      </w:r>
      <w:proofErr w:type="spellStart"/>
      <w:r w:rsidR="000754AD" w:rsidRPr="000754AD">
        <w:rPr>
          <w:i/>
        </w:rPr>
        <w:t>Scx</w:t>
      </w:r>
      <w:proofErr w:type="spellEnd"/>
      <w:r w:rsidR="000754AD" w:rsidRPr="00616595">
        <w:rPr>
          <w:color w:val="000000" w:themeColor="text1"/>
          <w:vertAlign w:val="superscript"/>
        </w:rPr>
        <w:t>+</w:t>
      </w:r>
      <w:r w:rsidR="000754AD">
        <w:rPr>
          <w:color w:val="000000" w:themeColor="text1"/>
          <w:vertAlign w:val="superscript"/>
        </w:rPr>
        <w:t xml:space="preserve"> </w:t>
      </w:r>
      <w:r w:rsidR="000754AD" w:rsidRPr="009C0FFB">
        <w:rPr>
          <w:color w:val="000000" w:themeColor="text1"/>
        </w:rPr>
        <w:t>mice</w:t>
      </w:r>
      <w:r w:rsidR="00487E24">
        <w:rPr>
          <w:color w:val="000000" w:themeColor="text1"/>
        </w:rPr>
        <w:t xml:space="preserve"> (Figure 2B)</w:t>
      </w:r>
      <w:r w:rsidR="00251CC5" w:rsidRPr="00616595">
        <w:rPr>
          <w:color w:val="000000" w:themeColor="text1"/>
        </w:rPr>
        <w:t>.</w:t>
      </w:r>
      <w:r w:rsidR="00487636" w:rsidRPr="00616595">
        <w:rPr>
          <w:color w:val="000000" w:themeColor="text1"/>
        </w:rPr>
        <w:t xml:space="preserve"> </w:t>
      </w:r>
      <w:r w:rsidR="00487E24">
        <w:rPr>
          <w:color w:val="000000" w:themeColor="text1"/>
        </w:rPr>
        <w:t xml:space="preserve">For cell density, at 7 days there was a </w:t>
      </w:r>
      <w:r w:rsidR="00487636" w:rsidRPr="00616595">
        <w:rPr>
          <w:color w:val="000000" w:themeColor="text1"/>
        </w:rPr>
        <w:t>34% decrease</w:t>
      </w:r>
      <w:r w:rsidR="00757A0B">
        <w:rPr>
          <w:color w:val="000000" w:themeColor="text1"/>
        </w:rPr>
        <w:t xml:space="preserve"> </w:t>
      </w:r>
      <w:r w:rsidR="00487E24">
        <w:rPr>
          <w:color w:val="000000" w:themeColor="text1"/>
        </w:rPr>
        <w:t xml:space="preserve">in the </w:t>
      </w:r>
      <w:r w:rsidR="00487636" w:rsidRPr="00616595">
        <w:rPr>
          <w:color w:val="000000" w:themeColor="text1"/>
        </w:rPr>
        <w:t>neotendon</w:t>
      </w:r>
      <w:r w:rsidR="00757A0B">
        <w:rPr>
          <w:color w:val="000000" w:themeColor="text1"/>
        </w:rPr>
        <w:t xml:space="preserve"> </w:t>
      </w:r>
      <w:r w:rsidR="00487E24">
        <w:rPr>
          <w:color w:val="000000" w:themeColor="text1"/>
        </w:rPr>
        <w:t xml:space="preserve">and total tendon </w:t>
      </w:r>
      <w:r w:rsidR="00757A0B">
        <w:rPr>
          <w:color w:val="000000" w:themeColor="text1"/>
        </w:rPr>
        <w:t>of</w:t>
      </w:r>
      <w:r w:rsidR="00757A0B" w:rsidRPr="00616595">
        <w:rPr>
          <w:color w:val="000000" w:themeColor="text1"/>
        </w:rPr>
        <w:t xml:space="preserve"> </w:t>
      </w:r>
      <w:proofErr w:type="spellStart"/>
      <w:r w:rsidR="00757A0B" w:rsidRPr="00435075">
        <w:rPr>
          <w:i/>
          <w:color w:val="000000" w:themeColor="text1"/>
        </w:rPr>
        <w:t>Scx</w:t>
      </w:r>
      <w:proofErr w:type="spellEnd"/>
      <w:r w:rsidR="00757A0B" w:rsidRPr="00616595">
        <w:rPr>
          <w:color w:val="000000" w:themeColor="text1"/>
          <w:vertAlign w:val="superscript"/>
        </w:rPr>
        <w:t>∆</w:t>
      </w:r>
      <w:r w:rsidR="00487E24">
        <w:rPr>
          <w:color w:val="000000" w:themeColor="text1"/>
        </w:rPr>
        <w:t xml:space="preserve"> mice (Figure 2C).</w:t>
      </w:r>
      <w:r w:rsidR="00026C8F" w:rsidRPr="00616595">
        <w:rPr>
          <w:color w:val="000000" w:themeColor="text1"/>
        </w:rPr>
        <w:t xml:space="preserve"> </w:t>
      </w:r>
      <w:r w:rsidR="00C8578A">
        <w:rPr>
          <w:color w:val="000000" w:themeColor="text1"/>
        </w:rPr>
        <w:t xml:space="preserve">Collagen fibril size distributions were significantly different between the original tendon and neotendon of </w:t>
      </w:r>
      <w:proofErr w:type="spellStart"/>
      <w:r w:rsidR="00C8578A" w:rsidRPr="000754AD">
        <w:rPr>
          <w:i/>
        </w:rPr>
        <w:t>Scx</w:t>
      </w:r>
      <w:proofErr w:type="spellEnd"/>
      <w:r w:rsidR="00C8578A" w:rsidRPr="00616595">
        <w:rPr>
          <w:color w:val="000000" w:themeColor="text1"/>
          <w:vertAlign w:val="superscript"/>
        </w:rPr>
        <w:t>+</w:t>
      </w:r>
      <w:r w:rsidR="00C8578A" w:rsidRPr="00C8578A">
        <w:rPr>
          <w:color w:val="000000" w:themeColor="text1"/>
        </w:rPr>
        <w:t xml:space="preserve"> and </w:t>
      </w:r>
      <w:proofErr w:type="spellStart"/>
      <w:r w:rsidR="00C8578A" w:rsidRPr="00435075">
        <w:rPr>
          <w:i/>
          <w:color w:val="000000" w:themeColor="text1"/>
        </w:rPr>
        <w:t>Scx</w:t>
      </w:r>
      <w:proofErr w:type="spellEnd"/>
      <w:r w:rsidR="00C8578A" w:rsidRPr="00616595">
        <w:rPr>
          <w:color w:val="000000" w:themeColor="text1"/>
          <w:vertAlign w:val="superscript"/>
        </w:rPr>
        <w:t>∆</w:t>
      </w:r>
      <w:r w:rsidR="00C8578A">
        <w:rPr>
          <w:color w:val="000000" w:themeColor="text1"/>
        </w:rPr>
        <w:t xml:space="preserve"> </w:t>
      </w:r>
      <w:r w:rsidR="00C8578A" w:rsidRPr="009C0FFB">
        <w:rPr>
          <w:color w:val="000000" w:themeColor="text1"/>
        </w:rPr>
        <w:t>mice</w:t>
      </w:r>
      <w:r w:rsidR="00C8578A">
        <w:rPr>
          <w:color w:val="000000" w:themeColor="text1"/>
        </w:rPr>
        <w:t xml:space="preserve"> at 7 and 14 days, </w:t>
      </w:r>
      <w:r w:rsidR="006B264B">
        <w:rPr>
          <w:color w:val="000000" w:themeColor="text1"/>
        </w:rPr>
        <w:t xml:space="preserve">with </w:t>
      </w:r>
      <w:proofErr w:type="spellStart"/>
      <w:r w:rsidR="00C8578A" w:rsidRPr="00435075">
        <w:rPr>
          <w:i/>
          <w:color w:val="000000" w:themeColor="text1"/>
        </w:rPr>
        <w:t>Scx</w:t>
      </w:r>
      <w:proofErr w:type="spellEnd"/>
      <w:r w:rsidR="00C8578A" w:rsidRPr="00616595">
        <w:rPr>
          <w:color w:val="000000" w:themeColor="text1"/>
          <w:vertAlign w:val="superscript"/>
        </w:rPr>
        <w:t>∆</w:t>
      </w:r>
      <w:r w:rsidR="00C8578A">
        <w:rPr>
          <w:color w:val="000000" w:themeColor="text1"/>
        </w:rPr>
        <w:t xml:space="preserve"> </w:t>
      </w:r>
      <w:r w:rsidR="00C8578A" w:rsidRPr="009C0FFB">
        <w:rPr>
          <w:color w:val="000000" w:themeColor="text1"/>
        </w:rPr>
        <w:t>mice</w:t>
      </w:r>
      <w:r w:rsidR="00C8578A">
        <w:rPr>
          <w:color w:val="000000" w:themeColor="text1"/>
        </w:rPr>
        <w:t xml:space="preserve"> generally demonstrat</w:t>
      </w:r>
      <w:r w:rsidR="006B264B">
        <w:rPr>
          <w:color w:val="000000" w:themeColor="text1"/>
        </w:rPr>
        <w:t>ing</w:t>
      </w:r>
      <w:r w:rsidR="00C8578A">
        <w:rPr>
          <w:color w:val="000000" w:themeColor="text1"/>
        </w:rPr>
        <w:t xml:space="preserve"> a greater proportion of larger collagen fibrils (Supplemental Figure 1). </w:t>
      </w:r>
    </w:p>
    <w:p w14:paraId="40416E94" w14:textId="3C8AA2FA" w:rsidR="00181E19" w:rsidRPr="002C192A" w:rsidRDefault="00F5252D" w:rsidP="00181E19">
      <w:pPr>
        <w:spacing w:line="480" w:lineRule="auto"/>
        <w:rPr>
          <w:b/>
        </w:rPr>
      </w:pPr>
      <w:r w:rsidRPr="00F5252D">
        <w:rPr>
          <w:b/>
          <w:i/>
          <w:iCs/>
        </w:rPr>
        <w:tab/>
      </w:r>
      <w:r w:rsidR="00C8578A">
        <w:rPr>
          <w:b/>
          <w:i/>
          <w:iCs/>
        </w:rPr>
        <w:t>Scleraxis deletion increases pericyte density</w:t>
      </w:r>
      <w:r w:rsidRPr="00F5252D">
        <w:rPr>
          <w:b/>
          <w:i/>
          <w:iCs/>
        </w:rPr>
        <w:t>.</w:t>
      </w:r>
      <w:r>
        <w:rPr>
          <w:b/>
        </w:rPr>
        <w:t xml:space="preserve"> </w:t>
      </w:r>
      <w:r w:rsidR="0073214C">
        <w:t>Using immunohistochemistry, we measured the abundance of CD146</w:t>
      </w:r>
      <w:r w:rsidR="0073214C" w:rsidRPr="0073214C">
        <w:rPr>
          <w:vertAlign w:val="superscript"/>
        </w:rPr>
        <w:t>+</w:t>
      </w:r>
      <w:r w:rsidR="0073214C">
        <w:t xml:space="preserve"> </w:t>
      </w:r>
      <w:r w:rsidR="00AC27D5">
        <w:t>pericytes</w:t>
      </w:r>
      <w:r w:rsidR="0073214C">
        <w:t xml:space="preserve"> within the neotendon of </w:t>
      </w:r>
      <w:r w:rsidR="00C8578A">
        <w:t xml:space="preserve">mechanically </w:t>
      </w:r>
      <w:r w:rsidR="0073214C">
        <w:t>overloaded plantaris tendons</w:t>
      </w:r>
      <w:r w:rsidR="00C8578A">
        <w:t xml:space="preserve"> (Figure 3A)</w:t>
      </w:r>
      <w:r w:rsidR="0073214C" w:rsidRPr="00181E19">
        <w:rPr>
          <w:color w:val="000000" w:themeColor="text1"/>
        </w:rPr>
        <w:t xml:space="preserve">. </w:t>
      </w:r>
      <w:r w:rsidR="0073214C">
        <w:t xml:space="preserve">Compared to </w:t>
      </w:r>
      <w:proofErr w:type="spellStart"/>
      <w:r w:rsidR="0073214C" w:rsidRPr="00435075">
        <w:rPr>
          <w:i/>
        </w:rPr>
        <w:t>Scx</w:t>
      </w:r>
      <w:proofErr w:type="spellEnd"/>
      <w:r w:rsidR="00220969" w:rsidRPr="008B16F8">
        <w:rPr>
          <w:vertAlign w:val="superscript"/>
        </w:rPr>
        <w:t>∆</w:t>
      </w:r>
      <w:r w:rsidR="0073214C">
        <w:t xml:space="preserve"> mice, there was a</w:t>
      </w:r>
      <w:r w:rsidR="00C8578A">
        <w:t xml:space="preserve">n approximate </w:t>
      </w:r>
      <w:r w:rsidR="00616595">
        <w:t>two-fold</w:t>
      </w:r>
      <w:r w:rsidR="0073214C">
        <w:t xml:space="preserve"> increase in the percentage of </w:t>
      </w:r>
      <w:r w:rsidR="00AC27D5">
        <w:t>pericytes</w:t>
      </w:r>
      <w:r w:rsidR="0073214C">
        <w:t xml:space="preserve"> in the </w:t>
      </w:r>
      <w:proofErr w:type="spellStart"/>
      <w:r w:rsidR="0073214C">
        <w:t>neotendons</w:t>
      </w:r>
      <w:proofErr w:type="spellEnd"/>
      <w:r w:rsidR="0073214C">
        <w:t xml:space="preserve"> of </w:t>
      </w:r>
      <w:proofErr w:type="spellStart"/>
      <w:r w:rsidR="0073214C" w:rsidRPr="00435075">
        <w:rPr>
          <w:i/>
        </w:rPr>
        <w:t>Scx</w:t>
      </w:r>
      <w:proofErr w:type="spellEnd"/>
      <w:r w:rsidR="00220969">
        <w:rPr>
          <w:vertAlign w:val="superscript"/>
        </w:rPr>
        <w:t>+</w:t>
      </w:r>
      <w:r w:rsidR="0073214C">
        <w:t xml:space="preserve"> mice </w:t>
      </w:r>
      <w:r w:rsidR="00C8578A">
        <w:t>at</w:t>
      </w:r>
      <w:r w:rsidR="0073214C">
        <w:t xml:space="preserve"> each time point</w:t>
      </w:r>
      <w:r w:rsidR="00616595">
        <w:t xml:space="preserve"> </w:t>
      </w:r>
      <w:r w:rsidR="0073214C">
        <w:t>(Figure 3B)</w:t>
      </w:r>
      <w:r w:rsidR="00C8578A">
        <w:t xml:space="preserve">. </w:t>
      </w:r>
    </w:p>
    <w:p w14:paraId="293BF30B" w14:textId="77777777" w:rsidR="00B330C0" w:rsidRPr="009F2360" w:rsidRDefault="00181E19" w:rsidP="009F2360">
      <w:pPr>
        <w:spacing w:line="480" w:lineRule="auto"/>
        <w:ind w:firstLine="720"/>
        <w:rPr>
          <w:b/>
          <w:i/>
        </w:rPr>
      </w:pPr>
      <w:r w:rsidRPr="007934A7">
        <w:rPr>
          <w:b/>
          <w:i/>
        </w:rPr>
        <w:t xml:space="preserve">Scleraxis deletion </w:t>
      </w:r>
      <w:r w:rsidR="002C192A">
        <w:rPr>
          <w:b/>
          <w:i/>
        </w:rPr>
        <w:t>impacts the</w:t>
      </w:r>
      <w:r w:rsidRPr="007934A7">
        <w:rPr>
          <w:b/>
          <w:i/>
        </w:rPr>
        <w:t xml:space="preserve"> proteome of tendons</w:t>
      </w:r>
      <w:r w:rsidR="002C192A">
        <w:rPr>
          <w:b/>
          <w:i/>
        </w:rPr>
        <w:t xml:space="preserve"> 14 days after synergist ablation</w:t>
      </w:r>
      <w:r w:rsidR="007934A7">
        <w:rPr>
          <w:b/>
          <w:i/>
        </w:rPr>
        <w:t xml:space="preserve">. </w:t>
      </w:r>
      <w:r w:rsidR="002C192A">
        <w:t>As w</w:t>
      </w:r>
      <w:r>
        <w:t xml:space="preserve">e </w:t>
      </w:r>
      <w:r w:rsidR="002C192A">
        <w:t xml:space="preserve">observed noticeable differences between the size of tendons from mechanically loaded </w:t>
      </w:r>
      <w:proofErr w:type="spellStart"/>
      <w:r w:rsidR="002C192A" w:rsidRPr="00435075">
        <w:rPr>
          <w:i/>
        </w:rPr>
        <w:t>Scx</w:t>
      </w:r>
      <w:proofErr w:type="spellEnd"/>
      <w:r w:rsidR="002C192A" w:rsidRPr="007C0910">
        <w:rPr>
          <w:vertAlign w:val="superscript"/>
        </w:rPr>
        <w:t>+</w:t>
      </w:r>
      <w:r w:rsidR="002C192A">
        <w:t xml:space="preserve"> and </w:t>
      </w:r>
      <w:proofErr w:type="spellStart"/>
      <w:r w:rsidR="002C192A" w:rsidRPr="00435075">
        <w:rPr>
          <w:i/>
        </w:rPr>
        <w:t>Scx</w:t>
      </w:r>
      <w:proofErr w:type="spellEnd"/>
      <w:r w:rsidR="002C192A" w:rsidRPr="008B16F8">
        <w:rPr>
          <w:vertAlign w:val="superscript"/>
        </w:rPr>
        <w:t>∆</w:t>
      </w:r>
      <w:r w:rsidR="002C192A">
        <w:t xml:space="preserve"> mice, we </w:t>
      </w:r>
      <w:r>
        <w:t>performed mass</w:t>
      </w:r>
      <w:r w:rsidR="002C192A">
        <w:t xml:space="preserve"> </w:t>
      </w:r>
      <w:r>
        <w:t>spectro</w:t>
      </w:r>
      <w:r w:rsidR="002C192A">
        <w:t>metry-based</w:t>
      </w:r>
      <w:r>
        <w:t xml:space="preserve"> </w:t>
      </w:r>
      <w:r w:rsidR="002C192A">
        <w:t>label-free proteomics</w:t>
      </w:r>
      <w:r>
        <w:t xml:space="preserve"> to look at changes </w:t>
      </w:r>
      <w:r w:rsidR="002C192A">
        <w:t>in tendon matrix composition</w:t>
      </w:r>
      <w:r>
        <w:t xml:space="preserve">. Principal </w:t>
      </w:r>
      <w:r w:rsidR="002C192A">
        <w:t>c</w:t>
      </w:r>
      <w:r>
        <w:t xml:space="preserve">omponent </w:t>
      </w:r>
      <w:r w:rsidR="002C192A">
        <w:t>a</w:t>
      </w:r>
      <w:r>
        <w:t>nalys</w:t>
      </w:r>
      <w:r w:rsidR="002C192A">
        <w:t>e</w:t>
      </w:r>
      <w:r>
        <w:t>s</w:t>
      </w:r>
      <w:r w:rsidR="002C192A">
        <w:t xml:space="preserve"> (PCA)</w:t>
      </w:r>
      <w:r>
        <w:t xml:space="preserve"> </w:t>
      </w:r>
      <w:r w:rsidR="002C192A">
        <w:t>demonstrated</w:t>
      </w:r>
      <w:r>
        <w:t xml:space="preserve"> difference</w:t>
      </w:r>
      <w:r w:rsidR="002C192A">
        <w:t>s</w:t>
      </w:r>
      <w:r>
        <w:t xml:space="preserve"> between overloaded groups and the control non-overloaded group, a</w:t>
      </w:r>
      <w:r w:rsidR="002C192A">
        <w:t>s well as</w:t>
      </w:r>
      <w:r>
        <w:t xml:space="preserve"> </w:t>
      </w:r>
      <w:r w:rsidR="002C192A">
        <w:t>some</w:t>
      </w:r>
      <w:r>
        <w:t xml:space="preserve"> non-overlapping areas between the </w:t>
      </w:r>
      <w:proofErr w:type="spellStart"/>
      <w:r w:rsidRPr="00181E19">
        <w:rPr>
          <w:i/>
        </w:rPr>
        <w:t>Scx</w:t>
      </w:r>
      <w:proofErr w:type="spellEnd"/>
      <w:r w:rsidRPr="000642F2">
        <w:rPr>
          <w:vertAlign w:val="superscript"/>
        </w:rPr>
        <w:t>+</w:t>
      </w:r>
      <w:r>
        <w:t xml:space="preserve"> </w:t>
      </w:r>
      <w:r w:rsidRPr="000642F2">
        <w:t xml:space="preserve">and </w:t>
      </w:r>
      <w:proofErr w:type="spellStart"/>
      <w:r w:rsidRPr="00181E19">
        <w:rPr>
          <w:i/>
        </w:rPr>
        <w:t>Scx</w:t>
      </w:r>
      <w:r w:rsidRPr="00594224">
        <w:rPr>
          <w:vertAlign w:val="superscript"/>
        </w:rPr>
        <w:t>Δ</w:t>
      </w:r>
      <w:proofErr w:type="spellEnd"/>
      <w:r>
        <w:t xml:space="preserve"> groups (Figure </w:t>
      </w:r>
      <w:r w:rsidR="002C192A">
        <w:t>4</w:t>
      </w:r>
      <w:r>
        <w:t xml:space="preserve">A). </w:t>
      </w:r>
      <w:r w:rsidR="002C192A">
        <w:t xml:space="preserve">In total, </w:t>
      </w:r>
      <w:r w:rsidRPr="00181E19">
        <w:rPr>
          <w:color w:val="000000" w:themeColor="text1"/>
        </w:rPr>
        <w:t>313</w:t>
      </w:r>
      <w:r w:rsidRPr="00181E19">
        <w:rPr>
          <w:color w:val="FF0000"/>
        </w:rPr>
        <w:t xml:space="preserve"> </w:t>
      </w:r>
      <w:r w:rsidRPr="00181E19">
        <w:rPr>
          <w:color w:val="000000" w:themeColor="text1"/>
        </w:rPr>
        <w:t xml:space="preserve">proteins </w:t>
      </w:r>
      <w:r>
        <w:rPr>
          <w:color w:val="000000" w:themeColor="text1"/>
        </w:rPr>
        <w:t xml:space="preserve">out of </w:t>
      </w:r>
      <w:r w:rsidR="002C192A">
        <w:rPr>
          <w:color w:val="000000" w:themeColor="text1"/>
        </w:rPr>
        <w:t xml:space="preserve">the </w:t>
      </w:r>
      <w:r>
        <w:t xml:space="preserve">453 </w:t>
      </w:r>
      <w:r w:rsidR="002C192A">
        <w:t xml:space="preserve">that were detected </w:t>
      </w:r>
      <w:r>
        <w:t xml:space="preserve">were found to be significantly different between </w:t>
      </w:r>
      <w:proofErr w:type="spellStart"/>
      <w:r w:rsidRPr="00435075">
        <w:rPr>
          <w:i/>
        </w:rPr>
        <w:t>Scx</w:t>
      </w:r>
      <w:proofErr w:type="spellEnd"/>
      <w:r w:rsidRPr="00007A3D">
        <w:rPr>
          <w:vertAlign w:val="superscript"/>
        </w:rPr>
        <w:t>+</w:t>
      </w:r>
      <w:r>
        <w:t xml:space="preserve"> and </w:t>
      </w:r>
      <w:proofErr w:type="spellStart"/>
      <w:r w:rsidRPr="00435075">
        <w:rPr>
          <w:i/>
        </w:rPr>
        <w:t>Scx</w:t>
      </w:r>
      <w:r w:rsidRPr="00594224">
        <w:rPr>
          <w:vertAlign w:val="superscript"/>
        </w:rPr>
        <w:t>Δ</w:t>
      </w:r>
      <w:proofErr w:type="spellEnd"/>
      <w:r>
        <w:t xml:space="preserve"> </w:t>
      </w:r>
      <w:r w:rsidR="006B264B">
        <w:t xml:space="preserve">mice </w:t>
      </w:r>
      <w:r>
        <w:t>for at least one time point</w:t>
      </w:r>
      <w:r w:rsidR="002C192A">
        <w:t xml:space="preserve">, with </w:t>
      </w:r>
      <w:r>
        <w:t xml:space="preserve">298 of these proteins </w:t>
      </w:r>
      <w:r w:rsidR="002C192A">
        <w:t>being</w:t>
      </w:r>
      <w:r>
        <w:t xml:space="preserve"> significantly different </w:t>
      </w:r>
      <w:r w:rsidR="002C192A">
        <w:t>at 14 days</w:t>
      </w:r>
      <w:r>
        <w:t xml:space="preserve">. </w:t>
      </w:r>
      <w:r w:rsidR="002C192A">
        <w:t xml:space="preserve">We report select </w:t>
      </w:r>
      <w:r>
        <w:t>proteins</w:t>
      </w:r>
      <w:r w:rsidR="002C192A">
        <w:t xml:space="preserve"> in Figure 4B, with the entire dataset available in Supplemental Table 1. </w:t>
      </w:r>
      <w:r w:rsidR="00E825BF">
        <w:t>At 7 days, the matrix proteins chondroadherin (Chad) and cartilage intermediate layer protein (</w:t>
      </w:r>
      <w:proofErr w:type="spellStart"/>
      <w:r w:rsidR="00E825BF">
        <w:t>Cilp</w:t>
      </w:r>
      <w:proofErr w:type="spellEnd"/>
      <w:r w:rsidR="00E825BF">
        <w:t xml:space="preserve">) were reduced in </w:t>
      </w:r>
      <w:proofErr w:type="spellStart"/>
      <w:r w:rsidR="00E825BF" w:rsidRPr="00181E19">
        <w:rPr>
          <w:i/>
        </w:rPr>
        <w:t>Scx</w:t>
      </w:r>
      <w:r w:rsidR="00E825BF" w:rsidRPr="00594224">
        <w:rPr>
          <w:vertAlign w:val="superscript"/>
        </w:rPr>
        <w:t>Δ</w:t>
      </w:r>
      <w:proofErr w:type="spellEnd"/>
      <w:r w:rsidR="00E825BF">
        <w:t xml:space="preserve"> tendons, which was also noted at 14 days. Additionally, at 14 days several </w:t>
      </w:r>
      <w:r w:rsidR="00882ABF">
        <w:t>collagen</w:t>
      </w:r>
      <w:r w:rsidR="00E825BF">
        <w:t>s</w:t>
      </w:r>
      <w:r w:rsidR="00882ABF">
        <w:t>,</w:t>
      </w:r>
      <w:r w:rsidR="00882ABF" w:rsidRPr="00882ABF">
        <w:t xml:space="preserve"> </w:t>
      </w:r>
      <w:r w:rsidR="00882ABF">
        <w:t xml:space="preserve">including </w:t>
      </w:r>
      <w:r w:rsidR="00882ABF" w:rsidRPr="00E825BF">
        <w:rPr>
          <w:iCs/>
        </w:rPr>
        <w:t>Col3a1, Col5a1, Col11a1, Col12a1,</w:t>
      </w:r>
      <w:r w:rsidR="00882ABF" w:rsidRPr="00882ABF">
        <w:rPr>
          <w:i/>
        </w:rPr>
        <w:t xml:space="preserve"> </w:t>
      </w:r>
      <w:r w:rsidRPr="00882ABF">
        <w:t xml:space="preserve">were </w:t>
      </w:r>
      <w:r w:rsidR="00E825BF">
        <w:t>reduced</w:t>
      </w:r>
      <w:r>
        <w:t xml:space="preserve"> in </w:t>
      </w:r>
      <w:proofErr w:type="spellStart"/>
      <w:r w:rsidRPr="00181E19">
        <w:rPr>
          <w:i/>
        </w:rPr>
        <w:t>Scx</w:t>
      </w:r>
      <w:r w:rsidRPr="00594224">
        <w:rPr>
          <w:vertAlign w:val="superscript"/>
        </w:rPr>
        <w:t>Δ</w:t>
      </w:r>
      <w:proofErr w:type="spellEnd"/>
      <w:r>
        <w:t xml:space="preserve"> tendons compared to</w:t>
      </w:r>
      <w:r w:rsidRPr="00181E19">
        <w:t xml:space="preserve"> </w:t>
      </w:r>
      <w:proofErr w:type="spellStart"/>
      <w:r w:rsidRPr="00181E19">
        <w:rPr>
          <w:i/>
        </w:rPr>
        <w:t>Scx</w:t>
      </w:r>
      <w:proofErr w:type="spellEnd"/>
      <w:r w:rsidRPr="000642F2">
        <w:rPr>
          <w:vertAlign w:val="superscript"/>
        </w:rPr>
        <w:t>+</w:t>
      </w:r>
      <w:r w:rsidR="00E825BF">
        <w:t xml:space="preserve"> tendons</w:t>
      </w:r>
      <w:r>
        <w:t xml:space="preserve">. </w:t>
      </w:r>
      <w:r w:rsidR="00882ABF">
        <w:t>Proteins involved in extracellular matrix production</w:t>
      </w:r>
      <w:r w:rsidR="00E825BF">
        <w:t xml:space="preserve">, </w:t>
      </w:r>
      <w:r w:rsidR="00882ABF">
        <w:t>remodeling</w:t>
      </w:r>
      <w:r w:rsidR="00E825BF">
        <w:t xml:space="preserve">, and </w:t>
      </w:r>
      <w:r w:rsidR="00E825BF">
        <w:lastRenderedPageBreak/>
        <w:t xml:space="preserve">mechanotransduction, such as </w:t>
      </w:r>
      <w:proofErr w:type="spellStart"/>
      <w:r w:rsidR="00E825BF">
        <w:t>asporin</w:t>
      </w:r>
      <w:proofErr w:type="spellEnd"/>
      <w:r w:rsidR="00E825BF">
        <w:t xml:space="preserve"> (</w:t>
      </w:r>
      <w:proofErr w:type="spellStart"/>
      <w:r w:rsidR="00E825BF">
        <w:t>Aspn</w:t>
      </w:r>
      <w:proofErr w:type="spellEnd"/>
      <w:r w:rsidR="00E825BF">
        <w:t>), fibronectin (Fn1), lysyl oxidase (Lox), matrix metalloproteinase 2 (Mmp2), osteoglycin (</w:t>
      </w:r>
      <w:proofErr w:type="spellStart"/>
      <w:r w:rsidR="00E825BF">
        <w:t>Ogn</w:t>
      </w:r>
      <w:proofErr w:type="spellEnd"/>
      <w:r w:rsidR="00E825BF">
        <w:t>)</w:t>
      </w:r>
      <w:r w:rsidR="00326EA8">
        <w:t xml:space="preserve">, thrombospondins 1 and 4 (Thbs1, Thbs4), and tenascin C (Tnc) were lower in tendons of </w:t>
      </w:r>
      <w:proofErr w:type="spellStart"/>
      <w:r w:rsidR="00326EA8" w:rsidRPr="00181E19">
        <w:rPr>
          <w:i/>
        </w:rPr>
        <w:t>Scx</w:t>
      </w:r>
      <w:r w:rsidR="00326EA8" w:rsidRPr="00594224">
        <w:rPr>
          <w:vertAlign w:val="superscript"/>
        </w:rPr>
        <w:t>Δ</w:t>
      </w:r>
      <w:proofErr w:type="spellEnd"/>
      <w:r w:rsidR="00326EA8">
        <w:t xml:space="preserve"> mice (Figure 4B). Ribosomal proteins Rplp0, Rpl10, and Rpl35, eukaryotic translation elongation factors Eef1g and Eef2, and mechanotransduction proteins cofilin 1 </w:t>
      </w:r>
      <w:r w:rsidR="00326EA8" w:rsidRPr="00E825BF">
        <w:t>(Cfl1)</w:t>
      </w:r>
      <w:r w:rsidR="00326EA8" w:rsidRPr="00882ABF">
        <w:t>,</w:t>
      </w:r>
      <w:r w:rsidR="00326EA8">
        <w:t xml:space="preserve"> gelsolin (</w:t>
      </w:r>
      <w:proofErr w:type="spellStart"/>
      <w:r w:rsidR="00326EA8">
        <w:t>Gsn</w:t>
      </w:r>
      <w:proofErr w:type="spellEnd"/>
      <w:r w:rsidR="00326EA8">
        <w:t xml:space="preserve">), </w:t>
      </w:r>
      <w:r w:rsidR="00326EA8" w:rsidRPr="00326EA8">
        <w:t xml:space="preserve">Ras </w:t>
      </w:r>
      <w:r w:rsidR="00326EA8">
        <w:t>h</w:t>
      </w:r>
      <w:r w:rsidR="00326EA8" w:rsidRPr="00326EA8">
        <w:t xml:space="preserve">omolog </w:t>
      </w:r>
      <w:r w:rsidR="00326EA8">
        <w:t>f</w:t>
      </w:r>
      <w:r w:rsidR="00326EA8" w:rsidRPr="00326EA8">
        <w:t xml:space="preserve">amily </w:t>
      </w:r>
      <w:r w:rsidR="00326EA8">
        <w:t>m</w:t>
      </w:r>
      <w:r w:rsidR="00326EA8" w:rsidRPr="00326EA8">
        <w:t>ember C</w:t>
      </w:r>
      <w:r w:rsidR="00326EA8">
        <w:t xml:space="preserve"> (Rhoc), and vimentin (Vim) </w:t>
      </w:r>
      <w:r w:rsidR="00882ABF">
        <w:t xml:space="preserve">were also </w:t>
      </w:r>
      <w:r w:rsidR="00326EA8">
        <w:t>less abundant</w:t>
      </w:r>
      <w:r w:rsidR="00882ABF">
        <w:t xml:space="preserve"> in </w:t>
      </w:r>
      <w:proofErr w:type="spellStart"/>
      <w:r w:rsidR="00882ABF" w:rsidRPr="00181E19">
        <w:rPr>
          <w:i/>
        </w:rPr>
        <w:t>Scx</w:t>
      </w:r>
      <w:r w:rsidR="00882ABF" w:rsidRPr="00594224">
        <w:rPr>
          <w:vertAlign w:val="superscript"/>
        </w:rPr>
        <w:t>Δ</w:t>
      </w:r>
      <w:proofErr w:type="spellEnd"/>
      <w:r w:rsidR="00882ABF">
        <w:t xml:space="preserve"> tendons</w:t>
      </w:r>
      <w:r w:rsidR="00326EA8">
        <w:t xml:space="preserve"> at 14 days (Figure 4B)</w:t>
      </w:r>
      <w:r w:rsidR="00882ABF">
        <w:t>.</w:t>
      </w:r>
    </w:p>
    <w:p w14:paraId="7BE7A736" w14:textId="19EBD3AA" w:rsidR="00D10F91" w:rsidRDefault="00B330C0" w:rsidP="00435E5D">
      <w:pPr>
        <w:spacing w:line="480" w:lineRule="auto"/>
        <w:ind w:firstLine="720"/>
      </w:pPr>
      <w:r w:rsidRPr="007934A7">
        <w:rPr>
          <w:b/>
          <w:i/>
        </w:rPr>
        <w:t xml:space="preserve">Scleraxis deletion </w:t>
      </w:r>
      <w:r w:rsidR="003C52F0">
        <w:rPr>
          <w:b/>
          <w:i/>
        </w:rPr>
        <w:t>impacts the transcriptome of tendons and cultured tenocytes</w:t>
      </w:r>
      <w:r w:rsidR="007934A7">
        <w:rPr>
          <w:b/>
          <w:i/>
        </w:rPr>
        <w:t xml:space="preserve">. </w:t>
      </w:r>
      <w:r w:rsidR="003611F6">
        <w:t xml:space="preserve">We then performed RNA sequencing in order to </w:t>
      </w:r>
      <w:r w:rsidR="00007A3D">
        <w:t>anal</w:t>
      </w:r>
      <w:r w:rsidR="003611F6">
        <w:t>yse</w:t>
      </w:r>
      <w:r w:rsidR="00007A3D">
        <w:t xml:space="preserve"> transcriptional changes in </w:t>
      </w:r>
      <w:r w:rsidR="003C52F0">
        <w:t xml:space="preserve">overloaded </w:t>
      </w:r>
      <w:r w:rsidR="003611F6">
        <w:t xml:space="preserve">plantaris </w:t>
      </w:r>
      <w:r w:rsidR="00007A3D">
        <w:t xml:space="preserve">tendons from </w:t>
      </w:r>
      <w:proofErr w:type="spellStart"/>
      <w:r w:rsidR="00007A3D" w:rsidRPr="00635493">
        <w:rPr>
          <w:i/>
        </w:rPr>
        <w:t>Scx</w:t>
      </w:r>
      <w:proofErr w:type="spellEnd"/>
      <w:r w:rsidR="00007A3D" w:rsidRPr="00007A3D">
        <w:rPr>
          <w:vertAlign w:val="superscript"/>
        </w:rPr>
        <w:t>+</w:t>
      </w:r>
      <w:r w:rsidR="00007A3D">
        <w:t xml:space="preserve"> and </w:t>
      </w:r>
      <w:proofErr w:type="spellStart"/>
      <w:r w:rsidR="00635493" w:rsidRPr="00181E19">
        <w:rPr>
          <w:i/>
        </w:rPr>
        <w:t>Scx</w:t>
      </w:r>
      <w:r w:rsidR="00635493" w:rsidRPr="00594224">
        <w:rPr>
          <w:vertAlign w:val="superscript"/>
        </w:rPr>
        <w:t>Δ</w:t>
      </w:r>
      <w:proofErr w:type="spellEnd"/>
      <w:r w:rsidR="00635493">
        <w:t xml:space="preserve"> </w:t>
      </w:r>
      <w:r w:rsidR="00007A3D">
        <w:t>mice</w:t>
      </w:r>
      <w:r w:rsidR="003C52F0">
        <w:t>, and in tenocytes</w:t>
      </w:r>
      <w:r w:rsidR="007B58F2">
        <w:t xml:space="preserve"> cultured from tail tendons</w:t>
      </w:r>
      <w:r w:rsidR="003C52F0">
        <w:t>.</w:t>
      </w:r>
      <w:r w:rsidR="00007A3D">
        <w:t xml:space="preserve"> </w:t>
      </w:r>
      <w:r w:rsidR="007B58F2">
        <w:t xml:space="preserve">Tail tendons were selected instead of plantaris tendons, as the size is much larger, allowing us to obtain high numbers of low passage cells for experiments. </w:t>
      </w:r>
      <w:r w:rsidR="00007A3D">
        <w:t>Principal</w:t>
      </w:r>
      <w:r w:rsidR="003611F6">
        <w:t xml:space="preserve"> </w:t>
      </w:r>
      <w:r w:rsidR="00767164">
        <w:t>c</w:t>
      </w:r>
      <w:r w:rsidR="003611F6">
        <w:t xml:space="preserve">omponent </w:t>
      </w:r>
      <w:r w:rsidR="00767164">
        <w:t>a</w:t>
      </w:r>
      <w:r w:rsidR="003611F6">
        <w:t>nalys</w:t>
      </w:r>
      <w:r w:rsidR="00767164">
        <w:t>es</w:t>
      </w:r>
      <w:r w:rsidR="003611F6">
        <w:t xml:space="preserve"> </w:t>
      </w:r>
      <w:r w:rsidR="00767164">
        <w:t>demonstrated</w:t>
      </w:r>
      <w:r w:rsidR="00007A3D">
        <w:t xml:space="preserve"> </w:t>
      </w:r>
      <w:r w:rsidR="003C52F0">
        <w:t xml:space="preserve">both unique and overlapping regions for tendons of </w:t>
      </w:r>
      <w:proofErr w:type="spellStart"/>
      <w:r w:rsidR="003C52F0" w:rsidRPr="00635493">
        <w:rPr>
          <w:i/>
        </w:rPr>
        <w:t>Scx</w:t>
      </w:r>
      <w:proofErr w:type="spellEnd"/>
      <w:r w:rsidR="003C52F0" w:rsidRPr="00007A3D">
        <w:rPr>
          <w:vertAlign w:val="superscript"/>
        </w:rPr>
        <w:t>+</w:t>
      </w:r>
      <w:r w:rsidR="003C52F0">
        <w:t xml:space="preserve"> and </w:t>
      </w:r>
      <w:proofErr w:type="spellStart"/>
      <w:r w:rsidR="003C52F0" w:rsidRPr="00181E19">
        <w:rPr>
          <w:i/>
        </w:rPr>
        <w:t>Scx</w:t>
      </w:r>
      <w:r w:rsidR="003C52F0" w:rsidRPr="00594224">
        <w:rPr>
          <w:vertAlign w:val="superscript"/>
        </w:rPr>
        <w:t>Δ</w:t>
      </w:r>
      <w:proofErr w:type="spellEnd"/>
      <w:r w:rsidR="003C52F0">
        <w:t xml:space="preserve"> mice at 7 and 14 days, and all four groups were different from control, non-overloaded tendons (Figure 5A). More divergence in genotypes was observed in cultured tenocytes (Figure 5B). Seven and fourteen days after synergist ablation, t</w:t>
      </w:r>
      <w:r w:rsidR="003611F6">
        <w:t xml:space="preserve">here were 679 </w:t>
      </w:r>
      <w:r w:rsidR="003C52F0">
        <w:t xml:space="preserve">and 177 </w:t>
      </w:r>
      <w:r w:rsidR="003611F6">
        <w:t>transcripts</w:t>
      </w:r>
      <w:r w:rsidR="003C52F0">
        <w:t>, respectively,</w:t>
      </w:r>
      <w:r w:rsidR="003611F6">
        <w:t xml:space="preserve"> </w:t>
      </w:r>
      <w:r w:rsidR="003C52F0">
        <w:t xml:space="preserve">that were significantly different and at least 50% differentially regulated (Figure 5D-E). </w:t>
      </w:r>
      <w:r w:rsidR="00D10F91" w:rsidRPr="00D10F91">
        <w:rPr>
          <w:i/>
          <w:iCs/>
        </w:rPr>
        <w:t>In vitro</w:t>
      </w:r>
      <w:r w:rsidR="00D10F91">
        <w:t xml:space="preserve">, there were </w:t>
      </w:r>
      <w:r w:rsidR="00D10F91">
        <w:rPr>
          <w:color w:val="000000" w:themeColor="text1"/>
        </w:rPr>
        <w:t xml:space="preserve">680 genes </w:t>
      </w:r>
      <w:r w:rsidR="006B264B">
        <w:t>that were</w:t>
      </w:r>
      <w:r w:rsidR="00D10F91">
        <w:t xml:space="preserve"> significantly different between </w:t>
      </w:r>
      <w:proofErr w:type="spellStart"/>
      <w:r w:rsidR="00D10F91" w:rsidRPr="00435075">
        <w:rPr>
          <w:i/>
        </w:rPr>
        <w:t>Scx</w:t>
      </w:r>
      <w:proofErr w:type="spellEnd"/>
      <w:r w:rsidR="00D10F91" w:rsidRPr="00007A3D">
        <w:rPr>
          <w:vertAlign w:val="superscript"/>
        </w:rPr>
        <w:t>+</w:t>
      </w:r>
      <w:r w:rsidR="00D10F91">
        <w:t xml:space="preserve"> and </w:t>
      </w:r>
      <w:proofErr w:type="spellStart"/>
      <w:r w:rsidR="00D10F91" w:rsidRPr="00435075">
        <w:rPr>
          <w:i/>
        </w:rPr>
        <w:t>Scx</w:t>
      </w:r>
      <w:r w:rsidR="00D10F91" w:rsidRPr="00594224">
        <w:rPr>
          <w:vertAlign w:val="superscript"/>
        </w:rPr>
        <w:t>Δ</w:t>
      </w:r>
      <w:proofErr w:type="spellEnd"/>
      <w:r w:rsidR="00D10F91">
        <w:t xml:space="preserve"> </w:t>
      </w:r>
      <w:r w:rsidR="00D10F91">
        <w:rPr>
          <w:color w:val="000000" w:themeColor="text1"/>
        </w:rPr>
        <w:t>tenocytes</w:t>
      </w:r>
      <w:r w:rsidR="00D10F91">
        <w:t xml:space="preserve"> (Figure 5F)</w:t>
      </w:r>
      <w:r w:rsidR="003C52F0">
        <w:t xml:space="preserve">. </w:t>
      </w:r>
    </w:p>
    <w:p w14:paraId="0106C7FE" w14:textId="77777777" w:rsidR="001A324D" w:rsidRDefault="00D10F91" w:rsidP="00D10F91">
      <w:pPr>
        <w:spacing w:line="480" w:lineRule="auto"/>
        <w:ind w:firstLine="720"/>
      </w:pPr>
      <w:r>
        <w:t xml:space="preserve">Pathway enrichment analysis was performed for both experiments to determine signaling pathways predicted to be different between groups (Table 1). Several of the pathways identified were involved with growth and differentiation, cytoskeletal signaling, and ECM production. Based on these findings, and from genes that are known to be important for tenocyte proliferation and </w:t>
      </w:r>
      <w:proofErr w:type="spellStart"/>
      <w:r>
        <w:t>tenogenesis</w:t>
      </w:r>
      <w:proofErr w:type="spellEnd"/>
      <w:r>
        <w:t>, we selected several genes for reporting in the manuscript</w:t>
      </w:r>
      <w:r w:rsidR="0042789C">
        <w:t xml:space="preserve">, with the full dataset available on NIH GEO. </w:t>
      </w:r>
      <w:r w:rsidR="001A324D">
        <w:t xml:space="preserve">We also performed qPCR validation for a select set of genes </w:t>
      </w:r>
      <w:r w:rsidR="001A324D">
        <w:lastRenderedPageBreak/>
        <w:t xml:space="preserve">of interest identified from RNAseq data, and generally observed similar patterns of fold change differences between tendons of </w:t>
      </w:r>
      <w:proofErr w:type="spellStart"/>
      <w:r w:rsidR="001A324D" w:rsidRPr="00435075">
        <w:rPr>
          <w:i/>
        </w:rPr>
        <w:t>Scx</w:t>
      </w:r>
      <w:proofErr w:type="spellEnd"/>
      <w:r w:rsidR="001A324D">
        <w:rPr>
          <w:vertAlign w:val="superscript"/>
        </w:rPr>
        <w:t>+</w:t>
      </w:r>
      <w:r w:rsidR="001A324D">
        <w:rPr>
          <w:color w:val="000000" w:themeColor="text1"/>
        </w:rPr>
        <w:t xml:space="preserve"> and </w:t>
      </w:r>
      <w:proofErr w:type="spellStart"/>
      <w:r w:rsidR="001A324D" w:rsidRPr="00435075">
        <w:rPr>
          <w:i/>
        </w:rPr>
        <w:t>Scx</w:t>
      </w:r>
      <w:r w:rsidR="001A324D" w:rsidRPr="00594224">
        <w:rPr>
          <w:vertAlign w:val="superscript"/>
        </w:rPr>
        <w:t>Δ</w:t>
      </w:r>
      <w:proofErr w:type="spellEnd"/>
      <w:r w:rsidR="001A324D">
        <w:rPr>
          <w:color w:val="000000" w:themeColor="text1"/>
        </w:rPr>
        <w:t xml:space="preserve"> mice (Table 2). M</w:t>
      </w:r>
      <w:r>
        <w:t xml:space="preserve">any genes in the whole tendon RNAseq data were </w:t>
      </w:r>
      <w:r w:rsidR="001A324D">
        <w:t xml:space="preserve">also </w:t>
      </w:r>
      <w:r>
        <w:t xml:space="preserve">differently expressed in the </w:t>
      </w:r>
      <w:r w:rsidR="0042789C" w:rsidRPr="0042789C">
        <w:rPr>
          <w:iCs/>
        </w:rPr>
        <w:t>cultured cells</w:t>
      </w:r>
      <w:r w:rsidRPr="00550EAD">
        <w:t xml:space="preserve">. </w:t>
      </w:r>
    </w:p>
    <w:p w14:paraId="7C331B09" w14:textId="77777777" w:rsidR="00112A30" w:rsidRDefault="00D10F91" w:rsidP="00D10F91">
      <w:pPr>
        <w:spacing w:line="480" w:lineRule="auto"/>
        <w:ind w:firstLine="720"/>
      </w:pPr>
      <w:r>
        <w:t xml:space="preserve">Expression of components or regulators of the ECM, including </w:t>
      </w:r>
      <w:r w:rsidR="00911958">
        <w:t xml:space="preserve">the </w:t>
      </w:r>
      <w:r>
        <w:t xml:space="preserve">collagens </w:t>
      </w:r>
      <w:r w:rsidRPr="00AC1813">
        <w:rPr>
          <w:i/>
        </w:rPr>
        <w:t>Col1a1</w:t>
      </w:r>
      <w:r>
        <w:t xml:space="preserve">, </w:t>
      </w:r>
      <w:r w:rsidRPr="00AC1813">
        <w:rPr>
          <w:i/>
        </w:rPr>
        <w:t>Col1a2</w:t>
      </w:r>
      <w:r>
        <w:t xml:space="preserve">, </w:t>
      </w:r>
      <w:r w:rsidRPr="00AC1813">
        <w:rPr>
          <w:i/>
        </w:rPr>
        <w:t>Col11a1</w:t>
      </w:r>
      <w:r>
        <w:t>,</w:t>
      </w:r>
      <w:r w:rsidR="00911958">
        <w:t xml:space="preserve"> and</w:t>
      </w:r>
      <w:r>
        <w:t xml:space="preserve"> </w:t>
      </w:r>
      <w:r w:rsidRPr="00AC1813">
        <w:rPr>
          <w:i/>
        </w:rPr>
        <w:t>Col12a</w:t>
      </w:r>
      <w:r>
        <w:t>, s</w:t>
      </w:r>
      <w:r w:rsidRPr="00AE0033">
        <w:t>mall leucine-rich proteoglycans</w:t>
      </w:r>
      <w:r>
        <w:t xml:space="preserve"> </w:t>
      </w:r>
      <w:proofErr w:type="spellStart"/>
      <w:r w:rsidRPr="00AC1813">
        <w:rPr>
          <w:i/>
        </w:rPr>
        <w:t>Aspn</w:t>
      </w:r>
      <w:proofErr w:type="spellEnd"/>
      <w:r>
        <w:t xml:space="preserve">, </w:t>
      </w:r>
      <w:r w:rsidRPr="00AC1813">
        <w:rPr>
          <w:i/>
        </w:rPr>
        <w:t>Dcn</w:t>
      </w:r>
      <w:r>
        <w:t xml:space="preserve">, </w:t>
      </w:r>
      <w:proofErr w:type="spellStart"/>
      <w:r w:rsidRPr="00AC1813">
        <w:rPr>
          <w:i/>
        </w:rPr>
        <w:t>Fmod</w:t>
      </w:r>
      <w:proofErr w:type="spellEnd"/>
      <w:r>
        <w:t>,</w:t>
      </w:r>
      <w:r w:rsidR="00911958">
        <w:t xml:space="preserve"> and</w:t>
      </w:r>
      <w:r>
        <w:t xml:space="preserve"> </w:t>
      </w:r>
      <w:proofErr w:type="spellStart"/>
      <w:r w:rsidRPr="00AC1813">
        <w:rPr>
          <w:i/>
        </w:rPr>
        <w:t>Omd</w:t>
      </w:r>
      <w:proofErr w:type="spellEnd"/>
      <w:r>
        <w:t xml:space="preserve">, </w:t>
      </w:r>
      <w:r w:rsidR="00911958">
        <w:t>and proteases</w:t>
      </w:r>
      <w:r>
        <w:t xml:space="preserve"> </w:t>
      </w:r>
      <w:r w:rsidR="00911958">
        <w:rPr>
          <w:i/>
        </w:rPr>
        <w:t>Adam12</w:t>
      </w:r>
      <w:r w:rsidR="00112A30">
        <w:t xml:space="preserve"> and </w:t>
      </w:r>
      <w:r w:rsidR="00911958" w:rsidRPr="00911958">
        <w:rPr>
          <w:i/>
          <w:iCs/>
        </w:rPr>
        <w:t>Adam23</w:t>
      </w:r>
      <w:r>
        <w:t xml:space="preserve"> were </w:t>
      </w:r>
      <w:r w:rsidR="00911958">
        <w:t xml:space="preserve">downregulated </w:t>
      </w:r>
      <w:r w:rsidR="00112A30">
        <w:t xml:space="preserve">in </w:t>
      </w:r>
      <w:proofErr w:type="spellStart"/>
      <w:r w:rsidR="00112A30" w:rsidRPr="00435075">
        <w:rPr>
          <w:i/>
        </w:rPr>
        <w:t>Scx</w:t>
      </w:r>
      <w:r w:rsidR="00112A30" w:rsidRPr="00594224">
        <w:rPr>
          <w:vertAlign w:val="superscript"/>
        </w:rPr>
        <w:t>Δ</w:t>
      </w:r>
      <w:proofErr w:type="spellEnd"/>
      <w:r w:rsidR="00112A30">
        <w:t xml:space="preserve"> whole tendons and cultured tenocytes</w:t>
      </w:r>
      <w:r w:rsidR="001A324D">
        <w:t>, while s</w:t>
      </w:r>
      <w:r w:rsidR="00112A30">
        <w:t xml:space="preserve">ome </w:t>
      </w:r>
      <w:r w:rsidR="000B5D01">
        <w:t>matrix degradation genes</w:t>
      </w:r>
      <w:r w:rsidR="00112A30">
        <w:t xml:space="preserve">, </w:t>
      </w:r>
      <w:r w:rsidR="001A324D">
        <w:t xml:space="preserve">such </w:t>
      </w:r>
      <w:r w:rsidR="000B5D01">
        <w:t xml:space="preserve">as </w:t>
      </w:r>
      <w:r w:rsidR="000B5D01" w:rsidRPr="000B5D01">
        <w:rPr>
          <w:i/>
          <w:iCs/>
        </w:rPr>
        <w:t>Mmp10</w:t>
      </w:r>
      <w:r w:rsidR="000B5D01">
        <w:t xml:space="preserve"> and </w:t>
      </w:r>
      <w:r w:rsidR="000B5D01" w:rsidRPr="000B5D01">
        <w:rPr>
          <w:i/>
          <w:iCs/>
        </w:rPr>
        <w:t>Mmp12</w:t>
      </w:r>
      <w:r w:rsidR="00112A30">
        <w:t xml:space="preserve">, were upregulated </w:t>
      </w:r>
      <w:r w:rsidR="001A324D">
        <w:t>(Figure 5G)</w:t>
      </w:r>
      <w:r w:rsidR="000B5D01">
        <w:t xml:space="preserve">. </w:t>
      </w:r>
      <w:r w:rsidR="001A324D">
        <w:t>There were also</w:t>
      </w:r>
      <w:r w:rsidR="00112A30">
        <w:t xml:space="preserve"> genes like </w:t>
      </w:r>
      <w:r w:rsidR="00112A30" w:rsidRPr="00112A30">
        <w:rPr>
          <w:i/>
          <w:iCs/>
        </w:rPr>
        <w:t>Col23a1</w:t>
      </w:r>
      <w:r w:rsidR="00112A30">
        <w:t xml:space="preserve">, </w:t>
      </w:r>
      <w:r w:rsidR="00112A30" w:rsidRPr="00112A30">
        <w:rPr>
          <w:i/>
          <w:iCs/>
        </w:rPr>
        <w:t>Mgp</w:t>
      </w:r>
      <w:r w:rsidR="00112A30">
        <w:t xml:space="preserve">, </w:t>
      </w:r>
      <w:r w:rsidR="00112A30" w:rsidRPr="00112A30">
        <w:rPr>
          <w:i/>
          <w:iCs/>
        </w:rPr>
        <w:t>Mmp14</w:t>
      </w:r>
      <w:r w:rsidR="00112A30">
        <w:t xml:space="preserve"> </w:t>
      </w:r>
      <w:r w:rsidR="001A324D">
        <w:t>and</w:t>
      </w:r>
      <w:r w:rsidR="00112A30">
        <w:t xml:space="preserve"> </w:t>
      </w:r>
      <w:r w:rsidR="00112A30" w:rsidRPr="00112A30">
        <w:rPr>
          <w:i/>
          <w:iCs/>
        </w:rPr>
        <w:t>Smoc2</w:t>
      </w:r>
      <w:r w:rsidR="00112A30">
        <w:t xml:space="preserve"> </w:t>
      </w:r>
      <w:r w:rsidR="001A324D">
        <w:t xml:space="preserve">that displayed differential expression patterns between whole tendons and cultured tenocytes (Figure 5G). </w:t>
      </w:r>
    </w:p>
    <w:p w14:paraId="4FA11837" w14:textId="77777777" w:rsidR="001A324D" w:rsidRDefault="00D10F91" w:rsidP="001A324D">
      <w:pPr>
        <w:spacing w:line="480" w:lineRule="auto"/>
        <w:ind w:firstLine="720"/>
      </w:pPr>
      <w:r>
        <w:t xml:space="preserve">Genes involved in cell </w:t>
      </w:r>
      <w:r w:rsidRPr="00E75CF7">
        <w:rPr>
          <w:color w:val="000000" w:themeColor="text1"/>
        </w:rPr>
        <w:t xml:space="preserve">proliferation and migration were </w:t>
      </w:r>
      <w:r>
        <w:t>different between genotypes mostly at the 7D time point (Figure 5H).</w:t>
      </w:r>
      <w:r w:rsidRPr="0080007B">
        <w:t xml:space="preserve"> </w:t>
      </w:r>
      <w:r>
        <w:t xml:space="preserve">Many cyclins and cyclin </w:t>
      </w:r>
      <w:r w:rsidR="00112A30">
        <w:t>dependent</w:t>
      </w:r>
      <w:r>
        <w:t xml:space="preserve"> kinases</w:t>
      </w:r>
      <w:r w:rsidR="0042789C">
        <w:t>, such as</w:t>
      </w:r>
      <w:r>
        <w:t xml:space="preserve"> </w:t>
      </w:r>
      <w:r w:rsidRPr="00D11979">
        <w:rPr>
          <w:i/>
        </w:rPr>
        <w:t>Ccna2</w:t>
      </w:r>
      <w:r>
        <w:t xml:space="preserve">, and </w:t>
      </w:r>
      <w:r w:rsidRPr="00D11979">
        <w:rPr>
          <w:i/>
        </w:rPr>
        <w:t>Cdk1</w:t>
      </w:r>
      <w:r>
        <w:t xml:space="preserve">, </w:t>
      </w:r>
      <w:r w:rsidRPr="00D11979">
        <w:rPr>
          <w:i/>
        </w:rPr>
        <w:t>2</w:t>
      </w:r>
      <w:r>
        <w:t xml:space="preserve"> and </w:t>
      </w:r>
      <w:r w:rsidRPr="00D11979">
        <w:rPr>
          <w:i/>
        </w:rPr>
        <w:t>6</w:t>
      </w:r>
      <w:r w:rsidR="001A324D">
        <w:rPr>
          <w:iCs/>
        </w:rPr>
        <w:t xml:space="preserve">, as well as the cell proliferation marker </w:t>
      </w:r>
      <w:r w:rsidR="001A324D" w:rsidRPr="001A324D">
        <w:rPr>
          <w:i/>
        </w:rPr>
        <w:t>Mki67</w:t>
      </w:r>
      <w:r w:rsidR="001A324D">
        <w:rPr>
          <w:iCs/>
        </w:rPr>
        <w:t>,</w:t>
      </w:r>
      <w:r>
        <w:t xml:space="preserve"> were </w:t>
      </w:r>
      <w:r w:rsidR="0042789C">
        <w:t xml:space="preserve">significantly </w:t>
      </w:r>
      <w:r>
        <w:t xml:space="preserve">downregulated in the cultured </w:t>
      </w:r>
      <w:proofErr w:type="spellStart"/>
      <w:r w:rsidRPr="00435075">
        <w:rPr>
          <w:i/>
        </w:rPr>
        <w:t>Scx</w:t>
      </w:r>
      <w:r w:rsidRPr="00594224">
        <w:rPr>
          <w:vertAlign w:val="superscript"/>
        </w:rPr>
        <w:t>Δ</w:t>
      </w:r>
      <w:proofErr w:type="spellEnd"/>
      <w:r>
        <w:t xml:space="preserve"> tenocytes compared to </w:t>
      </w:r>
      <w:proofErr w:type="spellStart"/>
      <w:r w:rsidRPr="00435075">
        <w:rPr>
          <w:i/>
        </w:rPr>
        <w:t>Scx</w:t>
      </w:r>
      <w:proofErr w:type="spellEnd"/>
      <w:r w:rsidRPr="000642F2">
        <w:rPr>
          <w:vertAlign w:val="superscript"/>
        </w:rPr>
        <w:t>+</w:t>
      </w:r>
      <w:r>
        <w:t xml:space="preserve"> tenocytes, </w:t>
      </w:r>
      <w:r w:rsidR="0042789C">
        <w:t xml:space="preserve">with similar </w:t>
      </w:r>
      <w:r w:rsidR="001A324D">
        <w:t>patterns in</w:t>
      </w:r>
      <w:r w:rsidR="0042789C">
        <w:t xml:space="preserve"> whole tendon data </w:t>
      </w:r>
      <w:r>
        <w:t xml:space="preserve">(Figure 5H). </w:t>
      </w:r>
      <w:r w:rsidR="0042789C">
        <w:t xml:space="preserve">Consistent with this, cell proliferation as measured with </w:t>
      </w:r>
      <w:proofErr w:type="spellStart"/>
      <w:r w:rsidR="0042789C">
        <w:t>BrdU</w:t>
      </w:r>
      <w:proofErr w:type="spellEnd"/>
      <w:r w:rsidR="0042789C">
        <w:t xml:space="preserve"> incorporation, was reduced by 44% in </w:t>
      </w:r>
      <w:proofErr w:type="spellStart"/>
      <w:r w:rsidR="0042789C" w:rsidRPr="00435075">
        <w:rPr>
          <w:i/>
        </w:rPr>
        <w:t>Scx</w:t>
      </w:r>
      <w:r w:rsidR="0042789C" w:rsidRPr="00594224">
        <w:rPr>
          <w:vertAlign w:val="superscript"/>
        </w:rPr>
        <w:t>Δ</w:t>
      </w:r>
      <w:proofErr w:type="spellEnd"/>
      <w:r w:rsidR="0042789C">
        <w:t xml:space="preserve"> tenocytes compared to </w:t>
      </w:r>
      <w:proofErr w:type="spellStart"/>
      <w:r w:rsidR="0042789C" w:rsidRPr="00435075">
        <w:rPr>
          <w:i/>
        </w:rPr>
        <w:t>Scx</w:t>
      </w:r>
      <w:proofErr w:type="spellEnd"/>
      <w:r w:rsidR="0042789C" w:rsidRPr="000642F2">
        <w:rPr>
          <w:vertAlign w:val="superscript"/>
        </w:rPr>
        <w:t>+</w:t>
      </w:r>
      <w:r w:rsidR="0042789C">
        <w:t xml:space="preserve"> tenocytes</w:t>
      </w:r>
      <w:r w:rsidR="006F71F1">
        <w:t xml:space="preserve"> (Figure 5C)</w:t>
      </w:r>
      <w:r w:rsidR="0042789C">
        <w:t xml:space="preserve">. </w:t>
      </w:r>
      <w:r w:rsidR="006F71F1">
        <w:t xml:space="preserve">Several growth factors and signaling molecules were also reduced in </w:t>
      </w:r>
      <w:proofErr w:type="spellStart"/>
      <w:r w:rsidR="006F71F1" w:rsidRPr="00435075">
        <w:rPr>
          <w:i/>
        </w:rPr>
        <w:t>Scx</w:t>
      </w:r>
      <w:r w:rsidR="006F71F1" w:rsidRPr="00594224">
        <w:rPr>
          <w:vertAlign w:val="superscript"/>
        </w:rPr>
        <w:t>Δ</w:t>
      </w:r>
      <w:proofErr w:type="spellEnd"/>
      <w:r w:rsidR="006F71F1">
        <w:t xml:space="preserve"> tendons and cells, including </w:t>
      </w:r>
      <w:r w:rsidRPr="00CF1AD4">
        <w:rPr>
          <w:i/>
        </w:rPr>
        <w:t>Igf1</w:t>
      </w:r>
      <w:r>
        <w:t xml:space="preserve">, </w:t>
      </w:r>
      <w:proofErr w:type="spellStart"/>
      <w:r>
        <w:rPr>
          <w:i/>
        </w:rPr>
        <w:t>Pdgfrl</w:t>
      </w:r>
      <w:proofErr w:type="spellEnd"/>
      <w:r w:rsidR="001A324D">
        <w:t>,</w:t>
      </w:r>
      <w:r w:rsidRPr="00550EAD">
        <w:t xml:space="preserve"> </w:t>
      </w:r>
      <w:r w:rsidR="006F71F1">
        <w:rPr>
          <w:i/>
        </w:rPr>
        <w:t>Tgfb2</w:t>
      </w:r>
      <w:r w:rsidR="006F71F1" w:rsidRPr="001A324D">
        <w:rPr>
          <w:iCs/>
        </w:rPr>
        <w:t>,</w:t>
      </w:r>
      <w:r w:rsidR="001A324D" w:rsidRPr="001A324D">
        <w:rPr>
          <w:iCs/>
        </w:rPr>
        <w:t xml:space="preserve"> and</w:t>
      </w:r>
      <w:r w:rsidR="006F71F1">
        <w:rPr>
          <w:i/>
        </w:rPr>
        <w:t xml:space="preserve"> </w:t>
      </w:r>
      <w:r>
        <w:rPr>
          <w:i/>
        </w:rPr>
        <w:t>Tgfb3</w:t>
      </w:r>
      <w:r w:rsidRPr="00550EAD">
        <w:t xml:space="preserve"> </w:t>
      </w:r>
      <w:r>
        <w:t xml:space="preserve">(Figure </w:t>
      </w:r>
      <w:r w:rsidR="00AB63DA">
        <w:t>5</w:t>
      </w:r>
      <w:r>
        <w:t>I).</w:t>
      </w:r>
    </w:p>
    <w:p w14:paraId="722AC33B" w14:textId="19CEF1F9" w:rsidR="00AB63DA" w:rsidRDefault="001A324D" w:rsidP="001A324D">
      <w:pPr>
        <w:spacing w:line="480" w:lineRule="auto"/>
      </w:pPr>
      <w:r>
        <w:tab/>
      </w:r>
      <w:r w:rsidR="00AB63DA">
        <w:rPr>
          <w:b/>
          <w:i/>
        </w:rPr>
        <w:t>S</w:t>
      </w:r>
      <w:r w:rsidR="000E1BF0" w:rsidRPr="007934A7">
        <w:rPr>
          <w:b/>
          <w:i/>
        </w:rPr>
        <w:t xml:space="preserve">cleraxis </w:t>
      </w:r>
      <w:r w:rsidR="00AB63DA">
        <w:rPr>
          <w:b/>
          <w:i/>
        </w:rPr>
        <w:t xml:space="preserve">deletion reduces the ability of pericytes to </w:t>
      </w:r>
      <w:r w:rsidR="00BE5851">
        <w:rPr>
          <w:b/>
          <w:i/>
        </w:rPr>
        <w:t>commit to the tenogenic lineage</w:t>
      </w:r>
      <w:r w:rsidR="00AB63DA">
        <w:rPr>
          <w:b/>
          <w:i/>
        </w:rPr>
        <w:t xml:space="preserve">. </w:t>
      </w:r>
      <w:r w:rsidR="00AB63DA">
        <w:t>As</w:t>
      </w:r>
      <w:r w:rsidR="009C2037">
        <w:t xml:space="preserve"> we </w:t>
      </w:r>
      <w:r w:rsidR="00AB63DA">
        <w:t>observed</w:t>
      </w:r>
      <w:r w:rsidR="009C2037">
        <w:t xml:space="preserve"> an accumulation of CD146</w:t>
      </w:r>
      <w:r w:rsidR="009C2037" w:rsidRPr="009C2037">
        <w:rPr>
          <w:vertAlign w:val="superscript"/>
        </w:rPr>
        <w:t>+</w:t>
      </w:r>
      <w:r w:rsidR="009C2037">
        <w:t xml:space="preserve"> pericytes in the neotendon of </w:t>
      </w:r>
      <w:proofErr w:type="spellStart"/>
      <w:r w:rsidR="009C2037" w:rsidRPr="00435075">
        <w:rPr>
          <w:i/>
        </w:rPr>
        <w:t>Scx</w:t>
      </w:r>
      <w:r w:rsidR="009C2037" w:rsidRPr="00594224">
        <w:rPr>
          <w:vertAlign w:val="superscript"/>
        </w:rPr>
        <w:t>Δ</w:t>
      </w:r>
      <w:proofErr w:type="spellEnd"/>
      <w:r w:rsidR="009C2037">
        <w:rPr>
          <w:vertAlign w:val="superscript"/>
        </w:rPr>
        <w:t xml:space="preserve"> </w:t>
      </w:r>
      <w:r w:rsidR="009C2037">
        <w:t xml:space="preserve">mice compared to </w:t>
      </w:r>
      <w:proofErr w:type="spellStart"/>
      <w:r w:rsidR="009C2037" w:rsidRPr="00435075">
        <w:rPr>
          <w:i/>
        </w:rPr>
        <w:t>Scx</w:t>
      </w:r>
      <w:proofErr w:type="spellEnd"/>
      <w:r w:rsidR="009C2037">
        <w:rPr>
          <w:vertAlign w:val="superscript"/>
        </w:rPr>
        <w:t>+</w:t>
      </w:r>
      <w:r w:rsidR="009C2037" w:rsidRPr="009C2037">
        <w:t xml:space="preserve"> </w:t>
      </w:r>
      <w:r w:rsidR="009C2037">
        <w:t xml:space="preserve">mice, we </w:t>
      </w:r>
      <w:r w:rsidR="00AB63DA">
        <w:t>sought to evaluate</w:t>
      </w:r>
      <w:r w:rsidR="009C2037" w:rsidRPr="009C2037">
        <w:t xml:space="preserve"> the effect of scleraxis de</w:t>
      </w:r>
      <w:r>
        <w:t>l</w:t>
      </w:r>
      <w:r w:rsidR="009C2037" w:rsidRPr="009C2037">
        <w:t xml:space="preserve">etion on </w:t>
      </w:r>
      <w:r w:rsidR="00BE5851">
        <w:t xml:space="preserve">the commitment of </w:t>
      </w:r>
      <w:r w:rsidR="009C2037" w:rsidRPr="009C2037">
        <w:t>pericyte</w:t>
      </w:r>
      <w:r w:rsidR="009C2037">
        <w:t>s</w:t>
      </w:r>
      <w:r w:rsidR="00AB63DA">
        <w:t xml:space="preserve"> </w:t>
      </w:r>
      <w:r w:rsidR="00BE5851">
        <w:t>to the tenogenic lineage</w:t>
      </w:r>
      <w:r w:rsidR="00C53453">
        <w:t xml:space="preserve"> </w:t>
      </w:r>
      <w:r w:rsidR="00C53453" w:rsidRPr="00BB77CA">
        <w:rPr>
          <w:i/>
        </w:rPr>
        <w:t>in vitro</w:t>
      </w:r>
      <w:r w:rsidR="009C2037" w:rsidRPr="00BB77CA">
        <w:t>.</w:t>
      </w:r>
      <w:r w:rsidR="00C53453" w:rsidRPr="00BB77CA">
        <w:t xml:space="preserve"> </w:t>
      </w:r>
      <w:r w:rsidR="00AB63DA">
        <w:t>We first wanted to identify culture conditions that would result in pericyte differentiation into tenocytes</w:t>
      </w:r>
      <w:r w:rsidR="000B4CEB">
        <w:t>. We</w:t>
      </w:r>
      <w:r w:rsidR="00AB63DA">
        <w:t xml:space="preserve"> found that culturing pericytes</w:t>
      </w:r>
      <w:r w:rsidR="007B58F2">
        <w:t xml:space="preserve"> from </w:t>
      </w:r>
      <w:r w:rsidR="00AB63DA">
        <w:t xml:space="preserve">on type I collagen coated plates, </w:t>
      </w:r>
      <w:r w:rsidR="000B4CEB">
        <w:t xml:space="preserve">which is similar to the mature tendon matrix, induced morphological </w:t>
      </w:r>
      <w:r w:rsidR="000B4CEB">
        <w:lastRenderedPageBreak/>
        <w:t xml:space="preserve">changes in cells to make them appear like tenocytes and express </w:t>
      </w:r>
      <w:r w:rsidR="000B4CEB" w:rsidRPr="00AB63DA">
        <w:rPr>
          <w:i/>
          <w:iCs/>
        </w:rPr>
        <w:t>Col1a1</w:t>
      </w:r>
      <w:r w:rsidR="000B4CEB">
        <w:t xml:space="preserve">, </w:t>
      </w:r>
      <w:proofErr w:type="spellStart"/>
      <w:r w:rsidR="000B4CEB" w:rsidRPr="00AB63DA">
        <w:rPr>
          <w:i/>
          <w:iCs/>
        </w:rPr>
        <w:t>Mkx</w:t>
      </w:r>
      <w:proofErr w:type="spellEnd"/>
      <w:r w:rsidR="000B4CEB">
        <w:t xml:space="preserve">, </w:t>
      </w:r>
      <w:proofErr w:type="spellStart"/>
      <w:r w:rsidR="000B4CEB" w:rsidRPr="00AB63DA">
        <w:rPr>
          <w:i/>
          <w:iCs/>
        </w:rPr>
        <w:t>Scx</w:t>
      </w:r>
      <w:proofErr w:type="spellEnd"/>
      <w:r w:rsidR="000B4CEB">
        <w:t xml:space="preserve">, and </w:t>
      </w:r>
      <w:proofErr w:type="spellStart"/>
      <w:r w:rsidR="000B4CEB" w:rsidRPr="00AB63DA">
        <w:rPr>
          <w:i/>
          <w:iCs/>
        </w:rPr>
        <w:t>Tnmd</w:t>
      </w:r>
      <w:proofErr w:type="spellEnd"/>
      <w:r w:rsidR="000B4CEB">
        <w:t xml:space="preserve"> (Supplemental Figure 2A-B). However, culturing pericytes on </w:t>
      </w:r>
      <w:r w:rsidR="00AB63DA">
        <w:t>tissue culture plastic alone</w:t>
      </w:r>
      <w:r w:rsidR="000B4CEB">
        <w:t>,</w:t>
      </w:r>
      <w:r w:rsidR="00AB63DA">
        <w:t xml:space="preserve"> or </w:t>
      </w:r>
      <w:r w:rsidR="000B4CEB">
        <w:t>on</w:t>
      </w:r>
      <w:r w:rsidR="00AB63DA">
        <w:t xml:space="preserve"> </w:t>
      </w:r>
      <w:r w:rsidR="000B4CEB">
        <w:t xml:space="preserve">basement membrane-derived </w:t>
      </w:r>
      <w:r w:rsidR="00AB63DA">
        <w:t>Matrigel,</w:t>
      </w:r>
      <w:r w:rsidR="000B4CEB">
        <w:t xml:space="preserve"> which is similar to the perivascular matrix of tendon, did not induce markers of </w:t>
      </w:r>
      <w:proofErr w:type="spellStart"/>
      <w:r w:rsidR="000B4CEB">
        <w:t>tenogenesis</w:t>
      </w:r>
      <w:proofErr w:type="spellEnd"/>
      <w:r w:rsidR="000B4CEB">
        <w:t xml:space="preserve"> (Supplemental Figure 2A-B).</w:t>
      </w:r>
      <w:r w:rsidR="00AB63DA">
        <w:t xml:space="preserve"> </w:t>
      </w:r>
    </w:p>
    <w:p w14:paraId="6D9092AF" w14:textId="77777777" w:rsidR="009C2037" w:rsidRPr="001A324D" w:rsidRDefault="00AB63DA" w:rsidP="001A324D">
      <w:pPr>
        <w:spacing w:line="480" w:lineRule="auto"/>
      </w:pPr>
      <w:r>
        <w:tab/>
        <w:t xml:space="preserve">After establishing that pericytes isolated from tendons and placed on type I collagen </w:t>
      </w:r>
      <w:r w:rsidR="00966F1C">
        <w:t>appear to enter the tenogenic lineage</w:t>
      </w:r>
      <w:r>
        <w:t xml:space="preserve">, </w:t>
      </w:r>
      <w:r w:rsidR="00966F1C">
        <w:t>we sought to determine how the deletion of scleraxis would impact this process.</w:t>
      </w:r>
      <w:r>
        <w:t xml:space="preserve"> </w:t>
      </w:r>
      <w:proofErr w:type="spellStart"/>
      <w:r w:rsidR="004D6B9B" w:rsidRPr="00435075">
        <w:rPr>
          <w:i/>
        </w:rPr>
        <w:t>Scx</w:t>
      </w:r>
      <w:proofErr w:type="spellEnd"/>
      <w:r w:rsidR="004D6B9B">
        <w:rPr>
          <w:vertAlign w:val="superscript"/>
        </w:rPr>
        <w:t xml:space="preserve">+ </w:t>
      </w:r>
      <w:r w:rsidR="004D6B9B">
        <w:t xml:space="preserve">and </w:t>
      </w:r>
      <w:proofErr w:type="spellStart"/>
      <w:r w:rsidR="004D6B9B" w:rsidRPr="00BB77CA">
        <w:rPr>
          <w:i/>
        </w:rPr>
        <w:t>Scx</w:t>
      </w:r>
      <w:r w:rsidR="004D6B9B" w:rsidRPr="00594224">
        <w:rPr>
          <w:vertAlign w:val="superscript"/>
        </w:rPr>
        <w:t>Δ</w:t>
      </w:r>
      <w:proofErr w:type="spellEnd"/>
      <w:r w:rsidR="0096086A">
        <w:t xml:space="preserve"> CD146</w:t>
      </w:r>
      <w:r w:rsidR="0096086A">
        <w:rPr>
          <w:vertAlign w:val="superscript"/>
        </w:rPr>
        <w:t>+</w:t>
      </w:r>
      <w:r w:rsidR="0096086A">
        <w:t xml:space="preserve"> p</w:t>
      </w:r>
      <w:r w:rsidR="004D6B9B">
        <w:t xml:space="preserve">ericytes </w:t>
      </w:r>
      <w:r w:rsidR="00935BCF">
        <w:t xml:space="preserve">were cultured </w:t>
      </w:r>
      <w:r w:rsidR="004D6B9B">
        <w:t xml:space="preserve">on type I collagen </w:t>
      </w:r>
      <w:r w:rsidR="00935BCF">
        <w:t>substrates</w:t>
      </w:r>
      <w:r w:rsidR="004D6B9B">
        <w:t xml:space="preserve"> for 1, 3 and 5 days</w:t>
      </w:r>
      <w:r w:rsidR="004C62EE">
        <w:t>,</w:t>
      </w:r>
      <w:r w:rsidR="004D6B9B">
        <w:t xml:space="preserve"> and qPCR</w:t>
      </w:r>
      <w:r w:rsidR="00C53453">
        <w:t xml:space="preserve"> </w:t>
      </w:r>
      <w:r w:rsidR="00935BCF">
        <w:t xml:space="preserve">was performed </w:t>
      </w:r>
      <w:r w:rsidR="00C53453">
        <w:t xml:space="preserve">(Figure </w:t>
      </w:r>
      <w:r w:rsidR="00AC1813">
        <w:t>6</w:t>
      </w:r>
      <w:r w:rsidR="00C53453">
        <w:t>)</w:t>
      </w:r>
      <w:r w:rsidR="004D6B9B">
        <w:t xml:space="preserve">. As expected, </w:t>
      </w:r>
      <w:proofErr w:type="spellStart"/>
      <w:r w:rsidR="004D6B9B" w:rsidRPr="004D6B9B">
        <w:rPr>
          <w:i/>
        </w:rPr>
        <w:t>Scx</w:t>
      </w:r>
      <w:proofErr w:type="spellEnd"/>
      <w:r w:rsidR="004D6B9B">
        <w:t xml:space="preserve"> was undetectable in the </w:t>
      </w:r>
      <w:proofErr w:type="spellStart"/>
      <w:r w:rsidR="004D6B9B" w:rsidRPr="00435075">
        <w:rPr>
          <w:i/>
        </w:rPr>
        <w:t>Scx</w:t>
      </w:r>
      <w:r w:rsidR="004D6B9B" w:rsidRPr="00594224">
        <w:rPr>
          <w:vertAlign w:val="superscript"/>
        </w:rPr>
        <w:t>Δ</w:t>
      </w:r>
      <w:proofErr w:type="spellEnd"/>
      <w:r w:rsidR="004D6B9B" w:rsidRPr="004D6B9B">
        <w:t xml:space="preserve"> </w:t>
      </w:r>
      <w:r w:rsidR="00AC1813">
        <w:t>cells at all time points</w:t>
      </w:r>
      <w:r w:rsidR="004339DC">
        <w:t>,</w:t>
      </w:r>
      <w:r w:rsidR="004D6B9B">
        <w:t xml:space="preserve"> but increased at 3 and 5 days in the </w:t>
      </w:r>
      <w:proofErr w:type="spellStart"/>
      <w:r w:rsidR="004D6B9B" w:rsidRPr="00435075">
        <w:rPr>
          <w:i/>
        </w:rPr>
        <w:t>Scx</w:t>
      </w:r>
      <w:proofErr w:type="spellEnd"/>
      <w:r w:rsidR="004D6B9B">
        <w:rPr>
          <w:vertAlign w:val="superscript"/>
        </w:rPr>
        <w:t xml:space="preserve">+ </w:t>
      </w:r>
      <w:r w:rsidR="004339DC">
        <w:t>cells</w:t>
      </w:r>
      <w:r w:rsidR="00935BCF">
        <w:t xml:space="preserve"> (Figure 6)</w:t>
      </w:r>
      <w:r w:rsidR="004D6B9B">
        <w:t xml:space="preserve">. Relative expression of </w:t>
      </w:r>
      <w:r w:rsidR="004D6B9B" w:rsidRPr="004D6B9B">
        <w:rPr>
          <w:i/>
        </w:rPr>
        <w:t>CD146</w:t>
      </w:r>
      <w:r w:rsidR="004D6B9B">
        <w:rPr>
          <w:i/>
        </w:rPr>
        <w:t xml:space="preserve"> </w:t>
      </w:r>
      <w:r w:rsidR="004D6B9B">
        <w:t xml:space="preserve">decreased over time in the </w:t>
      </w:r>
      <w:proofErr w:type="spellStart"/>
      <w:r w:rsidR="004D6B9B" w:rsidRPr="00435075">
        <w:rPr>
          <w:i/>
        </w:rPr>
        <w:t>Scx</w:t>
      </w:r>
      <w:proofErr w:type="spellEnd"/>
      <w:r w:rsidR="004D6B9B" w:rsidRPr="004D6B9B">
        <w:rPr>
          <w:vertAlign w:val="superscript"/>
        </w:rPr>
        <w:t>+</w:t>
      </w:r>
      <w:r w:rsidR="004D6B9B">
        <w:t xml:space="preserve"> group while it increased in the </w:t>
      </w:r>
      <w:proofErr w:type="spellStart"/>
      <w:r w:rsidR="004D6B9B" w:rsidRPr="00435075">
        <w:rPr>
          <w:i/>
        </w:rPr>
        <w:t>Scx</w:t>
      </w:r>
      <w:r w:rsidR="004339DC" w:rsidRPr="00594224">
        <w:rPr>
          <w:vertAlign w:val="superscript"/>
        </w:rPr>
        <w:t>Δ</w:t>
      </w:r>
      <w:proofErr w:type="spellEnd"/>
      <w:r w:rsidR="004339DC">
        <w:t xml:space="preserve"> </w:t>
      </w:r>
      <w:r w:rsidR="004D6B9B">
        <w:t>group</w:t>
      </w:r>
      <w:r w:rsidR="00935BCF">
        <w:t xml:space="preserve"> (Figure 6)</w:t>
      </w:r>
      <w:r w:rsidR="004D6B9B">
        <w:t xml:space="preserve">. </w:t>
      </w:r>
      <w:r w:rsidR="004D6B9B" w:rsidRPr="004D6B9B">
        <w:rPr>
          <w:i/>
        </w:rPr>
        <w:t>Col1a1</w:t>
      </w:r>
      <w:r w:rsidR="004D6B9B">
        <w:t xml:space="preserve">, </w:t>
      </w:r>
      <w:proofErr w:type="spellStart"/>
      <w:r w:rsidR="004D6B9B" w:rsidRPr="004D6B9B">
        <w:rPr>
          <w:i/>
        </w:rPr>
        <w:t>Mkx</w:t>
      </w:r>
      <w:proofErr w:type="spellEnd"/>
      <w:r w:rsidR="004D6B9B">
        <w:t xml:space="preserve"> and </w:t>
      </w:r>
      <w:proofErr w:type="spellStart"/>
      <w:r w:rsidR="004D6B9B" w:rsidRPr="004D6B9B">
        <w:rPr>
          <w:i/>
        </w:rPr>
        <w:t>Tnmd</w:t>
      </w:r>
      <w:proofErr w:type="spellEnd"/>
      <w:r w:rsidR="004D6B9B">
        <w:t xml:space="preserve"> expression </w:t>
      </w:r>
      <w:r w:rsidR="00C53453">
        <w:t xml:space="preserve">significantly </w:t>
      </w:r>
      <w:r w:rsidR="004D6B9B">
        <w:t xml:space="preserve">increased over time in the </w:t>
      </w:r>
      <w:proofErr w:type="spellStart"/>
      <w:r w:rsidR="004D6B9B" w:rsidRPr="00435075">
        <w:rPr>
          <w:i/>
        </w:rPr>
        <w:t>Scx</w:t>
      </w:r>
      <w:proofErr w:type="spellEnd"/>
      <w:r w:rsidR="004D6B9B">
        <w:rPr>
          <w:vertAlign w:val="superscript"/>
        </w:rPr>
        <w:t xml:space="preserve">+ </w:t>
      </w:r>
      <w:r w:rsidR="004D6B9B">
        <w:t>cells</w:t>
      </w:r>
      <w:r w:rsidR="004C62EE">
        <w:t>,</w:t>
      </w:r>
      <w:r w:rsidR="00C53453">
        <w:t xml:space="preserve"> </w:t>
      </w:r>
      <w:r w:rsidR="004C62EE">
        <w:t xml:space="preserve">and to a much greater extent than </w:t>
      </w:r>
      <w:r w:rsidR="00C53453">
        <w:t xml:space="preserve">in </w:t>
      </w:r>
      <w:proofErr w:type="spellStart"/>
      <w:r w:rsidR="00C53453" w:rsidRPr="00435075">
        <w:rPr>
          <w:i/>
        </w:rPr>
        <w:t>Scx</w:t>
      </w:r>
      <w:r w:rsidR="00C53453" w:rsidRPr="00594224">
        <w:rPr>
          <w:vertAlign w:val="superscript"/>
        </w:rPr>
        <w:t>Δ</w:t>
      </w:r>
      <w:proofErr w:type="spellEnd"/>
      <w:r w:rsidR="00C53453">
        <w:rPr>
          <w:vertAlign w:val="superscript"/>
        </w:rPr>
        <w:t xml:space="preserve"> </w:t>
      </w:r>
      <w:r w:rsidR="00C53453">
        <w:t>cells</w:t>
      </w:r>
      <w:r w:rsidR="00935BCF">
        <w:t xml:space="preserve"> (Figure 6)</w:t>
      </w:r>
      <w:r w:rsidR="00C53453">
        <w:t>.</w:t>
      </w:r>
      <w:r w:rsidR="004339DC">
        <w:t xml:space="preserve"> </w:t>
      </w:r>
    </w:p>
    <w:p w14:paraId="5E584546" w14:textId="77777777" w:rsidR="001B34F2" w:rsidRDefault="001B34F2" w:rsidP="006E41A7">
      <w:pPr>
        <w:rPr>
          <w:b/>
          <w:bCs/>
        </w:rPr>
      </w:pPr>
    </w:p>
    <w:p w14:paraId="7B667873" w14:textId="77777777" w:rsidR="00987A57" w:rsidRDefault="00987A57">
      <w:pPr>
        <w:rPr>
          <w:b/>
          <w:bCs/>
        </w:rPr>
      </w:pPr>
      <w:r>
        <w:rPr>
          <w:b/>
          <w:bCs/>
        </w:rPr>
        <w:br w:type="page"/>
      </w:r>
    </w:p>
    <w:p w14:paraId="2527D4CE" w14:textId="77777777" w:rsidR="00B27E58" w:rsidRDefault="00B27E58" w:rsidP="006E41A7">
      <w:pPr>
        <w:spacing w:line="480" w:lineRule="auto"/>
        <w:rPr>
          <w:b/>
          <w:bCs/>
        </w:rPr>
      </w:pPr>
      <w:r w:rsidRPr="001B34F2">
        <w:rPr>
          <w:b/>
          <w:bCs/>
        </w:rPr>
        <w:lastRenderedPageBreak/>
        <w:t>Discussion</w:t>
      </w:r>
    </w:p>
    <w:p w14:paraId="041BB496" w14:textId="6516ED21" w:rsidR="000B0B0E" w:rsidRDefault="00987A57" w:rsidP="006E41A7">
      <w:pPr>
        <w:spacing w:line="480" w:lineRule="auto"/>
      </w:pPr>
      <w:r>
        <w:tab/>
      </w:r>
      <w:r w:rsidR="004C62EE">
        <w:t xml:space="preserve">While the cellular components and genetic program that are responsible for the initial embryonic formation </w:t>
      </w:r>
      <w:r w:rsidR="000B4CEB">
        <w:t xml:space="preserve">and elongation </w:t>
      </w:r>
      <w:r w:rsidR="004C62EE">
        <w:t xml:space="preserve">of tendons are well understood </w:t>
      </w:r>
      <w:r w:rsidR="006E2104">
        <w:rPr>
          <w:rFonts w:cs="Times New Roman"/>
        </w:rPr>
        <w:fldChar w:fldCharType="begin"/>
      </w:r>
      <w:r w:rsidR="00A1782A">
        <w:rPr>
          <w:rFonts w:cs="Times New Roman"/>
        </w:rPr>
        <w:instrText xml:space="preserve"> ADDIN PAPERS2_CITATIONS &lt;citation&gt;&lt;priority&gt;18&lt;/priority&gt;&lt;uuid&gt;6F30FC4B-80F4-41B0-9D73-FE38E6A6AF08&lt;/uuid&gt;&lt;publications&gt;&lt;publication&gt;&lt;subtype&gt;400&lt;/subtype&gt;&lt;title&gt;Tgfβ signaling is critical for maintenance of the tendon cell fate.&lt;/title&gt;&lt;url&gt;https://elifesciences.org/articles/52695&lt;/url&gt;&lt;volume&gt;9&lt;/volume&gt;&lt;publication_date&gt;99202001211200000000222000&lt;/publication_date&gt;&lt;uuid&gt;0CB44AB9-481F-4472-B496-859F04D665E3&lt;/uuid&gt;&lt;type&gt;400&lt;/type&gt;&lt;accepted_date&gt;99202001171200000000222000&lt;/accepted_date&gt;&lt;submission_date&gt;99201910121200000000222000&lt;/submission_date&gt;&lt;doi&gt;10.7554/eLife.52695&lt;/doi&gt;&lt;institution&gt;Research Division, Shriners Hospital for Children, Portland, United States.&lt;/institution&gt;&lt;startpage&gt;7025&lt;/startpage&gt;&lt;bundle&gt;&lt;publication&gt;&lt;title&gt;eLife&lt;/title&gt;&lt;uuid&gt;0B89F13D-43C2-432A-94D6-9A61A7064B65&lt;/uuid&gt;&lt;subtype&gt;-100&lt;/subtype&gt;&lt;publisher&gt;eLife Sciences Publications Limited&lt;/publisher&gt;&lt;type&gt;-100&lt;/type&gt;&lt;/publication&gt;&lt;/bundle&gt;&lt;authors&gt;&lt;author&gt;&lt;lastName&gt;Tan&lt;/lastName&gt;&lt;firstName&gt;Guak-Kim&lt;/firstName&gt;&lt;/author&gt;&lt;author&gt;&lt;lastName&gt;Pryce&lt;/lastName&gt;&lt;firstName&gt;Brian&lt;/firstName&gt;&lt;middleNames&gt;A&lt;/middleNames&gt;&lt;/author&gt;&lt;author&gt;&lt;lastName&gt;Stabio&lt;/lastName&gt;&lt;firstName&gt;Anna&lt;/firstName&gt;&lt;/author&gt;&lt;author&gt;&lt;lastName&gt;Brigande&lt;/lastName&gt;&lt;firstName&gt;John&lt;/firstName&gt;&lt;middleNames&gt;V&lt;/middleNames&gt;&lt;/author&gt;&lt;author&gt;&lt;lastName&gt;Wang&lt;/lastName&gt;&lt;firstName&gt;ChaoJie&lt;/firstName&gt;&lt;/author&gt;&lt;author&gt;&lt;lastName&gt;Xia&lt;/lastName&gt;&lt;firstName&gt;Zheng&lt;/firstName&gt;&lt;/author&gt;&lt;author&gt;&lt;lastName&gt;Tufa&lt;/lastName&gt;&lt;firstName&gt;Sara&lt;/firstName&gt;&lt;middleNames&gt;F&lt;/middleNames&gt;&lt;/author&gt;&lt;author&gt;&lt;lastName&gt;Keene&lt;/lastName&gt;&lt;firstName&gt;Douglas&lt;/firstName&gt;&lt;middleNames&gt;R&lt;/middleNames&gt;&lt;/author&gt;&lt;author&gt;&lt;lastName&gt;Schweitzer&lt;/lastName&gt;&lt;firstName&gt;Ronen&lt;/firstName&gt;&lt;/author&gt;&lt;/authors&gt;&lt;/publication&gt;&lt;publication&gt;&lt;subtype&gt;400&lt;/subtype&gt;&lt;title&gt;Development of migrating tendon-bone attachments involves replacement of progenitor populations.&lt;/title&gt;&lt;url&gt;http://dev.biologists.org/lookup/doi/10.1242/dev.165381&lt;/url&gt;&lt;volume&gt;145&lt;/volume&gt;&lt;publication_date&gt;99201812181200000000222000&lt;/publication_date&gt;&lt;uuid&gt;97371254-5D34-4E00-82ED-48952CAC1ECE&lt;/uuid&gt;&lt;type&gt;400&lt;/type&gt;&lt;accepted_date&gt;99201811161200000000222000&lt;/accepted_date&gt;&lt;number&gt;24&lt;/number&gt;&lt;submission_date&gt;99201803071200000000222000&lt;/submission_date&gt;&lt;doi&gt;10.1242/dev.165381&lt;/doi&gt;&lt;institution&gt;Department of Molecular Genetics, Weizmann Institute of Science, Rehovot 76100, Israel.&lt;/institution&gt;&lt;startpage&gt;dev165381&lt;/startpage&gt;&lt;bundle&gt;&lt;publication&gt;&lt;title&gt;Development (Cambridge, England)&lt;/title&gt;&lt;uuid&gt;302310D9-63C5-46C6-A71B-2FA7510DA5B5&lt;/uuid&gt;&lt;subtype&gt;-100&lt;/subtype&gt;&lt;publisher&gt;Oxford University Press for The Company of Biologists Limited&lt;/publisher&gt;&lt;type&gt;-100&lt;/type&gt;&lt;url&gt;http://dev.biologists.org.proxy.lib.umich.edu&lt;/url&gt;&lt;/publication&gt;&lt;/bundle&gt;&lt;authors&gt;&lt;author&gt;&lt;lastName&gt;Felsenthal&lt;/lastName&gt;&lt;firstName&gt;Neta&lt;/firstName&gt;&lt;/author&gt;&lt;author&gt;&lt;lastName&gt;Rubin&lt;/lastName&gt;&lt;firstName&gt;Sarah&lt;/firstName&gt;&lt;/author&gt;&lt;author&gt;&lt;lastName&gt;Stern&lt;/lastName&gt;&lt;firstName&gt;Tomer&lt;/firstName&gt;&lt;/author&gt;&lt;author&gt;&lt;lastName&gt;Krief&lt;/lastName&gt;&lt;firstName&gt;Sharon&lt;/firstName&gt;&lt;/author&gt;&lt;author&gt;&lt;lastName&gt;Pal&lt;/lastName&gt;&lt;firstName&gt;Deepanwita&lt;/firstName&gt;&lt;/author&gt;&lt;author&gt;&lt;lastName&gt;Pryce&lt;/lastName&gt;&lt;firstName&gt;Brian&lt;/firstName&gt;&lt;middleNames&gt;A&lt;/middleNames&gt;&lt;/author&gt;&lt;author&gt;&lt;lastName&gt;Schweitzer&lt;/lastName&gt;&lt;firstName&gt;Ronen&lt;/firstName&gt;&lt;/author&gt;&lt;author&gt;&lt;lastName&gt;Zelzer&lt;/lastName&gt;&lt;firstName&gt;Elazar&lt;/firstName&gt;&lt;/author&gt;&lt;/authors&gt;&lt;/publication&gt;&lt;publication&gt;&lt;subtype&gt;400&lt;/subtype&gt;&lt;title&gt;Enthesis fibrocartilage cells originate from a population of Hedgehog-responsive cells modulated by the loading environment.&lt;/title&gt;&lt;url&gt;http://dev.biologists.org/cgi/doi/10.1242/dev.112714&lt;/url&gt;&lt;volume&gt;142&lt;/volume&gt;&lt;publication_date&gt;99201501011200000000222000&lt;/publication_date&gt;&lt;uuid&gt;53061FC1-432A-4F0B-B984-2BBC294E617D&lt;/uuid&gt;&lt;type&gt;400&lt;/type&gt;&lt;number&gt;1&lt;/number&gt;&lt;doi&gt;10.1242/dev.112714&lt;/doi&gt;&lt;institution&gt;Department of Orthopaedic Surgery, Washington University in St Louis, St Louis, MO 63110, USA.&lt;/institution&gt;&lt;startpage&gt;196&lt;/startpage&gt;&lt;endpage&gt;206&lt;/endpage&gt;&lt;bundle&gt;&lt;publication&gt;&lt;title&gt;Development (Cambridge, England)&lt;/title&gt;&lt;uuid&gt;302310D9-63C5-46C6-A71B-2FA7510DA5B5&lt;/uuid&gt;&lt;subtype&gt;-100&lt;/subtype&gt;&lt;publisher&gt;Oxford University Press for The Company of Biologists Limited&lt;/publisher&gt;&lt;type&gt;-100&lt;/type&gt;&lt;url&gt;http://dev.biologists.org.proxy.lib.umich.edu&lt;/url&gt;&lt;/publication&gt;&lt;/bundle&gt;&lt;authors&gt;&lt;author&gt;&lt;lastName&gt;Schwartz&lt;/lastName&gt;&lt;firstName&gt;Andrea&lt;/firstName&gt;&lt;middleNames&gt;G&lt;/middleNames&gt;&lt;/author&gt;&lt;author&gt;&lt;lastName&gt;Long&lt;/lastName&gt;&lt;firstName&gt;Fanxin&lt;/firstName&gt;&lt;/author&gt;&lt;author&gt;&lt;lastName&gt;Thomopoulos&lt;/lastName&gt;&lt;firstName&gt;Stavros&lt;/firstName&gt;&lt;/author&gt;&lt;/authors&gt;&lt;/publication&gt;&lt;publication&gt;&lt;subtype&gt;400&lt;/subtype&gt;&lt;title&gt;Requirement for scleraxis in the recruitment of mesenchymal progenitors during embryonic tendon elongation.&lt;/title&gt;&lt;url&gt;http://dev.biologists.org/lookup/doi/10.1242/dev.182782&lt;/url&gt;&lt;volume&gt;146&lt;/volume&gt;&lt;publication_date&gt;99201910041200000000222000&lt;/publication_date&gt;&lt;uuid&gt;47C9E86F-1254-41AA-8EAF-4062755F0F0C&lt;/uuid&gt;&lt;type&gt;400&lt;/type&gt;&lt;accepted_date&gt;99201909111200000000222000&lt;/accepted_date&gt;&lt;number&gt;20&lt;/number&gt;&lt;submission_date&gt;99201907171200000000222000&lt;/submission_date&gt;&lt;doi&gt;10.1242/dev.182782&lt;/doi&gt;&lt;institution&gt;Research Division, Shriners Hospital for Children, Portland, OR 97239, USA alice.huang@mssm.edu schweitz@ohsu.edu.&lt;/institution&gt;&lt;startpage&gt;dev182782&lt;/startpage&gt;&lt;bundle&gt;&lt;publication&gt;&lt;title&gt;Development (Cambridge, England)&lt;/title&gt;&lt;uuid&gt;302310D9-63C5-46C6-A71B-2FA7510DA5B5&lt;/uuid&gt;&lt;subtype&gt;-100&lt;/subtype&gt;&lt;publisher&gt;Oxford University Press for The Company of Biologists Limited&lt;/publisher&gt;&lt;type&gt;-100&lt;/type&gt;&lt;url&gt;http://dev.biologists.org.proxy.lib.umich.edu&lt;/url&gt;&lt;/publication&gt;&lt;/bundle&gt;&lt;authors&gt;&lt;author&gt;&lt;lastName&gt;Huang&lt;/lastName&gt;&lt;firstName&gt;Alice&lt;/firstName&gt;&lt;middleNames&gt;H&lt;/middleNames&gt;&lt;/author&gt;&lt;author&gt;&lt;lastName&gt;Watson&lt;/lastName&gt;&lt;firstName&gt;Spencer&lt;/firstName&gt;&lt;middleNames&gt;S&lt;/middleNames&gt;&lt;/author&gt;&lt;author&gt;&lt;lastName&gt;Wang&lt;/lastName&gt;&lt;firstName&gt;Lingyan&lt;/firstName&gt;&lt;/author&gt;&lt;author&gt;&lt;lastName&gt;Baker&lt;/lastName&gt;&lt;firstName&gt;Brendon&lt;/firstName&gt;&lt;middleNames&gt;M&lt;/middleNames&gt;&lt;/author&gt;&lt;author&gt;&lt;lastName&gt;Akiyama&lt;/lastName&gt;&lt;firstName&gt;Haruhiko&lt;/firstName&gt;&lt;/author&gt;&lt;author&gt;&lt;lastName&gt;Brigande&lt;/lastName&gt;&lt;firstName&gt;John&lt;/firstName&gt;&lt;middleNames&gt;V&lt;/middleNames&gt;&lt;/author&gt;&lt;author&gt;&lt;lastName&gt;Schweitzer&lt;/lastName&gt;&lt;firstName&gt;Ronen&lt;/firstName&gt;&lt;/author&gt;&lt;/authors&gt;&lt;/publication&gt;&lt;/publications&gt;&lt;cites&gt;&lt;/cites&gt;&lt;/citation&gt;</w:instrText>
      </w:r>
      <w:r w:rsidR="006E2104">
        <w:rPr>
          <w:rFonts w:cs="Times New Roman"/>
        </w:rPr>
        <w:fldChar w:fldCharType="separate"/>
      </w:r>
      <w:r w:rsidR="00A1782A">
        <w:rPr>
          <w:rFonts w:cs="Times New Roman"/>
        </w:rPr>
        <w:t>(20-23)</w:t>
      </w:r>
      <w:r w:rsidR="006E2104">
        <w:rPr>
          <w:rFonts w:cs="Times New Roman"/>
        </w:rPr>
        <w:fldChar w:fldCharType="end"/>
      </w:r>
      <w:r w:rsidR="004C62EE">
        <w:t>, less is known about growth of tendon tissue in adult animals</w:t>
      </w:r>
      <w:r w:rsidR="009903D6" w:rsidRPr="003625E3">
        <w:t>.</w:t>
      </w:r>
      <w:r w:rsidR="00123FD8">
        <w:t xml:space="preserve"> </w:t>
      </w:r>
      <w:r w:rsidR="008C274F" w:rsidRPr="003625E3">
        <w:t>U</w:t>
      </w:r>
      <w:r w:rsidR="009903D6" w:rsidRPr="003625E3">
        <w:t>sing the synergist ablation model, we</w:t>
      </w:r>
      <w:r w:rsidR="008C274F" w:rsidRPr="003625E3">
        <w:t xml:space="preserve"> previously</w:t>
      </w:r>
      <w:r w:rsidR="009903D6" w:rsidRPr="003625E3">
        <w:t xml:space="preserve"> identified the formation of a neotendon matrix that develops around the original tendon matrix</w:t>
      </w:r>
      <w:r w:rsidR="000B4CEB">
        <w:t>,</w:t>
      </w:r>
      <w:r w:rsidR="004C15EC" w:rsidRPr="003625E3">
        <w:t xml:space="preserve"> and </w:t>
      </w:r>
      <w:r w:rsidR="000B4CEB">
        <w:t xml:space="preserve">that </w:t>
      </w:r>
      <w:r w:rsidR="004C15EC" w:rsidRPr="003625E3">
        <w:t>this</w:t>
      </w:r>
      <w:r w:rsidR="009903D6" w:rsidRPr="003625E3">
        <w:t xml:space="preserve"> new matrix was populated with proliferative, scleraxis</w:t>
      </w:r>
      <w:r w:rsidR="000B4CEB">
        <w:t>-</w:t>
      </w:r>
      <w:r w:rsidR="009903D6" w:rsidRPr="003625E3">
        <w:t>expressing cells</w:t>
      </w:r>
      <w:r w:rsidR="004C62EE">
        <w:t xml:space="preserve"> </w:t>
      </w:r>
      <w:r w:rsidR="006E2104">
        <w:rPr>
          <w:rFonts w:cs="Times New Roman"/>
        </w:rPr>
        <w:fldChar w:fldCharType="begin"/>
      </w:r>
      <w:r w:rsidR="00A1782A">
        <w:rPr>
          <w:rFonts w:cs="Times New Roman"/>
        </w:rPr>
        <w:instrText xml:space="preserve"> ADDIN PAPERS2_CITATIONS &lt;citation&gt;&lt;priority&gt;20&lt;/priority&gt;&lt;uuid&gt;6C3B93A7-CB8F-408F-BBA9-E7EEE69C0F60&lt;/uuid&gt;&lt;publications&gt;&lt;publication&gt;&lt;subtype&gt;400&lt;/subtype&gt;&lt;title&gt;Synergist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(14)</w:t>
      </w:r>
      <w:r w:rsidR="006E2104">
        <w:rPr>
          <w:rFonts w:cs="Times New Roman"/>
        </w:rPr>
        <w:fldChar w:fldCharType="end"/>
      </w:r>
      <w:r w:rsidR="009903D6" w:rsidRPr="003625E3">
        <w:t xml:space="preserve">. The aim of </w:t>
      </w:r>
      <w:r w:rsidR="004C15EC" w:rsidRPr="003625E3">
        <w:t>our</w:t>
      </w:r>
      <w:r w:rsidR="009903D6" w:rsidRPr="003625E3">
        <w:t xml:space="preserve"> study was to identify whether scleraxis was required for </w:t>
      </w:r>
      <w:r w:rsidR="0080026E" w:rsidRPr="003625E3">
        <w:t>tendon</w:t>
      </w:r>
      <w:r w:rsidR="009903D6" w:rsidRPr="003625E3">
        <w:t xml:space="preserve"> adaptation to </w:t>
      </w:r>
      <w:r w:rsidR="0035220B" w:rsidRPr="003625E3">
        <w:t>growth stimuli</w:t>
      </w:r>
      <w:r w:rsidR="009903D6" w:rsidRPr="003625E3">
        <w:t xml:space="preserve">. </w:t>
      </w:r>
      <w:r w:rsidR="0035220B" w:rsidRPr="003625E3">
        <w:t xml:space="preserve">To study tendon growth, we used the synergist ablation </w:t>
      </w:r>
      <w:r w:rsidR="00113C77" w:rsidRPr="003625E3">
        <w:t>m</w:t>
      </w:r>
      <w:r w:rsidR="000B4CEB">
        <w:t>ouse</w:t>
      </w:r>
      <w:r w:rsidR="00113C77" w:rsidRPr="003625E3">
        <w:t xml:space="preserve"> model</w:t>
      </w:r>
      <w:r w:rsidR="0035220B" w:rsidRPr="003625E3">
        <w:t>, in which the Achilles tendon is surgically removed resulting in a supraphysiological growth stimulus to the plantaris tendon and muscle</w:t>
      </w:r>
      <w:r w:rsidR="00123FD8">
        <w:t xml:space="preserve"> </w:t>
      </w:r>
      <w:r w:rsidR="006E2104">
        <w:rPr>
          <w:rFonts w:cs="Times New Roman"/>
        </w:rPr>
        <w:fldChar w:fldCharType="begin"/>
      </w:r>
      <w:r w:rsidR="00A1782A">
        <w:rPr>
          <w:rFonts w:cs="Times New Roman"/>
        </w:rPr>
        <w:instrText xml:space="preserve"> ADDIN PAPERS2_CITATIONS &lt;citation&gt;&lt;priority&gt;21&lt;/priority&gt;&lt;uuid&gt;3782BEF1-E3AE-43A5-AAAE-4C2699BC20AE&lt;/uuid&gt;&lt;publications&gt;&lt;publication&gt;&lt;subtype&gt;400&lt;/subtype&gt;&lt;title&gt;p38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gt;&lt;subtype&gt;400&lt;/subtype&gt;&lt;location&gt;200,9,55.7121350,12.5419120&lt;/location&gt;&lt;title&gt;Expression of insulin-like growth factor I, insulin-like growth factor binding proteins, and collagen mRNA in mechanically loaded plantaris tendon.&lt;/title&gt;&lt;url&gt;http://eutils.ncbi.nlm.nih.gov/entrez/eutils/elink.fcgi?dbfrom=pubmed&amp;amp;id=16782835&amp;amp;retmode=ref&amp;amp;cmd=prlinks&lt;/url&gt;&lt;volume&gt;101&lt;/volume&gt;&lt;publication_date&gt;99200607001200000000220000&lt;/publication_date&gt;&lt;uuid&gt;A458C003-00B0-4B67-9D88-A4C103C0026E&lt;/uuid&gt;&lt;type&gt;400&lt;/type&gt;&lt;number&gt;1&lt;/number&gt;&lt;citekey&gt;Olesen:2006dq&lt;/citekey&gt;&lt;doi&gt;10.1152/japplphysiol.00636.2005&lt;/doi&gt;&lt;institution&gt;Institute of Sports Medicine, Bispebjerg Hospital, DK-2400 Copenhagen, Denmark. olesenjens@yahoo.dk&lt;/institution&gt;&lt;startpage&gt;183&lt;/startpage&gt;&lt;endpage&gt;188&lt;/endpage&gt;&lt;bundle&gt;&lt;publication&gt;&lt;title&gt;Journal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Olesen&lt;/lastName&gt;&lt;firstName&gt;Jens&lt;/firstName&gt;&lt;middleNames&gt;L&lt;/middleNames&gt;&lt;/author&gt;&lt;author&gt;&lt;lastName&gt;Heinemeier&lt;/lastName&gt;&lt;firstName&gt;Katja&lt;/firstName&gt;&lt;middleNames&gt;M&lt;/middleNames&gt;&lt;/author&gt;&lt;author&gt;&lt;lastName&gt;Haddad&lt;/lastName&gt;&lt;firstName&gt;Fadia&lt;/firstName&gt;&lt;/author&gt;&lt;author&gt;&lt;lastName&gt;Langberg&lt;/lastName&gt;&lt;firstName&gt;Henning&lt;/firstName&gt;&lt;/author&gt;&lt;author&gt;&lt;lastName&gt;Flyvbjerg&lt;/lastName&gt;&lt;firstName&gt;Allan&lt;/firstName&gt;&lt;/author&gt;&lt;author&gt;&lt;lastName&gt;Kjaer&lt;/lastName&gt;&lt;firstName&gt;Michael&lt;/firstName&gt;&lt;/author&gt;&lt;author&gt;&lt;lastName&gt;Baldwin&lt;/lastName&gt;&lt;firstName&gt;Kenneth&lt;/firstName&gt;&lt;middleNames&gt;M&lt;/middleNames&gt;&lt;/author&gt;&lt;/authors&gt;&lt;/publication&gt;&lt;publication&gt;&lt;subtype&gt;400&lt;/subtype&gt;&lt;location&gt;200,9,42.2835003,-83.7308836&lt;/location&gt;&lt;title&gt;Hyaluronic acid, HAS1, and HAS2 are significantly upregulated during muscle hypertrophy.&lt;/title&gt;&lt;url&gt;http://eutils.ncbi.nlm.nih.gov/entrez/eutils/elink.fcgi?dbfrom=pubmed&amp;amp;id=22785117&amp;amp;retmode=ref&amp;amp;cmd=prlinks&lt;/url&gt;&lt;volume&gt;303&lt;/volume&gt;&lt;publication_date&gt;99201209011200000000222000&lt;/publication_date&gt;&lt;uuid&gt;F14DF313-27E6-4DD3-A18B-6322AC96C036&lt;/uuid&gt;&lt;type&gt;400&lt;/type&gt;&lt;number&gt;5&lt;/number&gt;&lt;citekey&gt;Calve:2012bp&lt;/citekey&gt;&lt;doi&gt;10.1152/ajpcell.00057.2012&lt;/doi&gt;&lt;institution&gt;Department of Orthopaedic Surgery, University of Michigan Medical School, Ann Arbor, Michigan 48109-2200, USA.&lt;/institution&gt;&lt;startpage&gt;C577&lt;/startpage&gt;&lt;endpage&gt;88&lt;/endpage&gt;&lt;bundle&gt;&lt;publication&gt;&lt;title&gt;AJP - Cell Physiology&lt;/title&gt;&lt;uuid&gt;3182AB9F-1479-43F8-9C7B-E7341D73B0E9&lt;/uuid&gt;&lt;subtype&gt;-100&lt;/subtype&gt;&lt;publisher&gt;American Physiological Society&lt;/publisher&gt;&lt;type&gt;-100&lt;/type&gt;&lt;url&gt;http://ajpcell.physiology.org.proxy.lib.umich.edu&lt;/url&gt;&lt;/publication&gt;&lt;/bundle&gt;&lt;authors&gt;&lt;author&gt;&lt;lastName&gt;Calve&lt;/lastName&gt;&lt;firstName&gt;Sarah&lt;/firstName&gt;&lt;/author&gt;&lt;author&gt;&lt;lastName&gt;Isaac&lt;/lastName&gt;&lt;firstName&gt;Jahdonna&lt;/firstName&gt;&lt;/author&gt;&lt;author&gt;&lt;lastName&gt;Gumucio&lt;/lastName&gt;&lt;firstName&gt;Jonathan&lt;/firstName&gt;&lt;middleNames&gt;P&lt;/middleNames&gt;&lt;/author&gt;&lt;author&gt;&lt;lastName&gt;Mendias&lt;/lastName&gt;&lt;firstName&gt;Christopher&lt;/firstName&gt;&lt;middleNames&gt;L&lt;/middleNames&gt;&lt;/author&gt;&lt;/authors&gt;&lt;/publication&gt;&lt;publication&gt;&lt;subtype&gt;400&lt;/subtype&gt;&lt;title&gt;Insulin-like growth factor 1 signaling in tenocytes is required for adult tendon growth.&lt;/title&gt;&lt;url&gt;https://www.fasebj.org/doi/10.1096/fj.201901503R&lt;/url&gt;&lt;volume&gt;33&lt;/volume&gt;&lt;publication_date&gt;99201911011200000000222000&lt;/publication_date&gt;&lt;uuid&gt;7F0D72D9-5F56-4B93-A8BA-81ABE7850CB5&lt;/uuid&gt;&lt;type&gt;400&lt;/type&gt;&lt;number&gt;11&lt;/number&gt;&lt;doi&gt;10.1096/fj.201901503R&lt;/doi&gt;&lt;institution&gt;Hospital for Special Surgery, New York, New York, USA.&lt;/institution&gt;&lt;startpage&gt;12680&lt;/startpage&gt;&lt;endpage&gt;12695&lt;/endpage&gt;&lt;bundle&gt;&lt;publication&gt;&lt;title&gt;The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Disser&lt;/lastName&gt;&lt;firstName&gt;Nathaniel&lt;/firstName&gt;&lt;middleNames&gt;P&lt;/middleNames&gt;&lt;/author&gt;&lt;author&gt;&lt;lastName&gt;Sugg&lt;/lastName&gt;&lt;firstName&gt;Kristoffer&lt;/firstName&gt;&lt;middleNames&gt;B&lt;/middleNames&gt;&lt;/author&gt;&lt;author&gt;&lt;lastName&gt;Talarek&lt;/lastName&gt;&lt;firstName&gt;Jeffrey&lt;/firstName&gt;&lt;middleNames&gt;R&lt;/middleNames&gt;&lt;/author&gt;&lt;author&gt;&lt;lastName&gt;Sarver&lt;/lastName&gt;&lt;firstName&gt;Dylan&lt;/firstName&gt;&lt;middleNames&gt;C&lt;/middleNames&gt;&lt;/author&gt;&lt;author&gt;&lt;lastName&gt;Rourke&lt;/lastName&gt;&lt;firstName&gt;Brennan&lt;/firstName&gt;&lt;middleNames&gt;J&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(15, 24-26)</w:t>
      </w:r>
      <w:r w:rsidR="006E2104">
        <w:rPr>
          <w:rFonts w:cs="Times New Roman"/>
        </w:rPr>
        <w:fldChar w:fldCharType="end"/>
      </w:r>
      <w:r w:rsidR="0035220B" w:rsidRPr="003625E3">
        <w:t>. A neotendon matrix consisting of immature collagen and other ECM</w:t>
      </w:r>
      <w:r w:rsidR="00113C77" w:rsidRPr="003625E3">
        <w:t xml:space="preserve"> </w:t>
      </w:r>
      <w:r w:rsidR="0035220B" w:rsidRPr="003625E3">
        <w:t xml:space="preserve">proteins forms around the plantaris tendon, and over a </w:t>
      </w:r>
      <w:r w:rsidR="00113C77" w:rsidRPr="003625E3">
        <w:t>month</w:t>
      </w:r>
      <w:r w:rsidR="0035220B" w:rsidRPr="003625E3">
        <w:t xml:space="preserve"> period</w:t>
      </w:r>
      <w:r w:rsidR="00113C77" w:rsidRPr="003625E3">
        <w:t xml:space="preserve"> of time</w:t>
      </w:r>
      <w:r w:rsidR="0035220B" w:rsidRPr="003625E3">
        <w:t xml:space="preserve"> this ECM matures and resembles the original tendon matrix</w:t>
      </w:r>
      <w:r w:rsidR="00123FD8">
        <w:t xml:space="preserve"> </w:t>
      </w:r>
      <w:r w:rsidR="006E2104">
        <w:rPr>
          <w:rFonts w:cs="Times New Roman"/>
        </w:rPr>
        <w:fldChar w:fldCharType="begin"/>
      </w:r>
      <w:r w:rsidR="00A1782A">
        <w:rPr>
          <w:rFonts w:cs="Times New Roman"/>
        </w:rPr>
        <w:instrText xml:space="preserve"> ADDIN PAPERS2_CITATIONS &lt;citation&gt;&lt;priority&gt;22&lt;/priority&gt;&lt;uuid&gt;12F0C01F-17FA-436A-B0F8-FA415880C984&lt;/uuid&gt;&lt;publications&gt;&lt;publication&gt;&lt;subtype&gt;400&lt;/subtype&gt;&lt;title&gt;p38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s&gt;&lt;cites&gt;&lt;/cites&gt;&lt;/citation&gt;</w:instrText>
      </w:r>
      <w:r w:rsidR="006E2104">
        <w:rPr>
          <w:rFonts w:cs="Times New Roman"/>
        </w:rPr>
        <w:fldChar w:fldCharType="separate"/>
      </w:r>
      <w:r w:rsidR="00A1782A">
        <w:rPr>
          <w:rFonts w:cs="Times New Roman"/>
        </w:rPr>
        <w:t>(15)</w:t>
      </w:r>
      <w:r w:rsidR="006E2104">
        <w:rPr>
          <w:rFonts w:cs="Times New Roman"/>
        </w:rPr>
        <w:fldChar w:fldCharType="end"/>
      </w:r>
      <w:r w:rsidR="0035220B" w:rsidRPr="003625E3">
        <w:t xml:space="preserve">. </w:t>
      </w:r>
      <w:r w:rsidR="00283696" w:rsidRPr="003625E3">
        <w:t xml:space="preserve">Our results indicate that scleraxis </w:t>
      </w:r>
      <w:r w:rsidR="00C11877">
        <w:t xml:space="preserve">is </w:t>
      </w:r>
      <w:r w:rsidR="00283696" w:rsidRPr="003625E3">
        <w:t xml:space="preserve">required for the proper expansion, formation, and remodeling of tendon ECM during mechanical loading, </w:t>
      </w:r>
      <w:r w:rsidR="00123FD8">
        <w:t xml:space="preserve">and that growth defects in scleraxis-deficient tendons appear to occur </w:t>
      </w:r>
      <w:r w:rsidR="00C11877">
        <w:t xml:space="preserve">in part </w:t>
      </w:r>
      <w:r w:rsidR="000B4CEB">
        <w:t xml:space="preserve">due </w:t>
      </w:r>
      <w:r w:rsidR="00C11877">
        <w:t xml:space="preserve">to </w:t>
      </w:r>
      <w:r w:rsidR="000B4CEB">
        <w:t xml:space="preserve">a </w:t>
      </w:r>
      <w:r w:rsidR="00C11877">
        <w:t xml:space="preserve">reduction in the ability of </w:t>
      </w:r>
      <w:r w:rsidR="00AC27D5">
        <w:t>pericytes</w:t>
      </w:r>
      <w:r w:rsidR="00C11877">
        <w:t xml:space="preserve"> to differentiate into the </w:t>
      </w:r>
      <w:r w:rsidR="00283696" w:rsidRPr="003625E3">
        <w:t>tend</w:t>
      </w:r>
      <w:r w:rsidR="00C11877">
        <w:t>on cell lineage</w:t>
      </w:r>
      <w:r w:rsidR="00283696" w:rsidRPr="003625E3">
        <w:t>.</w:t>
      </w:r>
    </w:p>
    <w:p w14:paraId="35EB987D" w14:textId="15DF0A43" w:rsidR="00023EBF" w:rsidRDefault="00023EBF" w:rsidP="00023EBF">
      <w:pPr>
        <w:pStyle w:val="NoSpacing"/>
        <w:spacing w:line="480" w:lineRule="auto"/>
        <w:ind w:firstLine="720"/>
        <w:rPr>
          <w:rFonts w:cs="Times New Roman"/>
          <w:color w:val="000000" w:themeColor="text1"/>
        </w:rPr>
      </w:pPr>
      <w:r>
        <w:rPr>
          <w:rFonts w:cs="Times New Roman"/>
          <w:color w:val="000000" w:themeColor="text1"/>
        </w:rPr>
        <w:t xml:space="preserve">The existing tenocytes within adult tendons appear to be mostly postmitotic cells that do proliferate in response to mechanical loading </w:t>
      </w:r>
      <w:r w:rsidR="006E2104">
        <w:rPr>
          <w:rFonts w:cs="Times New Roman"/>
        </w:rPr>
        <w:fldChar w:fldCharType="begin"/>
      </w:r>
      <w:r w:rsidR="00A1782A">
        <w:rPr>
          <w:rFonts w:cs="Times New Roman"/>
        </w:rPr>
        <w:instrText xml:space="preserve"> ADDIN PAPERS2_CITATIONS &lt;citation&gt;&lt;priority&gt;23&lt;/priority&gt;&lt;uuid&gt;16F129E9-5645-4175-9085-49EFE7BD3516&lt;/uuid&gt;&lt;publications&gt;&lt;publication&gt;&lt;subtype&gt;400&lt;/subtype&gt;&lt;title&gt;Synergist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gt;&lt;subtype&gt;400&lt;/subtype&gt;&lt;title&gt;Postnatal tendon growth and remodeling require platelet-derived growth factor receptor signaling.&lt;/title&gt;&lt;url&gt;http://www.physiology.org/doi/10.1152/ajpcell.00258.2017&lt;/url&gt;&lt;volume&gt;314&lt;/volume&gt;&lt;publication_date&gt;99201804011200000000222000&lt;/publication_date&gt;&lt;uuid&gt;C788FF91-FC55-49F5-9775-FEBB1C5F0C5A&lt;/uuid&gt;&lt;type&gt;400&lt;/type&gt;&lt;number&gt;4&lt;/number&gt;&lt;doi&gt;10.1152/ajpcell.00258.2017&lt;/doi&gt;&lt;institution&gt;Department of Orthopaedic Surgery, University of Michigan Medical School , Ann Arbor, Michigan.&lt;/institution&gt;&lt;startpage&gt;C389&lt;/startpage&gt;&lt;endpage&gt;C403&lt;/endpage&gt;&lt;bundle&gt;&lt;publication&gt;&lt;title&gt;AJP - Cell Physiology&lt;/title&gt;&lt;uuid&gt;3182AB9F-1479-43F8-9C7B-E7341D73B0E9&lt;/uuid&gt;&lt;subtype&gt;-100&lt;/subtype&gt;&lt;publisher&gt;American Physiological Society&lt;/publisher&gt;&lt;type&gt;-100&lt;/type&gt;&lt;url&gt;http://ajpcell.physiology.org.proxy.lib.umich.edu&lt;/url&gt;&lt;/publication&gt;&lt;/bundle&gt;&lt;authors&gt;&lt;author&gt;&lt;lastName&gt;Sugg&lt;/lastName&gt;&lt;firstName&gt;Kristoffer&lt;/firstName&gt;&lt;middleNames&gt;B&lt;/middleNames&gt;&lt;/author&gt;&lt;author&gt;&lt;lastName&gt;Markworth&lt;/lastName&gt;&lt;firstName&gt;James&lt;/firstName&gt;&lt;middleNames&gt;F&lt;/middleNames&gt;&lt;/author&gt;&lt;author&gt;&lt;lastName&gt;Disser&lt;/lastName&gt;&lt;firstName&gt;Nathaniel&lt;/firstName&gt;&lt;middleNames&gt;P&lt;/middleNames&gt;&lt;/author&gt;&lt;author&gt;&lt;lastName&gt;Rizzi&lt;/lastName&gt;&lt;firstName&gt;Andrew&lt;/firstName&gt;&lt;middleNames&gt;M&lt;/middleNames&gt;&lt;/author&gt;&lt;author&gt;&lt;lastName&gt;Talarek&lt;/lastName&gt;&lt;firstName&gt;Jeffrey&lt;/firstName&gt;&lt;middleNames&gt;R&lt;/middleNames&gt;&lt;/author&gt;&lt;author&gt;&lt;lastName&gt;Sarver&lt;/lastName&gt;&lt;firstName&gt;Dylan&lt;/firstName&gt;&lt;middleNames&gt;C&lt;/middleNames&gt;&lt;/author&gt;&lt;author&gt;&lt;lastName&gt;Brooks&lt;/lastName&gt;&lt;firstName&gt;Susan&lt;/firstName&gt;&lt;middleNames&gt;V&lt;/middleNames&gt;&lt;/author&gt;&lt;author&gt;&lt;lastName&gt;Mendias&lt;/lastName&gt;&lt;firstName&gt;Christopher&lt;/firstName&gt;&lt;middleNames&gt;L&lt;/middleNames&gt;&lt;/author&gt;&lt;/authors&gt;&lt;/publication&gt;&lt;publication&gt;&lt;subtype&gt;400&lt;/subtype&gt;&lt;title&gt;A distinct transition from cell growth to physiological homeostasis in the tendon.&lt;/title&gt;&lt;url&gt;https://elifesciences.org/articles/48689&lt;/url&gt;&lt;volume&gt;8&lt;/volume&gt;&lt;publication_date&gt;99201909191200000000222000&lt;/publication_date&gt;&lt;uuid&gt;C51A5F96-2FA7-4D28-80E6-D451E5205E1F&lt;/uuid&gt;&lt;type&gt;400&lt;/type&gt;&lt;accepted_date&gt;99201909181200000000222000&lt;/accepted_date&gt;&lt;submission_date&gt;99201905221200000000222000&lt;/submission_date&gt;&lt;doi&gt;10.7554/eLife.48689&lt;/doi&gt;&lt;institution&gt;Center for Regenerative Medicine, Department of Orthopaedic Surgery, Massachusetts General Hospital, Harvard Medical School, Boston, United States.&lt;/institution&gt;&lt;startpage&gt;2716&lt;/startpage&gt;&lt;bundle&gt;&lt;publication&gt;&lt;title&gt;eLife&lt;/title&gt;&lt;uuid&gt;0B89F13D-43C2-432A-94D6-9A61A7064B65&lt;/uuid&gt;&lt;subtype&gt;-100&lt;/subtype&gt;&lt;publisher&gt;eLife Sciences Publications Limited&lt;/publisher&gt;&lt;type&gt;-100&lt;/type&gt;&lt;/publication&gt;&lt;/bundle&gt;&lt;authors&gt;&lt;author&gt;&lt;lastName&gt;Grinstein&lt;/lastName&gt;&lt;firstName&gt;Mor&lt;/firstName&gt;&lt;/author&gt;&lt;author&gt;&lt;lastName&gt;Dingwall&lt;/lastName&gt;&lt;firstName&gt;Heather&lt;/firstName&gt;&lt;middleNames&gt;L&lt;/middleNames&gt;&lt;/author&gt;&lt;author&gt;&lt;lastName&gt;O'Connor&lt;/lastName&gt;&lt;firstName&gt;Luke&lt;/firstName&gt;&lt;middleNames&gt;D&lt;/middleNames&gt;&lt;/author&gt;&lt;author&gt;&lt;lastName&gt;Zou&lt;/lastName&gt;&lt;firstName&gt;Ken&lt;/firstName&gt;&lt;/author&gt;&lt;author&gt;&lt;lastName&gt;Capellini&lt;/lastName&gt;&lt;firstName&gt;Terence&lt;/firstName&gt;&lt;middleNames&gt;Dante&lt;/middleNames&gt;&lt;/author&gt;&lt;author&gt;&lt;lastName&gt;Galloway&lt;/lastName&gt;&lt;firstName&gt;Jenna&lt;/firstName&gt;&lt;middleNames&gt;Lauren&lt;/middleNames&gt;&lt;/author&gt;&lt;/authors&gt;&lt;/publication&gt;&lt;/publications&gt;&lt;cites&gt;&lt;/cites&gt;&lt;/citation&gt;</w:instrText>
      </w:r>
      <w:r w:rsidR="006E2104">
        <w:rPr>
          <w:rFonts w:cs="Times New Roman"/>
        </w:rPr>
        <w:fldChar w:fldCharType="separate"/>
      </w:r>
      <w:r w:rsidR="00A1782A">
        <w:rPr>
          <w:rFonts w:cs="Times New Roman"/>
        </w:rPr>
        <w:t>(14, 27, 28)</w:t>
      </w:r>
      <w:r w:rsidR="006E2104">
        <w:rPr>
          <w:rFonts w:cs="Times New Roman"/>
        </w:rPr>
        <w:fldChar w:fldCharType="end"/>
      </w:r>
      <w:r w:rsidR="000B4CEB">
        <w:rPr>
          <w:rFonts w:cs="Times New Roman"/>
        </w:rPr>
        <w:t>.</w:t>
      </w:r>
      <w:r>
        <w:rPr>
          <w:rFonts w:cs="Times New Roman"/>
        </w:rPr>
        <w:t xml:space="preserve"> </w:t>
      </w:r>
      <w:r w:rsidR="000B4CEB">
        <w:rPr>
          <w:rFonts w:cs="Times New Roman"/>
        </w:rPr>
        <w:t>I</w:t>
      </w:r>
      <w:r>
        <w:rPr>
          <w:rFonts w:cs="Times New Roman"/>
        </w:rPr>
        <w:t>ncreased numbers of tenocytes that occur in response to growth stimuli have been postulated to occur through differentiation of tissue resident progenitor cells into</w:t>
      </w:r>
      <w:r>
        <w:rPr>
          <w:rFonts w:cs="Times New Roman"/>
          <w:color w:val="000000" w:themeColor="text1"/>
        </w:rPr>
        <w:t xml:space="preserve"> tenocytes </w:t>
      </w:r>
      <w:r w:rsidR="006E2104">
        <w:rPr>
          <w:rFonts w:cs="Times New Roman"/>
        </w:rPr>
        <w:fldChar w:fldCharType="begin"/>
      </w:r>
      <w:r w:rsidR="00A1782A">
        <w:rPr>
          <w:rFonts w:cs="Times New Roman"/>
        </w:rPr>
        <w:instrText xml:space="preserve"> ADDIN PAPERS2_CITATIONS &lt;citation&gt;&lt;priority&gt;24&lt;/priority&gt;&lt;uuid&gt;3EAA79EE-DF3F-480A-AD01-2CF98BD34297&lt;/uuid&gt;&lt;publications&gt;&lt;publication&gt;&lt;subtype&gt;400&lt;/subtype&gt;&lt;location&gt;602,0,0,0&lt;/location&gt;&lt;title&gt;Identification of tendon stem/progenitor cells and the role of the extracellular matrix in their niche&lt;/title&gt;&lt;url&gt;http://www.nature.com/doifinder/10.1038/nm1630&lt;/url&gt;&lt;volume&gt;13&lt;/volume&gt;&lt;publication_date&gt;99200710011200000000222000&lt;/publication_date&gt;&lt;uuid&gt;E2EB86FE-F65C-46FA-8427-45E5DF185F8A&lt;/uuid&gt;&lt;type&gt;400&lt;/type&gt;&lt;accepted_date&gt;99200707101200000000222000&lt;/accepted_date&gt;&lt;number&gt;10&lt;/number&gt;&lt;citekey&gt;Bi:2007p214&lt;/citekey&gt;&lt;submission_date&gt;99200701251200000000222000&lt;/submission_date&gt;&lt;doi&gt;10.1038/nm1630&lt;/doi&gt;&lt;institution&gt;Craniofacial and Skeletal Diseases Branch, National Institute of Dental and Craniofacial Research, US National Institutes of Health, 30 Convent Dr. 30/225 MSC 4320, Bethesda, Maryland 20892, USA.&lt;/institution&gt;&lt;startpage&gt;1219&lt;/startpage&gt;&lt;endpage&gt;1227&lt;/endpage&gt;&lt;bundle&gt;&lt;publication&gt;&lt;title&gt;Nature medicine&lt;/title&gt;&lt;uuid&gt;ABC18ABF-74B0-4318-B280-DF531781916D&lt;/uuid&gt;&lt;subtype&gt;-100&lt;/subtype&gt;&lt;publisher&gt;Nature Publishing Group&lt;/publisher&gt;&lt;type&gt;-100&lt;/type&gt;&lt;url&gt;http://www.nature.com&lt;/url&gt;&lt;/publication&gt;&lt;/bundle&gt;&lt;authors&gt;&lt;author&gt;&lt;lastName&gt;Bi&lt;/lastName&gt;&lt;firstName&gt;Yanming&lt;/firstName&gt;&lt;/author&gt;&lt;author&gt;&lt;lastName&gt;Ehirchiou&lt;/lastName&gt;&lt;firstName&gt;Driss&lt;/firstName&gt;&lt;/author&gt;&lt;author&gt;&lt;lastName&gt;Kilts&lt;/lastName&gt;&lt;firstName&gt;Tina&lt;/firstName&gt;&lt;middleNames&gt;M&lt;/middleNames&gt;&lt;/author&gt;&lt;author&gt;&lt;lastName&gt;Inkson&lt;/lastName&gt;&lt;firstName&gt;Colette&lt;/firstName&gt;&lt;middleNames&gt;A&lt;/middleNames&gt;&lt;/author&gt;&lt;author&gt;&lt;lastName&gt;Embree&lt;/lastName&gt;&lt;firstName&gt;Mildred&lt;/firstName&gt;&lt;middleNames&gt;C&lt;/middleNames&gt;&lt;/author&gt;&lt;author&gt;&lt;lastName&gt;Sonoyama&lt;/lastName&gt;&lt;firstName&gt;Wataru&lt;/firstName&gt;&lt;/author&gt;&lt;author&gt;&lt;lastName&gt;Li&lt;/lastName&gt;&lt;firstName&gt;Li&lt;/firstName&gt;&lt;/author&gt;&lt;author&gt;&lt;lastName&gt;Leet&lt;/lastName&gt;&lt;firstName&gt;Arabella&lt;/firstName&gt;&lt;middleNames&gt;I&lt;/middleNames&gt;&lt;/author&gt;&lt;author&gt;&lt;lastName&gt;Seo&lt;/lastName&gt;&lt;firstName&gt;Byoung-Moo&lt;/firstName&gt;&lt;/author&gt;&lt;author&gt;&lt;lastName&gt;Zhang&lt;/lastName&gt;&lt;firstName&gt;Li&lt;/firstName&gt;&lt;/author&gt;&lt;author&gt;&lt;lastName&gt;Shi&lt;/lastName&gt;&lt;firstName&gt;Songtao&lt;/firstName&gt;&lt;/author&gt;&lt;author&gt;&lt;lastName&gt;Young&lt;/lastName&gt;&lt;firstName&gt;Marian&lt;/firstName&gt;&lt;middleNames&gt;F&lt;/middleNames&gt;&lt;/author&gt;&lt;/authors&gt;&lt;/publication&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Home&amp;lt;/a&amp;gt;&amp;lt;/div&amp;gt;&amp;lt;/body&amp;gt;&amp;lt;/html&amp;gt;&lt;/location&gt;&lt;title&gt;In vivo identity of tendon stem cells and the roles of stem cells in tendon healing.&lt;/title&gt;&lt;url&gt;http://eutils.ncbi.nlm.nih.gov/entrez/eutils/elink.fcgi?dbfrom=pubmed&amp;amp;id=23815595&amp;amp;retmode=ref&amp;amp;cmd=prlinks&lt;/url&gt;&lt;volume&gt;22&lt;/volume&gt;&lt;publication_date&gt;99201312011200000000222000&lt;/publication_date&gt;&lt;uuid&gt;57126A27-3038-42A3-AC47-F115160AD79F&lt;/uuid&gt;&lt;type&gt;400&lt;/type&gt;&lt;number&gt;23&lt;/number&gt;&lt;doi&gt;10.1089/scd.2013.0073&lt;/doi&gt;&lt;institution&gt;1 Department of Orthopaedics and Traumatology, The Chinese University of Hong Kong , Hong Kong SAR, China .&lt;/institution&gt;&lt;startpage&gt;3128&lt;/startpage&gt;&lt;endpage&gt;3140&lt;/endpage&gt;&lt;bundle&gt;&lt;publication&gt;&lt;title&gt;Stem cells and development&lt;/title&gt;&lt;uuid&gt;A0B06645-6FDD-4729-B1AA-2A43652354A6&lt;/uuid&gt;&lt;subtype&gt;-100&lt;/subtype&gt;&lt;publisher&gt; Mary Ann Liebert, Inc. 140 Huguenot Street, 3rd Floor New Rochelle, NY 10801 USA&lt;/publisher&gt;&lt;type&gt;-100&lt;/type&gt;&lt;url&gt;http://online.liebertpub.com&lt;/url&gt;&lt;/publication&gt;&lt;/bundle&gt;&lt;authors&gt;&lt;author&gt;&lt;lastName&gt;Tan&lt;/lastName&gt;&lt;firstName&gt;Qi&lt;/firstName&gt;&lt;/author&gt;&lt;author&gt;&lt;lastName&gt;Lui&lt;/lastName&gt;&lt;firstName&gt;Pauline&lt;/firstName&gt;&lt;middleNames&gt;Po Yee&lt;/middleNames&gt;&lt;/author&gt;&lt;author&gt;&lt;lastName&gt;Lee&lt;/lastName&gt;&lt;firstName&gt;Yuk&lt;/firstName&gt;&lt;middleNames&gt;Wa&lt;/middleNames&gt;&lt;/author&gt;&lt;/authors&gt;&lt;/publication&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gt;&lt;subtype&gt;400&lt;/subtype&gt;&lt;title&gt;Harnessing endogenous stem/progenitor cells for tendon regeneration.&lt;/title&gt;&lt;url&gt;http://www.jci.org/articles/view/81589&lt;/url&gt;&lt;volume&gt;125&lt;/volume&gt;&lt;publication_date&gt;99201507011200000000222000&lt;/publication_date&gt;&lt;uuid&gt;799AED72-5CB3-4472-9262-60C4575678EF&lt;/uuid&gt;&lt;type&gt;400&lt;/type&gt;&lt;accepted_date&gt;99201504301200000000222000&lt;/accepted_date&gt;&lt;number&gt;7&lt;/number&gt;&lt;submission_date&gt;99201502201200000000222000&lt;/submission_date&gt;&lt;doi&gt;10.1172/JCI81589&lt;/doi&gt;&lt;startpage&gt;2690&lt;/startpage&gt;&lt;endpage&gt;2701&lt;/endpage&gt;&lt;bundle&gt;&lt;publication&gt;&lt;title&gt;The Journal of clinical investigation&lt;/title&gt;&lt;uuid&gt;0E144D7C-E87A-4B6E-89AB-38B969BBB1BA&lt;/uuid&gt;&lt;subtype&gt;-100&lt;/subtype&gt;&lt;type&gt;-100&lt;/type&gt;&lt;/publication&gt;&lt;/bundle&gt;&lt;authors&gt;&lt;author&gt;&lt;lastName&gt;Lee&lt;/lastName&gt;&lt;firstName&gt;Chang&lt;/firstName&gt;&lt;middleNames&gt;H&lt;/middleNames&gt;&lt;/author&gt;&lt;author&gt;&lt;lastName&gt;Lee&lt;/lastName&gt;&lt;firstName&gt;Francis&lt;/firstName&gt;&lt;middleNames&gt;Y&lt;/middleNames&gt;&lt;/author&gt;&lt;author&gt;&lt;lastName&gt;Tarafder&lt;/lastName&gt;&lt;firstName&gt;Solaiman&lt;/firstName&gt;&lt;/author&gt;&lt;author&gt;&lt;lastName&gt;Kao&lt;/lastName&gt;&lt;firstName&gt;Kristy&lt;/firstName&gt;&lt;/author&gt;&lt;author&gt;&lt;lastName&gt;Jun&lt;/lastName&gt;&lt;firstName&gt;Yena&lt;/firstName&gt;&lt;/author&gt;&lt;author&gt;&lt;lastName&gt;Yang&lt;/lastName&gt;&lt;firstName&gt;Guodong&lt;/firstName&gt;&lt;/author&gt;&lt;author&gt;&lt;lastName&gt;Mao&lt;/lastName&gt;&lt;firstName&gt;Jeremy&lt;/firstName&gt;&lt;middleNames&gt;J&lt;/middleNames&gt;&lt;/author&gt;&lt;/authors&gt;&lt;/publication&gt;&lt;publication&gt;&lt;subtype&gt;400&lt;/subtype&gt;&lt;title&gt;A distinct transition from cell growth to physiological homeostasis in the tendon.&lt;/title&gt;&lt;url&gt;https://elifesciences.org/articles/48689&lt;/url&gt;&lt;volume&gt;8&lt;/volume&gt;&lt;publication_date&gt;99201909191200000000222000&lt;/publication_date&gt;&lt;uuid&gt;C51A5F96-2FA7-4D28-80E6-D451E5205E1F&lt;/uuid&gt;&lt;type&gt;400&lt;/type&gt;&lt;accepted_date&gt;99201909181200000000222000&lt;/accepted_date&gt;&lt;submission_date&gt;99201905221200000000222000&lt;/submission_date&gt;&lt;doi&gt;10.7554/eLife.48689&lt;/doi&gt;&lt;institution&gt;Center for Regenerative Medicine, Department of Orthopaedic Surgery, Massachusetts General Hospital, Harvard Medical School, Boston, United States.&lt;/institution&gt;&lt;startpage&gt;2716&lt;/startpage&gt;&lt;bundle&gt;&lt;publication&gt;&lt;title&gt;eLife&lt;/title&gt;&lt;uuid&gt;0B89F13D-43C2-432A-94D6-9A61A7064B65&lt;/uuid&gt;&lt;subtype&gt;-100&lt;/subtype&gt;&lt;publisher&gt;eLife Sciences Publications Limited&lt;/publisher&gt;&lt;type&gt;-100&lt;/type&gt;&lt;/publication&gt;&lt;/bundle&gt;&lt;authors&gt;&lt;author&gt;&lt;lastName&gt;Grinstein&lt;/lastName&gt;&lt;firstName&gt;Mor&lt;/firstName&gt;&lt;/author&gt;&lt;author&gt;&lt;lastName&gt;Dingwall&lt;/lastName&gt;&lt;firstName&gt;Heather&lt;/firstName&gt;&lt;middleNames&gt;L&lt;/middleNames&gt;&lt;/author&gt;&lt;author&gt;&lt;lastName&gt;O'Connor&lt;/lastName&gt;&lt;firstName&gt;Luke&lt;/firstName&gt;&lt;middleNames&gt;D&lt;/middleNames&gt;&lt;/author&gt;&lt;author&gt;&lt;lastName&gt;Zou&lt;/lastName&gt;&lt;firstName&gt;Ken&lt;/firstName&gt;&lt;/author&gt;&lt;author&gt;&lt;lastName&gt;Capellini&lt;/lastName&gt;&lt;firstName&gt;Terence&lt;/firstName&gt;&lt;middleNames&gt;Dante&lt;/middleNames&gt;&lt;/author&gt;&lt;author&gt;&lt;lastName&gt;Galloway&lt;/lastName&gt;&lt;firstName&gt;Jenna&lt;/firstName&gt;&lt;middleNames&gt;Lauren&lt;/middleNames&gt;&lt;/author&gt;&lt;/authors&gt;&lt;/publication&gt;&lt;/publications&gt;&lt;cites&gt;&lt;/cites&gt;&lt;/citation&gt;</w:instrText>
      </w:r>
      <w:r w:rsidR="006E2104">
        <w:rPr>
          <w:rFonts w:cs="Times New Roman"/>
        </w:rPr>
        <w:fldChar w:fldCharType="separate"/>
      </w:r>
      <w:r w:rsidR="00A1782A">
        <w:rPr>
          <w:rFonts w:cs="Times New Roman"/>
        </w:rPr>
        <w:t>(15, 18, 19, 28, 29)</w:t>
      </w:r>
      <w:r w:rsidR="006E2104">
        <w:rPr>
          <w:rFonts w:cs="Times New Roman"/>
        </w:rPr>
        <w:fldChar w:fldCharType="end"/>
      </w:r>
      <w:r>
        <w:rPr>
          <w:rFonts w:cs="Times New Roman"/>
          <w:color w:val="000000" w:themeColor="text1"/>
        </w:rPr>
        <w:t xml:space="preserve">. </w:t>
      </w:r>
      <w:r w:rsidR="008D3567">
        <w:t>TGFβ signaling plays an important role in the proper embryonic development of tendons by regulati</w:t>
      </w:r>
      <w:r w:rsidR="00AD0040">
        <w:t>ng</w:t>
      </w:r>
      <w:r w:rsidR="008D3567">
        <w:t xml:space="preserve"> scleraxis and other signaling events</w:t>
      </w:r>
      <w:r w:rsidR="00602C64">
        <w:t xml:space="preserve"> </w:t>
      </w:r>
      <w:r w:rsidR="00A1782A">
        <w:rPr>
          <w:rFonts w:cs="Times New Roman"/>
        </w:rPr>
        <w:fldChar w:fldCharType="begin"/>
      </w:r>
      <w:r w:rsidR="00A1782A">
        <w:rPr>
          <w:rFonts w:cs="Times New Roman"/>
        </w:rPr>
        <w:instrText xml:space="preserve"> ADDIN PAPERS2_CITATIONS &lt;citation&gt;&lt;priority&gt;24&lt;/priority&gt;&lt;uuid&gt;C5D5F08C-F6EC-4B21-A6EB-4A5C70811AA1&lt;/uuid&gt;&lt;publications&gt;&lt;publication&gt;&lt;subtype&gt;400&lt;/subtype&gt;&lt;title&gt;Tgfβ signaling is critical for maintenance of the tendon cell fate.&lt;/title&gt;&lt;url&gt;https://elifesciences.org/articles/52695&lt;/url&gt;&lt;volume&gt;9&lt;/volume&gt;&lt;publication_date&gt;99202001211200000000222000&lt;/publication_date&gt;&lt;uuid&gt;0CB44AB9-481F-4472-B496-859F04D665E3&lt;/uuid&gt;&lt;type&gt;400&lt;/type&gt;&lt;accepted_date&gt;99202001171200000000222000&lt;/accepted_date&gt;&lt;submission_date&gt;99201910121200000000222000&lt;/submission_date&gt;&lt;doi&gt;10.7554/eLife.52695&lt;/doi&gt;&lt;institution&gt;Research Division, Shriners Hospital for Children, Portland, United States.&lt;/institution&gt;&lt;startpage&gt;7025&lt;/startpage&gt;&lt;bundle&gt;&lt;publication&gt;&lt;title&gt;eLife&lt;/title&gt;&lt;uuid&gt;0B89F13D-43C2-432A-94D6-9A61A7064B65&lt;/uuid&gt;&lt;subtype&gt;-100&lt;/subtype&gt;&lt;publisher&gt;eLife Sciences Publications Limited&lt;/publisher&gt;&lt;type&gt;-100&lt;/type&gt;&lt;/publication&gt;&lt;/bundle&gt;&lt;authors&gt;&lt;author&gt;&lt;lastName&gt;Tan&lt;/lastName&gt;&lt;firstName&gt;Guak-Kim&lt;/firstName&gt;&lt;/author&gt;&lt;author&gt;&lt;lastName&gt;Pryce&lt;/lastName&gt;&lt;firstName&gt;Brian&lt;/firstName&gt;&lt;middleNames&gt;A&lt;/middleNames&gt;&lt;/author&gt;&lt;author&gt;&lt;lastName&gt;Stabio&lt;/lastName&gt;&lt;firstName&gt;Anna&lt;/firstName&gt;&lt;/author&gt;&lt;author&gt;&lt;lastName&gt;Brigande&lt;/lastName&gt;&lt;firstName&gt;John&lt;/firstName&gt;&lt;middleNames&gt;V&lt;/middleNames&gt;&lt;/author&gt;&lt;author&gt;&lt;lastName&gt;Wang&lt;/lastName&gt;&lt;firstName&gt;ChaoJie&lt;/firstName&gt;&lt;/author&gt;&lt;author&gt;&lt;lastName&gt;Xia&lt;/lastName&gt;&lt;firstName&gt;Zheng&lt;/firstName&gt;&lt;/author&gt;&lt;author&gt;&lt;lastName&gt;Tufa&lt;/lastName&gt;&lt;firstName&gt;Sara&lt;/firstName&gt;&lt;middleNames&gt;F&lt;/middleNames&gt;&lt;/author&gt;&lt;author&gt;&lt;lastName&gt;Keene&lt;/lastName&gt;&lt;firstName&gt;Douglas&lt;/firstName&gt;&lt;middleNames&gt;R&lt;/middleNames&gt;&lt;/author&gt;&lt;author&gt;&lt;lastName&gt;Schweitzer&lt;/lastName&gt;&lt;firstName&gt;Ronen&lt;/firstName&gt;&lt;/author&gt;&lt;/authors&gt;&lt;/publication&gt;&lt;publication&gt;&lt;subtype&gt;400&lt;/subtype&gt;&lt;location&gt;200,5,45.4874111,-122.6875541&lt;/location&gt;&lt;title&gt;Recruitment and maintenance of tendon progenitors by TGF{beta} signaling are essential for tendon formation&lt;/title&gt;&lt;url&gt;http://www.ncbi.nlm.nih.gov/entrez/query.fcgi?db=pubmed&amp;amp;cmd=Retrieve&amp;amp;dopt=AbstractPlus&amp;amp;list_uids=19304887&lt;/url&gt;&lt;volume&gt;136&lt;/volume&gt;&lt;publication_date&gt;99200904011200000000222000&lt;/publication_date&gt;&lt;uuid&gt;A207F101-77F6-4248-8ABE-F816F23FF7C5&lt;/uuid&gt;&lt;type&gt;400&lt;/type&gt;&lt;number&gt;8&lt;/number&gt;&lt;citekey&gt;Pryce:2009p489&lt;/citekey&gt;&lt;doi&gt;10.1242/dev.027342&lt;/doi&gt;&lt;institution&gt;Shriners Hospital for Children, Research Division, Portland, OR 97239, USA.&lt;/institution&gt;&lt;startpage&gt;1351&lt;/startpage&gt;&lt;endpage&gt;1361&lt;/endpage&gt;&lt;bundle&gt;&lt;publication&gt;&lt;title&gt;Development (Cambridge, England)&lt;/title&gt;&lt;uuid&gt;33F6C469-3741-40AA-BD88-1436B1CFA4F5&lt;/uuid&gt;&lt;subtype&gt;-200&lt;/subtype&gt;&lt;type&gt;-200&lt;/type&gt;&lt;/publication&gt;&lt;/bundle&gt;&lt;authors&gt;&lt;author&gt;&lt;lastName&gt;Pryce&lt;/lastName&gt;&lt;firstName&gt;Brian&lt;/firstName&gt;&lt;middleNames&gt;A&lt;/middleNames&gt;&lt;/author&gt;&lt;author&gt;&lt;lastName&gt;Watson&lt;/lastName&gt;&lt;firstName&gt;Spencer&lt;/firstName&gt;&lt;middleNames&gt;S&lt;/middleNames&gt;&lt;/author&gt;&lt;author&gt;&lt;lastName&gt;Murchison&lt;/lastName&gt;&lt;firstName&gt;Nicholas&lt;/firstName&gt;&lt;middleNames&gt;D&lt;/middleNames&gt;&lt;/author&gt;&lt;author&gt;&lt;lastName&gt;Staverosky&lt;/lastName&gt;&lt;firstName&gt;Julia&lt;/firstName&gt;&lt;middleNames&gt;A&lt;/middleNames&gt;&lt;/author&gt;&lt;author&gt;&lt;lastName&gt;Dünker&lt;/lastName&gt;&lt;firstName&gt;Nicole&lt;/firstName&gt;&lt;/author&gt;&lt;author&gt;&lt;lastName&gt;Schweitzer&lt;/lastName&gt;&lt;firstName&gt;Ronen&lt;/firstName&gt;&lt;/author&gt;&lt;/authors&gt;&lt;/publication&gt;&lt;/publications&gt;&lt;cites&gt;&lt;/cites&gt;&lt;/citation&gt;</w:instrText>
      </w:r>
      <w:r w:rsidR="00A1782A">
        <w:rPr>
          <w:rFonts w:cs="Times New Roman"/>
        </w:rPr>
        <w:fldChar w:fldCharType="separate"/>
      </w:r>
      <w:r w:rsidR="00A1782A">
        <w:rPr>
          <w:rFonts w:cs="Times New Roman"/>
        </w:rPr>
        <w:t>(9, 20)</w:t>
      </w:r>
      <w:r w:rsidR="00A1782A">
        <w:rPr>
          <w:rFonts w:cs="Times New Roman"/>
        </w:rPr>
        <w:fldChar w:fldCharType="end"/>
      </w:r>
      <w:r w:rsidR="00AD0040">
        <w:t>.</w:t>
      </w:r>
      <w:r w:rsidR="008D3567">
        <w:t xml:space="preserve"> </w:t>
      </w:r>
      <w:r w:rsidR="00AD0040">
        <w:t>P</w:t>
      </w:r>
      <w:r w:rsidR="008D3567">
        <w:t xml:space="preserve">athway enrichment analysis in the current study demonstrated </w:t>
      </w:r>
      <w:r w:rsidR="00602C64">
        <w:t xml:space="preserve">a potentially important role for </w:t>
      </w:r>
      <w:r w:rsidR="00AD0040">
        <w:t>TGFβ</w:t>
      </w:r>
      <w:r w:rsidR="00602C64">
        <w:t xml:space="preserve"> signaling and other pathways such as IL1, IL6, p38 MAPK, and STAT3 in postnatal tendon growth. </w:t>
      </w:r>
      <w:r>
        <w:rPr>
          <w:rFonts w:cs="Times New Roman"/>
          <w:color w:val="000000" w:themeColor="text1"/>
        </w:rPr>
        <w:t xml:space="preserve">Several studies have suggested that one of the </w:t>
      </w:r>
      <w:r>
        <w:rPr>
          <w:rFonts w:cs="Times New Roman"/>
          <w:color w:val="000000" w:themeColor="text1"/>
        </w:rPr>
        <w:lastRenderedPageBreak/>
        <w:t>populations of progenitor cells in adult tendon tissue are CD146</w:t>
      </w:r>
      <w:r w:rsidRPr="00123EFC">
        <w:rPr>
          <w:rFonts w:cs="Times New Roman"/>
          <w:color w:val="000000" w:themeColor="text1"/>
          <w:vertAlign w:val="superscript"/>
        </w:rPr>
        <w:t>+</w:t>
      </w:r>
      <w:r>
        <w:rPr>
          <w:rFonts w:cs="Times New Roman"/>
          <w:color w:val="000000" w:themeColor="text1"/>
        </w:rPr>
        <w:t xml:space="preserve"> </w:t>
      </w:r>
      <w:r w:rsidR="00AC27D5">
        <w:rPr>
          <w:rFonts w:cs="Times New Roman"/>
          <w:color w:val="000000" w:themeColor="text1"/>
        </w:rPr>
        <w:t>pericytes</w:t>
      </w:r>
      <w:r>
        <w:rPr>
          <w:rFonts w:cs="Times New Roman"/>
          <w:color w:val="000000" w:themeColor="text1"/>
        </w:rPr>
        <w:t xml:space="preserve">, located adjacent to tendon vasculature </w:t>
      </w:r>
      <w:r w:rsidR="006E2104">
        <w:rPr>
          <w:rFonts w:cs="Times New Roman"/>
        </w:rPr>
        <w:fldChar w:fldCharType="begin"/>
      </w:r>
      <w:r w:rsidR="00A1782A">
        <w:rPr>
          <w:rFonts w:cs="Times New Roman"/>
        </w:rPr>
        <w:instrText xml:space="preserve"> ADDIN PAPERS2_CITATIONS &lt;citation&gt;&lt;priority&gt;25&lt;/priority&gt;&lt;uuid&gt;5527C1EC-6BBB-4F01-A66C-6E66CB34384A&lt;/uuid&gt;&lt;publications&gt;&lt;publication&gt;&lt;subtype&gt;400&lt;/subtype&gt;&lt;location&gt;&amp;lt;html&amp;gt;&amp;lt;head&amp;gt;&amp;lt;meta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Home&amp;lt;/a&amp;gt;&amp;lt;/div&amp;gt;&amp;lt;/body&amp;gt;&amp;lt;/html&amp;gt;&lt;/location&gt;&lt;title&gt;In vivo identity of tendon stem cells and the roles of stem cells in tendon healing.&lt;/title&gt;&lt;url&gt;http://eutils.ncbi.nlm.nih.gov/entrez/eutils/elink.fcgi?dbfrom=pubmed&amp;amp;id=23815595&amp;amp;retmode=ref&amp;amp;cmd=prlinks&lt;/url&gt;&lt;volume&gt;22&lt;/volume&gt;&lt;publication_date&gt;99201312011200000000222000&lt;/publication_date&gt;&lt;uuid&gt;57126A27-3038-42A3-AC47-F115160AD79F&lt;/uuid&gt;&lt;type&gt;400&lt;/type&gt;&lt;number&gt;23&lt;/number&gt;&lt;doi&gt;10.1089/scd.2013.0073&lt;/doi&gt;&lt;institution&gt;1 Department of Orthopaedics and Traumatology, The Chinese University of Hong Kong , Hong Kong SAR, China .&lt;/institution&gt;&lt;startpage&gt;3128&lt;/startpage&gt;&lt;endpage&gt;3140&lt;/endpage&gt;&lt;bundle&gt;&lt;publication&gt;&lt;title&gt;Stem cells and development&lt;/title&gt;&lt;uuid&gt;A0B06645-6FDD-4729-B1AA-2A43652354A6&lt;/uuid&gt;&lt;subtype&gt;-100&lt;/subtype&gt;&lt;publisher&gt; Mary Ann Liebert, Inc. 140 Huguenot Street, 3rd Floor New Rochelle, NY 10801 USA&lt;/publisher&gt;&lt;type&gt;-100&lt;/type&gt;&lt;url&gt;http://online.liebertpub.com&lt;/url&gt;&lt;/publication&gt;&lt;/bundle&gt;&lt;authors&gt;&lt;author&gt;&lt;lastName&gt;Tan&lt;/lastName&gt;&lt;firstName&gt;Qi&lt;/firstName&gt;&lt;/author&gt;&lt;author&gt;&lt;lastName&gt;Lui&lt;/lastName&gt;&lt;firstName&gt;Pauline&lt;/firstName&gt;&lt;middleNames&gt;Po Yee&lt;/middleNames&gt;&lt;/author&gt;&lt;author&gt;&lt;lastName&gt;Lee&lt;/lastName&gt;&lt;firstName&gt;Yuk&lt;/firstName&gt;&lt;middleNames&gt;Wa&lt;/middleNames&gt;&lt;/author&gt;&lt;/authors&gt;&lt;/publication&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gt;&lt;subtype&gt;400&lt;/subtype&gt;&lt;title&gt;Harnessing endogenous stem/progenitor cells for tendon regeneration.&lt;/title&gt;&lt;url&gt;http://www.jci.org/articles/view/81589&lt;/url&gt;&lt;volume&gt;125&lt;/volume&gt;&lt;publication_date&gt;99201507011200000000222000&lt;/publication_date&gt;&lt;uuid&gt;799AED72-5CB3-4472-9262-60C4575678EF&lt;/uuid&gt;&lt;type&gt;400&lt;/type&gt;&lt;accepted_date&gt;99201504301200000000222000&lt;/accepted_date&gt;&lt;number&gt;7&lt;/number&gt;&lt;submission_date&gt;99201502201200000000222000&lt;/submission_date&gt;&lt;doi&gt;10.1172/JCI81589&lt;/doi&gt;&lt;startpage&gt;2690&lt;/startpage&gt;&lt;endpage&gt;2701&lt;/endpage&gt;&lt;bundle&gt;&lt;publication&gt;&lt;title&gt;The Journal of clinical investigation&lt;/title&gt;&lt;uuid&gt;0E144D7C-E87A-4B6E-89AB-38B969BBB1BA&lt;/uuid&gt;&lt;subtype&gt;-100&lt;/subtype&gt;&lt;type&gt;-100&lt;/type&gt;&lt;/publication&gt;&lt;/bundle&gt;&lt;authors&gt;&lt;author&gt;&lt;lastName&gt;Lee&lt;/lastName&gt;&lt;firstName&gt;Chang&lt;/firstName&gt;&lt;middleNames&gt;H&lt;/middleNames&gt;&lt;/author&gt;&lt;author&gt;&lt;lastName&gt;Lee&lt;/lastName&gt;&lt;firstName&gt;Francis&lt;/firstName&gt;&lt;middleNames&gt;Y&lt;/middleNames&gt;&lt;/author&gt;&lt;author&gt;&lt;lastName&gt;Tarafder&lt;/lastName&gt;&lt;firstName&gt;Solaiman&lt;/firstName&gt;&lt;/author&gt;&lt;author&gt;&lt;lastName&gt;Kao&lt;/lastName&gt;&lt;firstName&gt;Kristy&lt;/firstName&gt;&lt;/author&gt;&lt;author&gt;&lt;lastName&gt;Jun&lt;/lastName&gt;&lt;firstName&gt;Yena&lt;/firstName&gt;&lt;/author&gt;&lt;author&gt;&lt;lastName&gt;Yang&lt;/lastName&gt;&lt;firstName&gt;Guodong&lt;/firstName&gt;&lt;/author&gt;&lt;author&gt;&lt;lastName&gt;Mao&lt;/lastName&gt;&lt;firstName&gt;Jeremy&lt;/firstName&gt;&lt;middleNames&gt;J&lt;/middleNames&gt;&lt;/author&gt;&lt;/authors&gt;&lt;/publication&gt;&lt;publication&gt;&lt;subtype&gt;400&lt;/subtype&gt;&lt;title&gt;Tendon stem/progenitor cells regulate inflammation in tendon healing via JNK and STAT3 signaling.&lt;/title&gt;&lt;url&gt;http://www.fasebj.org/lookup/doi/10.1096/fj.201700071R&lt;/url&gt;&lt;volume&gt;31&lt;/volume&gt;&lt;publication_date&gt;99201709001200000000220000&lt;/publication_date&gt;&lt;uuid&gt;602DFB84-60A4-4EA5-85B9-AC839D81545D&lt;/uuid&gt;&lt;type&gt;400&lt;/type&gt;&lt;accepted_date&gt;99201705011200000000222000&lt;/accepted_date&gt;&lt;number&gt;9&lt;/number&gt;&lt;submission_date&gt;99201701261200000000222000&lt;/submission_date&gt;&lt;doi&gt;10.1096/fj.201700071R&lt;/doi&gt;&lt;institution&gt;Regenerative Engineering Laboratory, Columbia University Irving Medical Center, New York, New York, USA.&lt;/institution&gt;&lt;startpage&gt;3991&lt;/startpage&gt;&lt;endpage&gt;3998&lt;/endpage&gt;&lt;bundle&gt;&lt;publication&gt;&lt;title&gt;The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Tarafder&lt;/lastName&gt;&lt;firstName&gt;Solaiman&lt;/firstName&gt;&lt;/author&gt;&lt;author&gt;&lt;lastName&gt;Chen&lt;/lastName&gt;&lt;firstName&gt;Esther&lt;/firstName&gt;&lt;/author&gt;&lt;author&gt;&lt;lastName&gt;Jun&lt;/lastName&gt;&lt;firstName&gt;Yena&lt;/firstName&gt;&lt;/author&gt;&lt;author&gt;&lt;lastName&gt;Kao&lt;/lastName&gt;&lt;firstName&gt;Kristy&lt;/firstName&gt;&lt;/author&gt;&lt;author&gt;&lt;lastName&gt;Sim&lt;/lastName&gt;&lt;firstName&gt;Kun&lt;/firstName&gt;&lt;middleNames&gt;Hee&lt;/middleNames&gt;&lt;/author&gt;&lt;author&gt;&lt;lastName&gt;Back&lt;/lastName&gt;&lt;firstName&gt;Jungho&lt;/firstName&gt;&lt;/author&gt;&lt;author&gt;&lt;lastName&gt;Lee&lt;/lastName&gt;&lt;firstName&gt;Francis&lt;/firstName&gt;&lt;middleNames&gt;Y&lt;/middleNames&gt;&lt;/author&gt;&lt;author&gt;&lt;lastName&gt;Lee&lt;/lastName&gt;&lt;firstName&gt;Chang&lt;/firstName&gt;&lt;middleNames&gt;H&lt;/middleNames&gt;&lt;/author&gt;&lt;/authors&gt;&lt;/publication&gt;&lt;/publications&gt;&lt;cites&gt;&lt;/cites&gt;&lt;/citation&gt;</w:instrText>
      </w:r>
      <w:r w:rsidR="006E2104">
        <w:rPr>
          <w:rFonts w:cs="Times New Roman"/>
        </w:rPr>
        <w:fldChar w:fldCharType="separate"/>
      </w:r>
      <w:r w:rsidR="00A1782A">
        <w:rPr>
          <w:rFonts w:cs="Times New Roman"/>
        </w:rPr>
        <w:t>(15, 18, 19, 30)</w:t>
      </w:r>
      <w:r w:rsidR="006E2104">
        <w:rPr>
          <w:rFonts w:cs="Times New Roman"/>
        </w:rPr>
        <w:fldChar w:fldCharType="end"/>
      </w:r>
      <w:r>
        <w:rPr>
          <w:rFonts w:cs="Times New Roman"/>
          <w:color w:val="000000" w:themeColor="text1"/>
        </w:rPr>
        <w:t xml:space="preserve">. </w:t>
      </w:r>
      <w:r w:rsidRPr="00123EFC">
        <w:rPr>
          <w:rFonts w:cs="Times New Roman"/>
          <w:color w:val="000000" w:themeColor="text1"/>
        </w:rPr>
        <w:t xml:space="preserve">In a rat model of patellar tendon injury and repair, these cells participate in tenogenic differentiation when stimulated with CTGF </w:t>
      </w:r>
      <w:r w:rsidR="006E2104">
        <w:rPr>
          <w:rFonts w:cs="Times New Roman"/>
        </w:rPr>
        <w:fldChar w:fldCharType="begin"/>
      </w:r>
      <w:r w:rsidR="00A1782A">
        <w:rPr>
          <w:rFonts w:cs="Times New Roman"/>
        </w:rPr>
        <w:instrText xml:space="preserve"> ADDIN PAPERS2_CITATIONS &lt;citation&gt;&lt;priority&gt;26&lt;/priority&gt;&lt;uuid&gt;BBA05212-FA6E-4288-B44B-A43E99432A82&lt;/uuid&gt;&lt;publications&gt;&lt;publication&gt;&lt;subtype&gt;400&lt;/subtype&gt;&lt;title&gt;Harnessing endogenous stem/progenitor cells for tendon regeneration.&lt;/title&gt;&lt;url&gt;http://www.jci.org/articles/view/81589&lt;/url&gt;&lt;volume&gt;125&lt;/volume&gt;&lt;publication_date&gt;99201507011200000000222000&lt;/publication_date&gt;&lt;uuid&gt;799AED72-5CB3-4472-9262-60C4575678EF&lt;/uuid&gt;&lt;type&gt;400&lt;/type&gt;&lt;accepted_date&gt;99201504301200000000222000&lt;/accepted_date&gt;&lt;number&gt;7&lt;/number&gt;&lt;submission_date&gt;99201502201200000000222000&lt;/submission_date&gt;&lt;doi&gt;10.1172/JCI81589&lt;/doi&gt;&lt;startpage&gt;2690&lt;/startpage&gt;&lt;endpage&gt;2701&lt;/endpage&gt;&lt;bundle&gt;&lt;publication&gt;&lt;title&gt;The Journal of clinical investigation&lt;/title&gt;&lt;uuid&gt;0E144D7C-E87A-4B6E-89AB-38B969BBB1BA&lt;/uuid&gt;&lt;subtype&gt;-100&lt;/subtype&gt;&lt;type&gt;-100&lt;/type&gt;&lt;/publication&gt;&lt;/bundle&gt;&lt;authors&gt;&lt;author&gt;&lt;lastName&gt;Lee&lt;/lastName&gt;&lt;firstName&gt;Chang&lt;/firstName&gt;&lt;middleNames&gt;H&lt;/middleNames&gt;&lt;/author&gt;&lt;author&gt;&lt;lastName&gt;Lee&lt;/lastName&gt;&lt;firstName&gt;Francis&lt;/firstName&gt;&lt;middleNames&gt;Y&lt;/middleNames&gt;&lt;/author&gt;&lt;author&gt;&lt;lastName&gt;Tarafder&lt;/lastName&gt;&lt;firstName&gt;Solaiman&lt;/firstName&gt;&lt;/author&gt;&lt;author&gt;&lt;lastName&gt;Kao&lt;/lastName&gt;&lt;firstName&gt;Kristy&lt;/firstName&gt;&lt;/author&gt;&lt;author&gt;&lt;lastName&gt;Jun&lt;/lastName&gt;&lt;firstName&gt;Yena&lt;/firstName&gt;&lt;/author&gt;&lt;author&gt;&lt;lastName&gt;Yang&lt;/lastName&gt;&lt;firstName&gt;Guodong&lt;/firstName&gt;&lt;/author&gt;&lt;author&gt;&lt;lastName&gt;Mao&lt;/lastName&gt;&lt;firstName&gt;Jeremy&lt;/firstName&gt;&lt;middleNames&gt;J&lt;/middleNames&gt;&lt;/author&gt;&lt;/authors&gt;&lt;/publication&gt;&lt;/publications&gt;&lt;cites&gt;&lt;/cites&gt;&lt;/citation&gt;</w:instrText>
      </w:r>
      <w:r w:rsidR="006E2104">
        <w:rPr>
          <w:rFonts w:cs="Times New Roman"/>
        </w:rPr>
        <w:fldChar w:fldCharType="separate"/>
      </w:r>
      <w:r w:rsidR="00A1782A">
        <w:rPr>
          <w:rFonts w:cs="Times New Roman"/>
        </w:rPr>
        <w:t>(18)</w:t>
      </w:r>
      <w:r w:rsidR="006E2104">
        <w:rPr>
          <w:rFonts w:cs="Times New Roman"/>
        </w:rPr>
        <w:fldChar w:fldCharType="end"/>
      </w:r>
      <w:r w:rsidRPr="00123EFC">
        <w:rPr>
          <w:rFonts w:cs="Times New Roman"/>
          <w:color w:val="000000" w:themeColor="text1"/>
        </w:rPr>
        <w:t>. In the patellar tendon, approximately 0.8% of cells are CD146</w:t>
      </w:r>
      <w:r w:rsidRPr="009836B3">
        <w:rPr>
          <w:rFonts w:cs="Times New Roman"/>
          <w:color w:val="000000" w:themeColor="text1"/>
          <w:vertAlign w:val="superscript"/>
        </w:rPr>
        <w:t>+</w:t>
      </w:r>
      <w:r>
        <w:rPr>
          <w:rFonts w:cs="Times New Roman"/>
          <w:color w:val="000000" w:themeColor="text1"/>
        </w:rPr>
        <w:t xml:space="preserve"> </w:t>
      </w:r>
      <w:r w:rsidR="006E2104">
        <w:rPr>
          <w:rFonts w:cs="Times New Roman"/>
        </w:rPr>
        <w:fldChar w:fldCharType="begin"/>
      </w:r>
      <w:r w:rsidR="00A1782A">
        <w:rPr>
          <w:rFonts w:cs="Times New Roman"/>
        </w:rPr>
        <w:instrText xml:space="preserve"> ADDIN PAPERS2_CITATIONS &lt;citation&gt;&lt;priority&gt;27&lt;/priority&gt;&lt;uuid&gt;D5C7A1BB-F836-4711-B46B-E8F6BBE17B03&lt;/uuid&gt;&lt;publications&gt;&lt;publication&gt;&lt;subtype&gt;400&lt;/subtype&gt;&lt;title&gt;Harnessing endogenous stem/progenitor cells for tendon regeneration.&lt;/title&gt;&lt;url&gt;http://www.jci.org/articles/view/81589&lt;/url&gt;&lt;volume&gt;125&lt;/volume&gt;&lt;publication_date&gt;99201507011200000000222000&lt;/publication_date&gt;&lt;uuid&gt;799AED72-5CB3-4472-9262-60C4575678EF&lt;/uuid&gt;&lt;type&gt;400&lt;/type&gt;&lt;accepted_date&gt;99201504301200000000222000&lt;/accepted_date&gt;&lt;number&gt;7&lt;/number&gt;&lt;submission_date&gt;99201502201200000000222000&lt;/submission_date&gt;&lt;doi&gt;10.1172/JCI81589&lt;/doi&gt;&lt;startpage&gt;2690&lt;/startpage&gt;&lt;endpage&gt;2701&lt;/endpage&gt;&lt;bundle&gt;&lt;publication&gt;&lt;title&gt;The Journal of clinical investigation&lt;/title&gt;&lt;uuid&gt;0E144D7C-E87A-4B6E-89AB-38B969BBB1BA&lt;/uuid&gt;&lt;subtype&gt;-100&lt;/subtype&gt;&lt;type&gt;-100&lt;/type&gt;&lt;/publication&gt;&lt;/bundle&gt;&lt;authors&gt;&lt;author&gt;&lt;lastName&gt;Lee&lt;/lastName&gt;&lt;firstName&gt;Chang&lt;/firstName&gt;&lt;middleNames&gt;H&lt;/middleNames&gt;&lt;/author&gt;&lt;author&gt;&lt;lastName&gt;Lee&lt;/lastName&gt;&lt;firstName&gt;Francis&lt;/firstName&gt;&lt;middleNames&gt;Y&lt;/middleNames&gt;&lt;/author&gt;&lt;author&gt;&lt;lastName&gt;Tarafder&lt;/lastName&gt;&lt;firstName&gt;Solaiman&lt;/firstName&gt;&lt;/author&gt;&lt;author&gt;&lt;lastName&gt;Kao&lt;/lastName&gt;&lt;firstName&gt;Kristy&lt;/firstName&gt;&lt;/author&gt;&lt;author&gt;&lt;lastName&gt;Jun&lt;/lastName&gt;&lt;firstName&gt;Yena&lt;/firstName&gt;&lt;/author&gt;&lt;author&gt;&lt;lastName&gt;Yang&lt;/lastName&gt;&lt;firstName&gt;Guodong&lt;/firstName&gt;&lt;/author&gt;&lt;author&gt;&lt;lastName&gt;Mao&lt;/lastName&gt;&lt;firstName&gt;Jeremy&lt;/firstName&gt;&lt;middleNames&gt;J&lt;/middleNames&gt;&lt;/author&gt;&lt;/authors&gt;&lt;/publication&gt;&lt;/publications&gt;&lt;cites&gt;&lt;/cites&gt;&lt;/citation&gt;</w:instrText>
      </w:r>
      <w:r w:rsidR="006E2104">
        <w:rPr>
          <w:rFonts w:cs="Times New Roman"/>
        </w:rPr>
        <w:fldChar w:fldCharType="separate"/>
      </w:r>
      <w:r w:rsidR="00A1782A">
        <w:rPr>
          <w:rFonts w:cs="Times New Roman"/>
        </w:rPr>
        <w:t>(18)</w:t>
      </w:r>
      <w:r w:rsidR="006E2104">
        <w:rPr>
          <w:rFonts w:cs="Times New Roman"/>
        </w:rPr>
        <w:fldChar w:fldCharType="end"/>
      </w:r>
      <w:r>
        <w:rPr>
          <w:rFonts w:cs="Times New Roman"/>
        </w:rPr>
        <w:t>,</w:t>
      </w:r>
      <w:r w:rsidRPr="00123EFC">
        <w:rPr>
          <w:rFonts w:cs="Times New Roman"/>
          <w:color w:val="000000" w:themeColor="text1"/>
        </w:rPr>
        <w:t xml:space="preserve"> which is consistent with the relatively low amount of vasculature within </w:t>
      </w:r>
      <w:r>
        <w:rPr>
          <w:rFonts w:cs="Times New Roman"/>
          <w:color w:val="000000" w:themeColor="text1"/>
        </w:rPr>
        <w:t>homeostatic adult</w:t>
      </w:r>
      <w:r w:rsidRPr="00123EFC">
        <w:rPr>
          <w:rFonts w:cs="Times New Roman"/>
          <w:color w:val="000000" w:themeColor="text1"/>
        </w:rPr>
        <w:t xml:space="preserve"> tendon</w:t>
      </w:r>
      <w:r>
        <w:rPr>
          <w:rFonts w:cs="Times New Roman"/>
          <w:color w:val="000000" w:themeColor="text1"/>
        </w:rPr>
        <w:t xml:space="preserve"> </w:t>
      </w:r>
      <w:r w:rsidR="006E2104">
        <w:rPr>
          <w:rFonts w:cs="Times New Roman"/>
        </w:rPr>
        <w:fldChar w:fldCharType="begin"/>
      </w:r>
      <w:r w:rsidR="00A1782A">
        <w:rPr>
          <w:rFonts w:cs="Times New Roman"/>
        </w:rPr>
        <w:instrText xml:space="preserve"> ADDIN PAPERS2_CITATIONS &lt;citation&gt;&lt;priority&gt;28&lt;/priority&gt;&lt;uuid&gt;A7FA24CE-0C16-42D9-B927-1A9BC9A7EA2A&lt;/uuid&gt;&lt;publications&gt;&lt;publication&gt;&lt;subtype&gt;400&lt;/subtype&gt;&lt;title&gt;Adaptive and innate immune cell responses in tendons and lymph nodes after tendon injury and repair.&lt;/title&gt;&lt;url&gt;https://journals.physiology.org/doi/10.1152/japplphysiol.00682.2019&lt;/url&gt;&lt;volume&gt;128&lt;/volume&gt;&lt;publication_date&gt;99202003011200000000222000&lt;/publication_date&gt;&lt;uuid&gt;1907A46E-BEFB-493E-9ED3-45CD37C11C04&lt;/uuid&gt;&lt;type&gt;400&lt;/type&gt;&lt;number&gt;3&lt;/number&gt;&lt;doi&gt;10.1152/japplphysiol.00682.2019&lt;/doi&gt;&lt;institution&gt;Hospital for Special Surgery, New York, New York.&lt;/institution&gt;&lt;startpage&gt;473&lt;/startpage&gt;&lt;endpage&gt;482&lt;/endpage&gt;&lt;bundle&gt;&lt;publication&gt;&lt;title&gt;Journal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Noah&lt;/lastName&gt;&lt;firstName&gt;Andrew&lt;/firstName&gt;&lt;middleNames&gt;C&lt;/middleNames&gt;&lt;/author&gt;&lt;author&gt;&lt;lastName&gt;Li&lt;/lastName&gt;&lt;firstName&gt;Thomas&lt;/firstName&gt;&lt;middleNames&gt;M&lt;/middleNames&gt;&lt;/author&gt;&lt;author&gt;&lt;lastName&gt;Martinez&lt;/lastName&gt;&lt;firstName&gt;Leandro&lt;/firstName&gt;&lt;middleNames&gt;M&lt;/middleNames&gt;&lt;/author&gt;&lt;author&gt;&lt;lastName&gt;Wada&lt;/lastName&gt;&lt;firstName&gt;Susumu&lt;/firstName&gt;&lt;/author&gt;&lt;author&gt;&lt;lastName&gt;Swanson&lt;/lastName&gt;&lt;firstName&gt;Jacob&lt;/firstName&gt;&lt;middleNames&gt;B&lt;/middleNames&gt;&lt;/author&gt;&lt;author&gt;&lt;lastName&gt;Disser&lt;/lastName&gt;&lt;firstName&gt;Nathaniel&lt;/firstName&gt;&lt;middleNames&gt;P&lt;/middleNames&gt;&lt;/author&gt;&lt;author&gt;&lt;lastName&gt;Sugg&lt;/lastName&gt;&lt;firstName&gt;Kristoffer&lt;/firstName&gt;&lt;middleNames&gt;B&lt;/middleNames&gt;&lt;/author&gt;&lt;author&gt;&lt;lastName&gt;Rodeo&lt;/lastName&gt;&lt;firstName&gt;Scott&lt;/firstName&gt;&lt;middleNames&gt;A&lt;/middleNames&gt;&lt;/author&gt;&lt;author&gt;&lt;lastName&gt;Lu&lt;/lastName&gt;&lt;firstName&gt;Theresa&lt;/firstName&gt;&lt;middleNames&gt;T&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(3)</w:t>
      </w:r>
      <w:r w:rsidR="006E2104">
        <w:rPr>
          <w:rFonts w:cs="Times New Roman"/>
        </w:rPr>
        <w:fldChar w:fldCharType="end"/>
      </w:r>
      <w:r w:rsidRPr="00123EFC">
        <w:rPr>
          <w:rFonts w:cs="Times New Roman"/>
          <w:color w:val="000000" w:themeColor="text1"/>
        </w:rPr>
        <w:t>. Previous studies in our laboratory using the synergist ablation model in rats showed that these cells appear to migrate from their niche in the vasculature and proliferate within the neotendon</w:t>
      </w:r>
      <w:r>
        <w:rPr>
          <w:rFonts w:cs="Times New Roman"/>
          <w:color w:val="000000" w:themeColor="text1"/>
        </w:rPr>
        <w:t xml:space="preserve"> </w:t>
      </w:r>
      <w:r w:rsidR="006E2104">
        <w:rPr>
          <w:rFonts w:cs="Times New Roman"/>
        </w:rPr>
        <w:fldChar w:fldCharType="begin"/>
      </w:r>
      <w:r w:rsidR="00A1782A">
        <w:rPr>
          <w:rFonts w:cs="Times New Roman"/>
        </w:rPr>
        <w:instrText xml:space="preserve"> ADDIN PAPERS2_CITATIONS &lt;citation&gt;&lt;priority&gt;29&lt;/priority&gt;&lt;uuid&gt;98197F0D-1062-42D5-9EAB-18EC34F326D9&lt;/uuid&gt;&lt;publications&gt;&lt;publication&gt;&lt;subtype&gt;400&lt;/subtype&gt;&lt;title&gt;p38 MAPK Signaling in Postnatal Tendon Growth and Remodeling.&lt;/title&gt;&lt;url&gt;http://dx.plos.org/10.1371/journal.pone.0120044&lt;/url&gt;&lt;volume&gt;10&lt;/volume&gt;&lt;publication_date&gt;99201500001200000000200000&lt;/publication_date&gt;&lt;uuid&gt;5EA1BEC7-CE63-48DD-B2F3-DA6FD9B7D1DD&lt;/uuid&gt;&lt;type&gt;400&lt;/type&gt;&lt;accepted_date&gt;99201502031200000000222000&lt;/accepted_date&gt;&lt;number&gt;3&lt;/number&gt;&lt;submission_date&gt;99201410191200000000222000&lt;/submission_date&gt;&lt;doi&gt;10.1371/journal.pone.0120044&lt;/doi&gt;&lt;institution&gt;Department of Orthopaedic Surgery, University of Michigan Medical School, Ann Arbor, Michigan, United States of America; Department of Molecular &amp;amp; Integrative Physiology, University of Michigan Medical School, Ann Arbor, Michigan, United States of America.&lt;/institution&gt;&lt;startpage&gt;e0120044&lt;/startpage&gt;&lt;bundle&gt;&lt;publication&gt;&lt;title&gt;PLoS ONE&lt;/title&gt;&lt;uuid&gt;2FB98161-6AE8-4ABB-AA1B-D53660C48D57&lt;/uuid&gt;&lt;subtype&gt;-100&lt;/subtype&gt;&lt;publisher&gt;Public Library of Science&lt;/publisher&gt;&lt;type&gt;-100&lt;/type&gt;&lt;url&gt;http://www.plosone.org&lt;/url&gt;&lt;/publication&gt;&lt;/bundle&gt;&lt;authors&gt;&lt;author&gt;&lt;lastName&gt;Schwartz&lt;/lastName&gt;&lt;firstName&gt;Andrew&lt;/firstName&gt;&lt;middleNames&gt;J&lt;/middleNames&gt;&lt;/author&gt;&lt;author&gt;&lt;lastName&gt;Sarver&lt;/lastName&gt;&lt;firstName&gt;Dylan&lt;/firstName&gt;&lt;middleNames&gt;C&lt;/middleNames&gt;&lt;/author&gt;&lt;author&gt;&lt;lastName&gt;Sugg&lt;/lastName&gt;&lt;firstName&gt;Kristoffer&lt;/firstName&gt;&lt;middleNames&gt;B&lt;/middleNames&gt;&lt;/author&gt;&lt;author&gt;&lt;lastName&gt;Dzierzawski&lt;/lastName&gt;&lt;firstName&gt;Justin&lt;/firstName&gt;&lt;middleNames&gt;T&lt;/middleNames&gt;&lt;/author&gt;&lt;author&gt;&lt;lastName&gt;Gumucio&lt;/lastName&gt;&lt;firstName&gt;Jonathan&lt;/firstName&gt;&lt;middleNames&gt;P&lt;/middleNames&gt;&lt;/author&gt;&lt;author&gt;&lt;lastName&gt;Mendias&lt;/lastName&gt;&lt;firstName&gt;Christopher&lt;/firstName&gt;&lt;middleNames&gt;L&lt;/middleNames&gt;&lt;/author&gt;&lt;/authors&gt;&lt;editors&gt;&lt;author&gt;&lt;lastName&gt;Philp&lt;/lastName&gt;&lt;firstName&gt;Andrew&lt;/firstName&gt;&lt;/author&gt;&lt;/editors&gt;&lt;/publication&gt;&lt;/publications&gt;&lt;cites&gt;&lt;/cites&gt;&lt;/citation&gt;</w:instrText>
      </w:r>
      <w:r w:rsidR="006E2104">
        <w:rPr>
          <w:rFonts w:cs="Times New Roman"/>
        </w:rPr>
        <w:fldChar w:fldCharType="separate"/>
      </w:r>
      <w:r w:rsidR="00A1782A">
        <w:rPr>
          <w:rFonts w:cs="Times New Roman"/>
        </w:rPr>
        <w:t>(15)</w:t>
      </w:r>
      <w:r w:rsidR="006E2104">
        <w:rPr>
          <w:rFonts w:cs="Times New Roman"/>
        </w:rPr>
        <w:fldChar w:fldCharType="end"/>
      </w:r>
      <w:r w:rsidRPr="00123EFC">
        <w:rPr>
          <w:rFonts w:cs="Times New Roman"/>
          <w:color w:val="000000" w:themeColor="text1"/>
        </w:rPr>
        <w:t xml:space="preserve">. In the current study, </w:t>
      </w:r>
      <w:r>
        <w:rPr>
          <w:rFonts w:cs="Times New Roman"/>
          <w:color w:val="000000" w:themeColor="text1"/>
        </w:rPr>
        <w:t xml:space="preserve">despite smaller tendon CSAs in </w:t>
      </w:r>
      <w:proofErr w:type="spellStart"/>
      <w:r w:rsidRPr="00B5364F">
        <w:rPr>
          <w:i/>
        </w:rPr>
        <w:t>Scx</w:t>
      </w:r>
      <w:r w:rsidRPr="000C628F">
        <w:rPr>
          <w:color w:val="000000" w:themeColor="text1"/>
          <w:vertAlign w:val="superscript"/>
        </w:rPr>
        <w:t>Δ</w:t>
      </w:r>
      <w:proofErr w:type="spellEnd"/>
      <w:r>
        <w:t xml:space="preserve"> mice</w:t>
      </w:r>
      <w:r>
        <w:rPr>
          <w:rFonts w:cs="Times New Roman"/>
          <w:color w:val="000000" w:themeColor="text1"/>
        </w:rPr>
        <w:t xml:space="preserve">, </w:t>
      </w:r>
      <w:r w:rsidRPr="00123EFC">
        <w:rPr>
          <w:rFonts w:cs="Times New Roman"/>
          <w:color w:val="000000" w:themeColor="text1"/>
        </w:rPr>
        <w:t xml:space="preserve">the </w:t>
      </w:r>
      <w:r w:rsidR="000B4CEB">
        <w:rPr>
          <w:rFonts w:cs="Times New Roman"/>
          <w:color w:val="000000" w:themeColor="text1"/>
        </w:rPr>
        <w:t>relative abundance</w:t>
      </w:r>
      <w:r w:rsidRPr="00123EFC">
        <w:rPr>
          <w:rFonts w:cs="Times New Roman"/>
          <w:color w:val="000000" w:themeColor="text1"/>
        </w:rPr>
        <w:t xml:space="preserve"> of CD146</w:t>
      </w:r>
      <w:r w:rsidRPr="009836B3">
        <w:rPr>
          <w:rFonts w:cs="Times New Roman"/>
          <w:color w:val="000000" w:themeColor="text1"/>
          <w:vertAlign w:val="superscript"/>
        </w:rPr>
        <w:t>+</w:t>
      </w:r>
      <w:r w:rsidRPr="00123EFC">
        <w:rPr>
          <w:rFonts w:cs="Times New Roman"/>
          <w:color w:val="000000" w:themeColor="text1"/>
        </w:rPr>
        <w:t xml:space="preserve"> </w:t>
      </w:r>
      <w:r w:rsidR="00AC27D5">
        <w:rPr>
          <w:rFonts w:cs="Times New Roman"/>
          <w:color w:val="000000" w:themeColor="text1"/>
        </w:rPr>
        <w:t>pericytes</w:t>
      </w:r>
      <w:r w:rsidRPr="00123EFC">
        <w:rPr>
          <w:rFonts w:cs="Times New Roman"/>
          <w:color w:val="000000" w:themeColor="text1"/>
        </w:rPr>
        <w:t xml:space="preserve"> </w:t>
      </w:r>
      <w:r>
        <w:rPr>
          <w:rFonts w:cs="Times New Roman"/>
          <w:color w:val="000000" w:themeColor="text1"/>
        </w:rPr>
        <w:t xml:space="preserve">was twice as high in the neotendon of </w:t>
      </w:r>
      <w:proofErr w:type="spellStart"/>
      <w:r w:rsidRPr="00B5364F">
        <w:rPr>
          <w:i/>
        </w:rPr>
        <w:t>Scx</w:t>
      </w:r>
      <w:r w:rsidRPr="000C628F">
        <w:rPr>
          <w:color w:val="000000" w:themeColor="text1"/>
          <w:vertAlign w:val="superscript"/>
        </w:rPr>
        <w:t>Δ</w:t>
      </w:r>
      <w:proofErr w:type="spellEnd"/>
      <w:r>
        <w:t xml:space="preserve"> mice compared to </w:t>
      </w:r>
      <w:proofErr w:type="spellStart"/>
      <w:r w:rsidRPr="003C3481">
        <w:rPr>
          <w:i/>
          <w:color w:val="000000" w:themeColor="text1"/>
        </w:rPr>
        <w:t>Scx</w:t>
      </w:r>
      <w:proofErr w:type="spellEnd"/>
      <w:r>
        <w:rPr>
          <w:color w:val="000000" w:themeColor="text1"/>
          <w:vertAlign w:val="superscript"/>
        </w:rPr>
        <w:t>+</w:t>
      </w:r>
      <w:r>
        <w:rPr>
          <w:color w:val="000000" w:themeColor="text1"/>
        </w:rPr>
        <w:t xml:space="preserve"> mice</w:t>
      </w:r>
      <w:r w:rsidRPr="00123EFC">
        <w:rPr>
          <w:rFonts w:cs="Times New Roman"/>
          <w:color w:val="000000" w:themeColor="text1"/>
        </w:rPr>
        <w:t xml:space="preserve">. </w:t>
      </w:r>
      <w:r>
        <w:rPr>
          <w:rFonts w:cs="Times New Roman"/>
          <w:color w:val="000000" w:themeColor="text1"/>
        </w:rPr>
        <w:t xml:space="preserve">When </w:t>
      </w:r>
      <w:r w:rsidR="00AC27D5">
        <w:rPr>
          <w:rFonts w:cs="Times New Roman"/>
          <w:color w:val="000000" w:themeColor="text1"/>
        </w:rPr>
        <w:t>pericytes</w:t>
      </w:r>
      <w:r>
        <w:rPr>
          <w:rFonts w:cs="Times New Roman"/>
          <w:color w:val="000000" w:themeColor="text1"/>
        </w:rPr>
        <w:t xml:space="preserve"> were cultured in tenogenic conditions, deleting scleraxis prevented the ability of these cells to express tenogenic markers. When taken together, the</w:t>
      </w:r>
      <w:r w:rsidR="000B4CEB">
        <w:rPr>
          <w:rFonts w:cs="Times New Roman"/>
          <w:color w:val="000000" w:themeColor="text1"/>
        </w:rPr>
        <w:t>se</w:t>
      </w:r>
      <w:r>
        <w:rPr>
          <w:rFonts w:cs="Times New Roman"/>
          <w:color w:val="000000" w:themeColor="text1"/>
        </w:rPr>
        <w:t xml:space="preserve"> </w:t>
      </w:r>
      <w:r w:rsidRPr="00E829E5">
        <w:rPr>
          <w:rFonts w:cs="Times New Roman"/>
          <w:i/>
          <w:iCs/>
          <w:color w:val="000000" w:themeColor="text1"/>
        </w:rPr>
        <w:t>in vivo</w:t>
      </w:r>
      <w:r>
        <w:rPr>
          <w:rFonts w:cs="Times New Roman"/>
          <w:color w:val="000000" w:themeColor="text1"/>
        </w:rPr>
        <w:t xml:space="preserve"> and </w:t>
      </w:r>
      <w:r w:rsidRPr="00E829E5">
        <w:rPr>
          <w:rFonts w:cs="Times New Roman"/>
          <w:i/>
          <w:iCs/>
          <w:color w:val="000000" w:themeColor="text1"/>
        </w:rPr>
        <w:t>in vitro</w:t>
      </w:r>
      <w:r>
        <w:rPr>
          <w:rFonts w:cs="Times New Roman"/>
          <w:color w:val="000000" w:themeColor="text1"/>
        </w:rPr>
        <w:t xml:space="preserve"> findings indicate that scleraxis is required for the commitment of </w:t>
      </w:r>
      <w:r w:rsidR="00AC27D5">
        <w:rPr>
          <w:rFonts w:cs="Times New Roman"/>
          <w:color w:val="000000" w:themeColor="text1"/>
        </w:rPr>
        <w:t>pericytes</w:t>
      </w:r>
      <w:r>
        <w:rPr>
          <w:rFonts w:cs="Times New Roman"/>
          <w:color w:val="000000" w:themeColor="text1"/>
        </w:rPr>
        <w:t xml:space="preserve"> into the tenogenic lineage. Further, the higher percentage of CD146</w:t>
      </w:r>
      <w:r w:rsidRPr="00023EBF">
        <w:rPr>
          <w:rFonts w:cs="Times New Roman"/>
          <w:color w:val="000000" w:themeColor="text1"/>
          <w:vertAlign w:val="superscript"/>
        </w:rPr>
        <w:t>+</w:t>
      </w:r>
      <w:r>
        <w:rPr>
          <w:rFonts w:cs="Times New Roman"/>
          <w:color w:val="000000" w:themeColor="text1"/>
        </w:rPr>
        <w:t xml:space="preserve"> </w:t>
      </w:r>
      <w:r w:rsidR="00AC27D5">
        <w:rPr>
          <w:rFonts w:cs="Times New Roman"/>
          <w:color w:val="000000" w:themeColor="text1"/>
        </w:rPr>
        <w:t>pericytes</w:t>
      </w:r>
      <w:r>
        <w:rPr>
          <w:rFonts w:cs="Times New Roman"/>
          <w:color w:val="000000" w:themeColor="text1"/>
        </w:rPr>
        <w:t xml:space="preserve"> in the neotendon of </w:t>
      </w:r>
      <w:proofErr w:type="spellStart"/>
      <w:r w:rsidRPr="00B5364F">
        <w:rPr>
          <w:i/>
        </w:rPr>
        <w:t>Scx</w:t>
      </w:r>
      <w:r w:rsidRPr="000C628F">
        <w:rPr>
          <w:color w:val="000000" w:themeColor="text1"/>
          <w:vertAlign w:val="superscript"/>
        </w:rPr>
        <w:t>Δ</w:t>
      </w:r>
      <w:proofErr w:type="spellEnd"/>
      <w:r>
        <w:t xml:space="preserve"> mice likely occurs due to the failure of these cells to properly differentiate into tenocytes.</w:t>
      </w:r>
      <w:r w:rsidR="00505D2C">
        <w:t xml:space="preserve"> Alternatively, scleraxis could inhibit pericyte proliferation </w:t>
      </w:r>
      <w:r w:rsidR="00BB3687" w:rsidRPr="00BB3687">
        <w:rPr>
          <w:i/>
          <w:iCs/>
        </w:rPr>
        <w:t>in vivo</w:t>
      </w:r>
      <w:r w:rsidR="00505D2C">
        <w:t xml:space="preserve">. While we did not directly measure pericyte proliferation in tendons, the </w:t>
      </w:r>
      <w:r w:rsidR="00505D2C" w:rsidRPr="00505D2C">
        <w:rPr>
          <w:i/>
          <w:iCs/>
        </w:rPr>
        <w:t>in vitro</w:t>
      </w:r>
      <w:r w:rsidR="00505D2C">
        <w:t xml:space="preserve"> data suggests that a reduction </w:t>
      </w:r>
      <w:r w:rsidR="00BB3687">
        <w:t xml:space="preserve">in </w:t>
      </w:r>
      <w:r w:rsidR="00505D2C">
        <w:t xml:space="preserve">the specification or differentiation of pericytes into the tenogenic lineage is </w:t>
      </w:r>
      <w:r w:rsidR="00BB3687">
        <w:t xml:space="preserve">more likely to be responsible for the greater abundance of pericytes observed in </w:t>
      </w:r>
      <w:proofErr w:type="spellStart"/>
      <w:r w:rsidR="00BB3687" w:rsidRPr="00B5364F">
        <w:rPr>
          <w:i/>
        </w:rPr>
        <w:t>Scx</w:t>
      </w:r>
      <w:r w:rsidR="00BB3687" w:rsidRPr="000C628F">
        <w:rPr>
          <w:color w:val="000000" w:themeColor="text1"/>
          <w:vertAlign w:val="superscript"/>
        </w:rPr>
        <w:t>Δ</w:t>
      </w:r>
      <w:proofErr w:type="spellEnd"/>
      <w:r w:rsidR="00BB3687">
        <w:t xml:space="preserve"> mice.</w:t>
      </w:r>
    </w:p>
    <w:p w14:paraId="2A45BD84" w14:textId="55FFB7D1" w:rsidR="00023EBF" w:rsidRDefault="00023EBF" w:rsidP="00023EBF">
      <w:pPr>
        <w:spacing w:line="480" w:lineRule="auto"/>
      </w:pPr>
      <w:r>
        <w:tab/>
        <w:t xml:space="preserve">During early postnatal development, committed tenocytes (sometimes referred to as </w:t>
      </w:r>
      <w:proofErr w:type="spellStart"/>
      <w:r>
        <w:t>tenoblasts</w:t>
      </w:r>
      <w:proofErr w:type="spellEnd"/>
      <w:r>
        <w:t xml:space="preserve">) are able to proliferate for a period of time </w:t>
      </w:r>
      <w:r w:rsidR="006E2104">
        <w:rPr>
          <w:rFonts w:cs="Times New Roman"/>
        </w:rPr>
        <w:fldChar w:fldCharType="begin"/>
      </w:r>
      <w:r w:rsidR="00A1782A">
        <w:rPr>
          <w:rFonts w:cs="Times New Roman"/>
        </w:rPr>
        <w:instrText xml:space="preserve"> ADDIN PAPERS2_CITATIONS &lt;citation&gt;&lt;priority&gt;30&lt;/priority&gt;&lt;uuid&gt;6AF68A03-7BFE-401A-AC9E-F4DC9E5D1FA2&lt;/uuid&gt;&lt;publications&gt;&lt;publication&gt;&lt;subtype&gt;400&lt;/subtype&gt;&lt;title&gt;A distinct transition from cell growth to physiological homeostasis in the tendon.&lt;/title&gt;&lt;url&gt;https://elifesciences.org/articles/48689&lt;/url&gt;&lt;volume&gt;8&lt;/volume&gt;&lt;publication_date&gt;99201909191200000000222000&lt;/publication_date&gt;&lt;uuid&gt;C51A5F96-2FA7-4D28-80E6-D451E5205E1F&lt;/uuid&gt;&lt;type&gt;400&lt;/type&gt;&lt;accepted_date&gt;99201909181200000000222000&lt;/accepted_date&gt;&lt;submission_date&gt;99201905221200000000222000&lt;/submission_date&gt;&lt;doi&gt;10.7554/eLife.48689&lt;/doi&gt;&lt;institution&gt;Center for Regenerative Medicine, Department of Orthopaedic Surgery, Massachusetts General Hospital, Harvard Medical School, Boston, United States.&lt;/institution&gt;&lt;startpage&gt;2716&lt;/startpage&gt;&lt;bundle&gt;&lt;publication&gt;&lt;title&gt;eLife&lt;/title&gt;&lt;uuid&gt;0B89F13D-43C2-432A-94D6-9A61A7064B65&lt;/uuid&gt;&lt;subtype&gt;-100&lt;/subtype&gt;&lt;publisher&gt;eLife Sciences Publications Limited&lt;/publisher&gt;&lt;type&gt;-100&lt;/type&gt;&lt;/publication&gt;&lt;/bundle&gt;&lt;authors&gt;&lt;author&gt;&lt;lastName&gt;Grinstein&lt;/lastName&gt;&lt;firstName&gt;Mor&lt;/firstName&gt;&lt;/author&gt;&lt;author&gt;&lt;lastName&gt;Dingwall&lt;/lastName&gt;&lt;firstName&gt;Heather&lt;/firstName&gt;&lt;middleNames&gt;L&lt;/middleNames&gt;&lt;/author&gt;&lt;author&gt;&lt;lastName&gt;O'Connor&lt;/lastName&gt;&lt;firstName&gt;Luke&lt;/firstName&gt;&lt;middleNames&gt;D&lt;/middleNames&gt;&lt;/author&gt;&lt;author&gt;&lt;lastName&gt;Zou&lt;/lastName&gt;&lt;firstName&gt;Ken&lt;/firstName&gt;&lt;/author&gt;&lt;author&gt;&lt;lastName&gt;Capellini&lt;/lastName&gt;&lt;firstName&gt;Terence&lt;/firstName&gt;&lt;middleNames&gt;Dante&lt;/middleNames&gt;&lt;/author&gt;&lt;author&gt;&lt;lastName&gt;Galloway&lt;/lastName&gt;&lt;firstName&gt;Jenna&lt;/firstName&gt;&lt;middleNames&gt;Lauren&lt;/middleNames&gt;&lt;/author&gt;&lt;/authors&gt;&lt;/publication&gt;&lt;/publications&gt;&lt;cites&gt;&lt;/cites&gt;&lt;/citation&gt;</w:instrText>
      </w:r>
      <w:r w:rsidR="006E2104">
        <w:rPr>
          <w:rFonts w:cs="Times New Roman"/>
        </w:rPr>
        <w:fldChar w:fldCharType="separate"/>
      </w:r>
      <w:r w:rsidR="00A1782A">
        <w:rPr>
          <w:rFonts w:cs="Times New Roman"/>
        </w:rPr>
        <w:t>(28)</w:t>
      </w:r>
      <w:r w:rsidR="006E2104">
        <w:rPr>
          <w:rFonts w:cs="Times New Roman"/>
        </w:rPr>
        <w:fldChar w:fldCharType="end"/>
      </w:r>
      <w:r w:rsidR="00E45E27">
        <w:t>, and a</w:t>
      </w:r>
      <w:r>
        <w:t xml:space="preserve"> similar proliferative capacity likely exists for newly committed tenocytes that arise from CD146</w:t>
      </w:r>
      <w:r w:rsidRPr="00BE5851">
        <w:rPr>
          <w:vertAlign w:val="superscript"/>
        </w:rPr>
        <w:t>+</w:t>
      </w:r>
      <w:r>
        <w:t xml:space="preserve"> progenitors. </w:t>
      </w:r>
      <w:r w:rsidR="00E45E27">
        <w:t xml:space="preserve">This is further supported by previous work that demonstrated scleraxis-expressing cells in the neotendon of mechanically stimulated tendons also display uptake of the cell proliferation marker </w:t>
      </w:r>
      <w:proofErr w:type="spellStart"/>
      <w:r w:rsidR="00E45E27">
        <w:t>EdU</w:t>
      </w:r>
      <w:proofErr w:type="spellEnd"/>
      <w:r w:rsidR="00E45E27">
        <w:t xml:space="preserve"> </w:t>
      </w:r>
      <w:r w:rsidR="006E2104">
        <w:rPr>
          <w:rFonts w:cs="Times New Roman"/>
        </w:rPr>
        <w:fldChar w:fldCharType="begin"/>
      </w:r>
      <w:r w:rsidR="00A1782A">
        <w:rPr>
          <w:rFonts w:cs="Times New Roman"/>
        </w:rPr>
        <w:instrText xml:space="preserve"> ADDIN PAPERS2_CITATIONS &lt;citation&gt;&lt;priority&gt;31&lt;/priority&gt;&lt;uuid&gt;9D5253EE-344A-42E5-B99C-942A25AEB848&lt;/uuid&gt;&lt;publications&gt;&lt;publication&gt;&lt;subtype&gt;400&lt;/subtype&gt;&lt;title&gt;Synergist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(14)</w:t>
      </w:r>
      <w:r w:rsidR="006E2104">
        <w:rPr>
          <w:rFonts w:cs="Times New Roman"/>
        </w:rPr>
        <w:fldChar w:fldCharType="end"/>
      </w:r>
      <w:r w:rsidR="00E45E27">
        <w:t>. In the current study, s</w:t>
      </w:r>
      <w:r>
        <w:t xml:space="preserve">everal genes that are involved in cell proliferation were downregulated in </w:t>
      </w:r>
      <w:proofErr w:type="spellStart"/>
      <w:r w:rsidRPr="00435075">
        <w:rPr>
          <w:i/>
        </w:rPr>
        <w:t>Scx</w:t>
      </w:r>
      <w:r w:rsidRPr="00594224">
        <w:rPr>
          <w:vertAlign w:val="superscript"/>
        </w:rPr>
        <w:t>Δ</w:t>
      </w:r>
      <w:proofErr w:type="spellEnd"/>
      <w:r>
        <w:t xml:space="preserve"> </w:t>
      </w:r>
      <w:r>
        <w:lastRenderedPageBreak/>
        <w:t xml:space="preserve">tendons or cells, including numerous cyclins and cyclin dependent kinases, </w:t>
      </w:r>
      <w:r>
        <w:rPr>
          <w:iCs/>
        </w:rPr>
        <w:t xml:space="preserve">as well as the cell proliferation marker </w:t>
      </w:r>
      <w:r w:rsidRPr="001A324D">
        <w:rPr>
          <w:i/>
        </w:rPr>
        <w:t>Mki67</w:t>
      </w:r>
      <w:r>
        <w:t xml:space="preserve">. Further, </w:t>
      </w:r>
      <w:proofErr w:type="spellStart"/>
      <w:r w:rsidRPr="00435075">
        <w:rPr>
          <w:i/>
        </w:rPr>
        <w:t>Scx</w:t>
      </w:r>
      <w:r w:rsidRPr="00594224">
        <w:rPr>
          <w:vertAlign w:val="superscript"/>
        </w:rPr>
        <w:t>Δ</w:t>
      </w:r>
      <w:proofErr w:type="spellEnd"/>
      <w:r>
        <w:t xml:space="preserve"> tenocytes displayed a proliferation rate that was nearly half that of </w:t>
      </w:r>
      <w:proofErr w:type="spellStart"/>
      <w:r w:rsidRPr="00435075">
        <w:rPr>
          <w:i/>
        </w:rPr>
        <w:t>Scx</w:t>
      </w:r>
      <w:proofErr w:type="spellEnd"/>
      <w:r w:rsidRPr="000642F2">
        <w:rPr>
          <w:vertAlign w:val="superscript"/>
        </w:rPr>
        <w:t>+</w:t>
      </w:r>
      <w:r>
        <w:t xml:space="preserve"> tenocytes. These results indicate that scleraxis also induces postnatal tenocyte proliferation.</w:t>
      </w:r>
    </w:p>
    <w:p w14:paraId="50843D14" w14:textId="3A9309E2" w:rsidR="00123EFC" w:rsidRPr="00023EBF" w:rsidRDefault="00295799" w:rsidP="009F2360">
      <w:pPr>
        <w:pStyle w:val="NoSpacing"/>
        <w:spacing w:line="480" w:lineRule="auto"/>
        <w:ind w:firstLine="720"/>
      </w:pPr>
      <w:r w:rsidRPr="000C628F">
        <w:rPr>
          <w:rFonts w:cs="Times New Roman"/>
        </w:rPr>
        <w:t>Scleraxis</w:t>
      </w:r>
      <w:r>
        <w:t xml:space="preserve"> </w:t>
      </w:r>
      <w:r w:rsidR="00C11877">
        <w:t>appears to be important in embryonic tendon development</w:t>
      </w:r>
      <w:r w:rsidR="000B4CEB">
        <w:t>, in part,</w:t>
      </w:r>
      <w:r w:rsidR="00C11877">
        <w:t xml:space="preserve"> by directing the expression of </w:t>
      </w:r>
      <w:r>
        <w:t>type I collagen</w:t>
      </w:r>
      <w:r w:rsidR="00AD0040">
        <w:t>s</w:t>
      </w:r>
      <w:r>
        <w:t xml:space="preserve">, tenomodulin, </w:t>
      </w:r>
      <w:r w:rsidRPr="000C628F">
        <w:rPr>
          <w:color w:val="000000" w:themeColor="text1"/>
        </w:rPr>
        <w:t xml:space="preserve">and fibronectin </w:t>
      </w:r>
      <w:r w:rsidR="006E2104">
        <w:rPr>
          <w:rFonts w:cs="Times New Roman"/>
        </w:rPr>
        <w:fldChar w:fldCharType="begin"/>
      </w:r>
      <w:r w:rsidR="00A1782A">
        <w:rPr>
          <w:rFonts w:cs="Times New Roman"/>
        </w:rPr>
        <w:instrText xml:space="preserve"> ADDIN PAPERS2_CITATIONS &lt;citation&gt;&lt;priority&gt;32&lt;/priority&gt;&lt;uuid&gt;D9BB798A-613E-41F3-9E18-9959714A3456&lt;/uuid&gt;&lt;publications&gt;&lt;publication&gt;&lt;subtype&gt;400&lt;/subtype&gt;&lt;location&gt;200,9,48.8517458,2.3404008&lt;/location&gt;&lt;title&gt;Scleraxis and NFATc regulate the expression of the pro-alpha1(I) collagen gene in tendon fibroblasts.&lt;/title&gt;&lt;url&gt;http://www.jbc.org/cgi/doi/10.1074/jbc.M610113200&lt;/url&gt;&lt;volume&gt;282&lt;/volume&gt;&lt;publication_date&gt;99200706151200000000222000&lt;/publication_date&gt;&lt;uuid&gt;F77C6529-F7B4-499F-83DC-D0547ADF7577&lt;/uuid&gt;&lt;type&gt;400&lt;/type&gt;&lt;number&gt;24&lt;/number&gt;&lt;citekey&gt;Lejard:2007p274&lt;/citekey&gt;&lt;doi&gt;10.1074/jbc.M610113200&lt;/doi&gt;&lt;institution&gt;INSERM U652 and Paris-Descartes University, 75006 Paris, France.&lt;/institution&gt;&lt;startpage&gt;17665&lt;/startpage&gt;&lt;endpage&gt;17675&lt;/endpage&gt;&lt;bundle&gt;&lt;publication&gt;&lt;title&gt;The Journal of biological chemistry&lt;/title&gt;&lt;uuid&gt;C686AE55-7C67-4A7F-8D42-7B183F2CCDEC&lt;/uuid&gt;&lt;subtype&gt;-100&lt;/subtype&gt;&lt;type&gt;-100&lt;/type&gt;&lt;url&gt;http://www.jbc.org.proxy.lib.umich.edu&lt;/url&gt;&lt;/publication&gt;&lt;/bundle&gt;&lt;authors&gt;&lt;author&gt;&lt;lastName&gt;Léjard&lt;/lastName&gt;&lt;firstName&gt;Véronique&lt;/firstName&gt;&lt;/author&gt;&lt;author&gt;&lt;lastName&gt;Brideau&lt;/lastName&gt;&lt;firstName&gt;Gaelle&lt;/firstName&gt;&lt;/author&gt;&lt;author&gt;&lt;lastName&gt;Blais&lt;/lastName&gt;&lt;firstName&gt;Frédéric&lt;/firstName&gt;&lt;/author&gt;&lt;author&gt;&lt;lastName&gt;Salingcarnboriboon&lt;/lastName&gt;&lt;firstName&gt;Ruchanee&lt;/firstName&gt;&lt;/author&gt;&lt;author&gt;&lt;lastName&gt;Wagner&lt;/lastName&gt;&lt;firstName&gt;Gerhard&lt;/firstName&gt;&lt;/author&gt;&lt;author&gt;&lt;lastName&gt;Roehrl&lt;/lastName&gt;&lt;firstName&gt;Michael&lt;/firstName&gt;&lt;middleNames&gt;H A&lt;/middleNames&gt;&lt;/author&gt;&lt;author&gt;&lt;lastName&gt;Noda&lt;/lastName&gt;&lt;firstName&gt;Masaki&lt;/firstName&gt;&lt;/author&gt;&lt;author&gt;&lt;lastName&gt;Duprez&lt;/lastName&gt;&lt;firstName&gt;Delphine&lt;/firstName&gt;&lt;/author&gt;&lt;author&gt;&lt;lastName&gt;Houillier&lt;/lastName&gt;&lt;firstName&gt;Pascal&lt;/firstName&gt;&lt;/author&gt;&lt;author&gt;&lt;lastName&gt;Rossert&lt;/lastName&gt;&lt;firstName&gt;Jérôme&lt;/firstName&gt;&lt;/author&gt;&lt;/authors&gt;&lt;/publication&gt;&lt;publication&gt;&lt;subtype&gt;400&lt;/subtype&gt;&lt;location&gt;200,4,48.1091820,11.4518220&lt;/location&gt;&lt;title&gt;Tenomodulin is necessary for tenocyte proliferation and tendon maturation&lt;/title&gt;&lt;url&gt;http://www.ncbi.nlm.nih.gov/entrez/query.fcgi?db=pubmed&amp;amp;cmd=Retrieve&amp;amp;dopt=AbstractPlus&amp;amp;list_uids=15632070&lt;/url&gt;&lt;volume&gt;25&lt;/volume&gt;&lt;publication_date&gt;99200500001200000000200000&lt;/publication_date&gt;&lt;uuid&gt;7A609F31-0BAA-475A-8519-5692DEB622CA&lt;/uuid&gt;&lt;type&gt;400&lt;/type&gt;&lt;number&gt;2&lt;/number&gt;&lt;citekey&gt;Docheva:2005p224&lt;/citekey&gt;&lt;doi&gt;10.1128/MCB.25.2.699-705.2005&lt;/doi&gt;&lt;institution&gt;Max Planck Institute for Biochemistry, Department of Molecular Medicine, Am Klopferspitz 18, 82152 Martinsried, Germany.&lt;/institution&gt;&lt;startpage&gt;699&lt;/startpage&gt;&lt;endpage&gt;705&lt;/endpage&gt;&lt;bundle&gt;&lt;publication&gt;&lt;title&gt;Molecular and Cellular Biology&lt;/title&gt;&lt;uuid&gt;ADAA0293-5954-42B0-99C7-F7688382D8D0&lt;/uuid&gt;&lt;subtype&gt;-100&lt;/subtype&gt;&lt;publisher&gt;Am Soc Microbiol&lt;/publisher&gt;&lt;type&gt;-100&lt;/type&gt;&lt;url&gt;http://mcb.asm.org/&lt;/url&gt;&lt;/publication&gt;&lt;/bundle&gt;&lt;authors&gt;&lt;author&gt;&lt;lastName&gt;Docheva&lt;/lastName&gt;&lt;firstName&gt;Denitsa&lt;/firstName&gt;&lt;/author&gt;&lt;author&gt;&lt;lastName&gt;Hunziker&lt;/lastName&gt;&lt;firstName&gt;Ernst&lt;/firstName&gt;&lt;middleNames&gt;B&lt;/middleNames&gt;&lt;/author&gt;&lt;author&gt;&lt;lastName&gt;Fässler&lt;/lastName&gt;&lt;firstName&gt;Reinhard&lt;/firstName&gt;&lt;/author&gt;&lt;author&gt;&lt;lastName&gt;Brandau&lt;/lastName&gt;&lt;firstName&gt;Oliver&lt;/firstName&gt;&lt;/author&gt;&lt;/authors&gt;&lt;/publication&gt;&lt;publication&gt;&lt;subtype&gt;400&lt;/subtype&gt;&lt;location&gt;200,5,35.0197745,135.7776757&lt;/location&gt;&lt;title&gt;Scleraxis positively regulates the expression of tenomodulin, a differentiation marker of tenocytes&lt;/title&gt;&lt;url&gt;http://www.ncbi.nlm.nih.gov/entrez/query.fcgi?db=pubmed&amp;amp;cmd=Retrieve&amp;amp;dopt=AbstractPlus&amp;amp;list_uids=16876153&lt;/url&gt;&lt;volume&gt;298&lt;/volume&gt;&lt;publication_date&gt;99200610011200000000222000&lt;/publication_date&gt;&lt;uuid&gt;4283B3A6-F1C6-4E7F-8107-2AA1C92253EE&lt;/uuid&gt;&lt;type&gt;400&lt;/type&gt;&lt;number&gt;1&lt;/number&gt;&lt;citekey&gt;Shukunami:2006p621&lt;/citekey&gt;&lt;doi&gt;10.1016/j.ydbio.2006.06.036&lt;/doi&gt;&lt;institution&gt;Department of Cellular Differentiation, Institute for Frontier Medical Sciences, Kyoto University, Kyoto 606-8507, Japan. shukunam@frontier.kyoto-u.ac.jp&lt;/institution&gt;&lt;startpage&gt;234&lt;/startpage&gt;&lt;endpage&gt;247&lt;/endpage&gt;&lt;bundle&gt;&lt;publication&gt;&lt;title&gt;Developmental Biology&lt;/title&gt;&lt;uuid&gt;829BD0AF-B6C5-4D57-B0A6-EA14E5418C5A&lt;/uuid&gt;&lt;subtype&gt;-100&lt;/subtype&gt;&lt;publisher&gt;Elsevier Inc.&lt;/publisher&gt;&lt;type&gt;-100&lt;/type&gt;&lt;url&gt;http://www.sciencedirect.com.proxy.lib.umich.edu&lt;/url&gt;&lt;/publication&gt;&lt;/bundle&gt;&lt;authors&gt;&lt;author&gt;&lt;lastName&gt;Shukunami&lt;/lastName&gt;&lt;firstName&gt;Chisa&lt;/firstName&gt;&lt;/author&gt;&lt;author&gt;&lt;lastName&gt;Takimoto&lt;/lastName&gt;&lt;firstName&gt;Aki&lt;/firstName&gt;&lt;/author&gt;&lt;author&gt;&lt;lastName&gt;Oro&lt;/lastName&gt;&lt;firstName&gt;Miwa&lt;/firstName&gt;&lt;/author&gt;&lt;author&gt;&lt;lastName&gt;Hiraki&lt;/lastName&gt;&lt;firstName&gt;Yuji&lt;/firstName&gt;&lt;/author&gt;&lt;/authors&gt;&lt;/publication&gt;&lt;publication&gt;&lt;subtype&gt;400&lt;/subtype&gt;&lt;title&gt;Scleraxis is required for maturation of tissue domains for proper integration of the musculoskeletal system.&lt;/title&gt;&lt;url&gt;http://www.nature.com/articles/srep45010&lt;/url&gt;&lt;volume&gt;7&lt;/volume&gt;&lt;publication_date&gt;99201703221200000000222000&lt;/publication_date&gt;&lt;uuid&gt;BF6B6BE1-0DDD-4EC8-9703-6D22141E75ED&lt;/uuid&gt;&lt;type&gt;400&lt;/type&gt;&lt;accepted_date&gt;99201702201200000000222000&lt;/accepted_date&gt;&lt;number&gt;1&lt;/number&gt;&lt;submission_date&gt;99201609201200000000222000&lt;/submission_date&gt;&lt;doi&gt;10.1038/srep45010&lt;/doi&gt;&lt;institution&gt;Department of Molecular Biology and Biochemistry, Division of Basic Life Sciences, Institute of Biomedical and Health Sciences, Hiroshima University, Hiroshima, 734-8553, Japan.&lt;/institution&gt;&lt;startpage&gt;45010&lt;/startpage&gt;&lt;bundle&gt;&lt;publication&gt;&lt;title&gt;Scientific reports&lt;/title&gt;&lt;uuid&gt;27F78940-CB31-4F46-B405-46AF96B7DE6C&lt;/uuid&gt;&lt;subtype&gt;-100&lt;/subtype&gt;&lt;publisher&gt;Nature Publishing Group&lt;/publisher&gt;&lt;type&gt;-100&lt;/type&gt;&lt;/publication&gt;&lt;/bundle&gt;&lt;authors&gt;&lt;author&gt;&lt;lastName&gt;Yoshimoto&lt;/lastName&gt;&lt;firstName&gt;Yuki&lt;/firstName&gt;&lt;/author&gt;&lt;author&gt;&lt;lastName&gt;Takimoto&lt;/lastName&gt;&lt;firstName&gt;Aki&lt;/firstName&gt;&lt;/author&gt;&lt;author&gt;&lt;lastName&gt;Watanabe&lt;/lastName&gt;&lt;firstName&gt;Hitomi&lt;/firstName&gt;&lt;/author&gt;&lt;author&gt;&lt;lastName&gt;Hiraki&lt;/lastName&gt;&lt;firstName&gt;Yuji&lt;/firstName&gt;&lt;/author&gt;&lt;author&gt;&lt;lastName&gt;Kondoh&lt;/lastName&gt;&lt;firstName&gt;Gen&lt;/firstName&gt;&lt;/author&gt;&lt;author&gt;&lt;lastName&gt;Shukunami&lt;/lastName&gt;&lt;firstName&gt;Chisa&lt;/firstName&gt;&lt;/author&gt;&lt;/authors&gt;&lt;/publication&gt;&lt;publication&gt;&lt;subtype&gt;400&lt;/subtype&gt;&lt;title&gt;Regulation of fibronectin gene expression in cardiac fibroblasts by scleraxis.&lt;/title&gt;&lt;url&gt;http://link.springer.com/10.1007/s00441-016-2439-1&lt;/url&gt;&lt;volume&gt;366&lt;/volume&gt;&lt;publication_date&gt;99201611001200000000220000&lt;/publication_date&gt;&lt;uuid&gt;9120FD70-D23E-45B1-89CB-533BD882585F&lt;/uuid&gt;&lt;type&gt;400&lt;/type&gt;&lt;accepted_date&gt;99201605241200000000222000&lt;/accepted_date&gt;&lt;number&gt;2&lt;/number&gt;&lt;submission_date&gt;99201604011200000000222000&lt;/submission_date&gt;&lt;doi&gt;10.1007/s00441-016-2439-1&lt;/doi&gt;&lt;institution&gt;Institute of Cardiovascular Sciences, St. Boniface Hospital Albrechtsen Research Centre, 351 Tache Avenue, Winnipeg, MB, R2H 2A6, Canada.&lt;/institution&gt;&lt;startpage&gt;381&lt;/startpage&gt;&lt;endpage&gt;391&lt;/endpage&gt;&lt;bundle&gt;&lt;publication&gt;&lt;title&gt;Cell and tissue research&lt;/title&gt;&lt;uuid&gt;5B21DDE2-DEA4-45F3-BE87-517137065350&lt;/uuid&gt;&lt;subtype&gt;-100&lt;/subtype&gt;&lt;publisher&gt;Springer-Verlag&lt;/publisher&gt;&lt;type&gt;-100&lt;/type&gt;&lt;url&gt;http://link.springer.com&lt;/url&gt;&lt;/publication&gt;&lt;/bundle&gt;&lt;authors&gt;&lt;author&gt;&lt;lastName&gt;Bagchi&lt;/lastName&gt;&lt;firstName&gt;Rushita&lt;/firstName&gt;&lt;middleNames&gt;A&lt;/middleNames&gt;&lt;/author&gt;&lt;author&gt;&lt;lastName&gt;Lin&lt;/lastName&gt;&lt;firstName&gt;Justin&lt;/firstName&gt;&lt;/author&gt;&lt;author&gt;&lt;lastName&gt;Wang&lt;/lastName&gt;&lt;firstName&gt;Ryan&lt;/firstName&gt;&lt;/author&gt;&lt;author&gt;&lt;lastName&gt;Czubryt&lt;/lastName&gt;&lt;firstName&gt;Michael&lt;/firstName&gt;&lt;middleNames&gt;P&lt;/middleNames&gt;&lt;/author&gt;&lt;/authors&gt;&lt;/publication&gt;&lt;/publications&gt;&lt;cites&gt;&lt;/cites&gt;&lt;/citation&gt;</w:instrText>
      </w:r>
      <w:r w:rsidR="006E2104">
        <w:rPr>
          <w:rFonts w:cs="Times New Roman"/>
        </w:rPr>
        <w:fldChar w:fldCharType="separate"/>
      </w:r>
      <w:r w:rsidR="00A1782A">
        <w:rPr>
          <w:rFonts w:cs="Times New Roman"/>
        </w:rPr>
        <w:t>(12, 13, 31-33)</w:t>
      </w:r>
      <w:r w:rsidR="006E2104">
        <w:rPr>
          <w:rFonts w:cs="Times New Roman"/>
        </w:rPr>
        <w:fldChar w:fldCharType="end"/>
      </w:r>
      <w:r w:rsidRPr="000C628F">
        <w:rPr>
          <w:color w:val="000000" w:themeColor="text1"/>
        </w:rPr>
        <w:t xml:space="preserve">. </w:t>
      </w:r>
      <w:r>
        <w:t xml:space="preserve">Mechanical loading increases the expression of scleraxis, type I </w:t>
      </w:r>
      <w:r w:rsidR="00803F10">
        <w:t xml:space="preserve">and III </w:t>
      </w:r>
      <w:r>
        <w:t xml:space="preserve">collagen, and tenomodulin in tendon </w:t>
      </w:r>
      <w:r w:rsidR="006E2104">
        <w:rPr>
          <w:rFonts w:cs="Times New Roman"/>
        </w:rPr>
        <w:fldChar w:fldCharType="begin"/>
      </w:r>
      <w:r w:rsidR="00A1782A">
        <w:rPr>
          <w:rFonts w:cs="Times New Roman"/>
        </w:rPr>
        <w:instrText xml:space="preserve"> ADDIN PAPERS2_CITATIONS &lt;citation&gt;&lt;priority&gt;33&lt;/priority&gt;&lt;uuid&gt;925B72EA-B6D3-496E-BB0B-A3334573AA1E&lt;/uuid&gt;&lt;publications&gt;&lt;publication&gt;&lt;subtype&gt;400&lt;/subtype&gt;&lt;title&gt;Synergist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gt;&lt;subtype&gt;400&lt;/subtype&gt;&lt;location&gt;200,9,42.2803545,-83.7403132&lt;/location&gt;&lt;title&gt;Physiological loading of tendons induces scleraxis expression in epitenon fibroblasts.&lt;/title&gt;&lt;url&gt;http://eutils.ncbi.nlm.nih.gov/entrez/eutils/elink.fcgi?dbfrom=pubmed&amp;amp;id=21913219&amp;amp;retmode=ref&amp;amp;cmd=prlinks&lt;/url&gt;&lt;volume&gt;30&lt;/volume&gt;&lt;publication_date&gt;99201204001200000000220000&lt;/publication_date&gt;&lt;uuid&gt;AE6F045B-505B-43D7-9C63-3B9BE135BBFC&lt;/uuid&gt;&lt;type&gt;400&lt;/type&gt;&lt;accepted_date&gt;99201108221200000000222000&lt;/accepted_date&gt;&lt;number&gt;4&lt;/number&gt;&lt;citekey&gt;Mendias:2012bo&lt;/citekey&gt;&lt;submission_date&gt;99201103161200000000222000&lt;/submission_date&gt;&lt;doi&gt;10.1002/jor.21550&lt;/doi&gt;&lt;institution&gt;Orthopaedic Surgery, University of Michigan, 109 Zina Pitcher Place, BSRB 2017, Ann Arbor, 48109; Kinesiology, University of Michigan, Ann Arbor, 48109. cmendias@umich.edu.&lt;/institution&gt;&lt;startpage&gt;606&lt;/startpage&gt;&lt;endpage&gt;612&lt;/endpage&gt;&lt;bundle&gt;&lt;publication&gt;&lt;title&gt;Journal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Mendias&lt;/lastName&gt;&lt;firstName&gt;Christopher&lt;/firstName&gt;&lt;middleNames&gt;L&lt;/middleNames&gt;&lt;/author&gt;&lt;author&gt;&lt;lastName&gt;Gumucio&lt;/lastName&gt;&lt;firstName&gt;Jonathan&lt;/firstName&gt;&lt;middleNames&gt;P&lt;/middleNames&gt;&lt;/author&gt;&lt;author&gt;&lt;lastName&gt;Bakhurin&lt;/lastName&gt;&lt;firstName&gt;Konstantin&lt;/firstName&gt;&lt;middleNames&gt;I&lt;/middleNames&gt;&lt;/author&gt;&lt;author&gt;&lt;lastName&gt;Lynch&lt;/lastName&gt;&lt;firstName&gt;Evan&lt;/firstName&gt;&lt;middleNames&gt;B&lt;/middleNames&gt;&lt;/author&gt;&lt;author&gt;&lt;lastName&gt;Brooks&lt;/lastName&gt;&lt;firstName&gt;Susan&lt;/firstName&gt;&lt;middleNames&gt;V&lt;/middleNames&gt;&lt;/author&gt;&lt;/authors&gt;&lt;/publication&gt;&lt;publication&gt;&lt;subtype&gt;400&lt;/subtype&gt;&lt;location&gt;200,9,42.2835578,-83.7329091&lt;/location&gt;&lt;title&gt;Mechanical loading and TGF-β change the expression of multiple miRNAs in tendon fibroblasts.&lt;/title&gt;&lt;url&gt;http://eutils.ncbi.nlm.nih.gov/entrez/eutils/elink.fcgi?dbfrom=pubmed&amp;amp;id=22539168&amp;amp;retmode=ref&amp;amp;cmd=prlinks&lt;/url&gt;&lt;volume&gt;113&lt;/volume&gt;&lt;publication_date&gt;99201207001200000000220000&lt;/publication_date&gt;&lt;uuid&gt;39FF0869-1398-4724-B221-0ABD5D96176E&lt;/uuid&gt;&lt;type&gt;400&lt;/type&gt;&lt;number&gt;1&lt;/number&gt;&lt;citekey&gt;Mendias:2012bh&lt;/citekey&gt;&lt;doi&gt;10.1152/japplphysiol.00301.2012&lt;/doi&gt;&lt;institution&gt;Department of Orthopaedic Surgery, University of Michigan Medical School, Ann Arbor, Michigan.&lt;/institution&gt;&lt;startpage&gt;56&lt;/startpage&gt;&lt;endpage&gt;62&lt;/endpage&gt;&lt;bundle&gt;&lt;publication&gt;&lt;title&gt;Journal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Mendias&lt;/lastName&gt;&lt;firstName&gt;Christopher&lt;/firstName&gt;&lt;middleNames&gt;L&lt;/middleNames&gt;&lt;/author&gt;&lt;author&gt;&lt;lastName&gt;Gumucio&lt;/lastName&gt;&lt;firstName&gt;Jonathan&lt;/firstName&gt;&lt;middleNames&gt;P&lt;/middleNames&gt;&lt;/author&gt;&lt;author&gt;&lt;lastName&gt;Lynch&lt;/lastName&gt;&lt;firstName&gt;Evan&lt;/firstName&gt;&lt;middleNames&gt;B&lt;/middleNames&gt;&lt;/author&gt;&lt;/authors&gt;&lt;/publication&gt;&lt;publication&gt;&lt;subtype&gt;400&lt;/subtype&gt;&lt;location&gt;602,0,0,0&lt;/location&gt;&lt;title&gt;Expression of collagen and related growth factors in rat tendon and skeletal muscle in response to specific contraction types&lt;/title&gt;&lt;url&gt;http://www.ncbi.nlm.nih.gov/entrez/query.fcgi?db=pubmed&amp;amp;cmd=Retrieve&amp;amp;dopt=AbstractPlus&amp;amp;list_uids=17540706&lt;/url&gt;&lt;volume&gt;582&lt;/volume&gt;&lt;publication_date&gt;99200708011200000000222000&lt;/publication_date&gt;&lt;uuid&gt;0ED0BF50-9B3F-45A0-87FE-F75BAABDABE3&lt;/uuid&gt;&lt;type&gt;400&lt;/type&gt;&lt;number&gt;Pt 3&lt;/number&gt;&lt;citekey&gt;Heinemeier:2007p704&lt;/citekey&gt;&lt;doi&gt;10.1113/jphysiol.2007.127639&lt;/doi&gt;&lt;institution&gt;Institute of Sports Medicine, Bispebjerg Hospital - Building 8, 1st floor, 23 Bispebjerg Bakke, DK-2400 Copenhagen NV, Denmark. katjaheinemeier@hotmail.com.&lt;/institution&gt;&lt;startpage&gt;1303&lt;/startpage&gt;&lt;endpage&gt;1316&lt;/endpage&gt;&lt;bundle&gt;&lt;publication&gt;&lt;title&gt;The Journal of physiology&lt;/title&gt;&lt;uuid&gt;46F2272B-F152-4516-8744-07BE57954398&lt;/uuid&gt;&lt;subtype&gt;-100&lt;/subtype&gt;&lt;publisher&gt;Blackwell Publishing Ltd&lt;/publisher&gt;&lt;type&gt;-100&lt;/type&gt;&lt;url&gt;http://jp.physoc.org.proxy.lib.umich.edu&lt;/url&gt;&lt;/publication&gt;&lt;/bundle&gt;&lt;authors&gt;&lt;author&gt;&lt;lastName&gt;Heinemeier&lt;/lastName&gt;&lt;firstName&gt;K&lt;/firstName&gt;&lt;middleNames&gt;M&lt;/middleNames&gt;&lt;/author&gt;&lt;author&gt;&lt;lastName&gt;Olesen&lt;/lastName&gt;&lt;firstName&gt;J&lt;/firstName&gt;&lt;middleNames&gt;L&lt;/middleNames&gt;&lt;/author&gt;&lt;author&gt;&lt;lastName&gt;Haddad&lt;/lastName&gt;&lt;firstName&gt;F&lt;/firstName&gt;&lt;/author&gt;&lt;author&gt;&lt;lastName&gt;Langberg&lt;/lastName&gt;&lt;firstName&gt;H&lt;/firstName&gt;&lt;/author&gt;&lt;author&gt;&lt;lastName&gt;Kjaer&lt;/lastName&gt;&lt;firstName&gt;M&lt;/firstName&gt;&lt;/author&gt;&lt;author&gt;&lt;lastName&gt;Baldwin&lt;/lastName&gt;&lt;firstName&gt;K&lt;/firstName&gt;&lt;middleNames&gt;M&lt;/middleNames&gt;&lt;/author&gt;&lt;author&gt;&lt;lastName&gt;Schjerling&lt;/lastName&gt;&lt;firstName&gt;P&lt;/firstName&gt;&lt;/author&gt;&lt;/authors&gt;&lt;/publication&gt;&lt;/publications&gt;&lt;cites&gt;&lt;/cites&gt;&lt;/citation&gt;</w:instrText>
      </w:r>
      <w:r w:rsidR="006E2104">
        <w:rPr>
          <w:rFonts w:cs="Times New Roman"/>
        </w:rPr>
        <w:fldChar w:fldCharType="separate"/>
      </w:r>
      <w:r w:rsidR="00A1782A">
        <w:rPr>
          <w:rFonts w:cs="Times New Roman"/>
        </w:rPr>
        <w:t>(6, 14, 34, 35)</w:t>
      </w:r>
      <w:r w:rsidR="006E2104">
        <w:rPr>
          <w:rFonts w:cs="Times New Roman"/>
        </w:rPr>
        <w:fldChar w:fldCharType="end"/>
      </w:r>
      <w:r w:rsidRPr="00B771B5">
        <w:t>, an</w:t>
      </w:r>
      <w:r>
        <w:t>d our transcriptomic analys</w:t>
      </w:r>
      <w:r w:rsidR="00014EB7">
        <w:t>es</w:t>
      </w:r>
      <w:r>
        <w:t xml:space="preserve"> </w:t>
      </w:r>
      <w:r w:rsidR="00E13A72">
        <w:t>demonstrated that</w:t>
      </w:r>
      <w:r w:rsidR="00E13A72" w:rsidRPr="00E13A72">
        <w:t xml:space="preserve"> </w:t>
      </w:r>
      <w:r w:rsidR="00E13A72">
        <w:t>expression of components or regulators of the ECM</w:t>
      </w:r>
      <w:r w:rsidR="004605E0">
        <w:t xml:space="preserve">, including </w:t>
      </w:r>
      <w:r w:rsidR="00E13A72" w:rsidRPr="005A5228">
        <w:rPr>
          <w:i/>
        </w:rPr>
        <w:t>Col1a1</w:t>
      </w:r>
      <w:r w:rsidR="00E13A72">
        <w:t xml:space="preserve">, </w:t>
      </w:r>
      <w:proofErr w:type="spellStart"/>
      <w:r w:rsidR="00E13A72" w:rsidRPr="005A5228">
        <w:rPr>
          <w:i/>
        </w:rPr>
        <w:t>Mkx</w:t>
      </w:r>
      <w:proofErr w:type="spellEnd"/>
      <w:r w:rsidR="00E13A72">
        <w:t xml:space="preserve"> and </w:t>
      </w:r>
      <w:proofErr w:type="spellStart"/>
      <w:r w:rsidR="00E13A72" w:rsidRPr="005A5228">
        <w:rPr>
          <w:i/>
        </w:rPr>
        <w:t>Tnmd</w:t>
      </w:r>
      <w:proofErr w:type="spellEnd"/>
      <w:r w:rsidR="004605E0">
        <w:t>,</w:t>
      </w:r>
      <w:r w:rsidR="00E13A72">
        <w:t xml:space="preserve"> were found to be </w:t>
      </w:r>
      <w:r w:rsidR="00803F10">
        <w:t>reduced</w:t>
      </w:r>
      <w:r w:rsidR="00E13A72">
        <w:t xml:space="preserve"> in the absence of scleraxis in whole tendons and in cultured tenocytes</w:t>
      </w:r>
      <w:r>
        <w:t>.</w:t>
      </w:r>
      <w:r w:rsidR="00C05ECF">
        <w:t xml:space="preserve"> </w:t>
      </w:r>
      <w:r w:rsidR="000B326E">
        <w:t xml:space="preserve">Proteoglycans and glycoproteins that compose the </w:t>
      </w:r>
      <w:r w:rsidR="00CF6721">
        <w:t xml:space="preserve">tendon </w:t>
      </w:r>
      <w:r w:rsidR="000B326E">
        <w:t xml:space="preserve">ECM, such as </w:t>
      </w:r>
      <w:proofErr w:type="spellStart"/>
      <w:r w:rsidR="000B326E">
        <w:t>asporin</w:t>
      </w:r>
      <w:proofErr w:type="spellEnd"/>
      <w:r w:rsidR="000B326E">
        <w:t xml:space="preserve">, fibronectin, osteoglycin, thrombospondins 1 and 4, and tenascin C were lower in tendons of </w:t>
      </w:r>
      <w:proofErr w:type="spellStart"/>
      <w:r w:rsidR="000B326E" w:rsidRPr="00181E19">
        <w:rPr>
          <w:i/>
        </w:rPr>
        <w:t>Scx</w:t>
      </w:r>
      <w:r w:rsidR="000B326E" w:rsidRPr="00594224">
        <w:rPr>
          <w:vertAlign w:val="superscript"/>
        </w:rPr>
        <w:t>Δ</w:t>
      </w:r>
      <w:proofErr w:type="spellEnd"/>
      <w:r w:rsidR="000B326E">
        <w:t xml:space="preserve"> mice</w:t>
      </w:r>
      <w:r w:rsidR="00CF6721">
        <w:t xml:space="preserve"> at 14 days, although no change in the expression of many genes involved with </w:t>
      </w:r>
      <w:r w:rsidR="00CF6721" w:rsidRPr="00CF6721">
        <w:t xml:space="preserve">heparin sulfate, chondroitin sulfate, </w:t>
      </w:r>
      <w:r w:rsidR="00CF6721">
        <w:t>or</w:t>
      </w:r>
      <w:r w:rsidR="00CF6721" w:rsidRPr="00CF6721">
        <w:t xml:space="preserve"> hyaluronic acid synthesis</w:t>
      </w:r>
      <w:r w:rsidR="00CF6721">
        <w:t xml:space="preserve"> were observed in whole tendons.</w:t>
      </w:r>
      <w:r w:rsidR="000B326E">
        <w:t xml:space="preserve"> </w:t>
      </w:r>
      <w:r w:rsidR="00670952">
        <w:t xml:space="preserve">Differences in MMPs, FACIT collagens, and other factors that regulate type I collagen fibril diameter may also explain the apparent differences in fibril size distributions in electron micrographs. </w:t>
      </w:r>
      <w:r w:rsidR="00803F10">
        <w:t xml:space="preserve">IGF1 signaling can induce protein synthesis in tenocytes </w:t>
      </w:r>
      <w:r w:rsidR="006E2104">
        <w:rPr>
          <w:rFonts w:cs="Times New Roman"/>
        </w:rPr>
        <w:fldChar w:fldCharType="begin"/>
      </w:r>
      <w:r w:rsidR="00A1782A">
        <w:rPr>
          <w:rFonts w:cs="Times New Roman"/>
        </w:rPr>
        <w:instrText xml:space="preserve"> ADDIN PAPERS2_CITATIONS &lt;citation&gt;&lt;priority&gt;34&lt;/priority&gt;&lt;uuid&gt;431CD28E-DE49-4BFE-90DC-518241FA73CB&lt;/uuid&gt;&lt;publications&gt;&lt;publication&gt;&lt;subtype&gt;400&lt;/subtype&gt;&lt;title&gt;Insulin-like growth factor 1 signaling in tenocytes is required for adult tendon growth.&lt;/title&gt;&lt;url&gt;https://www.fasebj.org/doi/10.1096/fj.201901503R&lt;/url&gt;&lt;volume&gt;33&lt;/volume&gt;&lt;publication_date&gt;99201911011200000000222000&lt;/publication_date&gt;&lt;uuid&gt;7F0D72D9-5F56-4B93-A8BA-81ABE7850CB5&lt;/uuid&gt;&lt;type&gt;400&lt;/type&gt;&lt;number&gt;11&lt;/number&gt;&lt;doi&gt;10.1096/fj.201901503R&lt;/doi&gt;&lt;institution&gt;Hospital for Special Surgery, New York, New York, USA.&lt;/institution&gt;&lt;startpage&gt;12680&lt;/startpage&gt;&lt;endpage&gt;12695&lt;/endpage&gt;&lt;bundle&gt;&lt;publication&gt;&lt;title&gt;The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Disser&lt;/lastName&gt;&lt;firstName&gt;Nathaniel&lt;/firstName&gt;&lt;middleNames&gt;P&lt;/middleNames&gt;&lt;/author&gt;&lt;author&gt;&lt;lastName&gt;Sugg&lt;/lastName&gt;&lt;firstName&gt;Kristoffer&lt;/firstName&gt;&lt;middleNames&gt;B&lt;/middleNames&gt;&lt;/author&gt;&lt;author&gt;&lt;lastName&gt;Talarek&lt;/lastName&gt;&lt;firstName&gt;Jeffrey&lt;/firstName&gt;&lt;middleNames&gt;R&lt;/middleNames&gt;&lt;/author&gt;&lt;author&gt;&lt;lastName&gt;Sarver&lt;/lastName&gt;&lt;firstName&gt;Dylan&lt;/firstName&gt;&lt;middleNames&gt;C&lt;/middleNames&gt;&lt;/author&gt;&lt;author&gt;&lt;lastName&gt;Rourke&lt;/lastName&gt;&lt;firstName&gt;Brennan&lt;/firstName&gt;&lt;middleNames&gt;J&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(26)</w:t>
      </w:r>
      <w:r w:rsidR="006E2104">
        <w:rPr>
          <w:rFonts w:cs="Times New Roman"/>
        </w:rPr>
        <w:fldChar w:fldCharType="end"/>
      </w:r>
      <w:r w:rsidR="00803F10">
        <w:t xml:space="preserve">, and </w:t>
      </w:r>
      <w:r w:rsidR="00803F10" w:rsidRPr="00803F10">
        <w:rPr>
          <w:i/>
          <w:iCs/>
        </w:rPr>
        <w:t>Igf1</w:t>
      </w:r>
      <w:r w:rsidR="00803F10">
        <w:t xml:space="preserve"> expression was downregulated in </w:t>
      </w:r>
      <w:r w:rsidR="0088178D">
        <w:rPr>
          <w:iCs/>
        </w:rPr>
        <w:t xml:space="preserve">scleraxis-deficient </w:t>
      </w:r>
      <w:r w:rsidR="00803F10">
        <w:t xml:space="preserve">mice and cultured cells, along with reduced ribosomal proteins and translation elongation factor proteins in </w:t>
      </w:r>
      <w:r w:rsidR="0088178D">
        <w:t xml:space="preserve">tendons of </w:t>
      </w:r>
      <w:proofErr w:type="spellStart"/>
      <w:r w:rsidR="0088178D" w:rsidRPr="00435075">
        <w:rPr>
          <w:i/>
        </w:rPr>
        <w:t>Scx</w:t>
      </w:r>
      <w:r w:rsidR="0088178D" w:rsidRPr="00594224">
        <w:rPr>
          <w:vertAlign w:val="superscript"/>
        </w:rPr>
        <w:t>Δ</w:t>
      </w:r>
      <w:proofErr w:type="spellEnd"/>
      <w:r w:rsidR="0088178D" w:rsidRPr="004D6B9B">
        <w:t xml:space="preserve"> </w:t>
      </w:r>
      <w:r w:rsidR="0088178D">
        <w:t>mice.</w:t>
      </w:r>
      <w:r w:rsidR="00803F10">
        <w:t xml:space="preserve"> The growth deficiency of </w:t>
      </w:r>
      <w:proofErr w:type="spellStart"/>
      <w:r w:rsidR="00803F10" w:rsidRPr="00435075">
        <w:rPr>
          <w:i/>
        </w:rPr>
        <w:t>Scx</w:t>
      </w:r>
      <w:r w:rsidR="00803F10" w:rsidRPr="00594224">
        <w:rPr>
          <w:vertAlign w:val="superscript"/>
        </w:rPr>
        <w:t>Δ</w:t>
      </w:r>
      <w:proofErr w:type="spellEnd"/>
      <w:r w:rsidR="00803F10" w:rsidRPr="004D6B9B">
        <w:t xml:space="preserve"> </w:t>
      </w:r>
      <w:r w:rsidR="0088178D">
        <w:t>tendons</w:t>
      </w:r>
      <w:r w:rsidR="00803F10">
        <w:t xml:space="preserve"> was most pronounced at 14 days, and proteomics analyses at this time point identified a reduction in several collagens and proteoglycans. </w:t>
      </w:r>
      <w:r w:rsidR="00DE2906">
        <w:rPr>
          <w:color w:val="000000" w:themeColor="text1"/>
        </w:rPr>
        <w:t>These</w:t>
      </w:r>
      <w:r w:rsidR="00A22281">
        <w:rPr>
          <w:color w:val="000000" w:themeColor="text1"/>
        </w:rPr>
        <w:t xml:space="preserve"> results </w:t>
      </w:r>
      <w:r w:rsidR="002A4BF0">
        <w:rPr>
          <w:color w:val="000000" w:themeColor="text1"/>
        </w:rPr>
        <w:t>indicate</w:t>
      </w:r>
      <w:r w:rsidR="00A22281">
        <w:rPr>
          <w:color w:val="000000" w:themeColor="text1"/>
        </w:rPr>
        <w:t xml:space="preserve"> that</w:t>
      </w:r>
      <w:r w:rsidR="0088178D">
        <w:rPr>
          <w:color w:val="000000" w:themeColor="text1"/>
        </w:rPr>
        <w:t>, similar to embryonic development,</w:t>
      </w:r>
      <w:r w:rsidR="00A22281">
        <w:rPr>
          <w:color w:val="000000" w:themeColor="text1"/>
        </w:rPr>
        <w:t xml:space="preserve"> scleraxis </w:t>
      </w:r>
      <w:r w:rsidR="00803F10">
        <w:rPr>
          <w:color w:val="000000" w:themeColor="text1"/>
        </w:rPr>
        <w:t>plays an important role in adult tendon growth by directing the expression of ECM proteins.</w:t>
      </w:r>
      <w:r w:rsidR="00023EBF">
        <w:rPr>
          <w:color w:val="000000" w:themeColor="text1"/>
        </w:rPr>
        <w:t xml:space="preserve"> </w:t>
      </w:r>
      <w:r w:rsidR="00DE5EB1">
        <w:t xml:space="preserve">When combined with other findings in this manuscript, we propose a model of mechanically-stimulated </w:t>
      </w:r>
      <w:r w:rsidR="00DE5EB1">
        <w:lastRenderedPageBreak/>
        <w:t xml:space="preserve">adult tendon growth whereby </w:t>
      </w:r>
      <w:r w:rsidR="009836B3">
        <w:rPr>
          <w:bCs/>
          <w:iCs/>
        </w:rPr>
        <w:t xml:space="preserve">scleraxis </w:t>
      </w:r>
      <w:r w:rsidR="00DE5EB1">
        <w:rPr>
          <w:bCs/>
          <w:iCs/>
        </w:rPr>
        <w:t xml:space="preserve">plays a central role in </w:t>
      </w:r>
      <w:r w:rsidR="009836B3">
        <w:rPr>
          <w:bCs/>
          <w:iCs/>
        </w:rPr>
        <w:t xml:space="preserve">the </w:t>
      </w:r>
      <w:r w:rsidR="00DE5EB1">
        <w:rPr>
          <w:bCs/>
          <w:iCs/>
        </w:rPr>
        <w:t>commitment</w:t>
      </w:r>
      <w:r w:rsidR="009836B3">
        <w:rPr>
          <w:bCs/>
          <w:iCs/>
        </w:rPr>
        <w:t xml:space="preserve"> of </w:t>
      </w:r>
      <w:r w:rsidR="00DE5EB1">
        <w:rPr>
          <w:bCs/>
          <w:iCs/>
        </w:rPr>
        <w:t>CD146</w:t>
      </w:r>
      <w:r w:rsidR="00DE5EB1" w:rsidRPr="00DE5EB1">
        <w:rPr>
          <w:bCs/>
          <w:iCs/>
          <w:vertAlign w:val="superscript"/>
        </w:rPr>
        <w:t>+</w:t>
      </w:r>
      <w:r w:rsidR="00DE5EB1">
        <w:rPr>
          <w:bCs/>
          <w:iCs/>
        </w:rPr>
        <w:t xml:space="preserve"> </w:t>
      </w:r>
      <w:r w:rsidR="009836B3">
        <w:rPr>
          <w:bCs/>
          <w:iCs/>
        </w:rPr>
        <w:t>pericytes</w:t>
      </w:r>
      <w:r w:rsidR="00DE5EB1">
        <w:rPr>
          <w:bCs/>
          <w:iCs/>
        </w:rPr>
        <w:t xml:space="preserve"> to the tenogenic lineage, the initial expansion of newly committed tenocytes, and the production of ECM proteins (</w:t>
      </w:r>
      <w:r w:rsidR="009836B3">
        <w:rPr>
          <w:bCs/>
        </w:rPr>
        <w:t>Figure 7</w:t>
      </w:r>
      <w:r w:rsidR="00DE5EB1">
        <w:rPr>
          <w:bCs/>
        </w:rPr>
        <w:t>).</w:t>
      </w:r>
    </w:p>
    <w:p w14:paraId="7C281715" w14:textId="511CF70A" w:rsidR="009903D6" w:rsidRPr="009F2360" w:rsidRDefault="00DF64E1" w:rsidP="009F2360">
      <w:pPr>
        <w:pStyle w:val="NoSpacing"/>
        <w:spacing w:line="480" w:lineRule="auto"/>
        <w:ind w:firstLine="720"/>
        <w:rPr>
          <w:rFonts w:eastAsia="Times New Roman" w:cs="Times New Roman"/>
        </w:rPr>
      </w:pPr>
      <w:r>
        <w:t>Despite providing substantial new insight into the role of scleraxis in adult tendon adaptation, this study is not without limitation</w:t>
      </w:r>
      <w:r w:rsidR="00E45E27">
        <w:t>s</w:t>
      </w:r>
      <w:r>
        <w:t xml:space="preserve">. </w:t>
      </w:r>
      <w:r w:rsidR="001F5740">
        <w:t xml:space="preserve">We only studied male mice, as we previously demonstrated a general lack of differences between the Achilles tendons of male and female mice </w:t>
      </w:r>
      <w:r w:rsidR="006E2104">
        <w:rPr>
          <w:rFonts w:cs="Times New Roman"/>
        </w:rPr>
        <w:fldChar w:fldCharType="begin"/>
      </w:r>
      <w:r w:rsidR="00A1782A">
        <w:rPr>
          <w:rFonts w:cs="Times New Roman"/>
        </w:rPr>
        <w:instrText xml:space="preserve"> ADDIN PAPERS2_CITATIONS &lt;citation&gt;&lt;priority&gt;35&lt;/priority&gt;&lt;uuid&gt;B7519571-BD2C-4208-AF7A-D3ED22B93519&lt;/uuid&gt;&lt;publications&gt;&lt;publication&gt;&lt;subtype&gt;400&lt;/subtype&gt;&lt;title&gt;Sex differences in tendon structure and function.&lt;/title&gt;&lt;url&gt;http://doi.wiley.com/10.1002/jor.23516&lt;/url&gt;&lt;volume&gt;35&lt;/volume&gt;&lt;publication_date&gt;99201710001200000000220000&lt;/publication_date&gt;&lt;uuid&gt;FE927EEE-BB09-41F2-A87A-5F1BE0A9510D&lt;/uuid&gt;&lt;type&gt;400&lt;/type&gt;&lt;accepted_date&gt;99201701061200000000222000&lt;/accepted_date&gt;&lt;number&gt;10&lt;/number&gt;&lt;subtitle&gt;SEX DIFFERENCES IN TENDONS&lt;/subtitle&gt;&lt;doi&gt;10.1002/jor.23516&lt;/doi&gt;&lt;submission_date&gt;99201609141200000000222000&lt;/submission_date&gt;&lt;institution&gt;Department of Orthopaedic Surgery, University of Michigan Medical School, Ann Arbor, Michigan.&lt;/institution&gt;&lt;startpage&gt;2117&lt;/startpage&gt;&lt;endpage&gt;2126&lt;/endpage&gt;&lt;bundle&gt;&lt;publication&gt;&lt;title&gt;Journal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Sarver&lt;/lastName&gt;&lt;firstName&gt;Dylan&lt;/firstName&gt;&lt;middleNames&gt;C&lt;/middleNames&gt;&lt;/author&gt;&lt;author&gt;&lt;lastName&gt;Kharaz&lt;/lastName&gt;&lt;firstName&gt;Yalda&lt;/firstName&gt;&lt;middleNames&gt;Ashraf&lt;/middleNames&gt;&lt;/author&gt;&lt;author&gt;&lt;lastName&gt;Sugg&lt;/lastName&gt;&lt;firstName&gt;Kristoffer&lt;/firstName&gt;&lt;middleNames&gt;B&lt;/middleNames&gt;&lt;/author&gt;&lt;author&gt;&lt;lastName&gt;Gumucio&lt;/lastName&gt;&lt;firstName&gt;Jonathan&lt;/firstName&gt;&lt;middleNames&gt;P&lt;/middleNames&gt;&lt;/author&gt;&lt;author&gt;&lt;lastName&gt;Comerford&lt;/lastName&gt;&lt;firstName&gt;Eithne&lt;/firstName&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(36)</w:t>
      </w:r>
      <w:r w:rsidR="006E2104">
        <w:rPr>
          <w:rFonts w:cs="Times New Roman"/>
        </w:rPr>
        <w:fldChar w:fldCharType="end"/>
      </w:r>
      <w:r w:rsidR="001F5740">
        <w:t xml:space="preserve">, </w:t>
      </w:r>
      <w:r w:rsidR="000B4CEB">
        <w:t>and we anticipate</w:t>
      </w:r>
      <w:r w:rsidR="001F5740">
        <w:t xml:space="preserve"> the results are likely applicable to both sexes. Results from the plantaris tendon may not be applicable to all tendons, as different tendons display extensive divergence in their function and transcriptional profiles </w:t>
      </w:r>
      <w:r w:rsidR="006E2104">
        <w:rPr>
          <w:rFonts w:cs="Times New Roman"/>
        </w:rPr>
        <w:fldChar w:fldCharType="begin"/>
      </w:r>
      <w:r w:rsidR="00A1782A">
        <w:rPr>
          <w:rFonts w:cs="Times New Roman"/>
        </w:rPr>
        <w:instrText xml:space="preserve"> ADDIN PAPERS2_CITATIONS &lt;citation&gt;&lt;priority&gt;36&lt;/priority&gt;&lt;uuid&gt;10306252-97AA-4E3A-B9BE-DF09982C232D&lt;/uuid&gt;&lt;publications&gt;&lt;publication&gt;&lt;subtype&gt;400&lt;/subtype&gt;&lt;title&gt;Widespread diversity in the transcriptomes of functionally divergent limb tendons.&lt;/title&gt;&lt;url&gt;https://onlinelibrary.wiley.com/doi/abs/10.1113/JP279646&lt;/url&gt;&lt;volume&gt;598&lt;/volume&gt;&lt;publication_date&gt;99202004151200000000222000&lt;/publication_date&gt;&lt;uuid&gt;B121B30C-F843-4EB4-809C-0992EFAEE112&lt;/uuid&gt;&lt;type&gt;400&lt;/type&gt;&lt;accepted_date&gt;99202002201200000000222000&lt;/accepted_date&gt;&lt;number&gt;8&lt;/number&gt;&lt;submission_date&gt;99202002071200000000222000&lt;/submission_date&gt;&lt;doi&gt;10.1113/JP279646&lt;/doi&gt;&lt;institution&gt;Hospital for Special Surgery, New York, NY, USA.&lt;/institution&gt;&lt;startpage&gt;1537&lt;/startpage&gt;&lt;endpage&gt;1550&lt;/endpage&gt;&lt;bundle&gt;&lt;publication&gt;&lt;title&gt;The Journal of physiology&lt;/title&gt;&lt;uuid&gt;46F2272B-F152-4516-8744-07BE57954398&lt;/uuid&gt;&lt;subtype&gt;-100&lt;/subtype&gt;&lt;publisher&gt;Blackwell Publishing Ltd&lt;/publisher&gt;&lt;type&gt;-100&lt;/type&gt;&lt;url&gt;http://jp.physoc.org.proxy.lib.umich.edu&lt;/url&gt;&lt;/publication&gt;&lt;/bundle&gt;&lt;authors&gt;&lt;author&gt;&lt;lastName&gt;Disser&lt;/lastName&gt;&lt;firstName&gt;Nathaniel&lt;/firstName&gt;&lt;middleNames&gt;P&lt;/middleNames&gt;&lt;/author&gt;&lt;author&gt;&lt;lastName&gt;Ghahramani&lt;/lastName&gt;&lt;firstName&gt;Gregory&lt;/firstName&gt;&lt;middleNames&gt;C&lt;/middleNames&gt;&lt;/author&gt;&lt;author&gt;&lt;lastName&gt;Swanson&lt;/lastName&gt;&lt;firstName&gt;Jacob&lt;/firstName&gt;&lt;middleNames&gt;B&lt;/middleNames&gt;&lt;/author&gt;&lt;author&gt;&lt;lastName&gt;Wada&lt;/lastName&gt;&lt;firstName&gt;Susumu&lt;/firstName&gt;&lt;/author&gt;&lt;author&gt;&lt;lastName&gt;Chao&lt;/lastName&gt;&lt;firstName&gt;Max&lt;/firstName&gt;&lt;middleNames&gt;L&lt;/middleNames&gt;&lt;/author&gt;&lt;author&gt;&lt;lastName&gt;Rodeo&lt;/lastName&gt;&lt;firstName&gt;Scott&lt;/firstName&gt;&lt;middleNames&gt;A&lt;/middleNames&gt;&lt;/author&gt;&lt;author&gt;&lt;lastName&gt;Oliver&lt;/lastName&gt;&lt;firstName&gt;David&lt;/firstName&gt;&lt;middleNames&gt;J&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(37)</w:t>
      </w:r>
      <w:r w:rsidR="006E2104">
        <w:rPr>
          <w:rFonts w:cs="Times New Roman"/>
        </w:rPr>
        <w:fldChar w:fldCharType="end"/>
      </w:r>
      <w:r w:rsidR="001F5740">
        <w:t>. O</w:t>
      </w:r>
      <w:r>
        <w:t xml:space="preserve">nly </w:t>
      </w:r>
      <w:r w:rsidR="001F5740">
        <w:t xml:space="preserve">two time points were </w:t>
      </w:r>
      <w:r>
        <w:t xml:space="preserve">used following overload to study scleraxis function. </w:t>
      </w:r>
      <w:r w:rsidR="00BD5E18">
        <w:t>T</w:t>
      </w:r>
      <w:r>
        <w:t xml:space="preserve">hese time points </w:t>
      </w:r>
      <w:r w:rsidR="000B4CEB">
        <w:t>were selected</w:t>
      </w:r>
      <w:r>
        <w:t xml:space="preserve"> </w:t>
      </w:r>
      <w:r w:rsidR="000B4CEB">
        <w:t>due to high levels of</w:t>
      </w:r>
      <w:r>
        <w:t xml:space="preserve"> scleraxis expression in a previous study using the same tendon growth model</w:t>
      </w:r>
      <w:r w:rsidR="00E45E27">
        <w:t xml:space="preserve"> </w:t>
      </w:r>
      <w:r w:rsidR="006E2104">
        <w:rPr>
          <w:rFonts w:cs="Times New Roman"/>
        </w:rPr>
        <w:fldChar w:fldCharType="begin"/>
      </w:r>
      <w:r w:rsidR="00A1782A">
        <w:rPr>
          <w:rFonts w:cs="Times New Roman"/>
        </w:rPr>
        <w:instrText xml:space="preserve"> ADDIN PAPERS2_CITATIONS &lt;citation&gt;&lt;priority&gt;37&lt;/priority&gt;&lt;uuid&gt;37D91146-456E-4A46-AE4E-97EF0D121777&lt;/uuid&gt;&lt;publications&gt;&lt;publication&gt;&lt;subtype&gt;400&lt;/subtype&gt;&lt;title&gt;Synergist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(14)</w:t>
      </w:r>
      <w:r w:rsidR="006E2104">
        <w:rPr>
          <w:rFonts w:cs="Times New Roman"/>
        </w:rPr>
        <w:fldChar w:fldCharType="end"/>
      </w:r>
      <w:r w:rsidR="00BD5E18">
        <w:rPr>
          <w:rFonts w:cs="Times New Roman"/>
        </w:rPr>
        <w:t>, but additional insight would likely be gained from studying long term changes in scleraxis-deficient tendon growth</w:t>
      </w:r>
      <w:r>
        <w:t xml:space="preserve">. </w:t>
      </w:r>
      <w:r w:rsidR="000B4CEB">
        <w:t>While w</w:t>
      </w:r>
      <w:r w:rsidR="001F5740">
        <w:t xml:space="preserve">e achieved efficient knock down of scleraxis in whole tendons and cultured tenocytes, there are likely some cells in which scleraxis was not deleted. </w:t>
      </w:r>
      <w:r w:rsidR="00BD5E18">
        <w:t>Although we and others demonstrated</w:t>
      </w:r>
      <w:r w:rsidR="009903D6">
        <w:t xml:space="preserve"> that CD146</w:t>
      </w:r>
      <w:r w:rsidR="009903D6" w:rsidRPr="00906348">
        <w:rPr>
          <w:vertAlign w:val="superscript"/>
        </w:rPr>
        <w:t>+</w:t>
      </w:r>
      <w:r w:rsidR="009903D6">
        <w:t xml:space="preserve"> </w:t>
      </w:r>
      <w:r w:rsidR="000B4CEB">
        <w:t>pericytes</w:t>
      </w:r>
      <w:r w:rsidR="009903D6">
        <w:t xml:space="preserve"> likely </w:t>
      </w:r>
      <w:r w:rsidR="00BD5E18">
        <w:t>serve as progenitor cells for tenocytes</w:t>
      </w:r>
      <w:r w:rsidR="009903D6">
        <w:t xml:space="preserve">, we did not test this with </w:t>
      </w:r>
      <w:r w:rsidR="00BD5E18">
        <w:t xml:space="preserve">genetic </w:t>
      </w:r>
      <w:r w:rsidR="009903D6">
        <w:t xml:space="preserve">lineage tracing. </w:t>
      </w:r>
      <w:r w:rsidR="00BB3687">
        <w:t xml:space="preserve">We also did not directly determine which genes that scleraxis directly regulates by recruitment or repression of transcription machinery to promoter or enhancer sequences. </w:t>
      </w:r>
      <w:r w:rsidR="008902D5">
        <w:t xml:space="preserve">Immune cells likely contribute to tendon growth, and we did not directly quantify the abundance of these cell populations with histology or flow cytometry. However, in the extended RNAseq dataset we did not observe differences in the expression of the </w:t>
      </w:r>
      <w:r w:rsidR="008902D5" w:rsidRPr="008902D5">
        <w:t xml:space="preserve">pan-hematopoietic cell marker </w:t>
      </w:r>
      <w:r w:rsidR="008902D5" w:rsidRPr="008902D5">
        <w:rPr>
          <w:i/>
          <w:iCs/>
        </w:rPr>
        <w:t>Cd45</w:t>
      </w:r>
      <w:r w:rsidR="008902D5" w:rsidRPr="008902D5">
        <w:t>, macrophage markers (</w:t>
      </w:r>
      <w:r w:rsidR="008902D5">
        <w:t xml:space="preserve">such as </w:t>
      </w:r>
      <w:r w:rsidR="008902D5" w:rsidRPr="008902D5">
        <w:rPr>
          <w:i/>
          <w:iCs/>
        </w:rPr>
        <w:t>Cd11b, Cd68, Cd163, Cd206</w:t>
      </w:r>
      <w:r w:rsidR="008902D5" w:rsidRPr="008902D5">
        <w:t>), or T cell markers (</w:t>
      </w:r>
      <w:r w:rsidR="008902D5" w:rsidRPr="008902D5">
        <w:rPr>
          <w:i/>
          <w:iCs/>
        </w:rPr>
        <w:t>Cd3, Cd4, Cd8</w:t>
      </w:r>
      <w:r w:rsidR="008902D5" w:rsidRPr="008902D5">
        <w:t xml:space="preserve">) between tendons of </w:t>
      </w:r>
      <w:proofErr w:type="spellStart"/>
      <w:r w:rsidR="008902D5" w:rsidRPr="00435075">
        <w:rPr>
          <w:i/>
        </w:rPr>
        <w:t>Scx</w:t>
      </w:r>
      <w:proofErr w:type="spellEnd"/>
      <w:r w:rsidR="008902D5">
        <w:rPr>
          <w:vertAlign w:val="superscript"/>
        </w:rPr>
        <w:t>+</w:t>
      </w:r>
      <w:r w:rsidR="008902D5" w:rsidRPr="008902D5">
        <w:t xml:space="preserve"> and </w:t>
      </w:r>
      <w:proofErr w:type="spellStart"/>
      <w:r w:rsidR="008902D5" w:rsidRPr="00435075">
        <w:rPr>
          <w:i/>
        </w:rPr>
        <w:t>Scx</w:t>
      </w:r>
      <w:r w:rsidR="008902D5" w:rsidRPr="00594224">
        <w:rPr>
          <w:vertAlign w:val="superscript"/>
        </w:rPr>
        <w:t>Δ</w:t>
      </w:r>
      <w:proofErr w:type="spellEnd"/>
      <w:r w:rsidR="008902D5" w:rsidRPr="008902D5">
        <w:t xml:space="preserve"> mice</w:t>
      </w:r>
      <w:r w:rsidR="008902D5">
        <w:t xml:space="preserve">. </w:t>
      </w:r>
      <w:r w:rsidR="009903D6">
        <w:t>Lastly, while th</w:t>
      </w:r>
      <w:r w:rsidR="00BD5E18">
        <w:t>e synergist ablation</w:t>
      </w:r>
      <w:r w:rsidR="009903D6">
        <w:t xml:space="preserve"> model is useful </w:t>
      </w:r>
      <w:r w:rsidR="00BD5E18">
        <w:t>in the</w:t>
      </w:r>
      <w:r w:rsidR="009903D6">
        <w:t xml:space="preserve"> study </w:t>
      </w:r>
      <w:r w:rsidR="00BD5E18">
        <w:t xml:space="preserve">of </w:t>
      </w:r>
      <w:r w:rsidR="009903D6">
        <w:t xml:space="preserve">mechanical load-induced tendon growth, the </w:t>
      </w:r>
      <w:r w:rsidR="009903D6">
        <w:lastRenderedPageBreak/>
        <w:t>model</w:t>
      </w:r>
      <w:r w:rsidR="000E66AB">
        <w:t xml:space="preserve"> indu</w:t>
      </w:r>
      <w:r w:rsidR="00E5235B">
        <w:t>c</w:t>
      </w:r>
      <w:r w:rsidR="000E66AB">
        <w:t>es supraphysiologic</w:t>
      </w:r>
      <w:r w:rsidR="0005012E">
        <w:t>al</w:t>
      </w:r>
      <w:r w:rsidR="000E66AB">
        <w:t xml:space="preserve"> </w:t>
      </w:r>
      <w:r w:rsidR="00596D4E">
        <w:t>growth</w:t>
      </w:r>
      <w:r w:rsidR="00BD5E18">
        <w:t xml:space="preserve"> </w:t>
      </w:r>
      <w:r w:rsidR="00596D4E">
        <w:t xml:space="preserve">that exceeds the loading that is used clinically to induce tendon hypertrophy, such as progressive resistance exercise. </w:t>
      </w:r>
      <w:r w:rsidR="006F3F68">
        <w:t>There may be a larger inflammatory stimulus in the synergist ablation model compared to resistance exercise, but we think the fundamental mechanisms of tendon growth and ECM synthesis are similar between the two conditions</w:t>
      </w:r>
      <w:r w:rsidR="009903D6">
        <w:t>.</w:t>
      </w:r>
    </w:p>
    <w:p w14:paraId="290A7345" w14:textId="7E7BB620" w:rsidR="001B34F2" w:rsidRPr="00906348" w:rsidRDefault="009903D6" w:rsidP="002E03CB">
      <w:pPr>
        <w:spacing w:line="480" w:lineRule="auto"/>
        <w:ind w:firstLine="720"/>
      </w:pPr>
      <w:r>
        <w:t xml:space="preserve">Tendons </w:t>
      </w:r>
      <w:r w:rsidR="00AA2652">
        <w:t xml:space="preserve">of adult animals display an ability to grow and adapt in response to mechanical loading </w:t>
      </w:r>
      <w:r w:rsidR="006E2104">
        <w:rPr>
          <w:rFonts w:cs="Times New Roman"/>
        </w:rPr>
        <w:fldChar w:fldCharType="begin"/>
      </w:r>
      <w:r w:rsidR="00A1782A">
        <w:rPr>
          <w:rFonts w:cs="Times New Roman"/>
        </w:rPr>
        <w:instrText xml:space="preserve"> ADDIN PAPERS2_CITATIONS &lt;citation&gt;&lt;priority&gt;38&lt;/priority&gt;&lt;uuid&gt;9DF914E6-F06A-495C-AA8D-E20DA95E3495&lt;/uuid&gt;&lt;publications&gt;&lt;publication&gt;&lt;subtype&gt;400&lt;/subtype&gt;&lt;location&gt;200,9,42.2803545,-83.7403132&lt;/location&gt;&lt;title&gt;Physiological loading of tendons induces scleraxis expression in epitenon fibroblasts.&lt;/title&gt;&lt;url&gt;http://eutils.ncbi.nlm.nih.gov/entrez/eutils/elink.fcgi?dbfrom=pubmed&amp;amp;id=21913219&amp;amp;retmode=ref&amp;amp;cmd=prlinks&lt;/url&gt;&lt;volume&gt;30&lt;/volume&gt;&lt;publication_date&gt;99201204001200000000220000&lt;/publication_date&gt;&lt;uuid&gt;AE6F045B-505B-43D7-9C63-3B9BE135BBFC&lt;/uuid&gt;&lt;type&gt;400&lt;/type&gt;&lt;accepted_date&gt;99201108221200000000222000&lt;/accepted_date&gt;&lt;number&gt;4&lt;/number&gt;&lt;citekey&gt;Mendias:2012bo&lt;/citekey&gt;&lt;submission_date&gt;99201103161200000000222000&lt;/submission_date&gt;&lt;doi&gt;10.1002/jor.21550&lt;/doi&gt;&lt;institution&gt;Orthopaedic Surgery, University of Michigan, 109 Zina Pitcher Place, BSRB 2017, Ann Arbor, 48109; Kinesiology, University of Michigan, Ann Arbor, 48109. cmendias@umich.edu.&lt;/institution&gt;&lt;startpage&gt;606&lt;/startpage&gt;&lt;endpage&gt;612&lt;/endpage&gt;&lt;bundle&gt;&lt;publication&gt;&lt;title&gt;Journal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Mendias&lt;/lastName&gt;&lt;firstName&gt;Christopher&lt;/firstName&gt;&lt;middleNames&gt;L&lt;/middleNames&gt;&lt;/author&gt;&lt;author&gt;&lt;lastName&gt;Gumucio&lt;/lastName&gt;&lt;firstName&gt;Jonathan&lt;/firstName&gt;&lt;middleNames&gt;P&lt;/middleNames&gt;&lt;/author&gt;&lt;author&gt;&lt;lastName&gt;Bakhurin&lt;/lastName&gt;&lt;firstName&gt;Konstantin&lt;/firstName&gt;&lt;middleNames&gt;I&lt;/middleNames&gt;&lt;/author&gt;&lt;author&gt;&lt;lastName&gt;Lynch&lt;/lastName&gt;&lt;firstName&gt;Evan&lt;/firstName&gt;&lt;middleNames&gt;B&lt;/middleNames&gt;&lt;/author&gt;&lt;author&gt;&lt;lastName&gt;Brooks&lt;/lastName&gt;&lt;firstName&gt;Susan&lt;/firstName&gt;&lt;middleNames&gt;V&lt;/middleNames&gt;&lt;/author&gt;&lt;/authors&gt;&lt;/publication&gt;&lt;publication&gt;&lt;subtype&gt;400&lt;/subtype&gt;&lt;location&gt;200,4,55.6934030,12.5830460&lt;/location&gt;&lt;title&gt;Extracellular matrix adaptation of tendon and skeletal muscle to exercise&lt;/title&gt;&lt;url&gt;http://www.ncbi.nlm.nih.gov/entrez/query.fcgi?db=pubmed&amp;amp;cmd=Retrieve&amp;amp;dopt=AbstractPlus&amp;amp;list_uids=16637870&lt;/url&gt;&lt;volume&gt;208&lt;/volume&gt;&lt;publication_date&gt;99200604011200000000222000&lt;/publication_date&gt;&lt;uuid&gt;743681AE-9BCF-4722-978A-FD1A4DEFE732&lt;/uuid&gt;&lt;type&gt;400&lt;/type&gt;&lt;number&gt;4&lt;/number&gt;&lt;citekey&gt;Kjaer:2006p692&lt;/citekey&gt;&lt;doi&gt;10.1111/j.1469-7580.2006.00549.x&lt;/doi&gt;&lt;institution&gt;Institute of Sports Medicine, Bispebjerg Hospital, Copenhagen, Denmark. mk01@bbh.hosp.dk&lt;/institution&gt;&lt;startpage&gt;445&lt;/startpage&gt;&lt;endpage&gt;450&lt;/endpage&gt;&lt;bundle&gt;&lt;publication&gt;&lt;title&gt;Journal of anatomy&lt;/title&gt;&lt;uuid&gt;EE16671A-F5D8-46C7-821E-A9C8D309329D&lt;/uuid&gt;&lt;subtype&gt;-100&lt;/subtype&gt;&lt;publisher&gt;Blackwell Publishing&lt;/publisher&gt;&lt;type&gt;-100&lt;/type&gt;&lt;url&gt;http://onlinelibrary.wiley.com&lt;/url&gt;&lt;/publication&gt;&lt;/bundle&gt;&lt;authors&gt;&lt;author&gt;&lt;lastName&gt;Kjaer&lt;/lastName&gt;&lt;firstName&gt;Michael&lt;/firstName&gt;&lt;/author&gt;&lt;author&gt;&lt;lastName&gt;Magnusson&lt;/lastName&gt;&lt;firstName&gt;Peter&lt;/firstName&gt;&lt;/author&gt;&lt;author&gt;&lt;lastName&gt;Krogsgaard&lt;/lastName&gt;&lt;firstName&gt;Michael&lt;/firstName&gt;&lt;/author&gt;&lt;author&gt;&lt;lastName&gt;Boysen Møller&lt;/lastName&gt;&lt;firstName&gt;Jens&lt;/firstName&gt;&lt;/author&gt;&lt;author&gt;&lt;lastName&gt;Olesen&lt;/lastName&gt;&lt;firstName&gt;Jens&lt;/firstName&gt;&lt;/author&gt;&lt;author&gt;&lt;lastName&gt;Heinemeier&lt;/lastName&gt;&lt;firstName&gt;Katja&lt;/firstName&gt;&lt;/author&gt;&lt;author&gt;&lt;lastName&gt;Hansen&lt;/lastName&gt;&lt;firstName&gt;Mette&lt;/firstName&gt;&lt;/author&gt;&lt;author&gt;&lt;lastName&gt;Haraldsson&lt;/lastName&gt;&lt;firstName&gt;Bjarki&lt;/firstName&gt;&lt;/author&gt;&lt;author&gt;&lt;lastName&gt;Koskinen&lt;/lastName&gt;&lt;firstName&gt;Satu&lt;/firstName&gt;&lt;/author&gt;&lt;author&gt;&lt;lastName&gt;Esmarck&lt;/lastName&gt;&lt;firstName&gt;Birgitte&lt;/firstName&gt;&lt;/author&gt;&lt;author&gt;&lt;lastName&gt;Langberg&lt;/lastName&gt;&lt;firstName&gt;Henning&lt;/firstName&gt;&lt;/author&gt;&lt;/authors&gt;&lt;/publication&gt;&lt;publication&gt;&lt;subtype&gt;400&lt;/subtype&gt;&lt;title&gt;The impact of loading, unloading, ageing and injury on the human tendon.&lt;/title&gt;&lt;url&gt;https://onlinelibrary.wiley.com/doi/abs/10.1113/JP275450&lt;/url&gt;&lt;volume&gt;597&lt;/volume&gt;&lt;publication_date&gt;99201903001200000000220000&lt;/publication_date&gt;&lt;uuid&gt;70C74CA8-EBAE-4057-B049-CE90D98D200A&lt;/uuid&gt;&lt;type&gt;400&lt;/type&gt;&lt;accepted_date&gt;99201805301200000000222000&lt;/accepted_date&gt;&lt;number&gt;5&lt;/number&gt;&lt;submission_date&gt;99201803201200000000222000&lt;/submission_date&gt;&lt;doi&gt;10.1113/JP275450&lt;/doi&gt;&lt;institution&gt;Institute of Sports Medicine Copenhagen, Bispebjerg Hospital, Copenhagen, NV.&lt;/institution&gt;&lt;startpage&gt;1283&lt;/startpage&gt;&lt;endpage&gt;1298&lt;/endpage&gt;&lt;bundle&gt;&lt;publication&gt;&lt;title&gt;The Journal of physiology&lt;/title&gt;&lt;uuid&gt;46F2272B-F152-4516-8744-07BE57954398&lt;/uuid&gt;&lt;subtype&gt;-100&lt;/subtype&gt;&lt;publisher&gt;Blackwell Publishing Ltd&lt;/publisher&gt;&lt;type&gt;-100&lt;/type&gt;&lt;url&gt;http://jp.physoc.org.proxy.lib.umich.edu&lt;/url&gt;&lt;/publication&gt;&lt;/bundle&gt;&lt;authors&gt;&lt;author&gt;&lt;lastName&gt;Magnusson&lt;/lastName&gt;&lt;firstName&gt;S&lt;/firstName&gt;&lt;middleNames&gt;Peter&lt;/middleNames&gt;&lt;/author&gt;&lt;author&gt;&lt;lastName&gt;Kjaer&lt;/lastName&gt;&lt;firstName&gt;Michael&lt;/firstName&gt;&lt;/author&gt;&lt;/authors&gt;&lt;/publication&gt;&lt;/publications&gt;&lt;cites&gt;&lt;/cites&gt;&lt;/citation&gt;</w:instrText>
      </w:r>
      <w:r w:rsidR="006E2104">
        <w:rPr>
          <w:rFonts w:cs="Times New Roman"/>
        </w:rPr>
        <w:fldChar w:fldCharType="separate"/>
      </w:r>
      <w:r w:rsidR="00A1782A">
        <w:rPr>
          <w:rFonts w:cs="Times New Roman"/>
        </w:rPr>
        <w:t>(5-7)</w:t>
      </w:r>
      <w:r w:rsidR="006E2104">
        <w:rPr>
          <w:rFonts w:cs="Times New Roman"/>
        </w:rPr>
        <w:fldChar w:fldCharType="end"/>
      </w:r>
      <w:r w:rsidR="00AA2652">
        <w:t xml:space="preserve">, and deficiencies in this process may lead to the development of painful and debilitating tendinopathies </w:t>
      </w:r>
      <w:r w:rsidR="006E2104">
        <w:rPr>
          <w:rFonts w:cs="Times New Roman"/>
        </w:rPr>
        <w:fldChar w:fldCharType="begin"/>
      </w:r>
      <w:r w:rsidR="00A1782A">
        <w:rPr>
          <w:rFonts w:cs="Times New Roman"/>
        </w:rPr>
        <w:instrText xml:space="preserve"> ADDIN PAPERS2_CITATIONS &lt;citation&gt;&lt;priority&gt;39&lt;/priority&gt;&lt;uuid&gt;3E3032DA-44F8-47FD-9584-211992FC2C04&lt;/uuid&gt;&lt;publications&gt;&lt;publication&gt;&lt;subtype&gt;400&lt;/subtype&gt;&lt;publisher&gt;Nature Publishing Group&lt;/publisher&gt;&lt;title&gt;Inflammatory mechanisms in tendinopathy - towards translation.&lt;/title&gt;&lt;url&gt;http://www.nature.com/articles/nrrheum.2016.213&lt;/url&gt;&lt;volume&gt;13&lt;/volume&gt;&lt;publication_date&gt;99201701251200000000222000&lt;/publication_date&gt;&lt;uuid&gt;0D1F1EA7-A023-422A-AF18-6DC059027D5B&lt;/uuid&gt;&lt;type&gt;400&lt;/type&gt;&lt;number&gt;2&lt;/number&gt;&lt;doi&gt;10.1038/nrrheum.2016.213&lt;/doi&gt;&lt;institution&gt;Institute of Infection, Immunity and Inflammation, College of Medicine, Veterinary and Life Sciences University of Glasgow, 120 University Avenue, Glasgow G12 8TA, UK.&lt;/institution&gt;&lt;startpage&gt;110&lt;/startpage&gt;&lt;endpage&gt;122&lt;/endpage&gt;&lt;bundle&gt;&lt;publication&gt;&lt;title&gt;Nature reviews. Rheumatology&lt;/title&gt;&lt;uuid&gt;324FF8AF-4D22-4ED9-93E8-932992782039&lt;/uuid&gt;&lt;subtype&gt;-100&lt;/subtype&gt;&lt;publisher&gt;Nature Publishing Group&lt;/publisher&gt;&lt;type&gt;-100&lt;/type&gt;&lt;/publication&gt;&lt;/bundle&gt;&lt;authors&gt;&lt;author&gt;&lt;lastName&gt;Millar&lt;/lastName&gt;&lt;firstName&gt;Neal&lt;/firstName&gt;&lt;middleNames&gt;L&lt;/middleNames&gt;&lt;/author&gt;&lt;author&gt;&lt;lastName&gt;Murrell&lt;/lastName&gt;&lt;firstName&gt;George&lt;/firstName&gt;&lt;middleNames&gt;A C&lt;/middleNames&gt;&lt;/author&gt;&lt;author&gt;&lt;lastName&gt;McInnes&lt;/lastName&gt;&lt;firstName&gt;Iain&lt;/firstName&gt;&lt;middleNames&gt;B&lt;/middleNames&gt;&lt;/author&gt;&lt;/authors&gt;&lt;/publication&gt;&lt;publication&gt;&lt;subtype&gt;400&lt;/subtype&gt;&lt;title&gt;Pathogenesis and management of tendinopathies in sports medicine&lt;/title&gt;&lt;url&gt;http://doi.wiley.com/10.1002/tsm2.6&lt;/url&gt;&lt;volume&gt;1&lt;/volume&gt;&lt;publication_date&gt;99201802061200000000222000&lt;/publication_date&gt;&lt;uuid&gt;AADAA574-8218-4EDD-B707-6850E7888FE8&lt;/uuid&gt;&lt;type&gt;400&lt;/type&gt;&lt;number&gt;1&lt;/number&gt;&lt;doi&gt;10.1002/tsm2.6&lt;/doi&gt;&lt;startpage&gt;5&lt;/startpage&gt;&lt;endpage&gt;13&lt;/endpage&gt;&lt;bundle&gt;&lt;publication&gt;&lt;title&gt;Translational Sports Medicine&lt;/title&gt;&lt;uuid&gt;36A8C4EE-83A8-4260-A579-ABBAB5340191&lt;/uuid&gt;&lt;subtype&gt;-100&lt;/subtype&gt;&lt;type&gt;-100&lt;/type&gt;&lt;/publication&gt;&lt;/bundle&gt;&lt;authors&gt;&lt;author&gt;&lt;lastName&gt;Mead&lt;/lastName&gt;&lt;firstName&gt;M&lt;/firstName&gt;&lt;middleNames&gt;P&lt;/middleNames&gt;&lt;/author&gt;&lt;author&gt;&lt;lastName&gt;Gumucio&lt;/lastName&gt;&lt;firstName&gt;J&lt;/firstName&gt;&lt;middleNames&gt;P&lt;/middleNames&gt;&lt;/author&gt;&lt;author&gt;&lt;lastName&gt;Awan&lt;/lastName&gt;&lt;firstName&gt;T&lt;/firstName&gt;&lt;middleNames&gt;M&lt;/middleNames&gt;&lt;/author&gt;&lt;author&gt;&lt;lastName&gt;Mendias&lt;/lastName&gt;&lt;firstName&gt;C&lt;/firstName&gt;&lt;middleNames&gt;L&lt;/middleNames&gt;&lt;/author&gt;&lt;author&gt;&lt;lastName&gt;Sugg&lt;/lastName&gt;&lt;firstName&gt;K&lt;/firstName&gt;&lt;middleNames&gt;B&lt;/middleNames&gt;&lt;/author&gt;&lt;/authors&gt;&lt;/publication&gt;&lt;/publications&gt;&lt;cites&gt;&lt;/cites&gt;&lt;/citation&gt;</w:instrText>
      </w:r>
      <w:r w:rsidR="006E2104">
        <w:rPr>
          <w:rFonts w:cs="Times New Roman"/>
        </w:rPr>
        <w:fldChar w:fldCharType="separate"/>
      </w:r>
      <w:r w:rsidR="00A1782A">
        <w:rPr>
          <w:rFonts w:cs="Times New Roman"/>
        </w:rPr>
        <w:t>(38, 39)</w:t>
      </w:r>
      <w:r w:rsidR="006E2104">
        <w:rPr>
          <w:rFonts w:cs="Times New Roman"/>
        </w:rPr>
        <w:fldChar w:fldCharType="end"/>
      </w:r>
      <w:r w:rsidR="00AA2652">
        <w:t xml:space="preserve">. </w:t>
      </w:r>
      <w:r w:rsidR="004A50A8">
        <w:t>We found</w:t>
      </w:r>
      <w:r w:rsidR="00AA2652">
        <w:t xml:space="preserve"> that scleraxis plays an important role in the growth response of adult tendons to mechanical loading </w:t>
      </w:r>
      <w:r w:rsidR="004A50A8">
        <w:t>by promoting the</w:t>
      </w:r>
      <w:r w:rsidR="00AA2652">
        <w:t xml:space="preserve"> </w:t>
      </w:r>
      <w:r w:rsidR="004A50A8">
        <w:t>commitment and expansion of new tenocytes, as well as the production of tendon ECM components</w:t>
      </w:r>
      <w:r w:rsidR="00AA2652">
        <w:t xml:space="preserve">. </w:t>
      </w:r>
      <w:r w:rsidR="004A50A8">
        <w:t>Scleraxis may therefore be a useful biomarker in assessing the response of rehabilitation interventions to treat tendinopathies. This study also provides further support for the potential therapeutic use of pericytes in the treatment of tendon disorders.</w:t>
      </w:r>
      <w:r>
        <w:t xml:space="preserve"> </w:t>
      </w:r>
      <w:r w:rsidR="004A50A8" w:rsidRPr="004A50A8">
        <w:t xml:space="preserve">While </w:t>
      </w:r>
      <w:r w:rsidR="004A50A8">
        <w:t>scleraxis</w:t>
      </w:r>
      <w:r w:rsidR="004A50A8" w:rsidRPr="004A50A8">
        <w:t xml:space="preserve"> appears to be a critical </w:t>
      </w:r>
      <w:r w:rsidR="002E03CB">
        <w:t>transcription factor for</w:t>
      </w:r>
      <w:r w:rsidR="004A50A8" w:rsidRPr="004A50A8">
        <w:t xml:space="preserve"> tendon growth</w:t>
      </w:r>
      <w:r w:rsidR="002E03CB">
        <w:t xml:space="preserve"> throughout the lifespan</w:t>
      </w:r>
      <w:r w:rsidR="004A50A8" w:rsidRPr="004A50A8">
        <w:t xml:space="preserve">, </w:t>
      </w:r>
      <w:r w:rsidR="002E03CB">
        <w:t>additional</w:t>
      </w:r>
      <w:r w:rsidR="004A50A8" w:rsidRPr="004A50A8">
        <w:t xml:space="preserve"> studies </w:t>
      </w:r>
      <w:r w:rsidR="002E03CB">
        <w:t>which</w:t>
      </w:r>
      <w:r w:rsidR="004A50A8" w:rsidRPr="004A50A8">
        <w:t xml:space="preserve"> integrate </w:t>
      </w:r>
      <w:r w:rsidR="002E03CB">
        <w:t xml:space="preserve">mechanotransduction with </w:t>
      </w:r>
      <w:r w:rsidR="004A50A8" w:rsidRPr="004A50A8">
        <w:t>molecular genetics</w:t>
      </w:r>
      <w:r w:rsidR="002E03CB">
        <w:t xml:space="preserve"> and</w:t>
      </w:r>
      <w:r w:rsidR="004A50A8" w:rsidRPr="004A50A8">
        <w:t xml:space="preserve"> cell biology</w:t>
      </w:r>
      <w:r w:rsidR="002E03CB">
        <w:t xml:space="preserve"> </w:t>
      </w:r>
      <w:r w:rsidR="004A50A8" w:rsidRPr="004A50A8">
        <w:t xml:space="preserve">will provide </w:t>
      </w:r>
      <w:r w:rsidR="002E03CB">
        <w:t>further</w:t>
      </w:r>
      <w:r w:rsidR="004A50A8" w:rsidRPr="004A50A8">
        <w:t xml:space="preserve"> insight into the basic mechanisms of tendon growth and </w:t>
      </w:r>
      <w:r w:rsidR="002E03CB">
        <w:t>contribute</w:t>
      </w:r>
      <w:r w:rsidR="004A50A8" w:rsidRPr="004A50A8">
        <w:t xml:space="preserve"> to the development of novel biomarkers of early tendinopathic changes and improved t</w:t>
      </w:r>
      <w:r w:rsidR="002E03CB">
        <w:t>herapies for tendinopathies</w:t>
      </w:r>
      <w:r w:rsidR="004A50A8" w:rsidRPr="004A50A8">
        <w:t>.</w:t>
      </w:r>
      <w:r>
        <w:br w:type="page"/>
      </w:r>
    </w:p>
    <w:p w14:paraId="10F4F49D" w14:textId="77777777" w:rsidR="00B27E58" w:rsidRPr="001B34F2" w:rsidRDefault="00987A57" w:rsidP="006E41A7">
      <w:pPr>
        <w:spacing w:line="480" w:lineRule="auto"/>
        <w:rPr>
          <w:b/>
          <w:bCs/>
        </w:rPr>
      </w:pPr>
      <w:r>
        <w:rPr>
          <w:b/>
          <w:bCs/>
        </w:rPr>
        <w:lastRenderedPageBreak/>
        <w:t>Methods</w:t>
      </w:r>
    </w:p>
    <w:p w14:paraId="2058D6A5" w14:textId="0B7918C2" w:rsidR="00BA6ADF" w:rsidRDefault="001B34F2" w:rsidP="006E41A7">
      <w:pPr>
        <w:spacing w:line="480" w:lineRule="auto"/>
      </w:pPr>
      <w:r>
        <w:tab/>
      </w:r>
      <w:r w:rsidR="00E230FD" w:rsidRPr="00E230FD">
        <w:rPr>
          <w:b/>
          <w:bCs/>
          <w:i/>
          <w:iCs/>
        </w:rPr>
        <w:t>Mice.</w:t>
      </w:r>
      <w:r w:rsidR="00E230FD">
        <w:t xml:space="preserve"> </w:t>
      </w:r>
      <w:r w:rsidR="00BA6ADF" w:rsidRPr="00BA6ADF">
        <w:t>Wild type C57BL/6J (</w:t>
      </w:r>
      <w:r w:rsidR="00E230FD">
        <w:t xml:space="preserve">WT, </w:t>
      </w:r>
      <w:r w:rsidR="00BA6ADF" w:rsidRPr="00BA6ADF">
        <w:t xml:space="preserve">strain 000664) mice, and </w:t>
      </w:r>
      <w:r w:rsidR="00BA6ADF" w:rsidRPr="00BA6ADF">
        <w:rPr>
          <w:i/>
        </w:rPr>
        <w:t>R</w:t>
      </w:r>
      <w:r w:rsidR="00BA6ADF">
        <w:rPr>
          <w:i/>
        </w:rPr>
        <w:t>osa26</w:t>
      </w:r>
      <w:r w:rsidR="00BA6ADF">
        <w:rPr>
          <w:vertAlign w:val="superscript"/>
        </w:rPr>
        <w:t>CreERT2</w:t>
      </w:r>
      <w:r w:rsidR="00BA6ADF" w:rsidRPr="00BA6ADF">
        <w:t xml:space="preserve"> mice (strain 008463) in which </w:t>
      </w:r>
      <w:r w:rsidR="00580A3A">
        <w:t xml:space="preserve">the tamoxifen-sensitive CreERT2 recombinase enzyme is expressed from the ubiquitous </w:t>
      </w:r>
      <w:r w:rsidR="00580A3A" w:rsidRPr="00042CB3">
        <w:rPr>
          <w:i/>
          <w:iCs/>
        </w:rPr>
        <w:t>Rosa26</w:t>
      </w:r>
      <w:r w:rsidR="00580A3A">
        <w:t xml:space="preserve"> locus </w:t>
      </w:r>
      <w:r w:rsidR="006E2104">
        <w:fldChar w:fldCharType="begin"/>
      </w:r>
      <w:r w:rsidR="00A1782A">
        <w:instrText xml:space="preserve"> ADDIN PAPERS2_CITATIONS &lt;citation&gt;&lt;priority&gt;40&lt;/priority&gt;&lt;uuid&gt;DCF926DE-1E2D-4B38-B934-FD4EB3A5C3A7&lt;/uuid&gt;&lt;publications&gt;&lt;publication&gt;&lt;subtype&gt;400&lt;/subtype&gt;&lt;location&gt;&amp;lt;html&amp;gt;&amp;lt;head&amp;gt;&amp;lt;meta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href="http://www.google.com/support/bin/answer.py?answer=86640"&amp;gt;Google Help&amp;lt;/a&amp;gt; for more information.&amp;lt;br/&amp;gt;&amp;lt;br/&amp;gt;&amp;lt;/div&amp;gt;&amp;lt;div style="text-align: center; border-top: 1px solid #dfdfdf;"&amp;gt;&amp;amp;copy; 2009 Google - &amp;lt;a href="http://www.google.com"&amp;gt;Google Home&amp;lt;/a&amp;gt;&amp;lt;/div&amp;gt;&amp;lt;/body&amp;gt;&amp;lt;/html&amp;gt;&lt;/location&gt;&lt;title&gt;Restoration of p53 function leads to tumour regression in vivo.&lt;/title&gt;&lt;url&gt;http://www.nature.com/doifinder/10.1038/nature05541&lt;/url&gt;&lt;volume&gt;445&lt;/volume&gt;&lt;publication_date&gt;99200702081200000000222000&lt;/publication_date&gt;&lt;uuid&gt;C88E3C6B-3E6E-41F6-840E-0BAED920B506&lt;/uuid&gt;&lt;type&gt;400&lt;/type&gt;&lt;accepted_date&gt;99200612131200000000222000&lt;/accepted_date&gt;&lt;number&gt;7128&lt;/number&gt;&lt;citekey&gt;Ventura:2007cz&lt;/citekey&gt;&lt;submission_date&gt;99200609261200000000222000&lt;/submission_date&gt;&lt;doi&gt;10.1038/nature05541&lt;/doi&gt;&lt;institution&gt;Center for Cancer Research, Massachusetts Institute of Technology, Cambridge, Massachusetts 02142, USA.&lt;/institution&gt;&lt;startpage&gt;661&lt;/startpage&gt;&lt;endpage&gt;665&lt;/endpage&gt;&lt;bundle&gt;&lt;publication&gt;&lt;title&gt;Nature&lt;/title&gt;&lt;uuid&gt;8E701454-C702-445E-91BD-2668D5AF0033&lt;/uuid&gt;&lt;subtype&gt;-100&lt;/subtype&gt;&lt;publisher&gt;Nature Publishing Group&lt;/publisher&gt;&lt;type&gt;-100&lt;/type&gt;&lt;url&gt;http://www.nature.com.proxy.lib.umich.edu&lt;/url&gt;&lt;/publication&gt;&lt;/bundle&gt;&lt;authors&gt;&lt;author&gt;&lt;lastName&gt;Ventura&lt;/lastName&gt;&lt;firstName&gt;Andrea&lt;/firstName&gt;&lt;/author&gt;&lt;author&gt;&lt;lastName&gt;Kirsch&lt;/lastName&gt;&lt;firstName&gt;David&lt;/firstName&gt;&lt;middleNames&gt;G&lt;/middleNames&gt;&lt;/author&gt;&lt;author&gt;&lt;lastName&gt;McLaughlin&lt;/lastName&gt;&lt;firstName&gt;Margaret&lt;/firstName&gt;&lt;middleNames&gt;E&lt;/middleNames&gt;&lt;/author&gt;&lt;author&gt;&lt;lastName&gt;Tuveson&lt;/lastName&gt;&lt;firstName&gt;David&lt;/firstName&gt;&lt;middleNames&gt;A&lt;/middleNames&gt;&lt;/author&gt;&lt;author&gt;&lt;lastName&gt;Grimm&lt;/lastName&gt;&lt;firstName&gt;Jan&lt;/firstName&gt;&lt;/author&gt;&lt;author&gt;&lt;lastName&gt;Lintault&lt;/lastName&gt;&lt;firstName&gt;Laura&lt;/firstName&gt;&lt;/author&gt;&lt;author&gt;&lt;lastName&gt;Newman&lt;/lastName&gt;&lt;firstName&gt;Jamie&lt;/firstName&gt;&lt;/author&gt;&lt;author&gt;&lt;lastName&gt;Reczek&lt;/lastName&gt;&lt;firstName&gt;Elizabeth&lt;/firstName&gt;&lt;middleNames&gt;E&lt;/middleNames&gt;&lt;/author&gt;&lt;author&gt;&lt;lastName&gt;Weissleder&lt;/lastName&gt;&lt;firstName&gt;Ralph&lt;/firstName&gt;&lt;/author&gt;&lt;author&gt;&lt;lastName&gt;Jacks&lt;/lastName&gt;&lt;firstName&gt;Tyler&lt;/firstName&gt;&lt;/author&gt;&lt;/authors&gt;&lt;/publication&gt;&lt;/publications&gt;&lt;cites&gt;&lt;/cites&gt;&lt;/citation&gt;</w:instrText>
      </w:r>
      <w:r w:rsidR="006E2104">
        <w:fldChar w:fldCharType="separate"/>
      </w:r>
      <w:r w:rsidR="00A1782A">
        <w:rPr>
          <w:rFonts w:cs="Times New Roman"/>
        </w:rPr>
        <w:t>(40)</w:t>
      </w:r>
      <w:r w:rsidR="006E2104">
        <w:fldChar w:fldCharType="end"/>
      </w:r>
      <w:r w:rsidR="00042CB3">
        <w:t xml:space="preserve"> </w:t>
      </w:r>
      <w:r w:rsidR="00BA6ADF" w:rsidRPr="00BA6ADF">
        <w:t xml:space="preserve">were obtained from the Jackson Laboratory (Bar Harbor, ME, USA). </w:t>
      </w:r>
      <w:proofErr w:type="spellStart"/>
      <w:r w:rsidR="00BA6ADF" w:rsidRPr="00BA6ADF">
        <w:rPr>
          <w:i/>
        </w:rPr>
        <w:t>Scx</w:t>
      </w:r>
      <w:r w:rsidR="00042CB3">
        <w:rPr>
          <w:vertAlign w:val="superscript"/>
        </w:rPr>
        <w:t>flox</w:t>
      </w:r>
      <w:proofErr w:type="spellEnd"/>
      <w:r w:rsidR="0033452A">
        <w:rPr>
          <w:vertAlign w:val="superscript"/>
        </w:rPr>
        <w:t>/</w:t>
      </w:r>
      <w:proofErr w:type="spellStart"/>
      <w:r w:rsidR="0033452A">
        <w:rPr>
          <w:vertAlign w:val="superscript"/>
        </w:rPr>
        <w:t>flox</w:t>
      </w:r>
      <w:proofErr w:type="spellEnd"/>
      <w:r w:rsidR="00BA6ADF" w:rsidRPr="00BA6ADF">
        <w:t xml:space="preserve"> mice in which </w:t>
      </w:r>
      <w:proofErr w:type="spellStart"/>
      <w:r w:rsidR="00042CB3">
        <w:t>loxP</w:t>
      </w:r>
      <w:proofErr w:type="spellEnd"/>
      <w:r w:rsidR="00042CB3">
        <w:t xml:space="preserve"> sites</w:t>
      </w:r>
      <w:r w:rsidR="00BA6ADF" w:rsidRPr="00BA6ADF">
        <w:t xml:space="preserve"> </w:t>
      </w:r>
      <w:r w:rsidR="00042CB3">
        <w:t>flank</w:t>
      </w:r>
      <w:r w:rsidR="00BA6ADF" w:rsidRPr="00BA6ADF">
        <w:t xml:space="preserve"> the </w:t>
      </w:r>
      <w:r w:rsidR="00042CB3">
        <w:t xml:space="preserve">coding region of exon 1 of scleraxis </w:t>
      </w:r>
      <w:r w:rsidR="006E2104">
        <w:fldChar w:fldCharType="begin"/>
      </w:r>
      <w:r w:rsidR="00A1782A">
        <w:instrText xml:space="preserve"> ADDIN PAPERS2_CITATIONS &lt;citation&gt;&lt;priority&gt;41&lt;/priority&gt;&lt;uuid&gt;9BB1B22E-AB3A-43E1-B0C1-9C1247D56E83&lt;/uuid&gt;&lt;publications&gt;&lt;publication&gt;&lt;subtype&gt;400&lt;/subtype&gt;&lt;location&gt;200,9,42.3355089,-71.1043686&lt;/location&gt;&lt;title&gt;Regulation of tendon differentiation by scleraxis distinguishes force-transmitting tendons from muscle-anchoring tendons.&lt;/title&gt;&lt;url&gt;http://dev.biologists.org/cgi/doi/10.1242/dev.001933&lt;/url&gt;&lt;volume&gt;134&lt;/volume&gt;&lt;publication_date&gt;99200707001200000000220000&lt;/publication_date&gt;&lt;uuid&gt;4062C5F6-005D-4937-BD12-6852BA68B7E9&lt;/uuid&gt;&lt;type&gt;400&lt;/type&gt;&lt;number&gt;14&lt;/number&gt;&lt;citekey&gt;Murchison:2007p324&lt;/citekey&gt;&lt;doi&gt;10.1242/dev.001933&lt;/doi&gt;&lt;institution&gt;Shriners Hospital for Children, Research Division, Portland, OR 97239, and Department of Genetics, Harvard Medical School, Boston, MA 02115, USA.&lt;/institution&gt;&lt;startpage&gt;2697&lt;/startpage&gt;&lt;endpage&gt;2708&lt;/endpage&gt;&lt;bundle&gt;&lt;publication&gt;&lt;title&gt;Development (Cambridge, England)&lt;/title&gt;&lt;uuid&gt;302310D9-63C5-46C6-A71B-2FA7510DA5B5&lt;/uuid&gt;&lt;subtype&gt;-100&lt;/subtype&gt;&lt;publisher&gt;Oxford University Press for The Company of Biologists Limited&lt;/publisher&gt;&lt;type&gt;-100&lt;/type&gt;&lt;url&gt;http://dev.biologists.org.proxy.lib.umich.edu&lt;/url&gt;&lt;/publication&gt;&lt;/bundle&gt;&lt;authors&gt;&lt;author&gt;&lt;lastName&gt;Murchison&lt;/lastName&gt;&lt;firstName&gt;Nicholas&lt;/firstName&gt;&lt;middleNames&gt;D&lt;/middleNames&gt;&lt;/author&gt;&lt;author&gt;&lt;lastName&gt;Price&lt;/lastName&gt;&lt;firstName&gt;Brian&lt;/firstName&gt;&lt;middleNames&gt;A&lt;/middleNames&gt;&lt;/author&gt;&lt;author&gt;&lt;lastName&gt;Conner&lt;/lastName&gt;&lt;firstName&gt;David&lt;/firstName&gt;&lt;middleNames&gt;A&lt;/middleNames&gt;&lt;/author&gt;&lt;author&gt;&lt;lastName&gt;Keene&lt;/lastName&gt;&lt;firstName&gt;Douglas&lt;/firstName&gt;&lt;middleNames&gt;R&lt;/middleNames&gt;&lt;/author&gt;&lt;author&gt;&lt;lastName&gt;Olson&lt;/lastName&gt;&lt;firstName&gt;Eric&lt;/firstName&gt;&lt;middleNames&gt;N&lt;/middleNames&gt;&lt;/author&gt;&lt;author&gt;&lt;lastName&gt;Tabin&lt;/lastName&gt;&lt;firstName&gt;Clifford&lt;/firstName&gt;&lt;middleNames&gt;J&lt;/middleNames&gt;&lt;/author&gt;&lt;author&gt;&lt;lastName&gt;Schweitzer&lt;/lastName&gt;&lt;firstName&gt;Ronen&lt;/firstName&gt;&lt;/author&gt;&lt;/authors&gt;&lt;/publication&gt;&lt;/publications&gt;&lt;cites&gt;&lt;/cites&gt;&lt;/citation&gt;</w:instrText>
      </w:r>
      <w:r w:rsidR="006E2104">
        <w:fldChar w:fldCharType="separate"/>
      </w:r>
      <w:r w:rsidR="00A1782A">
        <w:rPr>
          <w:rFonts w:cs="Times New Roman"/>
        </w:rPr>
        <w:t>(8)</w:t>
      </w:r>
      <w:r w:rsidR="006E2104">
        <w:fldChar w:fldCharType="end"/>
      </w:r>
      <w:r w:rsidR="00D51F83">
        <w:t xml:space="preserve">, and transgenic </w:t>
      </w:r>
      <w:proofErr w:type="spellStart"/>
      <w:r w:rsidR="00D51F83" w:rsidRPr="00435075">
        <w:rPr>
          <w:i/>
        </w:rPr>
        <w:t>Scx</w:t>
      </w:r>
      <w:r w:rsidR="00D51F83">
        <w:t>GFP</w:t>
      </w:r>
      <w:proofErr w:type="spellEnd"/>
      <w:r w:rsidR="00D51F83">
        <w:t xml:space="preserve"> mice in which GFP is driven by 4kb of the scleraxis promoter </w:t>
      </w:r>
      <w:r w:rsidR="006E2104">
        <w:fldChar w:fldCharType="begin"/>
      </w:r>
      <w:r w:rsidR="00A1782A">
        <w:instrText xml:space="preserve"> ADDIN PAPERS2_CITATIONS &lt;citation&gt;&lt;priority&gt;42&lt;/priority&gt;&lt;uuid&gt;54DF0474-460B-431F-86D2-AC1C8E135D34&lt;/uuid&gt;&lt;publications&gt;&lt;publication&gt;&lt;subtype&gt;400&lt;/subtype&gt;&lt;location&gt;200,4,45.5234515,-122.6762071&lt;/location&gt;&lt;title&gt;Generation of transgenic tendon reporters, ScxGFP and ScxAP, using regulatory elements of the scleraxis gene&lt;/title&gt;&lt;url&gt;http://www.ncbi.nlm.nih.gov/entrez/query.fcgi?db=pubmed&amp;amp;cmd=Retrieve&amp;amp;dopt=AbstractPlus&amp;amp;list_uids=17497702&lt;/url&gt;&lt;volume&gt;236&lt;/volume&gt;&lt;publication_date&gt;99200706011200000000222000&lt;/publication_date&gt;&lt;uuid&gt;49546960-E011-4702-909B-714096B87779&lt;/uuid&gt;&lt;type&gt;400&lt;/type&gt;&lt;number&gt;6&lt;/number&gt;&lt;citekey&gt;Pryce:2007p137&lt;/citekey&gt;&lt;doi&gt;10.1002/dvdy.21179&lt;/doi&gt;&lt;institution&gt;Shriners Hospital for Children, Research Division, Portland, Oregon.&lt;/institution&gt;&lt;startpage&gt;1677&lt;/startpage&gt;&lt;endpage&gt;1682&lt;/endpage&gt;&lt;bundle&gt;&lt;publication&gt;&lt;title&gt;Developmental dynamics : an official publication of the American Association of Anatomists&lt;/title&gt;&lt;uuid&gt;CBA9A3E1-AECE-49AC-93A1-346749D83CE4&lt;/uuid&gt;&lt;subtype&gt;-100&lt;/subtype&gt;&lt;type&gt;-100&lt;/type&gt;&lt;/publication&gt;&lt;/bundle&gt;&lt;authors&gt;&lt;author&gt;&lt;lastName&gt;Pryce&lt;/lastName&gt;&lt;firstName&gt;Brian&lt;/firstName&gt;&lt;middleNames&gt;A&lt;/middleNames&gt;&lt;/author&gt;&lt;author&gt;&lt;lastName&gt;Brent&lt;/lastName&gt;&lt;firstName&gt;Ava&lt;/firstName&gt;&lt;middleNames&gt;E&lt;/middleNames&gt;&lt;/author&gt;&lt;author&gt;&lt;lastName&gt;Murchison&lt;/lastName&gt;&lt;firstName&gt;Nicholas&lt;/firstName&gt;&lt;middleNames&gt;D&lt;/middleNames&gt;&lt;/author&gt;&lt;author&gt;&lt;lastName&gt;Tabin&lt;/lastName&gt;&lt;firstName&gt;Clifford&lt;/firstName&gt;&lt;middleNames&gt;J&lt;/middleNames&gt;&lt;/author&gt;&lt;author&gt;&lt;lastName&gt;Schweitzer&lt;/lastName&gt;&lt;firstName&gt;Ronen&lt;/firstName&gt;&lt;/author&gt;&lt;/authors&gt;&lt;/publication&gt;&lt;/publications&gt;&lt;cites&gt;&lt;/cites&gt;&lt;/citation&gt;</w:instrText>
      </w:r>
      <w:r w:rsidR="006E2104">
        <w:fldChar w:fldCharType="separate"/>
      </w:r>
      <w:r w:rsidR="00A1782A">
        <w:rPr>
          <w:rFonts w:cs="Times New Roman"/>
        </w:rPr>
        <w:t>(41)</w:t>
      </w:r>
      <w:r w:rsidR="006E2104">
        <w:fldChar w:fldCharType="end"/>
      </w:r>
      <w:r w:rsidR="00D51F83">
        <w:t xml:space="preserve">, </w:t>
      </w:r>
      <w:r w:rsidR="00BA6ADF" w:rsidRPr="00BA6ADF">
        <w:t xml:space="preserve">were </w:t>
      </w:r>
      <w:r w:rsidR="00697BD4">
        <w:t>also used</w:t>
      </w:r>
      <w:r w:rsidR="00BA6ADF" w:rsidRPr="00BA6ADF">
        <w:t>. Genotype of mice was determined by PCR analysis of DNA obtained from tail tendon biops</w:t>
      </w:r>
      <w:r w:rsidR="00697BD4">
        <w:t>ies</w:t>
      </w:r>
      <w:r w:rsidR="00BA6ADF" w:rsidRPr="00BA6ADF">
        <w:t>. After performing initial crosses between</w:t>
      </w:r>
      <w:r w:rsidR="00042CB3">
        <w:t xml:space="preserve"> </w:t>
      </w:r>
      <w:r w:rsidR="00042CB3" w:rsidRPr="00BA6ADF">
        <w:rPr>
          <w:i/>
        </w:rPr>
        <w:t>R</w:t>
      </w:r>
      <w:r w:rsidR="00042CB3">
        <w:rPr>
          <w:i/>
        </w:rPr>
        <w:t>osa26</w:t>
      </w:r>
      <w:r w:rsidR="00042CB3">
        <w:rPr>
          <w:vertAlign w:val="superscript"/>
        </w:rPr>
        <w:t>CreERT2/CreERT2</w:t>
      </w:r>
      <w:r w:rsidR="00BA6ADF" w:rsidRPr="00BA6ADF">
        <w:t xml:space="preserve"> and </w:t>
      </w:r>
      <w:proofErr w:type="spellStart"/>
      <w:r w:rsidR="00042CB3">
        <w:rPr>
          <w:i/>
        </w:rPr>
        <w:t>Scx</w:t>
      </w:r>
      <w:r w:rsidR="00BA6ADF" w:rsidRPr="00BA6ADF">
        <w:rPr>
          <w:vertAlign w:val="superscript"/>
        </w:rPr>
        <w:t>flox</w:t>
      </w:r>
      <w:proofErr w:type="spellEnd"/>
      <w:r w:rsidR="00BA6ADF" w:rsidRPr="00BA6ADF">
        <w:rPr>
          <w:vertAlign w:val="superscript"/>
        </w:rPr>
        <w:t>/</w:t>
      </w:r>
      <w:proofErr w:type="spellStart"/>
      <w:r w:rsidR="00BA6ADF" w:rsidRPr="00BA6ADF">
        <w:rPr>
          <w:vertAlign w:val="superscript"/>
        </w:rPr>
        <w:t>flox</w:t>
      </w:r>
      <w:proofErr w:type="spellEnd"/>
      <w:r w:rsidR="00BA6ADF" w:rsidRPr="00BA6ADF">
        <w:t xml:space="preserve"> mice, we generated </w:t>
      </w:r>
      <w:r w:rsidR="00042CB3" w:rsidRPr="00BA6ADF">
        <w:rPr>
          <w:i/>
        </w:rPr>
        <w:t>R</w:t>
      </w:r>
      <w:r w:rsidR="00042CB3">
        <w:rPr>
          <w:i/>
        </w:rPr>
        <w:t>osa26</w:t>
      </w:r>
      <w:r w:rsidR="00042CB3">
        <w:rPr>
          <w:vertAlign w:val="superscript"/>
        </w:rPr>
        <w:t>CreERT2/CreERT2</w:t>
      </w:r>
      <w:r w:rsidR="00042CB3">
        <w:t>:</w:t>
      </w:r>
      <w:r w:rsidR="00042CB3">
        <w:rPr>
          <w:i/>
        </w:rPr>
        <w:t>Scx</w:t>
      </w:r>
      <w:r w:rsidR="00042CB3" w:rsidRPr="00BA6ADF">
        <w:rPr>
          <w:vertAlign w:val="superscript"/>
        </w:rPr>
        <w:t>flox/</w:t>
      </w:r>
      <w:proofErr w:type="spellStart"/>
      <w:r w:rsidR="00042CB3" w:rsidRPr="00BA6ADF">
        <w:rPr>
          <w:vertAlign w:val="superscript"/>
        </w:rPr>
        <w:t>flox</w:t>
      </w:r>
      <w:proofErr w:type="spellEnd"/>
      <w:r w:rsidR="00042CB3" w:rsidRPr="00BA6ADF">
        <w:t xml:space="preserve"> mice</w:t>
      </w:r>
      <w:r w:rsidR="00BA6ADF" w:rsidRPr="00BA6ADF">
        <w:t xml:space="preserve"> to allow </w:t>
      </w:r>
      <w:r w:rsidR="00042CB3">
        <w:t>for the</w:t>
      </w:r>
      <w:r w:rsidR="00BA6ADF" w:rsidRPr="00BA6ADF">
        <w:t xml:space="preserve"> inactivat</w:t>
      </w:r>
      <w:r w:rsidR="00042CB3">
        <w:t>ion</w:t>
      </w:r>
      <w:r w:rsidR="00BA6ADF" w:rsidRPr="00BA6ADF">
        <w:t xml:space="preserve"> </w:t>
      </w:r>
      <w:r w:rsidR="00042CB3" w:rsidRPr="00042CB3">
        <w:rPr>
          <w:iCs/>
        </w:rPr>
        <w:t>of</w:t>
      </w:r>
      <w:r w:rsidR="00BA6ADF" w:rsidRPr="00BA6ADF">
        <w:t xml:space="preserve"> scleraxis upon treatment with </w:t>
      </w:r>
      <w:r w:rsidR="00697BD4">
        <w:t xml:space="preserve">4-hydroxytamoxifen (4HT) </w:t>
      </w:r>
      <w:r w:rsidR="001B6777" w:rsidRPr="001B6777">
        <w:rPr>
          <w:i/>
          <w:iCs/>
        </w:rPr>
        <w:t>in vitro</w:t>
      </w:r>
      <w:r w:rsidR="001B6777">
        <w:t xml:space="preserve"> </w:t>
      </w:r>
      <w:r w:rsidR="00697BD4">
        <w:t xml:space="preserve">or </w:t>
      </w:r>
      <w:r w:rsidR="00BA6ADF" w:rsidRPr="00BA6ADF">
        <w:t>tamoxifen</w:t>
      </w:r>
      <w:r w:rsidR="00042CB3">
        <w:t xml:space="preserve"> </w:t>
      </w:r>
      <w:r w:rsidR="001B6777" w:rsidRPr="001B6777">
        <w:rPr>
          <w:i/>
          <w:iCs/>
        </w:rPr>
        <w:t>in vivo</w:t>
      </w:r>
      <w:r w:rsidR="001B6777">
        <w:t xml:space="preserve"> </w:t>
      </w:r>
      <w:r w:rsidR="00BA6ADF" w:rsidRPr="00BA6ADF">
        <w:t xml:space="preserve">(referred to as </w:t>
      </w:r>
      <w:proofErr w:type="spellStart"/>
      <w:r w:rsidR="00BA6ADF" w:rsidRPr="00BA6ADF">
        <w:rPr>
          <w:i/>
        </w:rPr>
        <w:t>Scx</w:t>
      </w:r>
      <w:r w:rsidR="00BA6ADF" w:rsidRPr="00BA6ADF">
        <w:rPr>
          <w:vertAlign w:val="superscript"/>
        </w:rPr>
        <w:t>Δ</w:t>
      </w:r>
      <w:proofErr w:type="spellEnd"/>
      <w:r w:rsidR="00BA6ADF" w:rsidRPr="00BA6ADF">
        <w:t xml:space="preserve"> mice), while</w:t>
      </w:r>
      <w:r w:rsidR="00042CB3">
        <w:t xml:space="preserve"> </w:t>
      </w:r>
      <w:r w:rsidR="00042CB3" w:rsidRPr="00BA6ADF">
        <w:rPr>
          <w:i/>
        </w:rPr>
        <w:t>R</w:t>
      </w:r>
      <w:r w:rsidR="00042CB3">
        <w:rPr>
          <w:i/>
        </w:rPr>
        <w:t>osa26</w:t>
      </w:r>
      <w:r w:rsidR="00042CB3">
        <w:rPr>
          <w:vertAlign w:val="superscript"/>
        </w:rPr>
        <w:t>CreERT2/CreERT2</w:t>
      </w:r>
      <w:r w:rsidR="00042CB3">
        <w:t>:</w:t>
      </w:r>
      <w:r w:rsidR="00042CB3">
        <w:rPr>
          <w:i/>
        </w:rPr>
        <w:t>Scx</w:t>
      </w:r>
      <w:r w:rsidR="00042CB3">
        <w:rPr>
          <w:vertAlign w:val="superscript"/>
        </w:rPr>
        <w:t>+</w:t>
      </w:r>
      <w:r w:rsidR="00042CB3" w:rsidRPr="00BA6ADF">
        <w:rPr>
          <w:vertAlign w:val="superscript"/>
        </w:rPr>
        <w:t>/</w:t>
      </w:r>
      <w:r w:rsidR="00042CB3">
        <w:rPr>
          <w:vertAlign w:val="superscript"/>
        </w:rPr>
        <w:t>+</w:t>
      </w:r>
      <w:r w:rsidR="00BA6ADF" w:rsidRPr="00BA6ADF">
        <w:t xml:space="preserve"> mice maintain the expression of </w:t>
      </w:r>
      <w:proofErr w:type="spellStart"/>
      <w:r w:rsidR="00042CB3">
        <w:rPr>
          <w:i/>
        </w:rPr>
        <w:t>Scx</w:t>
      </w:r>
      <w:proofErr w:type="spellEnd"/>
      <w:r w:rsidR="00BA6ADF" w:rsidRPr="00BA6ADF">
        <w:t xml:space="preserve"> after </w:t>
      </w:r>
      <w:r w:rsidR="00697BD4">
        <w:t>4</w:t>
      </w:r>
      <w:r w:rsidR="00042CB3">
        <w:t>HT</w:t>
      </w:r>
      <w:r w:rsidR="00BA6ADF" w:rsidRPr="00BA6ADF">
        <w:t xml:space="preserve"> </w:t>
      </w:r>
      <w:r w:rsidR="00697BD4">
        <w:t xml:space="preserve">or tamoxifen </w:t>
      </w:r>
      <w:r w:rsidR="00BA6ADF" w:rsidRPr="00BA6ADF">
        <w:t xml:space="preserve">treatment (referred to as </w:t>
      </w:r>
      <w:proofErr w:type="spellStart"/>
      <w:r w:rsidR="00BA6ADF" w:rsidRPr="00BA6ADF">
        <w:rPr>
          <w:i/>
        </w:rPr>
        <w:t>Scx</w:t>
      </w:r>
      <w:proofErr w:type="spellEnd"/>
      <w:r w:rsidR="00BA6ADF" w:rsidRPr="00BA6ADF">
        <w:rPr>
          <w:vertAlign w:val="superscript"/>
        </w:rPr>
        <w:t>+</w:t>
      </w:r>
      <w:r w:rsidR="00BA6ADF" w:rsidRPr="00BA6ADF">
        <w:t xml:space="preserve"> mice). </w:t>
      </w:r>
      <w:r w:rsidR="00D51F83">
        <w:t>A</w:t>
      </w:r>
      <w:r w:rsidR="00D51F83" w:rsidRPr="00BA6ADF">
        <w:t xml:space="preserve">n overview of the </w:t>
      </w:r>
      <w:r w:rsidR="00D51F83" w:rsidRPr="00BA6ADF">
        <w:rPr>
          <w:i/>
        </w:rPr>
        <w:t>R</w:t>
      </w:r>
      <w:r w:rsidR="00D51F83">
        <w:rPr>
          <w:i/>
        </w:rPr>
        <w:t>osa26</w:t>
      </w:r>
      <w:r w:rsidR="00D51F83">
        <w:rPr>
          <w:vertAlign w:val="superscript"/>
        </w:rPr>
        <w:t>CreERT2</w:t>
      </w:r>
      <w:r w:rsidR="00D51F83">
        <w:t xml:space="preserve">, </w:t>
      </w:r>
      <w:proofErr w:type="spellStart"/>
      <w:r w:rsidR="00D51F83">
        <w:rPr>
          <w:i/>
        </w:rPr>
        <w:t>Scx</w:t>
      </w:r>
      <w:proofErr w:type="spellEnd"/>
      <w:r w:rsidR="00D51F83">
        <w:rPr>
          <w:vertAlign w:val="superscript"/>
        </w:rPr>
        <w:t>+</w:t>
      </w:r>
      <w:r w:rsidR="00D51F83">
        <w:t xml:space="preserve">, </w:t>
      </w:r>
      <w:proofErr w:type="spellStart"/>
      <w:r w:rsidR="00D51F83">
        <w:rPr>
          <w:i/>
        </w:rPr>
        <w:t>Scx</w:t>
      </w:r>
      <w:r w:rsidR="00D51F83" w:rsidRPr="00BA6ADF">
        <w:rPr>
          <w:vertAlign w:val="superscript"/>
        </w:rPr>
        <w:t>flox</w:t>
      </w:r>
      <w:proofErr w:type="spellEnd"/>
      <w:r w:rsidR="00D51F83">
        <w:t xml:space="preserve">, and </w:t>
      </w:r>
      <w:proofErr w:type="spellStart"/>
      <w:r w:rsidR="00D51F83" w:rsidRPr="00BA6ADF">
        <w:rPr>
          <w:i/>
        </w:rPr>
        <w:t>Scx</w:t>
      </w:r>
      <w:r w:rsidR="00D51F83" w:rsidRPr="00BA6ADF">
        <w:rPr>
          <w:vertAlign w:val="superscript"/>
        </w:rPr>
        <w:t>Δ</w:t>
      </w:r>
      <w:proofErr w:type="spellEnd"/>
      <w:r w:rsidR="00D51F83">
        <w:t xml:space="preserve"> al</w:t>
      </w:r>
      <w:r w:rsidR="00D51F83" w:rsidRPr="00BA6ADF">
        <w:t xml:space="preserve">leles is provided in Figure 1A. </w:t>
      </w:r>
      <w:r w:rsidR="00042CB3">
        <w:t xml:space="preserve">Male </w:t>
      </w:r>
      <w:r w:rsidR="00BA6ADF" w:rsidRPr="00BA6ADF">
        <w:t>mice 4</w:t>
      </w:r>
      <w:r w:rsidR="00042CB3">
        <w:t>-6</w:t>
      </w:r>
      <w:r w:rsidR="00BA6ADF" w:rsidRPr="00BA6ADF">
        <w:t xml:space="preserve"> months</w:t>
      </w:r>
      <w:r w:rsidR="00042CB3">
        <w:t xml:space="preserve"> were used in this study</w:t>
      </w:r>
      <w:r w:rsidR="00BA6ADF" w:rsidRPr="00BA6ADF">
        <w:t xml:space="preserve">. </w:t>
      </w:r>
    </w:p>
    <w:p w14:paraId="0B2F46D8" w14:textId="292048EF" w:rsidR="00E230FD" w:rsidRDefault="00E230FD" w:rsidP="006E41A7">
      <w:pPr>
        <w:spacing w:line="480" w:lineRule="auto"/>
      </w:pPr>
      <w:r>
        <w:tab/>
      </w:r>
      <w:r w:rsidR="00656A7E" w:rsidRPr="00656A7E">
        <w:rPr>
          <w:b/>
          <w:bCs/>
          <w:i/>
          <w:iCs/>
        </w:rPr>
        <w:t>Scleraxis inactivation</w:t>
      </w:r>
      <w:r w:rsidR="00B517BF">
        <w:rPr>
          <w:b/>
          <w:bCs/>
          <w:i/>
          <w:iCs/>
        </w:rPr>
        <w:t xml:space="preserve"> in mice</w:t>
      </w:r>
      <w:r w:rsidR="00656A7E" w:rsidRPr="00656A7E">
        <w:rPr>
          <w:b/>
          <w:bCs/>
          <w:i/>
          <w:iCs/>
        </w:rPr>
        <w:t>.</w:t>
      </w:r>
      <w:r w:rsidR="00656A7E">
        <w:t xml:space="preserve"> </w:t>
      </w:r>
      <w:r w:rsidR="00656A7E" w:rsidRPr="00BA6ADF">
        <w:rPr>
          <w:i/>
        </w:rPr>
        <w:t>R</w:t>
      </w:r>
      <w:r w:rsidR="00656A7E">
        <w:rPr>
          <w:i/>
        </w:rPr>
        <w:t>osa26</w:t>
      </w:r>
      <w:r w:rsidR="00656A7E">
        <w:rPr>
          <w:vertAlign w:val="superscript"/>
        </w:rPr>
        <w:t>CreERT2/CreERT2</w:t>
      </w:r>
      <w:r w:rsidR="00656A7E">
        <w:t>:</w:t>
      </w:r>
      <w:r w:rsidR="00656A7E">
        <w:rPr>
          <w:i/>
        </w:rPr>
        <w:t>Scx</w:t>
      </w:r>
      <w:r w:rsidR="00656A7E" w:rsidRPr="00BA6ADF">
        <w:rPr>
          <w:vertAlign w:val="superscript"/>
        </w:rPr>
        <w:t>flox/</w:t>
      </w:r>
      <w:proofErr w:type="spellStart"/>
      <w:r w:rsidR="00656A7E" w:rsidRPr="00BA6ADF">
        <w:rPr>
          <w:vertAlign w:val="superscript"/>
        </w:rPr>
        <w:t>flox</w:t>
      </w:r>
      <w:proofErr w:type="spellEnd"/>
      <w:r w:rsidR="00656A7E" w:rsidRPr="00BA6ADF">
        <w:t xml:space="preserve"> mice </w:t>
      </w:r>
      <w:r w:rsidR="00656A7E">
        <w:t xml:space="preserve">were treated </w:t>
      </w:r>
      <w:r w:rsidR="00656A7E" w:rsidRPr="00656A7E">
        <w:t xml:space="preserve">daily with an intraperitoneal injection of </w:t>
      </w:r>
      <w:r w:rsidR="00656A7E">
        <w:t>2</w:t>
      </w:r>
      <w:r w:rsidR="00656A7E" w:rsidRPr="00656A7E">
        <w:t xml:space="preserve">mg of tamoxifen (T5648, </w:t>
      </w:r>
      <w:r w:rsidR="00656A7E">
        <w:t xml:space="preserve">Millipore </w:t>
      </w:r>
      <w:r w:rsidR="00656A7E" w:rsidRPr="00656A7E">
        <w:t>Sigma, St. Louis, MO, USA) dissolved in 50µl of corn oil to activate CreERT2 recombinase</w:t>
      </w:r>
      <w:r w:rsidR="00B517BF">
        <w:t xml:space="preserve"> and</w:t>
      </w:r>
      <w:r w:rsidR="00656A7E">
        <w:t xml:space="preserve"> generate </w:t>
      </w:r>
      <w:proofErr w:type="spellStart"/>
      <w:r w:rsidR="00656A7E" w:rsidRPr="00BA6ADF">
        <w:rPr>
          <w:i/>
        </w:rPr>
        <w:t>Scx</w:t>
      </w:r>
      <w:r w:rsidR="00656A7E" w:rsidRPr="00BA6ADF">
        <w:rPr>
          <w:vertAlign w:val="superscript"/>
        </w:rPr>
        <w:t>Δ</w:t>
      </w:r>
      <w:proofErr w:type="spellEnd"/>
      <w:r w:rsidR="00656A7E" w:rsidRPr="00BA6ADF">
        <w:t xml:space="preserve"> mice</w:t>
      </w:r>
      <w:r w:rsidR="00697BD4">
        <w:t xml:space="preserve"> </w:t>
      </w:r>
      <w:r w:rsidR="006E2104">
        <w:rPr>
          <w:rFonts w:cs="Times New Roman"/>
        </w:rPr>
        <w:fldChar w:fldCharType="begin"/>
      </w:r>
      <w:r w:rsidR="00A1782A">
        <w:rPr>
          <w:rFonts w:cs="Times New Roman"/>
        </w:rPr>
        <w:instrText xml:space="preserve"> ADDIN PAPERS2_CITATIONS &lt;citation&gt;&lt;priority&gt;43&lt;/priority&gt;&lt;uuid&gt;F3C1B445-28BF-406A-96CA-CD92BAE1BF19&lt;/uuid&gt;&lt;publications&gt;&lt;publication&gt;&lt;subtype&gt;400&lt;/subtype&gt;&lt;title&gt;Insulin-like growth factor 1 signaling in tenocytes is required for adult tendon growth.&lt;/title&gt;&lt;url&gt;https://www.fasebj.org/doi/10.1096/fj.201901503R&lt;/url&gt;&lt;volume&gt;33&lt;/volume&gt;&lt;publication_date&gt;99201911011200000000222000&lt;/publication_date&gt;&lt;uuid&gt;7F0D72D9-5F56-4B93-A8BA-81ABE7850CB5&lt;/uuid&gt;&lt;type&gt;400&lt;/type&gt;&lt;number&gt;11&lt;/number&gt;&lt;doi&gt;10.1096/fj.201901503R&lt;/doi&gt;&lt;institution&gt;Hospital for Special Surgery, New York, New York, USA.&lt;/institution&gt;&lt;startpage&gt;12680&lt;/startpage&gt;&lt;endpage&gt;12695&lt;/endpage&gt;&lt;bundle&gt;&lt;publication&gt;&lt;title&gt;The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Disser&lt;/lastName&gt;&lt;firstName&gt;Nathaniel&lt;/firstName&gt;&lt;middleNames&gt;P&lt;/middleNames&gt;&lt;/author&gt;&lt;author&gt;&lt;lastName&gt;Sugg&lt;/lastName&gt;&lt;firstName&gt;Kristoffer&lt;/firstName&gt;&lt;middleNames&gt;B&lt;/middleNames&gt;&lt;/author&gt;&lt;author&gt;&lt;lastName&gt;Talarek&lt;/lastName&gt;&lt;firstName&gt;Jeffrey&lt;/firstName&gt;&lt;middleNames&gt;R&lt;/middleNames&gt;&lt;/author&gt;&lt;author&gt;&lt;lastName&gt;Sarver&lt;/lastName&gt;&lt;firstName&gt;Dylan&lt;/firstName&gt;&lt;middleNames&gt;C&lt;/middleNames&gt;&lt;/author&gt;&lt;author&gt;&lt;lastName&gt;Rourke&lt;/lastName&gt;&lt;firstName&gt;Brennan&lt;/firstName&gt;&lt;middleNames&gt;J&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(26)</w:t>
      </w:r>
      <w:r w:rsidR="006E2104">
        <w:rPr>
          <w:rFonts w:cs="Times New Roman"/>
        </w:rPr>
        <w:fldChar w:fldCharType="end"/>
      </w:r>
      <w:r w:rsidR="00656A7E" w:rsidRPr="00656A7E">
        <w:t xml:space="preserve">. </w:t>
      </w:r>
      <w:proofErr w:type="spellStart"/>
      <w:r w:rsidR="00B517BF" w:rsidRPr="00BA6ADF">
        <w:rPr>
          <w:i/>
        </w:rPr>
        <w:t>Scx</w:t>
      </w:r>
      <w:proofErr w:type="spellEnd"/>
      <w:r w:rsidR="00B517BF" w:rsidRPr="00BA6ADF">
        <w:rPr>
          <w:vertAlign w:val="superscript"/>
        </w:rPr>
        <w:t>+</w:t>
      </w:r>
      <w:r w:rsidR="00B517BF" w:rsidRPr="00BA6ADF">
        <w:t xml:space="preserve"> mice</w:t>
      </w:r>
      <w:r w:rsidR="00B517BF" w:rsidRPr="00656A7E">
        <w:t xml:space="preserve"> </w:t>
      </w:r>
      <w:r w:rsidR="00B517BF">
        <w:t xml:space="preserve">underwent the same tamoxifen treatment regime, but as they did not have </w:t>
      </w:r>
      <w:proofErr w:type="spellStart"/>
      <w:r w:rsidR="00B517BF">
        <w:t>loxP</w:t>
      </w:r>
      <w:proofErr w:type="spellEnd"/>
      <w:r w:rsidR="00B517BF">
        <w:t xml:space="preserve"> sites flanking scleraxis, no inactivation </w:t>
      </w:r>
      <w:r w:rsidR="000B4CEB">
        <w:t xml:space="preserve">of scleraxis </w:t>
      </w:r>
      <w:r w:rsidR="00B517BF">
        <w:t xml:space="preserve">occurred. </w:t>
      </w:r>
      <w:r w:rsidR="00656A7E" w:rsidRPr="00656A7E">
        <w:t xml:space="preserve">Tamoxifen treatment began </w:t>
      </w:r>
      <w:r w:rsidR="00656A7E">
        <w:t>5</w:t>
      </w:r>
      <w:r w:rsidR="00656A7E" w:rsidRPr="00656A7E">
        <w:t xml:space="preserve"> days prior to </w:t>
      </w:r>
      <w:r w:rsidR="00656A7E">
        <w:t>synergist ablation procedure</w:t>
      </w:r>
      <w:r w:rsidR="0048583B">
        <w:t xml:space="preserve"> or isolation of tendons for cell culture</w:t>
      </w:r>
      <w:r w:rsidR="00656A7E" w:rsidRPr="00656A7E">
        <w:t>, and continued on a daily basis until tissue was harvested for analysis.</w:t>
      </w:r>
    </w:p>
    <w:p w14:paraId="2FBD8A36" w14:textId="728B1FE8" w:rsidR="00D434E4" w:rsidRDefault="00656A7E" w:rsidP="006E41A7">
      <w:pPr>
        <w:spacing w:line="480" w:lineRule="auto"/>
      </w:pPr>
      <w:r>
        <w:tab/>
      </w:r>
      <w:r w:rsidRPr="00656A7E">
        <w:rPr>
          <w:b/>
          <w:i/>
        </w:rPr>
        <w:t xml:space="preserve">Synergist </w:t>
      </w:r>
      <w:r>
        <w:rPr>
          <w:b/>
          <w:i/>
        </w:rPr>
        <w:t>a</w:t>
      </w:r>
      <w:r w:rsidRPr="00656A7E">
        <w:rPr>
          <w:b/>
          <w:i/>
        </w:rPr>
        <w:t xml:space="preserve">blation </w:t>
      </w:r>
      <w:r>
        <w:rPr>
          <w:b/>
          <w:i/>
        </w:rPr>
        <w:t>t</w:t>
      </w:r>
      <w:r w:rsidRPr="00656A7E">
        <w:rPr>
          <w:b/>
          <w:i/>
        </w:rPr>
        <w:t xml:space="preserve">endon </w:t>
      </w:r>
      <w:r>
        <w:rPr>
          <w:b/>
          <w:i/>
        </w:rPr>
        <w:t>g</w:t>
      </w:r>
      <w:r w:rsidRPr="00656A7E">
        <w:rPr>
          <w:b/>
          <w:i/>
        </w:rPr>
        <w:t xml:space="preserve">rowth </w:t>
      </w:r>
      <w:r>
        <w:rPr>
          <w:b/>
          <w:i/>
        </w:rPr>
        <w:t>p</w:t>
      </w:r>
      <w:r w:rsidRPr="00656A7E">
        <w:rPr>
          <w:b/>
          <w:i/>
        </w:rPr>
        <w:t>rocedure.</w:t>
      </w:r>
      <w:r w:rsidRPr="00656A7E">
        <w:t xml:space="preserve"> Bilateral synergist ablation procedures were performed </w:t>
      </w:r>
      <w:r w:rsidR="00084A50">
        <w:t>as described</w:t>
      </w:r>
      <w:r w:rsidR="00697BD4">
        <w:t xml:space="preserve"> </w:t>
      </w:r>
      <w:r w:rsidR="006E2104">
        <w:rPr>
          <w:rFonts w:cs="Times New Roman"/>
        </w:rPr>
        <w:fldChar w:fldCharType="begin"/>
      </w:r>
      <w:r w:rsidR="00A1782A">
        <w:rPr>
          <w:rFonts w:cs="Times New Roman"/>
        </w:rPr>
        <w:instrText xml:space="preserve"> ADDIN PAPERS2_CITATIONS &lt;citation&gt;&lt;priority&gt;44&lt;/priority&gt;&lt;uuid&gt;20165469-B92A-46A2-9098-D8E916A0C7E3&lt;/uuid&gt;&lt;publications&gt;&lt;publication&gt;&lt;subtype&gt;400&lt;/subtype&gt;&lt;title&gt;Synergist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gt;&lt;subtype&gt;400&lt;/subtype&gt;&lt;title&gt;Inhibition of platelet-derived growth factor signaling prevents muscle fiber growth during skeletal muscle hypertrophy.&lt;/title&gt;&lt;url&gt;http://doi.wiley.com/10.1002/1873-3468.12571&lt;/url&gt;&lt;volume&gt;591&lt;/volume&gt;&lt;revision_date&gt;99201701191200000000222000&lt;/revision_date&gt;&lt;publication_date&gt;99201703001200000000220000&lt;/publication_date&gt;&lt;uuid&gt;B2AB08B3-EE9E-4A3C-9B20-D589DBA8570D&lt;/uuid&gt;&lt;type&gt;400&lt;/type&gt;&lt;accepted_date&gt;99201701201200000000222000&lt;/accepted_date&gt;&lt;number&gt;5&lt;/number&gt;&lt;submission_date&gt;99201610271200000000222000&lt;/submission_date&gt;&lt;doi&gt;10.1002/1873-3468.12571&lt;/doi&gt;&lt;institution&gt;Department of Orthopaedic Surgery, University of Michigan Medical School, Ann Arbor, MI, USA.&lt;/institution&gt;&lt;startpage&gt;801&lt;/startpage&gt;&lt;endpage&gt;809&lt;/endpage&gt;&lt;bundle&gt;&lt;publication&gt;&lt;title&gt;FEBS letters&lt;/title&gt;&lt;uuid&gt;DB9AFB1D-F946-4631-930D-76155E7448C5&lt;/uuid&gt;&lt;subtype&gt;-100&lt;/subtype&gt;&lt;publisher&gt;Federation of European Biochemical Societies&lt;/publisher&gt;&lt;type&gt;-100&lt;/type&gt;&lt;/publication&gt;&lt;/bundle&gt;&lt;authors&gt;&lt;author&gt;&lt;lastName&gt;Sugg&lt;/lastName&gt;&lt;firstName&gt;Kristoffer&lt;/firstName&gt;&lt;middleNames&gt;B&lt;/middleNames&gt;&lt;/author&gt;&lt;author&gt;&lt;lastName&gt;Korn&lt;/lastName&gt;&lt;firstName&gt;Michael&lt;/firstName&gt;&lt;middleNames&gt;A&lt;/middleNames&gt;&lt;/author&gt;&lt;author&gt;&lt;lastName&gt;Sarver&lt;/lastName&gt;&lt;firstName&gt;Dylan&lt;/firstName&gt;&lt;middleNames&gt;C&lt;/middleNames&gt;&lt;/author&gt;&lt;author&gt;&lt;lastName&gt;Markworth&lt;/lastName&gt;&lt;firstName&gt;James&lt;/firstName&gt;&lt;middleNames&gt;F&lt;/middleNames&gt;&lt;/author&gt;&lt;author&gt;&lt;lastName&gt;Mendias&lt;/lastName&gt;&lt;firstName&gt;Christopher&lt;/firstName&gt;&lt;middleNames&gt;L&lt;/middleNames&gt;&lt;/author&gt;&lt;/authors&gt;&lt;/publication&gt;&lt;publication&gt;&lt;subtype&gt;400&lt;/subtype&gt;&lt;title&gt;Insulin-like growth factor 1 signaling in tenocytes is required for adult tendon growth.&lt;/title&gt;&lt;url&gt;https://www.fasebj.org/doi/10.1096/fj.201901503R&lt;/url&gt;&lt;volume&gt;33&lt;/volume&gt;&lt;publication_date&gt;99201911011200000000222000&lt;/publication_date&gt;&lt;uuid&gt;7F0D72D9-5F56-4B93-A8BA-81ABE7850CB5&lt;/uuid&gt;&lt;type&gt;400&lt;/type&gt;&lt;number&gt;11&lt;/number&gt;&lt;doi&gt;10.1096/fj.201901503R&lt;/doi&gt;&lt;institution&gt;Hospital for Special Surgery, New York, New York, USA.&lt;/institution&gt;&lt;startpage&gt;12680&lt;/startpage&gt;&lt;endpage&gt;12695&lt;/endpage&gt;&lt;bundle&gt;&lt;publication&gt;&lt;title&gt;The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Disser&lt;/lastName&gt;&lt;firstName&gt;Nathaniel&lt;/firstName&gt;&lt;middleNames&gt;P&lt;/middleNames&gt;&lt;/author&gt;&lt;author&gt;&lt;lastName&gt;Sugg&lt;/lastName&gt;&lt;firstName&gt;Kristoffer&lt;/firstName&gt;&lt;middleNames&gt;B&lt;/middleNames&gt;&lt;/author&gt;&lt;author&gt;&lt;lastName&gt;Talarek&lt;/lastName&gt;&lt;firstName&gt;Jeffrey&lt;/firstName&gt;&lt;middleNames&gt;R&lt;/middleNames&gt;&lt;/author&gt;&lt;author&gt;&lt;lastName&gt;Sarver&lt;/lastName&gt;&lt;firstName&gt;Dylan&lt;/firstName&gt;&lt;middleNames&gt;C&lt;/middleNames&gt;&lt;/author&gt;&lt;author&gt;&lt;lastName&gt;Rourke&lt;/lastName&gt;&lt;firstName&gt;Brennan&lt;/firstName&gt;&lt;middleNames&gt;J&lt;/middleNames&gt;&lt;/author&gt;&lt;author&gt;&lt;lastName&gt;Mendias&lt;/lastName&gt;&lt;firstName&gt;Christopher&lt;/firstName&gt;&lt;middleNames&gt;L&lt;/middleNames&gt;&lt;/author&gt;&lt;/authors&gt;&lt;/publication&gt;&lt;/publications&gt;&lt;cites&gt;&lt;/cites&gt;&lt;/citation&gt;</w:instrText>
      </w:r>
      <w:r w:rsidR="006E2104">
        <w:rPr>
          <w:rFonts w:cs="Times New Roman"/>
        </w:rPr>
        <w:fldChar w:fldCharType="separate"/>
      </w:r>
      <w:r w:rsidR="00A1782A">
        <w:rPr>
          <w:rFonts w:cs="Times New Roman"/>
        </w:rPr>
        <w:t>(14, 26, 42)</w:t>
      </w:r>
      <w:r w:rsidR="006E2104">
        <w:rPr>
          <w:rFonts w:cs="Times New Roman"/>
        </w:rPr>
        <w:fldChar w:fldCharType="end"/>
      </w:r>
      <w:r w:rsidRPr="00656A7E">
        <w:t xml:space="preserve">. An overview of the time points and surgical procedures are shown in Figure 1B-C. </w:t>
      </w:r>
      <w:r w:rsidR="00084A50">
        <w:t>In this procedure, the</w:t>
      </w:r>
      <w:r w:rsidRPr="00656A7E">
        <w:t xml:space="preserve"> Achilles tendon </w:t>
      </w:r>
      <w:r w:rsidR="00084A50">
        <w:t>i</w:t>
      </w:r>
      <w:r w:rsidRPr="00656A7E">
        <w:t xml:space="preserve">s surgically </w:t>
      </w:r>
      <w:r w:rsidRPr="00656A7E">
        <w:lastRenderedPageBreak/>
        <w:t>excised</w:t>
      </w:r>
      <w:r w:rsidR="00084A50">
        <w:t>. This prevents</w:t>
      </w:r>
      <w:r w:rsidRPr="00656A7E">
        <w:t xml:space="preserve"> the gastrocnemius and soleus muscles from plantarflexing the talocrural joint, resulting in compensatory hypertrophy of the adjacent plantaris muscle and tendon. </w:t>
      </w:r>
      <w:r w:rsidR="00084A50">
        <w:t xml:space="preserve">The tendon growth pattern is eccentric, with new tendon tissue, or neotendon, </w:t>
      </w:r>
      <w:r w:rsidR="00D434E4">
        <w:t>expanding</w:t>
      </w:r>
      <w:r w:rsidR="00084A50">
        <w:t xml:space="preserve"> in a mostly lateral direction (Figures 1C and 2A). </w:t>
      </w:r>
    </w:p>
    <w:p w14:paraId="156C06DF" w14:textId="6AE75CA6" w:rsidR="005B7017" w:rsidRDefault="00D434E4" w:rsidP="006E41A7">
      <w:pPr>
        <w:spacing w:line="480" w:lineRule="auto"/>
      </w:pPr>
      <w:r>
        <w:tab/>
      </w:r>
      <w:r w:rsidR="00084A50">
        <w:t xml:space="preserve">Mice were deeply anesthetized with isoflurane, and the hindlimbs were shaved and scrubbed with chlorhexidine solution. </w:t>
      </w:r>
      <w:r w:rsidR="00656A7E" w:rsidRPr="00656A7E">
        <w:t xml:space="preserve">A small incision was created in the skin above the posterior </w:t>
      </w:r>
      <w:r w:rsidR="00697BD4">
        <w:t>hind</w:t>
      </w:r>
      <w:r w:rsidR="00656A7E" w:rsidRPr="00656A7E">
        <w:t xml:space="preserve">paw plantarflexor tendons, and </w:t>
      </w:r>
      <w:r w:rsidR="00084A50">
        <w:t>a 3-4mm portion of the</w:t>
      </w:r>
      <w:r w:rsidR="00656A7E" w:rsidRPr="00656A7E">
        <w:t xml:space="preserve"> Achilles tendon was isolated and excised, leaving </w:t>
      </w:r>
      <w:r w:rsidR="00084A50">
        <w:t xml:space="preserve">remnant </w:t>
      </w:r>
      <w:r w:rsidR="00656A7E" w:rsidRPr="00656A7E">
        <w:t xml:space="preserve">stumps at the myotendinous junction and calcaneus. </w:t>
      </w:r>
      <w:r w:rsidR="006F3F68">
        <w:t xml:space="preserve">Care was taken to not injure the plantaris tendon during this procedure. </w:t>
      </w:r>
      <w:r w:rsidR="00656A7E" w:rsidRPr="00656A7E">
        <w:t xml:space="preserve">The skin was closed with </w:t>
      </w:r>
      <w:proofErr w:type="spellStart"/>
      <w:r w:rsidR="00656A7E" w:rsidRPr="00656A7E">
        <w:t>GLUture</w:t>
      </w:r>
      <w:proofErr w:type="spellEnd"/>
      <w:r w:rsidR="00656A7E" w:rsidRPr="00656A7E">
        <w:t xml:space="preserve"> (Zoetis, Kalamazoo, MI, USA), buprenorphine </w:t>
      </w:r>
      <w:r w:rsidR="0042488E">
        <w:t>(0.1mg/kg</w:t>
      </w:r>
      <w:r w:rsidR="00723E5E">
        <w:t xml:space="preserve">, subcutaneous) </w:t>
      </w:r>
      <w:r w:rsidR="00656A7E" w:rsidRPr="00656A7E">
        <w:t xml:space="preserve">was administered for post-operative analgesia, and </w:t>
      </w:r>
      <w:r w:rsidR="00656A7E" w:rsidRPr="00656A7E">
        <w:rPr>
          <w:i/>
        </w:rPr>
        <w:t>ad libitum</w:t>
      </w:r>
      <w:r w:rsidR="00656A7E" w:rsidRPr="00656A7E">
        <w:t xml:space="preserve"> weight-bearing and cage activity were allowed in the postoperative period. </w:t>
      </w:r>
    </w:p>
    <w:p w14:paraId="6C5056E6" w14:textId="15DF5221" w:rsidR="00084A50" w:rsidRDefault="005B7017" w:rsidP="006E41A7">
      <w:pPr>
        <w:spacing w:line="480" w:lineRule="auto"/>
      </w:pPr>
      <w:r>
        <w:tab/>
        <w:t xml:space="preserve">Animals recovered for a period of </w:t>
      </w:r>
      <w:r w:rsidR="007D0052">
        <w:t>7D or 14D</w:t>
      </w:r>
      <w:r>
        <w:t>, during which time the</w:t>
      </w:r>
      <w:r w:rsidR="000474F4">
        <w:t>y</w:t>
      </w:r>
      <w:r>
        <w:t xml:space="preserve"> received daily treatment with tamoxifen. At the end of </w:t>
      </w:r>
      <w:r w:rsidR="007D0052">
        <w:t>7D or 14D</w:t>
      </w:r>
      <w:r>
        <w:t>, mice were euthanized by exposure to CO</w:t>
      </w:r>
      <w:r w:rsidRPr="005B7017">
        <w:rPr>
          <w:vertAlign w:val="subscript"/>
        </w:rPr>
        <w:t>2</w:t>
      </w:r>
      <w:r>
        <w:t xml:space="preserve"> followed by cervical dislocation. </w:t>
      </w:r>
      <w:r w:rsidR="00084A50" w:rsidRPr="00084A50">
        <w:t>Plantaris tendons were removed and prepared for either DNA isolation, histology, electron microscopy, or RNA isolation.</w:t>
      </w:r>
      <w:r w:rsidR="00D91970">
        <w:t xml:space="preserve"> Up to 20 mice per time point and genotype were used in studies. </w:t>
      </w:r>
    </w:p>
    <w:p w14:paraId="6122B71B" w14:textId="77777777" w:rsidR="00FF147A" w:rsidRDefault="00FF147A" w:rsidP="006E41A7">
      <w:pPr>
        <w:spacing w:line="480" w:lineRule="auto"/>
      </w:pPr>
      <w:r w:rsidRPr="004F48A2">
        <w:rPr>
          <w:b/>
          <w:bCs/>
          <w:i/>
          <w:iCs/>
        </w:rPr>
        <w:tab/>
        <w:t>Scleraxis Knockdown Efficiency.</w:t>
      </w:r>
      <w:r>
        <w:t xml:space="preserve"> To determine the efficiency of scleraxis knockdown, DNA was isolated from plantaris tendons or cultured cells using a </w:t>
      </w:r>
      <w:proofErr w:type="spellStart"/>
      <w:r>
        <w:t>DNeasy</w:t>
      </w:r>
      <w:proofErr w:type="spellEnd"/>
      <w:r>
        <w:t xml:space="preserve"> kit (Qiagen, Valencia, CA, USA). DNA was quantified with a NanoDrop 2000 system (Thermo Fisher, Waltham, MA, USA), and qPCR was conducted </w:t>
      </w:r>
      <w:r w:rsidR="004F48A2">
        <w:t xml:space="preserve">in a real time thermal cycler </w:t>
      </w:r>
      <w:r>
        <w:t xml:space="preserve">using </w:t>
      </w:r>
      <w:proofErr w:type="spellStart"/>
      <w:r w:rsidRPr="00FF147A">
        <w:t>iTaq</w:t>
      </w:r>
      <w:proofErr w:type="spellEnd"/>
      <w:r w:rsidRPr="00FF147A">
        <w:t xml:space="preserve"> Universal SYBR Green </w:t>
      </w:r>
      <w:proofErr w:type="spellStart"/>
      <w:r w:rsidRPr="00FF147A">
        <w:t>Supermix</w:t>
      </w:r>
      <w:proofErr w:type="spellEnd"/>
      <w:r w:rsidRPr="00FF147A">
        <w:t xml:space="preserve"> (Bio-Rad</w:t>
      </w:r>
      <w:r>
        <w:t>, Hercules, CA, USA</w:t>
      </w:r>
      <w:r w:rsidRPr="00FF147A">
        <w:t>)</w:t>
      </w:r>
      <w:r>
        <w:t xml:space="preserve"> </w:t>
      </w:r>
      <w:r w:rsidR="004F48A2">
        <w:t>and</w:t>
      </w:r>
      <w:r>
        <w:t xml:space="preserve"> primers specific for </w:t>
      </w:r>
      <w:r w:rsidR="004F48A2">
        <w:t xml:space="preserve">the region of </w:t>
      </w:r>
      <w:r>
        <w:t xml:space="preserve">exon 1 of scleraxis </w:t>
      </w:r>
      <w:r w:rsidR="000474F4">
        <w:t xml:space="preserve">flanked by </w:t>
      </w:r>
      <w:proofErr w:type="spellStart"/>
      <w:r w:rsidR="000474F4">
        <w:t>loxP</w:t>
      </w:r>
      <w:proofErr w:type="spellEnd"/>
      <w:r w:rsidR="000474F4">
        <w:t xml:space="preserve"> sites </w:t>
      </w:r>
      <w:r w:rsidRPr="00FF147A">
        <w:t>(</w:t>
      </w:r>
      <w:r w:rsidR="004F48A2" w:rsidRPr="004F48A2">
        <w:rPr>
          <w:iCs/>
        </w:rPr>
        <w:t>forwar</w:t>
      </w:r>
      <w:r w:rsidR="004F48A2">
        <w:rPr>
          <w:iCs/>
        </w:rPr>
        <w:t>d</w:t>
      </w:r>
      <w:r w:rsidR="004F48A2" w:rsidRPr="004F48A2">
        <w:rPr>
          <w:iCs/>
        </w:rPr>
        <w:t xml:space="preserve"> </w:t>
      </w:r>
      <w:r w:rsidRPr="00FF147A">
        <w:t>5</w:t>
      </w:r>
      <w:r w:rsidR="004F48A2">
        <w:t>'-</w:t>
      </w:r>
      <w:r w:rsidRPr="00FF147A">
        <w:t>GACCGCAAGCTCTCCAAGAT</w:t>
      </w:r>
      <w:r w:rsidR="004F48A2">
        <w:t>-</w:t>
      </w:r>
      <w:r w:rsidRPr="00FF147A">
        <w:t>3</w:t>
      </w:r>
      <w:r w:rsidR="004F48A2">
        <w:t>'</w:t>
      </w:r>
      <w:r w:rsidRPr="00FF147A">
        <w:t xml:space="preserve">; </w:t>
      </w:r>
      <w:r w:rsidR="004F48A2" w:rsidRPr="004F48A2">
        <w:rPr>
          <w:iCs/>
        </w:rPr>
        <w:t>reverse</w:t>
      </w:r>
      <w:r w:rsidR="004F48A2">
        <w:rPr>
          <w:i/>
        </w:rPr>
        <w:t xml:space="preserve"> </w:t>
      </w:r>
      <w:r w:rsidRPr="00FF147A">
        <w:t>5</w:t>
      </w:r>
      <w:r w:rsidR="004F48A2">
        <w:t>'-</w:t>
      </w:r>
      <w:r w:rsidRPr="00FF147A">
        <w:lastRenderedPageBreak/>
        <w:t>ACGACCGCTGTGGAAGAAAG</w:t>
      </w:r>
      <w:r w:rsidR="004F48A2">
        <w:t>-3'</w:t>
      </w:r>
      <w:r w:rsidRPr="00FF147A">
        <w:t>)</w:t>
      </w:r>
      <w:r w:rsidR="004F48A2">
        <w:t>,</w:t>
      </w:r>
      <w:r w:rsidRPr="00FF147A">
        <w:t xml:space="preserve"> </w:t>
      </w:r>
      <w:r>
        <w:t>or</w:t>
      </w:r>
      <w:r w:rsidRPr="00FF147A">
        <w:t xml:space="preserve"> exon 2</w:t>
      </w:r>
      <w:r>
        <w:t xml:space="preserve"> of scleraxis</w:t>
      </w:r>
      <w:r w:rsidR="004F48A2">
        <w:t xml:space="preserve"> which is outside of the </w:t>
      </w:r>
      <w:proofErr w:type="spellStart"/>
      <w:r w:rsidR="004F48A2">
        <w:t>loxP</w:t>
      </w:r>
      <w:proofErr w:type="spellEnd"/>
      <w:r w:rsidR="004F48A2">
        <w:t xml:space="preserve"> sites</w:t>
      </w:r>
      <w:r w:rsidRPr="00FF147A">
        <w:t xml:space="preserve"> (</w:t>
      </w:r>
      <w:r w:rsidR="004F48A2" w:rsidRPr="004F48A2">
        <w:rPr>
          <w:iCs/>
        </w:rPr>
        <w:t>forwar</w:t>
      </w:r>
      <w:r w:rsidR="004F48A2">
        <w:rPr>
          <w:iCs/>
        </w:rPr>
        <w:t>d</w:t>
      </w:r>
      <w:r w:rsidR="004F48A2" w:rsidRPr="004F48A2">
        <w:rPr>
          <w:iCs/>
        </w:rPr>
        <w:t xml:space="preserve"> </w:t>
      </w:r>
      <w:r w:rsidR="004F48A2" w:rsidRPr="00FF147A">
        <w:t>5</w:t>
      </w:r>
      <w:r w:rsidR="004F48A2">
        <w:t>'-</w:t>
      </w:r>
      <w:r w:rsidRPr="00FF147A">
        <w:t>CGCAGGTCCCCAAGAGCACG</w:t>
      </w:r>
      <w:r w:rsidR="004F48A2">
        <w:t>-3'</w:t>
      </w:r>
      <w:r w:rsidRPr="00FF147A">
        <w:t xml:space="preserve">; </w:t>
      </w:r>
      <w:r w:rsidR="004F48A2" w:rsidRPr="004F48A2">
        <w:rPr>
          <w:iCs/>
        </w:rPr>
        <w:t>reverse</w:t>
      </w:r>
      <w:r w:rsidR="004F48A2">
        <w:rPr>
          <w:i/>
        </w:rPr>
        <w:t xml:space="preserve"> </w:t>
      </w:r>
      <w:r w:rsidR="004F48A2" w:rsidRPr="00FF147A">
        <w:t>5</w:t>
      </w:r>
      <w:r w:rsidR="004F48A2">
        <w:t>'-</w:t>
      </w:r>
      <w:r w:rsidRPr="00FF147A">
        <w:t>GGCCTGGGTCAGTGTTCGGC</w:t>
      </w:r>
      <w:r w:rsidR="004F48A2">
        <w:t>-</w:t>
      </w:r>
      <w:r w:rsidRPr="00FF147A">
        <w:t>3</w:t>
      </w:r>
      <w:r w:rsidR="004F48A2">
        <w:t>'</w:t>
      </w:r>
      <w:r w:rsidRPr="00FF147A">
        <w:t>)</w:t>
      </w:r>
      <w:r w:rsidR="004F48A2">
        <w:t>. The abundance of exon 1 of scleraxis was measured relative to exon 2 using the 2</w:t>
      </w:r>
      <w:r w:rsidR="004F48A2" w:rsidRPr="004F48A2">
        <w:rPr>
          <w:vertAlign w:val="superscript"/>
        </w:rPr>
        <w:t>-ΔCt</w:t>
      </w:r>
      <w:r w:rsidR="004F48A2">
        <w:t xml:space="preserve"> method, and further normalized to the </w:t>
      </w:r>
      <w:proofErr w:type="spellStart"/>
      <w:r w:rsidR="004F48A2" w:rsidRPr="004F48A2">
        <w:rPr>
          <w:i/>
          <w:iCs/>
        </w:rPr>
        <w:t>Scx</w:t>
      </w:r>
      <w:proofErr w:type="spellEnd"/>
      <w:r w:rsidR="004F48A2" w:rsidRPr="004F48A2">
        <w:rPr>
          <w:vertAlign w:val="superscript"/>
        </w:rPr>
        <w:t>+</w:t>
      </w:r>
      <w:r w:rsidR="004F48A2">
        <w:t xml:space="preserve"> group for whole tendons, or to </w:t>
      </w:r>
      <w:proofErr w:type="spellStart"/>
      <w:r w:rsidR="000474F4" w:rsidRPr="004F48A2">
        <w:rPr>
          <w:i/>
          <w:iCs/>
        </w:rPr>
        <w:t>Scx</w:t>
      </w:r>
      <w:proofErr w:type="spellEnd"/>
      <w:r w:rsidR="000474F4" w:rsidRPr="004F48A2">
        <w:rPr>
          <w:vertAlign w:val="superscript"/>
        </w:rPr>
        <w:t>+</w:t>
      </w:r>
      <w:r w:rsidR="000474F4">
        <w:t xml:space="preserve"> tenocytes. </w:t>
      </w:r>
    </w:p>
    <w:p w14:paraId="0BD762E6" w14:textId="6BEF093B" w:rsidR="004F48A2" w:rsidRDefault="004F48A2" w:rsidP="006E41A7">
      <w:pPr>
        <w:spacing w:line="480" w:lineRule="auto"/>
      </w:pPr>
      <w:r w:rsidRPr="004F48A2">
        <w:rPr>
          <w:b/>
          <w:bCs/>
          <w:i/>
          <w:iCs/>
        </w:rPr>
        <w:tab/>
        <w:t>Histology.</w:t>
      </w:r>
      <w:r>
        <w:t xml:space="preserve"> </w:t>
      </w:r>
      <w:r w:rsidR="00C52040">
        <w:t>Distal portions of p</w:t>
      </w:r>
      <w:r w:rsidRPr="004F48A2">
        <w:t>lantaris tendons were snap frozen in liquid nitrogen cooled isopentane and stored at -80ºC until use. Tendons were sectioned and stained with fast green and hematoxylin as described previously</w:t>
      </w:r>
      <w:r>
        <w:t xml:space="preserve"> </w:t>
      </w:r>
      <w:r w:rsidR="006E2104">
        <w:fldChar w:fldCharType="begin"/>
      </w:r>
      <w:r w:rsidR="00A1782A">
        <w:instrText xml:space="preserve"> ADDIN PAPERS2_CITATIONS &lt;citation&gt;&lt;priority&gt;45&lt;/priority&gt;&lt;uuid&gt;3409E9BE-76CD-434C-96B7-F5E589607762&lt;/uuid&gt;&lt;publications&gt;&lt;publication&gt;&lt;subtype&gt;400&lt;/subtype&gt;&lt;title&gt;Synergist ablation induces rapid tendon growth through the synthesis of a neotendon matrix.&lt;/title&gt;&lt;url&gt;http://jap.physiology.org/cgi/doi/10.1152/japplphysiol.00720.2014&lt;/url&gt;&lt;volume&gt;117&lt;/volume&gt;&lt;publication_date&gt;99201412011200000000222000&lt;/publication_date&gt;&lt;uuid&gt;2070B324-4F36-483D-9130-58FE7C867BE8&lt;/uuid&gt;&lt;type&gt;400&lt;/type&gt;&lt;number&gt;11&lt;/number&gt;&lt;doi&gt;10.1152/japplphysiol.00720.2014&lt;/doi&gt;&lt;institution&gt;Department of Orthopaedic Surgery, University of Michigan Medical School, Ann Arbor, Michigan and Department of Molecular &amp;amp; Integrative Physiology, University of Michigan Medical School, Ann Arbor, Michigan.&lt;/institution&gt;&lt;startpage&gt;1287&lt;/startpage&gt;&lt;endpage&gt;1291&lt;/endpage&gt;&lt;bundle&gt;&lt;publication&gt;&lt;title&gt;Journal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Gumucio&lt;/lastName&gt;&lt;firstName&gt;Jonathan&lt;/firstName&gt;&lt;middleNames&gt;P&lt;/middleNames&gt;&lt;/author&gt;&lt;author&gt;&lt;lastName&gt;Phan&lt;/lastName&gt;&lt;firstName&gt;Anthony&lt;/firstName&gt;&lt;middleNames&gt;C&lt;/middleNames&gt;&lt;/author&gt;&lt;author&gt;&lt;lastName&gt;Ruehlmann&lt;/lastName&gt;&lt;firstName&gt;David&lt;/firstName&gt;&lt;middleNames&gt;G&lt;/middleNames&gt;&lt;/author&gt;&lt;author&gt;&lt;lastName&gt;Noah&lt;/lastName&gt;&lt;firstName&gt;Andrew&lt;/firstName&gt;&lt;middleNames&gt;C&lt;/middleNames&gt;&lt;/author&gt;&lt;author&gt;&lt;lastName&gt;Mendias&lt;/lastName&gt;&lt;firstName&gt;Christopher&lt;/firstName&gt;&lt;middleNames&gt;L&lt;/middleNames&gt;&lt;/author&gt;&lt;/authors&gt;&lt;/publication&gt;&lt;/publications&gt;&lt;cites&gt;&lt;/cites&gt;&lt;/citation&gt;</w:instrText>
      </w:r>
      <w:r w:rsidR="006E2104">
        <w:fldChar w:fldCharType="separate"/>
      </w:r>
      <w:r w:rsidR="00A1782A">
        <w:rPr>
          <w:rFonts w:cs="Times New Roman"/>
        </w:rPr>
        <w:t>(14)</w:t>
      </w:r>
      <w:r w:rsidR="006E2104">
        <w:fldChar w:fldCharType="end"/>
      </w:r>
      <w:r>
        <w:t>.</w:t>
      </w:r>
      <w:r w:rsidRPr="004F48A2">
        <w:t xml:space="preserve"> Fast Green and hematoxylin sections were imaged on a BX</w:t>
      </w:r>
      <w:r>
        <w:t>51</w:t>
      </w:r>
      <w:r w:rsidRPr="004F48A2">
        <w:t xml:space="preserve"> microscope (Olympus, Center Valley, PA). For immunohistochemistry, tendons were sectioned and permeabilized in Triton-X-100 (0.2%) and blocked with 5% goat serum. Sections were incubated overnight in primary antibod</w:t>
      </w:r>
      <w:r w:rsidR="00C52040">
        <w:t>ies</w:t>
      </w:r>
      <w:r w:rsidRPr="004F48A2">
        <w:t xml:space="preserve"> against CD146 (</w:t>
      </w:r>
      <w:r>
        <w:t xml:space="preserve">ab75769, </w:t>
      </w:r>
      <w:proofErr w:type="spellStart"/>
      <w:r w:rsidRPr="004F48A2">
        <w:t>AbCam</w:t>
      </w:r>
      <w:proofErr w:type="spellEnd"/>
      <w:r w:rsidRPr="004F48A2">
        <w:t xml:space="preserve">, </w:t>
      </w:r>
      <w:r>
        <w:t>Cambridge, MA, USA</w:t>
      </w:r>
      <w:r w:rsidRPr="004F48A2">
        <w:t xml:space="preserve">) and then incubated in </w:t>
      </w:r>
      <w:r w:rsidR="00B710FE">
        <w:t xml:space="preserve">goat </w:t>
      </w:r>
      <w:r w:rsidRPr="004F48A2">
        <w:t>secondary antibod</w:t>
      </w:r>
      <w:r w:rsidR="00C52040">
        <w:t>ies</w:t>
      </w:r>
      <w:r w:rsidRPr="004F48A2">
        <w:t xml:space="preserve"> conjugated to Alexa Fluor 555</w:t>
      </w:r>
      <w:r w:rsidR="00B710FE">
        <w:t xml:space="preserve"> (</w:t>
      </w:r>
      <w:r w:rsidR="00B710FE" w:rsidRPr="00B710FE">
        <w:t>A32732</w:t>
      </w:r>
      <w:r w:rsidR="00B710FE">
        <w:t>, The</w:t>
      </w:r>
      <w:r w:rsidR="000474F4">
        <w:t>r</w:t>
      </w:r>
      <w:r w:rsidR="00B710FE">
        <w:t>mo Fisher)</w:t>
      </w:r>
      <w:r w:rsidRPr="004F48A2">
        <w:t xml:space="preserve">. Samples were also stained with DAPI </w:t>
      </w:r>
      <w:r>
        <w:t xml:space="preserve">(Millipore Sigma) to visualize nuclei </w:t>
      </w:r>
      <w:r w:rsidRPr="004F48A2">
        <w:t>and wheat germ agglutinin conjugated to Alexa Fluor 488</w:t>
      </w:r>
      <w:r>
        <w:t xml:space="preserve"> (WGA-AF488</w:t>
      </w:r>
      <w:r w:rsidR="00C52040">
        <w:t xml:space="preserve">, </w:t>
      </w:r>
      <w:r w:rsidR="00C52040" w:rsidRPr="00D716F4">
        <w:t>W11261, Thermo Fisher</w:t>
      </w:r>
      <w:r>
        <w:t>) to visualize the ECM</w:t>
      </w:r>
      <w:r w:rsidRPr="004F48A2">
        <w:t>. Images were taken on a A1 confocal microscope equipped with a high-resolution camera (Nikon, Tokyo, J</w:t>
      </w:r>
      <w:r>
        <w:t>P</w:t>
      </w:r>
      <w:r w:rsidRPr="004F48A2">
        <w:t>). ImageJ</w:t>
      </w:r>
      <w:r>
        <w:t xml:space="preserve"> (NIH, Bethesda, MD, USA) was used</w:t>
      </w:r>
      <w:r w:rsidRPr="004F48A2">
        <w:t xml:space="preserve"> for </w:t>
      </w:r>
      <w:r>
        <w:t>quantitative</w:t>
      </w:r>
      <w:r w:rsidRPr="004F48A2">
        <w:t xml:space="preserve"> measure</w:t>
      </w:r>
      <w:r>
        <w:t>ments</w:t>
      </w:r>
      <w:r w:rsidRPr="004F48A2">
        <w:t>. Cell density was calculated by the number of nuclei per unit area of the tendon. The percentage of CD146</w:t>
      </w:r>
      <w:r w:rsidRPr="004F48A2">
        <w:rPr>
          <w:vertAlign w:val="superscript"/>
        </w:rPr>
        <w:t>+</w:t>
      </w:r>
      <w:r w:rsidRPr="004F48A2">
        <w:t xml:space="preserve"> </w:t>
      </w:r>
      <w:r w:rsidR="00AC27D5">
        <w:t xml:space="preserve">pericyte </w:t>
      </w:r>
      <w:r w:rsidRPr="004F48A2">
        <w:t xml:space="preserve">cells </w:t>
      </w:r>
      <w:r w:rsidR="00C52040">
        <w:t xml:space="preserve">in the neotendon </w:t>
      </w:r>
      <w:r w:rsidRPr="004F48A2">
        <w:t xml:space="preserve">was measured by </w:t>
      </w:r>
      <w:r w:rsidR="00C52040">
        <w:t xml:space="preserve">dividing </w:t>
      </w:r>
      <w:r w:rsidRPr="004F48A2">
        <w:t>the total number of CD146</w:t>
      </w:r>
      <w:r w:rsidRPr="00C52040">
        <w:rPr>
          <w:vertAlign w:val="superscript"/>
        </w:rPr>
        <w:t>+</w:t>
      </w:r>
      <w:r w:rsidRPr="004F48A2">
        <w:t>/DAPI</w:t>
      </w:r>
      <w:r w:rsidRPr="00C52040">
        <w:rPr>
          <w:vertAlign w:val="superscript"/>
        </w:rPr>
        <w:t>+</w:t>
      </w:r>
      <w:r w:rsidRPr="004F48A2">
        <w:t xml:space="preserve"> cells by the </w:t>
      </w:r>
      <w:r w:rsidR="00823DB6">
        <w:t xml:space="preserve">total </w:t>
      </w:r>
      <w:r w:rsidRPr="004F48A2">
        <w:t>number of DAPI</w:t>
      </w:r>
      <w:r w:rsidRPr="00C52040">
        <w:rPr>
          <w:vertAlign w:val="superscript"/>
        </w:rPr>
        <w:t>+</w:t>
      </w:r>
      <w:r w:rsidRPr="004F48A2">
        <w:t xml:space="preserve"> cells.</w:t>
      </w:r>
    </w:p>
    <w:p w14:paraId="60F9CE18" w14:textId="3201ECC1" w:rsidR="00A1692B" w:rsidRDefault="00C52040" w:rsidP="006E41A7">
      <w:pPr>
        <w:spacing w:line="480" w:lineRule="auto"/>
      </w:pPr>
      <w:r>
        <w:rPr>
          <w:i/>
        </w:rPr>
        <w:tab/>
      </w:r>
      <w:r w:rsidRPr="00C52040">
        <w:rPr>
          <w:b/>
          <w:bCs/>
          <w:i/>
        </w:rPr>
        <w:t>Transmission Electron Microscopy.</w:t>
      </w:r>
      <w:r w:rsidRPr="00C52040">
        <w:t xml:space="preserve"> Proximal tendon portions were fixed in 1% tannic acid</w:t>
      </w:r>
      <w:r w:rsidR="00D434E4">
        <w:t xml:space="preserve"> and</w:t>
      </w:r>
      <w:r w:rsidRPr="00C52040">
        <w:t xml:space="preserve"> 1% glutaraldehyde in Sorenson’s buffer, followed by post-fixation in 2% osmium tetroxide (Electron Microscopy Sciences, Hatfield, PA</w:t>
      </w:r>
      <w:r>
        <w:t>, USA</w:t>
      </w:r>
      <w:r w:rsidRPr="00C52040">
        <w:t xml:space="preserve">). Samples were then dehydrated using a graded ethanol series and embedded in </w:t>
      </w:r>
      <w:proofErr w:type="spellStart"/>
      <w:r w:rsidRPr="00C52040">
        <w:t>EMBed</w:t>
      </w:r>
      <w:proofErr w:type="spellEnd"/>
      <w:r w:rsidRPr="00C52040">
        <w:t xml:space="preserve"> 812 resin </w:t>
      </w:r>
      <w:r>
        <w:t xml:space="preserve">(Electron Microscopy Sciences) </w:t>
      </w:r>
      <w:r w:rsidRPr="00C52040">
        <w:t>using a graded resin and propylene oxide series. One</w:t>
      </w:r>
      <w:r w:rsidR="00026C8F">
        <w:t>-</w:t>
      </w:r>
      <w:r w:rsidRPr="00C52040">
        <w:t xml:space="preserve">micron transverse sections were </w:t>
      </w:r>
      <w:r w:rsidRPr="00C52040">
        <w:lastRenderedPageBreak/>
        <w:t>cut with a diamond knife ultramicrotome, and imaged using a 1400-plus transmission electron microscope with a high-resolution digital camera (JEOL, Peabody, MA</w:t>
      </w:r>
      <w:r>
        <w:t>, USA</w:t>
      </w:r>
      <w:r w:rsidRPr="00C52040">
        <w:t xml:space="preserve">). </w:t>
      </w:r>
      <w:r w:rsidR="000474F4">
        <w:t xml:space="preserve">Collagen fibril areas were calculated using ImageJ as described </w:t>
      </w:r>
      <w:r w:rsidR="006E2104">
        <w:rPr>
          <w:rFonts w:cs="Times New Roman"/>
        </w:rPr>
        <w:fldChar w:fldCharType="begin"/>
      </w:r>
      <w:r w:rsidR="00A1782A">
        <w:rPr>
          <w:rFonts w:cs="Times New Roman"/>
        </w:rPr>
        <w:instrText xml:space="preserve"> ADDIN PAPERS2_CITATIONS &lt;citation&gt;&lt;priority&gt;46&lt;/priority&gt;&lt;uuid&gt;6422D558-1484-47BF-B46E-3CCDA9C09ED7&lt;/uuid&gt;&lt;publications&gt;&lt;publication&gt;&lt;subtype&gt;400&lt;/subtype&gt;&lt;title&gt;Using transmission electron microscopy and 3View to determine collagen fibril size and three-dimensional organization.&lt;/title&gt;&lt;url&gt;http://www.nature.com/articles/nprot.2013.086&lt;/url&gt;&lt;volume&gt;8&lt;/volume&gt;&lt;publication_date&gt;99201300001200000000200000&lt;/publication_date&gt;&lt;uuid&gt;4B6FE2E0-4167-41EB-BDC1-67B2548F1AD5&lt;/uuid&gt;&lt;type&gt;400&lt;/type&gt;&lt;number&gt;7&lt;/number&gt;&lt;doi&gt;10.1038/nprot.2013.086&lt;/doi&gt;&lt;institution&gt;Wellcome Trust Centre for Cell-Matrix Research, Faculty of Life Sciences, University of Manchester, Manchester, UK.&lt;/institution&gt;&lt;startpage&gt;1433&lt;/startpage&gt;&lt;endpage&gt;1448&lt;/endpage&gt;&lt;bundle&gt;&lt;publication&gt;&lt;title&gt;Nature protocols&lt;/title&gt;&lt;uuid&gt;FBCE04EB-AA33-416F-B324-7322976E0B2D&lt;/uuid&gt;&lt;subtype&gt;-100&lt;/subtype&gt;&lt;publisher&gt;Nature Publishing Group&lt;/publisher&gt;&lt;type&gt;-100&lt;/type&gt;&lt;/publication&gt;&lt;/bundle&gt;&lt;authors&gt;&lt;author&gt;&lt;lastName&gt;Starborg&lt;/lastName&gt;&lt;firstName&gt;Tobias&lt;/firstName&gt;&lt;/author&gt;&lt;author&gt;&lt;lastName&gt;Kalson&lt;/lastName&gt;&lt;firstName&gt;Nicholas&lt;/firstName&gt;&lt;middleNames&gt;S&lt;/middleNames&gt;&lt;/author&gt;&lt;author&gt;&lt;lastName&gt;Lu&lt;/lastName&gt;&lt;firstName&gt;Yinhui&lt;/firstName&gt;&lt;/author&gt;&lt;author&gt;&lt;lastName&gt;Mironov&lt;/lastName&gt;&lt;firstName&gt;Aleksandr&lt;/firstName&gt;&lt;/author&gt;&lt;author&gt;&lt;lastName&gt;Cootes&lt;/lastName&gt;&lt;firstName&gt;Timothy&lt;/firstName&gt;&lt;middleNames&gt;F&lt;/middleNames&gt;&lt;/author&gt;&lt;author&gt;&lt;lastName&gt;Holmes&lt;/lastName&gt;&lt;firstName&gt;David&lt;/firstName&gt;&lt;middleNames&gt;F&lt;/middleNames&gt;&lt;/author&gt;&lt;author&gt;&lt;lastName&gt;Kadler&lt;/lastName&gt;&lt;firstName&gt;Karl&lt;/firstName&gt;&lt;middleNames&gt;E&lt;/middleNames&gt;&lt;/author&gt;&lt;/authors&gt;&lt;/publication&gt;&lt;/publications&gt;&lt;cites&gt;&lt;/cites&gt;&lt;/citation&gt;</w:instrText>
      </w:r>
      <w:r w:rsidR="006E2104">
        <w:rPr>
          <w:rFonts w:cs="Times New Roman"/>
        </w:rPr>
        <w:fldChar w:fldCharType="separate"/>
      </w:r>
      <w:r w:rsidR="00A1782A">
        <w:rPr>
          <w:rFonts w:cs="Times New Roman"/>
        </w:rPr>
        <w:t>(43)</w:t>
      </w:r>
      <w:r w:rsidR="006E2104">
        <w:rPr>
          <w:rFonts w:cs="Times New Roman"/>
        </w:rPr>
        <w:fldChar w:fldCharType="end"/>
      </w:r>
      <w:r w:rsidR="000474F4">
        <w:t xml:space="preserve">. </w:t>
      </w:r>
    </w:p>
    <w:p w14:paraId="6A6465ED" w14:textId="5B8A45AC" w:rsidR="0064536D" w:rsidRPr="000915D9" w:rsidRDefault="0064536D" w:rsidP="0064536D">
      <w:pPr>
        <w:spacing w:line="480" w:lineRule="auto"/>
      </w:pPr>
      <w:r>
        <w:rPr>
          <w:b/>
          <w:bCs/>
          <w:i/>
          <w:iCs/>
        </w:rPr>
        <w:tab/>
      </w:r>
      <w:r w:rsidRPr="000915D9">
        <w:rPr>
          <w:b/>
          <w:bCs/>
          <w:i/>
          <w:iCs/>
        </w:rPr>
        <w:t>Proteomics.</w:t>
      </w:r>
      <w:r>
        <w:t xml:space="preserve"> Label-free p</w:t>
      </w:r>
      <w:r w:rsidRPr="000915D9">
        <w:t xml:space="preserve">roteomics was performed as reported in previous studies </w:t>
      </w:r>
      <w:r w:rsidR="006E2104">
        <w:rPr>
          <w:rFonts w:cs="Times New Roman"/>
        </w:rPr>
        <w:fldChar w:fldCharType="begin"/>
      </w:r>
      <w:r w:rsidR="00A1782A">
        <w:rPr>
          <w:rFonts w:cs="Times New Roman"/>
        </w:rPr>
        <w:instrText xml:space="preserve"> ADDIN PAPERS2_CITATIONS &lt;citation&gt;&lt;priority&gt;47&lt;/priority&gt;&lt;uuid&gt;C2944FC0-8C68-438A-AEF6-BAE781E52DBC&lt;/uuid&gt;&lt;publications&gt;&lt;publication&gt;&lt;subtype&gt;400&lt;/subtype&gt;&lt;title&gt;Sex differences in tendon structure and function.&lt;/title&gt;&lt;url&gt;http://doi.wiley.com/10.1002/jor.23516&lt;/url&gt;&lt;volume&gt;35&lt;/volume&gt;&lt;publication_date&gt;99201710001200000000220000&lt;/publication_date&gt;&lt;uuid&gt;FE927EEE-BB09-41F2-A87A-5F1BE0A9510D&lt;/uuid&gt;&lt;type&gt;400&lt;/type&gt;&lt;accepted_date&gt;99201701061200000000222000&lt;/accepted_date&gt;&lt;number&gt;10&lt;/number&gt;&lt;subtitle&gt;SEX DIFFERENCES IN TENDONS&lt;/subtitle&gt;&lt;doi&gt;10.1002/jor.23516&lt;/doi&gt;&lt;submission_date&gt;99201609141200000000222000&lt;/submission_date&gt;&lt;institution&gt;Department of Orthopaedic Surgery, University of Michigan Medical School, Ann Arbor, Michigan.&lt;/institution&gt;&lt;startpage&gt;2117&lt;/startpage&gt;&lt;endpage&gt;2126&lt;/endpage&gt;&lt;bundle&gt;&lt;publication&gt;&lt;title&gt;Journal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Sarver&lt;/lastName&gt;&lt;firstName&gt;Dylan&lt;/firstName&gt;&lt;middleNames&gt;C&lt;/middleNames&gt;&lt;/author&gt;&lt;author&gt;&lt;lastName&gt;Kharaz&lt;/lastName&gt;&lt;firstName&gt;Yalda&lt;/firstName&gt;&lt;middleNames&gt;Ashraf&lt;/middleNames&gt;&lt;/author&gt;&lt;author&gt;&lt;lastName&gt;Sugg&lt;/lastName&gt;&lt;firstName&gt;Kristoffer&lt;/firstName&gt;&lt;middleNames&gt;B&lt;/middleNames&gt;&lt;/author&gt;&lt;author&gt;&lt;lastName&gt;Gumucio&lt;/lastName&gt;&lt;firstName&gt;Jonathan&lt;/firstName&gt;&lt;middleNames&gt;P&lt;/middleNames&gt;&lt;/author&gt;&lt;author&gt;&lt;lastName&gt;Comerford&lt;/lastName&gt;&lt;firstName&gt;Eithne&lt;/firstName&gt;&lt;/author&gt;&lt;author&gt;&lt;lastName&gt;Mendias&lt;/lastName&gt;&lt;firstName&gt;Christopher&lt;/firstName&gt;&lt;middleNames&gt;L&lt;/middleNames&gt;&lt;/author&gt;&lt;/authors&gt;&lt;/publication&gt;&lt;publication&gt;&lt;subtype&gt;400&lt;/subtype&gt;&lt;title&gt;Comparison between chaotropic and detergent-based sample preparation workflow in tendon for mass spectrometry analysis.&lt;/title&gt;&lt;url&gt;http://doi.wiley.com/10.1002/pmic.201700018&lt;/url&gt;&lt;volume&gt;17&lt;/volume&gt;&lt;revision_date&gt;99201705161200000000222000&lt;/revision_date&gt;&lt;publication_date&gt;99201707001200000000220000&lt;/publication_date&gt;&lt;uuid&gt;2DB4E235-A1F6-4383-87E1-CDB539A044FB&lt;/uuid&gt;&lt;type&gt;400&lt;/type&gt;&lt;accepted_date&gt;99201705191200000000222000&lt;/accepted_date&gt;&lt;number&gt;13-14&lt;/number&gt;&lt;submission_date&gt;99201701131200000000222000&lt;/submission_date&gt;&lt;doi&gt;10.1002/pmic.201700018&lt;/doi&gt;&lt;institution&gt;Department of Musculoskeletal Biology, Institute of Ageing and Chronic Disease, University of Liverpool, Liverpool, UK.&lt;/institution&gt;&lt;startpage&gt;1700018&lt;/startpage&gt;&lt;bundle&gt;&lt;publication&gt;&lt;title&gt;Proteomics&lt;/title&gt;&lt;uuid&gt;30BF3EFB-BF3F-46C6-9017-158E37C14F69&lt;/uuid&gt;&lt;subtype&gt;-100&lt;/subtype&gt;&lt;type&gt;-100&lt;/type&gt;&lt;/publication&gt;&lt;/bundle&gt;&lt;authors&gt;&lt;author&gt;&lt;lastName&gt;Ashraf Kharaz&lt;/lastName&gt;&lt;firstName&gt;Yalda&lt;/firstName&gt;&lt;/author&gt;&lt;author&gt;&lt;lastName&gt;Zamboulis&lt;/lastName&gt;&lt;firstName&gt;Danae&lt;/firstName&gt;&lt;/author&gt;&lt;author&gt;&lt;lastName&gt;Sanders&lt;/lastName&gt;&lt;firstName&gt;Karen&lt;/firstName&gt;&lt;/author&gt;&lt;author&gt;&lt;lastName&gt;Comerford&lt;/lastName&gt;&lt;firstName&gt;Eithne&lt;/firstName&gt;&lt;/author&gt;&lt;author&gt;&lt;lastName&gt;Clegg&lt;/lastName&gt;&lt;firstName&gt;Peter&lt;/firstName&gt;&lt;/author&gt;&lt;author&gt;&lt;lastName&gt;Peffers&lt;/lastName&gt;&lt;firstName&gt;Mandy&lt;/firstName&gt;&lt;/author&gt;&lt;/authors&gt;&lt;/publication&gt;&lt;/publications&gt;&lt;cites&gt;&lt;/cites&gt;&lt;/citation&gt;</w:instrText>
      </w:r>
      <w:r w:rsidR="006E2104">
        <w:rPr>
          <w:rFonts w:cs="Times New Roman"/>
        </w:rPr>
        <w:fldChar w:fldCharType="separate"/>
      </w:r>
      <w:r w:rsidR="00A1782A">
        <w:rPr>
          <w:rFonts w:cs="Times New Roman"/>
        </w:rPr>
        <w:t>(36, 44)</w:t>
      </w:r>
      <w:r w:rsidR="006E2104">
        <w:rPr>
          <w:rFonts w:cs="Times New Roman"/>
        </w:rPr>
        <w:fldChar w:fldCharType="end"/>
      </w:r>
      <w:r>
        <w:t xml:space="preserve"> </w:t>
      </w:r>
      <w:r w:rsidRPr="000915D9">
        <w:t xml:space="preserve">at the University of Liverpool Centre of Genomic Research. Soluble proteins were extracted by homogenizing </w:t>
      </w:r>
      <w:r>
        <w:t>plantaris tendons</w:t>
      </w:r>
      <w:r w:rsidRPr="000915D9">
        <w:t xml:space="preserve"> in 25mM ammonium bicarbonate and 10mM iodoacetamide, followed by centrifugation and removal of the supernatant. Then </w:t>
      </w:r>
      <w:r w:rsidR="00492F6D">
        <w:t>5</w:t>
      </w:r>
      <w:r w:rsidRPr="000915D9">
        <w:t>0µg of soluble protein was further reduced and alkylated, and in solution trypsin digestion was performed. The remaining pellet was resuspended in 500µl of 4M Guanidine-HCl extraction buffer (</w:t>
      </w:r>
      <w:proofErr w:type="spellStart"/>
      <w:r w:rsidRPr="000915D9">
        <w:t>GnHCl</w:t>
      </w:r>
      <w:proofErr w:type="spellEnd"/>
      <w:r w:rsidRPr="000915D9">
        <w:t>), 65mM dithiothreitol, 50mM sodium acetate, pH 5.8 for 48 h at 4ºC with shaking. The samples were then centrifuged, the supernatant was removed, and subjected to in solution-trypsin digest on 10µl of resin (</w:t>
      </w:r>
      <w:proofErr w:type="spellStart"/>
      <w:r w:rsidRPr="000915D9">
        <w:t>StrataClean</w:t>
      </w:r>
      <w:proofErr w:type="spellEnd"/>
      <w:r w:rsidRPr="000915D9">
        <w:t>, Agilent, Cheshire, UK) followed by reduction and alkylation. The digests (</w:t>
      </w:r>
      <w:r w:rsidR="00492F6D">
        <w:t>2</w:t>
      </w:r>
      <w:r w:rsidRPr="000915D9">
        <w:t>µL, corresponding to 2.5µg of peptides) were loaded onto a spectrometer (Q-</w:t>
      </w:r>
      <w:proofErr w:type="spellStart"/>
      <w:r w:rsidRPr="000915D9">
        <w:t>Exactive</w:t>
      </w:r>
      <w:proofErr w:type="spellEnd"/>
      <w:r w:rsidRPr="000915D9">
        <w:t xml:space="preserve"> Quadrupole-Orbitrap, Thermo Scientific) on a one-hour gradient with an </w:t>
      </w:r>
      <w:proofErr w:type="spellStart"/>
      <w:r w:rsidRPr="000915D9">
        <w:t>intersample</w:t>
      </w:r>
      <w:proofErr w:type="spellEnd"/>
      <w:r w:rsidRPr="000915D9">
        <w:t xml:space="preserve"> 30-minute blank loaded. </w:t>
      </w:r>
      <w:r>
        <w:tab/>
      </w:r>
    </w:p>
    <w:p w14:paraId="28A734ED" w14:textId="1E5EB834" w:rsidR="0064536D" w:rsidRDefault="0064536D" w:rsidP="006E41A7">
      <w:pPr>
        <w:spacing w:line="480" w:lineRule="auto"/>
      </w:pPr>
      <w:r w:rsidRPr="000915D9">
        <w:tab/>
        <w:t xml:space="preserve">Raw spectra were converted to mgf files using Proteome Discovery (Thermo </w:t>
      </w:r>
      <w:r>
        <w:t>Fisher</w:t>
      </w:r>
      <w:r w:rsidRPr="000915D9">
        <w:t xml:space="preserve">) and resulting files were searched against the </w:t>
      </w:r>
      <w:proofErr w:type="spellStart"/>
      <w:r w:rsidRPr="000915D9">
        <w:t>UniProt</w:t>
      </w:r>
      <w:proofErr w:type="spellEnd"/>
      <w:r w:rsidRPr="000915D9">
        <w:t xml:space="preserve"> mouse sequence database using a Mascot server (Matrix Science, London, UK). Search parameters used were: peptide mass tolerance, 10ppm; fragment mass tolerance, 0.01Da;  +1,+2,+3 ions; </w:t>
      </w:r>
      <w:r>
        <w:t xml:space="preserve">unique peptides ≥2; </w:t>
      </w:r>
      <w:r w:rsidRPr="000915D9">
        <w:t xml:space="preserve">missed cleavages 1; instrument type ESI-TRAP. Variable modifications included </w:t>
      </w:r>
      <w:proofErr w:type="spellStart"/>
      <w:r w:rsidRPr="000915D9">
        <w:t>carbamidomethylation</w:t>
      </w:r>
      <w:proofErr w:type="spellEnd"/>
      <w:r w:rsidRPr="000915D9">
        <w:t xml:space="preserve"> of cysteine residues and oxidation of methionine. </w:t>
      </w:r>
      <w:r w:rsidR="00492F6D" w:rsidRPr="00492F6D">
        <w:t xml:space="preserve">Label-free </w:t>
      </w:r>
      <w:r w:rsidR="00492F6D">
        <w:t xml:space="preserve">quantification </w:t>
      </w:r>
      <w:r w:rsidR="00492F6D" w:rsidRPr="00492F6D">
        <w:t xml:space="preserve">was performed using </w:t>
      </w:r>
      <w:proofErr w:type="spellStart"/>
      <w:r w:rsidR="00492F6D" w:rsidRPr="00492F6D">
        <w:t>ProgenesisQI</w:t>
      </w:r>
      <w:proofErr w:type="spellEnd"/>
      <w:r w:rsidR="00492F6D" w:rsidRPr="00492F6D">
        <w:t xml:space="preserve"> software (Waters, Elstree Hertfordshire, UK) as described </w:t>
      </w:r>
      <w:r w:rsidR="00492F6D">
        <w:t xml:space="preserve">previously </w:t>
      </w:r>
      <w:r w:rsidR="00492F6D">
        <w:rPr>
          <w:rFonts w:cs="Times New Roman"/>
        </w:rPr>
        <w:fldChar w:fldCharType="begin"/>
      </w:r>
      <w:r w:rsidR="00A1782A">
        <w:rPr>
          <w:rFonts w:cs="Times New Roman"/>
        </w:rPr>
        <w:instrText xml:space="preserve"> ADDIN PAPERS2_CITATIONS &lt;citation&gt;&lt;priority&gt;47&lt;/priority&gt;&lt;uuid&gt;DB4E5B1F-D1E0-4CE4-857A-A474CC3B033F&lt;/uuid&gt;&lt;publications&gt;&lt;publication&gt;&lt;subtype&gt;400&lt;/subtype&gt;&lt;title&gt;Sex differences in tendon structure and function.&lt;/title&gt;&lt;url&gt;http://doi.wiley.com/10.1002/jor.23516&lt;/url&gt;&lt;volume&gt;35&lt;/volume&gt;&lt;publication_date&gt;99201710001200000000220000&lt;/publication_date&gt;&lt;uuid&gt;FE927EEE-BB09-41F2-A87A-5F1BE0A9510D&lt;/uuid&gt;&lt;type&gt;400&lt;/type&gt;&lt;accepted_date&gt;99201701061200000000222000&lt;/accepted_date&gt;&lt;number&gt;10&lt;/number&gt;&lt;subtitle&gt;SEX DIFFERENCES IN TENDONS&lt;/subtitle&gt;&lt;doi&gt;10.1002/jor.23516&lt;/doi&gt;&lt;submission_date&gt;99201609141200000000222000&lt;/submission_date&gt;&lt;institution&gt;Department of Orthopaedic Surgery, University of Michigan Medical School, Ann Arbor, Michigan.&lt;/institution&gt;&lt;startpage&gt;2117&lt;/startpage&gt;&lt;endpage&gt;2126&lt;/endpage&gt;&lt;bundle&gt;&lt;publication&gt;&lt;title&gt;Journal of orthopaedic research : official publication of the Orthopaedic Research Society&lt;/title&gt;&lt;uuid&gt;3A27DEAB-5AB7-4250-8E21-45D301E1D517&lt;/uuid&gt;&lt;subtype&gt;-100&lt;/subtype&gt;&lt;publisher&gt;Wiley Subscription Services, Inc., A Wiley Company&lt;/publisher&gt;&lt;type&gt;-100&lt;/type&gt;&lt;url&gt;http://onlinelibrary.wiley.com&lt;/url&gt;&lt;/publication&gt;&lt;/bundle&gt;&lt;authors&gt;&lt;author&gt;&lt;lastName&gt;Sarver&lt;/lastName&gt;&lt;firstName&gt;Dylan&lt;/firstName&gt;&lt;middleNames&gt;C&lt;/middleNames&gt;&lt;/author&gt;&lt;author&gt;&lt;lastName&gt;Kharaz&lt;/lastName&gt;&lt;firstName&gt;Yalda&lt;/firstName&gt;&lt;middleNames&gt;Ashraf&lt;/middleNames&gt;&lt;/author&gt;&lt;author&gt;&lt;lastName&gt;Sugg&lt;/lastName&gt;&lt;firstName&gt;Kristoffer&lt;/firstName&gt;&lt;middleNames&gt;B&lt;/middleNames&gt;&lt;/author&gt;&lt;author&gt;&lt;lastName&gt;Gumucio&lt;/lastName&gt;&lt;firstName&gt;Jonathan&lt;/firstName&gt;&lt;middleNames&gt;P&lt;/middleNames&gt;&lt;/author&gt;&lt;author&gt;&lt;lastName&gt;Comerford&lt;/lastName&gt;&lt;firstName&gt;Eithne&lt;/firstName&gt;&lt;/author&gt;&lt;author&gt;&lt;lastName&gt;Mendias&lt;/lastName&gt;&lt;firstName&gt;Christopher&lt;/firstName&gt;&lt;middleNames&gt;L&lt;/middleNames&gt;&lt;/author&gt;&lt;/authors&gt;&lt;/publication&gt;&lt;publication&gt;&lt;subtype&gt;400&lt;/subtype&gt;&lt;title&gt;Comparison between chaotropic and detergent-based sample preparation workflow in tendon for mass spectrometry analysis.&lt;/title&gt;&lt;url&gt;http://doi.wiley.com/10.1002/pmic.201700018&lt;/url&gt;&lt;volume&gt;17&lt;/volume&gt;&lt;revision_date&gt;99201705161200000000222000&lt;/revision_date&gt;&lt;publication_date&gt;99201707001200000000220000&lt;/publication_date&gt;&lt;uuid&gt;2DB4E235-A1F6-4383-87E1-CDB539A044FB&lt;/uuid&gt;&lt;type&gt;400&lt;/type&gt;&lt;accepted_date&gt;99201705191200000000222000&lt;/accepted_date&gt;&lt;number&gt;13-14&lt;/number&gt;&lt;submission_date&gt;99201701131200000000222000&lt;/submission_date&gt;&lt;doi&gt;10.1002/pmic.201700018&lt;/doi&gt;&lt;institution&gt;Department of Musculoskeletal Biology, Institute of Ageing and Chronic Disease, University of Liverpool, Liverpool, UK.&lt;/institution&gt;&lt;startpage&gt;1700018&lt;/startpage&gt;&lt;bundle&gt;&lt;publication&gt;&lt;title&gt;Proteomics&lt;/title&gt;&lt;uuid&gt;30BF3EFB-BF3F-46C6-9017-158E37C14F69&lt;/uuid&gt;&lt;subtype&gt;-100&lt;/subtype&gt;&lt;type&gt;-100&lt;/type&gt;&lt;/publication&gt;&lt;/bundle&gt;&lt;authors&gt;&lt;author&gt;&lt;lastName&gt;Ashraf Kharaz&lt;/lastName&gt;&lt;firstName&gt;Yalda&lt;/firstName&gt;&lt;/author&gt;&lt;author&gt;&lt;lastName&gt;Zamboulis&lt;/lastName&gt;&lt;firstName&gt;Danae&lt;/firstName&gt;&lt;/author&gt;&lt;author&gt;&lt;lastName&gt;Sanders&lt;/lastName&gt;&lt;firstName&gt;Karen&lt;/firstName&gt;&lt;/author&gt;&lt;author&gt;&lt;lastName&gt;Comerford&lt;/lastName&gt;&lt;firstName&gt;Eithne&lt;/firstName&gt;&lt;/author&gt;&lt;author&gt;&lt;lastName&gt;Clegg&lt;/lastName&gt;&lt;firstName&gt;Peter&lt;/firstName&gt;&lt;/author&gt;&lt;author&gt;&lt;lastName&gt;Peffers&lt;/lastName&gt;&lt;firstName&gt;Mandy&lt;/firstName&gt;&lt;/author&gt;&lt;/authors&gt;&lt;/publication&gt;&lt;/publications&gt;&lt;cites&gt;&lt;/cites&gt;&lt;/citation&gt;</w:instrText>
      </w:r>
      <w:r w:rsidR="00492F6D">
        <w:rPr>
          <w:rFonts w:cs="Times New Roman"/>
        </w:rPr>
        <w:fldChar w:fldCharType="separate"/>
      </w:r>
      <w:r w:rsidR="00A1782A">
        <w:rPr>
          <w:rFonts w:cs="Times New Roman"/>
        </w:rPr>
        <w:t>(36, 44)</w:t>
      </w:r>
      <w:r w:rsidR="00492F6D">
        <w:rPr>
          <w:rFonts w:cs="Times New Roman"/>
        </w:rPr>
        <w:fldChar w:fldCharType="end"/>
      </w:r>
      <w:r w:rsidR="00492F6D" w:rsidRPr="00492F6D">
        <w:t xml:space="preserve">.  In brief, </w:t>
      </w:r>
      <w:r w:rsidR="00492F6D">
        <w:t>the MS/MS</w:t>
      </w:r>
      <w:r w:rsidR="00492F6D" w:rsidRPr="00492F6D">
        <w:t xml:space="preserve"> peak list was searched against the </w:t>
      </w:r>
      <w:proofErr w:type="spellStart"/>
      <w:r w:rsidR="00492F6D" w:rsidRPr="00492F6D">
        <w:t>UniProt</w:t>
      </w:r>
      <w:proofErr w:type="spellEnd"/>
      <w:r w:rsidR="00492F6D" w:rsidRPr="00492F6D">
        <w:t xml:space="preserve"> mouse reviewed database on </w:t>
      </w:r>
      <w:r w:rsidR="00492F6D" w:rsidRPr="00492F6D">
        <w:lastRenderedPageBreak/>
        <w:t>Mascot using the same search parameters as mentioned above.</w:t>
      </w:r>
      <w:r w:rsidR="00492F6D">
        <w:t xml:space="preserve"> </w:t>
      </w:r>
      <w:r w:rsidR="00AD0040">
        <w:t>To account for changes in tendons size, r</w:t>
      </w:r>
      <w:r w:rsidR="00D434E4">
        <w:t xml:space="preserve">elative protein abundance was normalized to tendon mass, </w:t>
      </w:r>
      <w:r w:rsidRPr="000915D9">
        <w:t xml:space="preserve">and </w:t>
      </w:r>
      <w:proofErr w:type="spellStart"/>
      <w:r w:rsidRPr="000915D9">
        <w:t>MetaboAnalyst</w:t>
      </w:r>
      <w:proofErr w:type="spellEnd"/>
      <w:r w:rsidRPr="000915D9">
        <w:t xml:space="preserve"> 4.0</w:t>
      </w:r>
      <w:r>
        <w:t xml:space="preserve"> </w:t>
      </w:r>
      <w:r w:rsidR="006E2104">
        <w:fldChar w:fldCharType="begin"/>
      </w:r>
      <w:r w:rsidR="00A1782A">
        <w:instrText xml:space="preserve"> ADDIN PAPERS2_CITATIONS &lt;citation&gt;&lt;priority&gt;48&lt;/priority&gt;&lt;uuid&gt;93AB34A8-70CB-4BB6-9DC8-144E45937A6D&lt;/uuid&gt;&lt;publications&gt;&lt;publication&gt;&lt;subtype&gt;400&lt;/subtype&gt;&lt;title&gt;MetaboAnalyst 4.0: towards more transparent and integrative metabolomics analysis.&lt;/title&gt;&lt;url&gt;https://academic.oup.com/nar/article/46/W1/W486/4995686&lt;/url&gt;&lt;volume&gt;46&lt;/volume&gt;&lt;publication_date&gt;99201807021200000000222000&lt;/publication_date&gt;&lt;uuid&gt;6C7BF400-F57C-4A3F-8979-31868502F0FB&lt;/uuid&gt;&lt;type&gt;400&lt;/type&gt;&lt;accepted_date&gt;99201804131200000000222000&lt;/accepted_date&gt;&lt;number&gt;W1&lt;/number&gt;&lt;submission_date&gt;99201801311200000000222000&lt;/submission_date&gt;&lt;doi&gt;10.1093/nar/gky310&lt;/doi&gt;&lt;institution&gt;Institute of Parasitology, McGill University, Montreal, Québec, Canada.&lt;/institution&gt;&lt;startpage&gt;W486&lt;/startpage&gt;&lt;endpage&gt;W494&lt;/endpage&gt;&lt;bundle&gt;&lt;publication&gt;&lt;title&gt;Nucleic acids research&lt;/title&gt;&lt;uuid&gt;1CE63B4A-3217-437D-A808-240EEF019A31&lt;/uuid&gt;&lt;subtype&gt;-100&lt;/subtype&gt;&lt;publisher&gt;Oxford University Press&lt;/publisher&gt;&lt;type&gt;-100&lt;/type&gt;&lt;/publication&gt;&lt;/bundle&gt;&lt;authors&gt;&lt;author&gt;&lt;lastName&gt;Chong&lt;/lastName&gt;&lt;firstName&gt;Jasmine&lt;/firstName&gt;&lt;/author&gt;&lt;author&gt;&lt;lastName&gt;Soufan&lt;/lastName&gt;&lt;firstName&gt;Othman&lt;/firstName&gt;&lt;/author&gt;&lt;author&gt;&lt;lastName&gt;Li&lt;/lastName&gt;&lt;firstName&gt;Carin&lt;/firstName&gt;&lt;/author&gt;&lt;author&gt;&lt;lastName&gt;Caraus&lt;/lastName&gt;&lt;firstName&gt;Iurie&lt;/firstName&gt;&lt;/author&gt;&lt;author&gt;&lt;lastName&gt;Li&lt;/lastName&gt;&lt;firstName&gt;Shuzhao&lt;/firstName&gt;&lt;/author&gt;&lt;author&gt;&lt;lastName&gt;Bourque&lt;/lastName&gt;&lt;firstName&gt;Guillaume&lt;/firstName&gt;&lt;/author&gt;&lt;author&gt;&lt;lastName&gt;Wishart&lt;/lastName&gt;&lt;firstName&gt;David&lt;/firstName&gt;&lt;middleNames&gt;S&lt;/middleNames&gt;&lt;/author&gt;&lt;author&gt;&lt;lastName&gt;Xia&lt;/lastName&gt;&lt;firstName&gt;Jianguo&lt;/firstName&gt;&lt;/author&gt;&lt;/authors&gt;&lt;/publication&gt;&lt;/publications&gt;&lt;cites&gt;&lt;/cites&gt;&lt;/citation&gt;</w:instrText>
      </w:r>
      <w:r w:rsidR="006E2104">
        <w:fldChar w:fldCharType="separate"/>
      </w:r>
      <w:r w:rsidR="00A1782A">
        <w:rPr>
          <w:rFonts w:cs="Times New Roman"/>
        </w:rPr>
        <w:t>(45)</w:t>
      </w:r>
      <w:r w:rsidR="006E2104">
        <w:fldChar w:fldCharType="end"/>
      </w:r>
      <w:r w:rsidRPr="000915D9">
        <w:t xml:space="preserve"> was used to quantify differences between</w:t>
      </w:r>
      <w:r w:rsidR="00D434E4">
        <w:t xml:space="preserve"> proteins from</w:t>
      </w:r>
      <w:r>
        <w:t xml:space="preserve"> </w:t>
      </w:r>
      <w:proofErr w:type="spellStart"/>
      <w:r>
        <w:rPr>
          <w:i/>
        </w:rPr>
        <w:t>Scx</w:t>
      </w:r>
      <w:proofErr w:type="spellEnd"/>
      <w:r>
        <w:rPr>
          <w:vertAlign w:val="superscript"/>
        </w:rPr>
        <w:t>+</w:t>
      </w:r>
      <w:r>
        <w:t xml:space="preserve"> and </w:t>
      </w:r>
      <w:proofErr w:type="spellStart"/>
      <w:r w:rsidRPr="00BA6ADF">
        <w:rPr>
          <w:i/>
        </w:rPr>
        <w:t>Scx</w:t>
      </w:r>
      <w:r w:rsidRPr="00BA6ADF">
        <w:rPr>
          <w:vertAlign w:val="superscript"/>
        </w:rPr>
        <w:t>Δ</w:t>
      </w:r>
      <w:proofErr w:type="spellEnd"/>
      <w:r>
        <w:t xml:space="preserve"> mice. P</w:t>
      </w:r>
      <w:r w:rsidRPr="000915D9">
        <w:t xml:space="preserve">roteomics data for this study has been deposited </w:t>
      </w:r>
      <w:r>
        <w:t>at</w:t>
      </w:r>
      <w:r w:rsidRPr="000915D9">
        <w:t xml:space="preserve"> the </w:t>
      </w:r>
      <w:proofErr w:type="spellStart"/>
      <w:r w:rsidRPr="000915D9">
        <w:t>ProteomeXchange</w:t>
      </w:r>
      <w:proofErr w:type="spellEnd"/>
      <w:r w:rsidRPr="000915D9">
        <w:t xml:space="preserve"> Consortium via the PRIDE partner repository (accession </w:t>
      </w:r>
      <w:r w:rsidR="00574F63">
        <w:t>PXD017944</w:t>
      </w:r>
      <w:r w:rsidRPr="000915D9">
        <w:t>).</w:t>
      </w:r>
    </w:p>
    <w:p w14:paraId="31A63D4B" w14:textId="21A06AF4" w:rsidR="00C52040" w:rsidRPr="00C52040" w:rsidRDefault="00C52040" w:rsidP="006E41A7">
      <w:pPr>
        <w:spacing w:line="480" w:lineRule="auto"/>
      </w:pPr>
      <w:r w:rsidRPr="00C52040">
        <w:rPr>
          <w:b/>
          <w:bCs/>
          <w:i/>
          <w:iCs/>
        </w:rPr>
        <w:tab/>
        <w:t>RNA Sequencing and Gene Expression.</w:t>
      </w:r>
      <w:r>
        <w:t xml:space="preserve"> </w:t>
      </w:r>
      <w:r w:rsidRPr="00C52040">
        <w:t>RNA was isolated from tendons and cultured tenocytes</w:t>
      </w:r>
      <w:r>
        <w:t>, and quantified</w:t>
      </w:r>
      <w:r w:rsidRPr="00C52040">
        <w:t xml:space="preserve"> as previously described</w:t>
      </w:r>
      <w:r>
        <w:t xml:space="preserve"> </w:t>
      </w:r>
      <w:r w:rsidR="006E2104">
        <w:fldChar w:fldCharType="begin"/>
      </w:r>
      <w:r w:rsidR="00A1782A">
        <w:instrText xml:space="preserve"> ADDIN PAPERS2_CITATIONS &lt;citation&gt;&lt;priority&gt;49&lt;/priority&gt;&lt;uuid&gt;2E5871E3-6133-4A5E-8F61-CCF930ADF7B3&lt;/uuid&gt;&lt;publications&gt;&lt;publication&gt;&lt;subtype&gt;400&lt;/subtype&gt;&lt;title&gt;Insulin-like growth factor 1 signaling in tenocytes is required for adult tendon growth.&lt;/title&gt;&lt;url&gt;https://www.fasebj.org/doi/10.1096/fj.201901503R&lt;/url&gt;&lt;volume&gt;33&lt;/volume&gt;&lt;publication_date&gt;99201911011200000000222000&lt;/publication_date&gt;&lt;uuid&gt;7F0D72D9-5F56-4B93-A8BA-81ABE7850CB5&lt;/uuid&gt;&lt;type&gt;400&lt;/type&gt;&lt;number&gt;11&lt;/number&gt;&lt;doi&gt;10.1096/fj.201901503R&lt;/doi&gt;&lt;institution&gt;Hospital for Special Surgery, New York, New York, USA.&lt;/institution&gt;&lt;startpage&gt;12680&lt;/startpage&gt;&lt;endpage&gt;12695&lt;/endpage&gt;&lt;bundle&gt;&lt;publication&gt;&lt;title&gt;The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Disser&lt;/lastName&gt;&lt;firstName&gt;Nathaniel&lt;/firstName&gt;&lt;middleNames&gt;P&lt;/middleNames&gt;&lt;/author&gt;&lt;author&gt;&lt;lastName&gt;Sugg&lt;/lastName&gt;&lt;firstName&gt;Kristoffer&lt;/firstName&gt;&lt;middleNames&gt;B&lt;/middleNames&gt;&lt;/author&gt;&lt;author&gt;&lt;lastName&gt;Talarek&lt;/lastName&gt;&lt;firstName&gt;Jeffrey&lt;/firstName&gt;&lt;middleNames&gt;R&lt;/middleNames&gt;&lt;/author&gt;&lt;author&gt;&lt;lastName&gt;Sarver&lt;/lastName&gt;&lt;firstName&gt;Dylan&lt;/firstName&gt;&lt;middleNames&gt;C&lt;/middleNames&gt;&lt;/author&gt;&lt;author&gt;&lt;lastName&gt;Rourke&lt;/lastName&gt;&lt;firstName&gt;Brennan&lt;/firstName&gt;&lt;middleNames&gt;J&lt;/middleNames&gt;&lt;/author&gt;&lt;author&gt;&lt;lastName&gt;Mendias&lt;/lastName&gt;&lt;firstName&gt;Christopher&lt;/firstName&gt;&lt;middleNames&gt;L&lt;/middleNames&gt;&lt;/author&gt;&lt;/authors&gt;&lt;/publication&gt;&lt;publication&gt;&lt;subtype&gt;400&lt;/subtype&gt;&lt;title&gt;Reduced mitochondrial lipid oxidation leads to fat accumulation in myosteatosis.&lt;/title&gt;&lt;url&gt;https://www.fasebj.org/doi/10.1096/fj.201802457RR&lt;/url&gt;&lt;volume&gt;33&lt;/volume&gt;&lt;publication_date&gt;99201907001200000000220000&lt;/publication_date&gt;&lt;uuid&gt;818E6103-6F12-44CE-B34A-CBF6DE92BE09&lt;/uuid&gt;&lt;type&gt;400&lt;/type&gt;&lt;number&gt;7&lt;/number&gt;&lt;doi&gt;10.1096/fj.201802457RR&lt;/doi&gt;&lt;institution&gt;Department of Orthopedic Surgery, University of Michigan, Ann Arbor, Michigan, USA.&lt;/institution&gt;&lt;startpage&gt;7863&lt;/startpage&gt;&lt;endpage&gt;7881&lt;/endpage&gt;&lt;bundle&gt;&lt;publication&gt;&lt;title&gt;The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Gumucio&lt;/lastName&gt;&lt;firstName&gt;Jonathan&lt;/firstName&gt;&lt;middleNames&gt;P&lt;/middleNames&gt;&lt;/author&gt;&lt;author&gt;&lt;lastName&gt;Qasawa&lt;/lastName&gt;&lt;firstName&gt;Austin&lt;/firstName&gt;&lt;middleNames&gt;H&lt;/middleNames&gt;&lt;/author&gt;&lt;author&gt;&lt;lastName&gt;Ferrara&lt;/lastName&gt;&lt;firstName&gt;Patrick&lt;/firstName&gt;&lt;middleNames&gt;J&lt;/middleNames&gt;&lt;/author&gt;&lt;author&gt;&lt;lastName&gt;Malik&lt;/lastName&gt;&lt;firstName&gt;Afshan&lt;/firstName&gt;&lt;middleNames&gt;N&lt;/middleNames&gt;&lt;/author&gt;&lt;author&gt;&lt;lastName&gt;Funai&lt;/lastName&gt;&lt;firstName&gt;Katsuhiko&lt;/firstName&gt;&lt;/author&gt;&lt;author&gt;&lt;lastName&gt;McDonagh&lt;/lastName&gt;&lt;firstName&gt;Brian&lt;/firstName&gt;&lt;/author&gt;&lt;author&gt;&lt;lastName&gt;Mendias&lt;/lastName&gt;&lt;firstName&gt;Christopher&lt;/firstName&gt;&lt;middleNames&gt;L&lt;/middleNames&gt;&lt;/author&gt;&lt;/authors&gt;&lt;/publication&gt;&lt;/publications&gt;&lt;cites&gt;&lt;/cites&gt;&lt;/citation&gt;</w:instrText>
      </w:r>
      <w:r w:rsidR="006E2104">
        <w:fldChar w:fldCharType="separate"/>
      </w:r>
      <w:r w:rsidR="00A1782A">
        <w:rPr>
          <w:rFonts w:cs="Times New Roman"/>
        </w:rPr>
        <w:t>(26, 46)</w:t>
      </w:r>
      <w:r w:rsidR="006E2104">
        <w:fldChar w:fldCharType="end"/>
      </w:r>
      <w:r w:rsidRPr="00C52040">
        <w:t xml:space="preserve">. Plantaris tendons or </w:t>
      </w:r>
      <w:r>
        <w:t>cultured cells</w:t>
      </w:r>
      <w:r w:rsidRPr="00C52040">
        <w:t xml:space="preserve"> were homogenized in </w:t>
      </w:r>
      <w:proofErr w:type="spellStart"/>
      <w:r w:rsidRPr="00C52040">
        <w:t>QIAzol</w:t>
      </w:r>
      <w:proofErr w:type="spellEnd"/>
      <w:r w:rsidRPr="00C52040">
        <w:t xml:space="preserve"> (Qiagen) and RNA was purified with a </w:t>
      </w:r>
      <w:proofErr w:type="spellStart"/>
      <w:r w:rsidRPr="00C52040">
        <w:t>miRNeasy</w:t>
      </w:r>
      <w:proofErr w:type="spellEnd"/>
      <w:r w:rsidRPr="00C52040">
        <w:t xml:space="preserve"> Micro Kit (Qiagen) supplemented with DNase I (Qiagen). RNA concentration and quality was determined using a NanoDrop 2000 (Thermo Fisher) and a </w:t>
      </w:r>
      <w:proofErr w:type="spellStart"/>
      <w:r w:rsidRPr="00C52040">
        <w:t>TapeStation</w:t>
      </w:r>
      <w:proofErr w:type="spellEnd"/>
      <w:r w:rsidRPr="00C52040">
        <w:t xml:space="preserve"> 2200 (Agilent Technologies, Santa Clara, CA, USA). </w:t>
      </w:r>
      <w:r w:rsidR="00AD0040">
        <w:t xml:space="preserve">RNA integrity numbers for whole tendon samples were &gt;7.5, and for cultured cells were &gt;9.5.  </w:t>
      </w:r>
    </w:p>
    <w:p w14:paraId="518A2DE0" w14:textId="27DA6BA8" w:rsidR="00C52040" w:rsidRDefault="00C52040" w:rsidP="006E41A7">
      <w:pPr>
        <w:spacing w:line="480" w:lineRule="auto"/>
      </w:pPr>
      <w:r>
        <w:tab/>
      </w:r>
      <w:r w:rsidR="00A76492">
        <w:t>To sequence RNA, s</w:t>
      </w:r>
      <w:r w:rsidR="00A76492" w:rsidRPr="00C52040">
        <w:t xml:space="preserve">ample concentrations were normalized and cDNA pools were created for each sample, and then subsequently tagged with a barcoded oligo adapter to allow for sample specific resolution. </w:t>
      </w:r>
      <w:r w:rsidRPr="00C52040">
        <w:t>RNAseq</w:t>
      </w:r>
      <w:r>
        <w:t xml:space="preserve"> of whole tendons</w:t>
      </w:r>
      <w:r w:rsidRPr="00C52040">
        <w:t xml:space="preserve"> was </w:t>
      </w:r>
      <w:r w:rsidR="00A76492">
        <w:t>conducted by the</w:t>
      </w:r>
      <w:r w:rsidRPr="00C52040">
        <w:t xml:space="preserve"> University of Michigan Sequencing Core</w:t>
      </w:r>
      <w:r w:rsidR="00A76492">
        <w:t xml:space="preserve"> </w:t>
      </w:r>
      <w:r w:rsidRPr="00C52040">
        <w:t xml:space="preserve">using </w:t>
      </w:r>
      <w:proofErr w:type="spellStart"/>
      <w:r w:rsidRPr="00C52040">
        <w:t>HiSeq</w:t>
      </w:r>
      <w:proofErr w:type="spellEnd"/>
      <w:r w:rsidRPr="00C52040">
        <w:t xml:space="preserve"> 2500 </w:t>
      </w:r>
      <w:r w:rsidR="00A76492">
        <w:t>system</w:t>
      </w:r>
      <w:r w:rsidRPr="00C52040">
        <w:t xml:space="preserve"> (Illumina, San Diego, CA, USA) with 50bp single end reads.</w:t>
      </w:r>
      <w:r w:rsidR="00A76492">
        <w:t xml:space="preserve"> RNAseq of cultured cells was conducted by the Weill Cornell Medical College Genomics Core using a </w:t>
      </w:r>
      <w:proofErr w:type="spellStart"/>
      <w:r w:rsidR="00A76492">
        <w:t>NovaSeq</w:t>
      </w:r>
      <w:proofErr w:type="spellEnd"/>
      <w:r w:rsidR="00A76492">
        <w:t xml:space="preserve"> 6000 system (</w:t>
      </w:r>
      <w:r w:rsidR="00A76492" w:rsidRPr="00C52040">
        <w:t>Illumina, San Diego, CA, USA</w:t>
      </w:r>
      <w:r w:rsidR="00A76492">
        <w:t xml:space="preserve">) with 50bp paired end reads. </w:t>
      </w:r>
      <w:r w:rsidR="0064536D">
        <w:t xml:space="preserve">Standard Illumina reagents were used for library preparation and sequencing. </w:t>
      </w:r>
      <w:r w:rsidRPr="00C52040">
        <w:t xml:space="preserve">Raw RNAseq data was quality checked using </w:t>
      </w:r>
      <w:proofErr w:type="spellStart"/>
      <w:r w:rsidRPr="00C52040">
        <w:t>FastQC</w:t>
      </w:r>
      <w:proofErr w:type="spellEnd"/>
      <w:r w:rsidRPr="00C52040">
        <w:t xml:space="preserve"> v0.10.0 (</w:t>
      </w:r>
      <w:proofErr w:type="spellStart"/>
      <w:r w:rsidRPr="00C52040">
        <w:t>Barbraham</w:t>
      </w:r>
      <w:proofErr w:type="spellEnd"/>
      <w:r w:rsidRPr="00C52040">
        <w:t xml:space="preserve"> Bioinformatics, Cambridge, UK). Alignment to the reference genome (mmu10, UCSC)</w:t>
      </w:r>
      <w:r w:rsidR="00A76492">
        <w:t xml:space="preserve"> was conducted using the STAR aligner, and differential expression was calculated using DESeq2</w:t>
      </w:r>
      <w:r w:rsidR="007F5085">
        <w:t xml:space="preserve"> </w:t>
      </w:r>
      <w:r w:rsidR="006E2104">
        <w:rPr>
          <w:rFonts w:cs="Times New Roman"/>
        </w:rPr>
        <w:fldChar w:fldCharType="begin"/>
      </w:r>
      <w:r w:rsidR="00A1782A">
        <w:rPr>
          <w:rFonts w:cs="Times New Roman"/>
        </w:rPr>
        <w:instrText xml:space="preserve"> ADDIN PAPERS2_CITATIONS &lt;citation&gt;&lt;priority&gt;50&lt;/priority&gt;&lt;uuid&gt;D3D97653-AB3B-4D85-9E96-121C0246DF15&lt;/uuid&gt;&lt;publications&gt;&lt;publication&gt;&lt;subtype&gt;400&lt;/subtype&gt;&lt;title&gt;Moderated estimation of fold change and  dispersion for RNA-seq data with DESeq2.&lt;/title&gt;&lt;url&gt;http://genomebiology.biomedcentral.com/articles/10.1186/s13059-014-0550-8&lt;/url&gt;&lt;volume&gt;15&lt;/volume&gt;&lt;publication_date&gt;99201400001200000000200000&lt;/publication_date&gt;&lt;uuid&gt;B4C9C930-4F09-45AF-9709-DB30DEF42C6A&lt;/uuid&gt;&lt;type&gt;400&lt;/type&gt;&lt;number&gt;12&lt;/number&gt;&lt;submission_date&gt;99201405271200000000222000&lt;/submission_date&gt;&lt;doi&gt;10.1186/s13059-014-0550-8&lt;/doi&gt;&lt;startpage&gt;550&lt;/startpage&gt;&lt;bundle&gt;&lt;publication&gt;&lt;title&gt;Genome Biology&lt;/title&gt;&lt;uuid&gt;9E0FF2E0-0C9A-4F63-87D0-15A393EF9C59&lt;/uuid&gt;&lt;subtype&gt;-100&lt;/subtype&gt;&lt;publisher&gt;BioMed Central Ltd&lt;/publisher&gt;&lt;type&gt;-100&lt;/type&gt;&lt;url&gt;http://genomebiology.com&lt;/url&gt;&lt;/publication&gt;&lt;/bundle&gt;&lt;authors&gt;&lt;author&gt;&lt;lastName&gt;Love&lt;/lastName&gt;&lt;firstName&gt;Michael&lt;/firstName&gt;&lt;middleNames&gt;I&lt;/middleNames&gt;&lt;/author&gt;&lt;author&gt;&lt;lastName&gt;Huber&lt;/lastName&gt;&lt;firstName&gt;Wolfgang&lt;/firstName&gt;&lt;/author&gt;&lt;author&gt;&lt;lastName&gt;Anders&lt;/lastName&gt;&lt;firstName&gt;Simon&lt;/firstName&gt;&lt;/author&gt;&lt;/authors&gt;&lt;/publication&gt;&lt;/publications&gt;&lt;cites&gt;&lt;/cites&gt;&lt;/citation&gt;</w:instrText>
      </w:r>
      <w:r w:rsidR="006E2104">
        <w:rPr>
          <w:rFonts w:cs="Times New Roman"/>
        </w:rPr>
        <w:fldChar w:fldCharType="separate"/>
      </w:r>
      <w:r w:rsidR="00A1782A">
        <w:rPr>
          <w:rFonts w:cs="Times New Roman"/>
        </w:rPr>
        <w:t>(47)</w:t>
      </w:r>
      <w:r w:rsidR="006E2104">
        <w:rPr>
          <w:rFonts w:cs="Times New Roman"/>
        </w:rPr>
        <w:fldChar w:fldCharType="end"/>
      </w:r>
      <w:r w:rsidR="00A76492">
        <w:t>. A</w:t>
      </w:r>
      <w:r w:rsidRPr="00C52040">
        <w:t xml:space="preserve"> false discovery rate (FDR) procedure was applied to correct for multiple observations. </w:t>
      </w:r>
      <w:r w:rsidRPr="00C52040">
        <w:lastRenderedPageBreak/>
        <w:t>Sequencing data has been deposited to NIH GEO (</w:t>
      </w:r>
      <w:r w:rsidR="004D5422" w:rsidRPr="000915D9">
        <w:t>accession</w:t>
      </w:r>
      <w:r w:rsidR="00711207">
        <w:t xml:space="preserve"> </w:t>
      </w:r>
      <w:r w:rsidR="00711207" w:rsidRPr="00711207">
        <w:t>GSE145864</w:t>
      </w:r>
      <w:r w:rsidRPr="00C52040">
        <w:t>).</w:t>
      </w:r>
      <w:r w:rsidR="002C2DD9">
        <w:t xml:space="preserve"> </w:t>
      </w:r>
      <w:r w:rsidR="002C2DD9" w:rsidRPr="002C2DD9">
        <w:t xml:space="preserve">Ingenuity Pathway Analysis (IPA) software (Qiagen) </w:t>
      </w:r>
      <w:r w:rsidR="002C2DD9">
        <w:t xml:space="preserve">was used to perform gene enrichment analysis of RNAseq data described </w:t>
      </w:r>
      <w:r w:rsidR="006E2104">
        <w:fldChar w:fldCharType="begin"/>
      </w:r>
      <w:r w:rsidR="00A1782A">
        <w:instrText xml:space="preserve"> ADDIN PAPERS2_CITATIONS &lt;citation&gt;&lt;priority&gt;51&lt;/priority&gt;&lt;uuid&gt;0ED4E70C-199C-4E04-84EA-153E36F26E40&lt;/uuid&gt;&lt;publications&gt;&lt;publication&gt;&lt;subtype&gt;400&lt;/subtype&gt;&lt;title&gt;Platelet-Rich Plasma Activates Proinflammatory Signaling Pathways and Induces Oxidative Stress in Tendon Fibroblasts.&lt;/title&gt;&lt;url&gt;http://ajs.sagepub.com/lookup/doi/10.1177/0363546516637176&lt;/url&gt;&lt;volume&gt;44&lt;/volume&gt;&lt;publication_date&gt;99201608001200000000220000&lt;/publication_date&gt;&lt;uuid&gt;CC002CFA-E094-498A-9B68-4929E24DB73A&lt;/uuid&gt;&lt;type&gt;400&lt;/type&gt;&lt;number&gt;8&lt;/number&gt;&lt;doi&gt;10.1177/0363546516637176&lt;/doi&gt;&lt;institution&gt;Department of Orthopaedic Surgery, University of Michigan Medical School, Ann Arbor, Michigan, USA.&lt;/institution&gt;&lt;startpage&gt;1931&lt;/startpage&gt;&lt;endpage&gt;1940&lt;/endpage&gt;&lt;bundle&gt;&lt;publication&gt;&lt;title&gt;The American Journal of Sports Medicine&lt;/title&gt;&lt;uuid&gt;C4D19E51-616B-4987-ADC9-A1732F184A3E&lt;/uuid&gt;&lt;subtype&gt;-100&lt;/subtype&gt;&lt;publisher&gt;American Orthopaedic Society for Sports Medicine&lt;/publisher&gt;&lt;type&gt;-100&lt;/type&gt;&lt;url&gt;http://ajs.sagepub.com.proxy.lib.umich.edu&lt;/url&gt;&lt;/publication&gt;&lt;/bundle&gt;&lt;authors&gt;&lt;author&gt;&lt;lastName&gt;Hudgens&lt;/lastName&gt;&lt;firstName&gt;Joshua&lt;/firstName&gt;&lt;middleNames&gt;L&lt;/middleNames&gt;&lt;/author&gt;&lt;author&gt;&lt;lastName&gt;Sugg&lt;/lastName&gt;&lt;firstName&gt;Kristoffer&lt;/firstName&gt;&lt;middleNames&gt;B&lt;/middleNames&gt;&lt;/author&gt;&lt;author&gt;&lt;lastName&gt;Grekin&lt;/lastName&gt;&lt;firstName&gt;Jeremy&lt;/firstName&gt;&lt;middleNames&gt;A&lt;/middleNames&gt;&lt;/author&gt;&lt;author&gt;&lt;lastName&gt;Gumucio&lt;/lastName&gt;&lt;firstName&gt;Jonathan&lt;/firstName&gt;&lt;middleNames&gt;P&lt;/middleNames&gt;&lt;/author&gt;&lt;author&gt;&lt;lastName&gt;Bedi&lt;/lastName&gt;&lt;firstName&gt;Asheesh&lt;/firstName&gt;&lt;/author&gt;&lt;author&gt;&lt;lastName&gt;Mendias&lt;/lastName&gt;&lt;firstName&gt;Christopher&lt;/firstName&gt;&lt;middleNames&gt;L&lt;/middleNames&gt;&lt;/author&gt;&lt;/authors&gt;&lt;/publication&gt;&lt;publication&gt;&lt;subtype&gt;400&lt;/subtype&gt;&lt;title&gt;Changes in muscle fiber contractility and extracellular matrix production during skeletal muscle hypertrophy.&lt;/title&gt;&lt;url&gt;http://jap.physiology.org/lookup/doi/10.1152/japplphysiol.00719.2016&lt;/url&gt;&lt;volume&gt;122&lt;/volume&gt;&lt;revision_date&gt;99201611041200000000222000&lt;/revision_date&gt;&lt;publication_date&gt;99201703011200000000222000&lt;/publication_date&gt;&lt;uuid&gt;5D018D6E-5AD7-4955-B7F2-C7F11D85CA9F&lt;/uuid&gt;&lt;type&gt;400&lt;/type&gt;&lt;accepted_date&gt;99201612081200000000222000&lt;/accepted_date&gt;&lt;number&gt;3&lt;/number&gt;&lt;submission_date&gt;99201608151200000000222000&lt;/submission_date&gt;&lt;doi&gt;10.1152/japplphysiol.00719.2016&lt;/doi&gt;&lt;institution&gt;Department of Orthopaedic Surgery, University of Michigan Medical School, Ann Arbor, Michigan; cmendias@umich.edu.&lt;/institution&gt;&lt;startpage&gt;571&lt;/startpage&gt;&lt;endpage&gt;579&lt;/endpage&gt;&lt;bundle&gt;&lt;publication&gt;&lt;title&gt;Journal of applied physiology (Bethesda, Md : 1985)&lt;/title&gt;&lt;uuid&gt;54DC1F1C-D593-4395-98EA-288A06FF4014&lt;/uuid&gt;&lt;subtype&gt;-100&lt;/subtype&gt;&lt;publisher&gt;American Physiological Society&lt;/publisher&gt;&lt;type&gt;-100&lt;/type&gt;&lt;url&gt;http://jap.physiology.org&lt;/url&gt;&lt;/publication&gt;&lt;/bundle&gt;&lt;authors&gt;&lt;author&gt;&lt;lastName&gt;Mendias&lt;/lastName&gt;&lt;firstName&gt;Christopher&lt;/firstName&gt;&lt;middleNames&gt;L&lt;/middleNames&gt;&lt;/author&gt;&lt;author&gt;&lt;lastName&gt;Schwartz&lt;/lastName&gt;&lt;firstName&gt;Andrew&lt;/firstName&gt;&lt;middleNames&gt;J&lt;/middleNames&gt;&lt;/author&gt;&lt;author&gt;&lt;lastName&gt;Grekin&lt;/lastName&gt;&lt;firstName&gt;Jeremy&lt;/firstName&gt;&lt;middleNames&gt;A&lt;/middleNames&gt;&lt;/author&gt;&lt;author&gt;&lt;lastName&gt;Gumucio&lt;/lastName&gt;&lt;firstName&gt;Jonathan&lt;/firstName&gt;&lt;middleNames&gt;P&lt;/middleNames&gt;&lt;/author&gt;&lt;author&gt;&lt;lastName&gt;Sugg&lt;/lastName&gt;&lt;firstName&gt;Kristoffer&lt;/firstName&gt;&lt;middleNames&gt;B&lt;/middleNames&gt;&lt;/author&gt;&lt;/authors&gt;&lt;/publication&gt;&lt;/publications&gt;&lt;cites&gt;&lt;/cites&gt;&lt;/citation&gt;</w:instrText>
      </w:r>
      <w:r w:rsidR="006E2104">
        <w:fldChar w:fldCharType="separate"/>
      </w:r>
      <w:r w:rsidR="00A1782A">
        <w:rPr>
          <w:rFonts w:cs="Times New Roman"/>
        </w:rPr>
        <w:t>(48, 49)</w:t>
      </w:r>
      <w:r w:rsidR="006E2104">
        <w:fldChar w:fldCharType="end"/>
      </w:r>
      <w:r w:rsidR="002C2DD9">
        <w:t xml:space="preserve">. </w:t>
      </w:r>
    </w:p>
    <w:p w14:paraId="3D0EDD17" w14:textId="63B26618" w:rsidR="000915D9" w:rsidRDefault="00A76492" w:rsidP="0064536D">
      <w:pPr>
        <w:spacing w:line="480" w:lineRule="auto"/>
      </w:pPr>
      <w:r>
        <w:tab/>
        <w:t xml:space="preserve">For </w:t>
      </w:r>
      <w:r w:rsidRPr="00A76492">
        <w:t>qPCR</w:t>
      </w:r>
      <w:r>
        <w:t xml:space="preserve">, </w:t>
      </w:r>
      <w:r w:rsidRPr="00A76492">
        <w:t xml:space="preserve">RNA was reverse transcribed into cDNA using </w:t>
      </w:r>
      <w:proofErr w:type="spellStart"/>
      <w:r w:rsidRPr="00A76492">
        <w:t>iScript</w:t>
      </w:r>
      <w:proofErr w:type="spellEnd"/>
      <w:r w:rsidRPr="00A76492">
        <w:t xml:space="preserve"> Reverse Transcription reagents (Bio-Rad), </w:t>
      </w:r>
      <w:r>
        <w:t>an</w:t>
      </w:r>
      <w:r w:rsidR="00494F7F">
        <w:t>d</w:t>
      </w:r>
      <w:r>
        <w:t xml:space="preserve"> then amplified in a real-time thermal cycler </w:t>
      </w:r>
      <w:r w:rsidRPr="00A76492">
        <w:t xml:space="preserve">using </w:t>
      </w:r>
      <w:proofErr w:type="spellStart"/>
      <w:r w:rsidRPr="00A76492">
        <w:t>iTaq</w:t>
      </w:r>
      <w:proofErr w:type="spellEnd"/>
      <w:r w:rsidRPr="00A76492">
        <w:t xml:space="preserve"> Universal SYBR Green </w:t>
      </w:r>
      <w:proofErr w:type="spellStart"/>
      <w:r w:rsidRPr="00A76492">
        <w:t>Supermix</w:t>
      </w:r>
      <w:proofErr w:type="spellEnd"/>
      <w:r w:rsidRPr="00A76492">
        <w:t xml:space="preserve"> (Bio-Rad). </w:t>
      </w:r>
      <w:r w:rsidR="000915D9">
        <w:t xml:space="preserve">Primer sequences for specific have been previously published </w:t>
      </w:r>
      <w:r w:rsidR="006E2104">
        <w:fldChar w:fldCharType="begin"/>
      </w:r>
      <w:r w:rsidR="00A1782A">
        <w:instrText xml:space="preserve"> ADDIN PAPERS2_CITATIONS &lt;citation&gt;&lt;priority&gt;52&lt;/priority&gt;&lt;uuid&gt;A81E985A-DC98-4FE0-9D91-BEDB1FC8637A&lt;/uuid&gt;&lt;publications&gt;&lt;publication&gt;&lt;subtype&gt;400&lt;/subtype&gt;&lt;title&gt;Insulin-like growth factor 1 signaling in tenocytes is required for adult tendon growth.&lt;/title&gt;&lt;url&gt;https://www.fasebj.org/doi/10.1096/fj.201901503R&lt;/url&gt;&lt;volume&gt;33&lt;/volume&gt;&lt;publication_date&gt;99201911011200000000222000&lt;/publication_date&gt;&lt;uuid&gt;7F0D72D9-5F56-4B93-A8BA-81ABE7850CB5&lt;/uuid&gt;&lt;type&gt;400&lt;/type&gt;&lt;number&gt;11&lt;/number&gt;&lt;doi&gt;10.1096/fj.201901503R&lt;/doi&gt;&lt;institution&gt;Hospital for Special Surgery, New York, New York, USA.&lt;/institution&gt;&lt;startpage&gt;12680&lt;/startpage&gt;&lt;endpage&gt;12695&lt;/endpage&gt;&lt;bundle&gt;&lt;publication&gt;&lt;title&gt;The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Disser&lt;/lastName&gt;&lt;firstName&gt;Nathaniel&lt;/firstName&gt;&lt;middleNames&gt;P&lt;/middleNames&gt;&lt;/author&gt;&lt;author&gt;&lt;lastName&gt;Sugg&lt;/lastName&gt;&lt;firstName&gt;Kristoffer&lt;/firstName&gt;&lt;middleNames&gt;B&lt;/middleNames&gt;&lt;/author&gt;&lt;author&gt;&lt;lastName&gt;Talarek&lt;/lastName&gt;&lt;firstName&gt;Jeffrey&lt;/firstName&gt;&lt;middleNames&gt;R&lt;/middleNames&gt;&lt;/author&gt;&lt;author&gt;&lt;lastName&gt;Sarver&lt;/lastName&gt;&lt;firstName&gt;Dylan&lt;/firstName&gt;&lt;middleNames&gt;C&lt;/middleNames&gt;&lt;/author&gt;&lt;author&gt;&lt;lastName&gt;Rourke&lt;/lastName&gt;&lt;firstName&gt;Brennan&lt;/firstName&gt;&lt;middleNames&gt;J&lt;/middleNames&gt;&lt;/author&gt;&lt;author&gt;&lt;lastName&gt;Mendias&lt;/lastName&gt;&lt;firstName&gt;Christopher&lt;/firstName&gt;&lt;middleNames&gt;L&lt;/middleNames&gt;&lt;/author&gt;&lt;/authors&gt;&lt;/publication&gt;&lt;publication&gt;&lt;subtype&gt;400&lt;/subtype&gt;&lt;title&gt;Postnatal tendon growth and remodeling require platelet-derived growth factor receptor signaling.&lt;/title&gt;&lt;url&gt;http://www.physiology.org/doi/10.1152/ajpcell.00258.2017&lt;/url&gt;&lt;volume&gt;314&lt;/volume&gt;&lt;publication_date&gt;99201804011200000000222000&lt;/publication_date&gt;&lt;uuid&gt;C788FF91-FC55-49F5-9775-FEBB1C5F0C5A&lt;/uuid&gt;&lt;type&gt;400&lt;/type&gt;&lt;number&gt;4&lt;/number&gt;&lt;doi&gt;10.1152/ajpcell.00258.2017&lt;/doi&gt;&lt;institution&gt;Department of Orthopaedic Surgery, University of Michigan Medical School , Ann Arbor, Michigan.&lt;/institution&gt;&lt;startpage&gt;C389&lt;/startpage&gt;&lt;endpage&gt;C403&lt;/endpage&gt;&lt;bundle&gt;&lt;publication&gt;&lt;title&gt;AJP - Cell Physiology&lt;/title&gt;&lt;uuid&gt;3182AB9F-1479-43F8-9C7B-E7341D73B0E9&lt;/uuid&gt;&lt;subtype&gt;-100&lt;/subtype&gt;&lt;publisher&gt;American Physiological Society&lt;/publisher&gt;&lt;type&gt;-100&lt;/type&gt;&lt;url&gt;http://ajpcell.physiology.org.proxy.lib.umich.edu&lt;/url&gt;&lt;/publication&gt;&lt;/bundle&gt;&lt;authors&gt;&lt;author&gt;&lt;lastName&gt;Sugg&lt;/lastName&gt;&lt;firstName&gt;Kristoffer&lt;/firstName&gt;&lt;middleNames&gt;B&lt;/middleNames&gt;&lt;/author&gt;&lt;author&gt;&lt;lastName&gt;Markworth&lt;/lastName&gt;&lt;firstName&gt;James&lt;/firstName&gt;&lt;middleNames&gt;F&lt;/middleNames&gt;&lt;/author&gt;&lt;author&gt;&lt;lastName&gt;Disser&lt;/lastName&gt;&lt;firstName&gt;Nathaniel&lt;/firstName&gt;&lt;middleNames&gt;P&lt;/middleNames&gt;&lt;/author&gt;&lt;author&gt;&lt;lastName&gt;Rizzi&lt;/lastName&gt;&lt;firstName&gt;Andrew&lt;/firstName&gt;&lt;middleNames&gt;M&lt;/middleNames&gt;&lt;/author&gt;&lt;author&gt;&lt;lastName&gt;Talarek&lt;/lastName&gt;&lt;firstName&gt;Jeffrey&lt;/firstName&gt;&lt;middleNames&gt;R&lt;/middleNames&gt;&lt;/author&gt;&lt;author&gt;&lt;lastName&gt;Sarver&lt;/lastName&gt;&lt;firstName&gt;Dylan&lt;/firstName&gt;&lt;middleNames&gt;C&lt;/middleNames&gt;&lt;/author&gt;&lt;author&gt;&lt;lastName&gt;Brooks&lt;/lastName&gt;&lt;firstName&gt;Susan&lt;/firstName&gt;&lt;middleNames&gt;V&lt;/middleNames&gt;&lt;/author&gt;&lt;author&gt;&lt;lastName&gt;Mendias&lt;/lastName&gt;&lt;firstName&gt;Christopher&lt;/firstName&gt;&lt;middleNames&gt;L&lt;/middleNames&gt;&lt;/author&gt;&lt;/authors&gt;&lt;/publication&gt;&lt;/publications&gt;&lt;cites&gt;&lt;/cites&gt;&lt;/citation&gt;</w:instrText>
      </w:r>
      <w:r w:rsidR="006E2104">
        <w:fldChar w:fldCharType="separate"/>
      </w:r>
      <w:r w:rsidR="00A1782A">
        <w:rPr>
          <w:rFonts w:cs="Times New Roman"/>
        </w:rPr>
        <w:t>(26, 27)</w:t>
      </w:r>
      <w:r w:rsidR="006E2104">
        <w:fldChar w:fldCharType="end"/>
      </w:r>
      <w:r w:rsidR="000915D9">
        <w:t>.</w:t>
      </w:r>
      <w:r w:rsidRPr="00A76492">
        <w:t xml:space="preserve"> </w:t>
      </w:r>
      <w:r w:rsidR="000915D9">
        <w:t>R</w:t>
      </w:r>
      <w:r w:rsidRPr="00A76492">
        <w:t xml:space="preserve">elative copy number </w:t>
      </w:r>
      <w:r w:rsidR="000915D9">
        <w:t xml:space="preserve">of transcripts </w:t>
      </w:r>
      <w:r w:rsidR="00057AC3">
        <w:t xml:space="preserve">in the 7D and 14D </w:t>
      </w:r>
      <w:proofErr w:type="spellStart"/>
      <w:r w:rsidR="00057AC3" w:rsidRPr="000F50F3">
        <w:rPr>
          <w:i/>
          <w:iCs/>
        </w:rPr>
        <w:t>Scx</w:t>
      </w:r>
      <w:proofErr w:type="spellEnd"/>
      <w:r w:rsidR="00057AC3" w:rsidRPr="000F50F3">
        <w:rPr>
          <w:vertAlign w:val="superscript"/>
        </w:rPr>
        <w:t>+</w:t>
      </w:r>
      <w:r w:rsidR="00057AC3">
        <w:t xml:space="preserve"> and </w:t>
      </w:r>
      <w:proofErr w:type="spellStart"/>
      <w:r w:rsidR="00057AC3" w:rsidRPr="000F50F3">
        <w:rPr>
          <w:i/>
          <w:iCs/>
        </w:rPr>
        <w:t>Scx</w:t>
      </w:r>
      <w:r w:rsidR="00057AC3" w:rsidRPr="000F50F3">
        <w:rPr>
          <w:vertAlign w:val="superscript"/>
        </w:rPr>
        <w:t>Δ</w:t>
      </w:r>
      <w:proofErr w:type="spellEnd"/>
      <w:r w:rsidR="00057AC3">
        <w:t xml:space="preserve"> mice </w:t>
      </w:r>
      <w:r w:rsidRPr="00A76492">
        <w:t xml:space="preserve">was </w:t>
      </w:r>
      <w:r w:rsidR="00057AC3">
        <w:t xml:space="preserve">normalized to 0D non-overloaded </w:t>
      </w:r>
      <w:proofErr w:type="spellStart"/>
      <w:r w:rsidR="00057AC3" w:rsidRPr="000F50F3">
        <w:rPr>
          <w:i/>
          <w:iCs/>
        </w:rPr>
        <w:t>Scx</w:t>
      </w:r>
      <w:proofErr w:type="spellEnd"/>
      <w:r w:rsidR="00057AC3" w:rsidRPr="000F50F3">
        <w:rPr>
          <w:vertAlign w:val="superscript"/>
        </w:rPr>
        <w:t>+</w:t>
      </w:r>
      <w:r w:rsidR="00057AC3">
        <w:t xml:space="preserve"> controls</w:t>
      </w:r>
      <w:r w:rsidRPr="00A76492">
        <w:t xml:space="preserve"> using the linear regression of efficiency method</w:t>
      </w:r>
      <w:r w:rsidR="00057AC3">
        <w:t xml:space="preserve"> </w:t>
      </w:r>
      <w:r w:rsidR="006E2104">
        <w:fldChar w:fldCharType="begin"/>
      </w:r>
      <w:r w:rsidR="00A1782A">
        <w:instrText xml:space="preserve"> ADDIN PAPERS2_CITATIONS &lt;citation&gt;&lt;priority&gt;53&lt;/priority&gt;&lt;uuid&gt;57A50EFE-7780-4634-98C7-725D494A16C9&lt;/uuid&gt;&lt;publications&gt;&lt;publication&gt;&lt;subtype&gt;400&lt;/subtype&gt;&lt;location&gt;200,5,46.7774890,-71.2840980&lt;/location&gt;&lt;title&gt;A kinetic-based sigmoidal model for the polymerase chain reaction and its application to high-capacity absolute quantitative real-time PCR.&lt;/title&gt;&lt;url&gt;http://bmcbiotechnol.biomedcentral.com/articles/10.1186/1472-6750-8-47&lt;/url&gt;&lt;volume&gt;8&lt;/volume&gt;&lt;publication_date&gt;99200800001200000000200000&lt;/publication_date&gt;&lt;uuid&gt;FA6A651A-E2FC-46DE-A911-207266EDBEB4&lt;/uuid&gt;&lt;type&gt;400&lt;/type&gt;&lt;accepted_date&gt;99200805081200000000222000&lt;/accepted_date&gt;&lt;number&gt;1&lt;/number&gt;&lt;citekey&gt;Rutledge:2008dv&lt;/citekey&gt;&lt;submission_date&gt;99200803111200000000222000&lt;/submission_date&gt;&lt;doi&gt;10.1186/1472-6750-8-47&lt;/doi&gt;&lt;institution&gt;Natural Resources Canada, Canadian Forest Service, 1055 du PEPS, Quebec, Quebec G1V 4C7, Canada. Bob.Rutledge@NRCan.gc.ca&lt;/institution&gt;&lt;startpage&gt;47&lt;/startpage&gt;&lt;bundle&gt;&lt;publication&gt;&lt;title&gt;BMC Biotechnology&lt;/title&gt;&lt;uuid&gt;257204C3-2B1E-410E-BB82-F5210D551842&lt;/uuid&gt;&lt;subtype&gt;-100&lt;/subtype&gt;&lt;type&gt;-100&lt;/type&gt;&lt;/publication&gt;&lt;/bundle&gt;&lt;authors&gt;&lt;author&gt;&lt;lastName&gt;Rutledge&lt;/lastName&gt;&lt;firstName&gt;Robert&lt;/firstName&gt;&lt;middleNames&gt;G&lt;/middleNames&gt;&lt;/author&gt;&lt;author&gt;&lt;lastName&gt;Stewart&lt;/lastName&gt;&lt;firstName&gt;Don&lt;/firstName&gt;&lt;/author&gt;&lt;/authors&gt;&lt;/publication&gt;&lt;/publications&gt;&lt;cites&gt;&lt;/cites&gt;&lt;/citation&gt;</w:instrText>
      </w:r>
      <w:r w:rsidR="006E2104">
        <w:fldChar w:fldCharType="separate"/>
      </w:r>
      <w:r w:rsidR="00A1782A">
        <w:rPr>
          <w:rFonts w:cs="Times New Roman"/>
        </w:rPr>
        <w:t>(50)</w:t>
      </w:r>
      <w:r w:rsidR="006E2104">
        <w:fldChar w:fldCharType="end"/>
      </w:r>
      <w:r w:rsidR="00057AC3">
        <w:t xml:space="preserve"> and log</w:t>
      </w:r>
      <w:r w:rsidR="00057AC3" w:rsidRPr="00057AC3">
        <w:rPr>
          <w:vertAlign w:val="subscript"/>
        </w:rPr>
        <w:t>2</w:t>
      </w:r>
      <w:r w:rsidR="00494F7F">
        <w:t>-</w:t>
      </w:r>
      <w:r w:rsidR="00057AC3">
        <w:t>transformed prior to analysis</w:t>
      </w:r>
      <w:r w:rsidRPr="00A76492">
        <w:t>.</w:t>
      </w:r>
    </w:p>
    <w:p w14:paraId="7E4498B6" w14:textId="36815021" w:rsidR="00D3520A" w:rsidRPr="007D0052" w:rsidRDefault="004D5422" w:rsidP="006E41A7">
      <w:pPr>
        <w:spacing w:line="480" w:lineRule="auto"/>
      </w:pPr>
      <w:r>
        <w:tab/>
      </w:r>
      <w:r>
        <w:rPr>
          <w:b/>
          <w:bCs/>
          <w:i/>
        </w:rPr>
        <w:t>Cell</w:t>
      </w:r>
      <w:r w:rsidRPr="004D5422">
        <w:rPr>
          <w:b/>
          <w:bCs/>
          <w:i/>
        </w:rPr>
        <w:t xml:space="preserve"> culture.</w:t>
      </w:r>
      <w:r w:rsidRPr="004D5422">
        <w:t xml:space="preserve"> Tail tendons were isolated from</w:t>
      </w:r>
      <w:r w:rsidR="00D51F83">
        <w:t xml:space="preserve"> </w:t>
      </w:r>
      <w:proofErr w:type="spellStart"/>
      <w:r w:rsidR="00F41BDF" w:rsidRPr="00435075">
        <w:rPr>
          <w:i/>
        </w:rPr>
        <w:t>Scx</w:t>
      </w:r>
      <w:proofErr w:type="spellEnd"/>
      <w:r w:rsidR="00F41BDF">
        <w:rPr>
          <w:vertAlign w:val="superscript"/>
        </w:rPr>
        <w:t>+</w:t>
      </w:r>
      <w:r w:rsidR="00F41BDF">
        <w:t xml:space="preserve">, </w:t>
      </w:r>
      <w:proofErr w:type="spellStart"/>
      <w:r w:rsidR="00F41BDF" w:rsidRPr="000F50F3">
        <w:rPr>
          <w:i/>
          <w:iCs/>
        </w:rPr>
        <w:t>Scx</w:t>
      </w:r>
      <w:r w:rsidR="00F41BDF" w:rsidRPr="000F50F3">
        <w:rPr>
          <w:vertAlign w:val="superscript"/>
        </w:rPr>
        <w:t>Δ</w:t>
      </w:r>
      <w:proofErr w:type="spellEnd"/>
      <w:r w:rsidR="0048583B">
        <w:t xml:space="preserve">, or </w:t>
      </w:r>
      <w:proofErr w:type="spellStart"/>
      <w:r w:rsidR="0048583B" w:rsidRPr="00435075">
        <w:rPr>
          <w:i/>
        </w:rPr>
        <w:t>Scx</w:t>
      </w:r>
      <w:r w:rsidR="0048583B">
        <w:t>GFP</w:t>
      </w:r>
      <w:proofErr w:type="spellEnd"/>
      <w:r w:rsidR="0048583B">
        <w:t xml:space="preserve"> </w:t>
      </w:r>
      <w:r w:rsidRPr="004D5422">
        <w:t>mice</w:t>
      </w:r>
      <w:r w:rsidR="00683492">
        <w:t>,</w:t>
      </w:r>
      <w:r w:rsidRPr="004D5422">
        <w:t xml:space="preserve"> and </w:t>
      </w:r>
      <w:r>
        <w:t xml:space="preserve">cells were </w:t>
      </w:r>
      <w:r w:rsidRPr="004D5422">
        <w:t>cultured as described previously</w:t>
      </w:r>
      <w:r>
        <w:t xml:space="preserve"> </w:t>
      </w:r>
      <w:r w:rsidR="006E2104">
        <w:fldChar w:fldCharType="begin"/>
      </w:r>
      <w:r w:rsidR="00A1782A">
        <w:instrText xml:space="preserve"> ADDIN PAPERS2_CITATIONS &lt;citation&gt;&lt;priority&gt;54&lt;/priority&gt;&lt;uuid&gt;07122F5B-F0DA-4136-99CB-5A9C832F651F&lt;/uuid&gt;&lt;publications&gt;&lt;publication&gt;&lt;subtype&gt;400&lt;/subtype&gt;&lt;title&gt;Postnatal tendon growth and remodeling require platelet-derived growth factor receptor signaling.&lt;/title&gt;&lt;url&gt;http://www.physiology.org/doi/10.1152/ajpcell.00258.2017&lt;/url&gt;&lt;volume&gt;314&lt;/volume&gt;&lt;publication_date&gt;99201804011200000000222000&lt;/publication_date&gt;&lt;uuid&gt;C788FF91-FC55-49F5-9775-FEBB1C5F0C5A&lt;/uuid&gt;&lt;type&gt;400&lt;/type&gt;&lt;number&gt;4&lt;/number&gt;&lt;doi&gt;10.1152/ajpcell.00258.2017&lt;/doi&gt;&lt;institution&gt;Department of Orthopaedic Surgery, University of Michigan Medical School , Ann Arbor, Michigan.&lt;/institution&gt;&lt;startpage&gt;C389&lt;/startpage&gt;&lt;endpage&gt;C403&lt;/endpage&gt;&lt;bundle&gt;&lt;publication&gt;&lt;title&gt;AJP - Cell Physiology&lt;/title&gt;&lt;uuid&gt;3182AB9F-1479-43F8-9C7B-E7341D73B0E9&lt;/uuid&gt;&lt;subtype&gt;-100&lt;/subtype&gt;&lt;publisher&gt;American Physiological Society&lt;/publisher&gt;&lt;type&gt;-100&lt;/type&gt;&lt;url&gt;http://ajpcell.physiology.org.proxy.lib.umich.edu&lt;/url&gt;&lt;/publication&gt;&lt;/bundle&gt;&lt;authors&gt;&lt;author&gt;&lt;lastName&gt;Sugg&lt;/lastName&gt;&lt;firstName&gt;Kristoffer&lt;/firstName&gt;&lt;middleNames&gt;B&lt;/middleNames&gt;&lt;/author&gt;&lt;author&gt;&lt;lastName&gt;Markworth&lt;/lastName&gt;&lt;firstName&gt;James&lt;/firstName&gt;&lt;middleNames&gt;F&lt;/middleNames&gt;&lt;/author&gt;&lt;author&gt;&lt;lastName&gt;Disser&lt;/lastName&gt;&lt;firstName&gt;Nathaniel&lt;/firstName&gt;&lt;middleNames&gt;P&lt;/middleNames&gt;&lt;/author&gt;&lt;author&gt;&lt;lastName&gt;Rizzi&lt;/lastName&gt;&lt;firstName&gt;Andrew&lt;/firstName&gt;&lt;middleNames&gt;M&lt;/middleNames&gt;&lt;/author&gt;&lt;author&gt;&lt;lastName&gt;Talarek&lt;/lastName&gt;&lt;firstName&gt;Jeffrey&lt;/firstName&gt;&lt;middleNames&gt;R&lt;/middleNames&gt;&lt;/author&gt;&lt;author&gt;&lt;lastName&gt;Sarver&lt;/lastName&gt;&lt;firstName&gt;Dylan&lt;/firstName&gt;&lt;middleNames&gt;C&lt;/middleNames&gt;&lt;/author&gt;&lt;author&gt;&lt;lastName&gt;Brooks&lt;/lastName&gt;&lt;firstName&gt;Susan&lt;/firstName&gt;&lt;middleNames&gt;V&lt;/middleNames&gt;&lt;/author&gt;&lt;author&gt;&lt;lastName&gt;Mendias&lt;/lastName&gt;&lt;firstName&gt;Christopher&lt;/firstName&gt;&lt;middleNames&gt;L&lt;/middleNames&gt;&lt;/author&gt;&lt;/authors&gt;&lt;/publication&gt;&lt;publication&gt;&lt;subtype&gt;400&lt;/subtype&gt;&lt;title&gt;Insulin-like growth factor 1 signaling in tenocytes is required for adult tendon growth.&lt;/title&gt;&lt;url&gt;https://www.fasebj.org/doi/10.1096/fj.201901503R&lt;/url&gt;&lt;volume&gt;33&lt;/volume&gt;&lt;publication_date&gt;99201911011200000000222000&lt;/publication_date&gt;&lt;uuid&gt;7F0D72D9-5F56-4B93-A8BA-81ABE7850CB5&lt;/uuid&gt;&lt;type&gt;400&lt;/type&gt;&lt;number&gt;11&lt;/number&gt;&lt;doi&gt;10.1096/fj.201901503R&lt;/doi&gt;&lt;institution&gt;Hospital for Special Surgery, New York, New York, USA.&lt;/institution&gt;&lt;startpage&gt;12680&lt;/startpage&gt;&lt;endpage&gt;12695&lt;/endpage&gt;&lt;bundle&gt;&lt;publication&gt;&lt;title&gt;The FASEB Journal&lt;/title&gt;&lt;uuid&gt;F28256AD-665F-414B-8612-5DD59A6741CE&lt;/uuid&gt;&lt;subtype&gt;-100&lt;/subtype&gt;&lt;publisher&gt;Federation of American Societies for Experimental BiologyBethesda, MD, USA&lt;/publisher&gt;&lt;type&gt;-100&lt;/type&gt;&lt;url&gt;http://www.fasebj.org&lt;/url&gt;&lt;/publication&gt;&lt;/bundle&gt;&lt;authors&gt;&lt;author&gt;&lt;lastName&gt;Disser&lt;/lastName&gt;&lt;firstName&gt;Nathaniel&lt;/firstName&gt;&lt;middleNames&gt;P&lt;/middleNames&gt;&lt;/author&gt;&lt;author&gt;&lt;lastName&gt;Sugg&lt;/lastName&gt;&lt;firstName&gt;Kristoffer&lt;/firstName&gt;&lt;middleNames&gt;B&lt;/middleNames&gt;&lt;/author&gt;&lt;author&gt;&lt;lastName&gt;Talarek&lt;/lastName&gt;&lt;firstName&gt;Jeffrey&lt;/firstName&gt;&lt;middleNames&gt;R&lt;/middleNames&gt;&lt;/author&gt;&lt;author&gt;&lt;lastName&gt;Sarver&lt;/lastName&gt;&lt;firstName&gt;Dylan&lt;/firstName&gt;&lt;middleNames&gt;C&lt;/middleNames&gt;&lt;/author&gt;&lt;author&gt;&lt;lastName&gt;Rourke&lt;/lastName&gt;&lt;firstName&gt;Brennan&lt;/firstName&gt;&lt;middleNames&gt;J&lt;/middleNames&gt;&lt;/author&gt;&lt;author&gt;&lt;lastName&gt;Mendias&lt;/lastName&gt;&lt;firstName&gt;Christopher&lt;/firstName&gt;&lt;middleNames&gt;L&lt;/middleNames&gt;&lt;/author&gt;&lt;/authors&gt;&lt;/publication&gt;&lt;/publications&gt;&lt;cites&gt;&lt;/cites&gt;&lt;/citation&gt;</w:instrText>
      </w:r>
      <w:r w:rsidR="006E2104">
        <w:fldChar w:fldCharType="separate"/>
      </w:r>
      <w:r w:rsidR="00A1782A">
        <w:rPr>
          <w:rFonts w:cs="Times New Roman"/>
        </w:rPr>
        <w:t>(26, 27)</w:t>
      </w:r>
      <w:r w:rsidR="006E2104">
        <w:fldChar w:fldCharType="end"/>
      </w:r>
      <w:r w:rsidRPr="004D5422">
        <w:t>. Tendon fascicles were carefully isolated from tail tendons, minced, and placed in DMEM with 0.2% type II collagenase (</w:t>
      </w:r>
      <w:r w:rsidR="00962A7C">
        <w:t>Thermo Scientific</w:t>
      </w:r>
      <w:r w:rsidRPr="004D5422">
        <w:t xml:space="preserve">) for 1h at 37°C with agitation. </w:t>
      </w:r>
      <w:r w:rsidR="00962A7C">
        <w:t>CD146</w:t>
      </w:r>
      <w:r w:rsidR="00962A7C" w:rsidRPr="00962A7C">
        <w:rPr>
          <w:vertAlign w:val="superscript"/>
        </w:rPr>
        <w:t>+</w:t>
      </w:r>
      <w:r w:rsidR="00962A7C">
        <w:t xml:space="preserve"> pericytes were isolated from digested cell suspensions </w:t>
      </w:r>
      <w:r w:rsidR="0048583B">
        <w:t xml:space="preserve">of </w:t>
      </w:r>
      <w:proofErr w:type="spellStart"/>
      <w:r w:rsidR="0048583B" w:rsidRPr="00435075">
        <w:rPr>
          <w:i/>
        </w:rPr>
        <w:t>Scx</w:t>
      </w:r>
      <w:proofErr w:type="spellEnd"/>
      <w:r w:rsidR="0048583B">
        <w:rPr>
          <w:vertAlign w:val="superscript"/>
        </w:rPr>
        <w:t>+</w:t>
      </w:r>
      <w:r w:rsidR="0048583B" w:rsidRPr="004D5422">
        <w:t xml:space="preserve"> </w:t>
      </w:r>
      <w:r w:rsidR="0048583B">
        <w:t xml:space="preserve">or </w:t>
      </w:r>
      <w:proofErr w:type="spellStart"/>
      <w:r w:rsidR="0048583B" w:rsidRPr="00435075">
        <w:rPr>
          <w:i/>
        </w:rPr>
        <w:t>Scx</w:t>
      </w:r>
      <w:r w:rsidR="0048583B">
        <w:t>GFP</w:t>
      </w:r>
      <w:proofErr w:type="spellEnd"/>
      <w:r w:rsidR="0048583B">
        <w:t xml:space="preserve"> mice </w:t>
      </w:r>
      <w:r w:rsidR="00962A7C">
        <w:t>using anti-CD146 magnetic microbeads (</w:t>
      </w:r>
      <w:r w:rsidR="00962A7C" w:rsidRPr="00962A7C">
        <w:t>130-092-007</w:t>
      </w:r>
      <w:r w:rsidR="00962A7C">
        <w:t xml:space="preserve">, </w:t>
      </w:r>
      <w:r w:rsidR="00962A7C" w:rsidRPr="00D3520A">
        <w:rPr>
          <w:color w:val="000000" w:themeColor="text1"/>
        </w:rPr>
        <w:t xml:space="preserve">Miltenyi Biotec, San Diego, CA, USA), and </w:t>
      </w:r>
      <w:r w:rsidR="007C57EE" w:rsidRPr="00D3520A">
        <w:rPr>
          <w:color w:val="000000" w:themeColor="text1"/>
        </w:rPr>
        <w:t>placed into 24-well tissue culture dishes (Corning, Corning, NY, USA)</w:t>
      </w:r>
      <w:r w:rsidR="00D3520A">
        <w:rPr>
          <w:color w:val="000000" w:themeColor="text1"/>
        </w:rPr>
        <w:t xml:space="preserve">. </w:t>
      </w:r>
      <w:r w:rsidR="00EB288F" w:rsidRPr="00D3520A">
        <w:rPr>
          <w:color w:val="000000" w:themeColor="text1"/>
        </w:rPr>
        <w:t>Pericytes</w:t>
      </w:r>
      <w:r w:rsidR="007C57EE" w:rsidRPr="00D3520A">
        <w:rPr>
          <w:color w:val="000000" w:themeColor="text1"/>
        </w:rPr>
        <w:t xml:space="preserve"> were expanded in DMEM </w:t>
      </w:r>
      <w:r w:rsidR="007C57EE" w:rsidRPr="004D5422">
        <w:t xml:space="preserve">containing 10% </w:t>
      </w:r>
      <w:r w:rsidR="007C57EE">
        <w:t>fetal bovine serum (FBS)</w:t>
      </w:r>
      <w:r w:rsidR="007C57EE" w:rsidRPr="004D5422">
        <w:t xml:space="preserve"> and 1% antibiotic-antimycotic (</w:t>
      </w:r>
      <w:proofErr w:type="spellStart"/>
      <w:r w:rsidR="007C57EE" w:rsidRPr="004D5422">
        <w:t>A</w:t>
      </w:r>
      <w:r w:rsidR="007C57EE">
        <w:t>b</w:t>
      </w:r>
      <w:r w:rsidR="007C57EE" w:rsidRPr="004D5422">
        <w:t>A</w:t>
      </w:r>
      <w:r w:rsidR="007C57EE">
        <w:t>m</w:t>
      </w:r>
      <w:proofErr w:type="spellEnd"/>
      <w:r w:rsidR="007C57EE" w:rsidRPr="004D5422">
        <w:t xml:space="preserve">, </w:t>
      </w:r>
      <w:r w:rsidR="007C57EE">
        <w:t>Thermo Scientific</w:t>
      </w:r>
      <w:r w:rsidR="007C57EE" w:rsidRPr="004D5422">
        <w:t>)</w:t>
      </w:r>
      <w:r w:rsidR="002C2DD9">
        <w:t xml:space="preserve">, referred to as growth medium, </w:t>
      </w:r>
      <w:r w:rsidR="007C57EE">
        <w:t xml:space="preserve">for a period of </w:t>
      </w:r>
      <w:r w:rsidR="00683492">
        <w:t xml:space="preserve">up to </w:t>
      </w:r>
      <w:r w:rsidR="006E41A7">
        <w:t>5</w:t>
      </w:r>
      <w:r w:rsidR="007C57EE">
        <w:t xml:space="preserve"> days</w:t>
      </w:r>
      <w:r w:rsidR="007C57EE" w:rsidRPr="00D3520A">
        <w:rPr>
          <w:color w:val="000000" w:themeColor="text1"/>
        </w:rPr>
        <w:t xml:space="preserve">. </w:t>
      </w:r>
      <w:r w:rsidR="0048583B">
        <w:rPr>
          <w:color w:val="000000" w:themeColor="text1"/>
        </w:rPr>
        <w:t xml:space="preserve">When experiments involved the evaluation of scleraxis inactivation, growth medium was supplemented with </w:t>
      </w:r>
      <w:r w:rsidR="0048583B">
        <w:t>1</w:t>
      </w:r>
      <w:r w:rsidR="0048583B" w:rsidRPr="004D5422">
        <w:t xml:space="preserve">0μM </w:t>
      </w:r>
      <w:r w:rsidR="0048583B">
        <w:t xml:space="preserve">of </w:t>
      </w:r>
      <w:r w:rsidR="0048583B" w:rsidRPr="004D5422">
        <w:t>4HT</w:t>
      </w:r>
      <w:r w:rsidR="0048583B">
        <w:t xml:space="preserve"> to ensure efficient deletion of </w:t>
      </w:r>
      <w:proofErr w:type="spellStart"/>
      <w:r w:rsidR="0048583B" w:rsidRPr="0048583B">
        <w:rPr>
          <w:i/>
          <w:iCs/>
        </w:rPr>
        <w:t>Scx</w:t>
      </w:r>
      <w:proofErr w:type="spellEnd"/>
      <w:r w:rsidR="0048583B">
        <w:t>.</w:t>
      </w:r>
    </w:p>
    <w:p w14:paraId="28A38AC2" w14:textId="7FB6AFCF" w:rsidR="00962A7C" w:rsidRDefault="000A0E42" w:rsidP="00D3520A">
      <w:pPr>
        <w:spacing w:line="480" w:lineRule="auto"/>
        <w:ind w:firstLine="720"/>
      </w:pPr>
      <w:r w:rsidRPr="00D3520A">
        <w:rPr>
          <w:color w:val="000000" w:themeColor="text1"/>
        </w:rPr>
        <w:t xml:space="preserve">Pericytes from </w:t>
      </w:r>
      <w:proofErr w:type="spellStart"/>
      <w:r w:rsidRPr="00435075">
        <w:rPr>
          <w:i/>
          <w:color w:val="000000" w:themeColor="text1"/>
        </w:rPr>
        <w:t>Scx</w:t>
      </w:r>
      <w:r w:rsidRPr="00D3520A">
        <w:rPr>
          <w:color w:val="000000" w:themeColor="text1"/>
        </w:rPr>
        <w:t>GFP</w:t>
      </w:r>
      <w:proofErr w:type="spellEnd"/>
      <w:r w:rsidRPr="00D3520A">
        <w:rPr>
          <w:color w:val="000000" w:themeColor="text1"/>
        </w:rPr>
        <w:t xml:space="preserve"> mice were placed either directly onto plastic, a thin </w:t>
      </w:r>
      <w:r w:rsidR="005C4B24" w:rsidRPr="00D3520A">
        <w:rPr>
          <w:color w:val="000000" w:themeColor="text1"/>
        </w:rPr>
        <w:t>gel</w:t>
      </w:r>
      <w:r w:rsidRPr="00D3520A">
        <w:rPr>
          <w:color w:val="000000" w:themeColor="text1"/>
        </w:rPr>
        <w:t xml:space="preserve"> of growth factor-reduced Matrigel (Corning), or type I collagen reconstituted from rat tail tendons as described </w:t>
      </w:r>
      <w:r w:rsidR="006E2104">
        <w:rPr>
          <w:color w:val="000000" w:themeColor="text1"/>
        </w:rPr>
        <w:fldChar w:fldCharType="begin"/>
      </w:r>
      <w:r w:rsidR="00A1782A">
        <w:rPr>
          <w:color w:val="000000" w:themeColor="text1"/>
        </w:rPr>
        <w:instrText xml:space="preserve"> ADDIN PAPERS2_CITATIONS &lt;citation&gt;&lt;priority&gt;55&lt;/priority&gt;&lt;uuid&gt;2E5E0839-F61F-431A-91EB-3C4523F4ACE6&lt;/uuid&gt;&lt;publications&gt;&lt;publication&gt;&lt;subtype&gt;400&lt;/subtype&gt;&lt;title&gt;Postnatal tendon growth and remodeling require platelet-derived growth factor receptor signaling.&lt;/title&gt;&lt;url&gt;http://www.physiology.org/doi/10.1152/ajpcell.00258.2017&lt;/url&gt;&lt;volume&gt;314&lt;/volume&gt;&lt;publication_date&gt;99201804011200000000222000&lt;/publication_date&gt;&lt;uuid&gt;C788FF91-FC55-49F5-9775-FEBB1C5F0C5A&lt;/uuid&gt;&lt;type&gt;400&lt;/type&gt;&lt;number&gt;4&lt;/number&gt;&lt;doi&gt;10.1152/ajpcell.00258.2017&lt;/doi&gt;&lt;institution&gt;Department of Orthopaedic Surgery, University of Michigan Medical School , Ann Arbor, Michigan.&lt;/institution&gt;&lt;startpage&gt;C389&lt;/startpage&gt;&lt;endpage&gt;C403&lt;/endpage&gt;&lt;bundle&gt;&lt;publication&gt;&lt;title&gt;AJP - Cell Physiology&lt;/title&gt;&lt;uuid&gt;3182AB9F-1479-43F8-9C7B-E7341D73B0E9&lt;/uuid&gt;&lt;subtype&gt;-100&lt;/subtype&gt;&lt;publisher&gt;American Physiological Society&lt;/publisher&gt;&lt;type&gt;-100&lt;/type&gt;&lt;url&gt;http://ajpcell.physiology.org.proxy.lib.umich.edu&lt;/url&gt;&lt;/publication&gt;&lt;/bundle&gt;&lt;authors&gt;&lt;author&gt;&lt;lastName&gt;Sugg&lt;/lastName&gt;&lt;firstName&gt;Kristoffer&lt;/firstName&gt;&lt;middleNames&gt;B&lt;/middleNames&gt;&lt;/author&gt;&lt;author&gt;&lt;lastName&gt;Markworth&lt;/lastName&gt;&lt;firstName&gt;James&lt;/firstName&gt;&lt;middleNames&gt;F&lt;/middleNames&gt;&lt;/author&gt;&lt;author&gt;&lt;lastName&gt;Disser&lt;/lastName&gt;&lt;firstName&gt;Nathaniel&lt;/firstName&gt;&lt;middleNames&gt;P&lt;/middleNames&gt;&lt;/author&gt;&lt;author&gt;&lt;lastName&gt;Rizzi&lt;/lastName&gt;&lt;firstName&gt;Andrew&lt;/firstName&gt;&lt;middleNames&gt;M&lt;/middleNames&gt;&lt;/author&gt;&lt;author&gt;&lt;lastName&gt;Talarek&lt;/lastName&gt;&lt;firstName&gt;Jeffrey&lt;/firstName&gt;&lt;middleNames&gt;R&lt;/middleNames&gt;&lt;/author&gt;&lt;author&gt;&lt;lastName&gt;Sarver&lt;/lastName&gt;&lt;firstName&gt;Dylan&lt;/firstName&gt;&lt;middleNames&gt;C&lt;/middleNames&gt;&lt;/author&gt;&lt;author&gt;&lt;lastName&gt;Brooks&lt;/lastName&gt;&lt;firstName&gt;Susan&lt;/firstName&gt;&lt;middleNames&gt;V&lt;/middleNames&gt;&lt;/author&gt;&lt;author&gt;&lt;lastName&gt;Mendias&lt;/lastName&gt;&lt;firstName&gt;Christopher&lt;/firstName&gt;&lt;middleNames&gt;L&lt;/middleNames&gt;&lt;/author&gt;&lt;/authors&gt;&lt;/publication&gt;&lt;/publications&gt;&lt;cites&gt;&lt;/cites&gt;&lt;/citation&gt;</w:instrText>
      </w:r>
      <w:r w:rsidR="006E2104">
        <w:rPr>
          <w:color w:val="000000" w:themeColor="text1"/>
        </w:rPr>
        <w:fldChar w:fldCharType="separate"/>
      </w:r>
      <w:r w:rsidR="00A1782A">
        <w:rPr>
          <w:rFonts w:cs="Times New Roman"/>
        </w:rPr>
        <w:t>(27)</w:t>
      </w:r>
      <w:r w:rsidR="006E2104">
        <w:rPr>
          <w:color w:val="000000" w:themeColor="text1"/>
        </w:rPr>
        <w:fldChar w:fldCharType="end"/>
      </w:r>
      <w:r w:rsidRPr="00D3520A">
        <w:rPr>
          <w:color w:val="000000" w:themeColor="text1"/>
        </w:rPr>
        <w:t xml:space="preserve">. </w:t>
      </w:r>
      <w:r w:rsidR="00EB288F">
        <w:t xml:space="preserve">General cell morphology and GFP abundance from cells of </w:t>
      </w:r>
      <w:proofErr w:type="spellStart"/>
      <w:r w:rsidR="00EB288F" w:rsidRPr="00435075">
        <w:rPr>
          <w:i/>
        </w:rPr>
        <w:t>Scx</w:t>
      </w:r>
      <w:r w:rsidR="00EB288F">
        <w:t>GFP</w:t>
      </w:r>
      <w:proofErr w:type="spellEnd"/>
      <w:r w:rsidR="00EB288F">
        <w:t xml:space="preserve"> mice was measured by visualizing cells in a</w:t>
      </w:r>
      <w:r w:rsidR="00181E19">
        <w:t>n</w:t>
      </w:r>
      <w:r w:rsidR="00EB288F">
        <w:t xml:space="preserve"> EVOS FL microscope (Thermo Fisher), and overlaying GFP </w:t>
      </w:r>
      <w:r w:rsidR="00EB288F">
        <w:lastRenderedPageBreak/>
        <w:t xml:space="preserve">fluorescence filters with phase contrast images. Pericytes </w:t>
      </w:r>
      <w:r>
        <w:t>from</w:t>
      </w:r>
      <w:r w:rsidR="0048583B">
        <w:t xml:space="preserve"> </w:t>
      </w:r>
      <w:proofErr w:type="spellStart"/>
      <w:r w:rsidR="0048583B" w:rsidRPr="000F50F3">
        <w:rPr>
          <w:i/>
          <w:iCs/>
        </w:rPr>
        <w:t>Scx</w:t>
      </w:r>
      <w:proofErr w:type="spellEnd"/>
      <w:r w:rsidR="0048583B" w:rsidRPr="000F50F3">
        <w:rPr>
          <w:vertAlign w:val="superscript"/>
        </w:rPr>
        <w:t>+</w:t>
      </w:r>
      <w:r w:rsidR="0048583B">
        <w:t xml:space="preserve"> and </w:t>
      </w:r>
      <w:proofErr w:type="spellStart"/>
      <w:r w:rsidR="0048583B" w:rsidRPr="000F50F3">
        <w:rPr>
          <w:i/>
          <w:iCs/>
        </w:rPr>
        <w:t>Scx</w:t>
      </w:r>
      <w:r w:rsidR="0048583B" w:rsidRPr="000F50F3">
        <w:rPr>
          <w:vertAlign w:val="superscript"/>
        </w:rPr>
        <w:t>Δ</w:t>
      </w:r>
      <w:proofErr w:type="spellEnd"/>
      <w:r>
        <w:t xml:space="preserve"> </w:t>
      </w:r>
      <w:r w:rsidR="0048583B">
        <w:t xml:space="preserve">mice </w:t>
      </w:r>
      <w:r>
        <w:t xml:space="preserve">were isolated and cultured on </w:t>
      </w:r>
      <w:r w:rsidR="002C2DD9">
        <w:t xml:space="preserve">type I collagen </w:t>
      </w:r>
      <w:r w:rsidR="005C4B24">
        <w:t>gels</w:t>
      </w:r>
      <w:r w:rsidR="002C2DD9">
        <w:t>, and were expanded in growth medium containing 1</w:t>
      </w:r>
      <w:r w:rsidR="002C2DD9" w:rsidRPr="004D5422">
        <w:t xml:space="preserve">0μM </w:t>
      </w:r>
      <w:r w:rsidR="002C2DD9">
        <w:t xml:space="preserve">of </w:t>
      </w:r>
      <w:r w:rsidR="002C2DD9" w:rsidRPr="004D5422">
        <w:t>4HT</w:t>
      </w:r>
      <w:r w:rsidR="002C2DD9">
        <w:t xml:space="preserve">. RNA was isolated and gene expression analysis was performed as described above. </w:t>
      </w:r>
    </w:p>
    <w:p w14:paraId="250F0C12" w14:textId="77777777" w:rsidR="000553FB" w:rsidRDefault="00962A7C" w:rsidP="006E41A7">
      <w:pPr>
        <w:spacing w:line="480" w:lineRule="auto"/>
      </w:pPr>
      <w:r>
        <w:tab/>
        <w:t xml:space="preserve">Tenocytes were cultured from digested tail tendons, </w:t>
      </w:r>
      <w:r w:rsidR="007C57EE" w:rsidRPr="004D5422">
        <w:t>plated on</w:t>
      </w:r>
      <w:r w:rsidR="007C57EE">
        <w:t xml:space="preserve"> 100mm</w:t>
      </w:r>
      <w:r w:rsidR="007C57EE" w:rsidRPr="004D5422">
        <w:t xml:space="preserve"> type I collagen coated dishes (</w:t>
      </w:r>
      <w:r w:rsidR="007C57EE">
        <w:t xml:space="preserve">Corning) </w:t>
      </w:r>
      <w:r>
        <w:t>and expanded in</w:t>
      </w:r>
      <w:r w:rsidR="004D5422" w:rsidRPr="004D5422">
        <w:t xml:space="preserve"> </w:t>
      </w:r>
      <w:r w:rsidR="002C2DD9">
        <w:t>growth medium</w:t>
      </w:r>
      <w:r w:rsidR="007C57EE">
        <w:t xml:space="preserve">. </w:t>
      </w:r>
      <w:r w:rsidR="004D5422" w:rsidRPr="004D5422">
        <w:t>Fibroblasts were passaged upon reaching 70% confluence onto 6-well dishes coated with type I collagen (</w:t>
      </w:r>
      <w:r w:rsidR="002C2DD9">
        <w:t>Corning</w:t>
      </w:r>
      <w:r w:rsidR="004D5422" w:rsidRPr="004D5422">
        <w:t xml:space="preserve">), and media was switched to DMEM containing 2% horse serum and 1% </w:t>
      </w:r>
      <w:proofErr w:type="spellStart"/>
      <w:r w:rsidR="004D5422" w:rsidRPr="004D5422">
        <w:t>A</w:t>
      </w:r>
      <w:r w:rsidR="007C57EE">
        <w:t>b</w:t>
      </w:r>
      <w:r w:rsidR="004D5422" w:rsidRPr="004D5422">
        <w:t>A</w:t>
      </w:r>
      <w:r w:rsidR="007C57EE">
        <w:t>m</w:t>
      </w:r>
      <w:proofErr w:type="spellEnd"/>
      <w:r w:rsidR="00986DD5">
        <w:t xml:space="preserve"> for a period of two days. RNA was then isolated, and RNAseq and gene expression analysis was performed as described above. </w:t>
      </w:r>
      <w:r w:rsidR="004D5422" w:rsidRPr="004D5422">
        <w:t xml:space="preserve"> </w:t>
      </w:r>
    </w:p>
    <w:p w14:paraId="4D4ECEFA" w14:textId="77777777" w:rsidR="004D5422" w:rsidRDefault="000553FB" w:rsidP="006E41A7">
      <w:pPr>
        <w:spacing w:line="480" w:lineRule="auto"/>
      </w:pPr>
      <w:r>
        <w:tab/>
        <w:t>To measure cell proliferation</w:t>
      </w:r>
      <w:r w:rsidR="008F1AC6">
        <w:t xml:space="preserve"> of</w:t>
      </w:r>
      <w:r>
        <w:t xml:space="preserve"> </w:t>
      </w:r>
      <w:proofErr w:type="spellStart"/>
      <w:r w:rsidRPr="000F50F3">
        <w:rPr>
          <w:i/>
          <w:iCs/>
        </w:rPr>
        <w:t>Scx</w:t>
      </w:r>
      <w:proofErr w:type="spellEnd"/>
      <w:r w:rsidRPr="000F50F3">
        <w:rPr>
          <w:vertAlign w:val="superscript"/>
        </w:rPr>
        <w:t>+</w:t>
      </w:r>
      <w:r>
        <w:t xml:space="preserve"> and </w:t>
      </w:r>
      <w:proofErr w:type="spellStart"/>
      <w:r w:rsidRPr="000F50F3">
        <w:rPr>
          <w:i/>
          <w:iCs/>
        </w:rPr>
        <w:t>Scx</w:t>
      </w:r>
      <w:r w:rsidRPr="000F50F3">
        <w:rPr>
          <w:vertAlign w:val="superscript"/>
        </w:rPr>
        <w:t>Δ</w:t>
      </w:r>
      <w:proofErr w:type="spellEnd"/>
      <w:r>
        <w:t xml:space="preserve"> tenocytes at 50% confluence</w:t>
      </w:r>
      <w:r w:rsidR="008F1AC6">
        <w:t>,</w:t>
      </w:r>
      <w:r>
        <w:t xml:space="preserve"> 20µM of </w:t>
      </w:r>
      <w:proofErr w:type="spellStart"/>
      <w:r>
        <w:t>BrdU</w:t>
      </w:r>
      <w:proofErr w:type="spellEnd"/>
      <w:r>
        <w:t xml:space="preserve"> (Millipore Sigma) was added to </w:t>
      </w:r>
      <w:r w:rsidR="00986DD5">
        <w:t xml:space="preserve">growth </w:t>
      </w:r>
      <w:r>
        <w:t>media</w:t>
      </w:r>
      <w:r w:rsidR="008F1AC6">
        <w:t xml:space="preserve"> for 1h</w:t>
      </w:r>
      <w:r w:rsidR="00B710FE">
        <w:t xml:space="preserve">. Tenocytes </w:t>
      </w:r>
      <w:r w:rsidR="00B710FE" w:rsidRPr="00B710FE">
        <w:t xml:space="preserve">were </w:t>
      </w:r>
      <w:r w:rsidR="00986DD5">
        <w:t xml:space="preserve">then </w:t>
      </w:r>
      <w:r w:rsidR="00B710FE" w:rsidRPr="00B710FE">
        <w:t xml:space="preserve">fixed in ice-cold methanol, permeabilized with 0.5% Triton X-100, and the </w:t>
      </w:r>
      <w:proofErr w:type="spellStart"/>
      <w:r w:rsidR="00B710FE" w:rsidRPr="00B710FE">
        <w:t>BrdU</w:t>
      </w:r>
      <w:proofErr w:type="spellEnd"/>
      <w:r w:rsidR="00B710FE" w:rsidRPr="00B710FE">
        <w:t xml:space="preserve"> epitope was exposed by denaturing DNA </w:t>
      </w:r>
      <w:r w:rsidR="00B710FE">
        <w:t>using</w:t>
      </w:r>
      <w:r w:rsidR="00B710FE" w:rsidRPr="00B710FE">
        <w:t xml:space="preserve"> 2 M HCl. </w:t>
      </w:r>
      <w:r w:rsidR="00B710FE">
        <w:t>Plates</w:t>
      </w:r>
      <w:r w:rsidR="00B710FE" w:rsidRPr="00B710FE">
        <w:t xml:space="preserve"> were then incubated with anti-</w:t>
      </w:r>
      <w:proofErr w:type="spellStart"/>
      <w:r w:rsidR="00B710FE" w:rsidRPr="00B710FE">
        <w:t>BrdU</w:t>
      </w:r>
      <w:proofErr w:type="spellEnd"/>
      <w:r w:rsidR="00B710FE" w:rsidRPr="00B710FE">
        <w:t xml:space="preserve"> antibodies (G3G4, Developmental Studies Hybridoma Bank, Iowa City, IA, USA) and secondary antibodies conjugated to AF555 (A21127, Thermo Fisher), and DAPI. The number of </w:t>
      </w:r>
      <w:proofErr w:type="spellStart"/>
      <w:r w:rsidR="00B710FE" w:rsidRPr="00B710FE">
        <w:t>BrdU</w:t>
      </w:r>
      <w:proofErr w:type="spellEnd"/>
      <w:r w:rsidR="00B710FE" w:rsidRPr="00B710FE">
        <w:rPr>
          <w:vertAlign w:val="superscript"/>
        </w:rPr>
        <w:t>+</w:t>
      </w:r>
      <w:r w:rsidR="00B710FE" w:rsidRPr="00B710FE">
        <w:t xml:space="preserve"> nuclei as a </w:t>
      </w:r>
      <w:r w:rsidR="00B710FE">
        <w:t>percentage</w:t>
      </w:r>
      <w:r w:rsidR="00B710FE" w:rsidRPr="00B710FE">
        <w:t xml:space="preserve"> of total nuclei w</w:t>
      </w:r>
      <w:r w:rsidR="00986DD5">
        <w:t>as</w:t>
      </w:r>
      <w:r w:rsidR="00B710FE" w:rsidRPr="00B710FE">
        <w:t xml:space="preserve"> quantified in </w:t>
      </w:r>
      <w:r w:rsidR="00B710FE">
        <w:t>5</w:t>
      </w:r>
      <w:r w:rsidR="00B710FE" w:rsidRPr="00B710FE">
        <w:t xml:space="preserve"> randomly selected fields of a single experiment from </w:t>
      </w:r>
      <w:r w:rsidR="00B710FE">
        <w:t>6</w:t>
      </w:r>
      <w:r w:rsidR="00B710FE" w:rsidRPr="00B710FE">
        <w:t xml:space="preserve"> independent experiments performed per group. Plates were imaged in an EVOS FL microscope and quantified </w:t>
      </w:r>
      <w:r w:rsidR="00986DD5">
        <w:t>using</w:t>
      </w:r>
      <w:r w:rsidR="00B710FE" w:rsidRPr="00B710FE">
        <w:t xml:space="preserve"> ImageJ.</w:t>
      </w:r>
      <w:r w:rsidR="008F1AC6">
        <w:t xml:space="preserve"> </w:t>
      </w:r>
    </w:p>
    <w:p w14:paraId="63672EC0" w14:textId="007F1275" w:rsidR="00C52040" w:rsidRDefault="00EE291E" w:rsidP="00D3520A">
      <w:pPr>
        <w:spacing w:line="480" w:lineRule="auto"/>
      </w:pPr>
      <w:r>
        <w:tab/>
      </w:r>
      <w:r w:rsidRPr="00EE291E">
        <w:rPr>
          <w:b/>
          <w:i/>
        </w:rPr>
        <w:t>Statistics.</w:t>
      </w:r>
      <w:r w:rsidRPr="00EE291E">
        <w:t xml:space="preserve"> Results are presented as </w:t>
      </w:r>
      <w:proofErr w:type="spellStart"/>
      <w:r w:rsidRPr="00EE291E">
        <w:t>mean±standard</w:t>
      </w:r>
      <w:proofErr w:type="spellEnd"/>
      <w:r w:rsidRPr="00EE291E">
        <w:t xml:space="preserve"> deviation (SD) or </w:t>
      </w:r>
      <w:proofErr w:type="spellStart"/>
      <w:r w:rsidRPr="00EE291E">
        <w:t>mean±coefficient</w:t>
      </w:r>
      <w:proofErr w:type="spellEnd"/>
      <w:r w:rsidRPr="00EE291E">
        <w:t xml:space="preserve"> of variation (CV). Prism version 8.0 (GraphPad Software, La Jolla, CA, USA) was used to conduct statistical analyses for all data except RNAseq. A two-way ANOVA followed by Fisher’s </w:t>
      </w:r>
      <w:r w:rsidRPr="00EE291E">
        <w:rPr>
          <w:i/>
        </w:rPr>
        <w:t>post hoc</w:t>
      </w:r>
      <w:r w:rsidRPr="00EE291E">
        <w:t xml:space="preserve"> sorting (α=0.05) evaluated the interaction between time after synergist ablation and </w:t>
      </w:r>
      <w:proofErr w:type="spellStart"/>
      <w:r w:rsidR="0034490C">
        <w:rPr>
          <w:i/>
        </w:rPr>
        <w:t>Scx</w:t>
      </w:r>
      <w:proofErr w:type="spellEnd"/>
      <w:r w:rsidRPr="00EE291E">
        <w:t xml:space="preserve"> knockdown. For cell culture experiments, differences between groups were tested with an </w:t>
      </w:r>
      <w:r w:rsidRPr="00EE291E">
        <w:lastRenderedPageBreak/>
        <w:t>unpaired Student’s t-test (α=0.05)</w:t>
      </w:r>
      <w:r w:rsidR="00224641">
        <w:t>,</w:t>
      </w:r>
      <w:r w:rsidRPr="00EE291E">
        <w:t xml:space="preserve"> or a </w:t>
      </w:r>
      <w:r w:rsidR="00224641">
        <w:t xml:space="preserve">one- or </w:t>
      </w:r>
      <w:r w:rsidR="0034490C">
        <w:t>two</w:t>
      </w:r>
      <w:r w:rsidRPr="00EE291E">
        <w:t xml:space="preserve">-way ANOVA followed by Fisher’s </w:t>
      </w:r>
      <w:r w:rsidRPr="00EE291E">
        <w:rPr>
          <w:i/>
        </w:rPr>
        <w:t>post hoc</w:t>
      </w:r>
      <w:r w:rsidRPr="00EE291E">
        <w:t xml:space="preserve"> sorting (α=0.05). </w:t>
      </w:r>
      <w:r w:rsidR="00D3520A">
        <w:t xml:space="preserve">For CSA quantification of fibrils, differences between the bins </w:t>
      </w:r>
      <w:r w:rsidR="009B5544">
        <w:t>of the two groups</w:t>
      </w:r>
      <w:r w:rsidR="00D3520A">
        <w:t xml:space="preserve"> were tested with a</w:t>
      </w:r>
      <w:r w:rsidR="00D3520A" w:rsidRPr="00D3520A">
        <w:t xml:space="preserve"> </w:t>
      </w:r>
      <w:r w:rsidR="00D3520A">
        <w:t>Chi-squared test (</w:t>
      </w:r>
      <w:r w:rsidR="00D3520A" w:rsidRPr="00EE291E">
        <w:t>α=0.05).</w:t>
      </w:r>
      <w:r w:rsidR="00D91970">
        <w:t xml:space="preserve"> Replicates for whole tissue experiments are tendons from individual animals, while cell culture experiments represent technical replicates of individual or pooled animals. </w:t>
      </w:r>
    </w:p>
    <w:p w14:paraId="0879651A" w14:textId="7386C567" w:rsidR="00711207" w:rsidRPr="00B710FE" w:rsidRDefault="00711207" w:rsidP="00D3520A">
      <w:pPr>
        <w:spacing w:line="480" w:lineRule="auto"/>
        <w:rPr>
          <w:b/>
        </w:rPr>
      </w:pPr>
      <w:r w:rsidRPr="00711207">
        <w:rPr>
          <w:b/>
          <w:bCs/>
          <w:i/>
          <w:iCs/>
        </w:rPr>
        <w:tab/>
        <w:t>Study Approval.</w:t>
      </w:r>
      <w:r>
        <w:t xml:space="preserve"> A</w:t>
      </w:r>
      <w:r w:rsidRPr="00BA6ADF">
        <w:t xml:space="preserve">nimal studies were approved by the University of Michigan </w:t>
      </w:r>
      <w:r w:rsidR="00A71653">
        <w:t xml:space="preserve">(protocol PRO00003566) </w:t>
      </w:r>
      <w:r w:rsidRPr="00BA6ADF">
        <w:t xml:space="preserve">and Hospital for Special Surgery/Weill Cornell Medical College/Memorial Sloan Kettering </w:t>
      </w:r>
      <w:r w:rsidR="00A71653">
        <w:t xml:space="preserve">(protocol 2017-0035) </w:t>
      </w:r>
      <w:r w:rsidRPr="00BA6ADF">
        <w:t>Institutional Animal Care &amp; Use Committees.</w:t>
      </w:r>
      <w:r>
        <w:t xml:space="preserve"> </w:t>
      </w:r>
      <w:r w:rsidR="00DF0130">
        <w:t xml:space="preserve">Experimental procedures were conducted according to approved protocols and in accordance with the US Public Health Policies on Human Care and Use of Laboratory Animals.  </w:t>
      </w:r>
    </w:p>
    <w:p w14:paraId="342858C2" w14:textId="77777777" w:rsidR="00656A7E" w:rsidRDefault="00656A7E" w:rsidP="006E41A7">
      <w:pPr>
        <w:spacing w:line="480" w:lineRule="auto"/>
      </w:pPr>
    </w:p>
    <w:p w14:paraId="0AE1DACE" w14:textId="77777777" w:rsidR="00E230FD" w:rsidRPr="00BA6ADF" w:rsidRDefault="00E230FD" w:rsidP="006E41A7">
      <w:pPr>
        <w:spacing w:line="480" w:lineRule="auto"/>
      </w:pPr>
      <w:r>
        <w:tab/>
      </w:r>
    </w:p>
    <w:p w14:paraId="1593B986" w14:textId="77777777" w:rsidR="00B27E58" w:rsidRDefault="00B27E58" w:rsidP="006E41A7">
      <w:pPr>
        <w:spacing w:line="480" w:lineRule="auto"/>
      </w:pPr>
    </w:p>
    <w:p w14:paraId="5F41155B" w14:textId="77777777" w:rsidR="001B34F2" w:rsidRDefault="001B34F2" w:rsidP="006E41A7">
      <w:r>
        <w:br w:type="page"/>
      </w:r>
    </w:p>
    <w:p w14:paraId="5EDD2F6E" w14:textId="77777777" w:rsidR="007E2C1C" w:rsidRDefault="007E2C1C" w:rsidP="006E41A7">
      <w:pPr>
        <w:spacing w:line="480" w:lineRule="auto"/>
      </w:pPr>
      <w:r>
        <w:rPr>
          <w:b/>
          <w:bCs/>
        </w:rPr>
        <w:lastRenderedPageBreak/>
        <w:t>Author Contributions</w:t>
      </w:r>
    </w:p>
    <w:p w14:paraId="667173F6" w14:textId="77777777" w:rsidR="00C50E8D" w:rsidRPr="007E2C1C" w:rsidRDefault="007E2C1C" w:rsidP="006E41A7">
      <w:pPr>
        <w:spacing w:line="480" w:lineRule="auto"/>
      </w:pPr>
      <w:r>
        <w:tab/>
        <w:t xml:space="preserve">JPG, </w:t>
      </w:r>
      <w:r w:rsidR="006C6AA4">
        <w:t xml:space="preserve">MMS, and CLM </w:t>
      </w:r>
      <w:r>
        <w:t xml:space="preserve">designed research; </w:t>
      </w:r>
      <w:r w:rsidR="006C6AA4">
        <w:t xml:space="preserve">JPG, MMS, and YAK </w:t>
      </w:r>
      <w:r>
        <w:t xml:space="preserve">performed research; </w:t>
      </w:r>
      <w:r w:rsidR="006C6AA4">
        <w:t xml:space="preserve">JPG, MMS, YAK, EC, and CLM </w:t>
      </w:r>
      <w:r>
        <w:t xml:space="preserve">analyzed data; </w:t>
      </w:r>
      <w:r w:rsidR="006C6AA4">
        <w:t xml:space="preserve">JPG, MMS, and CLM </w:t>
      </w:r>
      <w:r>
        <w:t>drafted and edited the manuscript; all authors approved of the final version of the manuscript.</w:t>
      </w:r>
    </w:p>
    <w:p w14:paraId="297A9EE0" w14:textId="77777777" w:rsidR="00987A57" w:rsidRDefault="00987A57">
      <w:pPr>
        <w:rPr>
          <w:b/>
          <w:bCs/>
        </w:rPr>
      </w:pPr>
      <w:r>
        <w:rPr>
          <w:b/>
          <w:bCs/>
        </w:rPr>
        <w:br w:type="page"/>
      </w:r>
    </w:p>
    <w:p w14:paraId="602DD08A" w14:textId="77777777" w:rsidR="001B34F2" w:rsidRPr="001B34F2" w:rsidRDefault="001B34F2" w:rsidP="006E41A7">
      <w:pPr>
        <w:spacing w:line="480" w:lineRule="auto"/>
        <w:rPr>
          <w:b/>
          <w:bCs/>
        </w:rPr>
      </w:pPr>
      <w:r w:rsidRPr="001B34F2">
        <w:rPr>
          <w:b/>
          <w:bCs/>
        </w:rPr>
        <w:lastRenderedPageBreak/>
        <w:t>Acknowledgements</w:t>
      </w:r>
    </w:p>
    <w:p w14:paraId="58A61DD1" w14:textId="77777777" w:rsidR="001B34F2" w:rsidRDefault="001B34F2" w:rsidP="006E41A7">
      <w:pPr>
        <w:spacing w:line="480" w:lineRule="auto"/>
      </w:pPr>
      <w:r>
        <w:tab/>
      </w:r>
      <w:r w:rsidR="0034490C">
        <w:t xml:space="preserve">The authors would like to acknowledge technical assistance from Dr. Deborah Simpson at the University of Liverpool. </w:t>
      </w:r>
      <w:r w:rsidR="00DF0130">
        <w:t xml:space="preserve">The </w:t>
      </w:r>
      <w:proofErr w:type="spellStart"/>
      <w:r w:rsidR="00DF0130" w:rsidRPr="00DF0130">
        <w:rPr>
          <w:i/>
          <w:iCs/>
        </w:rPr>
        <w:t>Scx</w:t>
      </w:r>
      <w:r w:rsidR="00DF0130">
        <w:t>GFP</w:t>
      </w:r>
      <w:proofErr w:type="spellEnd"/>
      <w:r w:rsidR="00DF0130">
        <w:t xml:space="preserve"> and </w:t>
      </w:r>
      <w:proofErr w:type="spellStart"/>
      <w:r w:rsidR="00DF0130" w:rsidRPr="00DF0130">
        <w:rPr>
          <w:i/>
          <w:iCs/>
        </w:rPr>
        <w:t>Scx</w:t>
      </w:r>
      <w:r w:rsidR="00DF0130" w:rsidRPr="00DF0130">
        <w:rPr>
          <w:vertAlign w:val="superscript"/>
        </w:rPr>
        <w:t>flox</w:t>
      </w:r>
      <w:proofErr w:type="spellEnd"/>
      <w:r w:rsidR="00DF0130">
        <w:t xml:space="preserve"> mice used in this study were kindly provided by Dr. Ronen Schweitzer at the Shriners Hospital for Children in Portland, Oregon. </w:t>
      </w:r>
      <w:r>
        <w:t xml:space="preserve">This work was supported by </w:t>
      </w:r>
      <w:r w:rsidR="0034490C">
        <w:t xml:space="preserve">grants R01-AR063649 and F31-AR065931 from </w:t>
      </w:r>
      <w:r>
        <w:t>the National Institutes of Health.</w:t>
      </w:r>
      <w:r w:rsidR="0034490C">
        <w:t xml:space="preserve"> </w:t>
      </w:r>
    </w:p>
    <w:p w14:paraId="77D2B30A" w14:textId="77777777" w:rsidR="001B34F2" w:rsidRDefault="001B34F2" w:rsidP="006E41A7">
      <w:r>
        <w:br w:type="page"/>
      </w:r>
    </w:p>
    <w:p w14:paraId="692B77D9" w14:textId="77777777" w:rsidR="006E2104" w:rsidRDefault="001B34F2" w:rsidP="006E2104">
      <w:pPr>
        <w:spacing w:line="480" w:lineRule="auto"/>
        <w:rPr>
          <w:b/>
          <w:bCs/>
        </w:rPr>
      </w:pPr>
      <w:r w:rsidRPr="001B34F2">
        <w:rPr>
          <w:b/>
          <w:bCs/>
        </w:rPr>
        <w:lastRenderedPageBreak/>
        <w:t>References</w:t>
      </w:r>
    </w:p>
    <w:p w14:paraId="1073CF62"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 Davis ME, Gumucio JP, Sugg KB, </w:t>
      </w:r>
      <w:proofErr w:type="spellStart"/>
      <w:r>
        <w:rPr>
          <w:rFonts w:cs="Times New Roman"/>
        </w:rPr>
        <w:t>Bedi</w:t>
      </w:r>
      <w:proofErr w:type="spellEnd"/>
      <w:r>
        <w:rPr>
          <w:rFonts w:cs="Times New Roman"/>
        </w:rPr>
        <w:t xml:space="preserve"> A, Mendias CL. MMP inhibition as a potential method to augment the healing of skeletal muscle and tendon extracellular matrix. </w:t>
      </w:r>
      <w:r>
        <w:rPr>
          <w:rFonts w:cs="Times New Roman"/>
          <w:i/>
          <w:iCs/>
        </w:rPr>
        <w:t xml:space="preserve">J Appl </w:t>
      </w:r>
      <w:proofErr w:type="spellStart"/>
      <w:r>
        <w:rPr>
          <w:rFonts w:cs="Times New Roman"/>
          <w:i/>
          <w:iCs/>
        </w:rPr>
        <w:t>Physiol</w:t>
      </w:r>
      <w:proofErr w:type="spellEnd"/>
      <w:r>
        <w:rPr>
          <w:rFonts w:cs="Times New Roman"/>
        </w:rPr>
        <w:t xml:space="preserve"> 2013;115(6):884–891.</w:t>
      </w:r>
    </w:p>
    <w:p w14:paraId="45E792B5"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 Gumucio JP, Sugg KB, Mendias CL. TGF-β Superfamily Signaling in Muscle and Tendon Adaptation to Resistance Exercise. </w:t>
      </w:r>
      <w:proofErr w:type="spellStart"/>
      <w:r>
        <w:rPr>
          <w:rFonts w:cs="Times New Roman"/>
          <w:i/>
          <w:iCs/>
        </w:rPr>
        <w:t>Exerc</w:t>
      </w:r>
      <w:proofErr w:type="spellEnd"/>
      <w:r>
        <w:rPr>
          <w:rFonts w:cs="Times New Roman"/>
          <w:i/>
          <w:iCs/>
        </w:rPr>
        <w:t xml:space="preserve"> Sport Sci Rev</w:t>
      </w:r>
      <w:r>
        <w:rPr>
          <w:rFonts w:cs="Times New Roman"/>
        </w:rPr>
        <w:t xml:space="preserve"> 2015;43(2):93–99.</w:t>
      </w:r>
    </w:p>
    <w:p w14:paraId="5FF3F4C1"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 Noah AC et al. Adaptive and innate immune cell responses in tendons and lymph nodes after tendon injury and repair. </w:t>
      </w:r>
      <w:r>
        <w:rPr>
          <w:rFonts w:cs="Times New Roman"/>
          <w:i/>
          <w:iCs/>
        </w:rPr>
        <w:t xml:space="preserve">J Appl </w:t>
      </w:r>
      <w:proofErr w:type="spellStart"/>
      <w:r>
        <w:rPr>
          <w:rFonts w:cs="Times New Roman"/>
          <w:i/>
          <w:iCs/>
        </w:rPr>
        <w:t>Physiol</w:t>
      </w:r>
      <w:proofErr w:type="spellEnd"/>
      <w:r>
        <w:rPr>
          <w:rFonts w:cs="Times New Roman"/>
        </w:rPr>
        <w:t xml:space="preserve"> 2020;128(3):473–482.</w:t>
      </w:r>
    </w:p>
    <w:p w14:paraId="2D018980"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 Lee AH, Elliott DM. Comparative multi-scale hierarchical structure of the tail, plantaris, and Achilles tendons in the rat. </w:t>
      </w:r>
      <w:r>
        <w:rPr>
          <w:rFonts w:cs="Times New Roman"/>
          <w:i/>
          <w:iCs/>
        </w:rPr>
        <w:t>J Anat</w:t>
      </w:r>
      <w:r>
        <w:rPr>
          <w:rFonts w:cs="Times New Roman"/>
        </w:rPr>
        <w:t xml:space="preserve"> 2019;234(2):252–262.</w:t>
      </w:r>
    </w:p>
    <w:p w14:paraId="2F04B0DE"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5. Magnusson SP, </w:t>
      </w:r>
      <w:proofErr w:type="spellStart"/>
      <w:r>
        <w:rPr>
          <w:rFonts w:cs="Times New Roman"/>
        </w:rPr>
        <w:t>Kjaer</w:t>
      </w:r>
      <w:proofErr w:type="spellEnd"/>
      <w:r>
        <w:rPr>
          <w:rFonts w:cs="Times New Roman"/>
        </w:rPr>
        <w:t xml:space="preserve"> M. The impact of loading, unloading, ageing and injury on the human tendon. </w:t>
      </w:r>
      <w:r>
        <w:rPr>
          <w:rFonts w:cs="Times New Roman"/>
          <w:i/>
          <w:iCs/>
        </w:rPr>
        <w:t xml:space="preserve">J </w:t>
      </w:r>
      <w:proofErr w:type="spellStart"/>
      <w:r>
        <w:rPr>
          <w:rFonts w:cs="Times New Roman"/>
          <w:i/>
          <w:iCs/>
        </w:rPr>
        <w:t>Physiol</w:t>
      </w:r>
      <w:proofErr w:type="spellEnd"/>
      <w:r>
        <w:rPr>
          <w:rFonts w:cs="Times New Roman"/>
          <w:i/>
          <w:iCs/>
        </w:rPr>
        <w:t xml:space="preserve"> (</w:t>
      </w:r>
      <w:proofErr w:type="spellStart"/>
      <w:r>
        <w:rPr>
          <w:rFonts w:cs="Times New Roman"/>
          <w:i/>
          <w:iCs/>
        </w:rPr>
        <w:t>Lond</w:t>
      </w:r>
      <w:proofErr w:type="spellEnd"/>
      <w:r>
        <w:rPr>
          <w:rFonts w:cs="Times New Roman"/>
          <w:i/>
          <w:iCs/>
        </w:rPr>
        <w:t>)</w:t>
      </w:r>
      <w:r>
        <w:rPr>
          <w:rFonts w:cs="Times New Roman"/>
        </w:rPr>
        <w:t xml:space="preserve"> 2019;597(5):1283–1298.</w:t>
      </w:r>
    </w:p>
    <w:p w14:paraId="6202056B"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6. Mendias CL, Gumucio JP, </w:t>
      </w:r>
      <w:proofErr w:type="spellStart"/>
      <w:r>
        <w:rPr>
          <w:rFonts w:cs="Times New Roman"/>
        </w:rPr>
        <w:t>Bakhurin</w:t>
      </w:r>
      <w:proofErr w:type="spellEnd"/>
      <w:r>
        <w:rPr>
          <w:rFonts w:cs="Times New Roman"/>
        </w:rPr>
        <w:t xml:space="preserve"> KI, Lynch EB, Brooks SV. Physiological loading of tendons induces scleraxis expression in epitenon fibroblasts. </w:t>
      </w:r>
      <w:r>
        <w:rPr>
          <w:rFonts w:cs="Times New Roman"/>
          <w:i/>
          <w:iCs/>
        </w:rPr>
        <w:t xml:space="preserve">J </w:t>
      </w:r>
      <w:proofErr w:type="spellStart"/>
      <w:r>
        <w:rPr>
          <w:rFonts w:cs="Times New Roman"/>
          <w:i/>
          <w:iCs/>
        </w:rPr>
        <w:t>Orthop</w:t>
      </w:r>
      <w:proofErr w:type="spellEnd"/>
      <w:r>
        <w:rPr>
          <w:rFonts w:cs="Times New Roman"/>
          <w:i/>
          <w:iCs/>
        </w:rPr>
        <w:t xml:space="preserve"> Res</w:t>
      </w:r>
      <w:r>
        <w:rPr>
          <w:rFonts w:cs="Times New Roman"/>
        </w:rPr>
        <w:t xml:space="preserve"> 2012;30(4):606–612.</w:t>
      </w:r>
    </w:p>
    <w:p w14:paraId="0296D2BC"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7. </w:t>
      </w:r>
      <w:proofErr w:type="spellStart"/>
      <w:r>
        <w:rPr>
          <w:rFonts w:cs="Times New Roman"/>
        </w:rPr>
        <w:t>Kjaer</w:t>
      </w:r>
      <w:proofErr w:type="spellEnd"/>
      <w:r>
        <w:rPr>
          <w:rFonts w:cs="Times New Roman"/>
        </w:rPr>
        <w:t xml:space="preserve"> M et al. Extracellular matrix adaptation of tendon and skeletal muscle to exercise. </w:t>
      </w:r>
      <w:r>
        <w:rPr>
          <w:rFonts w:cs="Times New Roman"/>
          <w:i/>
          <w:iCs/>
        </w:rPr>
        <w:t>J Anat</w:t>
      </w:r>
      <w:r>
        <w:rPr>
          <w:rFonts w:cs="Times New Roman"/>
        </w:rPr>
        <w:t xml:space="preserve"> 2006;208(4):445–450.</w:t>
      </w:r>
    </w:p>
    <w:p w14:paraId="6F1F293F"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8. Murchison ND et al. Regulation of tendon differentiation by scleraxis distinguishes force-transmitting tendons from muscle-anchoring tendons. </w:t>
      </w:r>
      <w:r>
        <w:rPr>
          <w:rFonts w:cs="Times New Roman"/>
          <w:i/>
          <w:iCs/>
        </w:rPr>
        <w:t>Development</w:t>
      </w:r>
      <w:r>
        <w:rPr>
          <w:rFonts w:cs="Times New Roman"/>
        </w:rPr>
        <w:t xml:space="preserve"> 2007;134(14):2697–2708.</w:t>
      </w:r>
    </w:p>
    <w:p w14:paraId="197E4383"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9. Pryce BA et al. Recruitment and maintenance of tendon progenitors by TGF{beta} signaling are essential for tendon formation. </w:t>
      </w:r>
      <w:r>
        <w:rPr>
          <w:rFonts w:cs="Times New Roman"/>
          <w:i/>
          <w:iCs/>
        </w:rPr>
        <w:t>Development</w:t>
      </w:r>
      <w:r>
        <w:rPr>
          <w:rFonts w:cs="Times New Roman"/>
        </w:rPr>
        <w:t xml:space="preserve"> 2009;136(8):1351–1361.</w:t>
      </w:r>
    </w:p>
    <w:p w14:paraId="1BF0B91B"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10. Huang AH, Lu HH, Schweitzer R. Molecular regulation of tendon cell fate during development. </w:t>
      </w:r>
      <w:r>
        <w:rPr>
          <w:rFonts w:cs="Times New Roman"/>
          <w:i/>
          <w:iCs/>
        </w:rPr>
        <w:t xml:space="preserve">J </w:t>
      </w:r>
      <w:proofErr w:type="spellStart"/>
      <w:r>
        <w:rPr>
          <w:rFonts w:cs="Times New Roman"/>
          <w:i/>
          <w:iCs/>
        </w:rPr>
        <w:t>Orthop</w:t>
      </w:r>
      <w:proofErr w:type="spellEnd"/>
      <w:r>
        <w:rPr>
          <w:rFonts w:cs="Times New Roman"/>
          <w:i/>
          <w:iCs/>
        </w:rPr>
        <w:t xml:space="preserve"> Res</w:t>
      </w:r>
      <w:r>
        <w:rPr>
          <w:rFonts w:cs="Times New Roman"/>
        </w:rPr>
        <w:t xml:space="preserve"> 2015;33(6):800–812.</w:t>
      </w:r>
    </w:p>
    <w:p w14:paraId="7CFA0357"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lastRenderedPageBreak/>
        <w:t xml:space="preserve">11. Carlberg AL, Tuan RS, Hall DJ. Regulation of scleraxis function by interaction with the </w:t>
      </w:r>
      <w:proofErr w:type="spellStart"/>
      <w:r>
        <w:rPr>
          <w:rFonts w:cs="Times New Roman"/>
        </w:rPr>
        <w:t>bHLH</w:t>
      </w:r>
      <w:proofErr w:type="spellEnd"/>
      <w:r>
        <w:rPr>
          <w:rFonts w:cs="Times New Roman"/>
        </w:rPr>
        <w:t xml:space="preserve"> protein E47. </w:t>
      </w:r>
      <w:r>
        <w:rPr>
          <w:rFonts w:cs="Times New Roman"/>
          <w:i/>
          <w:iCs/>
        </w:rPr>
        <w:t xml:space="preserve">Mol Cell Biol Res </w:t>
      </w:r>
      <w:proofErr w:type="spellStart"/>
      <w:r>
        <w:rPr>
          <w:rFonts w:cs="Times New Roman"/>
          <w:i/>
          <w:iCs/>
        </w:rPr>
        <w:t>Commun</w:t>
      </w:r>
      <w:proofErr w:type="spellEnd"/>
      <w:r>
        <w:rPr>
          <w:rFonts w:cs="Times New Roman"/>
        </w:rPr>
        <w:t xml:space="preserve"> 2000;3(2):82–86.</w:t>
      </w:r>
    </w:p>
    <w:p w14:paraId="1E5F2C33"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12. </w:t>
      </w:r>
      <w:proofErr w:type="spellStart"/>
      <w:r>
        <w:rPr>
          <w:rFonts w:cs="Times New Roman"/>
        </w:rPr>
        <w:t>Léjard</w:t>
      </w:r>
      <w:proofErr w:type="spellEnd"/>
      <w:r>
        <w:rPr>
          <w:rFonts w:cs="Times New Roman"/>
        </w:rPr>
        <w:t xml:space="preserve"> V et al. Scleraxis and </w:t>
      </w:r>
      <w:proofErr w:type="spellStart"/>
      <w:r>
        <w:rPr>
          <w:rFonts w:cs="Times New Roman"/>
        </w:rPr>
        <w:t>NFATc</w:t>
      </w:r>
      <w:proofErr w:type="spellEnd"/>
      <w:r>
        <w:rPr>
          <w:rFonts w:cs="Times New Roman"/>
        </w:rPr>
        <w:t xml:space="preserve"> regulate the expression of the pro-alpha1(I) collagen gene in tendon fibroblasts. </w:t>
      </w:r>
      <w:r>
        <w:rPr>
          <w:rFonts w:cs="Times New Roman"/>
          <w:i/>
          <w:iCs/>
        </w:rPr>
        <w:t>J Biol Chem</w:t>
      </w:r>
      <w:r>
        <w:rPr>
          <w:rFonts w:cs="Times New Roman"/>
        </w:rPr>
        <w:t xml:space="preserve"> 2007;282(24):17665–17675.</w:t>
      </w:r>
    </w:p>
    <w:p w14:paraId="442F634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13. </w:t>
      </w:r>
      <w:proofErr w:type="spellStart"/>
      <w:r>
        <w:rPr>
          <w:rFonts w:cs="Times New Roman"/>
        </w:rPr>
        <w:t>Shukunami</w:t>
      </w:r>
      <w:proofErr w:type="spellEnd"/>
      <w:r>
        <w:rPr>
          <w:rFonts w:cs="Times New Roman"/>
        </w:rPr>
        <w:t xml:space="preserve"> C, </w:t>
      </w:r>
      <w:proofErr w:type="spellStart"/>
      <w:r>
        <w:rPr>
          <w:rFonts w:cs="Times New Roman"/>
        </w:rPr>
        <w:t>Takimoto</w:t>
      </w:r>
      <w:proofErr w:type="spellEnd"/>
      <w:r>
        <w:rPr>
          <w:rFonts w:cs="Times New Roman"/>
        </w:rPr>
        <w:t xml:space="preserve"> A, Oro M, </w:t>
      </w:r>
      <w:proofErr w:type="spellStart"/>
      <w:r>
        <w:rPr>
          <w:rFonts w:cs="Times New Roman"/>
        </w:rPr>
        <w:t>Hiraki</w:t>
      </w:r>
      <w:proofErr w:type="spellEnd"/>
      <w:r>
        <w:rPr>
          <w:rFonts w:cs="Times New Roman"/>
        </w:rPr>
        <w:t xml:space="preserve"> Y. Scleraxis positively regulates the expression of tenomodulin, a differentiation marker of tenocytes. </w:t>
      </w:r>
      <w:r>
        <w:rPr>
          <w:rFonts w:cs="Times New Roman"/>
          <w:i/>
          <w:iCs/>
        </w:rPr>
        <w:t>Dev Biol</w:t>
      </w:r>
      <w:r>
        <w:rPr>
          <w:rFonts w:cs="Times New Roman"/>
        </w:rPr>
        <w:t xml:space="preserve"> 2006;298(1):234–247.</w:t>
      </w:r>
    </w:p>
    <w:p w14:paraId="6900E1A7"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14. Gumucio JP, Phan AC, Ruehlmann DG, Noah AC, Mendias CL. Synergist ablation induces rapid tendon growth through the synthesis of a neotendon matrix. </w:t>
      </w:r>
      <w:r>
        <w:rPr>
          <w:rFonts w:cs="Times New Roman"/>
          <w:i/>
          <w:iCs/>
        </w:rPr>
        <w:t xml:space="preserve">J Appl </w:t>
      </w:r>
      <w:proofErr w:type="spellStart"/>
      <w:r>
        <w:rPr>
          <w:rFonts w:cs="Times New Roman"/>
          <w:i/>
          <w:iCs/>
        </w:rPr>
        <w:t>Physiol</w:t>
      </w:r>
      <w:proofErr w:type="spellEnd"/>
      <w:r>
        <w:rPr>
          <w:rFonts w:cs="Times New Roman"/>
        </w:rPr>
        <w:t xml:space="preserve"> 2014;117(11):1287–1291.</w:t>
      </w:r>
    </w:p>
    <w:p w14:paraId="61DDA05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15. Schwartz AJ et al. p38 MAPK Signaling in Postnatal Tendon Growth and Remodeling. </w:t>
      </w:r>
      <w:proofErr w:type="spellStart"/>
      <w:r>
        <w:rPr>
          <w:rFonts w:cs="Times New Roman"/>
          <w:i/>
          <w:iCs/>
        </w:rPr>
        <w:t>PLoS</w:t>
      </w:r>
      <w:proofErr w:type="spellEnd"/>
      <w:r>
        <w:rPr>
          <w:rFonts w:cs="Times New Roman"/>
          <w:i/>
          <w:iCs/>
        </w:rPr>
        <w:t xml:space="preserve"> ONE</w:t>
      </w:r>
      <w:r>
        <w:rPr>
          <w:rFonts w:cs="Times New Roman"/>
        </w:rPr>
        <w:t xml:space="preserve"> 2015;10(3):e0120044.</w:t>
      </w:r>
    </w:p>
    <w:p w14:paraId="0E5D90FD"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16. </w:t>
      </w:r>
      <w:proofErr w:type="spellStart"/>
      <w:r>
        <w:rPr>
          <w:rFonts w:cs="Times New Roman"/>
        </w:rPr>
        <w:t>Dideriksen</w:t>
      </w:r>
      <w:proofErr w:type="spellEnd"/>
      <w:r>
        <w:rPr>
          <w:rFonts w:cs="Times New Roman"/>
        </w:rPr>
        <w:t xml:space="preserve"> K et al. Tendon collagen synthesis declines with immobilization in elderly humans: no effect of anti-inflammatory medication. </w:t>
      </w:r>
      <w:r>
        <w:rPr>
          <w:rFonts w:cs="Times New Roman"/>
          <w:i/>
          <w:iCs/>
        </w:rPr>
        <w:t xml:space="preserve">J Appl </w:t>
      </w:r>
      <w:proofErr w:type="spellStart"/>
      <w:r>
        <w:rPr>
          <w:rFonts w:cs="Times New Roman"/>
          <w:i/>
          <w:iCs/>
        </w:rPr>
        <w:t>Physiol</w:t>
      </w:r>
      <w:proofErr w:type="spellEnd"/>
      <w:r>
        <w:rPr>
          <w:rFonts w:cs="Times New Roman"/>
        </w:rPr>
        <w:t xml:space="preserve"> 2017;122(2):273–282.</w:t>
      </w:r>
    </w:p>
    <w:p w14:paraId="368FE9C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17. Caplan AI. New MSC: MSCs as pericytes are Sentinels and gatekeepers. </w:t>
      </w:r>
      <w:r>
        <w:rPr>
          <w:rFonts w:cs="Times New Roman"/>
          <w:i/>
          <w:iCs/>
        </w:rPr>
        <w:t xml:space="preserve">J </w:t>
      </w:r>
      <w:proofErr w:type="spellStart"/>
      <w:r>
        <w:rPr>
          <w:rFonts w:cs="Times New Roman"/>
          <w:i/>
          <w:iCs/>
        </w:rPr>
        <w:t>Orthop</w:t>
      </w:r>
      <w:proofErr w:type="spellEnd"/>
      <w:r>
        <w:rPr>
          <w:rFonts w:cs="Times New Roman"/>
          <w:i/>
          <w:iCs/>
        </w:rPr>
        <w:t xml:space="preserve"> Res</w:t>
      </w:r>
      <w:r>
        <w:rPr>
          <w:rFonts w:cs="Times New Roman"/>
        </w:rPr>
        <w:t xml:space="preserve"> 2017;35(6):1151–1159.</w:t>
      </w:r>
    </w:p>
    <w:p w14:paraId="4A08C6D8"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18. Lee CH et al. Harnessing endogenous stem/progenitor cells for tendon regeneration. </w:t>
      </w:r>
      <w:r>
        <w:rPr>
          <w:rFonts w:cs="Times New Roman"/>
          <w:i/>
          <w:iCs/>
        </w:rPr>
        <w:t>J Clin Invest</w:t>
      </w:r>
      <w:r>
        <w:rPr>
          <w:rFonts w:cs="Times New Roman"/>
        </w:rPr>
        <w:t xml:space="preserve"> 2015;125(7):2690–2701.</w:t>
      </w:r>
    </w:p>
    <w:p w14:paraId="4DC12BD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19. Tan Q, Lui PPY, Lee YW. In vivo identity of tendon stem cells and the roles of stem cells in tendon healing. </w:t>
      </w:r>
      <w:r>
        <w:rPr>
          <w:rFonts w:cs="Times New Roman"/>
          <w:i/>
          <w:iCs/>
        </w:rPr>
        <w:t>Stem Cells Dev</w:t>
      </w:r>
      <w:r>
        <w:rPr>
          <w:rFonts w:cs="Times New Roman"/>
        </w:rPr>
        <w:t xml:space="preserve"> 2013;22(23):3128–3140.</w:t>
      </w:r>
    </w:p>
    <w:p w14:paraId="06BC2CCE"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20. Tan G-K et al. Tgfβ signaling is critical for maintenance of the tendon cell fate. </w:t>
      </w:r>
      <w:proofErr w:type="spellStart"/>
      <w:r>
        <w:rPr>
          <w:rFonts w:cs="Times New Roman"/>
          <w:i/>
          <w:iCs/>
        </w:rPr>
        <w:t>Elife</w:t>
      </w:r>
      <w:proofErr w:type="spellEnd"/>
      <w:r>
        <w:rPr>
          <w:rFonts w:cs="Times New Roman"/>
        </w:rPr>
        <w:t xml:space="preserve"> 2020;9:7025.</w:t>
      </w:r>
    </w:p>
    <w:p w14:paraId="7C0F8FCF"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21. </w:t>
      </w:r>
      <w:proofErr w:type="spellStart"/>
      <w:r>
        <w:rPr>
          <w:rFonts w:cs="Times New Roman"/>
        </w:rPr>
        <w:t>Felsenthal</w:t>
      </w:r>
      <w:proofErr w:type="spellEnd"/>
      <w:r>
        <w:rPr>
          <w:rFonts w:cs="Times New Roman"/>
        </w:rPr>
        <w:t xml:space="preserve"> N et al. Development of migrating tendon-bone attachments involves replacement of progenitor populations. </w:t>
      </w:r>
      <w:r>
        <w:rPr>
          <w:rFonts w:cs="Times New Roman"/>
          <w:i/>
          <w:iCs/>
        </w:rPr>
        <w:t>Development</w:t>
      </w:r>
      <w:r>
        <w:rPr>
          <w:rFonts w:cs="Times New Roman"/>
        </w:rPr>
        <w:t xml:space="preserve"> 2018;145(24):dev165381.</w:t>
      </w:r>
    </w:p>
    <w:p w14:paraId="7C0CE225"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lastRenderedPageBreak/>
        <w:t xml:space="preserve">22. Schwartz AG, Long F, </w:t>
      </w:r>
      <w:proofErr w:type="spellStart"/>
      <w:r>
        <w:rPr>
          <w:rFonts w:cs="Times New Roman"/>
        </w:rPr>
        <w:t>Thomopoulos</w:t>
      </w:r>
      <w:proofErr w:type="spellEnd"/>
      <w:r>
        <w:rPr>
          <w:rFonts w:cs="Times New Roman"/>
        </w:rPr>
        <w:t xml:space="preserve"> S. Enthesis fibrocartilage cells originate from a population of Hedgehog-responsive cells modulated by the loading environment. </w:t>
      </w:r>
      <w:r>
        <w:rPr>
          <w:rFonts w:cs="Times New Roman"/>
          <w:i/>
          <w:iCs/>
        </w:rPr>
        <w:t>Development</w:t>
      </w:r>
      <w:r>
        <w:rPr>
          <w:rFonts w:cs="Times New Roman"/>
        </w:rPr>
        <w:t xml:space="preserve"> 2015;142(1):196–206.</w:t>
      </w:r>
    </w:p>
    <w:p w14:paraId="154C9FA7"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23. Huang AH et al. Requirement for scleraxis in the recruitment of mesenchymal progenitors during embryonic tendon elongation. </w:t>
      </w:r>
      <w:r>
        <w:rPr>
          <w:rFonts w:cs="Times New Roman"/>
          <w:i/>
          <w:iCs/>
        </w:rPr>
        <w:t>Development</w:t>
      </w:r>
      <w:r>
        <w:rPr>
          <w:rFonts w:cs="Times New Roman"/>
        </w:rPr>
        <w:t xml:space="preserve"> 2019;146(20):dev182782.</w:t>
      </w:r>
    </w:p>
    <w:p w14:paraId="37958709"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24. Olesen JL et al. Expression of insulin-like growth factor I, insulin-like growth factor binding proteins, and collagen mRNA in mechanically loaded plantaris tendon. </w:t>
      </w:r>
      <w:r>
        <w:rPr>
          <w:rFonts w:cs="Times New Roman"/>
          <w:i/>
          <w:iCs/>
        </w:rPr>
        <w:t xml:space="preserve">J Appl </w:t>
      </w:r>
      <w:proofErr w:type="spellStart"/>
      <w:r>
        <w:rPr>
          <w:rFonts w:cs="Times New Roman"/>
          <w:i/>
          <w:iCs/>
        </w:rPr>
        <w:t>Physiol</w:t>
      </w:r>
      <w:proofErr w:type="spellEnd"/>
      <w:r>
        <w:rPr>
          <w:rFonts w:cs="Times New Roman"/>
        </w:rPr>
        <w:t xml:space="preserve"> 2006;101(1):183–188.</w:t>
      </w:r>
    </w:p>
    <w:p w14:paraId="7E6A350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25. Calve S, Isaac J, Gumucio JP, Mendias CL. Hyaluronic acid, HAS1, and HAS2 are significantly upregulated during muscle hypertrophy. </w:t>
      </w:r>
      <w:r>
        <w:rPr>
          <w:rFonts w:cs="Times New Roman"/>
          <w:i/>
          <w:iCs/>
        </w:rPr>
        <w:t>AJP - Cell Physiology</w:t>
      </w:r>
      <w:r>
        <w:rPr>
          <w:rFonts w:cs="Times New Roman"/>
        </w:rPr>
        <w:t xml:space="preserve"> 2012;303(5):C577–88.</w:t>
      </w:r>
    </w:p>
    <w:p w14:paraId="4B81B97E"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26. </w:t>
      </w:r>
      <w:proofErr w:type="spellStart"/>
      <w:r>
        <w:rPr>
          <w:rFonts w:cs="Times New Roman"/>
        </w:rPr>
        <w:t>Disser</w:t>
      </w:r>
      <w:proofErr w:type="spellEnd"/>
      <w:r>
        <w:rPr>
          <w:rFonts w:cs="Times New Roman"/>
        </w:rPr>
        <w:t xml:space="preserve"> NP et al. Insulin-like growth factor 1 signaling in tenocytes is required for adult tendon growth. </w:t>
      </w:r>
      <w:r>
        <w:rPr>
          <w:rFonts w:cs="Times New Roman"/>
          <w:i/>
          <w:iCs/>
        </w:rPr>
        <w:t>The FASEB Journal</w:t>
      </w:r>
      <w:r>
        <w:rPr>
          <w:rFonts w:cs="Times New Roman"/>
        </w:rPr>
        <w:t xml:space="preserve"> 2019;33(11):12680–12695.</w:t>
      </w:r>
    </w:p>
    <w:p w14:paraId="4AB5F02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27. Sugg KB et al. Postnatal tendon growth and remodeling require platelet-derived growth factor receptor signaling. </w:t>
      </w:r>
      <w:r>
        <w:rPr>
          <w:rFonts w:cs="Times New Roman"/>
          <w:i/>
          <w:iCs/>
        </w:rPr>
        <w:t>AJP - Cell Physiology</w:t>
      </w:r>
      <w:r>
        <w:rPr>
          <w:rFonts w:cs="Times New Roman"/>
        </w:rPr>
        <w:t xml:space="preserve"> 2018;314(4):C389–C403.</w:t>
      </w:r>
    </w:p>
    <w:p w14:paraId="40CB497C"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28. Grinstein M et al. A distinct transition from cell growth to physiological homeostasis in the tendon. </w:t>
      </w:r>
      <w:proofErr w:type="spellStart"/>
      <w:r>
        <w:rPr>
          <w:rFonts w:cs="Times New Roman"/>
          <w:i/>
          <w:iCs/>
        </w:rPr>
        <w:t>Elife</w:t>
      </w:r>
      <w:proofErr w:type="spellEnd"/>
      <w:r>
        <w:rPr>
          <w:rFonts w:cs="Times New Roman"/>
        </w:rPr>
        <w:t xml:space="preserve"> 2019;8:2716.</w:t>
      </w:r>
    </w:p>
    <w:p w14:paraId="51CEE5CC"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29. Bi Y et al. Identification of tendon stem/progenitor cells and the role of the extracellular matrix in their niche. </w:t>
      </w:r>
      <w:r>
        <w:rPr>
          <w:rFonts w:cs="Times New Roman"/>
          <w:i/>
          <w:iCs/>
        </w:rPr>
        <w:t>Nat Med</w:t>
      </w:r>
      <w:r>
        <w:rPr>
          <w:rFonts w:cs="Times New Roman"/>
        </w:rPr>
        <w:t xml:space="preserve"> 2007;13(10):1219–1227.</w:t>
      </w:r>
    </w:p>
    <w:p w14:paraId="0952B574"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30. </w:t>
      </w:r>
      <w:proofErr w:type="spellStart"/>
      <w:r>
        <w:rPr>
          <w:rFonts w:cs="Times New Roman"/>
        </w:rPr>
        <w:t>Tarafder</w:t>
      </w:r>
      <w:proofErr w:type="spellEnd"/>
      <w:r>
        <w:rPr>
          <w:rFonts w:cs="Times New Roman"/>
        </w:rPr>
        <w:t xml:space="preserve"> S et al. Tendon stem/progenitor cells regulate inflammation in tendon healing via JNK and STAT3 signaling. </w:t>
      </w:r>
      <w:r>
        <w:rPr>
          <w:rFonts w:cs="Times New Roman"/>
          <w:i/>
          <w:iCs/>
        </w:rPr>
        <w:t>The FASEB Journal</w:t>
      </w:r>
      <w:r>
        <w:rPr>
          <w:rFonts w:cs="Times New Roman"/>
        </w:rPr>
        <w:t xml:space="preserve"> 2017;31(9):3991–3998.</w:t>
      </w:r>
    </w:p>
    <w:p w14:paraId="4507DDA9"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31. </w:t>
      </w:r>
      <w:proofErr w:type="spellStart"/>
      <w:r>
        <w:rPr>
          <w:rFonts w:cs="Times New Roman"/>
        </w:rPr>
        <w:t>Docheva</w:t>
      </w:r>
      <w:proofErr w:type="spellEnd"/>
      <w:r>
        <w:rPr>
          <w:rFonts w:cs="Times New Roman"/>
        </w:rPr>
        <w:t xml:space="preserve"> D, </w:t>
      </w:r>
      <w:proofErr w:type="spellStart"/>
      <w:r>
        <w:rPr>
          <w:rFonts w:cs="Times New Roman"/>
        </w:rPr>
        <w:t>Hunziker</w:t>
      </w:r>
      <w:proofErr w:type="spellEnd"/>
      <w:r>
        <w:rPr>
          <w:rFonts w:cs="Times New Roman"/>
        </w:rPr>
        <w:t xml:space="preserve"> EB, </w:t>
      </w:r>
      <w:proofErr w:type="spellStart"/>
      <w:r>
        <w:rPr>
          <w:rFonts w:cs="Times New Roman"/>
        </w:rPr>
        <w:t>Fässler</w:t>
      </w:r>
      <w:proofErr w:type="spellEnd"/>
      <w:r>
        <w:rPr>
          <w:rFonts w:cs="Times New Roman"/>
        </w:rPr>
        <w:t xml:space="preserve"> R, </w:t>
      </w:r>
      <w:proofErr w:type="spellStart"/>
      <w:r>
        <w:rPr>
          <w:rFonts w:cs="Times New Roman"/>
        </w:rPr>
        <w:t>Brandau</w:t>
      </w:r>
      <w:proofErr w:type="spellEnd"/>
      <w:r>
        <w:rPr>
          <w:rFonts w:cs="Times New Roman"/>
        </w:rPr>
        <w:t xml:space="preserve"> O. Tenomodulin is necessary for tenocyte proliferation and tendon maturation. </w:t>
      </w:r>
      <w:r>
        <w:rPr>
          <w:rFonts w:cs="Times New Roman"/>
          <w:i/>
          <w:iCs/>
        </w:rPr>
        <w:t>Mol Cell Biol</w:t>
      </w:r>
      <w:r>
        <w:rPr>
          <w:rFonts w:cs="Times New Roman"/>
        </w:rPr>
        <w:t xml:space="preserve"> 2005;25(2):699–705.</w:t>
      </w:r>
    </w:p>
    <w:p w14:paraId="59CF70E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lastRenderedPageBreak/>
        <w:t xml:space="preserve">32. Yoshimoto Y et al. Scleraxis is required for maturation of tissue domains for proper integration of the musculoskeletal system. </w:t>
      </w:r>
      <w:r>
        <w:rPr>
          <w:rFonts w:cs="Times New Roman"/>
          <w:i/>
          <w:iCs/>
        </w:rPr>
        <w:t>Sci Rep</w:t>
      </w:r>
      <w:r>
        <w:rPr>
          <w:rFonts w:cs="Times New Roman"/>
        </w:rPr>
        <w:t xml:space="preserve"> 2017;7(1):45010.</w:t>
      </w:r>
    </w:p>
    <w:p w14:paraId="062B96A8"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33. </w:t>
      </w:r>
      <w:proofErr w:type="spellStart"/>
      <w:r>
        <w:rPr>
          <w:rFonts w:cs="Times New Roman"/>
        </w:rPr>
        <w:t>Bagchi</w:t>
      </w:r>
      <w:proofErr w:type="spellEnd"/>
      <w:r>
        <w:rPr>
          <w:rFonts w:cs="Times New Roman"/>
        </w:rPr>
        <w:t xml:space="preserve"> RA, Lin J, Wang R, </w:t>
      </w:r>
      <w:proofErr w:type="spellStart"/>
      <w:r>
        <w:rPr>
          <w:rFonts w:cs="Times New Roman"/>
        </w:rPr>
        <w:t>Czubryt</w:t>
      </w:r>
      <w:proofErr w:type="spellEnd"/>
      <w:r>
        <w:rPr>
          <w:rFonts w:cs="Times New Roman"/>
        </w:rPr>
        <w:t xml:space="preserve"> MP. Regulation of fibronectin gene expression in cardiac fibroblasts by scleraxis. </w:t>
      </w:r>
      <w:r>
        <w:rPr>
          <w:rFonts w:cs="Times New Roman"/>
          <w:i/>
          <w:iCs/>
        </w:rPr>
        <w:t>Cell Tissue Res</w:t>
      </w:r>
      <w:r>
        <w:rPr>
          <w:rFonts w:cs="Times New Roman"/>
        </w:rPr>
        <w:t xml:space="preserve"> 2016;366(2):381–391.</w:t>
      </w:r>
    </w:p>
    <w:p w14:paraId="513F4FBF"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34. Mendias CL, Gumucio JP, Lynch EB. Mechanical loading and TGF-β change the expression of multiple miRNAs in tendon fibroblasts. </w:t>
      </w:r>
      <w:r>
        <w:rPr>
          <w:rFonts w:cs="Times New Roman"/>
          <w:i/>
          <w:iCs/>
        </w:rPr>
        <w:t xml:space="preserve">J Appl </w:t>
      </w:r>
      <w:proofErr w:type="spellStart"/>
      <w:r>
        <w:rPr>
          <w:rFonts w:cs="Times New Roman"/>
          <w:i/>
          <w:iCs/>
        </w:rPr>
        <w:t>Physiol</w:t>
      </w:r>
      <w:proofErr w:type="spellEnd"/>
      <w:r>
        <w:rPr>
          <w:rFonts w:cs="Times New Roman"/>
        </w:rPr>
        <w:t xml:space="preserve"> 2012;113(1):56–62.</w:t>
      </w:r>
    </w:p>
    <w:p w14:paraId="04E32C61"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35. </w:t>
      </w:r>
      <w:proofErr w:type="spellStart"/>
      <w:r>
        <w:rPr>
          <w:rFonts w:cs="Times New Roman"/>
        </w:rPr>
        <w:t>Heinemeier</w:t>
      </w:r>
      <w:proofErr w:type="spellEnd"/>
      <w:r>
        <w:rPr>
          <w:rFonts w:cs="Times New Roman"/>
        </w:rPr>
        <w:t xml:space="preserve"> KM et al. Expression of collagen and related growth factors in rat tendon and skeletal muscle in response to specific contraction types. </w:t>
      </w:r>
      <w:r>
        <w:rPr>
          <w:rFonts w:cs="Times New Roman"/>
          <w:i/>
          <w:iCs/>
        </w:rPr>
        <w:t xml:space="preserve">J </w:t>
      </w:r>
      <w:proofErr w:type="spellStart"/>
      <w:r>
        <w:rPr>
          <w:rFonts w:cs="Times New Roman"/>
          <w:i/>
          <w:iCs/>
        </w:rPr>
        <w:t>Physiol</w:t>
      </w:r>
      <w:proofErr w:type="spellEnd"/>
      <w:r>
        <w:rPr>
          <w:rFonts w:cs="Times New Roman"/>
          <w:i/>
          <w:iCs/>
        </w:rPr>
        <w:t xml:space="preserve"> (</w:t>
      </w:r>
      <w:proofErr w:type="spellStart"/>
      <w:r>
        <w:rPr>
          <w:rFonts w:cs="Times New Roman"/>
          <w:i/>
          <w:iCs/>
        </w:rPr>
        <w:t>Lond</w:t>
      </w:r>
      <w:proofErr w:type="spellEnd"/>
      <w:r>
        <w:rPr>
          <w:rFonts w:cs="Times New Roman"/>
          <w:i/>
          <w:iCs/>
        </w:rPr>
        <w:t>)</w:t>
      </w:r>
      <w:r>
        <w:rPr>
          <w:rFonts w:cs="Times New Roman"/>
        </w:rPr>
        <w:t xml:space="preserve"> 2007;582(Pt 3):1303–1316.</w:t>
      </w:r>
    </w:p>
    <w:p w14:paraId="1A2A3E7C"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36. Sarver DC et al. Sex differences in tendon structure and function. </w:t>
      </w:r>
      <w:r>
        <w:rPr>
          <w:rFonts w:cs="Times New Roman"/>
          <w:i/>
          <w:iCs/>
        </w:rPr>
        <w:t xml:space="preserve">J </w:t>
      </w:r>
      <w:proofErr w:type="spellStart"/>
      <w:r>
        <w:rPr>
          <w:rFonts w:cs="Times New Roman"/>
          <w:i/>
          <w:iCs/>
        </w:rPr>
        <w:t>Orthop</w:t>
      </w:r>
      <w:proofErr w:type="spellEnd"/>
      <w:r>
        <w:rPr>
          <w:rFonts w:cs="Times New Roman"/>
          <w:i/>
          <w:iCs/>
        </w:rPr>
        <w:t xml:space="preserve"> Res</w:t>
      </w:r>
      <w:r>
        <w:rPr>
          <w:rFonts w:cs="Times New Roman"/>
        </w:rPr>
        <w:t xml:space="preserve"> 2017;35(10):2117–2126.</w:t>
      </w:r>
    </w:p>
    <w:p w14:paraId="61ABEC31"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37. </w:t>
      </w:r>
      <w:proofErr w:type="spellStart"/>
      <w:r>
        <w:rPr>
          <w:rFonts w:cs="Times New Roman"/>
        </w:rPr>
        <w:t>Disser</w:t>
      </w:r>
      <w:proofErr w:type="spellEnd"/>
      <w:r>
        <w:rPr>
          <w:rFonts w:cs="Times New Roman"/>
        </w:rPr>
        <w:t xml:space="preserve"> NP et al. Widespread diversity in the transcriptomes of functionally divergent limb tendons. </w:t>
      </w:r>
      <w:r>
        <w:rPr>
          <w:rFonts w:cs="Times New Roman"/>
          <w:i/>
          <w:iCs/>
        </w:rPr>
        <w:t xml:space="preserve">J </w:t>
      </w:r>
      <w:proofErr w:type="spellStart"/>
      <w:r>
        <w:rPr>
          <w:rFonts w:cs="Times New Roman"/>
          <w:i/>
          <w:iCs/>
        </w:rPr>
        <w:t>Physiol</w:t>
      </w:r>
      <w:proofErr w:type="spellEnd"/>
      <w:r>
        <w:rPr>
          <w:rFonts w:cs="Times New Roman"/>
          <w:i/>
          <w:iCs/>
        </w:rPr>
        <w:t xml:space="preserve"> (</w:t>
      </w:r>
      <w:proofErr w:type="spellStart"/>
      <w:r>
        <w:rPr>
          <w:rFonts w:cs="Times New Roman"/>
          <w:i/>
          <w:iCs/>
        </w:rPr>
        <w:t>Lond</w:t>
      </w:r>
      <w:proofErr w:type="spellEnd"/>
      <w:r>
        <w:rPr>
          <w:rFonts w:cs="Times New Roman"/>
          <w:i/>
          <w:iCs/>
        </w:rPr>
        <w:t>)</w:t>
      </w:r>
      <w:r>
        <w:rPr>
          <w:rFonts w:cs="Times New Roman"/>
        </w:rPr>
        <w:t xml:space="preserve"> 2020;598(8):1537–1550.</w:t>
      </w:r>
    </w:p>
    <w:p w14:paraId="1B910924"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38. Millar NL, Murrell GAC, McInnes IB. Inflammatory mechanisms in tendinopathy - towards translation. </w:t>
      </w:r>
      <w:r>
        <w:rPr>
          <w:rFonts w:cs="Times New Roman"/>
          <w:i/>
          <w:iCs/>
        </w:rPr>
        <w:t xml:space="preserve">Nat Rev </w:t>
      </w:r>
      <w:proofErr w:type="spellStart"/>
      <w:r>
        <w:rPr>
          <w:rFonts w:cs="Times New Roman"/>
          <w:i/>
          <w:iCs/>
        </w:rPr>
        <w:t>Rheumatol</w:t>
      </w:r>
      <w:proofErr w:type="spellEnd"/>
      <w:r>
        <w:rPr>
          <w:rFonts w:cs="Times New Roman"/>
        </w:rPr>
        <w:t xml:space="preserve"> 2017;13(2):110–122.</w:t>
      </w:r>
    </w:p>
    <w:p w14:paraId="26186ECA"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39. Mead MP, Gumucio JP, Awan TM, Mendias CL, Sugg KB. Pathogenesis and management of tendinopathies in sports medicine. </w:t>
      </w:r>
      <w:proofErr w:type="spellStart"/>
      <w:r>
        <w:rPr>
          <w:rFonts w:cs="Times New Roman"/>
          <w:i/>
          <w:iCs/>
        </w:rPr>
        <w:t>Transl</w:t>
      </w:r>
      <w:proofErr w:type="spellEnd"/>
      <w:r>
        <w:rPr>
          <w:rFonts w:cs="Times New Roman"/>
          <w:i/>
          <w:iCs/>
        </w:rPr>
        <w:t xml:space="preserve"> Sports Med</w:t>
      </w:r>
      <w:r>
        <w:rPr>
          <w:rFonts w:cs="Times New Roman"/>
        </w:rPr>
        <w:t xml:space="preserve"> 2018;1(1):5–13.</w:t>
      </w:r>
    </w:p>
    <w:p w14:paraId="125F0484"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40. Ventura A et al. Restoration of p53 function leads to tumour regression in vivo. </w:t>
      </w:r>
      <w:r>
        <w:rPr>
          <w:rFonts w:cs="Times New Roman"/>
          <w:i/>
          <w:iCs/>
        </w:rPr>
        <w:t>Nature</w:t>
      </w:r>
      <w:r>
        <w:rPr>
          <w:rFonts w:cs="Times New Roman"/>
        </w:rPr>
        <w:t xml:space="preserve"> 2007;445(7128):661–665.</w:t>
      </w:r>
    </w:p>
    <w:p w14:paraId="623CFA37"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41. Pryce BA, Brent AE, Murchison ND, Tabin CJ, Schweitzer R. Generation of transgenic tendon reporters, </w:t>
      </w:r>
      <w:proofErr w:type="spellStart"/>
      <w:r>
        <w:rPr>
          <w:rFonts w:cs="Times New Roman"/>
        </w:rPr>
        <w:t>ScxGFP</w:t>
      </w:r>
      <w:proofErr w:type="spellEnd"/>
      <w:r>
        <w:rPr>
          <w:rFonts w:cs="Times New Roman"/>
        </w:rPr>
        <w:t xml:space="preserve"> and </w:t>
      </w:r>
      <w:proofErr w:type="spellStart"/>
      <w:r>
        <w:rPr>
          <w:rFonts w:cs="Times New Roman"/>
        </w:rPr>
        <w:t>ScxAP</w:t>
      </w:r>
      <w:proofErr w:type="spellEnd"/>
      <w:r>
        <w:rPr>
          <w:rFonts w:cs="Times New Roman"/>
        </w:rPr>
        <w:t xml:space="preserve">, using regulatory elements of the scleraxis gene. </w:t>
      </w:r>
      <w:r>
        <w:rPr>
          <w:rFonts w:cs="Times New Roman"/>
          <w:i/>
          <w:iCs/>
        </w:rPr>
        <w:t>Dev Dyn</w:t>
      </w:r>
      <w:r>
        <w:rPr>
          <w:rFonts w:cs="Times New Roman"/>
        </w:rPr>
        <w:t xml:space="preserve"> 2007;236(6):1677–1682.</w:t>
      </w:r>
    </w:p>
    <w:p w14:paraId="58580E02"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lastRenderedPageBreak/>
        <w:t xml:space="preserve">42. Sugg KB, Korn MA, Sarver DC, </w:t>
      </w:r>
      <w:proofErr w:type="spellStart"/>
      <w:r>
        <w:rPr>
          <w:rFonts w:cs="Times New Roman"/>
        </w:rPr>
        <w:t>Markworth</w:t>
      </w:r>
      <w:proofErr w:type="spellEnd"/>
      <w:r>
        <w:rPr>
          <w:rFonts w:cs="Times New Roman"/>
        </w:rPr>
        <w:t xml:space="preserve"> JF, Mendias CL. Inhibition of platelet-derived growth factor signaling prevents muscle fiber growth during skeletal muscle hypertrophy. </w:t>
      </w:r>
      <w:r>
        <w:rPr>
          <w:rFonts w:cs="Times New Roman"/>
          <w:i/>
          <w:iCs/>
        </w:rPr>
        <w:t>FEBS Lett</w:t>
      </w:r>
      <w:r>
        <w:rPr>
          <w:rFonts w:cs="Times New Roman"/>
        </w:rPr>
        <w:t xml:space="preserve"> 2017;591(5):801–809.</w:t>
      </w:r>
    </w:p>
    <w:p w14:paraId="451E507F"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43. </w:t>
      </w:r>
      <w:proofErr w:type="spellStart"/>
      <w:r>
        <w:rPr>
          <w:rFonts w:cs="Times New Roman"/>
        </w:rPr>
        <w:t>Starborg</w:t>
      </w:r>
      <w:proofErr w:type="spellEnd"/>
      <w:r>
        <w:rPr>
          <w:rFonts w:cs="Times New Roman"/>
        </w:rPr>
        <w:t xml:space="preserve"> T et al. Using transmission electron microscopy and 3View to determine collagen fibril size and three-dimensional organization. </w:t>
      </w:r>
      <w:r>
        <w:rPr>
          <w:rFonts w:cs="Times New Roman"/>
          <w:i/>
          <w:iCs/>
        </w:rPr>
        <w:t xml:space="preserve">Nat </w:t>
      </w:r>
      <w:proofErr w:type="spellStart"/>
      <w:r>
        <w:rPr>
          <w:rFonts w:cs="Times New Roman"/>
          <w:i/>
          <w:iCs/>
        </w:rPr>
        <w:t>Protoc</w:t>
      </w:r>
      <w:proofErr w:type="spellEnd"/>
      <w:r>
        <w:rPr>
          <w:rFonts w:cs="Times New Roman"/>
        </w:rPr>
        <w:t xml:space="preserve"> 2013;8(7):1433–1448.</w:t>
      </w:r>
    </w:p>
    <w:p w14:paraId="3702F5F3"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44. Ashraf </w:t>
      </w:r>
      <w:proofErr w:type="spellStart"/>
      <w:r>
        <w:rPr>
          <w:rFonts w:cs="Times New Roman"/>
        </w:rPr>
        <w:t>Kharaz</w:t>
      </w:r>
      <w:proofErr w:type="spellEnd"/>
      <w:r>
        <w:rPr>
          <w:rFonts w:cs="Times New Roman"/>
        </w:rPr>
        <w:t xml:space="preserve"> Y et al. Comparison between chaotropic and detergent-based sample preparation workflow in tendon for mass spectrometry analysis. </w:t>
      </w:r>
      <w:r>
        <w:rPr>
          <w:rFonts w:cs="Times New Roman"/>
          <w:i/>
          <w:iCs/>
        </w:rPr>
        <w:t>Proteomics</w:t>
      </w:r>
      <w:r>
        <w:rPr>
          <w:rFonts w:cs="Times New Roman"/>
        </w:rPr>
        <w:t xml:space="preserve"> 2017;17(13-14):1700018.</w:t>
      </w:r>
    </w:p>
    <w:p w14:paraId="07A22EA4"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45. Chong J et al. </w:t>
      </w:r>
      <w:proofErr w:type="spellStart"/>
      <w:r>
        <w:rPr>
          <w:rFonts w:cs="Times New Roman"/>
        </w:rPr>
        <w:t>MetaboAnalyst</w:t>
      </w:r>
      <w:proofErr w:type="spellEnd"/>
      <w:r>
        <w:rPr>
          <w:rFonts w:cs="Times New Roman"/>
        </w:rPr>
        <w:t xml:space="preserve"> 4.0: towards more transparent and integrative metabolomics analysis. </w:t>
      </w:r>
      <w:r>
        <w:rPr>
          <w:rFonts w:cs="Times New Roman"/>
          <w:i/>
          <w:iCs/>
        </w:rPr>
        <w:t>Nucleic Acids Res</w:t>
      </w:r>
      <w:r>
        <w:rPr>
          <w:rFonts w:cs="Times New Roman"/>
        </w:rPr>
        <w:t xml:space="preserve"> 2018;46(W1):W486–W494.</w:t>
      </w:r>
    </w:p>
    <w:p w14:paraId="73E4085D"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46. Gumucio JP et al. Reduced mitochondrial lipid oxidation leads to fat accumulation in myosteatosis. </w:t>
      </w:r>
      <w:r>
        <w:rPr>
          <w:rFonts w:cs="Times New Roman"/>
          <w:i/>
          <w:iCs/>
        </w:rPr>
        <w:t>The FASEB Journal</w:t>
      </w:r>
      <w:r>
        <w:rPr>
          <w:rFonts w:cs="Times New Roman"/>
        </w:rPr>
        <w:t xml:space="preserve"> 2019;33(7):7863–7881.</w:t>
      </w:r>
    </w:p>
    <w:p w14:paraId="0E21E03C"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47. Love MI, Huber W, Anders S. Moderated estimation of fold change and  dispersion for RNA-seq data with DESeq2. </w:t>
      </w:r>
      <w:r>
        <w:rPr>
          <w:rFonts w:cs="Times New Roman"/>
          <w:i/>
          <w:iCs/>
        </w:rPr>
        <w:t>Genome Biol</w:t>
      </w:r>
      <w:r>
        <w:rPr>
          <w:rFonts w:cs="Times New Roman"/>
        </w:rPr>
        <w:t xml:space="preserve"> 2014;15(12):550.</w:t>
      </w:r>
    </w:p>
    <w:p w14:paraId="44A4086E"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48. Hudgens JL et al. Platelet-Rich Plasma Activates Proinflammatory Signaling Pathways and Induces Oxidative Stress in Tendon Fibroblasts. </w:t>
      </w:r>
      <w:r>
        <w:rPr>
          <w:rFonts w:cs="Times New Roman"/>
          <w:i/>
          <w:iCs/>
        </w:rPr>
        <w:t>Am J Sports Med</w:t>
      </w:r>
      <w:r>
        <w:rPr>
          <w:rFonts w:cs="Times New Roman"/>
        </w:rPr>
        <w:t xml:space="preserve"> 2016;44(8):1931–1940.</w:t>
      </w:r>
    </w:p>
    <w:p w14:paraId="63E44B5C" w14:textId="77777777"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rPr>
      </w:pPr>
      <w:r>
        <w:rPr>
          <w:rFonts w:cs="Times New Roman"/>
        </w:rPr>
        <w:t xml:space="preserve">49. Mendias CL, Schwartz AJ, </w:t>
      </w:r>
      <w:proofErr w:type="spellStart"/>
      <w:r>
        <w:rPr>
          <w:rFonts w:cs="Times New Roman"/>
        </w:rPr>
        <w:t>Grekin</w:t>
      </w:r>
      <w:proofErr w:type="spellEnd"/>
      <w:r>
        <w:rPr>
          <w:rFonts w:cs="Times New Roman"/>
        </w:rPr>
        <w:t xml:space="preserve"> JA, Gumucio JP, Sugg KB. Changes in muscle fiber contractility and extracellular matrix production during skeletal muscle hypertrophy. </w:t>
      </w:r>
      <w:r>
        <w:rPr>
          <w:rFonts w:cs="Times New Roman"/>
          <w:i/>
          <w:iCs/>
        </w:rPr>
        <w:t xml:space="preserve">J Appl </w:t>
      </w:r>
      <w:proofErr w:type="spellStart"/>
      <w:r>
        <w:rPr>
          <w:rFonts w:cs="Times New Roman"/>
          <w:i/>
          <w:iCs/>
        </w:rPr>
        <w:t>Physiol</w:t>
      </w:r>
      <w:proofErr w:type="spellEnd"/>
      <w:r>
        <w:rPr>
          <w:rFonts w:cs="Times New Roman"/>
        </w:rPr>
        <w:t xml:space="preserve"> 2017;122(3):571–579.</w:t>
      </w:r>
    </w:p>
    <w:p w14:paraId="50BB490D" w14:textId="482BFBBD" w:rsidR="0071477C" w:rsidRPr="0071477C" w:rsidRDefault="00A1782A" w:rsidP="00A1782A">
      <w:pPr>
        <w:spacing w:line="480" w:lineRule="auto"/>
      </w:pPr>
      <w:r>
        <w:rPr>
          <w:rFonts w:cs="Times New Roman"/>
        </w:rPr>
        <w:t xml:space="preserve">50. Rutledge RG, Stewart D. A kinetic-based sigmoidal model for the polymerase chain reaction and its application to high-capacity absolute quantitative real-time PCR. </w:t>
      </w:r>
      <w:r>
        <w:rPr>
          <w:rFonts w:cs="Times New Roman"/>
          <w:i/>
          <w:iCs/>
        </w:rPr>
        <w:t xml:space="preserve">BMC </w:t>
      </w:r>
      <w:proofErr w:type="spellStart"/>
      <w:r>
        <w:rPr>
          <w:rFonts w:cs="Times New Roman"/>
          <w:i/>
          <w:iCs/>
        </w:rPr>
        <w:t>Biotechnol</w:t>
      </w:r>
      <w:proofErr w:type="spellEnd"/>
      <w:r>
        <w:rPr>
          <w:rFonts w:cs="Times New Roman"/>
        </w:rPr>
        <w:t xml:space="preserve"> 2008;8(1):47.</w:t>
      </w:r>
      <w:r w:rsidR="001B34F2">
        <w:br w:type="page"/>
      </w:r>
    </w:p>
    <w:p w14:paraId="3BEE4623" w14:textId="77777777" w:rsidR="00942236" w:rsidRDefault="00B27E58" w:rsidP="00D2198A">
      <w:pPr>
        <w:rPr>
          <w:b/>
          <w:bCs/>
        </w:rPr>
      </w:pPr>
      <w:r w:rsidRPr="001B34F2">
        <w:rPr>
          <w:b/>
          <w:bCs/>
        </w:rPr>
        <w:lastRenderedPageBreak/>
        <w:t>Figu</w:t>
      </w:r>
      <w:r w:rsidR="001B34F2" w:rsidRPr="001B34F2">
        <w:rPr>
          <w:b/>
          <w:bCs/>
        </w:rPr>
        <w:t>res</w:t>
      </w:r>
    </w:p>
    <w:p w14:paraId="3F0576BF" w14:textId="77777777" w:rsidR="00D2198A" w:rsidRDefault="00D2198A" w:rsidP="00D2198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1"/>
        <w:gridCol w:w="3779"/>
      </w:tblGrid>
      <w:tr w:rsidR="00D2198A" w14:paraId="398BB197" w14:textId="77777777" w:rsidTr="00D2198A">
        <w:tc>
          <w:tcPr>
            <w:tcW w:w="4675" w:type="dxa"/>
            <w:vAlign w:val="center"/>
          </w:tcPr>
          <w:p w14:paraId="4FA9428B" w14:textId="77777777" w:rsidR="00D2198A" w:rsidRDefault="00D2198A" w:rsidP="00D2198A">
            <w:pPr>
              <w:jc w:val="center"/>
              <w:rPr>
                <w:b/>
                <w:bCs/>
              </w:rPr>
            </w:pPr>
            <w:r>
              <w:rPr>
                <w:b/>
                <w:bCs/>
                <w:noProof/>
                <w:lang w:val="fr-FR" w:eastAsia="fr-FR"/>
              </w:rPr>
              <w:drawing>
                <wp:inline distT="0" distB="0" distL="0" distR="0" wp14:anchorId="255051DD" wp14:editId="0594435C">
                  <wp:extent cx="3407254" cy="6915899"/>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 Model overview.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7113" cy="7037399"/>
                          </a:xfrm>
                          <a:prstGeom prst="rect">
                            <a:avLst/>
                          </a:prstGeom>
                        </pic:spPr>
                      </pic:pic>
                    </a:graphicData>
                  </a:graphic>
                </wp:inline>
              </w:drawing>
            </w:r>
          </w:p>
        </w:tc>
        <w:tc>
          <w:tcPr>
            <w:tcW w:w="4675" w:type="dxa"/>
            <w:vAlign w:val="center"/>
          </w:tcPr>
          <w:p w14:paraId="2B6AC170" w14:textId="47B328DF" w:rsidR="00D2198A" w:rsidRPr="00D2198A" w:rsidRDefault="00D2198A" w:rsidP="00D2198A">
            <w:pPr>
              <w:rPr>
                <w:b/>
                <w:bCs/>
                <w:sz w:val="22"/>
                <w:szCs w:val="22"/>
              </w:rPr>
            </w:pPr>
            <w:r>
              <w:rPr>
                <w:b/>
                <w:bCs/>
                <w:i/>
                <w:iCs/>
                <w:sz w:val="22"/>
                <w:szCs w:val="22"/>
              </w:rPr>
              <w:tab/>
            </w:r>
            <w:r w:rsidRPr="00D2198A">
              <w:rPr>
                <w:b/>
                <w:bCs/>
                <w:i/>
                <w:iCs/>
                <w:sz w:val="22"/>
                <w:szCs w:val="22"/>
              </w:rPr>
              <w:t>Figure 1. Experimental overview.</w:t>
            </w:r>
            <w:r w:rsidRPr="00D2198A">
              <w:rPr>
                <w:sz w:val="22"/>
                <w:szCs w:val="22"/>
              </w:rPr>
              <w:t xml:space="preserve"> (A) Overview</w:t>
            </w:r>
            <w:r w:rsidR="00D434E4">
              <w:rPr>
                <w:sz w:val="22"/>
                <w:szCs w:val="22"/>
              </w:rPr>
              <w:t xml:space="preserve"> of</w:t>
            </w:r>
            <w:r w:rsidRPr="00D2198A">
              <w:rPr>
                <w:sz w:val="22"/>
                <w:szCs w:val="22"/>
              </w:rPr>
              <w:t xml:space="preserve"> the alleles used to perform targeted deletion of scleraxis in this study, including the constitutive CreERT2 (</w:t>
            </w:r>
            <w:r w:rsidRPr="00D2198A">
              <w:rPr>
                <w:i/>
                <w:iCs/>
                <w:sz w:val="22"/>
                <w:szCs w:val="22"/>
              </w:rPr>
              <w:t>Rosa26</w:t>
            </w:r>
            <w:r w:rsidRPr="00D2198A">
              <w:rPr>
                <w:sz w:val="22"/>
                <w:szCs w:val="22"/>
                <w:vertAlign w:val="superscript"/>
              </w:rPr>
              <w:t>CreERT2</w:t>
            </w:r>
            <w:r w:rsidRPr="00D2198A">
              <w:rPr>
                <w:sz w:val="22"/>
                <w:szCs w:val="22"/>
              </w:rPr>
              <w:t>), scleraxis wild type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scleraxis </w:t>
            </w:r>
            <w:proofErr w:type="spellStart"/>
            <w:r w:rsidRPr="00D2198A">
              <w:rPr>
                <w:sz w:val="22"/>
                <w:szCs w:val="22"/>
              </w:rPr>
              <w:t>floxed</w:t>
            </w:r>
            <w:proofErr w:type="spellEnd"/>
            <w:r w:rsidRPr="00D2198A">
              <w:rPr>
                <w:sz w:val="22"/>
                <w:szCs w:val="22"/>
              </w:rPr>
              <w:t xml:space="preserve"> (</w:t>
            </w:r>
            <w:proofErr w:type="spellStart"/>
            <w:r w:rsidRPr="00D2198A">
              <w:rPr>
                <w:i/>
                <w:iCs/>
                <w:sz w:val="22"/>
                <w:szCs w:val="22"/>
              </w:rPr>
              <w:t>Scx</w:t>
            </w:r>
            <w:r w:rsidRPr="00D2198A">
              <w:rPr>
                <w:sz w:val="22"/>
                <w:szCs w:val="22"/>
                <w:vertAlign w:val="superscript"/>
              </w:rPr>
              <w:t>flox</w:t>
            </w:r>
            <w:proofErr w:type="spellEnd"/>
            <w:r w:rsidRPr="00D2198A">
              <w:rPr>
                <w:sz w:val="22"/>
                <w:szCs w:val="22"/>
              </w:rPr>
              <w:t>), and scleraxis loss-of-function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alleles. (B) Timeline of tamoxifen treatment, synergist ablation/plantaris growth procedure, and tissue harvest. Tamoxifen was delivered on a daily basis beginning five days prior to surgery, and continued through tissue harvest. (C) Overview of synergist ablation/plantaris growth procedure. A large segment of the Achilles tendon </w:t>
            </w:r>
            <w:r w:rsidR="00D434E4">
              <w:rPr>
                <w:sz w:val="22"/>
                <w:szCs w:val="22"/>
              </w:rPr>
              <w:t>i</w:t>
            </w:r>
            <w:r w:rsidRPr="00D2198A">
              <w:rPr>
                <w:sz w:val="22"/>
                <w:szCs w:val="22"/>
              </w:rPr>
              <w:t xml:space="preserve">s carefully removed from the animal, resulting in compensatory hypertrophy of the synergist plantaris muscle and tendon. A neotendon area of new tendon extracellular matrix forms around the original tendon, growing in a lateral direction towards the area where the Achilles was previously located. (D, F) Relative genomic DNA (gDNA) abundance of exon 1 of scleraxis to exon 2, as measured using qPCR, in (D) plantaris tendons of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mice either 7D or 14D after synergist ablation, or (F) in cultured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or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tenocytes. (E, G) Expression of </w:t>
            </w:r>
            <w:proofErr w:type="spellStart"/>
            <w:r w:rsidRPr="00D2198A">
              <w:rPr>
                <w:i/>
                <w:iCs/>
                <w:sz w:val="22"/>
                <w:szCs w:val="22"/>
              </w:rPr>
              <w:t>Scx</w:t>
            </w:r>
            <w:proofErr w:type="spellEnd"/>
            <w:r w:rsidRPr="00D2198A">
              <w:rPr>
                <w:sz w:val="22"/>
                <w:szCs w:val="22"/>
              </w:rPr>
              <w:t>, measured using RNAseq</w:t>
            </w:r>
            <w:r w:rsidR="00AD0040">
              <w:rPr>
                <w:sz w:val="22"/>
                <w:szCs w:val="22"/>
              </w:rPr>
              <w:t xml:space="preserve"> and quantified as transcripts per kilobase million (TPM) reads</w:t>
            </w:r>
            <w:r w:rsidRPr="00D2198A">
              <w:rPr>
                <w:sz w:val="22"/>
                <w:szCs w:val="22"/>
              </w:rPr>
              <w:t xml:space="preserve">, in (E) plantaris tendons of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mice either 7D or 14D after synergist ablation, or (F) in cultured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or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tenocytes. Values are (D, F) </w:t>
            </w:r>
            <w:proofErr w:type="spellStart"/>
            <w:r w:rsidRPr="00D2198A">
              <w:rPr>
                <w:sz w:val="22"/>
                <w:szCs w:val="22"/>
              </w:rPr>
              <w:t>mean±CV</w:t>
            </w:r>
            <w:proofErr w:type="spellEnd"/>
            <w:r w:rsidRPr="00D2198A">
              <w:rPr>
                <w:sz w:val="22"/>
                <w:szCs w:val="22"/>
              </w:rPr>
              <w:t xml:space="preserve"> or (E, G) </w:t>
            </w:r>
            <w:proofErr w:type="spellStart"/>
            <w:r w:rsidRPr="00D2198A">
              <w:rPr>
                <w:sz w:val="22"/>
                <w:szCs w:val="22"/>
              </w:rPr>
              <w:t>mean±SD</w:t>
            </w:r>
            <w:proofErr w:type="spellEnd"/>
            <w:r w:rsidRPr="00D2198A">
              <w:rPr>
                <w:sz w:val="22"/>
                <w:szCs w:val="22"/>
              </w:rPr>
              <w:t xml:space="preserve">. (D-E) Differences between groups were tested using a two-way ANOVA: a, significantly different (p&lt;0.05) from 7D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b, significantly different (p&lt;0.05) from 7D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c, significantly different (p&lt;0.05) from 14D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(F-G) Differences between groups were tested using a t-test: a, significantly different (p&lt;0.05) from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tenocytes. N=4 per group.</w:t>
            </w:r>
          </w:p>
        </w:tc>
      </w:tr>
    </w:tbl>
    <w:p w14:paraId="3F28C7C5" w14:textId="77777777" w:rsidR="00D2198A" w:rsidRPr="00D2198A" w:rsidRDefault="00D2198A" w:rsidP="00D2198A">
      <w:pPr>
        <w:rPr>
          <w:b/>
          <w:bCs/>
          <w:sz w:val="22"/>
          <w:szCs w:val="22"/>
        </w:rPr>
      </w:pPr>
    </w:p>
    <w:p w14:paraId="1A84A936" w14:textId="7DDB66A0" w:rsidR="001B34F2" w:rsidRPr="00D2198A" w:rsidRDefault="00F4404A" w:rsidP="00D2198A">
      <w:pPr>
        <w:jc w:val="center"/>
        <w:rPr>
          <w:sz w:val="22"/>
          <w:szCs w:val="22"/>
        </w:rPr>
      </w:pPr>
      <w:r>
        <w:rPr>
          <w:noProof/>
          <w:sz w:val="22"/>
          <w:szCs w:val="22"/>
        </w:rPr>
        <w:drawing>
          <wp:inline distT="0" distB="0" distL="0" distR="0" wp14:anchorId="64FCF2AC" wp14:editId="6E424E6C">
            <wp:extent cx="5943600" cy="5071110"/>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 Histo dot plo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71110"/>
                    </a:xfrm>
                    <a:prstGeom prst="rect">
                      <a:avLst/>
                    </a:prstGeom>
                  </pic:spPr>
                </pic:pic>
              </a:graphicData>
            </a:graphic>
          </wp:inline>
        </w:drawing>
      </w:r>
    </w:p>
    <w:p w14:paraId="6E5C2B85" w14:textId="7CA2818B" w:rsidR="00D2198A" w:rsidRDefault="0057178F" w:rsidP="00D2198A">
      <w:pPr>
        <w:rPr>
          <w:sz w:val="22"/>
          <w:szCs w:val="22"/>
        </w:rPr>
      </w:pPr>
      <w:r w:rsidRPr="00D2198A">
        <w:rPr>
          <w:sz w:val="22"/>
          <w:szCs w:val="22"/>
        </w:rPr>
        <w:tab/>
      </w:r>
      <w:r w:rsidRPr="00D2198A">
        <w:rPr>
          <w:b/>
          <w:bCs/>
          <w:i/>
          <w:iCs/>
          <w:sz w:val="22"/>
          <w:szCs w:val="22"/>
        </w:rPr>
        <w:t>Figure 2. Effect of scleraxis deletion on tendon growth.</w:t>
      </w:r>
      <w:r w:rsidRPr="00D2198A">
        <w:rPr>
          <w:sz w:val="22"/>
          <w:szCs w:val="22"/>
        </w:rPr>
        <w:t xml:space="preserve"> (A) Representative fast green stained cross section histology from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mice at either 7</w:t>
      </w:r>
      <w:r w:rsidR="007D0052" w:rsidRPr="00D2198A">
        <w:rPr>
          <w:sz w:val="22"/>
          <w:szCs w:val="22"/>
        </w:rPr>
        <w:t>D</w:t>
      </w:r>
      <w:r w:rsidRPr="00D2198A">
        <w:rPr>
          <w:sz w:val="22"/>
          <w:szCs w:val="22"/>
        </w:rPr>
        <w:t xml:space="preserve"> or 14</w:t>
      </w:r>
      <w:r w:rsidR="007D0052" w:rsidRPr="00D2198A">
        <w:rPr>
          <w:sz w:val="22"/>
          <w:szCs w:val="22"/>
        </w:rPr>
        <w:t xml:space="preserve">D </w:t>
      </w:r>
      <w:r w:rsidRPr="00D2198A">
        <w:rPr>
          <w:sz w:val="22"/>
          <w:szCs w:val="22"/>
        </w:rPr>
        <w:t xml:space="preserve">after </w:t>
      </w:r>
      <w:r w:rsidRPr="00D2198A">
        <w:rPr>
          <w:color w:val="000000" w:themeColor="text1"/>
          <w:sz w:val="22"/>
          <w:szCs w:val="22"/>
        </w:rPr>
        <w:t xml:space="preserve">synergist ablation/plantaris growth </w:t>
      </w:r>
      <w:r w:rsidRPr="00D2198A">
        <w:rPr>
          <w:sz w:val="22"/>
          <w:szCs w:val="22"/>
        </w:rPr>
        <w:t xml:space="preserve">procedure demonstrating general morphology and cell density. </w:t>
      </w:r>
      <w:r w:rsidR="00195890" w:rsidRPr="00D2198A">
        <w:rPr>
          <w:sz w:val="22"/>
          <w:szCs w:val="22"/>
        </w:rPr>
        <w:t xml:space="preserve">The original tendon (OT) and neotendon (NT) are indicated by the hashed line. </w:t>
      </w:r>
      <w:r w:rsidR="009A38B1" w:rsidRPr="00D2198A">
        <w:rPr>
          <w:sz w:val="22"/>
          <w:szCs w:val="22"/>
        </w:rPr>
        <w:t xml:space="preserve">(A) Scale bar for all images is 200µm. </w:t>
      </w:r>
      <w:r w:rsidR="00734978" w:rsidRPr="00D2198A">
        <w:rPr>
          <w:sz w:val="22"/>
          <w:szCs w:val="22"/>
        </w:rPr>
        <w:t>Quantification of original tendon, neotendon, and total tendon (B) cross-sectional area (CSA) and (</w:t>
      </w:r>
      <w:r w:rsidR="0059232C" w:rsidRPr="00D2198A">
        <w:rPr>
          <w:sz w:val="22"/>
          <w:szCs w:val="22"/>
        </w:rPr>
        <w:t>C</w:t>
      </w:r>
      <w:r w:rsidR="00734978" w:rsidRPr="00D2198A">
        <w:rPr>
          <w:sz w:val="22"/>
          <w:szCs w:val="22"/>
        </w:rPr>
        <w:t xml:space="preserve">) cell density. Values are </w:t>
      </w:r>
      <w:proofErr w:type="spellStart"/>
      <w:r w:rsidR="00734978" w:rsidRPr="00D2198A">
        <w:rPr>
          <w:sz w:val="22"/>
          <w:szCs w:val="22"/>
        </w:rPr>
        <w:t>mean±SD</w:t>
      </w:r>
      <w:proofErr w:type="spellEnd"/>
      <w:r w:rsidR="00734978" w:rsidRPr="00D2198A">
        <w:rPr>
          <w:sz w:val="22"/>
          <w:szCs w:val="22"/>
        </w:rPr>
        <w:t xml:space="preserve">. Differences between groups were tested using a two-way ANOVA: a, significantly different (p&lt;0.05) from 7D </w:t>
      </w:r>
      <w:proofErr w:type="spellStart"/>
      <w:r w:rsidR="00734978" w:rsidRPr="00D2198A">
        <w:rPr>
          <w:i/>
          <w:iCs/>
          <w:sz w:val="22"/>
          <w:szCs w:val="22"/>
        </w:rPr>
        <w:t>Scx</w:t>
      </w:r>
      <w:proofErr w:type="spellEnd"/>
      <w:r w:rsidR="00734978" w:rsidRPr="00D2198A">
        <w:rPr>
          <w:sz w:val="22"/>
          <w:szCs w:val="22"/>
          <w:vertAlign w:val="superscript"/>
        </w:rPr>
        <w:t>+</w:t>
      </w:r>
      <w:r w:rsidR="00734978" w:rsidRPr="00D2198A">
        <w:rPr>
          <w:sz w:val="22"/>
          <w:szCs w:val="22"/>
        </w:rPr>
        <w:t xml:space="preserve">; b, significantly different (p&lt;0.05) from 7D </w:t>
      </w:r>
      <w:proofErr w:type="spellStart"/>
      <w:r w:rsidR="00734978" w:rsidRPr="00D2198A">
        <w:rPr>
          <w:i/>
          <w:iCs/>
          <w:sz w:val="22"/>
          <w:szCs w:val="22"/>
        </w:rPr>
        <w:t>Scx</w:t>
      </w:r>
      <w:r w:rsidR="00734978" w:rsidRPr="00D2198A">
        <w:rPr>
          <w:sz w:val="22"/>
          <w:szCs w:val="22"/>
          <w:vertAlign w:val="superscript"/>
        </w:rPr>
        <w:t>Δ</w:t>
      </w:r>
      <w:proofErr w:type="spellEnd"/>
      <w:r w:rsidR="00734978" w:rsidRPr="00D2198A">
        <w:rPr>
          <w:sz w:val="22"/>
          <w:szCs w:val="22"/>
        </w:rPr>
        <w:t xml:space="preserve">; c, significantly different (p&lt;0.05) from 14D </w:t>
      </w:r>
      <w:proofErr w:type="spellStart"/>
      <w:r w:rsidR="00734978" w:rsidRPr="00D2198A">
        <w:rPr>
          <w:i/>
          <w:iCs/>
          <w:sz w:val="22"/>
          <w:szCs w:val="22"/>
        </w:rPr>
        <w:t>Scx</w:t>
      </w:r>
      <w:proofErr w:type="spellEnd"/>
      <w:r w:rsidR="00734978" w:rsidRPr="00D2198A">
        <w:rPr>
          <w:sz w:val="22"/>
          <w:szCs w:val="22"/>
          <w:vertAlign w:val="superscript"/>
        </w:rPr>
        <w:t>+</w:t>
      </w:r>
      <w:r w:rsidR="00734978" w:rsidRPr="00D2198A">
        <w:rPr>
          <w:sz w:val="22"/>
          <w:szCs w:val="22"/>
        </w:rPr>
        <w:t>. N≥</w:t>
      </w:r>
      <w:r w:rsidR="00F4404A">
        <w:rPr>
          <w:sz w:val="22"/>
          <w:szCs w:val="22"/>
        </w:rPr>
        <w:t>3</w:t>
      </w:r>
      <w:r w:rsidR="00734978" w:rsidRPr="00D2198A">
        <w:rPr>
          <w:sz w:val="22"/>
          <w:szCs w:val="22"/>
        </w:rPr>
        <w:t xml:space="preserve"> mice per group.</w:t>
      </w:r>
    </w:p>
    <w:p w14:paraId="60FE8247" w14:textId="77777777" w:rsidR="00D2198A" w:rsidRDefault="00D2198A" w:rsidP="00D2198A">
      <w:pPr>
        <w:rPr>
          <w:sz w:val="22"/>
          <w:szCs w:val="22"/>
        </w:rPr>
      </w:pPr>
    </w:p>
    <w:p w14:paraId="1ED8CC77" w14:textId="77777777" w:rsidR="00D2198A" w:rsidRDefault="00D2198A">
      <w:pPr>
        <w:rPr>
          <w:sz w:val="22"/>
          <w:szCs w:val="22"/>
        </w:rPr>
      </w:pPr>
      <w:r>
        <w:rPr>
          <w:sz w:val="22"/>
          <w:szCs w:val="22"/>
        </w:rPr>
        <w:br w:type="page"/>
      </w:r>
    </w:p>
    <w:p w14:paraId="1B9BA1CD" w14:textId="00906A4D" w:rsidR="00633B50" w:rsidRPr="00D2198A" w:rsidRDefault="00633B50" w:rsidP="00D2198A">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955"/>
      </w:tblGrid>
      <w:tr w:rsidR="00633B50" w14:paraId="0F336836" w14:textId="77777777" w:rsidTr="00633B50">
        <w:tc>
          <w:tcPr>
            <w:tcW w:w="5395" w:type="dxa"/>
          </w:tcPr>
          <w:p w14:paraId="6AA9A75E" w14:textId="30FE7680" w:rsidR="00633B50" w:rsidRDefault="00633B50" w:rsidP="00D2198A">
            <w:pPr>
              <w:rPr>
                <w:sz w:val="22"/>
                <w:szCs w:val="22"/>
              </w:rPr>
            </w:pPr>
            <w:r>
              <w:rPr>
                <w:noProof/>
                <w:sz w:val="22"/>
                <w:szCs w:val="22"/>
              </w:rPr>
              <w:drawing>
                <wp:inline distT="0" distB="0" distL="0" distR="0" wp14:anchorId="2D14D0C3" wp14:editId="27FD81AC">
                  <wp:extent cx="2667000" cy="8039100"/>
                  <wp:effectExtent l="0" t="0" r="0" b="0"/>
                  <wp:docPr id="3" name="Picture 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CD146 whole tendon 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8039100"/>
                          </a:xfrm>
                          <a:prstGeom prst="rect">
                            <a:avLst/>
                          </a:prstGeom>
                        </pic:spPr>
                      </pic:pic>
                    </a:graphicData>
                  </a:graphic>
                </wp:inline>
              </w:drawing>
            </w:r>
          </w:p>
        </w:tc>
        <w:tc>
          <w:tcPr>
            <w:tcW w:w="3955" w:type="dxa"/>
            <w:vAlign w:val="center"/>
          </w:tcPr>
          <w:p w14:paraId="0986B0A5" w14:textId="436478E7" w:rsidR="00633B50" w:rsidRDefault="00633B50" w:rsidP="00633B50">
            <w:pPr>
              <w:rPr>
                <w:sz w:val="22"/>
                <w:szCs w:val="22"/>
              </w:rPr>
            </w:pPr>
            <w:r>
              <w:rPr>
                <w:b/>
                <w:bCs/>
                <w:i/>
                <w:iCs/>
                <w:sz w:val="22"/>
                <w:szCs w:val="22"/>
              </w:rPr>
              <w:tab/>
            </w:r>
            <w:r w:rsidRPr="00D2198A">
              <w:rPr>
                <w:b/>
                <w:bCs/>
                <w:i/>
                <w:iCs/>
                <w:sz w:val="22"/>
                <w:szCs w:val="22"/>
              </w:rPr>
              <w:t>Figure 3. Effect of scleraxis deletion on pericyte density.</w:t>
            </w:r>
            <w:r w:rsidRPr="00D2198A">
              <w:rPr>
                <w:sz w:val="22"/>
                <w:szCs w:val="22"/>
              </w:rPr>
              <w:t xml:space="preserve"> (A) Representative immunofluorescent histology demonstrating the presence of CD146</w:t>
            </w:r>
            <w:r w:rsidRPr="00D2198A">
              <w:rPr>
                <w:sz w:val="22"/>
                <w:szCs w:val="22"/>
                <w:vertAlign w:val="superscript"/>
              </w:rPr>
              <w:t>+</w:t>
            </w:r>
            <w:r w:rsidRPr="00D2198A">
              <w:rPr>
                <w:sz w:val="22"/>
                <w:szCs w:val="22"/>
              </w:rPr>
              <w:t xml:space="preserve"> pericytes in tendons of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mice 14D after synergist ablation/plantaris growth procedure. The original tendon (OT) and neotendon (NT) are indicated by the hashed line. CD146, yellow; extracellular matrix (ECM), red; nuclei, blue. Scale bar for both images is 100µm. (B) Quantification of the CD146</w:t>
            </w:r>
            <w:r w:rsidRPr="00D2198A">
              <w:rPr>
                <w:sz w:val="22"/>
                <w:szCs w:val="22"/>
                <w:vertAlign w:val="superscript"/>
              </w:rPr>
              <w:t>+</w:t>
            </w:r>
            <w:r w:rsidRPr="00D2198A">
              <w:rPr>
                <w:sz w:val="22"/>
                <w:szCs w:val="22"/>
              </w:rPr>
              <w:t xml:space="preserve"> </w:t>
            </w:r>
            <w:r>
              <w:rPr>
                <w:sz w:val="22"/>
                <w:szCs w:val="22"/>
              </w:rPr>
              <w:t>pericytes</w:t>
            </w:r>
            <w:r w:rsidRPr="00D2198A">
              <w:rPr>
                <w:sz w:val="22"/>
                <w:szCs w:val="22"/>
              </w:rPr>
              <w:t xml:space="preserve"> as a percentage of total cells in the neotendon in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mice at 7D or 14D. Values are </w:t>
            </w:r>
            <w:proofErr w:type="spellStart"/>
            <w:r w:rsidRPr="00D2198A">
              <w:rPr>
                <w:sz w:val="22"/>
                <w:szCs w:val="22"/>
              </w:rPr>
              <w:t>mean±SD</w:t>
            </w:r>
            <w:proofErr w:type="spellEnd"/>
            <w:r w:rsidRPr="00D2198A">
              <w:rPr>
                <w:sz w:val="22"/>
                <w:szCs w:val="22"/>
              </w:rPr>
              <w:t xml:space="preserve">. Differences between groups were tested using a two-way ANOVA: a, significantly different (p&lt;0.05) from 7D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b, significantly different (p&lt;0.05) from 7D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c, significantly different (p&lt;0.05) from 14D </w:t>
            </w:r>
            <w:proofErr w:type="spellStart"/>
            <w:r w:rsidRPr="00D2198A">
              <w:rPr>
                <w:i/>
                <w:iCs/>
                <w:sz w:val="22"/>
                <w:szCs w:val="22"/>
              </w:rPr>
              <w:t>Scx</w:t>
            </w:r>
            <w:proofErr w:type="spellEnd"/>
            <w:r w:rsidRPr="00D2198A">
              <w:rPr>
                <w:sz w:val="22"/>
                <w:szCs w:val="22"/>
                <w:vertAlign w:val="superscript"/>
              </w:rPr>
              <w:t>+</w:t>
            </w:r>
            <w:r w:rsidRPr="00D2198A">
              <w:rPr>
                <w:sz w:val="22"/>
                <w:szCs w:val="22"/>
              </w:rPr>
              <w:t>. N≥</w:t>
            </w:r>
            <w:r>
              <w:rPr>
                <w:sz w:val="22"/>
                <w:szCs w:val="22"/>
              </w:rPr>
              <w:t>3</w:t>
            </w:r>
            <w:r w:rsidRPr="00D2198A">
              <w:rPr>
                <w:sz w:val="22"/>
                <w:szCs w:val="22"/>
              </w:rPr>
              <w:t xml:space="preserve"> mice per group.</w:t>
            </w:r>
          </w:p>
        </w:tc>
      </w:tr>
    </w:tbl>
    <w:p w14:paraId="79E452AC" w14:textId="52442711" w:rsidR="006C267A" w:rsidRPr="00D2198A" w:rsidRDefault="00FD66F0" w:rsidP="00D2198A">
      <w:pPr>
        <w:rPr>
          <w:sz w:val="22"/>
          <w:szCs w:val="22"/>
        </w:rPr>
      </w:pPr>
      <w:r w:rsidRPr="00D2198A">
        <w:rPr>
          <w:sz w:val="22"/>
          <w:szCs w:val="22"/>
        </w:rPr>
        <w:lastRenderedPageBreak/>
        <w:t xml:space="preserve"> </w:t>
      </w:r>
    </w:p>
    <w:p w14:paraId="47447A35" w14:textId="52DCAF31" w:rsidR="00D2198A" w:rsidRDefault="00D2198A">
      <w:pPr>
        <w:rPr>
          <w:b/>
          <w:bCs/>
          <w:i/>
          <w:i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4024"/>
      </w:tblGrid>
      <w:tr w:rsidR="00D2198A" w14:paraId="5D75FC19" w14:textId="77777777" w:rsidTr="00D2198A">
        <w:tc>
          <w:tcPr>
            <w:tcW w:w="4675" w:type="dxa"/>
            <w:vAlign w:val="center"/>
          </w:tcPr>
          <w:p w14:paraId="2911287C" w14:textId="77777777" w:rsidR="00D2198A" w:rsidRDefault="00D2198A" w:rsidP="00D2198A">
            <w:pPr>
              <w:jc w:val="center"/>
              <w:rPr>
                <w:b/>
                <w:bCs/>
                <w:i/>
                <w:iCs/>
                <w:sz w:val="22"/>
                <w:szCs w:val="22"/>
              </w:rPr>
            </w:pPr>
            <w:r>
              <w:rPr>
                <w:b/>
                <w:bCs/>
                <w:i/>
                <w:iCs/>
                <w:noProof/>
                <w:sz w:val="22"/>
                <w:szCs w:val="22"/>
                <w:lang w:val="fr-FR" w:eastAsia="fr-FR"/>
              </w:rPr>
              <w:drawing>
                <wp:inline distT="0" distB="0" distL="0" distR="0" wp14:anchorId="14F26AF2" wp14:editId="32FD7D36">
                  <wp:extent cx="3251200" cy="70231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 Proteomic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7023100"/>
                          </a:xfrm>
                          <a:prstGeom prst="rect">
                            <a:avLst/>
                          </a:prstGeom>
                        </pic:spPr>
                      </pic:pic>
                    </a:graphicData>
                  </a:graphic>
                </wp:inline>
              </w:drawing>
            </w:r>
          </w:p>
        </w:tc>
        <w:tc>
          <w:tcPr>
            <w:tcW w:w="4675" w:type="dxa"/>
            <w:vAlign w:val="center"/>
          </w:tcPr>
          <w:p w14:paraId="124ADFBC" w14:textId="77777777" w:rsidR="00D2198A" w:rsidRDefault="00D2198A" w:rsidP="00D2198A">
            <w:pPr>
              <w:rPr>
                <w:b/>
                <w:bCs/>
                <w:i/>
                <w:iCs/>
                <w:sz w:val="22"/>
                <w:szCs w:val="22"/>
              </w:rPr>
            </w:pPr>
            <w:r>
              <w:rPr>
                <w:b/>
                <w:bCs/>
                <w:i/>
                <w:iCs/>
                <w:sz w:val="22"/>
                <w:szCs w:val="22"/>
              </w:rPr>
              <w:tab/>
            </w:r>
            <w:r w:rsidRPr="00D2198A">
              <w:rPr>
                <w:b/>
                <w:bCs/>
                <w:i/>
                <w:iCs/>
                <w:sz w:val="22"/>
                <w:szCs w:val="22"/>
              </w:rPr>
              <w:t>Figure 4. Effect of scleraxis deletion on the proteome of tendons.</w:t>
            </w:r>
            <w:r w:rsidRPr="00D2198A">
              <w:rPr>
                <w:sz w:val="22"/>
                <w:szCs w:val="22"/>
              </w:rPr>
              <w:t xml:space="preserve"> (A) Principal component (PC) analysis of mass spectroscopy-based proteomics data of tendons from control non-overloaded (0D)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tendons, as well as from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mice at 7D or 14D after synergist ablation</w:t>
            </w:r>
            <w:r w:rsidRPr="00D2198A">
              <w:rPr>
                <w:color w:val="000000" w:themeColor="text1"/>
                <w:sz w:val="22"/>
                <w:szCs w:val="22"/>
              </w:rPr>
              <w:t>/plantaris growth procedure</w:t>
            </w:r>
            <w:r w:rsidRPr="00D2198A">
              <w:rPr>
                <w:sz w:val="22"/>
                <w:szCs w:val="22"/>
              </w:rPr>
              <w:t>. (B) Heatmaps demonstrating the log</w:t>
            </w:r>
            <w:r w:rsidRPr="00D2198A">
              <w:rPr>
                <w:sz w:val="22"/>
                <w:szCs w:val="22"/>
                <w:vertAlign w:val="subscript"/>
              </w:rPr>
              <w:t>2</w:t>
            </w:r>
            <w:r w:rsidRPr="00D2198A">
              <w:rPr>
                <w:sz w:val="22"/>
                <w:szCs w:val="22"/>
              </w:rPr>
              <w:t xml:space="preserve"> fold change in selected proteins between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tendons at 7D and 14D. Differences between groups were tested using FDR-corrected t-tests: a, different (q&lt;0.05) between </w:t>
            </w:r>
            <w:proofErr w:type="spellStart"/>
            <w:r w:rsidRPr="00D2198A">
              <w:rPr>
                <w:i/>
                <w:iCs/>
                <w:sz w:val="22"/>
                <w:szCs w:val="22"/>
              </w:rPr>
              <w:t>Scx</w:t>
            </w:r>
            <w:proofErr w:type="spellEnd"/>
            <w:r w:rsidRPr="00D2198A">
              <w:rPr>
                <w:sz w:val="22"/>
                <w:szCs w:val="22"/>
                <w:vertAlign w:val="superscript"/>
              </w:rPr>
              <w:t>+</w:t>
            </w:r>
            <w:r w:rsidRPr="00D2198A">
              <w:rPr>
                <w:sz w:val="22"/>
                <w:szCs w:val="22"/>
              </w:rPr>
              <w:t xml:space="preserve"> and </w:t>
            </w:r>
            <w:proofErr w:type="spellStart"/>
            <w:r w:rsidRPr="00D2198A">
              <w:rPr>
                <w:i/>
                <w:iCs/>
                <w:sz w:val="22"/>
                <w:szCs w:val="22"/>
              </w:rPr>
              <w:t>Scx</w:t>
            </w:r>
            <w:r w:rsidRPr="00D2198A">
              <w:rPr>
                <w:sz w:val="22"/>
                <w:szCs w:val="22"/>
                <w:vertAlign w:val="superscript"/>
              </w:rPr>
              <w:t>Δ</w:t>
            </w:r>
            <w:proofErr w:type="spellEnd"/>
            <w:r w:rsidRPr="00D2198A">
              <w:rPr>
                <w:sz w:val="22"/>
                <w:szCs w:val="22"/>
              </w:rPr>
              <w:t xml:space="preserve"> groups at a given time point. N=4 mice per group.</w:t>
            </w:r>
          </w:p>
        </w:tc>
      </w:tr>
    </w:tbl>
    <w:p w14:paraId="12552BE4" w14:textId="77777777" w:rsidR="00D2198A" w:rsidRDefault="00D2198A" w:rsidP="006E2104">
      <w:pPr>
        <w:rPr>
          <w:b/>
          <w:bCs/>
          <w:i/>
          <w:iCs/>
          <w:sz w:val="22"/>
          <w:szCs w:val="22"/>
        </w:rPr>
      </w:pPr>
    </w:p>
    <w:p w14:paraId="68819760" w14:textId="77777777" w:rsidR="00D2198A" w:rsidRDefault="00ED6A7A" w:rsidP="00D2198A">
      <w:pPr>
        <w:rPr>
          <w:sz w:val="22"/>
          <w:szCs w:val="22"/>
        </w:rPr>
      </w:pPr>
      <w:r w:rsidRPr="00D2198A">
        <w:rPr>
          <w:b/>
          <w:bCs/>
          <w:i/>
          <w:iCs/>
          <w:sz w:val="22"/>
          <w:szCs w:val="22"/>
        </w:rPr>
        <w:tab/>
      </w:r>
    </w:p>
    <w:p w14:paraId="4E993E00" w14:textId="77777777" w:rsidR="00D2198A" w:rsidRDefault="00D2198A">
      <w:pPr>
        <w:rPr>
          <w:sz w:val="22"/>
          <w:szCs w:val="22"/>
        </w:rPr>
      </w:pPr>
      <w:r>
        <w:rPr>
          <w:sz w:val="22"/>
          <w:szCs w:val="22"/>
        </w:rPr>
        <w:br w:type="page"/>
      </w:r>
    </w:p>
    <w:p w14:paraId="67EC7711" w14:textId="103D18AA" w:rsidR="00D2198A" w:rsidRDefault="00F4404A" w:rsidP="00D2198A">
      <w:pPr>
        <w:jc w:val="center"/>
        <w:rPr>
          <w:b/>
          <w:bCs/>
          <w:i/>
          <w:iCs/>
          <w:sz w:val="22"/>
          <w:szCs w:val="22"/>
        </w:rPr>
      </w:pPr>
      <w:r>
        <w:rPr>
          <w:b/>
          <w:bCs/>
          <w:i/>
          <w:iCs/>
          <w:noProof/>
          <w:sz w:val="22"/>
          <w:szCs w:val="22"/>
        </w:rPr>
        <w:lastRenderedPageBreak/>
        <w:drawing>
          <wp:inline distT="0" distB="0" distL="0" distR="0" wp14:anchorId="12E7DF8B" wp14:editId="0E3F927B">
            <wp:extent cx="4397587" cy="5406307"/>
            <wp:effectExtent l="0" t="0" r="0" b="444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 - RNAseq.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9712" cy="5470389"/>
                    </a:xfrm>
                    <a:prstGeom prst="rect">
                      <a:avLst/>
                    </a:prstGeom>
                  </pic:spPr>
                </pic:pic>
              </a:graphicData>
            </a:graphic>
          </wp:inline>
        </w:drawing>
      </w:r>
    </w:p>
    <w:p w14:paraId="75A0A4AF" w14:textId="3CFD402A" w:rsidR="00D2198A" w:rsidRDefault="00D2198A">
      <w:pPr>
        <w:rPr>
          <w:sz w:val="22"/>
          <w:szCs w:val="22"/>
        </w:rPr>
      </w:pPr>
      <w:r>
        <w:rPr>
          <w:b/>
          <w:bCs/>
          <w:i/>
          <w:iCs/>
          <w:sz w:val="22"/>
          <w:szCs w:val="22"/>
        </w:rPr>
        <w:tab/>
      </w:r>
      <w:r w:rsidR="00766FFE" w:rsidRPr="00D2198A">
        <w:rPr>
          <w:b/>
          <w:bCs/>
          <w:i/>
          <w:iCs/>
          <w:sz w:val="22"/>
          <w:szCs w:val="22"/>
        </w:rPr>
        <w:t xml:space="preserve">Figure </w:t>
      </w:r>
      <w:r w:rsidR="0059232C" w:rsidRPr="00D2198A">
        <w:rPr>
          <w:b/>
          <w:bCs/>
          <w:i/>
          <w:iCs/>
          <w:sz w:val="22"/>
          <w:szCs w:val="22"/>
        </w:rPr>
        <w:t>5</w:t>
      </w:r>
      <w:r w:rsidR="00766FFE" w:rsidRPr="00D2198A">
        <w:rPr>
          <w:b/>
          <w:bCs/>
          <w:i/>
          <w:iCs/>
          <w:sz w:val="22"/>
          <w:szCs w:val="22"/>
        </w:rPr>
        <w:t>. Effect of scleraxis deletion on transcriptional changes of whole tendons and cultured tenocytes.</w:t>
      </w:r>
      <w:r w:rsidR="00766FFE" w:rsidRPr="00D2198A">
        <w:rPr>
          <w:sz w:val="22"/>
          <w:szCs w:val="22"/>
        </w:rPr>
        <w:t xml:space="preserve"> </w:t>
      </w:r>
      <w:r w:rsidR="00966A00" w:rsidRPr="00D2198A">
        <w:rPr>
          <w:sz w:val="22"/>
          <w:szCs w:val="22"/>
        </w:rPr>
        <w:t xml:space="preserve">Principal component (PC) analysis of RNA-sequencing data of (A) </w:t>
      </w:r>
      <w:proofErr w:type="spellStart"/>
      <w:r w:rsidR="00633B50">
        <w:rPr>
          <w:sz w:val="22"/>
          <w:szCs w:val="22"/>
        </w:rPr>
        <w:t>plantairs</w:t>
      </w:r>
      <w:proofErr w:type="spellEnd"/>
      <w:r w:rsidR="00633B50">
        <w:rPr>
          <w:sz w:val="22"/>
          <w:szCs w:val="22"/>
        </w:rPr>
        <w:t xml:space="preserve"> </w:t>
      </w:r>
      <w:r w:rsidR="00966A00" w:rsidRPr="00D2198A">
        <w:rPr>
          <w:sz w:val="22"/>
          <w:szCs w:val="22"/>
        </w:rPr>
        <w:t xml:space="preserve">tendons from control non-overloaded (0D) </w:t>
      </w:r>
      <w:proofErr w:type="spellStart"/>
      <w:r w:rsidR="00966A00" w:rsidRPr="00D2198A">
        <w:rPr>
          <w:i/>
          <w:iCs/>
          <w:sz w:val="22"/>
          <w:szCs w:val="22"/>
        </w:rPr>
        <w:t>Scx</w:t>
      </w:r>
      <w:proofErr w:type="spellEnd"/>
      <w:r w:rsidR="00966A00" w:rsidRPr="00D2198A">
        <w:rPr>
          <w:sz w:val="22"/>
          <w:szCs w:val="22"/>
          <w:vertAlign w:val="superscript"/>
        </w:rPr>
        <w:t>+</w:t>
      </w:r>
      <w:r w:rsidR="00966A00" w:rsidRPr="00D2198A">
        <w:rPr>
          <w:sz w:val="22"/>
          <w:szCs w:val="22"/>
        </w:rPr>
        <w:t xml:space="preserve"> tendons, as well as from </w:t>
      </w:r>
      <w:proofErr w:type="spellStart"/>
      <w:r w:rsidR="00966A00" w:rsidRPr="00D2198A">
        <w:rPr>
          <w:i/>
          <w:iCs/>
          <w:sz w:val="22"/>
          <w:szCs w:val="22"/>
        </w:rPr>
        <w:t>Scx</w:t>
      </w:r>
      <w:proofErr w:type="spellEnd"/>
      <w:r w:rsidR="00966A00" w:rsidRPr="00D2198A">
        <w:rPr>
          <w:sz w:val="22"/>
          <w:szCs w:val="22"/>
          <w:vertAlign w:val="superscript"/>
        </w:rPr>
        <w:t>+</w:t>
      </w:r>
      <w:r w:rsidR="00966A00" w:rsidRPr="00D2198A">
        <w:rPr>
          <w:sz w:val="22"/>
          <w:szCs w:val="22"/>
        </w:rPr>
        <w:t xml:space="preserve"> and </w:t>
      </w:r>
      <w:proofErr w:type="spellStart"/>
      <w:r w:rsidR="00966A00" w:rsidRPr="00D2198A">
        <w:rPr>
          <w:i/>
          <w:iCs/>
          <w:sz w:val="22"/>
          <w:szCs w:val="22"/>
        </w:rPr>
        <w:t>Scx</w:t>
      </w:r>
      <w:r w:rsidR="00966A00" w:rsidRPr="00D2198A">
        <w:rPr>
          <w:sz w:val="22"/>
          <w:szCs w:val="22"/>
          <w:vertAlign w:val="superscript"/>
        </w:rPr>
        <w:t>Δ</w:t>
      </w:r>
      <w:proofErr w:type="spellEnd"/>
      <w:r w:rsidR="00966A00" w:rsidRPr="00D2198A">
        <w:rPr>
          <w:sz w:val="22"/>
          <w:szCs w:val="22"/>
        </w:rPr>
        <w:t xml:space="preserve"> mice at 7D or 14D after synergist ablation</w:t>
      </w:r>
      <w:r w:rsidR="00966A00" w:rsidRPr="00D2198A">
        <w:rPr>
          <w:color w:val="000000" w:themeColor="text1"/>
          <w:sz w:val="22"/>
          <w:szCs w:val="22"/>
        </w:rPr>
        <w:t>/plantaris growth procedure</w:t>
      </w:r>
      <w:r w:rsidR="00966A00" w:rsidRPr="00D2198A">
        <w:rPr>
          <w:sz w:val="22"/>
          <w:szCs w:val="22"/>
        </w:rPr>
        <w:t xml:space="preserve">, and (B) from cultured </w:t>
      </w:r>
      <w:proofErr w:type="spellStart"/>
      <w:r w:rsidR="00966A00" w:rsidRPr="00D2198A">
        <w:rPr>
          <w:i/>
          <w:iCs/>
          <w:sz w:val="22"/>
          <w:szCs w:val="22"/>
        </w:rPr>
        <w:t>Scx</w:t>
      </w:r>
      <w:proofErr w:type="spellEnd"/>
      <w:r w:rsidR="00966A00" w:rsidRPr="00D2198A">
        <w:rPr>
          <w:sz w:val="22"/>
          <w:szCs w:val="22"/>
          <w:vertAlign w:val="superscript"/>
        </w:rPr>
        <w:t>+</w:t>
      </w:r>
      <w:r w:rsidR="00966A00" w:rsidRPr="00D2198A">
        <w:rPr>
          <w:sz w:val="22"/>
          <w:szCs w:val="22"/>
        </w:rPr>
        <w:t xml:space="preserve"> and </w:t>
      </w:r>
      <w:proofErr w:type="spellStart"/>
      <w:r w:rsidR="00966A00" w:rsidRPr="00D2198A">
        <w:rPr>
          <w:i/>
          <w:iCs/>
          <w:sz w:val="22"/>
          <w:szCs w:val="22"/>
        </w:rPr>
        <w:t>Scx</w:t>
      </w:r>
      <w:r w:rsidR="00966A00" w:rsidRPr="00D2198A">
        <w:rPr>
          <w:sz w:val="22"/>
          <w:szCs w:val="22"/>
          <w:vertAlign w:val="superscript"/>
        </w:rPr>
        <w:t>Δ</w:t>
      </w:r>
      <w:proofErr w:type="spellEnd"/>
      <w:r w:rsidR="00966A00" w:rsidRPr="00D2198A">
        <w:rPr>
          <w:sz w:val="22"/>
          <w:szCs w:val="22"/>
        </w:rPr>
        <w:t xml:space="preserve"> tenocytes. (C) Proliferating tenocytes</w:t>
      </w:r>
      <w:r w:rsidR="007B58F2">
        <w:rPr>
          <w:sz w:val="22"/>
          <w:szCs w:val="22"/>
        </w:rPr>
        <w:t xml:space="preserve">, isolated from tail tendons, </w:t>
      </w:r>
      <w:r w:rsidR="00966A00" w:rsidRPr="00D2198A">
        <w:rPr>
          <w:sz w:val="22"/>
          <w:szCs w:val="22"/>
        </w:rPr>
        <w:t xml:space="preserve">as quantified by </w:t>
      </w:r>
      <w:proofErr w:type="spellStart"/>
      <w:r w:rsidR="00966A00" w:rsidRPr="00D2198A">
        <w:rPr>
          <w:sz w:val="22"/>
          <w:szCs w:val="22"/>
        </w:rPr>
        <w:t>BrdU</w:t>
      </w:r>
      <w:proofErr w:type="spellEnd"/>
      <w:r w:rsidR="00966A00" w:rsidRPr="00D2198A">
        <w:rPr>
          <w:sz w:val="22"/>
          <w:szCs w:val="22"/>
          <w:vertAlign w:val="superscript"/>
        </w:rPr>
        <w:t>+</w:t>
      </w:r>
      <w:r w:rsidR="00966A00" w:rsidRPr="00D2198A">
        <w:rPr>
          <w:sz w:val="22"/>
          <w:szCs w:val="22"/>
        </w:rPr>
        <w:t xml:space="preserve"> nuclei (red) as a percentage of total nuclei (blue) in </w:t>
      </w:r>
      <w:proofErr w:type="spellStart"/>
      <w:r w:rsidR="00966A00" w:rsidRPr="00D2198A">
        <w:rPr>
          <w:i/>
          <w:iCs/>
          <w:sz w:val="22"/>
          <w:szCs w:val="22"/>
        </w:rPr>
        <w:t>Scx</w:t>
      </w:r>
      <w:proofErr w:type="spellEnd"/>
      <w:r w:rsidR="00966A00" w:rsidRPr="00D2198A">
        <w:rPr>
          <w:sz w:val="22"/>
          <w:szCs w:val="22"/>
          <w:vertAlign w:val="superscript"/>
        </w:rPr>
        <w:t>+</w:t>
      </w:r>
      <w:r w:rsidR="00966A00" w:rsidRPr="00D2198A">
        <w:rPr>
          <w:sz w:val="22"/>
          <w:szCs w:val="22"/>
        </w:rPr>
        <w:t xml:space="preserve"> and </w:t>
      </w:r>
      <w:proofErr w:type="spellStart"/>
      <w:r w:rsidR="00966A00" w:rsidRPr="00D2198A">
        <w:rPr>
          <w:i/>
          <w:iCs/>
          <w:sz w:val="22"/>
          <w:szCs w:val="22"/>
        </w:rPr>
        <w:t>Scx</w:t>
      </w:r>
      <w:r w:rsidR="00966A00" w:rsidRPr="00D2198A">
        <w:rPr>
          <w:sz w:val="22"/>
          <w:szCs w:val="22"/>
          <w:vertAlign w:val="superscript"/>
        </w:rPr>
        <w:t>Δ</w:t>
      </w:r>
      <w:proofErr w:type="spellEnd"/>
      <w:r w:rsidR="00966A00" w:rsidRPr="00D2198A">
        <w:rPr>
          <w:sz w:val="22"/>
          <w:szCs w:val="22"/>
        </w:rPr>
        <w:t xml:space="preserve"> tenocytes. Representative </w:t>
      </w:r>
      <w:proofErr w:type="spellStart"/>
      <w:r w:rsidR="00966A00" w:rsidRPr="00D2198A">
        <w:rPr>
          <w:sz w:val="22"/>
          <w:szCs w:val="22"/>
        </w:rPr>
        <w:t>BrdU</w:t>
      </w:r>
      <w:proofErr w:type="spellEnd"/>
      <w:r w:rsidR="00966A00" w:rsidRPr="00D2198A">
        <w:rPr>
          <w:sz w:val="22"/>
          <w:szCs w:val="22"/>
          <w:vertAlign w:val="superscript"/>
        </w:rPr>
        <w:t>-</w:t>
      </w:r>
      <w:r w:rsidR="00966A00" w:rsidRPr="00D2198A">
        <w:rPr>
          <w:sz w:val="22"/>
          <w:szCs w:val="22"/>
        </w:rPr>
        <w:t xml:space="preserve"> and </w:t>
      </w:r>
      <w:proofErr w:type="spellStart"/>
      <w:r w:rsidR="00966A00" w:rsidRPr="00D2198A">
        <w:rPr>
          <w:sz w:val="22"/>
          <w:szCs w:val="22"/>
        </w:rPr>
        <w:t>BrdU</w:t>
      </w:r>
      <w:proofErr w:type="spellEnd"/>
      <w:r w:rsidR="00966A00" w:rsidRPr="00D2198A">
        <w:rPr>
          <w:sz w:val="22"/>
          <w:szCs w:val="22"/>
          <w:vertAlign w:val="superscript"/>
        </w:rPr>
        <w:t>+</w:t>
      </w:r>
      <w:r w:rsidR="00966A00" w:rsidRPr="00D2198A">
        <w:rPr>
          <w:sz w:val="22"/>
          <w:szCs w:val="22"/>
        </w:rPr>
        <w:t xml:space="preserve"> cells are shown in the inset. </w:t>
      </w:r>
      <w:r w:rsidR="00951548" w:rsidRPr="00D2198A">
        <w:rPr>
          <w:sz w:val="22"/>
          <w:szCs w:val="22"/>
        </w:rPr>
        <w:t xml:space="preserve">Scale bar is 10µm. </w:t>
      </w:r>
      <w:r w:rsidR="00A7322F" w:rsidRPr="00D2198A">
        <w:rPr>
          <w:sz w:val="22"/>
          <w:szCs w:val="22"/>
        </w:rPr>
        <w:t xml:space="preserve">(D-F) </w:t>
      </w:r>
      <w:r w:rsidR="00966A00" w:rsidRPr="00D2198A">
        <w:rPr>
          <w:sz w:val="22"/>
          <w:szCs w:val="22"/>
        </w:rPr>
        <w:t xml:space="preserve">The number of genes that with a &gt; 1.5-fold upregulation (red) or a &gt; 1.5-fold downregulation (blue), and with q-values &lt; 0.05, in </w:t>
      </w:r>
      <w:proofErr w:type="spellStart"/>
      <w:r w:rsidR="00966A00" w:rsidRPr="00D2198A">
        <w:rPr>
          <w:i/>
          <w:iCs/>
          <w:sz w:val="22"/>
          <w:szCs w:val="22"/>
        </w:rPr>
        <w:t>Scx</w:t>
      </w:r>
      <w:r w:rsidR="00966A00" w:rsidRPr="00D2198A">
        <w:rPr>
          <w:sz w:val="22"/>
          <w:szCs w:val="22"/>
          <w:vertAlign w:val="superscript"/>
        </w:rPr>
        <w:t>Δ</w:t>
      </w:r>
      <w:proofErr w:type="spellEnd"/>
      <w:r w:rsidR="00966A00" w:rsidRPr="00D2198A">
        <w:rPr>
          <w:sz w:val="22"/>
          <w:szCs w:val="22"/>
          <w:vertAlign w:val="superscript"/>
        </w:rPr>
        <w:t xml:space="preserve"> </w:t>
      </w:r>
      <w:r w:rsidR="00A7322F" w:rsidRPr="00D2198A">
        <w:rPr>
          <w:sz w:val="22"/>
          <w:szCs w:val="22"/>
        </w:rPr>
        <w:t>tendons</w:t>
      </w:r>
      <w:r w:rsidR="00966A00" w:rsidRPr="00D2198A">
        <w:rPr>
          <w:sz w:val="22"/>
          <w:szCs w:val="22"/>
        </w:rPr>
        <w:t xml:space="preserve"> compared to </w:t>
      </w:r>
      <w:proofErr w:type="spellStart"/>
      <w:r w:rsidR="00966A00" w:rsidRPr="00D2198A">
        <w:rPr>
          <w:i/>
          <w:iCs/>
          <w:sz w:val="22"/>
          <w:szCs w:val="22"/>
        </w:rPr>
        <w:t>Scx</w:t>
      </w:r>
      <w:proofErr w:type="spellEnd"/>
      <w:r w:rsidR="00966A00" w:rsidRPr="00D2198A">
        <w:rPr>
          <w:sz w:val="22"/>
          <w:szCs w:val="22"/>
          <w:vertAlign w:val="superscript"/>
        </w:rPr>
        <w:t>+</w:t>
      </w:r>
      <w:r w:rsidR="00966A00" w:rsidRPr="00D2198A">
        <w:rPr>
          <w:sz w:val="22"/>
          <w:szCs w:val="22"/>
        </w:rPr>
        <w:t xml:space="preserve"> </w:t>
      </w:r>
      <w:r w:rsidR="00A7322F" w:rsidRPr="00D2198A">
        <w:rPr>
          <w:sz w:val="22"/>
          <w:szCs w:val="22"/>
        </w:rPr>
        <w:t>tendons</w:t>
      </w:r>
      <w:r w:rsidR="00966A00" w:rsidRPr="00D2198A">
        <w:rPr>
          <w:sz w:val="22"/>
          <w:szCs w:val="22"/>
        </w:rPr>
        <w:t xml:space="preserve"> </w:t>
      </w:r>
      <w:r w:rsidR="00A7322F" w:rsidRPr="00D2198A">
        <w:rPr>
          <w:sz w:val="22"/>
          <w:szCs w:val="22"/>
        </w:rPr>
        <w:t xml:space="preserve">at </w:t>
      </w:r>
      <w:r w:rsidR="00966A00" w:rsidRPr="00D2198A">
        <w:rPr>
          <w:sz w:val="22"/>
          <w:szCs w:val="22"/>
        </w:rPr>
        <w:t xml:space="preserve">(D) 7D </w:t>
      </w:r>
      <w:r w:rsidR="00A7322F" w:rsidRPr="00D2198A">
        <w:rPr>
          <w:sz w:val="22"/>
          <w:szCs w:val="22"/>
        </w:rPr>
        <w:t>or</w:t>
      </w:r>
      <w:r w:rsidR="00966A00" w:rsidRPr="00D2198A">
        <w:rPr>
          <w:sz w:val="22"/>
          <w:szCs w:val="22"/>
        </w:rPr>
        <w:t xml:space="preserve"> (E) 14D</w:t>
      </w:r>
      <w:r w:rsidR="00A7322F" w:rsidRPr="00D2198A">
        <w:rPr>
          <w:sz w:val="22"/>
          <w:szCs w:val="22"/>
        </w:rPr>
        <w:t xml:space="preserve"> after synergist ablation/plantaris growth procedure</w:t>
      </w:r>
      <w:r w:rsidR="00966A00" w:rsidRPr="00D2198A">
        <w:rPr>
          <w:sz w:val="22"/>
          <w:szCs w:val="22"/>
        </w:rPr>
        <w:t xml:space="preserve">, or in (F) cultured </w:t>
      </w:r>
      <w:proofErr w:type="spellStart"/>
      <w:r w:rsidR="00A7322F" w:rsidRPr="00D2198A">
        <w:rPr>
          <w:i/>
          <w:iCs/>
          <w:sz w:val="22"/>
          <w:szCs w:val="22"/>
        </w:rPr>
        <w:t>Scx</w:t>
      </w:r>
      <w:r w:rsidR="00A7322F" w:rsidRPr="00D2198A">
        <w:rPr>
          <w:sz w:val="22"/>
          <w:szCs w:val="22"/>
          <w:vertAlign w:val="superscript"/>
        </w:rPr>
        <w:t>Δ</w:t>
      </w:r>
      <w:proofErr w:type="spellEnd"/>
      <w:r w:rsidR="00A7322F" w:rsidRPr="00D2198A">
        <w:rPr>
          <w:sz w:val="22"/>
          <w:szCs w:val="22"/>
        </w:rPr>
        <w:t xml:space="preserve"> </w:t>
      </w:r>
      <w:r w:rsidR="00966A00" w:rsidRPr="00D2198A">
        <w:rPr>
          <w:sz w:val="22"/>
          <w:szCs w:val="22"/>
        </w:rPr>
        <w:t>tenocytes</w:t>
      </w:r>
      <w:r w:rsidR="00A7322F" w:rsidRPr="00D2198A">
        <w:rPr>
          <w:sz w:val="22"/>
          <w:szCs w:val="22"/>
        </w:rPr>
        <w:t xml:space="preserve"> compared to </w:t>
      </w:r>
      <w:proofErr w:type="spellStart"/>
      <w:r w:rsidR="00A7322F" w:rsidRPr="00D2198A">
        <w:rPr>
          <w:i/>
          <w:iCs/>
          <w:sz w:val="22"/>
          <w:szCs w:val="22"/>
        </w:rPr>
        <w:t>Scx</w:t>
      </w:r>
      <w:proofErr w:type="spellEnd"/>
      <w:r w:rsidR="00A7322F" w:rsidRPr="00D2198A">
        <w:rPr>
          <w:sz w:val="22"/>
          <w:szCs w:val="22"/>
          <w:vertAlign w:val="superscript"/>
        </w:rPr>
        <w:t>+</w:t>
      </w:r>
      <w:r w:rsidR="00A7322F" w:rsidRPr="00D2198A">
        <w:rPr>
          <w:sz w:val="22"/>
          <w:szCs w:val="22"/>
        </w:rPr>
        <w:t xml:space="preserve"> tenocytes</w:t>
      </w:r>
      <w:r w:rsidR="00966A00" w:rsidRPr="00D2198A">
        <w:rPr>
          <w:sz w:val="22"/>
          <w:szCs w:val="22"/>
        </w:rPr>
        <w:t>.</w:t>
      </w:r>
      <w:r w:rsidR="00A7322F" w:rsidRPr="00D2198A">
        <w:rPr>
          <w:sz w:val="22"/>
          <w:szCs w:val="22"/>
        </w:rPr>
        <w:t xml:space="preserve"> (G-I) </w:t>
      </w:r>
      <w:r w:rsidR="006C267A" w:rsidRPr="00D2198A">
        <w:rPr>
          <w:sz w:val="22"/>
          <w:szCs w:val="22"/>
        </w:rPr>
        <w:t>Heatmaps demonstrating the log</w:t>
      </w:r>
      <w:r w:rsidR="006C267A" w:rsidRPr="00D2198A">
        <w:rPr>
          <w:sz w:val="22"/>
          <w:szCs w:val="22"/>
          <w:vertAlign w:val="subscript"/>
        </w:rPr>
        <w:t>2</w:t>
      </w:r>
      <w:r w:rsidR="006C267A" w:rsidRPr="00D2198A">
        <w:rPr>
          <w:sz w:val="22"/>
          <w:szCs w:val="22"/>
        </w:rPr>
        <w:t xml:space="preserve"> fold change in selected genes from RNA</w:t>
      </w:r>
      <w:r w:rsidR="00A7322F" w:rsidRPr="00D2198A">
        <w:rPr>
          <w:sz w:val="22"/>
          <w:szCs w:val="22"/>
        </w:rPr>
        <w:t>-sequencing</w:t>
      </w:r>
      <w:r w:rsidR="006C267A" w:rsidRPr="00D2198A">
        <w:rPr>
          <w:sz w:val="22"/>
          <w:szCs w:val="22"/>
        </w:rPr>
        <w:t xml:space="preserve"> that are (</w:t>
      </w:r>
      <w:r w:rsidR="007934A7" w:rsidRPr="00D2198A">
        <w:rPr>
          <w:sz w:val="22"/>
          <w:szCs w:val="22"/>
        </w:rPr>
        <w:t>G</w:t>
      </w:r>
      <w:r w:rsidR="006C267A" w:rsidRPr="00D2198A">
        <w:rPr>
          <w:sz w:val="22"/>
          <w:szCs w:val="22"/>
        </w:rPr>
        <w:t>) components or regulators of the extracellular matrix</w:t>
      </w:r>
      <w:r w:rsidR="00E41576" w:rsidRPr="00D2198A">
        <w:rPr>
          <w:sz w:val="22"/>
          <w:szCs w:val="22"/>
        </w:rPr>
        <w:t xml:space="preserve"> or tendon differentiation</w:t>
      </w:r>
      <w:r w:rsidR="006C267A" w:rsidRPr="00D2198A">
        <w:rPr>
          <w:sz w:val="22"/>
          <w:szCs w:val="22"/>
        </w:rPr>
        <w:t>, (</w:t>
      </w:r>
      <w:r w:rsidR="007934A7" w:rsidRPr="00D2198A">
        <w:rPr>
          <w:sz w:val="22"/>
          <w:szCs w:val="22"/>
        </w:rPr>
        <w:t>H</w:t>
      </w:r>
      <w:r w:rsidR="006C267A" w:rsidRPr="00D2198A">
        <w:rPr>
          <w:sz w:val="22"/>
          <w:szCs w:val="22"/>
        </w:rPr>
        <w:t xml:space="preserve">) involved in cell </w:t>
      </w:r>
      <w:r w:rsidR="00D07696" w:rsidRPr="00D2198A">
        <w:rPr>
          <w:sz w:val="22"/>
          <w:szCs w:val="22"/>
        </w:rPr>
        <w:t xml:space="preserve">migration or </w:t>
      </w:r>
      <w:r w:rsidR="006C267A" w:rsidRPr="00D2198A">
        <w:rPr>
          <w:sz w:val="22"/>
          <w:szCs w:val="22"/>
        </w:rPr>
        <w:t>proliferation</w:t>
      </w:r>
      <w:r w:rsidR="00A7322F" w:rsidRPr="00D2198A">
        <w:rPr>
          <w:sz w:val="22"/>
          <w:szCs w:val="22"/>
        </w:rPr>
        <w:t>,</w:t>
      </w:r>
      <w:r w:rsidR="006C267A" w:rsidRPr="00D2198A">
        <w:rPr>
          <w:sz w:val="22"/>
          <w:szCs w:val="22"/>
        </w:rPr>
        <w:t xml:space="preserve"> or (</w:t>
      </w:r>
      <w:r w:rsidR="007934A7" w:rsidRPr="00D2198A">
        <w:rPr>
          <w:sz w:val="22"/>
          <w:szCs w:val="22"/>
        </w:rPr>
        <w:t>I</w:t>
      </w:r>
      <w:r w:rsidR="006C267A" w:rsidRPr="00D2198A">
        <w:rPr>
          <w:sz w:val="22"/>
          <w:szCs w:val="22"/>
        </w:rPr>
        <w:t xml:space="preserve">) growth factors, cytokines, </w:t>
      </w:r>
      <w:r w:rsidR="00D07696" w:rsidRPr="00D2198A">
        <w:rPr>
          <w:sz w:val="22"/>
          <w:szCs w:val="22"/>
        </w:rPr>
        <w:t>and signaling molecules</w:t>
      </w:r>
      <w:r w:rsidR="006C267A" w:rsidRPr="00D2198A">
        <w:rPr>
          <w:sz w:val="22"/>
          <w:szCs w:val="22"/>
        </w:rPr>
        <w:t xml:space="preserve">. The fold change value is displayed for </w:t>
      </w:r>
      <w:proofErr w:type="spellStart"/>
      <w:r w:rsidR="009C760E" w:rsidRPr="00D2198A">
        <w:rPr>
          <w:i/>
          <w:iCs/>
          <w:sz w:val="22"/>
          <w:szCs w:val="22"/>
        </w:rPr>
        <w:t>Scx</w:t>
      </w:r>
      <w:r w:rsidR="009C760E" w:rsidRPr="00D2198A">
        <w:rPr>
          <w:sz w:val="22"/>
          <w:szCs w:val="22"/>
          <w:vertAlign w:val="superscript"/>
        </w:rPr>
        <w:t>Δ</w:t>
      </w:r>
      <w:proofErr w:type="spellEnd"/>
      <w:r w:rsidR="009C760E" w:rsidRPr="00D2198A">
        <w:rPr>
          <w:sz w:val="22"/>
          <w:szCs w:val="22"/>
        </w:rPr>
        <w:t xml:space="preserve"> </w:t>
      </w:r>
      <w:r w:rsidR="006C267A" w:rsidRPr="00D2198A">
        <w:rPr>
          <w:sz w:val="22"/>
          <w:szCs w:val="22"/>
        </w:rPr>
        <w:t xml:space="preserve">relative to </w:t>
      </w:r>
      <w:proofErr w:type="spellStart"/>
      <w:r w:rsidR="006C267A" w:rsidRPr="00D2198A">
        <w:rPr>
          <w:i/>
          <w:iCs/>
          <w:sz w:val="22"/>
          <w:szCs w:val="22"/>
        </w:rPr>
        <w:t>Scx</w:t>
      </w:r>
      <w:proofErr w:type="spellEnd"/>
      <w:r w:rsidR="006C267A" w:rsidRPr="00D2198A">
        <w:rPr>
          <w:sz w:val="22"/>
          <w:szCs w:val="22"/>
          <w:vertAlign w:val="superscript"/>
        </w:rPr>
        <w:t>+</w:t>
      </w:r>
      <w:r w:rsidR="006C267A" w:rsidRPr="00D2198A">
        <w:rPr>
          <w:sz w:val="22"/>
          <w:szCs w:val="22"/>
        </w:rPr>
        <w:t xml:space="preserve"> </w:t>
      </w:r>
      <w:r w:rsidR="00257BD1" w:rsidRPr="00D2198A">
        <w:rPr>
          <w:sz w:val="22"/>
          <w:szCs w:val="22"/>
        </w:rPr>
        <w:t>group</w:t>
      </w:r>
      <w:r w:rsidR="006C267A" w:rsidRPr="00D2198A">
        <w:rPr>
          <w:sz w:val="22"/>
          <w:szCs w:val="22"/>
        </w:rPr>
        <w:t xml:space="preserve">. </w:t>
      </w:r>
      <w:r w:rsidR="00A7322F" w:rsidRPr="00D2198A">
        <w:rPr>
          <w:sz w:val="22"/>
          <w:szCs w:val="22"/>
        </w:rPr>
        <w:t xml:space="preserve">(C) Values are </w:t>
      </w:r>
      <w:proofErr w:type="spellStart"/>
      <w:r w:rsidR="00A7322F" w:rsidRPr="00D2198A">
        <w:rPr>
          <w:sz w:val="22"/>
          <w:szCs w:val="22"/>
        </w:rPr>
        <w:t>mean±SD</w:t>
      </w:r>
      <w:proofErr w:type="spellEnd"/>
      <w:r w:rsidR="00A7322F" w:rsidRPr="00D2198A">
        <w:rPr>
          <w:sz w:val="22"/>
          <w:szCs w:val="22"/>
        </w:rPr>
        <w:t xml:space="preserve">. Differences between </w:t>
      </w:r>
      <w:proofErr w:type="spellStart"/>
      <w:r w:rsidR="00A7322F" w:rsidRPr="00D2198A">
        <w:rPr>
          <w:i/>
          <w:iCs/>
          <w:sz w:val="22"/>
          <w:szCs w:val="22"/>
        </w:rPr>
        <w:t>Scx</w:t>
      </w:r>
      <w:proofErr w:type="spellEnd"/>
      <w:r w:rsidR="00A7322F" w:rsidRPr="00D2198A">
        <w:rPr>
          <w:sz w:val="22"/>
          <w:szCs w:val="22"/>
          <w:vertAlign w:val="superscript"/>
        </w:rPr>
        <w:t>+</w:t>
      </w:r>
      <w:r w:rsidR="00A7322F" w:rsidRPr="00D2198A">
        <w:rPr>
          <w:sz w:val="22"/>
          <w:szCs w:val="22"/>
        </w:rPr>
        <w:t xml:space="preserve"> and </w:t>
      </w:r>
      <w:proofErr w:type="spellStart"/>
      <w:r w:rsidR="00A7322F" w:rsidRPr="00D2198A">
        <w:rPr>
          <w:i/>
          <w:iCs/>
          <w:sz w:val="22"/>
          <w:szCs w:val="22"/>
        </w:rPr>
        <w:t>Scx</w:t>
      </w:r>
      <w:r w:rsidR="00A7322F" w:rsidRPr="00D2198A">
        <w:rPr>
          <w:sz w:val="22"/>
          <w:szCs w:val="22"/>
          <w:vertAlign w:val="superscript"/>
        </w:rPr>
        <w:t>Δ</w:t>
      </w:r>
      <w:proofErr w:type="spellEnd"/>
      <w:r w:rsidR="00A7322F" w:rsidRPr="00D2198A">
        <w:rPr>
          <w:sz w:val="22"/>
          <w:szCs w:val="22"/>
        </w:rPr>
        <w:t xml:space="preserve"> groups were tested using a t-test. (G-I) </w:t>
      </w:r>
      <w:r w:rsidR="006C267A" w:rsidRPr="00D2198A">
        <w:rPr>
          <w:sz w:val="22"/>
          <w:szCs w:val="22"/>
        </w:rPr>
        <w:t xml:space="preserve">Differences between groups were tested using DESeq2: a, different (q&lt;0.05) </w:t>
      </w:r>
      <w:r w:rsidR="00E41576" w:rsidRPr="00D2198A">
        <w:rPr>
          <w:sz w:val="22"/>
          <w:szCs w:val="22"/>
        </w:rPr>
        <w:t xml:space="preserve">between </w:t>
      </w:r>
      <w:proofErr w:type="spellStart"/>
      <w:r w:rsidR="006C267A" w:rsidRPr="00D2198A">
        <w:rPr>
          <w:i/>
          <w:iCs/>
          <w:sz w:val="22"/>
          <w:szCs w:val="22"/>
        </w:rPr>
        <w:t>Scx</w:t>
      </w:r>
      <w:proofErr w:type="spellEnd"/>
      <w:r w:rsidR="006C267A" w:rsidRPr="00D2198A">
        <w:rPr>
          <w:sz w:val="22"/>
          <w:szCs w:val="22"/>
          <w:vertAlign w:val="superscript"/>
        </w:rPr>
        <w:t>+</w:t>
      </w:r>
      <w:r w:rsidR="006C267A" w:rsidRPr="00D2198A">
        <w:rPr>
          <w:sz w:val="22"/>
          <w:szCs w:val="22"/>
        </w:rPr>
        <w:t xml:space="preserve"> and </w:t>
      </w:r>
      <w:proofErr w:type="spellStart"/>
      <w:r w:rsidR="006C267A" w:rsidRPr="00D2198A">
        <w:rPr>
          <w:i/>
          <w:iCs/>
          <w:sz w:val="22"/>
          <w:szCs w:val="22"/>
        </w:rPr>
        <w:t>Scx</w:t>
      </w:r>
      <w:r w:rsidR="006C267A" w:rsidRPr="00D2198A">
        <w:rPr>
          <w:sz w:val="22"/>
          <w:szCs w:val="22"/>
          <w:vertAlign w:val="superscript"/>
        </w:rPr>
        <w:t>Δ</w:t>
      </w:r>
      <w:proofErr w:type="spellEnd"/>
      <w:r w:rsidR="006C267A" w:rsidRPr="00D2198A">
        <w:rPr>
          <w:sz w:val="22"/>
          <w:szCs w:val="22"/>
        </w:rPr>
        <w:t xml:space="preserve"> </w:t>
      </w:r>
      <w:r w:rsidR="00E41576" w:rsidRPr="00D2198A">
        <w:rPr>
          <w:sz w:val="22"/>
          <w:szCs w:val="22"/>
        </w:rPr>
        <w:t>group</w:t>
      </w:r>
      <w:r w:rsidR="00A7322F" w:rsidRPr="00D2198A">
        <w:rPr>
          <w:sz w:val="22"/>
          <w:szCs w:val="22"/>
        </w:rPr>
        <w:t>s at a given time point for whole tendons, or for cultured tenocytes</w:t>
      </w:r>
      <w:r w:rsidR="006C267A" w:rsidRPr="00D2198A">
        <w:rPr>
          <w:sz w:val="22"/>
          <w:szCs w:val="22"/>
        </w:rPr>
        <w:t xml:space="preserve">. </w:t>
      </w:r>
      <w:r w:rsidR="00A7322F" w:rsidRPr="00D2198A">
        <w:rPr>
          <w:sz w:val="22"/>
          <w:szCs w:val="22"/>
        </w:rPr>
        <w:t>(A,D,E</w:t>
      </w:r>
      <w:r w:rsidR="00BF3551" w:rsidRPr="00D2198A">
        <w:rPr>
          <w:sz w:val="22"/>
          <w:szCs w:val="22"/>
        </w:rPr>
        <w:t xml:space="preserve">,G-I) </w:t>
      </w:r>
      <w:r w:rsidR="00BF3551" w:rsidRPr="00D2198A">
        <w:rPr>
          <w:color w:val="000000" w:themeColor="text1"/>
          <w:sz w:val="22"/>
          <w:szCs w:val="22"/>
        </w:rPr>
        <w:t xml:space="preserve">N≥3 tendons and </w:t>
      </w:r>
      <w:r w:rsidR="00A7322F" w:rsidRPr="00D2198A">
        <w:rPr>
          <w:color w:val="000000" w:themeColor="text1"/>
          <w:sz w:val="22"/>
          <w:szCs w:val="22"/>
        </w:rPr>
        <w:t>(B,C,F</w:t>
      </w:r>
      <w:r w:rsidR="00BF3551" w:rsidRPr="00D2198A">
        <w:rPr>
          <w:color w:val="000000" w:themeColor="text1"/>
          <w:sz w:val="22"/>
          <w:szCs w:val="22"/>
        </w:rPr>
        <w:t>-I</w:t>
      </w:r>
      <w:r w:rsidR="00A7322F" w:rsidRPr="00D2198A">
        <w:rPr>
          <w:color w:val="000000" w:themeColor="text1"/>
          <w:sz w:val="22"/>
          <w:szCs w:val="22"/>
        </w:rPr>
        <w:t xml:space="preserve">) N=6 </w:t>
      </w:r>
      <w:r w:rsidR="00A71653">
        <w:rPr>
          <w:color w:val="000000" w:themeColor="text1"/>
          <w:sz w:val="22"/>
          <w:szCs w:val="22"/>
        </w:rPr>
        <w:t>replicates</w:t>
      </w:r>
      <w:r w:rsidR="00A7322F" w:rsidRPr="00D2198A">
        <w:rPr>
          <w:color w:val="000000" w:themeColor="text1"/>
          <w:sz w:val="22"/>
          <w:szCs w:val="22"/>
        </w:rPr>
        <w:t xml:space="preserve"> per </w:t>
      </w:r>
      <w:r w:rsidR="00BF3551" w:rsidRPr="00D2198A">
        <w:rPr>
          <w:color w:val="000000" w:themeColor="text1"/>
          <w:sz w:val="22"/>
          <w:szCs w:val="22"/>
        </w:rPr>
        <w:t>tenocyte group</w:t>
      </w:r>
      <w:r w:rsidR="00A7322F" w:rsidRPr="00D2198A">
        <w:rPr>
          <w:color w:val="000000" w:themeColor="text1"/>
          <w:sz w:val="22"/>
          <w:szCs w:val="22"/>
        </w:rPr>
        <w:t>.</w:t>
      </w:r>
      <w:r>
        <w:rPr>
          <w:sz w:val="22"/>
          <w:szCs w:val="22"/>
        </w:rPr>
        <w:br w:type="page"/>
      </w:r>
    </w:p>
    <w:p w14:paraId="2EDAC1CA" w14:textId="5ACDB68B" w:rsidR="00D2198A" w:rsidRDefault="00D2198A" w:rsidP="00D2198A">
      <w:pPr>
        <w:rPr>
          <w:sz w:val="22"/>
          <w:szCs w:val="22"/>
        </w:rPr>
      </w:pPr>
      <w:r>
        <w:rPr>
          <w:b/>
          <w:bCs/>
          <w:i/>
          <w:iCs/>
          <w:noProof/>
          <w:sz w:val="22"/>
          <w:szCs w:val="22"/>
          <w:lang w:val="fr-FR" w:eastAsia="fr-FR"/>
        </w:rPr>
        <w:lastRenderedPageBreak/>
        <w:drawing>
          <wp:inline distT="0" distB="0" distL="0" distR="0" wp14:anchorId="4196B4E5" wp14:editId="4DA68D3B">
            <wp:extent cx="5943600" cy="3987800"/>
            <wp:effectExtent l="0" t="0" r="0" b="0"/>
            <wp:docPr id="8" name="Picture 8"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6 - CD146 on collagen in vitro.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87800"/>
                    </a:xfrm>
                    <a:prstGeom prst="rect">
                      <a:avLst/>
                    </a:prstGeom>
                  </pic:spPr>
                </pic:pic>
              </a:graphicData>
            </a:graphic>
          </wp:inline>
        </w:drawing>
      </w:r>
      <w:r>
        <w:rPr>
          <w:b/>
          <w:bCs/>
          <w:i/>
          <w:iCs/>
          <w:sz w:val="22"/>
          <w:szCs w:val="22"/>
        </w:rPr>
        <w:tab/>
      </w:r>
      <w:r w:rsidR="009C760E" w:rsidRPr="00D2198A">
        <w:rPr>
          <w:b/>
          <w:bCs/>
          <w:i/>
          <w:iCs/>
          <w:sz w:val="22"/>
          <w:szCs w:val="22"/>
        </w:rPr>
        <w:t xml:space="preserve">Figure </w:t>
      </w:r>
      <w:r w:rsidR="0059232C" w:rsidRPr="00D2198A">
        <w:rPr>
          <w:b/>
          <w:bCs/>
          <w:i/>
          <w:iCs/>
          <w:sz w:val="22"/>
          <w:szCs w:val="22"/>
        </w:rPr>
        <w:t>6</w:t>
      </w:r>
      <w:r w:rsidR="009C760E" w:rsidRPr="00D2198A">
        <w:rPr>
          <w:b/>
          <w:bCs/>
          <w:i/>
          <w:iCs/>
          <w:sz w:val="22"/>
          <w:szCs w:val="22"/>
        </w:rPr>
        <w:t xml:space="preserve">. Effect of scleraxis deletion on gene expression </w:t>
      </w:r>
      <w:r w:rsidR="00BF3551" w:rsidRPr="00D2198A">
        <w:rPr>
          <w:b/>
          <w:bCs/>
          <w:i/>
          <w:iCs/>
          <w:sz w:val="22"/>
          <w:szCs w:val="22"/>
        </w:rPr>
        <w:t>in</w:t>
      </w:r>
      <w:r w:rsidR="009C760E" w:rsidRPr="00D2198A">
        <w:rPr>
          <w:b/>
          <w:bCs/>
          <w:i/>
          <w:iCs/>
          <w:sz w:val="22"/>
          <w:szCs w:val="22"/>
        </w:rPr>
        <w:t xml:space="preserve"> cultured pericytes</w:t>
      </w:r>
      <w:r w:rsidR="009C760E" w:rsidRPr="00D2198A">
        <w:rPr>
          <w:b/>
          <w:bCs/>
          <w:i/>
          <w:iCs/>
          <w:sz w:val="22"/>
          <w:szCs w:val="22"/>
        </w:rPr>
        <w:softHyphen/>
      </w:r>
      <w:r w:rsidR="009C760E" w:rsidRPr="00D2198A">
        <w:rPr>
          <w:b/>
          <w:bCs/>
          <w:i/>
          <w:iCs/>
          <w:sz w:val="22"/>
          <w:szCs w:val="22"/>
        </w:rPr>
        <w:softHyphen/>
        <w:t>.</w:t>
      </w:r>
      <w:r w:rsidR="009C760E" w:rsidRPr="00D2198A">
        <w:rPr>
          <w:sz w:val="22"/>
          <w:szCs w:val="22"/>
        </w:rPr>
        <w:t xml:space="preserve"> Gene expression (</w:t>
      </w:r>
      <w:r w:rsidR="009C760E" w:rsidRPr="00D2198A">
        <w:rPr>
          <w:i/>
          <w:iCs/>
          <w:sz w:val="22"/>
          <w:szCs w:val="22"/>
        </w:rPr>
        <w:t xml:space="preserve">Cd146, Col1a1, </w:t>
      </w:r>
      <w:proofErr w:type="spellStart"/>
      <w:r w:rsidR="009C760E" w:rsidRPr="00D2198A">
        <w:rPr>
          <w:i/>
          <w:iCs/>
          <w:sz w:val="22"/>
          <w:szCs w:val="22"/>
        </w:rPr>
        <w:t>Mkx</w:t>
      </w:r>
      <w:proofErr w:type="spellEnd"/>
      <w:r w:rsidR="009C760E" w:rsidRPr="00D2198A">
        <w:rPr>
          <w:i/>
          <w:iCs/>
          <w:sz w:val="22"/>
          <w:szCs w:val="22"/>
        </w:rPr>
        <w:t xml:space="preserve">, </w:t>
      </w:r>
      <w:proofErr w:type="spellStart"/>
      <w:r w:rsidR="009C760E" w:rsidRPr="00D2198A">
        <w:rPr>
          <w:i/>
          <w:iCs/>
          <w:sz w:val="22"/>
          <w:szCs w:val="22"/>
        </w:rPr>
        <w:t>Scx</w:t>
      </w:r>
      <w:proofErr w:type="spellEnd"/>
      <w:r w:rsidR="009C760E" w:rsidRPr="00D2198A">
        <w:rPr>
          <w:sz w:val="22"/>
          <w:szCs w:val="22"/>
        </w:rPr>
        <w:t xml:space="preserve">, and </w:t>
      </w:r>
      <w:proofErr w:type="spellStart"/>
      <w:r w:rsidR="009C760E" w:rsidRPr="00D2198A">
        <w:rPr>
          <w:i/>
          <w:iCs/>
          <w:sz w:val="22"/>
          <w:szCs w:val="22"/>
        </w:rPr>
        <w:t>Tnmd</w:t>
      </w:r>
      <w:proofErr w:type="spellEnd"/>
      <w:r w:rsidR="009C760E" w:rsidRPr="00D2198A">
        <w:rPr>
          <w:sz w:val="22"/>
          <w:szCs w:val="22"/>
        </w:rPr>
        <w:t xml:space="preserve">) of </w:t>
      </w:r>
      <w:r w:rsidR="00BF3551" w:rsidRPr="00D2198A">
        <w:rPr>
          <w:sz w:val="22"/>
          <w:szCs w:val="22"/>
        </w:rPr>
        <w:t>CD146</w:t>
      </w:r>
      <w:r w:rsidR="00BF3551" w:rsidRPr="00D2198A">
        <w:rPr>
          <w:sz w:val="22"/>
          <w:szCs w:val="22"/>
          <w:vertAlign w:val="superscript"/>
        </w:rPr>
        <w:t>+</w:t>
      </w:r>
      <w:r w:rsidR="00BF3551" w:rsidRPr="00D2198A">
        <w:rPr>
          <w:sz w:val="22"/>
          <w:szCs w:val="22"/>
        </w:rPr>
        <w:t xml:space="preserve"> MACS-sorted </w:t>
      </w:r>
      <w:r w:rsidR="009C760E" w:rsidRPr="00D2198A">
        <w:rPr>
          <w:sz w:val="22"/>
          <w:szCs w:val="22"/>
        </w:rPr>
        <w:t xml:space="preserve">pericytes </w:t>
      </w:r>
      <w:r w:rsidR="007B58F2">
        <w:rPr>
          <w:sz w:val="22"/>
          <w:szCs w:val="22"/>
        </w:rPr>
        <w:t xml:space="preserve">isolated </w:t>
      </w:r>
      <w:r w:rsidR="009C760E" w:rsidRPr="00D2198A">
        <w:rPr>
          <w:sz w:val="22"/>
          <w:szCs w:val="22"/>
        </w:rPr>
        <w:t>from</w:t>
      </w:r>
      <w:r w:rsidR="007B58F2">
        <w:rPr>
          <w:sz w:val="22"/>
          <w:szCs w:val="22"/>
        </w:rPr>
        <w:t xml:space="preserve"> tail tendons of</w:t>
      </w:r>
      <w:r w:rsidR="009C760E" w:rsidRPr="00D2198A">
        <w:rPr>
          <w:sz w:val="22"/>
          <w:szCs w:val="22"/>
        </w:rPr>
        <w:t xml:space="preserve"> </w:t>
      </w:r>
      <w:proofErr w:type="spellStart"/>
      <w:r w:rsidR="009C760E" w:rsidRPr="00D2198A">
        <w:rPr>
          <w:i/>
          <w:iCs/>
          <w:sz w:val="22"/>
          <w:szCs w:val="22"/>
        </w:rPr>
        <w:t>Scx</w:t>
      </w:r>
      <w:proofErr w:type="spellEnd"/>
      <w:r w:rsidR="009C760E" w:rsidRPr="00D2198A">
        <w:rPr>
          <w:sz w:val="22"/>
          <w:szCs w:val="22"/>
          <w:vertAlign w:val="superscript"/>
        </w:rPr>
        <w:t>+</w:t>
      </w:r>
      <w:r w:rsidR="009C760E" w:rsidRPr="00D2198A">
        <w:rPr>
          <w:sz w:val="22"/>
          <w:szCs w:val="22"/>
        </w:rPr>
        <w:t xml:space="preserve"> and </w:t>
      </w:r>
      <w:proofErr w:type="spellStart"/>
      <w:r w:rsidR="009C760E" w:rsidRPr="00D2198A">
        <w:rPr>
          <w:i/>
          <w:iCs/>
          <w:sz w:val="22"/>
          <w:szCs w:val="22"/>
        </w:rPr>
        <w:t>Scx</w:t>
      </w:r>
      <w:r w:rsidR="009C760E" w:rsidRPr="00D2198A">
        <w:rPr>
          <w:sz w:val="22"/>
          <w:szCs w:val="22"/>
          <w:vertAlign w:val="superscript"/>
        </w:rPr>
        <w:t>Δ</w:t>
      </w:r>
      <w:proofErr w:type="spellEnd"/>
      <w:r w:rsidR="009C760E" w:rsidRPr="00D2198A">
        <w:rPr>
          <w:sz w:val="22"/>
          <w:szCs w:val="22"/>
        </w:rPr>
        <w:t xml:space="preserve"> mice cultured on type I collagen gels for 1, 3 or 5 days. </w:t>
      </w:r>
      <w:r w:rsidR="00BF3551" w:rsidRPr="00D2198A">
        <w:rPr>
          <w:sz w:val="22"/>
          <w:szCs w:val="22"/>
        </w:rPr>
        <w:t xml:space="preserve">Values are </w:t>
      </w:r>
      <w:proofErr w:type="spellStart"/>
      <w:r w:rsidR="00BF3551" w:rsidRPr="00D2198A">
        <w:rPr>
          <w:sz w:val="22"/>
          <w:szCs w:val="22"/>
        </w:rPr>
        <w:t>mean±CV</w:t>
      </w:r>
      <w:proofErr w:type="spellEnd"/>
      <w:r w:rsidR="00BF3551" w:rsidRPr="00D2198A">
        <w:rPr>
          <w:sz w:val="22"/>
          <w:szCs w:val="22"/>
        </w:rPr>
        <w:t xml:space="preserve">. </w:t>
      </w:r>
      <w:r w:rsidR="009C760E" w:rsidRPr="00D2198A">
        <w:rPr>
          <w:sz w:val="22"/>
          <w:szCs w:val="22"/>
        </w:rPr>
        <w:t xml:space="preserve">Differences between groups were tested using a two-way ANOVA: a, significantly different (p&lt;0.05) from 1D </w:t>
      </w:r>
      <w:proofErr w:type="spellStart"/>
      <w:r w:rsidR="009C760E" w:rsidRPr="00D2198A">
        <w:rPr>
          <w:i/>
          <w:iCs/>
          <w:sz w:val="22"/>
          <w:szCs w:val="22"/>
        </w:rPr>
        <w:t>Scx</w:t>
      </w:r>
      <w:proofErr w:type="spellEnd"/>
      <w:r w:rsidR="009C760E" w:rsidRPr="00D2198A">
        <w:rPr>
          <w:sz w:val="22"/>
          <w:szCs w:val="22"/>
          <w:vertAlign w:val="superscript"/>
        </w:rPr>
        <w:t>+</w:t>
      </w:r>
      <w:r w:rsidR="009C760E" w:rsidRPr="00D2198A">
        <w:rPr>
          <w:sz w:val="22"/>
          <w:szCs w:val="22"/>
        </w:rPr>
        <w:t xml:space="preserve">; b, significantly different (p&lt;0.05) from 1D </w:t>
      </w:r>
      <w:proofErr w:type="spellStart"/>
      <w:r w:rsidR="009C760E" w:rsidRPr="00D2198A">
        <w:rPr>
          <w:i/>
          <w:iCs/>
          <w:sz w:val="22"/>
          <w:szCs w:val="22"/>
        </w:rPr>
        <w:t>Scx</w:t>
      </w:r>
      <w:r w:rsidR="009C760E" w:rsidRPr="00D2198A">
        <w:rPr>
          <w:sz w:val="22"/>
          <w:szCs w:val="22"/>
          <w:vertAlign w:val="superscript"/>
        </w:rPr>
        <w:t>Δ</w:t>
      </w:r>
      <w:proofErr w:type="spellEnd"/>
      <w:r w:rsidR="009C760E" w:rsidRPr="00D2198A">
        <w:rPr>
          <w:sz w:val="22"/>
          <w:szCs w:val="22"/>
        </w:rPr>
        <w:t xml:space="preserve">; c, significantly different (p&lt;0.05) from 3D </w:t>
      </w:r>
      <w:proofErr w:type="spellStart"/>
      <w:r w:rsidR="009C760E" w:rsidRPr="00D2198A">
        <w:rPr>
          <w:i/>
          <w:iCs/>
          <w:sz w:val="22"/>
          <w:szCs w:val="22"/>
        </w:rPr>
        <w:t>Scx</w:t>
      </w:r>
      <w:proofErr w:type="spellEnd"/>
      <w:r w:rsidR="009C760E" w:rsidRPr="00D2198A">
        <w:rPr>
          <w:sz w:val="22"/>
          <w:szCs w:val="22"/>
          <w:vertAlign w:val="superscript"/>
        </w:rPr>
        <w:t>+</w:t>
      </w:r>
      <w:r w:rsidR="009C760E" w:rsidRPr="00D2198A">
        <w:rPr>
          <w:sz w:val="22"/>
          <w:szCs w:val="22"/>
        </w:rPr>
        <w:t xml:space="preserve">; d, significantly different (p&lt;0.05) from 3D </w:t>
      </w:r>
      <w:proofErr w:type="spellStart"/>
      <w:r w:rsidR="009C760E" w:rsidRPr="00D2198A">
        <w:rPr>
          <w:i/>
          <w:iCs/>
          <w:sz w:val="22"/>
          <w:szCs w:val="22"/>
        </w:rPr>
        <w:t>Scx</w:t>
      </w:r>
      <w:r w:rsidR="009C760E" w:rsidRPr="00D2198A">
        <w:rPr>
          <w:sz w:val="22"/>
          <w:szCs w:val="22"/>
          <w:vertAlign w:val="superscript"/>
        </w:rPr>
        <w:t>Δ</w:t>
      </w:r>
      <w:proofErr w:type="spellEnd"/>
      <w:r w:rsidR="009C760E" w:rsidRPr="00D2198A">
        <w:rPr>
          <w:sz w:val="22"/>
          <w:szCs w:val="22"/>
        </w:rPr>
        <w:t xml:space="preserve">; e, significantly different (p&lt;0.05) from 5D </w:t>
      </w:r>
      <w:proofErr w:type="spellStart"/>
      <w:r w:rsidR="009C760E" w:rsidRPr="00D2198A">
        <w:rPr>
          <w:i/>
          <w:iCs/>
          <w:sz w:val="22"/>
          <w:szCs w:val="22"/>
        </w:rPr>
        <w:t>Scx</w:t>
      </w:r>
      <w:proofErr w:type="spellEnd"/>
      <w:r w:rsidR="009C760E" w:rsidRPr="00D2198A">
        <w:rPr>
          <w:sz w:val="22"/>
          <w:szCs w:val="22"/>
          <w:vertAlign w:val="superscript"/>
        </w:rPr>
        <w:t>+</w:t>
      </w:r>
      <w:r w:rsidR="009C760E" w:rsidRPr="00D2198A">
        <w:rPr>
          <w:sz w:val="22"/>
          <w:szCs w:val="22"/>
        </w:rPr>
        <w:t xml:space="preserve">. Values are </w:t>
      </w:r>
      <w:proofErr w:type="spellStart"/>
      <w:r w:rsidR="009C760E" w:rsidRPr="00D2198A">
        <w:rPr>
          <w:sz w:val="22"/>
          <w:szCs w:val="22"/>
        </w:rPr>
        <w:t>mean±</w:t>
      </w:r>
      <w:r w:rsidR="00F4404A">
        <w:rPr>
          <w:sz w:val="22"/>
          <w:szCs w:val="22"/>
        </w:rPr>
        <w:t>CV</w:t>
      </w:r>
      <w:proofErr w:type="spellEnd"/>
      <w:r w:rsidR="009C760E" w:rsidRPr="00D2198A">
        <w:rPr>
          <w:sz w:val="22"/>
          <w:szCs w:val="22"/>
        </w:rPr>
        <w:t xml:space="preserve">. N=6 </w:t>
      </w:r>
      <w:r w:rsidR="00D91970">
        <w:rPr>
          <w:sz w:val="22"/>
          <w:szCs w:val="22"/>
        </w:rPr>
        <w:t>replicates</w:t>
      </w:r>
      <w:r w:rsidR="009C760E" w:rsidRPr="00D2198A">
        <w:rPr>
          <w:sz w:val="22"/>
          <w:szCs w:val="22"/>
        </w:rPr>
        <w:t xml:space="preserve"> per group. </w:t>
      </w:r>
    </w:p>
    <w:p w14:paraId="194931BC" w14:textId="77777777" w:rsidR="00D2198A" w:rsidRDefault="00D2198A" w:rsidP="00D2198A">
      <w:pPr>
        <w:rPr>
          <w:sz w:val="22"/>
          <w:szCs w:val="22"/>
        </w:rPr>
      </w:pPr>
    </w:p>
    <w:p w14:paraId="2805BA7C" w14:textId="77777777" w:rsidR="00D2198A" w:rsidRDefault="00D2198A">
      <w:pPr>
        <w:rPr>
          <w:sz w:val="22"/>
          <w:szCs w:val="22"/>
        </w:rPr>
      </w:pPr>
      <w:r>
        <w:rPr>
          <w:sz w:val="22"/>
          <w:szCs w:val="22"/>
        </w:rPr>
        <w:br w:type="page"/>
      </w:r>
    </w:p>
    <w:p w14:paraId="7ED001EE" w14:textId="77777777" w:rsidR="00D2198A" w:rsidRDefault="006B264B" w:rsidP="00D2198A">
      <w:pPr>
        <w:jc w:val="center"/>
        <w:rPr>
          <w:b/>
          <w:bCs/>
          <w:i/>
          <w:iCs/>
          <w:sz w:val="22"/>
          <w:szCs w:val="22"/>
        </w:rPr>
      </w:pPr>
      <w:r>
        <w:rPr>
          <w:b/>
          <w:bCs/>
          <w:i/>
          <w:iCs/>
          <w:noProof/>
          <w:sz w:val="22"/>
          <w:szCs w:val="22"/>
          <w:lang w:val="fr-FR" w:eastAsia="fr-FR"/>
        </w:rPr>
        <w:lastRenderedPageBreak/>
        <w:drawing>
          <wp:inline distT="0" distB="0" distL="0" distR="0" wp14:anchorId="0984FAB0" wp14:editId="4D91D4C7">
            <wp:extent cx="5664200" cy="4660900"/>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 - Summary Figure dens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4200" cy="4660900"/>
                    </a:xfrm>
                    <a:prstGeom prst="rect">
                      <a:avLst/>
                    </a:prstGeom>
                  </pic:spPr>
                </pic:pic>
              </a:graphicData>
            </a:graphic>
          </wp:inline>
        </w:drawing>
      </w:r>
    </w:p>
    <w:p w14:paraId="0CE71454" w14:textId="77777777" w:rsidR="00766FFE" w:rsidRPr="00D2198A" w:rsidRDefault="00D2198A" w:rsidP="00D2198A">
      <w:pPr>
        <w:rPr>
          <w:sz w:val="22"/>
          <w:szCs w:val="22"/>
        </w:rPr>
      </w:pPr>
      <w:r>
        <w:rPr>
          <w:b/>
          <w:bCs/>
          <w:i/>
          <w:iCs/>
          <w:sz w:val="22"/>
          <w:szCs w:val="22"/>
        </w:rPr>
        <w:tab/>
      </w:r>
      <w:r w:rsidR="00AA4C26" w:rsidRPr="00D2198A">
        <w:rPr>
          <w:b/>
          <w:bCs/>
          <w:i/>
          <w:iCs/>
          <w:sz w:val="22"/>
          <w:szCs w:val="22"/>
        </w:rPr>
        <w:t xml:space="preserve">Figure </w:t>
      </w:r>
      <w:r w:rsidR="0059232C" w:rsidRPr="00D2198A">
        <w:rPr>
          <w:b/>
          <w:bCs/>
          <w:i/>
          <w:iCs/>
          <w:sz w:val="22"/>
          <w:szCs w:val="22"/>
        </w:rPr>
        <w:t>7</w:t>
      </w:r>
      <w:r w:rsidR="00AA4C26" w:rsidRPr="00D2198A">
        <w:rPr>
          <w:b/>
          <w:bCs/>
          <w:i/>
          <w:iCs/>
          <w:sz w:val="22"/>
          <w:szCs w:val="22"/>
        </w:rPr>
        <w:t>. Proposed model of scleraxis role in</w:t>
      </w:r>
      <w:r w:rsidR="00AA4C26" w:rsidRPr="00D2198A">
        <w:rPr>
          <w:b/>
          <w:bCs/>
          <w:i/>
          <w:sz w:val="22"/>
          <w:szCs w:val="22"/>
        </w:rPr>
        <w:t xml:space="preserve"> adult tendon growth response to mechanical loading</w:t>
      </w:r>
      <w:r w:rsidR="00AA4C26" w:rsidRPr="00D2198A">
        <w:rPr>
          <w:b/>
          <w:bCs/>
          <w:i/>
          <w:iCs/>
          <w:sz w:val="22"/>
          <w:szCs w:val="22"/>
        </w:rPr>
        <w:t>.</w:t>
      </w:r>
      <w:r w:rsidR="00AA4C26" w:rsidRPr="00D2198A">
        <w:rPr>
          <w:sz w:val="22"/>
          <w:szCs w:val="22"/>
        </w:rPr>
        <w:t xml:space="preserve"> </w:t>
      </w:r>
      <w:r w:rsidR="0037465B" w:rsidRPr="00D2198A">
        <w:rPr>
          <w:sz w:val="22"/>
          <w:szCs w:val="22"/>
        </w:rPr>
        <w:t>In wild-type (left) scleraxis controls the differentiation of CD146</w:t>
      </w:r>
      <w:r w:rsidR="0037465B" w:rsidRPr="00D2198A">
        <w:rPr>
          <w:sz w:val="22"/>
          <w:szCs w:val="22"/>
          <w:vertAlign w:val="superscript"/>
        </w:rPr>
        <w:t>+</w:t>
      </w:r>
      <w:r w:rsidR="0037465B" w:rsidRPr="00D2198A">
        <w:rPr>
          <w:sz w:val="22"/>
          <w:szCs w:val="22"/>
        </w:rPr>
        <w:t xml:space="preserve"> pericytes into a tenogenic lineage. When </w:t>
      </w:r>
      <w:r w:rsidR="0037465B" w:rsidRPr="00D2198A">
        <w:rPr>
          <w:color w:val="000000" w:themeColor="text1"/>
          <w:sz w:val="22"/>
          <w:szCs w:val="22"/>
        </w:rPr>
        <w:t>scleraxis is deleted (</w:t>
      </w:r>
      <w:r w:rsidR="0037465B" w:rsidRPr="00D2198A">
        <w:rPr>
          <w:sz w:val="22"/>
          <w:szCs w:val="22"/>
        </w:rPr>
        <w:t>right), CD146</w:t>
      </w:r>
      <w:r w:rsidR="0037465B" w:rsidRPr="00D2198A">
        <w:rPr>
          <w:sz w:val="22"/>
          <w:szCs w:val="22"/>
          <w:vertAlign w:val="superscript"/>
        </w:rPr>
        <w:t>+</w:t>
      </w:r>
      <w:r w:rsidR="0037465B" w:rsidRPr="00D2198A">
        <w:rPr>
          <w:sz w:val="22"/>
          <w:szCs w:val="22"/>
        </w:rPr>
        <w:t xml:space="preserve"> cells still migrate to the neotendon but are unable to differentiate and do not participate in ECM synthesis.</w:t>
      </w:r>
    </w:p>
    <w:p w14:paraId="1803A094" w14:textId="77777777" w:rsidR="00C50E8D" w:rsidRDefault="00C50E8D">
      <w:pPr>
        <w:rPr>
          <w:b/>
          <w:bCs/>
        </w:rPr>
      </w:pPr>
      <w:r>
        <w:rPr>
          <w:b/>
          <w:bCs/>
        </w:rPr>
        <w:br w:type="page"/>
      </w:r>
    </w:p>
    <w:p w14:paraId="5E33FADF" w14:textId="77777777" w:rsidR="001B34F2" w:rsidRPr="001B34F2" w:rsidRDefault="001B34F2" w:rsidP="006E41A7">
      <w:pPr>
        <w:spacing w:line="480" w:lineRule="auto"/>
        <w:rPr>
          <w:b/>
          <w:bCs/>
        </w:rPr>
      </w:pPr>
      <w:r w:rsidRPr="001B34F2">
        <w:rPr>
          <w:b/>
          <w:bCs/>
        </w:rPr>
        <w:lastRenderedPageBreak/>
        <w:t>Tables</w:t>
      </w:r>
    </w:p>
    <w:p w14:paraId="0B2C2431" w14:textId="77777777" w:rsidR="005A0B91" w:rsidRDefault="005A0B91" w:rsidP="006E41A7">
      <w:pPr>
        <w:spacing w:line="480" w:lineRule="auto"/>
      </w:pPr>
      <w:r w:rsidRPr="005A0B91">
        <w:rPr>
          <w:b/>
          <w:bCs/>
          <w:i/>
          <w:iCs/>
        </w:rPr>
        <w:tab/>
        <w:t>Table 1. Pathway enrichment analysis.</w:t>
      </w:r>
      <w:r>
        <w:t xml:space="preserve"> P-values of s</w:t>
      </w:r>
      <w:r w:rsidRPr="005A0B91">
        <w:t>elect affected or differentially regulated pathways or biological functions that were identified using Ingenuity Pathway Analysis. ND, not significantly different.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068"/>
        <w:gridCol w:w="2068"/>
        <w:gridCol w:w="2069"/>
      </w:tblGrid>
      <w:tr w:rsidR="00C50E8D" w14:paraId="706EDB89" w14:textId="77777777" w:rsidTr="00C50E8D">
        <w:tc>
          <w:tcPr>
            <w:tcW w:w="3145" w:type="dxa"/>
            <w:tcBorders>
              <w:bottom w:val="single" w:sz="4" w:space="0" w:color="auto"/>
            </w:tcBorders>
            <w:vAlign w:val="bottom"/>
          </w:tcPr>
          <w:p w14:paraId="377523D9" w14:textId="77777777" w:rsidR="00C50E8D" w:rsidRPr="00C50E8D" w:rsidRDefault="00C50E8D" w:rsidP="00C50E8D">
            <w:pPr>
              <w:jc w:val="center"/>
              <w:rPr>
                <w:rFonts w:cs="Times New Roman"/>
                <w:b/>
                <w:bCs/>
                <w:color w:val="000000"/>
              </w:rPr>
            </w:pPr>
            <w:bookmarkStart w:id="0" w:name="RANGE!A1:D18"/>
            <w:r w:rsidRPr="00C50E8D">
              <w:rPr>
                <w:rFonts w:cs="Times New Roman"/>
                <w:b/>
                <w:bCs/>
                <w:color w:val="000000"/>
              </w:rPr>
              <w:t>Pathway</w:t>
            </w:r>
            <w:bookmarkEnd w:id="0"/>
          </w:p>
        </w:tc>
        <w:tc>
          <w:tcPr>
            <w:tcW w:w="2068" w:type="dxa"/>
            <w:tcBorders>
              <w:bottom w:val="single" w:sz="4" w:space="0" w:color="auto"/>
            </w:tcBorders>
            <w:vAlign w:val="bottom"/>
          </w:tcPr>
          <w:p w14:paraId="23ED1094" w14:textId="77777777" w:rsidR="00C50E8D" w:rsidRPr="00C50E8D" w:rsidRDefault="00C50E8D" w:rsidP="00C50E8D">
            <w:pPr>
              <w:jc w:val="center"/>
              <w:rPr>
                <w:rFonts w:cs="Times New Roman"/>
                <w:b/>
                <w:bCs/>
                <w:color w:val="000000"/>
              </w:rPr>
            </w:pPr>
            <w:r w:rsidRPr="00C50E8D">
              <w:rPr>
                <w:rFonts w:cs="Times New Roman"/>
                <w:b/>
                <w:bCs/>
                <w:color w:val="000000"/>
              </w:rPr>
              <w:t xml:space="preserve">7D </w:t>
            </w:r>
            <w:proofErr w:type="spellStart"/>
            <w:r w:rsidRPr="00C50E8D">
              <w:rPr>
                <w:rFonts w:cs="Times New Roman"/>
                <w:b/>
                <w:bCs/>
                <w:color w:val="000000"/>
              </w:rPr>
              <w:t>Scx</w:t>
            </w:r>
            <w:proofErr w:type="spellEnd"/>
            <w:r w:rsidRPr="00C50E8D">
              <w:rPr>
                <w:rFonts w:cs="Times New Roman"/>
                <w:b/>
                <w:bCs/>
                <w:color w:val="000000"/>
                <w:vertAlign w:val="superscript"/>
              </w:rPr>
              <w:t>+</w:t>
            </w:r>
            <w:r w:rsidRPr="00C50E8D">
              <w:rPr>
                <w:rFonts w:cs="Times New Roman"/>
                <w:b/>
                <w:bCs/>
                <w:color w:val="000000"/>
              </w:rPr>
              <w:t xml:space="preserve"> to</w:t>
            </w:r>
          </w:p>
          <w:p w14:paraId="58A1C1F3" w14:textId="77777777" w:rsidR="00C50E8D" w:rsidRPr="00C50E8D" w:rsidRDefault="00C50E8D" w:rsidP="00C50E8D">
            <w:pPr>
              <w:jc w:val="center"/>
              <w:rPr>
                <w:rFonts w:cs="Times New Roman"/>
                <w:b/>
                <w:bCs/>
                <w:color w:val="000000"/>
              </w:rPr>
            </w:pPr>
            <w:r w:rsidRPr="00C50E8D">
              <w:rPr>
                <w:rFonts w:cs="Times New Roman"/>
                <w:b/>
                <w:bCs/>
                <w:color w:val="000000"/>
              </w:rPr>
              <w:t xml:space="preserve">7D </w:t>
            </w:r>
            <w:proofErr w:type="spellStart"/>
            <w:r w:rsidRPr="00C50E8D">
              <w:rPr>
                <w:rFonts w:cs="Times New Roman"/>
                <w:b/>
                <w:bCs/>
                <w:color w:val="000000"/>
              </w:rPr>
              <w:t>Scx</w:t>
            </w:r>
            <w:proofErr w:type="spellEnd"/>
            <w:r w:rsidRPr="00C50E8D">
              <w:rPr>
                <w:rFonts w:cs="Times New Roman"/>
                <w:b/>
                <w:bCs/>
                <w:color w:val="000000"/>
                <w:vertAlign w:val="superscript"/>
              </w:rPr>
              <w:t>∆</w:t>
            </w:r>
          </w:p>
        </w:tc>
        <w:tc>
          <w:tcPr>
            <w:tcW w:w="2068" w:type="dxa"/>
            <w:tcBorders>
              <w:bottom w:val="single" w:sz="4" w:space="0" w:color="auto"/>
            </w:tcBorders>
            <w:vAlign w:val="bottom"/>
          </w:tcPr>
          <w:p w14:paraId="509A6C5B" w14:textId="77777777" w:rsidR="00C50E8D" w:rsidRPr="00C50E8D" w:rsidRDefault="00C50E8D" w:rsidP="00C50E8D">
            <w:pPr>
              <w:jc w:val="center"/>
              <w:rPr>
                <w:rFonts w:cs="Times New Roman"/>
                <w:b/>
                <w:bCs/>
                <w:color w:val="000000"/>
              </w:rPr>
            </w:pPr>
            <w:r w:rsidRPr="00C50E8D">
              <w:rPr>
                <w:rFonts w:cs="Times New Roman"/>
                <w:b/>
                <w:bCs/>
                <w:color w:val="000000"/>
              </w:rPr>
              <w:t xml:space="preserve">14D </w:t>
            </w:r>
            <w:proofErr w:type="spellStart"/>
            <w:r w:rsidRPr="00C50E8D">
              <w:rPr>
                <w:rFonts w:cs="Times New Roman"/>
                <w:b/>
                <w:bCs/>
                <w:color w:val="000000"/>
              </w:rPr>
              <w:t>Scx</w:t>
            </w:r>
            <w:proofErr w:type="spellEnd"/>
            <w:r w:rsidRPr="00C50E8D">
              <w:rPr>
                <w:rFonts w:cs="Times New Roman"/>
                <w:b/>
                <w:bCs/>
                <w:color w:val="000000"/>
                <w:vertAlign w:val="superscript"/>
              </w:rPr>
              <w:t>+</w:t>
            </w:r>
            <w:r w:rsidRPr="00C50E8D">
              <w:rPr>
                <w:rFonts w:cs="Times New Roman"/>
                <w:b/>
                <w:bCs/>
                <w:color w:val="000000"/>
              </w:rPr>
              <w:t xml:space="preserve"> to</w:t>
            </w:r>
          </w:p>
          <w:p w14:paraId="4F3BBA2C" w14:textId="77777777" w:rsidR="00C50E8D" w:rsidRPr="00C50E8D" w:rsidRDefault="00C50E8D" w:rsidP="00C50E8D">
            <w:pPr>
              <w:jc w:val="center"/>
              <w:rPr>
                <w:rFonts w:cs="Times New Roman"/>
                <w:b/>
                <w:bCs/>
                <w:color w:val="000000"/>
              </w:rPr>
            </w:pPr>
            <w:r w:rsidRPr="00C50E8D">
              <w:rPr>
                <w:rFonts w:cs="Times New Roman"/>
                <w:b/>
                <w:bCs/>
                <w:color w:val="000000"/>
              </w:rPr>
              <w:t xml:space="preserve">14D </w:t>
            </w:r>
            <w:proofErr w:type="spellStart"/>
            <w:r w:rsidRPr="00C50E8D">
              <w:rPr>
                <w:rFonts w:cs="Times New Roman"/>
                <w:b/>
                <w:bCs/>
                <w:color w:val="000000"/>
              </w:rPr>
              <w:t>Scx</w:t>
            </w:r>
            <w:proofErr w:type="spellEnd"/>
            <w:r w:rsidRPr="00C50E8D">
              <w:rPr>
                <w:rFonts w:cs="Times New Roman"/>
                <w:b/>
                <w:bCs/>
                <w:color w:val="000000"/>
                <w:vertAlign w:val="superscript"/>
              </w:rPr>
              <w:t>∆</w:t>
            </w:r>
          </w:p>
        </w:tc>
        <w:tc>
          <w:tcPr>
            <w:tcW w:w="2069" w:type="dxa"/>
            <w:tcBorders>
              <w:bottom w:val="single" w:sz="4" w:space="0" w:color="auto"/>
            </w:tcBorders>
            <w:vAlign w:val="bottom"/>
          </w:tcPr>
          <w:p w14:paraId="4161FF07" w14:textId="77777777" w:rsidR="00C50E8D" w:rsidRPr="00C50E8D" w:rsidRDefault="00C50E8D" w:rsidP="00C50E8D">
            <w:pPr>
              <w:jc w:val="center"/>
              <w:rPr>
                <w:rFonts w:cs="Times New Roman"/>
                <w:b/>
                <w:bCs/>
                <w:color w:val="000000"/>
              </w:rPr>
            </w:pPr>
            <w:r w:rsidRPr="00C50E8D">
              <w:rPr>
                <w:rFonts w:cs="Times New Roman"/>
                <w:b/>
                <w:bCs/>
                <w:color w:val="000000"/>
              </w:rPr>
              <w:t xml:space="preserve">Cultured Tenocytes </w:t>
            </w:r>
            <w:proofErr w:type="spellStart"/>
            <w:r w:rsidRPr="00C50E8D">
              <w:rPr>
                <w:rFonts w:cs="Times New Roman"/>
                <w:b/>
                <w:bCs/>
                <w:color w:val="000000"/>
              </w:rPr>
              <w:t>Scx</w:t>
            </w:r>
            <w:proofErr w:type="spellEnd"/>
            <w:r w:rsidRPr="00C50E8D">
              <w:rPr>
                <w:rFonts w:cs="Times New Roman"/>
                <w:b/>
                <w:bCs/>
                <w:color w:val="000000"/>
                <w:vertAlign w:val="superscript"/>
              </w:rPr>
              <w:t>∆</w:t>
            </w:r>
            <w:r w:rsidRPr="00C50E8D">
              <w:rPr>
                <w:rFonts w:cs="Times New Roman"/>
                <w:b/>
                <w:bCs/>
                <w:color w:val="000000"/>
              </w:rPr>
              <w:t xml:space="preserve"> </w:t>
            </w:r>
          </w:p>
          <w:p w14:paraId="67818F99" w14:textId="77777777" w:rsidR="00C50E8D" w:rsidRPr="00C50E8D" w:rsidRDefault="00C50E8D" w:rsidP="00C50E8D">
            <w:pPr>
              <w:jc w:val="center"/>
              <w:rPr>
                <w:rFonts w:cs="Times New Roman"/>
                <w:b/>
                <w:bCs/>
                <w:color w:val="000000"/>
              </w:rPr>
            </w:pPr>
            <w:r w:rsidRPr="00C50E8D">
              <w:rPr>
                <w:rFonts w:cs="Times New Roman"/>
                <w:b/>
                <w:bCs/>
                <w:color w:val="000000"/>
              </w:rPr>
              <w:t xml:space="preserve">to </w:t>
            </w:r>
            <w:proofErr w:type="spellStart"/>
            <w:r w:rsidRPr="00C50E8D">
              <w:rPr>
                <w:rFonts w:cs="Times New Roman"/>
                <w:b/>
                <w:bCs/>
                <w:color w:val="000000"/>
              </w:rPr>
              <w:t>Scx</w:t>
            </w:r>
            <w:proofErr w:type="spellEnd"/>
            <w:r w:rsidRPr="00C50E8D">
              <w:rPr>
                <w:rFonts w:cs="Times New Roman"/>
                <w:b/>
                <w:bCs/>
                <w:color w:val="000000"/>
                <w:vertAlign w:val="superscript"/>
              </w:rPr>
              <w:t>+</w:t>
            </w:r>
          </w:p>
        </w:tc>
      </w:tr>
      <w:tr w:rsidR="00C50E8D" w14:paraId="66C31F73" w14:textId="77777777" w:rsidTr="00C50E8D">
        <w:tc>
          <w:tcPr>
            <w:tcW w:w="3145" w:type="dxa"/>
            <w:tcBorders>
              <w:top w:val="single" w:sz="4" w:space="0" w:color="auto"/>
            </w:tcBorders>
            <w:vAlign w:val="center"/>
          </w:tcPr>
          <w:p w14:paraId="67E919BE" w14:textId="77777777" w:rsidR="00C50E8D" w:rsidRPr="00C50E8D" w:rsidRDefault="00C50E8D" w:rsidP="00C50E8D">
            <w:pPr>
              <w:rPr>
                <w:rFonts w:cs="Times New Roman"/>
                <w:color w:val="000000"/>
              </w:rPr>
            </w:pPr>
            <w:r w:rsidRPr="00C50E8D">
              <w:rPr>
                <w:rFonts w:cs="Times New Roman"/>
                <w:color w:val="000000"/>
              </w:rPr>
              <w:t>Actin Cytoskeleton Signaling</w:t>
            </w:r>
          </w:p>
        </w:tc>
        <w:tc>
          <w:tcPr>
            <w:tcW w:w="2068" w:type="dxa"/>
            <w:tcBorders>
              <w:top w:val="single" w:sz="4" w:space="0" w:color="auto"/>
            </w:tcBorders>
            <w:vAlign w:val="center"/>
          </w:tcPr>
          <w:p w14:paraId="748D7B57"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8" w:type="dxa"/>
            <w:tcBorders>
              <w:top w:val="single" w:sz="4" w:space="0" w:color="auto"/>
            </w:tcBorders>
            <w:vAlign w:val="center"/>
          </w:tcPr>
          <w:p w14:paraId="72C1B954"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9" w:type="dxa"/>
            <w:tcBorders>
              <w:top w:val="single" w:sz="4" w:space="0" w:color="auto"/>
            </w:tcBorders>
            <w:vAlign w:val="center"/>
          </w:tcPr>
          <w:p w14:paraId="0CEFCE1E" w14:textId="77777777" w:rsidR="00C50E8D" w:rsidRPr="00C50E8D" w:rsidRDefault="00C50E8D" w:rsidP="00C50E8D">
            <w:pPr>
              <w:jc w:val="center"/>
              <w:rPr>
                <w:rFonts w:cs="Times New Roman"/>
                <w:color w:val="000000"/>
              </w:rPr>
            </w:pPr>
            <w:r w:rsidRPr="00C50E8D">
              <w:rPr>
                <w:rFonts w:cs="Times New Roman"/>
                <w:color w:val="000000"/>
              </w:rPr>
              <w:t>2.45E-02</w:t>
            </w:r>
          </w:p>
        </w:tc>
      </w:tr>
      <w:tr w:rsidR="00C50E8D" w14:paraId="6659B510" w14:textId="77777777" w:rsidTr="00C50E8D">
        <w:tc>
          <w:tcPr>
            <w:tcW w:w="3145" w:type="dxa"/>
            <w:vAlign w:val="center"/>
          </w:tcPr>
          <w:p w14:paraId="669A74B6" w14:textId="77777777" w:rsidR="00C50E8D" w:rsidRPr="00C50E8D" w:rsidRDefault="00C50E8D" w:rsidP="00C50E8D">
            <w:pPr>
              <w:rPr>
                <w:rFonts w:cs="Times New Roman"/>
                <w:color w:val="000000"/>
              </w:rPr>
            </w:pPr>
            <w:r w:rsidRPr="00C50E8D">
              <w:rPr>
                <w:rFonts w:cs="Times New Roman"/>
                <w:color w:val="000000"/>
              </w:rPr>
              <w:t>AMPK Signaling</w:t>
            </w:r>
          </w:p>
        </w:tc>
        <w:tc>
          <w:tcPr>
            <w:tcW w:w="2068" w:type="dxa"/>
            <w:vAlign w:val="center"/>
          </w:tcPr>
          <w:p w14:paraId="4E7C6693" w14:textId="77777777" w:rsidR="00C50E8D" w:rsidRPr="00C50E8D" w:rsidRDefault="00C50E8D" w:rsidP="00C50E8D">
            <w:pPr>
              <w:jc w:val="center"/>
              <w:rPr>
                <w:rFonts w:cs="Times New Roman"/>
                <w:color w:val="000000"/>
              </w:rPr>
            </w:pPr>
            <w:r w:rsidRPr="00C50E8D">
              <w:rPr>
                <w:rFonts w:cs="Times New Roman"/>
                <w:color w:val="000000"/>
              </w:rPr>
              <w:t>8.87E-03</w:t>
            </w:r>
          </w:p>
        </w:tc>
        <w:tc>
          <w:tcPr>
            <w:tcW w:w="2068" w:type="dxa"/>
            <w:vAlign w:val="center"/>
          </w:tcPr>
          <w:p w14:paraId="1577E3EE"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9" w:type="dxa"/>
            <w:vAlign w:val="center"/>
          </w:tcPr>
          <w:p w14:paraId="336FE2B9" w14:textId="77777777" w:rsidR="00C50E8D" w:rsidRPr="00C50E8D" w:rsidRDefault="00C50E8D" w:rsidP="00C50E8D">
            <w:pPr>
              <w:jc w:val="center"/>
              <w:rPr>
                <w:rFonts w:cs="Times New Roman"/>
                <w:color w:val="000000"/>
              </w:rPr>
            </w:pPr>
            <w:r w:rsidRPr="00C50E8D">
              <w:rPr>
                <w:rFonts w:cs="Times New Roman"/>
                <w:color w:val="000000"/>
              </w:rPr>
              <w:t>3.15E-03</w:t>
            </w:r>
          </w:p>
        </w:tc>
      </w:tr>
      <w:tr w:rsidR="00C50E8D" w14:paraId="665BF040" w14:textId="77777777" w:rsidTr="00C50E8D">
        <w:tc>
          <w:tcPr>
            <w:tcW w:w="3145" w:type="dxa"/>
            <w:vAlign w:val="center"/>
          </w:tcPr>
          <w:p w14:paraId="1A840932" w14:textId="77777777" w:rsidR="00C50E8D" w:rsidRPr="00C50E8D" w:rsidRDefault="00C50E8D" w:rsidP="00C50E8D">
            <w:pPr>
              <w:rPr>
                <w:rFonts w:cs="Times New Roman"/>
                <w:color w:val="000000"/>
              </w:rPr>
            </w:pPr>
            <w:r w:rsidRPr="00C50E8D">
              <w:rPr>
                <w:rFonts w:cs="Times New Roman"/>
                <w:color w:val="000000"/>
              </w:rPr>
              <w:t xml:space="preserve">BMP </w:t>
            </w:r>
            <w:r>
              <w:rPr>
                <w:rFonts w:cs="Times New Roman"/>
                <w:color w:val="000000"/>
              </w:rPr>
              <w:t>S</w:t>
            </w:r>
            <w:r w:rsidRPr="00C50E8D">
              <w:rPr>
                <w:rFonts w:cs="Times New Roman"/>
                <w:color w:val="000000"/>
              </w:rPr>
              <w:t>ignaling</w:t>
            </w:r>
          </w:p>
        </w:tc>
        <w:tc>
          <w:tcPr>
            <w:tcW w:w="2068" w:type="dxa"/>
            <w:vAlign w:val="center"/>
          </w:tcPr>
          <w:p w14:paraId="56618998"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8" w:type="dxa"/>
            <w:vAlign w:val="center"/>
          </w:tcPr>
          <w:p w14:paraId="76E88287"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9" w:type="dxa"/>
            <w:vAlign w:val="center"/>
          </w:tcPr>
          <w:p w14:paraId="50E46DFA" w14:textId="77777777" w:rsidR="00C50E8D" w:rsidRPr="00C50E8D" w:rsidRDefault="00C50E8D" w:rsidP="00C50E8D">
            <w:pPr>
              <w:jc w:val="center"/>
              <w:rPr>
                <w:rFonts w:cs="Times New Roman"/>
                <w:color w:val="000000"/>
              </w:rPr>
            </w:pPr>
            <w:r w:rsidRPr="00C50E8D">
              <w:rPr>
                <w:rFonts w:cs="Times New Roman"/>
                <w:color w:val="000000"/>
              </w:rPr>
              <w:t>3.55E-02</w:t>
            </w:r>
          </w:p>
        </w:tc>
      </w:tr>
      <w:tr w:rsidR="00C50E8D" w14:paraId="2B56CC1F" w14:textId="77777777" w:rsidTr="00C50E8D">
        <w:tc>
          <w:tcPr>
            <w:tcW w:w="3145" w:type="dxa"/>
            <w:vAlign w:val="center"/>
          </w:tcPr>
          <w:p w14:paraId="701CBEAF" w14:textId="77777777" w:rsidR="00C50E8D" w:rsidRPr="00C50E8D" w:rsidRDefault="00C50E8D" w:rsidP="00C50E8D">
            <w:pPr>
              <w:rPr>
                <w:rFonts w:cs="Times New Roman"/>
                <w:color w:val="000000"/>
              </w:rPr>
            </w:pPr>
            <w:r w:rsidRPr="00C50E8D">
              <w:rPr>
                <w:rFonts w:cs="Times New Roman"/>
                <w:color w:val="000000"/>
              </w:rPr>
              <w:t>ERK/MAPK Signaling</w:t>
            </w:r>
          </w:p>
        </w:tc>
        <w:tc>
          <w:tcPr>
            <w:tcW w:w="2068" w:type="dxa"/>
            <w:vAlign w:val="center"/>
          </w:tcPr>
          <w:p w14:paraId="19CC2DF2"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8" w:type="dxa"/>
            <w:vAlign w:val="center"/>
          </w:tcPr>
          <w:p w14:paraId="490B65D2" w14:textId="77777777" w:rsidR="00C50E8D" w:rsidRPr="00C50E8D" w:rsidRDefault="00C50E8D" w:rsidP="00C50E8D">
            <w:pPr>
              <w:jc w:val="center"/>
              <w:rPr>
                <w:rFonts w:cs="Times New Roman"/>
                <w:color w:val="000000"/>
              </w:rPr>
            </w:pPr>
            <w:r w:rsidRPr="00C50E8D">
              <w:rPr>
                <w:rFonts w:cs="Times New Roman"/>
                <w:color w:val="000000"/>
              </w:rPr>
              <w:t>3.14E-02</w:t>
            </w:r>
          </w:p>
        </w:tc>
        <w:tc>
          <w:tcPr>
            <w:tcW w:w="2069" w:type="dxa"/>
            <w:vAlign w:val="center"/>
          </w:tcPr>
          <w:p w14:paraId="554DF903" w14:textId="77777777" w:rsidR="00C50E8D" w:rsidRPr="00C50E8D" w:rsidRDefault="00C50E8D" w:rsidP="00C50E8D">
            <w:pPr>
              <w:jc w:val="center"/>
              <w:rPr>
                <w:rFonts w:cs="Times New Roman"/>
                <w:color w:val="000000"/>
              </w:rPr>
            </w:pPr>
            <w:r w:rsidRPr="00C50E8D">
              <w:rPr>
                <w:rFonts w:cs="Times New Roman"/>
                <w:color w:val="000000"/>
              </w:rPr>
              <w:t>1.44E-05</w:t>
            </w:r>
          </w:p>
        </w:tc>
      </w:tr>
      <w:tr w:rsidR="00C50E8D" w14:paraId="672FD19D" w14:textId="77777777" w:rsidTr="00C50E8D">
        <w:tc>
          <w:tcPr>
            <w:tcW w:w="3145" w:type="dxa"/>
            <w:vAlign w:val="center"/>
          </w:tcPr>
          <w:p w14:paraId="3BE1878C" w14:textId="77777777" w:rsidR="00C50E8D" w:rsidRPr="00C50E8D" w:rsidRDefault="00C50E8D" w:rsidP="00C50E8D">
            <w:pPr>
              <w:rPr>
                <w:rFonts w:cs="Times New Roman"/>
                <w:color w:val="000000"/>
              </w:rPr>
            </w:pPr>
            <w:r w:rsidRPr="00C50E8D">
              <w:rPr>
                <w:rFonts w:cs="Times New Roman"/>
                <w:color w:val="000000"/>
              </w:rPr>
              <w:t>IGF1 Signaling</w:t>
            </w:r>
          </w:p>
        </w:tc>
        <w:tc>
          <w:tcPr>
            <w:tcW w:w="2068" w:type="dxa"/>
            <w:vAlign w:val="center"/>
          </w:tcPr>
          <w:p w14:paraId="5619C7DF" w14:textId="77777777" w:rsidR="00C50E8D" w:rsidRPr="00C50E8D" w:rsidRDefault="00C50E8D" w:rsidP="00C50E8D">
            <w:pPr>
              <w:jc w:val="center"/>
              <w:rPr>
                <w:rFonts w:cs="Times New Roman"/>
                <w:color w:val="000000"/>
              </w:rPr>
            </w:pPr>
            <w:r w:rsidRPr="00C50E8D">
              <w:rPr>
                <w:rFonts w:cs="Times New Roman"/>
                <w:color w:val="000000"/>
              </w:rPr>
              <w:t>1.26E-02</w:t>
            </w:r>
          </w:p>
        </w:tc>
        <w:tc>
          <w:tcPr>
            <w:tcW w:w="2068" w:type="dxa"/>
            <w:vAlign w:val="center"/>
          </w:tcPr>
          <w:p w14:paraId="361590D3" w14:textId="77777777" w:rsidR="00C50E8D" w:rsidRPr="00C50E8D" w:rsidRDefault="00C50E8D" w:rsidP="00C50E8D">
            <w:pPr>
              <w:jc w:val="center"/>
              <w:rPr>
                <w:rFonts w:cs="Times New Roman"/>
                <w:color w:val="000000"/>
              </w:rPr>
            </w:pPr>
            <w:r w:rsidRPr="00C50E8D">
              <w:rPr>
                <w:rFonts w:cs="Times New Roman"/>
                <w:color w:val="000000"/>
              </w:rPr>
              <w:t>7.24E-04</w:t>
            </w:r>
          </w:p>
        </w:tc>
        <w:tc>
          <w:tcPr>
            <w:tcW w:w="2069" w:type="dxa"/>
            <w:vAlign w:val="center"/>
          </w:tcPr>
          <w:p w14:paraId="7461CE2F" w14:textId="77777777" w:rsidR="00C50E8D" w:rsidRPr="00C50E8D" w:rsidRDefault="00C50E8D" w:rsidP="00C50E8D">
            <w:pPr>
              <w:jc w:val="center"/>
              <w:rPr>
                <w:rFonts w:cs="Times New Roman"/>
                <w:color w:val="000000"/>
              </w:rPr>
            </w:pPr>
            <w:r w:rsidRPr="00C50E8D">
              <w:rPr>
                <w:rFonts w:cs="Times New Roman"/>
                <w:color w:val="000000"/>
              </w:rPr>
              <w:t>1.02E-06</w:t>
            </w:r>
          </w:p>
        </w:tc>
      </w:tr>
      <w:tr w:rsidR="00C50E8D" w14:paraId="2526B707" w14:textId="77777777" w:rsidTr="00C50E8D">
        <w:tc>
          <w:tcPr>
            <w:tcW w:w="3145" w:type="dxa"/>
            <w:vAlign w:val="center"/>
          </w:tcPr>
          <w:p w14:paraId="30896DA5" w14:textId="77777777" w:rsidR="00C50E8D" w:rsidRPr="00C50E8D" w:rsidRDefault="00C50E8D" w:rsidP="00C50E8D">
            <w:pPr>
              <w:rPr>
                <w:rFonts w:cs="Times New Roman"/>
                <w:color w:val="000000"/>
              </w:rPr>
            </w:pPr>
            <w:r w:rsidRPr="00C50E8D">
              <w:rPr>
                <w:rFonts w:cs="Times New Roman"/>
                <w:color w:val="000000"/>
              </w:rPr>
              <w:t>IL1 Signaling</w:t>
            </w:r>
          </w:p>
        </w:tc>
        <w:tc>
          <w:tcPr>
            <w:tcW w:w="2068" w:type="dxa"/>
            <w:vAlign w:val="center"/>
          </w:tcPr>
          <w:p w14:paraId="23402537" w14:textId="77777777" w:rsidR="00C50E8D" w:rsidRPr="00C50E8D" w:rsidRDefault="00C50E8D" w:rsidP="00C50E8D">
            <w:pPr>
              <w:jc w:val="center"/>
              <w:rPr>
                <w:rFonts w:cs="Times New Roman"/>
                <w:color w:val="000000"/>
              </w:rPr>
            </w:pPr>
            <w:r w:rsidRPr="00C50E8D">
              <w:rPr>
                <w:rFonts w:cs="Times New Roman"/>
                <w:color w:val="000000"/>
              </w:rPr>
              <w:t>4.37E-03</w:t>
            </w:r>
          </w:p>
        </w:tc>
        <w:tc>
          <w:tcPr>
            <w:tcW w:w="2068" w:type="dxa"/>
            <w:vAlign w:val="center"/>
          </w:tcPr>
          <w:p w14:paraId="6EE07363" w14:textId="77777777" w:rsidR="00C50E8D" w:rsidRPr="00C50E8D" w:rsidRDefault="00C50E8D" w:rsidP="00C50E8D">
            <w:pPr>
              <w:jc w:val="center"/>
              <w:rPr>
                <w:rFonts w:cs="Times New Roman"/>
                <w:color w:val="000000"/>
              </w:rPr>
            </w:pPr>
            <w:r w:rsidRPr="00C50E8D">
              <w:rPr>
                <w:rFonts w:cs="Times New Roman"/>
                <w:color w:val="000000"/>
              </w:rPr>
              <w:t>1.26E-02</w:t>
            </w:r>
          </w:p>
        </w:tc>
        <w:tc>
          <w:tcPr>
            <w:tcW w:w="2069" w:type="dxa"/>
            <w:vAlign w:val="center"/>
          </w:tcPr>
          <w:p w14:paraId="33B796F3" w14:textId="77777777" w:rsidR="00C50E8D" w:rsidRPr="00C50E8D" w:rsidRDefault="00C50E8D" w:rsidP="00C50E8D">
            <w:pPr>
              <w:jc w:val="center"/>
              <w:rPr>
                <w:rFonts w:cs="Times New Roman"/>
                <w:color w:val="000000"/>
              </w:rPr>
            </w:pPr>
            <w:r w:rsidRPr="00C50E8D">
              <w:rPr>
                <w:rFonts w:cs="Times New Roman"/>
                <w:color w:val="000000"/>
              </w:rPr>
              <w:t>1.35E-05</w:t>
            </w:r>
          </w:p>
        </w:tc>
      </w:tr>
      <w:tr w:rsidR="00C50E8D" w14:paraId="6C11049F" w14:textId="77777777" w:rsidTr="00C50E8D">
        <w:tc>
          <w:tcPr>
            <w:tcW w:w="3145" w:type="dxa"/>
            <w:vAlign w:val="center"/>
          </w:tcPr>
          <w:p w14:paraId="59485DB6" w14:textId="77777777" w:rsidR="00C50E8D" w:rsidRPr="00C50E8D" w:rsidRDefault="00C50E8D" w:rsidP="00C50E8D">
            <w:pPr>
              <w:rPr>
                <w:rFonts w:cs="Times New Roman"/>
                <w:color w:val="000000"/>
              </w:rPr>
            </w:pPr>
            <w:r w:rsidRPr="00C50E8D">
              <w:rPr>
                <w:rFonts w:cs="Times New Roman"/>
                <w:color w:val="000000"/>
              </w:rPr>
              <w:t>IL6 Signaling</w:t>
            </w:r>
          </w:p>
        </w:tc>
        <w:tc>
          <w:tcPr>
            <w:tcW w:w="2068" w:type="dxa"/>
            <w:vAlign w:val="center"/>
          </w:tcPr>
          <w:p w14:paraId="483FE49C" w14:textId="77777777" w:rsidR="00C50E8D" w:rsidRPr="00C50E8D" w:rsidRDefault="00C50E8D" w:rsidP="00C50E8D">
            <w:pPr>
              <w:jc w:val="center"/>
              <w:rPr>
                <w:rFonts w:cs="Times New Roman"/>
                <w:color w:val="000000"/>
              </w:rPr>
            </w:pPr>
            <w:r w:rsidRPr="00C50E8D">
              <w:rPr>
                <w:rFonts w:cs="Times New Roman"/>
                <w:color w:val="000000"/>
              </w:rPr>
              <w:t>9.77E-10</w:t>
            </w:r>
          </w:p>
        </w:tc>
        <w:tc>
          <w:tcPr>
            <w:tcW w:w="2068" w:type="dxa"/>
            <w:vAlign w:val="center"/>
          </w:tcPr>
          <w:p w14:paraId="5632182D" w14:textId="77777777" w:rsidR="00C50E8D" w:rsidRPr="00C50E8D" w:rsidRDefault="00C50E8D" w:rsidP="00C50E8D">
            <w:pPr>
              <w:jc w:val="center"/>
              <w:rPr>
                <w:rFonts w:cs="Times New Roman"/>
                <w:color w:val="000000"/>
              </w:rPr>
            </w:pPr>
            <w:r w:rsidRPr="00C50E8D">
              <w:rPr>
                <w:rFonts w:cs="Times New Roman"/>
                <w:color w:val="000000"/>
              </w:rPr>
              <w:t>1.58E-03</w:t>
            </w:r>
          </w:p>
        </w:tc>
        <w:tc>
          <w:tcPr>
            <w:tcW w:w="2069" w:type="dxa"/>
            <w:vAlign w:val="center"/>
          </w:tcPr>
          <w:p w14:paraId="5AD65894" w14:textId="77777777" w:rsidR="00C50E8D" w:rsidRPr="00C50E8D" w:rsidRDefault="00C50E8D" w:rsidP="00C50E8D">
            <w:pPr>
              <w:jc w:val="center"/>
              <w:rPr>
                <w:rFonts w:cs="Times New Roman"/>
                <w:color w:val="000000"/>
              </w:rPr>
            </w:pPr>
            <w:r w:rsidRPr="00C50E8D">
              <w:rPr>
                <w:rFonts w:cs="Times New Roman"/>
                <w:color w:val="000000"/>
              </w:rPr>
              <w:t>4.11E-11</w:t>
            </w:r>
          </w:p>
        </w:tc>
      </w:tr>
      <w:tr w:rsidR="00C50E8D" w14:paraId="71383E6F" w14:textId="77777777" w:rsidTr="00C50E8D">
        <w:tc>
          <w:tcPr>
            <w:tcW w:w="3145" w:type="dxa"/>
            <w:vAlign w:val="center"/>
          </w:tcPr>
          <w:p w14:paraId="63EB4650" w14:textId="77777777" w:rsidR="00C50E8D" w:rsidRPr="00C50E8D" w:rsidRDefault="00C50E8D" w:rsidP="00C50E8D">
            <w:pPr>
              <w:rPr>
                <w:rFonts w:cs="Times New Roman"/>
                <w:color w:val="000000"/>
              </w:rPr>
            </w:pPr>
            <w:r w:rsidRPr="00C50E8D">
              <w:rPr>
                <w:rFonts w:cs="Times New Roman"/>
                <w:color w:val="000000"/>
              </w:rPr>
              <w:t>Inhibition of MMPs</w:t>
            </w:r>
          </w:p>
        </w:tc>
        <w:tc>
          <w:tcPr>
            <w:tcW w:w="2068" w:type="dxa"/>
            <w:vAlign w:val="center"/>
          </w:tcPr>
          <w:p w14:paraId="53F56352" w14:textId="77777777" w:rsidR="00C50E8D" w:rsidRPr="00C50E8D" w:rsidRDefault="00C50E8D" w:rsidP="00C50E8D">
            <w:pPr>
              <w:jc w:val="center"/>
              <w:rPr>
                <w:rFonts w:cs="Times New Roman"/>
                <w:color w:val="000000"/>
              </w:rPr>
            </w:pPr>
            <w:r w:rsidRPr="00C50E8D">
              <w:rPr>
                <w:rFonts w:cs="Times New Roman"/>
                <w:color w:val="000000"/>
              </w:rPr>
              <w:t>1.23E-02</w:t>
            </w:r>
          </w:p>
        </w:tc>
        <w:tc>
          <w:tcPr>
            <w:tcW w:w="2068" w:type="dxa"/>
            <w:vAlign w:val="center"/>
          </w:tcPr>
          <w:p w14:paraId="07F02F16" w14:textId="77777777" w:rsidR="00C50E8D" w:rsidRPr="00C50E8D" w:rsidRDefault="00C50E8D" w:rsidP="00C50E8D">
            <w:pPr>
              <w:jc w:val="center"/>
              <w:rPr>
                <w:rFonts w:cs="Times New Roman"/>
                <w:color w:val="000000"/>
              </w:rPr>
            </w:pPr>
            <w:r w:rsidRPr="00C50E8D">
              <w:rPr>
                <w:rFonts w:cs="Times New Roman"/>
                <w:color w:val="000000"/>
              </w:rPr>
              <w:t>3.02E-02</w:t>
            </w:r>
          </w:p>
        </w:tc>
        <w:tc>
          <w:tcPr>
            <w:tcW w:w="2069" w:type="dxa"/>
            <w:vAlign w:val="center"/>
          </w:tcPr>
          <w:p w14:paraId="244B20DB" w14:textId="77777777" w:rsidR="00C50E8D" w:rsidRPr="00C50E8D" w:rsidRDefault="00C50E8D" w:rsidP="00C50E8D">
            <w:pPr>
              <w:jc w:val="center"/>
              <w:rPr>
                <w:rFonts w:cs="Times New Roman"/>
                <w:color w:val="000000"/>
              </w:rPr>
            </w:pPr>
            <w:r w:rsidRPr="00C50E8D">
              <w:rPr>
                <w:rFonts w:cs="Times New Roman"/>
                <w:color w:val="000000"/>
              </w:rPr>
              <w:t>7.76E-04</w:t>
            </w:r>
          </w:p>
        </w:tc>
      </w:tr>
      <w:tr w:rsidR="00C50E8D" w14:paraId="415DC3D3" w14:textId="77777777" w:rsidTr="00C50E8D">
        <w:tc>
          <w:tcPr>
            <w:tcW w:w="3145" w:type="dxa"/>
            <w:vAlign w:val="center"/>
          </w:tcPr>
          <w:p w14:paraId="15C0101A" w14:textId="77777777" w:rsidR="00C50E8D" w:rsidRPr="00C50E8D" w:rsidRDefault="00C50E8D" w:rsidP="00C50E8D">
            <w:pPr>
              <w:rPr>
                <w:rFonts w:cs="Times New Roman"/>
                <w:color w:val="000000"/>
              </w:rPr>
            </w:pPr>
            <w:proofErr w:type="spellStart"/>
            <w:r w:rsidRPr="00C50E8D">
              <w:rPr>
                <w:rFonts w:cs="Times New Roman"/>
                <w:color w:val="000000"/>
              </w:rPr>
              <w:t>NFκB</w:t>
            </w:r>
            <w:proofErr w:type="spellEnd"/>
            <w:r w:rsidRPr="00C50E8D">
              <w:rPr>
                <w:rFonts w:cs="Times New Roman"/>
                <w:color w:val="000000"/>
              </w:rPr>
              <w:t xml:space="preserve"> Signaling</w:t>
            </w:r>
          </w:p>
        </w:tc>
        <w:tc>
          <w:tcPr>
            <w:tcW w:w="2068" w:type="dxa"/>
            <w:vAlign w:val="center"/>
          </w:tcPr>
          <w:p w14:paraId="04367EF4" w14:textId="77777777" w:rsidR="00C50E8D" w:rsidRPr="00C50E8D" w:rsidRDefault="00C50E8D" w:rsidP="00C50E8D">
            <w:pPr>
              <w:jc w:val="center"/>
              <w:rPr>
                <w:rFonts w:cs="Times New Roman"/>
                <w:color w:val="000000"/>
              </w:rPr>
            </w:pPr>
            <w:r w:rsidRPr="00C50E8D">
              <w:rPr>
                <w:rFonts w:cs="Times New Roman"/>
                <w:color w:val="000000"/>
              </w:rPr>
              <w:t>2.34E-02</w:t>
            </w:r>
          </w:p>
        </w:tc>
        <w:tc>
          <w:tcPr>
            <w:tcW w:w="2068" w:type="dxa"/>
            <w:vAlign w:val="center"/>
          </w:tcPr>
          <w:p w14:paraId="39B11163"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9" w:type="dxa"/>
            <w:vAlign w:val="center"/>
          </w:tcPr>
          <w:p w14:paraId="58F4C606" w14:textId="77777777" w:rsidR="00C50E8D" w:rsidRPr="00C50E8D" w:rsidRDefault="00C50E8D" w:rsidP="00C50E8D">
            <w:pPr>
              <w:jc w:val="center"/>
              <w:rPr>
                <w:rFonts w:cs="Times New Roman"/>
                <w:color w:val="000000"/>
              </w:rPr>
            </w:pPr>
            <w:r w:rsidRPr="00C50E8D">
              <w:rPr>
                <w:rFonts w:cs="Times New Roman"/>
                <w:color w:val="000000"/>
              </w:rPr>
              <w:t>ND</w:t>
            </w:r>
          </w:p>
        </w:tc>
      </w:tr>
      <w:tr w:rsidR="00C50E8D" w14:paraId="0585C969" w14:textId="77777777" w:rsidTr="00C50E8D">
        <w:tc>
          <w:tcPr>
            <w:tcW w:w="3145" w:type="dxa"/>
            <w:vAlign w:val="center"/>
          </w:tcPr>
          <w:p w14:paraId="452E41DB" w14:textId="77777777" w:rsidR="00C50E8D" w:rsidRPr="00C50E8D" w:rsidRDefault="00C50E8D" w:rsidP="00C50E8D">
            <w:pPr>
              <w:rPr>
                <w:rFonts w:cs="Times New Roman"/>
                <w:color w:val="000000"/>
              </w:rPr>
            </w:pPr>
            <w:r w:rsidRPr="00C50E8D">
              <w:rPr>
                <w:rFonts w:cs="Times New Roman"/>
                <w:color w:val="000000"/>
              </w:rPr>
              <w:t>p38 MAPK Signaling</w:t>
            </w:r>
          </w:p>
        </w:tc>
        <w:tc>
          <w:tcPr>
            <w:tcW w:w="2068" w:type="dxa"/>
            <w:vAlign w:val="center"/>
          </w:tcPr>
          <w:p w14:paraId="1AA13DFC" w14:textId="77777777" w:rsidR="00C50E8D" w:rsidRPr="00C50E8D" w:rsidRDefault="00C50E8D" w:rsidP="00C50E8D">
            <w:pPr>
              <w:jc w:val="center"/>
              <w:rPr>
                <w:rFonts w:cs="Times New Roman"/>
                <w:color w:val="000000"/>
              </w:rPr>
            </w:pPr>
            <w:r w:rsidRPr="00C50E8D">
              <w:rPr>
                <w:rFonts w:cs="Times New Roman"/>
                <w:color w:val="000000"/>
              </w:rPr>
              <w:t>3.76E-02</w:t>
            </w:r>
          </w:p>
        </w:tc>
        <w:tc>
          <w:tcPr>
            <w:tcW w:w="2068" w:type="dxa"/>
            <w:vAlign w:val="center"/>
          </w:tcPr>
          <w:p w14:paraId="36D3B4B4" w14:textId="77777777" w:rsidR="00C50E8D" w:rsidRPr="00C50E8D" w:rsidRDefault="00C50E8D" w:rsidP="00C50E8D">
            <w:pPr>
              <w:jc w:val="center"/>
              <w:rPr>
                <w:rFonts w:cs="Times New Roman"/>
                <w:color w:val="000000"/>
              </w:rPr>
            </w:pPr>
            <w:r w:rsidRPr="00C50E8D">
              <w:rPr>
                <w:rFonts w:cs="Times New Roman"/>
                <w:color w:val="000000"/>
              </w:rPr>
              <w:t>1.59E-03</w:t>
            </w:r>
          </w:p>
        </w:tc>
        <w:tc>
          <w:tcPr>
            <w:tcW w:w="2069" w:type="dxa"/>
            <w:vAlign w:val="center"/>
          </w:tcPr>
          <w:p w14:paraId="72C83428" w14:textId="77777777" w:rsidR="00C50E8D" w:rsidRPr="00C50E8D" w:rsidRDefault="00C50E8D" w:rsidP="00C50E8D">
            <w:pPr>
              <w:jc w:val="center"/>
              <w:rPr>
                <w:rFonts w:cs="Times New Roman"/>
                <w:color w:val="000000"/>
              </w:rPr>
            </w:pPr>
            <w:r w:rsidRPr="00C50E8D">
              <w:rPr>
                <w:rFonts w:cs="Times New Roman"/>
                <w:color w:val="000000"/>
              </w:rPr>
              <w:t>5.53E-10</w:t>
            </w:r>
          </w:p>
        </w:tc>
      </w:tr>
      <w:tr w:rsidR="00C50E8D" w14:paraId="14356E0C" w14:textId="77777777" w:rsidTr="00C50E8D">
        <w:tc>
          <w:tcPr>
            <w:tcW w:w="3145" w:type="dxa"/>
            <w:vAlign w:val="center"/>
          </w:tcPr>
          <w:p w14:paraId="788C83C1" w14:textId="77777777" w:rsidR="00C50E8D" w:rsidRPr="00C50E8D" w:rsidRDefault="00C50E8D" w:rsidP="00C50E8D">
            <w:pPr>
              <w:rPr>
                <w:rFonts w:cs="Times New Roman"/>
                <w:color w:val="000000"/>
              </w:rPr>
            </w:pPr>
            <w:r w:rsidRPr="00C50E8D">
              <w:rPr>
                <w:rFonts w:cs="Times New Roman"/>
                <w:color w:val="000000"/>
              </w:rPr>
              <w:t>PI3K Signaling</w:t>
            </w:r>
          </w:p>
        </w:tc>
        <w:tc>
          <w:tcPr>
            <w:tcW w:w="2068" w:type="dxa"/>
            <w:vAlign w:val="center"/>
          </w:tcPr>
          <w:p w14:paraId="41A76F4F" w14:textId="77777777" w:rsidR="00C50E8D" w:rsidRPr="00C50E8D" w:rsidRDefault="00C50E8D" w:rsidP="00C50E8D">
            <w:pPr>
              <w:jc w:val="center"/>
              <w:rPr>
                <w:rFonts w:cs="Times New Roman"/>
                <w:color w:val="000000"/>
              </w:rPr>
            </w:pPr>
            <w:r w:rsidRPr="00C50E8D">
              <w:rPr>
                <w:rFonts w:cs="Times New Roman"/>
                <w:color w:val="000000"/>
              </w:rPr>
              <w:t>5.64E-03</w:t>
            </w:r>
          </w:p>
        </w:tc>
        <w:tc>
          <w:tcPr>
            <w:tcW w:w="2068" w:type="dxa"/>
            <w:vAlign w:val="center"/>
          </w:tcPr>
          <w:p w14:paraId="4F660EA1" w14:textId="77777777" w:rsidR="00C50E8D" w:rsidRPr="00C50E8D" w:rsidRDefault="00C50E8D" w:rsidP="00C50E8D">
            <w:pPr>
              <w:jc w:val="center"/>
              <w:rPr>
                <w:rFonts w:cs="Times New Roman"/>
                <w:color w:val="000000"/>
              </w:rPr>
            </w:pPr>
            <w:r w:rsidRPr="00C50E8D">
              <w:rPr>
                <w:rFonts w:cs="Times New Roman"/>
                <w:color w:val="000000"/>
              </w:rPr>
              <w:t>1.61E-04</w:t>
            </w:r>
          </w:p>
        </w:tc>
        <w:tc>
          <w:tcPr>
            <w:tcW w:w="2069" w:type="dxa"/>
            <w:vAlign w:val="center"/>
          </w:tcPr>
          <w:p w14:paraId="194C03AB" w14:textId="77777777" w:rsidR="00C50E8D" w:rsidRPr="00C50E8D" w:rsidRDefault="00C50E8D" w:rsidP="00C50E8D">
            <w:pPr>
              <w:jc w:val="center"/>
              <w:rPr>
                <w:rFonts w:cs="Times New Roman"/>
                <w:color w:val="000000"/>
              </w:rPr>
            </w:pPr>
            <w:r w:rsidRPr="00C50E8D">
              <w:rPr>
                <w:rFonts w:cs="Times New Roman"/>
                <w:color w:val="000000"/>
              </w:rPr>
              <w:t>1.18E-04</w:t>
            </w:r>
          </w:p>
        </w:tc>
      </w:tr>
      <w:tr w:rsidR="00C50E8D" w14:paraId="1C7BC617" w14:textId="77777777" w:rsidTr="00C50E8D">
        <w:tc>
          <w:tcPr>
            <w:tcW w:w="3145" w:type="dxa"/>
            <w:vAlign w:val="center"/>
          </w:tcPr>
          <w:p w14:paraId="60CB7B4E" w14:textId="77777777" w:rsidR="00C50E8D" w:rsidRPr="00C50E8D" w:rsidRDefault="00C50E8D" w:rsidP="00C50E8D">
            <w:pPr>
              <w:rPr>
                <w:rFonts w:cs="Times New Roman"/>
                <w:color w:val="000000"/>
              </w:rPr>
            </w:pPr>
            <w:r w:rsidRPr="00C50E8D">
              <w:rPr>
                <w:rFonts w:cs="Times New Roman"/>
                <w:color w:val="000000"/>
              </w:rPr>
              <w:t>PDGFB Signaling</w:t>
            </w:r>
          </w:p>
        </w:tc>
        <w:tc>
          <w:tcPr>
            <w:tcW w:w="2068" w:type="dxa"/>
            <w:vAlign w:val="center"/>
          </w:tcPr>
          <w:p w14:paraId="79463AF8"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8" w:type="dxa"/>
            <w:vAlign w:val="center"/>
          </w:tcPr>
          <w:p w14:paraId="165141EB" w14:textId="77777777" w:rsidR="00C50E8D" w:rsidRPr="00C50E8D" w:rsidRDefault="00C50E8D" w:rsidP="00C50E8D">
            <w:pPr>
              <w:jc w:val="center"/>
              <w:rPr>
                <w:rFonts w:cs="Times New Roman"/>
                <w:color w:val="000000"/>
              </w:rPr>
            </w:pPr>
            <w:r w:rsidRPr="00C50E8D">
              <w:rPr>
                <w:rFonts w:cs="Times New Roman"/>
                <w:color w:val="000000"/>
              </w:rPr>
              <w:t>1.10E-03</w:t>
            </w:r>
          </w:p>
        </w:tc>
        <w:tc>
          <w:tcPr>
            <w:tcW w:w="2069" w:type="dxa"/>
            <w:vAlign w:val="center"/>
          </w:tcPr>
          <w:p w14:paraId="465A97BB" w14:textId="77777777" w:rsidR="00C50E8D" w:rsidRPr="00C50E8D" w:rsidRDefault="00C50E8D" w:rsidP="00C50E8D">
            <w:pPr>
              <w:jc w:val="center"/>
              <w:rPr>
                <w:rFonts w:cs="Times New Roman"/>
                <w:color w:val="000000"/>
              </w:rPr>
            </w:pPr>
            <w:r w:rsidRPr="00C50E8D">
              <w:rPr>
                <w:rFonts w:cs="Times New Roman"/>
                <w:color w:val="000000"/>
              </w:rPr>
              <w:t>5.11E-04</w:t>
            </w:r>
          </w:p>
        </w:tc>
      </w:tr>
      <w:tr w:rsidR="00C50E8D" w14:paraId="05F6BD30" w14:textId="77777777" w:rsidTr="00C50E8D">
        <w:tc>
          <w:tcPr>
            <w:tcW w:w="3145" w:type="dxa"/>
            <w:vAlign w:val="center"/>
          </w:tcPr>
          <w:p w14:paraId="536B1C13" w14:textId="77777777" w:rsidR="00C50E8D" w:rsidRPr="00C50E8D" w:rsidRDefault="00C50E8D" w:rsidP="00C50E8D">
            <w:pPr>
              <w:rPr>
                <w:rFonts w:cs="Times New Roman"/>
                <w:color w:val="000000"/>
              </w:rPr>
            </w:pPr>
            <w:r w:rsidRPr="00C50E8D">
              <w:rPr>
                <w:rFonts w:cs="Times New Roman"/>
                <w:color w:val="000000"/>
              </w:rPr>
              <w:t>RhoA Signaling</w:t>
            </w:r>
          </w:p>
        </w:tc>
        <w:tc>
          <w:tcPr>
            <w:tcW w:w="2068" w:type="dxa"/>
            <w:vAlign w:val="center"/>
          </w:tcPr>
          <w:p w14:paraId="4F20D5D3"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8" w:type="dxa"/>
            <w:vAlign w:val="center"/>
          </w:tcPr>
          <w:p w14:paraId="39B7E016" w14:textId="77777777" w:rsidR="00C50E8D" w:rsidRPr="00C50E8D" w:rsidRDefault="00C50E8D" w:rsidP="00C50E8D">
            <w:pPr>
              <w:jc w:val="center"/>
              <w:rPr>
                <w:rFonts w:cs="Times New Roman"/>
                <w:color w:val="000000"/>
              </w:rPr>
            </w:pPr>
            <w:r w:rsidRPr="00C50E8D">
              <w:rPr>
                <w:rFonts w:cs="Times New Roman"/>
                <w:color w:val="000000"/>
              </w:rPr>
              <w:t>3.61E-03</w:t>
            </w:r>
          </w:p>
        </w:tc>
        <w:tc>
          <w:tcPr>
            <w:tcW w:w="2069" w:type="dxa"/>
            <w:vAlign w:val="center"/>
          </w:tcPr>
          <w:p w14:paraId="5E1C7D10" w14:textId="77777777" w:rsidR="00C50E8D" w:rsidRPr="00C50E8D" w:rsidRDefault="00C50E8D" w:rsidP="00C50E8D">
            <w:pPr>
              <w:jc w:val="center"/>
              <w:rPr>
                <w:rFonts w:cs="Times New Roman"/>
                <w:color w:val="000000"/>
              </w:rPr>
            </w:pPr>
            <w:r w:rsidRPr="00C50E8D">
              <w:rPr>
                <w:rFonts w:cs="Times New Roman"/>
                <w:color w:val="000000"/>
              </w:rPr>
              <w:t>8.91E-03</w:t>
            </w:r>
          </w:p>
        </w:tc>
      </w:tr>
      <w:tr w:rsidR="00C50E8D" w14:paraId="0C8657FA" w14:textId="77777777" w:rsidTr="00C50E8D">
        <w:tc>
          <w:tcPr>
            <w:tcW w:w="3145" w:type="dxa"/>
            <w:vAlign w:val="center"/>
          </w:tcPr>
          <w:p w14:paraId="65C47CE7" w14:textId="77777777" w:rsidR="00C50E8D" w:rsidRPr="00C50E8D" w:rsidRDefault="00C50E8D" w:rsidP="00C50E8D">
            <w:pPr>
              <w:rPr>
                <w:rFonts w:cs="Times New Roman"/>
                <w:color w:val="000000"/>
              </w:rPr>
            </w:pPr>
            <w:r w:rsidRPr="00C50E8D">
              <w:rPr>
                <w:rFonts w:cs="Times New Roman"/>
                <w:color w:val="000000"/>
              </w:rPr>
              <w:t>STAT3 Pathway</w:t>
            </w:r>
          </w:p>
        </w:tc>
        <w:tc>
          <w:tcPr>
            <w:tcW w:w="2068" w:type="dxa"/>
            <w:vAlign w:val="center"/>
          </w:tcPr>
          <w:p w14:paraId="3DF89909" w14:textId="77777777" w:rsidR="00C50E8D" w:rsidRPr="00C50E8D" w:rsidRDefault="00C50E8D" w:rsidP="00C50E8D">
            <w:pPr>
              <w:jc w:val="center"/>
              <w:rPr>
                <w:rFonts w:cs="Times New Roman"/>
                <w:color w:val="000000"/>
              </w:rPr>
            </w:pPr>
            <w:r w:rsidRPr="00C50E8D">
              <w:rPr>
                <w:rFonts w:cs="Times New Roman"/>
                <w:color w:val="000000"/>
              </w:rPr>
              <w:t>9.43E-26</w:t>
            </w:r>
          </w:p>
        </w:tc>
        <w:tc>
          <w:tcPr>
            <w:tcW w:w="2068" w:type="dxa"/>
            <w:vAlign w:val="center"/>
          </w:tcPr>
          <w:p w14:paraId="0513D66C" w14:textId="77777777" w:rsidR="00C50E8D" w:rsidRPr="00C50E8D" w:rsidRDefault="00C50E8D" w:rsidP="00C50E8D">
            <w:pPr>
              <w:jc w:val="center"/>
              <w:rPr>
                <w:rFonts w:cs="Times New Roman"/>
                <w:color w:val="000000"/>
              </w:rPr>
            </w:pPr>
            <w:r w:rsidRPr="00C50E8D">
              <w:rPr>
                <w:rFonts w:cs="Times New Roman"/>
                <w:color w:val="000000"/>
              </w:rPr>
              <w:t>1.19E-03</w:t>
            </w:r>
          </w:p>
        </w:tc>
        <w:tc>
          <w:tcPr>
            <w:tcW w:w="2069" w:type="dxa"/>
            <w:vAlign w:val="center"/>
          </w:tcPr>
          <w:p w14:paraId="6515B324" w14:textId="77777777" w:rsidR="00C50E8D" w:rsidRPr="00C50E8D" w:rsidRDefault="00C50E8D" w:rsidP="00C50E8D">
            <w:pPr>
              <w:jc w:val="center"/>
              <w:rPr>
                <w:rFonts w:cs="Times New Roman"/>
                <w:color w:val="000000"/>
              </w:rPr>
            </w:pPr>
            <w:r w:rsidRPr="00C50E8D">
              <w:rPr>
                <w:rFonts w:cs="Times New Roman"/>
                <w:color w:val="000000"/>
              </w:rPr>
              <w:t>5.61E-08</w:t>
            </w:r>
          </w:p>
        </w:tc>
      </w:tr>
      <w:tr w:rsidR="00C50E8D" w14:paraId="6A024003" w14:textId="77777777" w:rsidTr="00C50E8D">
        <w:tc>
          <w:tcPr>
            <w:tcW w:w="3145" w:type="dxa"/>
            <w:vAlign w:val="center"/>
          </w:tcPr>
          <w:p w14:paraId="18E9DAE1" w14:textId="77777777" w:rsidR="00C50E8D" w:rsidRPr="00C50E8D" w:rsidRDefault="00C50E8D" w:rsidP="00C50E8D">
            <w:pPr>
              <w:rPr>
                <w:rFonts w:cs="Times New Roman"/>
                <w:color w:val="000000"/>
              </w:rPr>
            </w:pPr>
            <w:r w:rsidRPr="00C50E8D">
              <w:rPr>
                <w:rFonts w:cs="Times New Roman"/>
                <w:color w:val="000000"/>
              </w:rPr>
              <w:t>TGFβ Signaling</w:t>
            </w:r>
          </w:p>
        </w:tc>
        <w:tc>
          <w:tcPr>
            <w:tcW w:w="2068" w:type="dxa"/>
            <w:vAlign w:val="center"/>
          </w:tcPr>
          <w:p w14:paraId="5E7EA109" w14:textId="77777777" w:rsidR="00C50E8D" w:rsidRPr="00C50E8D" w:rsidRDefault="00C50E8D" w:rsidP="00C50E8D">
            <w:pPr>
              <w:jc w:val="center"/>
              <w:rPr>
                <w:rFonts w:cs="Times New Roman"/>
                <w:color w:val="000000"/>
              </w:rPr>
            </w:pPr>
            <w:r w:rsidRPr="00C50E8D">
              <w:rPr>
                <w:rFonts w:cs="Times New Roman"/>
                <w:color w:val="000000"/>
              </w:rPr>
              <w:t>4.61E-03</w:t>
            </w:r>
          </w:p>
        </w:tc>
        <w:tc>
          <w:tcPr>
            <w:tcW w:w="2068" w:type="dxa"/>
            <w:vAlign w:val="center"/>
          </w:tcPr>
          <w:p w14:paraId="3AF4B20F" w14:textId="77777777" w:rsidR="00C50E8D" w:rsidRPr="00C50E8D" w:rsidRDefault="00C50E8D" w:rsidP="00C50E8D">
            <w:pPr>
              <w:jc w:val="center"/>
              <w:rPr>
                <w:rFonts w:cs="Times New Roman"/>
                <w:color w:val="000000"/>
              </w:rPr>
            </w:pPr>
            <w:r w:rsidRPr="00C50E8D">
              <w:rPr>
                <w:rFonts w:cs="Times New Roman"/>
                <w:color w:val="000000"/>
              </w:rPr>
              <w:t>8.49E-06</w:t>
            </w:r>
          </w:p>
        </w:tc>
        <w:tc>
          <w:tcPr>
            <w:tcW w:w="2069" w:type="dxa"/>
            <w:vAlign w:val="center"/>
          </w:tcPr>
          <w:p w14:paraId="585FB07B" w14:textId="77777777" w:rsidR="00C50E8D" w:rsidRPr="00C50E8D" w:rsidRDefault="00C50E8D" w:rsidP="00C50E8D">
            <w:pPr>
              <w:jc w:val="center"/>
              <w:rPr>
                <w:rFonts w:cs="Times New Roman"/>
                <w:color w:val="000000"/>
              </w:rPr>
            </w:pPr>
            <w:r w:rsidRPr="00C50E8D">
              <w:rPr>
                <w:rFonts w:cs="Times New Roman"/>
                <w:color w:val="000000"/>
              </w:rPr>
              <w:t>4.34E-08</w:t>
            </w:r>
          </w:p>
        </w:tc>
      </w:tr>
      <w:tr w:rsidR="00C50E8D" w14:paraId="4A393D98" w14:textId="77777777" w:rsidTr="00C50E8D">
        <w:tc>
          <w:tcPr>
            <w:tcW w:w="3145" w:type="dxa"/>
            <w:vAlign w:val="center"/>
          </w:tcPr>
          <w:p w14:paraId="735EB16B" w14:textId="77777777" w:rsidR="00C50E8D" w:rsidRPr="00C50E8D" w:rsidRDefault="00C50E8D" w:rsidP="00C50E8D">
            <w:pPr>
              <w:rPr>
                <w:rFonts w:cs="Times New Roman"/>
                <w:color w:val="000000"/>
              </w:rPr>
            </w:pPr>
            <w:r w:rsidRPr="00C50E8D">
              <w:rPr>
                <w:rFonts w:cs="Times New Roman"/>
                <w:color w:val="000000"/>
              </w:rPr>
              <w:t>VEGFA Signaling</w:t>
            </w:r>
          </w:p>
        </w:tc>
        <w:tc>
          <w:tcPr>
            <w:tcW w:w="2068" w:type="dxa"/>
            <w:vAlign w:val="center"/>
          </w:tcPr>
          <w:p w14:paraId="12C93927"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8" w:type="dxa"/>
            <w:vAlign w:val="center"/>
          </w:tcPr>
          <w:p w14:paraId="4CA25A92" w14:textId="77777777" w:rsidR="00C50E8D" w:rsidRPr="00C50E8D" w:rsidRDefault="00C50E8D" w:rsidP="00C50E8D">
            <w:pPr>
              <w:jc w:val="center"/>
              <w:rPr>
                <w:rFonts w:cs="Times New Roman"/>
                <w:color w:val="000000"/>
              </w:rPr>
            </w:pPr>
            <w:r w:rsidRPr="00C50E8D">
              <w:rPr>
                <w:rFonts w:cs="Times New Roman"/>
                <w:color w:val="000000"/>
              </w:rPr>
              <w:t>2.26E-02</w:t>
            </w:r>
          </w:p>
        </w:tc>
        <w:tc>
          <w:tcPr>
            <w:tcW w:w="2069" w:type="dxa"/>
            <w:vAlign w:val="center"/>
          </w:tcPr>
          <w:p w14:paraId="0B795EDF" w14:textId="77777777" w:rsidR="00C50E8D" w:rsidRPr="00C50E8D" w:rsidRDefault="00C50E8D" w:rsidP="00C50E8D">
            <w:pPr>
              <w:jc w:val="center"/>
              <w:rPr>
                <w:rFonts w:cs="Times New Roman"/>
                <w:color w:val="000000"/>
              </w:rPr>
            </w:pPr>
            <w:r w:rsidRPr="00C50E8D">
              <w:rPr>
                <w:rFonts w:cs="Times New Roman"/>
                <w:color w:val="000000"/>
              </w:rPr>
              <w:t>1.27E-05</w:t>
            </w:r>
          </w:p>
        </w:tc>
      </w:tr>
      <w:tr w:rsidR="00C50E8D" w14:paraId="67E21D55" w14:textId="77777777" w:rsidTr="00C50E8D">
        <w:tc>
          <w:tcPr>
            <w:tcW w:w="3145" w:type="dxa"/>
            <w:vAlign w:val="bottom"/>
          </w:tcPr>
          <w:p w14:paraId="10FCCCFC" w14:textId="77777777" w:rsidR="00C50E8D" w:rsidRPr="00C50E8D" w:rsidRDefault="00C50E8D" w:rsidP="00C50E8D">
            <w:pPr>
              <w:rPr>
                <w:rFonts w:cs="Times New Roman"/>
                <w:color w:val="000000"/>
              </w:rPr>
            </w:pPr>
            <w:r w:rsidRPr="00C50E8D">
              <w:rPr>
                <w:rFonts w:cs="Times New Roman"/>
                <w:color w:val="000000"/>
              </w:rPr>
              <w:t>Wnt Signaling</w:t>
            </w:r>
          </w:p>
        </w:tc>
        <w:tc>
          <w:tcPr>
            <w:tcW w:w="2068" w:type="dxa"/>
            <w:vAlign w:val="center"/>
          </w:tcPr>
          <w:p w14:paraId="4D508E14" w14:textId="77777777" w:rsidR="00C50E8D" w:rsidRPr="00C50E8D" w:rsidRDefault="00C50E8D" w:rsidP="00C50E8D">
            <w:pPr>
              <w:jc w:val="center"/>
              <w:rPr>
                <w:rFonts w:cs="Times New Roman"/>
                <w:color w:val="000000"/>
              </w:rPr>
            </w:pPr>
            <w:r w:rsidRPr="00C50E8D">
              <w:rPr>
                <w:rFonts w:cs="Times New Roman"/>
                <w:color w:val="000000"/>
              </w:rPr>
              <w:t>ND</w:t>
            </w:r>
          </w:p>
        </w:tc>
        <w:tc>
          <w:tcPr>
            <w:tcW w:w="2068" w:type="dxa"/>
            <w:vAlign w:val="center"/>
          </w:tcPr>
          <w:p w14:paraId="26676764" w14:textId="77777777" w:rsidR="00C50E8D" w:rsidRPr="00C50E8D" w:rsidRDefault="00C50E8D" w:rsidP="00C50E8D">
            <w:pPr>
              <w:jc w:val="center"/>
              <w:rPr>
                <w:rFonts w:cs="Times New Roman"/>
                <w:color w:val="000000"/>
              </w:rPr>
            </w:pPr>
            <w:r w:rsidRPr="00C50E8D">
              <w:rPr>
                <w:rFonts w:cs="Times New Roman"/>
                <w:color w:val="000000"/>
              </w:rPr>
              <w:t>4.00E-02</w:t>
            </w:r>
          </w:p>
        </w:tc>
        <w:tc>
          <w:tcPr>
            <w:tcW w:w="2069" w:type="dxa"/>
            <w:vAlign w:val="center"/>
          </w:tcPr>
          <w:p w14:paraId="67F61DCD" w14:textId="77777777" w:rsidR="00C50E8D" w:rsidRPr="00C50E8D" w:rsidRDefault="00C50E8D" w:rsidP="00C50E8D">
            <w:pPr>
              <w:jc w:val="center"/>
              <w:rPr>
                <w:rFonts w:cs="Times New Roman"/>
                <w:color w:val="000000"/>
              </w:rPr>
            </w:pPr>
            <w:r w:rsidRPr="00C50E8D">
              <w:rPr>
                <w:rFonts w:cs="Times New Roman"/>
                <w:color w:val="000000"/>
              </w:rPr>
              <w:t>4.03E-02</w:t>
            </w:r>
          </w:p>
        </w:tc>
      </w:tr>
    </w:tbl>
    <w:p w14:paraId="688C3A3E" w14:textId="77777777" w:rsidR="00C50E8D" w:rsidRDefault="00C50E8D" w:rsidP="006E41A7">
      <w:pPr>
        <w:spacing w:line="480" w:lineRule="auto"/>
      </w:pPr>
    </w:p>
    <w:p w14:paraId="66A339BB" w14:textId="77777777" w:rsidR="005A0B91" w:rsidRDefault="005A0B91" w:rsidP="006E41A7">
      <w:pPr>
        <w:spacing w:line="480" w:lineRule="auto"/>
      </w:pPr>
    </w:p>
    <w:p w14:paraId="1EEAB9A4" w14:textId="77777777" w:rsidR="005A0B91" w:rsidRDefault="005A0B91" w:rsidP="006E41A7">
      <w:r>
        <w:br w:type="page"/>
      </w:r>
    </w:p>
    <w:p w14:paraId="2DE081FA" w14:textId="77777777" w:rsidR="004D1DE0" w:rsidRPr="004D1DE0" w:rsidRDefault="004D1DE0" w:rsidP="006E41A7">
      <w:pPr>
        <w:spacing w:line="480" w:lineRule="auto"/>
      </w:pPr>
      <w:r w:rsidRPr="004D1DE0">
        <w:rPr>
          <w:b/>
        </w:rPr>
        <w:lastRenderedPageBreak/>
        <w:tab/>
      </w:r>
      <w:r w:rsidRPr="004D1DE0">
        <w:rPr>
          <w:b/>
          <w:i/>
        </w:rPr>
        <w:t>Table 2. Gene expression data.</w:t>
      </w:r>
      <w:r w:rsidRPr="004D1DE0">
        <w:t xml:space="preserve"> Expression of genes as measured by qPCR. </w:t>
      </w:r>
      <w:r w:rsidR="007544BE">
        <w:t xml:space="preserve">Expression is normalized to 0D non-overloaded control </w:t>
      </w:r>
      <w:proofErr w:type="spellStart"/>
      <w:r w:rsidR="007544BE" w:rsidRPr="004D1DE0">
        <w:rPr>
          <w:i/>
        </w:rPr>
        <w:t>Scx</w:t>
      </w:r>
      <w:proofErr w:type="spellEnd"/>
      <w:r w:rsidR="007544BE" w:rsidRPr="004D1DE0">
        <w:rPr>
          <w:iCs/>
          <w:vertAlign w:val="superscript"/>
        </w:rPr>
        <w:t>+</w:t>
      </w:r>
      <w:r w:rsidR="007544BE">
        <w:t xml:space="preserve"> mice. V</w:t>
      </w:r>
      <w:r w:rsidRPr="004D1DE0">
        <w:t xml:space="preserve">alues are </w:t>
      </w:r>
      <w:proofErr w:type="spellStart"/>
      <w:r w:rsidRPr="004D1DE0">
        <w:t>mean±SD</w:t>
      </w:r>
      <w:proofErr w:type="spellEnd"/>
      <w:r w:rsidRPr="004D1DE0">
        <w:t xml:space="preserve">. Differences </w:t>
      </w:r>
      <w:r w:rsidR="00734978">
        <w:t xml:space="preserve">were </w:t>
      </w:r>
      <w:r w:rsidRPr="004D1DE0">
        <w:t>tested with a two-way ANOVA (α=0.05): a, different (</w:t>
      </w:r>
      <w:r w:rsidR="007544BE">
        <w:t>p</w:t>
      </w:r>
      <w:r w:rsidRPr="004D1DE0">
        <w:t xml:space="preserve">&lt;0.05) from 7D </w:t>
      </w:r>
      <w:proofErr w:type="spellStart"/>
      <w:r w:rsidRPr="004D1DE0">
        <w:rPr>
          <w:i/>
        </w:rPr>
        <w:t>Scx</w:t>
      </w:r>
      <w:proofErr w:type="spellEnd"/>
      <w:r w:rsidRPr="004D1DE0">
        <w:rPr>
          <w:iCs/>
          <w:vertAlign w:val="superscript"/>
        </w:rPr>
        <w:t>+</w:t>
      </w:r>
      <w:r w:rsidRPr="004D1DE0">
        <w:t>; b, (different (</w:t>
      </w:r>
      <w:r w:rsidR="007544BE">
        <w:t>p</w:t>
      </w:r>
      <w:r w:rsidRPr="004D1DE0">
        <w:t xml:space="preserve">&lt;0.05) from 7D </w:t>
      </w:r>
      <w:proofErr w:type="spellStart"/>
      <w:r w:rsidRPr="004D1DE0">
        <w:rPr>
          <w:i/>
        </w:rPr>
        <w:t>Scx</w:t>
      </w:r>
      <w:r w:rsidRPr="004D1DE0">
        <w:rPr>
          <w:iCs/>
          <w:vertAlign w:val="superscript"/>
        </w:rPr>
        <w:t>Δ</w:t>
      </w:r>
      <w:proofErr w:type="spellEnd"/>
      <w:r w:rsidRPr="004D1DE0">
        <w:t>; c, different (</w:t>
      </w:r>
      <w:r w:rsidR="007544BE">
        <w:t>p</w:t>
      </w:r>
      <w:r w:rsidRPr="004D1DE0">
        <w:t xml:space="preserve">&lt;0.05) from 14D </w:t>
      </w:r>
      <w:proofErr w:type="spellStart"/>
      <w:r w:rsidRPr="004D1DE0">
        <w:rPr>
          <w:i/>
        </w:rPr>
        <w:t>Scx</w:t>
      </w:r>
      <w:proofErr w:type="spellEnd"/>
      <w:r w:rsidRPr="004D1DE0">
        <w:rPr>
          <w:iCs/>
          <w:vertAlign w:val="superscript"/>
        </w:rPr>
        <w:t>+</w:t>
      </w:r>
      <w:r w:rsidRPr="004D1DE0">
        <w:t xml:space="preserve">. </w:t>
      </w:r>
      <w:r w:rsidR="007544BE">
        <w:t>ND, not detected.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596"/>
        <w:gridCol w:w="1596"/>
        <w:gridCol w:w="1596"/>
        <w:gridCol w:w="1597"/>
      </w:tblGrid>
      <w:tr w:rsidR="007544BE" w14:paraId="107E3BB5" w14:textId="77777777" w:rsidTr="00057AC3">
        <w:trPr>
          <w:jc w:val="center"/>
        </w:trPr>
        <w:tc>
          <w:tcPr>
            <w:tcW w:w="1620" w:type="dxa"/>
            <w:tcBorders>
              <w:bottom w:val="single" w:sz="4" w:space="0" w:color="auto"/>
            </w:tcBorders>
          </w:tcPr>
          <w:p w14:paraId="18E70C8B" w14:textId="77777777" w:rsidR="007544BE" w:rsidRPr="007544BE" w:rsidRDefault="007544BE" w:rsidP="007B0250">
            <w:pPr>
              <w:jc w:val="center"/>
              <w:rPr>
                <w:b/>
                <w:bCs/>
              </w:rPr>
            </w:pPr>
            <w:r w:rsidRPr="007544BE">
              <w:rPr>
                <w:b/>
                <w:bCs/>
              </w:rPr>
              <w:t>Gene</w:t>
            </w:r>
          </w:p>
        </w:tc>
        <w:tc>
          <w:tcPr>
            <w:tcW w:w="1596" w:type="dxa"/>
            <w:tcBorders>
              <w:bottom w:val="single" w:sz="4" w:space="0" w:color="auto"/>
            </w:tcBorders>
          </w:tcPr>
          <w:p w14:paraId="72D8F73A" w14:textId="77777777" w:rsidR="007544BE" w:rsidRPr="007544BE" w:rsidRDefault="007544BE" w:rsidP="007B0250">
            <w:pPr>
              <w:jc w:val="center"/>
              <w:rPr>
                <w:b/>
                <w:bCs/>
              </w:rPr>
            </w:pPr>
            <w:r w:rsidRPr="004D1DE0">
              <w:rPr>
                <w:b/>
                <w:bCs/>
              </w:rPr>
              <w:t xml:space="preserve">7D </w:t>
            </w:r>
            <w:proofErr w:type="spellStart"/>
            <w:r w:rsidRPr="004D1DE0">
              <w:rPr>
                <w:b/>
                <w:bCs/>
                <w:i/>
              </w:rPr>
              <w:t>Scx</w:t>
            </w:r>
            <w:proofErr w:type="spellEnd"/>
            <w:r w:rsidRPr="004D1DE0">
              <w:rPr>
                <w:b/>
                <w:bCs/>
                <w:iCs/>
                <w:vertAlign w:val="superscript"/>
              </w:rPr>
              <w:t>+</w:t>
            </w:r>
          </w:p>
        </w:tc>
        <w:tc>
          <w:tcPr>
            <w:tcW w:w="1596" w:type="dxa"/>
            <w:tcBorders>
              <w:bottom w:val="single" w:sz="4" w:space="0" w:color="auto"/>
            </w:tcBorders>
          </w:tcPr>
          <w:p w14:paraId="089157E5" w14:textId="77777777" w:rsidR="007544BE" w:rsidRPr="007544BE" w:rsidRDefault="007544BE" w:rsidP="007B0250">
            <w:pPr>
              <w:jc w:val="center"/>
              <w:rPr>
                <w:b/>
                <w:bCs/>
              </w:rPr>
            </w:pPr>
            <w:r w:rsidRPr="004D1DE0">
              <w:rPr>
                <w:b/>
                <w:bCs/>
              </w:rPr>
              <w:t xml:space="preserve">7D </w:t>
            </w:r>
            <w:proofErr w:type="spellStart"/>
            <w:r w:rsidRPr="004D1DE0">
              <w:rPr>
                <w:b/>
                <w:bCs/>
                <w:i/>
              </w:rPr>
              <w:t>Scx</w:t>
            </w:r>
            <w:r w:rsidRPr="004D1DE0">
              <w:rPr>
                <w:b/>
                <w:bCs/>
                <w:iCs/>
                <w:vertAlign w:val="superscript"/>
              </w:rPr>
              <w:t>Δ</w:t>
            </w:r>
            <w:proofErr w:type="spellEnd"/>
          </w:p>
        </w:tc>
        <w:tc>
          <w:tcPr>
            <w:tcW w:w="1596" w:type="dxa"/>
            <w:tcBorders>
              <w:bottom w:val="single" w:sz="4" w:space="0" w:color="auto"/>
            </w:tcBorders>
          </w:tcPr>
          <w:p w14:paraId="4AE5AE5A" w14:textId="77777777" w:rsidR="007544BE" w:rsidRPr="007544BE" w:rsidRDefault="007544BE" w:rsidP="007B0250">
            <w:pPr>
              <w:jc w:val="center"/>
              <w:rPr>
                <w:b/>
                <w:bCs/>
              </w:rPr>
            </w:pPr>
            <w:r w:rsidRPr="004D1DE0">
              <w:rPr>
                <w:b/>
                <w:bCs/>
              </w:rPr>
              <w:t xml:space="preserve">14D </w:t>
            </w:r>
            <w:proofErr w:type="spellStart"/>
            <w:r w:rsidRPr="004D1DE0">
              <w:rPr>
                <w:b/>
                <w:bCs/>
                <w:i/>
              </w:rPr>
              <w:t>Scx</w:t>
            </w:r>
            <w:proofErr w:type="spellEnd"/>
            <w:r w:rsidRPr="004D1DE0">
              <w:rPr>
                <w:b/>
                <w:bCs/>
                <w:iCs/>
                <w:vertAlign w:val="superscript"/>
              </w:rPr>
              <w:t>+</w:t>
            </w:r>
          </w:p>
        </w:tc>
        <w:tc>
          <w:tcPr>
            <w:tcW w:w="1597" w:type="dxa"/>
            <w:tcBorders>
              <w:bottom w:val="single" w:sz="4" w:space="0" w:color="auto"/>
            </w:tcBorders>
          </w:tcPr>
          <w:p w14:paraId="685E9B71" w14:textId="77777777" w:rsidR="007544BE" w:rsidRPr="007544BE" w:rsidRDefault="007544BE" w:rsidP="007B0250">
            <w:pPr>
              <w:jc w:val="center"/>
              <w:rPr>
                <w:b/>
                <w:bCs/>
              </w:rPr>
            </w:pPr>
            <w:r w:rsidRPr="007544BE">
              <w:rPr>
                <w:b/>
                <w:bCs/>
              </w:rPr>
              <w:t>14</w:t>
            </w:r>
            <w:r w:rsidRPr="004D1DE0">
              <w:rPr>
                <w:b/>
                <w:bCs/>
              </w:rPr>
              <w:t xml:space="preserve">D </w:t>
            </w:r>
            <w:proofErr w:type="spellStart"/>
            <w:r w:rsidRPr="004D1DE0">
              <w:rPr>
                <w:b/>
                <w:bCs/>
                <w:i/>
              </w:rPr>
              <w:t>Scx</w:t>
            </w:r>
            <w:r w:rsidRPr="004D1DE0">
              <w:rPr>
                <w:b/>
                <w:bCs/>
                <w:iCs/>
                <w:vertAlign w:val="superscript"/>
              </w:rPr>
              <w:t>Δ</w:t>
            </w:r>
            <w:proofErr w:type="spellEnd"/>
          </w:p>
        </w:tc>
      </w:tr>
      <w:tr w:rsidR="007544BE" w14:paraId="25BF6759" w14:textId="77777777" w:rsidTr="00057AC3">
        <w:trPr>
          <w:jc w:val="center"/>
        </w:trPr>
        <w:tc>
          <w:tcPr>
            <w:tcW w:w="1620" w:type="dxa"/>
            <w:tcBorders>
              <w:top w:val="single" w:sz="4" w:space="0" w:color="auto"/>
            </w:tcBorders>
          </w:tcPr>
          <w:p w14:paraId="55C559AE" w14:textId="77777777" w:rsidR="007544BE" w:rsidRPr="007544BE" w:rsidRDefault="007544BE" w:rsidP="007B0250">
            <w:pPr>
              <w:jc w:val="center"/>
              <w:rPr>
                <w:i/>
                <w:iCs/>
              </w:rPr>
            </w:pPr>
            <w:r w:rsidRPr="007544BE">
              <w:rPr>
                <w:i/>
                <w:iCs/>
              </w:rPr>
              <w:t>Col1a1</w:t>
            </w:r>
          </w:p>
        </w:tc>
        <w:tc>
          <w:tcPr>
            <w:tcW w:w="1596" w:type="dxa"/>
            <w:tcBorders>
              <w:top w:val="single" w:sz="4" w:space="0" w:color="auto"/>
            </w:tcBorders>
          </w:tcPr>
          <w:p w14:paraId="0F0E5AA1" w14:textId="77777777" w:rsidR="007544BE" w:rsidRDefault="007544BE" w:rsidP="007B0250">
            <w:pPr>
              <w:jc w:val="center"/>
            </w:pPr>
            <w:r>
              <w:t>21.4±4.7</w:t>
            </w:r>
          </w:p>
        </w:tc>
        <w:tc>
          <w:tcPr>
            <w:tcW w:w="1596" w:type="dxa"/>
            <w:tcBorders>
              <w:top w:val="single" w:sz="4" w:space="0" w:color="auto"/>
            </w:tcBorders>
          </w:tcPr>
          <w:p w14:paraId="34B793FA" w14:textId="77777777" w:rsidR="007544BE" w:rsidRDefault="007544BE" w:rsidP="007B0250">
            <w:pPr>
              <w:jc w:val="center"/>
            </w:pPr>
            <w:r>
              <w:t>13.9±3.8</w:t>
            </w:r>
            <w:r w:rsidRPr="007544BE">
              <w:rPr>
                <w:vertAlign w:val="superscript"/>
              </w:rPr>
              <w:t>a</w:t>
            </w:r>
          </w:p>
        </w:tc>
        <w:tc>
          <w:tcPr>
            <w:tcW w:w="1596" w:type="dxa"/>
            <w:tcBorders>
              <w:top w:val="single" w:sz="4" w:space="0" w:color="auto"/>
            </w:tcBorders>
          </w:tcPr>
          <w:p w14:paraId="01B4AE39" w14:textId="77777777" w:rsidR="007544BE" w:rsidRDefault="007544BE" w:rsidP="007B0250">
            <w:pPr>
              <w:jc w:val="center"/>
            </w:pPr>
            <w:r>
              <w:t>18.9±5.8</w:t>
            </w:r>
          </w:p>
        </w:tc>
        <w:tc>
          <w:tcPr>
            <w:tcW w:w="1597" w:type="dxa"/>
            <w:tcBorders>
              <w:top w:val="single" w:sz="4" w:space="0" w:color="auto"/>
            </w:tcBorders>
          </w:tcPr>
          <w:p w14:paraId="0B8C705D" w14:textId="77777777" w:rsidR="007544BE" w:rsidRDefault="007544BE" w:rsidP="007B0250">
            <w:pPr>
              <w:jc w:val="center"/>
            </w:pPr>
            <w:r>
              <w:t>9.9±3.6</w:t>
            </w:r>
            <w:r w:rsidR="00057AC3" w:rsidRPr="00057AC3">
              <w:rPr>
                <w:vertAlign w:val="superscript"/>
              </w:rPr>
              <w:t>ac</w:t>
            </w:r>
          </w:p>
        </w:tc>
      </w:tr>
      <w:tr w:rsidR="007544BE" w14:paraId="1AC359FE" w14:textId="77777777" w:rsidTr="00057AC3">
        <w:trPr>
          <w:jc w:val="center"/>
        </w:trPr>
        <w:tc>
          <w:tcPr>
            <w:tcW w:w="1620" w:type="dxa"/>
          </w:tcPr>
          <w:p w14:paraId="3AEC7759" w14:textId="77777777" w:rsidR="007544BE" w:rsidRPr="007544BE" w:rsidRDefault="007544BE" w:rsidP="007B0250">
            <w:pPr>
              <w:jc w:val="center"/>
              <w:rPr>
                <w:i/>
                <w:iCs/>
              </w:rPr>
            </w:pPr>
            <w:r w:rsidRPr="007544BE">
              <w:rPr>
                <w:i/>
                <w:iCs/>
              </w:rPr>
              <w:t>Egr1</w:t>
            </w:r>
          </w:p>
        </w:tc>
        <w:tc>
          <w:tcPr>
            <w:tcW w:w="1596" w:type="dxa"/>
          </w:tcPr>
          <w:p w14:paraId="1CAB5A81" w14:textId="77777777" w:rsidR="007544BE" w:rsidRDefault="007544BE" w:rsidP="007B0250">
            <w:pPr>
              <w:jc w:val="center"/>
            </w:pPr>
            <w:r>
              <w:t>3.9±1.4</w:t>
            </w:r>
          </w:p>
        </w:tc>
        <w:tc>
          <w:tcPr>
            <w:tcW w:w="1596" w:type="dxa"/>
          </w:tcPr>
          <w:p w14:paraId="74BBB577" w14:textId="77777777" w:rsidR="007544BE" w:rsidRDefault="007544BE" w:rsidP="007B0250">
            <w:pPr>
              <w:jc w:val="center"/>
            </w:pPr>
            <w:r>
              <w:t>1.9±0.5</w:t>
            </w:r>
            <w:r w:rsidR="00057AC3" w:rsidRPr="00057AC3">
              <w:rPr>
                <w:vertAlign w:val="superscript"/>
              </w:rPr>
              <w:t>a</w:t>
            </w:r>
          </w:p>
        </w:tc>
        <w:tc>
          <w:tcPr>
            <w:tcW w:w="1596" w:type="dxa"/>
          </w:tcPr>
          <w:p w14:paraId="602D95AF" w14:textId="77777777" w:rsidR="007544BE" w:rsidRDefault="007544BE" w:rsidP="007B0250">
            <w:pPr>
              <w:jc w:val="center"/>
            </w:pPr>
            <w:r>
              <w:t>2.4±0.4</w:t>
            </w:r>
            <w:r w:rsidR="00057AC3" w:rsidRPr="00057AC3">
              <w:rPr>
                <w:vertAlign w:val="superscript"/>
              </w:rPr>
              <w:t>a</w:t>
            </w:r>
          </w:p>
        </w:tc>
        <w:tc>
          <w:tcPr>
            <w:tcW w:w="1597" w:type="dxa"/>
          </w:tcPr>
          <w:p w14:paraId="4FD4335D" w14:textId="77777777" w:rsidR="007544BE" w:rsidRDefault="007544BE" w:rsidP="007B0250">
            <w:pPr>
              <w:jc w:val="center"/>
            </w:pPr>
            <w:r>
              <w:t>1.4±0.3</w:t>
            </w:r>
            <w:r w:rsidR="00057AC3" w:rsidRPr="00057AC3">
              <w:rPr>
                <w:vertAlign w:val="superscript"/>
              </w:rPr>
              <w:t>ac</w:t>
            </w:r>
          </w:p>
        </w:tc>
      </w:tr>
      <w:tr w:rsidR="007544BE" w14:paraId="76A9D22D" w14:textId="77777777" w:rsidTr="00057AC3">
        <w:trPr>
          <w:jc w:val="center"/>
        </w:trPr>
        <w:tc>
          <w:tcPr>
            <w:tcW w:w="1620" w:type="dxa"/>
          </w:tcPr>
          <w:p w14:paraId="53602BA1" w14:textId="77777777" w:rsidR="007544BE" w:rsidRPr="007544BE" w:rsidRDefault="007544BE" w:rsidP="007B0250">
            <w:pPr>
              <w:jc w:val="center"/>
              <w:rPr>
                <w:i/>
                <w:iCs/>
              </w:rPr>
            </w:pPr>
            <w:r w:rsidRPr="007544BE">
              <w:rPr>
                <w:i/>
                <w:iCs/>
              </w:rPr>
              <w:t>Igf1</w:t>
            </w:r>
          </w:p>
        </w:tc>
        <w:tc>
          <w:tcPr>
            <w:tcW w:w="1596" w:type="dxa"/>
          </w:tcPr>
          <w:p w14:paraId="2B76AED5" w14:textId="77777777" w:rsidR="007544BE" w:rsidRDefault="007544BE" w:rsidP="007B0250">
            <w:pPr>
              <w:jc w:val="center"/>
            </w:pPr>
            <w:r>
              <w:t>12.2±4.8</w:t>
            </w:r>
          </w:p>
        </w:tc>
        <w:tc>
          <w:tcPr>
            <w:tcW w:w="1596" w:type="dxa"/>
          </w:tcPr>
          <w:p w14:paraId="031DF813" w14:textId="77777777" w:rsidR="007544BE" w:rsidRDefault="007544BE" w:rsidP="007B0250">
            <w:pPr>
              <w:jc w:val="center"/>
            </w:pPr>
            <w:r>
              <w:t>5.9±1.6</w:t>
            </w:r>
            <w:r w:rsidR="00057AC3" w:rsidRPr="00057AC3">
              <w:rPr>
                <w:vertAlign w:val="superscript"/>
              </w:rPr>
              <w:t>a</w:t>
            </w:r>
          </w:p>
        </w:tc>
        <w:tc>
          <w:tcPr>
            <w:tcW w:w="1596" w:type="dxa"/>
          </w:tcPr>
          <w:p w14:paraId="2FC2AA73" w14:textId="77777777" w:rsidR="007544BE" w:rsidRDefault="007544BE" w:rsidP="007B0250">
            <w:pPr>
              <w:jc w:val="center"/>
            </w:pPr>
            <w:r>
              <w:t>9.5±5.4</w:t>
            </w:r>
          </w:p>
        </w:tc>
        <w:tc>
          <w:tcPr>
            <w:tcW w:w="1597" w:type="dxa"/>
          </w:tcPr>
          <w:p w14:paraId="5A11C470" w14:textId="77777777" w:rsidR="007544BE" w:rsidRDefault="007544BE" w:rsidP="007B0250">
            <w:pPr>
              <w:jc w:val="center"/>
            </w:pPr>
            <w:r>
              <w:t>4.1±3.4</w:t>
            </w:r>
            <w:r w:rsidR="00057AC3" w:rsidRPr="00057AC3">
              <w:rPr>
                <w:vertAlign w:val="superscript"/>
              </w:rPr>
              <w:t>ac</w:t>
            </w:r>
          </w:p>
        </w:tc>
      </w:tr>
      <w:tr w:rsidR="007544BE" w14:paraId="697272AC" w14:textId="77777777" w:rsidTr="00057AC3">
        <w:trPr>
          <w:jc w:val="center"/>
        </w:trPr>
        <w:tc>
          <w:tcPr>
            <w:tcW w:w="1620" w:type="dxa"/>
          </w:tcPr>
          <w:p w14:paraId="6BF11237" w14:textId="77777777" w:rsidR="007544BE" w:rsidRPr="007544BE" w:rsidRDefault="007544BE" w:rsidP="007B0250">
            <w:pPr>
              <w:jc w:val="center"/>
              <w:rPr>
                <w:i/>
                <w:iCs/>
              </w:rPr>
            </w:pPr>
            <w:proofErr w:type="spellStart"/>
            <w:r w:rsidRPr="007544BE">
              <w:rPr>
                <w:i/>
                <w:iCs/>
              </w:rPr>
              <w:t>Mkx</w:t>
            </w:r>
            <w:proofErr w:type="spellEnd"/>
          </w:p>
        </w:tc>
        <w:tc>
          <w:tcPr>
            <w:tcW w:w="1596" w:type="dxa"/>
          </w:tcPr>
          <w:p w14:paraId="1A54AA37" w14:textId="77777777" w:rsidR="007544BE" w:rsidRDefault="007544BE" w:rsidP="007B0250">
            <w:pPr>
              <w:jc w:val="center"/>
            </w:pPr>
            <w:r>
              <w:t>7.2±3.1</w:t>
            </w:r>
          </w:p>
        </w:tc>
        <w:tc>
          <w:tcPr>
            <w:tcW w:w="1596" w:type="dxa"/>
          </w:tcPr>
          <w:p w14:paraId="3D12B88D" w14:textId="77777777" w:rsidR="007544BE" w:rsidRDefault="007544BE" w:rsidP="007B0250">
            <w:pPr>
              <w:jc w:val="center"/>
            </w:pPr>
            <w:r>
              <w:t>4.4±1.9</w:t>
            </w:r>
          </w:p>
        </w:tc>
        <w:tc>
          <w:tcPr>
            <w:tcW w:w="1596" w:type="dxa"/>
          </w:tcPr>
          <w:p w14:paraId="123ED862" w14:textId="77777777" w:rsidR="007544BE" w:rsidRDefault="007544BE" w:rsidP="007B0250">
            <w:pPr>
              <w:jc w:val="center"/>
            </w:pPr>
            <w:r>
              <w:t>11.4±3.9</w:t>
            </w:r>
            <w:r w:rsidR="00057AC3" w:rsidRPr="00057AC3">
              <w:rPr>
                <w:vertAlign w:val="superscript"/>
              </w:rPr>
              <w:t>ab</w:t>
            </w:r>
          </w:p>
        </w:tc>
        <w:tc>
          <w:tcPr>
            <w:tcW w:w="1597" w:type="dxa"/>
          </w:tcPr>
          <w:p w14:paraId="0FFFF54E" w14:textId="77777777" w:rsidR="007544BE" w:rsidRDefault="007544BE" w:rsidP="007B0250">
            <w:pPr>
              <w:jc w:val="center"/>
            </w:pPr>
            <w:r>
              <w:t>5.5±2.3</w:t>
            </w:r>
            <w:r w:rsidR="00057AC3" w:rsidRPr="00057AC3">
              <w:rPr>
                <w:vertAlign w:val="superscript"/>
              </w:rPr>
              <w:t>c</w:t>
            </w:r>
          </w:p>
        </w:tc>
      </w:tr>
      <w:tr w:rsidR="007544BE" w14:paraId="7BF6BD21" w14:textId="77777777" w:rsidTr="00057AC3">
        <w:trPr>
          <w:jc w:val="center"/>
        </w:trPr>
        <w:tc>
          <w:tcPr>
            <w:tcW w:w="1620" w:type="dxa"/>
          </w:tcPr>
          <w:p w14:paraId="66A6194F" w14:textId="77777777" w:rsidR="007544BE" w:rsidRPr="007544BE" w:rsidRDefault="007544BE" w:rsidP="007B0250">
            <w:pPr>
              <w:jc w:val="center"/>
              <w:rPr>
                <w:i/>
                <w:iCs/>
              </w:rPr>
            </w:pPr>
            <w:r w:rsidRPr="007544BE">
              <w:rPr>
                <w:i/>
                <w:iCs/>
              </w:rPr>
              <w:t>Mmp14</w:t>
            </w:r>
          </w:p>
        </w:tc>
        <w:tc>
          <w:tcPr>
            <w:tcW w:w="1596" w:type="dxa"/>
          </w:tcPr>
          <w:p w14:paraId="0D25C9F6" w14:textId="77777777" w:rsidR="007544BE" w:rsidRDefault="007544BE" w:rsidP="007B0250">
            <w:pPr>
              <w:jc w:val="center"/>
            </w:pPr>
            <w:r>
              <w:t>41.1±14.8</w:t>
            </w:r>
          </w:p>
        </w:tc>
        <w:tc>
          <w:tcPr>
            <w:tcW w:w="1596" w:type="dxa"/>
          </w:tcPr>
          <w:p w14:paraId="7DC1A92C" w14:textId="77777777" w:rsidR="007544BE" w:rsidRDefault="007544BE" w:rsidP="007B0250">
            <w:pPr>
              <w:jc w:val="center"/>
            </w:pPr>
            <w:r>
              <w:t>25.9±7.8</w:t>
            </w:r>
            <w:r w:rsidR="00057AC3" w:rsidRPr="00057AC3">
              <w:rPr>
                <w:vertAlign w:val="superscript"/>
              </w:rPr>
              <w:t>a</w:t>
            </w:r>
          </w:p>
        </w:tc>
        <w:tc>
          <w:tcPr>
            <w:tcW w:w="1596" w:type="dxa"/>
          </w:tcPr>
          <w:p w14:paraId="0983EFC7" w14:textId="77777777" w:rsidR="007544BE" w:rsidRDefault="007544BE" w:rsidP="007B0250">
            <w:pPr>
              <w:jc w:val="center"/>
            </w:pPr>
            <w:r>
              <w:t>35.5±12.0</w:t>
            </w:r>
          </w:p>
        </w:tc>
        <w:tc>
          <w:tcPr>
            <w:tcW w:w="1597" w:type="dxa"/>
          </w:tcPr>
          <w:p w14:paraId="25926343" w14:textId="77777777" w:rsidR="007544BE" w:rsidRDefault="007544BE" w:rsidP="007B0250">
            <w:pPr>
              <w:jc w:val="center"/>
            </w:pPr>
            <w:r>
              <w:t>15.4±6.3</w:t>
            </w:r>
            <w:r w:rsidR="00057AC3" w:rsidRPr="00057AC3">
              <w:rPr>
                <w:vertAlign w:val="superscript"/>
              </w:rPr>
              <w:t>ac</w:t>
            </w:r>
          </w:p>
        </w:tc>
      </w:tr>
      <w:tr w:rsidR="007544BE" w14:paraId="1B09A92C" w14:textId="77777777" w:rsidTr="00057AC3">
        <w:trPr>
          <w:jc w:val="center"/>
        </w:trPr>
        <w:tc>
          <w:tcPr>
            <w:tcW w:w="1620" w:type="dxa"/>
          </w:tcPr>
          <w:p w14:paraId="43C2993E" w14:textId="77777777" w:rsidR="007544BE" w:rsidRPr="007544BE" w:rsidRDefault="007544BE" w:rsidP="007B0250">
            <w:pPr>
              <w:jc w:val="center"/>
              <w:rPr>
                <w:i/>
                <w:iCs/>
              </w:rPr>
            </w:pPr>
            <w:proofErr w:type="spellStart"/>
            <w:r w:rsidRPr="007544BE">
              <w:rPr>
                <w:i/>
                <w:iCs/>
              </w:rPr>
              <w:t>Scx</w:t>
            </w:r>
            <w:proofErr w:type="spellEnd"/>
          </w:p>
        </w:tc>
        <w:tc>
          <w:tcPr>
            <w:tcW w:w="1596" w:type="dxa"/>
          </w:tcPr>
          <w:p w14:paraId="1B7DBBEA" w14:textId="77777777" w:rsidR="007544BE" w:rsidRDefault="007544BE" w:rsidP="007B0250">
            <w:pPr>
              <w:jc w:val="center"/>
            </w:pPr>
            <w:r>
              <w:t>9.6±2.1</w:t>
            </w:r>
          </w:p>
        </w:tc>
        <w:tc>
          <w:tcPr>
            <w:tcW w:w="1596" w:type="dxa"/>
          </w:tcPr>
          <w:p w14:paraId="419EB20F" w14:textId="77777777" w:rsidR="007544BE" w:rsidRDefault="007544BE" w:rsidP="007B0250">
            <w:pPr>
              <w:jc w:val="center"/>
            </w:pPr>
            <w:r>
              <w:t>0.1±0.1</w:t>
            </w:r>
            <w:r w:rsidR="00057AC3" w:rsidRPr="00057AC3">
              <w:rPr>
                <w:vertAlign w:val="superscript"/>
              </w:rPr>
              <w:t>a</w:t>
            </w:r>
          </w:p>
        </w:tc>
        <w:tc>
          <w:tcPr>
            <w:tcW w:w="1596" w:type="dxa"/>
          </w:tcPr>
          <w:p w14:paraId="0021D02E" w14:textId="77777777" w:rsidR="007544BE" w:rsidRDefault="007544BE" w:rsidP="007B0250">
            <w:pPr>
              <w:jc w:val="center"/>
            </w:pPr>
            <w:r>
              <w:t>7.9±1.8</w:t>
            </w:r>
            <w:r w:rsidR="00057AC3" w:rsidRPr="00057AC3">
              <w:rPr>
                <w:vertAlign w:val="superscript"/>
              </w:rPr>
              <w:t>b</w:t>
            </w:r>
          </w:p>
        </w:tc>
        <w:tc>
          <w:tcPr>
            <w:tcW w:w="1597" w:type="dxa"/>
          </w:tcPr>
          <w:p w14:paraId="2C3C2950" w14:textId="77777777" w:rsidR="007544BE" w:rsidRDefault="007544BE" w:rsidP="007B0250">
            <w:pPr>
              <w:jc w:val="center"/>
            </w:pPr>
            <w:r>
              <w:t>0.3±0.1</w:t>
            </w:r>
            <w:r w:rsidR="00057AC3" w:rsidRPr="00057AC3">
              <w:rPr>
                <w:vertAlign w:val="superscript"/>
              </w:rPr>
              <w:t>ac</w:t>
            </w:r>
          </w:p>
        </w:tc>
      </w:tr>
      <w:tr w:rsidR="007544BE" w14:paraId="05E3993B" w14:textId="77777777" w:rsidTr="00057AC3">
        <w:trPr>
          <w:jc w:val="center"/>
        </w:trPr>
        <w:tc>
          <w:tcPr>
            <w:tcW w:w="1620" w:type="dxa"/>
          </w:tcPr>
          <w:p w14:paraId="5CABCD4E" w14:textId="77777777" w:rsidR="007544BE" w:rsidRPr="007544BE" w:rsidRDefault="007544BE" w:rsidP="007B0250">
            <w:pPr>
              <w:jc w:val="center"/>
              <w:rPr>
                <w:i/>
                <w:iCs/>
              </w:rPr>
            </w:pPr>
            <w:r w:rsidRPr="007544BE">
              <w:rPr>
                <w:i/>
                <w:iCs/>
              </w:rPr>
              <w:t>Tgfb1</w:t>
            </w:r>
          </w:p>
        </w:tc>
        <w:tc>
          <w:tcPr>
            <w:tcW w:w="1596" w:type="dxa"/>
          </w:tcPr>
          <w:p w14:paraId="45F01EC0" w14:textId="77777777" w:rsidR="007544BE" w:rsidRDefault="007544BE" w:rsidP="007B0250">
            <w:pPr>
              <w:jc w:val="center"/>
            </w:pPr>
            <w:r>
              <w:t>7.4±2.2</w:t>
            </w:r>
          </w:p>
        </w:tc>
        <w:tc>
          <w:tcPr>
            <w:tcW w:w="1596" w:type="dxa"/>
          </w:tcPr>
          <w:p w14:paraId="27D8776E" w14:textId="77777777" w:rsidR="007544BE" w:rsidRDefault="007544BE" w:rsidP="007B0250">
            <w:pPr>
              <w:jc w:val="center"/>
            </w:pPr>
            <w:r>
              <w:t>4.9±0.9</w:t>
            </w:r>
            <w:r w:rsidR="00057AC3" w:rsidRPr="00057AC3">
              <w:rPr>
                <w:vertAlign w:val="superscript"/>
              </w:rPr>
              <w:t>a</w:t>
            </w:r>
          </w:p>
        </w:tc>
        <w:tc>
          <w:tcPr>
            <w:tcW w:w="1596" w:type="dxa"/>
          </w:tcPr>
          <w:p w14:paraId="366A7BF9" w14:textId="77777777" w:rsidR="007544BE" w:rsidRDefault="007544BE" w:rsidP="007B0250">
            <w:pPr>
              <w:jc w:val="center"/>
            </w:pPr>
            <w:r>
              <w:t>5.3±1.1</w:t>
            </w:r>
            <w:r w:rsidR="00057AC3" w:rsidRPr="00057AC3">
              <w:rPr>
                <w:vertAlign w:val="superscript"/>
              </w:rPr>
              <w:t>a</w:t>
            </w:r>
          </w:p>
        </w:tc>
        <w:tc>
          <w:tcPr>
            <w:tcW w:w="1597" w:type="dxa"/>
          </w:tcPr>
          <w:p w14:paraId="2E22BE19" w14:textId="77777777" w:rsidR="007544BE" w:rsidRDefault="007544BE" w:rsidP="007B0250">
            <w:pPr>
              <w:jc w:val="center"/>
            </w:pPr>
            <w:r>
              <w:t>3.5±1.3</w:t>
            </w:r>
            <w:r w:rsidR="00057AC3" w:rsidRPr="00057AC3">
              <w:rPr>
                <w:vertAlign w:val="superscript"/>
              </w:rPr>
              <w:t>ac</w:t>
            </w:r>
          </w:p>
        </w:tc>
      </w:tr>
      <w:tr w:rsidR="007544BE" w14:paraId="46A041B4" w14:textId="77777777" w:rsidTr="00057AC3">
        <w:trPr>
          <w:jc w:val="center"/>
        </w:trPr>
        <w:tc>
          <w:tcPr>
            <w:tcW w:w="1620" w:type="dxa"/>
          </w:tcPr>
          <w:p w14:paraId="077A1F3D" w14:textId="77777777" w:rsidR="007544BE" w:rsidRPr="007544BE" w:rsidRDefault="007544BE" w:rsidP="007B0250">
            <w:pPr>
              <w:jc w:val="center"/>
              <w:rPr>
                <w:i/>
                <w:iCs/>
              </w:rPr>
            </w:pPr>
            <w:proofErr w:type="spellStart"/>
            <w:r w:rsidRPr="007544BE">
              <w:rPr>
                <w:i/>
                <w:iCs/>
              </w:rPr>
              <w:t>Tnmd</w:t>
            </w:r>
            <w:proofErr w:type="spellEnd"/>
          </w:p>
        </w:tc>
        <w:tc>
          <w:tcPr>
            <w:tcW w:w="1596" w:type="dxa"/>
          </w:tcPr>
          <w:p w14:paraId="730D207A" w14:textId="77777777" w:rsidR="007544BE" w:rsidRDefault="007544BE" w:rsidP="007B0250">
            <w:pPr>
              <w:jc w:val="center"/>
            </w:pPr>
            <w:r>
              <w:t>14.4±4.9</w:t>
            </w:r>
          </w:p>
        </w:tc>
        <w:tc>
          <w:tcPr>
            <w:tcW w:w="1596" w:type="dxa"/>
          </w:tcPr>
          <w:p w14:paraId="59A3E6CC" w14:textId="77777777" w:rsidR="007544BE" w:rsidRDefault="007544BE" w:rsidP="007B0250">
            <w:pPr>
              <w:jc w:val="center"/>
            </w:pPr>
            <w:r>
              <w:t>2.8±0.5</w:t>
            </w:r>
            <w:r w:rsidR="00057AC3" w:rsidRPr="00057AC3">
              <w:rPr>
                <w:vertAlign w:val="superscript"/>
              </w:rPr>
              <w:t>a</w:t>
            </w:r>
          </w:p>
        </w:tc>
        <w:tc>
          <w:tcPr>
            <w:tcW w:w="1596" w:type="dxa"/>
          </w:tcPr>
          <w:p w14:paraId="7FDA1153" w14:textId="77777777" w:rsidR="007544BE" w:rsidRDefault="007544BE" w:rsidP="007B0250">
            <w:pPr>
              <w:jc w:val="center"/>
            </w:pPr>
            <w:r>
              <w:t>27.9±9.3</w:t>
            </w:r>
            <w:r w:rsidR="00057AC3" w:rsidRPr="00057AC3">
              <w:rPr>
                <w:vertAlign w:val="superscript"/>
              </w:rPr>
              <w:t>ab</w:t>
            </w:r>
          </w:p>
        </w:tc>
        <w:tc>
          <w:tcPr>
            <w:tcW w:w="1597" w:type="dxa"/>
          </w:tcPr>
          <w:p w14:paraId="6BD78899" w14:textId="77777777" w:rsidR="007544BE" w:rsidRDefault="007544BE" w:rsidP="007B0250">
            <w:pPr>
              <w:jc w:val="center"/>
            </w:pPr>
            <w:r>
              <w:t>5.1±2.0</w:t>
            </w:r>
            <w:r w:rsidR="00057AC3" w:rsidRPr="00057AC3">
              <w:rPr>
                <w:vertAlign w:val="superscript"/>
              </w:rPr>
              <w:t>ac</w:t>
            </w:r>
          </w:p>
        </w:tc>
      </w:tr>
    </w:tbl>
    <w:p w14:paraId="22941C2A" w14:textId="14475AD1" w:rsidR="00A1782A" w:rsidRDefault="00A1782A" w:rsidP="00A178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Times New Roman"/>
        </w:rPr>
      </w:pPr>
    </w:p>
    <w:p w14:paraId="0D05746E" w14:textId="342F3332" w:rsidR="00B27E58" w:rsidRDefault="00A1782A" w:rsidP="006E41A7">
      <w:pPr>
        <w:spacing w:line="480" w:lineRule="auto"/>
      </w:pPr>
      <w:r>
        <w:fldChar w:fldCharType="begin"/>
      </w:r>
      <w:r>
        <w:instrText xml:space="preserve"> ADDIN PAPERS2_CITATIONS &lt;papers2_bibliography/&gt;</w:instrText>
      </w:r>
      <w:r>
        <w:fldChar w:fldCharType="end"/>
      </w:r>
    </w:p>
    <w:sectPr w:rsidR="00B27E58" w:rsidSect="00CF0554">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91548" w14:textId="77777777" w:rsidR="00B213C5" w:rsidRDefault="00B213C5" w:rsidP="00CF0554">
      <w:r>
        <w:separator/>
      </w:r>
    </w:p>
  </w:endnote>
  <w:endnote w:type="continuationSeparator" w:id="0">
    <w:p w14:paraId="400ED62D" w14:textId="77777777" w:rsidR="00B213C5" w:rsidRDefault="00B213C5" w:rsidP="00CF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5243061"/>
      <w:docPartObj>
        <w:docPartGallery w:val="Page Numbers (Bottom of Page)"/>
        <w:docPartUnique/>
      </w:docPartObj>
    </w:sdtPr>
    <w:sdtEndPr>
      <w:rPr>
        <w:rStyle w:val="PageNumber"/>
      </w:rPr>
    </w:sdtEndPr>
    <w:sdtContent>
      <w:p w14:paraId="31103C4B" w14:textId="77777777" w:rsidR="000B326E" w:rsidRDefault="000B326E" w:rsidP="006B26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E5D7B2" w14:textId="77777777" w:rsidR="000B326E" w:rsidRDefault="000B3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3027152"/>
      <w:docPartObj>
        <w:docPartGallery w:val="Page Numbers (Bottom of Page)"/>
        <w:docPartUnique/>
      </w:docPartObj>
    </w:sdtPr>
    <w:sdtEndPr>
      <w:rPr>
        <w:rStyle w:val="PageNumber"/>
      </w:rPr>
    </w:sdtEndPr>
    <w:sdtContent>
      <w:p w14:paraId="2A9637C5" w14:textId="77777777" w:rsidR="000B326E" w:rsidRDefault="000B326E" w:rsidP="006B26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5FE63C35" w14:textId="77777777" w:rsidR="000B326E" w:rsidRDefault="000B3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3012E" w14:textId="77777777" w:rsidR="00B213C5" w:rsidRDefault="00B213C5" w:rsidP="00CF0554">
      <w:r>
        <w:separator/>
      </w:r>
    </w:p>
  </w:footnote>
  <w:footnote w:type="continuationSeparator" w:id="0">
    <w:p w14:paraId="21547B60" w14:textId="77777777" w:rsidR="00B213C5" w:rsidRDefault="00B213C5" w:rsidP="00CF05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activeWritingStyle w:appName="MSWord" w:lang="en-US" w:vendorID="64" w:dllVersion="4096" w:nlCheck="1" w:checkStyle="0"/>
  <w:activeWritingStyle w:appName="MSWord" w:lang="en-US" w:vendorID="64" w:dllVersion="6" w:nlCheck="1" w:checkStyle="1"/>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524"/>
    <w:rsid w:val="0000430C"/>
    <w:rsid w:val="00007A3D"/>
    <w:rsid w:val="00014EB7"/>
    <w:rsid w:val="000201B3"/>
    <w:rsid w:val="00023EBF"/>
    <w:rsid w:val="00024C55"/>
    <w:rsid w:val="00026C8F"/>
    <w:rsid w:val="00027A49"/>
    <w:rsid w:val="00042CB3"/>
    <w:rsid w:val="000430BC"/>
    <w:rsid w:val="00046AA3"/>
    <w:rsid w:val="000474F4"/>
    <w:rsid w:val="00047D6B"/>
    <w:rsid w:val="0005012E"/>
    <w:rsid w:val="000553FB"/>
    <w:rsid w:val="00057586"/>
    <w:rsid w:val="00057AC3"/>
    <w:rsid w:val="00060471"/>
    <w:rsid w:val="000642F2"/>
    <w:rsid w:val="0007307A"/>
    <w:rsid w:val="00073413"/>
    <w:rsid w:val="000754AD"/>
    <w:rsid w:val="00082DE4"/>
    <w:rsid w:val="00084A50"/>
    <w:rsid w:val="00084B6F"/>
    <w:rsid w:val="00085C0D"/>
    <w:rsid w:val="000915D9"/>
    <w:rsid w:val="0009209E"/>
    <w:rsid w:val="00097453"/>
    <w:rsid w:val="000A0E42"/>
    <w:rsid w:val="000B0B0E"/>
    <w:rsid w:val="000B326E"/>
    <w:rsid w:val="000B4CEB"/>
    <w:rsid w:val="000B5D01"/>
    <w:rsid w:val="000C628F"/>
    <w:rsid w:val="000D28E6"/>
    <w:rsid w:val="000E1BF0"/>
    <w:rsid w:val="000E476E"/>
    <w:rsid w:val="000E66AB"/>
    <w:rsid w:val="000F50F3"/>
    <w:rsid w:val="0010364E"/>
    <w:rsid w:val="0010612D"/>
    <w:rsid w:val="001073D0"/>
    <w:rsid w:val="00112A30"/>
    <w:rsid w:val="00113C77"/>
    <w:rsid w:val="00113CFC"/>
    <w:rsid w:val="00123EFC"/>
    <w:rsid w:val="00123FD8"/>
    <w:rsid w:val="00131A30"/>
    <w:rsid w:val="0014014A"/>
    <w:rsid w:val="00141857"/>
    <w:rsid w:val="00141B88"/>
    <w:rsid w:val="00143DC6"/>
    <w:rsid w:val="0014699C"/>
    <w:rsid w:val="00160827"/>
    <w:rsid w:val="00162E7B"/>
    <w:rsid w:val="00164C50"/>
    <w:rsid w:val="00172B98"/>
    <w:rsid w:val="00181E19"/>
    <w:rsid w:val="001863F0"/>
    <w:rsid w:val="001870F5"/>
    <w:rsid w:val="00190133"/>
    <w:rsid w:val="0019373F"/>
    <w:rsid w:val="00195890"/>
    <w:rsid w:val="00196967"/>
    <w:rsid w:val="001A324D"/>
    <w:rsid w:val="001B34F2"/>
    <w:rsid w:val="001B6777"/>
    <w:rsid w:val="001C4CF0"/>
    <w:rsid w:val="001C6B2A"/>
    <w:rsid w:val="001E68B3"/>
    <w:rsid w:val="001F5740"/>
    <w:rsid w:val="0020664C"/>
    <w:rsid w:val="00207198"/>
    <w:rsid w:val="00220969"/>
    <w:rsid w:val="00224641"/>
    <w:rsid w:val="002276ED"/>
    <w:rsid w:val="00233781"/>
    <w:rsid w:val="00242E8C"/>
    <w:rsid w:val="00244DD7"/>
    <w:rsid w:val="00251043"/>
    <w:rsid w:val="00251CC5"/>
    <w:rsid w:val="00257BD1"/>
    <w:rsid w:val="00283696"/>
    <w:rsid w:val="00286532"/>
    <w:rsid w:val="002916B3"/>
    <w:rsid w:val="00294032"/>
    <w:rsid w:val="0029418D"/>
    <w:rsid w:val="00295799"/>
    <w:rsid w:val="002961F2"/>
    <w:rsid w:val="002A4BF0"/>
    <w:rsid w:val="002C192A"/>
    <w:rsid w:val="002C2DD9"/>
    <w:rsid w:val="002D0139"/>
    <w:rsid w:val="002D57D4"/>
    <w:rsid w:val="002E03CB"/>
    <w:rsid w:val="002E6EA6"/>
    <w:rsid w:val="002F146D"/>
    <w:rsid w:val="00306E20"/>
    <w:rsid w:val="00312502"/>
    <w:rsid w:val="003200E2"/>
    <w:rsid w:val="00323A2B"/>
    <w:rsid w:val="00326EA8"/>
    <w:rsid w:val="0033452A"/>
    <w:rsid w:val="0033559B"/>
    <w:rsid w:val="00337514"/>
    <w:rsid w:val="003427D4"/>
    <w:rsid w:val="003446C7"/>
    <w:rsid w:val="0034490C"/>
    <w:rsid w:val="00351C87"/>
    <w:rsid w:val="0035220B"/>
    <w:rsid w:val="00355E47"/>
    <w:rsid w:val="003611F6"/>
    <w:rsid w:val="003625E3"/>
    <w:rsid w:val="0036779D"/>
    <w:rsid w:val="0037465B"/>
    <w:rsid w:val="00376C65"/>
    <w:rsid w:val="00377090"/>
    <w:rsid w:val="00387329"/>
    <w:rsid w:val="0039300F"/>
    <w:rsid w:val="003A1C64"/>
    <w:rsid w:val="003A225C"/>
    <w:rsid w:val="003A2806"/>
    <w:rsid w:val="003A31AB"/>
    <w:rsid w:val="003B446A"/>
    <w:rsid w:val="003B5A93"/>
    <w:rsid w:val="003B6214"/>
    <w:rsid w:val="003B6A23"/>
    <w:rsid w:val="003C3481"/>
    <w:rsid w:val="003C52F0"/>
    <w:rsid w:val="003D44DC"/>
    <w:rsid w:val="003D7C84"/>
    <w:rsid w:val="003E618D"/>
    <w:rsid w:val="003E6BF0"/>
    <w:rsid w:val="00420421"/>
    <w:rsid w:val="0042488E"/>
    <w:rsid w:val="0042789C"/>
    <w:rsid w:val="00427F96"/>
    <w:rsid w:val="004339DC"/>
    <w:rsid w:val="00435075"/>
    <w:rsid w:val="00435E5D"/>
    <w:rsid w:val="00442EEE"/>
    <w:rsid w:val="00446526"/>
    <w:rsid w:val="004530EB"/>
    <w:rsid w:val="00454521"/>
    <w:rsid w:val="004605E0"/>
    <w:rsid w:val="004701B7"/>
    <w:rsid w:val="00471475"/>
    <w:rsid w:val="00480003"/>
    <w:rsid w:val="0048165C"/>
    <w:rsid w:val="0048583B"/>
    <w:rsid w:val="004861EF"/>
    <w:rsid w:val="00487636"/>
    <w:rsid w:val="00487E24"/>
    <w:rsid w:val="00492F6D"/>
    <w:rsid w:val="004933DC"/>
    <w:rsid w:val="00494F7F"/>
    <w:rsid w:val="004A06BC"/>
    <w:rsid w:val="004A50A8"/>
    <w:rsid w:val="004C15EC"/>
    <w:rsid w:val="004C62EE"/>
    <w:rsid w:val="004C7A70"/>
    <w:rsid w:val="004D1DE0"/>
    <w:rsid w:val="004D5422"/>
    <w:rsid w:val="004D6B9B"/>
    <w:rsid w:val="004E255D"/>
    <w:rsid w:val="004E2D45"/>
    <w:rsid w:val="004F396A"/>
    <w:rsid w:val="004F48A2"/>
    <w:rsid w:val="004F5C01"/>
    <w:rsid w:val="00505D2C"/>
    <w:rsid w:val="00510091"/>
    <w:rsid w:val="00515311"/>
    <w:rsid w:val="00515B24"/>
    <w:rsid w:val="005237A3"/>
    <w:rsid w:val="00531344"/>
    <w:rsid w:val="005322DB"/>
    <w:rsid w:val="0053531C"/>
    <w:rsid w:val="005448C6"/>
    <w:rsid w:val="00550EAD"/>
    <w:rsid w:val="00556B08"/>
    <w:rsid w:val="0057178F"/>
    <w:rsid w:val="00571D21"/>
    <w:rsid w:val="00571F3A"/>
    <w:rsid w:val="00574F63"/>
    <w:rsid w:val="00580A3A"/>
    <w:rsid w:val="00584542"/>
    <w:rsid w:val="0058528A"/>
    <w:rsid w:val="00590969"/>
    <w:rsid w:val="0059232C"/>
    <w:rsid w:val="00594224"/>
    <w:rsid w:val="005945D5"/>
    <w:rsid w:val="00596D4E"/>
    <w:rsid w:val="005971B9"/>
    <w:rsid w:val="005A0B91"/>
    <w:rsid w:val="005A5228"/>
    <w:rsid w:val="005B7017"/>
    <w:rsid w:val="005C4B24"/>
    <w:rsid w:val="005C7960"/>
    <w:rsid w:val="005F2658"/>
    <w:rsid w:val="00602C64"/>
    <w:rsid w:val="00602DB5"/>
    <w:rsid w:val="00603A7F"/>
    <w:rsid w:val="0060596A"/>
    <w:rsid w:val="00612BAB"/>
    <w:rsid w:val="00616595"/>
    <w:rsid w:val="006170AF"/>
    <w:rsid w:val="00620DEF"/>
    <w:rsid w:val="0063073F"/>
    <w:rsid w:val="00630D7F"/>
    <w:rsid w:val="00632CFB"/>
    <w:rsid w:val="00633B50"/>
    <w:rsid w:val="00635493"/>
    <w:rsid w:val="0064536D"/>
    <w:rsid w:val="00654DA2"/>
    <w:rsid w:val="00656A7E"/>
    <w:rsid w:val="00660607"/>
    <w:rsid w:val="00670952"/>
    <w:rsid w:val="00683492"/>
    <w:rsid w:val="00693C15"/>
    <w:rsid w:val="0069665D"/>
    <w:rsid w:val="00697BD4"/>
    <w:rsid w:val="006A16D2"/>
    <w:rsid w:val="006B264B"/>
    <w:rsid w:val="006B766E"/>
    <w:rsid w:val="006C267A"/>
    <w:rsid w:val="006C3029"/>
    <w:rsid w:val="006C6AA4"/>
    <w:rsid w:val="006D5634"/>
    <w:rsid w:val="006E2104"/>
    <w:rsid w:val="006E216D"/>
    <w:rsid w:val="006E41A7"/>
    <w:rsid w:val="006E7BA3"/>
    <w:rsid w:val="006F22EC"/>
    <w:rsid w:val="006F3F68"/>
    <w:rsid w:val="006F42B7"/>
    <w:rsid w:val="006F71F1"/>
    <w:rsid w:val="007007DB"/>
    <w:rsid w:val="00711207"/>
    <w:rsid w:val="00711B81"/>
    <w:rsid w:val="0071477C"/>
    <w:rsid w:val="00723E5E"/>
    <w:rsid w:val="0073214C"/>
    <w:rsid w:val="00734978"/>
    <w:rsid w:val="007358F7"/>
    <w:rsid w:val="007426A7"/>
    <w:rsid w:val="0074342F"/>
    <w:rsid w:val="00746C59"/>
    <w:rsid w:val="0075281F"/>
    <w:rsid w:val="007544BE"/>
    <w:rsid w:val="00757A0B"/>
    <w:rsid w:val="00765433"/>
    <w:rsid w:val="00766FFE"/>
    <w:rsid w:val="00767164"/>
    <w:rsid w:val="007921D9"/>
    <w:rsid w:val="00792A2B"/>
    <w:rsid w:val="007934A7"/>
    <w:rsid w:val="007B0250"/>
    <w:rsid w:val="007B3728"/>
    <w:rsid w:val="007B3BB7"/>
    <w:rsid w:val="007B58F2"/>
    <w:rsid w:val="007C03D4"/>
    <w:rsid w:val="007C57EE"/>
    <w:rsid w:val="007C72FE"/>
    <w:rsid w:val="007D0052"/>
    <w:rsid w:val="007E2C1C"/>
    <w:rsid w:val="007E68AF"/>
    <w:rsid w:val="007F5085"/>
    <w:rsid w:val="0080007B"/>
    <w:rsid w:val="0080026E"/>
    <w:rsid w:val="00800991"/>
    <w:rsid w:val="008034BB"/>
    <w:rsid w:val="00803F10"/>
    <w:rsid w:val="00806E7A"/>
    <w:rsid w:val="00816AC3"/>
    <w:rsid w:val="00817C9C"/>
    <w:rsid w:val="008232D2"/>
    <w:rsid w:val="00823DB6"/>
    <w:rsid w:val="00825612"/>
    <w:rsid w:val="00837D1F"/>
    <w:rsid w:val="008451EC"/>
    <w:rsid w:val="00845A8D"/>
    <w:rsid w:val="00866463"/>
    <w:rsid w:val="00870A60"/>
    <w:rsid w:val="0088173A"/>
    <w:rsid w:val="0088178D"/>
    <w:rsid w:val="00882ABF"/>
    <w:rsid w:val="00884EAC"/>
    <w:rsid w:val="008902D5"/>
    <w:rsid w:val="008A1449"/>
    <w:rsid w:val="008A5DC0"/>
    <w:rsid w:val="008B5329"/>
    <w:rsid w:val="008C274F"/>
    <w:rsid w:val="008D010B"/>
    <w:rsid w:val="008D0AAD"/>
    <w:rsid w:val="008D3567"/>
    <w:rsid w:val="008E52AF"/>
    <w:rsid w:val="008F1AC6"/>
    <w:rsid w:val="00906348"/>
    <w:rsid w:val="00907CB1"/>
    <w:rsid w:val="00907E68"/>
    <w:rsid w:val="00911958"/>
    <w:rsid w:val="00935212"/>
    <w:rsid w:val="00935BCF"/>
    <w:rsid w:val="0094064C"/>
    <w:rsid w:val="00941BA0"/>
    <w:rsid w:val="00942236"/>
    <w:rsid w:val="00943623"/>
    <w:rsid w:val="00945E84"/>
    <w:rsid w:val="00951548"/>
    <w:rsid w:val="0095246B"/>
    <w:rsid w:val="0096086A"/>
    <w:rsid w:val="00962A7C"/>
    <w:rsid w:val="00966A00"/>
    <w:rsid w:val="00966F1C"/>
    <w:rsid w:val="009702DD"/>
    <w:rsid w:val="009836B3"/>
    <w:rsid w:val="00986DD5"/>
    <w:rsid w:val="00987A57"/>
    <w:rsid w:val="009903D6"/>
    <w:rsid w:val="00993ADE"/>
    <w:rsid w:val="009A38B1"/>
    <w:rsid w:val="009B5544"/>
    <w:rsid w:val="009C0FFB"/>
    <w:rsid w:val="009C2037"/>
    <w:rsid w:val="009C4775"/>
    <w:rsid w:val="009C69E0"/>
    <w:rsid w:val="009C760E"/>
    <w:rsid w:val="009D31AC"/>
    <w:rsid w:val="009E0757"/>
    <w:rsid w:val="009E188B"/>
    <w:rsid w:val="009E5485"/>
    <w:rsid w:val="009F2360"/>
    <w:rsid w:val="009F6EEC"/>
    <w:rsid w:val="00A05BA3"/>
    <w:rsid w:val="00A10D3E"/>
    <w:rsid w:val="00A10FCD"/>
    <w:rsid w:val="00A11C20"/>
    <w:rsid w:val="00A142CD"/>
    <w:rsid w:val="00A1692B"/>
    <w:rsid w:val="00A16A9A"/>
    <w:rsid w:val="00A1782A"/>
    <w:rsid w:val="00A17E7B"/>
    <w:rsid w:val="00A22281"/>
    <w:rsid w:val="00A2400C"/>
    <w:rsid w:val="00A27A9E"/>
    <w:rsid w:val="00A3620F"/>
    <w:rsid w:val="00A4239C"/>
    <w:rsid w:val="00A47EA2"/>
    <w:rsid w:val="00A61D36"/>
    <w:rsid w:val="00A65357"/>
    <w:rsid w:val="00A71653"/>
    <w:rsid w:val="00A7322F"/>
    <w:rsid w:val="00A7425C"/>
    <w:rsid w:val="00A75A28"/>
    <w:rsid w:val="00A76492"/>
    <w:rsid w:val="00A91BE6"/>
    <w:rsid w:val="00A95576"/>
    <w:rsid w:val="00AA2652"/>
    <w:rsid w:val="00AA4C26"/>
    <w:rsid w:val="00AA76AD"/>
    <w:rsid w:val="00AB58A9"/>
    <w:rsid w:val="00AB63DA"/>
    <w:rsid w:val="00AC1813"/>
    <w:rsid w:val="00AC27D5"/>
    <w:rsid w:val="00AC5101"/>
    <w:rsid w:val="00AD0040"/>
    <w:rsid w:val="00AD14DA"/>
    <w:rsid w:val="00AD4231"/>
    <w:rsid w:val="00AD6B6C"/>
    <w:rsid w:val="00AE0033"/>
    <w:rsid w:val="00AF2147"/>
    <w:rsid w:val="00B00502"/>
    <w:rsid w:val="00B213C5"/>
    <w:rsid w:val="00B27E58"/>
    <w:rsid w:val="00B30524"/>
    <w:rsid w:val="00B330C0"/>
    <w:rsid w:val="00B45D87"/>
    <w:rsid w:val="00B50AED"/>
    <w:rsid w:val="00B517BF"/>
    <w:rsid w:val="00B5364F"/>
    <w:rsid w:val="00B61981"/>
    <w:rsid w:val="00B619B6"/>
    <w:rsid w:val="00B710FE"/>
    <w:rsid w:val="00B771B5"/>
    <w:rsid w:val="00B858A4"/>
    <w:rsid w:val="00B90637"/>
    <w:rsid w:val="00B90F20"/>
    <w:rsid w:val="00BA3E42"/>
    <w:rsid w:val="00BA6ADF"/>
    <w:rsid w:val="00BB3687"/>
    <w:rsid w:val="00BB77CA"/>
    <w:rsid w:val="00BB7CD4"/>
    <w:rsid w:val="00BC6F42"/>
    <w:rsid w:val="00BD5E18"/>
    <w:rsid w:val="00BE2409"/>
    <w:rsid w:val="00BE5851"/>
    <w:rsid w:val="00BF3551"/>
    <w:rsid w:val="00BF5F16"/>
    <w:rsid w:val="00C04BDD"/>
    <w:rsid w:val="00C05ECF"/>
    <w:rsid w:val="00C11877"/>
    <w:rsid w:val="00C2156C"/>
    <w:rsid w:val="00C37BE7"/>
    <w:rsid w:val="00C408EA"/>
    <w:rsid w:val="00C4093E"/>
    <w:rsid w:val="00C42A23"/>
    <w:rsid w:val="00C50E8D"/>
    <w:rsid w:val="00C51C2C"/>
    <w:rsid w:val="00C52040"/>
    <w:rsid w:val="00C53453"/>
    <w:rsid w:val="00C63CC3"/>
    <w:rsid w:val="00C67094"/>
    <w:rsid w:val="00C8578A"/>
    <w:rsid w:val="00C94A87"/>
    <w:rsid w:val="00C9650D"/>
    <w:rsid w:val="00CA1495"/>
    <w:rsid w:val="00CA7F13"/>
    <w:rsid w:val="00CB13EE"/>
    <w:rsid w:val="00CB386B"/>
    <w:rsid w:val="00CB4DAC"/>
    <w:rsid w:val="00CC2460"/>
    <w:rsid w:val="00CC3C51"/>
    <w:rsid w:val="00CD00AE"/>
    <w:rsid w:val="00CD7070"/>
    <w:rsid w:val="00CE5CED"/>
    <w:rsid w:val="00CF0554"/>
    <w:rsid w:val="00CF1AD4"/>
    <w:rsid w:val="00CF6721"/>
    <w:rsid w:val="00D0121A"/>
    <w:rsid w:val="00D07696"/>
    <w:rsid w:val="00D07F98"/>
    <w:rsid w:val="00D10F91"/>
    <w:rsid w:val="00D11979"/>
    <w:rsid w:val="00D2198A"/>
    <w:rsid w:val="00D23BE4"/>
    <w:rsid w:val="00D279B7"/>
    <w:rsid w:val="00D3520A"/>
    <w:rsid w:val="00D434E4"/>
    <w:rsid w:val="00D443BF"/>
    <w:rsid w:val="00D44971"/>
    <w:rsid w:val="00D51F83"/>
    <w:rsid w:val="00D62BCC"/>
    <w:rsid w:val="00D712F3"/>
    <w:rsid w:val="00D75A18"/>
    <w:rsid w:val="00D84527"/>
    <w:rsid w:val="00D91326"/>
    <w:rsid w:val="00D91970"/>
    <w:rsid w:val="00DA21A5"/>
    <w:rsid w:val="00DA2990"/>
    <w:rsid w:val="00DC71F8"/>
    <w:rsid w:val="00DE0B34"/>
    <w:rsid w:val="00DE2906"/>
    <w:rsid w:val="00DE5C41"/>
    <w:rsid w:val="00DE5EB1"/>
    <w:rsid w:val="00DF0130"/>
    <w:rsid w:val="00DF64E1"/>
    <w:rsid w:val="00E0381D"/>
    <w:rsid w:val="00E13A72"/>
    <w:rsid w:val="00E230FD"/>
    <w:rsid w:val="00E31FA5"/>
    <w:rsid w:val="00E41576"/>
    <w:rsid w:val="00E45E27"/>
    <w:rsid w:val="00E5235B"/>
    <w:rsid w:val="00E52E8A"/>
    <w:rsid w:val="00E75BB3"/>
    <w:rsid w:val="00E75CF7"/>
    <w:rsid w:val="00E82328"/>
    <w:rsid w:val="00E825BF"/>
    <w:rsid w:val="00E829E5"/>
    <w:rsid w:val="00E85F60"/>
    <w:rsid w:val="00E97706"/>
    <w:rsid w:val="00EA59C3"/>
    <w:rsid w:val="00EB0701"/>
    <w:rsid w:val="00EB288F"/>
    <w:rsid w:val="00EC6213"/>
    <w:rsid w:val="00EC6BDD"/>
    <w:rsid w:val="00ED6A7A"/>
    <w:rsid w:val="00ED7386"/>
    <w:rsid w:val="00EE246B"/>
    <w:rsid w:val="00EE291E"/>
    <w:rsid w:val="00EE43D4"/>
    <w:rsid w:val="00EE6559"/>
    <w:rsid w:val="00F162E3"/>
    <w:rsid w:val="00F24A2E"/>
    <w:rsid w:val="00F374C4"/>
    <w:rsid w:val="00F41BDF"/>
    <w:rsid w:val="00F4404A"/>
    <w:rsid w:val="00F5084A"/>
    <w:rsid w:val="00F5252D"/>
    <w:rsid w:val="00F5630A"/>
    <w:rsid w:val="00F6139C"/>
    <w:rsid w:val="00F72A6D"/>
    <w:rsid w:val="00F9286D"/>
    <w:rsid w:val="00FA00E0"/>
    <w:rsid w:val="00FA0ABE"/>
    <w:rsid w:val="00FA744C"/>
    <w:rsid w:val="00FB10AF"/>
    <w:rsid w:val="00FC05BA"/>
    <w:rsid w:val="00FD2561"/>
    <w:rsid w:val="00FD3DA5"/>
    <w:rsid w:val="00FD66B4"/>
    <w:rsid w:val="00FD66F0"/>
    <w:rsid w:val="00FD694B"/>
    <w:rsid w:val="00FE5CE8"/>
    <w:rsid w:val="00FF147A"/>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0EBE5"/>
  <w15:chartTrackingRefBased/>
  <w15:docId w15:val="{DA6036A3-AF9C-4849-988E-FC52D152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BB7"/>
  </w:style>
  <w:style w:type="paragraph" w:styleId="Heading1">
    <w:name w:val="heading 1"/>
    <w:basedOn w:val="Normal"/>
    <w:next w:val="Normal"/>
    <w:link w:val="Heading1Char"/>
    <w:uiPriority w:val="9"/>
    <w:qFormat/>
    <w:rsid w:val="0071477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0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35212"/>
    <w:rPr>
      <w:color w:val="808080"/>
    </w:rPr>
  </w:style>
  <w:style w:type="paragraph" w:styleId="NoSpacing">
    <w:name w:val="No Spacing"/>
    <w:uiPriority w:val="1"/>
    <w:qFormat/>
    <w:rsid w:val="000642F2"/>
  </w:style>
  <w:style w:type="character" w:styleId="Hyperlink">
    <w:name w:val="Hyperlink"/>
    <w:basedOn w:val="DefaultParagraphFont"/>
    <w:uiPriority w:val="99"/>
    <w:unhideWhenUsed/>
    <w:rsid w:val="00480003"/>
    <w:rPr>
      <w:color w:val="0000FF"/>
      <w:u w:val="single"/>
    </w:rPr>
  </w:style>
  <w:style w:type="character" w:customStyle="1" w:styleId="Heading1Char">
    <w:name w:val="Heading 1 Char"/>
    <w:basedOn w:val="DefaultParagraphFont"/>
    <w:link w:val="Heading1"/>
    <w:uiPriority w:val="9"/>
    <w:rsid w:val="007147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1477C"/>
    <w:pPr>
      <w:spacing w:before="480" w:line="276" w:lineRule="auto"/>
      <w:outlineLvl w:val="9"/>
    </w:pPr>
    <w:rPr>
      <w:b/>
      <w:bCs/>
      <w:sz w:val="28"/>
      <w:szCs w:val="28"/>
    </w:rPr>
  </w:style>
  <w:style w:type="paragraph" w:styleId="TOC1">
    <w:name w:val="toc 1"/>
    <w:basedOn w:val="Normal"/>
    <w:next w:val="Normal"/>
    <w:autoRedefine/>
    <w:uiPriority w:val="39"/>
    <w:unhideWhenUsed/>
    <w:rsid w:val="0071477C"/>
    <w:pPr>
      <w:spacing w:before="120"/>
    </w:pPr>
    <w:rPr>
      <w:rFonts w:asciiTheme="minorHAnsi" w:hAnsiTheme="minorHAnsi"/>
      <w:b/>
      <w:bCs/>
      <w:i/>
      <w:iCs/>
    </w:rPr>
  </w:style>
  <w:style w:type="paragraph" w:styleId="TOC2">
    <w:name w:val="toc 2"/>
    <w:basedOn w:val="Normal"/>
    <w:next w:val="Normal"/>
    <w:autoRedefine/>
    <w:uiPriority w:val="39"/>
    <w:semiHidden/>
    <w:unhideWhenUsed/>
    <w:rsid w:val="0071477C"/>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71477C"/>
    <w:pPr>
      <w:ind w:left="480"/>
    </w:pPr>
    <w:rPr>
      <w:rFonts w:asciiTheme="minorHAnsi" w:hAnsiTheme="minorHAnsi"/>
      <w:sz w:val="20"/>
      <w:szCs w:val="20"/>
    </w:rPr>
  </w:style>
  <w:style w:type="paragraph" w:styleId="TOC4">
    <w:name w:val="toc 4"/>
    <w:basedOn w:val="Normal"/>
    <w:next w:val="Normal"/>
    <w:autoRedefine/>
    <w:uiPriority w:val="39"/>
    <w:semiHidden/>
    <w:unhideWhenUsed/>
    <w:rsid w:val="0071477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1477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1477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1477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1477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1477C"/>
    <w:pPr>
      <w:ind w:left="1920"/>
    </w:pPr>
    <w:rPr>
      <w:rFonts w:asciiTheme="minorHAnsi" w:hAnsiTheme="minorHAnsi"/>
      <w:sz w:val="20"/>
      <w:szCs w:val="20"/>
    </w:rPr>
  </w:style>
  <w:style w:type="paragraph" w:styleId="TableofAuthorities">
    <w:name w:val="table of authorities"/>
    <w:basedOn w:val="Normal"/>
    <w:next w:val="Normal"/>
    <w:uiPriority w:val="99"/>
    <w:unhideWhenUsed/>
    <w:rsid w:val="0071477C"/>
    <w:pPr>
      <w:ind w:left="240" w:hanging="240"/>
    </w:pPr>
    <w:rPr>
      <w:rFonts w:asciiTheme="minorHAnsi" w:hAnsiTheme="minorHAnsi"/>
      <w:sz w:val="20"/>
      <w:szCs w:val="20"/>
    </w:rPr>
  </w:style>
  <w:style w:type="paragraph" w:styleId="TOAHeading">
    <w:name w:val="toa heading"/>
    <w:basedOn w:val="Normal"/>
    <w:next w:val="Normal"/>
    <w:uiPriority w:val="99"/>
    <w:unhideWhenUsed/>
    <w:rsid w:val="0071477C"/>
    <w:pPr>
      <w:spacing w:before="240" w:after="120"/>
    </w:pPr>
    <w:rPr>
      <w:rFonts w:asciiTheme="minorHAnsi" w:hAnsiTheme="minorHAnsi" w:cs="Arial"/>
      <w:b/>
      <w:bCs/>
      <w:caps/>
      <w:sz w:val="20"/>
      <w:szCs w:val="20"/>
    </w:rPr>
  </w:style>
  <w:style w:type="character" w:customStyle="1" w:styleId="csl-left-margin">
    <w:name w:val="csl-left-margin"/>
    <w:basedOn w:val="DefaultParagraphFont"/>
    <w:rsid w:val="0071477C"/>
  </w:style>
  <w:style w:type="character" w:customStyle="1" w:styleId="csl-right-inline">
    <w:name w:val="csl-right-inline"/>
    <w:basedOn w:val="DefaultParagraphFont"/>
    <w:rsid w:val="0071477C"/>
  </w:style>
  <w:style w:type="character" w:styleId="FollowedHyperlink">
    <w:name w:val="FollowedHyperlink"/>
    <w:basedOn w:val="DefaultParagraphFont"/>
    <w:uiPriority w:val="99"/>
    <w:semiHidden/>
    <w:unhideWhenUsed/>
    <w:rsid w:val="004C15EC"/>
    <w:rPr>
      <w:color w:val="954F72" w:themeColor="followedHyperlink"/>
      <w:u w:val="single"/>
    </w:rPr>
  </w:style>
  <w:style w:type="character" w:customStyle="1" w:styleId="UnresolvedMention1">
    <w:name w:val="Unresolved Mention1"/>
    <w:basedOn w:val="DefaultParagraphFont"/>
    <w:uiPriority w:val="99"/>
    <w:semiHidden/>
    <w:unhideWhenUsed/>
    <w:rsid w:val="00806E7A"/>
    <w:rPr>
      <w:color w:val="605E5C"/>
      <w:shd w:val="clear" w:color="auto" w:fill="E1DFDD"/>
    </w:rPr>
  </w:style>
  <w:style w:type="paragraph" w:styleId="BalloonText">
    <w:name w:val="Balloon Text"/>
    <w:basedOn w:val="Normal"/>
    <w:link w:val="BalloonTextChar"/>
    <w:uiPriority w:val="99"/>
    <w:semiHidden/>
    <w:unhideWhenUsed/>
    <w:rsid w:val="008E52AF"/>
    <w:rPr>
      <w:rFonts w:cs="Times New Roman"/>
      <w:sz w:val="18"/>
      <w:szCs w:val="18"/>
    </w:rPr>
  </w:style>
  <w:style w:type="character" w:customStyle="1" w:styleId="BalloonTextChar">
    <w:name w:val="Balloon Text Char"/>
    <w:basedOn w:val="DefaultParagraphFont"/>
    <w:link w:val="BalloonText"/>
    <w:uiPriority w:val="99"/>
    <w:semiHidden/>
    <w:rsid w:val="008E52AF"/>
    <w:rPr>
      <w:rFonts w:cs="Times New Roman"/>
      <w:sz w:val="18"/>
      <w:szCs w:val="18"/>
    </w:rPr>
  </w:style>
  <w:style w:type="paragraph" w:styleId="Footer">
    <w:name w:val="footer"/>
    <w:basedOn w:val="Normal"/>
    <w:link w:val="FooterChar"/>
    <w:uiPriority w:val="99"/>
    <w:unhideWhenUsed/>
    <w:rsid w:val="00CF0554"/>
    <w:pPr>
      <w:tabs>
        <w:tab w:val="center" w:pos="4680"/>
        <w:tab w:val="right" w:pos="9360"/>
      </w:tabs>
    </w:pPr>
  </w:style>
  <w:style w:type="character" w:customStyle="1" w:styleId="FooterChar">
    <w:name w:val="Footer Char"/>
    <w:basedOn w:val="DefaultParagraphFont"/>
    <w:link w:val="Footer"/>
    <w:uiPriority w:val="99"/>
    <w:rsid w:val="00CF0554"/>
  </w:style>
  <w:style w:type="character" w:styleId="PageNumber">
    <w:name w:val="page number"/>
    <w:basedOn w:val="DefaultParagraphFont"/>
    <w:uiPriority w:val="99"/>
    <w:semiHidden/>
    <w:unhideWhenUsed/>
    <w:rsid w:val="00CF0554"/>
  </w:style>
  <w:style w:type="character" w:styleId="CommentReference">
    <w:name w:val="annotation reference"/>
    <w:basedOn w:val="DefaultParagraphFont"/>
    <w:uiPriority w:val="99"/>
    <w:semiHidden/>
    <w:unhideWhenUsed/>
    <w:rsid w:val="00CE5CED"/>
    <w:rPr>
      <w:sz w:val="16"/>
      <w:szCs w:val="16"/>
    </w:rPr>
  </w:style>
  <w:style w:type="paragraph" w:styleId="CommentText">
    <w:name w:val="annotation text"/>
    <w:basedOn w:val="Normal"/>
    <w:link w:val="CommentTextChar"/>
    <w:uiPriority w:val="99"/>
    <w:semiHidden/>
    <w:unhideWhenUsed/>
    <w:rsid w:val="00CE5CED"/>
    <w:rPr>
      <w:sz w:val="20"/>
      <w:szCs w:val="20"/>
    </w:rPr>
  </w:style>
  <w:style w:type="character" w:customStyle="1" w:styleId="CommentTextChar">
    <w:name w:val="Comment Text Char"/>
    <w:basedOn w:val="DefaultParagraphFont"/>
    <w:link w:val="CommentText"/>
    <w:uiPriority w:val="99"/>
    <w:semiHidden/>
    <w:rsid w:val="00CE5CED"/>
    <w:rPr>
      <w:sz w:val="20"/>
      <w:szCs w:val="20"/>
    </w:rPr>
  </w:style>
  <w:style w:type="paragraph" w:styleId="CommentSubject">
    <w:name w:val="annotation subject"/>
    <w:basedOn w:val="CommentText"/>
    <w:next w:val="CommentText"/>
    <w:link w:val="CommentSubjectChar"/>
    <w:uiPriority w:val="99"/>
    <w:semiHidden/>
    <w:unhideWhenUsed/>
    <w:rsid w:val="00CE5CED"/>
    <w:rPr>
      <w:b/>
      <w:bCs/>
    </w:rPr>
  </w:style>
  <w:style w:type="character" w:customStyle="1" w:styleId="CommentSubjectChar">
    <w:name w:val="Comment Subject Char"/>
    <w:basedOn w:val="CommentTextChar"/>
    <w:link w:val="CommentSubject"/>
    <w:uiPriority w:val="99"/>
    <w:semiHidden/>
    <w:rsid w:val="00CE5C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36733">
      <w:bodyDiv w:val="1"/>
      <w:marLeft w:val="0"/>
      <w:marRight w:val="0"/>
      <w:marTop w:val="0"/>
      <w:marBottom w:val="0"/>
      <w:divBdr>
        <w:top w:val="none" w:sz="0" w:space="0" w:color="auto"/>
        <w:left w:val="none" w:sz="0" w:space="0" w:color="auto"/>
        <w:bottom w:val="none" w:sz="0" w:space="0" w:color="auto"/>
        <w:right w:val="none" w:sz="0" w:space="0" w:color="auto"/>
      </w:divBdr>
    </w:div>
    <w:div w:id="41909760">
      <w:bodyDiv w:val="1"/>
      <w:marLeft w:val="0"/>
      <w:marRight w:val="0"/>
      <w:marTop w:val="0"/>
      <w:marBottom w:val="0"/>
      <w:divBdr>
        <w:top w:val="none" w:sz="0" w:space="0" w:color="auto"/>
        <w:left w:val="none" w:sz="0" w:space="0" w:color="auto"/>
        <w:bottom w:val="none" w:sz="0" w:space="0" w:color="auto"/>
        <w:right w:val="none" w:sz="0" w:space="0" w:color="auto"/>
      </w:divBdr>
    </w:div>
    <w:div w:id="74668219">
      <w:bodyDiv w:val="1"/>
      <w:marLeft w:val="0"/>
      <w:marRight w:val="0"/>
      <w:marTop w:val="0"/>
      <w:marBottom w:val="0"/>
      <w:divBdr>
        <w:top w:val="none" w:sz="0" w:space="0" w:color="auto"/>
        <w:left w:val="none" w:sz="0" w:space="0" w:color="auto"/>
        <w:bottom w:val="none" w:sz="0" w:space="0" w:color="auto"/>
        <w:right w:val="none" w:sz="0" w:space="0" w:color="auto"/>
      </w:divBdr>
    </w:div>
    <w:div w:id="102265165">
      <w:bodyDiv w:val="1"/>
      <w:marLeft w:val="0"/>
      <w:marRight w:val="0"/>
      <w:marTop w:val="0"/>
      <w:marBottom w:val="0"/>
      <w:divBdr>
        <w:top w:val="none" w:sz="0" w:space="0" w:color="auto"/>
        <w:left w:val="none" w:sz="0" w:space="0" w:color="auto"/>
        <w:bottom w:val="none" w:sz="0" w:space="0" w:color="auto"/>
        <w:right w:val="none" w:sz="0" w:space="0" w:color="auto"/>
      </w:divBdr>
    </w:div>
    <w:div w:id="153962192">
      <w:bodyDiv w:val="1"/>
      <w:marLeft w:val="0"/>
      <w:marRight w:val="0"/>
      <w:marTop w:val="0"/>
      <w:marBottom w:val="0"/>
      <w:divBdr>
        <w:top w:val="none" w:sz="0" w:space="0" w:color="auto"/>
        <w:left w:val="none" w:sz="0" w:space="0" w:color="auto"/>
        <w:bottom w:val="none" w:sz="0" w:space="0" w:color="auto"/>
        <w:right w:val="none" w:sz="0" w:space="0" w:color="auto"/>
      </w:divBdr>
    </w:div>
    <w:div w:id="210577351">
      <w:bodyDiv w:val="1"/>
      <w:marLeft w:val="0"/>
      <w:marRight w:val="0"/>
      <w:marTop w:val="0"/>
      <w:marBottom w:val="0"/>
      <w:divBdr>
        <w:top w:val="none" w:sz="0" w:space="0" w:color="auto"/>
        <w:left w:val="none" w:sz="0" w:space="0" w:color="auto"/>
        <w:bottom w:val="none" w:sz="0" w:space="0" w:color="auto"/>
        <w:right w:val="none" w:sz="0" w:space="0" w:color="auto"/>
      </w:divBdr>
    </w:div>
    <w:div w:id="269237813">
      <w:bodyDiv w:val="1"/>
      <w:marLeft w:val="0"/>
      <w:marRight w:val="0"/>
      <w:marTop w:val="0"/>
      <w:marBottom w:val="0"/>
      <w:divBdr>
        <w:top w:val="none" w:sz="0" w:space="0" w:color="auto"/>
        <w:left w:val="none" w:sz="0" w:space="0" w:color="auto"/>
        <w:bottom w:val="none" w:sz="0" w:space="0" w:color="auto"/>
        <w:right w:val="none" w:sz="0" w:space="0" w:color="auto"/>
      </w:divBdr>
    </w:div>
    <w:div w:id="283391839">
      <w:bodyDiv w:val="1"/>
      <w:marLeft w:val="0"/>
      <w:marRight w:val="0"/>
      <w:marTop w:val="0"/>
      <w:marBottom w:val="0"/>
      <w:divBdr>
        <w:top w:val="none" w:sz="0" w:space="0" w:color="auto"/>
        <w:left w:val="none" w:sz="0" w:space="0" w:color="auto"/>
        <w:bottom w:val="none" w:sz="0" w:space="0" w:color="auto"/>
        <w:right w:val="none" w:sz="0" w:space="0" w:color="auto"/>
      </w:divBdr>
    </w:div>
    <w:div w:id="288584285">
      <w:bodyDiv w:val="1"/>
      <w:marLeft w:val="0"/>
      <w:marRight w:val="0"/>
      <w:marTop w:val="0"/>
      <w:marBottom w:val="0"/>
      <w:divBdr>
        <w:top w:val="none" w:sz="0" w:space="0" w:color="auto"/>
        <w:left w:val="none" w:sz="0" w:space="0" w:color="auto"/>
        <w:bottom w:val="none" w:sz="0" w:space="0" w:color="auto"/>
        <w:right w:val="none" w:sz="0" w:space="0" w:color="auto"/>
      </w:divBdr>
    </w:div>
    <w:div w:id="417487185">
      <w:bodyDiv w:val="1"/>
      <w:marLeft w:val="0"/>
      <w:marRight w:val="0"/>
      <w:marTop w:val="0"/>
      <w:marBottom w:val="0"/>
      <w:divBdr>
        <w:top w:val="none" w:sz="0" w:space="0" w:color="auto"/>
        <w:left w:val="none" w:sz="0" w:space="0" w:color="auto"/>
        <w:bottom w:val="none" w:sz="0" w:space="0" w:color="auto"/>
        <w:right w:val="none" w:sz="0" w:space="0" w:color="auto"/>
      </w:divBdr>
    </w:div>
    <w:div w:id="475033048">
      <w:bodyDiv w:val="1"/>
      <w:marLeft w:val="0"/>
      <w:marRight w:val="0"/>
      <w:marTop w:val="0"/>
      <w:marBottom w:val="0"/>
      <w:divBdr>
        <w:top w:val="none" w:sz="0" w:space="0" w:color="auto"/>
        <w:left w:val="none" w:sz="0" w:space="0" w:color="auto"/>
        <w:bottom w:val="none" w:sz="0" w:space="0" w:color="auto"/>
        <w:right w:val="none" w:sz="0" w:space="0" w:color="auto"/>
      </w:divBdr>
      <w:divsChild>
        <w:div w:id="1929464015">
          <w:marLeft w:val="0"/>
          <w:marRight w:val="0"/>
          <w:marTop w:val="166"/>
          <w:marBottom w:val="166"/>
          <w:divBdr>
            <w:top w:val="none" w:sz="0" w:space="0" w:color="auto"/>
            <w:left w:val="none" w:sz="0" w:space="0" w:color="auto"/>
            <w:bottom w:val="none" w:sz="0" w:space="0" w:color="auto"/>
            <w:right w:val="none" w:sz="0" w:space="0" w:color="auto"/>
          </w:divBdr>
        </w:div>
        <w:div w:id="1314021020">
          <w:marLeft w:val="0"/>
          <w:marRight w:val="0"/>
          <w:marTop w:val="166"/>
          <w:marBottom w:val="166"/>
          <w:divBdr>
            <w:top w:val="none" w:sz="0" w:space="0" w:color="auto"/>
            <w:left w:val="none" w:sz="0" w:space="0" w:color="auto"/>
            <w:bottom w:val="none" w:sz="0" w:space="0" w:color="auto"/>
            <w:right w:val="none" w:sz="0" w:space="0" w:color="auto"/>
          </w:divBdr>
        </w:div>
        <w:div w:id="763191335">
          <w:marLeft w:val="0"/>
          <w:marRight w:val="0"/>
          <w:marTop w:val="166"/>
          <w:marBottom w:val="166"/>
          <w:divBdr>
            <w:top w:val="none" w:sz="0" w:space="0" w:color="auto"/>
            <w:left w:val="none" w:sz="0" w:space="0" w:color="auto"/>
            <w:bottom w:val="none" w:sz="0" w:space="0" w:color="auto"/>
            <w:right w:val="none" w:sz="0" w:space="0" w:color="auto"/>
          </w:divBdr>
        </w:div>
        <w:div w:id="1379623646">
          <w:marLeft w:val="0"/>
          <w:marRight w:val="0"/>
          <w:marTop w:val="166"/>
          <w:marBottom w:val="166"/>
          <w:divBdr>
            <w:top w:val="none" w:sz="0" w:space="0" w:color="auto"/>
            <w:left w:val="none" w:sz="0" w:space="0" w:color="auto"/>
            <w:bottom w:val="none" w:sz="0" w:space="0" w:color="auto"/>
            <w:right w:val="none" w:sz="0" w:space="0" w:color="auto"/>
          </w:divBdr>
        </w:div>
        <w:div w:id="256448255">
          <w:marLeft w:val="0"/>
          <w:marRight w:val="0"/>
          <w:marTop w:val="166"/>
          <w:marBottom w:val="166"/>
          <w:divBdr>
            <w:top w:val="none" w:sz="0" w:space="0" w:color="auto"/>
            <w:left w:val="none" w:sz="0" w:space="0" w:color="auto"/>
            <w:bottom w:val="none" w:sz="0" w:space="0" w:color="auto"/>
            <w:right w:val="none" w:sz="0" w:space="0" w:color="auto"/>
          </w:divBdr>
        </w:div>
        <w:div w:id="959653990">
          <w:marLeft w:val="0"/>
          <w:marRight w:val="0"/>
          <w:marTop w:val="166"/>
          <w:marBottom w:val="166"/>
          <w:divBdr>
            <w:top w:val="none" w:sz="0" w:space="0" w:color="auto"/>
            <w:left w:val="none" w:sz="0" w:space="0" w:color="auto"/>
            <w:bottom w:val="none" w:sz="0" w:space="0" w:color="auto"/>
            <w:right w:val="none" w:sz="0" w:space="0" w:color="auto"/>
          </w:divBdr>
        </w:div>
        <w:div w:id="1386679174">
          <w:marLeft w:val="0"/>
          <w:marRight w:val="0"/>
          <w:marTop w:val="166"/>
          <w:marBottom w:val="166"/>
          <w:divBdr>
            <w:top w:val="none" w:sz="0" w:space="0" w:color="auto"/>
            <w:left w:val="none" w:sz="0" w:space="0" w:color="auto"/>
            <w:bottom w:val="none" w:sz="0" w:space="0" w:color="auto"/>
            <w:right w:val="none" w:sz="0" w:space="0" w:color="auto"/>
          </w:divBdr>
        </w:div>
        <w:div w:id="795215514">
          <w:marLeft w:val="0"/>
          <w:marRight w:val="0"/>
          <w:marTop w:val="166"/>
          <w:marBottom w:val="166"/>
          <w:divBdr>
            <w:top w:val="none" w:sz="0" w:space="0" w:color="auto"/>
            <w:left w:val="none" w:sz="0" w:space="0" w:color="auto"/>
            <w:bottom w:val="none" w:sz="0" w:space="0" w:color="auto"/>
            <w:right w:val="none" w:sz="0" w:space="0" w:color="auto"/>
          </w:divBdr>
        </w:div>
        <w:div w:id="1412435526">
          <w:marLeft w:val="0"/>
          <w:marRight w:val="0"/>
          <w:marTop w:val="166"/>
          <w:marBottom w:val="166"/>
          <w:divBdr>
            <w:top w:val="none" w:sz="0" w:space="0" w:color="auto"/>
            <w:left w:val="none" w:sz="0" w:space="0" w:color="auto"/>
            <w:bottom w:val="none" w:sz="0" w:space="0" w:color="auto"/>
            <w:right w:val="none" w:sz="0" w:space="0" w:color="auto"/>
          </w:divBdr>
        </w:div>
        <w:div w:id="588387638">
          <w:marLeft w:val="0"/>
          <w:marRight w:val="0"/>
          <w:marTop w:val="166"/>
          <w:marBottom w:val="166"/>
          <w:divBdr>
            <w:top w:val="none" w:sz="0" w:space="0" w:color="auto"/>
            <w:left w:val="none" w:sz="0" w:space="0" w:color="auto"/>
            <w:bottom w:val="none" w:sz="0" w:space="0" w:color="auto"/>
            <w:right w:val="none" w:sz="0" w:space="0" w:color="auto"/>
          </w:divBdr>
        </w:div>
        <w:div w:id="1401951484">
          <w:marLeft w:val="0"/>
          <w:marRight w:val="0"/>
          <w:marTop w:val="166"/>
          <w:marBottom w:val="166"/>
          <w:divBdr>
            <w:top w:val="none" w:sz="0" w:space="0" w:color="auto"/>
            <w:left w:val="none" w:sz="0" w:space="0" w:color="auto"/>
            <w:bottom w:val="none" w:sz="0" w:space="0" w:color="auto"/>
            <w:right w:val="none" w:sz="0" w:space="0" w:color="auto"/>
          </w:divBdr>
        </w:div>
        <w:div w:id="353503263">
          <w:marLeft w:val="0"/>
          <w:marRight w:val="0"/>
          <w:marTop w:val="166"/>
          <w:marBottom w:val="166"/>
          <w:divBdr>
            <w:top w:val="none" w:sz="0" w:space="0" w:color="auto"/>
            <w:left w:val="none" w:sz="0" w:space="0" w:color="auto"/>
            <w:bottom w:val="none" w:sz="0" w:space="0" w:color="auto"/>
            <w:right w:val="none" w:sz="0" w:space="0" w:color="auto"/>
          </w:divBdr>
        </w:div>
        <w:div w:id="409890688">
          <w:marLeft w:val="0"/>
          <w:marRight w:val="0"/>
          <w:marTop w:val="166"/>
          <w:marBottom w:val="166"/>
          <w:divBdr>
            <w:top w:val="none" w:sz="0" w:space="0" w:color="auto"/>
            <w:left w:val="none" w:sz="0" w:space="0" w:color="auto"/>
            <w:bottom w:val="none" w:sz="0" w:space="0" w:color="auto"/>
            <w:right w:val="none" w:sz="0" w:space="0" w:color="auto"/>
          </w:divBdr>
        </w:div>
        <w:div w:id="992635078">
          <w:marLeft w:val="0"/>
          <w:marRight w:val="0"/>
          <w:marTop w:val="166"/>
          <w:marBottom w:val="166"/>
          <w:divBdr>
            <w:top w:val="none" w:sz="0" w:space="0" w:color="auto"/>
            <w:left w:val="none" w:sz="0" w:space="0" w:color="auto"/>
            <w:bottom w:val="none" w:sz="0" w:space="0" w:color="auto"/>
            <w:right w:val="none" w:sz="0" w:space="0" w:color="auto"/>
          </w:divBdr>
        </w:div>
        <w:div w:id="645207276">
          <w:marLeft w:val="0"/>
          <w:marRight w:val="0"/>
          <w:marTop w:val="166"/>
          <w:marBottom w:val="166"/>
          <w:divBdr>
            <w:top w:val="none" w:sz="0" w:space="0" w:color="auto"/>
            <w:left w:val="none" w:sz="0" w:space="0" w:color="auto"/>
            <w:bottom w:val="none" w:sz="0" w:space="0" w:color="auto"/>
            <w:right w:val="none" w:sz="0" w:space="0" w:color="auto"/>
          </w:divBdr>
        </w:div>
        <w:div w:id="643201729">
          <w:marLeft w:val="0"/>
          <w:marRight w:val="0"/>
          <w:marTop w:val="166"/>
          <w:marBottom w:val="166"/>
          <w:divBdr>
            <w:top w:val="none" w:sz="0" w:space="0" w:color="auto"/>
            <w:left w:val="none" w:sz="0" w:space="0" w:color="auto"/>
            <w:bottom w:val="none" w:sz="0" w:space="0" w:color="auto"/>
            <w:right w:val="none" w:sz="0" w:space="0" w:color="auto"/>
          </w:divBdr>
        </w:div>
        <w:div w:id="1619868330">
          <w:marLeft w:val="0"/>
          <w:marRight w:val="0"/>
          <w:marTop w:val="166"/>
          <w:marBottom w:val="166"/>
          <w:divBdr>
            <w:top w:val="none" w:sz="0" w:space="0" w:color="auto"/>
            <w:left w:val="none" w:sz="0" w:space="0" w:color="auto"/>
            <w:bottom w:val="none" w:sz="0" w:space="0" w:color="auto"/>
            <w:right w:val="none" w:sz="0" w:space="0" w:color="auto"/>
          </w:divBdr>
        </w:div>
        <w:div w:id="338385062">
          <w:marLeft w:val="0"/>
          <w:marRight w:val="0"/>
          <w:marTop w:val="166"/>
          <w:marBottom w:val="166"/>
          <w:divBdr>
            <w:top w:val="none" w:sz="0" w:space="0" w:color="auto"/>
            <w:left w:val="none" w:sz="0" w:space="0" w:color="auto"/>
            <w:bottom w:val="none" w:sz="0" w:space="0" w:color="auto"/>
            <w:right w:val="none" w:sz="0" w:space="0" w:color="auto"/>
          </w:divBdr>
        </w:div>
        <w:div w:id="2146772848">
          <w:marLeft w:val="0"/>
          <w:marRight w:val="0"/>
          <w:marTop w:val="166"/>
          <w:marBottom w:val="166"/>
          <w:divBdr>
            <w:top w:val="none" w:sz="0" w:space="0" w:color="auto"/>
            <w:left w:val="none" w:sz="0" w:space="0" w:color="auto"/>
            <w:bottom w:val="none" w:sz="0" w:space="0" w:color="auto"/>
            <w:right w:val="none" w:sz="0" w:space="0" w:color="auto"/>
          </w:divBdr>
        </w:div>
        <w:div w:id="28577943">
          <w:marLeft w:val="0"/>
          <w:marRight w:val="0"/>
          <w:marTop w:val="166"/>
          <w:marBottom w:val="166"/>
          <w:divBdr>
            <w:top w:val="none" w:sz="0" w:space="0" w:color="auto"/>
            <w:left w:val="none" w:sz="0" w:space="0" w:color="auto"/>
            <w:bottom w:val="none" w:sz="0" w:space="0" w:color="auto"/>
            <w:right w:val="none" w:sz="0" w:space="0" w:color="auto"/>
          </w:divBdr>
        </w:div>
        <w:div w:id="108280423">
          <w:marLeft w:val="0"/>
          <w:marRight w:val="0"/>
          <w:marTop w:val="166"/>
          <w:marBottom w:val="166"/>
          <w:divBdr>
            <w:top w:val="none" w:sz="0" w:space="0" w:color="auto"/>
            <w:left w:val="none" w:sz="0" w:space="0" w:color="auto"/>
            <w:bottom w:val="none" w:sz="0" w:space="0" w:color="auto"/>
            <w:right w:val="none" w:sz="0" w:space="0" w:color="auto"/>
          </w:divBdr>
        </w:div>
        <w:div w:id="643512301">
          <w:marLeft w:val="0"/>
          <w:marRight w:val="0"/>
          <w:marTop w:val="166"/>
          <w:marBottom w:val="166"/>
          <w:divBdr>
            <w:top w:val="none" w:sz="0" w:space="0" w:color="auto"/>
            <w:left w:val="none" w:sz="0" w:space="0" w:color="auto"/>
            <w:bottom w:val="none" w:sz="0" w:space="0" w:color="auto"/>
            <w:right w:val="none" w:sz="0" w:space="0" w:color="auto"/>
          </w:divBdr>
        </w:div>
        <w:div w:id="292248354">
          <w:marLeft w:val="0"/>
          <w:marRight w:val="0"/>
          <w:marTop w:val="166"/>
          <w:marBottom w:val="166"/>
          <w:divBdr>
            <w:top w:val="none" w:sz="0" w:space="0" w:color="auto"/>
            <w:left w:val="none" w:sz="0" w:space="0" w:color="auto"/>
            <w:bottom w:val="none" w:sz="0" w:space="0" w:color="auto"/>
            <w:right w:val="none" w:sz="0" w:space="0" w:color="auto"/>
          </w:divBdr>
        </w:div>
        <w:div w:id="1196386430">
          <w:marLeft w:val="0"/>
          <w:marRight w:val="0"/>
          <w:marTop w:val="166"/>
          <w:marBottom w:val="166"/>
          <w:divBdr>
            <w:top w:val="none" w:sz="0" w:space="0" w:color="auto"/>
            <w:left w:val="none" w:sz="0" w:space="0" w:color="auto"/>
            <w:bottom w:val="none" w:sz="0" w:space="0" w:color="auto"/>
            <w:right w:val="none" w:sz="0" w:space="0" w:color="auto"/>
          </w:divBdr>
        </w:div>
        <w:div w:id="1102996267">
          <w:marLeft w:val="0"/>
          <w:marRight w:val="0"/>
          <w:marTop w:val="166"/>
          <w:marBottom w:val="166"/>
          <w:divBdr>
            <w:top w:val="none" w:sz="0" w:space="0" w:color="auto"/>
            <w:left w:val="none" w:sz="0" w:space="0" w:color="auto"/>
            <w:bottom w:val="none" w:sz="0" w:space="0" w:color="auto"/>
            <w:right w:val="none" w:sz="0" w:space="0" w:color="auto"/>
          </w:divBdr>
        </w:div>
        <w:div w:id="90201397">
          <w:marLeft w:val="0"/>
          <w:marRight w:val="0"/>
          <w:marTop w:val="166"/>
          <w:marBottom w:val="166"/>
          <w:divBdr>
            <w:top w:val="none" w:sz="0" w:space="0" w:color="auto"/>
            <w:left w:val="none" w:sz="0" w:space="0" w:color="auto"/>
            <w:bottom w:val="none" w:sz="0" w:space="0" w:color="auto"/>
            <w:right w:val="none" w:sz="0" w:space="0" w:color="auto"/>
          </w:divBdr>
        </w:div>
        <w:div w:id="1470630436">
          <w:marLeft w:val="0"/>
          <w:marRight w:val="0"/>
          <w:marTop w:val="166"/>
          <w:marBottom w:val="166"/>
          <w:divBdr>
            <w:top w:val="none" w:sz="0" w:space="0" w:color="auto"/>
            <w:left w:val="none" w:sz="0" w:space="0" w:color="auto"/>
            <w:bottom w:val="none" w:sz="0" w:space="0" w:color="auto"/>
            <w:right w:val="none" w:sz="0" w:space="0" w:color="auto"/>
          </w:divBdr>
        </w:div>
        <w:div w:id="45835885">
          <w:marLeft w:val="0"/>
          <w:marRight w:val="0"/>
          <w:marTop w:val="166"/>
          <w:marBottom w:val="166"/>
          <w:divBdr>
            <w:top w:val="none" w:sz="0" w:space="0" w:color="auto"/>
            <w:left w:val="none" w:sz="0" w:space="0" w:color="auto"/>
            <w:bottom w:val="none" w:sz="0" w:space="0" w:color="auto"/>
            <w:right w:val="none" w:sz="0" w:space="0" w:color="auto"/>
          </w:divBdr>
        </w:div>
      </w:divsChild>
    </w:div>
    <w:div w:id="547574157">
      <w:bodyDiv w:val="1"/>
      <w:marLeft w:val="0"/>
      <w:marRight w:val="0"/>
      <w:marTop w:val="0"/>
      <w:marBottom w:val="0"/>
      <w:divBdr>
        <w:top w:val="none" w:sz="0" w:space="0" w:color="auto"/>
        <w:left w:val="none" w:sz="0" w:space="0" w:color="auto"/>
        <w:bottom w:val="none" w:sz="0" w:space="0" w:color="auto"/>
        <w:right w:val="none" w:sz="0" w:space="0" w:color="auto"/>
      </w:divBdr>
    </w:div>
    <w:div w:id="778648855">
      <w:bodyDiv w:val="1"/>
      <w:marLeft w:val="0"/>
      <w:marRight w:val="0"/>
      <w:marTop w:val="0"/>
      <w:marBottom w:val="0"/>
      <w:divBdr>
        <w:top w:val="none" w:sz="0" w:space="0" w:color="auto"/>
        <w:left w:val="none" w:sz="0" w:space="0" w:color="auto"/>
        <w:bottom w:val="none" w:sz="0" w:space="0" w:color="auto"/>
        <w:right w:val="none" w:sz="0" w:space="0" w:color="auto"/>
      </w:divBdr>
    </w:div>
    <w:div w:id="933903007">
      <w:bodyDiv w:val="1"/>
      <w:marLeft w:val="0"/>
      <w:marRight w:val="0"/>
      <w:marTop w:val="0"/>
      <w:marBottom w:val="0"/>
      <w:divBdr>
        <w:top w:val="none" w:sz="0" w:space="0" w:color="auto"/>
        <w:left w:val="none" w:sz="0" w:space="0" w:color="auto"/>
        <w:bottom w:val="none" w:sz="0" w:space="0" w:color="auto"/>
        <w:right w:val="none" w:sz="0" w:space="0" w:color="auto"/>
      </w:divBdr>
    </w:div>
    <w:div w:id="1031104361">
      <w:bodyDiv w:val="1"/>
      <w:marLeft w:val="0"/>
      <w:marRight w:val="0"/>
      <w:marTop w:val="0"/>
      <w:marBottom w:val="0"/>
      <w:divBdr>
        <w:top w:val="none" w:sz="0" w:space="0" w:color="auto"/>
        <w:left w:val="none" w:sz="0" w:space="0" w:color="auto"/>
        <w:bottom w:val="none" w:sz="0" w:space="0" w:color="auto"/>
        <w:right w:val="none" w:sz="0" w:space="0" w:color="auto"/>
      </w:divBdr>
    </w:div>
    <w:div w:id="1041319402">
      <w:bodyDiv w:val="1"/>
      <w:marLeft w:val="0"/>
      <w:marRight w:val="0"/>
      <w:marTop w:val="0"/>
      <w:marBottom w:val="0"/>
      <w:divBdr>
        <w:top w:val="none" w:sz="0" w:space="0" w:color="auto"/>
        <w:left w:val="none" w:sz="0" w:space="0" w:color="auto"/>
        <w:bottom w:val="none" w:sz="0" w:space="0" w:color="auto"/>
        <w:right w:val="none" w:sz="0" w:space="0" w:color="auto"/>
      </w:divBdr>
    </w:div>
    <w:div w:id="1048803196">
      <w:bodyDiv w:val="1"/>
      <w:marLeft w:val="0"/>
      <w:marRight w:val="0"/>
      <w:marTop w:val="0"/>
      <w:marBottom w:val="0"/>
      <w:divBdr>
        <w:top w:val="none" w:sz="0" w:space="0" w:color="auto"/>
        <w:left w:val="none" w:sz="0" w:space="0" w:color="auto"/>
        <w:bottom w:val="none" w:sz="0" w:space="0" w:color="auto"/>
        <w:right w:val="none" w:sz="0" w:space="0" w:color="auto"/>
      </w:divBdr>
    </w:div>
    <w:div w:id="1185708905">
      <w:bodyDiv w:val="1"/>
      <w:marLeft w:val="0"/>
      <w:marRight w:val="0"/>
      <w:marTop w:val="0"/>
      <w:marBottom w:val="0"/>
      <w:divBdr>
        <w:top w:val="none" w:sz="0" w:space="0" w:color="auto"/>
        <w:left w:val="none" w:sz="0" w:space="0" w:color="auto"/>
        <w:bottom w:val="none" w:sz="0" w:space="0" w:color="auto"/>
        <w:right w:val="none" w:sz="0" w:space="0" w:color="auto"/>
      </w:divBdr>
    </w:div>
    <w:div w:id="1229002186">
      <w:bodyDiv w:val="1"/>
      <w:marLeft w:val="0"/>
      <w:marRight w:val="0"/>
      <w:marTop w:val="0"/>
      <w:marBottom w:val="0"/>
      <w:divBdr>
        <w:top w:val="none" w:sz="0" w:space="0" w:color="auto"/>
        <w:left w:val="none" w:sz="0" w:space="0" w:color="auto"/>
        <w:bottom w:val="none" w:sz="0" w:space="0" w:color="auto"/>
        <w:right w:val="none" w:sz="0" w:space="0" w:color="auto"/>
      </w:divBdr>
    </w:div>
    <w:div w:id="1282951774">
      <w:bodyDiv w:val="1"/>
      <w:marLeft w:val="0"/>
      <w:marRight w:val="0"/>
      <w:marTop w:val="0"/>
      <w:marBottom w:val="0"/>
      <w:divBdr>
        <w:top w:val="none" w:sz="0" w:space="0" w:color="auto"/>
        <w:left w:val="none" w:sz="0" w:space="0" w:color="auto"/>
        <w:bottom w:val="none" w:sz="0" w:space="0" w:color="auto"/>
        <w:right w:val="none" w:sz="0" w:space="0" w:color="auto"/>
      </w:divBdr>
    </w:div>
    <w:div w:id="1582986410">
      <w:bodyDiv w:val="1"/>
      <w:marLeft w:val="0"/>
      <w:marRight w:val="0"/>
      <w:marTop w:val="0"/>
      <w:marBottom w:val="0"/>
      <w:divBdr>
        <w:top w:val="none" w:sz="0" w:space="0" w:color="auto"/>
        <w:left w:val="none" w:sz="0" w:space="0" w:color="auto"/>
        <w:bottom w:val="none" w:sz="0" w:space="0" w:color="auto"/>
        <w:right w:val="none" w:sz="0" w:space="0" w:color="auto"/>
      </w:divBdr>
    </w:div>
    <w:div w:id="1657491771">
      <w:bodyDiv w:val="1"/>
      <w:marLeft w:val="0"/>
      <w:marRight w:val="0"/>
      <w:marTop w:val="0"/>
      <w:marBottom w:val="0"/>
      <w:divBdr>
        <w:top w:val="none" w:sz="0" w:space="0" w:color="auto"/>
        <w:left w:val="none" w:sz="0" w:space="0" w:color="auto"/>
        <w:bottom w:val="none" w:sz="0" w:space="0" w:color="auto"/>
        <w:right w:val="none" w:sz="0" w:space="0" w:color="auto"/>
      </w:divBdr>
    </w:div>
    <w:div w:id="1695882918">
      <w:bodyDiv w:val="1"/>
      <w:marLeft w:val="0"/>
      <w:marRight w:val="0"/>
      <w:marTop w:val="0"/>
      <w:marBottom w:val="0"/>
      <w:divBdr>
        <w:top w:val="none" w:sz="0" w:space="0" w:color="auto"/>
        <w:left w:val="none" w:sz="0" w:space="0" w:color="auto"/>
        <w:bottom w:val="none" w:sz="0" w:space="0" w:color="auto"/>
        <w:right w:val="none" w:sz="0" w:space="0" w:color="auto"/>
      </w:divBdr>
    </w:div>
    <w:div w:id="1840000718">
      <w:bodyDiv w:val="1"/>
      <w:marLeft w:val="0"/>
      <w:marRight w:val="0"/>
      <w:marTop w:val="0"/>
      <w:marBottom w:val="0"/>
      <w:divBdr>
        <w:top w:val="none" w:sz="0" w:space="0" w:color="auto"/>
        <w:left w:val="none" w:sz="0" w:space="0" w:color="auto"/>
        <w:bottom w:val="none" w:sz="0" w:space="0" w:color="auto"/>
        <w:right w:val="none" w:sz="0" w:space="0" w:color="auto"/>
      </w:divBdr>
      <w:divsChild>
        <w:div w:id="425226721">
          <w:marLeft w:val="0"/>
          <w:marRight w:val="0"/>
          <w:marTop w:val="0"/>
          <w:marBottom w:val="240"/>
          <w:divBdr>
            <w:top w:val="none" w:sz="0" w:space="0" w:color="auto"/>
            <w:left w:val="none" w:sz="0" w:space="0" w:color="auto"/>
            <w:bottom w:val="none" w:sz="0" w:space="0" w:color="auto"/>
            <w:right w:val="none" w:sz="0" w:space="0" w:color="auto"/>
          </w:divBdr>
        </w:div>
      </w:divsChild>
    </w:div>
    <w:div w:id="1946384104">
      <w:bodyDiv w:val="1"/>
      <w:marLeft w:val="0"/>
      <w:marRight w:val="0"/>
      <w:marTop w:val="0"/>
      <w:marBottom w:val="0"/>
      <w:divBdr>
        <w:top w:val="none" w:sz="0" w:space="0" w:color="auto"/>
        <w:left w:val="none" w:sz="0" w:space="0" w:color="auto"/>
        <w:bottom w:val="none" w:sz="0" w:space="0" w:color="auto"/>
        <w:right w:val="none" w:sz="0" w:space="0" w:color="auto"/>
      </w:divBdr>
    </w:div>
    <w:div w:id="1971670652">
      <w:bodyDiv w:val="1"/>
      <w:marLeft w:val="0"/>
      <w:marRight w:val="0"/>
      <w:marTop w:val="0"/>
      <w:marBottom w:val="0"/>
      <w:divBdr>
        <w:top w:val="none" w:sz="0" w:space="0" w:color="auto"/>
        <w:left w:val="none" w:sz="0" w:space="0" w:color="auto"/>
        <w:bottom w:val="none" w:sz="0" w:space="0" w:color="auto"/>
        <w:right w:val="none" w:sz="0" w:space="0" w:color="auto"/>
      </w:divBdr>
    </w:div>
    <w:div w:id="1997613878">
      <w:bodyDiv w:val="1"/>
      <w:marLeft w:val="0"/>
      <w:marRight w:val="0"/>
      <w:marTop w:val="0"/>
      <w:marBottom w:val="0"/>
      <w:divBdr>
        <w:top w:val="none" w:sz="0" w:space="0" w:color="auto"/>
        <w:left w:val="none" w:sz="0" w:space="0" w:color="auto"/>
        <w:bottom w:val="none" w:sz="0" w:space="0" w:color="auto"/>
        <w:right w:val="none" w:sz="0" w:space="0" w:color="auto"/>
      </w:divBdr>
    </w:div>
    <w:div w:id="209331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2FCA1F-7FEA-354E-A1FF-167F7D56DEDF}">
  <we:reference id="wa104380917" version="1.0.1.0" store="en-US" storeType="OMEX"/>
  <we:alternateReferences>
    <we:reference id="WA104380917" version="1.0.1.0" store="WA104380917" storeType="OMEX"/>
  </we:alternateReferences>
  <we:properties>
    <we:property name="103080394" value="[{&quot;collection_id&quot;:&quot;18b8bb9d-91ba-413f-ae64-41c0377455b9&quot;,&quot;deleted&quot;:false,&quot;item_type&quot;:&quot;article&quot;,&quot;data_version&quot;:1,&quot;ext_ids&quot;:{&quot;doi&quot;:&quot;10.1089/scd.2013.0073&quot;,&quot;pmid&quot;:&quot;23815595&quot;,&quot;pmcid&quot;:&quot;PMC3857013&quot;},&quot;article&quot;:{&quot;title&quot;:&quot;In Vivo Identity of Tendon Stem Cells and the Roles of Stem Cells in Tendon Healing&quot;,&quot;abstract&quot;:&quot;We investigated the spatial distribution of stem cells in tendons and the roles of stem cells in early tendon repair. The relationship between tendon-derived stem cells (TDSCs) isolated in vitro and tendon stem cells in vivo was also explored. Iododeoxyuridine (IdU) label-retaining method was used for labeling stem cells in rat patellar tendons with and without injury. Co-localization of label-retaining cells (LRCs) with different markers was done by immunofluorescent staining. TDSCs were isolated from patellar tendon mid-substance after IdU pulsing, and the expression of different markers in fresh and expanded cells was done by immunofluorescent staining. More LRCs were found at the peritenon and tendon–bone junction compared with the mid-substance. Some LRCs at the peritenon were located at the perivascular niche. The LRC number and the expression of proliferative, tendon-related, pluripotency, and pericyte-related markers in LRCs in the window wound increased. Most of the freshly isolated TDSCs expressed IdU, and some TDSCs expressed pericyte-related markers, which were lost during expansion. Both freshly isolated and subcultured TDSCs expressed pluripotency markers, which were absent in LRCs in intact tendons. In conclusion, we identified LRCs at the peritenon, mid-substance, and tendon–bone junction. There were both vascular and non-vascular sources of LRCs at the peritenon, while the source of LRCs at the mid-substance was non-vascular. LRCs participated in tendon repair via migration, proliferation, activation for tenogenesis, and increased pluripotency. Some LRCs in the window wound were pericyte like. Most of the mid-substance TDSCs were LRCs. The pluripotency markers and pericyte-related marker in LRCs might be important for function after injury.&quot;,&quot;authors&quot;:[&quot;Qi Tan&quot;,&quot;Pauline Po Yee Lui&quot;,&quot;Yuk Wa Lee&quot;],&quot;eissn&quot;:&quot;1557-8534&quot;,&quot;issn&quot;:&quot;1547-3287&quot;,&quot;issue&quot;:&quot;23&quot;,&quot;journal&quot;:&quot;Stem Cells and Development&quot;,&quot;journal_abbrev&quot;:&quot;Stem Cells Dev&quot;,&quot;pagination&quot;:&quot;3128-3140&quot;,&quot;volume&quot;:&quot;22&quot;,&quot;year&quot;:2013},&quot;user_data&quot;:{&quot;created&quot;:&quot;2019-11-04T17:33:17Z&quot;,&quot;createdby&quot;:&quot;browser_extension_aa chrome-v2.36&quot;,&quot;modified&quot;:&quot;2019-11-04T17:33:17Z&quot;,&quot;modifiedby&quot;:&quot;browser_extension_aa chrome-v2.36&quot;,&quot;has_annotations&quot;:false,&quot;unread&quot;:true,&quot;last_read&quot;:null,&quot;shared&quot;:false},&quot;import_data&quot;:{},&quot;seq&quot;:22,&quot;id&quot;:&quot;6348a524-2eb0-4f61-929c-4fb5533ec9eb&quot;,&quot;type&quot;:&quot;item&quot;,&quot;files&quot;:[],&quot;pdf_hash&quot;:null,&quot;collection_group_id&quot;:null,&quot;custom_metadata&quot;:{},&quot;citeproc&quot;:{},&quot;atIndex&quot;:3,&quot;item&quot;:{&quot;id&quot;:&quot;6348a524-2eb0-4f61-929c-4fb5533ec9eb&quot;,&quot;type&quot;:&quot;article-journal&quot;,&quot;DOI&quot;:&quot;10.1089/scd.2013.0073&quot;,&quot;container-title&quot;:&quot;Stem Cells and Development&quot;,&quot;container-title-short&quot;:&quot;Stem Cells Dev&quot;,&quot;journalAbbreviation&quot;:&quot;Stem Cells Dev&quot;,&quot;title&quot;:&quot;In Vivo Identity of Tendon Stem Cells and the Roles of Stem Cells in Tendon Healing&quot;,&quot;abstract&quot;:&quot;We investigated the spatial distribution of stem cells in tendons and the roles of stem cells in early tendon repair. The relationship between tendon-derived stem cells (TDSCs) isolated in vitro and tendon stem cells in vivo was also explored. Iododeoxyuridine (IdU) label-retaining method was used for labeling stem cells in rat patellar tendons with and without injury. Co-localization of label-retaining cells (LRCs) with different markers was done by immunofluorescent staining. TDSCs were isolated from patellar tendon mid-substance after IdU pulsing, and the expression of different markers in fresh and expanded cells was done by immunofluorescent staining. More LRCs were found at the peritenon and tendon–bone junction compared with the mid-substance. Some LRCs at the peritenon were located at the perivascular niche. The LRC number and the expression of proliferative, tendon-related, pluripotency, and pericyte-related markers in LRCs in the window wound increased. Most of the freshly isolated TDSCs expressed IdU, and some TDSCs expressed pericyte-related markers, which were lost during expansion. Both freshly isolated and subcultured TDSCs expressed pluripotency markers, which were absent in LRCs in intact tendons. In conclusion, we identified LRCs at the peritenon, mid-substance, and tendon–bone junction. There were both vascular and non-vascular sources of LRCs at the peritenon, while the source of LRCs at the mid-substance was non-vascular. LRCs participated in tendon repair via migration, proliferation, activation for tenogenesis, and increased pluripotency. Some LRCs in the window wound were pericyte like. Most of the mid-substance TDSCs were LRCs. The pluripotency markers and pericyte-related marker in LRCs might be important for function after injury.&quot;,&quot;ISSN&quot;:&quot;1547-3287&quot;,&quot;volume&quot;:&quot;22&quot;,&quot;issue&quot;:&quot;23&quot;,&quot;page&quot;:&quot;3128-3140&quot;,&quot;original-date&quot;:{},&quot;issued&quot;:{&quot;year&quot;:2013},&quot;author&quot;:[{&quot;family&quot;:&quot;Tan&quot;,&quot;given&quot;:&quot;Qi&quot;},{&quot;family&quot;:&quot;Lui&quot;,&quot;given&quot;:&quot;Pauline&quot;},{&quot;family&quot;:&quot;Lee&quot;,&quot;given&quot;:&quot;Yuk&quot;}],&quot;page-first&quot;:&quot;3128&quot;}},{&quot;collection_id&quot;:&quot;18b8bb9d-91ba-413f-ae64-41c0377455b9&quot;,&quot;deleted&quot;:false,&quot;item_type&quot;:&quot;article&quot;,&quot;data_version&quot;:1,&quot;ext_ids&quot;:{&quot;doi&quot;:&quot;10.1172/jci81589&quot;,&quot;pmid&quot;:&quot;26053662&quot;,&quot;pmcid&quot;:&quot;PMC4563693&quot;},&quot;article&quot;:{&quot;title&quot;:&quot;Harnessing endogenous stem/progenitor cells for tendon regeneration&quot;,&quot;abstract&quot;:&quot;Current stem cell–based strategies for tissue regeneration involve ex vivo manipulation of these cells to confer features of the desired progenitor population. Recently, the concept that endogenous stem/progenitor cells could be used for regenerating tissues has emerged as a promising approach that potentially overcomes the obstacles related to cell transplantation. Here we applied this strategy for the regeneration of injured tendons in a rat model. First, we identified a rare fraction of tendon cells that was positive for the known tendon stem cell marker CD146 and exhibited clonogenic capacity, as well as multilineage differentiation ability. These tendon-resident CD146+ stem/progenitor cells were selectively enriched by connective tissue growth factor delivery (CTGF delivery) in the early phase of tendon healing, followed by tenogenic differentiation in the later phase. The time-controlled proliferation and differentiation of CD146+ stem/progenitor cells by CTGF delivery successfully led to tendon regeneration with densely aligned collagen fibers, normal level of cellularity, and functional restoration. Using siRNA knockdown to evaluate factors involved in tendon generation, we demonstrated that the FAK/ERK1/2 signaling pathway regulates CTGF-induced proliferation and differentiation of CD146+ stem/progenitor cells. Together, our findings support the use of endogenous stem/progenitor cells as a strategy for tendon regeneration without cell transplantation and suggest this approach warrants exploration in other tissues.&quot;,&quot;authors&quot;:[&quot;Chang H. Lee&quot;,&quot;Francis Y. Lee&quot;,&quot;Solaiman Tarafder&quot;,&quot;Kristy Kao&quot;,&quot;Yena Jun&quot;,&quot;Guodong Yang&quot;,&quot;Jeremy J. Mao&quot;],&quot;eissn&quot;:&quot;1558-8238&quot;,&quot;issn&quot;:&quot;0021-9738&quot;,&quot;issue&quot;:&quot;7&quot;,&quot;journal&quot;:&quot;Journal of Clinical Investigation&quot;,&quot;journal_abbrev&quot;:&quot;J Clin Invest&quot;,&quot;pagination&quot;:&quot;2690-2701&quot;,&quot;volume&quot;:&quot;125&quot;,&quot;year&quot;:2015},&quot;user_data&quot;:{&quot;created&quot;:&quot;2019-11-05T20:18:03Z&quot;,&quot;createdby&quot;:&quot;browser_extension_aa chrome-v2.36&quot;,&quot;modified&quot;:&quot;2019-11-05T20:18:03Z&quot;,&quot;modifiedby&quot;:&quot;browser_extension_aa chrome-v2.36&quot;,&quot;has_annotations&quot;:false,&quot;unread&quot;:true,&quot;last_read&quot;:null,&quot;shared&quot;:false},&quot;import_data&quot;:{},&quot;drm&quot;:null,&quot;purchased&quot;:null,&quot;seq&quot;:25,&quot;id&quot;:&quot;680474c4-0e5c-4202-8853-398d7b258654&quot;,&quot;type&quot;:&quot;item&quot;,&quot;files&quot;:[{&quot;file_type&quot;:&quot;pdf&quot;,&quot;name&quot;:&quot;Harnessing endogenous stem/progenitor cells for tendon regeneration.pdf&quot;,&quot;pages&quot;:12,&quot;size&quot;:5319713,&quot;sha256&quot;:&quot;63672ea79443518e34b03cdcba686b831dfcbe28f3780736551f51fe2c01657c&quot;,&quot;access_method&quot;:&quot;open_access&quot;,&quot;type&quot;:&quot;article&quot;,&quot;created&quot;:&quot;2019-11-05T20:18:03Z&quot;},{&quot;file_type&quot;:&quot;pdf&quot;,&quot;name&quot;:&quot;Supplement 1.pdf&quot;,&quot;pages&quot;:11,&quot;size&quot;:1310011,&quot;sha256&quot;:&quot;8341f30a87144b45710d1b368cadb93144787c7848765c61cb098485498f430d&quot;,&quot;access_method&quot;:&quot;official_supplement&quot;,&quot;type&quot;:&quot;supplement&quot;,&quot;created&quot;:&quot;2019-11-05T20:18:03Z&quot;}],&quot;pdf_hash&quot;:&quot;63672ea79443518e34b03cdcba686b831dfcbe28f3780736551f51fe2c01657c&quot;,&quot;collection_group_id&quot;:null,&quot;custom_metadata&quot;:{},&quot;citeproc&quot;:{},&quot;item&quot;:{&quot;id&quot;:&quot;680474c4-0e5c-4202-8853-398d7b258654&quot;,&quot;type&quot;:&quot;article-journal&quot;,&quot;DOI&quot;:&quot;10.1172/jci81589&quot;,&quot;container-title&quot;:&quot;Journal of Clinical Investigation&quot;,&quot;container-title-short&quot;:&quot;J Clin Invest&quot;,&quot;journalAbbreviation&quot;:&quot;J Clin Invest&quot;,&quot;title&quot;:&quot;Harnessing endogenous stem/progenitor cells for tendon regeneration&quot;,&quot;abstract&quot;:&quot;Current stem cell–based strategies for tissue regeneration involve ex vivo manipulation of these cells to confer features of the desired progenitor population. Recently, the concept that endogenous stem/progenitor cells could be used for regenerating tissues has emerged as a promising approach that potentially overcomes the obstacles related to cell transplantation. Here we applied this strategy for the regeneration of injured tendons in a rat model. First, we identified a rare fraction of tendon cells that was positive for the known tendon stem cell marker CD146 and exhibited clonogenic capacity, as well as multilineage differentiation ability. These tendon-resident CD146+ stem/progenitor cells were selectively enriched by connective tissue growth factor delivery (CTGF delivery) in the early phase of tendon healing, followed by tenogenic differentiation in the later phase. The time-controlled proliferation and differentiation of CD146+ stem/progenitor cells by CTGF delivery successfully led to tendon regeneration with densely aligned collagen fibers, normal level of cellularity, and functional restoration. Using siRNA knockdown to evaluate factors involved in tendon generation, we demonstrated that the FAK/ERK1/2 signaling pathway regulates CTGF-induced proliferation and differentiation of CD146+ stem/progenitor cells. Together, our findings support the use of endogenous stem/progenitor cells as a strategy for tendon regeneration without cell transplantation and suggest this approach warrants exploration in other tissues.&quot;,&quot;ISSN&quot;:&quot;0021-9738&quot;,&quot;volume&quot;:&quot;125&quot;,&quot;issue&quot;:&quot;7&quot;,&quot;page&quot;:&quot;2690-2701&quot;,&quot;original-date&quot;:{},&quot;issued&quot;:{&quot;year&quot;:2015},&quot;author&quot;:[{&quot;family&quot;:&quot;Lee&quot;,&quot;given&quot;:&quot;Chang H&quot;},{&quot;family&quot;:&quot;Lee&quot;,&quot;given&quot;:&quot;Francis Y&quot;},{&quot;family&quot;:&quot;Tarafder&quot;,&quot;given&quot;:&quot;Solaiman&quot;},{&quot;family&quot;:&quot;Kao&quot;,&quot;given&quot;:&quot;Kristy&quot;},{&quot;family&quot;:&quot;Jun&quot;,&quot;given&quot;:&quot;Yena&quot;},{&quot;family&quot;:&quot;Yang&quot;,&quot;given&quot;:&quot;Guodong&quot;},{&quot;family&quot;:&quot;Mao&quot;,&quot;given&quot;:&quot;Jeremy J&quot;}],&quot;page-first&quot;:&quot;2690&quot;}},{&quot;collection_id&quot;:&quot;18b8bb9d-91ba-413f-ae64-41c0377455b9&quot;,&quot;deleted&quot;:false,&quot;item_type&quot;:&quot;article&quot;,&quot;data_version&quot;:1,&quot;ext_ids&quot;:{&quot;doi&quot;:&quot;10.1371/journal.pone.0120044&quot;,&quot;pmid&quot;:&quot;25768932&quot;,&quot;pmcid&quot;:&quot;PMC4359143&quot;},&quot;article&quot;:{&quot;title&quot;:&quot;p38 MAPK Signaling in Postnatal Tendon Growth and Remodeling&quot;,&quot;abstract&quot;:&quot;Tendon is a dynamic tissue whose structure and function is influenced by mechanical loading, but little is known about the fundamental mechanisms that regulate tendon growth and remodeling in vivo. Data from cultured tendon fibroblasts indicated that the p38 MAPK pathway plays an important role in tendon fibroblast proliferation and collagen synthesis in vitro. To gain greater insight into the mechanisms of tendon growth, and explore the role of p38 MAPK signaling in this process, we tested the hypotheses that inducing plantaris tendon growth through the ablation of the synergist Achilles tendon would result in rapid expansion of a neotendon matrix surrounding the original tendon, and that treatment with the p38 MAPK inhibitor SB203580 would prevent this growth. Rats were treated with vehicle or SB203580, and subjected to synergist ablation by bilateral tenectomy of the Achilles tendon. Changes in histological and biochemical properties of plantaris tendons were analyzed 3, 7, or 28 days after overload, and comparisons were made to non-overloaded animals. By 28 days after overload, tendon mass had increased by 30% compared to non-overloaded samples, and cross-sectional area (CSA) increased by around 50%, with most of the change occurring in the neotendon. The expansion in CSA initially occurred through the synthesis of a hyaluronic acid rich matrix that was progressively replaced with mature collagen. Pericytes were present in areas of active tendon growth, but never in the original tendon ECM. Inhibition of p38 MAPK resulted in a profound decrease in IL6 expression, and had a modest effect on the expression of other ECM and cell proliferation genes, but had a negligible impact on overall tendon growth. The combined results from this study provided novel insights into tendon mechanobiology, and suggest that p38 MAPK signaling does not appear to be necessary for tendon growth in vivo.&quot;,&quot;authors&quot;:[&quot;Andrew J. Schwartz&quot;,&quot;Dylan C. Sarver&quot;,&quot;Kristoffer B. Sugg&quot;,&quot;Justin T. Dzierzawski&quot;,&quot;Jonathan P. Gumucio&quot;,&quot;Christopher L. Mendias&quot;],&quot;eissn&quot;:&quot;1932-6203&quot;,&quot;issue&quot;:&quot;3&quot;,&quot;journal&quot;:&quot;PLOS ONE&quot;,&quot;journal_abbrev&quot;:&quot;Plos One&quot;,&quot;pagination&quot;:&quot;e0120044&quot;,&quot;volume&quot;:&quot;10&quot;,&quot;year&quot;:2015},&quot;user_data&quot;:{&quot;created&quot;:&quot;2019-11-05T19:04:54Z&quot;,&quot;createdby&quot;:&quot;browser_extension_aa chrome-v2.36&quot;,&quot;modified&quot;:&quot;2019-11-05T19:04:54Z&quot;,&quot;modifiedby&quot;:&quot;browser_extension_aa chrome-v2.36&quot;,&quot;has_annotations&quot;:false,&quot;unread&quot;:true,&quot;last_read&quot;:null,&quot;shared&quot;:false},&quot;import_data&quot;:{},&quot;drm&quot;:null,&quot;purchased&quot;:null,&quot;seq&quot;:24,&quot;id&quot;:&quot;c0f4b7ba-9b1d-4406-8387-bc7d0047ea12&quot;,&quot;type&quot;:&quot;item&quot;,&quot;files&quot;:[{&quot;file_type&quot;:&quot;pdf&quot;,&quot;name&quot;:&quot;p38 MAPK Signaling in Postnatal Tendon Growth and Remodeling.pdf&quot;,&quot;pages&quot;:21,&quot;size&quot;:1495681,&quot;sha256&quot;:&quot;41a76382e1510ea6a2a51eff31202d48792daeeb05b69a4ceedc3a58b1fbb377&quot;,&quot;access_method&quot;:&quot;open_access&quot;,&quot;type&quot;:&quot;article&quot;,&quot;created&quot;:&quot;2019-11-05T19:04:54Z&quot;}],&quot;pdf_hash&quot;:&quot;41a76382e1510ea6a2a51eff31202d48792daeeb05b69a4ceedc3a58b1fbb377&quot;,&quot;collection_group_id&quot;:null,&quot;custom_metadata&quot;:{},&quot;citeproc&quot;:{}}]"/>
    <we:property name="115572097" value="[{&quot;collection_id&quot;:&quot;18b8bb9d-91ba-413f-ae64-41c0377455b9&quot;,&quot;deleted&quot;:false,&quot;item_type&quot;:&quot;article&quot;,&quot;data_version&quot;:1,&quot;ext_ids&quot;:{&quot;doi&quot;:&quot;10.1371/journal.pone.0120044&quot;,&quot;pmid&quot;:&quot;25768932&quot;,&quot;pmcid&quot;:&quot;PMC4359143&quot;},&quot;article&quot;:{&quot;title&quot;:&quot;p38 MAPK Signaling in Postnatal Tendon Growth and Remodeling&quot;,&quot;abstract&quot;:&quot;Tendon is a dynamic tissue whose structure and function is influenced by mechanical loading, but little is known about the fundamental mechanisms that regulate tendon growth and remodeling in vivo. Data from cultured tendon fibroblasts indicated that the p38 MAPK pathway plays an important role in tendon fibroblast proliferation and collagen synthesis in vitro. To gain greater insight into the mechanisms of tendon growth, and explore the role of p38 MAPK signaling in this process, we tested the hypotheses that inducing plantaris tendon growth through the ablation of the synergist Achilles tendon would result in rapid expansion of a neotendon matrix surrounding the original tendon, and that treatment with the p38 MAPK inhibitor SB203580 would prevent this growth. Rats were treated with vehicle or SB203580, and subjected to synergist ablation by bilateral tenectomy of the Achilles tendon. Changes in histological and biochemical properties of plantaris tendons were analyzed 3, 7, or 28 days after overload, and comparisons were made to non-overloaded animals. By 28 days after overload, tendon mass had increased by 30% compared to non-overloaded samples, and cross-sectional area (CSA) increased by around 50%, with most of the change occurring in the neotendon. The expansion in CSA initially occurred through the synthesis of a hyaluronic acid rich matrix that was progressively replaced with mature collagen. Pericytes were present in areas of active tendon growth, but never in the original tendon ECM. Inhibition of p38 MAPK resulted in a profound decrease in IL6 expression, and had a modest effect on the expression of other ECM and cell proliferation genes, but had a negligible impact on overall tendon growth. The combined results from this study provided novel insights into tendon mechanobiology, and suggest that p38 MAPK signaling does not appear to be necessary for tendon growth in vivo.&quot;,&quot;authors&quot;:[&quot;Andrew J. Schwartz&quot;,&quot;Dylan C. Sarver&quot;,&quot;Kristoffer B. Sugg&quot;,&quot;Justin T. Dzierzawski&quot;,&quot;Jonathan P. Gumucio&quot;,&quot;Christopher L. Mendias&quot;],&quot;eissn&quot;:&quot;1932-6203&quot;,&quot;issue&quot;:&quot;3&quot;,&quot;journal&quot;:&quot;PLOS ONE&quot;,&quot;journal_abbrev&quot;:&quot;Plos One&quot;,&quot;pagination&quot;:&quot;e0120044&quot;,&quot;volume&quot;:&quot;10&quot;,&quot;year&quot;:2015},&quot;user_data&quot;:{&quot;created&quot;:&quot;2019-11-05T19:04:54Z&quot;,&quot;createdby&quot;:&quot;browser_extension_aa chrome-v2.36&quot;,&quot;modified&quot;:&quot;2019-11-05T19:04:54Z&quot;,&quot;modifiedby&quot;:&quot;browser_extension_aa chrome-v2.36&quot;,&quot;has_annotations&quot;:false,&quot;unread&quot;:true,&quot;last_read&quot;:null,&quot;shared&quot;:false},&quot;import_data&quot;:{},&quot;drm&quot;:null,&quot;purchased&quot;:null,&quot;seq&quot;:24,&quot;id&quot;:&quot;c0f4b7ba-9b1d-4406-8387-bc7d0047ea12&quot;,&quot;type&quot;:&quot;item&quot;,&quot;files&quot;:[{&quot;file_type&quot;:&quot;pdf&quot;,&quot;name&quot;:&quot;p38 MAPK Signaling in Postnatal Tendon Growth and Remodeling.pdf&quot;,&quot;pages&quot;:21,&quot;size&quot;:1495681,&quot;sha256&quot;:&quot;41a76382e1510ea6a2a51eff31202d48792daeeb05b69a4ceedc3a58b1fbb377&quot;,&quot;access_method&quot;:&quot;open_access&quot;,&quot;type&quot;:&quot;article&quot;,&quot;created&quot;:&quot;2019-11-05T19:04:54Z&quot;}],&quot;pdf_hash&quot;:&quot;41a76382e1510ea6a2a51eff31202d48792daeeb05b69a4ceedc3a58b1fbb377&quot;,&quot;collection_group_id&quot;:null,&quot;custom_metadata&quot;:{},&quot;citeproc&quot;:{},&quot;atIndex&quot;:2}]"/>
    <we:property name="703372115" value="[{&quot;collection_id&quot;:&quot;18b8bb9d-91ba-413f-ae64-41c0377455b9&quot;,&quot;deleted&quot;:false,&quot;item_type&quot;:&quot;article&quot;,&quot;data_version&quot;:1,&quot;ext_ids&quot;:{&quot;doi&quot;:&quot;10.1152/japplphysiol.00720.2014&quot;,&quot;pmid&quot;:&quot;25277742&quot;,&quot;pmcid&quot;:&quot;PMC4254841&quot;},&quot;article&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authors&quot;:[&quot;Jonathan P. Gumucio&quot;,&quot;Anthony C. Phan&quot;,&quot;David G. Ruehlmann&quot;,&quot;Andrew C. Noah&quot;,&quot;Christopher L. Mendias&quot;],&quot;eissn&quot;:&quot;1522-1601&quot;,&quot;issn&quot;:&quot;8750-7587&quot;,&quot;issue&quot;:&quot;11&quot;,&quot;journal&quot;:&quot;Journal of Applied Physiology&quot;,&quot;journal_abbrev&quot;:&quot;J Appl Physiol&quot;,&quot;pagination&quot;:&quot;1287-1291&quot;,&quot;volume&quot;:&quot;117&quot;,&quot;year&quot;:2014},&quot;user_data&quot;:{&quot;created&quot;:&quot;2019-11-05T18:36:28Z&quot;,&quot;createdby&quot;:&quot;browser_extension_aa chrome-v2.36&quot;,&quot;modified&quot;:&quot;2019-11-05T18:36:28Z&quot;,&quot;modifiedby&quot;:&quot;browser_extension_aa chrome-v2.36&quot;,&quot;has_annotations&quot;:false,&quot;unread&quot;:true,&quot;last_read&quot;:null,&quot;shared&quot;:false},&quot;import_data&quot;:{},&quot;seq&quot;:23,&quot;id&quot;:&quot;ee0866e7-3ada-41e9-867c-ff1fafd0fd1f&quot;,&quot;type&quot;:&quot;item&quot;,&quot;files&quot;:[],&quot;pdf_hash&quot;:null,&quot;collection_group_id&quot;:null,&quot;custom_metadata&quot;:{},&quot;citeproc&quot;:{},&quot;atIndex&quot;:3}]"/>
    <we:property name="717558083" value="[{&quot;collection_id&quot;:&quot;18b8bb9d-91ba-413f-ae64-41c0377455b9&quot;,&quot;deleted&quot;:false,&quot;item_type&quot;:&quot;article&quot;,&quot;data_version&quot;:1,&quot;ext_ids&quot;:{&quot;doi&quot;:&quot;10.1089/scd.2013.0073&quot;,&quot;pmid&quot;:&quot;23815595&quot;,&quot;pmcid&quot;:&quot;PMC3857013&quot;},&quot;article&quot;:{&quot;title&quot;:&quot;In Vivo Identity of Tendon Stem Cells and the Roles of Stem Cells in Tendon Healing&quot;,&quot;abstract&quot;:&quot;We investigated the spatial distribution of stem cells in tendons and the roles of stem cells in early tendon repair. The relationship between tendon-derived stem cells (TDSCs) isolated in vitro and tendon stem cells in vivo was also explored. Iododeoxyuridine (IdU) label-retaining method was used for labeling stem cells in rat patellar tendons with and without injury. Co-localization of label-retaining cells (LRCs) with different markers was done by immunofluorescent staining. TDSCs were isolated from patellar tendon mid-substance after IdU pulsing, and the expression of different markers in fresh and expanded cells was done by immunofluorescent staining. More LRCs were found at the peritenon and tendon–bone junction compared with the mid-substance. Some LRCs at the peritenon were located at the perivascular niche. The LRC number and the expression of proliferative, tendon-related, pluripotency, and pericyte-related markers in LRCs in the window wound increased. Most of the freshly isolated TDSCs expressed IdU, and some TDSCs expressed pericyte-related markers, which were lost during expansion. Both freshly isolated and subcultured TDSCs expressed pluripotency markers, which were absent in LRCs in intact tendons. In conclusion, we identified LRCs at the peritenon, mid-substance, and tendon–bone junction. There were both vascular and non-vascular sources of LRCs at the peritenon, while the source of LRCs at the mid-substance was non-vascular. LRCs participated in tendon repair via migration, proliferation, activation for tenogenesis, and increased pluripotency. Some LRCs in the window wound were pericyte like. Most of the mid-substance TDSCs were LRCs. The pluripotency markers and pericyte-related marker in LRCs might be important for function after injury.&quot;,&quot;authors&quot;:[&quot;Qi Tan&quot;,&quot;Pauline Po Yee Lui&quot;,&quot;Yuk Wa Lee&quot;],&quot;eissn&quot;:&quot;1557-8534&quot;,&quot;issn&quot;:&quot;1547-3287&quot;,&quot;issue&quot;:&quot;23&quot;,&quot;journal&quot;:&quot;Stem Cells and Development&quot;,&quot;journal_abbrev&quot;:&quot;Stem Cells Dev&quot;,&quot;pagination&quot;:&quot;3128-3140&quot;,&quot;volume&quot;:&quot;22&quot;,&quot;year&quot;:2013},&quot;user_data&quot;:{&quot;created&quot;:&quot;2019-11-04T17:33:17Z&quot;,&quot;createdby&quot;:&quot;browser_extension_aa chrome-v2.36&quot;,&quot;modified&quot;:&quot;2019-11-04T17:33:17Z&quot;,&quot;modifiedby&quot;:&quot;browser_extension_aa chrome-v2.36&quot;,&quot;has_annotations&quot;:false,&quot;unread&quot;:true,&quot;last_read&quot;:null,&quot;shared&quot;:false},&quot;import_data&quot;:{},&quot;seq&quot;:22,&quot;id&quot;:&quot;6348a524-2eb0-4f61-929c-4fb5533ec9eb&quot;,&quot;type&quot;:&quot;item&quot;,&quot;files&quot;:[],&quot;pdf_hash&quot;:null,&quot;collection_group_id&quot;:null,&quot;custom_metadata&quot;:{},&quot;citeproc&quot;:{},&quot;atIndex&quot;:3,&quot;item&quot;:{&quot;id&quot;:&quot;6348a524-2eb0-4f61-929c-4fb5533ec9eb&quot;,&quot;type&quot;:&quot;article-journal&quot;,&quot;DOI&quot;:&quot;10.1089/scd.2013.0073&quot;,&quot;container-title&quot;:&quot;Stem Cells and Development&quot;,&quot;container-title-short&quot;:&quot;Stem Cells Dev&quot;,&quot;journalAbbreviation&quot;:&quot;Stem Cells Dev&quot;,&quot;title&quot;:&quot;In Vivo Identity of Tendon Stem Cells and the Roles of Stem Cells in Tendon Healing&quot;,&quot;abstract&quot;:&quot;We investigated the spatial distribution of stem cells in tendons and the roles of stem cells in early tendon repair. The relationship between tendon-derived stem cells (TDSCs) isolated in vitro and tendon stem cells in vivo was also explored. Iododeoxyuridine (IdU) label-retaining method was used for labeling stem cells in rat patellar tendons with and without injury. Co-localization of label-retaining cells (LRCs) with different markers was done by immunofluorescent staining. TDSCs were isolated from patellar tendon mid-substance after IdU pulsing, and the expression of different markers in fresh and expanded cells was done by immunofluorescent staining. More LRCs were found at the peritenon and tendon–bone junction compared with the mid-substance. Some LRCs at the peritenon were located at the perivascular niche. The LRC number and the expression of proliferative, tendon-related, pluripotency, and pericyte-related markers in LRCs in the window wound increased. Most of the freshly isolated TDSCs expressed IdU, and some TDSCs expressed pericyte-related markers, which were lost during expansion. Both freshly isolated and subcultured TDSCs expressed pluripotency markers, which were absent in LRCs in intact tendons. In conclusion, we identified LRCs at the peritenon, mid-substance, and tendon–bone junction. There were both vascular and non-vascular sources of LRCs at the peritenon, while the source of LRCs at the mid-substance was non-vascular. LRCs participated in tendon repair via migration, proliferation, activation for tenogenesis, and increased pluripotency. Some LRCs in the window wound were pericyte like. Most of the mid-substance TDSCs were LRCs. The pluripotency markers and pericyte-related marker in LRCs might be important for function after injury.&quot;,&quot;ISSN&quot;:&quot;1547-3287&quot;,&quot;volume&quot;:&quot;22&quot;,&quot;issue&quot;:&quot;23&quot;,&quot;page&quot;:&quot;3128-3140&quot;,&quot;original-date&quot;:{},&quot;issued&quot;:{&quot;year&quot;:2013},&quot;author&quot;:[{&quot;family&quot;:&quot;Tan&quot;,&quot;given&quot;:&quot;Qi&quot;},{&quot;family&quot;:&quot;Lui&quot;,&quot;given&quot;:&quot;Pauline&quot;},{&quot;family&quot;:&quot;Lee&quot;,&quot;given&quot;:&quot;Yuk&quot;}],&quot;page-first&quot;:&quot;3128&quot;}},{&quot;collection_id&quot;:&quot;18b8bb9d-91ba-413f-ae64-41c0377455b9&quot;,&quot;deleted&quot;:false,&quot;item_type&quot;:&quot;article&quot;,&quot;data_version&quot;:1,&quot;ext_ids&quot;:{&quot;doi&quot;:&quot;10.1172/jci81589&quot;,&quot;pmid&quot;:&quot;26053662&quot;,&quot;pmcid&quot;:&quot;PMC4563693&quot;},&quot;article&quot;:{&quot;title&quot;:&quot;Harnessing endogenous stem/progenitor cells for tendon regeneration&quot;,&quot;abstract&quot;:&quot;Current stem cell–based strategies for tissue regeneration involve ex vivo manipulation of these cells to confer features of the desired progenitor population. Recently, the concept that endogenous stem/progenitor cells could be used for regenerating tissues has emerged as a promising approach that potentially overcomes the obstacles related to cell transplantation. Here we applied this strategy for the regeneration of injured tendons in a rat model. First, we identified a rare fraction of tendon cells that was positive for the known tendon stem cell marker CD146 and exhibited clonogenic capacity, as well as multilineage differentiation ability. These tendon-resident CD146+ stem/progenitor cells were selectively enriched by connective tissue growth factor delivery (CTGF delivery) in the early phase of tendon healing, followed by tenogenic differentiation in the later phase. The time-controlled proliferation and differentiation of CD146+ stem/progenitor cells by CTGF delivery successfully led to tendon regeneration with densely aligned collagen fibers, normal level of cellularity, and functional restoration. Using siRNA knockdown to evaluate factors involved in tendon generation, we demonstrated that the FAK/ERK1/2 signaling pathway regulates CTGF-induced proliferation and differentiation of CD146+ stem/progenitor cells. Together, our findings support the use of endogenous stem/progenitor cells as a strategy for tendon regeneration without cell transplantation and suggest this approach warrants exploration in other tissues.&quot;,&quot;authors&quot;:[&quot;Chang H. Lee&quot;,&quot;Francis Y. Lee&quot;,&quot;Solaiman Tarafder&quot;,&quot;Kristy Kao&quot;,&quot;Yena Jun&quot;,&quot;Guodong Yang&quot;,&quot;Jeremy J. Mao&quot;],&quot;eissn&quot;:&quot;1558-8238&quot;,&quot;issn&quot;:&quot;0021-9738&quot;,&quot;issue&quot;:&quot;7&quot;,&quot;journal&quot;:&quot;Journal of Clinical Investigation&quot;,&quot;journal_abbrev&quot;:&quot;J Clin Invest&quot;,&quot;pagination&quot;:&quot;2690-2701&quot;,&quot;volume&quot;:&quot;125&quot;,&quot;year&quot;:2015},&quot;user_data&quot;:{&quot;created&quot;:&quot;2019-11-05T20:18:03Z&quot;,&quot;createdby&quot;:&quot;browser_extension_aa chrome-v2.36&quot;,&quot;modified&quot;:&quot;2019-11-05T20:18:03Z&quot;,&quot;modifiedby&quot;:&quot;browser_extension_aa chrome-v2.36&quot;,&quot;has_annotations&quot;:false,&quot;unread&quot;:true,&quot;last_read&quot;:null,&quot;shared&quot;:false},&quot;import_data&quot;:{},&quot;drm&quot;:null,&quot;purchased&quot;:null,&quot;seq&quot;:25,&quot;id&quot;:&quot;680474c4-0e5c-4202-8853-398d7b258654&quot;,&quot;type&quot;:&quot;item&quot;,&quot;files&quot;:[{&quot;file_type&quot;:&quot;pdf&quot;,&quot;name&quot;:&quot;Harnessing endogenous stem/progenitor cells for tendon regeneration.pdf&quot;,&quot;pages&quot;:12,&quot;size&quot;:5319713,&quot;sha256&quot;:&quot;63672ea79443518e34b03cdcba686b831dfcbe28f3780736551f51fe2c01657c&quot;,&quot;access_method&quot;:&quot;open_access&quot;,&quot;type&quot;:&quot;article&quot;,&quot;created&quot;:&quot;2019-11-05T20:18:03Z&quot;},{&quot;file_type&quot;:&quot;pdf&quot;,&quot;name&quot;:&quot;Supplement 1.pdf&quot;,&quot;pages&quot;:11,&quot;size&quot;:1310011,&quot;sha256&quot;:&quot;8341f30a87144b45710d1b368cadb93144787c7848765c61cb098485498f430d&quot;,&quot;access_method&quot;:&quot;official_supplement&quot;,&quot;type&quot;:&quot;supplement&quot;,&quot;created&quot;:&quot;2019-11-05T20:18:03Z&quot;}],&quot;pdf_hash&quot;:&quot;63672ea79443518e34b03cdcba686b831dfcbe28f3780736551f51fe2c01657c&quot;,&quot;collection_group_id&quot;:null,&quot;custom_metadata&quot;:{},&quot;citeproc&quot;:{},&quot;item&quot;:{&quot;id&quot;:&quot;680474c4-0e5c-4202-8853-398d7b258654&quot;,&quot;type&quot;:&quot;article-journal&quot;,&quot;DOI&quot;:&quot;10.1172/jci81589&quot;,&quot;container-title&quot;:&quot;Journal of Clinical Investigation&quot;,&quot;container-title-short&quot;:&quot;J Clin Invest&quot;,&quot;journalAbbreviation&quot;:&quot;J Clin Invest&quot;,&quot;title&quot;:&quot;Harnessing endogenous stem/progenitor cells for tendon regeneration&quot;,&quot;abstract&quot;:&quot;Current stem cell–based strategies for tissue regeneration involve ex vivo manipulation of these cells to confer features of the desired progenitor population. Recently, the concept that endogenous stem/progenitor cells could be used for regenerating tissues has emerged as a promising approach that potentially overcomes the obstacles related to cell transplantation. Here we applied this strategy for the regeneration of injured tendons in a rat model. First, we identified a rare fraction of tendon cells that was positive for the known tendon stem cell marker CD146 and exhibited clonogenic capacity, as well as multilineage differentiation ability. These tendon-resident CD146+ stem/progenitor cells were selectively enriched by connective tissue growth factor delivery (CTGF delivery) in the early phase of tendon healing, followed by tenogenic differentiation in the later phase. The time-controlled proliferation and differentiation of CD146+ stem/progenitor cells by CTGF delivery successfully led to tendon regeneration with densely aligned collagen fibers, normal level of cellularity, and functional restoration. Using siRNA knockdown to evaluate factors involved in tendon generation, we demonstrated that the FAK/ERK1/2 signaling pathway regulates CTGF-induced proliferation and differentiation of CD146+ stem/progenitor cells. Together, our findings support the use of endogenous stem/progenitor cells as a strategy for tendon regeneration without cell transplantation and suggest this approach warrants exploration in other tissues.&quot;,&quot;ISSN&quot;:&quot;0021-9738&quot;,&quot;volume&quot;:&quot;125&quot;,&quot;issue&quot;:&quot;7&quot;,&quot;page&quot;:&quot;2690-2701&quot;,&quot;original-date&quot;:{},&quot;issued&quot;:{&quot;year&quot;:2015},&quot;author&quot;:[{&quot;family&quot;:&quot;Lee&quot;,&quot;given&quot;:&quot;Chang H&quot;},{&quot;family&quot;:&quot;Lee&quot;,&quot;given&quot;:&quot;Francis Y&quot;},{&quot;family&quot;:&quot;Tarafder&quot;,&quot;given&quot;:&quot;Solaiman&quot;},{&quot;family&quot;:&quot;Kao&quot;,&quot;given&quot;:&quot;Kristy&quot;},{&quot;family&quot;:&quot;Jun&quot;,&quot;given&quot;:&quot;Yena&quot;},{&quot;family&quot;:&quot;Yang&quot;,&quot;given&quot;:&quot;Guodong&quot;},{&quot;family&quot;:&quot;Mao&quot;,&quot;given&quot;:&quot;Jeremy J&quot;}],&quot;page-first&quot;:&quot;2690&quot;}},{&quot;collection_id&quot;:&quot;18b8bb9d-91ba-413f-ae64-41c0377455b9&quot;,&quot;deleted&quot;:false,&quot;item_type&quot;:&quot;article&quot;,&quot;data_version&quot;:1,&quot;ext_ids&quot;:{&quot;doi&quot;:&quot;10.1371/journal.pone.0120044&quot;,&quot;pmid&quot;:&quot;25768932&quot;,&quot;pmcid&quot;:&quot;PMC4359143&quot;},&quot;article&quot;:{&quot;title&quot;:&quot;p38 MAPK Signaling in Postnatal Tendon Growth and Remodeling&quot;,&quot;abstract&quot;:&quot;Tendon is a dynamic tissue whose structure and function is influenced by mechanical loading, but little is known about the fundamental mechanisms that regulate tendon growth and remodeling in vivo. Data from cultured tendon fibroblasts indicated that the p38 MAPK pathway plays an important role in tendon fibroblast proliferation and collagen synthesis in vitro. To gain greater insight into the mechanisms of tendon growth, and explore the role of p38 MAPK signaling in this process, we tested the hypotheses that inducing plantaris tendon growth through the ablation of the synergist Achilles tendon would result in rapid expansion of a neotendon matrix surrounding the original tendon, and that treatment with the p38 MAPK inhibitor SB203580 would prevent this growth. Rats were treated with vehicle or SB203580, and subjected to synergist ablation by bilateral tenectomy of the Achilles tendon. Changes in histological and biochemical properties of plantaris tendons were analyzed 3, 7, or 28 days after overload, and comparisons were made to non-overloaded animals. By 28 days after overload, tendon mass had increased by 30% compared to non-overloaded samples, and cross-sectional area (CSA) increased by around 50%, with most of the change occurring in the neotendon. The expansion in CSA initially occurred through the synthesis of a hyaluronic acid rich matrix that was progressively replaced with mature collagen. Pericytes were present in areas of active tendon growth, but never in the original tendon ECM. Inhibition of p38 MAPK resulted in a profound decrease in IL6 expression, and had a modest effect on the expression of other ECM and cell proliferation genes, but had a negligible impact on overall tendon growth. The combined results from this study provided novel insights into tendon mechanobiology, and suggest that p38 MAPK signaling does not appear to be necessary for tendon growth in vivo.&quot;,&quot;authors&quot;:[&quot;Andrew J. Schwartz&quot;,&quot;Dylan C. Sarver&quot;,&quot;Kristoffer B. Sugg&quot;,&quot;Justin T. Dzierzawski&quot;,&quot;Jonathan P. Gumucio&quot;,&quot;Christopher L. Mendias&quot;],&quot;eissn&quot;:&quot;1932-6203&quot;,&quot;issue&quot;:&quot;3&quot;,&quot;journal&quot;:&quot;PLOS ONE&quot;,&quot;journal_abbrev&quot;:&quot;Plos One&quot;,&quot;pagination&quot;:&quot;e0120044&quot;,&quot;volume&quot;:&quot;10&quot;,&quot;year&quot;:2015},&quot;user_data&quot;:{&quot;created&quot;:&quot;2019-11-05T19:04:54Z&quot;,&quot;createdby&quot;:&quot;browser_extension_aa chrome-v2.36&quot;,&quot;modified&quot;:&quot;2019-11-05T19:04:54Z&quot;,&quot;modifiedby&quot;:&quot;browser_extension_aa chrome-v2.36&quot;,&quot;has_annotations&quot;:false,&quot;unread&quot;:true,&quot;last_read&quot;:null,&quot;shared&quot;:false},&quot;import_data&quot;:{},&quot;drm&quot;:null,&quot;purchased&quot;:null,&quot;seq&quot;:24,&quot;id&quot;:&quot;c0f4b7ba-9b1d-4406-8387-bc7d0047ea12&quot;,&quot;type&quot;:&quot;item&quot;,&quot;files&quot;:[{&quot;file_type&quot;:&quot;pdf&quot;,&quot;name&quot;:&quot;p38 MAPK Signaling in Postnatal Tendon Growth and Remodeling.pdf&quot;,&quot;pages&quot;:21,&quot;size&quot;:1495681,&quot;sha256&quot;:&quot;41a76382e1510ea6a2a51eff31202d48792daeeb05b69a4ceedc3a58b1fbb377&quot;,&quot;access_method&quot;:&quot;open_access&quot;,&quot;type&quot;:&quot;article&quot;,&quot;created&quot;:&quot;2019-11-05T19:04:54Z&quot;}],&quot;pdf_hash&quot;:&quot;41a76382e1510ea6a2a51eff31202d48792daeeb05b69a4ceedc3a58b1fbb377&quot;,&quot;collection_group_id&quot;:null,&quot;custom_metadata&quot;:{},&quot;citeproc&quot;:{}}]"/>
    <we:property name="734280801" value="[{&quot;collection_id&quot;:&quot;18b8bb9d-91ba-413f-ae64-41c0377455b9&quot;,&quot;deleted&quot;:false,&quot;item_type&quot;:&quot;article&quot;,&quot;data_version&quot;:1,&quot;ext_ids&quot;:{&quot;doi&quot;:&quot;10.1089/scd.2013.0073&quot;,&quot;pmid&quot;:&quot;23815595&quot;,&quot;pmcid&quot;:&quot;PMC3857013&quot;},&quot;article&quot;:{&quot;title&quot;:&quot;In Vivo Identity of Tendon Stem Cells and the Roles of Stem Cells in Tendon Healing&quot;,&quot;abstract&quot;:&quot;We investigated the spatial distribution of stem cells in tendons and the roles of stem cells in early tendon repair. The relationship between tendon-derived stem cells (TDSCs) isolated in vitro and tendon stem cells in vivo was also explored. Iododeoxyuridine (IdU) label-retaining method was used for labeling stem cells in rat patellar tendons with and without injury. Co-localization of label-retaining cells (LRCs) with different markers was done by immunofluorescent staining. TDSCs were isolated from patellar tendon mid-substance after IdU pulsing, and the expression of different markers in fresh and expanded cells was done by immunofluorescent staining. More LRCs were found at the peritenon and tendon–bone junction compared with the mid-substance. Some LRCs at the peritenon were located at the perivascular niche. The LRC number and the expression of proliferative, tendon-related, pluripotency, and pericyte-related markers in LRCs in the window wound increased. Most of the freshly isolated TDSCs expressed IdU, and some TDSCs expressed pericyte-related markers, which were lost during expansion. Both freshly isolated and subcultured TDSCs expressed pluripotency markers, which were absent in LRCs in intact tendons. In conclusion, we identified LRCs at the peritenon, mid-substance, and tendon–bone junction. There were both vascular and non-vascular sources of LRCs at the peritenon, while the source of LRCs at the mid-substance was non-vascular. LRCs participated in tendon repair via migration, proliferation, activation for tenogenesis, and increased pluripotency. Some LRCs in the window wound were pericyte like. Most of the mid-substance TDSCs were LRCs. The pluripotency markers and pericyte-related marker in LRCs might be important for function after injury.&quot;,&quot;authors&quot;:[&quot;Qi Tan&quot;,&quot;Pauline Po Yee Lui&quot;,&quot;Yuk Wa Lee&quot;],&quot;eissn&quot;:&quot;1557-8534&quot;,&quot;issn&quot;:&quot;1547-3287&quot;,&quot;issue&quot;:&quot;23&quot;,&quot;journal&quot;:&quot;Stem Cells and Development&quot;,&quot;journal_abbrev&quot;:&quot;Stem Cells Dev&quot;,&quot;pagination&quot;:&quot;3128-3140&quot;,&quot;volume&quot;:&quot;22&quot;,&quot;year&quot;:2013},&quot;user_data&quot;:{&quot;created&quot;:&quot;2019-11-04T17:33:17Z&quot;,&quot;createdby&quot;:&quot;browser_extension_aa chrome-v2.36&quot;,&quot;modified&quot;:&quot;2019-11-04T17:33:17Z&quot;,&quot;modifiedby&quot;:&quot;browser_extension_aa chrome-v2.36&quot;,&quot;has_annotations&quot;:false,&quot;unread&quot;:true,&quot;last_read&quot;:null,&quot;shared&quot;:false},&quot;import_data&quot;:{},&quot;seq&quot;:22,&quot;id&quot;:&quot;6348a524-2eb0-4f61-929c-4fb5533ec9eb&quot;,&quot;type&quot;:&quot;item&quot;,&quot;files&quot;:[],&quot;pdf_hash&quot;:null,&quot;collection_group_id&quot;:null,&quot;custom_metadata&quot;:{},&quot;citeproc&quot;:{},&quot;atIndex&quot;:3,&quot;item&quot;:{&quot;id&quot;:&quot;6348a524-2eb0-4f61-929c-4fb5533ec9eb&quot;,&quot;type&quot;:&quot;article-journal&quot;,&quot;DOI&quot;:&quot;10.1089/scd.2013.0073&quot;,&quot;container-title&quot;:&quot;Stem Cells and Development&quot;,&quot;container-title-short&quot;:&quot;Stem Cells Dev&quot;,&quot;journalAbbreviation&quot;:&quot;Stem Cells Dev&quot;,&quot;title&quot;:&quot;In Vivo Identity of Tendon Stem Cells and the Roles of Stem Cells in Tendon Healing&quot;,&quot;abstract&quot;:&quot;We investigated the spatial distribution of stem cells in tendons and the roles of stem cells in early tendon repair. The relationship between tendon-derived stem cells (TDSCs) isolated in vitro and tendon stem cells in vivo was also explored. Iododeoxyuridine (IdU) label-retaining method was used for labeling stem cells in rat patellar tendons with and without injury. Co-localization of label-retaining cells (LRCs) with different markers was done by immunofluorescent staining. TDSCs were isolated from patellar tendon mid-substance after IdU pulsing, and the expression of different markers in fresh and expanded cells was done by immunofluorescent staining. More LRCs were found at the peritenon and tendon–bone junction compared with the mid-substance. Some LRCs at the peritenon were located at the perivascular niche. The LRC number and the expression of proliferative, tendon-related, pluripotency, and pericyte-related markers in LRCs in the window wound increased. Most of the freshly isolated TDSCs expressed IdU, and some TDSCs expressed pericyte-related markers, which were lost during expansion. Both freshly isolated and subcultured TDSCs expressed pluripotency markers, which were absent in LRCs in intact tendons. In conclusion, we identified LRCs at the peritenon, mid-substance, and tendon–bone junction. There were both vascular and non-vascular sources of LRCs at the peritenon, while the source of LRCs at the mid-substance was non-vascular. LRCs participated in tendon repair via migration, proliferation, activation for tenogenesis, and increased pluripotency. Some LRCs in the window wound were pericyte like. Most of the mid-substance TDSCs were LRCs. The pluripotency markers and pericyte-related marker in LRCs might be important for function after injury.&quot;,&quot;ISSN&quot;:&quot;1547-3287&quot;,&quot;volume&quot;:&quot;22&quot;,&quot;issue&quot;:&quot;23&quot;,&quot;page&quot;:&quot;3128-3140&quot;,&quot;original-date&quot;:{},&quot;issued&quot;:{&quot;year&quot;:2013},&quot;author&quot;:[{&quot;family&quot;:&quot;Tan&quot;,&quot;given&quot;:&quot;Qi&quot;},{&quot;family&quot;:&quot;Lui&quot;,&quot;given&quot;:&quot;Pauline&quot;},{&quot;family&quot;:&quot;Lee&quot;,&quot;given&quot;:&quot;Yuk&quot;}],&quot;page-first&quot;:&quot;3128&quot;}},{&quot;collection_id&quot;:&quot;18b8bb9d-91ba-413f-ae64-41c0377455b9&quot;,&quot;deleted&quot;:false,&quot;item_type&quot;:&quot;article&quot;,&quot;data_version&quot;:1,&quot;ext_ids&quot;:{&quot;doi&quot;:&quot;10.1172/jci81589&quot;,&quot;pmid&quot;:&quot;26053662&quot;,&quot;pmcid&quot;:&quot;PMC4563693&quot;},&quot;article&quot;:{&quot;title&quot;:&quot;Harnessing endogenous stem/progenitor cells for tendon regeneration&quot;,&quot;abstract&quot;:&quot;Current stem cell–based strategies for tissue regeneration involve ex vivo manipulation of these cells to confer features of the desired progenitor population. Recently, the concept that endogenous stem/progenitor cells could be used for regenerating tissues has emerged as a promising approach that potentially overcomes the obstacles related to cell transplantation. Here we applied this strategy for the regeneration of injured tendons in a rat model. First, we identified a rare fraction of tendon cells that was positive for the known tendon stem cell marker CD146 and exhibited clonogenic capacity, as well as multilineage differentiation ability. These tendon-resident CD146+ stem/progenitor cells were selectively enriched by connective tissue growth factor delivery (CTGF delivery) in the early phase of tendon healing, followed by tenogenic differentiation in the later phase. The time-controlled proliferation and differentiation of CD146+ stem/progenitor cells by CTGF delivery successfully led to tendon regeneration with densely aligned collagen fibers, normal level of cellularity, and functional restoration. Using siRNA knockdown to evaluate factors involved in tendon generation, we demonstrated that the FAK/ERK1/2 signaling pathway regulates CTGF-induced proliferation and differentiation of CD146+ stem/progenitor cells. Together, our findings support the use of endogenous stem/progenitor cells as a strategy for tendon regeneration without cell transplantation and suggest this approach warrants exploration in other tissues.&quot;,&quot;authors&quot;:[&quot;Chang H. Lee&quot;,&quot;Francis Y. Lee&quot;,&quot;Solaiman Tarafder&quot;,&quot;Kristy Kao&quot;,&quot;Yena Jun&quot;,&quot;Guodong Yang&quot;,&quot;Jeremy J. Mao&quot;],&quot;eissn&quot;:&quot;1558-8238&quot;,&quot;issn&quot;:&quot;0021-9738&quot;,&quot;issue&quot;:&quot;7&quot;,&quot;journal&quot;:&quot;Journal of Clinical Investigation&quot;,&quot;journal_abbrev&quot;:&quot;J Clin Invest&quot;,&quot;pagination&quot;:&quot;2690-2701&quot;,&quot;volume&quot;:&quot;125&quot;,&quot;year&quot;:2015},&quot;user_data&quot;:{&quot;created&quot;:&quot;2019-11-05T20:18:03Z&quot;,&quot;createdby&quot;:&quot;browser_extension_aa chrome-v2.36&quot;,&quot;modified&quot;:&quot;2019-11-05T20:18:03Z&quot;,&quot;modifiedby&quot;:&quot;browser_extension_aa chrome-v2.36&quot;,&quot;has_annotations&quot;:false,&quot;unread&quot;:true,&quot;last_read&quot;:null,&quot;shared&quot;:false},&quot;import_data&quot;:{},&quot;drm&quot;:null,&quot;purchased&quot;:null,&quot;seq&quot;:25,&quot;id&quot;:&quot;680474c4-0e5c-4202-8853-398d7b258654&quot;,&quot;type&quot;:&quot;item&quot;,&quot;files&quot;:[{&quot;file_type&quot;:&quot;pdf&quot;,&quot;name&quot;:&quot;Harnessing endogenous stem/progenitor cells for tendon regeneration.pdf&quot;,&quot;pages&quot;:12,&quot;size&quot;:5319713,&quot;sha256&quot;:&quot;63672ea79443518e34b03cdcba686b831dfcbe28f3780736551f51fe2c01657c&quot;,&quot;access_method&quot;:&quot;open_access&quot;,&quot;type&quot;:&quot;article&quot;,&quot;created&quot;:&quot;2019-11-05T20:18:03Z&quot;},{&quot;file_type&quot;:&quot;pdf&quot;,&quot;name&quot;:&quot;Supplement 1.pdf&quot;,&quot;pages&quot;:11,&quot;size&quot;:1310011,&quot;sha256&quot;:&quot;8341f30a87144b45710d1b368cadb93144787c7848765c61cb098485498f430d&quot;,&quot;access_method&quot;:&quot;official_supplement&quot;,&quot;type&quot;:&quot;supplement&quot;,&quot;created&quot;:&quot;2019-11-05T20:18:03Z&quot;}],&quot;pdf_hash&quot;:&quot;63672ea79443518e34b03cdcba686b831dfcbe28f3780736551f51fe2c01657c&quot;,&quot;collection_group_id&quot;:null,&quot;custom_metadata&quot;:{},&quot;citeproc&quot;:{},&quot;item&quot;:{&quot;id&quot;:&quot;680474c4-0e5c-4202-8853-398d7b258654&quot;,&quot;type&quot;:&quot;article-journal&quot;,&quot;DOI&quot;:&quot;10.1172/jci81589&quot;,&quot;container-title&quot;:&quot;Journal of Clinical Investigation&quot;,&quot;container-title-short&quot;:&quot;J Clin Invest&quot;,&quot;journalAbbreviation&quot;:&quot;J Clin Invest&quot;,&quot;title&quot;:&quot;Harnessing endogenous stem/progenitor cells for tendon regeneration&quot;,&quot;abstract&quot;:&quot;Current stem cell–based strategies for tissue regeneration involve ex vivo manipulation of these cells to confer features of the desired progenitor population. Recently, the concept that endogenous stem/progenitor cells could be used for regenerating tissues has emerged as a promising approach that potentially overcomes the obstacles related to cell transplantation. Here we applied this strategy for the regeneration of injured tendons in a rat model. First, we identified a rare fraction of tendon cells that was positive for the known tendon stem cell marker CD146 and exhibited clonogenic capacity, as well as multilineage differentiation ability. These tendon-resident CD146+ stem/progenitor cells were selectively enriched by connective tissue growth factor delivery (CTGF delivery) in the early phase of tendon healing, followed by tenogenic differentiation in the later phase. The time-controlled proliferation and differentiation of CD146+ stem/progenitor cells by CTGF delivery successfully led to tendon regeneration with densely aligned collagen fibers, normal level of cellularity, and functional restoration. Using siRNA knockdown to evaluate factors involved in tendon generation, we demonstrated that the FAK/ERK1/2 signaling pathway regulates CTGF-induced proliferation and differentiation of CD146+ stem/progenitor cells. Together, our findings support the use of endogenous stem/progenitor cells as a strategy for tendon regeneration without cell transplantation and suggest this approach warrants exploration in other tissues.&quot;,&quot;ISSN&quot;:&quot;0021-9738&quot;,&quot;volume&quot;:&quot;125&quot;,&quot;issue&quot;:&quot;7&quot;,&quot;page&quot;:&quot;2690-2701&quot;,&quot;original-date&quot;:{},&quot;issued&quot;:{&quot;year&quot;:2015},&quot;author&quot;:[{&quot;family&quot;:&quot;Lee&quot;,&quot;given&quot;:&quot;Chang H&quot;},{&quot;family&quot;:&quot;Lee&quot;,&quot;given&quot;:&quot;Francis Y&quot;},{&quot;family&quot;:&quot;Tarafder&quot;,&quot;given&quot;:&quot;Solaiman&quot;},{&quot;family&quot;:&quot;Kao&quot;,&quot;given&quot;:&quot;Kristy&quot;},{&quot;family&quot;:&quot;Jun&quot;,&quot;given&quot;:&quot;Yena&quot;},{&quot;family&quot;:&quot;Yang&quot;,&quot;given&quot;:&quot;Guodong&quot;},{&quot;family&quot;:&quot;Mao&quot;,&quot;given&quot;:&quot;Jeremy J&quot;}],&quot;page-first&quot;:&quot;2690&quot;}},{&quot;collection_id&quot;:&quot;18b8bb9d-91ba-413f-ae64-41c0377455b9&quot;,&quot;deleted&quot;:false,&quot;item_type&quot;:&quot;article&quot;,&quot;data_version&quot;:1,&quot;ext_ids&quot;:{&quot;doi&quot;:&quot;10.1371/journal.pone.0120044&quot;,&quot;pmid&quot;:&quot;25768932&quot;,&quot;pmcid&quot;:&quot;PMC4359143&quot;},&quot;article&quot;:{&quot;title&quot;:&quot;p38 MAPK Signaling in Postnatal Tendon Growth and Remodeling&quot;,&quot;abstract&quot;:&quot;Tendon is a dynamic tissue whose structure and function is influenced by mechanical loading, but little is known about the fundamental mechanisms that regulate tendon growth and remodeling in vivo. Data from cultured tendon fibroblasts indicated that the p38 MAPK pathway plays an important role in tendon fibroblast proliferation and collagen synthesis in vitro. To gain greater insight into the mechanisms of tendon growth, and explore the role of p38 MAPK signaling in this process, we tested the hypotheses that inducing plantaris tendon growth through the ablation of the synergist Achilles tendon would result in rapid expansion of a neotendon matrix surrounding the original tendon, and that treatment with the p38 MAPK inhibitor SB203580 would prevent this growth. Rats were treated with vehicle or SB203580, and subjected to synergist ablation by bilateral tenectomy of the Achilles tendon. Changes in histological and biochemical properties of plantaris tendons were analyzed 3, 7, or 28 days after overload, and comparisons were made to non-overloaded animals. By 28 days after overload, tendon mass had increased by 30% compared to non-overloaded samples, and cross-sectional area (CSA) increased by around 50%, with most of the change occurring in the neotendon. The expansion in CSA initially occurred through the synthesis of a hyaluronic acid rich matrix that was progressively replaced with mature collagen. Pericytes were present in areas of active tendon growth, but never in the original tendon ECM. Inhibition of p38 MAPK resulted in a profound decrease in IL6 expression, and had a modest effect on the expression of other ECM and cell proliferation genes, but had a negligible impact on overall tendon growth. The combined results from this study provided novel insights into tendon mechanobiology, and suggest that p38 MAPK signaling does not appear to be necessary for tendon growth in vivo.&quot;,&quot;authors&quot;:[&quot;Andrew J. Schwartz&quot;,&quot;Dylan C. Sarver&quot;,&quot;Kristoffer B. Sugg&quot;,&quot;Justin T. Dzierzawski&quot;,&quot;Jonathan P. Gumucio&quot;,&quot;Christopher L. Mendias&quot;],&quot;eissn&quot;:&quot;1932-6203&quot;,&quot;issue&quot;:&quot;3&quot;,&quot;journal&quot;:&quot;PLOS ONE&quot;,&quot;journal_abbrev&quot;:&quot;Plos One&quot;,&quot;pagination&quot;:&quot;e0120044&quot;,&quot;volume&quot;:&quot;10&quot;,&quot;year&quot;:2015},&quot;user_data&quot;:{&quot;created&quot;:&quot;2019-11-05T19:04:54Z&quot;,&quot;createdby&quot;:&quot;browser_extension_aa chrome-v2.36&quot;,&quot;modified&quot;:&quot;2019-11-05T19:04:54Z&quot;,&quot;modifiedby&quot;:&quot;browser_extension_aa chrome-v2.36&quot;,&quot;has_annotations&quot;:false,&quot;unread&quot;:true,&quot;last_read&quot;:null,&quot;shared&quot;:false},&quot;import_data&quot;:{},&quot;drm&quot;:null,&quot;purchased&quot;:null,&quot;seq&quot;:24,&quot;id&quot;:&quot;c0f4b7ba-9b1d-4406-8387-bc7d0047ea12&quot;,&quot;type&quot;:&quot;item&quot;,&quot;files&quot;:[{&quot;file_type&quot;:&quot;pdf&quot;,&quot;name&quot;:&quot;p38 MAPK Signaling in Postnatal Tendon Growth and Remodeling.pdf&quot;,&quot;pages&quot;:21,&quot;size&quot;:1495681,&quot;sha256&quot;:&quot;41a76382e1510ea6a2a51eff31202d48792daeeb05b69a4ceedc3a58b1fbb377&quot;,&quot;access_method&quot;:&quot;open_access&quot;,&quot;type&quot;:&quot;article&quot;,&quot;created&quot;:&quot;2019-11-05T19:04:54Z&quot;}],&quot;pdf_hash&quot;:&quot;41a76382e1510ea6a2a51eff31202d48792daeeb05b69a4ceedc3a58b1fbb377&quot;,&quot;collection_group_id&quot;:null,&quot;custom_metadata&quot;:{},&quot;citeproc&quot;:{}}]"/>
    <we:property name="1179618145" value="[{&quot;collection_id&quot;:&quot;18b8bb9d-91ba-413f-ae64-41c0377455b9&quot;,&quot;deleted&quot;:false,&quot;item_type&quot;:&quot;article&quot;,&quot;data_version&quot;:1,&quot;ext_ids&quot;:{&quot;doi&quot;:&quot;10.1152/japplphysiol.00720.2014&quot;,&quot;pmid&quot;:&quot;25277742&quot;,&quot;pmcid&quot;:&quot;PMC4254841&quot;},&quot;article&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authors&quot;:[&quot;Jonathan P. Gumucio&quot;,&quot;Anthony C. Phan&quot;,&quot;David G. Ruehlmann&quot;,&quot;Andrew C. Noah&quot;,&quot;Christopher L. Mendias&quot;],&quot;eissn&quot;:&quot;1522-1601&quot;,&quot;issn&quot;:&quot;8750-7587&quot;,&quot;issue&quot;:&quot;11&quot;,&quot;journal&quot;:&quot;Journal of Applied Physiology&quot;,&quot;journal_abbrev&quot;:&quot;J Appl Physiol&quot;,&quot;pagination&quot;:&quot;1287-1291&quot;,&quot;volume&quot;:&quot;117&quot;,&quot;year&quot;:2014},&quot;user_data&quot;:{&quot;created&quot;:&quot;2019-11-05T18:36:28Z&quot;,&quot;createdby&quot;:&quot;browser_extension_aa chrome-v2.36&quot;,&quot;modified&quot;:&quot;2019-11-05T18:36:28Z&quot;,&quot;modifiedby&quot;:&quot;browser_extension_aa chrome-v2.36&quot;,&quot;has_annotations&quot;:false,&quot;unread&quot;:true,&quot;last_read&quot;:null,&quot;shared&quot;:false},&quot;import_data&quot;:{},&quot;seq&quot;:23,&quot;id&quot;:&quot;ee0866e7-3ada-41e9-867c-ff1fafd0fd1f&quot;,&quot;type&quot;:&quot;item&quot;,&quot;files&quot;:[],&quot;pdf_hash&quot;:null,&quot;collection_group_id&quot;:null,&quot;custom_metadata&quot;:{},&quot;citeproc&quot;:{},&quot;atIndex&quot;:0}]"/>
    <we:property name="1592888287" value="[{&quot;collection_id&quot;:&quot;18b8bb9d-91ba-413f-ae64-41c0377455b9&quot;,&quot;deleted&quot;:false,&quot;item_type&quot;:&quot;article&quot;,&quot;data_version&quot;:1,&quot;ext_ids&quot;:{&quot;doi&quot;:&quot;10.1371/journal.pone.0120044&quot;,&quot;pmid&quot;:&quot;25768932&quot;,&quot;pmcid&quot;:&quot;PMC4359143&quot;},&quot;article&quot;:{&quot;title&quot;:&quot;p38 MAPK Signaling in Postnatal Tendon Growth and Remodeling&quot;,&quot;abstract&quot;:&quot;Tendon is a dynamic tissue whose structure and function is influenced by mechanical loading, but little is known about the fundamental mechanisms that regulate tendon growth and remodeling in vivo. Data from cultured tendon fibroblasts indicated that the p38 MAPK pathway plays an important role in tendon fibroblast proliferation and collagen synthesis in vitro. To gain greater insight into the mechanisms of tendon growth, and explore the role of p38 MAPK signaling in this process, we tested the hypotheses that inducing plantaris tendon growth through the ablation of the synergist Achilles tendon would result in rapid expansion of a neotendon matrix surrounding the original tendon, and that treatment with the p38 MAPK inhibitor SB203580 would prevent this growth. Rats were treated with vehicle or SB203580, and subjected to synergist ablation by bilateral tenectomy of the Achilles tendon. Changes in histological and biochemical properties of plantaris tendons were analyzed 3, 7, or 28 days after overload, and comparisons were made to non-overloaded animals. By 28 days after overload, tendon mass had increased by 30% compared to non-overloaded samples, and cross-sectional area (CSA) increased by around 50%, with most of the change occurring in the neotendon. The expansion in CSA initially occurred through the synthesis of a hyaluronic acid rich matrix that was progressively replaced with mature collagen. Pericytes were present in areas of active tendon growth, but never in the original tendon ECM. Inhibition of p38 MAPK resulted in a profound decrease in IL6 expression, and had a modest effect on the expression of other ECM and cell proliferation genes, but had a negligible impact on overall tendon growth. The combined results from this study provided novel insights into tendon mechanobiology, and suggest that p38 MAPK signaling does not appear to be necessary for tendon growth in vivo.&quot;,&quot;authors&quot;:[&quot;Andrew J. Schwartz&quot;,&quot;Dylan C. Sarver&quot;,&quot;Kristoffer B. Sugg&quot;,&quot;Justin T. Dzierzawski&quot;,&quot;Jonathan P. Gumucio&quot;,&quot;Christopher L. Mendias&quot;],&quot;eissn&quot;:&quot;1932-6203&quot;,&quot;issue&quot;:&quot;3&quot;,&quot;journal&quot;:&quot;PLOS ONE&quot;,&quot;journal_abbrev&quot;:&quot;Plos One&quot;,&quot;pagination&quot;:&quot;e0120044&quot;,&quot;volume&quot;:&quot;10&quot;,&quot;year&quot;:2015},&quot;user_data&quot;:{&quot;created&quot;:&quot;2019-11-05T19:04:54Z&quot;,&quot;createdby&quot;:&quot;browser_extension_aa chrome-v2.36&quot;,&quot;modified&quot;:&quot;2019-11-05T19:04:54Z&quot;,&quot;modifiedby&quot;:&quot;browser_extension_aa chrome-v2.36&quot;,&quot;has_annotations&quot;:false,&quot;unread&quot;:true,&quot;last_read&quot;:null,&quot;shared&quot;:false},&quot;import_data&quot;:{},&quot;drm&quot;:null,&quot;purchased&quot;:null,&quot;seq&quot;:24,&quot;id&quot;:&quot;c0f4b7ba-9b1d-4406-8387-bc7d0047ea12&quot;,&quot;type&quot;:&quot;item&quot;,&quot;files&quot;:[{&quot;file_type&quot;:&quot;pdf&quot;,&quot;name&quot;:&quot;p38 MAPK Signaling in Postnatal Tendon Growth and Remodeling.pdf&quot;,&quot;pages&quot;:21,&quot;size&quot;:1495681,&quot;sha256&quot;:&quot;41a76382e1510ea6a2a51eff31202d48792daeeb05b69a4ceedc3a58b1fbb377&quot;,&quot;access_method&quot;:&quot;open_access&quot;,&quot;type&quot;:&quot;article&quot;,&quot;created&quot;:&quot;2019-11-05T19:04:54Z&quot;}],&quot;pdf_hash&quot;:&quot;41a76382e1510ea6a2a51eff31202d48792daeeb05b69a4ceedc3a58b1fbb377&quot;,&quot;collection_group_id&quot;:null,&quot;custom_metadata&quot;:{},&quot;citeproc&quot;:{},&quot;atIndex&quot;:2}]"/>
    <we:property name="-1161542602" value="[{&quot;collection_id&quot;:&quot;18b8bb9d-91ba-413f-ae64-41c0377455b9&quot;,&quot;deleted&quot;:false,&quot;item_type&quot;:&quot;article&quot;,&quot;data_version&quot;:1,&quot;ext_ids&quot;:{&quot;doi&quot;:&quot;10.1371/journal.pone.0120044&quot;,&quot;pmid&quot;:&quot;25768932&quot;,&quot;pmcid&quot;:&quot;PMC4359143&quot;},&quot;article&quot;:{&quot;title&quot;:&quot;p38 MAPK Signaling in Postnatal Tendon Growth and Remodeling&quot;,&quot;abstract&quot;:&quot;Tendon is a dynamic tissue whose structure and function is influenced by mechanical loading, but little is known about the fundamental mechanisms that regulate tendon growth and remodeling in vivo. Data from cultured tendon fibroblasts indicated that the p38 MAPK pathway plays an important role in tendon fibroblast proliferation and collagen synthesis in vitro. To gain greater insight into the mechanisms of tendon growth, and explore the role of p38 MAPK signaling in this process, we tested the hypotheses that inducing plantaris tendon growth through the ablation of the synergist Achilles tendon would result in rapid expansion of a neotendon matrix surrounding the original tendon, and that treatment with the p38 MAPK inhibitor SB203580 would prevent this growth. Rats were treated with vehicle or SB203580, and subjected to synergist ablation by bilateral tenectomy of the Achilles tendon. Changes in histological and biochemical properties of plantaris tendons were analyzed 3, 7, or 28 days after overload, and comparisons were made to non-overloaded animals. By 28 days after overload, tendon mass had increased by 30% compared to non-overloaded samples, and cross-sectional area (CSA) increased by around 50%, with most of the change occurring in the neotendon. The expansion in CSA initially occurred through the synthesis of a hyaluronic acid rich matrix that was progressively replaced with mature collagen. Pericytes were present in areas of active tendon growth, but never in the original tendon ECM. Inhibition of p38 MAPK resulted in a profound decrease in IL6 expression, and had a modest effect on the expression of other ECM and cell proliferation genes, but had a negligible impact on overall tendon growth. The combined results from this study provided novel insights into tendon mechanobiology, and suggest that p38 MAPK signaling does not appear to be necessary for tendon growth in vivo.&quot;,&quot;authors&quot;:[&quot;Andrew J. Schwartz&quot;,&quot;Dylan C. Sarver&quot;,&quot;Kristoffer B. Sugg&quot;,&quot;Justin T. Dzierzawski&quot;,&quot;Jonathan P. Gumucio&quot;,&quot;Christopher L. Mendias&quot;],&quot;eissn&quot;:&quot;1932-6203&quot;,&quot;issue&quot;:&quot;3&quot;,&quot;journal&quot;:&quot;PLOS ONE&quot;,&quot;journal_abbrev&quot;:&quot;Plos One&quot;,&quot;pagination&quot;:&quot;e0120044&quot;,&quot;volume&quot;:&quot;10&quot;,&quot;year&quot;:2015},&quot;user_data&quot;:{&quot;created&quot;:&quot;2019-11-05T19:04:54Z&quot;,&quot;createdby&quot;:&quot;browser_extension_aa chrome-v2.36&quot;,&quot;modified&quot;:&quot;2019-11-05T19:04:54Z&quot;,&quot;modifiedby&quot;:&quot;browser_extension_aa chrome-v2.36&quot;,&quot;has_annotations&quot;:false,&quot;unread&quot;:true,&quot;last_read&quot;:null,&quot;shared&quot;:false},&quot;import_data&quot;:{},&quot;drm&quot;:null,&quot;purchased&quot;:null,&quot;seq&quot;:24,&quot;id&quot;:&quot;c0f4b7ba-9b1d-4406-8387-bc7d0047ea12&quot;,&quot;type&quot;:&quot;item&quot;,&quot;files&quot;:[{&quot;file_type&quot;:&quot;pdf&quot;,&quot;name&quot;:&quot;p38 MAPK Signaling in Postnatal Tendon Growth and Remodeling.pdf&quot;,&quot;pages&quot;:21,&quot;size&quot;:1495681,&quot;sha256&quot;:&quot;41a76382e1510ea6a2a51eff31202d48792daeeb05b69a4ceedc3a58b1fbb377&quot;,&quot;access_method&quot;:&quot;open_access&quot;,&quot;type&quot;:&quot;article&quot;,&quot;created&quot;:&quot;2019-11-05T19:04:54Z&quot;}],&quot;pdf_hash&quot;:&quot;41a76382e1510ea6a2a51eff31202d48792daeeb05b69a4ceedc3a58b1fbb377&quot;,&quot;collection_group_id&quot;:null,&quot;custom_metadata&quot;:{},&quot;citeproc&quot;:{},&quot;atIndex&quot;:1}]"/>
    <we:property name="-1250802664" value="[{&quot;collection_id&quot;:&quot;18b8bb9d-91ba-413f-ae64-41c0377455b9&quot;,&quot;deleted&quot;:false,&quot;item_type&quot;:&quot;article&quot;,&quot;data_version&quot;:1,&quot;ext_ids&quot;:{&quot;doi&quot;:&quot;10.1371/journal.pone.0120044&quot;,&quot;pmid&quot;:&quot;25768932&quot;,&quot;pmcid&quot;:&quot;PMC4359143&quot;},&quot;article&quot;:{&quot;title&quot;:&quot;p38 MAPK Signaling in Postnatal Tendon Growth and Remodeling&quot;,&quot;abstract&quot;:&quot;Tendon is a dynamic tissue whose structure and function is influenced by mechanical loading, but little is known about the fundamental mechanisms that regulate tendon growth and remodeling in vivo. Data from cultured tendon fibroblasts indicated that the p38 MAPK pathway plays an important role in tendon fibroblast proliferation and collagen synthesis in vitro. To gain greater insight into the mechanisms of tendon growth, and explore the role of p38 MAPK signaling in this process, we tested the hypotheses that inducing plantaris tendon growth through the ablation of the synergist Achilles tendon would result in rapid expansion of a neotendon matrix surrounding the original tendon, and that treatment with the p38 MAPK inhibitor SB203580 would prevent this growth. Rats were treated with vehicle or SB203580, and subjected to synergist ablation by bilateral tenectomy of the Achilles tendon. Changes in histological and biochemical properties of plantaris tendons were analyzed 3, 7, or 28 days after overload, and comparisons were made to non-overloaded animals. By 28 days after overload, tendon mass had increased by 30% compared to non-overloaded samples, and cross-sectional area (CSA) increased by around 50%, with most of the change occurring in the neotendon. The expansion in CSA initially occurred through the synthesis of a hyaluronic acid rich matrix that was progressively replaced with mature collagen. Pericytes were present in areas of active tendon growth, but never in the original tendon ECM. Inhibition of p38 MAPK resulted in a profound decrease in IL6 expression, and had a modest effect on the expression of other ECM and cell proliferation genes, but had a negligible impact on overall tendon growth. The combined results from this study provided novel insights into tendon mechanobiology, and suggest that p38 MAPK signaling does not appear to be necessary for tendon growth in vivo.&quot;,&quot;authors&quot;:[&quot;Andrew J. Schwartz&quot;,&quot;Dylan C. Sarver&quot;,&quot;Kristoffer B. Sugg&quot;,&quot;Justin T. Dzierzawski&quot;,&quot;Jonathan P. Gumucio&quot;,&quot;Christopher L. Mendias&quot;],&quot;eissn&quot;:&quot;1932-6203&quot;,&quot;issue&quot;:&quot;3&quot;,&quot;journal&quot;:&quot;PLOS ONE&quot;,&quot;journal_abbrev&quot;:&quot;Plos One&quot;,&quot;pagination&quot;:&quot;e0120044&quot;,&quot;volume&quot;:&quot;10&quot;,&quot;year&quot;:2015},&quot;user_data&quot;:{&quot;created&quot;:&quot;2019-11-05T19:04:54Z&quot;,&quot;createdby&quot;:&quot;browser_extension_aa chrome-v2.36&quot;,&quot;modified&quot;:&quot;2019-11-05T19:04:54Z&quot;,&quot;modifiedby&quot;:&quot;browser_extension_aa chrome-v2.36&quot;,&quot;has_annotations&quot;:false,&quot;unread&quot;:true,&quot;last_read&quot;:null,&quot;shared&quot;:false},&quot;import_data&quot;:{},&quot;drm&quot;:null,&quot;purchased&quot;:null,&quot;seq&quot;:24,&quot;id&quot;:&quot;c0f4b7ba-9b1d-4406-8387-bc7d0047ea12&quot;,&quot;type&quot;:&quot;item&quot;,&quot;files&quot;:[{&quot;file_type&quot;:&quot;pdf&quot;,&quot;name&quot;:&quot;p38 MAPK Signaling in Postnatal Tendon Growth and Remodeling.pdf&quot;,&quot;pages&quot;:21,&quot;size&quot;:1495681,&quot;sha256&quot;:&quot;41a76382e1510ea6a2a51eff31202d48792daeeb05b69a4ceedc3a58b1fbb377&quot;,&quot;access_method&quot;:&quot;open_access&quot;,&quot;type&quot;:&quot;article&quot;,&quot;created&quot;:&quot;2019-11-05T19:04:54Z&quot;}],&quot;pdf_hash&quot;:&quot;41a76382e1510ea6a2a51eff31202d48792daeeb05b69a4ceedc3a58b1fbb377&quot;,&quot;collection_group_id&quot;:null,&quot;custom_metadata&quot;:{},&quot;citeproc&quot;:{},&quot;atIndex&quot;:2}]"/>
    <we:property name="-1590850055" value="[{&quot;collection_id&quot;:&quot;18b8bb9d-91ba-413f-ae64-41c0377455b9&quot;,&quot;deleted&quot;:false,&quot;item_type&quot;:&quot;article&quot;,&quot;data_version&quot;:1,&quot;ext_ids&quot;:{&quot;doi&quot;:&quot;10.1152/japplphysiol.00720.2014&quot;,&quot;pmid&quot;:&quot;25277742&quot;,&quot;pmcid&quot;:&quot;PMC4254841&quot;},&quot;article&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authors&quot;:[&quot;Jonathan P. Gumucio&quot;,&quot;Anthony C. Phan&quot;,&quot;David G. Ruehlmann&quot;,&quot;Andrew C. Noah&quot;,&quot;Christopher L. Mendias&quot;],&quot;eissn&quot;:&quot;1522-1601&quot;,&quot;issn&quot;:&quot;8750-7587&quot;,&quot;issue&quot;:&quot;11&quot;,&quot;journal&quot;:&quot;Journal of Applied Physiology&quot;,&quot;journal_abbrev&quot;:&quot;J Appl Physiol&quot;,&quot;pagination&quot;:&quot;1287-1291&quot;,&quot;volume&quot;:&quot;117&quot;,&quot;year&quot;:2014},&quot;user_data&quot;:{&quot;created&quot;:&quot;2019-11-05T18:36:28Z&quot;,&quot;createdby&quot;:&quot;browser_extension_aa chrome-v2.36&quot;,&quot;modified&quot;:&quot;2019-11-05T18:36:28Z&quot;,&quot;modifiedby&quot;:&quot;browser_extension_aa chrome-v2.36&quot;,&quot;has_annotations&quot;:false,&quot;unread&quot;:true,&quot;last_read&quot;:null,&quot;shared&quot;:false},&quot;import_data&quot;:{},&quot;seq&quot;:23,&quot;id&quot;:&quot;ee0866e7-3ada-41e9-867c-ff1fafd0fd1f&quot;,&quot;type&quot;:&quot;item&quot;,&quot;files&quot;:[],&quot;pdf_hash&quot;:null,&quot;collection_group_id&quot;:null,&quot;custom_metadata&quot;:{},&quot;citeproc&quot;:{},&quot;atIndex&quot;:1}]"/>
    <we:property name="-1600318488" value="[{&quot;collection_id&quot;:&quot;18b8bb9d-91ba-413f-ae64-41c0377455b9&quot;,&quot;deleted&quot;:false,&quot;item_type&quot;:&quot;article&quot;,&quot;data_version&quot;:1,&quot;ext_ids&quot;:{&quot;doi&quot;:&quot;10.1152/japplphysiol.00720.2014&quot;,&quot;pmid&quot;:&quot;25277742&quot;,&quot;pmcid&quot;:&quot;PMC4254841&quot;},&quot;article&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authors&quot;:[&quot;Jonathan P. Gumucio&quot;,&quot;Anthony C. Phan&quot;,&quot;David G. Ruehlmann&quot;,&quot;Andrew C. Noah&quot;,&quot;Christopher L. Mendias&quot;],&quot;eissn&quot;:&quot;1522-1601&quot;,&quot;issn&quot;:&quot;8750-7587&quot;,&quot;issue&quot;:&quot;11&quot;,&quot;journal&quot;:&quot;Journal of Applied Physiology&quot;,&quot;journal_abbrev&quot;:&quot;J Appl Physiol&quot;,&quot;pagination&quot;:&quot;1287-1291&quot;,&quot;volume&quot;:&quot;117&quot;,&quot;year&quot;:2014},&quot;user_data&quot;:{&quot;created&quot;:&quot;2019-11-05T18:36:28Z&quot;,&quot;createdby&quot;:&quot;browser_extension_aa chrome-v2.36&quot;,&quot;modified&quot;:&quot;2019-11-05T18:36:28Z&quot;,&quot;modifiedby&quot;:&quot;browser_extension_aa chrome-v2.36&quot;,&quot;has_annotations&quot;:false,&quot;unread&quot;:true,&quot;last_read&quot;:null,&quot;shared&quot;:false},&quot;import_data&quot;:{},&quot;seq&quot;:23,&quot;id&quot;:&quot;ee0866e7-3ada-41e9-867c-ff1fafd0fd1f&quot;,&quot;type&quot;:&quot;item&quot;,&quot;files&quot;:[],&quot;pdf_hash&quot;:null,&quot;collection_group_id&quot;:null,&quot;custom_metadata&quot;:{},&quot;citeproc&quot;:{},&quot;atIndex&quot;:3}]"/>
    <we:property name="-2014141894" value="[{&quot;collection_id&quot;:&quot;18b8bb9d-91ba-413f-ae64-41c0377455b9&quot;,&quot;deleted&quot;:false,&quot;item_type&quot;:&quot;article&quot;,&quot;data_version&quot;:1,&quot;ext_ids&quot;:{&quot;doi&quot;:&quot;10.1152/japplphysiol.00720.2014&quot;,&quot;pmid&quot;:&quot;25277742&quot;,&quot;pmcid&quot;:&quot;PMC4254841&quot;},&quot;article&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authors&quot;:[&quot;Jonathan P. Gumucio&quot;,&quot;Anthony C. Phan&quot;,&quot;David G. Ruehlmann&quot;,&quot;Andrew C. Noah&quot;,&quot;Christopher L. Mendias&quot;],&quot;eissn&quot;:&quot;1522-1601&quot;,&quot;issn&quot;:&quot;8750-7587&quot;,&quot;issue&quot;:&quot;11&quot;,&quot;journal&quot;:&quot;Journal of Applied Physiology&quot;,&quot;journal_abbrev&quot;:&quot;J Appl Physiol&quot;,&quot;pagination&quot;:&quot;1287-1291&quot;,&quot;volume&quot;:&quot;117&quot;,&quot;year&quot;:2014},&quot;user_data&quot;:{&quot;created&quot;:&quot;2019-11-05T18:36:28Z&quot;,&quot;createdby&quot;:&quot;browser_extension_aa chrome-v2.36&quot;,&quot;modified&quot;:&quot;2019-11-05T18:36:28Z&quot;,&quot;modifiedby&quot;:&quot;browser_extension_aa chrome-v2.36&quot;,&quot;has_annotations&quot;:false,&quot;unread&quot;:true,&quot;last_read&quot;:null,&quot;shared&quot;:false},&quot;import_data&quot;:{},&quot;seq&quot;:23,&quot;id&quot;:&quot;ee0866e7-3ada-41e9-867c-ff1fafd0fd1f&quot;,&quot;type&quot;:&quot;item&quot;,&quot;files&quot;:[],&quot;pdf_hash&quot;:null,&quot;collection_group_id&quot;:null,&quot;custom_metadata&quot;:{},&quot;citeproc&quot;:{},&quot;atIndex&quot;:0,&quot;item&quot;:{&quot;id&quot;:&quot;ee0866e7-3ada-41e9-867c-ff1fafd0fd1f&quot;,&quot;type&quot;:&quot;article-journal&quot;,&quot;DOI&quot;:&quot;10.1152/japplphysiol.00720.2014&quot;,&quot;container-title&quot;:&quot;Journal of Applied Physiology&quot;,&quot;container-title-short&quot;:&quot;J Appl Physiol&quot;,&quot;journalAbbreviation&quot;:&quot;J Appl Physiol&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ISSN&quot;:&quot;8750-7587&quot;,&quot;volume&quot;:&quot;117&quot;,&quot;issue&quot;:&quot;11&quot;,&quot;page&quot;:&quot;1287-1291&quot;,&quot;original-date&quot;:{},&quot;issued&quot;:{&quot;year&quot;:2014},&quot;author&quot;:[{&quot;family&quot;:&quot;Gumucio&quot;,&quot;given&quot;:&quot;Jonathan P&quot;},{&quot;family&quot;:&quot;Phan&quot;,&quot;given&quot;:&quot;Anthony C&quot;},{&quot;family&quot;:&quot;Ruehlmann&quot;,&quot;given&quot;:&quot;David G&quot;},{&quot;family&quot;:&quot;Noah&quot;,&quot;given&quot;:&quot;Andrew C&quot;},{&quot;family&quot;:&quot;Mendias&quot;,&quot;given&quot;:&quot;Christopher L&quot;}],&quot;page-first&quot;:&quot;1287&quot;}}]"/>
    <we:property name="-2088377084" value="[{&quot;collection_id&quot;:&quot;18b8bb9d-91ba-413f-ae64-41c0377455b9&quot;,&quot;deleted&quot;:false,&quot;item_type&quot;:&quot;article&quot;,&quot;data_version&quot;:1,&quot;ext_ids&quot;:{&quot;doi&quot;:&quot;10.1002/jor.21550&quot;,&quot;pmid&quot;:&quot;21913219&quot;,&quot;pmcid&quot;:&quot;PMC3245815&quot;},&quot;article&quot;:{&quot;title&quot;:&quot;Physiological loading of tendons induces scleraxis expression in epitenon fibroblasts&quot;,&quot;abstract&quot;:&quot;Scleraxis is a basic helix–loop–helix transcription factor that plays a central role in promoting fibroblast proliferation and matrix synthesis during the embryonic development of tendons. Mice with a targeted inactivation of scleraxis (Scx−/−) fail to properly form limb tendons, but the role that scleraxis has in regulating the growth and adaptation of tendons of adult organisms is unknown. To determine if scleraxis expression changes in response to a physiological growth stimulus to tendons, we subjected adult mice that express green fluorescent protein (GFP) under the control of the scleraxis promoter (ScxGFP) to a 6-week-treadmill training program designed to induce adaptive growth in Achilles tendons. Age matched sedentary ScxGFP mice were used as controls. Scleraxis expression was sparsely observed in the epitenon region of sedentary mice, but in response to treadmill training, scleraxis was robustly expressed in fibroblasts that appeared to be emerging from the epitenon and migrating into the superficial regions of tendon fascicles. Treadmill training also led to an increase in scleraxis, tenomodulin, and type I collagen gene expression as measured by qPCR. These results suggest that in addition to regulating the embryonic formation of limb tendons, scleraxis also appears to play an important role in the adaptation of adult tendons to physiological loading. © 2011 Orthopaedic Research Society. © 2011 Orthopaedic Research Society Published by Wiley Periodicals, Inc. J Orthop Res 30:606–612, 2012&quot;,&quot;authors&quot;:[&quot;Christopher L. Mendias&quot;,&quot;Jonathan P. Gumucio&quot;,&quot;Konstantin I. Bakhurin&quot;,&quot;Evan B. Lynch&quot;,&quot;Susan V. Brooks&quot;],&quot;eissn&quot;:&quot;1554-527X&quot;,&quot;issn&quot;:&quot;1554-527X&quot;,&quot;issue&quot;:&quot;4&quot;,&quot;journal&quot;:&quot;Journal of Orthopaedic Research&quot;,&quot;journal_abbrev&quot;:&quot;J Orthopaed Res&quot;,&quot;pagination&quot;:&quot;606-612&quot;,&quot;volume&quot;:&quot;30&quot;,&quot;year&quot;:2012},&quot;user_data&quot;:{&quot;created&quot;:&quot;2019-10-30T21:07:41Z&quot;,&quot;createdby&quot;:&quot;browser_extension_aa chrome-v2.36&quot;,&quot;modified&quot;:&quot;2019-10-30T21:07:52Z&quot;,&quot;modifiedby&quot;:&quot;browser_extension_aa chrome-v2.36&quot;,&quot;has_annotations&quot;:false,&quot;unread&quot;:true,&quot;last_read&quot;:null,&quot;shared&quot;:false},&quot;import_data&quot;:{},&quot;seq&quot;:4,&quot;drm&quot;:null,&quot;purchased&quot;:null,&quot;id&quot;:&quot;65b7a771-fb00-4059-a345-4f857a034a59&quot;,&quot;type&quot;:&quot;item&quot;,&quot;files&quot;:[{&quot;file_type&quot;:&quot;pdf&quot;,&quot;name&quot;:&quot;onlinelibrary.wiley.com 10/30/2019, 5:07:52 PM.pdf&quot;,&quot;pages&quot;:7,&quot;size&quot;:619355,&quot;sha256&quot;:&quot;72fdab40790d6ce8a9edce14be6369334f0c9e7c07c5af92707a600a92e8d012&quot;,&quot;access_method&quot;:&quot;personal_library&quot;,&quot;source_url&quot;:&quot;onlinelibrary.wiley.com%2010%2F30%2F2019%2C%205%3A07%3A52%20PM.pdf&quot;,&quot;type&quot;:&quot;article&quot;,&quot;created&quot;:&quot;2019-10-30T21:07:52Z&quot;}],&quot;pdf_hash&quot;:&quot;72fdab40790d6ce8a9edce14be6369334f0c9e7c07c5af92707a600a92e8d012&quot;,&quot;collection_group_id&quot;:null,&quot;custom_metadata&quot;:{},&quot;citeproc&quot;:{},&quot;atIndex&quot;:0}]"/>
    <we:property name="-2127764468" value="[{&quot;collection_id&quot;:&quot;18b8bb9d-91ba-413f-ae64-41c0377455b9&quot;,&quot;deleted&quot;:false,&quot;item_type&quot;:&quot;article&quot;,&quot;data_version&quot;:1,&quot;ext_ids&quot;:{&quot;doi&quot;:&quot;10.1152/japplphysiol.00720.2014&quot;,&quot;pmid&quot;:&quot;25277742&quot;,&quot;pmcid&quot;:&quot;PMC4254841&quot;},&quot;article&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authors&quot;:[&quot;Jonathan P. Gumucio&quot;,&quot;Anthony C. Phan&quot;,&quot;David G. Ruehlmann&quot;,&quot;Andrew C. Noah&quot;,&quot;Christopher L. Mendias&quot;],&quot;eissn&quot;:&quot;1522-1601&quot;,&quot;issn&quot;:&quot;8750-7587&quot;,&quot;issue&quot;:&quot;11&quot;,&quot;journal&quot;:&quot;Journal of Applied Physiology&quot;,&quot;journal_abbrev&quot;:&quot;J Appl Physiol&quot;,&quot;pagination&quot;:&quot;1287-1291&quot;,&quot;volume&quot;:&quot;117&quot;,&quot;year&quot;:2014},&quot;user_data&quot;:{&quot;created&quot;:&quot;2019-11-05T18:36:28Z&quot;,&quot;createdby&quot;:&quot;browser_extension_aa chrome-v2.36&quot;,&quot;modified&quot;:&quot;2019-11-05T18:36:28Z&quot;,&quot;modifiedby&quot;:&quot;browser_extension_aa chrome-v2.36&quot;,&quot;has_annotations&quot;:false,&quot;unread&quot;:true,&quot;last_read&quot;:null,&quot;shared&quot;:false},&quot;import_data&quot;:{},&quot;seq&quot;:23,&quot;id&quot;:&quot;ee0866e7-3ada-41e9-867c-ff1fafd0fd1f&quot;,&quot;type&quot;:&quot;item&quot;,&quot;files&quot;:[],&quot;pdf_hash&quot;:null,&quot;collection_group_id&quot;:null,&quot;custom_metadata&quot;:{},&quot;citeproc&quot;:{},&quot;atIndex&quot;:3}]"/>
    <we:property name="-657449658" value="[{&quot;collection_id&quot;:&quot;18b8bb9d-91ba-413f-ae64-41c0377455b9&quot;,&quot;deleted&quot;:false,&quot;item_type&quot;:&quot;article&quot;,&quot;data_version&quot;:1,&quot;ext_ids&quot;:{&quot;doi&quot;:&quot;10.1152/japplphysiol.00720.2014&quot;,&quot;pmid&quot;:&quot;25277742&quot;,&quot;pmcid&quot;:&quot;PMC4254841&quot;},&quot;article&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authors&quot;:[&quot;Jonathan P. Gumucio&quot;,&quot;Anthony C. Phan&quot;,&quot;David G. Ruehlmann&quot;,&quot;Andrew C. Noah&quot;,&quot;Christopher L. Mendias&quot;],&quot;eissn&quot;:&quot;1522-1601&quot;,&quot;issn&quot;:&quot;8750-7587&quot;,&quot;issue&quot;:&quot;11&quot;,&quot;journal&quot;:&quot;Journal of Applied Physiology&quot;,&quot;journal_abbrev&quot;:&quot;J Appl Physiol&quot;,&quot;pagination&quot;:&quot;1287-1291&quot;,&quot;volume&quot;:&quot;117&quot;,&quot;year&quot;:2014},&quot;user_data&quot;:{&quot;created&quot;:&quot;2019-11-05T18:36:28Z&quot;,&quot;createdby&quot;:&quot;browser_extension_aa chrome-v2.36&quot;,&quot;modified&quot;:&quot;2019-11-05T18:36:28Z&quot;,&quot;modifiedby&quot;:&quot;browser_extension_aa chrome-v2.36&quot;,&quot;has_annotations&quot;:false,&quot;unread&quot;:true,&quot;last_read&quot;:null,&quot;shared&quot;:false},&quot;import_data&quot;:{},&quot;seq&quot;:23,&quot;id&quot;:&quot;ee0866e7-3ada-41e9-867c-ff1fafd0fd1f&quot;,&quot;type&quot;:&quot;item&quot;,&quot;files&quot;:[],&quot;pdf_hash&quot;:null,&quot;collection_group_id&quot;:null,&quot;custom_metadata&quot;:{},&quot;citeproc&quot;:{},&quot;atIndex&quot;:0,&quot;item&quot;:{&quot;id&quot;:&quot;ee0866e7-3ada-41e9-867c-ff1fafd0fd1f&quot;,&quot;type&quot;:&quot;article-journal&quot;,&quot;DOI&quot;:&quot;10.1152/japplphysiol.00720.2014&quot;,&quot;container-title&quot;:&quot;Journal of Applied Physiology&quot;,&quot;container-title-short&quot;:&quot;J Appl Physiol&quot;,&quot;journalAbbreviation&quot;:&quot;J Appl Physiol&quot;,&quot;title&quot;:&quot;Synergist ablation induces rapid tendon growth through the synthesis of a neotendon matrix&quot;,&quot;abstract&quot;:&quot;Mechanical loading can increase tendon cross-sectional area (CSA), but the mechanisms by which this occurs are largely unknown. To gain a greater understanding of the cellular mechanisms of adult tendon growth in response to mechanical loading, we used a synergist ablation model whereby a tenectomy of the Achilles tendon was performed to induce growth of the synergist plantaris tendon. We hypothesized that after synergist ablation progenitor cells in the epitenon would proliferate and increase the size of the existing tendon matrix. Adult male mice were subjected to a bilateral Achilles tenectomy, and plantaris tendons were isolated from mice at 0, 2, 7, 14, and 28 days after surgery. Tendons were sectioned stained with either fast green and hematoxylin, prepared for fluorescent microscopy, or prepared for gene expression of scleraxis and type I collagen. After overload, there was a dramatic increase in total CSA of tendons, whereas the size of the original tendon matrix was not changed. Growth primarily occurred through the formation of a neotendon matrix between the original tendon and the epitenon, and contained cells that were proliferative and scleraxis positive. Additionally, an initial expansion of fibroblast cells occurred before the synthesis of new extracellular matrix. Fibroblasts in the original tendon did not re-enter the cell cycle. The results from this study provide new insight into the mechanisms of tendon growth, indicate tendon consists mostly of postmitotic cells, and that growth of tendon primarily occurs from the most superficial layers outward.&quot;,&quot;ISSN&quot;:&quot;8750-7587&quot;,&quot;volume&quot;:&quot;117&quot;,&quot;issue&quot;:&quot;11&quot;,&quot;page&quot;:&quot;1287-1291&quot;,&quot;original-date&quot;:{},&quot;issued&quot;:{&quot;year&quot;:2014},&quot;author&quot;:[{&quot;family&quot;:&quot;Gumucio&quot;,&quot;given&quot;:&quot;Jonathan P&quot;},{&quot;family&quot;:&quot;Phan&quot;,&quot;given&quot;:&quot;Anthony C&quot;},{&quot;family&quot;:&quot;Ruehlmann&quot;,&quot;given&quot;:&quot;David G&quot;},{&quot;family&quot;:&quot;Noah&quot;,&quot;given&quot;:&quot;Andrew C&quot;},{&quot;family&quot;:&quot;Mendias&quot;,&quot;given&quot;:&quot;Christopher L&quot;}],&quot;page-first&quot;:&quot;1287&quot;}}]"/>
    <we:property name="style" value="{&quot;title&quot;:&quot;3D Research&quot;,&quot;url&quot;:&quot;https://smartcite.readcube.com/styles/3d-research&quot;,&quot;favorite&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CB596-C152-40D1-A3EE-C776CC81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38</Pages>
  <Words>35309</Words>
  <Characters>201263</Characters>
  <Application>Microsoft Office Word</Application>
  <DocSecurity>0</DocSecurity>
  <Lines>1677</Lines>
  <Paragraphs>472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Mendias, Christopher</dc:creator>
  <cp:keywords/>
  <dc:description/>
  <cp:lastModifiedBy>Mendias, Christopher</cp:lastModifiedBy>
  <cp:revision>19</cp:revision>
  <cp:lastPrinted>2020-03-01T01:46:00Z</cp:lastPrinted>
  <dcterms:created xsi:type="dcterms:W3CDTF">2020-03-06T05:18:00Z</dcterms:created>
  <dcterms:modified xsi:type="dcterms:W3CDTF">2020-05-13T18:01:00Z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id="http://www.zotero.org/styles/the-journal-of-clinical-investigation"/&gt;&lt;format class="21"/&gt;&lt;count citations="57" publications="50"/&gt;&lt;/info&gt;PAPERS2_INFO_END</vt:lpwstr>
  </property>
</Properties>
</file>