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44B0" w14:textId="77777777" w:rsidR="00AA6832" w:rsidRPr="00E030FE" w:rsidRDefault="00AA6832" w:rsidP="00E030FE">
      <w:pPr>
        <w:jc w:val="both"/>
        <w:rPr>
          <w:rFonts w:ascii="Palatino Linotype" w:hAnsi="Palatino Linotype"/>
        </w:rPr>
      </w:pPr>
    </w:p>
    <w:p w14:paraId="7C82C024" w14:textId="77777777" w:rsidR="00C43141" w:rsidRDefault="00C43141" w:rsidP="00C43141">
      <w:pPr>
        <w:jc w:val="both"/>
        <w:rPr>
          <w:rFonts w:ascii="Palatino Linotype" w:hAnsi="Palatino Linotype"/>
          <w:b/>
          <w:bCs/>
        </w:rPr>
      </w:pPr>
      <w:r>
        <w:rPr>
          <w:rFonts w:ascii="Palatino Linotype" w:hAnsi="Palatino Linotype"/>
          <w:b/>
          <w:bCs/>
        </w:rPr>
        <w:t>Lustration in Iraq: Regime Change as Exclusion and Control</w:t>
      </w:r>
    </w:p>
    <w:p w14:paraId="3F122BBA" w14:textId="77777777" w:rsidR="00C43141" w:rsidRDefault="00C43141" w:rsidP="00C43141">
      <w:pPr>
        <w:jc w:val="both"/>
        <w:rPr>
          <w:rFonts w:ascii="Palatino Linotype" w:hAnsi="Palatino Linotype"/>
        </w:rPr>
      </w:pPr>
    </w:p>
    <w:p w14:paraId="372441C8" w14:textId="77777777" w:rsidR="00C43141" w:rsidRPr="00C43141" w:rsidRDefault="00C43141" w:rsidP="00C43141">
      <w:pPr>
        <w:jc w:val="both"/>
        <w:rPr>
          <w:rFonts w:ascii="Palatino Linotype" w:hAnsi="Palatino Linotype"/>
          <w:bCs/>
        </w:rPr>
      </w:pPr>
      <w:r w:rsidRPr="00C43141">
        <w:rPr>
          <w:rFonts w:ascii="Palatino Linotype" w:hAnsi="Palatino Linotype"/>
          <w:bCs/>
        </w:rPr>
        <w:t>Regime change may entreat the removal, from the public sector, of those involved in human rights abuse and corruption via a transitional process that aims for civic propinquity and the emblematic ‘purification’</w:t>
      </w:r>
      <w:r w:rsidRPr="00C43141">
        <w:rPr>
          <w:rFonts w:ascii="Palatino Linotype" w:hAnsi="Palatino Linotype"/>
          <w:bCs/>
          <w:vertAlign w:val="superscript"/>
        </w:rPr>
        <w:endnoteReference w:id="1"/>
      </w:r>
      <w:r w:rsidRPr="00C43141">
        <w:rPr>
          <w:rFonts w:ascii="Palatino Linotype" w:hAnsi="Palatino Linotype"/>
          <w:bCs/>
        </w:rPr>
        <w:t xml:space="preserve"> of the public sector (David</w:t>
      </w:r>
      <w:r w:rsidR="0078593F">
        <w:rPr>
          <w:rFonts w:ascii="Palatino Linotype" w:hAnsi="Palatino Linotype"/>
          <w:bCs/>
        </w:rPr>
        <w:t>,</w:t>
      </w:r>
      <w:r w:rsidRPr="00C43141">
        <w:rPr>
          <w:rFonts w:ascii="Palatino Linotype" w:hAnsi="Palatino Linotype"/>
          <w:bCs/>
        </w:rPr>
        <w:t xml:space="preserve"> 2006). Lustration has been either ‘…pivotal to the successful consolidation of state structures and the social basis for the establishment of democracy’ (David</w:t>
      </w:r>
      <w:r w:rsidR="0078593F">
        <w:rPr>
          <w:rFonts w:ascii="Palatino Linotype" w:hAnsi="Palatino Linotype"/>
          <w:bCs/>
        </w:rPr>
        <w:t>,</w:t>
      </w:r>
      <w:r w:rsidRPr="00C43141">
        <w:rPr>
          <w:rFonts w:ascii="Palatino Linotype" w:hAnsi="Palatino Linotype"/>
          <w:bCs/>
        </w:rPr>
        <w:t xml:space="preserve"> 2006</w:t>
      </w:r>
      <w:r w:rsidR="0078593F">
        <w:rPr>
          <w:rFonts w:ascii="Palatino Linotype" w:hAnsi="Palatino Linotype"/>
          <w:bCs/>
        </w:rPr>
        <w:t>:</w:t>
      </w:r>
      <w:r w:rsidRPr="00C43141">
        <w:rPr>
          <w:rFonts w:ascii="Palatino Linotype" w:hAnsi="Palatino Linotype"/>
          <w:bCs/>
        </w:rPr>
        <w:t xml:space="preserve"> 348) or has de-valued accountability, undermined security and abandoned ethical dimensions through ‘…orgies of revenge and</w:t>
      </w:r>
      <w:r w:rsidR="00D23857">
        <w:rPr>
          <w:rFonts w:ascii="Palatino Linotype" w:hAnsi="Palatino Linotype"/>
          <w:bCs/>
        </w:rPr>
        <w:t xml:space="preserve"> public humiliation’ (Chiu 2011:</w:t>
      </w:r>
      <w:r w:rsidRPr="00C43141">
        <w:rPr>
          <w:rFonts w:ascii="Palatino Linotype" w:hAnsi="Palatino Linotype"/>
          <w:bCs/>
        </w:rPr>
        <w:t xml:space="preserve"> 444). Lustration processes are essentially laws of ‘discontinuity of employment…’ (David &amp; </w:t>
      </w:r>
      <w:r w:rsidR="00D23857" w:rsidRPr="00D23857">
        <w:rPr>
          <w:rFonts w:ascii="Palatino Linotype" w:hAnsi="Palatino Linotype"/>
          <w:bCs/>
        </w:rPr>
        <w:t>Choi</w:t>
      </w:r>
      <w:r w:rsidRPr="00C43141">
        <w:rPr>
          <w:rFonts w:ascii="Palatino Linotype" w:hAnsi="Palatino Linotype"/>
          <w:bCs/>
        </w:rPr>
        <w:t>, 2006</w:t>
      </w:r>
      <w:r w:rsidR="00D23857">
        <w:rPr>
          <w:rFonts w:ascii="Palatino Linotype" w:hAnsi="Palatino Linotype"/>
          <w:bCs/>
        </w:rPr>
        <w:t>:</w:t>
      </w:r>
      <w:r w:rsidRPr="00C43141">
        <w:rPr>
          <w:rFonts w:ascii="Palatino Linotype" w:hAnsi="Palatino Linotype"/>
          <w:bCs/>
        </w:rPr>
        <w:t xml:space="preserve"> 340) that operate in variant ways regarding methods of dismissal, vetting procedures, procedural </w:t>
      </w:r>
      <w:proofErr w:type="gramStart"/>
      <w:r w:rsidRPr="00C43141">
        <w:rPr>
          <w:rFonts w:ascii="Palatino Linotype" w:hAnsi="Palatino Linotype"/>
          <w:bCs/>
        </w:rPr>
        <w:t>guarantees</w:t>
      </w:r>
      <w:proofErr w:type="gramEnd"/>
      <w:r w:rsidRPr="00C43141">
        <w:rPr>
          <w:rFonts w:ascii="Palatino Linotype" w:hAnsi="Palatino Linotype"/>
          <w:bCs/>
        </w:rPr>
        <w:t xml:space="preserve"> and evidential robustness (Horne</w:t>
      </w:r>
      <w:r w:rsidR="00FE73D0">
        <w:rPr>
          <w:rFonts w:ascii="Palatino Linotype" w:hAnsi="Palatino Linotype"/>
          <w:bCs/>
        </w:rPr>
        <w:t>,</w:t>
      </w:r>
      <w:r w:rsidRPr="00C43141">
        <w:rPr>
          <w:rFonts w:ascii="Palatino Linotype" w:hAnsi="Palatino Linotype"/>
          <w:bCs/>
        </w:rPr>
        <w:t xml:space="preserve"> 2014). They stretch from the relative maintenance of the status quo to explicit regime rupture. </w:t>
      </w:r>
    </w:p>
    <w:p w14:paraId="04FC6CE0" w14:textId="77777777" w:rsidR="00C43141" w:rsidRPr="00C43141" w:rsidRDefault="00C43141" w:rsidP="00C43141">
      <w:pPr>
        <w:jc w:val="both"/>
        <w:rPr>
          <w:rFonts w:ascii="Palatino Linotype" w:hAnsi="Palatino Linotype"/>
          <w:bCs/>
        </w:rPr>
      </w:pPr>
    </w:p>
    <w:p w14:paraId="62E99155" w14:textId="77777777" w:rsidR="00C43141" w:rsidRPr="00C43141" w:rsidRDefault="00C43141" w:rsidP="00C43141">
      <w:pPr>
        <w:jc w:val="both"/>
        <w:rPr>
          <w:rFonts w:ascii="Palatino Linotype" w:hAnsi="Palatino Linotype"/>
          <w:bCs/>
        </w:rPr>
      </w:pPr>
      <w:r w:rsidRPr="00C43141">
        <w:rPr>
          <w:rFonts w:ascii="Palatino Linotype" w:hAnsi="Palatino Linotype"/>
          <w:bCs/>
        </w:rPr>
        <w:t>In Iraq lustration is commonly known as de-</w:t>
      </w:r>
      <w:proofErr w:type="spellStart"/>
      <w:r w:rsidRPr="00C43141">
        <w:rPr>
          <w:rFonts w:ascii="Palatino Linotype" w:hAnsi="Palatino Linotype"/>
          <w:bCs/>
        </w:rPr>
        <w:t>Ba’athification</w:t>
      </w:r>
      <w:proofErr w:type="spellEnd"/>
      <w:r w:rsidRPr="00C43141">
        <w:rPr>
          <w:rFonts w:ascii="Palatino Linotype" w:hAnsi="Palatino Linotype"/>
          <w:bCs/>
        </w:rPr>
        <w:t xml:space="preserve"> and was normatively presented as transgressor removal in order to mask the desire to develop neo-liberal practice</w:t>
      </w:r>
      <w:r w:rsidRPr="00C43141">
        <w:rPr>
          <w:rFonts w:ascii="Palatino Linotype" w:hAnsi="Palatino Linotype"/>
          <w:bCs/>
          <w:vertAlign w:val="superscript"/>
        </w:rPr>
        <w:endnoteReference w:id="2"/>
      </w:r>
      <w:r w:rsidR="00027F82">
        <w:rPr>
          <w:rFonts w:ascii="Palatino Linotype" w:hAnsi="Palatino Linotype"/>
          <w:bCs/>
        </w:rPr>
        <w:t xml:space="preserve">, undermine Arab nationalism and </w:t>
      </w:r>
      <w:r w:rsidRPr="00C43141">
        <w:rPr>
          <w:rFonts w:ascii="Palatino Linotype" w:hAnsi="Palatino Linotype"/>
          <w:bCs/>
        </w:rPr>
        <w:t>rem</w:t>
      </w:r>
      <w:r w:rsidR="00027F82">
        <w:rPr>
          <w:rFonts w:ascii="Palatino Linotype" w:hAnsi="Palatino Linotype"/>
          <w:bCs/>
        </w:rPr>
        <w:t xml:space="preserve">ove those opposed to federalism, </w:t>
      </w:r>
      <w:r w:rsidRPr="00C43141">
        <w:rPr>
          <w:rFonts w:ascii="Palatino Linotype" w:hAnsi="Palatino Linotype"/>
          <w:bCs/>
        </w:rPr>
        <w:t>promoted secular values</w:t>
      </w:r>
      <w:r w:rsidR="00027F82">
        <w:rPr>
          <w:rFonts w:ascii="Palatino Linotype" w:hAnsi="Palatino Linotype"/>
          <w:bCs/>
        </w:rPr>
        <w:t xml:space="preserve"> or challenged the influence of Iran in the domestic politics of Iraq</w:t>
      </w:r>
      <w:r w:rsidRPr="00C43141">
        <w:rPr>
          <w:rFonts w:ascii="Palatino Linotype" w:hAnsi="Palatino Linotype"/>
          <w:bCs/>
        </w:rPr>
        <w:t>. An alliance emerged between exogenous and endogenous forces linked by their desire to undermine Ba’athism through proxy war mechanisms.   Lustration expanded the spaces of war (</w:t>
      </w:r>
      <w:proofErr w:type="spellStart"/>
      <w:r w:rsidRPr="00C43141">
        <w:rPr>
          <w:rFonts w:ascii="Palatino Linotype" w:hAnsi="Palatino Linotype"/>
          <w:bCs/>
        </w:rPr>
        <w:t>Sarat</w:t>
      </w:r>
      <w:proofErr w:type="spellEnd"/>
      <w:r w:rsidRPr="00C43141">
        <w:rPr>
          <w:rFonts w:ascii="Palatino Linotype" w:hAnsi="Palatino Linotype"/>
          <w:bCs/>
        </w:rPr>
        <w:t xml:space="preserve"> and Kearns, 1995) and emerged not as ‘… an impartial arbiter of conflict’ … but … ‘as an instrument of power’ that perpetuated ideological encounter via other means (Jones, 2016: 224). In sum, lustration evolved through ‘different social practices…’ that ‘… suppress different ways of </w:t>
      </w:r>
      <w:proofErr w:type="spellStart"/>
      <w:r w:rsidRPr="00C43141">
        <w:rPr>
          <w:rFonts w:ascii="Palatino Linotype" w:hAnsi="Palatino Linotype"/>
          <w:bCs/>
        </w:rPr>
        <w:t>organising</w:t>
      </w:r>
      <w:proofErr w:type="spellEnd"/>
      <w:r w:rsidRPr="00C43141">
        <w:rPr>
          <w:rFonts w:ascii="Palatino Linotype" w:hAnsi="Palatino Linotype"/>
          <w:bCs/>
        </w:rPr>
        <w:t xml:space="preserve"> legal, moral, and political responsibility’ (Werner, 2010: 61). </w:t>
      </w:r>
    </w:p>
    <w:p w14:paraId="3579606B" w14:textId="77777777" w:rsidR="00C43141" w:rsidRPr="00C43141" w:rsidRDefault="00C43141" w:rsidP="00C43141">
      <w:pPr>
        <w:jc w:val="both"/>
        <w:rPr>
          <w:rFonts w:ascii="Palatino Linotype" w:hAnsi="Palatino Linotype"/>
          <w:bCs/>
        </w:rPr>
      </w:pPr>
    </w:p>
    <w:p w14:paraId="0C74A9FD" w14:textId="27464BCF" w:rsidR="00066BB1" w:rsidRPr="00066BB1" w:rsidRDefault="00C43141" w:rsidP="00066BB1">
      <w:pPr>
        <w:jc w:val="both"/>
        <w:rPr>
          <w:rFonts w:ascii="Palatino Linotype" w:hAnsi="Palatino Linotype"/>
          <w:bCs/>
        </w:rPr>
      </w:pPr>
      <w:r w:rsidRPr="00C43141">
        <w:rPr>
          <w:rFonts w:ascii="Palatino Linotype" w:hAnsi="Palatino Linotype"/>
          <w:bCs/>
        </w:rPr>
        <w:t>In Iraq, lustration was a form of ethno-sectarian and identity power redistribution from generally Sunni Arab to Shia and Kurdish over-representation in the public sector</w:t>
      </w:r>
      <w:proofErr w:type="gramStart"/>
      <w:r w:rsidRPr="00C43141">
        <w:rPr>
          <w:rFonts w:ascii="Palatino Linotype" w:hAnsi="Palatino Linotype"/>
          <w:bCs/>
        </w:rPr>
        <w:t xml:space="preserve">   (</w:t>
      </w:r>
      <w:proofErr w:type="spellStart"/>
      <w:proofErr w:type="gramEnd"/>
      <w:r w:rsidRPr="00C43141">
        <w:rPr>
          <w:rFonts w:ascii="Palatino Linotype" w:hAnsi="Palatino Linotype"/>
          <w:bCs/>
        </w:rPr>
        <w:t>Wehrey</w:t>
      </w:r>
      <w:proofErr w:type="spellEnd"/>
      <w:r w:rsidRPr="00C43141">
        <w:rPr>
          <w:rFonts w:ascii="Palatino Linotype" w:hAnsi="Palatino Linotype"/>
          <w:bCs/>
        </w:rPr>
        <w:t xml:space="preserve">, 2014). That mission </w:t>
      </w:r>
      <w:proofErr w:type="spellStart"/>
      <w:r w:rsidRPr="00C43141">
        <w:rPr>
          <w:rFonts w:ascii="Palatino Linotype" w:hAnsi="Palatino Linotype"/>
          <w:bCs/>
        </w:rPr>
        <w:t>favoured</w:t>
      </w:r>
      <w:proofErr w:type="spellEnd"/>
      <w:r w:rsidRPr="00C43141">
        <w:rPr>
          <w:rFonts w:ascii="Palatino Linotype" w:hAnsi="Palatino Linotype"/>
          <w:bCs/>
        </w:rPr>
        <w:t xml:space="preserve"> an ethno-sectarian regulatory fit to be achieved through illegally banning the free press and electoral candidates (</w:t>
      </w:r>
      <w:r w:rsidR="00450F89" w:rsidRPr="00C43141">
        <w:rPr>
          <w:rFonts w:ascii="Palatino Linotype" w:hAnsi="Palatino Linotype"/>
          <w:bCs/>
        </w:rPr>
        <w:t>Al-Ali</w:t>
      </w:r>
      <w:r w:rsidR="00450F89">
        <w:rPr>
          <w:rFonts w:ascii="Palatino Linotype" w:hAnsi="Palatino Linotype"/>
          <w:bCs/>
        </w:rPr>
        <w:t>,</w:t>
      </w:r>
      <w:r w:rsidR="00450F89" w:rsidRPr="00C43141">
        <w:rPr>
          <w:rFonts w:ascii="Palatino Linotype" w:hAnsi="Palatino Linotype"/>
          <w:bCs/>
        </w:rPr>
        <w:t xml:space="preserve"> 2014; </w:t>
      </w:r>
      <w:r w:rsidRPr="00C43141">
        <w:rPr>
          <w:rFonts w:ascii="Palatino Linotype" w:hAnsi="Palatino Linotype"/>
          <w:bCs/>
        </w:rPr>
        <w:t>Haddad</w:t>
      </w:r>
      <w:r w:rsidR="00450F89">
        <w:rPr>
          <w:rFonts w:ascii="Palatino Linotype" w:hAnsi="Palatino Linotype"/>
          <w:bCs/>
        </w:rPr>
        <w:t>,</w:t>
      </w:r>
      <w:r w:rsidRPr="00C43141">
        <w:rPr>
          <w:rFonts w:ascii="Palatino Linotype" w:hAnsi="Palatino Linotype"/>
          <w:bCs/>
        </w:rPr>
        <w:t xml:space="preserve"> 2011; </w:t>
      </w:r>
      <w:commentRangeStart w:id="0"/>
      <w:r w:rsidR="00450F89" w:rsidRPr="00C43141">
        <w:rPr>
          <w:rFonts w:ascii="Palatino Linotype" w:hAnsi="Palatino Linotype"/>
          <w:bCs/>
        </w:rPr>
        <w:t>I</w:t>
      </w:r>
      <w:r w:rsidR="00450F89">
        <w:rPr>
          <w:rFonts w:ascii="Palatino Linotype" w:hAnsi="Palatino Linotype"/>
          <w:bCs/>
        </w:rPr>
        <w:t>smael and</w:t>
      </w:r>
      <w:r w:rsidR="00450F89" w:rsidRPr="00C43141">
        <w:rPr>
          <w:rFonts w:ascii="Palatino Linotype" w:hAnsi="Palatino Linotype"/>
          <w:bCs/>
        </w:rPr>
        <w:t xml:space="preserve"> Fuller, 2009</w:t>
      </w:r>
      <w:commentRangeEnd w:id="0"/>
      <w:r w:rsidR="00450F89">
        <w:rPr>
          <w:rFonts w:ascii="Palatino Linotype" w:hAnsi="Palatino Linotype"/>
          <w:bCs/>
        </w:rPr>
        <w:t xml:space="preserve">; </w:t>
      </w:r>
      <w:r w:rsidR="00450F89">
        <w:rPr>
          <w:rStyle w:val="CommentReference"/>
        </w:rPr>
        <w:commentReference w:id="0"/>
      </w:r>
      <w:r w:rsidRPr="00C43141">
        <w:rPr>
          <w:rFonts w:ascii="Palatino Linotype" w:hAnsi="Palatino Linotype"/>
          <w:bCs/>
        </w:rPr>
        <w:t>Katzman</w:t>
      </w:r>
      <w:r w:rsidR="00450F89">
        <w:rPr>
          <w:rFonts w:ascii="Palatino Linotype" w:hAnsi="Palatino Linotype"/>
          <w:bCs/>
        </w:rPr>
        <w:t>,</w:t>
      </w:r>
      <w:r w:rsidRPr="00C43141">
        <w:rPr>
          <w:rFonts w:ascii="Palatino Linotype" w:hAnsi="Palatino Linotype"/>
          <w:bCs/>
        </w:rPr>
        <w:t xml:space="preserve"> 2009). </w:t>
      </w:r>
      <w:r w:rsidR="00066BB1">
        <w:rPr>
          <w:rFonts w:ascii="Palatino Linotype" w:hAnsi="Palatino Linotype"/>
          <w:bCs/>
        </w:rPr>
        <w:t>Iraq emerged as a</w:t>
      </w:r>
      <w:r w:rsidR="00066BB1" w:rsidRPr="00066BB1">
        <w:rPr>
          <w:rFonts w:ascii="Palatino Linotype" w:hAnsi="Palatino Linotype"/>
          <w:bCs/>
        </w:rPr>
        <w:t xml:space="preserve"> highly interventionist state that was wea</w:t>
      </w:r>
      <w:r w:rsidR="00066BB1">
        <w:rPr>
          <w:rFonts w:ascii="Palatino Linotype" w:hAnsi="Palatino Linotype"/>
          <w:bCs/>
        </w:rPr>
        <w:t>kened by significant opposition. S</w:t>
      </w:r>
      <w:r w:rsidR="00066BB1" w:rsidRPr="00066BB1">
        <w:rPr>
          <w:rFonts w:ascii="Palatino Linotype" w:hAnsi="Palatino Linotype"/>
          <w:bCs/>
        </w:rPr>
        <w:t xml:space="preserve">uch threat persistently drove practices of sectarianized governance that developed </w:t>
      </w:r>
      <w:r w:rsidR="00066BB1">
        <w:rPr>
          <w:rFonts w:ascii="Palatino Linotype" w:hAnsi="Palatino Linotype"/>
          <w:bCs/>
        </w:rPr>
        <w:t xml:space="preserve">the new power holder’s </w:t>
      </w:r>
      <w:r w:rsidR="00066BB1" w:rsidRPr="00066BB1">
        <w:rPr>
          <w:rFonts w:ascii="Palatino Linotype" w:hAnsi="Palatino Linotype"/>
          <w:bCs/>
        </w:rPr>
        <w:t xml:space="preserve">capacity to manipulate and control public resources. The capacity for modes of democratic governance to emerge was initially undermined by the imposition of a Western ‘fix’ </w:t>
      </w:r>
      <w:r w:rsidR="00066BB1">
        <w:rPr>
          <w:rFonts w:ascii="Palatino Linotype" w:hAnsi="Palatino Linotype"/>
          <w:bCs/>
        </w:rPr>
        <w:t>that further entrenched Iraq’s complex, ethno-se</w:t>
      </w:r>
      <w:r w:rsidR="00066BB1" w:rsidRPr="00066BB1">
        <w:rPr>
          <w:rFonts w:ascii="Palatino Linotype" w:hAnsi="Palatino Linotype"/>
          <w:bCs/>
        </w:rPr>
        <w:t xml:space="preserve">ctarian and tribal </w:t>
      </w:r>
      <w:proofErr w:type="gramStart"/>
      <w:r w:rsidR="00066BB1" w:rsidRPr="00066BB1">
        <w:rPr>
          <w:rFonts w:ascii="Palatino Linotype" w:hAnsi="Palatino Linotype"/>
          <w:bCs/>
        </w:rPr>
        <w:t>loyalties</w:t>
      </w:r>
      <w:proofErr w:type="gramEnd"/>
      <w:r w:rsidR="00066BB1" w:rsidRPr="00066BB1">
        <w:rPr>
          <w:rFonts w:ascii="Palatino Linotype" w:hAnsi="Palatino Linotype"/>
          <w:bCs/>
        </w:rPr>
        <w:t xml:space="preserve"> and their manipulation</w:t>
      </w:r>
      <w:r w:rsidR="00066BB1" w:rsidRPr="00066BB1">
        <w:rPr>
          <w:rFonts w:ascii="Palatino Linotype" w:hAnsi="Palatino Linotype"/>
          <w:bCs/>
          <w:vertAlign w:val="superscript"/>
        </w:rPr>
        <w:endnoteReference w:id="3"/>
      </w:r>
      <w:r w:rsidR="00066BB1" w:rsidRPr="00066BB1">
        <w:rPr>
          <w:rFonts w:ascii="Palatino Linotype" w:hAnsi="Palatino Linotype"/>
          <w:bCs/>
        </w:rPr>
        <w:t xml:space="preserve"> (</w:t>
      </w:r>
      <w:r w:rsidR="007B0965">
        <w:rPr>
          <w:rFonts w:ascii="Palatino Linotype" w:hAnsi="Palatino Linotype"/>
          <w:bCs/>
        </w:rPr>
        <w:t>Brinkerhoff and</w:t>
      </w:r>
      <w:r w:rsidR="00066BB1">
        <w:rPr>
          <w:rFonts w:ascii="Palatino Linotype" w:hAnsi="Palatino Linotype"/>
          <w:bCs/>
        </w:rPr>
        <w:t xml:space="preserve"> Mayfield</w:t>
      </w:r>
      <w:r w:rsidR="007B0965">
        <w:rPr>
          <w:rFonts w:ascii="Palatino Linotype" w:hAnsi="Palatino Linotype"/>
          <w:bCs/>
        </w:rPr>
        <w:t>,</w:t>
      </w:r>
      <w:r w:rsidR="00066BB1">
        <w:rPr>
          <w:rFonts w:ascii="Palatino Linotype" w:hAnsi="Palatino Linotype"/>
          <w:bCs/>
        </w:rPr>
        <w:t xml:space="preserve"> </w:t>
      </w:r>
      <w:r w:rsidR="00066BB1">
        <w:rPr>
          <w:rFonts w:ascii="Palatino Linotype" w:hAnsi="Palatino Linotype"/>
          <w:bCs/>
        </w:rPr>
        <w:lastRenderedPageBreak/>
        <w:t xml:space="preserve">2005). An example of </w:t>
      </w:r>
      <w:r w:rsidR="00066BB1" w:rsidRPr="00066BB1">
        <w:rPr>
          <w:rFonts w:ascii="Palatino Linotype" w:hAnsi="Palatino Linotype"/>
          <w:bCs/>
        </w:rPr>
        <w:t>Western</w:t>
      </w:r>
      <w:r w:rsidR="00066BB1">
        <w:rPr>
          <w:rFonts w:ascii="Palatino Linotype" w:hAnsi="Palatino Linotype"/>
          <w:bCs/>
        </w:rPr>
        <w:t xml:space="preserve">-led regime </w:t>
      </w:r>
      <w:proofErr w:type="gramStart"/>
      <w:r w:rsidR="00066BB1">
        <w:rPr>
          <w:rFonts w:ascii="Palatino Linotype" w:hAnsi="Palatino Linotype"/>
          <w:bCs/>
        </w:rPr>
        <w:t>change</w:t>
      </w:r>
      <w:proofErr w:type="gramEnd"/>
      <w:r w:rsidR="00066BB1" w:rsidRPr="00066BB1">
        <w:rPr>
          <w:rFonts w:ascii="Palatino Linotype" w:hAnsi="Palatino Linotype"/>
          <w:bCs/>
        </w:rPr>
        <w:t xml:space="preserve"> </w:t>
      </w:r>
      <w:r w:rsidR="00066BB1">
        <w:rPr>
          <w:rFonts w:ascii="Palatino Linotype" w:hAnsi="Palatino Linotype"/>
          <w:bCs/>
        </w:rPr>
        <w:t xml:space="preserve">emboldening </w:t>
      </w:r>
      <w:r w:rsidR="00066BB1" w:rsidRPr="00066BB1">
        <w:rPr>
          <w:rFonts w:ascii="Palatino Linotype" w:hAnsi="Palatino Linotype"/>
          <w:bCs/>
        </w:rPr>
        <w:t>ethno-sectarian entrepreneurs by providing ‘the main vector through which they entrench their predominance’ (</w:t>
      </w:r>
      <w:commentRangeStart w:id="1"/>
      <w:proofErr w:type="spellStart"/>
      <w:r w:rsidR="00066BB1">
        <w:rPr>
          <w:rFonts w:ascii="Palatino Linotype" w:hAnsi="Palatino Linotype"/>
          <w:bCs/>
        </w:rPr>
        <w:t>Fakhoury</w:t>
      </w:r>
      <w:proofErr w:type="spellEnd"/>
      <w:r w:rsidR="00066BB1">
        <w:rPr>
          <w:rFonts w:ascii="Palatino Linotype" w:hAnsi="Palatino Linotype"/>
          <w:bCs/>
        </w:rPr>
        <w:t xml:space="preserve">, </w:t>
      </w:r>
      <w:r w:rsidR="007B0965">
        <w:rPr>
          <w:rFonts w:ascii="Palatino Linotype" w:hAnsi="Palatino Linotype"/>
          <w:bCs/>
        </w:rPr>
        <w:t>2014:</w:t>
      </w:r>
      <w:r w:rsidR="00066BB1" w:rsidRPr="00066BB1">
        <w:rPr>
          <w:rFonts w:ascii="Palatino Linotype" w:hAnsi="Palatino Linotype"/>
          <w:bCs/>
        </w:rPr>
        <w:t xml:space="preserve"> 134</w:t>
      </w:r>
      <w:commentRangeEnd w:id="1"/>
      <w:r w:rsidR="007B0965">
        <w:rPr>
          <w:rStyle w:val="CommentReference"/>
        </w:rPr>
        <w:commentReference w:id="1"/>
      </w:r>
      <w:r w:rsidR="00066BB1" w:rsidRPr="00066BB1">
        <w:rPr>
          <w:rFonts w:ascii="Palatino Linotype" w:hAnsi="Palatino Linotype"/>
          <w:bCs/>
        </w:rPr>
        <w:t>).</w:t>
      </w:r>
    </w:p>
    <w:p w14:paraId="72A9FC77" w14:textId="77777777" w:rsidR="00C43141" w:rsidRPr="00C43141" w:rsidRDefault="00C43141" w:rsidP="00C43141">
      <w:pPr>
        <w:jc w:val="both"/>
        <w:rPr>
          <w:rFonts w:ascii="Palatino Linotype" w:hAnsi="Palatino Linotype"/>
          <w:bCs/>
        </w:rPr>
      </w:pPr>
    </w:p>
    <w:p w14:paraId="7E474BDA" w14:textId="2ED6647C" w:rsidR="00C43141" w:rsidRPr="00C43141" w:rsidRDefault="00C43141" w:rsidP="00C43141">
      <w:pPr>
        <w:jc w:val="both"/>
        <w:rPr>
          <w:rFonts w:ascii="Palatino Linotype" w:hAnsi="Palatino Linotype"/>
          <w:bCs/>
        </w:rPr>
      </w:pPr>
      <w:r w:rsidRPr="00C43141">
        <w:rPr>
          <w:rFonts w:ascii="Palatino Linotype" w:hAnsi="Palatino Linotype"/>
          <w:bCs/>
        </w:rPr>
        <w:t>Lustration is not a static concept or a fixed set of practices but instead reflective of the power and capacity of those governing to determine both the fate and intention of those allied to the previous regime. It is within the principle of design, the objectives of implementation and the agency of agenda setting that the outcomes of and the reaction to lustration processes are established. In learning more about ethno-sectarian governance we read lustration as a system that produced variant experiences, ethno-sectarian classifications, modes of discipline and control</w:t>
      </w:r>
      <w:r w:rsidR="00CB7AD2">
        <w:rPr>
          <w:rFonts w:ascii="Palatino Linotype" w:hAnsi="Palatino Linotype"/>
          <w:bCs/>
        </w:rPr>
        <w:t xml:space="preserve"> (</w:t>
      </w:r>
      <w:r w:rsidR="00CB7AD2" w:rsidRPr="00CB7AD2">
        <w:rPr>
          <w:rFonts w:ascii="Palatino Linotype" w:hAnsi="Palatino Linotype"/>
          <w:bCs/>
        </w:rPr>
        <w:t>Prakash and</w:t>
      </w:r>
      <w:r w:rsidR="00CB7AD2">
        <w:rPr>
          <w:rFonts w:ascii="Palatino Linotype" w:hAnsi="Palatino Linotype"/>
          <w:bCs/>
        </w:rPr>
        <w:t xml:space="preserve"> Potoski, </w:t>
      </w:r>
      <w:r w:rsidR="00CB7AD2" w:rsidRPr="00CB7AD2">
        <w:rPr>
          <w:rFonts w:ascii="Palatino Linotype" w:hAnsi="Palatino Linotype"/>
          <w:bCs/>
        </w:rPr>
        <w:t>2016)</w:t>
      </w:r>
      <w:r w:rsidRPr="00C43141">
        <w:rPr>
          <w:rFonts w:ascii="Palatino Linotype" w:hAnsi="Palatino Linotype"/>
          <w:bCs/>
        </w:rPr>
        <w:t xml:space="preserve">. Understanding those processes requires measurement of lustration as a site of contestation and the capture of voices from opposing groups </w:t>
      </w:r>
      <w:proofErr w:type="gramStart"/>
      <w:r w:rsidRPr="00C43141">
        <w:rPr>
          <w:rFonts w:ascii="Palatino Linotype" w:hAnsi="Palatino Linotype"/>
          <w:bCs/>
        </w:rPr>
        <w:t>in order to</w:t>
      </w:r>
      <w:proofErr w:type="gramEnd"/>
      <w:r w:rsidRPr="00C43141">
        <w:rPr>
          <w:rFonts w:ascii="Palatino Linotype" w:hAnsi="Palatino Linotype"/>
          <w:bCs/>
        </w:rPr>
        <w:t xml:space="preserve"> achieve the required layer of analysis. We adopt </w:t>
      </w:r>
      <w:proofErr w:type="spellStart"/>
      <w:r w:rsidRPr="00C43141">
        <w:rPr>
          <w:rFonts w:ascii="Palatino Linotype" w:hAnsi="Palatino Linotype"/>
          <w:bCs/>
        </w:rPr>
        <w:t>Gready</w:t>
      </w:r>
      <w:proofErr w:type="spellEnd"/>
      <w:r w:rsidRPr="00C43141">
        <w:rPr>
          <w:rFonts w:ascii="Palatino Linotype" w:hAnsi="Palatino Linotype"/>
          <w:bCs/>
        </w:rPr>
        <w:t xml:space="preserve"> and Robins (2014) methodological approach that considers power as intersecting relationships of control and affect, as defined via the mediums of, delivery, </w:t>
      </w:r>
      <w:proofErr w:type="gramStart"/>
      <w:r w:rsidRPr="00C43141">
        <w:rPr>
          <w:rFonts w:ascii="Palatino Linotype" w:hAnsi="Palatino Linotype"/>
          <w:bCs/>
        </w:rPr>
        <w:t>intention</w:t>
      </w:r>
      <w:proofErr w:type="gramEnd"/>
      <w:r w:rsidRPr="00C43141">
        <w:rPr>
          <w:rFonts w:ascii="Palatino Linotype" w:hAnsi="Palatino Linotype"/>
          <w:bCs/>
        </w:rPr>
        <w:t xml:space="preserve"> and counter-reaction. </w:t>
      </w:r>
      <w:r w:rsidR="00F47A9B">
        <w:rPr>
          <w:rFonts w:ascii="Palatino Linotype" w:hAnsi="Palatino Linotype"/>
          <w:bCs/>
        </w:rPr>
        <w:t xml:space="preserve"> </w:t>
      </w:r>
      <w:r w:rsidRPr="00C43141">
        <w:rPr>
          <w:rFonts w:ascii="Palatino Linotype" w:hAnsi="Palatino Linotype"/>
          <w:bCs/>
        </w:rPr>
        <w:t>Lustration is here understood as the</w:t>
      </w:r>
      <w:r w:rsidR="00066BB1">
        <w:rPr>
          <w:rFonts w:ascii="Palatino Linotype" w:hAnsi="Palatino Linotype"/>
          <w:bCs/>
        </w:rPr>
        <w:t xml:space="preserve"> conveyance of state power as the outplaying of </w:t>
      </w:r>
      <w:r w:rsidRPr="00C43141">
        <w:rPr>
          <w:rFonts w:ascii="Palatino Linotype" w:hAnsi="Palatino Linotype"/>
          <w:bCs/>
        </w:rPr>
        <w:t>human agency, skewed social relations, fraud, political authoritarianism, variant law making and sectarianized political agency (</w:t>
      </w:r>
      <w:commentRangeStart w:id="2"/>
      <w:r w:rsidRPr="00C43141">
        <w:rPr>
          <w:rFonts w:ascii="Palatino Linotype" w:hAnsi="Palatino Linotype"/>
          <w:bCs/>
        </w:rPr>
        <w:t xml:space="preserve">Thomson </w:t>
      </w:r>
      <w:r w:rsidR="000158B1">
        <w:rPr>
          <w:rFonts w:ascii="Palatino Linotype" w:hAnsi="Palatino Linotype"/>
          <w:bCs/>
        </w:rPr>
        <w:t>and</w:t>
      </w:r>
      <w:r w:rsidRPr="00C43141">
        <w:rPr>
          <w:rFonts w:ascii="Palatino Linotype" w:hAnsi="Palatino Linotype"/>
          <w:bCs/>
        </w:rPr>
        <w:t xml:space="preserve"> Nagy</w:t>
      </w:r>
      <w:r w:rsidR="000158B1">
        <w:rPr>
          <w:rFonts w:ascii="Palatino Linotype" w:hAnsi="Palatino Linotype"/>
          <w:bCs/>
        </w:rPr>
        <w:t xml:space="preserve">, 2010: </w:t>
      </w:r>
      <w:r w:rsidRPr="00C43141">
        <w:rPr>
          <w:rFonts w:ascii="Palatino Linotype" w:hAnsi="Palatino Linotype"/>
          <w:bCs/>
        </w:rPr>
        <w:t>21</w:t>
      </w:r>
      <w:commentRangeEnd w:id="2"/>
      <w:r w:rsidR="000158B1">
        <w:rPr>
          <w:rStyle w:val="CommentReference"/>
        </w:rPr>
        <w:commentReference w:id="2"/>
      </w:r>
      <w:r w:rsidRPr="00C43141">
        <w:rPr>
          <w:rFonts w:ascii="Palatino Linotype" w:hAnsi="Palatino Linotype"/>
          <w:bCs/>
        </w:rPr>
        <w:t xml:space="preserve">). In understanding how lustration fashions and shapes political space we understand </w:t>
      </w:r>
      <w:r w:rsidR="00066BB1">
        <w:rPr>
          <w:rFonts w:ascii="Palatino Linotype" w:hAnsi="Palatino Linotype"/>
          <w:bCs/>
        </w:rPr>
        <w:t xml:space="preserve">modes of </w:t>
      </w:r>
      <w:r w:rsidRPr="00C43141">
        <w:rPr>
          <w:rFonts w:ascii="Palatino Linotype" w:hAnsi="Palatino Linotype"/>
          <w:bCs/>
        </w:rPr>
        <w:t>objectification and exclusion as ‘the literal mapping of p</w:t>
      </w:r>
      <w:r w:rsidR="00066BB1">
        <w:rPr>
          <w:rFonts w:ascii="Palatino Linotype" w:hAnsi="Palatino Linotype"/>
          <w:bCs/>
        </w:rPr>
        <w:t xml:space="preserve">ower relations…’ </w:t>
      </w:r>
      <w:r w:rsidRPr="00C43141">
        <w:rPr>
          <w:rFonts w:ascii="Palatino Linotype" w:hAnsi="Palatino Linotype"/>
          <w:bCs/>
        </w:rPr>
        <w:t xml:space="preserve">(Sibley, 1995: 11). </w:t>
      </w:r>
    </w:p>
    <w:p w14:paraId="1035D652" w14:textId="77777777" w:rsidR="00C43141" w:rsidRPr="00C43141" w:rsidRDefault="00C43141" w:rsidP="00C43141">
      <w:pPr>
        <w:jc w:val="both"/>
        <w:rPr>
          <w:rFonts w:ascii="Palatino Linotype" w:hAnsi="Palatino Linotype"/>
          <w:bCs/>
        </w:rPr>
      </w:pPr>
    </w:p>
    <w:p w14:paraId="7C6BBF75" w14:textId="328E0D60" w:rsidR="00C43141" w:rsidRPr="00C43141" w:rsidRDefault="00C43141" w:rsidP="00C43141">
      <w:pPr>
        <w:jc w:val="both"/>
        <w:rPr>
          <w:rFonts w:ascii="Palatino Linotype" w:hAnsi="Palatino Linotype"/>
          <w:bCs/>
        </w:rPr>
      </w:pPr>
      <w:r w:rsidRPr="00C43141">
        <w:rPr>
          <w:rFonts w:ascii="Palatino Linotype" w:hAnsi="Palatino Linotype"/>
          <w:bCs/>
        </w:rPr>
        <w:t>We do not question the removal of transgressors within the Ba’ath regime but instead acknowledge that lustration policies included acts that denied economic well-being, the security of economic activity and denial of full-citizenship to those who were guiltless or whose transgressions was unproven. How actors constructed the classification of those who were deemed as peripheral to the new political order is not only allied to an understanding of symbolic violence but is key to interpreting the performativity of doing so and the processes through which ‘… men and women … simply fall short, in the eyes of their judges, of the right way of being and doing’ (Bourdieu</w:t>
      </w:r>
      <w:r w:rsidR="005B505C">
        <w:rPr>
          <w:rFonts w:ascii="Palatino Linotype" w:hAnsi="Palatino Linotype"/>
          <w:bCs/>
        </w:rPr>
        <w:t>,</w:t>
      </w:r>
      <w:r w:rsidRPr="00C43141">
        <w:rPr>
          <w:rFonts w:ascii="Palatino Linotype" w:hAnsi="Palatino Linotype"/>
          <w:bCs/>
        </w:rPr>
        <w:t xml:space="preserve"> 1990</w:t>
      </w:r>
      <w:r w:rsidR="005B505C">
        <w:rPr>
          <w:rFonts w:ascii="Palatino Linotype" w:hAnsi="Palatino Linotype"/>
          <w:bCs/>
        </w:rPr>
        <w:t>:</w:t>
      </w:r>
      <w:r w:rsidRPr="00C43141">
        <w:rPr>
          <w:rFonts w:ascii="Palatino Linotype" w:hAnsi="Palatino Linotype"/>
          <w:bCs/>
        </w:rPr>
        <w:t xml:space="preserve"> 231).  In examining the process through which the concentration of state power was achieved we </w:t>
      </w:r>
      <w:proofErr w:type="spellStart"/>
      <w:r w:rsidRPr="00C43141">
        <w:rPr>
          <w:rFonts w:ascii="Palatino Linotype" w:hAnsi="Palatino Linotype"/>
          <w:bCs/>
        </w:rPr>
        <w:t>analyse</w:t>
      </w:r>
      <w:proofErr w:type="spellEnd"/>
      <w:r w:rsidRPr="00C43141">
        <w:rPr>
          <w:rFonts w:ascii="Palatino Linotype" w:hAnsi="Palatino Linotype"/>
          <w:bCs/>
        </w:rPr>
        <w:t xml:space="preserve"> the exchange of power from exogenous projection to endogenous control and how the measurement of state practice is a</w:t>
      </w:r>
      <w:r w:rsidR="004D1167">
        <w:rPr>
          <w:rFonts w:ascii="Palatino Linotype" w:hAnsi="Palatino Linotype"/>
          <w:bCs/>
        </w:rPr>
        <w:t xml:space="preserve">n analysis of </w:t>
      </w:r>
      <w:r w:rsidRPr="00C43141">
        <w:rPr>
          <w:rFonts w:ascii="Palatino Linotype" w:hAnsi="Palatino Linotype"/>
          <w:bCs/>
        </w:rPr>
        <w:t xml:space="preserve">contestation and purposeful friction. </w:t>
      </w:r>
    </w:p>
    <w:p w14:paraId="4C9CEA22" w14:textId="77777777" w:rsidR="00C43141" w:rsidRDefault="00C43141" w:rsidP="00E561BA">
      <w:pPr>
        <w:jc w:val="both"/>
        <w:rPr>
          <w:rFonts w:ascii="Palatino Linotype" w:hAnsi="Palatino Linotype"/>
          <w:b/>
          <w:bCs/>
        </w:rPr>
      </w:pPr>
    </w:p>
    <w:p w14:paraId="3ACEF34B" w14:textId="77777777" w:rsidR="00E561BA" w:rsidRPr="00E561BA" w:rsidRDefault="00C43141" w:rsidP="00E561BA">
      <w:pPr>
        <w:jc w:val="both"/>
        <w:rPr>
          <w:rFonts w:ascii="Palatino Linotype" w:hAnsi="Palatino Linotype"/>
          <w:b/>
          <w:bCs/>
        </w:rPr>
      </w:pPr>
      <w:r>
        <w:rPr>
          <w:rFonts w:ascii="Palatino Linotype" w:hAnsi="Palatino Linotype"/>
          <w:b/>
          <w:bCs/>
        </w:rPr>
        <w:t xml:space="preserve">The Emergence of </w:t>
      </w:r>
      <w:r w:rsidR="00E561BA" w:rsidRPr="00E561BA">
        <w:rPr>
          <w:rFonts w:ascii="Palatino Linotype" w:hAnsi="Palatino Linotype"/>
          <w:b/>
          <w:bCs/>
        </w:rPr>
        <w:t>Lustration</w:t>
      </w:r>
    </w:p>
    <w:p w14:paraId="30584F07" w14:textId="77777777" w:rsidR="00CA7CFF" w:rsidRDefault="00CA7CFF" w:rsidP="00E561BA">
      <w:pPr>
        <w:jc w:val="both"/>
        <w:rPr>
          <w:rFonts w:ascii="Palatino Linotype" w:hAnsi="Palatino Linotype"/>
          <w:bCs/>
        </w:rPr>
      </w:pPr>
    </w:p>
    <w:p w14:paraId="46DC7DA9" w14:textId="1A5AF68F" w:rsidR="00CA7CFF" w:rsidRDefault="00CA7CFF" w:rsidP="00CA7CFF">
      <w:pPr>
        <w:jc w:val="both"/>
        <w:rPr>
          <w:rFonts w:ascii="Palatino Linotype" w:hAnsi="Palatino Linotype"/>
          <w:bCs/>
        </w:rPr>
      </w:pPr>
      <w:r w:rsidRPr="00CA7CFF">
        <w:rPr>
          <w:rFonts w:ascii="Palatino Linotype" w:hAnsi="Palatino Linotype"/>
          <w:bCs/>
        </w:rPr>
        <w:lastRenderedPageBreak/>
        <w:t>The invasion of Iraq and the subsequent laws of regime change were normatively presented as democracy building through a process that could only appear reasonable if exogenous design</w:t>
      </w:r>
      <w:r w:rsidR="00632662">
        <w:rPr>
          <w:rFonts w:ascii="Palatino Linotype" w:hAnsi="Palatino Linotype"/>
          <w:bCs/>
        </w:rPr>
        <w:t xml:space="preserve"> via </w:t>
      </w:r>
      <w:r>
        <w:rPr>
          <w:rFonts w:ascii="Palatino Linotype" w:hAnsi="Palatino Linotype"/>
          <w:bCs/>
        </w:rPr>
        <w:t xml:space="preserve">the </w:t>
      </w:r>
      <w:r w:rsidR="00632662">
        <w:rPr>
          <w:rFonts w:ascii="Palatino Linotype" w:hAnsi="Palatino Linotype"/>
          <w:bCs/>
        </w:rPr>
        <w:t>Coalition Provisional Authority</w:t>
      </w:r>
      <w:r w:rsidR="001560CB">
        <w:rPr>
          <w:rStyle w:val="EndnoteReference"/>
          <w:rFonts w:ascii="Palatino Linotype" w:hAnsi="Palatino Linotype"/>
          <w:bCs/>
        </w:rPr>
        <w:endnoteReference w:id="4"/>
      </w:r>
      <w:r w:rsidR="00632662">
        <w:rPr>
          <w:rFonts w:ascii="Palatino Linotype" w:hAnsi="Palatino Linotype"/>
          <w:bCs/>
        </w:rPr>
        <w:t>,</w:t>
      </w:r>
      <w:r w:rsidRPr="00CA7CFF">
        <w:rPr>
          <w:rFonts w:ascii="Palatino Linotype" w:hAnsi="Palatino Linotype"/>
          <w:bCs/>
        </w:rPr>
        <w:t xml:space="preserve"> was paralleled by the agency of endogenous</w:t>
      </w:r>
      <w:r>
        <w:rPr>
          <w:rFonts w:ascii="Palatino Linotype" w:hAnsi="Palatino Linotype"/>
          <w:bCs/>
        </w:rPr>
        <w:t xml:space="preserve"> political control </w:t>
      </w:r>
      <w:r w:rsidR="00632662">
        <w:rPr>
          <w:rFonts w:ascii="Palatino Linotype" w:hAnsi="Palatino Linotype"/>
          <w:bCs/>
        </w:rPr>
        <w:t xml:space="preserve">through </w:t>
      </w:r>
      <w:r w:rsidR="004F45F7">
        <w:rPr>
          <w:rFonts w:ascii="Palatino Linotype" w:hAnsi="Palatino Linotype"/>
          <w:bCs/>
        </w:rPr>
        <w:t xml:space="preserve">an </w:t>
      </w:r>
      <w:r>
        <w:rPr>
          <w:rFonts w:ascii="Palatino Linotype" w:hAnsi="Palatino Linotype"/>
          <w:bCs/>
        </w:rPr>
        <w:t>Iraqi</w:t>
      </w:r>
      <w:r w:rsidR="00632662">
        <w:rPr>
          <w:rFonts w:ascii="Palatino Linotype" w:hAnsi="Palatino Linotype"/>
          <w:bCs/>
        </w:rPr>
        <w:t>-led</w:t>
      </w:r>
      <w:r>
        <w:rPr>
          <w:rFonts w:ascii="Palatino Linotype" w:hAnsi="Palatino Linotype"/>
          <w:bCs/>
        </w:rPr>
        <w:t xml:space="preserve"> transitional government</w:t>
      </w:r>
      <w:r w:rsidR="004F45F7">
        <w:rPr>
          <w:rFonts w:ascii="Palatino Linotype" w:hAnsi="Palatino Linotype"/>
          <w:bCs/>
        </w:rPr>
        <w:t xml:space="preserve"> </w:t>
      </w:r>
      <w:r w:rsidR="004F45F7" w:rsidRPr="004F45F7">
        <w:rPr>
          <w:rFonts w:ascii="Palatino Linotype" w:hAnsi="Palatino Linotype"/>
          <w:bCs/>
        </w:rPr>
        <w:t xml:space="preserve">(Chandrasekaran, 2006; </w:t>
      </w:r>
      <w:proofErr w:type="spellStart"/>
      <w:r w:rsidR="004F45F7" w:rsidRPr="004F45F7">
        <w:rPr>
          <w:rFonts w:ascii="Palatino Linotype" w:hAnsi="Palatino Linotype"/>
          <w:bCs/>
        </w:rPr>
        <w:t>D</w:t>
      </w:r>
      <w:r w:rsidR="004F45F7">
        <w:rPr>
          <w:rFonts w:ascii="Palatino Linotype" w:hAnsi="Palatino Linotype"/>
          <w:bCs/>
        </w:rPr>
        <w:t>awisha</w:t>
      </w:r>
      <w:proofErr w:type="spellEnd"/>
      <w:r w:rsidR="004F45F7">
        <w:rPr>
          <w:rFonts w:ascii="Palatino Linotype" w:hAnsi="Palatino Linotype"/>
          <w:bCs/>
        </w:rPr>
        <w:t xml:space="preserve">, 2009; </w:t>
      </w:r>
      <w:commentRangeStart w:id="3"/>
      <w:r w:rsidR="004F45F7">
        <w:rPr>
          <w:rFonts w:ascii="Palatino Linotype" w:hAnsi="Palatino Linotype"/>
          <w:bCs/>
        </w:rPr>
        <w:t xml:space="preserve">Ó </w:t>
      </w:r>
      <w:proofErr w:type="spellStart"/>
      <w:r w:rsidR="004F45F7">
        <w:rPr>
          <w:rFonts w:ascii="Palatino Linotype" w:hAnsi="Palatino Linotype"/>
          <w:bCs/>
        </w:rPr>
        <w:t>Tuathail</w:t>
      </w:r>
      <w:proofErr w:type="spellEnd"/>
      <w:r w:rsidR="004F45F7">
        <w:rPr>
          <w:rFonts w:ascii="Palatino Linotype" w:hAnsi="Palatino Linotype"/>
          <w:bCs/>
        </w:rPr>
        <w:t>, 1996</w:t>
      </w:r>
      <w:commentRangeEnd w:id="3"/>
      <w:r w:rsidR="005B505C">
        <w:rPr>
          <w:rStyle w:val="CommentReference"/>
        </w:rPr>
        <w:commentReference w:id="3"/>
      </w:r>
      <w:r w:rsidR="004F45F7">
        <w:rPr>
          <w:rFonts w:ascii="Palatino Linotype" w:hAnsi="Palatino Linotype"/>
          <w:bCs/>
        </w:rPr>
        <w:t>)</w:t>
      </w:r>
      <w:r>
        <w:rPr>
          <w:rFonts w:ascii="Palatino Linotype" w:hAnsi="Palatino Linotype"/>
          <w:bCs/>
        </w:rPr>
        <w:t xml:space="preserve">. </w:t>
      </w:r>
      <w:r w:rsidR="00632662">
        <w:rPr>
          <w:rFonts w:ascii="Palatino Linotype" w:hAnsi="Palatino Linotype"/>
          <w:bCs/>
        </w:rPr>
        <w:t xml:space="preserve">Each set of </w:t>
      </w:r>
      <w:r w:rsidR="004F45F7">
        <w:rPr>
          <w:rFonts w:ascii="Palatino Linotype" w:hAnsi="Palatino Linotype"/>
          <w:bCs/>
        </w:rPr>
        <w:t xml:space="preserve">adherents </w:t>
      </w:r>
      <w:r>
        <w:rPr>
          <w:rFonts w:ascii="Palatino Linotype" w:hAnsi="Palatino Linotype"/>
          <w:bCs/>
        </w:rPr>
        <w:t xml:space="preserve">presented </w:t>
      </w:r>
      <w:r w:rsidR="004F45F7">
        <w:rPr>
          <w:rFonts w:ascii="Palatino Linotype" w:hAnsi="Palatino Linotype"/>
          <w:bCs/>
        </w:rPr>
        <w:t xml:space="preserve">the </w:t>
      </w:r>
      <w:r w:rsidRPr="00CA7CFF">
        <w:rPr>
          <w:rFonts w:ascii="Palatino Linotype" w:hAnsi="Palatino Linotype"/>
          <w:bCs/>
        </w:rPr>
        <w:t xml:space="preserve">legality </w:t>
      </w:r>
      <w:r w:rsidR="004F45F7">
        <w:rPr>
          <w:rFonts w:ascii="Palatino Linotype" w:hAnsi="Palatino Linotype"/>
          <w:bCs/>
        </w:rPr>
        <w:t xml:space="preserve">of such power exchange as a normative process </w:t>
      </w:r>
      <w:r>
        <w:rPr>
          <w:rFonts w:ascii="Palatino Linotype" w:hAnsi="Palatino Linotype"/>
          <w:bCs/>
        </w:rPr>
        <w:t xml:space="preserve">that </w:t>
      </w:r>
      <w:r w:rsidRPr="00CA7CFF">
        <w:rPr>
          <w:rFonts w:ascii="Palatino Linotype" w:hAnsi="Palatino Linotype"/>
          <w:bCs/>
        </w:rPr>
        <w:t>mask</w:t>
      </w:r>
      <w:r>
        <w:rPr>
          <w:rFonts w:ascii="Palatino Linotype" w:hAnsi="Palatino Linotype"/>
          <w:bCs/>
        </w:rPr>
        <w:t>ed the</w:t>
      </w:r>
      <w:r w:rsidRPr="00CA7CFF">
        <w:rPr>
          <w:rFonts w:ascii="Palatino Linotype" w:hAnsi="Palatino Linotype"/>
          <w:bCs/>
        </w:rPr>
        <w:t xml:space="preserve"> intentions </w:t>
      </w:r>
      <w:r>
        <w:rPr>
          <w:rFonts w:ascii="Palatino Linotype" w:hAnsi="Palatino Linotype"/>
          <w:bCs/>
        </w:rPr>
        <w:t xml:space="preserve">of </w:t>
      </w:r>
      <w:r w:rsidRPr="00CA7CFF">
        <w:rPr>
          <w:rFonts w:ascii="Palatino Linotype" w:hAnsi="Palatino Linotype"/>
          <w:bCs/>
        </w:rPr>
        <w:t>neo-liberal</w:t>
      </w:r>
      <w:r w:rsidR="004F45F7">
        <w:rPr>
          <w:rFonts w:ascii="Palatino Linotype" w:hAnsi="Palatino Linotype"/>
          <w:bCs/>
        </w:rPr>
        <w:t xml:space="preserve"> progression</w:t>
      </w:r>
      <w:r>
        <w:rPr>
          <w:rFonts w:ascii="Palatino Linotype" w:hAnsi="Palatino Linotype"/>
          <w:bCs/>
        </w:rPr>
        <w:t xml:space="preserve"> </w:t>
      </w:r>
      <w:r w:rsidRPr="00CA7CFF">
        <w:rPr>
          <w:rFonts w:ascii="Palatino Linotype" w:hAnsi="Palatino Linotype"/>
          <w:bCs/>
        </w:rPr>
        <w:t>and hegemony-building (Gregory</w:t>
      </w:r>
      <w:r w:rsidR="005B505C">
        <w:rPr>
          <w:rFonts w:ascii="Palatino Linotype" w:hAnsi="Palatino Linotype"/>
          <w:bCs/>
        </w:rPr>
        <w:t>,</w:t>
      </w:r>
      <w:r w:rsidRPr="00CA7CFF">
        <w:rPr>
          <w:rFonts w:ascii="Palatino Linotype" w:hAnsi="Palatino Linotype"/>
          <w:bCs/>
        </w:rPr>
        <w:t xml:space="preserve"> 2011; </w:t>
      </w:r>
      <w:proofErr w:type="spellStart"/>
      <w:r w:rsidRPr="00CA7CFF">
        <w:rPr>
          <w:rFonts w:ascii="Palatino Linotype" w:hAnsi="Palatino Linotype"/>
          <w:bCs/>
        </w:rPr>
        <w:t>D’Arcus</w:t>
      </w:r>
      <w:proofErr w:type="spellEnd"/>
      <w:r w:rsidR="005B505C">
        <w:rPr>
          <w:rFonts w:ascii="Palatino Linotype" w:hAnsi="Palatino Linotype"/>
          <w:bCs/>
        </w:rPr>
        <w:t>,</w:t>
      </w:r>
      <w:r w:rsidRPr="00CA7CFF">
        <w:rPr>
          <w:rFonts w:ascii="Palatino Linotype" w:hAnsi="Palatino Linotype"/>
          <w:bCs/>
        </w:rPr>
        <w:t xml:space="preserve"> 2014; </w:t>
      </w:r>
      <w:proofErr w:type="spellStart"/>
      <w:r w:rsidRPr="00CA7CFF">
        <w:rPr>
          <w:rFonts w:ascii="Palatino Linotype" w:hAnsi="Palatino Linotype"/>
          <w:bCs/>
        </w:rPr>
        <w:t>Kedar</w:t>
      </w:r>
      <w:proofErr w:type="spellEnd"/>
      <w:r w:rsidR="005B505C">
        <w:rPr>
          <w:rFonts w:ascii="Palatino Linotype" w:hAnsi="Palatino Linotype"/>
          <w:bCs/>
        </w:rPr>
        <w:t>,</w:t>
      </w:r>
      <w:r w:rsidRPr="00CA7CFF">
        <w:rPr>
          <w:rFonts w:ascii="Palatino Linotype" w:hAnsi="Palatino Linotype"/>
          <w:bCs/>
        </w:rPr>
        <w:t xml:space="preserve"> 2014; </w:t>
      </w:r>
      <w:commentRangeStart w:id="4"/>
      <w:r w:rsidRPr="00CA7CFF">
        <w:rPr>
          <w:rFonts w:ascii="Palatino Linotype" w:hAnsi="Palatino Linotype"/>
          <w:bCs/>
        </w:rPr>
        <w:t>Morrissey</w:t>
      </w:r>
      <w:r w:rsidR="005B505C">
        <w:rPr>
          <w:rFonts w:ascii="Palatino Linotype" w:hAnsi="Palatino Linotype"/>
          <w:bCs/>
        </w:rPr>
        <w:t>,</w:t>
      </w:r>
      <w:r w:rsidRPr="00CA7CFF">
        <w:rPr>
          <w:rFonts w:ascii="Palatino Linotype" w:hAnsi="Palatino Linotype"/>
          <w:bCs/>
        </w:rPr>
        <w:t xml:space="preserve"> 2011</w:t>
      </w:r>
      <w:commentRangeEnd w:id="4"/>
      <w:r w:rsidR="005B505C">
        <w:rPr>
          <w:rStyle w:val="CommentReference"/>
        </w:rPr>
        <w:commentReference w:id="4"/>
      </w:r>
      <w:r w:rsidRPr="00CA7CFF">
        <w:rPr>
          <w:rFonts w:ascii="Palatino Linotype" w:hAnsi="Palatino Linotype"/>
          <w:bCs/>
        </w:rPr>
        <w:t xml:space="preserve">). </w:t>
      </w:r>
    </w:p>
    <w:p w14:paraId="13CD8621" w14:textId="77777777" w:rsidR="004F45F7" w:rsidRPr="00CA7CFF" w:rsidRDefault="004F45F7" w:rsidP="00CA7CFF">
      <w:pPr>
        <w:jc w:val="both"/>
        <w:rPr>
          <w:rFonts w:ascii="Palatino Linotype" w:hAnsi="Palatino Linotype"/>
          <w:bCs/>
        </w:rPr>
      </w:pPr>
    </w:p>
    <w:p w14:paraId="4E9F4946" w14:textId="77777777" w:rsidR="00537E8B" w:rsidRPr="00537E8B" w:rsidRDefault="00CA7CFF" w:rsidP="00537E8B">
      <w:pPr>
        <w:jc w:val="both"/>
        <w:rPr>
          <w:rFonts w:ascii="Palatino Linotype" w:hAnsi="Palatino Linotype"/>
          <w:bCs/>
        </w:rPr>
      </w:pPr>
      <w:r>
        <w:rPr>
          <w:rFonts w:ascii="Palatino Linotype" w:hAnsi="Palatino Linotype"/>
          <w:bCs/>
        </w:rPr>
        <w:t xml:space="preserve">Lustration </w:t>
      </w:r>
      <w:r w:rsidRPr="00CA7CFF">
        <w:rPr>
          <w:rFonts w:ascii="Palatino Linotype" w:hAnsi="Palatino Linotype"/>
          <w:bCs/>
        </w:rPr>
        <w:t>through ‘… new technologies of order and regulation’ (</w:t>
      </w:r>
      <w:proofErr w:type="spellStart"/>
      <w:r w:rsidRPr="00CA7CFF">
        <w:rPr>
          <w:rFonts w:ascii="Palatino Linotype" w:hAnsi="Palatino Linotype"/>
          <w:bCs/>
        </w:rPr>
        <w:t>Comaroff</w:t>
      </w:r>
      <w:proofErr w:type="spellEnd"/>
      <w:r w:rsidRPr="00CA7CFF">
        <w:rPr>
          <w:rFonts w:ascii="Palatino Linotype" w:hAnsi="Palatino Linotype"/>
          <w:bCs/>
        </w:rPr>
        <w:t xml:space="preserve"> and </w:t>
      </w:r>
      <w:proofErr w:type="spellStart"/>
      <w:r w:rsidRPr="00CA7CFF">
        <w:rPr>
          <w:rFonts w:ascii="Palatino Linotype" w:hAnsi="Palatino Linotype"/>
          <w:bCs/>
        </w:rPr>
        <w:t>Comaroff</w:t>
      </w:r>
      <w:proofErr w:type="spellEnd"/>
      <w:r w:rsidRPr="00CA7CFF">
        <w:rPr>
          <w:rFonts w:ascii="Palatino Linotype" w:hAnsi="Palatino Linotype"/>
          <w:bCs/>
        </w:rPr>
        <w:t>, 2006: 3)</w:t>
      </w:r>
      <w:r w:rsidR="004F45F7">
        <w:rPr>
          <w:rFonts w:ascii="Palatino Linotype" w:hAnsi="Palatino Linotype"/>
          <w:bCs/>
        </w:rPr>
        <w:t xml:space="preserve"> was proxy war based.</w:t>
      </w:r>
      <w:r w:rsidRPr="00CA7CFF">
        <w:rPr>
          <w:rFonts w:ascii="Palatino Linotype" w:hAnsi="Palatino Linotype"/>
          <w:bCs/>
        </w:rPr>
        <w:t xml:space="preserve"> </w:t>
      </w:r>
      <w:r w:rsidR="00424E75">
        <w:rPr>
          <w:rFonts w:ascii="Palatino Linotype" w:hAnsi="Palatino Linotype"/>
          <w:bCs/>
        </w:rPr>
        <w:t xml:space="preserve">Lustration as a product of </w:t>
      </w:r>
      <w:r>
        <w:rPr>
          <w:rFonts w:ascii="Palatino Linotype" w:hAnsi="Palatino Linotype"/>
          <w:bCs/>
        </w:rPr>
        <w:t>regime change</w:t>
      </w:r>
      <w:r w:rsidR="00632662">
        <w:rPr>
          <w:rFonts w:ascii="Palatino Linotype" w:hAnsi="Palatino Linotype"/>
          <w:bCs/>
        </w:rPr>
        <w:t xml:space="preserve"> in Iraq</w:t>
      </w:r>
      <w:r w:rsidRPr="00CA7CFF">
        <w:rPr>
          <w:rFonts w:ascii="Palatino Linotype" w:hAnsi="Palatino Linotype"/>
          <w:bCs/>
        </w:rPr>
        <w:t>, is essentially a study in the transformation</w:t>
      </w:r>
      <w:r>
        <w:rPr>
          <w:rFonts w:ascii="Palatino Linotype" w:hAnsi="Palatino Linotype"/>
          <w:bCs/>
        </w:rPr>
        <w:t xml:space="preserve"> of politico-military relations and the pursuit of an external agenda </w:t>
      </w:r>
      <w:r w:rsidR="00DD3AC0">
        <w:rPr>
          <w:rFonts w:ascii="Palatino Linotype" w:hAnsi="Palatino Linotype"/>
          <w:bCs/>
        </w:rPr>
        <w:t xml:space="preserve">delivered </w:t>
      </w:r>
      <w:r>
        <w:rPr>
          <w:rFonts w:ascii="Palatino Linotype" w:hAnsi="Palatino Linotype"/>
          <w:bCs/>
        </w:rPr>
        <w:t xml:space="preserve">through </w:t>
      </w:r>
      <w:r w:rsidRPr="00CA7CFF">
        <w:rPr>
          <w:rFonts w:ascii="Palatino Linotype" w:hAnsi="Palatino Linotype"/>
          <w:bCs/>
        </w:rPr>
        <w:t>domestic elites</w:t>
      </w:r>
      <w:r>
        <w:rPr>
          <w:rFonts w:ascii="Palatino Linotype" w:hAnsi="Palatino Linotype"/>
          <w:bCs/>
        </w:rPr>
        <w:t>.</w:t>
      </w:r>
      <w:r w:rsidRPr="00CA7CFF">
        <w:rPr>
          <w:rFonts w:ascii="Palatino Linotype" w:hAnsi="Palatino Linotype"/>
          <w:bCs/>
        </w:rPr>
        <w:t xml:space="preserve"> Normatively dressed as even-handed law-making its true meaning was to construct </w:t>
      </w:r>
      <w:r w:rsidR="004F45F7">
        <w:rPr>
          <w:rFonts w:ascii="Palatino Linotype" w:hAnsi="Palatino Linotype"/>
          <w:bCs/>
        </w:rPr>
        <w:t>the</w:t>
      </w:r>
      <w:r w:rsidRPr="00CA7CFF">
        <w:rPr>
          <w:rFonts w:ascii="Palatino Linotype" w:hAnsi="Palatino Linotype"/>
          <w:bCs/>
        </w:rPr>
        <w:t xml:space="preserve"> purging </w:t>
      </w:r>
      <w:r w:rsidR="004F45F7">
        <w:rPr>
          <w:rFonts w:ascii="Palatino Linotype" w:hAnsi="Palatino Linotype"/>
          <w:bCs/>
        </w:rPr>
        <w:t xml:space="preserve">of public space </w:t>
      </w:r>
      <w:r w:rsidRPr="00CA7CFF">
        <w:rPr>
          <w:rFonts w:ascii="Palatino Linotype" w:hAnsi="Palatino Linotype"/>
          <w:bCs/>
        </w:rPr>
        <w:t xml:space="preserve">as ‘necessary’ as there was an ‘other’ that was ‘… beyond regulation, beyond reason, beyond comprehension’ (Gregory, 2008: 9). </w:t>
      </w:r>
      <w:r w:rsidR="004F45F7">
        <w:rPr>
          <w:rFonts w:ascii="Palatino Linotype" w:hAnsi="Palatino Linotype"/>
          <w:bCs/>
        </w:rPr>
        <w:t xml:space="preserve">Lustration </w:t>
      </w:r>
      <w:r w:rsidR="00632662">
        <w:rPr>
          <w:rFonts w:ascii="Palatino Linotype" w:hAnsi="Palatino Linotype"/>
          <w:bCs/>
        </w:rPr>
        <w:t xml:space="preserve">aimed to </w:t>
      </w:r>
      <w:r w:rsidRPr="00CA7CFF">
        <w:rPr>
          <w:rFonts w:ascii="Palatino Linotype" w:hAnsi="Palatino Linotype"/>
          <w:bCs/>
        </w:rPr>
        <w:t>de-</w:t>
      </w:r>
      <w:proofErr w:type="spellStart"/>
      <w:r w:rsidRPr="00CA7CFF">
        <w:rPr>
          <w:rFonts w:ascii="Palatino Linotype" w:hAnsi="Palatino Linotype"/>
          <w:bCs/>
        </w:rPr>
        <w:t>legitimise</w:t>
      </w:r>
      <w:proofErr w:type="spellEnd"/>
      <w:r w:rsidR="004F45F7">
        <w:rPr>
          <w:rFonts w:ascii="Palatino Linotype" w:hAnsi="Palatino Linotype"/>
          <w:bCs/>
        </w:rPr>
        <w:t xml:space="preserve"> opposition through a legal form </w:t>
      </w:r>
      <w:r w:rsidR="00537E8B">
        <w:rPr>
          <w:rFonts w:ascii="Palatino Linotype" w:hAnsi="Palatino Linotype"/>
          <w:bCs/>
        </w:rPr>
        <w:t xml:space="preserve">that </w:t>
      </w:r>
      <w:r w:rsidRPr="00CA7CFF">
        <w:rPr>
          <w:rFonts w:ascii="Palatino Linotype" w:hAnsi="Palatino Linotype"/>
          <w:bCs/>
        </w:rPr>
        <w:t>‘supplement</w:t>
      </w:r>
      <w:r w:rsidR="00537E8B">
        <w:rPr>
          <w:rFonts w:ascii="Palatino Linotype" w:hAnsi="Palatino Linotype"/>
          <w:bCs/>
        </w:rPr>
        <w:t>(ed) (the)</w:t>
      </w:r>
      <w:r w:rsidRPr="00CA7CFF">
        <w:rPr>
          <w:rFonts w:ascii="Palatino Linotype" w:hAnsi="Palatino Linotype"/>
          <w:bCs/>
        </w:rPr>
        <w:t xml:space="preserve"> use of force with less destructive and </w:t>
      </w:r>
      <w:r w:rsidR="00537E8B">
        <w:rPr>
          <w:rFonts w:ascii="Palatino Linotype" w:hAnsi="Palatino Linotype"/>
          <w:bCs/>
        </w:rPr>
        <w:t xml:space="preserve">less costly-means’ </w:t>
      </w:r>
      <w:r w:rsidR="00E70F60">
        <w:rPr>
          <w:rFonts w:ascii="Palatino Linotype" w:hAnsi="Palatino Linotype"/>
          <w:bCs/>
        </w:rPr>
        <w:t xml:space="preserve">than war </w:t>
      </w:r>
      <w:r w:rsidR="00537E8B">
        <w:rPr>
          <w:rFonts w:ascii="Palatino Linotype" w:hAnsi="Palatino Linotype"/>
          <w:bCs/>
        </w:rPr>
        <w:t>(Kennedy, 200</w:t>
      </w:r>
      <w:r w:rsidRPr="00CA7CFF">
        <w:rPr>
          <w:rFonts w:ascii="Palatino Linotype" w:hAnsi="Palatino Linotype"/>
          <w:bCs/>
        </w:rPr>
        <w:t xml:space="preserve">6: 66). In managing </w:t>
      </w:r>
      <w:r w:rsidR="00537E8B">
        <w:rPr>
          <w:rFonts w:ascii="Palatino Linotype" w:hAnsi="Palatino Linotype"/>
          <w:bCs/>
        </w:rPr>
        <w:t xml:space="preserve">the </w:t>
      </w:r>
      <w:r>
        <w:rPr>
          <w:rFonts w:ascii="Palatino Linotype" w:hAnsi="Palatino Linotype"/>
          <w:bCs/>
        </w:rPr>
        <w:t>intenti</w:t>
      </w:r>
      <w:r w:rsidR="0049506B">
        <w:rPr>
          <w:rFonts w:ascii="Palatino Linotype" w:hAnsi="Palatino Linotype"/>
          <w:bCs/>
        </w:rPr>
        <w:t>ons of war</w:t>
      </w:r>
      <w:r w:rsidR="00F14468">
        <w:rPr>
          <w:rFonts w:ascii="Palatino Linotype" w:hAnsi="Palatino Linotype"/>
          <w:bCs/>
        </w:rPr>
        <w:t xml:space="preserve"> through post-i</w:t>
      </w:r>
      <w:r w:rsidR="00537E8B">
        <w:rPr>
          <w:rFonts w:ascii="Palatino Linotype" w:hAnsi="Palatino Linotype"/>
          <w:bCs/>
        </w:rPr>
        <w:t xml:space="preserve">nvasion law making </w:t>
      </w:r>
      <w:r w:rsidR="0049506B">
        <w:rPr>
          <w:rFonts w:ascii="Palatino Linotype" w:hAnsi="Palatino Linotype"/>
          <w:bCs/>
        </w:rPr>
        <w:t xml:space="preserve">lustration </w:t>
      </w:r>
      <w:r>
        <w:rPr>
          <w:rFonts w:ascii="Palatino Linotype" w:hAnsi="Palatino Linotype"/>
          <w:bCs/>
        </w:rPr>
        <w:t>developed</w:t>
      </w:r>
      <w:r w:rsidRPr="00CA7CFF">
        <w:rPr>
          <w:rFonts w:ascii="Palatino Linotype" w:hAnsi="Palatino Linotype"/>
          <w:bCs/>
        </w:rPr>
        <w:t xml:space="preserve"> as ‘a weapon designed to destroy the enemy by using, misusing, and abusing the legal system and the media in order to raise a public outcry</w:t>
      </w:r>
      <w:r w:rsidR="008A2E38">
        <w:rPr>
          <w:rFonts w:ascii="Palatino Linotype" w:hAnsi="Palatino Linotype"/>
          <w:bCs/>
        </w:rPr>
        <w:t>…</w:t>
      </w:r>
      <w:r w:rsidRPr="00CA7CFF">
        <w:rPr>
          <w:rFonts w:ascii="Palatino Linotype" w:hAnsi="Palatino Linotype"/>
          <w:bCs/>
        </w:rPr>
        <w:t>’ (</w:t>
      </w:r>
      <w:proofErr w:type="spellStart"/>
      <w:r w:rsidRPr="00CA7CFF">
        <w:rPr>
          <w:rFonts w:ascii="Palatino Linotype" w:hAnsi="Palatino Linotype"/>
          <w:bCs/>
        </w:rPr>
        <w:t>Tiefenbrun</w:t>
      </w:r>
      <w:proofErr w:type="spellEnd"/>
      <w:r w:rsidRPr="00CA7CFF">
        <w:rPr>
          <w:rFonts w:ascii="Palatino Linotype" w:hAnsi="Palatino Linotype"/>
          <w:bCs/>
        </w:rPr>
        <w:t xml:space="preserve">, 2010: 32). </w:t>
      </w:r>
      <w:r w:rsidR="00537E8B">
        <w:rPr>
          <w:rFonts w:ascii="Palatino Linotype" w:hAnsi="Palatino Linotype"/>
          <w:bCs/>
        </w:rPr>
        <w:t>S</w:t>
      </w:r>
      <w:r w:rsidR="00537E8B" w:rsidRPr="00537E8B">
        <w:rPr>
          <w:rFonts w:ascii="Palatino Linotype" w:hAnsi="Palatino Linotype"/>
          <w:bCs/>
        </w:rPr>
        <w:t>uch interactions not only intentionally mold</w:t>
      </w:r>
      <w:r w:rsidR="00F14468">
        <w:rPr>
          <w:rFonts w:ascii="Palatino Linotype" w:hAnsi="Palatino Linotype"/>
          <w:bCs/>
        </w:rPr>
        <w:t>ed</w:t>
      </w:r>
      <w:r w:rsidR="00537E8B" w:rsidRPr="00537E8B">
        <w:rPr>
          <w:rFonts w:ascii="Palatino Linotype" w:hAnsi="Palatino Linotype"/>
          <w:bCs/>
        </w:rPr>
        <w:t xml:space="preserve"> spaces of exclusion</w:t>
      </w:r>
      <w:r w:rsidR="00537E8B">
        <w:rPr>
          <w:rFonts w:ascii="Palatino Linotype" w:hAnsi="Palatino Linotype"/>
          <w:bCs/>
        </w:rPr>
        <w:t xml:space="preserve"> but are a </w:t>
      </w:r>
      <w:r w:rsidR="00537E8B" w:rsidRPr="00537E8B">
        <w:rPr>
          <w:rFonts w:ascii="Palatino Linotype" w:hAnsi="Palatino Linotype"/>
          <w:bCs/>
        </w:rPr>
        <w:t>reminder that force is the phenomena of law that ‘… has no relation to law, or maintains such a strange relation to it that it may just as well command the ‘droit’ that excludes it’ (Derrida, 1992: 58).</w:t>
      </w:r>
    </w:p>
    <w:p w14:paraId="4FCADF7D" w14:textId="77777777" w:rsidR="00CA7CFF" w:rsidRPr="00CA7CFF" w:rsidRDefault="00CA7CFF" w:rsidP="00CA7CFF">
      <w:pPr>
        <w:jc w:val="both"/>
        <w:rPr>
          <w:rFonts w:ascii="Palatino Linotype" w:hAnsi="Palatino Linotype"/>
          <w:bCs/>
        </w:rPr>
      </w:pPr>
    </w:p>
    <w:p w14:paraId="34ECAF2E" w14:textId="6A2E1443" w:rsidR="00235AA3" w:rsidRPr="00235AA3" w:rsidRDefault="00E561BA" w:rsidP="00235AA3">
      <w:pPr>
        <w:jc w:val="both"/>
        <w:rPr>
          <w:rFonts w:ascii="Palatino Linotype" w:hAnsi="Palatino Linotype"/>
          <w:bCs/>
          <w:lang w:val="en-GB"/>
        </w:rPr>
      </w:pPr>
      <w:r>
        <w:rPr>
          <w:rFonts w:ascii="Palatino Linotype" w:hAnsi="Palatino Linotype"/>
          <w:bCs/>
        </w:rPr>
        <w:t xml:space="preserve">Prior to the invasion of Iraq </w:t>
      </w:r>
      <w:r w:rsidRPr="00E561BA">
        <w:rPr>
          <w:rFonts w:ascii="Palatino Linotype" w:hAnsi="Palatino Linotype"/>
          <w:bCs/>
        </w:rPr>
        <w:t>De-</w:t>
      </w:r>
      <w:proofErr w:type="spellStart"/>
      <w:r w:rsidRPr="00E561BA">
        <w:rPr>
          <w:rFonts w:ascii="Palatino Linotype" w:hAnsi="Palatino Linotype"/>
          <w:bCs/>
        </w:rPr>
        <w:t>Ba’athification</w:t>
      </w:r>
      <w:proofErr w:type="spellEnd"/>
      <w:r w:rsidRPr="00E561BA">
        <w:rPr>
          <w:rFonts w:ascii="Palatino Linotype" w:hAnsi="Palatino Linotype"/>
          <w:bCs/>
        </w:rPr>
        <w:t xml:space="preserve"> had been under of the remit of the Democratic Principles Work</w:t>
      </w:r>
      <w:r w:rsidR="00F05DBB">
        <w:rPr>
          <w:rFonts w:ascii="Palatino Linotype" w:hAnsi="Palatino Linotype"/>
          <w:bCs/>
        </w:rPr>
        <w:t>ing</w:t>
      </w:r>
      <w:r w:rsidRPr="00E561BA">
        <w:rPr>
          <w:rFonts w:ascii="Palatino Linotype" w:hAnsi="Palatino Linotype"/>
          <w:bCs/>
        </w:rPr>
        <w:t xml:space="preserve"> Group (DPWG)</w:t>
      </w:r>
      <w:r w:rsidR="00F05DBB">
        <w:rPr>
          <w:rStyle w:val="EndnoteReference"/>
          <w:rFonts w:ascii="Palatino Linotype" w:hAnsi="Palatino Linotype"/>
          <w:bCs/>
        </w:rPr>
        <w:endnoteReference w:id="5"/>
      </w:r>
      <w:r w:rsidRPr="00E561BA">
        <w:rPr>
          <w:rFonts w:ascii="Palatino Linotype" w:hAnsi="Palatino Linotype"/>
          <w:bCs/>
        </w:rPr>
        <w:t xml:space="preserve"> and the US </w:t>
      </w:r>
      <w:r>
        <w:rPr>
          <w:rFonts w:ascii="Palatino Linotype" w:hAnsi="Palatino Linotype"/>
          <w:bCs/>
        </w:rPr>
        <w:t xml:space="preserve">State Department.  DPWG agreed </w:t>
      </w:r>
      <w:r w:rsidRPr="00E561BA">
        <w:rPr>
          <w:rFonts w:ascii="Palatino Linotype" w:hAnsi="Palatino Linotype"/>
          <w:bCs/>
        </w:rPr>
        <w:t>that the Ba’ath Party would be disbanded and that those who aided or committed human rights abuses would be removed from public office</w:t>
      </w:r>
      <w:r w:rsidR="00E419D0">
        <w:rPr>
          <w:rFonts w:ascii="Palatino Linotype" w:hAnsi="Palatino Linotype"/>
          <w:bCs/>
        </w:rPr>
        <w:t xml:space="preserve">. This was allied to the approach of </w:t>
      </w:r>
      <w:r w:rsidR="00E419D0" w:rsidRPr="00E419D0">
        <w:rPr>
          <w:rFonts w:ascii="Palatino Linotype" w:hAnsi="Palatino Linotype"/>
          <w:bCs/>
          <w:lang w:val="en"/>
        </w:rPr>
        <w:t xml:space="preserve">Denazification </w:t>
      </w:r>
      <w:r w:rsidR="00E419D0">
        <w:rPr>
          <w:rFonts w:ascii="Palatino Linotype" w:hAnsi="Palatino Linotype"/>
          <w:bCs/>
          <w:lang w:val="en"/>
        </w:rPr>
        <w:t>that aimed to rid German</w:t>
      </w:r>
      <w:r w:rsidR="00E70F60">
        <w:rPr>
          <w:rFonts w:ascii="Palatino Linotype" w:hAnsi="Palatino Linotype"/>
          <w:bCs/>
          <w:lang w:val="en"/>
        </w:rPr>
        <w:t>y and Austria</w:t>
      </w:r>
      <w:r w:rsidR="00E419D0">
        <w:rPr>
          <w:rFonts w:ascii="Palatino Linotype" w:hAnsi="Palatino Linotype"/>
          <w:bCs/>
          <w:lang w:val="en"/>
        </w:rPr>
        <w:t xml:space="preserve"> of the structures and symbols of Nazism </w:t>
      </w:r>
      <w:r w:rsidR="00E70F60">
        <w:rPr>
          <w:rFonts w:ascii="Palatino Linotype" w:hAnsi="Palatino Linotype"/>
          <w:bCs/>
          <w:lang w:val="en"/>
        </w:rPr>
        <w:t xml:space="preserve">through the </w:t>
      </w:r>
      <w:r w:rsidR="00CB493B">
        <w:rPr>
          <w:rFonts w:ascii="Palatino Linotype" w:hAnsi="Palatino Linotype"/>
          <w:bCs/>
          <w:lang w:val="en"/>
        </w:rPr>
        <w:t xml:space="preserve">removal of </w:t>
      </w:r>
      <w:r w:rsidR="00E419D0">
        <w:rPr>
          <w:rFonts w:ascii="Palatino Linotype" w:hAnsi="Palatino Linotype"/>
          <w:bCs/>
          <w:lang w:val="en"/>
        </w:rPr>
        <w:t xml:space="preserve">high ranking Nazis and </w:t>
      </w:r>
      <w:hyperlink r:id="rId11" w:tooltip="Schutzstaffel" w:history="1">
        <w:r w:rsidR="00E419D0" w:rsidRPr="00E419D0">
          <w:rPr>
            <w:rStyle w:val="Hyperlink"/>
            <w:rFonts w:ascii="Palatino Linotype" w:hAnsi="Palatino Linotype"/>
            <w:bCs/>
            <w:color w:val="auto"/>
            <w:u w:val="none"/>
            <w:lang w:val="en"/>
          </w:rPr>
          <w:t>SS</w:t>
        </w:r>
      </w:hyperlink>
      <w:r w:rsidR="00CB493B">
        <w:rPr>
          <w:rFonts w:ascii="Palatino Linotype" w:hAnsi="Palatino Linotype"/>
          <w:bCs/>
        </w:rPr>
        <w:t xml:space="preserve"> members</w:t>
      </w:r>
      <w:r w:rsidR="00E419D0" w:rsidRPr="00E419D0">
        <w:rPr>
          <w:rFonts w:ascii="Palatino Linotype" w:hAnsi="Palatino Linotype"/>
          <w:bCs/>
          <w:lang w:val="en"/>
        </w:rPr>
        <w:t xml:space="preserve">. </w:t>
      </w:r>
      <w:r w:rsidR="00E419D0">
        <w:rPr>
          <w:rFonts w:ascii="Palatino Linotype" w:hAnsi="Palatino Linotype"/>
          <w:bCs/>
          <w:lang w:val="en"/>
        </w:rPr>
        <w:t xml:space="preserve">There were executions </w:t>
      </w:r>
      <w:r w:rsidR="00CB493B">
        <w:rPr>
          <w:rFonts w:ascii="Palatino Linotype" w:hAnsi="Palatino Linotype"/>
          <w:bCs/>
          <w:lang w:val="en"/>
        </w:rPr>
        <w:t xml:space="preserve">of key protagonists </w:t>
      </w:r>
      <w:r w:rsidR="00E419D0">
        <w:rPr>
          <w:rFonts w:ascii="Palatino Linotype" w:hAnsi="Palatino Linotype"/>
          <w:bCs/>
          <w:lang w:val="en"/>
        </w:rPr>
        <w:t xml:space="preserve">but in the main </w:t>
      </w:r>
      <w:r w:rsidR="00CB493B">
        <w:rPr>
          <w:rFonts w:ascii="Palatino Linotype" w:hAnsi="Palatino Linotype"/>
          <w:bCs/>
          <w:lang w:val="en"/>
        </w:rPr>
        <w:t xml:space="preserve">the </w:t>
      </w:r>
      <w:r w:rsidR="00CE1DED">
        <w:rPr>
          <w:rFonts w:ascii="Palatino Linotype" w:hAnsi="Palatino Linotype"/>
          <w:bCs/>
          <w:lang w:val="en"/>
        </w:rPr>
        <w:t xml:space="preserve">internment of </w:t>
      </w:r>
      <w:r w:rsidR="00E419D0" w:rsidRPr="00E419D0">
        <w:rPr>
          <w:rFonts w:ascii="Palatino Linotype" w:hAnsi="Palatino Linotype"/>
          <w:bCs/>
          <w:lang w:val="en"/>
        </w:rPr>
        <w:t xml:space="preserve">400,000 </w:t>
      </w:r>
      <w:r w:rsidR="00CE1DED">
        <w:rPr>
          <w:rFonts w:ascii="Palatino Linotype" w:hAnsi="Palatino Linotype"/>
          <w:bCs/>
          <w:lang w:val="en"/>
        </w:rPr>
        <w:t xml:space="preserve">and re-education </w:t>
      </w:r>
      <w:proofErr w:type="spellStart"/>
      <w:r w:rsidR="00CE1DED">
        <w:rPr>
          <w:rFonts w:ascii="Palatino Linotype" w:hAnsi="Palatino Linotype"/>
          <w:bCs/>
          <w:lang w:val="en"/>
        </w:rPr>
        <w:t>programmes</w:t>
      </w:r>
      <w:proofErr w:type="spellEnd"/>
      <w:r w:rsidR="00CE1DED">
        <w:rPr>
          <w:rFonts w:ascii="Palatino Linotype" w:hAnsi="Palatino Linotype"/>
          <w:bCs/>
          <w:lang w:val="en"/>
        </w:rPr>
        <w:t xml:space="preserve"> </w:t>
      </w:r>
      <w:r w:rsidR="00424E75">
        <w:rPr>
          <w:rFonts w:ascii="Palatino Linotype" w:hAnsi="Palatino Linotype"/>
          <w:bCs/>
          <w:lang w:val="en"/>
        </w:rPr>
        <w:t xml:space="preserve">achieved </w:t>
      </w:r>
      <w:r w:rsidR="00CB493B">
        <w:rPr>
          <w:rFonts w:ascii="Palatino Linotype" w:hAnsi="Palatino Linotype"/>
          <w:bCs/>
          <w:lang w:val="en"/>
        </w:rPr>
        <w:t xml:space="preserve">a post-conflict settlement. Such an approach was based upon </w:t>
      </w:r>
      <w:r w:rsidR="001E2D51">
        <w:rPr>
          <w:rFonts w:ascii="Palatino Linotype" w:hAnsi="Palatino Linotype"/>
          <w:bCs/>
          <w:lang w:val="en"/>
        </w:rPr>
        <w:t xml:space="preserve">the </w:t>
      </w:r>
      <w:r w:rsidR="00CB493B">
        <w:rPr>
          <w:rFonts w:ascii="Palatino Linotype" w:hAnsi="Palatino Linotype"/>
          <w:bCs/>
          <w:lang w:val="en"/>
        </w:rPr>
        <w:t>recognition that former Nazis of</w:t>
      </w:r>
      <w:r w:rsidR="001E2D51">
        <w:rPr>
          <w:rFonts w:ascii="Palatino Linotype" w:hAnsi="Palatino Linotype"/>
          <w:bCs/>
          <w:lang w:val="en"/>
        </w:rPr>
        <w:t xml:space="preserve"> middle to low rank were vital to </w:t>
      </w:r>
      <w:r w:rsidR="00CB493B">
        <w:rPr>
          <w:rFonts w:ascii="Palatino Linotype" w:hAnsi="Palatino Linotype"/>
          <w:bCs/>
          <w:lang w:val="en"/>
        </w:rPr>
        <w:t xml:space="preserve">societal </w:t>
      </w:r>
      <w:r w:rsidR="001E2D51">
        <w:rPr>
          <w:rFonts w:ascii="Palatino Linotype" w:hAnsi="Palatino Linotype"/>
          <w:bCs/>
          <w:lang w:val="en"/>
        </w:rPr>
        <w:t>revival and its administration. A</w:t>
      </w:r>
      <w:r w:rsidR="00424E75">
        <w:rPr>
          <w:rFonts w:ascii="Palatino Linotype" w:hAnsi="Palatino Linotype"/>
          <w:bCs/>
          <w:lang w:val="en"/>
        </w:rPr>
        <w:t xml:space="preserve">s with Germany it was envisaged, by the DPWG, </w:t>
      </w:r>
      <w:r w:rsidR="001E2D51">
        <w:rPr>
          <w:rFonts w:ascii="Palatino Linotype" w:hAnsi="Palatino Linotype"/>
          <w:bCs/>
          <w:lang w:val="en"/>
        </w:rPr>
        <w:t xml:space="preserve">that </w:t>
      </w:r>
      <w:r w:rsidRPr="00E561BA">
        <w:rPr>
          <w:rFonts w:ascii="Palatino Linotype" w:hAnsi="Palatino Linotype"/>
          <w:bCs/>
        </w:rPr>
        <w:t xml:space="preserve">dismissals were to be paralleled by reconciliation mechanisms such as tribunals and truth-based inquiries. Transition would preserve the </w:t>
      </w:r>
      <w:r w:rsidR="00235AA3">
        <w:rPr>
          <w:rFonts w:ascii="Palatino Linotype" w:hAnsi="Palatino Linotype"/>
          <w:bCs/>
        </w:rPr>
        <w:t xml:space="preserve">public sector </w:t>
      </w:r>
      <w:r w:rsidRPr="00E561BA">
        <w:rPr>
          <w:rFonts w:ascii="Palatino Linotype" w:hAnsi="Palatino Linotype"/>
          <w:bCs/>
        </w:rPr>
        <w:t xml:space="preserve">management classes ‘for the sake of continuity and efficiency while providing stages of oversight and avenues of appeal for </w:t>
      </w:r>
      <w:r w:rsidRPr="00E561BA">
        <w:rPr>
          <w:rFonts w:ascii="Palatino Linotype" w:hAnsi="Palatino Linotype"/>
          <w:bCs/>
        </w:rPr>
        <w:lastRenderedPageBreak/>
        <w:t>abuses’</w:t>
      </w:r>
      <w:r w:rsidR="00E70F60">
        <w:rPr>
          <w:rFonts w:ascii="Palatino Linotype" w:hAnsi="Palatino Linotype"/>
          <w:bCs/>
        </w:rPr>
        <w:t xml:space="preserve"> (2002</w:t>
      </w:r>
      <w:r w:rsidR="005E6C85">
        <w:rPr>
          <w:rFonts w:ascii="Palatino Linotype" w:hAnsi="Palatino Linotype"/>
          <w:bCs/>
        </w:rPr>
        <w:t>:</w:t>
      </w:r>
      <w:r w:rsidR="00235AA3">
        <w:rPr>
          <w:rFonts w:ascii="Palatino Linotype" w:hAnsi="Palatino Linotype"/>
          <w:bCs/>
        </w:rPr>
        <w:t xml:space="preserve"> 61)</w:t>
      </w:r>
      <w:r w:rsidRPr="00E561BA">
        <w:rPr>
          <w:rFonts w:ascii="Palatino Linotype" w:hAnsi="Palatino Linotype"/>
          <w:bCs/>
        </w:rPr>
        <w:t xml:space="preserve">. The Ba’ath Party would be outlawed </w:t>
      </w:r>
      <w:r w:rsidR="00CB493B">
        <w:rPr>
          <w:rFonts w:ascii="Palatino Linotype" w:hAnsi="Palatino Linotype"/>
          <w:bCs/>
        </w:rPr>
        <w:t xml:space="preserve">until it had gone through </w:t>
      </w:r>
      <w:r w:rsidRPr="00E561BA">
        <w:rPr>
          <w:rFonts w:ascii="Palatino Linotype" w:hAnsi="Palatino Linotype"/>
          <w:bCs/>
        </w:rPr>
        <w:t xml:space="preserve">restructuring and </w:t>
      </w:r>
      <w:r w:rsidR="00CB493B">
        <w:rPr>
          <w:rFonts w:ascii="Palatino Linotype" w:hAnsi="Palatino Linotype"/>
          <w:bCs/>
        </w:rPr>
        <w:t xml:space="preserve">a </w:t>
      </w:r>
      <w:r w:rsidRPr="00E561BA">
        <w:rPr>
          <w:rFonts w:ascii="Palatino Linotype" w:hAnsi="Palatino Linotype"/>
          <w:bCs/>
        </w:rPr>
        <w:t>revision of its</w:t>
      </w:r>
      <w:r w:rsidR="00CB493B">
        <w:rPr>
          <w:rFonts w:ascii="Palatino Linotype" w:hAnsi="Palatino Linotype"/>
          <w:bCs/>
        </w:rPr>
        <w:t xml:space="preserve"> </w:t>
      </w:r>
      <w:proofErr w:type="spellStart"/>
      <w:r w:rsidR="00CB493B">
        <w:rPr>
          <w:rFonts w:ascii="Palatino Linotype" w:hAnsi="Palatino Linotype"/>
          <w:bCs/>
        </w:rPr>
        <w:t>behaviour</w:t>
      </w:r>
      <w:proofErr w:type="spellEnd"/>
      <w:r w:rsidRPr="00E561BA">
        <w:rPr>
          <w:rFonts w:ascii="Palatino Linotype" w:hAnsi="Palatino Linotype"/>
          <w:bCs/>
        </w:rPr>
        <w:t>.  Purging was assessed as a ‘draconian measure’ driven by ‘witch hunts based on rumors and allegations…’ that would in effect ‘deny valuable skills, historical knowledge, and experience’</w:t>
      </w:r>
      <w:r w:rsidR="00235AA3">
        <w:rPr>
          <w:rFonts w:ascii="Palatino Linotype" w:hAnsi="Palatino Linotype"/>
          <w:bCs/>
        </w:rPr>
        <w:t xml:space="preserve"> (2002</w:t>
      </w:r>
      <w:r w:rsidR="00DD7072">
        <w:rPr>
          <w:rFonts w:ascii="Palatino Linotype" w:hAnsi="Palatino Linotype"/>
          <w:bCs/>
        </w:rPr>
        <w:t>:</w:t>
      </w:r>
      <w:r w:rsidR="00235AA3">
        <w:rPr>
          <w:rFonts w:ascii="Palatino Linotype" w:hAnsi="Palatino Linotype"/>
          <w:bCs/>
        </w:rPr>
        <w:t xml:space="preserve"> 61)</w:t>
      </w:r>
      <w:r>
        <w:rPr>
          <w:rFonts w:ascii="Palatino Linotype" w:hAnsi="Palatino Linotype"/>
          <w:bCs/>
        </w:rPr>
        <w:t>.</w:t>
      </w:r>
      <w:r w:rsidRPr="00E561BA">
        <w:rPr>
          <w:rFonts w:ascii="Palatino Linotype" w:hAnsi="Palatino Linotype"/>
          <w:bCs/>
        </w:rPr>
        <w:t xml:space="preserve"> </w:t>
      </w:r>
      <w:r w:rsidR="00235AA3">
        <w:rPr>
          <w:rFonts w:ascii="Palatino Linotype" w:hAnsi="Palatino Linotype"/>
          <w:bCs/>
        </w:rPr>
        <w:t xml:space="preserve">What the DPWG </w:t>
      </w:r>
      <w:proofErr w:type="spellStart"/>
      <w:r w:rsidR="00235AA3">
        <w:rPr>
          <w:rFonts w:ascii="Palatino Linotype" w:hAnsi="Palatino Linotype"/>
          <w:bCs/>
        </w:rPr>
        <w:t>recognised</w:t>
      </w:r>
      <w:proofErr w:type="spellEnd"/>
      <w:r w:rsidR="00235AA3">
        <w:rPr>
          <w:rFonts w:ascii="Palatino Linotype" w:hAnsi="Palatino Linotype"/>
          <w:bCs/>
        </w:rPr>
        <w:t xml:space="preserve"> was that Ba’ath Party membership was a </w:t>
      </w:r>
      <w:r w:rsidR="00235AA3">
        <w:rPr>
          <w:rFonts w:ascii="Palatino Linotype" w:hAnsi="Palatino Linotype"/>
          <w:bCs/>
          <w:lang w:val="en-GB"/>
        </w:rPr>
        <w:t xml:space="preserve">prerequisite for high and mid ranking </w:t>
      </w:r>
      <w:r w:rsidR="00235AA3" w:rsidRPr="00235AA3">
        <w:rPr>
          <w:rFonts w:ascii="Palatino Linotype" w:hAnsi="Palatino Linotype"/>
          <w:bCs/>
          <w:lang w:val="en-GB"/>
        </w:rPr>
        <w:t>government positions</w:t>
      </w:r>
      <w:r w:rsidR="00CB493B">
        <w:rPr>
          <w:rFonts w:ascii="Palatino Linotype" w:hAnsi="Palatino Linotype"/>
          <w:bCs/>
          <w:lang w:val="en-GB"/>
        </w:rPr>
        <w:t xml:space="preserve"> and in many cases </w:t>
      </w:r>
      <w:r w:rsidR="00E70F60">
        <w:rPr>
          <w:rFonts w:ascii="Palatino Linotype" w:hAnsi="Palatino Linotype"/>
          <w:bCs/>
          <w:lang w:val="en-GB"/>
        </w:rPr>
        <w:t xml:space="preserve">membership was </w:t>
      </w:r>
      <w:r w:rsidR="00CB493B">
        <w:rPr>
          <w:rFonts w:ascii="Palatino Linotype" w:hAnsi="Palatino Linotype"/>
          <w:bCs/>
          <w:lang w:val="en-GB"/>
        </w:rPr>
        <w:t>involuntary</w:t>
      </w:r>
      <w:r w:rsidR="00235AA3" w:rsidRPr="00235AA3">
        <w:rPr>
          <w:rFonts w:ascii="Palatino Linotype" w:hAnsi="Palatino Linotype"/>
          <w:bCs/>
          <w:lang w:val="en-GB"/>
        </w:rPr>
        <w:t xml:space="preserve">. </w:t>
      </w:r>
    </w:p>
    <w:p w14:paraId="77093958" w14:textId="77777777" w:rsidR="00E561BA" w:rsidRPr="00E561BA" w:rsidRDefault="00E561BA" w:rsidP="00E561BA">
      <w:pPr>
        <w:jc w:val="both"/>
        <w:rPr>
          <w:rFonts w:ascii="Palatino Linotype" w:hAnsi="Palatino Linotype"/>
          <w:bCs/>
        </w:rPr>
      </w:pPr>
    </w:p>
    <w:p w14:paraId="37E9E9AB" w14:textId="77777777" w:rsidR="004D1714" w:rsidRDefault="00E561BA" w:rsidP="004D1714">
      <w:pPr>
        <w:jc w:val="both"/>
        <w:rPr>
          <w:rFonts w:ascii="Palatino Linotype" w:hAnsi="Palatino Linotype"/>
          <w:bCs/>
        </w:rPr>
      </w:pPr>
      <w:r w:rsidRPr="004B6434">
        <w:rPr>
          <w:rFonts w:ascii="Palatino Linotype" w:hAnsi="Palatino Linotype"/>
          <w:bCs/>
        </w:rPr>
        <w:t xml:space="preserve">Such an </w:t>
      </w:r>
      <w:r w:rsidR="001560CB" w:rsidRPr="004B6434">
        <w:rPr>
          <w:rFonts w:ascii="Palatino Linotype" w:hAnsi="Palatino Linotype"/>
          <w:bCs/>
        </w:rPr>
        <w:t>approach</w:t>
      </w:r>
      <w:r w:rsidR="001560CB">
        <w:rPr>
          <w:rFonts w:ascii="Palatino Linotype" w:hAnsi="Palatino Linotype"/>
          <w:bCs/>
        </w:rPr>
        <w:t xml:space="preserve"> that drew upon various transitional justice readings</w:t>
      </w:r>
      <w:r w:rsidRPr="004B6434">
        <w:rPr>
          <w:rFonts w:ascii="Palatino Linotype" w:hAnsi="Palatino Linotype"/>
          <w:bCs/>
        </w:rPr>
        <w:t xml:space="preserve"> was abandoned on May 16, 2003, when the U.S. proconsul in Iraq</w:t>
      </w:r>
      <w:r w:rsidR="007265B1" w:rsidRPr="004B6434">
        <w:rPr>
          <w:rFonts w:ascii="Palatino Linotype" w:hAnsi="Palatino Linotype"/>
          <w:bCs/>
        </w:rPr>
        <w:t xml:space="preserve"> and head of the Coalition Provisional Authority</w:t>
      </w:r>
      <w:r w:rsidRPr="004B6434">
        <w:rPr>
          <w:rFonts w:ascii="Palatino Linotype" w:hAnsi="Palatino Linotype"/>
          <w:bCs/>
        </w:rPr>
        <w:t>, Paul Bremer issued Order No. 1 which banned the Ba’ath Party and allegiance to it and removed categorized members from public employment (Hatch, 2005). Full senior party members of the Ba’ath Party holding the ranks of ‘</w:t>
      </w:r>
      <w:proofErr w:type="spellStart"/>
      <w:r w:rsidRPr="004B6434">
        <w:rPr>
          <w:rFonts w:ascii="Palatino Linotype" w:hAnsi="Palatino Linotype"/>
          <w:bCs/>
        </w:rPr>
        <w:t>Udw</w:t>
      </w:r>
      <w:proofErr w:type="spellEnd"/>
      <w:r w:rsidRPr="004B6434">
        <w:rPr>
          <w:rFonts w:ascii="Palatino Linotype" w:hAnsi="Palatino Linotype"/>
          <w:bCs/>
        </w:rPr>
        <w:t xml:space="preserve"> Far’ (Branch Member),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Qutriyya</w:t>
      </w:r>
      <w:proofErr w:type="spellEnd"/>
      <w:r w:rsidRPr="004B6434">
        <w:rPr>
          <w:rFonts w:ascii="Palatino Linotype" w:hAnsi="Palatino Linotype"/>
          <w:bCs/>
        </w:rPr>
        <w:t xml:space="preserve"> (Regional Command Member),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Shu’bah</w:t>
      </w:r>
      <w:proofErr w:type="spellEnd"/>
      <w:r w:rsidRPr="004B6434">
        <w:rPr>
          <w:rFonts w:ascii="Palatino Linotype" w:hAnsi="Palatino Linotype"/>
          <w:bCs/>
        </w:rPr>
        <w:t xml:space="preserve"> (Section Member) and  those at the level of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Firqah</w:t>
      </w:r>
      <w:proofErr w:type="spellEnd"/>
      <w:r w:rsidRPr="004B6434">
        <w:rPr>
          <w:rFonts w:ascii="Palatino Linotype" w:hAnsi="Palatino Linotype"/>
          <w:bCs/>
        </w:rPr>
        <w:t xml:space="preserve"> (Group (Division)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Friqah</w:t>
      </w:r>
      <w:proofErr w:type="spellEnd"/>
      <w:r w:rsidRPr="004B6434">
        <w:rPr>
          <w:rFonts w:ascii="Palatino Linotype" w:hAnsi="Palatino Linotype"/>
          <w:bCs/>
        </w:rPr>
        <w:t>,,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Shu’bah</w:t>
      </w:r>
      <w:proofErr w:type="spellEnd"/>
      <w:r w:rsidRPr="004B6434">
        <w:rPr>
          <w:rFonts w:ascii="Palatino Linotype" w:hAnsi="Palatino Linotype"/>
          <w:bCs/>
        </w:rPr>
        <w:t>,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Maktab</w:t>
      </w:r>
      <w:proofErr w:type="spellEnd"/>
      <w:r w:rsidRPr="004B6434">
        <w:rPr>
          <w:rFonts w:ascii="Palatino Linotype" w:hAnsi="Palatino Linotype"/>
          <w:bCs/>
        </w:rPr>
        <w:t xml:space="preserve"> (Bureau Member) and ‘</w:t>
      </w:r>
      <w:proofErr w:type="spellStart"/>
      <w:r w:rsidRPr="004B6434">
        <w:rPr>
          <w:rFonts w:ascii="Palatino Linotype" w:hAnsi="Palatino Linotype"/>
          <w:bCs/>
        </w:rPr>
        <w:t>Udw</w:t>
      </w:r>
      <w:proofErr w:type="spellEnd"/>
      <w:r w:rsidRPr="004B6434">
        <w:rPr>
          <w:rFonts w:ascii="Palatino Linotype" w:hAnsi="Palatino Linotype"/>
          <w:bCs/>
        </w:rPr>
        <w:t xml:space="preserve"> </w:t>
      </w:r>
      <w:proofErr w:type="spellStart"/>
      <w:r w:rsidRPr="004B6434">
        <w:rPr>
          <w:rFonts w:ascii="Palatino Linotype" w:hAnsi="Palatino Linotype"/>
          <w:bCs/>
        </w:rPr>
        <w:t>Qiyadah</w:t>
      </w:r>
      <w:proofErr w:type="spellEnd"/>
      <w:r w:rsidRPr="004B6434">
        <w:rPr>
          <w:rFonts w:ascii="Palatino Linotype" w:hAnsi="Palatino Linotype"/>
          <w:bCs/>
        </w:rPr>
        <w:t xml:space="preserve"> (Command Member) were to be removed from their positions upon appeal. The initial implementation of Order 1 </w:t>
      </w:r>
      <w:r w:rsidR="007731AE">
        <w:rPr>
          <w:rFonts w:ascii="Palatino Linotype" w:hAnsi="Palatino Linotype"/>
          <w:bCs/>
        </w:rPr>
        <w:t xml:space="preserve">is </w:t>
      </w:r>
      <w:r w:rsidRPr="004B6434">
        <w:rPr>
          <w:rFonts w:ascii="Palatino Linotype" w:hAnsi="Palatino Linotype"/>
          <w:bCs/>
        </w:rPr>
        <w:t>estimated as le</w:t>
      </w:r>
      <w:r w:rsidR="007731AE">
        <w:rPr>
          <w:rFonts w:ascii="Palatino Linotype" w:hAnsi="Palatino Linotype"/>
          <w:bCs/>
        </w:rPr>
        <w:t>a</w:t>
      </w:r>
      <w:r w:rsidRPr="004B6434">
        <w:rPr>
          <w:rFonts w:ascii="Palatino Linotype" w:hAnsi="Palatino Linotype"/>
          <w:bCs/>
        </w:rPr>
        <w:t>d</w:t>
      </w:r>
      <w:r w:rsidR="007731AE">
        <w:rPr>
          <w:rFonts w:ascii="Palatino Linotype" w:hAnsi="Palatino Linotype"/>
          <w:bCs/>
        </w:rPr>
        <w:t>ing</w:t>
      </w:r>
      <w:r w:rsidRPr="004B6434">
        <w:rPr>
          <w:rFonts w:ascii="Palatino Linotype" w:hAnsi="Palatino Linotype"/>
          <w:bCs/>
        </w:rPr>
        <w:t xml:space="preserve"> to the removal of 35,000 to 100,000 public sector employees</w:t>
      </w:r>
      <w:r w:rsidRPr="00E561BA">
        <w:rPr>
          <w:rFonts w:ascii="Palatino Linotype" w:hAnsi="Palatino Linotype"/>
          <w:bCs/>
          <w:vertAlign w:val="superscript"/>
        </w:rPr>
        <w:endnoteReference w:id="6"/>
      </w:r>
      <w:r w:rsidRPr="004B6434">
        <w:rPr>
          <w:rFonts w:ascii="Palatino Linotype" w:hAnsi="Palatino Linotype"/>
          <w:bCs/>
        </w:rPr>
        <w:t>. Importantly</w:t>
      </w:r>
      <w:r w:rsidR="00424E75">
        <w:rPr>
          <w:rFonts w:ascii="Palatino Linotype" w:hAnsi="Palatino Linotype"/>
          <w:bCs/>
        </w:rPr>
        <w:t>,</w:t>
      </w:r>
      <w:r w:rsidRPr="004B6434">
        <w:rPr>
          <w:rFonts w:ascii="Palatino Linotype" w:hAnsi="Palatino Linotype"/>
          <w:bCs/>
        </w:rPr>
        <w:t xml:space="preserve"> Su</w:t>
      </w:r>
      <w:r w:rsidR="00424E75">
        <w:rPr>
          <w:rFonts w:ascii="Palatino Linotype" w:hAnsi="Palatino Linotype"/>
          <w:bCs/>
        </w:rPr>
        <w:t>nnis were more likely than Shia</w:t>
      </w:r>
      <w:r w:rsidRPr="004B6434">
        <w:rPr>
          <w:rFonts w:ascii="Palatino Linotype" w:hAnsi="Palatino Linotype"/>
          <w:bCs/>
        </w:rPr>
        <w:t xml:space="preserve"> members of the Ba’ath Party to be removed</w:t>
      </w:r>
      <w:r w:rsidRPr="00E561BA">
        <w:rPr>
          <w:rFonts w:ascii="Palatino Linotype" w:hAnsi="Palatino Linotype"/>
          <w:bCs/>
          <w:vertAlign w:val="superscript"/>
        </w:rPr>
        <w:endnoteReference w:id="7"/>
      </w:r>
      <w:r w:rsidRPr="004B6434">
        <w:rPr>
          <w:rFonts w:ascii="Palatino Linotype" w:hAnsi="Palatino Linotype"/>
          <w:bCs/>
        </w:rPr>
        <w:t xml:space="preserve">. </w:t>
      </w:r>
    </w:p>
    <w:p w14:paraId="23B612F9" w14:textId="77777777" w:rsidR="00E561BA" w:rsidRPr="00E561BA" w:rsidRDefault="00E561BA" w:rsidP="00E561BA">
      <w:pPr>
        <w:jc w:val="both"/>
        <w:rPr>
          <w:rFonts w:ascii="Palatino Linotype" w:hAnsi="Palatino Linotype"/>
          <w:bCs/>
        </w:rPr>
      </w:pPr>
    </w:p>
    <w:p w14:paraId="1B02A9BC" w14:textId="77777777" w:rsidR="00E561BA" w:rsidRPr="00E561BA" w:rsidRDefault="00E561BA" w:rsidP="00E561BA">
      <w:pPr>
        <w:jc w:val="both"/>
        <w:rPr>
          <w:rFonts w:ascii="Palatino Linotype" w:hAnsi="Palatino Linotype"/>
          <w:bCs/>
        </w:rPr>
      </w:pPr>
      <w:r w:rsidRPr="00E561BA">
        <w:rPr>
          <w:rFonts w:ascii="Palatino Linotype" w:hAnsi="Palatino Linotype"/>
          <w:bCs/>
        </w:rPr>
        <w:t>The removal of Ba’ath Party memb</w:t>
      </w:r>
      <w:r w:rsidR="003705BC">
        <w:rPr>
          <w:rFonts w:ascii="Palatino Linotype" w:hAnsi="Palatino Linotype"/>
          <w:bCs/>
        </w:rPr>
        <w:t xml:space="preserve">ers was tied to the </w:t>
      </w:r>
      <w:r w:rsidR="001560CB">
        <w:rPr>
          <w:rFonts w:ascii="Palatino Linotype" w:hAnsi="Palatino Linotype"/>
          <w:bCs/>
        </w:rPr>
        <w:t>exclusion</w:t>
      </w:r>
      <w:r w:rsidR="003705BC">
        <w:rPr>
          <w:rFonts w:ascii="Palatino Linotype" w:hAnsi="Palatino Linotype"/>
          <w:bCs/>
        </w:rPr>
        <w:t xml:space="preserve"> of </w:t>
      </w:r>
      <w:r w:rsidRPr="00E561BA">
        <w:rPr>
          <w:rFonts w:ascii="Palatino Linotype" w:hAnsi="Palatino Linotype"/>
          <w:bCs/>
        </w:rPr>
        <w:t xml:space="preserve">people for their membership in or affiliation with </w:t>
      </w:r>
      <w:r w:rsidR="003705BC">
        <w:rPr>
          <w:rFonts w:ascii="Palatino Linotype" w:hAnsi="Palatino Linotype"/>
          <w:bCs/>
        </w:rPr>
        <w:t xml:space="preserve">the Party </w:t>
      </w:r>
      <w:r w:rsidRPr="00E561BA">
        <w:rPr>
          <w:rFonts w:ascii="Palatino Linotype" w:hAnsi="Palatino Linotype"/>
          <w:bCs/>
        </w:rPr>
        <w:t xml:space="preserve">rather than </w:t>
      </w:r>
      <w:r w:rsidR="003705BC">
        <w:rPr>
          <w:rFonts w:ascii="Palatino Linotype" w:hAnsi="Palatino Linotype"/>
          <w:bCs/>
        </w:rPr>
        <w:t>their individual responsibility</w:t>
      </w:r>
      <w:r w:rsidRPr="00E561BA">
        <w:rPr>
          <w:rFonts w:ascii="Palatino Linotype" w:hAnsi="Palatino Linotype"/>
          <w:bCs/>
          <w:vertAlign w:val="superscript"/>
        </w:rPr>
        <w:endnoteReference w:id="8"/>
      </w:r>
      <w:r w:rsidRPr="00E561BA">
        <w:rPr>
          <w:rFonts w:ascii="Palatino Linotype" w:hAnsi="Palatino Linotype"/>
          <w:bCs/>
        </w:rPr>
        <w:t>. Collectivized guilt was to become a representational dilemma and justice-</w:t>
      </w:r>
      <w:proofErr w:type="spellStart"/>
      <w:r w:rsidRPr="00E561BA">
        <w:rPr>
          <w:rFonts w:ascii="Palatino Linotype" w:hAnsi="Palatino Linotype"/>
          <w:bCs/>
        </w:rPr>
        <w:t>centred</w:t>
      </w:r>
      <w:proofErr w:type="spellEnd"/>
      <w:r w:rsidRPr="00E561BA">
        <w:rPr>
          <w:rFonts w:ascii="Palatino Linotype" w:hAnsi="Palatino Linotype"/>
          <w:bCs/>
        </w:rPr>
        <w:t xml:space="preserve"> deficiency due to the failure to establish the meaning of guilt beyond ranked membership. The exclusive approach (the form of lustration most related to regime rupturing) founded claims of injustice among those who denied harm causing but also stimulated grievance among victims of the Ba’ath regime concerned by inaction towards evident human rights abusers who because of their low party rank remained unpunished. What emerged was a form</w:t>
      </w:r>
      <w:r w:rsidR="003705BC">
        <w:rPr>
          <w:rFonts w:ascii="Palatino Linotype" w:hAnsi="Palatino Linotype"/>
          <w:bCs/>
        </w:rPr>
        <w:t xml:space="preserve"> of regime change through which removal permitted the new regime holders to </w:t>
      </w:r>
      <w:r w:rsidR="001560CB">
        <w:rPr>
          <w:rFonts w:ascii="Palatino Linotype" w:hAnsi="Palatino Linotype"/>
          <w:bCs/>
        </w:rPr>
        <w:t>eliminate</w:t>
      </w:r>
      <w:r w:rsidR="003705BC">
        <w:rPr>
          <w:rFonts w:ascii="Palatino Linotype" w:hAnsi="Palatino Linotype"/>
          <w:bCs/>
        </w:rPr>
        <w:t xml:space="preserve"> opponents and place their supporters into public positions. As Daly (</w:t>
      </w:r>
      <w:r w:rsidR="003705BC" w:rsidRPr="003705BC">
        <w:rPr>
          <w:rFonts w:ascii="Palatino Linotype" w:hAnsi="Palatino Linotype"/>
          <w:bCs/>
        </w:rPr>
        <w:t>2014: 65</w:t>
      </w:r>
      <w:r w:rsidR="003705BC">
        <w:rPr>
          <w:rFonts w:ascii="Palatino Linotype" w:hAnsi="Palatino Linotype"/>
          <w:bCs/>
        </w:rPr>
        <w:t xml:space="preserve">) </w:t>
      </w:r>
      <w:proofErr w:type="gramStart"/>
      <w:r w:rsidR="003705BC">
        <w:rPr>
          <w:rFonts w:ascii="Palatino Linotype" w:hAnsi="Palatino Linotype"/>
          <w:bCs/>
        </w:rPr>
        <w:t>remarked;</w:t>
      </w:r>
      <w:proofErr w:type="gramEnd"/>
    </w:p>
    <w:p w14:paraId="50364B84" w14:textId="77777777" w:rsidR="00E561BA" w:rsidRPr="00E561BA" w:rsidRDefault="00E561BA" w:rsidP="00E561BA">
      <w:pPr>
        <w:jc w:val="both"/>
        <w:rPr>
          <w:rFonts w:ascii="Palatino Linotype" w:hAnsi="Palatino Linotype"/>
          <w:bCs/>
        </w:rPr>
      </w:pPr>
    </w:p>
    <w:p w14:paraId="4DFBE5F6" w14:textId="77777777" w:rsidR="00E561BA" w:rsidRPr="00E561BA" w:rsidRDefault="00E561BA" w:rsidP="00E561BA">
      <w:pPr>
        <w:jc w:val="both"/>
        <w:rPr>
          <w:rFonts w:ascii="Palatino Linotype" w:hAnsi="Palatino Linotype"/>
          <w:bCs/>
        </w:rPr>
      </w:pPr>
      <w:r w:rsidRPr="00E561BA">
        <w:rPr>
          <w:rFonts w:ascii="Palatino Linotype" w:hAnsi="Palatino Linotype"/>
          <w:bCs/>
        </w:rPr>
        <w:t>‘…those who were previously denied the spoils of oppressive governance are now able to fill the empty offices, classrooms and barracks, resulting in a form of justice – or at least come-uppance’.</w:t>
      </w:r>
    </w:p>
    <w:p w14:paraId="53B1F47E" w14:textId="77777777" w:rsidR="00E561BA" w:rsidRPr="00E561BA" w:rsidRDefault="00E561BA" w:rsidP="00E561BA">
      <w:pPr>
        <w:jc w:val="both"/>
        <w:rPr>
          <w:rFonts w:ascii="Palatino Linotype" w:hAnsi="Palatino Linotype"/>
          <w:bCs/>
        </w:rPr>
      </w:pPr>
    </w:p>
    <w:p w14:paraId="6CFD75B7" w14:textId="77777777" w:rsidR="00C91686" w:rsidRPr="00C91686" w:rsidRDefault="00E561BA" w:rsidP="00C91686">
      <w:pPr>
        <w:jc w:val="both"/>
        <w:rPr>
          <w:rFonts w:ascii="Palatino Linotype" w:hAnsi="Palatino Linotype"/>
          <w:bCs/>
        </w:rPr>
      </w:pPr>
      <w:r w:rsidRPr="00E561BA">
        <w:rPr>
          <w:rFonts w:ascii="Palatino Linotype" w:hAnsi="Palatino Linotype"/>
          <w:bCs/>
        </w:rPr>
        <w:t xml:space="preserve">Bremer handed over the ‘spoils of oppressive governance’, when he appointed Ahmad Chalabi, a vehement supporter of Order 1, to head the Supreme National </w:t>
      </w:r>
      <w:r w:rsidRPr="00E561BA">
        <w:rPr>
          <w:rFonts w:ascii="Palatino Linotype" w:hAnsi="Palatino Linotype"/>
          <w:bCs/>
        </w:rPr>
        <w:lastRenderedPageBreak/>
        <w:t>De-</w:t>
      </w:r>
      <w:proofErr w:type="spellStart"/>
      <w:r w:rsidRPr="00E561BA">
        <w:rPr>
          <w:rFonts w:ascii="Palatino Linotype" w:hAnsi="Palatino Linotype"/>
          <w:bCs/>
        </w:rPr>
        <w:t>Ba’athification</w:t>
      </w:r>
      <w:proofErr w:type="spellEnd"/>
      <w:r w:rsidRPr="00E561BA">
        <w:rPr>
          <w:rFonts w:ascii="Palatino Linotype" w:hAnsi="Palatino Linotype"/>
          <w:bCs/>
        </w:rPr>
        <w:t xml:space="preserve"> Commission in November 2003 (Dodge, 2013). The SNCD consisted of members of political groups that included Chalabi’s Iraqi National Congress (INC), al-Majlis al-</w:t>
      </w:r>
      <w:proofErr w:type="spellStart"/>
      <w:r w:rsidRPr="00E561BA">
        <w:rPr>
          <w:rFonts w:ascii="Palatino Linotype" w:hAnsi="Palatino Linotype"/>
          <w:bCs/>
        </w:rPr>
        <w:t>A’ala</w:t>
      </w:r>
      <w:proofErr w:type="spellEnd"/>
      <w:r w:rsidRPr="00E561BA">
        <w:rPr>
          <w:rFonts w:ascii="Palatino Linotype" w:hAnsi="Palatino Linotype"/>
          <w:bCs/>
        </w:rPr>
        <w:t xml:space="preserve">, </w:t>
      </w:r>
      <w:hyperlink r:id="rId12" w:history="1">
        <w:r w:rsidR="00576347" w:rsidRPr="00576347">
          <w:rPr>
            <w:rStyle w:val="Hyperlink"/>
            <w:rFonts w:ascii="Palatino Linotype" w:hAnsi="Palatino Linotype"/>
            <w:bCs/>
            <w:color w:val="auto"/>
            <w:u w:val="none"/>
          </w:rPr>
          <w:t>Patriotic Union of Kurdistan</w:t>
        </w:r>
      </w:hyperlink>
      <w:r w:rsidR="00576347">
        <w:rPr>
          <w:rFonts w:ascii="Palatino Linotype" w:hAnsi="Palatino Linotype"/>
          <w:bCs/>
        </w:rPr>
        <w:t xml:space="preserve">, </w:t>
      </w:r>
      <w:r w:rsidRPr="00E561BA">
        <w:rPr>
          <w:rFonts w:ascii="Palatino Linotype" w:hAnsi="Palatino Linotype"/>
          <w:bCs/>
        </w:rPr>
        <w:t>al-</w:t>
      </w:r>
      <w:proofErr w:type="spellStart"/>
      <w:r w:rsidRPr="00E561BA">
        <w:rPr>
          <w:rFonts w:ascii="Palatino Linotype" w:hAnsi="Palatino Linotype"/>
          <w:bCs/>
        </w:rPr>
        <w:t>Islami</w:t>
      </w:r>
      <w:proofErr w:type="spellEnd"/>
      <w:r w:rsidRPr="00E561BA">
        <w:rPr>
          <w:rFonts w:ascii="Palatino Linotype" w:hAnsi="Palatino Linotype"/>
          <w:bCs/>
        </w:rPr>
        <w:t xml:space="preserve"> al-‘Iraqi, Islamic Supreme Council of Iraq</w:t>
      </w:r>
      <w:r w:rsidR="00CB493B">
        <w:rPr>
          <w:rFonts w:ascii="Palatino Linotype" w:hAnsi="Palatino Linotype"/>
          <w:bCs/>
        </w:rPr>
        <w:t xml:space="preserve"> (ISCI), Sayyid Ammar al-Hakim (</w:t>
      </w:r>
      <w:r w:rsidRPr="00E561BA">
        <w:rPr>
          <w:rFonts w:ascii="Palatino Linotype" w:hAnsi="Palatino Linotype"/>
          <w:bCs/>
        </w:rPr>
        <w:t xml:space="preserve">a faction of </w:t>
      </w:r>
      <w:proofErr w:type="spellStart"/>
      <w:r w:rsidRPr="00E561BA">
        <w:rPr>
          <w:rFonts w:ascii="Palatino Linotype" w:hAnsi="Palatino Linotype"/>
          <w:bCs/>
        </w:rPr>
        <w:t>Hizb</w:t>
      </w:r>
      <w:proofErr w:type="spellEnd"/>
      <w:r w:rsidR="00CB493B">
        <w:rPr>
          <w:rFonts w:ascii="Palatino Linotype" w:hAnsi="Palatino Linotype"/>
          <w:bCs/>
        </w:rPr>
        <w:t>)</w:t>
      </w:r>
      <w:r w:rsidRPr="00E561BA">
        <w:rPr>
          <w:rFonts w:ascii="Palatino Linotype" w:hAnsi="Palatino Linotype"/>
          <w:bCs/>
        </w:rPr>
        <w:t xml:space="preserve"> and al-</w:t>
      </w:r>
      <w:proofErr w:type="spellStart"/>
      <w:r w:rsidRPr="00E561BA">
        <w:rPr>
          <w:rFonts w:ascii="Palatino Linotype" w:hAnsi="Palatino Linotype"/>
          <w:bCs/>
        </w:rPr>
        <w:t>Da’awah</w:t>
      </w:r>
      <w:proofErr w:type="spellEnd"/>
      <w:r w:rsidRPr="00E561BA">
        <w:rPr>
          <w:rFonts w:ascii="Palatino Linotype" w:hAnsi="Palatino Linotype"/>
          <w:bCs/>
        </w:rPr>
        <w:t xml:space="preserve"> al-</w:t>
      </w:r>
      <w:proofErr w:type="spellStart"/>
      <w:r w:rsidRPr="00E561BA">
        <w:rPr>
          <w:rFonts w:ascii="Palatino Linotype" w:hAnsi="Palatino Linotype"/>
          <w:bCs/>
        </w:rPr>
        <w:t>Islamiyyah</w:t>
      </w:r>
      <w:proofErr w:type="spellEnd"/>
      <w:r w:rsidRPr="00E561BA">
        <w:rPr>
          <w:rFonts w:ascii="Palatino Linotype" w:hAnsi="Palatino Linotype"/>
          <w:bCs/>
        </w:rPr>
        <w:t xml:space="preserve">. </w:t>
      </w:r>
      <w:r w:rsidR="00892716">
        <w:rPr>
          <w:rFonts w:ascii="Palatino Linotype" w:hAnsi="Palatino Linotype"/>
          <w:bCs/>
        </w:rPr>
        <w:t xml:space="preserve">Predominantly, Shia and Kurdish groups and the most </w:t>
      </w:r>
      <w:r w:rsidR="009D5689">
        <w:rPr>
          <w:rFonts w:ascii="Palatino Linotype" w:hAnsi="Palatino Linotype"/>
          <w:bCs/>
        </w:rPr>
        <w:t>vigorous</w:t>
      </w:r>
      <w:r w:rsidR="00892716">
        <w:rPr>
          <w:rFonts w:ascii="Palatino Linotype" w:hAnsi="Palatino Linotype"/>
          <w:bCs/>
        </w:rPr>
        <w:t xml:space="preserve"> opponents of Ba’athism. </w:t>
      </w:r>
      <w:r w:rsidR="004D1714">
        <w:rPr>
          <w:rFonts w:ascii="Palatino Linotype" w:hAnsi="Palatino Linotype"/>
          <w:bCs/>
        </w:rPr>
        <w:t xml:space="preserve">This coalition of new regime holders </w:t>
      </w:r>
      <w:r w:rsidR="00576347">
        <w:rPr>
          <w:rFonts w:ascii="Palatino Linotype" w:hAnsi="Palatino Linotype"/>
          <w:bCs/>
        </w:rPr>
        <w:t>extended, through lustration, the strategic political and</w:t>
      </w:r>
      <w:r w:rsidR="004D1714" w:rsidRPr="004D1714">
        <w:rPr>
          <w:rFonts w:ascii="Palatino Linotype" w:hAnsi="Palatino Linotype"/>
          <w:bCs/>
        </w:rPr>
        <w:t xml:space="preserve"> military goals </w:t>
      </w:r>
      <w:r w:rsidR="00576347">
        <w:rPr>
          <w:rFonts w:ascii="Palatino Linotype" w:hAnsi="Palatino Linotype"/>
          <w:bCs/>
        </w:rPr>
        <w:t>of invasion that included the privatization of the economy</w:t>
      </w:r>
      <w:r w:rsidR="00C91686">
        <w:rPr>
          <w:rFonts w:ascii="Palatino Linotype" w:hAnsi="Palatino Linotype"/>
          <w:bCs/>
        </w:rPr>
        <w:t xml:space="preserve"> and de-</w:t>
      </w:r>
      <w:proofErr w:type="spellStart"/>
      <w:r w:rsidR="00C91686">
        <w:rPr>
          <w:rFonts w:ascii="Palatino Linotype" w:hAnsi="Palatino Linotype"/>
          <w:bCs/>
        </w:rPr>
        <w:t>Ba'athification</w:t>
      </w:r>
      <w:proofErr w:type="spellEnd"/>
      <w:r w:rsidR="00C91686" w:rsidRPr="00C91686">
        <w:rPr>
          <w:rFonts w:ascii="Palatino Linotype" w:hAnsi="Palatino Linotype"/>
          <w:bCs/>
        </w:rPr>
        <w:t xml:space="preserve"> as a part of </w:t>
      </w:r>
      <w:r w:rsidR="00FF0E8E">
        <w:rPr>
          <w:rFonts w:ascii="Palatino Linotype" w:hAnsi="Palatino Linotype"/>
          <w:bCs/>
        </w:rPr>
        <w:t>an</w:t>
      </w:r>
      <w:r w:rsidR="00C91686">
        <w:rPr>
          <w:rFonts w:ascii="Palatino Linotype" w:hAnsi="Palatino Linotype"/>
          <w:bCs/>
        </w:rPr>
        <w:t xml:space="preserve"> overall occupation tactic</w:t>
      </w:r>
      <w:r w:rsidR="00576347">
        <w:rPr>
          <w:rFonts w:ascii="Palatino Linotype" w:hAnsi="Palatino Linotype"/>
          <w:bCs/>
        </w:rPr>
        <w:t xml:space="preserve"> (</w:t>
      </w:r>
      <w:proofErr w:type="spellStart"/>
      <w:r w:rsidR="00576347">
        <w:rPr>
          <w:rFonts w:ascii="Palatino Linotype" w:hAnsi="Palatino Linotype"/>
          <w:bCs/>
        </w:rPr>
        <w:t>Kittrie</w:t>
      </w:r>
      <w:proofErr w:type="spellEnd"/>
      <w:r w:rsidR="00576347">
        <w:rPr>
          <w:rFonts w:ascii="Palatino Linotype" w:hAnsi="Palatino Linotype"/>
          <w:bCs/>
        </w:rPr>
        <w:t xml:space="preserve">, 2010, </w:t>
      </w:r>
      <w:proofErr w:type="spellStart"/>
      <w:r w:rsidR="00576347">
        <w:rPr>
          <w:rFonts w:ascii="Palatino Linotype" w:hAnsi="Palatino Linotype"/>
          <w:bCs/>
        </w:rPr>
        <w:t>L</w:t>
      </w:r>
      <w:r w:rsidR="004D1714" w:rsidRPr="004D1714">
        <w:rPr>
          <w:rFonts w:ascii="Palatino Linotype" w:hAnsi="Palatino Linotype"/>
          <w:bCs/>
        </w:rPr>
        <w:t>uban</w:t>
      </w:r>
      <w:proofErr w:type="spellEnd"/>
      <w:r w:rsidR="004D1714" w:rsidRPr="004D1714">
        <w:rPr>
          <w:rFonts w:ascii="Palatino Linotype" w:hAnsi="Palatino Linotype"/>
          <w:bCs/>
        </w:rPr>
        <w:t xml:space="preserve">, 2010). </w:t>
      </w:r>
      <w:r w:rsidR="00C91686">
        <w:rPr>
          <w:rFonts w:ascii="Palatino Linotype" w:hAnsi="Palatino Linotype"/>
          <w:bCs/>
        </w:rPr>
        <w:t xml:space="preserve">There was no ideological difference between the exogenous design of Order 1 and the </w:t>
      </w:r>
      <w:proofErr w:type="gramStart"/>
      <w:r w:rsidR="00C91686">
        <w:rPr>
          <w:rFonts w:ascii="Palatino Linotype" w:hAnsi="Palatino Linotype"/>
          <w:bCs/>
        </w:rPr>
        <w:t>endogenous-leaders</w:t>
      </w:r>
      <w:proofErr w:type="gramEnd"/>
      <w:r w:rsidR="00C91686">
        <w:rPr>
          <w:rFonts w:ascii="Palatino Linotype" w:hAnsi="Palatino Linotype"/>
          <w:bCs/>
        </w:rPr>
        <w:t xml:space="preserve"> </w:t>
      </w:r>
      <w:r w:rsidR="00FF0E8E">
        <w:rPr>
          <w:rFonts w:ascii="Palatino Linotype" w:hAnsi="Palatino Linotype"/>
          <w:bCs/>
        </w:rPr>
        <w:t xml:space="preserve">regarding </w:t>
      </w:r>
      <w:r w:rsidR="00C91686">
        <w:rPr>
          <w:rFonts w:ascii="Palatino Linotype" w:hAnsi="Palatino Linotype"/>
          <w:bCs/>
        </w:rPr>
        <w:t xml:space="preserve">the structures that emerged. The new political elite appreciated that </w:t>
      </w:r>
      <w:r w:rsidR="004D1714" w:rsidRPr="004D1714">
        <w:rPr>
          <w:rFonts w:ascii="Palatino Linotype" w:hAnsi="Palatino Linotype"/>
          <w:bCs/>
        </w:rPr>
        <w:t xml:space="preserve">the </w:t>
      </w:r>
      <w:r w:rsidR="00C91686">
        <w:rPr>
          <w:rFonts w:ascii="Palatino Linotype" w:hAnsi="Palatino Linotype"/>
          <w:bCs/>
        </w:rPr>
        <w:t>law-space</w:t>
      </w:r>
      <w:r w:rsidR="004D1714" w:rsidRPr="004D1714">
        <w:rPr>
          <w:rFonts w:ascii="Palatino Linotype" w:hAnsi="Palatino Linotype"/>
          <w:bCs/>
        </w:rPr>
        <w:t xml:space="preserve"> nexus </w:t>
      </w:r>
      <w:r w:rsidR="00F47A9B">
        <w:rPr>
          <w:rFonts w:ascii="Palatino Linotype" w:hAnsi="Palatino Linotype"/>
          <w:bCs/>
        </w:rPr>
        <w:t xml:space="preserve">placed </w:t>
      </w:r>
      <w:r w:rsidR="00C91686">
        <w:rPr>
          <w:rFonts w:ascii="Palatino Linotype" w:hAnsi="Palatino Linotype"/>
          <w:bCs/>
        </w:rPr>
        <w:t xml:space="preserve">under their control offered capacity and the opportunity to undermine dissent and political challenge. The uncompromising nature of their approach part-infused violence from Sunni groups, </w:t>
      </w:r>
      <w:r w:rsidR="00C91686" w:rsidRPr="00C91686">
        <w:rPr>
          <w:rFonts w:ascii="Palatino Linotype" w:hAnsi="Palatino Linotype"/>
          <w:bCs/>
        </w:rPr>
        <w:t xml:space="preserve">such as </w:t>
      </w:r>
      <w:hyperlink r:id="rId13" w:history="1">
        <w:r w:rsidR="00C91686" w:rsidRPr="00C91686">
          <w:rPr>
            <w:rStyle w:val="Hyperlink"/>
            <w:rFonts w:ascii="Palatino Linotype" w:hAnsi="Palatino Linotype"/>
            <w:bCs/>
            <w:color w:val="auto"/>
            <w:u w:val="none"/>
            <w:lang w:val="en-GB"/>
          </w:rPr>
          <w:t>Ansar al-Islam</w:t>
        </w:r>
      </w:hyperlink>
      <w:r w:rsidR="00C91686" w:rsidRPr="00C91686">
        <w:rPr>
          <w:rFonts w:ascii="Palatino Linotype" w:hAnsi="Palatino Linotype"/>
          <w:bCs/>
          <w:lang w:val="en-GB"/>
        </w:rPr>
        <w:t xml:space="preserve">, </w:t>
      </w:r>
      <w:hyperlink r:id="rId14" w:tooltip="Political Council for the Iraqi Resistance" w:history="1">
        <w:r w:rsidR="00C91686" w:rsidRPr="00C91686">
          <w:rPr>
            <w:rStyle w:val="Hyperlink"/>
            <w:rFonts w:ascii="Palatino Linotype" w:hAnsi="Palatino Linotype"/>
            <w:bCs/>
            <w:color w:val="auto"/>
            <w:u w:val="none"/>
            <w:lang w:val="en-GB"/>
          </w:rPr>
          <w:t>Political Council for the Iraqi Resistance</w:t>
        </w:r>
      </w:hyperlink>
      <w:r w:rsidR="00C91686" w:rsidRPr="00C91686">
        <w:rPr>
          <w:rFonts w:ascii="Palatino Linotype" w:hAnsi="Palatino Linotype"/>
          <w:bCs/>
          <w:lang w:val="en-GB"/>
        </w:rPr>
        <w:t xml:space="preserve">, </w:t>
      </w:r>
      <w:hyperlink r:id="rId15" w:tooltip="Islamic Army in Iraq" w:history="1">
        <w:r w:rsidR="00C91686" w:rsidRPr="00C91686">
          <w:rPr>
            <w:rStyle w:val="Hyperlink"/>
            <w:rFonts w:ascii="Palatino Linotype" w:hAnsi="Palatino Linotype"/>
            <w:bCs/>
            <w:color w:val="auto"/>
            <w:u w:val="none"/>
            <w:lang w:val="en-GB"/>
          </w:rPr>
          <w:t>Islamic Army in Iraq</w:t>
        </w:r>
      </w:hyperlink>
      <w:r w:rsidR="00C91686" w:rsidRPr="00C91686">
        <w:rPr>
          <w:rFonts w:ascii="Palatino Linotype" w:hAnsi="Palatino Linotype"/>
          <w:bCs/>
        </w:rPr>
        <w:t xml:space="preserve"> and the F</w:t>
      </w:r>
      <w:proofErr w:type="spellStart"/>
      <w:r w:rsidR="00C91686" w:rsidRPr="00C91686">
        <w:rPr>
          <w:rFonts w:ascii="Palatino Linotype" w:hAnsi="Palatino Linotype"/>
          <w:bCs/>
          <w:lang w:val="en-GB"/>
        </w:rPr>
        <w:t>allujah</w:t>
      </w:r>
      <w:proofErr w:type="spellEnd"/>
      <w:r w:rsidR="00C91686" w:rsidRPr="00C91686">
        <w:rPr>
          <w:rFonts w:ascii="Palatino Linotype" w:hAnsi="Palatino Linotype"/>
          <w:bCs/>
          <w:lang w:val="en-GB"/>
        </w:rPr>
        <w:t xml:space="preserve"> Military Council</w:t>
      </w:r>
      <w:r w:rsidR="00C91686">
        <w:rPr>
          <w:rFonts w:ascii="Palatino Linotype" w:hAnsi="Palatino Linotype"/>
          <w:bCs/>
          <w:lang w:val="en-GB"/>
        </w:rPr>
        <w:t>,</w:t>
      </w:r>
      <w:r w:rsidR="00C91686" w:rsidRPr="00C91686">
        <w:rPr>
          <w:rFonts w:ascii="Palatino Linotype" w:hAnsi="Palatino Linotype"/>
          <w:bCs/>
          <w:lang w:val="en-GB"/>
        </w:rPr>
        <w:t xml:space="preserve"> </w:t>
      </w:r>
      <w:r w:rsidR="00C91686">
        <w:rPr>
          <w:rFonts w:ascii="Palatino Linotype" w:hAnsi="Palatino Linotype"/>
          <w:bCs/>
          <w:lang w:val="en-GB"/>
        </w:rPr>
        <w:t xml:space="preserve">due to the </w:t>
      </w:r>
      <w:r w:rsidR="00C91686" w:rsidRPr="00C91686">
        <w:rPr>
          <w:rFonts w:ascii="Palatino Linotype" w:hAnsi="Palatino Linotype"/>
          <w:bCs/>
          <w:lang w:val="en-GB"/>
        </w:rPr>
        <w:t>unfolding nature of Sunni exclusion from public employment and state resources.</w:t>
      </w:r>
    </w:p>
    <w:p w14:paraId="5299D58E" w14:textId="77777777" w:rsidR="00E030FE" w:rsidRDefault="00E030FE" w:rsidP="00E030FE">
      <w:pPr>
        <w:jc w:val="both"/>
        <w:rPr>
          <w:rFonts w:ascii="Palatino Linotype" w:hAnsi="Palatino Linotype"/>
          <w:bCs/>
        </w:rPr>
      </w:pPr>
    </w:p>
    <w:p w14:paraId="72A28DF6" w14:textId="77777777" w:rsidR="00E030FE" w:rsidRPr="00E030FE" w:rsidRDefault="00E030FE" w:rsidP="00E030FE">
      <w:pPr>
        <w:jc w:val="both"/>
        <w:rPr>
          <w:rFonts w:ascii="Palatino Linotype" w:hAnsi="Palatino Linotype"/>
          <w:b/>
          <w:bCs/>
        </w:rPr>
      </w:pPr>
      <w:r w:rsidRPr="00E030FE">
        <w:rPr>
          <w:rFonts w:ascii="Palatino Linotype" w:hAnsi="Palatino Linotype"/>
          <w:b/>
          <w:bCs/>
        </w:rPr>
        <w:t>An Outsider Researching Inside Iraq</w:t>
      </w:r>
    </w:p>
    <w:p w14:paraId="612D0D5A" w14:textId="77777777" w:rsidR="00E030FE" w:rsidRPr="00E030FE" w:rsidRDefault="00E030FE" w:rsidP="00E030FE">
      <w:pPr>
        <w:jc w:val="both"/>
        <w:rPr>
          <w:rFonts w:ascii="Palatino Linotype" w:hAnsi="Palatino Linotype"/>
          <w:b/>
          <w:bCs/>
        </w:rPr>
      </w:pPr>
    </w:p>
    <w:p w14:paraId="1866209F" w14:textId="77777777" w:rsidR="00E030FE" w:rsidRPr="00E030FE" w:rsidRDefault="00E030FE" w:rsidP="00E030FE">
      <w:pPr>
        <w:jc w:val="both"/>
        <w:rPr>
          <w:rFonts w:ascii="Palatino Linotype" w:hAnsi="Palatino Linotype"/>
          <w:bCs/>
        </w:rPr>
      </w:pPr>
      <w:r w:rsidRPr="00E030FE">
        <w:rPr>
          <w:rFonts w:ascii="Palatino Linotype" w:hAnsi="Palatino Linotype"/>
          <w:bCs/>
        </w:rPr>
        <w:t xml:space="preserve">The author made 4 trips to Iraq and met Iraqi politicians and human rights advocates in Europe prior to those trips. The first meeting was attended by political parties and prominent civil society representatives. The author was invited to that meeting as chair of the Northern Ireland government’s Review Panel: Employers' Guidance on Recruiting People with Conflict-related Convictions. During </w:t>
      </w:r>
      <w:proofErr w:type="gramStart"/>
      <w:r w:rsidRPr="00E030FE">
        <w:rPr>
          <w:rFonts w:ascii="Palatino Linotype" w:hAnsi="Palatino Linotype"/>
          <w:bCs/>
        </w:rPr>
        <w:t>meetings</w:t>
      </w:r>
      <w:proofErr w:type="gramEnd"/>
      <w:r w:rsidRPr="00E030FE">
        <w:rPr>
          <w:rFonts w:ascii="Palatino Linotype" w:hAnsi="Palatino Linotype"/>
          <w:bCs/>
        </w:rPr>
        <w:t xml:space="preserve"> the delegates asked the author to advise on how to either extend vetting (lustration) or challenge what was viewed as its abuses. Subsequently, the author was invited to four national/regional events at which issues of governance, peace-building and territorial disputes were discussed and debated. As an outsider the author was aware of their limited knowledge of lustration in Iraq and that much of what was available was not in English. The material regarding internal debates and discussion was generally in Arabic and Kurdish. The author appointed two researchers in Iraq to prepare material</w:t>
      </w:r>
      <w:r w:rsidR="004E328A">
        <w:rPr>
          <w:rFonts w:ascii="Palatino Linotype" w:hAnsi="Palatino Linotype"/>
          <w:bCs/>
        </w:rPr>
        <w:t>s on lustration policies</w:t>
      </w:r>
      <w:r w:rsidRPr="00E030FE">
        <w:rPr>
          <w:rFonts w:ascii="Palatino Linotype" w:hAnsi="Palatino Linotype"/>
          <w:bCs/>
        </w:rPr>
        <w:t xml:space="preserve">. Both wish to remain anonymous and are unknown to each other. </w:t>
      </w:r>
    </w:p>
    <w:p w14:paraId="20FE2EF5" w14:textId="77777777" w:rsidR="00E030FE" w:rsidRPr="00E030FE" w:rsidRDefault="00E030FE" w:rsidP="00E030FE">
      <w:pPr>
        <w:jc w:val="both"/>
        <w:rPr>
          <w:rFonts w:ascii="Palatino Linotype" w:hAnsi="Palatino Linotype"/>
          <w:bCs/>
        </w:rPr>
      </w:pPr>
    </w:p>
    <w:p w14:paraId="525C3383" w14:textId="77777777" w:rsidR="00E030FE" w:rsidRPr="00E030FE" w:rsidRDefault="00E030FE" w:rsidP="00E030FE">
      <w:pPr>
        <w:jc w:val="both"/>
        <w:rPr>
          <w:rFonts w:ascii="Palatino Linotype" w:hAnsi="Palatino Linotype"/>
          <w:bCs/>
        </w:rPr>
      </w:pPr>
      <w:r w:rsidRPr="00E030FE">
        <w:rPr>
          <w:rFonts w:ascii="Palatino Linotype" w:hAnsi="Palatino Linotype"/>
          <w:bCs/>
        </w:rPr>
        <w:t xml:space="preserve">Each conducted preliminary work on the issues of lustration. </w:t>
      </w:r>
      <w:commentRangeStart w:id="5"/>
      <w:r w:rsidRPr="00E030FE">
        <w:rPr>
          <w:rFonts w:ascii="Palatino Linotype" w:hAnsi="Palatino Linotype"/>
          <w:bCs/>
        </w:rPr>
        <w:t xml:space="preserve">One was an adherent of the other a critic of lustration. </w:t>
      </w:r>
      <w:commentRangeEnd w:id="5"/>
      <w:r w:rsidR="005E120E">
        <w:rPr>
          <w:rStyle w:val="CommentReference"/>
        </w:rPr>
        <w:commentReference w:id="5"/>
      </w:r>
      <w:r w:rsidRPr="00E030FE">
        <w:rPr>
          <w:rFonts w:ascii="Palatino Linotype" w:hAnsi="Palatino Linotype"/>
          <w:bCs/>
        </w:rPr>
        <w:t xml:space="preserve">To ensure quality, </w:t>
      </w:r>
      <w:proofErr w:type="spellStart"/>
      <w:r w:rsidRPr="00E030FE">
        <w:rPr>
          <w:rFonts w:ascii="Palatino Linotype" w:hAnsi="Palatino Linotype"/>
          <w:bCs/>
        </w:rPr>
        <w:t>rigour</w:t>
      </w:r>
      <w:proofErr w:type="spellEnd"/>
      <w:r w:rsidRPr="00E030FE">
        <w:rPr>
          <w:rFonts w:ascii="Palatino Linotype" w:hAnsi="Palatino Linotype"/>
          <w:bCs/>
        </w:rPr>
        <w:t xml:space="preserve"> and familiarity with competing perspectives the author received a report on lustration from each researcher. The author ensured that those reports were not sent electronically, so </w:t>
      </w:r>
      <w:r w:rsidRPr="00E030FE">
        <w:rPr>
          <w:rFonts w:ascii="Palatino Linotype" w:hAnsi="Palatino Linotype"/>
          <w:bCs/>
        </w:rPr>
        <w:lastRenderedPageBreak/>
        <w:t xml:space="preserve">as they could not be intercepted, but collected in person in the UK. At the first two events attended in Iraq the author and the researcher, who was supportive of lustration, organized interviews with adherents. The last two events attended were the sites at which those critical of lustration were interviewed. This ensured that the researchers did not meet. The author did not know who they were meeting until they attended the interview, although respondents had been chosen by the researchers as either lustration adherents, </w:t>
      </w:r>
      <w:proofErr w:type="gramStart"/>
      <w:r w:rsidRPr="00E030FE">
        <w:rPr>
          <w:rFonts w:ascii="Palatino Linotype" w:hAnsi="Palatino Linotype"/>
          <w:bCs/>
        </w:rPr>
        <w:t>reformers</w:t>
      </w:r>
      <w:proofErr w:type="gramEnd"/>
      <w:r w:rsidRPr="00E030FE">
        <w:rPr>
          <w:rFonts w:ascii="Palatino Linotype" w:hAnsi="Palatino Linotype"/>
          <w:bCs/>
        </w:rPr>
        <w:t xml:space="preserve"> or rejectionists. The only exchange, when interviewing interviewees was first names and the respondent’s designation which they could volunteer such as the name of a political party or a term such as human rights activist. The need for security and anonymity was vital given </w:t>
      </w:r>
      <w:r w:rsidR="004E328A">
        <w:rPr>
          <w:rFonts w:ascii="Palatino Linotype" w:hAnsi="Palatino Linotype"/>
          <w:bCs/>
        </w:rPr>
        <w:t>widespread violence</w:t>
      </w:r>
      <w:r w:rsidRPr="00E030FE">
        <w:rPr>
          <w:rFonts w:ascii="Palatino Linotype" w:hAnsi="Palatino Linotype"/>
          <w:bCs/>
        </w:rPr>
        <w:t xml:space="preserve"> in Iraq. A rigorous process of determining safe spaces to meet and interview was vital to </w:t>
      </w:r>
      <w:r w:rsidR="004E328A">
        <w:rPr>
          <w:rFonts w:ascii="Palatino Linotype" w:hAnsi="Palatino Linotype"/>
          <w:bCs/>
        </w:rPr>
        <w:t xml:space="preserve">encourage respondent participation. </w:t>
      </w:r>
    </w:p>
    <w:p w14:paraId="3630FF82" w14:textId="77777777" w:rsidR="00E030FE" w:rsidRPr="00E030FE" w:rsidRDefault="00E030FE" w:rsidP="00E030FE">
      <w:pPr>
        <w:jc w:val="both"/>
        <w:rPr>
          <w:rFonts w:ascii="Palatino Linotype" w:hAnsi="Palatino Linotype"/>
          <w:bCs/>
        </w:rPr>
      </w:pPr>
    </w:p>
    <w:p w14:paraId="10C6ECAE" w14:textId="77777777" w:rsidR="00E030FE" w:rsidRPr="00E030FE" w:rsidRDefault="00E030FE" w:rsidP="00E030FE">
      <w:pPr>
        <w:jc w:val="both"/>
        <w:rPr>
          <w:rFonts w:ascii="Palatino Linotype" w:hAnsi="Palatino Linotype"/>
          <w:bCs/>
        </w:rPr>
      </w:pPr>
      <w:r w:rsidRPr="00E030FE">
        <w:rPr>
          <w:rFonts w:ascii="Palatino Linotype" w:hAnsi="Palatino Linotype"/>
          <w:bCs/>
        </w:rPr>
        <w:t xml:space="preserve">The context of carrying of qualitative research in war zone is problematic both in terms of safety of researcher and researched. The author was on two occasions an object of violence that included a thwarted attack by Al-Qaeda upon a conference </w:t>
      </w:r>
      <w:proofErr w:type="spellStart"/>
      <w:r w:rsidRPr="00E030FE">
        <w:rPr>
          <w:rFonts w:ascii="Palatino Linotype" w:hAnsi="Palatino Linotype"/>
          <w:bCs/>
        </w:rPr>
        <w:t>centre</w:t>
      </w:r>
      <w:proofErr w:type="spellEnd"/>
      <w:r w:rsidRPr="00E030FE">
        <w:rPr>
          <w:rFonts w:ascii="Palatino Linotype" w:hAnsi="Palatino Linotype"/>
          <w:bCs/>
        </w:rPr>
        <w:t xml:space="preserve"> </w:t>
      </w:r>
      <w:r w:rsidR="004E328A">
        <w:rPr>
          <w:rFonts w:ascii="Palatino Linotype" w:hAnsi="Palatino Linotype"/>
          <w:bCs/>
        </w:rPr>
        <w:t>in Kirkuk</w:t>
      </w:r>
      <w:r w:rsidRPr="00E030FE">
        <w:rPr>
          <w:rFonts w:ascii="Palatino Linotype" w:hAnsi="Palatino Linotype"/>
          <w:bCs/>
        </w:rPr>
        <w:t xml:space="preserve">.  There was a dualistic sense of being an outsider but also having some appreciation of the emotions and/or trauma that political violence produces. The author, who is from Northern Ireland, has conducted research on political violence and been subjected to it and was therefore cognizant of working with those who were either the perpetuators or victims of abuse or both.  </w:t>
      </w:r>
      <w:commentRangeStart w:id="6"/>
      <w:r w:rsidRPr="00E030FE">
        <w:rPr>
          <w:rFonts w:ascii="Palatino Linotype" w:hAnsi="Palatino Linotype"/>
          <w:bCs/>
        </w:rPr>
        <w:t xml:space="preserve">Although, a third party to Iraq I was cognizant that much of what I heard affected my own emotional sensitivities and stimulated memories of violence. </w:t>
      </w:r>
      <w:commentRangeEnd w:id="6"/>
      <w:r w:rsidR="005E120E">
        <w:rPr>
          <w:rStyle w:val="CommentReference"/>
        </w:rPr>
        <w:commentReference w:id="6"/>
      </w:r>
    </w:p>
    <w:p w14:paraId="3A728981" w14:textId="77777777" w:rsidR="00E030FE" w:rsidRPr="00E030FE" w:rsidRDefault="00E030FE" w:rsidP="00E030FE">
      <w:pPr>
        <w:jc w:val="both"/>
        <w:rPr>
          <w:rFonts w:ascii="Palatino Linotype" w:hAnsi="Palatino Linotype"/>
          <w:bCs/>
        </w:rPr>
      </w:pPr>
    </w:p>
    <w:p w14:paraId="5711FFD7" w14:textId="77777777" w:rsidR="00E030FE" w:rsidRPr="00E030FE" w:rsidRDefault="00E030FE" w:rsidP="00E030FE">
      <w:pPr>
        <w:jc w:val="both"/>
        <w:rPr>
          <w:rFonts w:ascii="Palatino Linotype" w:hAnsi="Palatino Linotype"/>
          <w:bCs/>
        </w:rPr>
      </w:pPr>
      <w:r w:rsidRPr="00E030FE">
        <w:rPr>
          <w:rFonts w:ascii="Palatino Linotype" w:hAnsi="Palatino Linotype"/>
          <w:bCs/>
        </w:rPr>
        <w:t xml:space="preserve">Fundamental to the conduct of the research was the need to ensure that those interviewed did so anonymously and safely. The author, when in Iraq, could not travel freely and was constantly surrounded by security personnel. However, when in hotels and conference </w:t>
      </w:r>
      <w:proofErr w:type="spellStart"/>
      <w:r w:rsidRPr="00E030FE">
        <w:rPr>
          <w:rFonts w:ascii="Palatino Linotype" w:hAnsi="Palatino Linotype"/>
          <w:bCs/>
        </w:rPr>
        <w:t>centres</w:t>
      </w:r>
      <w:proofErr w:type="spellEnd"/>
      <w:r w:rsidRPr="00E030FE">
        <w:rPr>
          <w:rFonts w:ascii="Palatino Linotype" w:hAnsi="Palatino Linotype"/>
          <w:bCs/>
        </w:rPr>
        <w:t>, I was presented with the opportunity to meet respondents in private rooms. The interviews took place at events organized to bring hundreds of political actors and prominent NGO actors together. Given the scale of these events</w:t>
      </w:r>
      <w:r w:rsidR="004E328A">
        <w:rPr>
          <w:rFonts w:ascii="Palatino Linotype" w:hAnsi="Palatino Linotype"/>
          <w:bCs/>
        </w:rPr>
        <w:t>, in terms of attendance,</w:t>
      </w:r>
      <w:r w:rsidRPr="00E030FE">
        <w:rPr>
          <w:rFonts w:ascii="Palatino Linotype" w:hAnsi="Palatino Linotype"/>
          <w:bCs/>
        </w:rPr>
        <w:t xml:space="preserve"> those interviewed could meet in a private room without being seen with the researcher. It was agreed with each respondent that the author would not been seen with them in public or have conversations with them during the events. Invitations, from interviewees to dinner, drinks or informal conversations were politely rejected. The interview material was typed up in situ and encoded by security software that could only be read on a computer at the author’s place of work. The interviews were spread ac</w:t>
      </w:r>
      <w:r w:rsidR="004E328A">
        <w:rPr>
          <w:rFonts w:ascii="Palatino Linotype" w:hAnsi="Palatino Linotype"/>
          <w:bCs/>
        </w:rPr>
        <w:t>ross 16 days with no more than 4</w:t>
      </w:r>
      <w:r w:rsidRPr="00E030FE">
        <w:rPr>
          <w:rFonts w:ascii="Palatino Linotype" w:hAnsi="Palatino Linotype"/>
          <w:bCs/>
        </w:rPr>
        <w:t xml:space="preserve"> interviews per day. These were spread across </w:t>
      </w:r>
      <w:proofErr w:type="gramStart"/>
      <w:r w:rsidRPr="00E030FE">
        <w:rPr>
          <w:rFonts w:ascii="Palatino Linotype" w:hAnsi="Palatino Linotype"/>
          <w:bCs/>
        </w:rPr>
        <w:t>4 hour</w:t>
      </w:r>
      <w:proofErr w:type="gramEnd"/>
      <w:r w:rsidRPr="00E030FE">
        <w:rPr>
          <w:rFonts w:ascii="Palatino Linotype" w:hAnsi="Palatino Linotype"/>
          <w:bCs/>
        </w:rPr>
        <w:t xml:space="preserve"> intervals so as to minimize the risk of interviewees </w:t>
      </w:r>
      <w:r w:rsidR="004E328A">
        <w:rPr>
          <w:rFonts w:ascii="Palatino Linotype" w:hAnsi="Palatino Linotype"/>
          <w:bCs/>
        </w:rPr>
        <w:t xml:space="preserve">meeting </w:t>
      </w:r>
      <w:r w:rsidRPr="00E030FE">
        <w:rPr>
          <w:rFonts w:ascii="Palatino Linotype" w:hAnsi="Palatino Linotype"/>
          <w:bCs/>
        </w:rPr>
        <w:t xml:space="preserve">each other. The private room used was different for each interview. The research work was at </w:t>
      </w:r>
      <w:r w:rsidRPr="00E030FE">
        <w:rPr>
          <w:rFonts w:ascii="Palatino Linotype" w:hAnsi="Palatino Linotype"/>
          <w:bCs/>
        </w:rPr>
        <w:lastRenderedPageBreak/>
        <w:t xml:space="preserve">times draining due to the desire to ensure anonymity as well as interviewing some who were viciously hostile to their political opponents and others who were </w:t>
      </w:r>
      <w:r w:rsidR="004E328A" w:rsidRPr="00E030FE">
        <w:rPr>
          <w:rFonts w:ascii="Palatino Linotype" w:hAnsi="Palatino Linotype"/>
          <w:bCs/>
        </w:rPr>
        <w:t>antagonistic</w:t>
      </w:r>
      <w:r w:rsidR="004E328A">
        <w:rPr>
          <w:rFonts w:ascii="Palatino Linotype" w:hAnsi="Palatino Linotype"/>
          <w:bCs/>
        </w:rPr>
        <w:t xml:space="preserve"> to ‘outsiders’</w:t>
      </w:r>
      <w:r w:rsidRPr="00E030FE">
        <w:rPr>
          <w:rFonts w:ascii="Palatino Linotype" w:hAnsi="Palatino Linotype"/>
          <w:bCs/>
        </w:rPr>
        <w:t xml:space="preserve">. At times interviewees vented and raged about being abused by the previous and present regimes. However, most undertook the interviews as an opportunity to express their opinions and concerns. </w:t>
      </w:r>
    </w:p>
    <w:p w14:paraId="6890BD1C" w14:textId="77777777" w:rsidR="00E030FE" w:rsidRPr="00E030FE" w:rsidRDefault="00E030FE" w:rsidP="00E030FE">
      <w:pPr>
        <w:jc w:val="both"/>
        <w:rPr>
          <w:rFonts w:ascii="Palatino Linotype" w:hAnsi="Palatino Linotype"/>
          <w:bCs/>
        </w:rPr>
      </w:pPr>
    </w:p>
    <w:p w14:paraId="13B3CB7E" w14:textId="77777777" w:rsidR="00E030FE" w:rsidRPr="00E030FE" w:rsidRDefault="00E030FE" w:rsidP="00E030FE">
      <w:pPr>
        <w:jc w:val="both"/>
        <w:rPr>
          <w:rFonts w:ascii="Palatino Linotype" w:hAnsi="Palatino Linotype"/>
          <w:bCs/>
        </w:rPr>
      </w:pPr>
      <w:r w:rsidRPr="00E030FE">
        <w:rPr>
          <w:rFonts w:ascii="Palatino Linotype" w:hAnsi="Palatino Linotype"/>
          <w:bCs/>
        </w:rPr>
        <w:t xml:space="preserve">The interviews were conducted in </w:t>
      </w:r>
      <w:proofErr w:type="gramStart"/>
      <w:r w:rsidRPr="00E030FE">
        <w:rPr>
          <w:rFonts w:ascii="Palatino Linotype" w:hAnsi="Palatino Linotype"/>
          <w:bCs/>
        </w:rPr>
        <w:t>English</w:t>
      </w:r>
      <w:proofErr w:type="gramEnd"/>
      <w:r w:rsidRPr="00E030FE">
        <w:rPr>
          <w:rFonts w:ascii="Palatino Linotype" w:hAnsi="Palatino Linotype"/>
          <w:bCs/>
        </w:rPr>
        <w:t xml:space="preserve"> but the questions were also written in Arabic and Kurdish in order to aid communication. A further problem was that some female participants were not permitted or did not wish to be interviewed on their own by a male. It was proposed that another person would accompany the female participants as would be </w:t>
      </w:r>
      <w:proofErr w:type="gramStart"/>
      <w:r w:rsidRPr="00E030FE">
        <w:rPr>
          <w:rFonts w:ascii="Palatino Linotype" w:hAnsi="Palatino Linotype"/>
          <w:bCs/>
        </w:rPr>
        <w:t>customary</w:t>
      </w:r>
      <w:proofErr w:type="gramEnd"/>
      <w:r w:rsidRPr="00E030FE">
        <w:rPr>
          <w:rFonts w:ascii="Palatino Linotype" w:hAnsi="Palatino Linotype"/>
          <w:bCs/>
        </w:rPr>
        <w:t xml:space="preserve"> but this was not undertaken as the respondent would </w:t>
      </w:r>
      <w:r w:rsidR="004E328A">
        <w:rPr>
          <w:rFonts w:ascii="Palatino Linotype" w:hAnsi="Palatino Linotype"/>
          <w:bCs/>
        </w:rPr>
        <w:t xml:space="preserve">not </w:t>
      </w:r>
      <w:r w:rsidRPr="00E030FE">
        <w:rPr>
          <w:rFonts w:ascii="Palatino Linotype" w:hAnsi="Palatino Linotype"/>
          <w:bCs/>
        </w:rPr>
        <w:t xml:space="preserve">have been interviewed anonymously. In two instances female respondents wrote their answers in private and these were handed in sealed envelopes to the author who then typed them into the encrypted software and immediately destroyed the written responses. Despite these limitations and working in a risk-laden environment anonymized interviews conducted between 2008 and 2014 were obtained with 42 respondents including Iraqi politicians, members of the legal profession, domestic and external NGOs and prominent members of the Sunni, Kurdish and Shi’ite communities. </w:t>
      </w:r>
      <w:r w:rsidR="004E328A">
        <w:rPr>
          <w:rFonts w:ascii="Palatino Linotype" w:hAnsi="Palatino Linotype"/>
          <w:bCs/>
        </w:rPr>
        <w:t xml:space="preserve">It was agreed given security concerns that the material would not be published for at least 5 years. </w:t>
      </w:r>
      <w:r w:rsidRPr="00E030FE">
        <w:rPr>
          <w:rFonts w:ascii="Palatino Linotype" w:hAnsi="Palatino Linotype"/>
          <w:bCs/>
        </w:rPr>
        <w:t>This is to the author’s knowledge the most significant body of interview material regarding attitudes to lustration in Iraq written in English. The study captured those who had implemented de-</w:t>
      </w:r>
      <w:proofErr w:type="spellStart"/>
      <w:r w:rsidRPr="00E030FE">
        <w:rPr>
          <w:rFonts w:ascii="Palatino Linotype" w:hAnsi="Palatino Linotype"/>
          <w:bCs/>
        </w:rPr>
        <w:t>Ba’athification</w:t>
      </w:r>
      <w:proofErr w:type="spellEnd"/>
      <w:r w:rsidRPr="00E030FE">
        <w:rPr>
          <w:rFonts w:ascii="Palatino Linotype" w:hAnsi="Palatino Linotype"/>
          <w:bCs/>
        </w:rPr>
        <w:t xml:space="preserve">, those who had opposed it and those who had been expelled under it. The interviews were also important given the issue concerning the reliability/availability of verifiable records and the maintenance of </w:t>
      </w:r>
      <w:r w:rsidR="00470470">
        <w:rPr>
          <w:rFonts w:ascii="Palatino Linotype" w:hAnsi="Palatino Linotype"/>
          <w:bCs/>
        </w:rPr>
        <w:t xml:space="preserve">accurate </w:t>
      </w:r>
      <w:r w:rsidRPr="00E030FE">
        <w:rPr>
          <w:rFonts w:ascii="Palatino Linotype" w:hAnsi="Palatino Linotype"/>
          <w:bCs/>
        </w:rPr>
        <w:t xml:space="preserve">accounts </w:t>
      </w:r>
      <w:r w:rsidR="00470470">
        <w:rPr>
          <w:rFonts w:ascii="Palatino Linotype" w:hAnsi="Palatino Linotype"/>
          <w:bCs/>
        </w:rPr>
        <w:t xml:space="preserve">held </w:t>
      </w:r>
      <w:r w:rsidRPr="00E030FE">
        <w:rPr>
          <w:rFonts w:ascii="Palatino Linotype" w:hAnsi="Palatino Linotype"/>
          <w:bCs/>
        </w:rPr>
        <w:t xml:space="preserve">by the bodies that regulated lustration. </w:t>
      </w:r>
    </w:p>
    <w:p w14:paraId="73925EF6" w14:textId="77777777" w:rsidR="00E030FE" w:rsidRPr="00E030FE" w:rsidRDefault="00E030FE" w:rsidP="00E030FE">
      <w:pPr>
        <w:jc w:val="both"/>
        <w:rPr>
          <w:rFonts w:ascii="Palatino Linotype" w:hAnsi="Palatino Linotype"/>
          <w:bCs/>
        </w:rPr>
      </w:pPr>
    </w:p>
    <w:p w14:paraId="5151FA6D" w14:textId="77777777" w:rsidR="002E59CB" w:rsidRPr="002E59CB" w:rsidRDefault="002E59CB" w:rsidP="002E59CB">
      <w:pPr>
        <w:jc w:val="both"/>
        <w:rPr>
          <w:rFonts w:ascii="Palatino Linotype" w:hAnsi="Palatino Linotype"/>
          <w:b/>
        </w:rPr>
      </w:pPr>
      <w:r w:rsidRPr="002E59CB">
        <w:rPr>
          <w:rFonts w:ascii="Palatino Linotype" w:hAnsi="Palatino Linotype"/>
          <w:b/>
        </w:rPr>
        <w:t xml:space="preserve">Lustration in </w:t>
      </w:r>
      <w:r w:rsidR="00F47A9B">
        <w:rPr>
          <w:rFonts w:ascii="Palatino Linotype" w:hAnsi="Palatino Linotype"/>
          <w:b/>
        </w:rPr>
        <w:t>Practice</w:t>
      </w:r>
    </w:p>
    <w:p w14:paraId="51011990" w14:textId="77777777" w:rsidR="002E59CB" w:rsidRDefault="002E59CB" w:rsidP="002E59CB">
      <w:pPr>
        <w:jc w:val="both"/>
        <w:rPr>
          <w:rFonts w:ascii="Palatino Linotype" w:hAnsi="Palatino Linotype"/>
        </w:rPr>
      </w:pPr>
    </w:p>
    <w:p w14:paraId="323E8DB8" w14:textId="77777777" w:rsidR="0094541B" w:rsidRDefault="001B6423" w:rsidP="00255357">
      <w:pPr>
        <w:jc w:val="both"/>
        <w:rPr>
          <w:rFonts w:ascii="Palatino Linotype" w:hAnsi="Palatino Linotype"/>
        </w:rPr>
      </w:pPr>
      <w:r>
        <w:rPr>
          <w:rFonts w:ascii="Palatino Linotype" w:hAnsi="Palatino Linotype"/>
        </w:rPr>
        <w:t>The defeat of the Ba’ath was undertaken through invasion, on the one hand, and laws of lustration, on the other. Both phenomena inter-linked to achieve the same objectives that include</w:t>
      </w:r>
      <w:r w:rsidR="004A4421">
        <w:rPr>
          <w:rFonts w:ascii="Palatino Linotype" w:hAnsi="Palatino Linotype"/>
        </w:rPr>
        <w:t>d</w:t>
      </w:r>
      <w:r>
        <w:rPr>
          <w:rFonts w:ascii="Palatino Linotype" w:hAnsi="Palatino Linotype"/>
        </w:rPr>
        <w:t xml:space="preserve"> regime change, marginalization, symbolic </w:t>
      </w:r>
      <w:proofErr w:type="gramStart"/>
      <w:r>
        <w:rPr>
          <w:rFonts w:ascii="Palatino Linotype" w:hAnsi="Palatino Linotype"/>
        </w:rPr>
        <w:t>invisibility</w:t>
      </w:r>
      <w:proofErr w:type="gramEnd"/>
      <w:r>
        <w:rPr>
          <w:rFonts w:ascii="Palatino Linotype" w:hAnsi="Palatino Linotype"/>
        </w:rPr>
        <w:t xml:space="preserve"> and powerlessness. </w:t>
      </w:r>
      <w:r w:rsidR="00424CDD">
        <w:rPr>
          <w:rFonts w:ascii="Palatino Linotype" w:hAnsi="Palatino Linotype"/>
        </w:rPr>
        <w:t xml:space="preserve">The </w:t>
      </w:r>
      <w:r w:rsidR="004A4421">
        <w:rPr>
          <w:rFonts w:ascii="Palatino Linotype" w:hAnsi="Palatino Linotype"/>
        </w:rPr>
        <w:t xml:space="preserve">force </w:t>
      </w:r>
      <w:r w:rsidR="00F47A9B">
        <w:rPr>
          <w:rFonts w:ascii="Palatino Linotype" w:hAnsi="Palatino Linotype"/>
        </w:rPr>
        <w:t>of lustration in Iraq was</w:t>
      </w:r>
      <w:r w:rsidR="00424CDD">
        <w:rPr>
          <w:rFonts w:ascii="Palatino Linotype" w:hAnsi="Palatino Linotype"/>
        </w:rPr>
        <w:t xml:space="preserve"> legal mobility originated by occupying forces </w:t>
      </w:r>
      <w:r w:rsidR="008C0DE0">
        <w:rPr>
          <w:rFonts w:ascii="Palatino Linotype" w:hAnsi="Palatino Linotype"/>
        </w:rPr>
        <w:t xml:space="preserve">and </w:t>
      </w:r>
      <w:r w:rsidR="00424CDD">
        <w:rPr>
          <w:rFonts w:ascii="Palatino Linotype" w:hAnsi="Palatino Linotype"/>
        </w:rPr>
        <w:t xml:space="preserve">delivered by endogenous actors. </w:t>
      </w:r>
      <w:r w:rsidR="00EE7210">
        <w:rPr>
          <w:rFonts w:ascii="Palatino Linotype" w:hAnsi="Palatino Linotype"/>
        </w:rPr>
        <w:t xml:space="preserve">In a sense </w:t>
      </w:r>
      <w:r w:rsidR="004A4421">
        <w:rPr>
          <w:rFonts w:ascii="Palatino Linotype" w:hAnsi="Palatino Linotype"/>
        </w:rPr>
        <w:t xml:space="preserve">this is </w:t>
      </w:r>
      <w:r w:rsidR="00EE7210">
        <w:rPr>
          <w:rFonts w:ascii="Palatino Linotype" w:hAnsi="Palatino Linotype"/>
        </w:rPr>
        <w:t xml:space="preserve">the exchange of power between </w:t>
      </w:r>
      <w:r w:rsidR="00470470">
        <w:rPr>
          <w:rFonts w:ascii="Palatino Linotype" w:hAnsi="Palatino Linotype"/>
        </w:rPr>
        <w:t xml:space="preserve">the </w:t>
      </w:r>
      <w:proofErr w:type="spellStart"/>
      <w:r w:rsidR="00EE7210">
        <w:rPr>
          <w:rFonts w:ascii="Palatino Linotype" w:hAnsi="Palatino Linotype"/>
        </w:rPr>
        <w:t>exongenous</w:t>
      </w:r>
      <w:proofErr w:type="spellEnd"/>
      <w:r w:rsidR="00EE7210">
        <w:rPr>
          <w:rFonts w:ascii="Palatino Linotype" w:hAnsi="Palatino Linotype"/>
        </w:rPr>
        <w:t xml:space="preserve"> and endogenous </w:t>
      </w:r>
      <w:r w:rsidR="00B70023">
        <w:rPr>
          <w:rFonts w:ascii="Palatino Linotype" w:hAnsi="Palatino Linotype"/>
        </w:rPr>
        <w:t>within an</w:t>
      </w:r>
      <w:r w:rsidR="004A4421">
        <w:rPr>
          <w:rFonts w:ascii="Palatino Linotype" w:hAnsi="Palatino Linotype"/>
        </w:rPr>
        <w:t xml:space="preserve"> </w:t>
      </w:r>
      <w:r w:rsidR="00EE7210" w:rsidRPr="00EE7210">
        <w:rPr>
          <w:rFonts w:ascii="Palatino Linotype" w:hAnsi="Palatino Linotype"/>
        </w:rPr>
        <w:t xml:space="preserve">aura of </w:t>
      </w:r>
      <w:r w:rsidR="00EE7210">
        <w:rPr>
          <w:rFonts w:ascii="Palatino Linotype" w:hAnsi="Palatino Linotype"/>
        </w:rPr>
        <w:t>domestic capacity to deliver a legal system that aims to complete</w:t>
      </w:r>
      <w:r w:rsidR="004A4421">
        <w:rPr>
          <w:rFonts w:ascii="Palatino Linotype" w:hAnsi="Palatino Linotype"/>
        </w:rPr>
        <w:t xml:space="preserve"> what invasion began</w:t>
      </w:r>
      <w:r w:rsidR="00EE7210">
        <w:rPr>
          <w:rFonts w:ascii="Palatino Linotype" w:hAnsi="Palatino Linotype"/>
        </w:rPr>
        <w:t xml:space="preserve">. </w:t>
      </w:r>
      <w:r w:rsidR="00B70023">
        <w:rPr>
          <w:rFonts w:ascii="Palatino Linotype" w:hAnsi="Palatino Linotype"/>
        </w:rPr>
        <w:t xml:space="preserve">Therefore, </w:t>
      </w:r>
      <w:r w:rsidR="00AA6832">
        <w:rPr>
          <w:rFonts w:ascii="Palatino Linotype" w:hAnsi="Palatino Linotype"/>
        </w:rPr>
        <w:t xml:space="preserve">lustration </w:t>
      </w:r>
      <w:r w:rsidR="00B70023">
        <w:rPr>
          <w:rFonts w:ascii="Palatino Linotype" w:hAnsi="Palatino Linotype"/>
        </w:rPr>
        <w:t>i</w:t>
      </w:r>
      <w:r w:rsidR="00EE7210">
        <w:rPr>
          <w:rFonts w:ascii="Palatino Linotype" w:hAnsi="Palatino Linotype"/>
        </w:rPr>
        <w:t xml:space="preserve">s </w:t>
      </w:r>
      <w:r w:rsidR="00B70023">
        <w:rPr>
          <w:rFonts w:ascii="Palatino Linotype" w:hAnsi="Palatino Linotype"/>
        </w:rPr>
        <w:t xml:space="preserve">not </w:t>
      </w:r>
      <w:r w:rsidR="00EE7210">
        <w:rPr>
          <w:rFonts w:ascii="Palatino Linotype" w:hAnsi="Palatino Linotype"/>
        </w:rPr>
        <w:t xml:space="preserve">mere encounter between international </w:t>
      </w:r>
      <w:r w:rsidR="00470470">
        <w:rPr>
          <w:rFonts w:ascii="Palatino Linotype" w:hAnsi="Palatino Linotype"/>
        </w:rPr>
        <w:t>forces</w:t>
      </w:r>
      <w:r w:rsidR="008721C6">
        <w:rPr>
          <w:rFonts w:ascii="Palatino Linotype" w:hAnsi="Palatino Linotype"/>
        </w:rPr>
        <w:t xml:space="preserve"> </w:t>
      </w:r>
      <w:r w:rsidR="00EE7210">
        <w:rPr>
          <w:rFonts w:ascii="Palatino Linotype" w:hAnsi="Palatino Linotype"/>
        </w:rPr>
        <w:t xml:space="preserve">over domestic </w:t>
      </w:r>
      <w:r w:rsidR="00B70023">
        <w:rPr>
          <w:rFonts w:ascii="Palatino Linotype" w:hAnsi="Palatino Linotype"/>
        </w:rPr>
        <w:t>power. I</w:t>
      </w:r>
      <w:r w:rsidR="008721C6">
        <w:rPr>
          <w:rFonts w:ascii="Palatino Linotype" w:hAnsi="Palatino Linotype"/>
        </w:rPr>
        <w:t xml:space="preserve">t </w:t>
      </w:r>
      <w:r w:rsidR="00470470">
        <w:rPr>
          <w:rFonts w:ascii="Palatino Linotype" w:hAnsi="Palatino Linotype"/>
        </w:rPr>
        <w:t xml:space="preserve">was </w:t>
      </w:r>
      <w:r w:rsidR="008721C6">
        <w:rPr>
          <w:rFonts w:ascii="Palatino Linotype" w:hAnsi="Palatino Linotype"/>
        </w:rPr>
        <w:t xml:space="preserve">not </w:t>
      </w:r>
      <w:r w:rsidR="008721C6" w:rsidRPr="008721C6">
        <w:rPr>
          <w:rFonts w:ascii="Palatino Linotype" w:hAnsi="Palatino Linotype"/>
        </w:rPr>
        <w:t xml:space="preserve">merely transnational governance </w:t>
      </w:r>
      <w:r w:rsidR="00143B2F">
        <w:rPr>
          <w:rFonts w:ascii="Palatino Linotype" w:hAnsi="Palatino Linotype"/>
        </w:rPr>
        <w:t>that structured</w:t>
      </w:r>
      <w:r w:rsidR="00255357">
        <w:rPr>
          <w:rFonts w:ascii="Palatino Linotype" w:hAnsi="Palatino Linotype"/>
        </w:rPr>
        <w:t xml:space="preserve"> post-invasion space </w:t>
      </w:r>
      <w:r w:rsidR="00EE7210">
        <w:rPr>
          <w:rFonts w:ascii="Palatino Linotype" w:hAnsi="Palatino Linotype"/>
        </w:rPr>
        <w:t xml:space="preserve">but </w:t>
      </w:r>
      <w:r w:rsidR="00470470">
        <w:rPr>
          <w:rFonts w:ascii="Palatino Linotype" w:hAnsi="Palatino Linotype"/>
        </w:rPr>
        <w:t>the development of</w:t>
      </w:r>
      <w:r w:rsidR="00EE7210">
        <w:rPr>
          <w:rFonts w:ascii="Palatino Linotype" w:hAnsi="Palatino Linotype"/>
        </w:rPr>
        <w:t xml:space="preserve"> a domestic </w:t>
      </w:r>
      <w:r w:rsidR="00EE7210" w:rsidRPr="00EE7210">
        <w:rPr>
          <w:rFonts w:ascii="Palatino Linotype" w:hAnsi="Palatino Linotype"/>
        </w:rPr>
        <w:t>clientage</w:t>
      </w:r>
      <w:r w:rsidR="00470470">
        <w:rPr>
          <w:rFonts w:ascii="Palatino Linotype" w:hAnsi="Palatino Linotype"/>
        </w:rPr>
        <w:t xml:space="preserve"> that increasingly </w:t>
      </w:r>
      <w:r w:rsidR="00EE7210">
        <w:rPr>
          <w:rFonts w:ascii="Palatino Linotype" w:hAnsi="Palatino Linotype"/>
        </w:rPr>
        <w:t xml:space="preserve">defined forms of control. </w:t>
      </w:r>
    </w:p>
    <w:p w14:paraId="24CF8E9B" w14:textId="77777777" w:rsidR="00745815" w:rsidRPr="0094541B" w:rsidRDefault="00745815" w:rsidP="00255357">
      <w:pPr>
        <w:jc w:val="both"/>
        <w:rPr>
          <w:rFonts w:ascii="Palatino Linotype" w:hAnsi="Palatino Linotype"/>
        </w:rPr>
      </w:pPr>
    </w:p>
    <w:p w14:paraId="499EA414" w14:textId="77777777" w:rsidR="00C510DD" w:rsidRPr="0035471D" w:rsidRDefault="003E5C86" w:rsidP="00D069AA">
      <w:pPr>
        <w:jc w:val="both"/>
        <w:rPr>
          <w:rFonts w:ascii="Palatino Linotype" w:hAnsi="Palatino Linotype"/>
        </w:rPr>
      </w:pPr>
      <w:r w:rsidRPr="0035471D">
        <w:rPr>
          <w:rFonts w:ascii="Palatino Linotype" w:hAnsi="Palatino Linotype"/>
        </w:rPr>
        <w:t xml:space="preserve">Lustration sits neatly within the emergence of the landscape of liberal war </w:t>
      </w:r>
      <w:r w:rsidR="00C510DD" w:rsidRPr="0035471D">
        <w:rPr>
          <w:rFonts w:ascii="Palatino Linotype" w:hAnsi="Palatino Linotype"/>
        </w:rPr>
        <w:t xml:space="preserve">as it presents </w:t>
      </w:r>
      <w:r w:rsidRPr="0035471D">
        <w:rPr>
          <w:rFonts w:ascii="Palatino Linotype" w:hAnsi="Palatino Linotype"/>
        </w:rPr>
        <w:t xml:space="preserve">an opportunity to disguise the intentions of invasion </w:t>
      </w:r>
      <w:r w:rsidR="00C510DD" w:rsidRPr="0035471D">
        <w:rPr>
          <w:rFonts w:ascii="Palatino Linotype" w:hAnsi="Palatino Linotype"/>
        </w:rPr>
        <w:t xml:space="preserve">which were the spread of neo-liberalism and global military dominance </w:t>
      </w:r>
      <w:r w:rsidR="00470470">
        <w:rPr>
          <w:rFonts w:ascii="Palatino Linotype" w:hAnsi="Palatino Linotype"/>
        </w:rPr>
        <w:t xml:space="preserve">through </w:t>
      </w:r>
      <w:r w:rsidR="00C510DD" w:rsidRPr="0035471D">
        <w:rPr>
          <w:rFonts w:ascii="Palatino Linotype" w:hAnsi="Palatino Linotype"/>
        </w:rPr>
        <w:t>presenting invasion as securing the world from nuclear war, promoting democracy and undermining state tyranny. Lustration a</w:t>
      </w:r>
      <w:r w:rsidR="007415EE">
        <w:rPr>
          <w:rFonts w:ascii="Palatino Linotype" w:hAnsi="Palatino Linotype"/>
        </w:rPr>
        <w:t>s</w:t>
      </w:r>
      <w:r w:rsidR="00C510DD" w:rsidRPr="0035471D">
        <w:rPr>
          <w:rFonts w:ascii="Palatino Linotype" w:hAnsi="Palatino Linotype"/>
        </w:rPr>
        <w:t xml:space="preserve"> </w:t>
      </w:r>
      <w:r w:rsidR="007415EE">
        <w:rPr>
          <w:rFonts w:ascii="Palatino Linotype" w:hAnsi="Palatino Linotype"/>
        </w:rPr>
        <w:t xml:space="preserve">a </w:t>
      </w:r>
      <w:r w:rsidR="00C510DD" w:rsidRPr="0035471D">
        <w:rPr>
          <w:rFonts w:ascii="Palatino Linotype" w:hAnsi="Palatino Linotype"/>
        </w:rPr>
        <w:t xml:space="preserve">form of counter-insurgency aimed to remove those </w:t>
      </w:r>
      <w:r w:rsidR="008142B3" w:rsidRPr="0035471D">
        <w:rPr>
          <w:rFonts w:ascii="Palatino Linotype" w:hAnsi="Palatino Linotype"/>
        </w:rPr>
        <w:t>who had engaged in abusive acts but as it cut deeply into the space of public sector employment it was increasingly an attack upon an</w:t>
      </w:r>
      <w:r w:rsidR="00C510DD" w:rsidRPr="0035471D">
        <w:rPr>
          <w:rFonts w:ascii="Palatino Linotype" w:hAnsi="Palatino Linotype"/>
        </w:rPr>
        <w:t xml:space="preserve"> ideology </w:t>
      </w:r>
      <w:r w:rsidR="008142B3" w:rsidRPr="0035471D">
        <w:rPr>
          <w:rFonts w:ascii="Palatino Linotype" w:hAnsi="Palatino Linotype"/>
        </w:rPr>
        <w:t xml:space="preserve">that </w:t>
      </w:r>
      <w:proofErr w:type="spellStart"/>
      <w:r w:rsidR="00C510DD" w:rsidRPr="0035471D">
        <w:rPr>
          <w:rFonts w:ascii="Palatino Linotype" w:hAnsi="Palatino Linotype"/>
        </w:rPr>
        <w:t>favoured</w:t>
      </w:r>
      <w:proofErr w:type="spellEnd"/>
      <w:r w:rsidR="00C510DD" w:rsidRPr="0035471D">
        <w:rPr>
          <w:rFonts w:ascii="Palatino Linotype" w:hAnsi="Palatino Linotype"/>
        </w:rPr>
        <w:t xml:space="preserve"> public ownership and a socialistic form of Arab nationalism.</w:t>
      </w:r>
      <w:r w:rsidR="009A3C80" w:rsidRPr="0035471D">
        <w:rPr>
          <w:rFonts w:ascii="Palatino Linotype" w:hAnsi="Palatino Linotype"/>
        </w:rPr>
        <w:t xml:space="preserve"> </w:t>
      </w:r>
      <w:r w:rsidR="008142B3" w:rsidRPr="0035471D">
        <w:rPr>
          <w:rFonts w:ascii="Palatino Linotype" w:hAnsi="Palatino Linotype"/>
        </w:rPr>
        <w:t xml:space="preserve">As the policy of lustration was being outplayed the </w:t>
      </w:r>
      <w:r w:rsidR="008142B3" w:rsidRPr="007864BE">
        <w:rPr>
          <w:rFonts w:ascii="Palatino Linotype" w:hAnsi="Palatino Linotype"/>
        </w:rPr>
        <w:t>C</w:t>
      </w:r>
      <w:r w:rsidR="007864BE" w:rsidRPr="007864BE">
        <w:rPr>
          <w:rFonts w:ascii="Palatino Linotype" w:hAnsi="Palatino Linotype"/>
        </w:rPr>
        <w:t xml:space="preserve">oalition </w:t>
      </w:r>
      <w:r w:rsidR="008142B3" w:rsidRPr="007864BE">
        <w:rPr>
          <w:rFonts w:ascii="Palatino Linotype" w:hAnsi="Palatino Linotype"/>
        </w:rPr>
        <w:t>P</w:t>
      </w:r>
      <w:r w:rsidR="007864BE" w:rsidRPr="007864BE">
        <w:rPr>
          <w:rFonts w:ascii="Palatino Linotype" w:hAnsi="Palatino Linotype"/>
        </w:rPr>
        <w:t xml:space="preserve">rovisional </w:t>
      </w:r>
      <w:r w:rsidR="008142B3" w:rsidRPr="007864BE">
        <w:rPr>
          <w:rFonts w:ascii="Palatino Linotype" w:hAnsi="Palatino Linotype"/>
        </w:rPr>
        <w:t>A</w:t>
      </w:r>
      <w:r w:rsidR="007864BE" w:rsidRPr="007864BE">
        <w:rPr>
          <w:rFonts w:ascii="Palatino Linotype" w:hAnsi="Palatino Linotype"/>
        </w:rPr>
        <w:t>uthority</w:t>
      </w:r>
      <w:r w:rsidR="000B7ED1" w:rsidRPr="007864BE">
        <w:rPr>
          <w:rFonts w:ascii="Palatino Linotype" w:hAnsi="Palatino Linotype"/>
        </w:rPr>
        <w:t xml:space="preserve">, </w:t>
      </w:r>
      <w:r w:rsidR="00470470">
        <w:rPr>
          <w:rFonts w:ascii="Palatino Linotype" w:hAnsi="Palatino Linotype"/>
        </w:rPr>
        <w:t xml:space="preserve">in agreement with the </w:t>
      </w:r>
      <w:r w:rsidR="000B7ED1" w:rsidRPr="0035471D">
        <w:rPr>
          <w:rFonts w:ascii="Palatino Linotype" w:hAnsi="Palatino Linotype"/>
        </w:rPr>
        <w:t>emerging domestic elite,</w:t>
      </w:r>
      <w:r w:rsidR="008142B3" w:rsidRPr="0035471D">
        <w:rPr>
          <w:rFonts w:ascii="Palatino Linotype" w:hAnsi="Palatino Linotype"/>
        </w:rPr>
        <w:t xml:space="preserve"> </w:t>
      </w:r>
      <w:r w:rsidR="00C510DD" w:rsidRPr="0035471D">
        <w:rPr>
          <w:rFonts w:ascii="Palatino Linotype" w:hAnsi="Palatino Linotype"/>
        </w:rPr>
        <w:t xml:space="preserve">ordered the </w:t>
      </w:r>
      <w:proofErr w:type="spellStart"/>
      <w:r w:rsidR="00C510DD" w:rsidRPr="0035471D">
        <w:rPr>
          <w:rFonts w:ascii="Palatino Linotype" w:hAnsi="Palatino Linotype"/>
        </w:rPr>
        <w:t>p</w:t>
      </w:r>
      <w:r w:rsidR="004A4421" w:rsidRPr="0035471D">
        <w:rPr>
          <w:rFonts w:ascii="Palatino Linotype" w:hAnsi="Palatino Linotype"/>
        </w:rPr>
        <w:t>rivatisation</w:t>
      </w:r>
      <w:proofErr w:type="spellEnd"/>
      <w:r w:rsidR="004A4421" w:rsidRPr="0035471D">
        <w:rPr>
          <w:rFonts w:ascii="Palatino Linotype" w:hAnsi="Palatino Linotype"/>
        </w:rPr>
        <w:t xml:space="preserve"> of 200 Iraqi state-</w:t>
      </w:r>
      <w:r w:rsidR="00C510DD" w:rsidRPr="0035471D">
        <w:rPr>
          <w:rFonts w:ascii="Palatino Linotype" w:hAnsi="Palatino Linotype"/>
        </w:rPr>
        <w:t>owned companies</w:t>
      </w:r>
      <w:r w:rsidR="008142B3" w:rsidRPr="0035471D">
        <w:rPr>
          <w:rFonts w:ascii="Palatino Linotype" w:hAnsi="Palatino Linotype"/>
        </w:rPr>
        <w:t>, the reduction of</w:t>
      </w:r>
      <w:r w:rsidR="00C510DD" w:rsidRPr="0035471D">
        <w:rPr>
          <w:rFonts w:ascii="Palatino Linotype" w:hAnsi="Palatino Linotype"/>
        </w:rPr>
        <w:t xml:space="preserve"> corporate tax from 45 percent to 15 percent</w:t>
      </w:r>
      <w:r w:rsidR="008142B3" w:rsidRPr="0035471D">
        <w:rPr>
          <w:rFonts w:ascii="Palatino Linotype" w:hAnsi="Palatino Linotype"/>
        </w:rPr>
        <w:t xml:space="preserve"> and </w:t>
      </w:r>
      <w:r w:rsidR="00470470">
        <w:rPr>
          <w:rFonts w:ascii="Palatino Linotype" w:hAnsi="Palatino Linotype"/>
        </w:rPr>
        <w:t xml:space="preserve">the right of </w:t>
      </w:r>
      <w:r w:rsidR="008142B3" w:rsidRPr="0035471D">
        <w:rPr>
          <w:rFonts w:ascii="Palatino Linotype" w:hAnsi="Palatino Linotype"/>
        </w:rPr>
        <w:t xml:space="preserve">foreign-controlled </w:t>
      </w:r>
      <w:r w:rsidR="00C510DD" w:rsidRPr="0035471D">
        <w:rPr>
          <w:rFonts w:ascii="Palatino Linotype" w:hAnsi="Palatino Linotype"/>
        </w:rPr>
        <w:t xml:space="preserve">firms </w:t>
      </w:r>
      <w:r w:rsidR="008142B3" w:rsidRPr="0035471D">
        <w:rPr>
          <w:rFonts w:ascii="Palatino Linotype" w:hAnsi="Palatino Linotype"/>
        </w:rPr>
        <w:t>to control all assets and prof</w:t>
      </w:r>
      <w:r w:rsidR="004A4421" w:rsidRPr="0035471D">
        <w:rPr>
          <w:rFonts w:ascii="Palatino Linotype" w:hAnsi="Palatino Linotype"/>
        </w:rPr>
        <w:t>its.</w:t>
      </w:r>
      <w:r w:rsidR="008142B3" w:rsidRPr="0035471D">
        <w:rPr>
          <w:rFonts w:ascii="Palatino Linotype" w:hAnsi="Palatino Linotype"/>
        </w:rPr>
        <w:t xml:space="preserve"> </w:t>
      </w:r>
      <w:r w:rsidR="00470470">
        <w:rPr>
          <w:rFonts w:ascii="Palatino Linotype" w:hAnsi="Palatino Linotype"/>
        </w:rPr>
        <w:t xml:space="preserve">Such </w:t>
      </w:r>
      <w:r w:rsidR="00A72B3A" w:rsidRPr="0035471D">
        <w:rPr>
          <w:rFonts w:ascii="Palatino Linotype" w:hAnsi="Palatino Linotype"/>
        </w:rPr>
        <w:t xml:space="preserve">pro-market policies </w:t>
      </w:r>
      <w:r w:rsidR="00470470">
        <w:rPr>
          <w:rFonts w:ascii="Palatino Linotype" w:hAnsi="Palatino Linotype"/>
        </w:rPr>
        <w:t xml:space="preserve">and the deepening of lustration </w:t>
      </w:r>
      <w:r w:rsidR="00A72B3A" w:rsidRPr="0035471D">
        <w:rPr>
          <w:rFonts w:ascii="Palatino Linotype" w:hAnsi="Palatino Linotype"/>
        </w:rPr>
        <w:t xml:space="preserve">were also unpopular among </w:t>
      </w:r>
      <w:proofErr w:type="gramStart"/>
      <w:r w:rsidR="00A72B3A" w:rsidRPr="0035471D">
        <w:rPr>
          <w:rFonts w:ascii="Palatino Linotype" w:hAnsi="Palatino Linotype"/>
        </w:rPr>
        <w:t xml:space="preserve">the </w:t>
      </w:r>
      <w:r w:rsidR="00470470">
        <w:rPr>
          <w:rFonts w:ascii="Palatino Linotype" w:hAnsi="Palatino Linotype"/>
        </w:rPr>
        <w:t xml:space="preserve">majority </w:t>
      </w:r>
      <w:r w:rsidR="00A72B3A" w:rsidRPr="0035471D">
        <w:rPr>
          <w:rFonts w:ascii="Palatino Linotype" w:hAnsi="Palatino Linotype"/>
        </w:rPr>
        <w:t>of</w:t>
      </w:r>
      <w:proofErr w:type="gramEnd"/>
      <w:r w:rsidR="00A72B3A" w:rsidRPr="0035471D">
        <w:rPr>
          <w:rFonts w:ascii="Palatino Linotype" w:hAnsi="Palatino Linotype"/>
        </w:rPr>
        <w:t xml:space="preserve"> Iraq</w:t>
      </w:r>
      <w:r w:rsidR="00470470">
        <w:rPr>
          <w:rFonts w:ascii="Palatino Linotype" w:hAnsi="Palatino Linotype"/>
        </w:rPr>
        <w:t>is</w:t>
      </w:r>
      <w:r w:rsidR="00A72B3A" w:rsidRPr="0035471D">
        <w:rPr>
          <w:rFonts w:ascii="Palatino Linotype" w:hAnsi="Palatino Linotype"/>
        </w:rPr>
        <w:t xml:space="preserve"> who preferred the maintenance of the previous economic system</w:t>
      </w:r>
      <w:r w:rsidR="00E547D0">
        <w:rPr>
          <w:rFonts w:ascii="Palatino Linotype" w:hAnsi="Palatino Linotype"/>
        </w:rPr>
        <w:t xml:space="preserve"> </w:t>
      </w:r>
      <w:r w:rsidR="00470470">
        <w:rPr>
          <w:rFonts w:ascii="Palatino Linotype" w:hAnsi="Palatino Linotype"/>
        </w:rPr>
        <w:t xml:space="preserve">and a less brutal form of public sector vetting (Foote </w:t>
      </w:r>
      <w:r w:rsidR="00E547D0">
        <w:rPr>
          <w:rFonts w:ascii="Palatino Linotype" w:hAnsi="Palatino Linotype"/>
        </w:rPr>
        <w:t>et al; 2004</w:t>
      </w:r>
      <w:r w:rsidR="004A1DB9">
        <w:rPr>
          <w:rFonts w:ascii="Palatino Linotype" w:hAnsi="Palatino Linotype"/>
        </w:rPr>
        <w:t>)</w:t>
      </w:r>
      <w:r w:rsidR="00E547D0">
        <w:rPr>
          <w:rFonts w:ascii="Palatino Linotype" w:hAnsi="Palatino Linotype"/>
        </w:rPr>
        <w:t>.</w:t>
      </w:r>
      <w:r w:rsidR="00A72B3A" w:rsidRPr="0035471D">
        <w:rPr>
          <w:rFonts w:ascii="Palatino Linotype" w:hAnsi="Palatino Linotype"/>
        </w:rPr>
        <w:t xml:space="preserve"> </w:t>
      </w:r>
    </w:p>
    <w:p w14:paraId="66096FF3" w14:textId="77777777" w:rsidR="00A2606F" w:rsidRPr="00026220" w:rsidRDefault="00A2606F" w:rsidP="00A00CD8">
      <w:pPr>
        <w:jc w:val="both"/>
        <w:rPr>
          <w:rFonts w:ascii="Palatino Linotype" w:hAnsi="Palatino Linotype"/>
          <w:bCs/>
        </w:rPr>
      </w:pPr>
    </w:p>
    <w:p w14:paraId="1318B192" w14:textId="70407635" w:rsidR="009C6554" w:rsidRPr="00026220" w:rsidRDefault="005F42FA" w:rsidP="00351702">
      <w:pPr>
        <w:jc w:val="both"/>
        <w:rPr>
          <w:rFonts w:ascii="Palatino Linotype" w:hAnsi="Palatino Linotype"/>
          <w:bCs/>
        </w:rPr>
      </w:pPr>
      <w:r w:rsidRPr="00026220">
        <w:rPr>
          <w:rFonts w:ascii="Palatino Linotype" w:hAnsi="Palatino Linotype"/>
          <w:bCs/>
        </w:rPr>
        <w:t xml:space="preserve">A </w:t>
      </w:r>
      <w:r w:rsidR="00C04408" w:rsidRPr="00026220">
        <w:rPr>
          <w:rFonts w:ascii="Palatino Linotype" w:hAnsi="Palatino Linotype"/>
          <w:bCs/>
        </w:rPr>
        <w:t>feature of</w:t>
      </w:r>
      <w:r w:rsidR="00C04408" w:rsidRPr="00026220">
        <w:rPr>
          <w:rFonts w:ascii="Palatino Linotype" w:hAnsi="Palatino Linotype"/>
          <w:bCs/>
          <w:color w:val="FF0000"/>
        </w:rPr>
        <w:t xml:space="preserve"> </w:t>
      </w:r>
      <w:r w:rsidR="00C04408" w:rsidRPr="00026220">
        <w:rPr>
          <w:rFonts w:ascii="Palatino Linotype" w:hAnsi="Palatino Linotype"/>
          <w:bCs/>
        </w:rPr>
        <w:t xml:space="preserve">lustration is </w:t>
      </w:r>
      <w:r w:rsidRPr="00026220">
        <w:rPr>
          <w:rFonts w:ascii="Palatino Linotype" w:hAnsi="Palatino Linotype"/>
          <w:bCs/>
        </w:rPr>
        <w:t xml:space="preserve">the </w:t>
      </w:r>
      <w:r w:rsidR="008E7182" w:rsidRPr="00026220">
        <w:rPr>
          <w:rFonts w:ascii="Palatino Linotype" w:hAnsi="Palatino Linotype"/>
          <w:bCs/>
        </w:rPr>
        <w:t>classif</w:t>
      </w:r>
      <w:r w:rsidR="00915DE0" w:rsidRPr="00026220">
        <w:rPr>
          <w:rFonts w:ascii="Palatino Linotype" w:hAnsi="Palatino Linotype"/>
          <w:bCs/>
        </w:rPr>
        <w:t xml:space="preserve">ication of </w:t>
      </w:r>
      <w:r w:rsidR="00D26CFD" w:rsidRPr="00026220">
        <w:rPr>
          <w:rFonts w:ascii="Palatino Linotype" w:hAnsi="Palatino Linotype"/>
          <w:bCs/>
        </w:rPr>
        <w:t xml:space="preserve">individuals regarding </w:t>
      </w:r>
      <w:r w:rsidR="001D3465" w:rsidRPr="00026220">
        <w:rPr>
          <w:rFonts w:ascii="Palatino Linotype" w:hAnsi="Palatino Linotype"/>
          <w:bCs/>
        </w:rPr>
        <w:t xml:space="preserve">their </w:t>
      </w:r>
      <w:r w:rsidR="00D26CFD" w:rsidRPr="00026220">
        <w:rPr>
          <w:rFonts w:ascii="Palatino Linotype" w:hAnsi="Palatino Linotype"/>
          <w:bCs/>
        </w:rPr>
        <w:t xml:space="preserve">complicity </w:t>
      </w:r>
      <w:r w:rsidR="00C04408" w:rsidRPr="00026220">
        <w:rPr>
          <w:rFonts w:ascii="Palatino Linotype" w:hAnsi="Palatino Linotype"/>
          <w:bCs/>
        </w:rPr>
        <w:t>with a former regime</w:t>
      </w:r>
      <w:r w:rsidR="001D3465" w:rsidRPr="00026220">
        <w:rPr>
          <w:rFonts w:ascii="Palatino Linotype" w:hAnsi="Palatino Linotype"/>
          <w:bCs/>
        </w:rPr>
        <w:t xml:space="preserve">. The construction of </w:t>
      </w:r>
      <w:r w:rsidR="00EC39D5" w:rsidRPr="00026220">
        <w:rPr>
          <w:rFonts w:ascii="Palatino Linotype" w:hAnsi="Palatino Linotype"/>
          <w:bCs/>
        </w:rPr>
        <w:t>‘</w:t>
      </w:r>
      <w:r w:rsidR="00D26CFD" w:rsidRPr="00026220">
        <w:rPr>
          <w:rFonts w:ascii="Palatino Linotype" w:hAnsi="Palatino Linotype"/>
          <w:bCs/>
        </w:rPr>
        <w:t>guilt</w:t>
      </w:r>
      <w:r w:rsidR="00EC39D5" w:rsidRPr="00026220">
        <w:rPr>
          <w:rFonts w:ascii="Palatino Linotype" w:hAnsi="Palatino Linotype"/>
          <w:bCs/>
        </w:rPr>
        <w:t>’</w:t>
      </w:r>
      <w:r w:rsidR="00D26CFD" w:rsidRPr="00026220">
        <w:rPr>
          <w:rFonts w:ascii="Palatino Linotype" w:hAnsi="Palatino Linotype"/>
          <w:bCs/>
        </w:rPr>
        <w:t xml:space="preserve"> </w:t>
      </w:r>
      <w:r w:rsidR="0097726B" w:rsidRPr="00026220">
        <w:rPr>
          <w:rFonts w:ascii="Palatino Linotype" w:hAnsi="Palatino Linotype"/>
          <w:bCs/>
        </w:rPr>
        <w:t xml:space="preserve">is based upon </w:t>
      </w:r>
      <w:r w:rsidR="00AE64E8" w:rsidRPr="00026220">
        <w:rPr>
          <w:rFonts w:ascii="Palatino Linotype" w:hAnsi="Palatino Linotype"/>
          <w:bCs/>
        </w:rPr>
        <w:t>quantify</w:t>
      </w:r>
      <w:r w:rsidR="0097726B" w:rsidRPr="00026220">
        <w:rPr>
          <w:rFonts w:ascii="Palatino Linotype" w:hAnsi="Palatino Linotype"/>
          <w:bCs/>
        </w:rPr>
        <w:t>ing</w:t>
      </w:r>
      <w:r w:rsidR="00897697" w:rsidRPr="00026220">
        <w:rPr>
          <w:rFonts w:ascii="Palatino Linotype" w:hAnsi="Palatino Linotype"/>
          <w:bCs/>
        </w:rPr>
        <w:t xml:space="preserve"> </w:t>
      </w:r>
      <w:r w:rsidR="00AE64E8" w:rsidRPr="00026220">
        <w:rPr>
          <w:rFonts w:ascii="Palatino Linotype" w:hAnsi="Palatino Linotype"/>
          <w:bCs/>
        </w:rPr>
        <w:t xml:space="preserve">what are </w:t>
      </w:r>
      <w:r w:rsidR="00062F95" w:rsidRPr="00026220">
        <w:rPr>
          <w:rFonts w:ascii="Palatino Linotype" w:hAnsi="Palatino Linotype"/>
          <w:bCs/>
        </w:rPr>
        <w:t xml:space="preserve">sometimes </w:t>
      </w:r>
      <w:r w:rsidR="00CF4533" w:rsidRPr="00026220">
        <w:rPr>
          <w:rFonts w:ascii="Palatino Linotype" w:hAnsi="Palatino Linotype"/>
          <w:bCs/>
        </w:rPr>
        <w:t xml:space="preserve">complex </w:t>
      </w:r>
      <w:r w:rsidR="00897697" w:rsidRPr="00026220">
        <w:rPr>
          <w:rFonts w:ascii="Palatino Linotype" w:hAnsi="Palatino Linotype"/>
          <w:bCs/>
        </w:rPr>
        <w:t xml:space="preserve">concepts such as </w:t>
      </w:r>
      <w:r w:rsidR="00630CFF" w:rsidRPr="00026220">
        <w:rPr>
          <w:rFonts w:ascii="Palatino Linotype" w:hAnsi="Palatino Linotype"/>
          <w:bCs/>
        </w:rPr>
        <w:t xml:space="preserve">character, </w:t>
      </w:r>
      <w:r w:rsidR="002D1AC4" w:rsidRPr="00026220">
        <w:rPr>
          <w:rFonts w:ascii="Palatino Linotype" w:hAnsi="Palatino Linotype"/>
          <w:bCs/>
        </w:rPr>
        <w:t>responsibility</w:t>
      </w:r>
      <w:r w:rsidR="00D26CFD" w:rsidRPr="00026220">
        <w:rPr>
          <w:rFonts w:ascii="Palatino Linotype" w:hAnsi="Palatino Linotype"/>
          <w:bCs/>
        </w:rPr>
        <w:t>, political affiliation, conduct</w:t>
      </w:r>
      <w:r w:rsidR="00897697" w:rsidRPr="00026220">
        <w:rPr>
          <w:rFonts w:ascii="Palatino Linotype" w:hAnsi="Palatino Linotype"/>
          <w:bCs/>
        </w:rPr>
        <w:t xml:space="preserve"> and</w:t>
      </w:r>
      <w:r w:rsidR="00D26CFD" w:rsidRPr="00026220">
        <w:rPr>
          <w:rFonts w:ascii="Palatino Linotype" w:hAnsi="Palatino Linotype"/>
          <w:bCs/>
        </w:rPr>
        <w:t xml:space="preserve"> threat</w:t>
      </w:r>
      <w:r w:rsidR="00897697" w:rsidRPr="00026220">
        <w:rPr>
          <w:rFonts w:ascii="Palatino Linotype" w:hAnsi="Palatino Linotype"/>
          <w:bCs/>
        </w:rPr>
        <w:t xml:space="preserve">. </w:t>
      </w:r>
      <w:r w:rsidR="00B00B67" w:rsidRPr="00026220">
        <w:rPr>
          <w:rFonts w:ascii="Palatino Linotype" w:hAnsi="Palatino Linotype"/>
          <w:bCs/>
        </w:rPr>
        <w:t>The a</w:t>
      </w:r>
      <w:r w:rsidR="00D7436D" w:rsidRPr="00026220">
        <w:rPr>
          <w:rFonts w:ascii="Palatino Linotype" w:hAnsi="Palatino Linotype"/>
          <w:bCs/>
        </w:rPr>
        <w:t xml:space="preserve">dministration of </w:t>
      </w:r>
      <w:r w:rsidR="00583B10" w:rsidRPr="00026220">
        <w:rPr>
          <w:rFonts w:ascii="Palatino Linotype" w:hAnsi="Palatino Linotype"/>
          <w:bCs/>
        </w:rPr>
        <w:t xml:space="preserve">public sector </w:t>
      </w:r>
      <w:r w:rsidR="00D7436D" w:rsidRPr="00026220">
        <w:rPr>
          <w:rFonts w:ascii="Palatino Linotype" w:hAnsi="Palatino Linotype"/>
          <w:bCs/>
        </w:rPr>
        <w:t xml:space="preserve">vetting </w:t>
      </w:r>
      <w:r w:rsidR="005A4BF1" w:rsidRPr="00026220">
        <w:rPr>
          <w:rFonts w:ascii="Palatino Linotype" w:hAnsi="Palatino Linotype"/>
          <w:bCs/>
        </w:rPr>
        <w:t xml:space="preserve">is </w:t>
      </w:r>
      <w:r w:rsidR="00E8554B" w:rsidRPr="00026220">
        <w:rPr>
          <w:rFonts w:ascii="Palatino Linotype" w:hAnsi="Palatino Linotype"/>
          <w:bCs/>
        </w:rPr>
        <w:t xml:space="preserve">delicate </w:t>
      </w:r>
      <w:r w:rsidR="00511D4F" w:rsidRPr="00026220">
        <w:rPr>
          <w:rFonts w:ascii="Palatino Linotype" w:hAnsi="Palatino Linotype"/>
          <w:bCs/>
        </w:rPr>
        <w:t xml:space="preserve">when it leads to </w:t>
      </w:r>
      <w:r w:rsidR="0097726B" w:rsidRPr="00026220">
        <w:rPr>
          <w:rFonts w:ascii="Palatino Linotype" w:hAnsi="Palatino Linotype"/>
          <w:bCs/>
        </w:rPr>
        <w:t>processes of p</w:t>
      </w:r>
      <w:r w:rsidR="00E8554B" w:rsidRPr="00026220">
        <w:rPr>
          <w:rFonts w:ascii="Palatino Linotype" w:hAnsi="Palatino Linotype"/>
          <w:bCs/>
        </w:rPr>
        <w:t xml:space="preserve">ublic shaming and </w:t>
      </w:r>
      <w:r w:rsidR="0097726B" w:rsidRPr="00026220">
        <w:rPr>
          <w:rFonts w:ascii="Palatino Linotype" w:hAnsi="Palatino Linotype"/>
          <w:bCs/>
        </w:rPr>
        <w:t xml:space="preserve">implied </w:t>
      </w:r>
      <w:r w:rsidR="00E8554B" w:rsidRPr="00026220">
        <w:rPr>
          <w:rFonts w:ascii="Palatino Linotype" w:hAnsi="Palatino Linotype"/>
          <w:bCs/>
        </w:rPr>
        <w:t>recidivis</w:t>
      </w:r>
      <w:r w:rsidR="00810EAB" w:rsidRPr="00026220">
        <w:rPr>
          <w:rFonts w:ascii="Palatino Linotype" w:hAnsi="Palatino Linotype"/>
          <w:bCs/>
        </w:rPr>
        <w:t xml:space="preserve">m </w:t>
      </w:r>
      <w:r w:rsidR="00511D4F" w:rsidRPr="00026220">
        <w:rPr>
          <w:rFonts w:ascii="Palatino Linotype" w:hAnsi="Palatino Linotype"/>
          <w:bCs/>
        </w:rPr>
        <w:t>that are rejected by those expelled or encouraged by those who have been victimized by the previous regime</w:t>
      </w:r>
      <w:r w:rsidR="00A2606F" w:rsidRPr="00026220">
        <w:rPr>
          <w:rFonts w:ascii="Palatino Linotype" w:hAnsi="Palatino Linotype"/>
          <w:bCs/>
        </w:rPr>
        <w:t xml:space="preserve"> (</w:t>
      </w:r>
      <w:r w:rsidR="00A2606F" w:rsidRPr="00D051C8">
        <w:rPr>
          <w:rFonts w:ascii="Palatino Linotype" w:hAnsi="Palatino Linotype"/>
          <w:bCs/>
        </w:rPr>
        <w:t>Malamud-</w:t>
      </w:r>
      <w:proofErr w:type="spellStart"/>
      <w:r w:rsidR="00A2606F" w:rsidRPr="00D051C8">
        <w:rPr>
          <w:rFonts w:ascii="Palatino Linotype" w:hAnsi="Palatino Linotype"/>
          <w:bCs/>
        </w:rPr>
        <w:t>Goti</w:t>
      </w:r>
      <w:proofErr w:type="spellEnd"/>
      <w:r w:rsidR="00D051C8" w:rsidRPr="00D051C8">
        <w:rPr>
          <w:rFonts w:ascii="Palatino Linotype" w:hAnsi="Palatino Linotype"/>
          <w:bCs/>
        </w:rPr>
        <w:t>,</w:t>
      </w:r>
      <w:r w:rsidR="00A2606F" w:rsidRPr="00D051C8">
        <w:rPr>
          <w:rFonts w:ascii="Palatino Linotype" w:hAnsi="Palatino Linotype"/>
          <w:bCs/>
        </w:rPr>
        <w:t xml:space="preserve"> 1990</w:t>
      </w:r>
      <w:r w:rsidR="00A2606F" w:rsidRPr="00026220">
        <w:rPr>
          <w:rFonts w:ascii="Palatino Linotype" w:hAnsi="Palatino Linotype"/>
          <w:bCs/>
        </w:rPr>
        <w:t>)</w:t>
      </w:r>
      <w:r w:rsidR="00E8554B" w:rsidRPr="00026220">
        <w:rPr>
          <w:rFonts w:ascii="Palatino Linotype" w:hAnsi="Palatino Linotype"/>
          <w:bCs/>
        </w:rPr>
        <w:t xml:space="preserve">. </w:t>
      </w:r>
      <w:r w:rsidR="0097726B" w:rsidRPr="00026220">
        <w:rPr>
          <w:rFonts w:ascii="Palatino Linotype" w:hAnsi="Palatino Linotype"/>
          <w:bCs/>
        </w:rPr>
        <w:t xml:space="preserve">There is no doubt that lustration produces value in that it removes those whose actions undermined democracy and led to oppressive acts. However, that value can be lost if guilt and complicity is directed at those whose </w:t>
      </w:r>
      <w:r w:rsidR="006C76B8" w:rsidRPr="00026220">
        <w:rPr>
          <w:rFonts w:ascii="Palatino Linotype" w:hAnsi="Palatino Linotype"/>
          <w:bCs/>
        </w:rPr>
        <w:t xml:space="preserve">involvement </w:t>
      </w:r>
      <w:r w:rsidR="00915DE0" w:rsidRPr="00026220">
        <w:rPr>
          <w:rFonts w:ascii="Palatino Linotype" w:hAnsi="Palatino Linotype"/>
          <w:bCs/>
        </w:rPr>
        <w:t xml:space="preserve">with the previous regime </w:t>
      </w:r>
      <w:r w:rsidR="0097726B" w:rsidRPr="00026220">
        <w:rPr>
          <w:rFonts w:ascii="Palatino Linotype" w:hAnsi="Palatino Linotype"/>
          <w:bCs/>
        </w:rPr>
        <w:t xml:space="preserve">was </w:t>
      </w:r>
      <w:r w:rsidR="006C76B8" w:rsidRPr="00026220">
        <w:rPr>
          <w:rFonts w:ascii="Palatino Linotype" w:hAnsi="Palatino Linotype"/>
          <w:bCs/>
        </w:rPr>
        <w:t xml:space="preserve">forced, </w:t>
      </w:r>
      <w:r w:rsidR="0097726B" w:rsidRPr="00026220">
        <w:rPr>
          <w:rFonts w:ascii="Palatino Linotype" w:hAnsi="Palatino Linotype"/>
          <w:bCs/>
        </w:rPr>
        <w:t>marginal</w:t>
      </w:r>
      <w:r w:rsidR="00583B10" w:rsidRPr="00026220">
        <w:rPr>
          <w:rFonts w:ascii="Palatino Linotype" w:hAnsi="Palatino Linotype"/>
          <w:bCs/>
        </w:rPr>
        <w:t xml:space="preserve"> or even non-existent</w:t>
      </w:r>
      <w:r w:rsidR="0097726B" w:rsidRPr="00026220">
        <w:rPr>
          <w:rFonts w:ascii="Palatino Linotype" w:hAnsi="Palatino Linotype"/>
          <w:bCs/>
        </w:rPr>
        <w:t xml:space="preserve"> and </w:t>
      </w:r>
      <w:r w:rsidR="00583B10" w:rsidRPr="00026220">
        <w:rPr>
          <w:rFonts w:ascii="Palatino Linotype" w:hAnsi="Palatino Linotype"/>
          <w:bCs/>
        </w:rPr>
        <w:t xml:space="preserve">when </w:t>
      </w:r>
      <w:r w:rsidR="0097726B" w:rsidRPr="00026220">
        <w:rPr>
          <w:rFonts w:ascii="Palatino Linotype" w:hAnsi="Palatino Linotype"/>
          <w:bCs/>
        </w:rPr>
        <w:t xml:space="preserve">lustration </w:t>
      </w:r>
      <w:r w:rsidR="00F5235C" w:rsidRPr="00026220">
        <w:rPr>
          <w:rFonts w:ascii="Palatino Linotype" w:hAnsi="Palatino Linotype"/>
          <w:bCs/>
        </w:rPr>
        <w:t xml:space="preserve">becomes </w:t>
      </w:r>
      <w:r w:rsidR="00E8554B" w:rsidRPr="00026220">
        <w:rPr>
          <w:rFonts w:ascii="Palatino Linotype" w:hAnsi="Palatino Linotype"/>
          <w:bCs/>
        </w:rPr>
        <w:t>the expression of part</w:t>
      </w:r>
      <w:r w:rsidR="00687978" w:rsidRPr="00026220">
        <w:rPr>
          <w:rFonts w:ascii="Palatino Linotype" w:hAnsi="Palatino Linotype"/>
          <w:bCs/>
        </w:rPr>
        <w:t>isanship</w:t>
      </w:r>
      <w:r w:rsidR="00810EAB" w:rsidRPr="00026220">
        <w:rPr>
          <w:rFonts w:ascii="Palatino Linotype" w:hAnsi="Palatino Linotype"/>
          <w:bCs/>
        </w:rPr>
        <w:t xml:space="preserve"> (</w:t>
      </w:r>
      <w:r w:rsidR="005E120E" w:rsidRPr="00D051C8">
        <w:rPr>
          <w:rFonts w:ascii="Palatino Linotype" w:hAnsi="Palatino Linotype"/>
          <w:bCs/>
        </w:rPr>
        <w:t xml:space="preserve">Kaminski and </w:t>
      </w:r>
      <w:proofErr w:type="spellStart"/>
      <w:r w:rsidR="005E120E" w:rsidRPr="00D051C8">
        <w:rPr>
          <w:rFonts w:ascii="Palatino Linotype" w:hAnsi="Palatino Linotype"/>
          <w:bCs/>
        </w:rPr>
        <w:t>Nalepa</w:t>
      </w:r>
      <w:proofErr w:type="spellEnd"/>
      <w:r w:rsidR="005E120E" w:rsidRPr="00D051C8">
        <w:rPr>
          <w:rFonts w:ascii="Palatino Linotype" w:hAnsi="Palatino Linotype"/>
          <w:bCs/>
        </w:rPr>
        <w:t>, 2006</w:t>
      </w:r>
      <w:r w:rsidR="005E120E">
        <w:rPr>
          <w:rFonts w:ascii="Palatino Linotype" w:hAnsi="Palatino Linotype"/>
          <w:bCs/>
        </w:rPr>
        <w:t xml:space="preserve">; </w:t>
      </w:r>
      <w:r w:rsidR="00810EAB" w:rsidRPr="00D051C8">
        <w:rPr>
          <w:rFonts w:ascii="Palatino Linotype" w:hAnsi="Palatino Linotype"/>
          <w:bCs/>
        </w:rPr>
        <w:t>Stover</w:t>
      </w:r>
      <w:r w:rsidR="00393AE8" w:rsidRPr="00D051C8">
        <w:rPr>
          <w:rFonts w:ascii="Palatino Linotype" w:hAnsi="Palatino Linotype"/>
          <w:bCs/>
        </w:rPr>
        <w:t xml:space="preserve"> et al,</w:t>
      </w:r>
      <w:r w:rsidR="00810EAB" w:rsidRPr="00D051C8">
        <w:rPr>
          <w:rFonts w:ascii="Palatino Linotype" w:hAnsi="Palatino Linotype"/>
          <w:bCs/>
        </w:rPr>
        <w:t xml:space="preserve"> 2005)</w:t>
      </w:r>
      <w:r w:rsidR="00E8554B" w:rsidRPr="00D051C8">
        <w:rPr>
          <w:rFonts w:ascii="Palatino Linotype" w:hAnsi="Palatino Linotype"/>
          <w:bCs/>
        </w:rPr>
        <w:t xml:space="preserve">. </w:t>
      </w:r>
      <w:r w:rsidR="00EC3A63" w:rsidRPr="00026220">
        <w:rPr>
          <w:rFonts w:ascii="Palatino Linotype" w:hAnsi="Palatino Linotype"/>
          <w:bCs/>
        </w:rPr>
        <w:t xml:space="preserve">The governance of lustration in this instance was coercive, </w:t>
      </w:r>
      <w:r w:rsidR="003D28FC" w:rsidRPr="00026220">
        <w:rPr>
          <w:rFonts w:ascii="Palatino Linotype" w:hAnsi="Palatino Linotype"/>
          <w:bCs/>
        </w:rPr>
        <w:t xml:space="preserve">burdensome and an abuse of protection mechanisms that </w:t>
      </w:r>
      <w:r w:rsidR="00470470">
        <w:rPr>
          <w:rFonts w:ascii="Palatino Linotype" w:hAnsi="Palatino Linotype"/>
          <w:bCs/>
        </w:rPr>
        <w:t>sated</w:t>
      </w:r>
      <w:r w:rsidR="003D28FC" w:rsidRPr="00026220">
        <w:rPr>
          <w:rFonts w:ascii="Palatino Linotype" w:hAnsi="Palatino Linotype"/>
          <w:bCs/>
        </w:rPr>
        <w:t xml:space="preserve"> fair treatment</w:t>
      </w:r>
      <w:r w:rsidR="00F11B6D" w:rsidRPr="00026220">
        <w:rPr>
          <w:rFonts w:ascii="Palatino Linotype" w:hAnsi="Palatino Linotype"/>
          <w:bCs/>
        </w:rPr>
        <w:t xml:space="preserve"> (</w:t>
      </w:r>
      <w:r w:rsidR="00F11B6D" w:rsidRPr="00D051C8">
        <w:rPr>
          <w:rFonts w:ascii="Palatino Linotype" w:hAnsi="Palatino Linotype"/>
          <w:bCs/>
        </w:rPr>
        <w:t>Stover</w:t>
      </w:r>
      <w:r w:rsidR="005E120E">
        <w:rPr>
          <w:rFonts w:ascii="Palatino Linotype" w:hAnsi="Palatino Linotype"/>
          <w:bCs/>
        </w:rPr>
        <w:t xml:space="preserve"> et al,</w:t>
      </w:r>
      <w:r w:rsidR="00960CB8" w:rsidRPr="00D051C8">
        <w:rPr>
          <w:rFonts w:ascii="Palatino Linotype" w:hAnsi="Palatino Linotype"/>
          <w:bCs/>
        </w:rPr>
        <w:t xml:space="preserve"> </w:t>
      </w:r>
      <w:r w:rsidR="00F11B6D" w:rsidRPr="00D051C8">
        <w:rPr>
          <w:rFonts w:ascii="Palatino Linotype" w:hAnsi="Palatino Linotype"/>
          <w:bCs/>
        </w:rPr>
        <w:t>2008; Visser</w:t>
      </w:r>
      <w:r w:rsidR="005E120E">
        <w:rPr>
          <w:rFonts w:ascii="Palatino Linotype" w:hAnsi="Palatino Linotype"/>
          <w:bCs/>
        </w:rPr>
        <w:t>,</w:t>
      </w:r>
      <w:r w:rsidR="00F11B6D" w:rsidRPr="00D051C8">
        <w:rPr>
          <w:rFonts w:ascii="Palatino Linotype" w:hAnsi="Palatino Linotype"/>
          <w:bCs/>
        </w:rPr>
        <w:t xml:space="preserve"> 2007</w:t>
      </w:r>
      <w:r w:rsidR="00F11B6D" w:rsidRPr="00026220">
        <w:rPr>
          <w:rFonts w:ascii="Palatino Linotype" w:hAnsi="Palatino Linotype"/>
          <w:bCs/>
        </w:rPr>
        <w:t>).</w:t>
      </w:r>
      <w:r w:rsidR="00351702">
        <w:rPr>
          <w:rFonts w:ascii="Palatino Linotype" w:hAnsi="Palatino Linotype"/>
          <w:bCs/>
        </w:rPr>
        <w:t xml:space="preserve"> </w:t>
      </w:r>
      <w:r w:rsidR="009C6554" w:rsidRPr="00026220">
        <w:rPr>
          <w:rFonts w:ascii="Palatino Linotype" w:hAnsi="Palatino Linotype"/>
          <w:bCs/>
        </w:rPr>
        <w:t>Furthermore, de-</w:t>
      </w:r>
      <w:proofErr w:type="spellStart"/>
      <w:r w:rsidR="009C6554" w:rsidRPr="00026220">
        <w:rPr>
          <w:rFonts w:ascii="Palatino Linotype" w:hAnsi="Palatino Linotype"/>
          <w:bCs/>
        </w:rPr>
        <w:t>Ba’athification</w:t>
      </w:r>
      <w:proofErr w:type="spellEnd"/>
      <w:r w:rsidR="009C6554" w:rsidRPr="00026220">
        <w:rPr>
          <w:rFonts w:ascii="Palatino Linotype" w:hAnsi="Palatino Linotype"/>
          <w:bCs/>
        </w:rPr>
        <w:t xml:space="preserve"> threw into relief the failure to design transitional justice mechanisms, especially regarding victims. </w:t>
      </w:r>
      <w:r w:rsidR="00F57233" w:rsidRPr="00026220">
        <w:rPr>
          <w:rFonts w:ascii="Palatino Linotype" w:hAnsi="Palatino Linotype"/>
          <w:bCs/>
        </w:rPr>
        <w:t>A</w:t>
      </w:r>
      <w:r w:rsidR="008C2CEE">
        <w:rPr>
          <w:rFonts w:ascii="Palatino Linotype" w:hAnsi="Palatino Linotype"/>
          <w:bCs/>
        </w:rPr>
        <w:t>n inadequate</w:t>
      </w:r>
      <w:r w:rsidR="00F57233" w:rsidRPr="00026220">
        <w:rPr>
          <w:rStyle w:val="EndnoteReference"/>
          <w:rFonts w:ascii="Palatino Linotype" w:hAnsi="Palatino Linotype"/>
          <w:bCs/>
        </w:rPr>
        <w:endnoteReference w:id="9"/>
      </w:r>
      <w:r w:rsidR="009C6554" w:rsidRPr="00026220">
        <w:rPr>
          <w:rFonts w:ascii="Palatino Linotype" w:hAnsi="Palatino Linotype"/>
          <w:bCs/>
        </w:rPr>
        <w:t xml:space="preserve"> approach to past abuses meant that de-</w:t>
      </w:r>
      <w:proofErr w:type="spellStart"/>
      <w:r w:rsidR="009C6554" w:rsidRPr="00026220">
        <w:rPr>
          <w:rFonts w:ascii="Palatino Linotype" w:hAnsi="Palatino Linotype"/>
          <w:bCs/>
        </w:rPr>
        <w:t>B</w:t>
      </w:r>
      <w:r w:rsidR="00470470">
        <w:rPr>
          <w:rFonts w:ascii="Palatino Linotype" w:hAnsi="Palatino Linotype"/>
          <w:bCs/>
        </w:rPr>
        <w:t>a’athification</w:t>
      </w:r>
      <w:proofErr w:type="spellEnd"/>
      <w:r w:rsidR="00470470">
        <w:rPr>
          <w:rFonts w:ascii="Palatino Linotype" w:hAnsi="Palatino Linotype"/>
          <w:bCs/>
        </w:rPr>
        <w:t xml:space="preserve"> was embodied as the</w:t>
      </w:r>
      <w:r w:rsidR="009C6554" w:rsidRPr="00026220">
        <w:rPr>
          <w:rFonts w:ascii="Palatino Linotype" w:hAnsi="Palatino Linotype"/>
          <w:bCs/>
        </w:rPr>
        <w:t xml:space="preserve"> key response to oppression and victimhood even though it was neither structured nor capable of delivering justice demands tied </w:t>
      </w:r>
      <w:r w:rsidR="00470470">
        <w:rPr>
          <w:rFonts w:ascii="Palatino Linotype" w:hAnsi="Palatino Linotype"/>
          <w:bCs/>
        </w:rPr>
        <w:t xml:space="preserve">to such </w:t>
      </w:r>
      <w:r w:rsidR="009C6554" w:rsidRPr="00026220">
        <w:rPr>
          <w:rFonts w:ascii="Palatino Linotype" w:hAnsi="Palatino Linotype"/>
          <w:bCs/>
        </w:rPr>
        <w:t>all-embracing desires. Given that other transitional justice arrangements failed to evolve the new elite effectively expanded its power base and popular support by locating the injustices of the previous regime that it could legally respond to.</w:t>
      </w:r>
    </w:p>
    <w:p w14:paraId="3560DDEB" w14:textId="77777777" w:rsidR="00725667" w:rsidRPr="00026220" w:rsidRDefault="00725667" w:rsidP="0047010C">
      <w:pPr>
        <w:ind w:right="-7"/>
        <w:jc w:val="both"/>
        <w:rPr>
          <w:rFonts w:ascii="Palatino Linotype" w:hAnsi="Palatino Linotype"/>
        </w:rPr>
      </w:pPr>
    </w:p>
    <w:p w14:paraId="602E5CD5" w14:textId="77777777" w:rsidR="0024621F" w:rsidRPr="00026220" w:rsidRDefault="008B1B81" w:rsidP="00005415">
      <w:pPr>
        <w:autoSpaceDE w:val="0"/>
        <w:autoSpaceDN w:val="0"/>
        <w:adjustRightInd w:val="0"/>
        <w:jc w:val="both"/>
        <w:rPr>
          <w:rFonts w:ascii="Palatino Linotype" w:hAnsi="Palatino Linotype"/>
          <w:bCs/>
        </w:rPr>
      </w:pPr>
      <w:r w:rsidRPr="00026220">
        <w:rPr>
          <w:rFonts w:ascii="Palatino Linotype" w:hAnsi="Palatino Linotype"/>
          <w:bCs/>
        </w:rPr>
        <w:lastRenderedPageBreak/>
        <w:t>There ha</w:t>
      </w:r>
      <w:r w:rsidR="0096166C" w:rsidRPr="00026220">
        <w:rPr>
          <w:rFonts w:ascii="Palatino Linotype" w:hAnsi="Palatino Linotype"/>
          <w:bCs/>
        </w:rPr>
        <w:t>ve been two lustration acts of D</w:t>
      </w:r>
      <w:r w:rsidRPr="00026220">
        <w:rPr>
          <w:rFonts w:ascii="Palatino Linotype" w:hAnsi="Palatino Linotype"/>
          <w:bCs/>
        </w:rPr>
        <w:t>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that are commonly known as Order 1</w:t>
      </w:r>
      <w:r w:rsidR="001D40EC" w:rsidRPr="00026220">
        <w:rPr>
          <w:rStyle w:val="EndnoteReference"/>
          <w:rFonts w:ascii="Palatino Linotype" w:hAnsi="Palatino Linotype"/>
          <w:bCs/>
        </w:rPr>
        <w:endnoteReference w:id="10"/>
      </w:r>
      <w:r w:rsidRPr="00026220">
        <w:rPr>
          <w:rFonts w:ascii="Palatino Linotype" w:hAnsi="Palatino Linotype"/>
          <w:bCs/>
        </w:rPr>
        <w:t xml:space="preserve"> (advanced in 2003) and the Accountability and Justice Act (AJA) (passed in 2008). </w:t>
      </w:r>
    </w:p>
    <w:p w14:paraId="6DAC36C3" w14:textId="77777777" w:rsidR="00CF4533" w:rsidRPr="00026220" w:rsidRDefault="00CF4533" w:rsidP="00325807">
      <w:pPr>
        <w:autoSpaceDE w:val="0"/>
        <w:autoSpaceDN w:val="0"/>
        <w:adjustRightInd w:val="0"/>
        <w:jc w:val="both"/>
        <w:rPr>
          <w:rFonts w:ascii="Palatino Linotype" w:hAnsi="Palatino Linotype"/>
          <w:bCs/>
        </w:rPr>
      </w:pPr>
    </w:p>
    <w:p w14:paraId="02BDB973" w14:textId="77777777" w:rsidR="003B3CA8" w:rsidRPr="00026220" w:rsidRDefault="003B3CA8" w:rsidP="00325807">
      <w:pPr>
        <w:autoSpaceDE w:val="0"/>
        <w:autoSpaceDN w:val="0"/>
        <w:adjustRightInd w:val="0"/>
        <w:jc w:val="both"/>
        <w:rPr>
          <w:rFonts w:ascii="Palatino Linotype" w:hAnsi="Palatino Linotype"/>
          <w:bCs/>
        </w:rPr>
      </w:pPr>
    </w:p>
    <w:p w14:paraId="438025C0" w14:textId="77777777" w:rsidR="008B1B81" w:rsidRPr="00026220" w:rsidRDefault="001D1895" w:rsidP="00325807">
      <w:pPr>
        <w:autoSpaceDE w:val="0"/>
        <w:autoSpaceDN w:val="0"/>
        <w:adjustRightInd w:val="0"/>
        <w:jc w:val="both"/>
        <w:rPr>
          <w:rFonts w:ascii="Palatino Linotype" w:hAnsi="Palatino Linotype"/>
          <w:b/>
          <w:bCs/>
        </w:rPr>
      </w:pPr>
      <w:r w:rsidRPr="00026220">
        <w:rPr>
          <w:rFonts w:ascii="Palatino Linotype" w:hAnsi="Palatino Linotype"/>
          <w:b/>
          <w:bCs/>
        </w:rPr>
        <w:t xml:space="preserve">Embedding and Reproducing </w:t>
      </w:r>
      <w:r w:rsidR="00697ADE" w:rsidRPr="00026220">
        <w:rPr>
          <w:rFonts w:ascii="Palatino Linotype" w:hAnsi="Palatino Linotype"/>
          <w:b/>
          <w:bCs/>
        </w:rPr>
        <w:t xml:space="preserve">the </w:t>
      </w:r>
      <w:r w:rsidR="008B1B81" w:rsidRPr="00026220">
        <w:rPr>
          <w:rFonts w:ascii="Palatino Linotype" w:hAnsi="Palatino Linotype"/>
          <w:b/>
          <w:bCs/>
        </w:rPr>
        <w:t>Exclusive System</w:t>
      </w:r>
      <w:r w:rsidR="00697ADE" w:rsidRPr="00026220">
        <w:rPr>
          <w:rFonts w:ascii="Palatino Linotype" w:hAnsi="Palatino Linotype"/>
          <w:b/>
          <w:bCs/>
        </w:rPr>
        <w:t>:</w:t>
      </w:r>
      <w:r w:rsidR="009B4D87" w:rsidRPr="00026220">
        <w:rPr>
          <w:rFonts w:ascii="Palatino Linotype" w:hAnsi="Palatino Linotype"/>
          <w:b/>
          <w:bCs/>
        </w:rPr>
        <w:t xml:space="preserve"> From exogenous design to endogenous delivery</w:t>
      </w:r>
    </w:p>
    <w:p w14:paraId="263520B4" w14:textId="77777777" w:rsidR="008B1B81" w:rsidRPr="00026220" w:rsidRDefault="008B1B81" w:rsidP="00325807">
      <w:pPr>
        <w:autoSpaceDE w:val="0"/>
        <w:autoSpaceDN w:val="0"/>
        <w:adjustRightInd w:val="0"/>
        <w:jc w:val="both"/>
        <w:rPr>
          <w:rFonts w:ascii="Palatino Linotype" w:hAnsi="Palatino Linotype"/>
          <w:b/>
          <w:bCs/>
        </w:rPr>
      </w:pPr>
    </w:p>
    <w:p w14:paraId="5F345DB9" w14:textId="77777777" w:rsidR="00611112" w:rsidRPr="00026220" w:rsidRDefault="00C12A80" w:rsidP="001D7B1E">
      <w:pPr>
        <w:jc w:val="both"/>
        <w:rPr>
          <w:rFonts w:ascii="Palatino Linotype" w:hAnsi="Palatino Linotype"/>
          <w:i/>
        </w:rPr>
      </w:pPr>
      <w:r w:rsidRPr="00026220">
        <w:rPr>
          <w:rFonts w:ascii="Palatino Linotype" w:hAnsi="Palatino Linotype"/>
          <w:bCs/>
        </w:rPr>
        <w:t>O</w:t>
      </w:r>
      <w:r w:rsidR="000C7690" w:rsidRPr="00026220">
        <w:rPr>
          <w:rFonts w:ascii="Palatino Linotype" w:hAnsi="Palatino Linotype"/>
          <w:bCs/>
        </w:rPr>
        <w:t>nce established</w:t>
      </w:r>
      <w:r w:rsidRPr="00026220">
        <w:rPr>
          <w:rFonts w:ascii="Palatino Linotype" w:hAnsi="Palatino Linotype"/>
          <w:bCs/>
        </w:rPr>
        <w:t>,</w:t>
      </w:r>
      <w:r w:rsidR="000C7690" w:rsidRPr="00026220">
        <w:rPr>
          <w:rFonts w:ascii="Palatino Linotype" w:hAnsi="Palatino Linotype"/>
          <w:bCs/>
        </w:rPr>
        <w:t xml:space="preserve"> </w:t>
      </w:r>
      <w:r w:rsidR="00D223D9" w:rsidRPr="00026220">
        <w:rPr>
          <w:rFonts w:ascii="Palatino Linotype" w:hAnsi="Palatino Linotype"/>
        </w:rPr>
        <w:t xml:space="preserve">SNCD </w:t>
      </w:r>
      <w:r w:rsidR="001D600F">
        <w:rPr>
          <w:rFonts w:ascii="Palatino Linotype" w:hAnsi="Palatino Linotype"/>
        </w:rPr>
        <w:t>illegally extended its remit</w:t>
      </w:r>
      <w:r w:rsidR="008B1B81" w:rsidRPr="00026220">
        <w:rPr>
          <w:rFonts w:ascii="Palatino Linotype" w:hAnsi="Palatino Linotype"/>
        </w:rPr>
        <w:t xml:space="preserve"> by directing lustration at more levels of the Ba’ath Party </w:t>
      </w:r>
      <w:r w:rsidR="00776DD0" w:rsidRPr="00026220">
        <w:rPr>
          <w:rFonts w:ascii="Palatino Linotype" w:hAnsi="Palatino Linotype"/>
        </w:rPr>
        <w:t>including Active Member (‘</w:t>
      </w:r>
      <w:proofErr w:type="spellStart"/>
      <w:r w:rsidR="00776DD0" w:rsidRPr="00026220">
        <w:rPr>
          <w:rFonts w:ascii="Palatino Linotype" w:hAnsi="Palatino Linotype"/>
        </w:rPr>
        <w:t>Udw</w:t>
      </w:r>
      <w:proofErr w:type="spellEnd"/>
      <w:r w:rsidR="00776DD0" w:rsidRPr="00026220">
        <w:rPr>
          <w:rFonts w:ascii="Palatino Linotype" w:hAnsi="Palatino Linotype"/>
        </w:rPr>
        <w:t xml:space="preserve"> ‘Amil) and T</w:t>
      </w:r>
      <w:r w:rsidR="000C7690" w:rsidRPr="00026220">
        <w:rPr>
          <w:rFonts w:ascii="Palatino Linotype" w:hAnsi="Palatino Linotype"/>
        </w:rPr>
        <w:t>rainee Member (‘</w:t>
      </w:r>
      <w:proofErr w:type="spellStart"/>
      <w:r w:rsidR="000C7690" w:rsidRPr="00026220">
        <w:rPr>
          <w:rFonts w:ascii="Palatino Linotype" w:hAnsi="Palatino Linotype"/>
        </w:rPr>
        <w:t>Udw</w:t>
      </w:r>
      <w:proofErr w:type="spellEnd"/>
      <w:r w:rsidR="000C7690" w:rsidRPr="00026220">
        <w:rPr>
          <w:rFonts w:ascii="Palatino Linotype" w:hAnsi="Palatino Linotype"/>
        </w:rPr>
        <w:t xml:space="preserve"> </w:t>
      </w:r>
      <w:proofErr w:type="spellStart"/>
      <w:r w:rsidR="000C7690" w:rsidRPr="00026220">
        <w:rPr>
          <w:rFonts w:ascii="Palatino Linotype" w:hAnsi="Palatino Linotype"/>
        </w:rPr>
        <w:t>Mutadarrib</w:t>
      </w:r>
      <w:proofErr w:type="spellEnd"/>
      <w:r w:rsidR="000C7690" w:rsidRPr="00026220">
        <w:rPr>
          <w:rFonts w:ascii="Palatino Linotype" w:hAnsi="Palatino Linotype"/>
        </w:rPr>
        <w:t xml:space="preserve">). They also </w:t>
      </w:r>
      <w:r w:rsidR="008B1B81" w:rsidRPr="00026220">
        <w:rPr>
          <w:rFonts w:ascii="Palatino Linotype" w:hAnsi="Palatino Linotype"/>
        </w:rPr>
        <w:t>prohibited the hiring of those who had left or been expelled from the Ba’ath Party prior to invasion</w:t>
      </w:r>
      <w:r w:rsidR="000C7690" w:rsidRPr="00026220">
        <w:rPr>
          <w:rFonts w:ascii="Palatino Linotype" w:hAnsi="Palatino Linotype"/>
        </w:rPr>
        <w:t xml:space="preserve">, even if they had shown opposition to </w:t>
      </w:r>
      <w:r w:rsidR="00590FCC">
        <w:rPr>
          <w:rFonts w:ascii="Palatino Linotype" w:hAnsi="Palatino Linotype"/>
        </w:rPr>
        <w:t xml:space="preserve">it </w:t>
      </w:r>
      <w:r w:rsidR="000C7690" w:rsidRPr="00026220">
        <w:rPr>
          <w:rFonts w:ascii="Palatino Linotype" w:hAnsi="Palatino Linotype"/>
        </w:rPr>
        <w:t>or had been victims of the previous regime</w:t>
      </w:r>
      <w:r w:rsidR="008B1B81" w:rsidRPr="00026220">
        <w:rPr>
          <w:rFonts w:ascii="Palatino Linotype" w:hAnsi="Palatino Linotype"/>
        </w:rPr>
        <w:t>. These political groups, somewhat erroneously, could choose former Ba’athists</w:t>
      </w:r>
      <w:r w:rsidR="00D223D9" w:rsidRPr="00026220">
        <w:rPr>
          <w:rFonts w:ascii="Palatino Linotype" w:hAnsi="Palatino Linotype"/>
        </w:rPr>
        <w:t>, usually</w:t>
      </w:r>
      <w:r w:rsidR="003705BC">
        <w:rPr>
          <w:rFonts w:ascii="Palatino Linotype" w:hAnsi="Palatino Linotype"/>
        </w:rPr>
        <w:t xml:space="preserve"> Kurds and Shias</w:t>
      </w:r>
      <w:r w:rsidR="00D223D9" w:rsidRPr="00026220">
        <w:rPr>
          <w:rFonts w:ascii="Palatino Linotype" w:hAnsi="Palatino Linotype"/>
        </w:rPr>
        <w:t>,</w:t>
      </w:r>
      <w:r w:rsidR="008B1B81" w:rsidRPr="00026220">
        <w:rPr>
          <w:rFonts w:ascii="Palatino Linotype" w:hAnsi="Palatino Linotype"/>
        </w:rPr>
        <w:t xml:space="preserve"> to be exempte</w:t>
      </w:r>
      <w:r w:rsidR="00293A08" w:rsidRPr="00026220">
        <w:rPr>
          <w:rFonts w:ascii="Palatino Linotype" w:hAnsi="Palatino Linotype"/>
        </w:rPr>
        <w:t>d from vetting which indicated</w:t>
      </w:r>
      <w:r w:rsidR="008B1B81" w:rsidRPr="00026220">
        <w:rPr>
          <w:rFonts w:ascii="Palatino Linotype" w:hAnsi="Palatino Linotype"/>
        </w:rPr>
        <w:t xml:space="preserve"> </w:t>
      </w:r>
      <w:r w:rsidR="00781AB8">
        <w:rPr>
          <w:rFonts w:ascii="Palatino Linotype" w:hAnsi="Palatino Linotype"/>
        </w:rPr>
        <w:t xml:space="preserve">a </w:t>
      </w:r>
      <w:r w:rsidR="008B1B81" w:rsidRPr="00026220">
        <w:rPr>
          <w:rFonts w:ascii="Palatino Linotype" w:hAnsi="Palatino Linotype"/>
        </w:rPr>
        <w:t xml:space="preserve">growing </w:t>
      </w:r>
      <w:r w:rsidR="00C92F5A" w:rsidRPr="00026220">
        <w:rPr>
          <w:rFonts w:ascii="Palatino Linotype" w:hAnsi="Palatino Linotype"/>
        </w:rPr>
        <w:t xml:space="preserve">governance of </w:t>
      </w:r>
      <w:r w:rsidR="008B1B81" w:rsidRPr="00026220">
        <w:rPr>
          <w:rFonts w:ascii="Palatino Linotype" w:hAnsi="Palatino Linotype"/>
        </w:rPr>
        <w:t>sectarian and socio-econ</w:t>
      </w:r>
      <w:r w:rsidR="00611112" w:rsidRPr="00026220">
        <w:rPr>
          <w:rFonts w:ascii="Palatino Linotype" w:hAnsi="Palatino Linotype"/>
        </w:rPr>
        <w:t xml:space="preserve">omic patronage </w:t>
      </w:r>
      <w:proofErr w:type="spellStart"/>
      <w:r w:rsidR="00611112" w:rsidRPr="00026220">
        <w:rPr>
          <w:rFonts w:ascii="Palatino Linotype" w:hAnsi="Palatino Linotype"/>
        </w:rPr>
        <w:t>centred</w:t>
      </w:r>
      <w:proofErr w:type="spellEnd"/>
      <w:r w:rsidR="00611112" w:rsidRPr="00026220">
        <w:rPr>
          <w:rFonts w:ascii="Palatino Linotype" w:hAnsi="Palatino Linotype"/>
        </w:rPr>
        <w:t xml:space="preserve"> control. </w:t>
      </w:r>
      <w:r w:rsidR="0087030F" w:rsidRPr="00026220">
        <w:rPr>
          <w:rFonts w:ascii="Palatino Linotype" w:hAnsi="Palatino Linotype"/>
        </w:rPr>
        <w:t xml:space="preserve">This </w:t>
      </w:r>
      <w:r w:rsidR="00611112" w:rsidRPr="00026220">
        <w:rPr>
          <w:rFonts w:ascii="Palatino Linotype" w:hAnsi="Palatino Linotype"/>
        </w:rPr>
        <w:t xml:space="preserve">testified to a variant form of categorization in which socio-legal space was quantified not by individual rights but via ethnic election and the capacity to pick and choose those to be punished. </w:t>
      </w:r>
    </w:p>
    <w:p w14:paraId="76FC7538" w14:textId="77777777" w:rsidR="00611112" w:rsidRPr="00026220" w:rsidRDefault="00611112" w:rsidP="001D7B1E">
      <w:pPr>
        <w:jc w:val="both"/>
        <w:rPr>
          <w:rFonts w:ascii="Palatino Linotype" w:hAnsi="Palatino Linotype"/>
        </w:rPr>
      </w:pPr>
    </w:p>
    <w:p w14:paraId="4E29DE94" w14:textId="77777777" w:rsidR="008C2CEE" w:rsidRDefault="008B1B81" w:rsidP="00672484">
      <w:pPr>
        <w:jc w:val="both"/>
        <w:rPr>
          <w:rFonts w:ascii="Palatino Linotype" w:hAnsi="Palatino Linotype"/>
        </w:rPr>
      </w:pPr>
      <w:r w:rsidRPr="00026220">
        <w:rPr>
          <w:rFonts w:ascii="Palatino Linotype" w:hAnsi="Palatino Linotype"/>
        </w:rPr>
        <w:t xml:space="preserve">The hegemony of the SNCD was furthered by the appointment of </w:t>
      </w:r>
      <w:r w:rsidRPr="00026220">
        <w:rPr>
          <w:rFonts w:ascii="Palatino Linotype" w:hAnsi="Palatino Linotype"/>
          <w:bCs/>
        </w:rPr>
        <w:t xml:space="preserve">technical staff, linked to these political groups, who had privileged access to records of human rights violation. </w:t>
      </w:r>
      <w:r w:rsidRPr="00026220">
        <w:rPr>
          <w:rFonts w:ascii="Palatino Linotype" w:hAnsi="Palatino Linotype"/>
        </w:rPr>
        <w:t xml:space="preserve"> </w:t>
      </w:r>
      <w:r w:rsidR="00776DD0" w:rsidRPr="00026220">
        <w:rPr>
          <w:rFonts w:ascii="Palatino Linotype" w:hAnsi="Palatino Linotype"/>
        </w:rPr>
        <w:t xml:space="preserve">The public goals of the SNCD were to remove senior members, dissolve the Ba’ath Party, offer </w:t>
      </w:r>
      <w:r w:rsidR="00DB7D91" w:rsidRPr="00026220">
        <w:rPr>
          <w:rFonts w:ascii="Palatino Linotype" w:hAnsi="Palatino Linotype"/>
        </w:rPr>
        <w:t xml:space="preserve">an appeal </w:t>
      </w:r>
      <w:proofErr w:type="gramStart"/>
      <w:r w:rsidR="00DB7D91" w:rsidRPr="00026220">
        <w:rPr>
          <w:rFonts w:ascii="Palatino Linotype" w:hAnsi="Palatino Linotype"/>
        </w:rPr>
        <w:t>process</w:t>
      </w:r>
      <w:proofErr w:type="gramEnd"/>
      <w:r w:rsidR="00DB7D91" w:rsidRPr="00026220">
        <w:rPr>
          <w:rFonts w:ascii="Palatino Linotype" w:hAnsi="Palatino Linotype"/>
        </w:rPr>
        <w:t xml:space="preserve"> and </w:t>
      </w:r>
      <w:r w:rsidR="00776DD0" w:rsidRPr="00026220">
        <w:rPr>
          <w:rFonts w:ascii="Palatino Linotype" w:hAnsi="Palatino Linotype"/>
        </w:rPr>
        <w:t>r</w:t>
      </w:r>
      <w:r w:rsidR="00DB7D91" w:rsidRPr="00026220">
        <w:rPr>
          <w:rFonts w:ascii="Palatino Linotype" w:hAnsi="Palatino Linotype"/>
        </w:rPr>
        <w:t>emove</w:t>
      </w:r>
      <w:r w:rsidR="00776DD0" w:rsidRPr="00026220">
        <w:rPr>
          <w:rFonts w:ascii="Palatino Linotype" w:hAnsi="Palatino Linotype"/>
        </w:rPr>
        <w:t xml:space="preserve"> traces of the Ba’ath </w:t>
      </w:r>
      <w:r w:rsidR="0006471C" w:rsidRPr="00026220">
        <w:rPr>
          <w:rFonts w:ascii="Palatino Linotype" w:hAnsi="Palatino Linotype"/>
        </w:rPr>
        <w:t xml:space="preserve">Party. Removing </w:t>
      </w:r>
      <w:r w:rsidR="001D600F">
        <w:rPr>
          <w:rFonts w:ascii="Palatino Linotype" w:hAnsi="Palatino Linotype"/>
        </w:rPr>
        <w:t xml:space="preserve">such </w:t>
      </w:r>
      <w:r w:rsidR="0006471C" w:rsidRPr="00026220">
        <w:rPr>
          <w:rFonts w:ascii="Palatino Linotype" w:hAnsi="Palatino Linotype"/>
        </w:rPr>
        <w:t xml:space="preserve">traces was adopted by the SNCD through their own interpretation of </w:t>
      </w:r>
      <w:r w:rsidR="00DB7D91" w:rsidRPr="00026220">
        <w:rPr>
          <w:rFonts w:ascii="Palatino Linotype" w:hAnsi="Palatino Linotype"/>
        </w:rPr>
        <w:t>v</w:t>
      </w:r>
      <w:r w:rsidR="00776DD0" w:rsidRPr="00026220">
        <w:rPr>
          <w:rFonts w:ascii="Palatino Linotype" w:hAnsi="Palatino Linotype"/>
        </w:rPr>
        <w:t>ague concepts such as respect for dictatorship and authoritarianism, disrespectin</w:t>
      </w:r>
      <w:r w:rsidR="00DB7D91" w:rsidRPr="00026220">
        <w:rPr>
          <w:rFonts w:ascii="Palatino Linotype" w:hAnsi="Palatino Linotype"/>
        </w:rPr>
        <w:t xml:space="preserve">g others opinions and agreeing to </w:t>
      </w:r>
      <w:r w:rsidR="00776DD0" w:rsidRPr="00026220">
        <w:rPr>
          <w:rFonts w:ascii="Palatino Linotype" w:hAnsi="Palatino Linotype"/>
        </w:rPr>
        <w:t>the opinions</w:t>
      </w:r>
      <w:r w:rsidR="00DB7D91" w:rsidRPr="00026220">
        <w:rPr>
          <w:rFonts w:ascii="Palatino Linotype" w:hAnsi="Palatino Linotype"/>
        </w:rPr>
        <w:t>,</w:t>
      </w:r>
      <w:r w:rsidR="00776DD0" w:rsidRPr="00026220">
        <w:rPr>
          <w:rFonts w:ascii="Palatino Linotype" w:hAnsi="Palatino Linotype"/>
        </w:rPr>
        <w:t xml:space="preserve"> methods, thought and lifestyle</w:t>
      </w:r>
      <w:r w:rsidR="00DB7D91" w:rsidRPr="00026220">
        <w:rPr>
          <w:rFonts w:ascii="Palatino Linotype" w:hAnsi="Palatino Linotype"/>
        </w:rPr>
        <w:t xml:space="preserve"> of those opposed</w:t>
      </w:r>
      <w:r w:rsidR="0006471C" w:rsidRPr="00026220">
        <w:rPr>
          <w:rFonts w:ascii="Palatino Linotype" w:hAnsi="Palatino Linotype"/>
        </w:rPr>
        <w:t xml:space="preserve"> to the emerging</w:t>
      </w:r>
      <w:r w:rsidR="00F36ABE" w:rsidRPr="00026220">
        <w:rPr>
          <w:rFonts w:ascii="Palatino Linotype" w:hAnsi="Palatino Linotype"/>
        </w:rPr>
        <w:t xml:space="preserve"> </w:t>
      </w:r>
      <w:r w:rsidR="002026D5" w:rsidRPr="00026220">
        <w:rPr>
          <w:rFonts w:ascii="Palatino Linotype" w:hAnsi="Palatino Linotype"/>
        </w:rPr>
        <w:t>regime</w:t>
      </w:r>
      <w:r w:rsidR="00DB7D91" w:rsidRPr="00026220">
        <w:rPr>
          <w:rFonts w:ascii="Palatino Linotype" w:hAnsi="Palatino Linotype"/>
        </w:rPr>
        <w:t xml:space="preserve">. </w:t>
      </w:r>
    </w:p>
    <w:p w14:paraId="374CA9B6" w14:textId="77777777" w:rsidR="003E7FCB" w:rsidRDefault="003E7FCB" w:rsidP="00672484">
      <w:pPr>
        <w:jc w:val="both"/>
        <w:rPr>
          <w:rFonts w:ascii="Palatino Linotype" w:hAnsi="Palatino Linotype"/>
        </w:rPr>
      </w:pPr>
    </w:p>
    <w:p w14:paraId="13176BB5" w14:textId="29338ED3" w:rsidR="00DB3AD9" w:rsidRPr="00026220" w:rsidRDefault="008B1B81" w:rsidP="00590FCC">
      <w:pPr>
        <w:jc w:val="both"/>
        <w:rPr>
          <w:rFonts w:ascii="Palatino Linotype" w:hAnsi="Palatino Linotype"/>
          <w:bCs/>
        </w:rPr>
      </w:pPr>
      <w:r w:rsidRPr="00026220">
        <w:rPr>
          <w:rFonts w:ascii="Palatino Linotype" w:hAnsi="Palatino Linotype"/>
          <w:bCs/>
        </w:rPr>
        <w:t>Control of the SNCD crea</w:t>
      </w:r>
      <w:r w:rsidR="00DB5E68" w:rsidRPr="00026220">
        <w:rPr>
          <w:rFonts w:ascii="Palatino Linotype" w:hAnsi="Palatino Linotype"/>
          <w:bCs/>
        </w:rPr>
        <w:t>ted a site within which endogenous</w:t>
      </w:r>
      <w:r w:rsidRPr="00026220">
        <w:rPr>
          <w:rFonts w:ascii="Palatino Linotype" w:hAnsi="Palatino Linotype"/>
          <w:bCs/>
        </w:rPr>
        <w:t xml:space="preserve"> actors could represent themselves as those most capable of redressing the excesses of the Ba’athist regime. </w:t>
      </w:r>
      <w:r w:rsidR="002F3C55" w:rsidRPr="00026220">
        <w:rPr>
          <w:rFonts w:ascii="Palatino Linotype" w:hAnsi="Palatino Linotype"/>
          <w:bCs/>
        </w:rPr>
        <w:t>The zeal for d</w:t>
      </w:r>
      <w:r w:rsidR="00EB6077" w:rsidRPr="00026220">
        <w:rPr>
          <w:rFonts w:ascii="Palatino Linotype" w:hAnsi="Palatino Linotype"/>
          <w:bCs/>
        </w:rPr>
        <w:t>e-</w:t>
      </w:r>
      <w:proofErr w:type="spellStart"/>
      <w:r w:rsidR="00212327" w:rsidRPr="00026220">
        <w:rPr>
          <w:rFonts w:ascii="Palatino Linotype" w:hAnsi="Palatino Linotype"/>
          <w:bCs/>
        </w:rPr>
        <w:t>B</w:t>
      </w:r>
      <w:r w:rsidR="00EB6077" w:rsidRPr="00026220">
        <w:rPr>
          <w:rFonts w:ascii="Palatino Linotype" w:hAnsi="Palatino Linotype"/>
          <w:bCs/>
        </w:rPr>
        <w:t>a’athification</w:t>
      </w:r>
      <w:proofErr w:type="spellEnd"/>
      <w:r w:rsidR="00EB6077" w:rsidRPr="00026220">
        <w:rPr>
          <w:rFonts w:ascii="Palatino Linotype" w:hAnsi="Palatino Linotype"/>
          <w:bCs/>
        </w:rPr>
        <w:t xml:space="preserve"> </w:t>
      </w:r>
      <w:r w:rsidR="003C0FA5" w:rsidRPr="00026220">
        <w:rPr>
          <w:rFonts w:ascii="Palatino Linotype" w:hAnsi="Palatino Linotype"/>
          <w:bCs/>
        </w:rPr>
        <w:t xml:space="preserve">was </w:t>
      </w:r>
      <w:r w:rsidR="00672484" w:rsidRPr="00026220">
        <w:rPr>
          <w:rFonts w:ascii="Palatino Linotype" w:hAnsi="Palatino Linotype"/>
          <w:bCs/>
        </w:rPr>
        <w:t>testified</w:t>
      </w:r>
      <w:r w:rsidR="00EB6077" w:rsidRPr="00026220">
        <w:rPr>
          <w:rFonts w:ascii="Palatino Linotype" w:hAnsi="Palatino Linotype"/>
          <w:bCs/>
        </w:rPr>
        <w:t xml:space="preserve"> to by </w:t>
      </w:r>
      <w:r w:rsidR="00593C1F" w:rsidRPr="00026220">
        <w:rPr>
          <w:rFonts w:ascii="Palatino Linotype" w:hAnsi="Palatino Linotype"/>
          <w:bCs/>
        </w:rPr>
        <w:t>interviewees</w:t>
      </w:r>
      <w:r w:rsidR="00EB6077" w:rsidRPr="00026220">
        <w:rPr>
          <w:rFonts w:ascii="Palatino Linotype" w:hAnsi="Palatino Linotype"/>
          <w:bCs/>
        </w:rPr>
        <w:t xml:space="preserve"> who noted that before Order 1 </w:t>
      </w:r>
      <w:r w:rsidR="003C0FA5" w:rsidRPr="00026220">
        <w:rPr>
          <w:rFonts w:ascii="Palatino Linotype" w:hAnsi="Palatino Linotype"/>
          <w:bCs/>
        </w:rPr>
        <w:t>de-</w:t>
      </w:r>
      <w:proofErr w:type="spellStart"/>
      <w:r w:rsidR="003C0FA5" w:rsidRPr="00026220">
        <w:rPr>
          <w:rFonts w:ascii="Palatino Linotype" w:hAnsi="Palatino Linotype"/>
          <w:bCs/>
        </w:rPr>
        <w:t>Ba’athification</w:t>
      </w:r>
      <w:proofErr w:type="spellEnd"/>
      <w:r w:rsidR="003C0FA5" w:rsidRPr="00026220">
        <w:rPr>
          <w:rFonts w:ascii="Palatino Linotype" w:hAnsi="Palatino Linotype"/>
          <w:bCs/>
        </w:rPr>
        <w:t xml:space="preserve"> offices were established</w:t>
      </w:r>
      <w:r w:rsidR="00470470">
        <w:rPr>
          <w:rFonts w:ascii="Palatino Linotype" w:hAnsi="Palatino Linotype"/>
          <w:bCs/>
        </w:rPr>
        <w:t xml:space="preserve"> by domestic political groups</w:t>
      </w:r>
      <w:r w:rsidR="003C0FA5" w:rsidRPr="00026220">
        <w:rPr>
          <w:rFonts w:ascii="Palatino Linotype" w:hAnsi="Palatino Linotype"/>
          <w:bCs/>
        </w:rPr>
        <w:t xml:space="preserve">. </w:t>
      </w:r>
      <w:r w:rsidR="00603C3D" w:rsidRPr="00026220">
        <w:rPr>
          <w:rFonts w:ascii="Palatino Linotype" w:hAnsi="Palatino Linotype"/>
          <w:bCs/>
        </w:rPr>
        <w:t xml:space="preserve">Several political parties, </w:t>
      </w:r>
      <w:r w:rsidR="00EB6077" w:rsidRPr="00026220">
        <w:rPr>
          <w:rFonts w:ascii="Palatino Linotype" w:hAnsi="Palatino Linotype"/>
          <w:bCs/>
        </w:rPr>
        <w:t xml:space="preserve">without legal authority, </w:t>
      </w:r>
      <w:r w:rsidR="00603C3D" w:rsidRPr="00026220">
        <w:rPr>
          <w:rFonts w:ascii="Palatino Linotype" w:hAnsi="Palatino Linotype"/>
          <w:bCs/>
        </w:rPr>
        <w:t xml:space="preserve">including the Supreme Council for the Islamic Revolution in Iraq, the Islamic </w:t>
      </w:r>
      <w:proofErr w:type="spellStart"/>
      <w:r w:rsidR="00603C3D" w:rsidRPr="00026220">
        <w:rPr>
          <w:rFonts w:ascii="Palatino Linotype" w:hAnsi="Palatino Linotype"/>
          <w:bCs/>
        </w:rPr>
        <w:t>Da’awah</w:t>
      </w:r>
      <w:proofErr w:type="spellEnd"/>
      <w:r w:rsidR="00603C3D" w:rsidRPr="00026220">
        <w:rPr>
          <w:rFonts w:ascii="Palatino Linotype" w:hAnsi="Palatino Linotype"/>
          <w:bCs/>
        </w:rPr>
        <w:t xml:space="preserve"> Party, </w:t>
      </w:r>
      <w:r w:rsidR="00F36ABE" w:rsidRPr="00026220">
        <w:rPr>
          <w:rFonts w:ascii="Palatino Linotype" w:hAnsi="Palatino Linotype"/>
          <w:bCs/>
        </w:rPr>
        <w:t xml:space="preserve">and </w:t>
      </w:r>
      <w:r w:rsidR="00603C3D" w:rsidRPr="00026220">
        <w:rPr>
          <w:rFonts w:ascii="Palatino Linotype" w:hAnsi="Palatino Linotype"/>
          <w:bCs/>
        </w:rPr>
        <w:t>the Iraqi Communist Party, instituted a mechanism for vetting applicants to public sector jobs</w:t>
      </w:r>
      <w:r w:rsidR="00E334CE" w:rsidRPr="00026220">
        <w:rPr>
          <w:rFonts w:ascii="Palatino Linotype" w:hAnsi="Palatino Linotype"/>
          <w:bCs/>
        </w:rPr>
        <w:t xml:space="preserve"> in places that they dominated</w:t>
      </w:r>
      <w:r w:rsidR="00603C3D" w:rsidRPr="00026220">
        <w:rPr>
          <w:rFonts w:ascii="Palatino Linotype" w:hAnsi="Palatino Linotype"/>
          <w:bCs/>
        </w:rPr>
        <w:t>. Party officials would issue letters of recommendation (</w:t>
      </w:r>
      <w:proofErr w:type="spellStart"/>
      <w:r w:rsidR="00603C3D" w:rsidRPr="00026220">
        <w:rPr>
          <w:rFonts w:ascii="Palatino Linotype" w:hAnsi="Palatino Linotype"/>
          <w:bCs/>
        </w:rPr>
        <w:t>kutub</w:t>
      </w:r>
      <w:proofErr w:type="spellEnd"/>
      <w:r w:rsidR="00603C3D" w:rsidRPr="00026220">
        <w:rPr>
          <w:rFonts w:ascii="Palatino Linotype" w:hAnsi="Palatino Linotype"/>
          <w:bCs/>
        </w:rPr>
        <w:t xml:space="preserve"> </w:t>
      </w:r>
      <w:proofErr w:type="spellStart"/>
      <w:r w:rsidR="00603C3D" w:rsidRPr="00026220">
        <w:rPr>
          <w:rFonts w:ascii="Palatino Linotype" w:hAnsi="Palatino Linotype"/>
          <w:bCs/>
        </w:rPr>
        <w:t>ta’ayid</w:t>
      </w:r>
      <w:proofErr w:type="spellEnd"/>
      <w:r w:rsidR="00603C3D" w:rsidRPr="00026220">
        <w:rPr>
          <w:rFonts w:ascii="Palatino Linotype" w:hAnsi="Palatino Linotype"/>
          <w:bCs/>
        </w:rPr>
        <w:t>) to applicants</w:t>
      </w:r>
      <w:r w:rsidR="00470470">
        <w:rPr>
          <w:rFonts w:ascii="Palatino Linotype" w:hAnsi="Palatino Linotype"/>
          <w:bCs/>
        </w:rPr>
        <w:t xml:space="preserve"> through</w:t>
      </w:r>
      <w:r w:rsidR="00F01D55" w:rsidRPr="00026220">
        <w:rPr>
          <w:rFonts w:ascii="Palatino Linotype" w:hAnsi="Palatino Linotype"/>
          <w:bCs/>
        </w:rPr>
        <w:t xml:space="preserve"> a form of p</w:t>
      </w:r>
      <w:r w:rsidR="00672484" w:rsidRPr="00026220">
        <w:rPr>
          <w:rFonts w:ascii="Palatino Linotype" w:hAnsi="Palatino Linotype"/>
          <w:bCs/>
        </w:rPr>
        <w:t xml:space="preserve">atronage </w:t>
      </w:r>
      <w:r w:rsidR="007E1125">
        <w:rPr>
          <w:rFonts w:ascii="Palatino Linotype" w:hAnsi="Palatino Linotype"/>
          <w:bCs/>
        </w:rPr>
        <w:t>as</w:t>
      </w:r>
      <w:r w:rsidR="00603C3D" w:rsidRPr="00026220">
        <w:rPr>
          <w:rFonts w:ascii="Palatino Linotype" w:hAnsi="Palatino Linotype"/>
          <w:bCs/>
        </w:rPr>
        <w:t xml:space="preserve"> political parties scrambled for the </w:t>
      </w:r>
      <w:r w:rsidR="00A33A1C" w:rsidRPr="00026220">
        <w:rPr>
          <w:rFonts w:ascii="Palatino Linotype" w:hAnsi="Palatino Linotype"/>
          <w:bCs/>
        </w:rPr>
        <w:t xml:space="preserve">resources </w:t>
      </w:r>
      <w:r w:rsidR="00603C3D" w:rsidRPr="00026220">
        <w:rPr>
          <w:rFonts w:ascii="Palatino Linotype" w:hAnsi="Palatino Linotype"/>
          <w:bCs/>
        </w:rPr>
        <w:t xml:space="preserve">of the state and its institutions. </w:t>
      </w:r>
      <w:r w:rsidRPr="00026220">
        <w:rPr>
          <w:rFonts w:ascii="Palatino Linotype" w:hAnsi="Palatino Linotype"/>
          <w:bCs/>
          <w:color w:val="000000" w:themeColor="text1"/>
        </w:rPr>
        <w:t xml:space="preserve">In upholding and expanding the exclusive system the aim was to de-legitimize the previous regime </w:t>
      </w:r>
      <w:r w:rsidR="007A376A" w:rsidRPr="00026220">
        <w:rPr>
          <w:rFonts w:ascii="Palatino Linotype" w:hAnsi="Palatino Linotype"/>
          <w:bCs/>
          <w:color w:val="000000" w:themeColor="text1"/>
        </w:rPr>
        <w:t xml:space="preserve">and </w:t>
      </w:r>
      <w:r w:rsidRPr="00026220">
        <w:rPr>
          <w:rFonts w:ascii="Palatino Linotype" w:hAnsi="Palatino Linotype"/>
          <w:bCs/>
          <w:color w:val="000000" w:themeColor="text1"/>
        </w:rPr>
        <w:t>show that punitiveness would be collective</w:t>
      </w:r>
      <w:r w:rsidR="001610CC">
        <w:rPr>
          <w:rFonts w:ascii="Palatino Linotype" w:hAnsi="Palatino Linotype"/>
          <w:bCs/>
          <w:color w:val="000000" w:themeColor="text1"/>
        </w:rPr>
        <w:t xml:space="preserve"> </w:t>
      </w:r>
      <w:r w:rsidR="009C4559" w:rsidRPr="00026220">
        <w:rPr>
          <w:rFonts w:ascii="Palatino Linotype" w:hAnsi="Palatino Linotype"/>
          <w:bCs/>
          <w:color w:val="000000" w:themeColor="text1"/>
        </w:rPr>
        <w:lastRenderedPageBreak/>
        <w:t>and that</w:t>
      </w:r>
      <w:r w:rsidRPr="00026220">
        <w:rPr>
          <w:rFonts w:ascii="Palatino Linotype" w:hAnsi="Palatino Linotype"/>
          <w:bCs/>
          <w:color w:val="000000" w:themeColor="text1"/>
        </w:rPr>
        <w:t xml:space="preserve"> power </w:t>
      </w:r>
      <w:r w:rsidR="009C4559" w:rsidRPr="00026220">
        <w:rPr>
          <w:rFonts w:ascii="Palatino Linotype" w:hAnsi="Palatino Linotype"/>
          <w:bCs/>
          <w:color w:val="000000" w:themeColor="text1"/>
        </w:rPr>
        <w:t xml:space="preserve">was being </w:t>
      </w:r>
      <w:r w:rsidRPr="00026220">
        <w:rPr>
          <w:rFonts w:ascii="Palatino Linotype" w:hAnsi="Palatino Linotype"/>
          <w:bCs/>
          <w:color w:val="000000" w:themeColor="text1"/>
        </w:rPr>
        <w:t>re-located. A system in which human rights standards ‘namely the right to expression, the right to be free from discrimination and the oft-questionable right to work in the public sector’</w:t>
      </w:r>
      <w:r w:rsidR="003D0674" w:rsidRPr="00026220">
        <w:rPr>
          <w:rFonts w:ascii="Palatino Linotype" w:hAnsi="Palatino Linotype"/>
          <w:bCs/>
          <w:color w:val="000000" w:themeColor="text1"/>
        </w:rPr>
        <w:t xml:space="preserve"> (</w:t>
      </w:r>
      <w:r w:rsidR="003D0674" w:rsidRPr="00D051C8">
        <w:rPr>
          <w:rFonts w:ascii="Palatino Linotype" w:hAnsi="Palatino Linotype"/>
          <w:bCs/>
        </w:rPr>
        <w:t>David</w:t>
      </w:r>
      <w:r w:rsidR="00F02E4B">
        <w:rPr>
          <w:rFonts w:ascii="Palatino Linotype" w:hAnsi="Palatino Linotype"/>
          <w:bCs/>
        </w:rPr>
        <w:t>,</w:t>
      </w:r>
      <w:r w:rsidR="003D0674" w:rsidRPr="00D051C8">
        <w:rPr>
          <w:rFonts w:ascii="Palatino Linotype" w:hAnsi="Palatino Linotype"/>
          <w:bCs/>
        </w:rPr>
        <w:t xml:space="preserve"> 2006</w:t>
      </w:r>
      <w:r w:rsidR="006E3963">
        <w:rPr>
          <w:rFonts w:ascii="Palatino Linotype" w:hAnsi="Palatino Linotype"/>
          <w:bCs/>
        </w:rPr>
        <w:t xml:space="preserve">: </w:t>
      </w:r>
      <w:r w:rsidR="003D0674" w:rsidRPr="00D051C8">
        <w:rPr>
          <w:rFonts w:ascii="Palatino Linotype" w:hAnsi="Palatino Linotype"/>
          <w:bCs/>
        </w:rPr>
        <w:t>350</w:t>
      </w:r>
      <w:r w:rsidR="003D0674" w:rsidRPr="00026220">
        <w:rPr>
          <w:rFonts w:ascii="Palatino Linotype" w:hAnsi="Palatino Linotype"/>
          <w:bCs/>
          <w:color w:val="000000" w:themeColor="text1"/>
        </w:rPr>
        <w:t xml:space="preserve">) </w:t>
      </w:r>
      <w:r w:rsidR="00B82F43" w:rsidRPr="00026220">
        <w:rPr>
          <w:rFonts w:ascii="Palatino Linotype" w:hAnsi="Palatino Linotype"/>
          <w:bCs/>
          <w:color w:val="000000" w:themeColor="text1"/>
        </w:rPr>
        <w:t>were</w:t>
      </w:r>
      <w:r w:rsidR="008519D6" w:rsidRPr="00026220">
        <w:rPr>
          <w:rFonts w:ascii="Palatino Linotype" w:hAnsi="Palatino Linotype"/>
          <w:bCs/>
          <w:color w:val="000000" w:themeColor="text1"/>
        </w:rPr>
        <w:t xml:space="preserve"> </w:t>
      </w:r>
      <w:r w:rsidR="00B82F43" w:rsidRPr="00026220">
        <w:rPr>
          <w:rFonts w:ascii="Palatino Linotype" w:hAnsi="Palatino Linotype"/>
          <w:bCs/>
          <w:color w:val="000000" w:themeColor="text1"/>
        </w:rPr>
        <w:t>undermined</w:t>
      </w:r>
      <w:r w:rsidR="00B9799C">
        <w:rPr>
          <w:rFonts w:ascii="Palatino Linotype" w:hAnsi="Palatino Linotype"/>
          <w:bCs/>
          <w:color w:val="000000" w:themeColor="text1"/>
        </w:rPr>
        <w:t>.</w:t>
      </w:r>
    </w:p>
    <w:p w14:paraId="048BC843" w14:textId="77777777" w:rsidR="001526D6" w:rsidRPr="00026220" w:rsidRDefault="001526D6" w:rsidP="003A6A54">
      <w:pPr>
        <w:autoSpaceDE w:val="0"/>
        <w:autoSpaceDN w:val="0"/>
        <w:adjustRightInd w:val="0"/>
        <w:jc w:val="both"/>
        <w:rPr>
          <w:rFonts w:ascii="Palatino Linotype" w:hAnsi="Palatino Linotype"/>
          <w:bCs/>
          <w:color w:val="FF0000"/>
        </w:rPr>
      </w:pPr>
    </w:p>
    <w:p w14:paraId="018E6D16" w14:textId="39FAF863" w:rsidR="0029281C" w:rsidRPr="00026220" w:rsidRDefault="008B1B81" w:rsidP="008519D6">
      <w:pPr>
        <w:autoSpaceDE w:val="0"/>
        <w:autoSpaceDN w:val="0"/>
        <w:adjustRightInd w:val="0"/>
        <w:jc w:val="both"/>
        <w:rPr>
          <w:rFonts w:ascii="Palatino Linotype" w:hAnsi="Palatino Linotype"/>
          <w:bCs/>
          <w:color w:val="000000" w:themeColor="text1"/>
        </w:rPr>
      </w:pPr>
      <w:r w:rsidRPr="00026220">
        <w:rPr>
          <w:rFonts w:ascii="Palatino Linotype" w:hAnsi="Palatino Linotype"/>
          <w:bCs/>
        </w:rPr>
        <w:t xml:space="preserve">The due process mechanisms defined under Section 4 of Order 1 regarding appeals criteria </w:t>
      </w:r>
      <w:r w:rsidR="00DB3AD9" w:rsidRPr="00026220">
        <w:rPr>
          <w:rFonts w:ascii="Palatino Linotype" w:hAnsi="Palatino Linotype"/>
          <w:bCs/>
        </w:rPr>
        <w:t xml:space="preserve">that </w:t>
      </w:r>
      <w:r w:rsidRPr="00026220">
        <w:rPr>
          <w:rFonts w:ascii="Palatino Linotype" w:hAnsi="Palatino Linotype"/>
          <w:bCs/>
        </w:rPr>
        <w:t xml:space="preserve">included written notification of dismissal, a reasonable period to appeal in person or in writing, a detailed explanation of the reasons for </w:t>
      </w:r>
      <w:r w:rsidR="00DB3AD9" w:rsidRPr="00026220">
        <w:rPr>
          <w:rFonts w:ascii="Palatino Linotype" w:hAnsi="Palatino Linotype"/>
          <w:bCs/>
        </w:rPr>
        <w:t xml:space="preserve">removal </w:t>
      </w:r>
      <w:r w:rsidRPr="00026220">
        <w:rPr>
          <w:rFonts w:ascii="Palatino Linotype" w:hAnsi="Palatino Linotype"/>
          <w:bCs/>
        </w:rPr>
        <w:t xml:space="preserve">and information regarding the procedures for appeal were unevenly administered. </w:t>
      </w:r>
      <w:r w:rsidR="0029281C" w:rsidRPr="00026220">
        <w:rPr>
          <w:rFonts w:ascii="Palatino Linotype" w:hAnsi="Palatino Linotype"/>
          <w:bCs/>
        </w:rPr>
        <w:t>I</w:t>
      </w:r>
      <w:r w:rsidR="00492FE5">
        <w:rPr>
          <w:rFonts w:ascii="Palatino Linotype" w:hAnsi="Palatino Linotype"/>
          <w:bCs/>
        </w:rPr>
        <w:t>raq’s</w:t>
      </w:r>
      <w:r w:rsidR="00C03CA3" w:rsidRPr="00026220">
        <w:rPr>
          <w:rFonts w:ascii="Palatino Linotype" w:hAnsi="Palatino Linotype"/>
          <w:bCs/>
        </w:rPr>
        <w:t xml:space="preserve"> Governing Council’s </w:t>
      </w:r>
      <w:r w:rsidRPr="00026220">
        <w:rPr>
          <w:rFonts w:ascii="Palatino Linotype" w:hAnsi="Palatino Linotype"/>
          <w:bCs/>
        </w:rPr>
        <w:t>Decision 21</w:t>
      </w:r>
      <w:r w:rsidR="00FF11B1" w:rsidRPr="00026220">
        <w:rPr>
          <w:rStyle w:val="EndnoteReference"/>
          <w:rFonts w:ascii="Palatino Linotype" w:hAnsi="Palatino Linotype"/>
          <w:bCs/>
        </w:rPr>
        <w:endnoteReference w:id="11"/>
      </w:r>
      <w:r w:rsidRPr="00026220">
        <w:rPr>
          <w:rFonts w:ascii="Palatino Linotype" w:hAnsi="Palatino Linotype"/>
          <w:bCs/>
        </w:rPr>
        <w:t xml:space="preserve"> </w:t>
      </w:r>
      <w:r w:rsidR="00C03CA3" w:rsidRPr="00026220">
        <w:rPr>
          <w:rFonts w:ascii="Palatino Linotype" w:hAnsi="Palatino Linotype"/>
          <w:bCs/>
        </w:rPr>
        <w:t>stated</w:t>
      </w:r>
      <w:r w:rsidRPr="00026220">
        <w:rPr>
          <w:rFonts w:ascii="Palatino Linotype" w:hAnsi="Palatino Linotype"/>
          <w:bCs/>
        </w:rPr>
        <w:t xml:space="preserve"> that a sub-committee within SNCD would be developed to ensure that dismissals could not serve party political interests. Such safeguards were to be undertaken via a </w:t>
      </w:r>
      <w:r w:rsidRPr="00026220">
        <w:rPr>
          <w:rFonts w:ascii="Palatino Linotype" w:hAnsi="Palatino Linotype"/>
          <w:bCs/>
          <w:color w:val="000000" w:themeColor="text1"/>
        </w:rPr>
        <w:t>‘</w:t>
      </w:r>
      <w:r w:rsidR="0044575C" w:rsidRPr="00026220">
        <w:rPr>
          <w:rFonts w:ascii="Palatino Linotype" w:hAnsi="Palatino Linotype"/>
          <w:bCs/>
          <w:color w:val="000000" w:themeColor="text1"/>
        </w:rPr>
        <w:t>…</w:t>
      </w:r>
      <w:r w:rsidRPr="00026220">
        <w:rPr>
          <w:rFonts w:ascii="Palatino Linotype" w:hAnsi="Palatino Linotype"/>
          <w:bCs/>
          <w:color w:val="000000" w:themeColor="text1"/>
        </w:rPr>
        <w:t>fair and impartial entity independent of the individual or organization that rendered the adverse decision, which shall promptly render a written decision in the case’</w:t>
      </w:r>
      <w:r w:rsidR="00810EAB" w:rsidRPr="00026220">
        <w:rPr>
          <w:rFonts w:ascii="Palatino Linotype" w:hAnsi="Palatino Linotype"/>
          <w:bCs/>
          <w:color w:val="000000" w:themeColor="text1"/>
        </w:rPr>
        <w:t xml:space="preserve"> (</w:t>
      </w:r>
      <w:r w:rsidR="0044575C" w:rsidRPr="00D051C8">
        <w:rPr>
          <w:rFonts w:ascii="Palatino Linotype" w:hAnsi="Palatino Linotype"/>
          <w:bCs/>
        </w:rPr>
        <w:t>Coalition Provisional Authority</w:t>
      </w:r>
      <w:r w:rsidR="00F02E4B">
        <w:rPr>
          <w:rFonts w:ascii="Palatino Linotype" w:hAnsi="Palatino Linotype"/>
          <w:bCs/>
        </w:rPr>
        <w:t>,</w:t>
      </w:r>
      <w:r w:rsidR="0044575C" w:rsidRPr="00D051C8">
        <w:rPr>
          <w:rFonts w:ascii="Palatino Linotype" w:hAnsi="Palatino Linotype"/>
          <w:bCs/>
        </w:rPr>
        <w:t xml:space="preserve"> 2003</w:t>
      </w:r>
      <w:r w:rsidR="00D051C8">
        <w:rPr>
          <w:rFonts w:ascii="Palatino Linotype" w:hAnsi="Palatino Linotype"/>
          <w:bCs/>
        </w:rPr>
        <w:t>:</w:t>
      </w:r>
      <w:r w:rsidR="0044575C" w:rsidRPr="00026220">
        <w:rPr>
          <w:rFonts w:ascii="Palatino Linotype" w:hAnsi="Palatino Linotype"/>
          <w:bCs/>
          <w:color w:val="000000" w:themeColor="text1"/>
        </w:rPr>
        <w:t xml:space="preserve"> 1</w:t>
      </w:r>
      <w:r w:rsidR="00810EAB" w:rsidRPr="00026220">
        <w:rPr>
          <w:rFonts w:ascii="Palatino Linotype" w:hAnsi="Palatino Linotype"/>
          <w:bCs/>
          <w:color w:val="000000" w:themeColor="text1"/>
        </w:rPr>
        <w:t>)</w:t>
      </w:r>
      <w:r w:rsidRPr="00026220">
        <w:rPr>
          <w:rFonts w:ascii="Palatino Linotype" w:hAnsi="Palatino Linotype"/>
          <w:bCs/>
        </w:rPr>
        <w:t>.</w:t>
      </w:r>
      <w:r w:rsidRPr="00026220">
        <w:rPr>
          <w:rFonts w:ascii="Palatino Linotype" w:hAnsi="Palatino Linotype"/>
          <w:bCs/>
          <w:color w:val="000000" w:themeColor="text1"/>
        </w:rPr>
        <w:t xml:space="preserve"> SNCD decisions regarding dismissal were to be signed off by two seconded judges. </w:t>
      </w:r>
      <w:proofErr w:type="gramStart"/>
      <w:r w:rsidRPr="00026220">
        <w:rPr>
          <w:rFonts w:ascii="Palatino Linotype" w:hAnsi="Palatino Linotype"/>
          <w:bCs/>
          <w:color w:val="000000" w:themeColor="text1"/>
        </w:rPr>
        <w:t>In reality their</w:t>
      </w:r>
      <w:proofErr w:type="gramEnd"/>
      <w:r w:rsidRPr="00026220">
        <w:rPr>
          <w:rFonts w:ascii="Palatino Linotype" w:hAnsi="Palatino Linotype"/>
          <w:bCs/>
          <w:color w:val="000000" w:themeColor="text1"/>
        </w:rPr>
        <w:t xml:space="preserve"> autonomy and procedural authority were improperly implemented with other safeguards diluted by introducing expulsions based upon </w:t>
      </w:r>
      <w:r w:rsidR="00492FE5" w:rsidRPr="00026220">
        <w:rPr>
          <w:rFonts w:ascii="Palatino Linotype" w:hAnsi="Palatino Linotype"/>
          <w:bCs/>
          <w:color w:val="000000" w:themeColor="text1"/>
        </w:rPr>
        <w:t>unclear</w:t>
      </w:r>
      <w:r w:rsidRPr="00026220">
        <w:rPr>
          <w:rFonts w:ascii="Palatino Linotype" w:hAnsi="Palatino Linotype"/>
          <w:bCs/>
          <w:color w:val="000000" w:themeColor="text1"/>
        </w:rPr>
        <w:t xml:space="preserve"> definitions of the abuse of national wealth and aggressive and criminal behavior. Via their amassing of influence and control the SNCD developed ‘undefined powers to influence political participation, civil service recruitment, social status, and the economic welfare of many thousands of Iraqis’</w:t>
      </w:r>
      <w:r w:rsidR="00810EAB" w:rsidRPr="00026220">
        <w:rPr>
          <w:rFonts w:ascii="Palatino Linotype" w:hAnsi="Palatino Linotype"/>
          <w:bCs/>
          <w:color w:val="000000" w:themeColor="text1"/>
        </w:rPr>
        <w:t xml:space="preserve"> (</w:t>
      </w:r>
      <w:proofErr w:type="spellStart"/>
      <w:r w:rsidR="00810EAB" w:rsidRPr="0036010E">
        <w:rPr>
          <w:rFonts w:ascii="Palatino Linotype" w:hAnsi="Palatino Linotype"/>
          <w:bCs/>
        </w:rPr>
        <w:t>Sissons</w:t>
      </w:r>
      <w:proofErr w:type="spellEnd"/>
      <w:r w:rsidR="00810EAB" w:rsidRPr="0036010E">
        <w:rPr>
          <w:rFonts w:ascii="Palatino Linotype" w:hAnsi="Palatino Linotype"/>
          <w:bCs/>
        </w:rPr>
        <w:t xml:space="preserve"> and Al-</w:t>
      </w:r>
      <w:proofErr w:type="spellStart"/>
      <w:r w:rsidR="00810EAB" w:rsidRPr="0036010E">
        <w:rPr>
          <w:rFonts w:ascii="Palatino Linotype" w:hAnsi="Palatino Linotype"/>
          <w:bCs/>
        </w:rPr>
        <w:t>Saidei</w:t>
      </w:r>
      <w:proofErr w:type="spellEnd"/>
      <w:r w:rsidR="0036010E">
        <w:rPr>
          <w:rFonts w:ascii="Palatino Linotype" w:hAnsi="Palatino Linotype"/>
          <w:bCs/>
        </w:rPr>
        <w:t>,</w:t>
      </w:r>
      <w:r w:rsidR="00810EAB" w:rsidRPr="0036010E">
        <w:rPr>
          <w:rFonts w:ascii="Palatino Linotype" w:hAnsi="Palatino Linotype"/>
          <w:bCs/>
        </w:rPr>
        <w:t xml:space="preserve"> 2013</w:t>
      </w:r>
      <w:r w:rsidR="0036010E">
        <w:rPr>
          <w:rFonts w:ascii="Palatino Linotype" w:hAnsi="Palatino Linotype"/>
          <w:bCs/>
        </w:rPr>
        <w:t>:</w:t>
      </w:r>
      <w:r w:rsidR="0036010E">
        <w:rPr>
          <w:rFonts w:ascii="Palatino Linotype" w:hAnsi="Palatino Linotype"/>
          <w:bCs/>
          <w:color w:val="000000" w:themeColor="text1"/>
        </w:rPr>
        <w:t xml:space="preserve"> 12</w:t>
      </w:r>
      <w:r w:rsidR="00810EAB" w:rsidRPr="00026220">
        <w:rPr>
          <w:rFonts w:ascii="Palatino Linotype" w:hAnsi="Palatino Linotype"/>
          <w:bCs/>
          <w:color w:val="000000" w:themeColor="text1"/>
        </w:rPr>
        <w:t>)</w:t>
      </w:r>
      <w:r w:rsidRPr="00026220">
        <w:rPr>
          <w:rFonts w:ascii="Palatino Linotype" w:hAnsi="Palatino Linotype"/>
          <w:bCs/>
          <w:color w:val="000000" w:themeColor="text1"/>
        </w:rPr>
        <w:t xml:space="preserve">. </w:t>
      </w:r>
      <w:r w:rsidR="00DB3AD9" w:rsidRPr="00026220">
        <w:rPr>
          <w:rFonts w:ascii="Palatino Linotype" w:hAnsi="Palatino Linotype"/>
          <w:bCs/>
          <w:color w:val="000000" w:themeColor="text1"/>
        </w:rPr>
        <w:t xml:space="preserve"> </w:t>
      </w:r>
    </w:p>
    <w:p w14:paraId="4FFBA80D" w14:textId="77777777" w:rsidR="0029281C" w:rsidRPr="00026220" w:rsidRDefault="0029281C" w:rsidP="008519D6">
      <w:pPr>
        <w:autoSpaceDE w:val="0"/>
        <w:autoSpaceDN w:val="0"/>
        <w:adjustRightInd w:val="0"/>
        <w:jc w:val="both"/>
        <w:rPr>
          <w:rFonts w:ascii="Palatino Linotype" w:hAnsi="Palatino Linotype"/>
          <w:bCs/>
          <w:color w:val="000000" w:themeColor="text1"/>
        </w:rPr>
      </w:pPr>
    </w:p>
    <w:p w14:paraId="046AEA5F" w14:textId="77777777" w:rsidR="003046EB" w:rsidRPr="00026220" w:rsidRDefault="008B1B81" w:rsidP="00B41934">
      <w:pPr>
        <w:autoSpaceDE w:val="0"/>
        <w:autoSpaceDN w:val="0"/>
        <w:adjustRightInd w:val="0"/>
        <w:jc w:val="both"/>
        <w:rPr>
          <w:rFonts w:ascii="Palatino Linotype" w:hAnsi="Palatino Linotype"/>
          <w:bCs/>
        </w:rPr>
      </w:pPr>
      <w:r w:rsidRPr="00026220">
        <w:rPr>
          <w:rFonts w:ascii="Palatino Linotype" w:hAnsi="Palatino Linotype"/>
        </w:rPr>
        <w:t xml:space="preserve">In the 2005 elections </w:t>
      </w:r>
      <w:r w:rsidRPr="00026220">
        <w:rPr>
          <w:rFonts w:ascii="Palatino Linotype" w:hAnsi="Palatino Linotype"/>
          <w:bCs/>
        </w:rPr>
        <w:t xml:space="preserve">for the transitional National Assembly, the Shi’ite United Iraqi Alliance (UIA) vote increased which permitted SNCD to operate with less hindrance. Leaders in the </w:t>
      </w:r>
      <w:r w:rsidR="007B67F2" w:rsidRPr="00026220">
        <w:rPr>
          <w:rFonts w:ascii="Palatino Linotype" w:hAnsi="Palatino Linotype"/>
          <w:bCs/>
        </w:rPr>
        <w:t>UIA-Kurdish</w:t>
      </w:r>
      <w:r w:rsidRPr="00026220">
        <w:rPr>
          <w:rFonts w:ascii="Palatino Linotype" w:hAnsi="Palatino Linotype"/>
          <w:bCs/>
        </w:rPr>
        <w:t xml:space="preserve"> alliance were supportive of further purging and in a 7-point plan </w:t>
      </w:r>
      <w:r w:rsidR="00492FE5" w:rsidRPr="00026220">
        <w:rPr>
          <w:rFonts w:ascii="Palatino Linotype" w:hAnsi="Palatino Linotype"/>
          <w:bCs/>
        </w:rPr>
        <w:t>advanced</w:t>
      </w:r>
      <w:r w:rsidRPr="00026220">
        <w:rPr>
          <w:rFonts w:ascii="Palatino Linotype" w:hAnsi="Palatino Linotype"/>
          <w:bCs/>
        </w:rPr>
        <w:t xml:space="preserve"> </w:t>
      </w:r>
      <w:r w:rsidR="005A22D8">
        <w:rPr>
          <w:rFonts w:ascii="Palatino Linotype" w:hAnsi="Palatino Linotype"/>
          <w:bCs/>
        </w:rPr>
        <w:t>their</w:t>
      </w:r>
      <w:r w:rsidR="00C20713" w:rsidRPr="00026220">
        <w:rPr>
          <w:rFonts w:ascii="Palatino Linotype" w:hAnsi="Palatino Linotype"/>
          <w:bCs/>
        </w:rPr>
        <w:t xml:space="preserve"> </w:t>
      </w:r>
      <w:r w:rsidRPr="00026220">
        <w:rPr>
          <w:rFonts w:ascii="Palatino Linotype" w:hAnsi="Palatino Linotype"/>
          <w:bCs/>
        </w:rPr>
        <w:t xml:space="preserve">governing platform </w:t>
      </w:r>
      <w:r w:rsidR="00C20713" w:rsidRPr="00026220">
        <w:rPr>
          <w:rFonts w:ascii="Palatino Linotype" w:hAnsi="Palatino Linotype"/>
          <w:bCs/>
        </w:rPr>
        <w:t xml:space="preserve">through </w:t>
      </w:r>
      <w:r w:rsidRPr="00026220">
        <w:rPr>
          <w:rFonts w:ascii="Palatino Linotype" w:hAnsi="Palatino Linotype"/>
          <w:bCs/>
        </w:rPr>
        <w:t>‘a reform of the institutions of the state, which meant the intensification and implementation of the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measures’ (</w:t>
      </w:r>
      <w:r w:rsidR="00BB25C7" w:rsidRPr="00026220">
        <w:rPr>
          <w:rFonts w:ascii="Palatino Linotype" w:hAnsi="Palatino Linotype"/>
          <w:bCs/>
        </w:rPr>
        <w:t>interviewee</w:t>
      </w:r>
      <w:r w:rsidR="001610CC">
        <w:rPr>
          <w:rFonts w:ascii="Palatino Linotype" w:hAnsi="Palatino Linotype"/>
          <w:bCs/>
        </w:rPr>
        <w:t xml:space="preserve"> human rights lawyer</w:t>
      </w:r>
      <w:r w:rsidRPr="00026220">
        <w:rPr>
          <w:rFonts w:ascii="Palatino Linotype" w:hAnsi="Palatino Linotype"/>
          <w:bCs/>
        </w:rPr>
        <w:t xml:space="preserve">).  Post-2005 the rise and amalgamation of political grouping such as </w:t>
      </w:r>
      <w:r w:rsidR="00C22B4F" w:rsidRPr="00026220">
        <w:rPr>
          <w:rFonts w:ascii="Palatino Linotype" w:hAnsi="Palatino Linotype"/>
          <w:bCs/>
        </w:rPr>
        <w:t xml:space="preserve">the </w:t>
      </w:r>
      <w:r w:rsidR="00AC1153" w:rsidRPr="00026220">
        <w:rPr>
          <w:rFonts w:ascii="Palatino Linotype" w:hAnsi="Palatino Linotype"/>
          <w:bCs/>
        </w:rPr>
        <w:t>Supreme Council for Islamic Revolution,</w:t>
      </w:r>
      <w:r w:rsidRPr="00026220">
        <w:rPr>
          <w:rFonts w:ascii="Palatino Linotype" w:hAnsi="Palatino Linotype"/>
          <w:bCs/>
        </w:rPr>
        <w:t xml:space="preserve"> the </w:t>
      </w:r>
      <w:proofErr w:type="spellStart"/>
      <w:r w:rsidRPr="00026220">
        <w:rPr>
          <w:rFonts w:ascii="Palatino Linotype" w:hAnsi="Palatino Linotype"/>
          <w:bCs/>
        </w:rPr>
        <w:t>Da’awah</w:t>
      </w:r>
      <w:proofErr w:type="spellEnd"/>
      <w:r w:rsidRPr="00026220">
        <w:rPr>
          <w:rFonts w:ascii="Palatino Linotype" w:hAnsi="Palatino Linotype"/>
          <w:bCs/>
        </w:rPr>
        <w:t xml:space="preserve"> Party and </w:t>
      </w:r>
      <w:proofErr w:type="spellStart"/>
      <w:r w:rsidRPr="00026220">
        <w:rPr>
          <w:rFonts w:ascii="Palatino Linotype" w:hAnsi="Palatino Linotype"/>
          <w:bCs/>
        </w:rPr>
        <w:t>Sadrists</w:t>
      </w:r>
      <w:proofErr w:type="spellEnd"/>
      <w:r w:rsidRPr="00026220">
        <w:rPr>
          <w:rFonts w:ascii="Palatino Linotype" w:hAnsi="Palatino Linotype"/>
          <w:bCs/>
        </w:rPr>
        <w:t>, despite ideological and regional differences, was linked to a</w:t>
      </w:r>
      <w:r w:rsidR="005A22D8">
        <w:rPr>
          <w:rFonts w:ascii="Palatino Linotype" w:hAnsi="Palatino Linotype"/>
          <w:bCs/>
        </w:rPr>
        <w:t>n increasingly</w:t>
      </w:r>
      <w:r w:rsidRPr="00026220">
        <w:rPr>
          <w:rFonts w:ascii="Palatino Linotype" w:hAnsi="Palatino Linotype"/>
          <w:bCs/>
        </w:rPr>
        <w:t xml:space="preserve"> unified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stance</w:t>
      </w:r>
      <w:r w:rsidR="00040A57" w:rsidRPr="00026220">
        <w:rPr>
          <w:rFonts w:ascii="Palatino Linotype" w:hAnsi="Palatino Linotype"/>
          <w:bCs/>
        </w:rPr>
        <w:t>.</w:t>
      </w:r>
      <w:r w:rsidR="00D06FB4" w:rsidRPr="00026220">
        <w:rPr>
          <w:rFonts w:ascii="Palatino Linotype" w:hAnsi="Palatino Linotype"/>
          <w:bCs/>
        </w:rPr>
        <w:t xml:space="preserve"> </w:t>
      </w:r>
    </w:p>
    <w:p w14:paraId="14ADEFD1" w14:textId="77777777" w:rsidR="003046EB" w:rsidRPr="00026220" w:rsidRDefault="003046EB" w:rsidP="00803FA6">
      <w:pPr>
        <w:autoSpaceDE w:val="0"/>
        <w:autoSpaceDN w:val="0"/>
        <w:adjustRightInd w:val="0"/>
        <w:jc w:val="both"/>
        <w:rPr>
          <w:rFonts w:ascii="Palatino Linotype" w:hAnsi="Palatino Linotype"/>
          <w:bCs/>
        </w:rPr>
      </w:pPr>
    </w:p>
    <w:p w14:paraId="6FD5EC54" w14:textId="77777777" w:rsidR="008B1B81" w:rsidRPr="00026220" w:rsidRDefault="008B1B81" w:rsidP="00304EA6">
      <w:pPr>
        <w:autoSpaceDE w:val="0"/>
        <w:autoSpaceDN w:val="0"/>
        <w:adjustRightInd w:val="0"/>
        <w:jc w:val="both"/>
        <w:rPr>
          <w:rFonts w:ascii="Palatino Linotype" w:hAnsi="Palatino Linotype"/>
          <w:bCs/>
        </w:rPr>
      </w:pPr>
      <w:r w:rsidRPr="00026220">
        <w:rPr>
          <w:rFonts w:ascii="Palatino Linotype" w:hAnsi="Palatino Linotype"/>
          <w:bCs/>
        </w:rPr>
        <w:t>In 2008 following discord between parliamentary blocs over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the </w:t>
      </w:r>
      <w:r w:rsidR="001A4F8F" w:rsidRPr="00026220">
        <w:rPr>
          <w:rFonts w:ascii="Palatino Linotype" w:hAnsi="Palatino Linotype"/>
          <w:bCs/>
        </w:rPr>
        <w:t xml:space="preserve">Iraqi Council of Representatives </w:t>
      </w:r>
      <w:r w:rsidRPr="00026220">
        <w:rPr>
          <w:rFonts w:ascii="Palatino Linotype" w:hAnsi="Palatino Linotype"/>
          <w:bCs/>
        </w:rPr>
        <w:t>passed Law No. 10 or the  ‘Law of the Supreme National Commission for Accountability and Justice’</w:t>
      </w:r>
      <w:r w:rsidR="00FF11B1" w:rsidRPr="00026220">
        <w:rPr>
          <w:rStyle w:val="EndnoteReference"/>
          <w:rFonts w:ascii="Palatino Linotype" w:hAnsi="Palatino Linotype"/>
          <w:bCs/>
        </w:rPr>
        <w:endnoteReference w:id="12"/>
      </w:r>
      <w:r w:rsidRPr="00026220">
        <w:rPr>
          <w:rFonts w:ascii="Palatino Linotype" w:hAnsi="Palatino Linotype"/>
          <w:bCs/>
        </w:rPr>
        <w:t xml:space="preserve"> (</w:t>
      </w:r>
      <w:proofErr w:type="spellStart"/>
      <w:r w:rsidRPr="00026220">
        <w:rPr>
          <w:rFonts w:ascii="Palatino Linotype" w:hAnsi="Palatino Linotype"/>
          <w:bCs/>
        </w:rPr>
        <w:t>Qanun</w:t>
      </w:r>
      <w:proofErr w:type="spellEnd"/>
      <w:r w:rsidRPr="00026220">
        <w:rPr>
          <w:rFonts w:ascii="Palatino Linotype" w:hAnsi="Palatino Linotype"/>
          <w:bCs/>
        </w:rPr>
        <w:t xml:space="preserve"> Al-</w:t>
      </w:r>
      <w:proofErr w:type="spellStart"/>
      <w:r w:rsidRPr="00026220">
        <w:rPr>
          <w:rFonts w:ascii="Palatino Linotype" w:hAnsi="Palatino Linotype"/>
          <w:bCs/>
        </w:rPr>
        <w:t>Hay’ah</w:t>
      </w:r>
      <w:proofErr w:type="spellEnd"/>
      <w:r w:rsidRPr="00026220">
        <w:rPr>
          <w:rFonts w:ascii="Palatino Linotype" w:hAnsi="Palatino Linotype"/>
          <w:bCs/>
        </w:rPr>
        <w:t xml:space="preserve"> Al-</w:t>
      </w:r>
      <w:proofErr w:type="spellStart"/>
      <w:r w:rsidRPr="00026220">
        <w:rPr>
          <w:rFonts w:ascii="Palatino Linotype" w:hAnsi="Palatino Linotype"/>
          <w:bCs/>
        </w:rPr>
        <w:t>Wataniyyah</w:t>
      </w:r>
      <w:proofErr w:type="spellEnd"/>
      <w:r w:rsidRPr="00026220">
        <w:rPr>
          <w:rFonts w:ascii="Palatino Linotype" w:hAnsi="Palatino Linotype"/>
          <w:bCs/>
        </w:rPr>
        <w:t xml:space="preserve"> Al-‘</w:t>
      </w:r>
      <w:proofErr w:type="spellStart"/>
      <w:r w:rsidRPr="00026220">
        <w:rPr>
          <w:rFonts w:ascii="Palatino Linotype" w:hAnsi="Palatino Linotype"/>
          <w:bCs/>
        </w:rPr>
        <w:t>Ulya</w:t>
      </w:r>
      <w:proofErr w:type="spellEnd"/>
      <w:r w:rsidRPr="00026220">
        <w:rPr>
          <w:rFonts w:ascii="Palatino Linotype" w:hAnsi="Palatino Linotype"/>
          <w:bCs/>
        </w:rPr>
        <w:t xml:space="preserve"> li Al-</w:t>
      </w:r>
      <w:proofErr w:type="spellStart"/>
      <w:r w:rsidRPr="00026220">
        <w:rPr>
          <w:rFonts w:ascii="Palatino Linotype" w:hAnsi="Palatino Linotype"/>
          <w:bCs/>
        </w:rPr>
        <w:t>Musa’alah</w:t>
      </w:r>
      <w:proofErr w:type="spellEnd"/>
      <w:r w:rsidRPr="00026220">
        <w:rPr>
          <w:rFonts w:ascii="Palatino Linotype" w:hAnsi="Palatino Linotype"/>
          <w:bCs/>
        </w:rPr>
        <w:t xml:space="preserve"> </w:t>
      </w:r>
      <w:proofErr w:type="spellStart"/>
      <w:r w:rsidRPr="00026220">
        <w:rPr>
          <w:rFonts w:ascii="Palatino Linotype" w:hAnsi="Palatino Linotype"/>
          <w:bCs/>
        </w:rPr>
        <w:t>wa</w:t>
      </w:r>
      <w:proofErr w:type="spellEnd"/>
      <w:r w:rsidRPr="00026220">
        <w:rPr>
          <w:rFonts w:ascii="Palatino Linotype" w:hAnsi="Palatino Linotype"/>
          <w:bCs/>
        </w:rPr>
        <w:t xml:space="preserve"> Al-‘</w:t>
      </w:r>
      <w:proofErr w:type="spellStart"/>
      <w:r w:rsidRPr="00026220">
        <w:rPr>
          <w:rFonts w:ascii="Palatino Linotype" w:hAnsi="Palatino Linotype"/>
          <w:bCs/>
        </w:rPr>
        <w:t>Adalah</w:t>
      </w:r>
      <w:proofErr w:type="spellEnd"/>
      <w:r w:rsidRPr="00026220">
        <w:rPr>
          <w:rFonts w:ascii="Palatino Linotype" w:hAnsi="Palatino Linotype"/>
          <w:bCs/>
        </w:rPr>
        <w:t>), better known as the Accountability and Justice Act (</w:t>
      </w:r>
      <w:proofErr w:type="spellStart"/>
      <w:r w:rsidRPr="00026220">
        <w:rPr>
          <w:rFonts w:ascii="Palatino Linotype" w:hAnsi="Palatino Linotype"/>
          <w:bCs/>
        </w:rPr>
        <w:t>Qanun</w:t>
      </w:r>
      <w:proofErr w:type="spellEnd"/>
      <w:r w:rsidRPr="00026220">
        <w:rPr>
          <w:rFonts w:ascii="Palatino Linotype" w:hAnsi="Palatino Linotype"/>
          <w:bCs/>
        </w:rPr>
        <w:t xml:space="preserve"> Al-</w:t>
      </w:r>
      <w:proofErr w:type="spellStart"/>
      <w:r w:rsidRPr="00026220">
        <w:rPr>
          <w:rFonts w:ascii="Palatino Linotype" w:hAnsi="Palatino Linotype"/>
          <w:bCs/>
        </w:rPr>
        <w:t>Musa’alah</w:t>
      </w:r>
      <w:proofErr w:type="spellEnd"/>
      <w:r w:rsidRPr="00026220">
        <w:rPr>
          <w:rFonts w:ascii="Palatino Linotype" w:hAnsi="Palatino Linotype"/>
          <w:bCs/>
        </w:rPr>
        <w:t xml:space="preserve"> </w:t>
      </w:r>
      <w:proofErr w:type="spellStart"/>
      <w:r w:rsidRPr="00026220">
        <w:rPr>
          <w:rFonts w:ascii="Palatino Linotype" w:hAnsi="Palatino Linotype"/>
          <w:bCs/>
        </w:rPr>
        <w:t>wa</w:t>
      </w:r>
      <w:proofErr w:type="spellEnd"/>
      <w:r w:rsidRPr="00026220">
        <w:rPr>
          <w:rFonts w:ascii="Palatino Linotype" w:hAnsi="Palatino Linotype"/>
          <w:bCs/>
        </w:rPr>
        <w:t xml:space="preserve"> Al-‘</w:t>
      </w:r>
      <w:proofErr w:type="spellStart"/>
      <w:r w:rsidRPr="00026220">
        <w:rPr>
          <w:rFonts w:ascii="Palatino Linotype" w:hAnsi="Palatino Linotype"/>
          <w:bCs/>
        </w:rPr>
        <w:t>Adalah</w:t>
      </w:r>
      <w:proofErr w:type="spellEnd"/>
      <w:r w:rsidRPr="00026220">
        <w:rPr>
          <w:rFonts w:ascii="Palatino Linotype" w:hAnsi="Palatino Linotype"/>
          <w:bCs/>
        </w:rPr>
        <w:t xml:space="preserve"> (AJA)). </w:t>
      </w:r>
      <w:r w:rsidR="00795969" w:rsidRPr="00026220">
        <w:rPr>
          <w:rFonts w:ascii="Palatino Linotype" w:hAnsi="Palatino Linotype"/>
          <w:bCs/>
        </w:rPr>
        <w:t>This legislative</w:t>
      </w:r>
      <w:r w:rsidR="00C75C40" w:rsidRPr="00026220">
        <w:rPr>
          <w:rFonts w:ascii="Palatino Linotype" w:hAnsi="Palatino Linotype"/>
          <w:bCs/>
        </w:rPr>
        <w:t xml:space="preserve"> act </w:t>
      </w:r>
      <w:r w:rsidR="007677BF">
        <w:rPr>
          <w:rFonts w:ascii="Palatino Linotype" w:hAnsi="Palatino Linotype"/>
          <w:bCs/>
        </w:rPr>
        <w:t xml:space="preserve">of </w:t>
      </w:r>
      <w:r w:rsidR="00C75C40" w:rsidRPr="00026220">
        <w:rPr>
          <w:rFonts w:ascii="Palatino Linotype" w:hAnsi="Palatino Linotype"/>
          <w:bCs/>
        </w:rPr>
        <w:t xml:space="preserve">the Iraqi Council of Representatives </w:t>
      </w:r>
      <w:r w:rsidR="00672126" w:rsidRPr="00026220">
        <w:rPr>
          <w:rFonts w:ascii="Palatino Linotype" w:hAnsi="Palatino Linotype"/>
          <w:bCs/>
        </w:rPr>
        <w:t xml:space="preserve">extended </w:t>
      </w:r>
      <w:r w:rsidR="00260D21" w:rsidRPr="00026220">
        <w:rPr>
          <w:rFonts w:ascii="Palatino Linotype" w:hAnsi="Palatino Linotype"/>
          <w:bCs/>
        </w:rPr>
        <w:t>De-</w:t>
      </w:r>
      <w:proofErr w:type="spellStart"/>
      <w:r w:rsidR="00260D21" w:rsidRPr="00026220">
        <w:rPr>
          <w:rFonts w:ascii="Palatino Linotype" w:hAnsi="Palatino Linotype"/>
          <w:bCs/>
        </w:rPr>
        <w:t>Ba’athification</w:t>
      </w:r>
      <w:proofErr w:type="spellEnd"/>
      <w:r w:rsidR="00C75C40" w:rsidRPr="00026220">
        <w:rPr>
          <w:rFonts w:ascii="Palatino Linotype" w:hAnsi="Palatino Linotype"/>
          <w:bCs/>
        </w:rPr>
        <w:t xml:space="preserve"> </w:t>
      </w:r>
      <w:r w:rsidR="00C75C40" w:rsidRPr="00026220">
        <w:rPr>
          <w:rFonts w:ascii="Palatino Linotype" w:hAnsi="Palatino Linotype"/>
          <w:bCs/>
        </w:rPr>
        <w:lastRenderedPageBreak/>
        <w:t>to the judiciary</w:t>
      </w:r>
      <w:r w:rsidR="00672126" w:rsidRPr="00026220">
        <w:rPr>
          <w:rFonts w:ascii="Palatino Linotype" w:hAnsi="Palatino Linotype"/>
          <w:bCs/>
        </w:rPr>
        <w:t xml:space="preserve"> but in recognition of the abuses of Order</w:t>
      </w:r>
      <w:r w:rsidR="001A4F8F" w:rsidRPr="00026220">
        <w:rPr>
          <w:rFonts w:ascii="Palatino Linotype" w:hAnsi="Palatino Linotype"/>
          <w:bCs/>
        </w:rPr>
        <w:t xml:space="preserve"> 1 planned to reinstate those of low rank in t</w:t>
      </w:r>
      <w:r w:rsidR="00672126" w:rsidRPr="00026220">
        <w:rPr>
          <w:rFonts w:ascii="Palatino Linotype" w:hAnsi="Palatino Linotype"/>
          <w:bCs/>
        </w:rPr>
        <w:t>he Ba’ath Party to</w:t>
      </w:r>
      <w:r w:rsidR="001A4F8F" w:rsidRPr="00026220">
        <w:rPr>
          <w:rFonts w:ascii="Palatino Linotype" w:hAnsi="Palatino Linotype"/>
          <w:bCs/>
        </w:rPr>
        <w:t xml:space="preserve"> pension</w:t>
      </w:r>
      <w:r w:rsidR="00260D21" w:rsidRPr="00026220">
        <w:rPr>
          <w:rFonts w:ascii="Palatino Linotype" w:hAnsi="Palatino Linotype"/>
          <w:bCs/>
        </w:rPr>
        <w:t>s</w:t>
      </w:r>
      <w:r w:rsidR="001A4F8F" w:rsidRPr="00026220">
        <w:rPr>
          <w:rFonts w:ascii="Palatino Linotype" w:hAnsi="Palatino Linotype"/>
          <w:bCs/>
        </w:rPr>
        <w:t xml:space="preserve"> </w:t>
      </w:r>
      <w:r w:rsidR="00260D21" w:rsidRPr="00026220">
        <w:rPr>
          <w:rFonts w:ascii="Palatino Linotype" w:hAnsi="Palatino Linotype"/>
          <w:bCs/>
        </w:rPr>
        <w:t xml:space="preserve">or </w:t>
      </w:r>
      <w:r w:rsidR="001A4F8F" w:rsidRPr="00026220">
        <w:rPr>
          <w:rFonts w:ascii="Palatino Linotype" w:hAnsi="Palatino Linotype"/>
          <w:bCs/>
        </w:rPr>
        <w:t xml:space="preserve">employment. </w:t>
      </w:r>
      <w:r w:rsidR="007677BF">
        <w:rPr>
          <w:rFonts w:ascii="Palatino Linotype" w:hAnsi="Palatino Linotype"/>
          <w:bCs/>
        </w:rPr>
        <w:t xml:space="preserve">An additional legal capacity that </w:t>
      </w:r>
      <w:r w:rsidR="00672126" w:rsidRPr="00026220">
        <w:rPr>
          <w:rFonts w:ascii="Palatino Linotype" w:hAnsi="Palatino Linotype"/>
          <w:bCs/>
        </w:rPr>
        <w:t>lack</w:t>
      </w:r>
      <w:r w:rsidR="007677BF">
        <w:rPr>
          <w:rFonts w:ascii="Palatino Linotype" w:hAnsi="Palatino Linotype"/>
          <w:bCs/>
        </w:rPr>
        <w:t>ed</w:t>
      </w:r>
      <w:r w:rsidR="00672126" w:rsidRPr="00026220">
        <w:rPr>
          <w:rFonts w:ascii="Palatino Linotype" w:hAnsi="Palatino Linotype"/>
          <w:bCs/>
        </w:rPr>
        <w:t xml:space="preserve"> transitional vision, </w:t>
      </w:r>
      <w:r w:rsidR="001D466B" w:rsidRPr="00026220">
        <w:rPr>
          <w:rFonts w:ascii="Palatino Linotype" w:hAnsi="Palatino Linotype"/>
          <w:bCs/>
        </w:rPr>
        <w:t xml:space="preserve">expansion of the </w:t>
      </w:r>
      <w:r w:rsidR="001A4F8F" w:rsidRPr="00026220">
        <w:rPr>
          <w:rFonts w:ascii="Palatino Linotype" w:hAnsi="Palatino Linotype"/>
          <w:bCs/>
        </w:rPr>
        <w:t>r</w:t>
      </w:r>
      <w:r w:rsidR="001D466B" w:rsidRPr="00026220">
        <w:rPr>
          <w:rFonts w:ascii="Palatino Linotype" w:hAnsi="Palatino Linotype"/>
          <w:bCs/>
        </w:rPr>
        <w:t xml:space="preserve">emit of Order 1, the removal of immunity </w:t>
      </w:r>
      <w:r w:rsidR="00B94CDD" w:rsidRPr="00026220">
        <w:rPr>
          <w:rFonts w:ascii="Palatino Linotype" w:hAnsi="Palatino Linotype"/>
          <w:bCs/>
        </w:rPr>
        <w:t xml:space="preserve">from lustration practices </w:t>
      </w:r>
      <w:r w:rsidR="001D466B" w:rsidRPr="00026220">
        <w:rPr>
          <w:rFonts w:ascii="Palatino Linotype" w:hAnsi="Palatino Linotype"/>
          <w:bCs/>
        </w:rPr>
        <w:t xml:space="preserve">for </w:t>
      </w:r>
      <w:r w:rsidR="007677BF">
        <w:rPr>
          <w:rFonts w:ascii="Palatino Linotype" w:hAnsi="Palatino Linotype"/>
          <w:bCs/>
        </w:rPr>
        <w:t xml:space="preserve">sitting </w:t>
      </w:r>
      <w:r w:rsidR="00C20713" w:rsidRPr="00026220">
        <w:rPr>
          <w:rFonts w:ascii="Palatino Linotype" w:hAnsi="Palatino Linotype"/>
          <w:bCs/>
        </w:rPr>
        <w:t xml:space="preserve">government </w:t>
      </w:r>
      <w:r w:rsidR="001D466B" w:rsidRPr="00026220">
        <w:rPr>
          <w:rFonts w:ascii="Palatino Linotype" w:hAnsi="Palatino Linotype"/>
          <w:bCs/>
        </w:rPr>
        <w:t>ministers</w:t>
      </w:r>
      <w:r w:rsidR="00B94CDD" w:rsidRPr="00026220">
        <w:rPr>
          <w:rFonts w:ascii="Palatino Linotype" w:hAnsi="Palatino Linotype"/>
          <w:bCs/>
        </w:rPr>
        <w:t>,</w:t>
      </w:r>
      <w:r w:rsidR="001D466B" w:rsidRPr="00026220">
        <w:rPr>
          <w:rFonts w:ascii="Palatino Linotype" w:hAnsi="Palatino Linotype"/>
          <w:bCs/>
        </w:rPr>
        <w:t xml:space="preserve"> </w:t>
      </w:r>
      <w:r w:rsidR="00672126" w:rsidRPr="00026220">
        <w:rPr>
          <w:rFonts w:ascii="Palatino Linotype" w:hAnsi="Palatino Linotype"/>
          <w:bCs/>
        </w:rPr>
        <w:t xml:space="preserve">a sense that the SNCD was merely re-named as opposed to reformed, that former Ba’ath Party members could not return to specific ministries and that the formulation of appeals was </w:t>
      </w:r>
      <w:r w:rsidR="007677BF" w:rsidRPr="00026220">
        <w:rPr>
          <w:rFonts w:ascii="Palatino Linotype" w:hAnsi="Palatino Linotype"/>
          <w:bCs/>
        </w:rPr>
        <w:t>imprecise</w:t>
      </w:r>
      <w:r w:rsidR="007677BF">
        <w:rPr>
          <w:rFonts w:ascii="Palatino Linotype" w:hAnsi="Palatino Linotype"/>
          <w:bCs/>
        </w:rPr>
        <w:t xml:space="preserve"> and purposefully ambiguous</w:t>
      </w:r>
      <w:r w:rsidR="00672126" w:rsidRPr="00026220">
        <w:rPr>
          <w:rFonts w:ascii="Palatino Linotype" w:hAnsi="Palatino Linotype"/>
          <w:bCs/>
        </w:rPr>
        <w:t xml:space="preserve">. </w:t>
      </w:r>
      <w:r w:rsidRPr="00026220">
        <w:rPr>
          <w:rFonts w:ascii="Palatino Linotype" w:hAnsi="Palatino Linotype"/>
          <w:bCs/>
        </w:rPr>
        <w:t>Those who were employed in non-managerial posts or below Division Member rung could theoretically return</w:t>
      </w:r>
      <w:r w:rsidR="00265C04" w:rsidRPr="00026220">
        <w:rPr>
          <w:rStyle w:val="EndnoteReference"/>
          <w:rFonts w:ascii="Palatino Linotype" w:hAnsi="Palatino Linotype"/>
          <w:bCs/>
        </w:rPr>
        <w:endnoteReference w:id="13"/>
      </w:r>
      <w:r w:rsidRPr="00026220">
        <w:rPr>
          <w:rFonts w:ascii="Palatino Linotype" w:hAnsi="Palatino Linotype"/>
          <w:bCs/>
        </w:rPr>
        <w:t xml:space="preserve"> or continue in their employment but not to the uppermost strata of the Judicial Council and Finance and Foreign ministries. </w:t>
      </w:r>
    </w:p>
    <w:p w14:paraId="7CD856B0" w14:textId="77777777" w:rsidR="00766483" w:rsidRPr="00026220" w:rsidRDefault="00766483" w:rsidP="00304EA6">
      <w:pPr>
        <w:autoSpaceDE w:val="0"/>
        <w:autoSpaceDN w:val="0"/>
        <w:adjustRightInd w:val="0"/>
        <w:jc w:val="both"/>
        <w:rPr>
          <w:rFonts w:ascii="Palatino Linotype" w:hAnsi="Palatino Linotype"/>
          <w:bCs/>
        </w:rPr>
      </w:pPr>
    </w:p>
    <w:p w14:paraId="128287AA" w14:textId="77777777" w:rsidR="007677BF" w:rsidRDefault="00E4179A" w:rsidP="00B725F2">
      <w:pPr>
        <w:autoSpaceDE w:val="0"/>
        <w:autoSpaceDN w:val="0"/>
        <w:adjustRightInd w:val="0"/>
        <w:jc w:val="both"/>
        <w:rPr>
          <w:rFonts w:ascii="Palatino Linotype" w:hAnsi="Palatino Linotype"/>
          <w:bCs/>
        </w:rPr>
      </w:pPr>
      <w:r w:rsidRPr="00026220">
        <w:rPr>
          <w:rFonts w:ascii="Palatino Linotype" w:hAnsi="Palatino Linotype"/>
          <w:bCs/>
        </w:rPr>
        <w:t xml:space="preserve">The SNCD morphed into the Supreme National Commission for Accountability and Justice (SNCAJ). SNCAJ powers under Article 13 of AJA were enhanced and widened </w:t>
      </w:r>
      <w:proofErr w:type="gramStart"/>
      <w:r w:rsidRPr="00026220">
        <w:rPr>
          <w:rFonts w:ascii="Palatino Linotype" w:hAnsi="Palatino Linotype"/>
          <w:bCs/>
        </w:rPr>
        <w:t>with regard to</w:t>
      </w:r>
      <w:proofErr w:type="gramEnd"/>
      <w:r w:rsidRPr="00026220">
        <w:rPr>
          <w:rFonts w:ascii="Palatino Linotype" w:hAnsi="Palatino Linotype"/>
          <w:bCs/>
        </w:rPr>
        <w:t xml:space="preserve"> recording human rights abuses, seeking reparation for victims and pursuing human rights abusers. However, the process of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remained primary. As with Order 1 the Ba’ath Party and related ideology or acts remained proscribed. Right to appeal remained </w:t>
      </w:r>
      <w:r w:rsidR="007677BF" w:rsidRPr="00026220">
        <w:rPr>
          <w:rFonts w:ascii="Palatino Linotype" w:hAnsi="Palatino Linotype"/>
          <w:bCs/>
        </w:rPr>
        <w:t>nebulous</w:t>
      </w:r>
      <w:r w:rsidRPr="00026220">
        <w:rPr>
          <w:rFonts w:ascii="Palatino Linotype" w:hAnsi="Palatino Linotype"/>
          <w:bCs/>
        </w:rPr>
        <w:t xml:space="preserve"> </w:t>
      </w:r>
      <w:proofErr w:type="gramStart"/>
      <w:r w:rsidRPr="00026220">
        <w:rPr>
          <w:rFonts w:ascii="Palatino Linotype" w:hAnsi="Palatino Linotype"/>
          <w:bCs/>
        </w:rPr>
        <w:t>with regard to</w:t>
      </w:r>
      <w:proofErr w:type="gramEnd"/>
      <w:r w:rsidRPr="00026220">
        <w:rPr>
          <w:rFonts w:ascii="Palatino Linotype" w:hAnsi="Palatino Linotype"/>
          <w:bCs/>
        </w:rPr>
        <w:t xml:space="preserve"> the interpretation of Ba’athist sympathies. Pension provision grew but was viewed by </w:t>
      </w:r>
      <w:r w:rsidR="007677BF">
        <w:rPr>
          <w:rFonts w:ascii="Palatino Linotype" w:hAnsi="Palatino Linotype"/>
          <w:bCs/>
        </w:rPr>
        <w:t xml:space="preserve">some </w:t>
      </w:r>
      <w:r w:rsidRPr="00026220">
        <w:rPr>
          <w:rFonts w:ascii="Palatino Linotype" w:hAnsi="Palatino Linotype"/>
          <w:bCs/>
        </w:rPr>
        <w:t xml:space="preserve">interviewees as purging ‘in kind’. The continuous and ad hoc nature of exclusion was aided by Article 7 of the Iraq </w:t>
      </w:r>
      <w:proofErr w:type="gramStart"/>
      <w:r w:rsidRPr="00026220">
        <w:rPr>
          <w:rFonts w:ascii="Palatino Linotype" w:hAnsi="Palatino Linotype"/>
          <w:bCs/>
        </w:rPr>
        <w:t>Constitution  which</w:t>
      </w:r>
      <w:proofErr w:type="gramEnd"/>
      <w:r w:rsidRPr="00026220">
        <w:rPr>
          <w:rFonts w:ascii="Palatino Linotype" w:hAnsi="Palatino Linotype"/>
          <w:bCs/>
        </w:rPr>
        <w:t xml:space="preserve"> precludes Ba’athists from political life and the requirement to uproot related ideas</w:t>
      </w:r>
      <w:r w:rsidR="007E1125">
        <w:rPr>
          <w:rFonts w:ascii="Palatino Linotype" w:hAnsi="Palatino Linotype"/>
          <w:bCs/>
        </w:rPr>
        <w:t>,</w:t>
      </w:r>
      <w:r w:rsidRPr="00026220">
        <w:rPr>
          <w:rFonts w:ascii="Palatino Linotype" w:hAnsi="Palatino Linotype"/>
          <w:bCs/>
        </w:rPr>
        <w:t xml:space="preserve"> while Article 135 prohibited Ba’athists from holding ‘sensitive posts’. The language of AJA </w:t>
      </w:r>
      <w:r w:rsidR="00766483" w:rsidRPr="00026220">
        <w:rPr>
          <w:rFonts w:ascii="Palatino Linotype" w:hAnsi="Palatino Linotype"/>
          <w:bCs/>
        </w:rPr>
        <w:t>endured</w:t>
      </w:r>
      <w:r w:rsidRPr="00026220">
        <w:rPr>
          <w:rFonts w:ascii="Palatino Linotype" w:hAnsi="Palatino Linotype"/>
          <w:bCs/>
        </w:rPr>
        <w:t xml:space="preserve"> </w:t>
      </w:r>
      <w:r w:rsidR="00766483" w:rsidRPr="00026220">
        <w:rPr>
          <w:rFonts w:ascii="Palatino Linotype" w:hAnsi="Palatino Linotype"/>
          <w:bCs/>
        </w:rPr>
        <w:t xml:space="preserve">with </w:t>
      </w:r>
      <w:r w:rsidRPr="00026220">
        <w:rPr>
          <w:rFonts w:ascii="Palatino Linotype" w:hAnsi="Palatino Linotype"/>
          <w:bCs/>
        </w:rPr>
        <w:t>imprecise definitions of what constituted Ba’athism and its removal from public life</w:t>
      </w:r>
      <w:r w:rsidR="00766483" w:rsidRPr="00026220">
        <w:rPr>
          <w:rFonts w:ascii="Palatino Linotype" w:hAnsi="Palatino Linotype"/>
          <w:bCs/>
        </w:rPr>
        <w:t xml:space="preserve">. </w:t>
      </w:r>
    </w:p>
    <w:p w14:paraId="349B43A0" w14:textId="77777777" w:rsidR="007677BF" w:rsidRDefault="007677BF" w:rsidP="00B725F2">
      <w:pPr>
        <w:autoSpaceDE w:val="0"/>
        <w:autoSpaceDN w:val="0"/>
        <w:adjustRightInd w:val="0"/>
        <w:jc w:val="both"/>
        <w:rPr>
          <w:rFonts w:ascii="Palatino Linotype" w:hAnsi="Palatino Linotype"/>
          <w:bCs/>
        </w:rPr>
      </w:pPr>
    </w:p>
    <w:p w14:paraId="437E13D0" w14:textId="1032AA2B" w:rsidR="00EF17B2" w:rsidRPr="00026220" w:rsidRDefault="00B94CDD" w:rsidP="00B725F2">
      <w:pPr>
        <w:autoSpaceDE w:val="0"/>
        <w:autoSpaceDN w:val="0"/>
        <w:adjustRightInd w:val="0"/>
        <w:jc w:val="both"/>
        <w:rPr>
          <w:rFonts w:ascii="Palatino Linotype" w:hAnsi="Palatino Linotype"/>
          <w:bCs/>
        </w:rPr>
      </w:pPr>
      <w:r w:rsidRPr="00026220">
        <w:rPr>
          <w:rFonts w:ascii="Palatino Linotype" w:hAnsi="Palatino Linotype"/>
          <w:bCs/>
        </w:rPr>
        <w:t>T</w:t>
      </w:r>
      <w:r w:rsidR="008B1B81" w:rsidRPr="00026220">
        <w:rPr>
          <w:rFonts w:ascii="Palatino Linotype" w:hAnsi="Palatino Linotype"/>
          <w:bCs/>
        </w:rPr>
        <w:t xml:space="preserve">he appointment of seven new commissioners to bring independence of leadership </w:t>
      </w:r>
      <w:r w:rsidR="00525AEB" w:rsidRPr="00026220">
        <w:rPr>
          <w:rFonts w:ascii="Palatino Linotype" w:hAnsi="Palatino Linotype"/>
          <w:bCs/>
        </w:rPr>
        <w:t xml:space="preserve">via a Court of Cassation linked to an </w:t>
      </w:r>
      <w:r w:rsidR="008B1B81" w:rsidRPr="00026220">
        <w:rPr>
          <w:rFonts w:ascii="Palatino Linotype" w:hAnsi="Palatino Linotype"/>
          <w:bCs/>
        </w:rPr>
        <w:t>independent judicial appeals chamber</w:t>
      </w:r>
      <w:r w:rsidR="00E4179A" w:rsidRPr="00026220">
        <w:rPr>
          <w:rFonts w:ascii="Palatino Linotype" w:hAnsi="Palatino Linotype"/>
          <w:bCs/>
        </w:rPr>
        <w:t xml:space="preserve"> was undertaken</w:t>
      </w:r>
      <w:r w:rsidR="008B1B81" w:rsidRPr="00026220">
        <w:rPr>
          <w:rFonts w:ascii="Palatino Linotype" w:hAnsi="Palatino Linotype"/>
          <w:bCs/>
        </w:rPr>
        <w:t xml:space="preserve">. </w:t>
      </w:r>
      <w:r w:rsidR="00E4179A" w:rsidRPr="00026220">
        <w:rPr>
          <w:rFonts w:ascii="Palatino Linotype" w:hAnsi="Palatino Linotype"/>
          <w:bCs/>
        </w:rPr>
        <w:t xml:space="preserve">The appointment of commissioners was </w:t>
      </w:r>
      <w:r w:rsidRPr="00026220">
        <w:rPr>
          <w:rFonts w:ascii="Palatino Linotype" w:hAnsi="Palatino Linotype"/>
          <w:bCs/>
        </w:rPr>
        <w:t xml:space="preserve">based upon </w:t>
      </w:r>
      <w:r w:rsidR="00E4179A" w:rsidRPr="00026220">
        <w:rPr>
          <w:rFonts w:ascii="Palatino Linotype" w:hAnsi="Palatino Linotype"/>
          <w:bCs/>
        </w:rPr>
        <w:t>power-</w:t>
      </w:r>
      <w:r w:rsidRPr="00026220">
        <w:rPr>
          <w:rFonts w:ascii="Palatino Linotype" w:hAnsi="Palatino Linotype"/>
          <w:bCs/>
        </w:rPr>
        <w:t>sharing procedures which meant that</w:t>
      </w:r>
      <w:r w:rsidR="006D5115" w:rsidRPr="00026220">
        <w:rPr>
          <w:rFonts w:ascii="Palatino Linotype" w:hAnsi="Palatino Linotype"/>
          <w:bCs/>
        </w:rPr>
        <w:t xml:space="preserve"> </w:t>
      </w:r>
      <w:r w:rsidRPr="00026220">
        <w:rPr>
          <w:rFonts w:ascii="Palatino Linotype" w:hAnsi="Palatino Linotype"/>
          <w:bCs/>
        </w:rPr>
        <w:t xml:space="preserve">3 </w:t>
      </w:r>
      <w:r w:rsidR="006D5115" w:rsidRPr="00026220">
        <w:rPr>
          <w:rFonts w:ascii="Palatino Linotype" w:hAnsi="Palatino Linotype"/>
          <w:bCs/>
        </w:rPr>
        <w:t>Shia</w:t>
      </w:r>
      <w:r w:rsidRPr="00026220">
        <w:rPr>
          <w:rFonts w:ascii="Palatino Linotype" w:hAnsi="Palatino Linotype"/>
          <w:bCs/>
        </w:rPr>
        <w:t xml:space="preserve"> and </w:t>
      </w:r>
      <w:r w:rsidR="008C2CEE" w:rsidRPr="00026220">
        <w:rPr>
          <w:rFonts w:ascii="Palatino Linotype" w:hAnsi="Palatino Linotype"/>
          <w:bCs/>
        </w:rPr>
        <w:t>a Kurd member</w:t>
      </w:r>
      <w:r w:rsidRPr="00026220">
        <w:rPr>
          <w:rFonts w:ascii="Palatino Linotype" w:hAnsi="Palatino Linotype"/>
          <w:bCs/>
        </w:rPr>
        <w:t xml:space="preserve"> </w:t>
      </w:r>
      <w:r w:rsidR="00F06081" w:rsidRPr="00026220">
        <w:rPr>
          <w:rFonts w:ascii="Palatino Linotype" w:hAnsi="Palatino Linotype"/>
          <w:bCs/>
        </w:rPr>
        <w:t xml:space="preserve">held authority. There was also a failure to recruit commissioners with adequate legal training. </w:t>
      </w:r>
      <w:r w:rsidR="00E4179A" w:rsidRPr="00026220">
        <w:rPr>
          <w:rFonts w:ascii="Palatino Linotype" w:hAnsi="Palatino Linotype"/>
          <w:bCs/>
        </w:rPr>
        <w:t>The SNCAJ committee operated privately and rarely met in full session. The provision in the 2005 Constitution that it was to be controlled by a parliamentary committee was in</w:t>
      </w:r>
      <w:r w:rsidR="00E648C7">
        <w:rPr>
          <w:rFonts w:ascii="Palatino Linotype" w:hAnsi="Palatino Linotype"/>
          <w:bCs/>
        </w:rPr>
        <w:t xml:space="preserve">distinct </w:t>
      </w:r>
      <w:r w:rsidR="007677BF">
        <w:rPr>
          <w:rFonts w:ascii="Palatino Linotype" w:hAnsi="Palatino Linotype"/>
          <w:bCs/>
        </w:rPr>
        <w:t xml:space="preserve">and failed to </w:t>
      </w:r>
      <w:r w:rsidR="00E648C7">
        <w:rPr>
          <w:rFonts w:ascii="Palatino Linotype" w:hAnsi="Palatino Linotype"/>
          <w:bCs/>
        </w:rPr>
        <w:t>evolve</w:t>
      </w:r>
      <w:r w:rsidR="00E4179A" w:rsidRPr="00026220">
        <w:rPr>
          <w:rFonts w:ascii="Palatino Linotype" w:hAnsi="Palatino Linotype"/>
          <w:bCs/>
        </w:rPr>
        <w:t xml:space="preserve">. A </w:t>
      </w:r>
      <w:proofErr w:type="gramStart"/>
      <w:r w:rsidR="00E4179A" w:rsidRPr="00026220">
        <w:rPr>
          <w:rFonts w:ascii="Palatino Linotype" w:hAnsi="Palatino Linotype"/>
          <w:bCs/>
        </w:rPr>
        <w:t>particular problem</w:t>
      </w:r>
      <w:proofErr w:type="gramEnd"/>
      <w:r w:rsidR="00E4179A" w:rsidRPr="00026220">
        <w:rPr>
          <w:rFonts w:ascii="Palatino Linotype" w:hAnsi="Palatino Linotype"/>
          <w:bCs/>
        </w:rPr>
        <w:t xml:space="preserve"> for the parliamentary committee was the lack</w:t>
      </w:r>
      <w:r w:rsidR="00E4179A" w:rsidRPr="00026220">
        <w:rPr>
          <w:rFonts w:ascii="Palatino Linotype" w:hAnsi="Palatino Linotype"/>
          <w:bCs/>
          <w:color w:val="FF0000"/>
        </w:rPr>
        <w:t xml:space="preserve"> </w:t>
      </w:r>
      <w:r w:rsidR="00E4179A" w:rsidRPr="00026220">
        <w:rPr>
          <w:rFonts w:ascii="Palatino Linotype" w:hAnsi="Palatino Linotype"/>
          <w:bCs/>
        </w:rPr>
        <w:t xml:space="preserve">of procedural knowledge and an inability to challenge the authority of SNCAJ. </w:t>
      </w:r>
      <w:r w:rsidR="00B725F2" w:rsidRPr="00026220">
        <w:rPr>
          <w:rFonts w:ascii="Palatino Linotype" w:hAnsi="Palatino Linotype"/>
          <w:bCs/>
        </w:rPr>
        <w:t xml:space="preserve"> </w:t>
      </w:r>
      <w:r w:rsidR="00F06081" w:rsidRPr="00026220">
        <w:rPr>
          <w:rFonts w:ascii="Palatino Linotype" w:hAnsi="Palatino Linotype"/>
          <w:bCs/>
        </w:rPr>
        <w:t>P</w:t>
      </w:r>
      <w:r w:rsidR="008B1B81" w:rsidRPr="00026220">
        <w:rPr>
          <w:rFonts w:ascii="Palatino Linotype" w:hAnsi="Palatino Linotype"/>
          <w:bCs/>
        </w:rPr>
        <w:t xml:space="preserve">rocedures for re-employment and exception remained indistinct and no time limit on vetting practices, a value of transitional justice, was defined. Despite some improvements </w:t>
      </w:r>
      <w:r w:rsidR="00DF270E" w:rsidRPr="00026220">
        <w:rPr>
          <w:rFonts w:ascii="Palatino Linotype" w:hAnsi="Palatino Linotype"/>
          <w:bCs/>
        </w:rPr>
        <w:t xml:space="preserve">it was </w:t>
      </w:r>
      <w:r w:rsidR="00C20713" w:rsidRPr="00026220">
        <w:rPr>
          <w:rFonts w:ascii="Palatino Linotype" w:hAnsi="Palatino Linotype"/>
          <w:bCs/>
        </w:rPr>
        <w:t>summed that AJA ‘</w:t>
      </w:r>
      <w:r w:rsidR="008B1B81" w:rsidRPr="00026220">
        <w:rPr>
          <w:rFonts w:ascii="Palatino Linotype" w:hAnsi="Palatino Linotype"/>
          <w:bCs/>
        </w:rPr>
        <w:t>…entrenched the prevailing system, but few people knew enough to recognize it’</w:t>
      </w:r>
      <w:r w:rsidR="00173FD5" w:rsidRPr="00026220">
        <w:rPr>
          <w:rFonts w:ascii="Palatino Linotype" w:hAnsi="Palatino Linotype"/>
          <w:bCs/>
        </w:rPr>
        <w:t xml:space="preserve"> (</w:t>
      </w:r>
      <w:proofErr w:type="spellStart"/>
      <w:r w:rsidR="00173FD5" w:rsidRPr="008F0050">
        <w:rPr>
          <w:rFonts w:ascii="Palatino Linotype" w:hAnsi="Palatino Linotype"/>
          <w:bCs/>
        </w:rPr>
        <w:t>Sissons</w:t>
      </w:r>
      <w:proofErr w:type="spellEnd"/>
      <w:r w:rsidR="00173FD5" w:rsidRPr="008F0050">
        <w:rPr>
          <w:rFonts w:ascii="Palatino Linotype" w:hAnsi="Palatino Linotype"/>
          <w:bCs/>
        </w:rPr>
        <w:t xml:space="preserve"> and Al-</w:t>
      </w:r>
      <w:proofErr w:type="spellStart"/>
      <w:r w:rsidR="00173FD5" w:rsidRPr="008F0050">
        <w:rPr>
          <w:rFonts w:ascii="Palatino Linotype" w:hAnsi="Palatino Linotype"/>
          <w:bCs/>
        </w:rPr>
        <w:t>Saidei</w:t>
      </w:r>
      <w:proofErr w:type="spellEnd"/>
      <w:r w:rsidR="0036010E" w:rsidRPr="008F0050">
        <w:rPr>
          <w:rFonts w:ascii="Palatino Linotype" w:hAnsi="Palatino Linotype"/>
          <w:bCs/>
        </w:rPr>
        <w:t xml:space="preserve">, </w:t>
      </w:r>
      <w:r w:rsidR="00173FD5" w:rsidRPr="00026220">
        <w:rPr>
          <w:rFonts w:ascii="Palatino Linotype" w:hAnsi="Palatino Linotype"/>
          <w:bCs/>
        </w:rPr>
        <w:t>2013</w:t>
      </w:r>
      <w:r w:rsidR="0036010E">
        <w:rPr>
          <w:rFonts w:ascii="Palatino Linotype" w:hAnsi="Palatino Linotype"/>
          <w:bCs/>
        </w:rPr>
        <w:t xml:space="preserve">: </w:t>
      </w:r>
      <w:r w:rsidR="008F0050">
        <w:rPr>
          <w:rFonts w:ascii="Palatino Linotype" w:hAnsi="Palatino Linotype"/>
          <w:bCs/>
        </w:rPr>
        <w:t>18</w:t>
      </w:r>
      <w:r w:rsidR="00173FD5" w:rsidRPr="00026220">
        <w:rPr>
          <w:rFonts w:ascii="Palatino Linotype" w:hAnsi="Palatino Linotype"/>
          <w:bCs/>
        </w:rPr>
        <w:t>)</w:t>
      </w:r>
      <w:r w:rsidR="008B1B81" w:rsidRPr="00026220">
        <w:rPr>
          <w:rFonts w:ascii="Palatino Linotype" w:hAnsi="Palatino Linotype"/>
          <w:bCs/>
        </w:rPr>
        <w:t xml:space="preserve"> and 'additionally, some of the law’s innovations – such as new focus on the judiciary or the introduction of an in-house </w:t>
      </w:r>
      <w:r w:rsidR="008B1B81" w:rsidRPr="00026220">
        <w:rPr>
          <w:rFonts w:ascii="Palatino Linotype" w:hAnsi="Palatino Linotype"/>
          <w:bCs/>
        </w:rPr>
        <w:lastRenderedPageBreak/>
        <w:t>prosecutor function – risk exacerbating these flaws, rather than improving them</w:t>
      </w:r>
      <w:r w:rsidR="00CB44AB" w:rsidRPr="00026220">
        <w:rPr>
          <w:rFonts w:ascii="Palatino Linotype" w:hAnsi="Palatino Linotype"/>
          <w:bCs/>
        </w:rPr>
        <w:t>’</w:t>
      </w:r>
      <w:r w:rsidR="00173FD5" w:rsidRPr="00026220">
        <w:rPr>
          <w:rFonts w:ascii="Palatino Linotype" w:hAnsi="Palatino Linotype"/>
          <w:bCs/>
          <w:color w:val="000000" w:themeColor="text1"/>
        </w:rPr>
        <w:t xml:space="preserve"> </w:t>
      </w:r>
      <w:r w:rsidR="009C2272" w:rsidRPr="00026220">
        <w:rPr>
          <w:rFonts w:ascii="Palatino Linotype" w:hAnsi="Palatino Linotype"/>
          <w:bCs/>
          <w:color w:val="000000" w:themeColor="text1"/>
        </w:rPr>
        <w:t>(</w:t>
      </w:r>
      <w:proofErr w:type="spellStart"/>
      <w:r w:rsidR="00173FD5" w:rsidRPr="007864BE">
        <w:rPr>
          <w:rFonts w:ascii="Palatino Linotype" w:hAnsi="Palatino Linotype"/>
          <w:bCs/>
        </w:rPr>
        <w:t>Sissons</w:t>
      </w:r>
      <w:proofErr w:type="spellEnd"/>
      <w:r w:rsidR="00173FD5" w:rsidRPr="007864BE">
        <w:rPr>
          <w:rFonts w:ascii="Palatino Linotype" w:hAnsi="Palatino Linotype"/>
          <w:bCs/>
        </w:rPr>
        <w:t xml:space="preserve"> and Al-</w:t>
      </w:r>
      <w:proofErr w:type="spellStart"/>
      <w:r w:rsidR="00173FD5" w:rsidRPr="007864BE">
        <w:rPr>
          <w:rFonts w:ascii="Palatino Linotype" w:hAnsi="Palatino Linotype"/>
          <w:bCs/>
        </w:rPr>
        <w:t>Saidei</w:t>
      </w:r>
      <w:proofErr w:type="spellEnd"/>
      <w:r w:rsidR="0050348C" w:rsidRPr="0050348C">
        <w:rPr>
          <w:rFonts w:ascii="Palatino Linotype" w:hAnsi="Palatino Linotype"/>
          <w:bCs/>
        </w:rPr>
        <w:t>,</w:t>
      </w:r>
      <w:r w:rsidR="00173FD5" w:rsidRPr="003C0B55">
        <w:rPr>
          <w:rFonts w:ascii="Palatino Linotype" w:hAnsi="Palatino Linotype"/>
          <w:bCs/>
          <w:color w:val="FF0000"/>
        </w:rPr>
        <w:t xml:space="preserve"> </w:t>
      </w:r>
      <w:r w:rsidR="00173FD5" w:rsidRPr="00026220">
        <w:rPr>
          <w:rFonts w:ascii="Palatino Linotype" w:hAnsi="Palatino Linotype"/>
          <w:bCs/>
          <w:color w:val="000000" w:themeColor="text1"/>
        </w:rPr>
        <w:t>2013</w:t>
      </w:r>
      <w:r w:rsidR="0036010E">
        <w:rPr>
          <w:rFonts w:ascii="Palatino Linotype" w:hAnsi="Palatino Linotype"/>
          <w:bCs/>
          <w:color w:val="000000" w:themeColor="text1"/>
        </w:rPr>
        <w:t xml:space="preserve">: </w:t>
      </w:r>
      <w:r w:rsidR="007864BE">
        <w:rPr>
          <w:rFonts w:ascii="Palatino Linotype" w:hAnsi="Palatino Linotype"/>
          <w:bCs/>
          <w:color w:val="000000" w:themeColor="text1"/>
        </w:rPr>
        <w:t>13</w:t>
      </w:r>
      <w:r w:rsidR="00173FD5" w:rsidRPr="00026220">
        <w:rPr>
          <w:rFonts w:ascii="Palatino Linotype" w:hAnsi="Palatino Linotype"/>
          <w:bCs/>
          <w:color w:val="000000" w:themeColor="text1"/>
        </w:rPr>
        <w:t>)</w:t>
      </w:r>
      <w:r w:rsidR="005A14F7" w:rsidRPr="00026220">
        <w:rPr>
          <w:rFonts w:ascii="Palatino Linotype" w:hAnsi="Palatino Linotype"/>
          <w:bCs/>
        </w:rPr>
        <w:t>.</w:t>
      </w:r>
      <w:r w:rsidR="008B1B81" w:rsidRPr="00026220">
        <w:rPr>
          <w:rFonts w:ascii="Palatino Linotype" w:hAnsi="Palatino Linotype"/>
          <w:bCs/>
        </w:rPr>
        <w:t xml:space="preserve"> </w:t>
      </w:r>
    </w:p>
    <w:p w14:paraId="56CADF5D" w14:textId="77777777" w:rsidR="00EF17B2" w:rsidRPr="00026220" w:rsidRDefault="00EF17B2" w:rsidP="00B725F2">
      <w:pPr>
        <w:autoSpaceDE w:val="0"/>
        <w:autoSpaceDN w:val="0"/>
        <w:adjustRightInd w:val="0"/>
        <w:jc w:val="both"/>
        <w:rPr>
          <w:rFonts w:ascii="Palatino Linotype" w:hAnsi="Palatino Linotype"/>
          <w:bCs/>
        </w:rPr>
      </w:pPr>
    </w:p>
    <w:p w14:paraId="3FE7D398" w14:textId="77777777" w:rsidR="00DB3AD9" w:rsidRPr="00026220" w:rsidRDefault="001610CC" w:rsidP="00EF17B2">
      <w:pPr>
        <w:autoSpaceDE w:val="0"/>
        <w:autoSpaceDN w:val="0"/>
        <w:adjustRightInd w:val="0"/>
        <w:jc w:val="both"/>
        <w:rPr>
          <w:rFonts w:ascii="Palatino Linotype" w:hAnsi="Palatino Linotype"/>
          <w:bCs/>
        </w:rPr>
      </w:pPr>
      <w:r>
        <w:rPr>
          <w:rFonts w:ascii="Palatino Linotype" w:hAnsi="Palatino Linotype"/>
          <w:bCs/>
        </w:rPr>
        <w:t>L</w:t>
      </w:r>
      <w:r w:rsidR="00611112" w:rsidRPr="00026220">
        <w:rPr>
          <w:rFonts w:ascii="Palatino Linotype" w:hAnsi="Palatino Linotype"/>
          <w:bCs/>
        </w:rPr>
        <w:t>ustration and the failure to invoke its own checks, balances and due process mechanism was not merely an exercise in corruption but was the medium through which legal space was su</w:t>
      </w:r>
      <w:r w:rsidR="003D1A10" w:rsidRPr="00026220">
        <w:rPr>
          <w:rFonts w:ascii="Palatino Linotype" w:hAnsi="Palatino Linotype"/>
          <w:bCs/>
        </w:rPr>
        <w:t>bverted. That subversion denied</w:t>
      </w:r>
      <w:r w:rsidR="00611112" w:rsidRPr="00026220">
        <w:rPr>
          <w:rFonts w:ascii="Palatino Linotype" w:hAnsi="Palatino Linotype"/>
          <w:bCs/>
        </w:rPr>
        <w:t xml:space="preserve"> individual rights of fair treatment </w:t>
      </w:r>
      <w:r w:rsidR="003D1A10" w:rsidRPr="00026220">
        <w:rPr>
          <w:rFonts w:ascii="Palatino Linotype" w:hAnsi="Palatino Linotype"/>
          <w:bCs/>
        </w:rPr>
        <w:t xml:space="preserve">which stimulated </w:t>
      </w:r>
      <w:r w:rsidR="00611112" w:rsidRPr="00026220">
        <w:rPr>
          <w:rFonts w:ascii="Palatino Linotype" w:hAnsi="Palatino Linotype"/>
          <w:bCs/>
        </w:rPr>
        <w:t xml:space="preserve">an ethnic space of divergent treatment based upon </w:t>
      </w:r>
      <w:r w:rsidR="003D28FC" w:rsidRPr="00026220">
        <w:rPr>
          <w:rFonts w:ascii="Palatino Linotype" w:hAnsi="Palatino Linotype"/>
          <w:bCs/>
        </w:rPr>
        <w:t xml:space="preserve">sectarianized </w:t>
      </w:r>
      <w:r w:rsidR="00611112" w:rsidRPr="00026220">
        <w:rPr>
          <w:rFonts w:ascii="Palatino Linotype" w:hAnsi="Palatino Linotype"/>
          <w:bCs/>
        </w:rPr>
        <w:t xml:space="preserve">decision making. </w:t>
      </w:r>
      <w:r w:rsidR="00EF17B2" w:rsidRPr="00026220">
        <w:rPr>
          <w:rFonts w:ascii="Palatino Linotype" w:hAnsi="Palatino Linotype"/>
          <w:bCs/>
        </w:rPr>
        <w:t xml:space="preserve"> </w:t>
      </w:r>
      <w:r w:rsidR="00B725F2" w:rsidRPr="00026220">
        <w:rPr>
          <w:rFonts w:ascii="Palatino Linotype" w:hAnsi="Palatino Linotype"/>
          <w:bCs/>
        </w:rPr>
        <w:t>T</w:t>
      </w:r>
      <w:r w:rsidR="008B1B81" w:rsidRPr="00026220">
        <w:rPr>
          <w:rFonts w:ascii="Palatino Linotype" w:hAnsi="Palatino Linotype"/>
          <w:bCs/>
        </w:rPr>
        <w:t>here was a growing acknowledgement that ‘almost no politician understood de-</w:t>
      </w:r>
      <w:proofErr w:type="spellStart"/>
      <w:r w:rsidR="008B1B81" w:rsidRPr="00026220">
        <w:rPr>
          <w:rFonts w:ascii="Palatino Linotype" w:hAnsi="Palatino Linotype"/>
          <w:bCs/>
        </w:rPr>
        <w:t>Ba’athification</w:t>
      </w:r>
      <w:r w:rsidR="001C00FF" w:rsidRPr="00026220">
        <w:rPr>
          <w:rFonts w:ascii="Palatino Linotype" w:hAnsi="Palatino Linotype"/>
          <w:bCs/>
        </w:rPr>
        <w:t>’</w:t>
      </w:r>
      <w:r w:rsidR="008B1B81" w:rsidRPr="00026220">
        <w:rPr>
          <w:rFonts w:ascii="Palatino Linotype" w:hAnsi="Palatino Linotype"/>
          <w:bCs/>
        </w:rPr>
        <w:t>s</w:t>
      </w:r>
      <w:proofErr w:type="spellEnd"/>
      <w:r w:rsidR="008B1B81" w:rsidRPr="00026220">
        <w:rPr>
          <w:rFonts w:ascii="Palatino Linotype" w:hAnsi="Palatino Linotype"/>
          <w:bCs/>
        </w:rPr>
        <w:t xml:space="preserve"> complex procedures and framework, nor could they access information about alternative </w:t>
      </w:r>
      <w:proofErr w:type="gramStart"/>
      <w:r w:rsidR="008B1B81" w:rsidRPr="00026220">
        <w:rPr>
          <w:rFonts w:ascii="Palatino Linotype" w:hAnsi="Palatino Linotype"/>
          <w:bCs/>
        </w:rPr>
        <w:t>models</w:t>
      </w:r>
      <w:r w:rsidR="00DF270E" w:rsidRPr="00026220">
        <w:rPr>
          <w:rFonts w:ascii="Palatino Linotype" w:hAnsi="Palatino Linotype"/>
          <w:bCs/>
        </w:rPr>
        <w:t>‘</w:t>
      </w:r>
      <w:r w:rsidR="009D110C">
        <w:rPr>
          <w:rFonts w:ascii="Palatino Linotype" w:hAnsi="Palatino Linotype"/>
          <w:bCs/>
        </w:rPr>
        <w:t xml:space="preserve"> </w:t>
      </w:r>
      <w:r w:rsidR="00173FD5" w:rsidRPr="00026220">
        <w:rPr>
          <w:rFonts w:ascii="Palatino Linotype" w:hAnsi="Palatino Linotype"/>
          <w:bCs/>
        </w:rPr>
        <w:t>(</w:t>
      </w:r>
      <w:proofErr w:type="spellStart"/>
      <w:proofErr w:type="gramEnd"/>
      <w:r w:rsidR="0036010E" w:rsidRPr="008F0050">
        <w:rPr>
          <w:rFonts w:ascii="Palatino Linotype" w:hAnsi="Palatino Linotype"/>
          <w:bCs/>
        </w:rPr>
        <w:t>Sissons</w:t>
      </w:r>
      <w:proofErr w:type="spellEnd"/>
      <w:r w:rsidR="0036010E" w:rsidRPr="008F0050">
        <w:rPr>
          <w:rFonts w:ascii="Palatino Linotype" w:hAnsi="Palatino Linotype"/>
          <w:bCs/>
        </w:rPr>
        <w:t xml:space="preserve"> and Al-</w:t>
      </w:r>
      <w:proofErr w:type="spellStart"/>
      <w:r w:rsidR="0036010E" w:rsidRPr="008F0050">
        <w:rPr>
          <w:rFonts w:ascii="Palatino Linotype" w:hAnsi="Palatino Linotype"/>
          <w:bCs/>
        </w:rPr>
        <w:t>Saidei</w:t>
      </w:r>
      <w:proofErr w:type="spellEnd"/>
      <w:r w:rsidR="0036010E" w:rsidRPr="008F0050">
        <w:rPr>
          <w:rFonts w:ascii="Palatino Linotype" w:hAnsi="Palatino Linotype"/>
          <w:bCs/>
        </w:rPr>
        <w:t xml:space="preserve">, 2013: </w:t>
      </w:r>
      <w:r w:rsidR="008F0050" w:rsidRPr="008F0050">
        <w:rPr>
          <w:rFonts w:ascii="Palatino Linotype" w:hAnsi="Palatino Linotype"/>
          <w:bCs/>
        </w:rPr>
        <w:t>18</w:t>
      </w:r>
      <w:r w:rsidR="00173FD5" w:rsidRPr="008F0050">
        <w:rPr>
          <w:rFonts w:ascii="Palatino Linotype" w:hAnsi="Palatino Linotype"/>
          <w:bCs/>
        </w:rPr>
        <w:t>)</w:t>
      </w:r>
      <w:r w:rsidR="008B1B81" w:rsidRPr="008F0050">
        <w:rPr>
          <w:rFonts w:ascii="Palatino Linotype" w:hAnsi="Palatino Linotype"/>
          <w:bCs/>
        </w:rPr>
        <w:t>.</w:t>
      </w:r>
      <w:r w:rsidR="006D5115" w:rsidRPr="008F0050">
        <w:rPr>
          <w:rFonts w:ascii="Palatino Linotype" w:hAnsi="Palatino Linotype"/>
          <w:bCs/>
        </w:rPr>
        <w:t xml:space="preserve"> </w:t>
      </w:r>
      <w:r w:rsidR="00295304" w:rsidRPr="00026220">
        <w:rPr>
          <w:rFonts w:ascii="Palatino Linotype" w:hAnsi="Palatino Linotype"/>
          <w:bCs/>
        </w:rPr>
        <w:t xml:space="preserve">Lustration </w:t>
      </w:r>
      <w:r>
        <w:rPr>
          <w:rFonts w:ascii="Palatino Linotype" w:hAnsi="Palatino Linotype"/>
          <w:bCs/>
        </w:rPr>
        <w:t xml:space="preserve">emerged as due to </w:t>
      </w:r>
      <w:r w:rsidR="00DB3AD9" w:rsidRPr="00026220">
        <w:rPr>
          <w:rFonts w:ascii="Palatino Linotype" w:hAnsi="Palatino Linotype"/>
          <w:bCs/>
        </w:rPr>
        <w:t>‘…the instrumental use of lustration by political partie</w:t>
      </w:r>
      <w:r w:rsidR="00295304" w:rsidRPr="00026220">
        <w:rPr>
          <w:rFonts w:ascii="Palatino Linotype" w:hAnsi="Palatino Linotype"/>
          <w:bCs/>
        </w:rPr>
        <w:t xml:space="preserve">s to remove or discredit rivals… to </w:t>
      </w:r>
      <w:r w:rsidR="00DB3AD9" w:rsidRPr="00026220">
        <w:rPr>
          <w:rFonts w:ascii="Palatino Linotype" w:hAnsi="Palatino Linotype"/>
          <w:bCs/>
        </w:rPr>
        <w:t>undermine the legitimacy of the measures and threat</w:t>
      </w:r>
      <w:r w:rsidR="00295304" w:rsidRPr="00026220">
        <w:rPr>
          <w:rFonts w:ascii="Palatino Linotype" w:hAnsi="Palatino Linotype"/>
          <w:bCs/>
        </w:rPr>
        <w:t>en the foundations of democracy</w:t>
      </w:r>
      <w:r w:rsidR="00DB3AD9" w:rsidRPr="00026220">
        <w:rPr>
          <w:rFonts w:ascii="Palatino Linotype" w:hAnsi="Palatino Linotype"/>
          <w:bCs/>
        </w:rPr>
        <w:t>’</w:t>
      </w:r>
      <w:r w:rsidR="009C2272" w:rsidRPr="00026220">
        <w:rPr>
          <w:rFonts w:ascii="Palatino Linotype" w:hAnsi="Palatino Linotype"/>
          <w:bCs/>
        </w:rPr>
        <w:t xml:space="preserve"> (</w:t>
      </w:r>
      <w:r w:rsidR="0036010E" w:rsidRPr="00D051C8">
        <w:rPr>
          <w:rFonts w:ascii="Palatino Linotype" w:hAnsi="Palatino Linotype"/>
          <w:bCs/>
        </w:rPr>
        <w:t>Horne</w:t>
      </w:r>
      <w:r w:rsidRPr="00D051C8">
        <w:rPr>
          <w:rFonts w:ascii="Palatino Linotype" w:hAnsi="Palatino Linotype"/>
          <w:bCs/>
        </w:rPr>
        <w:t xml:space="preserve">, </w:t>
      </w:r>
      <w:r w:rsidR="009C2272" w:rsidRPr="00D051C8">
        <w:rPr>
          <w:rFonts w:ascii="Palatino Linotype" w:hAnsi="Palatino Linotype"/>
          <w:bCs/>
        </w:rPr>
        <w:t>2014</w:t>
      </w:r>
      <w:r w:rsidR="0036010E" w:rsidRPr="00D051C8">
        <w:rPr>
          <w:rFonts w:ascii="Palatino Linotype" w:hAnsi="Palatino Linotype"/>
          <w:bCs/>
        </w:rPr>
        <w:t>:</w:t>
      </w:r>
      <w:r w:rsidR="009C2272" w:rsidRPr="00D051C8">
        <w:rPr>
          <w:rFonts w:ascii="Palatino Linotype" w:hAnsi="Palatino Linotype"/>
          <w:bCs/>
        </w:rPr>
        <w:t xml:space="preserve"> 499</w:t>
      </w:r>
      <w:r w:rsidR="009C2272" w:rsidRPr="00026220">
        <w:rPr>
          <w:rFonts w:ascii="Palatino Linotype" w:hAnsi="Palatino Linotype"/>
          <w:bCs/>
        </w:rPr>
        <w:t>)</w:t>
      </w:r>
      <w:r w:rsidR="00DB3AD9" w:rsidRPr="00026220">
        <w:rPr>
          <w:rFonts w:ascii="Palatino Linotype" w:hAnsi="Palatino Linotype"/>
          <w:bCs/>
        </w:rPr>
        <w:t xml:space="preserve">. </w:t>
      </w:r>
      <w:r w:rsidR="00281FAB" w:rsidRPr="00026220">
        <w:rPr>
          <w:rFonts w:ascii="Palatino Linotype" w:hAnsi="Palatino Linotype"/>
          <w:bCs/>
        </w:rPr>
        <w:t>In explaining the agency of end</w:t>
      </w:r>
      <w:r w:rsidR="00295304" w:rsidRPr="00026220">
        <w:rPr>
          <w:rFonts w:ascii="Palatino Linotype" w:hAnsi="Palatino Linotype"/>
          <w:bCs/>
        </w:rPr>
        <w:t xml:space="preserve">ogenous </w:t>
      </w:r>
      <w:proofErr w:type="gramStart"/>
      <w:r w:rsidR="00295304" w:rsidRPr="00026220">
        <w:rPr>
          <w:rFonts w:ascii="Palatino Linotype" w:hAnsi="Palatino Linotype"/>
          <w:bCs/>
        </w:rPr>
        <w:t>actors</w:t>
      </w:r>
      <w:proofErr w:type="gramEnd"/>
      <w:r w:rsidR="00295304" w:rsidRPr="00026220">
        <w:rPr>
          <w:rFonts w:ascii="Palatino Linotype" w:hAnsi="Palatino Linotype"/>
          <w:bCs/>
        </w:rPr>
        <w:t xml:space="preserve"> t</w:t>
      </w:r>
      <w:r w:rsidR="00DB3AD9" w:rsidRPr="00026220">
        <w:rPr>
          <w:rFonts w:ascii="Palatino Linotype" w:hAnsi="Palatino Linotype"/>
          <w:bCs/>
        </w:rPr>
        <w:t xml:space="preserve">he US diplomatic service in at least one exchange, posted via WikiLeaks, noted the aims of domestic leadership </w:t>
      </w:r>
      <w:r w:rsidR="000D779A">
        <w:rPr>
          <w:rFonts w:ascii="Palatino Linotype" w:hAnsi="Palatino Linotype"/>
          <w:bCs/>
        </w:rPr>
        <w:t xml:space="preserve">regarding </w:t>
      </w:r>
      <w:r w:rsidR="00DB3AD9" w:rsidRPr="00026220">
        <w:rPr>
          <w:rFonts w:ascii="Palatino Linotype" w:hAnsi="Palatino Linotype"/>
          <w:bCs/>
        </w:rPr>
        <w:t>de-</w:t>
      </w:r>
      <w:proofErr w:type="spellStart"/>
      <w:r w:rsidR="00DB3AD9" w:rsidRPr="00026220">
        <w:rPr>
          <w:rFonts w:ascii="Palatino Linotype" w:hAnsi="Palatino Linotype"/>
          <w:bCs/>
        </w:rPr>
        <w:t>Ba’athification</w:t>
      </w:r>
      <w:proofErr w:type="spellEnd"/>
      <w:r w:rsidR="00DB3AD9" w:rsidRPr="00026220">
        <w:rPr>
          <w:rFonts w:ascii="Palatino Linotype" w:hAnsi="Palatino Linotype"/>
          <w:bCs/>
        </w:rPr>
        <w:t>;</w:t>
      </w:r>
    </w:p>
    <w:p w14:paraId="3BAD3BC5" w14:textId="77777777" w:rsidR="00DB3AD9" w:rsidRPr="00026220" w:rsidRDefault="00DB3AD9" w:rsidP="00DB3AD9">
      <w:pPr>
        <w:autoSpaceDE w:val="0"/>
        <w:autoSpaceDN w:val="0"/>
        <w:adjustRightInd w:val="0"/>
        <w:jc w:val="both"/>
        <w:rPr>
          <w:rFonts w:ascii="Palatino Linotype" w:hAnsi="Palatino Linotype"/>
          <w:bCs/>
        </w:rPr>
      </w:pPr>
    </w:p>
    <w:p w14:paraId="7FDACE54" w14:textId="77777777" w:rsidR="00DB3AD9" w:rsidRPr="00026220" w:rsidRDefault="00DB3AD9" w:rsidP="00DB3AD9">
      <w:pPr>
        <w:autoSpaceDE w:val="0"/>
        <w:autoSpaceDN w:val="0"/>
        <w:adjustRightInd w:val="0"/>
        <w:jc w:val="both"/>
        <w:rPr>
          <w:rFonts w:ascii="Palatino Linotype" w:hAnsi="Palatino Linotype"/>
          <w:bCs/>
        </w:rPr>
      </w:pPr>
      <w:r w:rsidRPr="00026220">
        <w:rPr>
          <w:rFonts w:ascii="Palatino Linotype" w:hAnsi="Palatino Linotype"/>
          <w:bCs/>
        </w:rPr>
        <w:t>‘</w:t>
      </w:r>
      <w:proofErr w:type="gramStart"/>
      <w:r w:rsidRPr="00026220">
        <w:rPr>
          <w:rFonts w:ascii="Palatino Linotype" w:hAnsi="Palatino Linotype"/>
          <w:bCs/>
        </w:rPr>
        <w:t>Actually</w:t>
      </w:r>
      <w:proofErr w:type="gramEnd"/>
      <w:r w:rsidRPr="00026220">
        <w:rPr>
          <w:rFonts w:ascii="Palatino Linotype" w:hAnsi="Palatino Linotype"/>
          <w:bCs/>
        </w:rPr>
        <w:t xml:space="preserve"> de</w:t>
      </w:r>
      <w:r w:rsidR="00281FAB" w:rsidRPr="00026220">
        <w:rPr>
          <w:rFonts w:ascii="Palatino Linotype" w:hAnsi="Palatino Linotype"/>
          <w:bCs/>
        </w:rPr>
        <w:t>-</w:t>
      </w:r>
      <w:proofErr w:type="spellStart"/>
      <w:r w:rsidR="00281FAB" w:rsidRPr="00026220">
        <w:rPr>
          <w:rFonts w:ascii="Palatino Linotype" w:hAnsi="Palatino Linotype"/>
          <w:bCs/>
        </w:rPr>
        <w:t>Ba’athification</w:t>
      </w:r>
      <w:proofErr w:type="spellEnd"/>
      <w:r w:rsidRPr="00026220">
        <w:rPr>
          <w:rFonts w:ascii="Palatino Linotype" w:hAnsi="Palatino Linotype"/>
          <w:bCs/>
        </w:rPr>
        <w:t xml:space="preserve"> (in the sense of the purging of the state of members of the</w:t>
      </w:r>
      <w:r w:rsidR="00C35CF0" w:rsidRPr="00026220">
        <w:rPr>
          <w:rFonts w:ascii="Palatino Linotype" w:hAnsi="Palatino Linotype"/>
          <w:bCs/>
        </w:rPr>
        <w:t xml:space="preserve"> </w:t>
      </w:r>
      <w:proofErr w:type="spellStart"/>
      <w:r w:rsidR="00C35CF0" w:rsidRPr="00026220">
        <w:rPr>
          <w:rFonts w:ascii="Palatino Linotype" w:hAnsi="Palatino Linotype"/>
          <w:bCs/>
        </w:rPr>
        <w:t>ancien</w:t>
      </w:r>
      <w:proofErr w:type="spellEnd"/>
      <w:r w:rsidR="00C35CF0" w:rsidRPr="00026220">
        <w:rPr>
          <w:rFonts w:ascii="Palatino Linotype" w:hAnsi="Palatino Linotype"/>
          <w:bCs/>
        </w:rPr>
        <w:t xml:space="preserve"> régime</w:t>
      </w:r>
      <w:r w:rsidRPr="00026220">
        <w:rPr>
          <w:rFonts w:ascii="Palatino Linotype" w:hAnsi="Palatino Linotype"/>
          <w:bCs/>
        </w:rPr>
        <w:t>) was completed by '04 by the U.S.-led CPA. The de-</w:t>
      </w:r>
      <w:proofErr w:type="spellStart"/>
      <w:r w:rsidRPr="00026220">
        <w:rPr>
          <w:rFonts w:ascii="Palatino Linotype" w:hAnsi="Palatino Linotype"/>
          <w:bCs/>
        </w:rPr>
        <w:t>Ba</w:t>
      </w:r>
      <w:r w:rsidR="00531000" w:rsidRPr="00026220">
        <w:rPr>
          <w:rFonts w:ascii="Palatino Linotype" w:hAnsi="Palatino Linotype"/>
          <w:bCs/>
        </w:rPr>
        <w:t>’</w:t>
      </w:r>
      <w:r w:rsidRPr="00026220">
        <w:rPr>
          <w:rFonts w:ascii="Palatino Linotype" w:hAnsi="Palatino Linotype"/>
          <w:bCs/>
        </w:rPr>
        <w:t>athification</w:t>
      </w:r>
      <w:proofErr w:type="spellEnd"/>
      <w:r w:rsidRPr="00026220">
        <w:rPr>
          <w:rFonts w:ascii="Palatino Linotype" w:hAnsi="Palatino Linotype"/>
          <w:bCs/>
        </w:rPr>
        <w:t xml:space="preserve"> you are referring to is the subsequent Shia/Kurdish attempts to thwart a potential comeback by Baathists and keep Sunnis in general</w:t>
      </w:r>
      <w:r w:rsidR="00531000" w:rsidRPr="00026220">
        <w:rPr>
          <w:rFonts w:ascii="Palatino Linotype" w:hAnsi="Palatino Linotype"/>
          <w:bCs/>
        </w:rPr>
        <w:t xml:space="preserve"> in check.</w:t>
      </w:r>
      <w:r w:rsidR="003A63EA" w:rsidRPr="00026220">
        <w:rPr>
          <w:rStyle w:val="EndnoteReference"/>
          <w:rFonts w:ascii="Palatino Linotype" w:hAnsi="Palatino Linotype"/>
          <w:bCs/>
        </w:rPr>
        <w:endnoteReference w:id="14"/>
      </w:r>
      <w:r w:rsidR="00531000" w:rsidRPr="00026220">
        <w:rPr>
          <w:rFonts w:ascii="Palatino Linotype" w:hAnsi="Palatino Linotype"/>
          <w:bCs/>
        </w:rPr>
        <w:t>’</w:t>
      </w:r>
      <w:r w:rsidR="001526D6" w:rsidRPr="00026220">
        <w:rPr>
          <w:rFonts w:ascii="Palatino Linotype" w:hAnsi="Palatino Linotype"/>
        </w:rPr>
        <w:t xml:space="preserve"> </w:t>
      </w:r>
    </w:p>
    <w:p w14:paraId="082A5D96" w14:textId="77777777" w:rsidR="00DB3AD9" w:rsidRPr="00026220" w:rsidRDefault="00DB3AD9" w:rsidP="00304EA6">
      <w:pPr>
        <w:autoSpaceDE w:val="0"/>
        <w:autoSpaceDN w:val="0"/>
        <w:adjustRightInd w:val="0"/>
        <w:jc w:val="both"/>
        <w:rPr>
          <w:rFonts w:ascii="Palatino Linotype" w:hAnsi="Palatino Linotype"/>
          <w:bCs/>
        </w:rPr>
      </w:pPr>
    </w:p>
    <w:p w14:paraId="5C54FAB7" w14:textId="77777777" w:rsidR="00185CBA" w:rsidRPr="00026220" w:rsidRDefault="00185CBA" w:rsidP="00315BFD">
      <w:pPr>
        <w:ind w:right="-7"/>
        <w:jc w:val="both"/>
        <w:rPr>
          <w:rFonts w:ascii="Palatino Linotype" w:hAnsi="Palatino Linotype"/>
          <w:b/>
          <w:bCs/>
        </w:rPr>
      </w:pPr>
      <w:r w:rsidRPr="00026220">
        <w:rPr>
          <w:rFonts w:ascii="Palatino Linotype" w:hAnsi="Palatino Linotype"/>
          <w:b/>
          <w:bCs/>
        </w:rPr>
        <w:t>Contested Voices</w:t>
      </w:r>
    </w:p>
    <w:p w14:paraId="4323134D" w14:textId="77777777" w:rsidR="00B41934" w:rsidRPr="00026220" w:rsidRDefault="00B41934" w:rsidP="00315BFD">
      <w:pPr>
        <w:ind w:right="-7"/>
        <w:jc w:val="both"/>
        <w:rPr>
          <w:rFonts w:ascii="Palatino Linotype" w:hAnsi="Palatino Linotype"/>
          <w:bCs/>
          <w:color w:val="FF0000"/>
        </w:rPr>
      </w:pPr>
    </w:p>
    <w:p w14:paraId="33A83C20" w14:textId="77777777" w:rsidR="00A744A3" w:rsidRDefault="00315BFD" w:rsidP="00315BFD">
      <w:pPr>
        <w:ind w:right="-7"/>
        <w:jc w:val="both"/>
        <w:rPr>
          <w:rFonts w:ascii="Palatino Linotype" w:hAnsi="Palatino Linotype"/>
          <w:bCs/>
        </w:rPr>
      </w:pPr>
      <w:r w:rsidRPr="00026220">
        <w:rPr>
          <w:rFonts w:ascii="Palatino Linotype" w:hAnsi="Palatino Linotype"/>
          <w:bCs/>
        </w:rPr>
        <w:t>W</w:t>
      </w:r>
      <w:r w:rsidR="00002E00" w:rsidRPr="00026220">
        <w:rPr>
          <w:rFonts w:ascii="Palatino Linotype" w:hAnsi="Palatino Linotype"/>
          <w:bCs/>
        </w:rPr>
        <w:t xml:space="preserve">e now shift from describing lustration to evaluating practice by </w:t>
      </w:r>
      <w:r w:rsidRPr="00026220">
        <w:rPr>
          <w:rFonts w:ascii="Palatino Linotype" w:hAnsi="Palatino Linotype"/>
          <w:bCs/>
        </w:rPr>
        <w:t>account</w:t>
      </w:r>
      <w:r w:rsidR="00002E00" w:rsidRPr="00026220">
        <w:rPr>
          <w:rFonts w:ascii="Palatino Linotype" w:hAnsi="Palatino Linotype"/>
          <w:bCs/>
        </w:rPr>
        <w:t>ing</w:t>
      </w:r>
      <w:r w:rsidRPr="00026220">
        <w:rPr>
          <w:rFonts w:ascii="Palatino Linotype" w:hAnsi="Palatino Linotype"/>
          <w:bCs/>
        </w:rPr>
        <w:t xml:space="preserve"> for the agency </w:t>
      </w:r>
      <w:r w:rsidR="00631FD7">
        <w:rPr>
          <w:rFonts w:ascii="Palatino Linotype" w:hAnsi="Palatino Linotype"/>
          <w:bCs/>
        </w:rPr>
        <w:t>of lustration as act</w:t>
      </w:r>
      <w:r w:rsidRPr="00026220">
        <w:rPr>
          <w:rFonts w:ascii="Palatino Linotype" w:hAnsi="Palatino Linotype"/>
          <w:bCs/>
        </w:rPr>
        <w:t xml:space="preserve"> and social re-construction</w:t>
      </w:r>
      <w:r w:rsidR="00C22B4F" w:rsidRPr="00026220">
        <w:rPr>
          <w:rFonts w:ascii="Palatino Linotype" w:hAnsi="Palatino Linotype"/>
          <w:bCs/>
        </w:rPr>
        <w:t xml:space="preserve">. We here </w:t>
      </w:r>
      <w:r w:rsidR="00730E50" w:rsidRPr="00026220">
        <w:rPr>
          <w:rFonts w:ascii="Palatino Linotype" w:hAnsi="Palatino Linotype"/>
          <w:bCs/>
        </w:rPr>
        <w:t>read</w:t>
      </w:r>
      <w:r w:rsidR="00AC0CD7" w:rsidRPr="00026220">
        <w:rPr>
          <w:rFonts w:ascii="Palatino Linotype" w:hAnsi="Palatino Linotype"/>
          <w:bCs/>
        </w:rPr>
        <w:t xml:space="preserve"> </w:t>
      </w:r>
      <w:r w:rsidR="00C22B4F" w:rsidRPr="00026220">
        <w:rPr>
          <w:rFonts w:ascii="Palatino Linotype" w:hAnsi="Palatino Linotype"/>
          <w:bCs/>
        </w:rPr>
        <w:t>de-</w:t>
      </w:r>
      <w:proofErr w:type="spellStart"/>
      <w:r w:rsidR="00C22B4F" w:rsidRPr="00026220">
        <w:rPr>
          <w:rFonts w:ascii="Palatino Linotype" w:hAnsi="Palatino Linotype"/>
          <w:bCs/>
        </w:rPr>
        <w:t>Ba’athification</w:t>
      </w:r>
      <w:proofErr w:type="spellEnd"/>
      <w:r w:rsidR="00C22B4F" w:rsidRPr="00026220">
        <w:rPr>
          <w:rFonts w:ascii="Palatino Linotype" w:hAnsi="Palatino Linotype"/>
          <w:bCs/>
        </w:rPr>
        <w:t xml:space="preserve"> </w:t>
      </w:r>
      <w:r w:rsidR="00002E00" w:rsidRPr="00026220">
        <w:rPr>
          <w:rFonts w:ascii="Palatino Linotype" w:hAnsi="Palatino Linotype"/>
          <w:bCs/>
        </w:rPr>
        <w:t xml:space="preserve">as </w:t>
      </w:r>
      <w:r w:rsidR="00BF4203" w:rsidRPr="00026220">
        <w:rPr>
          <w:rFonts w:ascii="Palatino Linotype" w:hAnsi="Palatino Linotype"/>
          <w:bCs/>
        </w:rPr>
        <w:t xml:space="preserve">a governance of </w:t>
      </w:r>
      <w:r w:rsidR="00631FD7">
        <w:rPr>
          <w:rFonts w:ascii="Palatino Linotype" w:hAnsi="Palatino Linotype"/>
          <w:bCs/>
        </w:rPr>
        <w:t xml:space="preserve">rhetoric </w:t>
      </w:r>
      <w:r w:rsidRPr="00026220">
        <w:rPr>
          <w:rFonts w:ascii="Palatino Linotype" w:hAnsi="Palatino Linotype"/>
          <w:bCs/>
        </w:rPr>
        <w:t>and inter-subjecti</w:t>
      </w:r>
      <w:r w:rsidR="00B725F2" w:rsidRPr="00026220">
        <w:rPr>
          <w:rFonts w:ascii="Palatino Linotype" w:hAnsi="Palatino Linotype"/>
          <w:bCs/>
        </w:rPr>
        <w:t>ve claims and interpretations b</w:t>
      </w:r>
      <w:r w:rsidR="00B41934" w:rsidRPr="00026220">
        <w:rPr>
          <w:rFonts w:ascii="Palatino Linotype" w:hAnsi="Palatino Linotype"/>
          <w:bCs/>
        </w:rPr>
        <w:t xml:space="preserve">etween those who wished to </w:t>
      </w:r>
      <w:proofErr w:type="spellStart"/>
      <w:r w:rsidR="00B41934" w:rsidRPr="00026220">
        <w:rPr>
          <w:rFonts w:ascii="Palatino Linotype" w:hAnsi="Palatino Linotype"/>
          <w:bCs/>
        </w:rPr>
        <w:t>stigmatise</w:t>
      </w:r>
      <w:proofErr w:type="spellEnd"/>
      <w:r w:rsidR="00B41934" w:rsidRPr="00026220">
        <w:rPr>
          <w:rFonts w:ascii="Palatino Linotype" w:hAnsi="Palatino Linotype"/>
          <w:bCs/>
        </w:rPr>
        <w:t xml:space="preserve"> and those s</w:t>
      </w:r>
      <w:r w:rsidR="00B725F2" w:rsidRPr="00026220">
        <w:rPr>
          <w:rFonts w:ascii="Palatino Linotype" w:hAnsi="Palatino Linotype"/>
          <w:bCs/>
        </w:rPr>
        <w:t>tigmatically</w:t>
      </w:r>
      <w:r w:rsidR="00B41934" w:rsidRPr="00026220">
        <w:rPr>
          <w:rFonts w:ascii="Palatino Linotype" w:hAnsi="Palatino Linotype"/>
          <w:bCs/>
        </w:rPr>
        <w:t xml:space="preserve"> shamed </w:t>
      </w:r>
      <w:r w:rsidR="00B725F2" w:rsidRPr="00026220">
        <w:rPr>
          <w:rFonts w:ascii="Palatino Linotype" w:hAnsi="Palatino Linotype"/>
          <w:bCs/>
        </w:rPr>
        <w:t xml:space="preserve">by </w:t>
      </w:r>
      <w:r w:rsidR="00B41934" w:rsidRPr="00026220">
        <w:rPr>
          <w:rFonts w:ascii="Palatino Linotype" w:hAnsi="Palatino Linotype"/>
          <w:bCs/>
        </w:rPr>
        <w:t xml:space="preserve">lustration. </w:t>
      </w:r>
      <w:r w:rsidR="00631FD7">
        <w:rPr>
          <w:rFonts w:ascii="Palatino Linotype" w:hAnsi="Palatino Linotype"/>
          <w:bCs/>
        </w:rPr>
        <w:t>A form of h</w:t>
      </w:r>
      <w:r w:rsidR="00185CBA" w:rsidRPr="00026220">
        <w:rPr>
          <w:rFonts w:ascii="Palatino Linotype" w:hAnsi="Palatino Linotype"/>
          <w:bCs/>
        </w:rPr>
        <w:t xml:space="preserve">abitus </w:t>
      </w:r>
      <w:r w:rsidR="009C6B90">
        <w:rPr>
          <w:rFonts w:ascii="Palatino Linotype" w:hAnsi="Palatino Linotype"/>
          <w:bCs/>
        </w:rPr>
        <w:t xml:space="preserve">conditioned </w:t>
      </w:r>
      <w:r w:rsidR="00590FCC">
        <w:rPr>
          <w:rFonts w:ascii="Palatino Linotype" w:hAnsi="Palatino Linotype"/>
          <w:bCs/>
        </w:rPr>
        <w:t>through</w:t>
      </w:r>
      <w:r w:rsidR="00AC0CD7" w:rsidRPr="00026220">
        <w:rPr>
          <w:rFonts w:ascii="Palatino Linotype" w:hAnsi="Palatino Linotype"/>
          <w:bCs/>
        </w:rPr>
        <w:t xml:space="preserve"> </w:t>
      </w:r>
      <w:r w:rsidR="00ED086F" w:rsidRPr="00026220">
        <w:rPr>
          <w:rFonts w:ascii="Palatino Linotype" w:hAnsi="Palatino Linotype"/>
          <w:bCs/>
        </w:rPr>
        <w:t>the enactment of power and</w:t>
      </w:r>
      <w:r w:rsidR="00AC0CD7" w:rsidRPr="00026220">
        <w:rPr>
          <w:rFonts w:ascii="Palatino Linotype" w:hAnsi="Palatino Linotype"/>
          <w:bCs/>
        </w:rPr>
        <w:t xml:space="preserve"> the </w:t>
      </w:r>
      <w:r w:rsidR="00B725F2" w:rsidRPr="00026220">
        <w:rPr>
          <w:rFonts w:ascii="Palatino Linotype" w:hAnsi="Palatino Linotype"/>
          <w:bCs/>
        </w:rPr>
        <w:t xml:space="preserve">negative </w:t>
      </w:r>
      <w:r w:rsidR="00AC0CD7" w:rsidRPr="00026220">
        <w:rPr>
          <w:rFonts w:ascii="Palatino Linotype" w:hAnsi="Palatino Linotype"/>
          <w:bCs/>
        </w:rPr>
        <w:t>experience</w:t>
      </w:r>
      <w:r w:rsidR="00590FCC">
        <w:rPr>
          <w:rFonts w:ascii="Palatino Linotype" w:hAnsi="Palatino Linotype"/>
          <w:bCs/>
        </w:rPr>
        <w:t>s</w:t>
      </w:r>
      <w:r w:rsidR="00AC0CD7" w:rsidRPr="00026220">
        <w:rPr>
          <w:rFonts w:ascii="Palatino Linotype" w:hAnsi="Palatino Linotype"/>
          <w:bCs/>
        </w:rPr>
        <w:t xml:space="preserve"> of that </w:t>
      </w:r>
      <w:r w:rsidR="00B725F2" w:rsidRPr="00026220">
        <w:rPr>
          <w:rFonts w:ascii="Palatino Linotype" w:hAnsi="Palatino Linotype"/>
          <w:bCs/>
        </w:rPr>
        <w:t xml:space="preserve">power </w:t>
      </w:r>
      <w:r w:rsidR="00590FCC">
        <w:rPr>
          <w:rFonts w:ascii="Palatino Linotype" w:hAnsi="Palatino Linotype"/>
          <w:bCs/>
        </w:rPr>
        <w:t xml:space="preserve">redistribution </w:t>
      </w:r>
      <w:r w:rsidR="00AC0CD7" w:rsidRPr="00026220">
        <w:rPr>
          <w:rFonts w:ascii="Palatino Linotype" w:hAnsi="Palatino Linotype"/>
          <w:bCs/>
        </w:rPr>
        <w:t>(</w:t>
      </w:r>
      <w:r w:rsidR="00185CBA" w:rsidRPr="00D051C8">
        <w:rPr>
          <w:rFonts w:ascii="Palatino Linotype" w:hAnsi="Palatino Linotype"/>
          <w:bCs/>
        </w:rPr>
        <w:t>Bourdieu and Wacquant</w:t>
      </w:r>
      <w:r w:rsidR="00D051C8" w:rsidRPr="00D051C8">
        <w:rPr>
          <w:rFonts w:ascii="Palatino Linotype" w:hAnsi="Palatino Linotype"/>
          <w:bCs/>
        </w:rPr>
        <w:t>,</w:t>
      </w:r>
      <w:r w:rsidR="00185CBA" w:rsidRPr="00D051C8">
        <w:rPr>
          <w:rFonts w:ascii="Palatino Linotype" w:hAnsi="Palatino Linotype"/>
          <w:bCs/>
        </w:rPr>
        <w:t xml:space="preserve"> 1992</w:t>
      </w:r>
      <w:r w:rsidR="00631FD7">
        <w:rPr>
          <w:rFonts w:ascii="Palatino Linotype" w:hAnsi="Palatino Linotype"/>
          <w:bCs/>
        </w:rPr>
        <w:t xml:space="preserve">). The </w:t>
      </w:r>
      <w:r w:rsidR="00AC0CD7" w:rsidRPr="00026220">
        <w:rPr>
          <w:rFonts w:ascii="Palatino Linotype" w:hAnsi="Palatino Linotype"/>
          <w:bCs/>
        </w:rPr>
        <w:t xml:space="preserve">response of interviewees is linked to their position as it relates to </w:t>
      </w:r>
      <w:r w:rsidR="00730E50" w:rsidRPr="00026220">
        <w:rPr>
          <w:rFonts w:ascii="Palatino Linotype" w:hAnsi="Palatino Linotype"/>
          <w:bCs/>
        </w:rPr>
        <w:t xml:space="preserve">their </w:t>
      </w:r>
      <w:r w:rsidR="00AC0CD7" w:rsidRPr="00026220">
        <w:rPr>
          <w:rFonts w:ascii="Palatino Linotype" w:hAnsi="Palatino Linotype"/>
          <w:bCs/>
        </w:rPr>
        <w:t xml:space="preserve">experience of state resource re-alignment. </w:t>
      </w:r>
      <w:r w:rsidR="00ED086F" w:rsidRPr="00026220">
        <w:rPr>
          <w:rFonts w:ascii="Palatino Linotype" w:hAnsi="Palatino Linotype"/>
          <w:bCs/>
        </w:rPr>
        <w:t>The ejection from the public space of st</w:t>
      </w:r>
      <w:r w:rsidR="00EF17B2" w:rsidRPr="00026220">
        <w:rPr>
          <w:rFonts w:ascii="Palatino Linotype" w:hAnsi="Palatino Linotype"/>
          <w:bCs/>
        </w:rPr>
        <w:t>ate-funded employment stimulated</w:t>
      </w:r>
      <w:r w:rsidR="00ED086F" w:rsidRPr="00026220">
        <w:rPr>
          <w:rFonts w:ascii="Palatino Linotype" w:hAnsi="Palatino Linotype"/>
          <w:bCs/>
        </w:rPr>
        <w:t xml:space="preserve"> </w:t>
      </w:r>
      <w:r w:rsidR="00AF1605">
        <w:rPr>
          <w:rFonts w:ascii="Palatino Linotype" w:hAnsi="Palatino Linotype"/>
          <w:bCs/>
        </w:rPr>
        <w:t xml:space="preserve">both </w:t>
      </w:r>
      <w:r w:rsidR="00ED086F" w:rsidRPr="00026220">
        <w:rPr>
          <w:rFonts w:ascii="Palatino Linotype" w:hAnsi="Palatino Linotype"/>
          <w:bCs/>
        </w:rPr>
        <w:t xml:space="preserve">senses of control and marginalization linked to empowerment </w:t>
      </w:r>
      <w:r w:rsidR="00EF17B2" w:rsidRPr="00026220">
        <w:rPr>
          <w:rFonts w:ascii="Palatino Linotype" w:hAnsi="Palatino Linotype"/>
          <w:bCs/>
        </w:rPr>
        <w:t>and disempowerment</w:t>
      </w:r>
      <w:r w:rsidR="00ED086F" w:rsidRPr="00026220">
        <w:rPr>
          <w:rFonts w:ascii="Palatino Linotype" w:hAnsi="Palatino Linotype"/>
          <w:bCs/>
        </w:rPr>
        <w:t xml:space="preserve">. </w:t>
      </w:r>
      <w:r w:rsidR="00EF17B2" w:rsidRPr="00026220">
        <w:rPr>
          <w:rFonts w:ascii="Palatino Linotype" w:hAnsi="Palatino Linotype"/>
          <w:bCs/>
        </w:rPr>
        <w:t xml:space="preserve"> </w:t>
      </w:r>
      <w:r w:rsidR="000E6754" w:rsidRPr="00026220">
        <w:rPr>
          <w:rFonts w:ascii="Palatino Linotype" w:hAnsi="Palatino Linotype"/>
          <w:bCs/>
        </w:rPr>
        <w:t>T</w:t>
      </w:r>
      <w:r w:rsidR="00ED086F" w:rsidRPr="00026220">
        <w:rPr>
          <w:rFonts w:ascii="Palatino Linotype" w:hAnsi="Palatino Linotype"/>
          <w:bCs/>
        </w:rPr>
        <w:t>he social distance to state contro</w:t>
      </w:r>
      <w:r w:rsidR="000E6754" w:rsidRPr="00026220">
        <w:rPr>
          <w:rFonts w:ascii="Palatino Linotype" w:hAnsi="Palatino Linotype"/>
          <w:bCs/>
        </w:rPr>
        <w:t xml:space="preserve">l of the public </w:t>
      </w:r>
      <w:r w:rsidR="00C04C87">
        <w:rPr>
          <w:rFonts w:ascii="Palatino Linotype" w:hAnsi="Palatino Linotype"/>
          <w:bCs/>
        </w:rPr>
        <w:t xml:space="preserve">sector </w:t>
      </w:r>
      <w:r w:rsidR="00AE5A4E">
        <w:rPr>
          <w:rFonts w:ascii="Palatino Linotype" w:hAnsi="Palatino Linotype"/>
          <w:bCs/>
        </w:rPr>
        <w:t xml:space="preserve">employment </w:t>
      </w:r>
      <w:r w:rsidR="000E6754" w:rsidRPr="00026220">
        <w:rPr>
          <w:rFonts w:ascii="Palatino Linotype" w:hAnsi="Palatino Linotype"/>
          <w:bCs/>
        </w:rPr>
        <w:t>determined</w:t>
      </w:r>
      <w:r w:rsidR="00ED086F" w:rsidRPr="00026220">
        <w:rPr>
          <w:rFonts w:ascii="Palatino Linotype" w:hAnsi="Palatino Linotype"/>
          <w:bCs/>
        </w:rPr>
        <w:t xml:space="preserve"> the narratives of explanation, sectarianism, </w:t>
      </w:r>
      <w:proofErr w:type="gramStart"/>
      <w:r w:rsidR="00ED086F" w:rsidRPr="00026220">
        <w:rPr>
          <w:rFonts w:ascii="Palatino Linotype" w:hAnsi="Palatino Linotype"/>
          <w:bCs/>
        </w:rPr>
        <w:t>burden</w:t>
      </w:r>
      <w:proofErr w:type="gramEnd"/>
      <w:r w:rsidR="00ED086F" w:rsidRPr="00026220">
        <w:rPr>
          <w:rFonts w:ascii="Palatino Linotype" w:hAnsi="Palatino Linotype"/>
          <w:bCs/>
        </w:rPr>
        <w:t xml:space="preserve"> and revenge. Those narratives</w:t>
      </w:r>
      <w:r w:rsidR="002D0EEA" w:rsidRPr="00026220">
        <w:rPr>
          <w:rFonts w:ascii="Palatino Linotype" w:hAnsi="Palatino Linotype"/>
          <w:bCs/>
        </w:rPr>
        <w:t xml:space="preserve"> form</w:t>
      </w:r>
      <w:r w:rsidR="00ED086F" w:rsidRPr="00026220">
        <w:rPr>
          <w:rFonts w:ascii="Palatino Linotype" w:hAnsi="Palatino Linotype"/>
          <w:bCs/>
        </w:rPr>
        <w:t xml:space="preserve"> the conduct </w:t>
      </w:r>
      <w:r w:rsidR="00EF17B2" w:rsidRPr="00026220">
        <w:rPr>
          <w:rFonts w:ascii="Palatino Linotype" w:hAnsi="Palatino Linotype"/>
          <w:bCs/>
        </w:rPr>
        <w:t>and exper</w:t>
      </w:r>
      <w:r w:rsidR="00C04C87">
        <w:rPr>
          <w:rFonts w:ascii="Palatino Linotype" w:hAnsi="Palatino Linotype"/>
          <w:bCs/>
        </w:rPr>
        <w:t>ience of otherness.</w:t>
      </w:r>
    </w:p>
    <w:p w14:paraId="58177895" w14:textId="77777777" w:rsidR="00A744A3" w:rsidRDefault="00A744A3" w:rsidP="00315BFD">
      <w:pPr>
        <w:ind w:right="-7"/>
        <w:jc w:val="both"/>
        <w:rPr>
          <w:rFonts w:ascii="Palatino Linotype" w:hAnsi="Palatino Linotype"/>
          <w:bCs/>
        </w:rPr>
      </w:pPr>
    </w:p>
    <w:p w14:paraId="1779C79F" w14:textId="77777777" w:rsidR="00F95D4D" w:rsidRPr="00026220" w:rsidRDefault="00185CBA" w:rsidP="00315BFD">
      <w:pPr>
        <w:ind w:right="-7"/>
        <w:jc w:val="both"/>
        <w:rPr>
          <w:rFonts w:ascii="Palatino Linotype" w:hAnsi="Palatino Linotype"/>
          <w:bCs/>
        </w:rPr>
      </w:pPr>
      <w:r w:rsidRPr="00026220">
        <w:rPr>
          <w:rFonts w:ascii="Palatino Linotype" w:hAnsi="Palatino Linotype"/>
          <w:bCs/>
        </w:rPr>
        <w:t xml:space="preserve">By </w:t>
      </w:r>
      <w:r w:rsidR="00471E9D" w:rsidRPr="00026220">
        <w:rPr>
          <w:rFonts w:ascii="Palatino Linotype" w:hAnsi="Palatino Linotype"/>
          <w:bCs/>
        </w:rPr>
        <w:t xml:space="preserve">their very nature these are </w:t>
      </w:r>
      <w:r w:rsidR="00641C62" w:rsidRPr="00026220">
        <w:rPr>
          <w:rFonts w:ascii="Palatino Linotype" w:hAnsi="Palatino Linotype"/>
          <w:bCs/>
        </w:rPr>
        <w:t>voices of domination and resistance</w:t>
      </w:r>
      <w:r w:rsidR="00AE648A">
        <w:rPr>
          <w:rFonts w:ascii="Palatino Linotype" w:hAnsi="Palatino Linotype"/>
          <w:bCs/>
        </w:rPr>
        <w:t xml:space="preserve"> linked to variant experiences</w:t>
      </w:r>
      <w:r w:rsidR="00641C62" w:rsidRPr="00026220">
        <w:rPr>
          <w:rFonts w:ascii="Palatino Linotype" w:hAnsi="Palatino Linotype"/>
          <w:bCs/>
        </w:rPr>
        <w:t xml:space="preserve"> of menace which aims to </w:t>
      </w:r>
      <w:r w:rsidR="00B70023">
        <w:rPr>
          <w:rFonts w:ascii="Palatino Linotype" w:hAnsi="Palatino Linotype"/>
          <w:bCs/>
        </w:rPr>
        <w:t xml:space="preserve">either </w:t>
      </w:r>
      <w:r w:rsidR="00641C62" w:rsidRPr="00026220">
        <w:rPr>
          <w:rFonts w:ascii="Palatino Linotype" w:hAnsi="Palatino Linotype"/>
          <w:bCs/>
        </w:rPr>
        <w:t xml:space="preserve">remove the danger of Ba’athism </w:t>
      </w:r>
      <w:r w:rsidR="00B70023">
        <w:rPr>
          <w:rFonts w:ascii="Palatino Linotype" w:hAnsi="Palatino Linotype"/>
          <w:bCs/>
        </w:rPr>
        <w:t xml:space="preserve">or </w:t>
      </w:r>
      <w:r w:rsidR="00641C62" w:rsidRPr="00026220">
        <w:rPr>
          <w:rFonts w:ascii="Palatino Linotype" w:hAnsi="Palatino Linotype"/>
          <w:bCs/>
        </w:rPr>
        <w:lastRenderedPageBreak/>
        <w:t>challenge</w:t>
      </w:r>
      <w:r w:rsidR="00C03CA3" w:rsidRPr="00026220">
        <w:rPr>
          <w:rFonts w:ascii="Palatino Linotype" w:hAnsi="Palatino Linotype"/>
          <w:bCs/>
        </w:rPr>
        <w:t>s</w:t>
      </w:r>
      <w:r w:rsidR="00641C62" w:rsidRPr="00026220">
        <w:rPr>
          <w:rFonts w:ascii="Palatino Linotype" w:hAnsi="Palatino Linotype"/>
          <w:bCs/>
        </w:rPr>
        <w:t xml:space="preserve"> the risk of exclusion</w:t>
      </w:r>
      <w:r w:rsidR="00B70023">
        <w:rPr>
          <w:rFonts w:ascii="Palatino Linotype" w:hAnsi="Palatino Linotype"/>
          <w:bCs/>
        </w:rPr>
        <w:t xml:space="preserve"> therein</w:t>
      </w:r>
      <w:r w:rsidR="00471E9D" w:rsidRPr="00026220">
        <w:rPr>
          <w:rFonts w:ascii="Palatino Linotype" w:hAnsi="Palatino Linotype"/>
          <w:bCs/>
        </w:rPr>
        <w:t xml:space="preserve">. </w:t>
      </w:r>
      <w:r w:rsidR="00CB4701">
        <w:rPr>
          <w:rFonts w:ascii="Palatino Linotype" w:hAnsi="Palatino Linotype"/>
          <w:bCs/>
        </w:rPr>
        <w:t xml:space="preserve"> </w:t>
      </w:r>
      <w:r w:rsidR="00C03CA3" w:rsidRPr="00026220">
        <w:rPr>
          <w:rFonts w:ascii="Palatino Linotype" w:hAnsi="Palatino Linotype"/>
          <w:bCs/>
        </w:rPr>
        <w:t xml:space="preserve">Lustration </w:t>
      </w:r>
      <w:r w:rsidR="00F95D4D" w:rsidRPr="00026220">
        <w:rPr>
          <w:rFonts w:ascii="Palatino Linotype" w:hAnsi="Palatino Linotype"/>
          <w:bCs/>
        </w:rPr>
        <w:t xml:space="preserve">conditioned experience and the outplaying of state </w:t>
      </w:r>
      <w:r w:rsidR="00891A1A" w:rsidRPr="00026220">
        <w:rPr>
          <w:rFonts w:ascii="Palatino Linotype" w:hAnsi="Palatino Linotype"/>
          <w:bCs/>
        </w:rPr>
        <w:t>regulation</w:t>
      </w:r>
      <w:r w:rsidR="00222572" w:rsidRPr="00026220">
        <w:rPr>
          <w:rFonts w:ascii="Palatino Linotype" w:hAnsi="Palatino Linotype"/>
          <w:bCs/>
        </w:rPr>
        <w:t xml:space="preserve"> highlighted</w:t>
      </w:r>
      <w:r w:rsidR="00F95D4D" w:rsidRPr="00026220">
        <w:rPr>
          <w:rFonts w:ascii="Palatino Linotype" w:hAnsi="Palatino Linotype"/>
          <w:bCs/>
        </w:rPr>
        <w:t xml:space="preserve"> how </w:t>
      </w:r>
      <w:r w:rsidR="00CB4701">
        <w:rPr>
          <w:rFonts w:ascii="Palatino Linotype" w:hAnsi="Palatino Linotype"/>
          <w:bCs/>
        </w:rPr>
        <w:t xml:space="preserve">its </w:t>
      </w:r>
      <w:r w:rsidR="00F95D4D" w:rsidRPr="00026220">
        <w:rPr>
          <w:rFonts w:ascii="Palatino Linotype" w:hAnsi="Palatino Linotype"/>
          <w:bCs/>
        </w:rPr>
        <w:t xml:space="preserve">practices created a symbolic and real segregation of ethnic groups regarding </w:t>
      </w:r>
      <w:r w:rsidR="00C04C87">
        <w:rPr>
          <w:rFonts w:ascii="Palatino Linotype" w:hAnsi="Palatino Linotype"/>
          <w:bCs/>
        </w:rPr>
        <w:t>legal treatment</w:t>
      </w:r>
      <w:r w:rsidR="00F95D4D" w:rsidRPr="00026220">
        <w:rPr>
          <w:rFonts w:ascii="Palatino Linotype" w:hAnsi="Palatino Linotype"/>
          <w:bCs/>
        </w:rPr>
        <w:t>.</w:t>
      </w:r>
      <w:r w:rsidR="00AE5A4E">
        <w:rPr>
          <w:rFonts w:ascii="Palatino Linotype" w:hAnsi="Palatino Linotype"/>
          <w:bCs/>
        </w:rPr>
        <w:t xml:space="preserve"> In a sense capturing voice </w:t>
      </w:r>
      <w:r w:rsidR="00A744A3">
        <w:rPr>
          <w:rFonts w:ascii="Palatino Linotype" w:hAnsi="Palatino Linotype"/>
          <w:bCs/>
        </w:rPr>
        <w:t xml:space="preserve">is based upon presenting the </w:t>
      </w:r>
      <w:r w:rsidR="00A744A3" w:rsidRPr="00A744A3">
        <w:rPr>
          <w:rFonts w:ascii="Palatino Linotype" w:hAnsi="Palatino Linotype"/>
          <w:bCs/>
        </w:rPr>
        <w:t xml:space="preserve">material and discursive borders created </w:t>
      </w:r>
      <w:r w:rsidR="00A744A3">
        <w:rPr>
          <w:rFonts w:ascii="Palatino Linotype" w:hAnsi="Palatino Linotype"/>
          <w:bCs/>
        </w:rPr>
        <w:t xml:space="preserve">between </w:t>
      </w:r>
      <w:r w:rsidR="00C04C87">
        <w:rPr>
          <w:rFonts w:ascii="Palatino Linotype" w:hAnsi="Palatino Linotype"/>
          <w:bCs/>
        </w:rPr>
        <w:t>those omitted</w:t>
      </w:r>
      <w:r w:rsidR="00AE5A4E">
        <w:rPr>
          <w:rFonts w:ascii="Palatino Linotype" w:hAnsi="Palatino Linotype"/>
          <w:bCs/>
        </w:rPr>
        <w:t xml:space="preserve"> and those with the power to exclude. What we observe is an elite whose capacity to exclude is understood as unproblematic </w:t>
      </w:r>
      <w:r w:rsidR="00C04C87">
        <w:rPr>
          <w:rFonts w:ascii="Palatino Linotype" w:hAnsi="Palatino Linotype"/>
          <w:bCs/>
        </w:rPr>
        <w:t xml:space="preserve">to them </w:t>
      </w:r>
      <w:r w:rsidR="00AE5A4E">
        <w:rPr>
          <w:rFonts w:ascii="Palatino Linotype" w:hAnsi="Palatino Linotype"/>
          <w:bCs/>
        </w:rPr>
        <w:t xml:space="preserve">and the voice of the excluded who present </w:t>
      </w:r>
      <w:r w:rsidR="00C04C87">
        <w:rPr>
          <w:rFonts w:ascii="Palatino Linotype" w:hAnsi="Palatino Linotype"/>
          <w:bCs/>
        </w:rPr>
        <w:t xml:space="preserve">their exclusion as unfounded </w:t>
      </w:r>
      <w:r w:rsidR="00AE5A4E">
        <w:rPr>
          <w:rFonts w:ascii="Palatino Linotype" w:hAnsi="Palatino Linotype"/>
          <w:bCs/>
        </w:rPr>
        <w:t xml:space="preserve">marginality. </w:t>
      </w:r>
    </w:p>
    <w:p w14:paraId="35EBC9EC" w14:textId="77777777" w:rsidR="00392659" w:rsidRPr="00026220" w:rsidRDefault="00392659" w:rsidP="00315BFD">
      <w:pPr>
        <w:ind w:right="-7"/>
        <w:jc w:val="both"/>
        <w:rPr>
          <w:rFonts w:ascii="Palatino Linotype" w:hAnsi="Palatino Linotype"/>
          <w:bCs/>
        </w:rPr>
      </w:pPr>
    </w:p>
    <w:p w14:paraId="31AE2E30" w14:textId="77777777" w:rsidR="008B1B81" w:rsidRPr="00026220" w:rsidRDefault="008B1B81" w:rsidP="00B42419">
      <w:pPr>
        <w:autoSpaceDE w:val="0"/>
        <w:autoSpaceDN w:val="0"/>
        <w:adjustRightInd w:val="0"/>
        <w:jc w:val="both"/>
        <w:rPr>
          <w:rFonts w:ascii="Palatino Linotype" w:hAnsi="Palatino Linotype"/>
          <w:bCs/>
          <w:i/>
        </w:rPr>
      </w:pPr>
      <w:r w:rsidRPr="00026220">
        <w:rPr>
          <w:rFonts w:ascii="Palatino Linotype" w:hAnsi="Palatino Linotype"/>
          <w:bCs/>
          <w:i/>
        </w:rPr>
        <w:t>De-</w:t>
      </w:r>
      <w:proofErr w:type="spellStart"/>
      <w:r w:rsidRPr="00026220">
        <w:rPr>
          <w:rFonts w:ascii="Palatino Linotype" w:hAnsi="Palatino Linotype"/>
          <w:bCs/>
          <w:i/>
        </w:rPr>
        <w:t>Ba’athification</w:t>
      </w:r>
      <w:proofErr w:type="spellEnd"/>
      <w:r w:rsidR="00315BFD" w:rsidRPr="00026220">
        <w:rPr>
          <w:rFonts w:ascii="Palatino Linotype" w:hAnsi="Palatino Linotype"/>
          <w:bCs/>
          <w:i/>
        </w:rPr>
        <w:t xml:space="preserve"> as Cause</w:t>
      </w:r>
    </w:p>
    <w:p w14:paraId="022EBDE9" w14:textId="77777777" w:rsidR="00881B22" w:rsidRPr="00026220" w:rsidRDefault="00881B22" w:rsidP="00B42419">
      <w:pPr>
        <w:autoSpaceDE w:val="0"/>
        <w:autoSpaceDN w:val="0"/>
        <w:adjustRightInd w:val="0"/>
        <w:jc w:val="both"/>
        <w:rPr>
          <w:rFonts w:ascii="Palatino Linotype" w:hAnsi="Palatino Linotype"/>
          <w:bCs/>
        </w:rPr>
      </w:pPr>
    </w:p>
    <w:p w14:paraId="56383849" w14:textId="77777777" w:rsidR="008519D6" w:rsidRPr="00026220" w:rsidRDefault="0002291C" w:rsidP="008519D6">
      <w:pPr>
        <w:autoSpaceDE w:val="0"/>
        <w:autoSpaceDN w:val="0"/>
        <w:adjustRightInd w:val="0"/>
        <w:jc w:val="both"/>
        <w:rPr>
          <w:rFonts w:ascii="Palatino Linotype" w:hAnsi="Palatino Linotype"/>
          <w:bCs/>
        </w:rPr>
      </w:pPr>
      <w:r w:rsidRPr="00026220">
        <w:rPr>
          <w:rFonts w:ascii="Palatino Linotype" w:hAnsi="Palatino Linotype"/>
          <w:bCs/>
        </w:rPr>
        <w:t xml:space="preserve">What we </w:t>
      </w:r>
      <w:r w:rsidR="00A744A3" w:rsidRPr="00026220">
        <w:rPr>
          <w:rFonts w:ascii="Palatino Linotype" w:hAnsi="Palatino Linotype"/>
          <w:bCs/>
        </w:rPr>
        <w:t>witness</w:t>
      </w:r>
      <w:r w:rsidRPr="00026220">
        <w:rPr>
          <w:rFonts w:ascii="Palatino Linotype" w:hAnsi="Palatino Linotype"/>
          <w:bCs/>
        </w:rPr>
        <w:t xml:space="preserve"> when examining the interviews with lustration adherents and practitioners is their understanding that lustration was </w:t>
      </w:r>
      <w:r w:rsidR="001526D6" w:rsidRPr="00026220">
        <w:rPr>
          <w:rFonts w:ascii="Palatino Linotype" w:hAnsi="Palatino Linotype"/>
          <w:bCs/>
        </w:rPr>
        <w:t xml:space="preserve">a </w:t>
      </w:r>
      <w:r w:rsidRPr="00026220">
        <w:rPr>
          <w:rFonts w:ascii="Palatino Linotype" w:hAnsi="Palatino Linotype"/>
          <w:bCs/>
        </w:rPr>
        <w:t>site within which</w:t>
      </w:r>
      <w:r w:rsidR="00715F43" w:rsidRPr="00026220">
        <w:rPr>
          <w:rFonts w:ascii="Palatino Linotype" w:hAnsi="Palatino Linotype"/>
          <w:bCs/>
        </w:rPr>
        <w:t xml:space="preserve"> to construct hegemony</w:t>
      </w:r>
      <w:r w:rsidRPr="00026220">
        <w:rPr>
          <w:rFonts w:ascii="Palatino Linotype" w:hAnsi="Palatino Linotype"/>
          <w:bCs/>
        </w:rPr>
        <w:t xml:space="preserve"> not only through control of the process but by defying reconciliatory strategies </w:t>
      </w:r>
      <w:r w:rsidR="000A5E60" w:rsidRPr="00026220">
        <w:rPr>
          <w:rFonts w:ascii="Palatino Linotype" w:hAnsi="Palatino Linotype"/>
          <w:bCs/>
        </w:rPr>
        <w:t xml:space="preserve">and </w:t>
      </w:r>
      <w:r w:rsidR="00867A22">
        <w:rPr>
          <w:rFonts w:ascii="Palatino Linotype" w:hAnsi="Palatino Linotype"/>
          <w:bCs/>
        </w:rPr>
        <w:t xml:space="preserve">locating the power to </w:t>
      </w:r>
      <w:r w:rsidRPr="00026220">
        <w:rPr>
          <w:rFonts w:ascii="Palatino Linotype" w:hAnsi="Palatino Linotype"/>
          <w:bCs/>
        </w:rPr>
        <w:t>neuter</w:t>
      </w:r>
      <w:r w:rsidR="00867A22">
        <w:rPr>
          <w:rFonts w:ascii="Palatino Linotype" w:hAnsi="Palatino Linotype"/>
          <w:bCs/>
        </w:rPr>
        <w:t xml:space="preserve"> </w:t>
      </w:r>
      <w:r w:rsidR="00A938EF">
        <w:rPr>
          <w:rFonts w:ascii="Palatino Linotype" w:hAnsi="Palatino Linotype"/>
          <w:bCs/>
        </w:rPr>
        <w:t>opposition</w:t>
      </w:r>
      <w:r w:rsidR="0025356F" w:rsidRPr="00026220">
        <w:rPr>
          <w:rFonts w:ascii="Palatino Linotype" w:hAnsi="Palatino Linotype"/>
          <w:bCs/>
        </w:rPr>
        <w:t xml:space="preserve">. </w:t>
      </w:r>
      <w:r w:rsidRPr="00026220">
        <w:rPr>
          <w:rFonts w:ascii="Palatino Linotype" w:hAnsi="Palatino Linotype"/>
          <w:bCs/>
        </w:rPr>
        <w:t xml:space="preserve">The power to humiliate and control </w:t>
      </w:r>
      <w:r w:rsidR="00105B87">
        <w:rPr>
          <w:rFonts w:ascii="Palatino Linotype" w:hAnsi="Palatino Linotype"/>
          <w:bCs/>
        </w:rPr>
        <w:t>defined</w:t>
      </w:r>
      <w:r w:rsidR="008C1424" w:rsidRPr="00026220">
        <w:rPr>
          <w:rFonts w:ascii="Palatino Linotype" w:hAnsi="Palatino Linotype"/>
          <w:bCs/>
        </w:rPr>
        <w:t xml:space="preserve"> the </w:t>
      </w:r>
      <w:r w:rsidR="00715F43" w:rsidRPr="00026220">
        <w:rPr>
          <w:rFonts w:ascii="Palatino Linotype" w:hAnsi="Palatino Linotype"/>
          <w:bCs/>
        </w:rPr>
        <w:t>epithet</w:t>
      </w:r>
      <w:r w:rsidR="008C1424" w:rsidRPr="00026220">
        <w:rPr>
          <w:rFonts w:ascii="Palatino Linotype" w:hAnsi="Palatino Linotype"/>
          <w:bCs/>
        </w:rPr>
        <w:t xml:space="preserve"> of</w:t>
      </w:r>
      <w:r w:rsidRPr="00026220">
        <w:rPr>
          <w:rFonts w:ascii="Palatino Linotype" w:hAnsi="Palatino Linotype"/>
          <w:bCs/>
        </w:rPr>
        <w:t xml:space="preserve"> wider legal authority </w:t>
      </w:r>
      <w:r w:rsidR="008C1424" w:rsidRPr="00026220">
        <w:rPr>
          <w:rFonts w:ascii="Palatino Linotype" w:hAnsi="Palatino Linotype"/>
          <w:bCs/>
        </w:rPr>
        <w:t xml:space="preserve">and </w:t>
      </w:r>
      <w:r w:rsidRPr="00026220">
        <w:rPr>
          <w:rFonts w:ascii="Palatino Linotype" w:hAnsi="Palatino Linotype"/>
          <w:bCs/>
        </w:rPr>
        <w:t xml:space="preserve">narrow </w:t>
      </w:r>
      <w:proofErr w:type="spellStart"/>
      <w:r w:rsidRPr="00026220">
        <w:rPr>
          <w:rFonts w:ascii="Palatino Linotype" w:hAnsi="Palatino Linotype"/>
          <w:bCs/>
        </w:rPr>
        <w:t>sectionalised</w:t>
      </w:r>
      <w:proofErr w:type="spellEnd"/>
      <w:r w:rsidRPr="00026220">
        <w:rPr>
          <w:rFonts w:ascii="Palatino Linotype" w:hAnsi="Palatino Linotype"/>
          <w:bCs/>
        </w:rPr>
        <w:t xml:space="preserve"> motivations</w:t>
      </w:r>
      <w:r w:rsidR="0041630F" w:rsidRPr="00026220">
        <w:rPr>
          <w:rFonts w:ascii="Palatino Linotype" w:hAnsi="Palatino Linotype"/>
          <w:bCs/>
        </w:rPr>
        <w:t xml:space="preserve"> through</w:t>
      </w:r>
      <w:r w:rsidR="00D5586E" w:rsidRPr="00026220">
        <w:rPr>
          <w:rFonts w:ascii="Palatino Linotype" w:hAnsi="Palatino Linotype"/>
          <w:bCs/>
        </w:rPr>
        <w:t xml:space="preserve"> a</w:t>
      </w:r>
      <w:r w:rsidR="008C1424" w:rsidRPr="00026220">
        <w:rPr>
          <w:rFonts w:ascii="Palatino Linotype" w:hAnsi="Palatino Linotype"/>
          <w:bCs/>
        </w:rPr>
        <w:t xml:space="preserve"> range of </w:t>
      </w:r>
      <w:r w:rsidR="00222572" w:rsidRPr="00026220">
        <w:rPr>
          <w:rFonts w:ascii="Palatino Linotype" w:hAnsi="Palatino Linotype"/>
          <w:bCs/>
        </w:rPr>
        <w:t xml:space="preserve">practices and </w:t>
      </w:r>
      <w:r w:rsidR="00AE1A2A" w:rsidRPr="00026220">
        <w:rPr>
          <w:rFonts w:ascii="Palatino Linotype" w:hAnsi="Palatino Linotype"/>
          <w:bCs/>
        </w:rPr>
        <w:t xml:space="preserve">symbolic approaches. </w:t>
      </w:r>
      <w:r w:rsidR="00222572" w:rsidRPr="00026220">
        <w:rPr>
          <w:rFonts w:ascii="Palatino Linotype" w:hAnsi="Palatino Linotype"/>
          <w:bCs/>
        </w:rPr>
        <w:t xml:space="preserve">For this </w:t>
      </w:r>
      <w:proofErr w:type="gramStart"/>
      <w:r w:rsidR="00222572" w:rsidRPr="00026220">
        <w:rPr>
          <w:rFonts w:ascii="Palatino Linotype" w:hAnsi="Palatino Linotype"/>
          <w:bCs/>
        </w:rPr>
        <w:t>cohort</w:t>
      </w:r>
      <w:proofErr w:type="gramEnd"/>
      <w:r w:rsidR="00222572" w:rsidRPr="00026220">
        <w:rPr>
          <w:rFonts w:ascii="Palatino Linotype" w:hAnsi="Palatino Linotype"/>
          <w:bCs/>
        </w:rPr>
        <w:t xml:space="preserve"> </w:t>
      </w:r>
      <w:r w:rsidR="00D5586E" w:rsidRPr="00026220">
        <w:rPr>
          <w:rFonts w:ascii="Palatino Linotype" w:hAnsi="Palatino Linotype"/>
          <w:bCs/>
        </w:rPr>
        <w:t xml:space="preserve">the </w:t>
      </w:r>
      <w:r w:rsidR="008C1424" w:rsidRPr="00026220">
        <w:rPr>
          <w:rFonts w:ascii="Palatino Linotype" w:hAnsi="Palatino Linotype"/>
          <w:bCs/>
        </w:rPr>
        <w:t xml:space="preserve">administration of lustration was accompanied by the position </w:t>
      </w:r>
      <w:r w:rsidR="00D5586E" w:rsidRPr="00026220">
        <w:rPr>
          <w:rFonts w:ascii="Palatino Linotype" w:hAnsi="Palatino Linotype"/>
          <w:bCs/>
        </w:rPr>
        <w:t>that all members of the Ba’ath Party (excluding those forced t</w:t>
      </w:r>
      <w:r w:rsidR="00867A22">
        <w:rPr>
          <w:rFonts w:ascii="Palatino Linotype" w:hAnsi="Palatino Linotype"/>
          <w:bCs/>
        </w:rPr>
        <w:t>o join</w:t>
      </w:r>
      <w:r w:rsidR="00D5586E" w:rsidRPr="00026220">
        <w:rPr>
          <w:rFonts w:ascii="Palatino Linotype" w:hAnsi="Palatino Linotype"/>
          <w:bCs/>
        </w:rPr>
        <w:t xml:space="preserve">) were a cabal </w:t>
      </w:r>
      <w:r w:rsidR="00C47970" w:rsidRPr="00026220">
        <w:rPr>
          <w:rFonts w:ascii="Palatino Linotype" w:hAnsi="Palatino Linotype"/>
          <w:bCs/>
        </w:rPr>
        <w:t xml:space="preserve">of </w:t>
      </w:r>
      <w:r w:rsidR="002D0EEA" w:rsidRPr="00026220">
        <w:rPr>
          <w:rFonts w:ascii="Palatino Linotype" w:hAnsi="Palatino Linotype"/>
          <w:bCs/>
        </w:rPr>
        <w:t>manipulators</w:t>
      </w:r>
      <w:r w:rsidR="00C47970" w:rsidRPr="00026220">
        <w:rPr>
          <w:rFonts w:ascii="Palatino Linotype" w:hAnsi="Palatino Linotype"/>
          <w:bCs/>
        </w:rPr>
        <w:t xml:space="preserve"> </w:t>
      </w:r>
      <w:r w:rsidR="00D5586E" w:rsidRPr="00026220">
        <w:rPr>
          <w:rFonts w:ascii="Palatino Linotype" w:hAnsi="Palatino Linotype"/>
          <w:bCs/>
        </w:rPr>
        <w:t>who required suppression</w:t>
      </w:r>
      <w:r w:rsidR="0041630F" w:rsidRPr="00026220">
        <w:rPr>
          <w:rFonts w:ascii="Palatino Linotype" w:hAnsi="Palatino Linotype"/>
          <w:bCs/>
        </w:rPr>
        <w:t xml:space="preserve">. </w:t>
      </w:r>
      <w:r w:rsidR="002B1BB7" w:rsidRPr="00026220">
        <w:rPr>
          <w:rFonts w:ascii="Palatino Linotype" w:hAnsi="Palatino Linotype"/>
          <w:bCs/>
        </w:rPr>
        <w:t xml:space="preserve">Such </w:t>
      </w:r>
      <w:r w:rsidR="009C6B90">
        <w:rPr>
          <w:rFonts w:ascii="Palatino Linotype" w:hAnsi="Palatino Linotype"/>
          <w:bCs/>
        </w:rPr>
        <w:t xml:space="preserve">a </w:t>
      </w:r>
      <w:r w:rsidR="00F20E5F">
        <w:rPr>
          <w:rFonts w:ascii="Palatino Linotype" w:hAnsi="Palatino Linotype"/>
          <w:bCs/>
        </w:rPr>
        <w:t xml:space="preserve">narrative </w:t>
      </w:r>
      <w:commentRangeStart w:id="7"/>
      <w:r w:rsidR="00F20E5F">
        <w:rPr>
          <w:rFonts w:ascii="Palatino Linotype" w:hAnsi="Palatino Linotype"/>
          <w:bCs/>
        </w:rPr>
        <w:t>denying</w:t>
      </w:r>
      <w:commentRangeEnd w:id="7"/>
      <w:r w:rsidR="004B4806">
        <w:rPr>
          <w:rStyle w:val="CommentReference"/>
        </w:rPr>
        <w:commentReference w:id="7"/>
      </w:r>
      <w:r w:rsidR="002B1BB7" w:rsidRPr="00026220">
        <w:rPr>
          <w:rFonts w:ascii="Palatino Linotype" w:hAnsi="Palatino Linotype"/>
          <w:bCs/>
        </w:rPr>
        <w:t xml:space="preserve"> the reality of</w:t>
      </w:r>
      <w:r w:rsidR="0041630F" w:rsidRPr="00026220">
        <w:rPr>
          <w:rFonts w:ascii="Palatino Linotype" w:hAnsi="Palatino Linotype"/>
          <w:bCs/>
        </w:rPr>
        <w:t xml:space="preserve"> forced and </w:t>
      </w:r>
      <w:r w:rsidR="002B1BB7" w:rsidRPr="00026220">
        <w:rPr>
          <w:rFonts w:ascii="Palatino Linotype" w:hAnsi="Palatino Linotype"/>
          <w:bCs/>
        </w:rPr>
        <w:t xml:space="preserve">automatic </w:t>
      </w:r>
      <w:r w:rsidR="00206939">
        <w:rPr>
          <w:rFonts w:ascii="Palatino Linotype" w:hAnsi="Palatino Linotype"/>
          <w:bCs/>
        </w:rPr>
        <w:t xml:space="preserve">membership </w:t>
      </w:r>
      <w:r w:rsidR="002B1BB7" w:rsidRPr="00026220">
        <w:rPr>
          <w:rFonts w:ascii="Palatino Linotype" w:hAnsi="Palatino Linotype"/>
          <w:bCs/>
        </w:rPr>
        <w:t>on</w:t>
      </w:r>
      <w:r w:rsidR="0041630F" w:rsidRPr="00026220">
        <w:rPr>
          <w:rFonts w:ascii="Palatino Linotype" w:hAnsi="Palatino Linotype"/>
          <w:bCs/>
        </w:rPr>
        <w:t xml:space="preserve"> gaining a public sector post</w:t>
      </w:r>
      <w:r w:rsidR="00D5586E" w:rsidRPr="00026220">
        <w:rPr>
          <w:rFonts w:ascii="Palatino Linotype" w:hAnsi="Palatino Linotype"/>
          <w:bCs/>
        </w:rPr>
        <w:t xml:space="preserve">.  </w:t>
      </w:r>
      <w:r w:rsidR="008519D6" w:rsidRPr="00026220">
        <w:rPr>
          <w:rFonts w:ascii="Palatino Linotype" w:hAnsi="Palatino Linotype"/>
          <w:bCs/>
        </w:rPr>
        <w:t xml:space="preserve">As explained by a member of the Islamic </w:t>
      </w:r>
      <w:proofErr w:type="spellStart"/>
      <w:r w:rsidR="008519D6" w:rsidRPr="00026220">
        <w:rPr>
          <w:rFonts w:ascii="Palatino Linotype" w:hAnsi="Palatino Linotype"/>
          <w:bCs/>
        </w:rPr>
        <w:t>Da’awah</w:t>
      </w:r>
      <w:proofErr w:type="spellEnd"/>
      <w:r w:rsidR="008519D6" w:rsidRPr="00026220">
        <w:rPr>
          <w:rFonts w:ascii="Palatino Linotype" w:hAnsi="Palatino Linotype"/>
          <w:bCs/>
        </w:rPr>
        <w:t xml:space="preserve"> </w:t>
      </w:r>
      <w:proofErr w:type="gramStart"/>
      <w:r w:rsidR="008519D6" w:rsidRPr="00026220">
        <w:rPr>
          <w:rFonts w:ascii="Palatino Linotype" w:hAnsi="Palatino Linotype"/>
          <w:bCs/>
        </w:rPr>
        <w:t>Party;</w:t>
      </w:r>
      <w:proofErr w:type="gramEnd"/>
    </w:p>
    <w:p w14:paraId="45D41B8B" w14:textId="77777777" w:rsidR="008519D6" w:rsidRPr="00026220" w:rsidRDefault="008519D6" w:rsidP="008519D6">
      <w:pPr>
        <w:autoSpaceDE w:val="0"/>
        <w:autoSpaceDN w:val="0"/>
        <w:adjustRightInd w:val="0"/>
        <w:jc w:val="both"/>
        <w:rPr>
          <w:rFonts w:ascii="Palatino Linotype" w:hAnsi="Palatino Linotype"/>
          <w:bCs/>
        </w:rPr>
      </w:pPr>
    </w:p>
    <w:p w14:paraId="753177DD" w14:textId="77777777" w:rsidR="00D5586E" w:rsidRPr="00026220" w:rsidRDefault="008519D6" w:rsidP="008519D6">
      <w:pPr>
        <w:autoSpaceDE w:val="0"/>
        <w:autoSpaceDN w:val="0"/>
        <w:adjustRightInd w:val="0"/>
        <w:jc w:val="both"/>
        <w:rPr>
          <w:rFonts w:ascii="Palatino Linotype" w:hAnsi="Palatino Linotype"/>
          <w:bCs/>
        </w:rPr>
      </w:pPr>
      <w:r w:rsidRPr="00026220">
        <w:rPr>
          <w:rFonts w:ascii="Palatino Linotype" w:hAnsi="Palatino Linotype"/>
          <w:bCs/>
        </w:rPr>
        <w:t xml:space="preserve">‘The rope of a lie is short. The Ba’athists are ideology but pretend to be people. If you were in </w:t>
      </w:r>
      <w:r w:rsidR="008C1424" w:rsidRPr="00026220">
        <w:rPr>
          <w:rFonts w:ascii="Palatino Linotype" w:hAnsi="Palatino Linotype"/>
          <w:bCs/>
        </w:rPr>
        <w:t xml:space="preserve">any </w:t>
      </w:r>
      <w:r w:rsidRPr="00026220">
        <w:rPr>
          <w:rFonts w:ascii="Palatino Linotype" w:hAnsi="Palatino Linotype"/>
          <w:bCs/>
        </w:rPr>
        <w:t>ranks</w:t>
      </w:r>
      <w:r w:rsidR="00C47970" w:rsidRPr="00026220">
        <w:rPr>
          <w:rFonts w:ascii="Palatino Linotype" w:hAnsi="Palatino Linotype"/>
          <w:bCs/>
        </w:rPr>
        <w:t xml:space="preserve"> </w:t>
      </w:r>
      <w:r w:rsidRPr="00026220">
        <w:rPr>
          <w:rFonts w:ascii="Palatino Linotype" w:hAnsi="Palatino Linotype"/>
          <w:bCs/>
        </w:rPr>
        <w:t xml:space="preserve">of </w:t>
      </w:r>
      <w:proofErr w:type="gramStart"/>
      <w:r w:rsidRPr="00026220">
        <w:rPr>
          <w:rFonts w:ascii="Palatino Linotype" w:hAnsi="Palatino Linotype"/>
          <w:bCs/>
        </w:rPr>
        <w:t>Ba’ath</w:t>
      </w:r>
      <w:proofErr w:type="gramEnd"/>
      <w:r w:rsidRPr="00026220">
        <w:rPr>
          <w:rFonts w:ascii="Palatino Linotype" w:hAnsi="Palatino Linotype"/>
          <w:bCs/>
        </w:rPr>
        <w:t xml:space="preserve"> you are </w:t>
      </w:r>
      <w:proofErr w:type="spellStart"/>
      <w:r w:rsidRPr="00026220">
        <w:rPr>
          <w:rFonts w:ascii="Palatino Linotype" w:hAnsi="Palatino Linotype"/>
          <w:bCs/>
        </w:rPr>
        <w:t>Saddamist</w:t>
      </w:r>
      <w:proofErr w:type="spellEnd"/>
      <w:r w:rsidRPr="00026220">
        <w:rPr>
          <w:rFonts w:ascii="Palatino Linotype" w:hAnsi="Palatino Linotype"/>
          <w:bCs/>
        </w:rPr>
        <w:t xml:space="preserve"> and you bring misery on Iraqi people. I do not care for blood on the hands, all </w:t>
      </w:r>
      <w:proofErr w:type="spellStart"/>
      <w:r w:rsidRPr="00026220">
        <w:rPr>
          <w:rFonts w:ascii="Palatino Linotype" w:hAnsi="Palatino Linotype"/>
          <w:bCs/>
        </w:rPr>
        <w:t>Saddamists</w:t>
      </w:r>
      <w:proofErr w:type="spellEnd"/>
      <w:r w:rsidRPr="00026220">
        <w:rPr>
          <w:rFonts w:ascii="Palatino Linotype" w:hAnsi="Palatino Linotype"/>
          <w:bCs/>
        </w:rPr>
        <w:t xml:space="preserve"> must be removed. I </w:t>
      </w:r>
      <w:proofErr w:type="gramStart"/>
      <w:r w:rsidRPr="00026220">
        <w:rPr>
          <w:rFonts w:ascii="Palatino Linotype" w:hAnsi="Palatino Linotype"/>
          <w:bCs/>
        </w:rPr>
        <w:t>don’t</w:t>
      </w:r>
      <w:proofErr w:type="gramEnd"/>
      <w:r w:rsidRPr="00026220">
        <w:rPr>
          <w:rFonts w:ascii="Palatino Linotype" w:hAnsi="Palatino Linotype"/>
          <w:bCs/>
        </w:rPr>
        <w:t xml:space="preserve"> care what they have not done. It makes no difference. </w:t>
      </w:r>
      <w:r w:rsidR="00D61267" w:rsidRPr="00026220">
        <w:rPr>
          <w:rFonts w:ascii="Palatino Linotype" w:hAnsi="Palatino Linotype"/>
          <w:bCs/>
        </w:rPr>
        <w:t>I do not care if they did no wrong. The Ba’athist is a corrupt person and ideology.’</w:t>
      </w:r>
    </w:p>
    <w:p w14:paraId="05D0475C" w14:textId="77777777" w:rsidR="00D5586E" w:rsidRPr="00026220" w:rsidRDefault="00D5586E" w:rsidP="008519D6">
      <w:pPr>
        <w:autoSpaceDE w:val="0"/>
        <w:autoSpaceDN w:val="0"/>
        <w:adjustRightInd w:val="0"/>
        <w:jc w:val="both"/>
        <w:rPr>
          <w:rFonts w:ascii="Palatino Linotype" w:hAnsi="Palatino Linotype"/>
          <w:bCs/>
        </w:rPr>
      </w:pPr>
    </w:p>
    <w:p w14:paraId="224E4175" w14:textId="77777777" w:rsidR="00FE34B1" w:rsidRPr="00026220" w:rsidRDefault="00222572" w:rsidP="008519D6">
      <w:pPr>
        <w:autoSpaceDE w:val="0"/>
        <w:autoSpaceDN w:val="0"/>
        <w:adjustRightInd w:val="0"/>
        <w:jc w:val="both"/>
        <w:rPr>
          <w:rFonts w:ascii="Palatino Linotype" w:hAnsi="Palatino Linotype"/>
          <w:bCs/>
        </w:rPr>
      </w:pPr>
      <w:r w:rsidRPr="00026220">
        <w:rPr>
          <w:rFonts w:ascii="Palatino Linotype" w:hAnsi="Palatino Linotype"/>
          <w:bCs/>
        </w:rPr>
        <w:t xml:space="preserve">Further, </w:t>
      </w:r>
      <w:r w:rsidR="00C47970" w:rsidRPr="00026220">
        <w:rPr>
          <w:rFonts w:ascii="Palatino Linotype" w:hAnsi="Palatino Linotype"/>
          <w:bCs/>
        </w:rPr>
        <w:t xml:space="preserve">the erroneous idea </w:t>
      </w:r>
      <w:r w:rsidR="00FD0773" w:rsidRPr="00026220">
        <w:rPr>
          <w:rFonts w:ascii="Palatino Linotype" w:hAnsi="Palatino Linotype"/>
          <w:bCs/>
        </w:rPr>
        <w:t xml:space="preserve">was advanced </w:t>
      </w:r>
      <w:r w:rsidR="00C47970" w:rsidRPr="00026220">
        <w:rPr>
          <w:rFonts w:ascii="Palatino Linotype" w:hAnsi="Palatino Linotype"/>
          <w:bCs/>
        </w:rPr>
        <w:t xml:space="preserve">that Sunnis </w:t>
      </w:r>
      <w:r w:rsidR="001526D6" w:rsidRPr="00026220">
        <w:rPr>
          <w:rFonts w:ascii="Palatino Linotype" w:hAnsi="Palatino Linotype"/>
          <w:bCs/>
        </w:rPr>
        <w:t>represent</w:t>
      </w:r>
      <w:r w:rsidRPr="00026220">
        <w:rPr>
          <w:rFonts w:ascii="Palatino Linotype" w:hAnsi="Palatino Linotype"/>
          <w:bCs/>
        </w:rPr>
        <w:t>ed</w:t>
      </w:r>
      <w:r w:rsidR="00715F43" w:rsidRPr="00026220">
        <w:rPr>
          <w:rFonts w:ascii="Palatino Linotype" w:hAnsi="Palatino Linotype"/>
          <w:bCs/>
        </w:rPr>
        <w:t xml:space="preserve"> </w:t>
      </w:r>
      <w:r w:rsidR="00485A90" w:rsidRPr="00026220">
        <w:rPr>
          <w:rFonts w:ascii="Palatino Linotype" w:hAnsi="Palatino Linotype"/>
          <w:bCs/>
        </w:rPr>
        <w:t xml:space="preserve">the </w:t>
      </w:r>
      <w:r w:rsidR="00FE34B1" w:rsidRPr="00026220">
        <w:rPr>
          <w:rFonts w:ascii="Palatino Linotype" w:hAnsi="Palatino Linotype"/>
          <w:bCs/>
        </w:rPr>
        <w:t xml:space="preserve">politics of </w:t>
      </w:r>
      <w:r w:rsidR="00C47970" w:rsidRPr="00026220">
        <w:rPr>
          <w:rFonts w:ascii="Palatino Linotype" w:hAnsi="Palatino Linotype"/>
          <w:bCs/>
        </w:rPr>
        <w:t>Ba’</w:t>
      </w:r>
      <w:r w:rsidR="00FE34B1" w:rsidRPr="00026220">
        <w:rPr>
          <w:rFonts w:ascii="Palatino Linotype" w:hAnsi="Palatino Linotype"/>
          <w:bCs/>
        </w:rPr>
        <w:t>ath</w:t>
      </w:r>
      <w:r w:rsidR="001526D6" w:rsidRPr="00026220">
        <w:rPr>
          <w:rFonts w:ascii="Palatino Linotype" w:hAnsi="Palatino Linotype"/>
          <w:bCs/>
        </w:rPr>
        <w:t>ism and that l</w:t>
      </w:r>
      <w:r w:rsidR="00FE34B1" w:rsidRPr="00026220">
        <w:rPr>
          <w:rFonts w:ascii="Palatino Linotype" w:hAnsi="Palatino Linotype"/>
          <w:bCs/>
        </w:rPr>
        <w:t>ustration</w:t>
      </w:r>
      <w:r w:rsidR="001526D6" w:rsidRPr="00026220">
        <w:rPr>
          <w:rFonts w:ascii="Palatino Linotype" w:hAnsi="Palatino Linotype"/>
          <w:bCs/>
        </w:rPr>
        <w:t xml:space="preserve"> is not a </w:t>
      </w:r>
      <w:r w:rsidR="00FE34B1" w:rsidRPr="00026220">
        <w:rPr>
          <w:rFonts w:ascii="Palatino Linotype" w:hAnsi="Palatino Linotype"/>
          <w:bCs/>
        </w:rPr>
        <w:t xml:space="preserve">transitional </w:t>
      </w:r>
      <w:r w:rsidR="00B475B6" w:rsidRPr="00026220">
        <w:rPr>
          <w:rFonts w:ascii="Palatino Linotype" w:hAnsi="Palatino Linotype"/>
          <w:bCs/>
        </w:rPr>
        <w:t xml:space="preserve">reconciliatory </w:t>
      </w:r>
      <w:r w:rsidR="00FE34B1" w:rsidRPr="00026220">
        <w:rPr>
          <w:rFonts w:ascii="Palatino Linotype" w:hAnsi="Palatino Linotype"/>
          <w:bCs/>
        </w:rPr>
        <w:t xml:space="preserve">process </w:t>
      </w:r>
      <w:r w:rsidR="00485A90" w:rsidRPr="00026220">
        <w:rPr>
          <w:rFonts w:ascii="Palatino Linotype" w:hAnsi="Palatino Linotype"/>
          <w:bCs/>
        </w:rPr>
        <w:t xml:space="preserve">but </w:t>
      </w:r>
      <w:r w:rsidR="00B475B6" w:rsidRPr="00026220">
        <w:rPr>
          <w:rFonts w:ascii="Palatino Linotype" w:hAnsi="Palatino Linotype"/>
          <w:bCs/>
        </w:rPr>
        <w:t xml:space="preserve">a </w:t>
      </w:r>
      <w:r w:rsidR="00FE34B1" w:rsidRPr="00026220">
        <w:rPr>
          <w:rFonts w:ascii="Palatino Linotype" w:hAnsi="Palatino Linotype"/>
          <w:bCs/>
        </w:rPr>
        <w:t xml:space="preserve">cause for Sunni </w:t>
      </w:r>
      <w:r w:rsidR="00B475B6" w:rsidRPr="00026220">
        <w:rPr>
          <w:rFonts w:ascii="Palatino Linotype" w:hAnsi="Palatino Linotype"/>
          <w:bCs/>
        </w:rPr>
        <w:t>marginalization</w:t>
      </w:r>
      <w:r w:rsidR="00FE34B1" w:rsidRPr="00026220">
        <w:rPr>
          <w:rFonts w:ascii="Palatino Linotype" w:hAnsi="Palatino Linotype"/>
          <w:bCs/>
        </w:rPr>
        <w:t xml:space="preserve">. </w:t>
      </w:r>
      <w:r w:rsidR="00B475B6" w:rsidRPr="00026220">
        <w:rPr>
          <w:rFonts w:ascii="Palatino Linotype" w:hAnsi="Palatino Linotype"/>
          <w:bCs/>
        </w:rPr>
        <w:t>Throughout the</w:t>
      </w:r>
      <w:r w:rsidR="00F33C41" w:rsidRPr="00026220">
        <w:rPr>
          <w:rFonts w:ascii="Palatino Linotype" w:hAnsi="Palatino Linotype"/>
          <w:bCs/>
        </w:rPr>
        <w:t>se</w:t>
      </w:r>
      <w:r w:rsidR="00B475B6" w:rsidRPr="00026220">
        <w:rPr>
          <w:rFonts w:ascii="Palatino Linotype" w:hAnsi="Palatino Linotype"/>
          <w:bCs/>
        </w:rPr>
        <w:t xml:space="preserve"> interviews high level</w:t>
      </w:r>
      <w:r w:rsidR="002D0EEA" w:rsidRPr="00026220">
        <w:rPr>
          <w:rFonts w:ascii="Palatino Linotype" w:hAnsi="Palatino Linotype"/>
          <w:bCs/>
        </w:rPr>
        <w:t>s</w:t>
      </w:r>
      <w:r w:rsidR="00B475B6" w:rsidRPr="00026220">
        <w:rPr>
          <w:rFonts w:ascii="Palatino Linotype" w:hAnsi="Palatino Linotype"/>
          <w:bCs/>
        </w:rPr>
        <w:t xml:space="preserve"> of sectarian cognition </w:t>
      </w:r>
      <w:r w:rsidR="00485A90" w:rsidRPr="00026220">
        <w:rPr>
          <w:rFonts w:ascii="Palatino Linotype" w:hAnsi="Palatino Linotype"/>
          <w:bCs/>
        </w:rPr>
        <w:t xml:space="preserve">emerged around the </w:t>
      </w:r>
      <w:r w:rsidR="00B475B6" w:rsidRPr="00026220">
        <w:rPr>
          <w:rFonts w:ascii="Palatino Linotype" w:hAnsi="Palatino Linotype"/>
          <w:bCs/>
        </w:rPr>
        <w:t xml:space="preserve">belief that </w:t>
      </w:r>
      <w:r w:rsidR="00485A90" w:rsidRPr="00026220">
        <w:rPr>
          <w:rFonts w:ascii="Palatino Linotype" w:hAnsi="Palatino Linotype"/>
          <w:bCs/>
        </w:rPr>
        <w:t>d</w:t>
      </w:r>
      <w:r w:rsidR="00B475B6" w:rsidRPr="00026220">
        <w:rPr>
          <w:rFonts w:ascii="Palatino Linotype" w:hAnsi="Palatino Linotype"/>
          <w:bCs/>
        </w:rPr>
        <w:t>e-</w:t>
      </w:r>
      <w:proofErr w:type="spellStart"/>
      <w:r w:rsidR="00B475B6" w:rsidRPr="00026220">
        <w:rPr>
          <w:rFonts w:ascii="Palatino Linotype" w:hAnsi="Palatino Linotype"/>
          <w:bCs/>
        </w:rPr>
        <w:t>Ba’athification</w:t>
      </w:r>
      <w:proofErr w:type="spellEnd"/>
      <w:r w:rsidR="00B475B6" w:rsidRPr="00026220">
        <w:rPr>
          <w:rFonts w:ascii="Palatino Linotype" w:hAnsi="Palatino Linotype"/>
          <w:bCs/>
        </w:rPr>
        <w:t xml:space="preserve"> </w:t>
      </w:r>
      <w:r w:rsidR="00BC3887" w:rsidRPr="00026220">
        <w:rPr>
          <w:rFonts w:ascii="Palatino Linotype" w:hAnsi="Palatino Linotype"/>
          <w:bCs/>
        </w:rPr>
        <w:t xml:space="preserve">should </w:t>
      </w:r>
      <w:r w:rsidR="00485A90" w:rsidRPr="00026220">
        <w:rPr>
          <w:rFonts w:ascii="Palatino Linotype" w:hAnsi="Palatino Linotype"/>
          <w:bCs/>
        </w:rPr>
        <w:t xml:space="preserve">undermine </w:t>
      </w:r>
      <w:r w:rsidR="00B475B6" w:rsidRPr="00026220">
        <w:rPr>
          <w:rFonts w:ascii="Palatino Linotype" w:hAnsi="Palatino Linotype"/>
          <w:bCs/>
        </w:rPr>
        <w:t xml:space="preserve">Sunni community power </w:t>
      </w:r>
      <w:r w:rsidR="000A22E7" w:rsidRPr="00026220">
        <w:rPr>
          <w:rFonts w:ascii="Palatino Linotype" w:hAnsi="Palatino Linotype"/>
          <w:bCs/>
        </w:rPr>
        <w:t xml:space="preserve">by </w:t>
      </w:r>
      <w:r w:rsidR="00485A90" w:rsidRPr="00026220">
        <w:rPr>
          <w:rFonts w:ascii="Palatino Linotype" w:hAnsi="Palatino Linotype"/>
          <w:bCs/>
        </w:rPr>
        <w:t>creating a</w:t>
      </w:r>
      <w:r w:rsidR="00B475B6" w:rsidRPr="00026220">
        <w:rPr>
          <w:rFonts w:ascii="Palatino Linotype" w:hAnsi="Palatino Linotype"/>
          <w:bCs/>
        </w:rPr>
        <w:t xml:space="preserve"> new dispensation that was reflective of Kurd and Shia demographic dominance. Sectarianism being </w:t>
      </w:r>
      <w:r w:rsidR="00485A90" w:rsidRPr="00026220">
        <w:rPr>
          <w:rFonts w:ascii="Palatino Linotype" w:hAnsi="Palatino Linotype"/>
          <w:bCs/>
        </w:rPr>
        <w:t xml:space="preserve">practiced as </w:t>
      </w:r>
      <w:r w:rsidR="00B475B6" w:rsidRPr="00026220">
        <w:rPr>
          <w:rFonts w:ascii="Palatino Linotype" w:hAnsi="Palatino Linotype"/>
          <w:bCs/>
        </w:rPr>
        <w:t>a socio-political construct within which epistemologically designed ‘values’ of community assertion were po</w:t>
      </w:r>
      <w:r w:rsidR="00872356" w:rsidRPr="00026220">
        <w:rPr>
          <w:rFonts w:ascii="Palatino Linotype" w:hAnsi="Palatino Linotype"/>
          <w:bCs/>
        </w:rPr>
        <w:t>tentially more vigorous than</w:t>
      </w:r>
      <w:r w:rsidR="00B475B6" w:rsidRPr="00026220">
        <w:rPr>
          <w:rFonts w:ascii="Palatino Linotype" w:hAnsi="Palatino Linotype"/>
          <w:bCs/>
        </w:rPr>
        <w:t xml:space="preserve"> inter-community form</w:t>
      </w:r>
      <w:r w:rsidR="002D0EEA" w:rsidRPr="00026220">
        <w:rPr>
          <w:rFonts w:ascii="Palatino Linotype" w:hAnsi="Palatino Linotype"/>
          <w:bCs/>
        </w:rPr>
        <w:t>s</w:t>
      </w:r>
      <w:r w:rsidR="00B475B6" w:rsidRPr="00026220">
        <w:rPr>
          <w:rFonts w:ascii="Palatino Linotype" w:hAnsi="Palatino Linotype"/>
          <w:bCs/>
        </w:rPr>
        <w:t xml:space="preserve"> of transitional justice which </w:t>
      </w:r>
      <w:r w:rsidR="00485A90" w:rsidRPr="00026220">
        <w:rPr>
          <w:rFonts w:ascii="Palatino Linotype" w:hAnsi="Palatino Linotype"/>
          <w:bCs/>
        </w:rPr>
        <w:t xml:space="preserve">would have </w:t>
      </w:r>
      <w:r w:rsidR="00B475B6" w:rsidRPr="00026220">
        <w:rPr>
          <w:rFonts w:ascii="Palatino Linotype" w:hAnsi="Palatino Linotype"/>
          <w:bCs/>
        </w:rPr>
        <w:t xml:space="preserve">upheld </w:t>
      </w:r>
      <w:r w:rsidR="00BC3887" w:rsidRPr="00026220">
        <w:rPr>
          <w:rFonts w:ascii="Palatino Linotype" w:hAnsi="Palatino Linotype"/>
          <w:bCs/>
        </w:rPr>
        <w:t xml:space="preserve">individual rights </w:t>
      </w:r>
      <w:r w:rsidR="00B475B6" w:rsidRPr="00026220">
        <w:rPr>
          <w:rFonts w:ascii="Palatino Linotype" w:hAnsi="Palatino Linotype"/>
          <w:bCs/>
        </w:rPr>
        <w:t xml:space="preserve">and democratic accountability. </w:t>
      </w:r>
      <w:r w:rsidR="00E52515" w:rsidRPr="00026220">
        <w:rPr>
          <w:rFonts w:ascii="Palatino Linotype" w:hAnsi="Palatino Linotype"/>
          <w:bCs/>
        </w:rPr>
        <w:t xml:space="preserve">Adherents did not wish for a process of </w:t>
      </w:r>
      <w:r w:rsidR="00B475B6" w:rsidRPr="00026220">
        <w:rPr>
          <w:rFonts w:ascii="Palatino Linotype" w:hAnsi="Palatino Linotype"/>
          <w:bCs/>
        </w:rPr>
        <w:t xml:space="preserve">consent and norm building </w:t>
      </w:r>
      <w:r w:rsidR="00E52515" w:rsidRPr="00026220">
        <w:rPr>
          <w:rFonts w:ascii="Palatino Linotype" w:hAnsi="Palatino Linotype"/>
          <w:bCs/>
        </w:rPr>
        <w:t xml:space="preserve">but wanted to </w:t>
      </w:r>
      <w:r w:rsidR="00B475B6" w:rsidRPr="00026220">
        <w:rPr>
          <w:rFonts w:ascii="Palatino Linotype" w:hAnsi="Palatino Linotype"/>
          <w:bCs/>
        </w:rPr>
        <w:t>s</w:t>
      </w:r>
      <w:r w:rsidR="00E52515" w:rsidRPr="00026220">
        <w:rPr>
          <w:rFonts w:ascii="Palatino Linotype" w:hAnsi="Palatino Linotype"/>
          <w:bCs/>
        </w:rPr>
        <w:t>ubvert such concepts</w:t>
      </w:r>
      <w:r w:rsidR="00B475B6" w:rsidRPr="00026220">
        <w:rPr>
          <w:rFonts w:ascii="Palatino Linotype" w:hAnsi="Palatino Linotype"/>
          <w:bCs/>
        </w:rPr>
        <w:t xml:space="preserve"> by </w:t>
      </w:r>
      <w:r w:rsidR="00E52515" w:rsidRPr="00026220">
        <w:rPr>
          <w:rFonts w:ascii="Palatino Linotype" w:hAnsi="Palatino Linotype"/>
          <w:bCs/>
        </w:rPr>
        <w:t xml:space="preserve">advancing </w:t>
      </w:r>
      <w:r w:rsidR="00B475B6" w:rsidRPr="00026220">
        <w:rPr>
          <w:rFonts w:ascii="Palatino Linotype" w:hAnsi="Palatino Linotype"/>
          <w:bCs/>
        </w:rPr>
        <w:t xml:space="preserve">knowledge wrapped in tautological sectarian precepts.  </w:t>
      </w:r>
      <w:r w:rsidR="00E52515" w:rsidRPr="00026220">
        <w:rPr>
          <w:rFonts w:ascii="Palatino Linotype" w:hAnsi="Palatino Linotype"/>
          <w:bCs/>
        </w:rPr>
        <w:t xml:space="preserve">As </w:t>
      </w:r>
      <w:proofErr w:type="gramStart"/>
      <w:r w:rsidR="00E52515" w:rsidRPr="00026220">
        <w:rPr>
          <w:rFonts w:ascii="Palatino Linotype" w:hAnsi="Palatino Linotype"/>
          <w:bCs/>
        </w:rPr>
        <w:t>stated;</w:t>
      </w:r>
      <w:proofErr w:type="gramEnd"/>
    </w:p>
    <w:p w14:paraId="2F31DF5A" w14:textId="77777777" w:rsidR="00C47970" w:rsidRPr="00026220" w:rsidRDefault="00C47970" w:rsidP="008519D6">
      <w:pPr>
        <w:autoSpaceDE w:val="0"/>
        <w:autoSpaceDN w:val="0"/>
        <w:adjustRightInd w:val="0"/>
        <w:jc w:val="both"/>
        <w:rPr>
          <w:rFonts w:ascii="Palatino Linotype" w:hAnsi="Palatino Linotype"/>
          <w:bCs/>
        </w:rPr>
      </w:pPr>
    </w:p>
    <w:p w14:paraId="27523BDD" w14:textId="77777777" w:rsidR="008519D6" w:rsidRPr="00026220" w:rsidRDefault="00C0286D" w:rsidP="008519D6">
      <w:pPr>
        <w:autoSpaceDE w:val="0"/>
        <w:autoSpaceDN w:val="0"/>
        <w:adjustRightInd w:val="0"/>
        <w:jc w:val="both"/>
        <w:rPr>
          <w:rFonts w:ascii="Palatino Linotype" w:hAnsi="Palatino Linotype"/>
          <w:bCs/>
        </w:rPr>
      </w:pPr>
      <w:r>
        <w:rPr>
          <w:rFonts w:ascii="Palatino Linotype" w:hAnsi="Palatino Linotype"/>
          <w:bCs/>
        </w:rPr>
        <w:t>‘</w:t>
      </w:r>
      <w:r w:rsidR="00C47970" w:rsidRPr="00026220">
        <w:rPr>
          <w:rFonts w:ascii="Palatino Linotype" w:hAnsi="Palatino Linotype"/>
          <w:bCs/>
        </w:rPr>
        <w:t xml:space="preserve">They say we were only doing ‘what we are told’, but tomorrow they would seize power again. Pound the water and it will remain water. They lie that they are not responsible. </w:t>
      </w:r>
      <w:r w:rsidR="00FE34B1" w:rsidRPr="00026220">
        <w:rPr>
          <w:rFonts w:ascii="Palatino Linotype" w:hAnsi="Palatino Linotype"/>
          <w:bCs/>
        </w:rPr>
        <w:t>Sunnis are Ba’athists.</w:t>
      </w:r>
      <w:r w:rsidR="00485A90" w:rsidRPr="00026220">
        <w:rPr>
          <w:rFonts w:ascii="Palatino Linotype" w:hAnsi="Palatino Linotype"/>
          <w:bCs/>
        </w:rPr>
        <w:t xml:space="preserve"> Some say they are not, but that is lies…</w:t>
      </w:r>
      <w:r w:rsidR="00EB6A36">
        <w:rPr>
          <w:rFonts w:ascii="Palatino Linotype" w:hAnsi="Palatino Linotype"/>
          <w:bCs/>
        </w:rPr>
        <w:t xml:space="preserve"> </w:t>
      </w:r>
      <w:r w:rsidR="008519D6" w:rsidRPr="00026220">
        <w:rPr>
          <w:rFonts w:ascii="Palatino Linotype" w:hAnsi="Palatino Linotype"/>
          <w:bCs/>
        </w:rPr>
        <w:t>Keep the pressure high and they will wilt</w:t>
      </w:r>
      <w:r w:rsidR="00FE34B1" w:rsidRPr="00026220">
        <w:rPr>
          <w:rFonts w:ascii="Palatino Linotype" w:hAnsi="Palatino Linotype"/>
          <w:bCs/>
        </w:rPr>
        <w:t xml:space="preserve">. </w:t>
      </w:r>
      <w:proofErr w:type="spellStart"/>
      <w:r w:rsidR="00FE34B1" w:rsidRPr="00026220">
        <w:rPr>
          <w:rFonts w:ascii="Palatino Linotype" w:hAnsi="Palatino Linotype"/>
          <w:bCs/>
        </w:rPr>
        <w:t>Ijtithath</w:t>
      </w:r>
      <w:proofErr w:type="spellEnd"/>
      <w:r w:rsidR="00FE34B1" w:rsidRPr="00026220">
        <w:rPr>
          <w:rFonts w:ascii="Palatino Linotype" w:hAnsi="Palatino Linotype"/>
          <w:bCs/>
        </w:rPr>
        <w:t xml:space="preserve"> (uprooting) is a cause</w:t>
      </w:r>
      <w:r w:rsidR="00485A90" w:rsidRPr="00026220">
        <w:rPr>
          <w:rFonts w:ascii="Palatino Linotype" w:hAnsi="Palatino Linotype"/>
          <w:bCs/>
        </w:rPr>
        <w:t>…If we do not maintain cause then the majority will fall under the power</w:t>
      </w:r>
      <w:r w:rsidR="00E52515" w:rsidRPr="00026220">
        <w:rPr>
          <w:rFonts w:ascii="Palatino Linotype" w:hAnsi="Palatino Linotype"/>
          <w:bCs/>
        </w:rPr>
        <w:t xml:space="preserve"> of the Sunnis who are not even</w:t>
      </w:r>
      <w:r w:rsidR="00485A90" w:rsidRPr="00026220">
        <w:rPr>
          <w:rFonts w:ascii="Palatino Linotype" w:hAnsi="Palatino Linotype"/>
          <w:bCs/>
        </w:rPr>
        <w:t xml:space="preserve"> majority of the people</w:t>
      </w:r>
      <w:r w:rsidR="008519D6" w:rsidRPr="00026220">
        <w:rPr>
          <w:rFonts w:ascii="Palatino Linotype" w:hAnsi="Palatino Linotype"/>
          <w:bCs/>
        </w:rPr>
        <w:t>’ (Interview 2014).</w:t>
      </w:r>
    </w:p>
    <w:p w14:paraId="18CF61A8" w14:textId="77777777" w:rsidR="008519D6" w:rsidRPr="00026220" w:rsidRDefault="008519D6" w:rsidP="008519D6">
      <w:pPr>
        <w:autoSpaceDE w:val="0"/>
        <w:autoSpaceDN w:val="0"/>
        <w:adjustRightInd w:val="0"/>
        <w:jc w:val="both"/>
        <w:rPr>
          <w:rFonts w:ascii="Palatino Linotype" w:hAnsi="Palatino Linotype"/>
          <w:bCs/>
        </w:rPr>
      </w:pPr>
    </w:p>
    <w:p w14:paraId="66E231BC" w14:textId="77777777" w:rsidR="00D5586E" w:rsidRPr="00026220" w:rsidRDefault="00222572" w:rsidP="00D5586E">
      <w:pPr>
        <w:autoSpaceDE w:val="0"/>
        <w:autoSpaceDN w:val="0"/>
        <w:adjustRightInd w:val="0"/>
        <w:jc w:val="both"/>
        <w:rPr>
          <w:rFonts w:ascii="Palatino Linotype" w:hAnsi="Palatino Linotype"/>
          <w:bCs/>
        </w:rPr>
      </w:pPr>
      <w:r w:rsidRPr="00026220">
        <w:rPr>
          <w:rFonts w:ascii="Palatino Linotype" w:hAnsi="Palatino Linotype"/>
          <w:bCs/>
        </w:rPr>
        <w:t>Moreover</w:t>
      </w:r>
      <w:r w:rsidR="00FE34B1" w:rsidRPr="00026220">
        <w:rPr>
          <w:rFonts w:ascii="Palatino Linotype" w:hAnsi="Palatino Linotype"/>
          <w:bCs/>
        </w:rPr>
        <w:t xml:space="preserve">, those leading the </w:t>
      </w:r>
      <w:r w:rsidR="00485A90" w:rsidRPr="00026220">
        <w:rPr>
          <w:rFonts w:ascii="Palatino Linotype" w:hAnsi="Palatino Linotype"/>
          <w:bCs/>
        </w:rPr>
        <w:t>‘</w:t>
      </w:r>
      <w:r w:rsidR="00FE34B1" w:rsidRPr="00026220">
        <w:rPr>
          <w:rFonts w:ascii="Palatino Linotype" w:hAnsi="Palatino Linotype"/>
          <w:bCs/>
        </w:rPr>
        <w:t>uprooting</w:t>
      </w:r>
      <w:r w:rsidR="00485A90" w:rsidRPr="00026220">
        <w:rPr>
          <w:rFonts w:ascii="Palatino Linotype" w:hAnsi="Palatino Linotype"/>
          <w:bCs/>
        </w:rPr>
        <w:t>’</w:t>
      </w:r>
      <w:r w:rsidR="00FE34B1" w:rsidRPr="00026220">
        <w:rPr>
          <w:rFonts w:ascii="Palatino Linotype" w:hAnsi="Palatino Linotype"/>
          <w:bCs/>
        </w:rPr>
        <w:t xml:space="preserve"> were acting on behalf of the majority of the Iraqi people and that </w:t>
      </w:r>
      <w:r w:rsidR="00FD0773" w:rsidRPr="00026220">
        <w:rPr>
          <w:rFonts w:ascii="Palatino Linotype" w:hAnsi="Palatino Linotype"/>
          <w:bCs/>
        </w:rPr>
        <w:t>lustration adherents were</w:t>
      </w:r>
      <w:r w:rsidR="00FE34B1" w:rsidRPr="00026220">
        <w:rPr>
          <w:rFonts w:ascii="Palatino Linotype" w:hAnsi="Palatino Linotype"/>
          <w:bCs/>
        </w:rPr>
        <w:t xml:space="preserve"> required to not only speak on the behalf of victims </w:t>
      </w:r>
      <w:r w:rsidR="00B475B6" w:rsidRPr="00026220">
        <w:rPr>
          <w:rFonts w:ascii="Palatino Linotype" w:hAnsi="Palatino Linotype"/>
          <w:bCs/>
        </w:rPr>
        <w:t xml:space="preserve">of the previous regime </w:t>
      </w:r>
      <w:r w:rsidR="00FE34B1" w:rsidRPr="00026220">
        <w:rPr>
          <w:rFonts w:ascii="Palatino Linotype" w:hAnsi="Palatino Linotype"/>
          <w:bCs/>
        </w:rPr>
        <w:t xml:space="preserve">but to ensure that the Ba’ath Party would not return. With regard to contrary evidence that the majority of respondents </w:t>
      </w:r>
      <w:r w:rsidR="00B475B6" w:rsidRPr="00026220">
        <w:rPr>
          <w:rFonts w:ascii="Palatino Linotype" w:hAnsi="Palatino Linotype"/>
          <w:bCs/>
        </w:rPr>
        <w:t>in national attitude surveys</w:t>
      </w:r>
      <w:r w:rsidR="00A7142A" w:rsidRPr="00026220">
        <w:rPr>
          <w:rStyle w:val="EndnoteReference"/>
          <w:rFonts w:ascii="Palatino Linotype" w:hAnsi="Palatino Linotype"/>
          <w:bCs/>
        </w:rPr>
        <w:endnoteReference w:id="15"/>
      </w:r>
      <w:r w:rsidR="00B475B6" w:rsidRPr="00026220">
        <w:rPr>
          <w:rFonts w:ascii="Palatino Linotype" w:hAnsi="Palatino Linotype"/>
          <w:bCs/>
        </w:rPr>
        <w:t xml:space="preserve"> </w:t>
      </w:r>
      <w:r w:rsidR="00FE34B1" w:rsidRPr="00026220">
        <w:rPr>
          <w:rFonts w:ascii="Palatino Linotype" w:hAnsi="Palatino Linotype"/>
          <w:bCs/>
        </w:rPr>
        <w:t xml:space="preserve">did not support the exclusive system </w:t>
      </w:r>
      <w:r w:rsidR="00B475B6" w:rsidRPr="00026220">
        <w:rPr>
          <w:rFonts w:ascii="Palatino Linotype" w:hAnsi="Palatino Linotype"/>
          <w:bCs/>
        </w:rPr>
        <w:t>there was dismi</w:t>
      </w:r>
      <w:r w:rsidR="00E52515" w:rsidRPr="00026220">
        <w:rPr>
          <w:rFonts w:ascii="Palatino Linotype" w:hAnsi="Palatino Linotype"/>
          <w:bCs/>
        </w:rPr>
        <w:t>ssal of such evidence as</w:t>
      </w:r>
      <w:r w:rsidR="00C35CF0" w:rsidRPr="00026220">
        <w:rPr>
          <w:rFonts w:ascii="Palatino Linotype" w:hAnsi="Palatino Linotype"/>
          <w:bCs/>
        </w:rPr>
        <w:t xml:space="preserve"> </w:t>
      </w:r>
      <w:proofErr w:type="gramStart"/>
      <w:r w:rsidR="00C35CF0" w:rsidRPr="00026220">
        <w:rPr>
          <w:rFonts w:ascii="Palatino Linotype" w:hAnsi="Palatino Linotype"/>
          <w:bCs/>
        </w:rPr>
        <w:t>contrived</w:t>
      </w:r>
      <w:r w:rsidR="00FE34B1" w:rsidRPr="00026220">
        <w:rPr>
          <w:rFonts w:ascii="Palatino Linotype" w:hAnsi="Palatino Linotype"/>
          <w:bCs/>
        </w:rPr>
        <w:t>;</w:t>
      </w:r>
      <w:proofErr w:type="gramEnd"/>
    </w:p>
    <w:p w14:paraId="0E9AF2FC" w14:textId="77777777" w:rsidR="00FE34B1" w:rsidRPr="00026220" w:rsidRDefault="00FE34B1" w:rsidP="00D5586E">
      <w:pPr>
        <w:autoSpaceDE w:val="0"/>
        <w:autoSpaceDN w:val="0"/>
        <w:adjustRightInd w:val="0"/>
        <w:jc w:val="both"/>
        <w:rPr>
          <w:rFonts w:ascii="Palatino Linotype" w:hAnsi="Palatino Linotype"/>
          <w:bCs/>
        </w:rPr>
      </w:pPr>
    </w:p>
    <w:p w14:paraId="6968606C" w14:textId="77777777" w:rsidR="00FE34B1" w:rsidRPr="00AF1605" w:rsidRDefault="00FE34B1" w:rsidP="00D5586E">
      <w:pPr>
        <w:autoSpaceDE w:val="0"/>
        <w:autoSpaceDN w:val="0"/>
        <w:adjustRightInd w:val="0"/>
        <w:jc w:val="both"/>
        <w:rPr>
          <w:rFonts w:ascii="Palatino Linotype" w:hAnsi="Palatino Linotype"/>
          <w:bCs/>
        </w:rPr>
      </w:pPr>
      <w:r w:rsidRPr="00026220">
        <w:rPr>
          <w:rFonts w:ascii="Palatino Linotype" w:hAnsi="Palatino Linotype"/>
          <w:bCs/>
        </w:rPr>
        <w:t xml:space="preserve">‘They will re-group, re-build and come again against the Iraqi people. We speak for </w:t>
      </w:r>
      <w:proofErr w:type="gramStart"/>
      <w:r w:rsidRPr="00026220">
        <w:rPr>
          <w:rFonts w:ascii="Palatino Linotype" w:hAnsi="Palatino Linotype"/>
          <w:bCs/>
        </w:rPr>
        <w:t>the majority of</w:t>
      </w:r>
      <w:proofErr w:type="gramEnd"/>
      <w:r w:rsidRPr="00026220">
        <w:rPr>
          <w:rFonts w:ascii="Palatino Linotype" w:hAnsi="Palatino Linotype"/>
          <w:bCs/>
        </w:rPr>
        <w:t xml:space="preserve"> the Iraqi people who wish to punish all Ba’ath and make it proper conditions that they can never come back. You say of this survey which shows Iraqis want better way for treating the Ba’ath. This type of thing you say is the work of Ba’ath and their international allies. </w:t>
      </w:r>
      <w:proofErr w:type="gramStart"/>
      <w:r w:rsidRPr="00026220">
        <w:rPr>
          <w:rFonts w:ascii="Palatino Linotype" w:hAnsi="Palatino Linotype"/>
          <w:bCs/>
        </w:rPr>
        <w:t>No one but</w:t>
      </w:r>
      <w:proofErr w:type="gramEnd"/>
      <w:r w:rsidRPr="00026220">
        <w:rPr>
          <w:rFonts w:ascii="Palatino Linotype" w:hAnsi="Palatino Linotype"/>
          <w:bCs/>
        </w:rPr>
        <w:t xml:space="preserve"> those punished wants the punishment to stop. We secure the people and they support us in campaign t</w:t>
      </w:r>
      <w:r w:rsidR="00485A90" w:rsidRPr="00026220">
        <w:rPr>
          <w:rFonts w:ascii="Palatino Linotype" w:hAnsi="Palatino Linotype"/>
          <w:bCs/>
        </w:rPr>
        <w:t>o remove the traces of Ba’ath f</w:t>
      </w:r>
      <w:r w:rsidRPr="00026220">
        <w:rPr>
          <w:rFonts w:ascii="Palatino Linotype" w:hAnsi="Palatino Linotype"/>
          <w:bCs/>
        </w:rPr>
        <w:t>r</w:t>
      </w:r>
      <w:r w:rsidR="00485A90" w:rsidRPr="00026220">
        <w:rPr>
          <w:rFonts w:ascii="Palatino Linotype" w:hAnsi="Palatino Linotype"/>
          <w:bCs/>
        </w:rPr>
        <w:t>o</w:t>
      </w:r>
      <w:r w:rsidRPr="00026220">
        <w:rPr>
          <w:rFonts w:ascii="Palatino Linotype" w:hAnsi="Palatino Linotype"/>
          <w:bCs/>
        </w:rPr>
        <w:t xml:space="preserve">m </w:t>
      </w:r>
      <w:r w:rsidR="00485A90" w:rsidRPr="00026220">
        <w:rPr>
          <w:rFonts w:ascii="Palatino Linotype" w:hAnsi="Palatino Linotype"/>
          <w:bCs/>
        </w:rPr>
        <w:t xml:space="preserve">our </w:t>
      </w:r>
      <w:r w:rsidRPr="00026220">
        <w:rPr>
          <w:rFonts w:ascii="Palatino Linotype" w:hAnsi="Palatino Linotype"/>
          <w:bCs/>
        </w:rPr>
        <w:t>public life</w:t>
      </w:r>
      <w:r w:rsidR="00F20E5F">
        <w:rPr>
          <w:rFonts w:ascii="Palatino Linotype" w:hAnsi="Palatino Linotype"/>
          <w:bCs/>
        </w:rPr>
        <w:t>’</w:t>
      </w:r>
      <w:r w:rsidR="00AF1605">
        <w:rPr>
          <w:rFonts w:ascii="Palatino Linotype" w:hAnsi="Palatino Linotype"/>
          <w:bCs/>
        </w:rPr>
        <w:t xml:space="preserve"> (</w:t>
      </w:r>
      <w:r w:rsidR="00AF1605" w:rsidRPr="00AF1605">
        <w:rPr>
          <w:rFonts w:ascii="Palatino Linotype" w:hAnsi="Palatino Linotype"/>
          <w:bCs/>
        </w:rPr>
        <w:t>Shia politician</w:t>
      </w:r>
      <w:r w:rsidR="00F20E5F">
        <w:rPr>
          <w:rFonts w:ascii="Palatino Linotype" w:hAnsi="Palatino Linotype"/>
          <w:bCs/>
        </w:rPr>
        <w:t xml:space="preserve"> 2014</w:t>
      </w:r>
      <w:r w:rsidR="00AF1605" w:rsidRPr="00AF1605">
        <w:rPr>
          <w:rFonts w:ascii="Palatino Linotype" w:hAnsi="Palatino Linotype"/>
          <w:bCs/>
        </w:rPr>
        <w:t>)</w:t>
      </w:r>
      <w:r w:rsidRPr="00AF1605">
        <w:rPr>
          <w:rFonts w:ascii="Palatino Linotype" w:hAnsi="Palatino Linotype"/>
          <w:bCs/>
        </w:rPr>
        <w:t xml:space="preserve">. </w:t>
      </w:r>
    </w:p>
    <w:p w14:paraId="6447F5E2" w14:textId="77777777" w:rsidR="00FE34B1" w:rsidRPr="00026220" w:rsidRDefault="00FE34B1" w:rsidP="00D5586E">
      <w:pPr>
        <w:autoSpaceDE w:val="0"/>
        <w:autoSpaceDN w:val="0"/>
        <w:adjustRightInd w:val="0"/>
        <w:jc w:val="both"/>
        <w:rPr>
          <w:rFonts w:ascii="Palatino Linotype" w:hAnsi="Palatino Linotype"/>
          <w:bCs/>
        </w:rPr>
      </w:pPr>
    </w:p>
    <w:p w14:paraId="37B0D976" w14:textId="77777777" w:rsidR="00CA0B1A" w:rsidRPr="00026220" w:rsidRDefault="00E52515" w:rsidP="001118A1">
      <w:pPr>
        <w:autoSpaceDE w:val="0"/>
        <w:autoSpaceDN w:val="0"/>
        <w:adjustRightInd w:val="0"/>
        <w:jc w:val="both"/>
        <w:rPr>
          <w:rFonts w:ascii="Palatino Linotype" w:hAnsi="Palatino Linotype"/>
          <w:bCs/>
        </w:rPr>
      </w:pPr>
      <w:r w:rsidRPr="00026220">
        <w:rPr>
          <w:rFonts w:ascii="Palatino Linotype" w:hAnsi="Palatino Linotype"/>
          <w:bCs/>
        </w:rPr>
        <w:t xml:space="preserve">A common assertion </w:t>
      </w:r>
      <w:r w:rsidR="000A5E60" w:rsidRPr="00026220">
        <w:rPr>
          <w:rFonts w:ascii="Palatino Linotype" w:hAnsi="Palatino Linotype"/>
          <w:bCs/>
        </w:rPr>
        <w:t xml:space="preserve">was </w:t>
      </w:r>
      <w:r w:rsidR="00136475" w:rsidRPr="00026220">
        <w:rPr>
          <w:rFonts w:ascii="Palatino Linotype" w:hAnsi="Palatino Linotype"/>
          <w:bCs/>
        </w:rPr>
        <w:t xml:space="preserve">that the aim of lustration </w:t>
      </w:r>
      <w:r w:rsidR="00FE4555" w:rsidRPr="00026220">
        <w:rPr>
          <w:rFonts w:ascii="Palatino Linotype" w:hAnsi="Palatino Linotype"/>
          <w:bCs/>
        </w:rPr>
        <w:t>was to stimulate</w:t>
      </w:r>
      <w:r w:rsidR="00CA0B1A" w:rsidRPr="00026220">
        <w:rPr>
          <w:rFonts w:ascii="Palatino Linotype" w:hAnsi="Palatino Linotype"/>
          <w:bCs/>
        </w:rPr>
        <w:t xml:space="preserve"> </w:t>
      </w:r>
      <w:r w:rsidR="00222572" w:rsidRPr="00026220">
        <w:rPr>
          <w:rFonts w:ascii="Palatino Linotype" w:hAnsi="Palatino Linotype"/>
          <w:bCs/>
        </w:rPr>
        <w:t xml:space="preserve">sectarian </w:t>
      </w:r>
      <w:r w:rsidR="00CA0B1A" w:rsidRPr="00026220">
        <w:rPr>
          <w:rFonts w:ascii="Palatino Linotype" w:hAnsi="Palatino Linotype"/>
          <w:bCs/>
        </w:rPr>
        <w:t xml:space="preserve">contestation, to engender friction and to </w:t>
      </w:r>
      <w:r w:rsidRPr="00026220">
        <w:rPr>
          <w:rFonts w:ascii="Palatino Linotype" w:hAnsi="Palatino Linotype"/>
          <w:bCs/>
        </w:rPr>
        <w:t xml:space="preserve">perform </w:t>
      </w:r>
      <w:r w:rsidR="00CA0B1A" w:rsidRPr="00026220">
        <w:rPr>
          <w:rFonts w:ascii="Palatino Linotype" w:hAnsi="Palatino Linotype"/>
          <w:bCs/>
        </w:rPr>
        <w:t xml:space="preserve">authorized control over those excluded </w:t>
      </w:r>
      <w:r w:rsidRPr="00026220">
        <w:rPr>
          <w:rFonts w:ascii="Palatino Linotype" w:hAnsi="Palatino Linotype"/>
          <w:bCs/>
        </w:rPr>
        <w:t xml:space="preserve">through </w:t>
      </w:r>
      <w:r w:rsidR="00CA0B1A" w:rsidRPr="00026220">
        <w:rPr>
          <w:rFonts w:ascii="Palatino Linotype" w:hAnsi="Palatino Linotype"/>
          <w:bCs/>
        </w:rPr>
        <w:t>coercive process</w:t>
      </w:r>
      <w:r w:rsidRPr="00026220">
        <w:rPr>
          <w:rFonts w:ascii="Palatino Linotype" w:hAnsi="Palatino Linotype"/>
          <w:bCs/>
        </w:rPr>
        <w:t>es</w:t>
      </w:r>
      <w:r w:rsidR="00CA0B1A" w:rsidRPr="00026220">
        <w:rPr>
          <w:rFonts w:ascii="Palatino Linotype" w:hAnsi="Palatino Linotype"/>
          <w:bCs/>
        </w:rPr>
        <w:t xml:space="preserve"> which </w:t>
      </w:r>
      <w:r w:rsidR="00D95E44" w:rsidRPr="00026220">
        <w:rPr>
          <w:rFonts w:ascii="Palatino Linotype" w:hAnsi="Palatino Linotype"/>
          <w:bCs/>
        </w:rPr>
        <w:t>purposefully</w:t>
      </w:r>
      <w:r w:rsidRPr="00026220">
        <w:rPr>
          <w:rFonts w:ascii="Palatino Linotype" w:hAnsi="Palatino Linotype"/>
          <w:bCs/>
        </w:rPr>
        <w:t xml:space="preserve"> </w:t>
      </w:r>
      <w:r w:rsidR="00CA0B1A" w:rsidRPr="00026220">
        <w:rPr>
          <w:rFonts w:ascii="Palatino Linotype" w:hAnsi="Palatino Linotype"/>
          <w:bCs/>
        </w:rPr>
        <w:t xml:space="preserve">promoted </w:t>
      </w:r>
      <w:r w:rsidR="00F33C41" w:rsidRPr="00026220">
        <w:rPr>
          <w:rFonts w:ascii="Palatino Linotype" w:hAnsi="Palatino Linotype"/>
          <w:bCs/>
        </w:rPr>
        <w:t>arbitrariness</w:t>
      </w:r>
      <w:r w:rsidRPr="00026220">
        <w:rPr>
          <w:rFonts w:ascii="Palatino Linotype" w:hAnsi="Palatino Linotype"/>
          <w:bCs/>
        </w:rPr>
        <w:t xml:space="preserve">. </w:t>
      </w:r>
    </w:p>
    <w:p w14:paraId="16934F19" w14:textId="4ABB9442" w:rsidR="008C0BFC" w:rsidRPr="00026220" w:rsidRDefault="008C0BFC" w:rsidP="001118A1">
      <w:pPr>
        <w:autoSpaceDE w:val="0"/>
        <w:autoSpaceDN w:val="0"/>
        <w:adjustRightInd w:val="0"/>
        <w:jc w:val="both"/>
        <w:rPr>
          <w:rFonts w:ascii="Palatino Linotype" w:hAnsi="Palatino Linotype"/>
          <w:bCs/>
        </w:rPr>
      </w:pPr>
      <w:r w:rsidRPr="00026220">
        <w:rPr>
          <w:rFonts w:ascii="Palatino Linotype" w:hAnsi="Palatino Linotype"/>
          <w:bCs/>
        </w:rPr>
        <w:t xml:space="preserve">As </w:t>
      </w:r>
      <w:proofErr w:type="gramStart"/>
      <w:r w:rsidRPr="00026220">
        <w:rPr>
          <w:rFonts w:ascii="Palatino Linotype" w:hAnsi="Palatino Linotype"/>
          <w:bCs/>
        </w:rPr>
        <w:t>explained;</w:t>
      </w:r>
      <w:proofErr w:type="gramEnd"/>
      <w:r w:rsidRPr="00026220">
        <w:rPr>
          <w:rFonts w:ascii="Palatino Linotype" w:hAnsi="Palatino Linotype"/>
          <w:bCs/>
        </w:rPr>
        <w:t xml:space="preserve"> </w:t>
      </w:r>
    </w:p>
    <w:p w14:paraId="2C4E33A5" w14:textId="77777777" w:rsidR="008C0BFC" w:rsidRPr="00026220" w:rsidRDefault="008C0BFC" w:rsidP="001118A1">
      <w:pPr>
        <w:autoSpaceDE w:val="0"/>
        <w:autoSpaceDN w:val="0"/>
        <w:adjustRightInd w:val="0"/>
        <w:jc w:val="both"/>
        <w:rPr>
          <w:rFonts w:ascii="Palatino Linotype" w:hAnsi="Palatino Linotype"/>
          <w:bCs/>
        </w:rPr>
      </w:pPr>
    </w:p>
    <w:p w14:paraId="4F20184F" w14:textId="77777777" w:rsidR="008C0BFC" w:rsidRPr="00026220" w:rsidRDefault="00AF1605" w:rsidP="001118A1">
      <w:pPr>
        <w:autoSpaceDE w:val="0"/>
        <w:autoSpaceDN w:val="0"/>
        <w:adjustRightInd w:val="0"/>
        <w:jc w:val="both"/>
        <w:rPr>
          <w:rFonts w:ascii="Palatino Linotype" w:hAnsi="Palatino Linotype"/>
          <w:bCs/>
        </w:rPr>
      </w:pPr>
      <w:r>
        <w:rPr>
          <w:rFonts w:ascii="Palatino Linotype" w:hAnsi="Palatino Linotype"/>
          <w:bCs/>
        </w:rPr>
        <w:t>‘</w:t>
      </w:r>
      <w:r w:rsidR="008C0BFC" w:rsidRPr="00026220">
        <w:rPr>
          <w:rFonts w:ascii="Palatino Linotype" w:hAnsi="Palatino Linotype"/>
          <w:bCs/>
        </w:rPr>
        <w:t>You think this is a bad thing</w:t>
      </w:r>
      <w:r w:rsidR="00F20E5F">
        <w:rPr>
          <w:rFonts w:ascii="Palatino Linotype" w:hAnsi="Palatino Linotype"/>
          <w:bCs/>
        </w:rPr>
        <w:t>?</w:t>
      </w:r>
      <w:r w:rsidR="008C0BFC" w:rsidRPr="00026220">
        <w:rPr>
          <w:rFonts w:ascii="Palatino Linotype" w:hAnsi="Palatino Linotype"/>
          <w:bCs/>
        </w:rPr>
        <w:t xml:space="preserve"> This is like war. You need to not let the enemy understand what you are doing. We do not want a process that can be challenged. If we had a clear </w:t>
      </w:r>
      <w:proofErr w:type="gramStart"/>
      <w:r w:rsidR="008C0BFC" w:rsidRPr="00026220">
        <w:rPr>
          <w:rFonts w:ascii="Palatino Linotype" w:hAnsi="Palatino Linotype"/>
          <w:bCs/>
        </w:rPr>
        <w:t>process</w:t>
      </w:r>
      <w:proofErr w:type="gramEnd"/>
      <w:r w:rsidR="008C0BFC" w:rsidRPr="00026220">
        <w:rPr>
          <w:rFonts w:ascii="Palatino Linotype" w:hAnsi="Palatino Linotype"/>
          <w:bCs/>
        </w:rPr>
        <w:t xml:space="preserve"> they would know how to challenge it. It is like the ideas of we control through poor information. This is the only way to control these traitors and liars</w:t>
      </w:r>
      <w:r>
        <w:rPr>
          <w:rFonts w:ascii="Palatino Linotype" w:hAnsi="Palatino Linotype"/>
          <w:bCs/>
        </w:rPr>
        <w:t>’ (</w:t>
      </w:r>
      <w:r w:rsidRPr="00AF1605">
        <w:rPr>
          <w:rFonts w:ascii="Palatino Linotype" w:hAnsi="Palatino Linotype"/>
          <w:bCs/>
        </w:rPr>
        <w:t>I</w:t>
      </w:r>
      <w:r w:rsidR="004A4E26" w:rsidRPr="00AF1605">
        <w:rPr>
          <w:rFonts w:ascii="Palatino Linotype" w:hAnsi="Palatino Linotype"/>
          <w:bCs/>
        </w:rPr>
        <w:t>nterview</w:t>
      </w:r>
      <w:r w:rsidRPr="00AF1605">
        <w:rPr>
          <w:rFonts w:ascii="Palatino Linotype" w:hAnsi="Palatino Linotype"/>
          <w:bCs/>
        </w:rPr>
        <w:t xml:space="preserve"> </w:t>
      </w:r>
      <w:proofErr w:type="spellStart"/>
      <w:r w:rsidRPr="00AF1605">
        <w:rPr>
          <w:rFonts w:ascii="Palatino Linotype" w:hAnsi="Palatino Linotype"/>
          <w:bCs/>
        </w:rPr>
        <w:t>Dawa</w:t>
      </w:r>
      <w:proofErr w:type="spellEnd"/>
      <w:r w:rsidRPr="00AF1605">
        <w:rPr>
          <w:rFonts w:ascii="Palatino Linotype" w:hAnsi="Palatino Linotype"/>
          <w:bCs/>
        </w:rPr>
        <w:t xml:space="preserve"> Party member</w:t>
      </w:r>
      <w:r w:rsidR="009A41F8">
        <w:rPr>
          <w:rFonts w:ascii="Palatino Linotype" w:hAnsi="Palatino Linotype"/>
          <w:bCs/>
        </w:rPr>
        <w:t xml:space="preserve"> 2011</w:t>
      </w:r>
      <w:r w:rsidRPr="00AF1605">
        <w:rPr>
          <w:rFonts w:ascii="Palatino Linotype" w:hAnsi="Palatino Linotype"/>
          <w:bCs/>
        </w:rPr>
        <w:t>)</w:t>
      </w:r>
      <w:r w:rsidR="008C0BFC" w:rsidRPr="00AF1605">
        <w:rPr>
          <w:rFonts w:ascii="Palatino Linotype" w:hAnsi="Palatino Linotype"/>
          <w:bCs/>
        </w:rPr>
        <w:t xml:space="preserve">. </w:t>
      </w:r>
    </w:p>
    <w:p w14:paraId="1D516099" w14:textId="77777777" w:rsidR="006B79D0" w:rsidRPr="00026220" w:rsidRDefault="006B79D0" w:rsidP="001118A1">
      <w:pPr>
        <w:autoSpaceDE w:val="0"/>
        <w:autoSpaceDN w:val="0"/>
        <w:adjustRightInd w:val="0"/>
        <w:jc w:val="both"/>
        <w:rPr>
          <w:rFonts w:ascii="Palatino Linotype" w:hAnsi="Palatino Linotype"/>
          <w:bCs/>
        </w:rPr>
      </w:pPr>
    </w:p>
    <w:p w14:paraId="55F39583" w14:textId="77777777" w:rsidR="006B79D0" w:rsidRPr="00026220" w:rsidRDefault="00C52FD1" w:rsidP="001118A1">
      <w:pPr>
        <w:autoSpaceDE w:val="0"/>
        <w:autoSpaceDN w:val="0"/>
        <w:adjustRightInd w:val="0"/>
        <w:jc w:val="both"/>
        <w:rPr>
          <w:rFonts w:ascii="Palatino Linotype" w:hAnsi="Palatino Linotype"/>
          <w:bCs/>
        </w:rPr>
      </w:pPr>
      <w:r w:rsidRPr="00026220">
        <w:rPr>
          <w:rFonts w:ascii="Palatino Linotype" w:hAnsi="Palatino Linotype"/>
          <w:bCs/>
        </w:rPr>
        <w:t xml:space="preserve">Lustration </w:t>
      </w:r>
      <w:r w:rsidR="002B1BB7" w:rsidRPr="00026220">
        <w:rPr>
          <w:rFonts w:ascii="Palatino Linotype" w:hAnsi="Palatino Linotype"/>
          <w:bCs/>
        </w:rPr>
        <w:t xml:space="preserve">adherents </w:t>
      </w:r>
      <w:r w:rsidRPr="00026220">
        <w:rPr>
          <w:rFonts w:ascii="Palatino Linotype" w:hAnsi="Palatino Linotype"/>
          <w:bCs/>
        </w:rPr>
        <w:t xml:space="preserve">perpetuated the idea of a treacherous group that had to be </w:t>
      </w:r>
      <w:r w:rsidR="00222572" w:rsidRPr="00026220">
        <w:rPr>
          <w:rFonts w:ascii="Palatino Linotype" w:hAnsi="Palatino Linotype"/>
          <w:bCs/>
        </w:rPr>
        <w:t>‘</w:t>
      </w:r>
      <w:r w:rsidR="002D0EEA" w:rsidRPr="00026220">
        <w:rPr>
          <w:rFonts w:ascii="Palatino Linotype" w:hAnsi="Palatino Linotype"/>
          <w:bCs/>
        </w:rPr>
        <w:t>fixed</w:t>
      </w:r>
      <w:r w:rsidR="00222572" w:rsidRPr="00026220">
        <w:rPr>
          <w:rFonts w:ascii="Palatino Linotype" w:hAnsi="Palatino Linotype"/>
          <w:bCs/>
        </w:rPr>
        <w:t>’</w:t>
      </w:r>
      <w:r w:rsidRPr="00026220">
        <w:rPr>
          <w:rFonts w:ascii="Palatino Linotype" w:hAnsi="Palatino Linotype"/>
          <w:bCs/>
        </w:rPr>
        <w:t xml:space="preserve"> through state practices of punishment. This created a self-fulfilling sectarian proposition that the negative reaction to vetting was not based on the impact of retribution</w:t>
      </w:r>
      <w:r w:rsidR="002D0EEA" w:rsidRPr="00026220">
        <w:rPr>
          <w:rFonts w:ascii="Palatino Linotype" w:hAnsi="Palatino Linotype"/>
          <w:bCs/>
        </w:rPr>
        <w:t xml:space="preserve"> upon sectarian cognition but due</w:t>
      </w:r>
      <w:r w:rsidRPr="00026220">
        <w:rPr>
          <w:rFonts w:ascii="Palatino Linotype" w:hAnsi="Palatino Linotype"/>
          <w:bCs/>
        </w:rPr>
        <w:t xml:space="preserve"> to the flawed character of those rebuked who </w:t>
      </w:r>
      <w:r w:rsidR="00F20E5F">
        <w:rPr>
          <w:rFonts w:ascii="Palatino Linotype" w:hAnsi="Palatino Linotype"/>
          <w:bCs/>
        </w:rPr>
        <w:t xml:space="preserve">had </w:t>
      </w:r>
      <w:r w:rsidRPr="00026220">
        <w:rPr>
          <w:rFonts w:ascii="Palatino Linotype" w:hAnsi="Palatino Linotype"/>
          <w:bCs/>
        </w:rPr>
        <w:t xml:space="preserve">failed to accept their punishment. </w:t>
      </w:r>
      <w:r w:rsidR="003E6CAD" w:rsidRPr="00026220">
        <w:rPr>
          <w:rFonts w:ascii="Palatino Linotype" w:hAnsi="Palatino Linotype"/>
          <w:bCs/>
        </w:rPr>
        <w:t xml:space="preserve">It also aimed to create a social distance between the affected and those enacting legislative dominance. </w:t>
      </w:r>
      <w:r w:rsidR="003D05C6" w:rsidRPr="00026220">
        <w:rPr>
          <w:rFonts w:ascii="Palatino Linotype" w:hAnsi="Palatino Linotype"/>
          <w:bCs/>
        </w:rPr>
        <w:t xml:space="preserve">Such </w:t>
      </w:r>
      <w:r w:rsidR="002B1BB7" w:rsidRPr="00026220">
        <w:rPr>
          <w:rFonts w:ascii="Palatino Linotype" w:hAnsi="Palatino Linotype"/>
          <w:bCs/>
        </w:rPr>
        <w:lastRenderedPageBreak/>
        <w:t>declarations pinpoint how d</w:t>
      </w:r>
      <w:r w:rsidR="00AD7E1C" w:rsidRPr="00026220">
        <w:rPr>
          <w:rFonts w:ascii="Palatino Linotype" w:hAnsi="Palatino Linotype"/>
          <w:bCs/>
        </w:rPr>
        <w:t>e-</w:t>
      </w:r>
      <w:proofErr w:type="spellStart"/>
      <w:r w:rsidR="00AD7E1C" w:rsidRPr="00026220">
        <w:rPr>
          <w:rFonts w:ascii="Palatino Linotype" w:hAnsi="Palatino Linotype"/>
          <w:bCs/>
        </w:rPr>
        <w:t>Ba’athification</w:t>
      </w:r>
      <w:proofErr w:type="spellEnd"/>
      <w:r w:rsidR="00AD7E1C" w:rsidRPr="00026220">
        <w:rPr>
          <w:rFonts w:ascii="Palatino Linotype" w:hAnsi="Palatino Linotype"/>
          <w:bCs/>
        </w:rPr>
        <w:t xml:space="preserve"> </w:t>
      </w:r>
      <w:r w:rsidR="003D05C6" w:rsidRPr="00026220">
        <w:rPr>
          <w:rFonts w:ascii="Palatino Linotype" w:hAnsi="Palatino Linotype"/>
          <w:bCs/>
        </w:rPr>
        <w:t xml:space="preserve">became </w:t>
      </w:r>
      <w:r w:rsidR="006C1623" w:rsidRPr="00026220">
        <w:rPr>
          <w:rFonts w:ascii="Palatino Linotype" w:hAnsi="Palatino Linotype"/>
          <w:bCs/>
        </w:rPr>
        <w:t>s</w:t>
      </w:r>
      <w:r w:rsidR="003D05C6" w:rsidRPr="00026220">
        <w:rPr>
          <w:rFonts w:ascii="Palatino Linotype" w:hAnsi="Palatino Linotype"/>
          <w:bCs/>
        </w:rPr>
        <w:t>ubjectively b</w:t>
      </w:r>
      <w:r w:rsidR="004A4E26">
        <w:rPr>
          <w:rFonts w:ascii="Palatino Linotype" w:hAnsi="Palatino Linotype"/>
          <w:bCs/>
        </w:rPr>
        <w:t>i</w:t>
      </w:r>
      <w:r w:rsidR="003D05C6" w:rsidRPr="00026220">
        <w:rPr>
          <w:rFonts w:ascii="Palatino Linotype" w:hAnsi="Palatino Linotype"/>
          <w:bCs/>
        </w:rPr>
        <w:t>ased</w:t>
      </w:r>
      <w:r w:rsidR="006C1623" w:rsidRPr="00026220">
        <w:rPr>
          <w:rFonts w:ascii="Palatino Linotype" w:hAnsi="Palatino Linotype"/>
          <w:bCs/>
        </w:rPr>
        <w:t xml:space="preserve"> and thereby incapable of delivering a rational form of governance and regulatory competence</w:t>
      </w:r>
      <w:r w:rsidR="00FD0773" w:rsidRPr="00026220">
        <w:rPr>
          <w:rFonts w:ascii="Palatino Linotype" w:hAnsi="Palatino Linotype"/>
          <w:bCs/>
        </w:rPr>
        <w:t xml:space="preserve">. </w:t>
      </w:r>
      <w:r w:rsidR="003D05C6" w:rsidRPr="00026220">
        <w:rPr>
          <w:rFonts w:ascii="Palatino Linotype" w:hAnsi="Palatino Linotype"/>
          <w:bCs/>
        </w:rPr>
        <w:t xml:space="preserve">Evolving not as a site of solution-seeking between oppositional groups tied to </w:t>
      </w:r>
      <w:r w:rsidR="00B635B6">
        <w:rPr>
          <w:rFonts w:ascii="Palatino Linotype" w:hAnsi="Palatino Linotype"/>
          <w:bCs/>
        </w:rPr>
        <w:t xml:space="preserve">a </w:t>
      </w:r>
      <w:r w:rsidR="003D05C6" w:rsidRPr="00026220">
        <w:rPr>
          <w:rFonts w:ascii="Palatino Linotype" w:hAnsi="Palatino Linotype"/>
          <w:bCs/>
        </w:rPr>
        <w:t>shared as opposed to vested interests or the formation of a process within which the principles of inclusive debate, equal treatment and freedom of speech could be invoked.</w:t>
      </w:r>
      <w:r w:rsidR="00BF72ED">
        <w:rPr>
          <w:rFonts w:ascii="Palatino Linotype" w:hAnsi="Palatino Linotype"/>
          <w:bCs/>
        </w:rPr>
        <w:t xml:space="preserve"> </w:t>
      </w:r>
      <w:r w:rsidR="006B79D0" w:rsidRPr="00026220">
        <w:rPr>
          <w:rFonts w:ascii="Palatino Linotype" w:hAnsi="Palatino Linotype"/>
          <w:bCs/>
        </w:rPr>
        <w:t>Within sites of ethno-sectarian governance failure is not understood in terms of faulty design, institutional mismatch or adaptation faults</w:t>
      </w:r>
      <w:r w:rsidR="002B1BB7" w:rsidRPr="00026220">
        <w:rPr>
          <w:rFonts w:ascii="Palatino Linotype" w:hAnsi="Palatino Linotype"/>
          <w:bCs/>
        </w:rPr>
        <w:t xml:space="preserve"> </w:t>
      </w:r>
      <w:r w:rsidR="00BE611B">
        <w:rPr>
          <w:rFonts w:ascii="Palatino Linotype" w:hAnsi="Palatino Linotype"/>
          <w:bCs/>
        </w:rPr>
        <w:t>but as the</w:t>
      </w:r>
      <w:r w:rsidR="00F20E5F">
        <w:rPr>
          <w:rFonts w:ascii="Palatino Linotype" w:hAnsi="Palatino Linotype"/>
          <w:bCs/>
        </w:rPr>
        <w:t xml:space="preserve"> ‘proper’ exercise of power </w:t>
      </w:r>
      <w:r w:rsidR="006B79D0" w:rsidRPr="00026220">
        <w:rPr>
          <w:rFonts w:ascii="Palatino Linotype" w:hAnsi="Palatino Linotype"/>
          <w:bCs/>
        </w:rPr>
        <w:t>(</w:t>
      </w:r>
      <w:proofErr w:type="spellStart"/>
      <w:r w:rsidR="006B79D0" w:rsidRPr="00D051C8">
        <w:rPr>
          <w:rFonts w:ascii="Palatino Linotype" w:hAnsi="Palatino Linotype"/>
          <w:bCs/>
        </w:rPr>
        <w:t>Arato</w:t>
      </w:r>
      <w:proofErr w:type="spellEnd"/>
      <w:r w:rsidR="006B79D0" w:rsidRPr="00D051C8">
        <w:rPr>
          <w:rFonts w:ascii="Palatino Linotype" w:hAnsi="Palatino Linotype"/>
          <w:bCs/>
        </w:rPr>
        <w:t>, 2009; Chandrasekaran</w:t>
      </w:r>
      <w:r w:rsidR="006E3963">
        <w:rPr>
          <w:rFonts w:ascii="Palatino Linotype" w:hAnsi="Palatino Linotype"/>
          <w:bCs/>
        </w:rPr>
        <w:t>,</w:t>
      </w:r>
      <w:r w:rsidR="006B79D0" w:rsidRPr="00D051C8">
        <w:rPr>
          <w:rFonts w:ascii="Palatino Linotype" w:hAnsi="Palatino Linotype"/>
          <w:bCs/>
        </w:rPr>
        <w:t xml:space="preserve"> 2006; Migdal</w:t>
      </w:r>
      <w:r w:rsidR="006E3963">
        <w:rPr>
          <w:rFonts w:ascii="Palatino Linotype" w:hAnsi="Palatino Linotype"/>
          <w:bCs/>
        </w:rPr>
        <w:t>,</w:t>
      </w:r>
      <w:r w:rsidR="006B79D0" w:rsidRPr="00D051C8">
        <w:rPr>
          <w:rFonts w:ascii="Palatino Linotype" w:hAnsi="Palatino Linotype"/>
          <w:bCs/>
        </w:rPr>
        <w:t xml:space="preserve"> 1988</w:t>
      </w:r>
      <w:r w:rsidR="006B79D0" w:rsidRPr="00D051C8">
        <w:rPr>
          <w:rFonts w:ascii="Palatino Linotype" w:hAnsi="Palatino Linotype"/>
        </w:rPr>
        <w:t xml:space="preserve">; </w:t>
      </w:r>
      <w:proofErr w:type="spellStart"/>
      <w:r w:rsidR="006B79D0" w:rsidRPr="00D051C8">
        <w:rPr>
          <w:rFonts w:ascii="Palatino Linotype" w:hAnsi="Palatino Linotype"/>
        </w:rPr>
        <w:t>Putzel</w:t>
      </w:r>
      <w:proofErr w:type="spellEnd"/>
      <w:r w:rsidR="006E3963">
        <w:rPr>
          <w:rFonts w:ascii="Palatino Linotype" w:hAnsi="Palatino Linotype"/>
        </w:rPr>
        <w:t>,</w:t>
      </w:r>
      <w:r w:rsidR="006B79D0" w:rsidRPr="00D051C8">
        <w:rPr>
          <w:rFonts w:ascii="Palatino Linotype" w:hAnsi="Palatino Linotype"/>
        </w:rPr>
        <w:t xml:space="preserve"> 2006; Richmond</w:t>
      </w:r>
      <w:r w:rsidR="006E3963">
        <w:rPr>
          <w:rFonts w:ascii="Palatino Linotype" w:hAnsi="Palatino Linotype"/>
        </w:rPr>
        <w:t>,</w:t>
      </w:r>
      <w:r w:rsidR="006B79D0" w:rsidRPr="00D051C8">
        <w:rPr>
          <w:rFonts w:ascii="Palatino Linotype" w:hAnsi="Palatino Linotype"/>
        </w:rPr>
        <w:t xml:space="preserve"> 2010).</w:t>
      </w:r>
    </w:p>
    <w:p w14:paraId="7CBBAAD0" w14:textId="77777777" w:rsidR="003D05C6" w:rsidRPr="00026220" w:rsidRDefault="003D05C6" w:rsidP="001118A1">
      <w:pPr>
        <w:autoSpaceDE w:val="0"/>
        <w:autoSpaceDN w:val="0"/>
        <w:adjustRightInd w:val="0"/>
        <w:jc w:val="both"/>
        <w:rPr>
          <w:rFonts w:ascii="Palatino Linotype" w:hAnsi="Palatino Linotype"/>
          <w:bCs/>
        </w:rPr>
      </w:pPr>
    </w:p>
    <w:p w14:paraId="4694E0CD" w14:textId="77777777" w:rsidR="00CF4533" w:rsidRPr="00026220" w:rsidRDefault="00CF4533" w:rsidP="00B42419">
      <w:pPr>
        <w:autoSpaceDE w:val="0"/>
        <w:autoSpaceDN w:val="0"/>
        <w:adjustRightInd w:val="0"/>
        <w:jc w:val="both"/>
        <w:rPr>
          <w:rFonts w:ascii="Palatino Linotype" w:hAnsi="Palatino Linotype"/>
          <w:b/>
          <w:bCs/>
          <w:i/>
        </w:rPr>
      </w:pPr>
      <w:r w:rsidRPr="00026220">
        <w:rPr>
          <w:rFonts w:ascii="Palatino Linotype" w:hAnsi="Palatino Linotype"/>
          <w:b/>
          <w:bCs/>
          <w:i/>
        </w:rPr>
        <w:t xml:space="preserve">Flawed Criteria: </w:t>
      </w:r>
      <w:r w:rsidR="00A94F47" w:rsidRPr="00026220">
        <w:rPr>
          <w:rFonts w:ascii="Palatino Linotype" w:hAnsi="Palatino Linotype"/>
          <w:b/>
          <w:bCs/>
          <w:i/>
        </w:rPr>
        <w:t xml:space="preserve">Experiencing </w:t>
      </w:r>
      <w:r w:rsidRPr="00026220">
        <w:rPr>
          <w:rFonts w:ascii="Palatino Linotype" w:hAnsi="Palatino Linotype"/>
          <w:b/>
          <w:bCs/>
          <w:i/>
        </w:rPr>
        <w:t>Unfolding Power</w:t>
      </w:r>
    </w:p>
    <w:p w14:paraId="58810066" w14:textId="77777777" w:rsidR="00CF4533" w:rsidRPr="00026220" w:rsidRDefault="00CF4533" w:rsidP="00B42419">
      <w:pPr>
        <w:autoSpaceDE w:val="0"/>
        <w:autoSpaceDN w:val="0"/>
        <w:adjustRightInd w:val="0"/>
        <w:jc w:val="both"/>
        <w:rPr>
          <w:rFonts w:ascii="Palatino Linotype" w:hAnsi="Palatino Linotype"/>
          <w:bCs/>
        </w:rPr>
      </w:pPr>
    </w:p>
    <w:p w14:paraId="67F9206B" w14:textId="77777777" w:rsidR="00A94F47" w:rsidRPr="00026220" w:rsidRDefault="00A94F47" w:rsidP="00A94F47">
      <w:pPr>
        <w:autoSpaceDE w:val="0"/>
        <w:autoSpaceDN w:val="0"/>
        <w:adjustRightInd w:val="0"/>
        <w:jc w:val="both"/>
        <w:rPr>
          <w:rFonts w:ascii="Palatino Linotype" w:hAnsi="Palatino Linotype"/>
          <w:bCs/>
        </w:rPr>
      </w:pPr>
      <w:r w:rsidRPr="00026220">
        <w:rPr>
          <w:rFonts w:ascii="Palatino Linotype" w:hAnsi="Palatino Linotype"/>
          <w:bCs/>
        </w:rPr>
        <w:t xml:space="preserve">The authority of lustration processes was framed by multifarious processes and acts in which validity claims both embedded and entreated public </w:t>
      </w:r>
      <w:r w:rsidR="006E3963">
        <w:rPr>
          <w:rFonts w:ascii="Palatino Linotype" w:hAnsi="Palatino Linotype"/>
          <w:bCs/>
        </w:rPr>
        <w:t xml:space="preserve">employment </w:t>
      </w:r>
      <w:r w:rsidR="006E3963" w:rsidRPr="00026220">
        <w:rPr>
          <w:rFonts w:ascii="Palatino Linotype" w:hAnsi="Palatino Linotype"/>
          <w:bCs/>
        </w:rPr>
        <w:t>exclusion</w:t>
      </w:r>
      <w:r w:rsidRPr="00026220">
        <w:rPr>
          <w:rFonts w:ascii="Palatino Linotype" w:hAnsi="Palatino Linotype"/>
          <w:bCs/>
        </w:rPr>
        <w:t xml:space="preserve"> with formal autonomy </w:t>
      </w:r>
      <w:r w:rsidR="00BE611B">
        <w:rPr>
          <w:rFonts w:ascii="Palatino Linotype" w:hAnsi="Palatino Linotype"/>
          <w:bCs/>
        </w:rPr>
        <w:t xml:space="preserve">linked </w:t>
      </w:r>
      <w:r w:rsidRPr="00026220">
        <w:rPr>
          <w:rFonts w:ascii="Palatino Linotype" w:hAnsi="Palatino Linotype"/>
          <w:bCs/>
        </w:rPr>
        <w:t xml:space="preserve">to coercion and legal opaqueness. </w:t>
      </w:r>
      <w:r w:rsidR="00CC7AFB" w:rsidRPr="00026220">
        <w:rPr>
          <w:rFonts w:ascii="Palatino Linotype" w:hAnsi="Palatino Linotype"/>
          <w:bCs/>
        </w:rPr>
        <w:t xml:space="preserve">In examining </w:t>
      </w:r>
      <w:r w:rsidRPr="00026220">
        <w:rPr>
          <w:rFonts w:ascii="Palatino Linotype" w:hAnsi="Palatino Linotype"/>
          <w:bCs/>
        </w:rPr>
        <w:t xml:space="preserve">those who opposed lustration process and the multiple ways in which that opposition was </w:t>
      </w:r>
      <w:r w:rsidR="00CC7AFB" w:rsidRPr="00026220">
        <w:rPr>
          <w:rFonts w:ascii="Palatino Linotype" w:hAnsi="Palatino Linotype"/>
          <w:bCs/>
        </w:rPr>
        <w:t xml:space="preserve">voiced we observe a mixture of concerns regarding </w:t>
      </w:r>
      <w:r w:rsidRPr="00026220">
        <w:rPr>
          <w:rFonts w:ascii="Palatino Linotype" w:hAnsi="Palatino Linotype"/>
          <w:bCs/>
        </w:rPr>
        <w:t xml:space="preserve">sectarian and </w:t>
      </w:r>
      <w:r w:rsidR="003D05C6" w:rsidRPr="00026220">
        <w:rPr>
          <w:rFonts w:ascii="Palatino Linotype" w:hAnsi="Palatino Linotype"/>
          <w:bCs/>
        </w:rPr>
        <w:t>violent</w:t>
      </w:r>
      <w:r w:rsidRPr="00026220">
        <w:rPr>
          <w:rFonts w:ascii="Palatino Linotype" w:hAnsi="Palatino Linotype"/>
          <w:bCs/>
        </w:rPr>
        <w:t xml:space="preserve"> contestation, </w:t>
      </w:r>
      <w:r w:rsidR="003D05C6" w:rsidRPr="00026220">
        <w:rPr>
          <w:rFonts w:ascii="Palatino Linotype" w:hAnsi="Palatino Linotype"/>
          <w:bCs/>
        </w:rPr>
        <w:t>incredulity</w:t>
      </w:r>
      <w:r w:rsidRPr="00026220">
        <w:rPr>
          <w:rFonts w:ascii="Palatino Linotype" w:hAnsi="Palatino Linotype"/>
          <w:bCs/>
        </w:rPr>
        <w:t xml:space="preserve"> regarding the lack of transparency and the voicing of potential remedies </w:t>
      </w:r>
      <w:r w:rsidR="003D05C6" w:rsidRPr="00026220">
        <w:rPr>
          <w:rFonts w:ascii="Palatino Linotype" w:hAnsi="Palatino Linotype"/>
          <w:bCs/>
        </w:rPr>
        <w:t xml:space="preserve">regarding </w:t>
      </w:r>
      <w:r w:rsidRPr="00026220">
        <w:rPr>
          <w:rFonts w:ascii="Palatino Linotype" w:hAnsi="Palatino Linotype"/>
          <w:bCs/>
        </w:rPr>
        <w:t xml:space="preserve">the </w:t>
      </w:r>
      <w:r w:rsidR="00CC7AFB" w:rsidRPr="00026220">
        <w:rPr>
          <w:rFonts w:ascii="Palatino Linotype" w:hAnsi="Palatino Linotype"/>
          <w:bCs/>
        </w:rPr>
        <w:t>ignominy</w:t>
      </w:r>
      <w:r w:rsidRPr="00026220">
        <w:rPr>
          <w:rFonts w:ascii="Palatino Linotype" w:hAnsi="Palatino Linotype"/>
          <w:bCs/>
        </w:rPr>
        <w:t xml:space="preserve"> </w:t>
      </w:r>
      <w:r w:rsidR="00CC7AFB" w:rsidRPr="00026220">
        <w:rPr>
          <w:rFonts w:ascii="Palatino Linotype" w:hAnsi="Palatino Linotype"/>
          <w:bCs/>
        </w:rPr>
        <w:t xml:space="preserve">of </w:t>
      </w:r>
      <w:r w:rsidRPr="00026220">
        <w:rPr>
          <w:rFonts w:ascii="Palatino Linotype" w:hAnsi="Palatino Linotype"/>
          <w:bCs/>
        </w:rPr>
        <w:t>De-</w:t>
      </w:r>
      <w:proofErr w:type="spellStart"/>
      <w:r w:rsidRPr="00026220">
        <w:rPr>
          <w:rFonts w:ascii="Palatino Linotype" w:hAnsi="Palatino Linotype"/>
          <w:bCs/>
        </w:rPr>
        <w:t>Ba’athification</w:t>
      </w:r>
      <w:proofErr w:type="spellEnd"/>
      <w:r w:rsidR="00CC7AFB" w:rsidRPr="00026220">
        <w:rPr>
          <w:rFonts w:ascii="Palatino Linotype" w:hAnsi="Palatino Linotype"/>
          <w:bCs/>
        </w:rPr>
        <w:t>.</w:t>
      </w:r>
      <w:r w:rsidR="003D05C6" w:rsidRPr="00026220">
        <w:rPr>
          <w:rFonts w:ascii="Palatino Linotype" w:hAnsi="Palatino Linotype"/>
          <w:bCs/>
        </w:rPr>
        <w:t xml:space="preserve"> Interestingly</w:t>
      </w:r>
      <w:r w:rsidR="000A5E60" w:rsidRPr="00026220">
        <w:rPr>
          <w:rFonts w:ascii="Palatino Linotype" w:hAnsi="Palatino Linotype"/>
          <w:bCs/>
        </w:rPr>
        <w:t>,</w:t>
      </w:r>
      <w:r w:rsidR="003D05C6" w:rsidRPr="00026220">
        <w:rPr>
          <w:rFonts w:ascii="Palatino Linotype" w:hAnsi="Palatino Linotype"/>
          <w:bCs/>
        </w:rPr>
        <w:t xml:space="preserve"> the criticism of de-</w:t>
      </w:r>
      <w:proofErr w:type="spellStart"/>
      <w:r w:rsidR="009E4651" w:rsidRPr="00026220">
        <w:rPr>
          <w:rFonts w:ascii="Palatino Linotype" w:hAnsi="Palatino Linotype"/>
          <w:bCs/>
        </w:rPr>
        <w:t>Ba’athification</w:t>
      </w:r>
      <w:proofErr w:type="spellEnd"/>
      <w:r w:rsidR="003D05C6" w:rsidRPr="00026220">
        <w:rPr>
          <w:rFonts w:ascii="Palatino Linotype" w:hAnsi="Palatino Linotype"/>
          <w:bCs/>
        </w:rPr>
        <w:t xml:space="preserve"> included anti-Ba’athist</w:t>
      </w:r>
      <w:r w:rsidR="00C01463" w:rsidRPr="00026220">
        <w:rPr>
          <w:rFonts w:ascii="Palatino Linotype" w:hAnsi="Palatino Linotype"/>
          <w:bCs/>
        </w:rPr>
        <w:t xml:space="preserve">s </w:t>
      </w:r>
      <w:r w:rsidR="009E4651" w:rsidRPr="00026220">
        <w:rPr>
          <w:rFonts w:ascii="Palatino Linotype" w:hAnsi="Palatino Linotype"/>
          <w:bCs/>
        </w:rPr>
        <w:t xml:space="preserve">Shias, Kurds and secularists </w:t>
      </w:r>
      <w:r w:rsidR="00C01463" w:rsidRPr="00026220">
        <w:rPr>
          <w:rFonts w:ascii="Palatino Linotype" w:hAnsi="Palatino Linotype"/>
          <w:bCs/>
        </w:rPr>
        <w:t xml:space="preserve">who considered themselves as </w:t>
      </w:r>
      <w:r w:rsidR="00FE5277" w:rsidRPr="00026220">
        <w:rPr>
          <w:rFonts w:ascii="Palatino Linotype" w:hAnsi="Palatino Linotype"/>
          <w:bCs/>
        </w:rPr>
        <w:t>Iraqi nationalists.</w:t>
      </w:r>
      <w:r w:rsidR="003D05C6" w:rsidRPr="00026220">
        <w:rPr>
          <w:rFonts w:ascii="Palatino Linotype" w:hAnsi="Palatino Linotype"/>
          <w:bCs/>
        </w:rPr>
        <w:t xml:space="preserve"> </w:t>
      </w:r>
    </w:p>
    <w:p w14:paraId="5B5DA121" w14:textId="77777777" w:rsidR="009E4651" w:rsidRPr="00026220" w:rsidRDefault="009E4651" w:rsidP="00A94F47">
      <w:pPr>
        <w:autoSpaceDE w:val="0"/>
        <w:autoSpaceDN w:val="0"/>
        <w:adjustRightInd w:val="0"/>
        <w:jc w:val="both"/>
        <w:rPr>
          <w:rFonts w:ascii="Palatino Linotype" w:hAnsi="Palatino Linotype"/>
          <w:bCs/>
        </w:rPr>
      </w:pPr>
    </w:p>
    <w:p w14:paraId="31FB5D49" w14:textId="77777777" w:rsidR="00A94F47" w:rsidRPr="00026220" w:rsidRDefault="00A94F47" w:rsidP="00A94F47">
      <w:pPr>
        <w:autoSpaceDE w:val="0"/>
        <w:autoSpaceDN w:val="0"/>
        <w:adjustRightInd w:val="0"/>
        <w:jc w:val="both"/>
        <w:rPr>
          <w:rFonts w:ascii="Palatino Linotype" w:hAnsi="Palatino Linotype"/>
          <w:bCs/>
          <w:i/>
        </w:rPr>
      </w:pPr>
      <w:r w:rsidRPr="00026220">
        <w:rPr>
          <w:rFonts w:ascii="Palatino Linotype" w:hAnsi="Palatino Linotype"/>
          <w:bCs/>
          <w:i/>
        </w:rPr>
        <w:t>Picking up the Gun</w:t>
      </w:r>
    </w:p>
    <w:p w14:paraId="13367B62" w14:textId="77777777" w:rsidR="00A94F47" w:rsidRPr="00026220" w:rsidRDefault="00A94F47" w:rsidP="00A94F47">
      <w:pPr>
        <w:autoSpaceDE w:val="0"/>
        <w:autoSpaceDN w:val="0"/>
        <w:adjustRightInd w:val="0"/>
        <w:jc w:val="both"/>
        <w:rPr>
          <w:rFonts w:ascii="Palatino Linotype" w:hAnsi="Palatino Linotype"/>
          <w:bCs/>
        </w:rPr>
      </w:pPr>
    </w:p>
    <w:p w14:paraId="2C282B7B" w14:textId="77777777" w:rsidR="00A94F47" w:rsidRPr="00026220" w:rsidRDefault="00504FC5" w:rsidP="00A94F47">
      <w:pPr>
        <w:autoSpaceDE w:val="0"/>
        <w:autoSpaceDN w:val="0"/>
        <w:adjustRightInd w:val="0"/>
        <w:jc w:val="both"/>
        <w:rPr>
          <w:rFonts w:ascii="Palatino Linotype" w:hAnsi="Palatino Linotype"/>
          <w:bCs/>
        </w:rPr>
      </w:pPr>
      <w:r w:rsidRPr="00026220">
        <w:rPr>
          <w:rFonts w:ascii="Palatino Linotype" w:hAnsi="Palatino Linotype"/>
          <w:bCs/>
        </w:rPr>
        <w:t xml:space="preserve">Although lustration in Iraq cannot be identified as the principle source of </w:t>
      </w:r>
      <w:r w:rsidR="00CC7AFB" w:rsidRPr="00026220">
        <w:rPr>
          <w:rFonts w:ascii="Palatino Linotype" w:hAnsi="Palatino Linotype"/>
          <w:bCs/>
        </w:rPr>
        <w:t>armed</w:t>
      </w:r>
      <w:r w:rsidRPr="00026220">
        <w:rPr>
          <w:rFonts w:ascii="Palatino Linotype" w:hAnsi="Palatino Linotype"/>
          <w:bCs/>
        </w:rPr>
        <w:t xml:space="preserve"> Sunni insurgency it was understood by interviewees as part of the multiple grievances that </w:t>
      </w:r>
      <w:r w:rsidR="00A94F47" w:rsidRPr="00026220">
        <w:rPr>
          <w:rFonts w:ascii="Palatino Linotype" w:hAnsi="Palatino Linotype"/>
          <w:bCs/>
        </w:rPr>
        <w:t xml:space="preserve">drove significant protesting and riots in Iraq in 2013 and 2014 influenced by militant Ba’ath groups such as </w:t>
      </w:r>
      <w:proofErr w:type="spellStart"/>
      <w:r w:rsidR="00A94F47" w:rsidRPr="00026220">
        <w:rPr>
          <w:rFonts w:ascii="Palatino Linotype" w:hAnsi="Palatino Linotype"/>
          <w:bCs/>
        </w:rPr>
        <w:t>Jaych</w:t>
      </w:r>
      <w:proofErr w:type="spellEnd"/>
      <w:r w:rsidR="00A94F47" w:rsidRPr="00026220">
        <w:rPr>
          <w:rFonts w:ascii="Palatino Linotype" w:hAnsi="Palatino Linotype"/>
          <w:bCs/>
        </w:rPr>
        <w:t xml:space="preserve"> </w:t>
      </w:r>
      <w:proofErr w:type="spellStart"/>
      <w:r w:rsidR="00A94F47" w:rsidRPr="00026220">
        <w:rPr>
          <w:rFonts w:ascii="Palatino Linotype" w:hAnsi="Palatino Linotype"/>
          <w:bCs/>
        </w:rPr>
        <w:t>Rijal</w:t>
      </w:r>
      <w:proofErr w:type="spellEnd"/>
      <w:r w:rsidR="00A94F47" w:rsidRPr="00026220">
        <w:rPr>
          <w:rFonts w:ascii="Palatino Linotype" w:hAnsi="Palatino Linotype"/>
          <w:bCs/>
        </w:rPr>
        <w:t xml:space="preserve"> al-Tariqa al-</w:t>
      </w:r>
      <w:proofErr w:type="spellStart"/>
      <w:r w:rsidR="00A94F47" w:rsidRPr="00026220">
        <w:rPr>
          <w:rFonts w:ascii="Palatino Linotype" w:hAnsi="Palatino Linotype"/>
          <w:bCs/>
        </w:rPr>
        <w:t>Naqsh</w:t>
      </w:r>
      <w:r w:rsidRPr="00026220">
        <w:rPr>
          <w:rFonts w:ascii="Palatino Linotype" w:hAnsi="Palatino Linotype"/>
          <w:bCs/>
        </w:rPr>
        <w:t>bandia</w:t>
      </w:r>
      <w:proofErr w:type="spellEnd"/>
      <w:r w:rsidRPr="00026220">
        <w:rPr>
          <w:rFonts w:ascii="Palatino Linotype" w:hAnsi="Palatino Linotype"/>
          <w:bCs/>
        </w:rPr>
        <w:t xml:space="preserve"> and the New Ba’ath Party</w:t>
      </w:r>
      <w:r w:rsidR="00F11B6D" w:rsidRPr="00026220">
        <w:rPr>
          <w:rStyle w:val="EndnoteReference"/>
          <w:rFonts w:ascii="Palatino Linotype" w:hAnsi="Palatino Linotype"/>
          <w:bCs/>
        </w:rPr>
        <w:endnoteReference w:id="16"/>
      </w:r>
      <w:r w:rsidRPr="00026220">
        <w:rPr>
          <w:rFonts w:ascii="Palatino Linotype" w:hAnsi="Palatino Linotype"/>
          <w:bCs/>
        </w:rPr>
        <w:t xml:space="preserve">. Both of </w:t>
      </w:r>
      <w:r w:rsidR="00A94F47" w:rsidRPr="00026220">
        <w:rPr>
          <w:rFonts w:ascii="Palatino Linotype" w:hAnsi="Palatino Linotype"/>
          <w:bCs/>
        </w:rPr>
        <w:t>who</w:t>
      </w:r>
      <w:r w:rsidRPr="00026220">
        <w:rPr>
          <w:rFonts w:ascii="Palatino Linotype" w:hAnsi="Palatino Linotype"/>
          <w:bCs/>
        </w:rPr>
        <w:t>m</w:t>
      </w:r>
      <w:r w:rsidR="00A94F47" w:rsidRPr="00026220">
        <w:rPr>
          <w:rFonts w:ascii="Palatino Linotype" w:hAnsi="Palatino Linotype"/>
          <w:bCs/>
        </w:rPr>
        <w:t xml:space="preserve"> articulated de-</w:t>
      </w:r>
      <w:proofErr w:type="spellStart"/>
      <w:r w:rsidR="00A94F47" w:rsidRPr="00026220">
        <w:rPr>
          <w:rFonts w:ascii="Palatino Linotype" w:hAnsi="Palatino Linotype"/>
          <w:bCs/>
        </w:rPr>
        <w:t>Ba’athification</w:t>
      </w:r>
      <w:proofErr w:type="spellEnd"/>
      <w:r w:rsidR="00A94F47" w:rsidRPr="00026220">
        <w:rPr>
          <w:rFonts w:ascii="Palatino Linotype" w:hAnsi="Palatino Linotype"/>
          <w:bCs/>
        </w:rPr>
        <w:t xml:space="preserve"> as a totem for Sunni resistance to the new regime.</w:t>
      </w:r>
      <w:r w:rsidRPr="00026220">
        <w:rPr>
          <w:rFonts w:ascii="Palatino Linotype" w:hAnsi="Palatino Linotype"/>
          <w:bCs/>
        </w:rPr>
        <w:t xml:space="preserve"> There </w:t>
      </w:r>
      <w:r w:rsidR="00FE5277" w:rsidRPr="00026220">
        <w:rPr>
          <w:rFonts w:ascii="Palatino Linotype" w:hAnsi="Palatino Linotype"/>
          <w:bCs/>
        </w:rPr>
        <w:t xml:space="preserve">were some who concluded that </w:t>
      </w:r>
      <w:r w:rsidR="009E4651" w:rsidRPr="00026220">
        <w:rPr>
          <w:rFonts w:ascii="Palatino Linotype" w:hAnsi="Palatino Linotype"/>
          <w:bCs/>
        </w:rPr>
        <w:t xml:space="preserve">rupture caused by lustration </w:t>
      </w:r>
      <w:r w:rsidRPr="00026220">
        <w:rPr>
          <w:rFonts w:ascii="Palatino Linotype" w:hAnsi="Palatino Linotype"/>
          <w:bCs/>
        </w:rPr>
        <w:t xml:space="preserve">had mobilizing and propaganda values for ISIS. A broader perspective </w:t>
      </w:r>
      <w:r w:rsidR="00BE611B">
        <w:rPr>
          <w:rFonts w:ascii="Palatino Linotype" w:hAnsi="Palatino Linotype"/>
          <w:bCs/>
        </w:rPr>
        <w:t xml:space="preserve">viewed </w:t>
      </w:r>
      <w:r w:rsidRPr="00026220">
        <w:rPr>
          <w:rFonts w:ascii="Palatino Linotype" w:hAnsi="Palatino Linotype"/>
          <w:bCs/>
        </w:rPr>
        <w:t xml:space="preserve">the </w:t>
      </w:r>
      <w:r w:rsidR="00A94F47" w:rsidRPr="00026220">
        <w:rPr>
          <w:rFonts w:ascii="Palatino Linotype" w:hAnsi="Palatino Linotype"/>
          <w:bCs/>
        </w:rPr>
        <w:t xml:space="preserve">partisanship </w:t>
      </w:r>
      <w:r w:rsidRPr="00026220">
        <w:rPr>
          <w:rFonts w:ascii="Palatino Linotype" w:hAnsi="Palatino Linotype"/>
          <w:bCs/>
        </w:rPr>
        <w:t xml:space="preserve">of the SNCD/SNACJ </w:t>
      </w:r>
      <w:r w:rsidR="00BE611B">
        <w:rPr>
          <w:rFonts w:ascii="Palatino Linotype" w:hAnsi="Palatino Linotype"/>
          <w:bCs/>
        </w:rPr>
        <w:t>as ensuring</w:t>
      </w:r>
      <w:r w:rsidR="00A94F47" w:rsidRPr="00026220">
        <w:rPr>
          <w:rFonts w:ascii="Palatino Linotype" w:hAnsi="Palatino Linotype"/>
          <w:bCs/>
        </w:rPr>
        <w:t xml:space="preserve"> that </w:t>
      </w:r>
      <w:r w:rsidR="00FE5277" w:rsidRPr="00026220">
        <w:rPr>
          <w:rFonts w:ascii="Palatino Linotype" w:hAnsi="Palatino Linotype"/>
          <w:bCs/>
        </w:rPr>
        <w:t>any potential</w:t>
      </w:r>
      <w:r w:rsidRPr="00026220">
        <w:rPr>
          <w:rFonts w:ascii="Palatino Linotype" w:hAnsi="Palatino Linotype"/>
          <w:bCs/>
        </w:rPr>
        <w:t xml:space="preserve"> </w:t>
      </w:r>
      <w:r w:rsidR="00A94F47" w:rsidRPr="00026220">
        <w:rPr>
          <w:rFonts w:ascii="Palatino Linotype" w:hAnsi="Palatino Linotype"/>
          <w:bCs/>
        </w:rPr>
        <w:t xml:space="preserve">healing of the past was </w:t>
      </w:r>
      <w:r w:rsidR="00BE611B">
        <w:rPr>
          <w:rFonts w:ascii="Palatino Linotype" w:hAnsi="Palatino Linotype"/>
          <w:bCs/>
        </w:rPr>
        <w:t xml:space="preserve">undermined </w:t>
      </w:r>
      <w:r w:rsidR="00A94F47" w:rsidRPr="00026220">
        <w:rPr>
          <w:rFonts w:ascii="Palatino Linotype" w:hAnsi="Palatino Linotype"/>
          <w:bCs/>
        </w:rPr>
        <w:t>by dismissals</w:t>
      </w:r>
      <w:r w:rsidRPr="00026220">
        <w:rPr>
          <w:rFonts w:ascii="Palatino Linotype" w:hAnsi="Palatino Linotype"/>
          <w:bCs/>
        </w:rPr>
        <w:t xml:space="preserve"> and counter-intuitive outcomes </w:t>
      </w:r>
      <w:r w:rsidR="00FE5277" w:rsidRPr="00026220">
        <w:rPr>
          <w:rFonts w:ascii="Palatino Linotype" w:hAnsi="Palatino Linotype"/>
          <w:bCs/>
        </w:rPr>
        <w:t xml:space="preserve">which </w:t>
      </w:r>
      <w:r w:rsidRPr="00026220">
        <w:rPr>
          <w:rFonts w:ascii="Palatino Linotype" w:hAnsi="Palatino Linotype"/>
          <w:bCs/>
        </w:rPr>
        <w:t>embolden</w:t>
      </w:r>
      <w:r w:rsidR="00C01463" w:rsidRPr="00026220">
        <w:rPr>
          <w:rFonts w:ascii="Palatino Linotype" w:hAnsi="Palatino Linotype"/>
          <w:bCs/>
        </w:rPr>
        <w:t>ed r</w:t>
      </w:r>
      <w:r w:rsidRPr="00026220">
        <w:rPr>
          <w:rFonts w:ascii="Palatino Linotype" w:hAnsi="Palatino Linotype"/>
          <w:bCs/>
        </w:rPr>
        <w:t xml:space="preserve">esolve against the new </w:t>
      </w:r>
      <w:proofErr w:type="gramStart"/>
      <w:r w:rsidRPr="00026220">
        <w:rPr>
          <w:rFonts w:ascii="Palatino Linotype" w:hAnsi="Palatino Linotype"/>
          <w:bCs/>
        </w:rPr>
        <w:t>regime;</w:t>
      </w:r>
      <w:proofErr w:type="gramEnd"/>
    </w:p>
    <w:p w14:paraId="1C18CF19" w14:textId="77777777" w:rsidR="00A94F47" w:rsidRPr="00026220" w:rsidRDefault="00A94F47" w:rsidP="00A94F47">
      <w:pPr>
        <w:autoSpaceDE w:val="0"/>
        <w:autoSpaceDN w:val="0"/>
        <w:adjustRightInd w:val="0"/>
        <w:jc w:val="both"/>
        <w:rPr>
          <w:rFonts w:ascii="Palatino Linotype" w:hAnsi="Palatino Linotype"/>
          <w:bCs/>
        </w:rPr>
      </w:pPr>
    </w:p>
    <w:p w14:paraId="7ECDBB82" w14:textId="77777777" w:rsidR="00A94F47" w:rsidRPr="00026220" w:rsidRDefault="00A94F47" w:rsidP="00A94F47">
      <w:pPr>
        <w:autoSpaceDE w:val="0"/>
        <w:autoSpaceDN w:val="0"/>
        <w:adjustRightInd w:val="0"/>
        <w:jc w:val="both"/>
        <w:rPr>
          <w:rFonts w:ascii="Palatino Linotype" w:hAnsi="Palatino Linotype"/>
          <w:bCs/>
        </w:rPr>
      </w:pPr>
      <w:r w:rsidRPr="00026220">
        <w:rPr>
          <w:rFonts w:ascii="Palatino Linotype" w:hAnsi="Palatino Linotype"/>
          <w:bCs/>
        </w:rPr>
        <w:t xml:space="preserve">‘The irony of SNCD in punishing people, mostly Sunnis, was meant that instead of removing Ba’athism and making it have no power they actually breathed life to it. The sign of Ba’athism remained as there was a power around it in being abused by the new regime. It was the one thing that people could look at and say ‘under the Ba’ath I was not treated like this, so why am I treated now like this? I will use </w:t>
      </w:r>
      <w:proofErr w:type="gramStart"/>
      <w:r w:rsidRPr="00026220">
        <w:rPr>
          <w:rFonts w:ascii="Palatino Linotype" w:hAnsi="Palatino Linotype"/>
          <w:bCs/>
        </w:rPr>
        <w:lastRenderedPageBreak/>
        <w:t>violence,</w:t>
      </w:r>
      <w:proofErr w:type="gramEnd"/>
      <w:r w:rsidRPr="00026220">
        <w:rPr>
          <w:rFonts w:ascii="Palatino Linotype" w:hAnsi="Palatino Linotype"/>
          <w:bCs/>
        </w:rPr>
        <w:t xml:space="preserve"> I will fight back. The sectarian power was released as the new leadership showed few morals in how they treated the defeated’ (Interview Sunni politician, 2014).</w:t>
      </w:r>
    </w:p>
    <w:p w14:paraId="359F6ABB" w14:textId="77777777" w:rsidR="00A94F47" w:rsidRPr="00026220" w:rsidRDefault="00A94F47" w:rsidP="00A94F47">
      <w:pPr>
        <w:autoSpaceDE w:val="0"/>
        <w:autoSpaceDN w:val="0"/>
        <w:adjustRightInd w:val="0"/>
        <w:jc w:val="both"/>
        <w:rPr>
          <w:rFonts w:ascii="Palatino Linotype" w:hAnsi="Palatino Linotype"/>
          <w:bCs/>
        </w:rPr>
      </w:pPr>
    </w:p>
    <w:p w14:paraId="3FCE4F31" w14:textId="77777777" w:rsidR="00D80ED2" w:rsidRPr="00026220" w:rsidRDefault="00D80ED2" w:rsidP="00D80ED2">
      <w:pPr>
        <w:autoSpaceDE w:val="0"/>
        <w:autoSpaceDN w:val="0"/>
        <w:adjustRightInd w:val="0"/>
        <w:jc w:val="both"/>
        <w:rPr>
          <w:rFonts w:ascii="Palatino Linotype" w:hAnsi="Palatino Linotype"/>
          <w:bCs/>
        </w:rPr>
      </w:pPr>
      <w:proofErr w:type="gramStart"/>
      <w:r w:rsidRPr="00026220">
        <w:rPr>
          <w:rFonts w:ascii="Palatino Linotype" w:hAnsi="Palatino Linotype"/>
          <w:bCs/>
        </w:rPr>
        <w:t>Moreover</w:t>
      </w:r>
      <w:proofErr w:type="gramEnd"/>
      <w:r w:rsidRPr="00026220">
        <w:rPr>
          <w:rFonts w:ascii="Palatino Linotype" w:hAnsi="Palatino Linotype"/>
          <w:bCs/>
        </w:rPr>
        <w:t xml:space="preserve"> as concluded by a </w:t>
      </w:r>
      <w:r w:rsidR="00C01463" w:rsidRPr="00026220">
        <w:rPr>
          <w:rFonts w:ascii="Palatino Linotype" w:hAnsi="Palatino Linotype"/>
          <w:bCs/>
        </w:rPr>
        <w:t xml:space="preserve">secular </w:t>
      </w:r>
      <w:r w:rsidRPr="00026220">
        <w:rPr>
          <w:rFonts w:ascii="Palatino Linotype" w:hAnsi="Palatino Linotype"/>
          <w:bCs/>
        </w:rPr>
        <w:t>S</w:t>
      </w:r>
      <w:r w:rsidR="00FE5277" w:rsidRPr="00026220">
        <w:rPr>
          <w:rFonts w:ascii="Palatino Linotype" w:hAnsi="Palatino Linotype"/>
          <w:bCs/>
        </w:rPr>
        <w:t>hia</w:t>
      </w:r>
      <w:r w:rsidRPr="00026220">
        <w:rPr>
          <w:rFonts w:ascii="Palatino Linotype" w:hAnsi="Palatino Linotype"/>
          <w:bCs/>
        </w:rPr>
        <w:t xml:space="preserve"> </w:t>
      </w:r>
      <w:r w:rsidR="00FE5277" w:rsidRPr="00026220">
        <w:rPr>
          <w:rFonts w:ascii="Palatino Linotype" w:hAnsi="Palatino Linotype"/>
          <w:bCs/>
        </w:rPr>
        <w:t>politician</w:t>
      </w:r>
      <w:r w:rsidRPr="00026220">
        <w:rPr>
          <w:rFonts w:ascii="Palatino Linotype" w:hAnsi="Palatino Linotype"/>
          <w:bCs/>
        </w:rPr>
        <w:t>;</w:t>
      </w:r>
    </w:p>
    <w:p w14:paraId="68C0DAAC" w14:textId="77777777" w:rsidR="00D80ED2" w:rsidRPr="00026220" w:rsidRDefault="00D80ED2" w:rsidP="00D80ED2">
      <w:pPr>
        <w:autoSpaceDE w:val="0"/>
        <w:autoSpaceDN w:val="0"/>
        <w:adjustRightInd w:val="0"/>
        <w:jc w:val="both"/>
        <w:rPr>
          <w:rFonts w:ascii="Palatino Linotype" w:hAnsi="Palatino Linotype"/>
          <w:bCs/>
        </w:rPr>
      </w:pPr>
    </w:p>
    <w:p w14:paraId="4991EA73" w14:textId="77777777" w:rsidR="0014743F" w:rsidRPr="00026220" w:rsidRDefault="00D80ED2" w:rsidP="00D80ED2">
      <w:pPr>
        <w:autoSpaceDE w:val="0"/>
        <w:autoSpaceDN w:val="0"/>
        <w:adjustRightInd w:val="0"/>
        <w:jc w:val="both"/>
        <w:rPr>
          <w:rFonts w:ascii="Palatino Linotype" w:hAnsi="Palatino Linotype"/>
          <w:bCs/>
        </w:rPr>
      </w:pPr>
      <w:r w:rsidRPr="00026220">
        <w:rPr>
          <w:rFonts w:ascii="Palatino Linotype" w:hAnsi="Palatino Linotype"/>
          <w:bCs/>
        </w:rPr>
        <w:t xml:space="preserve">‘The issue of guilt without unquestionable proof </w:t>
      </w:r>
      <w:r w:rsidR="00EA3F1C" w:rsidRPr="00026220">
        <w:rPr>
          <w:rFonts w:ascii="Palatino Linotype" w:hAnsi="Palatino Linotype"/>
          <w:bCs/>
        </w:rPr>
        <w:t>made de-</w:t>
      </w:r>
      <w:proofErr w:type="spellStart"/>
      <w:r w:rsidR="00EA3F1C" w:rsidRPr="00026220">
        <w:rPr>
          <w:rFonts w:ascii="Palatino Linotype" w:hAnsi="Palatino Linotype"/>
          <w:bCs/>
        </w:rPr>
        <w:t>Ba’athification</w:t>
      </w:r>
      <w:proofErr w:type="spellEnd"/>
      <w:r w:rsidR="00EA3F1C" w:rsidRPr="00026220">
        <w:rPr>
          <w:rFonts w:ascii="Palatino Linotype" w:hAnsi="Palatino Linotype"/>
          <w:bCs/>
        </w:rPr>
        <w:t xml:space="preserve"> bad law. By a short </w:t>
      </w:r>
      <w:proofErr w:type="gramStart"/>
      <w:r w:rsidR="00EA3F1C" w:rsidRPr="00026220">
        <w:rPr>
          <w:rFonts w:ascii="Palatino Linotype" w:hAnsi="Palatino Linotype"/>
          <w:bCs/>
        </w:rPr>
        <w:t>time</w:t>
      </w:r>
      <w:proofErr w:type="gramEnd"/>
      <w:r w:rsidR="00EA3F1C" w:rsidRPr="00026220">
        <w:rPr>
          <w:rFonts w:ascii="Palatino Linotype" w:hAnsi="Palatino Linotype"/>
          <w:bCs/>
        </w:rPr>
        <w:t xml:space="preserve"> </w:t>
      </w:r>
      <w:r w:rsidRPr="00026220">
        <w:rPr>
          <w:rFonts w:ascii="Palatino Linotype" w:hAnsi="Palatino Linotype"/>
          <w:bCs/>
        </w:rPr>
        <w:t xml:space="preserve">many people had been excluded and some had taken to violence. With no livelihood they had simply decided to fight back. </w:t>
      </w:r>
      <w:proofErr w:type="gramStart"/>
      <w:r w:rsidRPr="00026220">
        <w:rPr>
          <w:rFonts w:ascii="Palatino Linotype" w:hAnsi="Palatino Linotype"/>
          <w:bCs/>
        </w:rPr>
        <w:t>So</w:t>
      </w:r>
      <w:proofErr w:type="gramEnd"/>
      <w:r w:rsidRPr="00026220">
        <w:rPr>
          <w:rFonts w:ascii="Palatino Linotype" w:hAnsi="Palatino Linotype"/>
          <w:bCs/>
        </w:rPr>
        <w:t xml:space="preserve"> the Accountability and Justice Act was an opportunity to show that transition based upon including those rejected by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who had done nothing wrong could be addressed. But the </w:t>
      </w:r>
      <w:r w:rsidR="009E4651" w:rsidRPr="00026220">
        <w:rPr>
          <w:rFonts w:ascii="Palatino Linotype" w:hAnsi="Palatino Linotype"/>
          <w:bCs/>
        </w:rPr>
        <w:t>bigots</w:t>
      </w:r>
      <w:r w:rsidRPr="00026220">
        <w:rPr>
          <w:rFonts w:ascii="Palatino Linotype" w:hAnsi="Palatino Linotype"/>
          <w:bCs/>
        </w:rPr>
        <w:t xml:space="preserve"> in power cared not about this. The incident of those excluded and the power of those not including them made the new law powerless in upward moves for good transitional justice (Interview 2014).’</w:t>
      </w:r>
    </w:p>
    <w:p w14:paraId="7DDC222E" w14:textId="77777777" w:rsidR="00D80ED2" w:rsidRPr="00026220" w:rsidRDefault="00D80ED2" w:rsidP="00D80ED2">
      <w:pPr>
        <w:autoSpaceDE w:val="0"/>
        <w:autoSpaceDN w:val="0"/>
        <w:adjustRightInd w:val="0"/>
        <w:jc w:val="both"/>
        <w:rPr>
          <w:rFonts w:ascii="Palatino Linotype" w:hAnsi="Palatino Linotype"/>
          <w:bCs/>
        </w:rPr>
      </w:pPr>
    </w:p>
    <w:p w14:paraId="011827D7" w14:textId="77777777" w:rsidR="00504FC5" w:rsidRPr="00026220" w:rsidRDefault="00504FC5" w:rsidP="00A94F47">
      <w:pPr>
        <w:autoSpaceDE w:val="0"/>
        <w:autoSpaceDN w:val="0"/>
        <w:adjustRightInd w:val="0"/>
        <w:jc w:val="both"/>
        <w:rPr>
          <w:rFonts w:ascii="Palatino Linotype" w:hAnsi="Palatino Linotype"/>
          <w:bCs/>
          <w:i/>
        </w:rPr>
      </w:pPr>
      <w:r w:rsidRPr="00026220">
        <w:rPr>
          <w:rFonts w:ascii="Palatino Linotype" w:hAnsi="Palatino Linotype"/>
          <w:bCs/>
          <w:i/>
        </w:rPr>
        <w:t>Asserting Power through the Opaque</w:t>
      </w:r>
    </w:p>
    <w:p w14:paraId="16BD1097" w14:textId="77777777" w:rsidR="00504FC5" w:rsidRPr="00026220" w:rsidRDefault="00504FC5" w:rsidP="00A94F47">
      <w:pPr>
        <w:autoSpaceDE w:val="0"/>
        <w:autoSpaceDN w:val="0"/>
        <w:adjustRightInd w:val="0"/>
        <w:jc w:val="both"/>
        <w:rPr>
          <w:rFonts w:ascii="Palatino Linotype" w:hAnsi="Palatino Linotype"/>
          <w:bCs/>
        </w:rPr>
      </w:pPr>
    </w:p>
    <w:p w14:paraId="6E322E25" w14:textId="77777777" w:rsidR="00CB4E6B" w:rsidRPr="00026220" w:rsidRDefault="0014743F" w:rsidP="00B42419">
      <w:pPr>
        <w:autoSpaceDE w:val="0"/>
        <w:autoSpaceDN w:val="0"/>
        <w:adjustRightInd w:val="0"/>
        <w:jc w:val="both"/>
        <w:rPr>
          <w:rFonts w:ascii="Palatino Linotype" w:hAnsi="Palatino Linotype"/>
          <w:bCs/>
        </w:rPr>
      </w:pPr>
      <w:r w:rsidRPr="00026220">
        <w:rPr>
          <w:rFonts w:ascii="Palatino Linotype" w:hAnsi="Palatino Linotype"/>
          <w:bCs/>
        </w:rPr>
        <w:t>A common response to the workings of lustration by tho</w:t>
      </w:r>
      <w:r w:rsidR="00CC7AFB" w:rsidRPr="00026220">
        <w:rPr>
          <w:rFonts w:ascii="Palatino Linotype" w:hAnsi="Palatino Linotype"/>
          <w:bCs/>
        </w:rPr>
        <w:t xml:space="preserve">se negatively affected by </w:t>
      </w:r>
      <w:r w:rsidR="00FE5277" w:rsidRPr="00026220">
        <w:rPr>
          <w:rFonts w:ascii="Palatino Linotype" w:hAnsi="Palatino Linotype"/>
          <w:bCs/>
        </w:rPr>
        <w:t xml:space="preserve">it </w:t>
      </w:r>
      <w:r w:rsidR="00CC7AFB" w:rsidRPr="00026220">
        <w:rPr>
          <w:rFonts w:ascii="Palatino Linotype" w:hAnsi="Palatino Linotype"/>
          <w:bCs/>
        </w:rPr>
        <w:t>were their concerns regarding</w:t>
      </w:r>
      <w:r w:rsidRPr="00026220">
        <w:rPr>
          <w:rFonts w:ascii="Palatino Linotype" w:hAnsi="Palatino Linotype"/>
          <w:bCs/>
        </w:rPr>
        <w:t xml:space="preserve"> the opaque nature </w:t>
      </w:r>
      <w:r w:rsidR="00A94F47" w:rsidRPr="00026220">
        <w:rPr>
          <w:rFonts w:ascii="Palatino Linotype" w:hAnsi="Palatino Linotype"/>
          <w:bCs/>
        </w:rPr>
        <w:t>of what the aims and objectives of lustration were w</w:t>
      </w:r>
      <w:r w:rsidRPr="00026220">
        <w:rPr>
          <w:rFonts w:ascii="Palatino Linotype" w:hAnsi="Palatino Linotype"/>
          <w:bCs/>
        </w:rPr>
        <w:t xml:space="preserve">ith regard to justice-delivery and also the somewhat peculiar ways in which it was implemented. For some the reason for </w:t>
      </w:r>
      <w:r w:rsidR="00CC7AFB" w:rsidRPr="00026220">
        <w:rPr>
          <w:rFonts w:ascii="Palatino Linotype" w:hAnsi="Palatino Linotype"/>
          <w:bCs/>
        </w:rPr>
        <w:t xml:space="preserve">their </w:t>
      </w:r>
      <w:r w:rsidRPr="00026220">
        <w:rPr>
          <w:rFonts w:ascii="Palatino Linotype" w:hAnsi="Palatino Linotype"/>
          <w:bCs/>
        </w:rPr>
        <w:t>dismissal remain</w:t>
      </w:r>
      <w:r w:rsidR="00D831E5">
        <w:rPr>
          <w:rFonts w:ascii="Palatino Linotype" w:hAnsi="Palatino Linotype"/>
          <w:bCs/>
        </w:rPr>
        <w:t>ed</w:t>
      </w:r>
      <w:r w:rsidRPr="00026220">
        <w:rPr>
          <w:rFonts w:ascii="Palatino Linotype" w:hAnsi="Palatino Linotype"/>
          <w:bCs/>
        </w:rPr>
        <w:t xml:space="preserve"> unknown. </w:t>
      </w:r>
      <w:r w:rsidR="00A94F47" w:rsidRPr="00026220">
        <w:rPr>
          <w:rFonts w:ascii="Palatino Linotype" w:hAnsi="Palatino Linotype"/>
          <w:bCs/>
        </w:rPr>
        <w:t>An interviewee (</w:t>
      </w:r>
      <w:commentRangeStart w:id="8"/>
      <w:r w:rsidR="009E4651" w:rsidRPr="00026220">
        <w:rPr>
          <w:rFonts w:ascii="Palatino Linotype" w:hAnsi="Palatino Linotype"/>
          <w:bCs/>
        </w:rPr>
        <w:t>interviewee</w:t>
      </w:r>
      <w:commentRangeEnd w:id="8"/>
      <w:r w:rsidR="00DD6114">
        <w:rPr>
          <w:rStyle w:val="CommentReference"/>
        </w:rPr>
        <w:commentReference w:id="8"/>
      </w:r>
      <w:r w:rsidR="00A94F47" w:rsidRPr="00026220">
        <w:rPr>
          <w:rFonts w:ascii="Palatino Linotype" w:hAnsi="Palatino Linotype"/>
          <w:bCs/>
        </w:rPr>
        <w:t xml:space="preserve"> 2014)</w:t>
      </w:r>
      <w:r w:rsidRPr="00026220">
        <w:rPr>
          <w:rFonts w:ascii="Palatino Linotype" w:hAnsi="Palatino Linotype"/>
          <w:bCs/>
        </w:rPr>
        <w:t xml:space="preserve">, for example, </w:t>
      </w:r>
      <w:r w:rsidR="00A94F47" w:rsidRPr="00026220">
        <w:rPr>
          <w:rFonts w:ascii="Palatino Linotype" w:hAnsi="Palatino Linotype"/>
          <w:bCs/>
        </w:rPr>
        <w:t xml:space="preserve">noted that he was dismissed from his position in 2005, and had yet to receive any information against him. </w:t>
      </w:r>
      <w:r w:rsidRPr="00026220">
        <w:rPr>
          <w:rFonts w:ascii="Palatino Linotype" w:hAnsi="Palatino Linotype"/>
          <w:bCs/>
        </w:rPr>
        <w:t>Non-Ba’ath Pa</w:t>
      </w:r>
      <w:r w:rsidR="00CC7AFB" w:rsidRPr="00026220">
        <w:rPr>
          <w:rFonts w:ascii="Palatino Linotype" w:hAnsi="Palatino Linotype"/>
          <w:bCs/>
        </w:rPr>
        <w:t>rt</w:t>
      </w:r>
      <w:r w:rsidRPr="00026220">
        <w:rPr>
          <w:rFonts w:ascii="Palatino Linotype" w:hAnsi="Palatino Linotype"/>
          <w:bCs/>
        </w:rPr>
        <w:t>y members w</w:t>
      </w:r>
      <w:r w:rsidR="00A94F47" w:rsidRPr="00026220">
        <w:rPr>
          <w:rFonts w:ascii="Palatino Linotype" w:hAnsi="Palatino Linotype"/>
          <w:bCs/>
        </w:rPr>
        <w:t xml:space="preserve">ere also targeted, ‘via malicious rumors and false accusations linked to settling old scores’ (Interview 2008). In one case a Shi’ite tribal chief was dismissed by SNCAJ. After a successful appeal he was apologized to but then re-dismissed for having been ‘honored by Saddam Hussein several </w:t>
      </w:r>
      <w:proofErr w:type="gramStart"/>
      <w:r w:rsidR="00A94F47" w:rsidRPr="00026220">
        <w:rPr>
          <w:rFonts w:ascii="Palatino Linotype" w:hAnsi="Palatino Linotype"/>
          <w:bCs/>
        </w:rPr>
        <w:t>times’</w:t>
      </w:r>
      <w:proofErr w:type="gramEnd"/>
      <w:r w:rsidR="00A94F47" w:rsidRPr="00026220">
        <w:rPr>
          <w:rFonts w:ascii="Palatino Linotype" w:hAnsi="Palatino Linotype"/>
          <w:bCs/>
        </w:rPr>
        <w:t>. Although</w:t>
      </w:r>
      <w:r w:rsidR="00FE5277" w:rsidRPr="00026220">
        <w:rPr>
          <w:rFonts w:ascii="Palatino Linotype" w:hAnsi="Palatino Linotype"/>
          <w:bCs/>
        </w:rPr>
        <w:t>,</w:t>
      </w:r>
      <w:r w:rsidR="00A94F47" w:rsidRPr="00026220">
        <w:rPr>
          <w:rFonts w:ascii="Palatino Linotype" w:hAnsi="Palatino Linotype"/>
          <w:bCs/>
        </w:rPr>
        <w:t xml:space="preserve"> stressing that he had never met Saddam, despite his ability to do so</w:t>
      </w:r>
      <w:r w:rsidRPr="00026220">
        <w:rPr>
          <w:rFonts w:ascii="Palatino Linotype" w:hAnsi="Palatino Linotype"/>
          <w:bCs/>
        </w:rPr>
        <w:t>,</w:t>
      </w:r>
      <w:r w:rsidR="00A94F47" w:rsidRPr="00026220">
        <w:rPr>
          <w:rFonts w:ascii="Palatino Linotype" w:hAnsi="Palatino Linotype"/>
          <w:bCs/>
        </w:rPr>
        <w:t xml:space="preserve"> he was further and falsely charged with suppressing the Gulf War uprising in 1991. </w:t>
      </w:r>
    </w:p>
    <w:p w14:paraId="16213D1D" w14:textId="77777777" w:rsidR="00CB4E6B" w:rsidRPr="00026220" w:rsidRDefault="00CB4E6B" w:rsidP="00B42419">
      <w:pPr>
        <w:autoSpaceDE w:val="0"/>
        <w:autoSpaceDN w:val="0"/>
        <w:adjustRightInd w:val="0"/>
        <w:jc w:val="both"/>
        <w:rPr>
          <w:rFonts w:ascii="Palatino Linotype" w:hAnsi="Palatino Linotype"/>
          <w:bCs/>
        </w:rPr>
      </w:pPr>
    </w:p>
    <w:p w14:paraId="1432408E" w14:textId="77777777" w:rsidR="008B1B81" w:rsidRPr="00026220" w:rsidRDefault="0014743F" w:rsidP="00B42419">
      <w:pPr>
        <w:autoSpaceDE w:val="0"/>
        <w:autoSpaceDN w:val="0"/>
        <w:adjustRightInd w:val="0"/>
        <w:jc w:val="both"/>
        <w:rPr>
          <w:rFonts w:ascii="Palatino Linotype" w:hAnsi="Palatino Linotype"/>
          <w:bCs/>
        </w:rPr>
      </w:pPr>
      <w:r w:rsidRPr="00026220">
        <w:rPr>
          <w:rFonts w:ascii="Palatino Linotype" w:hAnsi="Palatino Linotype"/>
          <w:bCs/>
        </w:rPr>
        <w:t xml:space="preserve">It was </w:t>
      </w:r>
      <w:r w:rsidR="009E4651" w:rsidRPr="00026220">
        <w:rPr>
          <w:rFonts w:ascii="Palatino Linotype" w:hAnsi="Palatino Linotype"/>
          <w:bCs/>
        </w:rPr>
        <w:t xml:space="preserve">also </w:t>
      </w:r>
      <w:r w:rsidR="00BE611B">
        <w:rPr>
          <w:rFonts w:ascii="Palatino Linotype" w:hAnsi="Palatino Linotype"/>
          <w:bCs/>
        </w:rPr>
        <w:t>argu</w:t>
      </w:r>
      <w:r w:rsidRPr="00026220">
        <w:rPr>
          <w:rFonts w:ascii="Palatino Linotype" w:hAnsi="Palatino Linotype"/>
          <w:bCs/>
        </w:rPr>
        <w:t>ed that the</w:t>
      </w:r>
      <w:r w:rsidR="008B1B81" w:rsidRPr="00026220">
        <w:rPr>
          <w:rFonts w:ascii="Palatino Linotype" w:hAnsi="Palatino Linotype"/>
          <w:bCs/>
        </w:rPr>
        <w:t xml:space="preserve"> power of SNCD</w:t>
      </w:r>
      <w:r w:rsidRPr="00026220">
        <w:rPr>
          <w:rFonts w:ascii="Palatino Linotype" w:hAnsi="Palatino Linotype"/>
          <w:bCs/>
        </w:rPr>
        <w:t xml:space="preserve"> </w:t>
      </w:r>
      <w:r w:rsidR="008B1B81" w:rsidRPr="00026220">
        <w:rPr>
          <w:rFonts w:ascii="Palatino Linotype" w:hAnsi="Palatino Linotype"/>
          <w:bCs/>
        </w:rPr>
        <w:t>was enabled by it succeeding in its demand to become the main site for the location of informa</w:t>
      </w:r>
      <w:r w:rsidR="00CB4E6B" w:rsidRPr="00026220">
        <w:rPr>
          <w:rFonts w:ascii="Palatino Linotype" w:hAnsi="Palatino Linotype"/>
          <w:bCs/>
        </w:rPr>
        <w:t>tion on Ba’ath Party membership</w:t>
      </w:r>
      <w:r w:rsidR="008B1B81" w:rsidRPr="00026220">
        <w:rPr>
          <w:rFonts w:ascii="Palatino Linotype" w:hAnsi="Palatino Linotype"/>
          <w:bCs/>
        </w:rPr>
        <w:t xml:space="preserve"> and related human rights abuse and corruption. As explained by a human rights lawyer</w:t>
      </w:r>
      <w:r w:rsidR="004A704D" w:rsidRPr="00026220">
        <w:rPr>
          <w:rFonts w:ascii="Palatino Linotype" w:hAnsi="Palatino Linotype"/>
          <w:bCs/>
        </w:rPr>
        <w:t xml:space="preserve"> </w:t>
      </w:r>
      <w:r w:rsidR="008B1B81" w:rsidRPr="00026220">
        <w:rPr>
          <w:rFonts w:ascii="Palatino Linotype" w:hAnsi="Palatino Linotype"/>
          <w:bCs/>
        </w:rPr>
        <w:t xml:space="preserve">the lack of defined process influenced sectarian </w:t>
      </w:r>
      <w:proofErr w:type="gramStart"/>
      <w:r w:rsidR="008B1B81" w:rsidRPr="00026220">
        <w:rPr>
          <w:rFonts w:ascii="Palatino Linotype" w:hAnsi="Palatino Linotype"/>
          <w:bCs/>
        </w:rPr>
        <w:t>anxiety;</w:t>
      </w:r>
      <w:proofErr w:type="gramEnd"/>
      <w:r w:rsidR="008B1B81" w:rsidRPr="00026220">
        <w:rPr>
          <w:rFonts w:ascii="Palatino Linotype" w:hAnsi="Palatino Linotype"/>
          <w:bCs/>
        </w:rPr>
        <w:t xml:space="preserve"> </w:t>
      </w:r>
    </w:p>
    <w:p w14:paraId="66E331D8" w14:textId="77777777" w:rsidR="008B1B81" w:rsidRPr="00026220" w:rsidRDefault="008B1B81" w:rsidP="00B42419">
      <w:pPr>
        <w:autoSpaceDE w:val="0"/>
        <w:autoSpaceDN w:val="0"/>
        <w:adjustRightInd w:val="0"/>
        <w:jc w:val="both"/>
        <w:rPr>
          <w:rFonts w:ascii="Palatino Linotype" w:hAnsi="Palatino Linotype"/>
          <w:bCs/>
        </w:rPr>
      </w:pPr>
    </w:p>
    <w:p w14:paraId="34FC1664" w14:textId="77777777" w:rsidR="008B1B81" w:rsidRPr="00026220" w:rsidRDefault="00573AE1" w:rsidP="00B42419">
      <w:pPr>
        <w:autoSpaceDE w:val="0"/>
        <w:autoSpaceDN w:val="0"/>
        <w:adjustRightInd w:val="0"/>
        <w:jc w:val="both"/>
        <w:rPr>
          <w:rFonts w:ascii="Palatino Linotype" w:hAnsi="Palatino Linotype"/>
          <w:bCs/>
        </w:rPr>
      </w:pPr>
      <w:r w:rsidRPr="00026220">
        <w:rPr>
          <w:rFonts w:ascii="Palatino Linotype" w:hAnsi="Palatino Linotype"/>
          <w:bCs/>
        </w:rPr>
        <w:t>‘</w:t>
      </w:r>
      <w:r w:rsidR="008B1B81" w:rsidRPr="00026220">
        <w:rPr>
          <w:rFonts w:ascii="Palatino Linotype" w:hAnsi="Palatino Linotype"/>
          <w:bCs/>
        </w:rPr>
        <w:t xml:space="preserve">One cannot think of what you would imagine as a petitions process of even good criteria. There were no clear limits on the power of the SNCD and the impartiality of appeals was simply abused by the power-grabbers. The appeals criteria were unclear, with no autonomous appeals mechanism. I tried to locate evidence of any </w:t>
      </w:r>
      <w:r w:rsidR="008B1B81" w:rsidRPr="00026220">
        <w:rPr>
          <w:rFonts w:ascii="Palatino Linotype" w:hAnsi="Palatino Linotype"/>
          <w:bCs/>
        </w:rPr>
        <w:lastRenderedPageBreak/>
        <w:t xml:space="preserve">apparatus for outlining the underpinning and limitations. Everything was hidden and the skill to test decisions was just terrible. Yes, if the system had been fair people could have lived with abusers being taken out, but when the system was unfair then the whole idea of this being transitional justice became a feeling of transitional abuse and denial of rights. For </w:t>
      </w:r>
      <w:proofErr w:type="gramStart"/>
      <w:r w:rsidR="008B1B81" w:rsidRPr="00026220">
        <w:rPr>
          <w:rFonts w:ascii="Palatino Linotype" w:hAnsi="Palatino Linotype"/>
          <w:bCs/>
        </w:rPr>
        <w:t>me</w:t>
      </w:r>
      <w:proofErr w:type="gramEnd"/>
      <w:r w:rsidR="008B1B81" w:rsidRPr="00026220">
        <w:rPr>
          <w:rFonts w:ascii="Palatino Linotype" w:hAnsi="Palatino Linotype"/>
          <w:bCs/>
        </w:rPr>
        <w:t xml:space="preserve"> the SNCD was an internal state</w:t>
      </w:r>
      <w:r w:rsidRPr="00026220">
        <w:rPr>
          <w:rFonts w:ascii="Palatino Linotype" w:hAnsi="Palatino Linotype"/>
          <w:bCs/>
        </w:rPr>
        <w:t>’</w:t>
      </w:r>
      <w:r w:rsidR="004A704D" w:rsidRPr="00026220">
        <w:rPr>
          <w:rFonts w:ascii="Palatino Linotype" w:hAnsi="Palatino Linotype"/>
          <w:bCs/>
        </w:rPr>
        <w:t xml:space="preserve"> (Interview 2011)</w:t>
      </w:r>
      <w:r w:rsidR="009A41F8">
        <w:rPr>
          <w:rStyle w:val="EndnoteReference"/>
          <w:rFonts w:ascii="Palatino Linotype" w:hAnsi="Palatino Linotype"/>
          <w:bCs/>
        </w:rPr>
        <w:endnoteReference w:id="17"/>
      </w:r>
      <w:r w:rsidR="008B1B81" w:rsidRPr="00026220">
        <w:rPr>
          <w:rFonts w:ascii="Palatino Linotype" w:hAnsi="Palatino Linotype"/>
          <w:bCs/>
        </w:rPr>
        <w:t>.</w:t>
      </w:r>
    </w:p>
    <w:p w14:paraId="45F3DBE2" w14:textId="77777777" w:rsidR="003B36D9" w:rsidRPr="00026220" w:rsidRDefault="00732B61" w:rsidP="00B145A8">
      <w:pPr>
        <w:autoSpaceDE w:val="0"/>
        <w:autoSpaceDN w:val="0"/>
        <w:adjustRightInd w:val="0"/>
        <w:jc w:val="both"/>
        <w:rPr>
          <w:rFonts w:ascii="Palatino Linotype" w:hAnsi="Palatino Linotype"/>
          <w:bCs/>
        </w:rPr>
      </w:pPr>
      <w:r w:rsidRPr="00026220">
        <w:rPr>
          <w:rFonts w:ascii="Palatino Linotype" w:hAnsi="Palatino Linotype" w:cs="Arial"/>
        </w:rPr>
        <w:br/>
      </w:r>
      <w:r w:rsidR="003007A1" w:rsidRPr="00026220">
        <w:rPr>
          <w:rFonts w:ascii="Palatino Linotype" w:hAnsi="Palatino Linotype"/>
          <w:bCs/>
        </w:rPr>
        <w:t>T</w:t>
      </w:r>
      <w:r w:rsidR="008B1B81" w:rsidRPr="00026220">
        <w:rPr>
          <w:rFonts w:ascii="Palatino Linotype" w:hAnsi="Palatino Linotype"/>
          <w:bCs/>
        </w:rPr>
        <w:t>he</w:t>
      </w:r>
      <w:r w:rsidR="00FE5277" w:rsidRPr="00026220">
        <w:rPr>
          <w:rFonts w:ascii="Palatino Linotype" w:hAnsi="Palatino Linotype"/>
          <w:bCs/>
        </w:rPr>
        <w:t xml:space="preserve">re was </w:t>
      </w:r>
      <w:r w:rsidR="006A700C" w:rsidRPr="00026220">
        <w:rPr>
          <w:rFonts w:ascii="Palatino Linotype" w:hAnsi="Palatino Linotype"/>
          <w:bCs/>
        </w:rPr>
        <w:t xml:space="preserve">near </w:t>
      </w:r>
      <w:r w:rsidR="00FE5277" w:rsidRPr="00026220">
        <w:rPr>
          <w:rFonts w:ascii="Palatino Linotype" w:hAnsi="Palatino Linotype"/>
          <w:bCs/>
        </w:rPr>
        <w:t>constant criticism of the process for employment restoration</w:t>
      </w:r>
      <w:r w:rsidR="008B1B81" w:rsidRPr="00026220">
        <w:rPr>
          <w:rFonts w:ascii="Palatino Linotype" w:hAnsi="Palatino Linotype"/>
          <w:bCs/>
        </w:rPr>
        <w:t xml:space="preserve"> and access to pensions lacked proper selection criteria and procedures. Legal accountability </w:t>
      </w:r>
      <w:r w:rsidR="006A700C" w:rsidRPr="00026220">
        <w:rPr>
          <w:rFonts w:ascii="Palatino Linotype" w:hAnsi="Palatino Linotype"/>
          <w:bCs/>
        </w:rPr>
        <w:t xml:space="preserve">being </w:t>
      </w:r>
      <w:r w:rsidR="008B1B81" w:rsidRPr="00026220">
        <w:rPr>
          <w:rFonts w:ascii="Palatino Linotype" w:hAnsi="Palatino Linotype"/>
          <w:bCs/>
        </w:rPr>
        <w:t>unwaveringly articulated and sensed as nominal</w:t>
      </w:r>
      <w:r w:rsidR="00B145A8" w:rsidRPr="00026220">
        <w:rPr>
          <w:rFonts w:ascii="Palatino Linotype" w:hAnsi="Palatino Linotype"/>
          <w:bCs/>
        </w:rPr>
        <w:t xml:space="preserve"> and undermining</w:t>
      </w:r>
      <w:r w:rsidR="00A54EEC" w:rsidRPr="00026220">
        <w:rPr>
          <w:rFonts w:ascii="Palatino Linotype" w:hAnsi="Palatino Linotype"/>
          <w:bCs/>
        </w:rPr>
        <w:t xml:space="preserve"> by t</w:t>
      </w:r>
      <w:r w:rsidR="008B1B81" w:rsidRPr="00026220">
        <w:rPr>
          <w:rFonts w:ascii="Palatino Linotype" w:hAnsi="Palatino Linotype"/>
          <w:bCs/>
        </w:rPr>
        <w:t>hose experiencing de-</w:t>
      </w:r>
      <w:proofErr w:type="spellStart"/>
      <w:r w:rsidR="008B1B81" w:rsidRPr="00026220">
        <w:rPr>
          <w:rFonts w:ascii="Palatino Linotype" w:hAnsi="Palatino Linotype"/>
          <w:bCs/>
        </w:rPr>
        <w:t>Ba’athification</w:t>
      </w:r>
      <w:proofErr w:type="spellEnd"/>
      <w:r w:rsidR="008B1B81" w:rsidRPr="00026220">
        <w:rPr>
          <w:rFonts w:ascii="Palatino Linotype" w:hAnsi="Palatino Linotype"/>
          <w:bCs/>
        </w:rPr>
        <w:t xml:space="preserve"> </w:t>
      </w:r>
      <w:r w:rsidR="00A54EEC" w:rsidRPr="00026220">
        <w:rPr>
          <w:rFonts w:ascii="Palatino Linotype" w:hAnsi="Palatino Linotype"/>
          <w:bCs/>
        </w:rPr>
        <w:t xml:space="preserve">who </w:t>
      </w:r>
      <w:r w:rsidR="008B1B81" w:rsidRPr="00026220">
        <w:rPr>
          <w:rFonts w:ascii="Palatino Linotype" w:hAnsi="Palatino Linotype"/>
          <w:bCs/>
        </w:rPr>
        <w:t xml:space="preserve">continually pointed to the failure to develop congruent and operative processes tied to defined standards. A common assertion being that when expelling and rejecting appeals the institutions of lustration asserted their validity to do so </w:t>
      </w:r>
      <w:proofErr w:type="spellStart"/>
      <w:r w:rsidR="008B1B81" w:rsidRPr="00026220">
        <w:rPr>
          <w:rFonts w:ascii="Palatino Linotype" w:hAnsi="Palatino Linotype"/>
          <w:bCs/>
        </w:rPr>
        <w:t>centred</w:t>
      </w:r>
      <w:proofErr w:type="spellEnd"/>
      <w:r w:rsidR="008B1B81" w:rsidRPr="00026220">
        <w:rPr>
          <w:rFonts w:ascii="Palatino Linotype" w:hAnsi="Palatino Linotype"/>
          <w:bCs/>
        </w:rPr>
        <w:t xml:space="preserve"> upon evidence they held on appellants</w:t>
      </w:r>
      <w:r w:rsidR="00EA3F1C" w:rsidRPr="00026220">
        <w:rPr>
          <w:rStyle w:val="EndnoteReference"/>
          <w:rFonts w:ascii="Palatino Linotype" w:hAnsi="Palatino Linotype"/>
          <w:bCs/>
        </w:rPr>
        <w:endnoteReference w:id="18"/>
      </w:r>
      <w:r w:rsidR="008B1B81" w:rsidRPr="00026220">
        <w:rPr>
          <w:rFonts w:ascii="Palatino Linotype" w:hAnsi="Palatino Linotype"/>
          <w:bCs/>
        </w:rPr>
        <w:t>.</w:t>
      </w:r>
      <w:r w:rsidR="00EA3F1C" w:rsidRPr="00026220">
        <w:rPr>
          <w:rFonts w:ascii="Palatino Linotype" w:hAnsi="Palatino Linotype"/>
        </w:rPr>
        <w:t xml:space="preserve"> </w:t>
      </w:r>
      <w:r w:rsidR="00470479" w:rsidRPr="00026220">
        <w:rPr>
          <w:rFonts w:ascii="Palatino Linotype" w:hAnsi="Palatino Linotype"/>
          <w:bCs/>
        </w:rPr>
        <w:t>Interviewees</w:t>
      </w:r>
      <w:r w:rsidR="00913765" w:rsidRPr="00026220">
        <w:rPr>
          <w:rFonts w:ascii="Palatino Linotype" w:hAnsi="Palatino Linotype"/>
          <w:bCs/>
        </w:rPr>
        <w:t xml:space="preserve">, even </w:t>
      </w:r>
      <w:r w:rsidR="00656B6D" w:rsidRPr="00026220">
        <w:rPr>
          <w:rFonts w:ascii="Palatino Linotype" w:hAnsi="Palatino Linotype"/>
          <w:bCs/>
        </w:rPr>
        <w:t xml:space="preserve">some of </w:t>
      </w:r>
      <w:r w:rsidR="00913765" w:rsidRPr="00026220">
        <w:rPr>
          <w:rFonts w:ascii="Palatino Linotype" w:hAnsi="Palatino Linotype"/>
          <w:bCs/>
        </w:rPr>
        <w:t xml:space="preserve">those </w:t>
      </w:r>
      <w:r w:rsidR="000A5E60" w:rsidRPr="00026220">
        <w:rPr>
          <w:rFonts w:ascii="Palatino Linotype" w:hAnsi="Palatino Linotype"/>
          <w:bCs/>
        </w:rPr>
        <w:t xml:space="preserve">initially </w:t>
      </w:r>
      <w:r w:rsidR="00913765" w:rsidRPr="00026220">
        <w:rPr>
          <w:rFonts w:ascii="Palatino Linotype" w:hAnsi="Palatino Linotype"/>
          <w:bCs/>
        </w:rPr>
        <w:t>supportive of de-</w:t>
      </w:r>
      <w:proofErr w:type="spellStart"/>
      <w:r w:rsidR="00913765" w:rsidRPr="00026220">
        <w:rPr>
          <w:rFonts w:ascii="Palatino Linotype" w:hAnsi="Palatino Linotype"/>
          <w:bCs/>
        </w:rPr>
        <w:t>Ba’athification</w:t>
      </w:r>
      <w:proofErr w:type="spellEnd"/>
      <w:r w:rsidR="00913765" w:rsidRPr="00026220">
        <w:rPr>
          <w:rFonts w:ascii="Palatino Linotype" w:hAnsi="Palatino Linotype"/>
          <w:bCs/>
        </w:rPr>
        <w:t xml:space="preserve">, </w:t>
      </w:r>
      <w:r w:rsidR="00470479" w:rsidRPr="00026220">
        <w:rPr>
          <w:rFonts w:ascii="Palatino Linotype" w:hAnsi="Palatino Linotype"/>
          <w:bCs/>
        </w:rPr>
        <w:t>contended that this e</w:t>
      </w:r>
      <w:r w:rsidR="008B1B81" w:rsidRPr="00026220">
        <w:rPr>
          <w:rFonts w:ascii="Palatino Linotype" w:hAnsi="Palatino Linotype"/>
          <w:bCs/>
        </w:rPr>
        <w:t xml:space="preserve">vidence was rarely presented for scrutiny. </w:t>
      </w:r>
      <w:r w:rsidR="00AF09C7" w:rsidRPr="00026220">
        <w:rPr>
          <w:rFonts w:ascii="Palatino Linotype" w:hAnsi="Palatino Linotype"/>
          <w:bCs/>
        </w:rPr>
        <w:t xml:space="preserve">It was also </w:t>
      </w:r>
      <w:r w:rsidR="008B1B81" w:rsidRPr="00026220">
        <w:rPr>
          <w:rFonts w:ascii="Palatino Linotype" w:hAnsi="Palatino Linotype"/>
          <w:bCs/>
        </w:rPr>
        <w:t xml:space="preserve">claimed that SNCAJ does not hold verifiable records </w:t>
      </w:r>
      <w:r w:rsidR="00BE611B">
        <w:rPr>
          <w:rFonts w:ascii="Palatino Linotype" w:hAnsi="Palatino Linotype"/>
          <w:bCs/>
        </w:rPr>
        <w:t>and had</w:t>
      </w:r>
      <w:r w:rsidR="008B1B81" w:rsidRPr="00026220">
        <w:rPr>
          <w:rFonts w:ascii="Palatino Linotype" w:hAnsi="Palatino Linotype"/>
          <w:bCs/>
        </w:rPr>
        <w:t xml:space="preserve"> refused</w:t>
      </w:r>
      <w:r w:rsidR="002A76F5" w:rsidRPr="00026220">
        <w:rPr>
          <w:rFonts w:ascii="Palatino Linotype" w:hAnsi="Palatino Linotype"/>
          <w:bCs/>
        </w:rPr>
        <w:t xml:space="preserve"> to provide an </w:t>
      </w:r>
      <w:r w:rsidR="008B1B81" w:rsidRPr="00026220">
        <w:rPr>
          <w:rFonts w:ascii="Palatino Linotype" w:hAnsi="Palatino Linotype"/>
          <w:bCs/>
        </w:rPr>
        <w:t xml:space="preserve">aspiration to do so. </w:t>
      </w:r>
      <w:r w:rsidR="002A76F5" w:rsidRPr="00026220">
        <w:rPr>
          <w:rFonts w:ascii="Palatino Linotype" w:hAnsi="Palatino Linotype"/>
        </w:rPr>
        <w:t>If records</w:t>
      </w:r>
      <w:r w:rsidR="008B1B81" w:rsidRPr="00026220">
        <w:rPr>
          <w:rFonts w:ascii="Palatino Linotype" w:hAnsi="Palatino Linotype"/>
        </w:rPr>
        <w:t xml:space="preserve"> were to be used to adjudge p</w:t>
      </w:r>
      <w:r w:rsidR="00656B6D" w:rsidRPr="00026220">
        <w:rPr>
          <w:rFonts w:ascii="Palatino Linotype" w:hAnsi="Palatino Linotype"/>
        </w:rPr>
        <w:t>ast and potential behavior and a</w:t>
      </w:r>
      <w:r w:rsidR="008B1B81" w:rsidRPr="00026220">
        <w:rPr>
          <w:rFonts w:ascii="Palatino Linotype" w:hAnsi="Palatino Linotype"/>
        </w:rPr>
        <w:t xml:space="preserve">re a used to determine if a person is to be re-admitted to </w:t>
      </w:r>
      <w:proofErr w:type="gramStart"/>
      <w:r w:rsidR="008B1B81" w:rsidRPr="00026220">
        <w:rPr>
          <w:rFonts w:ascii="Palatino Linotype" w:hAnsi="Palatino Linotype"/>
        </w:rPr>
        <w:t>employment</w:t>
      </w:r>
      <w:proofErr w:type="gramEnd"/>
      <w:r w:rsidR="008B1B81" w:rsidRPr="00026220">
        <w:rPr>
          <w:rFonts w:ascii="Palatino Linotype" w:hAnsi="Palatino Linotype"/>
        </w:rPr>
        <w:t xml:space="preserve"> then their accuracy is paramount. </w:t>
      </w:r>
      <w:r w:rsidR="008B1B81" w:rsidRPr="00026220">
        <w:rPr>
          <w:rFonts w:ascii="Palatino Linotype" w:hAnsi="Palatino Linotype"/>
          <w:bCs/>
        </w:rPr>
        <w:t>The capability to undertake appeals and to produce verified allegations against those removed or retired from posts was also questioned</w:t>
      </w:r>
      <w:r w:rsidR="00021A6E" w:rsidRPr="00026220">
        <w:rPr>
          <w:rFonts w:ascii="Palatino Linotype" w:hAnsi="Palatino Linotype"/>
          <w:bCs/>
        </w:rPr>
        <w:t>, by a Kurdish Human Rights lawyer,</w:t>
      </w:r>
      <w:r w:rsidR="008B1B81" w:rsidRPr="00026220">
        <w:rPr>
          <w:rFonts w:ascii="Palatino Linotype" w:hAnsi="Palatino Linotype"/>
          <w:bCs/>
        </w:rPr>
        <w:t xml:space="preserve"> regarding the utilization </w:t>
      </w:r>
      <w:proofErr w:type="gramStart"/>
      <w:r w:rsidR="008B1B81" w:rsidRPr="00026220">
        <w:rPr>
          <w:rFonts w:ascii="Palatino Linotype" w:hAnsi="Palatino Linotype"/>
          <w:bCs/>
        </w:rPr>
        <w:t>of</w:t>
      </w:r>
      <w:r w:rsidR="003B36D9" w:rsidRPr="00026220">
        <w:rPr>
          <w:rFonts w:ascii="Palatino Linotype" w:hAnsi="Palatino Linotype"/>
          <w:bCs/>
        </w:rPr>
        <w:t>;</w:t>
      </w:r>
      <w:proofErr w:type="gramEnd"/>
    </w:p>
    <w:p w14:paraId="374759F9" w14:textId="77777777" w:rsidR="003B36D9" w:rsidRPr="00026220" w:rsidRDefault="003B36D9" w:rsidP="000E439F">
      <w:pPr>
        <w:autoSpaceDE w:val="0"/>
        <w:autoSpaceDN w:val="0"/>
        <w:adjustRightInd w:val="0"/>
        <w:jc w:val="both"/>
        <w:rPr>
          <w:rFonts w:ascii="Palatino Linotype" w:hAnsi="Palatino Linotype"/>
          <w:bCs/>
        </w:rPr>
      </w:pPr>
    </w:p>
    <w:p w14:paraId="47537C60" w14:textId="77777777" w:rsidR="008B1B81" w:rsidRPr="00026220" w:rsidRDefault="008B1B81" w:rsidP="000E439F">
      <w:pPr>
        <w:autoSpaceDE w:val="0"/>
        <w:autoSpaceDN w:val="0"/>
        <w:adjustRightInd w:val="0"/>
        <w:jc w:val="both"/>
        <w:rPr>
          <w:rFonts w:ascii="Palatino Linotype" w:hAnsi="Palatino Linotype"/>
          <w:bCs/>
        </w:rPr>
      </w:pPr>
      <w:r w:rsidRPr="00026220">
        <w:rPr>
          <w:rFonts w:ascii="Palatino Linotype" w:hAnsi="Palatino Linotype"/>
          <w:bCs/>
        </w:rPr>
        <w:t xml:space="preserve"> ‘</w:t>
      </w:r>
      <w:r w:rsidR="003B36D9" w:rsidRPr="00026220">
        <w:rPr>
          <w:rFonts w:ascii="Palatino Linotype" w:hAnsi="Palatino Linotype"/>
          <w:bCs/>
        </w:rPr>
        <w:t>Disjointed</w:t>
      </w:r>
      <w:r w:rsidRPr="00026220">
        <w:rPr>
          <w:rFonts w:ascii="Palatino Linotype" w:hAnsi="Palatino Linotype"/>
          <w:bCs/>
        </w:rPr>
        <w:t xml:space="preserve">, </w:t>
      </w:r>
      <w:r w:rsidR="003B36D9" w:rsidRPr="00026220">
        <w:rPr>
          <w:rFonts w:ascii="Palatino Linotype" w:hAnsi="Palatino Linotype"/>
          <w:bCs/>
        </w:rPr>
        <w:t>unproductive</w:t>
      </w:r>
      <w:r w:rsidRPr="00026220">
        <w:rPr>
          <w:rFonts w:ascii="Palatino Linotype" w:hAnsi="Palatino Linotype"/>
          <w:bCs/>
        </w:rPr>
        <w:t xml:space="preserve">, and </w:t>
      </w:r>
      <w:r w:rsidR="003B36D9" w:rsidRPr="00026220">
        <w:rPr>
          <w:rFonts w:ascii="Palatino Linotype" w:hAnsi="Palatino Linotype"/>
          <w:bCs/>
        </w:rPr>
        <w:t>gratuitously</w:t>
      </w:r>
      <w:r w:rsidRPr="00026220">
        <w:rPr>
          <w:rFonts w:ascii="Palatino Linotype" w:hAnsi="Palatino Linotype"/>
          <w:bCs/>
        </w:rPr>
        <w:t xml:space="preserve"> </w:t>
      </w:r>
      <w:r w:rsidR="003B36D9" w:rsidRPr="00026220">
        <w:rPr>
          <w:rFonts w:ascii="Palatino Linotype" w:hAnsi="Palatino Linotype"/>
          <w:bCs/>
        </w:rPr>
        <w:t>contentious behavior.</w:t>
      </w:r>
      <w:r w:rsidRPr="00026220">
        <w:rPr>
          <w:rFonts w:ascii="Palatino Linotype" w:hAnsi="Palatino Linotype"/>
          <w:bCs/>
        </w:rPr>
        <w:t xml:space="preserve"> The SNCAJ did create what was supposed to be a self-governing cassation body that is true. But you miss the bit before that. The bit on the rights in law. </w:t>
      </w:r>
      <w:proofErr w:type="gramStart"/>
      <w:r w:rsidRPr="00026220">
        <w:rPr>
          <w:rFonts w:ascii="Palatino Linotype" w:hAnsi="Palatino Linotype"/>
          <w:bCs/>
        </w:rPr>
        <w:t>So</w:t>
      </w:r>
      <w:proofErr w:type="gramEnd"/>
      <w:r w:rsidRPr="00026220">
        <w:rPr>
          <w:rFonts w:ascii="Palatino Linotype" w:hAnsi="Palatino Linotype"/>
          <w:bCs/>
        </w:rPr>
        <w:t xml:space="preserve"> if there is evidence against me,</w:t>
      </w:r>
      <w:r w:rsidR="00FE5277" w:rsidRPr="00026220">
        <w:rPr>
          <w:rFonts w:ascii="Palatino Linotype" w:hAnsi="Palatino Linotype"/>
          <w:bCs/>
        </w:rPr>
        <w:t xml:space="preserve"> </w:t>
      </w:r>
      <w:r w:rsidRPr="00026220">
        <w:rPr>
          <w:rFonts w:ascii="Palatino Linotype" w:hAnsi="Palatino Linotype"/>
          <w:bCs/>
        </w:rPr>
        <w:t>that I was a high ranking Ba’athist, and they say that evidence is in my file then if the process assures fairness and rights then I should see the file. I should be told of the allegations against me and be allowed to offer evidence that challenges what is in the file. But what did the people get? Just a letter saying they were guilty. That means no due process’</w:t>
      </w:r>
      <w:r w:rsidR="003B36D9" w:rsidRPr="00026220">
        <w:rPr>
          <w:rFonts w:ascii="Palatino Linotype" w:hAnsi="Palatino Linotype"/>
        </w:rPr>
        <w:t xml:space="preserve"> (</w:t>
      </w:r>
      <w:r w:rsidR="00530FF2" w:rsidRPr="00026220">
        <w:rPr>
          <w:rFonts w:ascii="Palatino Linotype" w:hAnsi="Palatino Linotype"/>
        </w:rPr>
        <w:t>I</w:t>
      </w:r>
      <w:r w:rsidR="00021A6E" w:rsidRPr="00026220">
        <w:rPr>
          <w:rFonts w:ascii="Palatino Linotype" w:hAnsi="Palatino Linotype"/>
        </w:rPr>
        <w:t>nterview 2014</w:t>
      </w:r>
      <w:r w:rsidR="003B36D9" w:rsidRPr="00026220">
        <w:rPr>
          <w:rFonts w:ascii="Palatino Linotype" w:hAnsi="Palatino Linotype"/>
          <w:bCs/>
        </w:rPr>
        <w:t>).</w:t>
      </w:r>
      <w:r w:rsidRPr="00026220">
        <w:rPr>
          <w:rFonts w:ascii="Palatino Linotype" w:hAnsi="Palatino Linotype"/>
          <w:bCs/>
        </w:rPr>
        <w:t xml:space="preserve"> </w:t>
      </w:r>
    </w:p>
    <w:p w14:paraId="68D73D53" w14:textId="77777777" w:rsidR="008B1B81" w:rsidRPr="00026220" w:rsidRDefault="008B1B81" w:rsidP="00F34873">
      <w:pPr>
        <w:autoSpaceDE w:val="0"/>
        <w:autoSpaceDN w:val="0"/>
        <w:adjustRightInd w:val="0"/>
        <w:jc w:val="both"/>
        <w:rPr>
          <w:rFonts w:ascii="Palatino Linotype" w:hAnsi="Palatino Linotype"/>
          <w:bCs/>
        </w:rPr>
      </w:pPr>
    </w:p>
    <w:p w14:paraId="245879D0" w14:textId="77777777" w:rsidR="008B1B81" w:rsidRPr="00026220" w:rsidRDefault="008B1B81" w:rsidP="00635885">
      <w:pPr>
        <w:autoSpaceDE w:val="0"/>
        <w:autoSpaceDN w:val="0"/>
        <w:adjustRightInd w:val="0"/>
        <w:jc w:val="both"/>
        <w:rPr>
          <w:rFonts w:ascii="Palatino Linotype" w:hAnsi="Palatino Linotype"/>
          <w:bCs/>
        </w:rPr>
      </w:pPr>
      <w:r w:rsidRPr="00026220">
        <w:rPr>
          <w:rFonts w:ascii="Palatino Linotype" w:hAnsi="Palatino Linotype"/>
          <w:bCs/>
        </w:rPr>
        <w:t xml:space="preserve">The power of the ‘evidence’ used was unquestionable but as for evidential accuracy questionable not only due to the secrecy or presentation but also other factors. Due to the scale of bombing during invasion and insurgency many records regarding party membership or human rights abuses were destroyed or lost. The Ba’ath Party operated in secrecy and via a cell structure which limited knowledge regarding the membership of others. As noted by a respondent expelled from a government </w:t>
      </w:r>
      <w:proofErr w:type="gramStart"/>
      <w:r w:rsidRPr="00026220">
        <w:rPr>
          <w:rFonts w:ascii="Palatino Linotype" w:hAnsi="Palatino Linotype"/>
          <w:bCs/>
        </w:rPr>
        <w:t>ministry;</w:t>
      </w:r>
      <w:proofErr w:type="gramEnd"/>
    </w:p>
    <w:p w14:paraId="7145E02D" w14:textId="77777777" w:rsidR="008B1B81" w:rsidRPr="00026220" w:rsidRDefault="008B1B81" w:rsidP="00635885">
      <w:pPr>
        <w:autoSpaceDE w:val="0"/>
        <w:autoSpaceDN w:val="0"/>
        <w:adjustRightInd w:val="0"/>
        <w:jc w:val="both"/>
        <w:rPr>
          <w:rFonts w:ascii="Palatino Linotype" w:hAnsi="Palatino Linotype"/>
          <w:bCs/>
        </w:rPr>
      </w:pPr>
    </w:p>
    <w:p w14:paraId="20B6005B" w14:textId="13D99E87" w:rsidR="008B1B81" w:rsidRPr="00026220" w:rsidRDefault="0067188D" w:rsidP="00635885">
      <w:pPr>
        <w:autoSpaceDE w:val="0"/>
        <w:autoSpaceDN w:val="0"/>
        <w:adjustRightInd w:val="0"/>
        <w:jc w:val="both"/>
        <w:rPr>
          <w:rFonts w:ascii="Palatino Linotype" w:hAnsi="Palatino Linotype"/>
          <w:bCs/>
          <w:color w:val="FF0000"/>
        </w:rPr>
      </w:pPr>
      <w:r w:rsidRPr="00026220">
        <w:rPr>
          <w:rFonts w:ascii="Palatino Linotype" w:hAnsi="Palatino Linotype"/>
          <w:bCs/>
        </w:rPr>
        <w:t>‘</w:t>
      </w:r>
      <w:r w:rsidR="008B1B81" w:rsidRPr="00026220">
        <w:rPr>
          <w:rFonts w:ascii="Palatino Linotype" w:hAnsi="Palatino Linotype"/>
          <w:bCs/>
        </w:rPr>
        <w:t xml:space="preserve">In my ministry they determined membership from informants. Some people lied to save themselves. They threw people out based on what they were paid or for how long you worked there. What did that prove? In my ministry I was thrown out because I was related to someone high up who was a Ba’athist. I was not high </w:t>
      </w:r>
      <w:proofErr w:type="gramStart"/>
      <w:r w:rsidR="008B1B81" w:rsidRPr="00026220">
        <w:rPr>
          <w:rFonts w:ascii="Palatino Linotype" w:hAnsi="Palatino Linotype"/>
          <w:bCs/>
        </w:rPr>
        <w:t>Ba’athist</w:t>
      </w:r>
      <w:proofErr w:type="gramEnd"/>
      <w:r w:rsidR="008B1B81" w:rsidRPr="00026220">
        <w:rPr>
          <w:rFonts w:ascii="Palatino Linotype" w:hAnsi="Palatino Linotype"/>
          <w:bCs/>
        </w:rPr>
        <w:t xml:space="preserve"> but they said I was as my relative was. They tried to get me to confess and tell on others. In the end I just took a pension and </w:t>
      </w:r>
      <w:proofErr w:type="gramStart"/>
      <w:r w:rsidR="008B1B81" w:rsidRPr="00026220">
        <w:rPr>
          <w:rFonts w:ascii="Palatino Linotype" w:hAnsi="Palatino Linotype"/>
          <w:bCs/>
        </w:rPr>
        <w:t>go, but</w:t>
      </w:r>
      <w:proofErr w:type="gramEnd"/>
      <w:r w:rsidR="008B1B81" w:rsidRPr="00026220">
        <w:rPr>
          <w:rFonts w:ascii="Palatino Linotype" w:hAnsi="Palatino Linotype"/>
          <w:bCs/>
        </w:rPr>
        <w:t xml:space="preserve"> was angry’</w:t>
      </w:r>
      <w:r w:rsidR="00AB27DE" w:rsidRPr="00026220">
        <w:rPr>
          <w:rFonts w:ascii="Palatino Linotype" w:hAnsi="Palatino Linotype"/>
          <w:bCs/>
        </w:rPr>
        <w:t xml:space="preserve"> (</w:t>
      </w:r>
      <w:r w:rsidR="00DD6114">
        <w:rPr>
          <w:rFonts w:ascii="Palatino Linotype" w:hAnsi="Palatino Linotype"/>
          <w:bCs/>
        </w:rPr>
        <w:t>I</w:t>
      </w:r>
      <w:r w:rsidR="00DD6114" w:rsidRPr="00026220">
        <w:rPr>
          <w:rFonts w:ascii="Palatino Linotype" w:hAnsi="Palatino Linotype"/>
          <w:bCs/>
        </w:rPr>
        <w:t xml:space="preserve">nterview </w:t>
      </w:r>
      <w:r w:rsidR="00AB27DE" w:rsidRPr="00026220">
        <w:rPr>
          <w:rFonts w:ascii="Palatino Linotype" w:hAnsi="Palatino Linotype"/>
          <w:bCs/>
        </w:rPr>
        <w:t>Civil servant 2014)</w:t>
      </w:r>
      <w:r w:rsidR="008B1B81" w:rsidRPr="00026220">
        <w:rPr>
          <w:rFonts w:ascii="Palatino Linotype" w:hAnsi="Palatino Linotype"/>
          <w:bCs/>
        </w:rPr>
        <w:t xml:space="preserve">. </w:t>
      </w:r>
    </w:p>
    <w:p w14:paraId="01386D04" w14:textId="77777777" w:rsidR="008B1B81" w:rsidRPr="00026220" w:rsidRDefault="008B1B81" w:rsidP="00635885">
      <w:pPr>
        <w:autoSpaceDE w:val="0"/>
        <w:autoSpaceDN w:val="0"/>
        <w:adjustRightInd w:val="0"/>
        <w:jc w:val="both"/>
        <w:rPr>
          <w:rFonts w:ascii="Palatino Linotype" w:hAnsi="Palatino Linotype"/>
          <w:bCs/>
        </w:rPr>
      </w:pPr>
    </w:p>
    <w:p w14:paraId="6CBAF0A4" w14:textId="77777777" w:rsidR="00AB27DE" w:rsidRPr="00026220" w:rsidRDefault="008B1B81" w:rsidP="00385472">
      <w:pPr>
        <w:autoSpaceDE w:val="0"/>
        <w:autoSpaceDN w:val="0"/>
        <w:adjustRightInd w:val="0"/>
        <w:jc w:val="both"/>
        <w:rPr>
          <w:rFonts w:ascii="Palatino Linotype" w:hAnsi="Palatino Linotype"/>
          <w:bCs/>
        </w:rPr>
      </w:pPr>
      <w:r w:rsidRPr="00026220">
        <w:rPr>
          <w:rFonts w:ascii="Palatino Linotype" w:hAnsi="Palatino Linotype"/>
          <w:bCs/>
        </w:rPr>
        <w:t>Other interviewees spoke of cases when pressure, such as threat of dismissal, was deployed to make staff name others</w:t>
      </w:r>
      <w:r w:rsidR="008A04DA" w:rsidRPr="00026220">
        <w:rPr>
          <w:rFonts w:ascii="Palatino Linotype" w:hAnsi="Palatino Linotype"/>
          <w:bCs/>
        </w:rPr>
        <w:t>,</w:t>
      </w:r>
      <w:r w:rsidR="003B5990" w:rsidRPr="00026220">
        <w:rPr>
          <w:rFonts w:ascii="Palatino Linotype" w:hAnsi="Palatino Linotype"/>
          <w:bCs/>
        </w:rPr>
        <w:t xml:space="preserve"> </w:t>
      </w:r>
      <w:r w:rsidR="008A04DA" w:rsidRPr="00026220">
        <w:rPr>
          <w:rFonts w:ascii="Palatino Linotype" w:hAnsi="Palatino Linotype"/>
          <w:bCs/>
        </w:rPr>
        <w:t>a</w:t>
      </w:r>
      <w:r w:rsidRPr="00026220">
        <w:rPr>
          <w:rFonts w:ascii="Palatino Linotype" w:hAnsi="Palatino Linotype"/>
          <w:bCs/>
        </w:rPr>
        <w:t xml:space="preserve">n approach that is questionable in terms of intimidation. </w:t>
      </w:r>
      <w:r w:rsidR="00994EED" w:rsidRPr="00026220">
        <w:rPr>
          <w:rFonts w:ascii="Palatino Linotype" w:hAnsi="Palatino Linotype"/>
          <w:bCs/>
        </w:rPr>
        <w:t xml:space="preserve">As was noted in several interviews there was alarm around SNCAJ and SNCD possessing </w:t>
      </w:r>
      <w:r w:rsidR="00C928BC">
        <w:rPr>
          <w:rFonts w:ascii="Palatino Linotype" w:hAnsi="Palatino Linotype"/>
          <w:bCs/>
        </w:rPr>
        <w:t>the</w:t>
      </w:r>
      <w:r w:rsidR="00994EED" w:rsidRPr="00026220">
        <w:rPr>
          <w:rFonts w:ascii="Palatino Linotype" w:hAnsi="Palatino Linotype"/>
          <w:bCs/>
        </w:rPr>
        <w:t xml:space="preserve"> capacity to dismiss, refuse pensions </w:t>
      </w:r>
      <w:proofErr w:type="gramStart"/>
      <w:r w:rsidR="00994EED" w:rsidRPr="00026220">
        <w:rPr>
          <w:rFonts w:ascii="Palatino Linotype" w:hAnsi="Palatino Linotype"/>
          <w:bCs/>
        </w:rPr>
        <w:t>and also</w:t>
      </w:r>
      <w:proofErr w:type="gramEnd"/>
      <w:r w:rsidR="00994EED" w:rsidRPr="00026220">
        <w:rPr>
          <w:rFonts w:ascii="Palatino Linotype" w:hAnsi="Palatino Linotype"/>
          <w:bCs/>
        </w:rPr>
        <w:t xml:space="preserve"> impugn an individual’s reputation </w:t>
      </w:r>
      <w:r w:rsidRPr="00026220">
        <w:rPr>
          <w:rFonts w:ascii="Palatino Linotype" w:hAnsi="Palatino Linotype"/>
          <w:bCs/>
        </w:rPr>
        <w:t>despite a poor evidential bas</w:t>
      </w:r>
      <w:r w:rsidR="00994EED" w:rsidRPr="00026220">
        <w:rPr>
          <w:rFonts w:ascii="Palatino Linotype" w:hAnsi="Palatino Linotype"/>
          <w:bCs/>
        </w:rPr>
        <w:t xml:space="preserve">e and inexact procedures. </w:t>
      </w:r>
      <w:r w:rsidRPr="00026220">
        <w:rPr>
          <w:rFonts w:ascii="Palatino Linotype" w:hAnsi="Palatino Linotype"/>
          <w:bCs/>
        </w:rPr>
        <w:t xml:space="preserve">Such socio-economic and reputational capacity was used to stimulate fear of job loss and the silencing of opposition to that authority.  Fear to resist, it was claimed, undermined introspection, internal review of procedures and appraisal of evidential accuracy. </w:t>
      </w:r>
    </w:p>
    <w:p w14:paraId="5AAEBAA4" w14:textId="77777777" w:rsidR="00F275DE" w:rsidRPr="00026220" w:rsidRDefault="00F275DE" w:rsidP="00385472">
      <w:pPr>
        <w:autoSpaceDE w:val="0"/>
        <w:autoSpaceDN w:val="0"/>
        <w:adjustRightInd w:val="0"/>
        <w:jc w:val="both"/>
        <w:rPr>
          <w:rFonts w:ascii="Palatino Linotype" w:hAnsi="Palatino Linotype"/>
          <w:bCs/>
        </w:rPr>
      </w:pPr>
    </w:p>
    <w:p w14:paraId="7C3AFCB7" w14:textId="77777777" w:rsidR="002466B2" w:rsidRDefault="008B1B81" w:rsidP="002534A0">
      <w:pPr>
        <w:autoSpaceDE w:val="0"/>
        <w:autoSpaceDN w:val="0"/>
        <w:adjustRightInd w:val="0"/>
        <w:jc w:val="both"/>
        <w:rPr>
          <w:rFonts w:ascii="Palatino Linotype" w:hAnsi="Palatino Linotype"/>
          <w:bCs/>
        </w:rPr>
      </w:pPr>
      <w:r w:rsidRPr="00026220">
        <w:rPr>
          <w:rFonts w:ascii="Palatino Linotype" w:hAnsi="Palatino Linotype"/>
          <w:bCs/>
        </w:rPr>
        <w:t>Among those affected or concerned by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there were countless examples of undefined and illegal forms of staff removal and a culture of humiliation and public shaming. Several spoke of simply finding a note on their desk announcing they were sacked, told face-to-face or via a phone call to leave with no mention of claims against them or citing of their party membership. Reinstatement did not necessarily lead to re-employment, back pay during dismissal or any process that was clear regarding re-employment. A lawyer </w:t>
      </w:r>
      <w:r w:rsidR="00175283" w:rsidRPr="00026220">
        <w:rPr>
          <w:rFonts w:ascii="Palatino Linotype" w:hAnsi="Palatino Linotype"/>
          <w:bCs/>
        </w:rPr>
        <w:t>from</w:t>
      </w:r>
      <w:r w:rsidR="003B36D9" w:rsidRPr="00026220">
        <w:rPr>
          <w:rFonts w:ascii="Palatino Linotype" w:hAnsi="Palatino Linotype"/>
          <w:bCs/>
        </w:rPr>
        <w:t xml:space="preserve"> Baghdad </w:t>
      </w:r>
      <w:r w:rsidR="00175283" w:rsidRPr="00026220">
        <w:rPr>
          <w:rFonts w:ascii="Palatino Linotype" w:hAnsi="Palatino Linotype"/>
          <w:bCs/>
        </w:rPr>
        <w:t>noted that ‘</w:t>
      </w:r>
      <w:r w:rsidRPr="00026220">
        <w:rPr>
          <w:rFonts w:ascii="Palatino Linotype" w:hAnsi="Palatino Linotype"/>
          <w:bCs/>
        </w:rPr>
        <w:t>there were cases w</w:t>
      </w:r>
      <w:r w:rsidR="008A04DA" w:rsidRPr="00026220">
        <w:rPr>
          <w:rFonts w:ascii="Palatino Linotype" w:hAnsi="Palatino Linotype"/>
          <w:bCs/>
        </w:rPr>
        <w:t>h</w:t>
      </w:r>
      <w:r w:rsidR="006C0F12" w:rsidRPr="00026220">
        <w:rPr>
          <w:rFonts w:ascii="Palatino Linotype" w:hAnsi="Palatino Linotype"/>
          <w:bCs/>
        </w:rPr>
        <w:t>en</w:t>
      </w:r>
      <w:r w:rsidRPr="00026220">
        <w:rPr>
          <w:rFonts w:ascii="Palatino Linotype" w:hAnsi="Palatino Linotype"/>
          <w:bCs/>
        </w:rPr>
        <w:t xml:space="preserve"> the people could not be permitted to give exculpatory evidence. Sometimes there was (sic) no permissions for physical participation. No common law provisions and a problem with the question – ‘what am I contesting?</w:t>
      </w:r>
      <w:r w:rsidR="006E3963" w:rsidRPr="00026220">
        <w:rPr>
          <w:rFonts w:ascii="Palatino Linotype" w:hAnsi="Palatino Linotype"/>
          <w:bCs/>
        </w:rPr>
        <w:t>’ (</w:t>
      </w:r>
      <w:r w:rsidR="000E249C" w:rsidRPr="00026220">
        <w:rPr>
          <w:rFonts w:ascii="Palatino Linotype" w:hAnsi="Palatino Linotype"/>
          <w:bCs/>
        </w:rPr>
        <w:t>Interview 2014)</w:t>
      </w:r>
      <w:r w:rsidR="007B750F" w:rsidRPr="00026220">
        <w:rPr>
          <w:rFonts w:ascii="Palatino Linotype" w:hAnsi="Palatino Linotype"/>
          <w:bCs/>
        </w:rPr>
        <w:t xml:space="preserve">. </w:t>
      </w:r>
    </w:p>
    <w:p w14:paraId="7DFE0232" w14:textId="77777777" w:rsidR="002466B2" w:rsidRDefault="002466B2" w:rsidP="002534A0">
      <w:pPr>
        <w:autoSpaceDE w:val="0"/>
        <w:autoSpaceDN w:val="0"/>
        <w:adjustRightInd w:val="0"/>
        <w:jc w:val="both"/>
        <w:rPr>
          <w:rFonts w:ascii="Palatino Linotype" w:hAnsi="Palatino Linotype"/>
          <w:bCs/>
        </w:rPr>
      </w:pPr>
    </w:p>
    <w:p w14:paraId="14A732F9" w14:textId="646E5349" w:rsidR="00A94F47" w:rsidRPr="00026220" w:rsidRDefault="008B1B81" w:rsidP="000726E6">
      <w:pPr>
        <w:autoSpaceDE w:val="0"/>
        <w:autoSpaceDN w:val="0"/>
        <w:adjustRightInd w:val="0"/>
        <w:jc w:val="both"/>
        <w:rPr>
          <w:rFonts w:ascii="Palatino Linotype" w:hAnsi="Palatino Linotype"/>
        </w:rPr>
      </w:pPr>
      <w:r w:rsidRPr="00026220">
        <w:rPr>
          <w:rFonts w:ascii="Palatino Linotype" w:hAnsi="Palatino Linotype"/>
          <w:bCs/>
        </w:rPr>
        <w:t xml:space="preserve">In some </w:t>
      </w:r>
      <w:proofErr w:type="gramStart"/>
      <w:r w:rsidRPr="00026220">
        <w:rPr>
          <w:rFonts w:ascii="Palatino Linotype" w:hAnsi="Palatino Linotype"/>
          <w:bCs/>
        </w:rPr>
        <w:t>cases</w:t>
      </w:r>
      <w:proofErr w:type="gramEnd"/>
      <w:r w:rsidRPr="00026220">
        <w:rPr>
          <w:rFonts w:ascii="Palatino Linotype" w:hAnsi="Palatino Linotype"/>
          <w:bCs/>
        </w:rPr>
        <w:t xml:space="preserve"> re-instatement was agreed but returnees had to secure, under extemporized conditions, the presentation of references from non-Ba’ath Party members concerning </w:t>
      </w:r>
      <w:r w:rsidR="00530FF2" w:rsidRPr="00026220">
        <w:rPr>
          <w:rFonts w:ascii="Palatino Linotype" w:hAnsi="Palatino Linotype"/>
          <w:bCs/>
        </w:rPr>
        <w:t xml:space="preserve">an </w:t>
      </w:r>
      <w:r w:rsidRPr="00026220">
        <w:rPr>
          <w:rFonts w:ascii="Palatino Linotype" w:hAnsi="Palatino Linotype"/>
          <w:bCs/>
        </w:rPr>
        <w:t>individual</w:t>
      </w:r>
      <w:r w:rsidR="000E249C" w:rsidRPr="00026220">
        <w:rPr>
          <w:rFonts w:ascii="Palatino Linotype" w:hAnsi="Palatino Linotype"/>
          <w:bCs/>
        </w:rPr>
        <w:t>’</w:t>
      </w:r>
      <w:r w:rsidRPr="00026220">
        <w:rPr>
          <w:rFonts w:ascii="Palatino Linotype" w:hAnsi="Palatino Linotype"/>
          <w:bCs/>
        </w:rPr>
        <w:t xml:space="preserve">s ‘trustworthiness’, ‘proof of regret’ or ‘evidence of superior reputation’. Attendance at rehabilitation events was generally dismissed </w:t>
      </w:r>
      <w:r w:rsidR="00A43C92" w:rsidRPr="00026220">
        <w:rPr>
          <w:rFonts w:ascii="Palatino Linotype" w:hAnsi="Palatino Linotype"/>
          <w:bCs/>
        </w:rPr>
        <w:t xml:space="preserve">as having no restorative purpose </w:t>
      </w:r>
      <w:r w:rsidRPr="00026220">
        <w:rPr>
          <w:rFonts w:ascii="Palatino Linotype" w:hAnsi="Palatino Linotype"/>
          <w:bCs/>
        </w:rPr>
        <w:t>and according to an interviewee ‘it was just meetings about crimes of the Ba’ath and being told off. There was no process I could see about rehabilitation. Those taking these events had no training or legal skills’</w:t>
      </w:r>
      <w:r w:rsidR="00E90E9A" w:rsidRPr="00026220">
        <w:rPr>
          <w:rFonts w:ascii="Palatino Linotype" w:hAnsi="Palatino Linotype"/>
          <w:bCs/>
        </w:rPr>
        <w:t xml:space="preserve"> (</w:t>
      </w:r>
      <w:r w:rsidR="00DD6114">
        <w:rPr>
          <w:rFonts w:ascii="Palatino Linotype" w:hAnsi="Palatino Linotype"/>
          <w:bCs/>
        </w:rPr>
        <w:t>I</w:t>
      </w:r>
      <w:r w:rsidR="00CF680F" w:rsidRPr="009A41F8">
        <w:rPr>
          <w:rFonts w:ascii="Palatino Linotype" w:hAnsi="Palatino Linotype"/>
          <w:bCs/>
        </w:rPr>
        <w:t>nterview</w:t>
      </w:r>
      <w:r w:rsidR="00BE611B">
        <w:rPr>
          <w:rFonts w:ascii="Palatino Linotype" w:hAnsi="Palatino Linotype"/>
          <w:bCs/>
        </w:rPr>
        <w:t xml:space="preserve"> journalist</w:t>
      </w:r>
      <w:r w:rsidR="000E249C" w:rsidRPr="009A41F8">
        <w:rPr>
          <w:rFonts w:ascii="Palatino Linotype" w:hAnsi="Palatino Linotype"/>
          <w:bCs/>
        </w:rPr>
        <w:t>, 2009</w:t>
      </w:r>
      <w:r w:rsidR="000E249C" w:rsidRPr="00026220">
        <w:rPr>
          <w:rFonts w:ascii="Palatino Linotype" w:hAnsi="Palatino Linotype"/>
          <w:bCs/>
        </w:rPr>
        <w:t>)</w:t>
      </w:r>
      <w:r w:rsidRPr="00026220">
        <w:rPr>
          <w:rFonts w:ascii="Palatino Linotype" w:hAnsi="Palatino Linotype"/>
          <w:bCs/>
        </w:rPr>
        <w:t xml:space="preserve">.  In some </w:t>
      </w:r>
      <w:proofErr w:type="gramStart"/>
      <w:r w:rsidRPr="00026220">
        <w:rPr>
          <w:rFonts w:ascii="Palatino Linotype" w:hAnsi="Palatino Linotype"/>
          <w:bCs/>
        </w:rPr>
        <w:t>cases</w:t>
      </w:r>
      <w:proofErr w:type="gramEnd"/>
      <w:r w:rsidRPr="00026220">
        <w:rPr>
          <w:rFonts w:ascii="Palatino Linotype" w:hAnsi="Palatino Linotype"/>
          <w:bCs/>
        </w:rPr>
        <w:t xml:space="preserve"> character references were difficult to obtain with referees being concerned that composing </w:t>
      </w:r>
      <w:r w:rsidRPr="00026220">
        <w:rPr>
          <w:rFonts w:ascii="Palatino Linotype" w:hAnsi="Palatino Linotype"/>
          <w:bCs/>
        </w:rPr>
        <w:lastRenderedPageBreak/>
        <w:t>letters of support for former Ba’ath Party members may bring them to the attention of de-</w:t>
      </w:r>
      <w:proofErr w:type="spellStart"/>
      <w:r w:rsidRPr="00026220">
        <w:rPr>
          <w:rFonts w:ascii="Palatino Linotype" w:hAnsi="Palatino Linotype"/>
          <w:bCs/>
        </w:rPr>
        <w:t>Ba’athification</w:t>
      </w:r>
      <w:proofErr w:type="spellEnd"/>
      <w:r w:rsidRPr="00026220">
        <w:rPr>
          <w:rFonts w:ascii="Palatino Linotype" w:hAnsi="Palatino Linotype"/>
          <w:bCs/>
        </w:rPr>
        <w:t xml:space="preserve"> adherents. Obtaining letters via corruption permitted ‘even those tarnished by their crimes getting</w:t>
      </w:r>
      <w:r w:rsidR="000844F1" w:rsidRPr="00026220">
        <w:rPr>
          <w:rFonts w:ascii="Palatino Linotype" w:hAnsi="Palatino Linotype"/>
          <w:bCs/>
        </w:rPr>
        <w:t xml:space="preserve"> their jobs returned to them’ (Interview, 2009</w:t>
      </w:r>
      <w:r w:rsidRPr="00026220">
        <w:rPr>
          <w:rFonts w:ascii="Palatino Linotype" w:hAnsi="Palatino Linotype"/>
          <w:bCs/>
        </w:rPr>
        <w:t>).</w:t>
      </w:r>
      <w:r w:rsidR="000A5E60" w:rsidRPr="00026220">
        <w:rPr>
          <w:rFonts w:ascii="Palatino Linotype" w:hAnsi="Palatino Linotype"/>
          <w:bCs/>
        </w:rPr>
        <w:t xml:space="preserve"> R</w:t>
      </w:r>
      <w:r w:rsidRPr="00026220">
        <w:rPr>
          <w:rFonts w:ascii="Palatino Linotype" w:hAnsi="Palatino Linotype"/>
          <w:bCs/>
        </w:rPr>
        <w:t>estoration of employment veer</w:t>
      </w:r>
      <w:r w:rsidR="000A5E60" w:rsidRPr="00026220">
        <w:rPr>
          <w:rFonts w:ascii="Palatino Linotype" w:hAnsi="Palatino Linotype"/>
          <w:bCs/>
        </w:rPr>
        <w:t>ing</w:t>
      </w:r>
      <w:r w:rsidRPr="00026220">
        <w:rPr>
          <w:rFonts w:ascii="Palatino Linotype" w:hAnsi="Palatino Linotype"/>
          <w:bCs/>
        </w:rPr>
        <w:t xml:space="preserve"> between de jure process, examples of public humiliation, informality, obstruction and </w:t>
      </w:r>
      <w:r w:rsidR="00AF09C7" w:rsidRPr="00026220">
        <w:rPr>
          <w:rFonts w:ascii="Palatino Linotype" w:hAnsi="Palatino Linotype"/>
          <w:bCs/>
        </w:rPr>
        <w:t xml:space="preserve">in some cases </w:t>
      </w:r>
      <w:r w:rsidRPr="00026220">
        <w:rPr>
          <w:rFonts w:ascii="Palatino Linotype" w:hAnsi="Palatino Linotype"/>
          <w:bCs/>
        </w:rPr>
        <w:t xml:space="preserve">arbitrariness. </w:t>
      </w:r>
      <w:r w:rsidR="000726E6" w:rsidRPr="00026220">
        <w:rPr>
          <w:rFonts w:ascii="Palatino Linotype" w:hAnsi="Palatino Linotype"/>
          <w:bCs/>
        </w:rPr>
        <w:t xml:space="preserve"> </w:t>
      </w:r>
      <w:r w:rsidR="00F275DE" w:rsidRPr="00026220">
        <w:rPr>
          <w:rFonts w:ascii="Palatino Linotype" w:hAnsi="Palatino Linotype"/>
        </w:rPr>
        <w:t>Among those who were not or who were no longer adherents of de-</w:t>
      </w:r>
      <w:proofErr w:type="spellStart"/>
      <w:r w:rsidR="00F275DE" w:rsidRPr="00026220">
        <w:rPr>
          <w:rFonts w:ascii="Palatino Linotype" w:hAnsi="Palatino Linotype"/>
        </w:rPr>
        <w:t>Ba’athification</w:t>
      </w:r>
      <w:proofErr w:type="spellEnd"/>
      <w:r w:rsidR="00F275DE" w:rsidRPr="00026220">
        <w:rPr>
          <w:rFonts w:ascii="Palatino Linotype" w:hAnsi="Palatino Linotype"/>
        </w:rPr>
        <w:t xml:space="preserve"> practice was the notion of l</w:t>
      </w:r>
      <w:r w:rsidR="00A94F47" w:rsidRPr="00026220">
        <w:rPr>
          <w:rFonts w:ascii="Palatino Linotype" w:hAnsi="Palatino Linotype"/>
        </w:rPr>
        <w:t xml:space="preserve">ustration as a coercive process of sectarian as well as political discourse building </w:t>
      </w:r>
      <w:r w:rsidR="00F275DE" w:rsidRPr="00026220">
        <w:rPr>
          <w:rFonts w:ascii="Palatino Linotype" w:hAnsi="Palatino Linotype"/>
        </w:rPr>
        <w:t xml:space="preserve">had a </w:t>
      </w:r>
      <w:r w:rsidR="00A94F47" w:rsidRPr="00026220">
        <w:rPr>
          <w:rFonts w:ascii="Palatino Linotype" w:hAnsi="Palatino Linotype"/>
        </w:rPr>
        <w:t xml:space="preserve">significant toll upon the capacity to build democracy. </w:t>
      </w:r>
      <w:r w:rsidR="009A44D4" w:rsidRPr="00026220">
        <w:rPr>
          <w:rFonts w:ascii="Palatino Linotype" w:hAnsi="Palatino Linotype"/>
        </w:rPr>
        <w:t>A</w:t>
      </w:r>
      <w:r w:rsidR="00C928BC">
        <w:rPr>
          <w:rFonts w:ascii="Palatino Linotype" w:hAnsi="Palatino Linotype"/>
        </w:rPr>
        <w:t>s a</w:t>
      </w:r>
      <w:r w:rsidR="009A44D4" w:rsidRPr="00026220">
        <w:rPr>
          <w:rFonts w:ascii="Palatino Linotype" w:hAnsi="Palatino Linotype"/>
        </w:rPr>
        <w:t xml:space="preserve"> </w:t>
      </w:r>
      <w:proofErr w:type="gramStart"/>
      <w:r w:rsidR="009A44D4" w:rsidRPr="00026220">
        <w:rPr>
          <w:rFonts w:ascii="Palatino Linotype" w:hAnsi="Palatino Linotype"/>
        </w:rPr>
        <w:t>Shia secularists</w:t>
      </w:r>
      <w:proofErr w:type="gramEnd"/>
      <w:r w:rsidR="009A44D4" w:rsidRPr="00026220">
        <w:rPr>
          <w:rFonts w:ascii="Palatino Linotype" w:hAnsi="Palatino Linotype"/>
        </w:rPr>
        <w:t xml:space="preserve"> </w:t>
      </w:r>
      <w:r w:rsidR="009A41F8">
        <w:rPr>
          <w:rFonts w:ascii="Palatino Linotype" w:hAnsi="Palatino Linotype"/>
        </w:rPr>
        <w:t xml:space="preserve">(2011) </w:t>
      </w:r>
      <w:r w:rsidR="009A44D4" w:rsidRPr="00026220">
        <w:rPr>
          <w:rFonts w:ascii="Palatino Linotype" w:hAnsi="Palatino Linotype"/>
        </w:rPr>
        <w:t>explained</w:t>
      </w:r>
      <w:r w:rsidR="00A94F47" w:rsidRPr="00026220">
        <w:rPr>
          <w:rFonts w:ascii="Palatino Linotype" w:hAnsi="Palatino Linotype"/>
        </w:rPr>
        <w:t xml:space="preserve">; </w:t>
      </w:r>
    </w:p>
    <w:p w14:paraId="6D5B4934" w14:textId="77777777" w:rsidR="00A94F47" w:rsidRPr="00026220" w:rsidRDefault="00A94F47" w:rsidP="00A94F47">
      <w:pPr>
        <w:jc w:val="both"/>
        <w:rPr>
          <w:rFonts w:ascii="Palatino Linotype" w:hAnsi="Palatino Linotype"/>
        </w:rPr>
      </w:pPr>
    </w:p>
    <w:p w14:paraId="62144C6B" w14:textId="77777777" w:rsidR="00F275DE" w:rsidRPr="00026220" w:rsidRDefault="00A94F47" w:rsidP="00A94F47">
      <w:pPr>
        <w:jc w:val="both"/>
        <w:rPr>
          <w:rFonts w:ascii="Palatino Linotype" w:hAnsi="Palatino Linotype"/>
        </w:rPr>
      </w:pPr>
      <w:r w:rsidRPr="00026220">
        <w:rPr>
          <w:rFonts w:ascii="Palatino Linotype" w:hAnsi="Palatino Linotype"/>
        </w:rPr>
        <w:t>‘</w:t>
      </w:r>
      <w:r w:rsidR="00F275DE" w:rsidRPr="00026220">
        <w:rPr>
          <w:rFonts w:ascii="Palatino Linotype" w:hAnsi="Palatino Linotype"/>
        </w:rPr>
        <w:t>the new regime has members, powerful ones, who see de-</w:t>
      </w:r>
      <w:proofErr w:type="spellStart"/>
      <w:r w:rsidR="00F275DE" w:rsidRPr="00026220">
        <w:rPr>
          <w:rFonts w:ascii="Palatino Linotype" w:hAnsi="Palatino Linotype"/>
        </w:rPr>
        <w:t>Ba’athification</w:t>
      </w:r>
      <w:proofErr w:type="spellEnd"/>
      <w:r w:rsidR="00F275DE" w:rsidRPr="00026220">
        <w:rPr>
          <w:rFonts w:ascii="Palatino Linotype" w:hAnsi="Palatino Linotype"/>
        </w:rPr>
        <w:t xml:space="preserve"> </w:t>
      </w:r>
      <w:proofErr w:type="gramStart"/>
      <w:r w:rsidR="00F275DE" w:rsidRPr="00026220">
        <w:rPr>
          <w:rFonts w:ascii="Palatino Linotype" w:hAnsi="Palatino Linotype"/>
        </w:rPr>
        <w:t>as a way to</w:t>
      </w:r>
      <w:proofErr w:type="gramEnd"/>
      <w:r w:rsidR="00F275DE" w:rsidRPr="00026220">
        <w:rPr>
          <w:rFonts w:ascii="Palatino Linotype" w:hAnsi="Palatino Linotype"/>
        </w:rPr>
        <w:t xml:space="preserve"> att</w:t>
      </w:r>
      <w:r w:rsidRPr="00026220">
        <w:rPr>
          <w:rFonts w:ascii="Palatino Linotype" w:hAnsi="Palatino Linotype"/>
        </w:rPr>
        <w:t xml:space="preserve">ack </w:t>
      </w:r>
      <w:r w:rsidR="00F275DE" w:rsidRPr="00026220">
        <w:rPr>
          <w:rFonts w:ascii="Palatino Linotype" w:hAnsi="Palatino Linotype"/>
        </w:rPr>
        <w:t xml:space="preserve">the Sunni community. They do not really care if they are removing Ba’athists as they are wanted to rid the country of Sunnis. The process we </w:t>
      </w:r>
      <w:proofErr w:type="gramStart"/>
      <w:r w:rsidR="00F275DE" w:rsidRPr="00026220">
        <w:rPr>
          <w:rFonts w:ascii="Palatino Linotype" w:hAnsi="Palatino Linotype"/>
        </w:rPr>
        <w:t>has</w:t>
      </w:r>
      <w:proofErr w:type="gramEnd"/>
      <w:r w:rsidR="00F275DE" w:rsidRPr="00026220">
        <w:rPr>
          <w:rFonts w:ascii="Palatino Linotype" w:hAnsi="Palatino Linotype"/>
        </w:rPr>
        <w:t xml:space="preserve"> </w:t>
      </w:r>
      <w:r w:rsidR="000C1AEF">
        <w:rPr>
          <w:rFonts w:ascii="Palatino Linotype" w:hAnsi="Palatino Linotype"/>
        </w:rPr>
        <w:t xml:space="preserve">(sic) </w:t>
      </w:r>
      <w:r w:rsidR="00F275DE" w:rsidRPr="00026220">
        <w:rPr>
          <w:rFonts w:ascii="Palatino Linotype" w:hAnsi="Palatino Linotype"/>
        </w:rPr>
        <w:t xml:space="preserve">seen is one of harassing the Sunni. It is not about drawing a line and beginning a new Iraq... It is about destroying a people and claiming they are all something, they are all </w:t>
      </w:r>
      <w:proofErr w:type="spellStart"/>
      <w:r w:rsidR="00F275DE" w:rsidRPr="00026220">
        <w:rPr>
          <w:rFonts w:ascii="Palatino Linotype" w:hAnsi="Palatino Linotype"/>
        </w:rPr>
        <w:t>Saddamists</w:t>
      </w:r>
      <w:proofErr w:type="spellEnd"/>
      <w:r w:rsidR="00F275DE" w:rsidRPr="00026220">
        <w:rPr>
          <w:rFonts w:ascii="Palatino Linotype" w:hAnsi="Palatino Linotype"/>
        </w:rPr>
        <w:t>. It is not true to think that but these people who expel and abuse others are matching Saddam by becoming a new, becoming a new type of Saddam</w:t>
      </w:r>
      <w:r w:rsidR="00484EFB">
        <w:rPr>
          <w:rFonts w:ascii="Palatino Linotype" w:hAnsi="Palatino Linotype"/>
        </w:rPr>
        <w:t xml:space="preserve">… </w:t>
      </w:r>
      <w:r w:rsidR="00F275DE" w:rsidRPr="00026220">
        <w:rPr>
          <w:rFonts w:ascii="Palatino Linotype" w:hAnsi="Palatino Linotype"/>
        </w:rPr>
        <w:t xml:space="preserve">this is sectarian war playing’. </w:t>
      </w:r>
    </w:p>
    <w:p w14:paraId="3FC4A0E1" w14:textId="77777777" w:rsidR="00E916EE" w:rsidRPr="00026220" w:rsidRDefault="00E916EE" w:rsidP="00E916EE">
      <w:pPr>
        <w:jc w:val="both"/>
        <w:rPr>
          <w:rFonts w:ascii="Palatino Linotype" w:hAnsi="Palatino Linotype"/>
        </w:rPr>
      </w:pPr>
    </w:p>
    <w:p w14:paraId="755CA2D0" w14:textId="77777777" w:rsidR="00504FC5" w:rsidRPr="00026220" w:rsidRDefault="00504FC5" w:rsidP="00E916EE">
      <w:pPr>
        <w:jc w:val="both"/>
        <w:rPr>
          <w:rFonts w:ascii="Palatino Linotype" w:hAnsi="Palatino Linotype"/>
        </w:rPr>
      </w:pPr>
    </w:p>
    <w:p w14:paraId="7DDF05E9" w14:textId="77777777" w:rsidR="008B1B81" w:rsidRPr="00026220" w:rsidRDefault="008B1B81" w:rsidP="00F970E6">
      <w:pPr>
        <w:jc w:val="both"/>
        <w:rPr>
          <w:rFonts w:ascii="Palatino Linotype" w:hAnsi="Palatino Linotype"/>
          <w:b/>
        </w:rPr>
      </w:pPr>
      <w:r w:rsidRPr="00026220">
        <w:rPr>
          <w:rFonts w:ascii="Palatino Linotype" w:hAnsi="Palatino Linotype"/>
          <w:b/>
        </w:rPr>
        <w:t>Conclusion</w:t>
      </w:r>
    </w:p>
    <w:p w14:paraId="6FF2C1B0" w14:textId="77777777" w:rsidR="008B1B81" w:rsidRPr="00026220" w:rsidRDefault="008B1B81" w:rsidP="00F970E6">
      <w:pPr>
        <w:jc w:val="both"/>
        <w:rPr>
          <w:rFonts w:ascii="Palatino Linotype" w:hAnsi="Palatino Linotype"/>
        </w:rPr>
      </w:pPr>
    </w:p>
    <w:p w14:paraId="4EFD7B7E" w14:textId="77777777" w:rsidR="002E59CB" w:rsidRPr="002E59CB" w:rsidRDefault="00BE611B" w:rsidP="002E59CB">
      <w:pPr>
        <w:ind w:right="-7"/>
        <w:jc w:val="both"/>
        <w:rPr>
          <w:rFonts w:ascii="Palatino Linotype" w:hAnsi="Palatino Linotype"/>
          <w:bCs/>
        </w:rPr>
      </w:pPr>
      <w:r>
        <w:rPr>
          <w:rFonts w:ascii="Palatino Linotype" w:hAnsi="Palatino Linotype"/>
          <w:bCs/>
        </w:rPr>
        <w:t>As indicated t</w:t>
      </w:r>
      <w:r w:rsidR="00B635B6">
        <w:rPr>
          <w:rFonts w:ascii="Palatino Linotype" w:hAnsi="Palatino Linotype"/>
          <w:bCs/>
        </w:rPr>
        <w:t>he force of law converged with other social forms,</w:t>
      </w:r>
      <w:r w:rsidR="002E59CB" w:rsidRPr="002E59CB">
        <w:rPr>
          <w:rFonts w:ascii="Palatino Linotype" w:hAnsi="Palatino Linotype"/>
          <w:bCs/>
        </w:rPr>
        <w:t xml:space="preserve"> in this case the exclusion and rejection of Ba’ath Party</w:t>
      </w:r>
      <w:r>
        <w:rPr>
          <w:rFonts w:ascii="Palatino Linotype" w:hAnsi="Palatino Linotype"/>
          <w:bCs/>
        </w:rPr>
        <w:t xml:space="preserve"> members and others</w:t>
      </w:r>
      <w:r w:rsidR="002E59CB" w:rsidRPr="002E59CB">
        <w:rPr>
          <w:rFonts w:ascii="Palatino Linotype" w:hAnsi="Palatino Linotype"/>
          <w:bCs/>
        </w:rPr>
        <w:t>, in a manner that re-</w:t>
      </w:r>
      <w:r w:rsidR="00B635B6">
        <w:rPr>
          <w:rFonts w:ascii="Palatino Linotype" w:hAnsi="Palatino Linotype"/>
          <w:bCs/>
        </w:rPr>
        <w:t>enforced</w:t>
      </w:r>
      <w:r w:rsidR="002E59CB" w:rsidRPr="002E59CB">
        <w:rPr>
          <w:rFonts w:ascii="Palatino Linotype" w:hAnsi="Palatino Linotype"/>
          <w:bCs/>
        </w:rPr>
        <w:t xml:space="preserve"> the capacity of political actors to manage, reinforce</w:t>
      </w:r>
      <w:r w:rsidR="00206939">
        <w:rPr>
          <w:rFonts w:ascii="Palatino Linotype" w:hAnsi="Palatino Linotype"/>
          <w:bCs/>
        </w:rPr>
        <w:t xml:space="preserve"> and accomplish </w:t>
      </w:r>
      <w:r w:rsidR="00B635B6">
        <w:rPr>
          <w:rFonts w:ascii="Palatino Linotype" w:hAnsi="Palatino Linotype"/>
          <w:bCs/>
        </w:rPr>
        <w:t xml:space="preserve">political </w:t>
      </w:r>
      <w:r w:rsidR="00206939">
        <w:rPr>
          <w:rFonts w:ascii="Palatino Linotype" w:hAnsi="Palatino Linotype"/>
          <w:bCs/>
        </w:rPr>
        <w:t xml:space="preserve">marginalization. </w:t>
      </w:r>
      <w:r w:rsidR="002E59CB" w:rsidRPr="002E59CB">
        <w:rPr>
          <w:rFonts w:ascii="Palatino Linotype" w:hAnsi="Palatino Linotype"/>
          <w:bCs/>
        </w:rPr>
        <w:t>Exclusion</w:t>
      </w:r>
      <w:r w:rsidR="005F52ED">
        <w:rPr>
          <w:rFonts w:ascii="Palatino Linotype" w:hAnsi="Palatino Linotype"/>
          <w:bCs/>
        </w:rPr>
        <w:t xml:space="preserve"> from public sector employment </w:t>
      </w:r>
      <w:r w:rsidR="00CF4316">
        <w:rPr>
          <w:rFonts w:ascii="Palatino Linotype" w:hAnsi="Palatino Linotype"/>
          <w:bCs/>
        </w:rPr>
        <w:t>wa</w:t>
      </w:r>
      <w:r w:rsidR="002E59CB" w:rsidRPr="002E59CB">
        <w:rPr>
          <w:rFonts w:ascii="Palatino Linotype" w:hAnsi="Palatino Linotype"/>
          <w:bCs/>
        </w:rPr>
        <w:t xml:space="preserve">s achieved by the coercive use of legal </w:t>
      </w:r>
      <w:proofErr w:type="gramStart"/>
      <w:r w:rsidR="002E59CB" w:rsidRPr="002E59CB">
        <w:rPr>
          <w:rFonts w:ascii="Palatino Linotype" w:hAnsi="Palatino Linotype"/>
          <w:bCs/>
        </w:rPr>
        <w:t>means</w:t>
      </w:r>
      <w:proofErr w:type="gramEnd"/>
      <w:r w:rsidR="002E59CB" w:rsidRPr="002E59CB">
        <w:rPr>
          <w:rFonts w:ascii="Palatino Linotype" w:hAnsi="Palatino Linotype"/>
          <w:bCs/>
        </w:rPr>
        <w:t xml:space="preserve"> which is ultimately, in this case, a rejection out of public space. That ejection </w:t>
      </w:r>
      <w:r w:rsidR="00CF4316">
        <w:rPr>
          <w:rFonts w:ascii="Palatino Linotype" w:hAnsi="Palatino Linotype"/>
          <w:bCs/>
        </w:rPr>
        <w:t>wa</w:t>
      </w:r>
      <w:r w:rsidR="002E59CB" w:rsidRPr="002E59CB">
        <w:rPr>
          <w:rFonts w:ascii="Palatino Linotype" w:hAnsi="Palatino Linotype"/>
          <w:bCs/>
        </w:rPr>
        <w:t>s located within an opaque and powerful set of relational contexts</w:t>
      </w:r>
      <w:r w:rsidR="00B635B6">
        <w:rPr>
          <w:rFonts w:ascii="Palatino Linotype" w:hAnsi="Palatino Linotype"/>
          <w:bCs/>
        </w:rPr>
        <w:t xml:space="preserve"> with e</w:t>
      </w:r>
      <w:r w:rsidR="002E59CB" w:rsidRPr="002E59CB">
        <w:rPr>
          <w:rFonts w:ascii="Palatino Linotype" w:hAnsi="Palatino Linotype"/>
          <w:bCs/>
        </w:rPr>
        <w:t xml:space="preserve">xclusion generally non-mediated </w:t>
      </w:r>
      <w:proofErr w:type="gramStart"/>
      <w:r w:rsidR="00B635B6">
        <w:rPr>
          <w:rFonts w:ascii="Palatino Linotype" w:hAnsi="Palatino Linotype"/>
          <w:bCs/>
        </w:rPr>
        <w:t>so as to</w:t>
      </w:r>
      <w:proofErr w:type="gramEnd"/>
      <w:r w:rsidR="00B635B6">
        <w:rPr>
          <w:rFonts w:ascii="Palatino Linotype" w:hAnsi="Palatino Linotype"/>
          <w:bCs/>
        </w:rPr>
        <w:t xml:space="preserve"> codify</w:t>
      </w:r>
      <w:r w:rsidR="002E59CB" w:rsidRPr="002E59CB">
        <w:rPr>
          <w:rFonts w:ascii="Palatino Linotype" w:hAnsi="Palatino Linotype"/>
          <w:bCs/>
        </w:rPr>
        <w:t xml:space="preserve"> </w:t>
      </w:r>
      <w:r w:rsidR="00B635B6">
        <w:rPr>
          <w:rFonts w:ascii="Palatino Linotype" w:hAnsi="Palatino Linotype"/>
          <w:bCs/>
        </w:rPr>
        <w:t>material and symbolic effects</w:t>
      </w:r>
      <w:r w:rsidR="002E59CB" w:rsidRPr="002E59CB">
        <w:rPr>
          <w:rFonts w:ascii="Palatino Linotype" w:hAnsi="Palatino Linotype"/>
          <w:bCs/>
        </w:rPr>
        <w:t>. As evidenced rejection</w:t>
      </w:r>
      <w:r w:rsidR="00CF4316">
        <w:rPr>
          <w:rFonts w:ascii="Palatino Linotype" w:hAnsi="Palatino Linotype"/>
          <w:bCs/>
        </w:rPr>
        <w:t xml:space="preserve"> of some</w:t>
      </w:r>
      <w:r w:rsidR="002E59CB" w:rsidRPr="002E59CB">
        <w:rPr>
          <w:rFonts w:ascii="Palatino Linotype" w:hAnsi="Palatino Linotype"/>
          <w:bCs/>
        </w:rPr>
        <w:t xml:space="preserve"> and inclusion </w:t>
      </w:r>
      <w:r w:rsidR="00CF4316">
        <w:rPr>
          <w:rFonts w:ascii="Palatino Linotype" w:hAnsi="Palatino Linotype"/>
          <w:bCs/>
        </w:rPr>
        <w:t xml:space="preserve">of others </w:t>
      </w:r>
      <w:r w:rsidR="002E59CB" w:rsidRPr="002E59CB">
        <w:rPr>
          <w:rFonts w:ascii="Palatino Linotype" w:hAnsi="Palatino Linotype"/>
          <w:bCs/>
        </w:rPr>
        <w:t>is both representation</w:t>
      </w:r>
      <w:r w:rsidR="00206939">
        <w:rPr>
          <w:rFonts w:ascii="Palatino Linotype" w:hAnsi="Palatino Linotype"/>
          <w:bCs/>
        </w:rPr>
        <w:t>al</w:t>
      </w:r>
      <w:r w:rsidR="00CF4316">
        <w:rPr>
          <w:rFonts w:ascii="Palatino Linotype" w:hAnsi="Palatino Linotype"/>
          <w:bCs/>
        </w:rPr>
        <w:t>,</w:t>
      </w:r>
      <w:r w:rsidR="002E59CB" w:rsidRPr="002E59CB">
        <w:rPr>
          <w:rFonts w:ascii="Palatino Linotype" w:hAnsi="Palatino Linotype"/>
          <w:bCs/>
        </w:rPr>
        <w:t xml:space="preserve"> </w:t>
      </w:r>
      <w:proofErr w:type="gramStart"/>
      <w:r w:rsidR="002E59CB" w:rsidRPr="002E59CB">
        <w:rPr>
          <w:rFonts w:ascii="Palatino Linotype" w:hAnsi="Palatino Linotype"/>
          <w:bCs/>
        </w:rPr>
        <w:t>emotional</w:t>
      </w:r>
      <w:proofErr w:type="gramEnd"/>
      <w:r w:rsidR="002E59CB" w:rsidRPr="002E59CB">
        <w:rPr>
          <w:rFonts w:ascii="Palatino Linotype" w:hAnsi="Palatino Linotype"/>
          <w:bCs/>
        </w:rPr>
        <w:t xml:space="preserve"> and contingent not only upon ejection but </w:t>
      </w:r>
      <w:r w:rsidR="00B635B6">
        <w:rPr>
          <w:rFonts w:ascii="Palatino Linotype" w:hAnsi="Palatino Linotype"/>
          <w:bCs/>
        </w:rPr>
        <w:t xml:space="preserve">also the attempted </w:t>
      </w:r>
      <w:r w:rsidR="002E59CB" w:rsidRPr="002E59CB">
        <w:rPr>
          <w:rFonts w:ascii="Palatino Linotype" w:hAnsi="Palatino Linotype"/>
          <w:bCs/>
        </w:rPr>
        <w:t xml:space="preserve">silencing of </w:t>
      </w:r>
      <w:proofErr w:type="spellStart"/>
      <w:r w:rsidR="00CF4316">
        <w:rPr>
          <w:rFonts w:ascii="Palatino Linotype" w:hAnsi="Palatino Linotype"/>
          <w:bCs/>
        </w:rPr>
        <w:t>marginalisation</w:t>
      </w:r>
      <w:proofErr w:type="spellEnd"/>
      <w:r w:rsidR="002E59CB" w:rsidRPr="002E59CB">
        <w:rPr>
          <w:rFonts w:ascii="Palatino Linotype" w:hAnsi="Palatino Linotype"/>
          <w:bCs/>
        </w:rPr>
        <w:t xml:space="preserve">. </w:t>
      </w:r>
      <w:r w:rsidR="005F52ED" w:rsidRPr="002E59CB">
        <w:rPr>
          <w:rFonts w:ascii="Palatino Linotype" w:hAnsi="Palatino Linotype"/>
          <w:bCs/>
        </w:rPr>
        <w:t>Expulsion</w:t>
      </w:r>
      <w:r w:rsidR="002E59CB" w:rsidRPr="002E59CB">
        <w:rPr>
          <w:rFonts w:ascii="Palatino Linotype" w:hAnsi="Palatino Linotype"/>
          <w:bCs/>
        </w:rPr>
        <w:t xml:space="preserve"> out of </w:t>
      </w:r>
      <w:r w:rsidR="005F52ED">
        <w:rPr>
          <w:rFonts w:ascii="Palatino Linotype" w:hAnsi="Palatino Linotype"/>
          <w:bCs/>
        </w:rPr>
        <w:t xml:space="preserve">public sector </w:t>
      </w:r>
      <w:r w:rsidR="00CF4316">
        <w:rPr>
          <w:rFonts w:ascii="Palatino Linotype" w:hAnsi="Palatino Linotype"/>
          <w:bCs/>
        </w:rPr>
        <w:t xml:space="preserve">employment </w:t>
      </w:r>
      <w:r w:rsidR="002E59CB" w:rsidRPr="002E59CB">
        <w:rPr>
          <w:rFonts w:ascii="Palatino Linotype" w:hAnsi="Palatino Linotype"/>
          <w:bCs/>
        </w:rPr>
        <w:t>was an act of state-building</w:t>
      </w:r>
      <w:r w:rsidR="00206939">
        <w:rPr>
          <w:rFonts w:ascii="Palatino Linotype" w:hAnsi="Palatino Linotype"/>
          <w:bCs/>
        </w:rPr>
        <w:t>, developed around processes</w:t>
      </w:r>
      <w:r w:rsidR="002E59CB" w:rsidRPr="002E59CB">
        <w:rPr>
          <w:rFonts w:ascii="Palatino Linotype" w:hAnsi="Palatino Linotype"/>
          <w:bCs/>
        </w:rPr>
        <w:t xml:space="preserve"> </w:t>
      </w:r>
      <w:proofErr w:type="spellStart"/>
      <w:r w:rsidR="00206939">
        <w:rPr>
          <w:rFonts w:ascii="Palatino Linotype" w:hAnsi="Palatino Linotype"/>
          <w:bCs/>
        </w:rPr>
        <w:t>centred</w:t>
      </w:r>
      <w:proofErr w:type="spellEnd"/>
      <w:r w:rsidR="00206939">
        <w:rPr>
          <w:rFonts w:ascii="Palatino Linotype" w:hAnsi="Palatino Linotype"/>
          <w:bCs/>
        </w:rPr>
        <w:t xml:space="preserve"> upon </w:t>
      </w:r>
      <w:r w:rsidR="002E59CB" w:rsidRPr="002E59CB">
        <w:rPr>
          <w:rFonts w:ascii="Palatino Linotype" w:hAnsi="Palatino Linotype"/>
          <w:bCs/>
        </w:rPr>
        <w:t xml:space="preserve">the discursive, </w:t>
      </w:r>
      <w:proofErr w:type="gramStart"/>
      <w:r w:rsidR="002E59CB" w:rsidRPr="002E59CB">
        <w:rPr>
          <w:rFonts w:ascii="Palatino Linotype" w:hAnsi="Palatino Linotype"/>
          <w:bCs/>
        </w:rPr>
        <w:t>legal</w:t>
      </w:r>
      <w:proofErr w:type="gramEnd"/>
      <w:r w:rsidR="002E59CB" w:rsidRPr="002E59CB">
        <w:rPr>
          <w:rFonts w:ascii="Palatino Linotype" w:hAnsi="Palatino Linotype"/>
          <w:bCs/>
        </w:rPr>
        <w:t xml:space="preserve"> and </w:t>
      </w:r>
      <w:r w:rsidR="00206939">
        <w:rPr>
          <w:rFonts w:ascii="Palatino Linotype" w:hAnsi="Palatino Linotype"/>
          <w:bCs/>
        </w:rPr>
        <w:t xml:space="preserve">frictional </w:t>
      </w:r>
      <w:r w:rsidR="002E59CB" w:rsidRPr="002E59CB">
        <w:rPr>
          <w:rFonts w:ascii="Palatino Linotype" w:hAnsi="Palatino Linotype"/>
          <w:bCs/>
        </w:rPr>
        <w:t>control of</w:t>
      </w:r>
      <w:r w:rsidR="00CF4316">
        <w:rPr>
          <w:rFonts w:ascii="Palatino Linotype" w:hAnsi="Palatino Linotype"/>
          <w:bCs/>
        </w:rPr>
        <w:t xml:space="preserve"> state resources</w:t>
      </w:r>
      <w:r w:rsidR="002E59CB" w:rsidRPr="002E59CB">
        <w:rPr>
          <w:rFonts w:ascii="Palatino Linotype" w:hAnsi="Palatino Linotype"/>
          <w:bCs/>
        </w:rPr>
        <w:t>. The law-space nex</w:t>
      </w:r>
      <w:r w:rsidR="00206939">
        <w:rPr>
          <w:rFonts w:ascii="Palatino Linotype" w:hAnsi="Palatino Linotype"/>
          <w:bCs/>
        </w:rPr>
        <w:t>us that emerged in Iraq exerted</w:t>
      </w:r>
      <w:r w:rsidR="002E59CB" w:rsidRPr="002E59CB">
        <w:rPr>
          <w:rFonts w:ascii="Palatino Linotype" w:hAnsi="Palatino Linotype"/>
          <w:bCs/>
        </w:rPr>
        <w:t xml:space="preserve"> the regulatory power of the state </w:t>
      </w:r>
      <w:r w:rsidR="00206939">
        <w:rPr>
          <w:rFonts w:ascii="Palatino Linotype" w:hAnsi="Palatino Linotype"/>
          <w:bCs/>
        </w:rPr>
        <w:t>to not only re-assemble</w:t>
      </w:r>
      <w:r w:rsidR="002E59CB" w:rsidRPr="002E59CB">
        <w:rPr>
          <w:rFonts w:ascii="Palatino Linotype" w:hAnsi="Palatino Linotype"/>
          <w:bCs/>
        </w:rPr>
        <w:t xml:space="preserve"> state authority and activity but </w:t>
      </w:r>
      <w:r w:rsidR="00B635B6">
        <w:rPr>
          <w:rFonts w:ascii="Palatino Linotype" w:hAnsi="Palatino Linotype"/>
          <w:bCs/>
        </w:rPr>
        <w:t xml:space="preserve">to </w:t>
      </w:r>
      <w:r w:rsidR="00206939">
        <w:rPr>
          <w:rFonts w:ascii="Palatino Linotype" w:hAnsi="Palatino Linotype"/>
          <w:bCs/>
        </w:rPr>
        <w:t xml:space="preserve">set the </w:t>
      </w:r>
      <w:r w:rsidR="002E59CB" w:rsidRPr="002E59CB">
        <w:rPr>
          <w:rFonts w:ascii="Palatino Linotype" w:hAnsi="Palatino Linotype"/>
          <w:bCs/>
        </w:rPr>
        <w:t xml:space="preserve">parameters of </w:t>
      </w:r>
      <w:r w:rsidR="00CF4316">
        <w:rPr>
          <w:rFonts w:ascii="Palatino Linotype" w:hAnsi="Palatino Linotype"/>
          <w:bCs/>
        </w:rPr>
        <w:t>socio-economic</w:t>
      </w:r>
      <w:r w:rsidR="00206939">
        <w:rPr>
          <w:rFonts w:ascii="Palatino Linotype" w:hAnsi="Palatino Linotype"/>
          <w:bCs/>
        </w:rPr>
        <w:t xml:space="preserve"> activity</w:t>
      </w:r>
      <w:r w:rsidR="002E59CB" w:rsidRPr="002E59CB">
        <w:rPr>
          <w:rFonts w:ascii="Palatino Linotype" w:hAnsi="Palatino Linotype"/>
          <w:bCs/>
        </w:rPr>
        <w:t xml:space="preserve">.  A process that reminds </w:t>
      </w:r>
      <w:r w:rsidR="00206939">
        <w:rPr>
          <w:rFonts w:ascii="Palatino Linotype" w:hAnsi="Palatino Linotype"/>
          <w:bCs/>
        </w:rPr>
        <w:t xml:space="preserve">us </w:t>
      </w:r>
      <w:r w:rsidR="002E59CB" w:rsidRPr="002E59CB">
        <w:rPr>
          <w:rFonts w:ascii="Palatino Linotype" w:hAnsi="Palatino Linotype"/>
          <w:bCs/>
        </w:rPr>
        <w:t>that the social order</w:t>
      </w:r>
      <w:r w:rsidR="00206939">
        <w:rPr>
          <w:rFonts w:ascii="Palatino Linotype" w:hAnsi="Palatino Linotype"/>
          <w:bCs/>
        </w:rPr>
        <w:t xml:space="preserve"> of war is intentionally </w:t>
      </w:r>
      <w:r w:rsidR="002E59CB" w:rsidRPr="002E59CB">
        <w:rPr>
          <w:rFonts w:ascii="Palatino Linotype" w:hAnsi="Palatino Linotype"/>
          <w:bCs/>
        </w:rPr>
        <w:t xml:space="preserve">inequitable </w:t>
      </w:r>
      <w:r w:rsidR="00206939">
        <w:rPr>
          <w:rFonts w:ascii="Palatino Linotype" w:hAnsi="Palatino Linotype"/>
          <w:bCs/>
        </w:rPr>
        <w:t>and that the power of l</w:t>
      </w:r>
      <w:r w:rsidR="00CF4316">
        <w:rPr>
          <w:rFonts w:ascii="Palatino Linotype" w:hAnsi="Palatino Linotype"/>
          <w:bCs/>
        </w:rPr>
        <w:t>ustration</w:t>
      </w:r>
      <w:r w:rsidR="00206939">
        <w:rPr>
          <w:rFonts w:ascii="Palatino Linotype" w:hAnsi="Palatino Linotype"/>
          <w:bCs/>
        </w:rPr>
        <w:t xml:space="preserve"> </w:t>
      </w:r>
      <w:r w:rsidR="002E59CB" w:rsidRPr="002E59CB">
        <w:rPr>
          <w:rFonts w:ascii="Palatino Linotype" w:hAnsi="Palatino Linotype"/>
          <w:bCs/>
        </w:rPr>
        <w:t>is intrinsic to both co</w:t>
      </w:r>
      <w:r w:rsidR="009823BA">
        <w:rPr>
          <w:rFonts w:ascii="Palatino Linotype" w:hAnsi="Palatino Linotype"/>
          <w:bCs/>
        </w:rPr>
        <w:t xml:space="preserve">nflict and the claiming of war </w:t>
      </w:r>
      <w:proofErr w:type="spellStart"/>
      <w:r w:rsidR="009823BA">
        <w:rPr>
          <w:rFonts w:ascii="Palatino Linotype" w:hAnsi="Palatino Linotype"/>
          <w:bCs/>
        </w:rPr>
        <w:t>centred</w:t>
      </w:r>
      <w:proofErr w:type="spellEnd"/>
      <w:r w:rsidR="009823BA">
        <w:rPr>
          <w:rFonts w:ascii="Palatino Linotype" w:hAnsi="Palatino Linotype"/>
          <w:bCs/>
        </w:rPr>
        <w:t xml:space="preserve"> legitimacy</w:t>
      </w:r>
      <w:r w:rsidR="00206939">
        <w:rPr>
          <w:rFonts w:ascii="Palatino Linotype" w:hAnsi="Palatino Linotype"/>
          <w:bCs/>
        </w:rPr>
        <w:t>.</w:t>
      </w:r>
    </w:p>
    <w:p w14:paraId="6D7762AB" w14:textId="77777777" w:rsidR="002E59CB" w:rsidRPr="002E59CB" w:rsidRDefault="002E59CB" w:rsidP="002E59CB">
      <w:pPr>
        <w:ind w:right="-7"/>
        <w:jc w:val="both"/>
        <w:rPr>
          <w:rFonts w:ascii="Palatino Linotype" w:hAnsi="Palatino Linotype"/>
          <w:bCs/>
        </w:rPr>
      </w:pPr>
    </w:p>
    <w:p w14:paraId="1811286B" w14:textId="77777777" w:rsidR="002E59CB" w:rsidRPr="002E59CB" w:rsidRDefault="002E59CB" w:rsidP="002E59CB">
      <w:pPr>
        <w:ind w:right="-7"/>
        <w:jc w:val="both"/>
        <w:rPr>
          <w:rFonts w:ascii="Palatino Linotype" w:hAnsi="Palatino Linotype"/>
          <w:bCs/>
        </w:rPr>
      </w:pPr>
      <w:r w:rsidRPr="002E59CB">
        <w:rPr>
          <w:rFonts w:ascii="Palatino Linotype" w:hAnsi="Palatino Linotype"/>
          <w:bCs/>
        </w:rPr>
        <w:lastRenderedPageBreak/>
        <w:t xml:space="preserve">The agency of lustration is not merely the outcome of decisions but an ability to act and reproduce power. Without doubt lustration’s power, source and effect are obvious but the legitimacy of enacting law is highly contingent upon the performance of legal enactment. </w:t>
      </w:r>
      <w:r w:rsidR="00CF4316">
        <w:rPr>
          <w:rFonts w:ascii="Palatino Linotype" w:hAnsi="Palatino Linotype"/>
          <w:bCs/>
        </w:rPr>
        <w:t>Lustration</w:t>
      </w:r>
      <w:r w:rsidR="00206939">
        <w:rPr>
          <w:rFonts w:ascii="Palatino Linotype" w:hAnsi="Palatino Linotype"/>
          <w:bCs/>
        </w:rPr>
        <w:t xml:space="preserve"> can be understood as part of the </w:t>
      </w:r>
      <w:r w:rsidRPr="002E59CB">
        <w:rPr>
          <w:rFonts w:ascii="Palatino Linotype" w:hAnsi="Palatino Linotype"/>
          <w:bCs/>
        </w:rPr>
        <w:t xml:space="preserve">hegemony of </w:t>
      </w:r>
      <w:r w:rsidR="00206939">
        <w:rPr>
          <w:rFonts w:ascii="Palatino Linotype" w:hAnsi="Palatino Linotype"/>
          <w:bCs/>
        </w:rPr>
        <w:t xml:space="preserve">invasion and post-invasion </w:t>
      </w:r>
      <w:r w:rsidRPr="002E59CB">
        <w:rPr>
          <w:rFonts w:ascii="Palatino Linotype" w:hAnsi="Palatino Linotype"/>
          <w:bCs/>
        </w:rPr>
        <w:t xml:space="preserve">regulatory form </w:t>
      </w:r>
      <w:r w:rsidR="00206939">
        <w:rPr>
          <w:rFonts w:ascii="Palatino Linotype" w:hAnsi="Palatino Linotype"/>
          <w:bCs/>
        </w:rPr>
        <w:t xml:space="preserve">through </w:t>
      </w:r>
      <w:r w:rsidRPr="002E59CB">
        <w:rPr>
          <w:rFonts w:ascii="Palatino Linotype" w:hAnsi="Palatino Linotype"/>
          <w:bCs/>
        </w:rPr>
        <w:t xml:space="preserve">classification </w:t>
      </w:r>
      <w:r w:rsidR="00206939">
        <w:rPr>
          <w:rFonts w:ascii="Palatino Linotype" w:hAnsi="Palatino Linotype"/>
          <w:bCs/>
        </w:rPr>
        <w:t xml:space="preserve">of </w:t>
      </w:r>
      <w:proofErr w:type="spellStart"/>
      <w:r w:rsidR="00206939">
        <w:rPr>
          <w:rFonts w:ascii="Palatino Linotype" w:hAnsi="Palatino Linotype"/>
          <w:bCs/>
        </w:rPr>
        <w:t>of</w:t>
      </w:r>
      <w:proofErr w:type="spellEnd"/>
      <w:r w:rsidR="00206939">
        <w:rPr>
          <w:rFonts w:ascii="Palatino Linotype" w:hAnsi="Palatino Linotype"/>
          <w:bCs/>
        </w:rPr>
        <w:t xml:space="preserve"> those ‘beyond’.  Those </w:t>
      </w:r>
      <w:r w:rsidR="00CF4316">
        <w:rPr>
          <w:rFonts w:ascii="Palatino Linotype" w:hAnsi="Palatino Linotype"/>
          <w:bCs/>
        </w:rPr>
        <w:t xml:space="preserve">‘beyond’ were the target of the intention of invasion </w:t>
      </w:r>
      <w:r w:rsidR="00206939">
        <w:rPr>
          <w:rFonts w:ascii="Palatino Linotype" w:hAnsi="Palatino Linotype"/>
          <w:bCs/>
        </w:rPr>
        <w:t xml:space="preserve">and the actors of regime changes </w:t>
      </w:r>
      <w:r w:rsidR="00CF4316">
        <w:rPr>
          <w:rFonts w:ascii="Palatino Linotype" w:hAnsi="Palatino Linotype"/>
          <w:bCs/>
        </w:rPr>
        <w:t xml:space="preserve">through the </w:t>
      </w:r>
      <w:r w:rsidR="003D05AB">
        <w:rPr>
          <w:rFonts w:ascii="Palatino Linotype" w:hAnsi="Palatino Linotype"/>
          <w:bCs/>
        </w:rPr>
        <w:t>legalization</w:t>
      </w:r>
      <w:r w:rsidR="00206939">
        <w:rPr>
          <w:rFonts w:ascii="Palatino Linotype" w:hAnsi="Palatino Linotype"/>
          <w:bCs/>
        </w:rPr>
        <w:t xml:space="preserve"> of </w:t>
      </w:r>
      <w:r w:rsidRPr="002E59CB">
        <w:rPr>
          <w:rFonts w:ascii="Palatino Linotype" w:hAnsi="Palatino Linotype"/>
          <w:bCs/>
        </w:rPr>
        <w:t>“the monopoly of the legitimate use of physical and symbolic violence…’ (</w:t>
      </w:r>
      <w:r w:rsidRPr="007864BE">
        <w:rPr>
          <w:rFonts w:ascii="Palatino Linotype" w:hAnsi="Palatino Linotype"/>
          <w:bCs/>
        </w:rPr>
        <w:t>B</w:t>
      </w:r>
      <w:r w:rsidR="007864BE" w:rsidRPr="007864BE">
        <w:rPr>
          <w:rFonts w:ascii="Palatino Linotype" w:hAnsi="Palatino Linotype"/>
          <w:bCs/>
        </w:rPr>
        <w:t>ourdieu, 1990</w:t>
      </w:r>
      <w:r w:rsidR="00D051C8" w:rsidRPr="007864BE">
        <w:rPr>
          <w:rFonts w:ascii="Palatino Linotype" w:hAnsi="Palatino Linotype"/>
          <w:bCs/>
        </w:rPr>
        <w:t>:</w:t>
      </w:r>
      <w:r w:rsidRPr="007864BE">
        <w:rPr>
          <w:rFonts w:ascii="Palatino Linotype" w:hAnsi="Palatino Linotype"/>
          <w:bCs/>
        </w:rPr>
        <w:t xml:space="preserve"> 40). </w:t>
      </w:r>
    </w:p>
    <w:p w14:paraId="654852BB" w14:textId="77777777" w:rsidR="002E59CB" w:rsidRDefault="002E59CB" w:rsidP="00EB2B4A">
      <w:pPr>
        <w:ind w:right="-7"/>
        <w:jc w:val="both"/>
        <w:rPr>
          <w:rFonts w:ascii="Palatino Linotype" w:hAnsi="Palatino Linotype"/>
          <w:bCs/>
        </w:rPr>
      </w:pPr>
    </w:p>
    <w:p w14:paraId="229AC32D" w14:textId="77777777" w:rsidR="006F5804" w:rsidRDefault="00A21889" w:rsidP="00A21889">
      <w:pPr>
        <w:autoSpaceDE w:val="0"/>
        <w:autoSpaceDN w:val="0"/>
        <w:adjustRightInd w:val="0"/>
        <w:jc w:val="both"/>
        <w:rPr>
          <w:rFonts w:ascii="Palatino Linotype" w:hAnsi="Palatino Linotype"/>
          <w:bCs/>
        </w:rPr>
      </w:pPr>
      <w:r w:rsidRPr="00A21889">
        <w:rPr>
          <w:rFonts w:ascii="Palatino Linotype" w:hAnsi="Palatino Linotype"/>
          <w:bCs/>
        </w:rPr>
        <w:t xml:space="preserve">Analysis discloses the inherent weakness of lustration in Iraq regarding construction, regulatory over-capacity, socio-symbolic interpretation, experiential </w:t>
      </w:r>
      <w:proofErr w:type="gramStart"/>
      <w:r w:rsidRPr="00A21889">
        <w:rPr>
          <w:rFonts w:ascii="Palatino Linotype" w:hAnsi="Palatino Linotype"/>
          <w:bCs/>
        </w:rPr>
        <w:t>meaning</w:t>
      </w:r>
      <w:proofErr w:type="gramEnd"/>
      <w:r w:rsidRPr="00A21889">
        <w:rPr>
          <w:rFonts w:ascii="Palatino Linotype" w:hAnsi="Palatino Linotype"/>
          <w:bCs/>
        </w:rPr>
        <w:t xml:space="preserve"> and the disjointed relations of power circulation. It functioned as a process through which global and then domestic agent’s subverted consensus, transparency and the legal and normative neutrality required for equitable public sector reproduction. This pinpoints how lustration systems, even those that are less harmful, cannot be interpreted as mere legal processes but as relations of power, situated context, interpretive meaning, consensus inhibition, purposeful distortion, rhetoric, the safeguarding of status and ultimately ejection from public space. </w:t>
      </w:r>
      <w:r>
        <w:rPr>
          <w:rFonts w:ascii="Palatino Linotype" w:hAnsi="Palatino Linotype"/>
          <w:bCs/>
        </w:rPr>
        <w:t>L</w:t>
      </w:r>
      <w:r w:rsidR="00CF4316">
        <w:rPr>
          <w:rFonts w:ascii="Palatino Linotype" w:hAnsi="Palatino Linotype"/>
          <w:bCs/>
        </w:rPr>
        <w:t>ustration</w:t>
      </w:r>
      <w:r>
        <w:rPr>
          <w:rFonts w:ascii="Palatino Linotype" w:hAnsi="Palatino Linotype"/>
          <w:bCs/>
        </w:rPr>
        <w:t xml:space="preserve"> </w:t>
      </w:r>
      <w:r w:rsidRPr="00A21889">
        <w:rPr>
          <w:rFonts w:ascii="Palatino Linotype" w:hAnsi="Palatino Linotype"/>
          <w:bCs/>
        </w:rPr>
        <w:t>in controlling public resources maintains the authority to do so, is habituated by the need to maintain such capacity and achieves legitimization ‘only by virtue of violence directed towards a space’ (</w:t>
      </w:r>
      <w:r w:rsidR="00D051C8" w:rsidRPr="007864BE">
        <w:rPr>
          <w:rFonts w:ascii="Palatino Linotype" w:hAnsi="Palatino Linotype"/>
          <w:bCs/>
        </w:rPr>
        <w:t>Lefebvre, 197</w:t>
      </w:r>
      <w:r w:rsidR="006E3963" w:rsidRPr="007864BE">
        <w:rPr>
          <w:rFonts w:ascii="Palatino Linotype" w:hAnsi="Palatino Linotype"/>
          <w:bCs/>
        </w:rPr>
        <w:t>2</w:t>
      </w:r>
      <w:r w:rsidRPr="007864BE">
        <w:rPr>
          <w:rFonts w:ascii="Palatino Linotype" w:hAnsi="Palatino Linotype"/>
          <w:bCs/>
        </w:rPr>
        <w:t>: 322).</w:t>
      </w:r>
    </w:p>
    <w:p w14:paraId="263E56C3" w14:textId="77777777" w:rsidR="00A21889" w:rsidRDefault="00A21889" w:rsidP="00A21889">
      <w:pPr>
        <w:autoSpaceDE w:val="0"/>
        <w:autoSpaceDN w:val="0"/>
        <w:adjustRightInd w:val="0"/>
        <w:jc w:val="both"/>
        <w:rPr>
          <w:rFonts w:ascii="Palatino Linotype" w:hAnsi="Palatino Linotype"/>
          <w:bCs/>
        </w:rPr>
      </w:pPr>
    </w:p>
    <w:p w14:paraId="40934045" w14:textId="77777777" w:rsidR="00E371FB" w:rsidRDefault="00E371FB" w:rsidP="00354548">
      <w:pPr>
        <w:jc w:val="both"/>
        <w:rPr>
          <w:rFonts w:ascii="Palatino Linotype" w:hAnsi="Palatino Linotype"/>
        </w:rPr>
      </w:pPr>
      <w:r w:rsidRPr="00E371FB">
        <w:rPr>
          <w:rFonts w:ascii="Palatino Linotype" w:hAnsi="Palatino Linotype"/>
        </w:rPr>
        <w:t>Bibliography</w:t>
      </w:r>
    </w:p>
    <w:p w14:paraId="6C157134" w14:textId="77777777" w:rsidR="00314673" w:rsidRPr="00314673" w:rsidRDefault="00314673" w:rsidP="00314673">
      <w:pPr>
        <w:jc w:val="both"/>
        <w:rPr>
          <w:rFonts w:ascii="Palatino Linotype" w:hAnsi="Palatino Linotype"/>
          <w:bCs/>
          <w:color w:val="FF0000"/>
        </w:rPr>
      </w:pPr>
    </w:p>
    <w:p w14:paraId="0DA4C570" w14:textId="77777777"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Al-Ali Z (2014) </w:t>
      </w:r>
      <w:r w:rsidRPr="00C651C9">
        <w:rPr>
          <w:rFonts w:ascii="Palatino Linotype" w:hAnsi="Palatino Linotype"/>
          <w:i/>
        </w:rPr>
        <w:t>The struggle for Iraq's future: how corruption, incompetence and sectarianism have undermined democracy</w:t>
      </w:r>
      <w:r w:rsidRPr="00C651C9">
        <w:rPr>
          <w:rFonts w:ascii="Palatino Linotype" w:hAnsi="Palatino Linotype"/>
        </w:rPr>
        <w:t>. Yale: Yale University Press.</w:t>
      </w:r>
    </w:p>
    <w:p w14:paraId="053722BF" w14:textId="14C15CF3" w:rsidR="00E371FB" w:rsidRPr="00C651C9" w:rsidRDefault="00E371FB" w:rsidP="005D0BC8">
      <w:pPr>
        <w:autoSpaceDE w:val="0"/>
        <w:autoSpaceDN w:val="0"/>
        <w:adjustRightInd w:val="0"/>
        <w:spacing w:after="120"/>
        <w:jc w:val="both"/>
        <w:rPr>
          <w:rFonts w:ascii="Palatino Linotype" w:hAnsi="Palatino Linotype"/>
          <w:bCs/>
        </w:rPr>
      </w:pPr>
      <w:proofErr w:type="spellStart"/>
      <w:r w:rsidRPr="00C651C9">
        <w:rPr>
          <w:rFonts w:ascii="Palatino Linotype" w:hAnsi="Palatino Linotype"/>
          <w:bCs/>
        </w:rPr>
        <w:t>Arato</w:t>
      </w:r>
      <w:proofErr w:type="spellEnd"/>
      <w:r w:rsidRPr="00C651C9">
        <w:rPr>
          <w:rFonts w:ascii="Palatino Linotype" w:hAnsi="Palatino Linotype"/>
          <w:bCs/>
        </w:rPr>
        <w:t xml:space="preserve"> A (2009) </w:t>
      </w:r>
      <w:r w:rsidRPr="00C651C9">
        <w:rPr>
          <w:rFonts w:ascii="Palatino Linotype" w:hAnsi="Palatino Linotype"/>
          <w:bCs/>
          <w:i/>
        </w:rPr>
        <w:t>Constitution Making under Occupation: The Politics of Imposed Revolution in Iraq</w:t>
      </w:r>
      <w:r w:rsidRPr="00C651C9">
        <w:rPr>
          <w:rFonts w:ascii="Palatino Linotype" w:hAnsi="Palatino Linotype"/>
          <w:bCs/>
        </w:rPr>
        <w:t xml:space="preserve">. New York: Columbia University Press. </w:t>
      </w:r>
    </w:p>
    <w:p w14:paraId="2F3CB0AF" w14:textId="77777777"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Bourdieu P (1990) </w:t>
      </w:r>
      <w:r w:rsidRPr="00C651C9">
        <w:rPr>
          <w:rFonts w:ascii="Palatino Linotype" w:hAnsi="Palatino Linotype"/>
          <w:i/>
        </w:rPr>
        <w:t>The Logic of Practice</w:t>
      </w:r>
      <w:r w:rsidRPr="00C651C9">
        <w:rPr>
          <w:rFonts w:ascii="Palatino Linotype" w:hAnsi="Palatino Linotype"/>
        </w:rPr>
        <w:t>. Stanford: Stanford University Press.</w:t>
      </w:r>
    </w:p>
    <w:p w14:paraId="4653055C" w14:textId="77777777" w:rsidR="00E371FB" w:rsidRPr="00C651C9"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 xml:space="preserve">Bourdieu P, Wacquant L (1992) </w:t>
      </w:r>
      <w:r w:rsidRPr="00C651C9">
        <w:rPr>
          <w:rFonts w:ascii="Palatino Linotype" w:hAnsi="Palatino Linotype"/>
          <w:bCs/>
          <w:i/>
        </w:rPr>
        <w:t>An Invitation to Reflexive Sociology</w:t>
      </w:r>
      <w:r w:rsidRPr="00C651C9">
        <w:rPr>
          <w:rFonts w:ascii="Palatino Linotype" w:hAnsi="Palatino Linotype"/>
          <w:bCs/>
        </w:rPr>
        <w:t>. University of Chicago Press, Chicago.</w:t>
      </w:r>
    </w:p>
    <w:p w14:paraId="27C43E42" w14:textId="70C483D2" w:rsidR="00E371FB" w:rsidRPr="00C651C9" w:rsidRDefault="00732B09" w:rsidP="005D0BC8">
      <w:pPr>
        <w:spacing w:after="120"/>
        <w:jc w:val="both"/>
        <w:rPr>
          <w:rFonts w:ascii="Palatino Linotype" w:hAnsi="Palatino Linotype"/>
        </w:rPr>
      </w:pPr>
      <w:r>
        <w:rPr>
          <w:rFonts w:ascii="Palatino Linotype" w:hAnsi="Palatino Linotype"/>
        </w:rPr>
        <w:t>Brinkerhoff D and</w:t>
      </w:r>
      <w:r w:rsidR="00E371FB" w:rsidRPr="00C651C9">
        <w:rPr>
          <w:rFonts w:ascii="Palatino Linotype" w:hAnsi="Palatino Linotype"/>
        </w:rPr>
        <w:t xml:space="preserve"> Mayfield J (2005) Democratic governance in Iraq? Progress and peril in re</w:t>
      </w:r>
      <w:r>
        <w:rPr>
          <w:rFonts w:ascii="Palatino Linotype" w:hAnsi="Palatino Linotype"/>
        </w:rPr>
        <w:t>forming state-society relations</w:t>
      </w:r>
      <w:r w:rsidR="00E371FB" w:rsidRPr="00C651C9">
        <w:rPr>
          <w:rFonts w:ascii="Palatino Linotype" w:hAnsi="Palatino Linotype"/>
        </w:rPr>
        <w:t>.</w:t>
      </w:r>
      <w:r>
        <w:rPr>
          <w:rFonts w:ascii="Palatino Linotype" w:hAnsi="Palatino Linotype"/>
        </w:rPr>
        <w:t xml:space="preserve"> </w:t>
      </w:r>
      <w:r w:rsidR="00E371FB" w:rsidRPr="00C651C9">
        <w:rPr>
          <w:rFonts w:ascii="Palatino Linotype" w:hAnsi="Palatino Linotype"/>
          <w:i/>
        </w:rPr>
        <w:t>Public Administration and Development</w:t>
      </w:r>
      <w:r w:rsidR="00E371FB" w:rsidRPr="00C651C9">
        <w:rPr>
          <w:rFonts w:ascii="Palatino Linotype" w:hAnsi="Palatino Linotype"/>
        </w:rPr>
        <w:t xml:space="preserve"> 25</w:t>
      </w:r>
      <w:r>
        <w:rPr>
          <w:rFonts w:ascii="Palatino Linotype" w:hAnsi="Palatino Linotype"/>
        </w:rPr>
        <w:t>(1)</w:t>
      </w:r>
      <w:r w:rsidR="00917A35">
        <w:rPr>
          <w:rFonts w:ascii="Palatino Linotype" w:hAnsi="Palatino Linotype"/>
        </w:rPr>
        <w:t>:</w:t>
      </w:r>
      <w:r w:rsidR="00E371FB" w:rsidRPr="00C651C9">
        <w:rPr>
          <w:rFonts w:ascii="Palatino Linotype" w:hAnsi="Palatino Linotype"/>
        </w:rPr>
        <w:t xml:space="preserve"> 59–73.</w:t>
      </w:r>
    </w:p>
    <w:p w14:paraId="2F127DB4" w14:textId="77777777" w:rsidR="00E371FB" w:rsidRPr="00C651C9"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 xml:space="preserve">Chandrasekaran R (2006) </w:t>
      </w:r>
      <w:r w:rsidRPr="00C651C9">
        <w:rPr>
          <w:rFonts w:ascii="Palatino Linotype" w:hAnsi="Palatino Linotype"/>
          <w:bCs/>
          <w:i/>
        </w:rPr>
        <w:t>Imperial Life in the Emerald City: Inside Iraq’s Green Zone</w:t>
      </w:r>
      <w:r w:rsidRPr="00C651C9">
        <w:rPr>
          <w:rFonts w:ascii="Palatino Linotype" w:hAnsi="Palatino Linotype"/>
          <w:bCs/>
        </w:rPr>
        <w:t xml:space="preserve">’. New York: Vintage </w:t>
      </w:r>
      <w:r w:rsidR="005B29AC">
        <w:rPr>
          <w:rFonts w:ascii="Palatino Linotype" w:hAnsi="Palatino Linotype"/>
          <w:bCs/>
        </w:rPr>
        <w:t>Books</w:t>
      </w:r>
      <w:r w:rsidRPr="00C651C9">
        <w:rPr>
          <w:rFonts w:ascii="Palatino Linotype" w:hAnsi="Palatino Linotype"/>
          <w:bCs/>
        </w:rPr>
        <w:t>.</w:t>
      </w:r>
    </w:p>
    <w:p w14:paraId="736D2B98" w14:textId="45AFF089" w:rsidR="00E371FB" w:rsidRPr="00C651C9"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 xml:space="preserve">Chiu Y (2011) </w:t>
      </w:r>
      <w:r w:rsidR="00732B09">
        <w:rPr>
          <w:rFonts w:ascii="Palatino Linotype" w:hAnsi="Palatino Linotype"/>
          <w:bCs/>
        </w:rPr>
        <w:t>Liberal Lustration</w:t>
      </w:r>
      <w:r w:rsidRPr="00C651C9">
        <w:rPr>
          <w:rFonts w:ascii="Palatino Linotype" w:hAnsi="Palatino Linotype"/>
          <w:bCs/>
        </w:rPr>
        <w:t>.</w:t>
      </w:r>
      <w:r w:rsidR="00732B09">
        <w:rPr>
          <w:rFonts w:ascii="Palatino Linotype" w:hAnsi="Palatino Linotype"/>
          <w:bCs/>
        </w:rPr>
        <w:t xml:space="preserve"> </w:t>
      </w:r>
      <w:r w:rsidRPr="00C651C9">
        <w:rPr>
          <w:rFonts w:ascii="Palatino Linotype" w:hAnsi="Palatino Linotype"/>
          <w:bCs/>
          <w:i/>
        </w:rPr>
        <w:t>Journal of Political Philosophy</w:t>
      </w:r>
      <w:r w:rsidRPr="00C651C9">
        <w:rPr>
          <w:rFonts w:ascii="Palatino Linotype" w:hAnsi="Palatino Linotype"/>
          <w:bCs/>
        </w:rPr>
        <w:t xml:space="preserve"> 19</w:t>
      </w:r>
      <w:r w:rsidR="00732B09">
        <w:rPr>
          <w:rFonts w:ascii="Palatino Linotype" w:hAnsi="Palatino Linotype"/>
          <w:bCs/>
        </w:rPr>
        <w:t>(4):</w:t>
      </w:r>
      <w:r w:rsidRPr="00C651C9">
        <w:rPr>
          <w:rFonts w:ascii="Palatino Linotype" w:hAnsi="Palatino Linotype"/>
          <w:bCs/>
        </w:rPr>
        <w:t xml:space="preserve"> 440-464.</w:t>
      </w:r>
    </w:p>
    <w:p w14:paraId="3E2E51D1" w14:textId="77777777" w:rsidR="00E371FB" w:rsidRPr="00C651C9" w:rsidRDefault="00E371FB" w:rsidP="005D0BC8">
      <w:pPr>
        <w:autoSpaceDE w:val="0"/>
        <w:autoSpaceDN w:val="0"/>
        <w:adjustRightInd w:val="0"/>
        <w:spacing w:after="120"/>
        <w:rPr>
          <w:rFonts w:ascii="Palatino Linotype" w:hAnsi="Palatino Linotype"/>
          <w:bCs/>
        </w:rPr>
      </w:pPr>
      <w:r w:rsidRPr="00C651C9">
        <w:rPr>
          <w:rFonts w:ascii="Palatino Linotype" w:hAnsi="Palatino Linotype"/>
          <w:bCs/>
        </w:rPr>
        <w:lastRenderedPageBreak/>
        <w:t xml:space="preserve">Coalition Provisional Authority </w:t>
      </w:r>
      <w:r w:rsidR="00732B09">
        <w:rPr>
          <w:rFonts w:ascii="Palatino Linotype" w:hAnsi="Palatino Linotype"/>
          <w:bCs/>
        </w:rPr>
        <w:t>(</w:t>
      </w:r>
      <w:r w:rsidRPr="00C651C9">
        <w:rPr>
          <w:rFonts w:ascii="Palatino Linotype" w:hAnsi="Palatino Linotype"/>
          <w:bCs/>
        </w:rPr>
        <w:t>2003</w:t>
      </w:r>
      <w:r w:rsidR="00732B09">
        <w:rPr>
          <w:rFonts w:ascii="Palatino Linotype" w:hAnsi="Palatino Linotype"/>
          <w:bCs/>
        </w:rPr>
        <w:t>)</w:t>
      </w:r>
      <w:r w:rsidRPr="00C651C9">
        <w:rPr>
          <w:rFonts w:ascii="Palatino Linotype" w:hAnsi="Palatino Linotype"/>
          <w:bCs/>
        </w:rPr>
        <w:t xml:space="preserve"> Delegation of Authority Under De-Baathification Order No 1. </w:t>
      </w:r>
      <w:r w:rsidR="00732B09">
        <w:rPr>
          <w:rFonts w:ascii="Palatino Linotype" w:hAnsi="Palatino Linotype"/>
          <w:bCs/>
        </w:rPr>
        <w:t xml:space="preserve">Available at: </w:t>
      </w:r>
      <w:hyperlink r:id="rId16" w:history="1">
        <w:r w:rsidR="00732B09" w:rsidRPr="0042032B">
          <w:rPr>
            <w:rStyle w:val="Hyperlink"/>
            <w:rFonts w:ascii="Palatino Linotype" w:hAnsi="Palatino Linotype"/>
            <w:bCs/>
          </w:rPr>
          <w:t>https://en.wikisource.org/wiki/Mem_7:_Delegation_of_Authority_Under_De-Baathification_Order_No_1</w:t>
        </w:r>
      </w:hyperlink>
      <w:r w:rsidR="00732B09">
        <w:rPr>
          <w:rFonts w:ascii="Palatino Linotype" w:hAnsi="Palatino Linotype"/>
          <w:bCs/>
        </w:rPr>
        <w:t xml:space="preserve"> </w:t>
      </w:r>
      <w:r w:rsidRPr="00C651C9">
        <w:rPr>
          <w:rFonts w:ascii="Palatino Linotype" w:hAnsi="Palatino Linotype"/>
          <w:bCs/>
        </w:rPr>
        <w:t>(</w:t>
      </w:r>
      <w:r w:rsidR="00732B09">
        <w:rPr>
          <w:rFonts w:ascii="Palatino Linotype" w:hAnsi="Palatino Linotype"/>
          <w:bCs/>
        </w:rPr>
        <w:t xml:space="preserve">accessed 1 January </w:t>
      </w:r>
      <w:r w:rsidRPr="00C651C9">
        <w:rPr>
          <w:rFonts w:ascii="Palatino Linotype" w:hAnsi="Palatino Linotype"/>
          <w:bCs/>
        </w:rPr>
        <w:t>2017)</w:t>
      </w:r>
      <w:r w:rsidR="00732B09">
        <w:rPr>
          <w:rFonts w:ascii="Palatino Linotype" w:hAnsi="Palatino Linotype"/>
          <w:bCs/>
        </w:rPr>
        <w:t>.</w:t>
      </w:r>
    </w:p>
    <w:p w14:paraId="12059279" w14:textId="77777777" w:rsidR="005D0BC8" w:rsidRPr="005D0BC8" w:rsidRDefault="005D0BC8" w:rsidP="005D0BC8">
      <w:pPr>
        <w:autoSpaceDE w:val="0"/>
        <w:autoSpaceDN w:val="0"/>
        <w:adjustRightInd w:val="0"/>
        <w:spacing w:after="120"/>
        <w:jc w:val="both"/>
        <w:rPr>
          <w:rFonts w:ascii="Palatino Linotype" w:hAnsi="Palatino Linotype"/>
          <w:bCs/>
        </w:rPr>
      </w:pPr>
      <w:proofErr w:type="spellStart"/>
      <w:r w:rsidRPr="005D0BC8">
        <w:rPr>
          <w:rFonts w:ascii="Palatino Linotype" w:hAnsi="Palatino Linotype"/>
          <w:bCs/>
        </w:rPr>
        <w:t>Comaroff</w:t>
      </w:r>
      <w:proofErr w:type="spellEnd"/>
      <w:r w:rsidRPr="005D0BC8">
        <w:rPr>
          <w:rFonts w:ascii="Palatino Linotype" w:hAnsi="Palatino Linotype"/>
          <w:bCs/>
        </w:rPr>
        <w:t xml:space="preserve"> JL and </w:t>
      </w:r>
      <w:proofErr w:type="spellStart"/>
      <w:r w:rsidRPr="005D0BC8">
        <w:rPr>
          <w:rFonts w:ascii="Palatino Linotype" w:hAnsi="Palatino Linotype"/>
          <w:bCs/>
        </w:rPr>
        <w:t>Comaroff</w:t>
      </w:r>
      <w:proofErr w:type="spellEnd"/>
      <w:r w:rsidRPr="005D0BC8">
        <w:rPr>
          <w:rFonts w:ascii="Palatino Linotype" w:hAnsi="Palatino Linotype"/>
          <w:bCs/>
        </w:rPr>
        <w:t xml:space="preserve"> J (2006). Law and Disorder in the </w:t>
      </w:r>
      <w:proofErr w:type="spellStart"/>
      <w:r w:rsidRPr="005D0BC8">
        <w:rPr>
          <w:rFonts w:ascii="Palatino Linotype" w:hAnsi="Palatino Linotype"/>
          <w:bCs/>
        </w:rPr>
        <w:t>Postcolony</w:t>
      </w:r>
      <w:proofErr w:type="spellEnd"/>
      <w:r w:rsidRPr="005D0BC8">
        <w:rPr>
          <w:rFonts w:ascii="Palatino Linotype" w:hAnsi="Palatino Linotype"/>
          <w:bCs/>
        </w:rPr>
        <w:t xml:space="preserve">: An Introduction In: </w:t>
      </w:r>
      <w:proofErr w:type="spellStart"/>
      <w:r w:rsidRPr="005D0BC8">
        <w:rPr>
          <w:rFonts w:ascii="Palatino Linotype" w:hAnsi="Palatino Linotype"/>
          <w:bCs/>
        </w:rPr>
        <w:t>Comaroff</w:t>
      </w:r>
      <w:proofErr w:type="spellEnd"/>
      <w:r w:rsidRPr="005D0BC8">
        <w:rPr>
          <w:rFonts w:ascii="Palatino Linotype" w:hAnsi="Palatino Linotype"/>
          <w:bCs/>
        </w:rPr>
        <w:t xml:space="preserve"> J and </w:t>
      </w:r>
      <w:proofErr w:type="spellStart"/>
      <w:r w:rsidRPr="005D0BC8">
        <w:rPr>
          <w:rFonts w:ascii="Palatino Linotype" w:hAnsi="Palatino Linotype"/>
          <w:bCs/>
        </w:rPr>
        <w:t>Comaroff</w:t>
      </w:r>
      <w:proofErr w:type="spellEnd"/>
      <w:r w:rsidRPr="005D0BC8">
        <w:rPr>
          <w:rFonts w:ascii="Palatino Linotype" w:hAnsi="Palatino Linotype"/>
          <w:bCs/>
        </w:rPr>
        <w:t xml:space="preserve"> JL (eds) Law </w:t>
      </w:r>
      <w:r w:rsidRPr="005D0BC8">
        <w:rPr>
          <w:rFonts w:ascii="Palatino Linotype" w:hAnsi="Palatino Linotype"/>
          <w:bCs/>
          <w:i/>
        </w:rPr>
        <w:t xml:space="preserve">and disorder in the </w:t>
      </w:r>
      <w:proofErr w:type="spellStart"/>
      <w:r w:rsidRPr="005D0BC8">
        <w:rPr>
          <w:rFonts w:ascii="Palatino Linotype" w:hAnsi="Palatino Linotype"/>
          <w:bCs/>
          <w:i/>
        </w:rPr>
        <w:t>postcolony</w:t>
      </w:r>
      <w:proofErr w:type="spellEnd"/>
      <w:r w:rsidRPr="005D0BC8">
        <w:rPr>
          <w:rFonts w:ascii="Palatino Linotype" w:hAnsi="Palatino Linotype"/>
          <w:bCs/>
        </w:rPr>
        <w:t>. Chicago: University of Chicago Press, pp 1-56.</w:t>
      </w:r>
    </w:p>
    <w:p w14:paraId="7AD0F3BC" w14:textId="77777777" w:rsidR="00E371FB" w:rsidRPr="00C651C9" w:rsidRDefault="00732B09" w:rsidP="005D0BC8">
      <w:pPr>
        <w:autoSpaceDE w:val="0"/>
        <w:autoSpaceDN w:val="0"/>
        <w:adjustRightInd w:val="0"/>
        <w:spacing w:after="120"/>
        <w:jc w:val="both"/>
        <w:rPr>
          <w:rFonts w:ascii="Palatino Linotype" w:hAnsi="Palatino Linotype"/>
          <w:bCs/>
        </w:rPr>
      </w:pPr>
      <w:r>
        <w:rPr>
          <w:rFonts w:ascii="Palatino Linotype" w:hAnsi="Palatino Linotype"/>
          <w:bCs/>
        </w:rPr>
        <w:t xml:space="preserve">Daly E (2014) </w:t>
      </w:r>
      <w:r w:rsidR="00E371FB" w:rsidRPr="00C651C9">
        <w:rPr>
          <w:rFonts w:ascii="Palatino Linotype" w:hAnsi="Palatino Linotype"/>
          <w:bCs/>
        </w:rPr>
        <w:t>Transitional Justice</w:t>
      </w:r>
      <w:r>
        <w:rPr>
          <w:rFonts w:ascii="Palatino Linotype" w:hAnsi="Palatino Linotype"/>
          <w:bCs/>
        </w:rPr>
        <w:t xml:space="preserve"> in Iraq: Learning the Hard Way</w:t>
      </w:r>
      <w:r w:rsidR="00E371FB" w:rsidRPr="00C651C9">
        <w:rPr>
          <w:rFonts w:ascii="Palatino Linotype" w:hAnsi="Palatino Linotype"/>
          <w:bCs/>
        </w:rPr>
        <w:t xml:space="preserve">. </w:t>
      </w:r>
      <w:r w:rsidR="00E371FB" w:rsidRPr="00C651C9">
        <w:rPr>
          <w:rFonts w:ascii="Palatino Linotype" w:hAnsi="Palatino Linotype"/>
          <w:bCs/>
          <w:i/>
        </w:rPr>
        <w:t>Israel Law Review</w:t>
      </w:r>
      <w:r w:rsidR="00E371FB" w:rsidRPr="00C651C9">
        <w:rPr>
          <w:rFonts w:ascii="Palatino Linotype" w:hAnsi="Palatino Linotype"/>
          <w:bCs/>
        </w:rPr>
        <w:t xml:space="preserve"> 47</w:t>
      </w:r>
      <w:r>
        <w:rPr>
          <w:rFonts w:ascii="Palatino Linotype" w:hAnsi="Palatino Linotype"/>
          <w:bCs/>
        </w:rPr>
        <w:t xml:space="preserve"> (1):</w:t>
      </w:r>
      <w:r w:rsidR="00E371FB" w:rsidRPr="00C651C9">
        <w:rPr>
          <w:rFonts w:ascii="Palatino Linotype" w:hAnsi="Palatino Linotype"/>
          <w:bCs/>
        </w:rPr>
        <w:t xml:space="preserve"> 63-83</w:t>
      </w:r>
      <w:r>
        <w:rPr>
          <w:rFonts w:ascii="Palatino Linotype" w:hAnsi="Palatino Linotype"/>
          <w:bCs/>
        </w:rPr>
        <w:t>.</w:t>
      </w:r>
    </w:p>
    <w:p w14:paraId="3D2373F3" w14:textId="6E70C67D" w:rsidR="005D0BC8" w:rsidRPr="005D0BC8" w:rsidRDefault="005D0BC8" w:rsidP="005D0BC8">
      <w:pPr>
        <w:spacing w:after="120"/>
        <w:jc w:val="both"/>
        <w:rPr>
          <w:rFonts w:ascii="Palatino Linotype" w:hAnsi="Palatino Linotype"/>
          <w:bCs/>
        </w:rPr>
      </w:pPr>
      <w:proofErr w:type="spellStart"/>
      <w:r w:rsidRPr="005D0BC8">
        <w:rPr>
          <w:rFonts w:ascii="Palatino Linotype" w:hAnsi="Palatino Linotype"/>
          <w:bCs/>
        </w:rPr>
        <w:t>D’Arcus</w:t>
      </w:r>
      <w:proofErr w:type="spellEnd"/>
      <w:r w:rsidRPr="005D0BC8">
        <w:rPr>
          <w:rFonts w:ascii="Palatino Linotype" w:hAnsi="Palatino Linotype"/>
          <w:bCs/>
        </w:rPr>
        <w:t xml:space="preserve"> B (2014) Extraordinary rendition, </w:t>
      </w:r>
      <w:proofErr w:type="gramStart"/>
      <w:r w:rsidRPr="005D0BC8">
        <w:rPr>
          <w:rFonts w:ascii="Palatino Linotype" w:hAnsi="Palatino Linotype"/>
          <w:bCs/>
        </w:rPr>
        <w:t>law</w:t>
      </w:r>
      <w:proofErr w:type="gramEnd"/>
      <w:r w:rsidRPr="005D0BC8">
        <w:rPr>
          <w:rFonts w:ascii="Palatino Linotype" w:hAnsi="Palatino Linotype"/>
          <w:bCs/>
        </w:rPr>
        <w:t xml:space="preserve"> and the spatial architecture of rights.</w:t>
      </w:r>
      <w:r w:rsidR="00732B09">
        <w:rPr>
          <w:rFonts w:ascii="Palatino Linotype" w:hAnsi="Palatino Linotype"/>
          <w:bCs/>
        </w:rPr>
        <w:t xml:space="preserve"> </w:t>
      </w:r>
      <w:r w:rsidRPr="005D0BC8">
        <w:rPr>
          <w:rFonts w:ascii="Palatino Linotype" w:hAnsi="Palatino Linotype"/>
          <w:bCs/>
          <w:i/>
        </w:rPr>
        <w:t>ACME: An International E-Journal for Critical Geographies</w:t>
      </w:r>
      <w:r w:rsidRPr="005D0BC8">
        <w:rPr>
          <w:rFonts w:ascii="Palatino Linotype" w:hAnsi="Palatino Linotype"/>
          <w:bCs/>
        </w:rPr>
        <w:t xml:space="preserve"> 13(1): 79–99.</w:t>
      </w:r>
    </w:p>
    <w:p w14:paraId="14240679" w14:textId="777B9C32" w:rsidR="00E371FB" w:rsidRPr="00C651C9" w:rsidRDefault="00E371FB" w:rsidP="005D0BC8">
      <w:pPr>
        <w:spacing w:after="120"/>
        <w:jc w:val="both"/>
        <w:rPr>
          <w:rFonts w:ascii="Palatino Linotype" w:hAnsi="Palatino Linotype"/>
        </w:rPr>
      </w:pPr>
      <w:r w:rsidRPr="00C651C9">
        <w:rPr>
          <w:rFonts w:ascii="Palatino Linotype" w:hAnsi="Palatino Linotype"/>
        </w:rPr>
        <w:t>David R (2006) From Prague to Baghdad: Lustration Systems and their Political Effects</w:t>
      </w:r>
      <w:r w:rsidR="00732B09">
        <w:rPr>
          <w:rFonts w:ascii="Palatino Linotype" w:hAnsi="Palatino Linotype"/>
        </w:rPr>
        <w:t xml:space="preserve">. </w:t>
      </w:r>
      <w:r w:rsidRPr="00C651C9">
        <w:rPr>
          <w:rFonts w:ascii="Palatino Linotype" w:hAnsi="Palatino Linotype"/>
          <w:i/>
        </w:rPr>
        <w:t>Government and Opposition</w:t>
      </w:r>
      <w:r w:rsidR="00732B09">
        <w:rPr>
          <w:rFonts w:ascii="Palatino Linotype" w:hAnsi="Palatino Linotype"/>
        </w:rPr>
        <w:t xml:space="preserve"> 41</w:t>
      </w:r>
      <w:r w:rsidRPr="00C651C9">
        <w:rPr>
          <w:rFonts w:ascii="Palatino Linotype" w:hAnsi="Palatino Linotype"/>
        </w:rPr>
        <w:t>(3) (2006): 347–372.</w:t>
      </w:r>
    </w:p>
    <w:p w14:paraId="6EAAC834" w14:textId="5C2434DB" w:rsidR="00E371FB" w:rsidRPr="00C651C9"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David R</w:t>
      </w:r>
      <w:r w:rsidR="00732B09">
        <w:rPr>
          <w:rFonts w:ascii="Palatino Linotype" w:hAnsi="Palatino Linotype"/>
          <w:bCs/>
        </w:rPr>
        <w:t xml:space="preserve"> and</w:t>
      </w:r>
      <w:r w:rsidRPr="00C651C9">
        <w:rPr>
          <w:rFonts w:ascii="Palatino Linotype" w:hAnsi="Palatino Linotype"/>
          <w:bCs/>
        </w:rPr>
        <w:t xml:space="preserve"> Choi S (2006) Forgiveness and transitional justice in the Czech Republic.</w:t>
      </w:r>
      <w:r w:rsidR="00732B09">
        <w:rPr>
          <w:rFonts w:ascii="Palatino Linotype" w:hAnsi="Palatino Linotype"/>
          <w:bCs/>
        </w:rPr>
        <w:t xml:space="preserve"> </w:t>
      </w:r>
      <w:r w:rsidRPr="00C651C9">
        <w:rPr>
          <w:rFonts w:ascii="Palatino Linotype" w:hAnsi="Palatino Linotype"/>
          <w:bCs/>
          <w:i/>
        </w:rPr>
        <w:t>Journal of Conflict Resolution</w:t>
      </w:r>
      <w:r w:rsidRPr="00C651C9">
        <w:rPr>
          <w:rFonts w:ascii="Palatino Linotype" w:hAnsi="Palatino Linotype"/>
          <w:bCs/>
        </w:rPr>
        <w:t xml:space="preserve"> 50</w:t>
      </w:r>
      <w:r w:rsidR="004A1DB9">
        <w:rPr>
          <w:rFonts w:ascii="Palatino Linotype" w:hAnsi="Palatino Linotype"/>
          <w:bCs/>
        </w:rPr>
        <w:t>:</w:t>
      </w:r>
      <w:r w:rsidRPr="00C651C9">
        <w:rPr>
          <w:rFonts w:ascii="Palatino Linotype" w:hAnsi="Palatino Linotype"/>
          <w:bCs/>
        </w:rPr>
        <w:t xml:space="preserve"> 339-67.</w:t>
      </w:r>
    </w:p>
    <w:p w14:paraId="28CF769E" w14:textId="77777777" w:rsidR="00E371FB" w:rsidRDefault="00E371FB" w:rsidP="005D0BC8">
      <w:pPr>
        <w:autoSpaceDE w:val="0"/>
        <w:autoSpaceDN w:val="0"/>
        <w:adjustRightInd w:val="0"/>
        <w:spacing w:after="120"/>
        <w:jc w:val="both"/>
        <w:rPr>
          <w:rFonts w:ascii="Palatino Linotype" w:hAnsi="Palatino Linotype"/>
          <w:bCs/>
        </w:rPr>
      </w:pPr>
      <w:proofErr w:type="spellStart"/>
      <w:r w:rsidRPr="00C651C9">
        <w:rPr>
          <w:rFonts w:ascii="Palatino Linotype" w:hAnsi="Palatino Linotype"/>
          <w:bCs/>
        </w:rPr>
        <w:t>Dawisha</w:t>
      </w:r>
      <w:proofErr w:type="spellEnd"/>
      <w:r w:rsidRPr="00C651C9">
        <w:rPr>
          <w:rFonts w:ascii="Palatino Linotype" w:hAnsi="Palatino Linotype"/>
          <w:bCs/>
        </w:rPr>
        <w:t xml:space="preserve"> A (2009) </w:t>
      </w:r>
      <w:r w:rsidRPr="00C651C9">
        <w:rPr>
          <w:rFonts w:ascii="Palatino Linotype" w:hAnsi="Palatino Linotype"/>
          <w:bCs/>
          <w:i/>
        </w:rPr>
        <w:t xml:space="preserve">Iraq: A Political History from Independence to Occupation. </w:t>
      </w:r>
      <w:r w:rsidRPr="000A3D2F">
        <w:rPr>
          <w:rFonts w:ascii="Palatino Linotype" w:hAnsi="Palatino Linotype"/>
          <w:bCs/>
        </w:rPr>
        <w:t>Princeton</w:t>
      </w:r>
      <w:r w:rsidR="000A3D2F">
        <w:rPr>
          <w:rFonts w:ascii="Palatino Linotype" w:hAnsi="Palatino Linotype"/>
          <w:bCs/>
        </w:rPr>
        <w:t>:</w:t>
      </w:r>
      <w:r w:rsidRPr="00C651C9">
        <w:rPr>
          <w:rFonts w:ascii="Palatino Linotype" w:hAnsi="Palatino Linotype"/>
          <w:bCs/>
        </w:rPr>
        <w:t xml:space="preserve"> University Press. </w:t>
      </w:r>
    </w:p>
    <w:p w14:paraId="3A064B76" w14:textId="061F7B04" w:rsidR="00CB0940" w:rsidRDefault="00CB0940" w:rsidP="005D0BC8">
      <w:pPr>
        <w:autoSpaceDE w:val="0"/>
        <w:autoSpaceDN w:val="0"/>
        <w:adjustRightInd w:val="0"/>
        <w:spacing w:after="120"/>
        <w:jc w:val="both"/>
        <w:rPr>
          <w:rFonts w:ascii="Palatino Linotype" w:hAnsi="Palatino Linotype"/>
          <w:bCs/>
        </w:rPr>
      </w:pPr>
      <w:r w:rsidRPr="00CB0940">
        <w:rPr>
          <w:rFonts w:ascii="Palatino Linotype" w:hAnsi="Palatino Linotype"/>
          <w:bCs/>
        </w:rPr>
        <w:t>Democratic Principles Working Group</w:t>
      </w:r>
      <w:r>
        <w:rPr>
          <w:rFonts w:ascii="Palatino Linotype" w:hAnsi="Palatino Linotype"/>
          <w:bCs/>
        </w:rPr>
        <w:t xml:space="preserve"> (2002) </w:t>
      </w:r>
      <w:r w:rsidRPr="00CB0940">
        <w:rPr>
          <w:rFonts w:ascii="Palatino Linotype" w:hAnsi="Palatino Linotype"/>
          <w:bCs/>
        </w:rPr>
        <w:t>Final Report on</w:t>
      </w:r>
      <w:r>
        <w:rPr>
          <w:rFonts w:ascii="Palatino Linotype" w:hAnsi="Palatino Linotype"/>
          <w:bCs/>
        </w:rPr>
        <w:t xml:space="preserve"> The Transition to Democracy in Iraq </w:t>
      </w:r>
      <w:hyperlink r:id="rId17" w:history="1">
        <w:r w:rsidRPr="00C700B4">
          <w:rPr>
            <w:rStyle w:val="Hyperlink"/>
            <w:rFonts w:ascii="Palatino Linotype" w:hAnsi="Palatino Linotype"/>
            <w:bCs/>
          </w:rPr>
          <w:t>http://www.wadinet.de/news/dokus/transition_to_democracy.pdf</w:t>
        </w:r>
      </w:hyperlink>
      <w:r>
        <w:rPr>
          <w:rFonts w:ascii="Palatino Linotype" w:hAnsi="Palatino Linotype"/>
          <w:bCs/>
        </w:rPr>
        <w:t xml:space="preserve"> </w:t>
      </w:r>
      <w:r w:rsidR="00917A35">
        <w:rPr>
          <w:rFonts w:ascii="Palatino Linotype" w:hAnsi="Palatino Linotype"/>
          <w:bCs/>
        </w:rPr>
        <w:t xml:space="preserve">(accessed 10 November </w:t>
      </w:r>
      <w:r>
        <w:rPr>
          <w:rFonts w:ascii="Palatino Linotype" w:hAnsi="Palatino Linotype"/>
          <w:bCs/>
        </w:rPr>
        <w:t>19</w:t>
      </w:r>
      <w:r w:rsidR="00917A35">
        <w:rPr>
          <w:rFonts w:ascii="Palatino Linotype" w:hAnsi="Palatino Linotype"/>
          <w:bCs/>
        </w:rPr>
        <w:t>)</w:t>
      </w:r>
    </w:p>
    <w:p w14:paraId="1E89D353" w14:textId="77777777" w:rsidR="005D0BC8" w:rsidRPr="005D0BC8" w:rsidRDefault="005D0BC8" w:rsidP="005D0BC8">
      <w:pPr>
        <w:autoSpaceDE w:val="0"/>
        <w:autoSpaceDN w:val="0"/>
        <w:adjustRightInd w:val="0"/>
        <w:spacing w:after="120"/>
        <w:jc w:val="both"/>
        <w:rPr>
          <w:rFonts w:ascii="Palatino Linotype" w:hAnsi="Palatino Linotype"/>
          <w:bCs/>
        </w:rPr>
      </w:pPr>
      <w:r w:rsidRPr="005D0BC8">
        <w:rPr>
          <w:rFonts w:ascii="Palatino Linotype" w:hAnsi="Palatino Linotype"/>
          <w:bCs/>
        </w:rPr>
        <w:t xml:space="preserve">Derrida J (1992) Force of Law: The “Mystical Foundation of Authority”. Translated by Mary </w:t>
      </w:r>
      <w:proofErr w:type="spellStart"/>
      <w:r w:rsidRPr="005D0BC8">
        <w:rPr>
          <w:rFonts w:ascii="Palatino Linotype" w:hAnsi="Palatino Linotype"/>
          <w:bCs/>
        </w:rPr>
        <w:t>Quantance</w:t>
      </w:r>
      <w:proofErr w:type="spellEnd"/>
      <w:r w:rsidRPr="005D0BC8">
        <w:rPr>
          <w:rFonts w:ascii="Palatino Linotype" w:hAnsi="Palatino Linotype"/>
          <w:bCs/>
        </w:rPr>
        <w:t xml:space="preserve">. In: Cornell D, Rosenfeld M and Carlson DG (eds) </w:t>
      </w:r>
      <w:r w:rsidRPr="005D0BC8">
        <w:rPr>
          <w:rFonts w:ascii="Palatino Linotype" w:hAnsi="Palatino Linotype"/>
          <w:bCs/>
          <w:i/>
        </w:rPr>
        <w:t>Deconstruction and the Possibility of Justice</w:t>
      </w:r>
      <w:r w:rsidRPr="005D0BC8">
        <w:rPr>
          <w:rFonts w:ascii="Palatino Linotype" w:hAnsi="Palatino Linotype"/>
          <w:bCs/>
        </w:rPr>
        <w:t xml:space="preserve"> New York and London: Routledge.</w:t>
      </w:r>
    </w:p>
    <w:p w14:paraId="287CC862" w14:textId="77777777" w:rsidR="00E371FB"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 xml:space="preserve">Dodge T (2013) </w:t>
      </w:r>
      <w:r w:rsidRPr="00C651C9">
        <w:rPr>
          <w:rFonts w:ascii="Palatino Linotype" w:hAnsi="Palatino Linotype"/>
          <w:bCs/>
          <w:i/>
        </w:rPr>
        <w:t>Iraq - From War to a New Authoritarianism</w:t>
      </w:r>
      <w:r w:rsidRPr="00C651C9">
        <w:rPr>
          <w:rFonts w:ascii="Palatino Linotype" w:hAnsi="Palatino Linotype"/>
          <w:bCs/>
        </w:rPr>
        <w:t xml:space="preserve">. </w:t>
      </w:r>
      <w:r w:rsidR="000A3D2F" w:rsidRPr="00C651C9">
        <w:rPr>
          <w:rFonts w:ascii="Palatino Linotype" w:hAnsi="Palatino Linotype"/>
          <w:bCs/>
        </w:rPr>
        <w:t>London</w:t>
      </w:r>
      <w:r w:rsidR="000A3D2F">
        <w:rPr>
          <w:rFonts w:ascii="Palatino Linotype" w:hAnsi="Palatino Linotype"/>
          <w:bCs/>
        </w:rPr>
        <w:t>:</w:t>
      </w:r>
      <w:r w:rsidR="000A3D2F" w:rsidRPr="00C651C9">
        <w:rPr>
          <w:rFonts w:ascii="Palatino Linotype" w:hAnsi="Palatino Linotype"/>
          <w:bCs/>
        </w:rPr>
        <w:t xml:space="preserve"> </w:t>
      </w:r>
      <w:r w:rsidRPr="00C651C9">
        <w:rPr>
          <w:rFonts w:ascii="Palatino Linotype" w:hAnsi="Palatino Linotype"/>
          <w:bCs/>
        </w:rPr>
        <w:t>Routledge.</w:t>
      </w:r>
    </w:p>
    <w:p w14:paraId="5620180A" w14:textId="00BEF1BE" w:rsidR="00A5450A" w:rsidRPr="00C651C9" w:rsidRDefault="00A5450A" w:rsidP="00A5450A">
      <w:pPr>
        <w:autoSpaceDE w:val="0"/>
        <w:autoSpaceDN w:val="0"/>
        <w:adjustRightInd w:val="0"/>
        <w:spacing w:after="120"/>
        <w:jc w:val="both"/>
        <w:rPr>
          <w:rFonts w:ascii="Palatino Linotype" w:hAnsi="Palatino Linotype"/>
          <w:bCs/>
        </w:rPr>
      </w:pPr>
      <w:r>
        <w:rPr>
          <w:rFonts w:ascii="Palatino Linotype" w:hAnsi="Palatino Linotype"/>
          <w:bCs/>
        </w:rPr>
        <w:t xml:space="preserve">Foote C, Block W, Crane K et al (2004) </w:t>
      </w:r>
      <w:r w:rsidRPr="00A5450A">
        <w:rPr>
          <w:rFonts w:ascii="Palatino Linotype" w:hAnsi="Palatino Linotype"/>
          <w:bCs/>
        </w:rPr>
        <w:t>Economic Policy and Prospects in Iraq</w:t>
      </w:r>
      <w:r>
        <w:rPr>
          <w:rFonts w:ascii="Palatino Linotype" w:hAnsi="Palatino Linotype"/>
          <w:bCs/>
        </w:rPr>
        <w:t xml:space="preserve">. </w:t>
      </w:r>
      <w:r w:rsidRPr="00A5450A">
        <w:rPr>
          <w:rFonts w:ascii="Palatino Linotype" w:hAnsi="Palatino Linotype"/>
          <w:bCs/>
          <w:i/>
        </w:rPr>
        <w:t>The Journal of Economic Perspectives</w:t>
      </w:r>
      <w:r>
        <w:rPr>
          <w:rFonts w:ascii="Palatino Linotype" w:hAnsi="Palatino Linotype"/>
          <w:bCs/>
          <w:i/>
        </w:rPr>
        <w:t xml:space="preserve"> </w:t>
      </w:r>
      <w:r w:rsidRPr="00A5450A">
        <w:rPr>
          <w:rFonts w:ascii="Palatino Linotype" w:hAnsi="Palatino Linotype"/>
          <w:bCs/>
        </w:rPr>
        <w:t>18</w:t>
      </w:r>
      <w:r>
        <w:rPr>
          <w:rFonts w:ascii="Palatino Linotype" w:hAnsi="Palatino Linotype"/>
          <w:bCs/>
        </w:rPr>
        <w:t>(</w:t>
      </w:r>
      <w:r w:rsidRPr="00A5450A">
        <w:rPr>
          <w:rFonts w:ascii="Palatino Linotype" w:hAnsi="Palatino Linotype"/>
          <w:bCs/>
        </w:rPr>
        <w:t>3</w:t>
      </w:r>
      <w:r w:rsidR="004A1DB9">
        <w:rPr>
          <w:rFonts w:ascii="Palatino Linotype" w:hAnsi="Palatino Linotype"/>
          <w:bCs/>
        </w:rPr>
        <w:t>):</w:t>
      </w:r>
      <w:r w:rsidRPr="00A5450A">
        <w:rPr>
          <w:rFonts w:ascii="Palatino Linotype" w:hAnsi="Palatino Linotype"/>
          <w:bCs/>
        </w:rPr>
        <w:t xml:space="preserve"> 47-70</w:t>
      </w:r>
      <w:r w:rsidR="004A1DB9">
        <w:rPr>
          <w:rFonts w:ascii="Palatino Linotype" w:hAnsi="Palatino Linotype"/>
          <w:bCs/>
        </w:rPr>
        <w:t>.</w:t>
      </w:r>
    </w:p>
    <w:p w14:paraId="28471991" w14:textId="384CBCB9" w:rsidR="00E371FB" w:rsidRPr="00C651C9" w:rsidRDefault="00E371FB" w:rsidP="005D0BC8">
      <w:pPr>
        <w:spacing w:after="120"/>
        <w:jc w:val="both"/>
        <w:rPr>
          <w:rFonts w:ascii="Palatino Linotype" w:hAnsi="Palatino Linotype"/>
        </w:rPr>
      </w:pPr>
      <w:proofErr w:type="spellStart"/>
      <w:r w:rsidRPr="00C651C9">
        <w:rPr>
          <w:rFonts w:ascii="Palatino Linotype" w:hAnsi="Palatino Linotype"/>
        </w:rPr>
        <w:t>Gready</w:t>
      </w:r>
      <w:proofErr w:type="spellEnd"/>
      <w:r w:rsidRPr="00C651C9">
        <w:rPr>
          <w:rFonts w:ascii="Palatino Linotype" w:hAnsi="Palatino Linotype"/>
        </w:rPr>
        <w:t xml:space="preserve"> P</w:t>
      </w:r>
      <w:r w:rsidR="000A3D2F">
        <w:rPr>
          <w:rFonts w:ascii="Palatino Linotype" w:hAnsi="Palatino Linotype"/>
        </w:rPr>
        <w:t xml:space="preserve"> and</w:t>
      </w:r>
      <w:r w:rsidRPr="00C651C9">
        <w:rPr>
          <w:rFonts w:ascii="Palatino Linotype" w:hAnsi="Palatino Linotype"/>
        </w:rPr>
        <w:t xml:space="preserve"> Robins S (2014) From Transitional to Transformative Jus</w:t>
      </w:r>
      <w:r w:rsidR="000A3D2F">
        <w:rPr>
          <w:rFonts w:ascii="Palatino Linotype" w:hAnsi="Palatino Linotype"/>
        </w:rPr>
        <w:t>tice: A New Agenda for Practice</w:t>
      </w:r>
      <w:r w:rsidRPr="00C651C9">
        <w:rPr>
          <w:rFonts w:ascii="Palatino Linotype" w:hAnsi="Palatino Linotype"/>
        </w:rPr>
        <w:t>.</w:t>
      </w:r>
      <w:r w:rsidR="000A3D2F">
        <w:rPr>
          <w:rFonts w:ascii="Palatino Linotype" w:hAnsi="Palatino Linotype"/>
        </w:rPr>
        <w:t xml:space="preserve"> </w:t>
      </w:r>
      <w:r w:rsidRPr="00C651C9">
        <w:rPr>
          <w:rFonts w:ascii="Palatino Linotype" w:hAnsi="Palatino Linotype"/>
          <w:i/>
        </w:rPr>
        <w:t>International Journal of Transitional Justice</w:t>
      </w:r>
      <w:r w:rsidRPr="00C651C9">
        <w:rPr>
          <w:rFonts w:ascii="Palatino Linotype" w:hAnsi="Palatino Linotype"/>
        </w:rPr>
        <w:t xml:space="preserve"> 8</w:t>
      </w:r>
      <w:r w:rsidR="000A3D2F">
        <w:rPr>
          <w:rFonts w:ascii="Palatino Linotype" w:hAnsi="Palatino Linotype"/>
        </w:rPr>
        <w:t xml:space="preserve"> (3):</w:t>
      </w:r>
      <w:r w:rsidRPr="00C651C9">
        <w:rPr>
          <w:rFonts w:ascii="Palatino Linotype" w:hAnsi="Palatino Linotype"/>
        </w:rPr>
        <w:t xml:space="preserve"> 339-361.</w:t>
      </w:r>
    </w:p>
    <w:p w14:paraId="4AAC92A9" w14:textId="72F0CF9C" w:rsidR="005D0BC8" w:rsidRPr="005D0BC8" w:rsidRDefault="005D0BC8" w:rsidP="005D0BC8">
      <w:pPr>
        <w:spacing w:after="120"/>
        <w:jc w:val="both"/>
        <w:rPr>
          <w:rFonts w:ascii="Palatino Linotype" w:hAnsi="Palatino Linotype"/>
          <w:bCs/>
        </w:rPr>
      </w:pPr>
      <w:r w:rsidRPr="005D0BC8">
        <w:rPr>
          <w:rFonts w:ascii="Palatino Linotype" w:hAnsi="Palatino Linotype"/>
          <w:bCs/>
        </w:rPr>
        <w:t>Gregory D (2008) The biopolitics of Baghdad</w:t>
      </w:r>
      <w:r w:rsidR="000A3D2F">
        <w:rPr>
          <w:rFonts w:ascii="Palatino Linotype" w:hAnsi="Palatino Linotype"/>
          <w:bCs/>
        </w:rPr>
        <w:t>:</w:t>
      </w:r>
      <w:r w:rsidRPr="005D0BC8">
        <w:rPr>
          <w:rFonts w:ascii="Palatino Linotype" w:hAnsi="Palatino Linotype"/>
          <w:bCs/>
        </w:rPr>
        <w:t xml:space="preserve"> Counterinsurgency and the counter-city. </w:t>
      </w:r>
      <w:r w:rsidRPr="005D0BC8">
        <w:rPr>
          <w:rFonts w:ascii="Palatino Linotype" w:hAnsi="Palatino Linotype"/>
          <w:bCs/>
          <w:i/>
        </w:rPr>
        <w:t>Human Geography</w:t>
      </w:r>
      <w:r w:rsidRPr="005D0BC8">
        <w:rPr>
          <w:rFonts w:ascii="Palatino Linotype" w:hAnsi="Palatino Linotype"/>
          <w:bCs/>
        </w:rPr>
        <w:t xml:space="preserve"> 1</w:t>
      </w:r>
      <w:r w:rsidR="000A3D2F">
        <w:rPr>
          <w:rFonts w:ascii="Palatino Linotype" w:hAnsi="Palatino Linotype"/>
          <w:bCs/>
        </w:rPr>
        <w:t>(1)</w:t>
      </w:r>
      <w:r w:rsidRPr="005D0BC8">
        <w:rPr>
          <w:rFonts w:ascii="Palatino Linotype" w:hAnsi="Palatino Linotype"/>
          <w:bCs/>
        </w:rPr>
        <w:t xml:space="preserve">: 6-27. </w:t>
      </w:r>
    </w:p>
    <w:p w14:paraId="59834611" w14:textId="1B598724" w:rsidR="005D0BC8" w:rsidRPr="005D0BC8" w:rsidRDefault="005D0BC8" w:rsidP="005D0BC8">
      <w:pPr>
        <w:spacing w:after="120"/>
        <w:jc w:val="both"/>
        <w:rPr>
          <w:rFonts w:ascii="Palatino Linotype" w:hAnsi="Palatino Linotype"/>
          <w:bCs/>
        </w:rPr>
      </w:pPr>
      <w:r w:rsidRPr="005D0BC8">
        <w:rPr>
          <w:rFonts w:ascii="Palatino Linotype" w:hAnsi="Palatino Linotype"/>
          <w:bCs/>
        </w:rPr>
        <w:t>Gregory D (2011) The everywhere war.</w:t>
      </w:r>
      <w:r w:rsidR="000A3D2F">
        <w:rPr>
          <w:rFonts w:ascii="Palatino Linotype" w:hAnsi="Palatino Linotype"/>
          <w:bCs/>
        </w:rPr>
        <w:t xml:space="preserve"> </w:t>
      </w:r>
      <w:r w:rsidRPr="005D0BC8">
        <w:rPr>
          <w:rFonts w:ascii="Palatino Linotype" w:hAnsi="Palatino Linotype"/>
          <w:bCs/>
          <w:i/>
        </w:rPr>
        <w:t>The Geographical Journal</w:t>
      </w:r>
      <w:r w:rsidRPr="005D0BC8">
        <w:rPr>
          <w:rFonts w:ascii="Palatino Linotype" w:hAnsi="Palatino Linotype"/>
          <w:bCs/>
        </w:rPr>
        <w:t xml:space="preserve"> 177(3): 238–250.</w:t>
      </w:r>
    </w:p>
    <w:p w14:paraId="1C23F0DD" w14:textId="77777777"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Haddad F (2011) </w:t>
      </w:r>
      <w:r w:rsidRPr="00C651C9">
        <w:rPr>
          <w:rFonts w:ascii="Palatino Linotype" w:hAnsi="Palatino Linotype"/>
          <w:i/>
        </w:rPr>
        <w:t>Sectarianism in Iraq: Antagonistic visions of unity</w:t>
      </w:r>
      <w:r w:rsidR="000A3D2F">
        <w:rPr>
          <w:rFonts w:ascii="Palatino Linotype" w:hAnsi="Palatino Linotype"/>
          <w:i/>
        </w:rPr>
        <w:t>.</w:t>
      </w:r>
      <w:r w:rsidRPr="00C651C9">
        <w:rPr>
          <w:rFonts w:ascii="Palatino Linotype" w:hAnsi="Palatino Linotype"/>
        </w:rPr>
        <w:t xml:space="preserve"> </w:t>
      </w:r>
      <w:r w:rsidR="000A3D2F" w:rsidRPr="00C651C9">
        <w:rPr>
          <w:rFonts w:ascii="Palatino Linotype" w:hAnsi="Palatino Linotype"/>
        </w:rPr>
        <w:t>London</w:t>
      </w:r>
      <w:r w:rsidR="000A3D2F">
        <w:rPr>
          <w:rFonts w:ascii="Palatino Linotype" w:hAnsi="Palatino Linotype"/>
        </w:rPr>
        <w:t>:</w:t>
      </w:r>
      <w:r w:rsidR="000A3D2F" w:rsidRPr="00C651C9">
        <w:rPr>
          <w:rFonts w:ascii="Palatino Linotype" w:hAnsi="Palatino Linotype"/>
        </w:rPr>
        <w:t xml:space="preserve"> </w:t>
      </w:r>
      <w:r w:rsidR="000A3D2F">
        <w:rPr>
          <w:rFonts w:ascii="Palatino Linotype" w:hAnsi="Palatino Linotype"/>
        </w:rPr>
        <w:t>Hurst.</w:t>
      </w:r>
    </w:p>
    <w:p w14:paraId="29DC1D56" w14:textId="0772740D" w:rsidR="00E371FB" w:rsidRPr="00C651C9" w:rsidRDefault="000A3D2F" w:rsidP="005D0BC8">
      <w:pPr>
        <w:autoSpaceDE w:val="0"/>
        <w:autoSpaceDN w:val="0"/>
        <w:adjustRightInd w:val="0"/>
        <w:spacing w:after="120"/>
        <w:jc w:val="both"/>
        <w:rPr>
          <w:rFonts w:ascii="Palatino Linotype" w:hAnsi="Palatino Linotype"/>
          <w:bCs/>
        </w:rPr>
      </w:pPr>
      <w:r>
        <w:rPr>
          <w:rFonts w:ascii="Palatino Linotype" w:hAnsi="Palatino Linotype"/>
          <w:bCs/>
        </w:rPr>
        <w:lastRenderedPageBreak/>
        <w:t xml:space="preserve">Hatch R (2005) </w:t>
      </w:r>
      <w:r w:rsidR="00E371FB" w:rsidRPr="00C651C9">
        <w:rPr>
          <w:rFonts w:ascii="Palatino Linotype" w:hAnsi="Palatino Linotype"/>
          <w:bCs/>
        </w:rPr>
        <w:t>A Year of De-Baathification in Post-Conflict Iraq: Time for Mid-Course Corre</w:t>
      </w:r>
      <w:r>
        <w:rPr>
          <w:rFonts w:ascii="Palatino Linotype" w:hAnsi="Palatino Linotype"/>
          <w:bCs/>
        </w:rPr>
        <w:t>ctions and a Long-Term Strategy</w:t>
      </w:r>
      <w:r w:rsidR="00917A35">
        <w:rPr>
          <w:rFonts w:ascii="Palatino Linotype" w:hAnsi="Palatino Linotype"/>
          <w:bCs/>
        </w:rPr>
        <w:t xml:space="preserve">. </w:t>
      </w:r>
      <w:r w:rsidR="00E371FB" w:rsidRPr="00C651C9">
        <w:rPr>
          <w:rFonts w:ascii="Palatino Linotype" w:hAnsi="Palatino Linotype"/>
          <w:bCs/>
          <w:i/>
        </w:rPr>
        <w:t>Journal of Human Rights</w:t>
      </w:r>
      <w:r w:rsidR="00E371FB" w:rsidRPr="00C651C9">
        <w:rPr>
          <w:rFonts w:ascii="Palatino Linotype" w:hAnsi="Palatino Linotype"/>
          <w:bCs/>
        </w:rPr>
        <w:t>, 4</w:t>
      </w:r>
      <w:r>
        <w:rPr>
          <w:rFonts w:ascii="Palatino Linotype" w:hAnsi="Palatino Linotype"/>
          <w:bCs/>
        </w:rPr>
        <w:t>(1):</w:t>
      </w:r>
      <w:r w:rsidR="00E371FB" w:rsidRPr="00C651C9">
        <w:rPr>
          <w:rFonts w:ascii="Palatino Linotype" w:hAnsi="Palatino Linotype"/>
          <w:bCs/>
        </w:rPr>
        <w:t xml:space="preserve"> 103-112.</w:t>
      </w:r>
    </w:p>
    <w:p w14:paraId="5E45E71A" w14:textId="62290334" w:rsidR="00E371FB" w:rsidRPr="00C651C9" w:rsidRDefault="00E371FB" w:rsidP="0018243E">
      <w:pPr>
        <w:spacing w:after="120"/>
        <w:jc w:val="both"/>
        <w:rPr>
          <w:rFonts w:ascii="Palatino Linotype" w:hAnsi="Palatino Linotype"/>
        </w:rPr>
      </w:pPr>
      <w:r w:rsidRPr="00C651C9">
        <w:rPr>
          <w:rFonts w:ascii="Palatino Linotype" w:hAnsi="Palatino Linotype"/>
        </w:rPr>
        <w:t>Horne C (2014) The Impact of Lustration on Democratizat</w:t>
      </w:r>
      <w:r w:rsidR="000A3D2F">
        <w:rPr>
          <w:rFonts w:ascii="Palatino Linotype" w:hAnsi="Palatino Linotype"/>
        </w:rPr>
        <w:t xml:space="preserve">ion in </w:t>
      </w:r>
      <w:proofErr w:type="spellStart"/>
      <w:r w:rsidR="000A3D2F">
        <w:rPr>
          <w:rFonts w:ascii="Palatino Linotype" w:hAnsi="Palatino Linotype"/>
        </w:rPr>
        <w:t>Postcommunist</w:t>
      </w:r>
      <w:proofErr w:type="spellEnd"/>
      <w:r w:rsidR="000A3D2F">
        <w:rPr>
          <w:rFonts w:ascii="Palatino Linotype" w:hAnsi="Palatino Linotype"/>
        </w:rPr>
        <w:t xml:space="preserve"> Countries. </w:t>
      </w:r>
      <w:r w:rsidRPr="000A3D2F">
        <w:rPr>
          <w:rFonts w:ascii="Palatino Linotype" w:hAnsi="Palatino Linotype"/>
          <w:i/>
        </w:rPr>
        <w:t xml:space="preserve">International Journal of Transitional Justice </w:t>
      </w:r>
      <w:r w:rsidRPr="00C651C9">
        <w:rPr>
          <w:rFonts w:ascii="Palatino Linotype" w:hAnsi="Palatino Linotype"/>
        </w:rPr>
        <w:t>8</w:t>
      </w:r>
      <w:r w:rsidR="000A3D2F">
        <w:rPr>
          <w:rFonts w:ascii="Palatino Linotype" w:hAnsi="Palatino Linotype"/>
        </w:rPr>
        <w:t>(3):</w:t>
      </w:r>
      <w:r w:rsidRPr="00C651C9">
        <w:rPr>
          <w:rFonts w:ascii="Palatino Linotype" w:hAnsi="Palatino Linotype"/>
        </w:rPr>
        <w:t xml:space="preserve"> 496-521.</w:t>
      </w:r>
    </w:p>
    <w:p w14:paraId="3ABFAB8F" w14:textId="5A6CBBF4" w:rsidR="00E371FB" w:rsidRPr="00C651C9" w:rsidRDefault="000A3D2F" w:rsidP="005D0BC8">
      <w:pPr>
        <w:spacing w:after="120"/>
        <w:jc w:val="both"/>
        <w:rPr>
          <w:rFonts w:ascii="Palatino Linotype" w:hAnsi="Palatino Linotype"/>
        </w:rPr>
      </w:pPr>
      <w:r>
        <w:rPr>
          <w:rFonts w:ascii="Palatino Linotype" w:hAnsi="Palatino Linotype"/>
        </w:rPr>
        <w:t>Ismael T and</w:t>
      </w:r>
      <w:r w:rsidR="00E371FB" w:rsidRPr="00C651C9">
        <w:rPr>
          <w:rFonts w:ascii="Palatino Linotype" w:hAnsi="Palatino Linotype"/>
        </w:rPr>
        <w:t xml:space="preserve"> Fuller M (200</w:t>
      </w:r>
      <w:r w:rsidR="004B3C53">
        <w:rPr>
          <w:rFonts w:ascii="Palatino Linotype" w:hAnsi="Palatino Linotype"/>
        </w:rPr>
        <w:t>8</w:t>
      </w:r>
      <w:r w:rsidR="00E371FB" w:rsidRPr="00C651C9">
        <w:rPr>
          <w:rFonts w:ascii="Palatino Linotype" w:hAnsi="Palatino Linotype"/>
        </w:rPr>
        <w:t>) The disintegration of Iraq: the manufacturing and politicization of sectarianism.</w:t>
      </w:r>
      <w:r>
        <w:rPr>
          <w:rFonts w:ascii="Palatino Linotype" w:hAnsi="Palatino Linotype"/>
        </w:rPr>
        <w:t xml:space="preserve"> </w:t>
      </w:r>
      <w:hyperlink r:id="rId18" w:history="1">
        <w:r w:rsidR="00E371FB" w:rsidRPr="00C651C9">
          <w:rPr>
            <w:rFonts w:ascii="Palatino Linotype" w:hAnsi="Palatino Linotype" w:cs="Helvetica"/>
            <w:i/>
            <w:lang w:val="en"/>
          </w:rPr>
          <w:t>International Journal of Contemporary Iraqi Studies</w:t>
        </w:r>
      </w:hyperlink>
      <w:r w:rsidR="004B3C53">
        <w:rPr>
          <w:rFonts w:ascii="Palatino Linotype" w:hAnsi="Palatino Linotype" w:cs="Helvetica"/>
          <w:lang w:val="en"/>
        </w:rPr>
        <w:t>, 2(3):</w:t>
      </w:r>
      <w:r w:rsidR="00E371FB" w:rsidRPr="00C651C9">
        <w:rPr>
          <w:rFonts w:ascii="Palatino Linotype" w:hAnsi="Palatino Linotype" w:cs="Helvetica"/>
          <w:lang w:val="en"/>
        </w:rPr>
        <w:t xml:space="preserve">  </w:t>
      </w:r>
      <w:r w:rsidR="00E371FB" w:rsidRPr="00C651C9">
        <w:rPr>
          <w:rStyle w:val="pagesnum"/>
          <w:rFonts w:ascii="Palatino Linotype" w:hAnsi="Palatino Linotype" w:cs="Helvetica"/>
          <w:lang w:val="en"/>
        </w:rPr>
        <w:t>443-473.</w:t>
      </w:r>
    </w:p>
    <w:p w14:paraId="432D2D55" w14:textId="77777777" w:rsidR="00141C6F" w:rsidRPr="00141C6F" w:rsidRDefault="00141C6F" w:rsidP="00141C6F">
      <w:pPr>
        <w:spacing w:after="120"/>
        <w:jc w:val="both"/>
        <w:rPr>
          <w:rFonts w:ascii="Palatino Linotype" w:hAnsi="Palatino Linotype"/>
          <w:bCs/>
        </w:rPr>
      </w:pPr>
      <w:r w:rsidRPr="00141C6F">
        <w:rPr>
          <w:rFonts w:ascii="Palatino Linotype" w:hAnsi="Palatino Linotype"/>
          <w:bCs/>
        </w:rPr>
        <w:t xml:space="preserve">Jones C (2016) Lawfare and the </w:t>
      </w:r>
      <w:proofErr w:type="spellStart"/>
      <w:r w:rsidRPr="00141C6F">
        <w:rPr>
          <w:rFonts w:ascii="Palatino Linotype" w:hAnsi="Palatino Linotype"/>
          <w:bCs/>
        </w:rPr>
        <w:t>juridification</w:t>
      </w:r>
      <w:proofErr w:type="spellEnd"/>
      <w:r w:rsidRPr="00141C6F">
        <w:rPr>
          <w:rFonts w:ascii="Palatino Linotype" w:hAnsi="Palatino Linotype"/>
          <w:bCs/>
        </w:rPr>
        <w:t xml:space="preserve"> of late modern war. </w:t>
      </w:r>
      <w:r w:rsidRPr="00141C6F">
        <w:rPr>
          <w:rFonts w:ascii="Palatino Linotype" w:hAnsi="Palatino Linotype"/>
          <w:bCs/>
          <w:i/>
        </w:rPr>
        <w:t>Progress in Human Geography</w:t>
      </w:r>
      <w:r w:rsidRPr="00141C6F">
        <w:rPr>
          <w:rFonts w:ascii="Palatino Linotype" w:hAnsi="Palatino Linotype"/>
          <w:bCs/>
        </w:rPr>
        <w:t xml:space="preserve"> 40(2): 221–239.</w:t>
      </w:r>
    </w:p>
    <w:p w14:paraId="3730EA79" w14:textId="15FCEEDD" w:rsidR="00845CD0" w:rsidRPr="00C651C9" w:rsidRDefault="00845CD0" w:rsidP="00845CD0">
      <w:pPr>
        <w:autoSpaceDE w:val="0"/>
        <w:autoSpaceDN w:val="0"/>
        <w:adjustRightInd w:val="0"/>
        <w:spacing w:after="120"/>
        <w:jc w:val="both"/>
        <w:rPr>
          <w:rFonts w:ascii="Palatino Linotype" w:hAnsi="Palatino Linotype"/>
          <w:bCs/>
        </w:rPr>
      </w:pPr>
      <w:r w:rsidRPr="00C651C9">
        <w:rPr>
          <w:rFonts w:ascii="Palatino Linotype" w:hAnsi="Palatino Linotype"/>
          <w:bCs/>
        </w:rPr>
        <w:t>Kaminski</w:t>
      </w:r>
      <w:r>
        <w:rPr>
          <w:rFonts w:ascii="Palatino Linotype" w:hAnsi="Palatino Linotype"/>
          <w:bCs/>
        </w:rPr>
        <w:t xml:space="preserve"> M and</w:t>
      </w:r>
      <w:r w:rsidRPr="00C651C9">
        <w:rPr>
          <w:rFonts w:ascii="Palatino Linotype" w:hAnsi="Palatino Linotype"/>
          <w:bCs/>
        </w:rPr>
        <w:t xml:space="preserve"> </w:t>
      </w:r>
      <w:proofErr w:type="spellStart"/>
      <w:r w:rsidRPr="00C651C9">
        <w:rPr>
          <w:rFonts w:ascii="Palatino Linotype" w:hAnsi="Palatino Linotype"/>
          <w:bCs/>
        </w:rPr>
        <w:t>Nalepa</w:t>
      </w:r>
      <w:proofErr w:type="spellEnd"/>
      <w:r w:rsidRPr="00C651C9">
        <w:rPr>
          <w:rFonts w:ascii="Palatino Linotype" w:hAnsi="Palatino Linotype"/>
          <w:bCs/>
        </w:rPr>
        <w:t xml:space="preserve"> M (2006) Judging transitional justice: A new criterion for evaluating truth revelation procedures.</w:t>
      </w:r>
      <w:r>
        <w:rPr>
          <w:rFonts w:ascii="Palatino Linotype" w:hAnsi="Palatino Linotype"/>
          <w:bCs/>
        </w:rPr>
        <w:t xml:space="preserve"> </w:t>
      </w:r>
      <w:r w:rsidRPr="00393AE8">
        <w:rPr>
          <w:rFonts w:ascii="Palatino Linotype" w:hAnsi="Palatino Linotype"/>
          <w:bCs/>
          <w:i/>
        </w:rPr>
        <w:t>Journal of Conflict Resolution.</w:t>
      </w:r>
      <w:r>
        <w:rPr>
          <w:rFonts w:ascii="Palatino Linotype" w:hAnsi="Palatino Linotype"/>
          <w:bCs/>
        </w:rPr>
        <w:t xml:space="preserve"> 50(3): 3</w:t>
      </w:r>
      <w:r w:rsidRPr="00C651C9">
        <w:rPr>
          <w:rFonts w:ascii="Palatino Linotype" w:hAnsi="Palatino Linotype"/>
          <w:bCs/>
        </w:rPr>
        <w:t>8</w:t>
      </w:r>
      <w:r>
        <w:rPr>
          <w:rFonts w:ascii="Palatino Linotype" w:hAnsi="Palatino Linotype"/>
          <w:bCs/>
        </w:rPr>
        <w:t>3</w:t>
      </w:r>
      <w:r w:rsidRPr="00C651C9">
        <w:rPr>
          <w:rFonts w:ascii="Palatino Linotype" w:hAnsi="Palatino Linotype"/>
          <w:bCs/>
        </w:rPr>
        <w:t>-408.</w:t>
      </w:r>
    </w:p>
    <w:p w14:paraId="6AA00091" w14:textId="77777777" w:rsidR="00E371FB" w:rsidRPr="00C651C9" w:rsidRDefault="00E371FB" w:rsidP="005D0BC8">
      <w:pPr>
        <w:spacing w:after="120"/>
        <w:jc w:val="both"/>
        <w:rPr>
          <w:rStyle w:val="Hyperlink"/>
          <w:rFonts w:ascii="Palatino Linotype" w:hAnsi="Palatino Linotype"/>
          <w:color w:val="auto"/>
        </w:rPr>
      </w:pPr>
      <w:r w:rsidRPr="00C651C9">
        <w:rPr>
          <w:rFonts w:ascii="Palatino Linotype" w:hAnsi="Palatino Linotype"/>
        </w:rPr>
        <w:t xml:space="preserve">Katzman K (2009) </w:t>
      </w:r>
      <w:r w:rsidRPr="00C651C9">
        <w:rPr>
          <w:rFonts w:ascii="Palatino Linotype" w:hAnsi="Palatino Linotype" w:cs="PalatinoLinotype,Bold"/>
          <w:bCs/>
          <w:lang w:val="en-GB" w:eastAsia="en-GB"/>
        </w:rPr>
        <w:t>Iraq: Post-Saddam Governance and Security</w:t>
      </w:r>
      <w:r w:rsidR="00CF4321">
        <w:rPr>
          <w:rFonts w:ascii="Palatino Linotype" w:hAnsi="Palatino Linotype" w:cs="PalatinoLinotype,Bold"/>
          <w:bCs/>
          <w:lang w:val="en-GB" w:eastAsia="en-GB"/>
        </w:rPr>
        <w:t>.</w:t>
      </w:r>
      <w:r w:rsidRPr="00C651C9">
        <w:rPr>
          <w:rFonts w:ascii="Palatino Linotype" w:hAnsi="Palatino Linotype"/>
        </w:rPr>
        <w:t xml:space="preserve"> </w:t>
      </w:r>
      <w:r w:rsidR="00CF4321">
        <w:rPr>
          <w:rFonts w:ascii="Palatino Linotype" w:hAnsi="Palatino Linotype"/>
        </w:rPr>
        <w:t xml:space="preserve">CRS Report RL31339. </w:t>
      </w:r>
      <w:r w:rsidR="00CF4321" w:rsidRPr="00CF4321">
        <w:rPr>
          <w:rFonts w:ascii="Palatino Linotype" w:hAnsi="Palatino Linotype"/>
        </w:rPr>
        <w:t>Available at</w:t>
      </w:r>
      <w:r w:rsidR="00CF4321">
        <w:rPr>
          <w:rFonts w:ascii="Palatino Linotype" w:hAnsi="Palatino Linotype"/>
        </w:rPr>
        <w:t>:</w:t>
      </w:r>
      <w:r w:rsidR="00CF4321" w:rsidRPr="00CF4321">
        <w:rPr>
          <w:rFonts w:ascii="Palatino Linotype" w:hAnsi="Palatino Linotype"/>
        </w:rPr>
        <w:t xml:space="preserve"> </w:t>
      </w:r>
      <w:r w:rsidRPr="00CF4321">
        <w:rPr>
          <w:rFonts w:ascii="Palatino Linotype" w:hAnsi="Palatino Linotype"/>
        </w:rPr>
        <w:t>https://fas.org/sgp/crs/mideast/RL31339.pdf</w:t>
      </w:r>
      <w:r w:rsidR="00CF4321">
        <w:rPr>
          <w:rStyle w:val="Hyperlink"/>
          <w:rFonts w:ascii="Palatino Linotype" w:hAnsi="Palatino Linotype"/>
          <w:color w:val="auto"/>
          <w:u w:val="none"/>
        </w:rPr>
        <w:t xml:space="preserve"> </w:t>
      </w:r>
      <w:r w:rsidRPr="00CF4321">
        <w:rPr>
          <w:rStyle w:val="Hyperlink"/>
          <w:rFonts w:ascii="Palatino Linotype" w:hAnsi="Palatino Linotype"/>
          <w:color w:val="auto"/>
          <w:u w:val="none"/>
        </w:rPr>
        <w:t>(</w:t>
      </w:r>
      <w:r w:rsidR="00CF4321">
        <w:rPr>
          <w:rStyle w:val="Hyperlink"/>
          <w:rFonts w:ascii="Palatino Linotype" w:hAnsi="Palatino Linotype"/>
          <w:color w:val="auto"/>
          <w:u w:val="none"/>
        </w:rPr>
        <w:t>accessed 1 January 20</w:t>
      </w:r>
      <w:r w:rsidRPr="00CF4321">
        <w:rPr>
          <w:rStyle w:val="Hyperlink"/>
          <w:rFonts w:ascii="Palatino Linotype" w:hAnsi="Palatino Linotype"/>
          <w:color w:val="auto"/>
          <w:u w:val="none"/>
        </w:rPr>
        <w:t>17)</w:t>
      </w:r>
      <w:r w:rsidR="00CF4321">
        <w:rPr>
          <w:rStyle w:val="Hyperlink"/>
          <w:rFonts w:ascii="Palatino Linotype" w:hAnsi="Palatino Linotype"/>
          <w:color w:val="auto"/>
          <w:u w:val="none"/>
        </w:rPr>
        <w:t>.</w:t>
      </w:r>
    </w:p>
    <w:p w14:paraId="1742A800" w14:textId="50896C69" w:rsidR="005D0BC8" w:rsidRDefault="005D0BC8" w:rsidP="005D0BC8">
      <w:pPr>
        <w:spacing w:after="120"/>
        <w:jc w:val="both"/>
        <w:rPr>
          <w:rFonts w:ascii="Palatino Linotype" w:hAnsi="Palatino Linotype"/>
          <w:bCs/>
        </w:rPr>
      </w:pPr>
      <w:proofErr w:type="spellStart"/>
      <w:r w:rsidRPr="005D0BC8">
        <w:rPr>
          <w:rFonts w:ascii="Palatino Linotype" w:hAnsi="Palatino Linotype"/>
          <w:bCs/>
        </w:rPr>
        <w:t>Kedar</w:t>
      </w:r>
      <w:proofErr w:type="spellEnd"/>
      <w:r w:rsidRPr="005D0BC8">
        <w:rPr>
          <w:rFonts w:ascii="Palatino Linotype" w:hAnsi="Palatino Linotype"/>
          <w:bCs/>
        </w:rPr>
        <w:t xml:space="preserve"> A (2014) Expanding legal geographies: A call for a critical comparative approach. In: Braverman I, </w:t>
      </w:r>
      <w:proofErr w:type="spellStart"/>
      <w:r w:rsidRPr="005D0BC8">
        <w:rPr>
          <w:rFonts w:ascii="Palatino Linotype" w:hAnsi="Palatino Linotype"/>
          <w:bCs/>
        </w:rPr>
        <w:t>Blomley</w:t>
      </w:r>
      <w:proofErr w:type="spellEnd"/>
      <w:r w:rsidRPr="005D0BC8">
        <w:rPr>
          <w:rFonts w:ascii="Palatino Linotype" w:hAnsi="Palatino Linotype"/>
          <w:bCs/>
        </w:rPr>
        <w:t xml:space="preserve"> N and Delaney D (eds) </w:t>
      </w:r>
      <w:r w:rsidRPr="005D0BC8">
        <w:rPr>
          <w:rFonts w:ascii="Palatino Linotype" w:hAnsi="Palatino Linotype"/>
          <w:bCs/>
          <w:i/>
        </w:rPr>
        <w:t>The Expanding Spaces of Law: A Timely Legal Geography</w:t>
      </w:r>
      <w:r w:rsidRPr="005D0BC8">
        <w:rPr>
          <w:rFonts w:ascii="Palatino Linotype" w:hAnsi="Palatino Linotype"/>
          <w:bCs/>
        </w:rPr>
        <w:t xml:space="preserve">. Stanford, CA: Stanford Law Books, </w:t>
      </w:r>
      <w:r w:rsidR="00917A35">
        <w:rPr>
          <w:rFonts w:ascii="Palatino Linotype" w:hAnsi="Palatino Linotype"/>
          <w:bCs/>
        </w:rPr>
        <w:t>pp.</w:t>
      </w:r>
      <w:r w:rsidRPr="005D0BC8">
        <w:rPr>
          <w:rFonts w:ascii="Palatino Linotype" w:hAnsi="Palatino Linotype"/>
          <w:bCs/>
        </w:rPr>
        <w:t>95–119.</w:t>
      </w:r>
    </w:p>
    <w:p w14:paraId="7333BBFF" w14:textId="77777777" w:rsidR="005D0BC8" w:rsidRPr="005D0BC8" w:rsidRDefault="005D0BC8" w:rsidP="005D0BC8">
      <w:pPr>
        <w:spacing w:after="120"/>
        <w:jc w:val="both"/>
        <w:rPr>
          <w:rFonts w:ascii="Palatino Linotype" w:hAnsi="Palatino Linotype"/>
          <w:bCs/>
        </w:rPr>
      </w:pPr>
      <w:r w:rsidRPr="005D0BC8">
        <w:rPr>
          <w:rFonts w:ascii="Palatino Linotype" w:hAnsi="Palatino Linotype"/>
          <w:bCs/>
        </w:rPr>
        <w:t xml:space="preserve">Kennedy D (2006) </w:t>
      </w:r>
      <w:r w:rsidRPr="005D0BC8">
        <w:rPr>
          <w:rFonts w:ascii="Palatino Linotype" w:hAnsi="Palatino Linotype"/>
          <w:bCs/>
          <w:i/>
        </w:rPr>
        <w:t>Of War and Law</w:t>
      </w:r>
      <w:r w:rsidRPr="005D0BC8">
        <w:rPr>
          <w:rFonts w:ascii="Palatino Linotype" w:hAnsi="Palatino Linotype"/>
          <w:bCs/>
        </w:rPr>
        <w:t>. Princeton, NJ: Princeton University Press.</w:t>
      </w:r>
    </w:p>
    <w:p w14:paraId="22C02817" w14:textId="77777777" w:rsidR="005D0BC8" w:rsidRPr="005D0BC8" w:rsidRDefault="005D0BC8" w:rsidP="005D0BC8">
      <w:pPr>
        <w:spacing w:after="120"/>
        <w:jc w:val="both"/>
        <w:rPr>
          <w:rFonts w:ascii="Palatino Linotype" w:hAnsi="Palatino Linotype"/>
          <w:bCs/>
        </w:rPr>
      </w:pPr>
      <w:proofErr w:type="spellStart"/>
      <w:r w:rsidRPr="005D0BC8">
        <w:rPr>
          <w:rFonts w:ascii="Palatino Linotype" w:hAnsi="Palatino Linotype"/>
          <w:bCs/>
        </w:rPr>
        <w:t>Kittrie</w:t>
      </w:r>
      <w:proofErr w:type="spellEnd"/>
      <w:r w:rsidRPr="005D0BC8">
        <w:rPr>
          <w:rFonts w:ascii="Palatino Linotype" w:hAnsi="Palatino Linotype"/>
          <w:bCs/>
        </w:rPr>
        <w:t xml:space="preserve"> OF (2010) Lawfare and U.S. National Security. </w:t>
      </w:r>
      <w:r w:rsidRPr="005D0BC8">
        <w:rPr>
          <w:rFonts w:ascii="Palatino Linotype" w:hAnsi="Palatino Linotype"/>
          <w:bCs/>
          <w:i/>
        </w:rPr>
        <w:t xml:space="preserve">Case Western Reserve Journal of International Law </w:t>
      </w:r>
      <w:r w:rsidRPr="005D0BC8">
        <w:rPr>
          <w:rFonts w:ascii="Palatino Linotype" w:hAnsi="Palatino Linotype"/>
          <w:bCs/>
        </w:rPr>
        <w:t>43 (1/2):  393-421.</w:t>
      </w:r>
    </w:p>
    <w:p w14:paraId="40CEB6F9" w14:textId="77777777" w:rsidR="00E371FB" w:rsidRPr="00A0338D" w:rsidRDefault="00E371FB" w:rsidP="005D0BC8">
      <w:pPr>
        <w:spacing w:after="120"/>
        <w:jc w:val="both"/>
        <w:rPr>
          <w:rFonts w:ascii="Palatino Linotype" w:hAnsi="Palatino Linotype"/>
        </w:rPr>
      </w:pPr>
      <w:r w:rsidRPr="00A0338D">
        <w:rPr>
          <w:rStyle w:val="Hyperlink"/>
          <w:rFonts w:ascii="Palatino Linotype" w:hAnsi="Palatino Linotype"/>
          <w:color w:val="auto"/>
          <w:u w:val="none"/>
        </w:rPr>
        <w:t>Kle</w:t>
      </w:r>
      <w:r w:rsidR="00A0338D" w:rsidRPr="00A0338D">
        <w:rPr>
          <w:rStyle w:val="Hyperlink"/>
          <w:rFonts w:ascii="Palatino Linotype" w:hAnsi="Palatino Linotype"/>
          <w:color w:val="auto"/>
          <w:u w:val="none"/>
        </w:rPr>
        <w:t>i</w:t>
      </w:r>
      <w:r w:rsidRPr="00A0338D">
        <w:rPr>
          <w:rStyle w:val="Hyperlink"/>
          <w:rFonts w:ascii="Palatino Linotype" w:hAnsi="Palatino Linotype"/>
          <w:color w:val="auto"/>
          <w:u w:val="none"/>
        </w:rPr>
        <w:t>n N (2007) America's Deadly Shock Doctrine in Iraq</w:t>
      </w:r>
      <w:r w:rsidR="00A0338D" w:rsidRPr="00A0338D">
        <w:rPr>
          <w:rStyle w:val="Hyperlink"/>
          <w:rFonts w:ascii="Palatino Linotype" w:hAnsi="Palatino Linotype"/>
          <w:color w:val="auto"/>
          <w:u w:val="none"/>
        </w:rPr>
        <w:t xml:space="preserve">. Available at: </w:t>
      </w:r>
      <w:r w:rsidRPr="00A0338D">
        <w:rPr>
          <w:rStyle w:val="Hyperlink"/>
          <w:rFonts w:ascii="Palatino Linotype" w:hAnsi="Palatino Linotype"/>
          <w:color w:val="auto"/>
          <w:u w:val="none"/>
        </w:rPr>
        <w:t xml:space="preserve"> </w:t>
      </w:r>
      <w:hyperlink r:id="rId19" w:history="1">
        <w:r w:rsidRPr="00A0338D">
          <w:rPr>
            <w:rStyle w:val="Hyperlink"/>
            <w:rFonts w:ascii="Palatino Linotype" w:hAnsi="Palatino Linotype"/>
            <w:color w:val="auto"/>
          </w:rPr>
          <w:t>http://www.alternet.org/story/62525/america's_deadly_shock_doctrine_in_iraq</w:t>
        </w:r>
      </w:hyperlink>
      <w:r w:rsidRPr="00A0338D">
        <w:rPr>
          <w:rStyle w:val="Hyperlink"/>
          <w:rFonts w:ascii="Palatino Linotype" w:hAnsi="Palatino Linotype"/>
          <w:color w:val="auto"/>
          <w:u w:val="none"/>
        </w:rPr>
        <w:t xml:space="preserve"> (</w:t>
      </w:r>
      <w:r w:rsidR="00A0338D" w:rsidRPr="00A0338D">
        <w:rPr>
          <w:rStyle w:val="Hyperlink"/>
          <w:rFonts w:ascii="Palatino Linotype" w:hAnsi="Palatino Linotype"/>
          <w:color w:val="auto"/>
          <w:u w:val="none"/>
        </w:rPr>
        <w:t>accessed 1 January 2017</w:t>
      </w:r>
      <w:r w:rsidRPr="00A0338D">
        <w:rPr>
          <w:rStyle w:val="Hyperlink"/>
          <w:rFonts w:ascii="Palatino Linotype" w:hAnsi="Palatino Linotype"/>
          <w:color w:val="auto"/>
          <w:u w:val="none"/>
        </w:rPr>
        <w:t>)</w:t>
      </w:r>
      <w:r w:rsidR="00A0338D" w:rsidRPr="00A0338D">
        <w:rPr>
          <w:rStyle w:val="Hyperlink"/>
          <w:rFonts w:ascii="Palatino Linotype" w:hAnsi="Palatino Linotype"/>
          <w:color w:val="auto"/>
          <w:u w:val="none"/>
        </w:rPr>
        <w:t xml:space="preserve">. (Excerpt from Klein N (2007) </w:t>
      </w:r>
      <w:r w:rsidR="00A0338D" w:rsidRPr="00A0338D">
        <w:rPr>
          <w:rStyle w:val="Hyperlink"/>
          <w:rFonts w:ascii="Palatino Linotype" w:hAnsi="Palatino Linotype"/>
          <w:i/>
          <w:color w:val="auto"/>
          <w:u w:val="none"/>
        </w:rPr>
        <w:t>The Shock Doctrine: The Rise of Disaster Capitalism</w:t>
      </w:r>
      <w:r w:rsidR="00A0338D" w:rsidRPr="00A0338D">
        <w:rPr>
          <w:rStyle w:val="Hyperlink"/>
          <w:rFonts w:ascii="Palatino Linotype" w:hAnsi="Palatino Linotype"/>
          <w:color w:val="auto"/>
          <w:u w:val="none"/>
        </w:rPr>
        <w:t>. New York: Henry Holt.)</w:t>
      </w:r>
    </w:p>
    <w:p w14:paraId="554E4646" w14:textId="4310D68E" w:rsidR="00E371FB" w:rsidRPr="00C651C9" w:rsidRDefault="00E371FB" w:rsidP="005D0BC8">
      <w:pPr>
        <w:spacing w:after="120"/>
        <w:jc w:val="both"/>
        <w:rPr>
          <w:rFonts w:ascii="Palatino Linotype" w:hAnsi="Palatino Linotype"/>
        </w:rPr>
      </w:pPr>
      <w:proofErr w:type="spellStart"/>
      <w:r w:rsidRPr="00C651C9">
        <w:rPr>
          <w:rFonts w:ascii="Palatino Linotype" w:hAnsi="Palatino Linotype"/>
        </w:rPr>
        <w:t>Köse</w:t>
      </w:r>
      <w:proofErr w:type="spellEnd"/>
      <w:r w:rsidRPr="00C651C9">
        <w:rPr>
          <w:rFonts w:ascii="Palatino Linotype" w:hAnsi="Palatino Linotype"/>
        </w:rPr>
        <w:t xml:space="preserve"> T, </w:t>
      </w:r>
      <w:proofErr w:type="spellStart"/>
      <w:r w:rsidR="00393AE8" w:rsidRPr="00393AE8">
        <w:rPr>
          <w:rFonts w:ascii="Palatino Linotype" w:hAnsi="Palatino Linotype"/>
          <w:lang w:val="en-GB"/>
        </w:rPr>
        <w:t>Özcan</w:t>
      </w:r>
      <w:proofErr w:type="spellEnd"/>
      <w:r w:rsidR="00393AE8" w:rsidRPr="00393AE8">
        <w:rPr>
          <w:rFonts w:ascii="Palatino Linotype" w:hAnsi="Palatino Linotype"/>
        </w:rPr>
        <w:t xml:space="preserve"> </w:t>
      </w:r>
      <w:r w:rsidRPr="00C651C9">
        <w:rPr>
          <w:rFonts w:ascii="Palatino Linotype" w:hAnsi="Palatino Linotype"/>
        </w:rPr>
        <w:t xml:space="preserve">M </w:t>
      </w:r>
      <w:r w:rsidR="00A0338D">
        <w:rPr>
          <w:rFonts w:ascii="Palatino Linotype" w:hAnsi="Palatino Linotype"/>
        </w:rPr>
        <w:t>and</w:t>
      </w:r>
      <w:r w:rsidRPr="00C651C9">
        <w:rPr>
          <w:rFonts w:ascii="Palatino Linotype" w:hAnsi="Palatino Linotype"/>
        </w:rPr>
        <w:t xml:space="preserve"> </w:t>
      </w:r>
      <w:proofErr w:type="spellStart"/>
      <w:r w:rsidRPr="00C651C9">
        <w:rPr>
          <w:rFonts w:ascii="Palatino Linotype" w:hAnsi="Palatino Linotype"/>
        </w:rPr>
        <w:t>Karakoç</w:t>
      </w:r>
      <w:proofErr w:type="spellEnd"/>
      <w:r w:rsidRPr="00C651C9">
        <w:rPr>
          <w:rFonts w:ascii="Palatino Linotype" w:hAnsi="Palatino Linotype"/>
        </w:rPr>
        <w:t xml:space="preserve"> E (2016) A Comparative Analysis of Soft Power in the MENA Region: The Impact of Ethnic, Sectarian, and Religious Identity on Soft Power in Iraq an</w:t>
      </w:r>
      <w:r w:rsidR="00A0338D">
        <w:rPr>
          <w:rFonts w:ascii="Palatino Linotype" w:hAnsi="Palatino Linotype"/>
        </w:rPr>
        <w:t>d Egypt Foreign Policy Analysis</w:t>
      </w:r>
      <w:r w:rsidRPr="00C651C9">
        <w:rPr>
          <w:rFonts w:ascii="Palatino Linotype" w:hAnsi="Palatino Linotype"/>
        </w:rPr>
        <w:t>.</w:t>
      </w:r>
      <w:r w:rsidR="00A0338D">
        <w:rPr>
          <w:rFonts w:ascii="Palatino Linotype" w:hAnsi="Palatino Linotype"/>
        </w:rPr>
        <w:t xml:space="preserve"> </w:t>
      </w:r>
      <w:r w:rsidRPr="00C651C9">
        <w:rPr>
          <w:rFonts w:ascii="Palatino Linotype" w:hAnsi="Palatino Linotype"/>
          <w:i/>
        </w:rPr>
        <w:t>Foreign Policy Analysis,</w:t>
      </w:r>
      <w:r w:rsidRPr="00C651C9">
        <w:t xml:space="preserve"> </w:t>
      </w:r>
      <w:r w:rsidRPr="00C651C9">
        <w:rPr>
          <w:rFonts w:ascii="Palatino Linotype" w:hAnsi="Palatino Linotype"/>
        </w:rPr>
        <w:t>12</w:t>
      </w:r>
      <w:r w:rsidR="00A0338D">
        <w:rPr>
          <w:rFonts w:ascii="Palatino Linotype" w:hAnsi="Palatino Linotype"/>
        </w:rPr>
        <w:t>(3):</w:t>
      </w:r>
      <w:r w:rsidRPr="00C651C9">
        <w:rPr>
          <w:rFonts w:ascii="Palatino Linotype" w:hAnsi="Palatino Linotype"/>
        </w:rPr>
        <w:t xml:space="preserve"> 354–373.</w:t>
      </w:r>
    </w:p>
    <w:p w14:paraId="66F2417F" w14:textId="77777777"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Lefebvre H (1972) </w:t>
      </w:r>
      <w:r w:rsidRPr="00C651C9">
        <w:rPr>
          <w:rFonts w:ascii="Palatino Linotype" w:hAnsi="Palatino Linotype"/>
          <w:i/>
        </w:rPr>
        <w:t xml:space="preserve">Le Droit à La Ville </w:t>
      </w:r>
      <w:proofErr w:type="spellStart"/>
      <w:r w:rsidRPr="00C651C9">
        <w:rPr>
          <w:rFonts w:ascii="Palatino Linotype" w:hAnsi="Palatino Linotype"/>
          <w:i/>
        </w:rPr>
        <w:t>Suivi</w:t>
      </w:r>
      <w:proofErr w:type="spellEnd"/>
      <w:r w:rsidRPr="00C651C9">
        <w:rPr>
          <w:rFonts w:ascii="Palatino Linotype" w:hAnsi="Palatino Linotype"/>
          <w:i/>
        </w:rPr>
        <w:t xml:space="preserve"> de </w:t>
      </w:r>
      <w:proofErr w:type="spellStart"/>
      <w:r w:rsidRPr="00C651C9">
        <w:rPr>
          <w:rFonts w:ascii="Palatino Linotype" w:hAnsi="Palatino Linotype"/>
          <w:i/>
        </w:rPr>
        <w:t>Espace</w:t>
      </w:r>
      <w:proofErr w:type="spellEnd"/>
      <w:r w:rsidRPr="00C651C9">
        <w:rPr>
          <w:rFonts w:ascii="Palatino Linotype" w:hAnsi="Palatino Linotype"/>
          <w:i/>
        </w:rPr>
        <w:t xml:space="preserve"> et Politique</w:t>
      </w:r>
      <w:r w:rsidR="00393AE8">
        <w:rPr>
          <w:rFonts w:ascii="Palatino Linotype" w:hAnsi="Palatino Linotype"/>
          <w:i/>
        </w:rPr>
        <w:t>.</w:t>
      </w:r>
      <w:r w:rsidR="00393AE8">
        <w:rPr>
          <w:rFonts w:ascii="Palatino Linotype" w:hAnsi="Palatino Linotype"/>
        </w:rPr>
        <w:t xml:space="preserve"> Paris: </w:t>
      </w:r>
      <w:proofErr w:type="spellStart"/>
      <w:r w:rsidR="00393AE8">
        <w:rPr>
          <w:rFonts w:ascii="Palatino Linotype" w:hAnsi="Palatino Linotype"/>
        </w:rPr>
        <w:t>Antropos</w:t>
      </w:r>
      <w:proofErr w:type="spellEnd"/>
      <w:r w:rsidR="00393AE8">
        <w:rPr>
          <w:rFonts w:ascii="Palatino Linotype" w:hAnsi="Palatino Linotype"/>
        </w:rPr>
        <w:t>.</w:t>
      </w:r>
    </w:p>
    <w:p w14:paraId="76C78F9B" w14:textId="77777777" w:rsidR="00141C6F" w:rsidRPr="00141C6F" w:rsidRDefault="00141C6F" w:rsidP="00141C6F">
      <w:pPr>
        <w:autoSpaceDE w:val="0"/>
        <w:autoSpaceDN w:val="0"/>
        <w:adjustRightInd w:val="0"/>
        <w:spacing w:after="120"/>
        <w:jc w:val="both"/>
        <w:rPr>
          <w:rFonts w:ascii="Palatino Linotype" w:hAnsi="Palatino Linotype"/>
          <w:bCs/>
        </w:rPr>
      </w:pPr>
      <w:proofErr w:type="spellStart"/>
      <w:r w:rsidRPr="00141C6F">
        <w:rPr>
          <w:rFonts w:ascii="Palatino Linotype" w:hAnsi="Palatino Linotype"/>
          <w:bCs/>
        </w:rPr>
        <w:t>Luban</w:t>
      </w:r>
      <w:proofErr w:type="spellEnd"/>
      <w:r w:rsidRPr="00141C6F">
        <w:rPr>
          <w:rFonts w:ascii="Palatino Linotype" w:hAnsi="Palatino Linotype"/>
          <w:bCs/>
        </w:rPr>
        <w:t xml:space="preserve"> D (2010) Carl Schmitt and the Critique of Lawfare. </w:t>
      </w:r>
      <w:r w:rsidRPr="00141C6F">
        <w:rPr>
          <w:rFonts w:ascii="Palatino Linotype" w:hAnsi="Palatino Linotype"/>
          <w:bCs/>
          <w:i/>
        </w:rPr>
        <w:t>Case Western Reserve Journal of International Law</w:t>
      </w:r>
      <w:r w:rsidRPr="00141C6F">
        <w:rPr>
          <w:rFonts w:ascii="Palatino Linotype" w:hAnsi="Palatino Linotype"/>
          <w:bCs/>
        </w:rPr>
        <w:t xml:space="preserve"> 43 (1/2): 457-471.</w:t>
      </w:r>
    </w:p>
    <w:p w14:paraId="60DD31C8" w14:textId="77777777" w:rsidR="00E371FB" w:rsidRPr="00C651C9" w:rsidRDefault="00393AE8" w:rsidP="005D0BC8">
      <w:pPr>
        <w:autoSpaceDE w:val="0"/>
        <w:autoSpaceDN w:val="0"/>
        <w:adjustRightInd w:val="0"/>
        <w:spacing w:after="120"/>
        <w:jc w:val="both"/>
        <w:rPr>
          <w:rFonts w:ascii="Palatino Linotype" w:hAnsi="Palatino Linotype"/>
          <w:bCs/>
        </w:rPr>
      </w:pPr>
      <w:r>
        <w:rPr>
          <w:rFonts w:ascii="Palatino Linotype" w:hAnsi="Palatino Linotype"/>
          <w:bCs/>
        </w:rPr>
        <w:t>Malamud-</w:t>
      </w:r>
      <w:proofErr w:type="spellStart"/>
      <w:r>
        <w:rPr>
          <w:rFonts w:ascii="Palatino Linotype" w:hAnsi="Palatino Linotype"/>
          <w:bCs/>
        </w:rPr>
        <w:t>Goti</w:t>
      </w:r>
      <w:proofErr w:type="spellEnd"/>
      <w:r w:rsidR="00E371FB" w:rsidRPr="00C651C9">
        <w:rPr>
          <w:rFonts w:ascii="Palatino Linotype" w:hAnsi="Palatino Linotype"/>
          <w:bCs/>
        </w:rPr>
        <w:t xml:space="preserve"> J (1990) ‘Transitional Governments in the Breach: Why punish state criminals?’ </w:t>
      </w:r>
      <w:r w:rsidR="00E371FB" w:rsidRPr="00C651C9">
        <w:rPr>
          <w:rFonts w:ascii="Palatino Linotype" w:hAnsi="Palatino Linotype"/>
          <w:bCs/>
          <w:i/>
        </w:rPr>
        <w:t>Human Rights Quarterly</w:t>
      </w:r>
      <w:r w:rsidR="00E371FB" w:rsidRPr="00C651C9">
        <w:rPr>
          <w:rFonts w:ascii="Palatino Linotype" w:hAnsi="Palatino Linotype"/>
          <w:bCs/>
        </w:rPr>
        <w:t xml:space="preserve"> 12</w:t>
      </w:r>
      <w:r>
        <w:rPr>
          <w:rFonts w:ascii="Palatino Linotype" w:hAnsi="Palatino Linotype"/>
          <w:bCs/>
        </w:rPr>
        <w:t xml:space="preserve"> (1):</w:t>
      </w:r>
      <w:r w:rsidR="00E371FB" w:rsidRPr="00C651C9">
        <w:rPr>
          <w:rFonts w:ascii="Palatino Linotype" w:hAnsi="Palatino Linotype"/>
          <w:bCs/>
        </w:rPr>
        <w:t xml:space="preserve"> 1-16.</w:t>
      </w:r>
    </w:p>
    <w:p w14:paraId="20CBA4E4" w14:textId="77777777" w:rsidR="00E371FB" w:rsidRPr="00C651C9" w:rsidRDefault="00393AE8" w:rsidP="005D0BC8">
      <w:pPr>
        <w:spacing w:after="120"/>
        <w:jc w:val="both"/>
        <w:rPr>
          <w:rFonts w:ascii="Palatino Linotype" w:hAnsi="Palatino Linotype"/>
        </w:rPr>
      </w:pPr>
      <w:r>
        <w:rPr>
          <w:rFonts w:ascii="Palatino Linotype" w:hAnsi="Palatino Linotype"/>
        </w:rPr>
        <w:lastRenderedPageBreak/>
        <w:t>Migdal J (1988)</w:t>
      </w:r>
      <w:r w:rsidR="00E371FB" w:rsidRPr="00C651C9">
        <w:rPr>
          <w:rFonts w:ascii="Palatino Linotype" w:hAnsi="Palatino Linotype"/>
        </w:rPr>
        <w:t xml:space="preserve"> </w:t>
      </w:r>
      <w:r w:rsidR="00E371FB" w:rsidRPr="00C651C9">
        <w:rPr>
          <w:rFonts w:ascii="Palatino Linotype" w:hAnsi="Palatino Linotype"/>
          <w:i/>
        </w:rPr>
        <w:t>Strong societies and weak states: state-society relations and state capabilities in the Third World</w:t>
      </w:r>
      <w:r w:rsidR="00E371FB" w:rsidRPr="00C651C9">
        <w:rPr>
          <w:rFonts w:ascii="Palatino Linotype" w:hAnsi="Palatino Linotype"/>
        </w:rPr>
        <w:t>. Princeton: Princeton University Press.</w:t>
      </w:r>
    </w:p>
    <w:p w14:paraId="358D09ED" w14:textId="71655EF6" w:rsidR="007521C4" w:rsidRPr="006170B3" w:rsidRDefault="007521C4" w:rsidP="007521C4">
      <w:pPr>
        <w:spacing w:after="120"/>
        <w:jc w:val="both"/>
        <w:rPr>
          <w:rFonts w:ascii="Palatino Linotype" w:hAnsi="Palatino Linotype"/>
        </w:rPr>
      </w:pPr>
      <w:r w:rsidRPr="006170B3">
        <w:rPr>
          <w:rFonts w:ascii="Palatino Linotype" w:hAnsi="Palatino Linotype"/>
          <w:bCs/>
        </w:rPr>
        <w:t xml:space="preserve">Morrissey J (2011) </w:t>
      </w:r>
      <w:r w:rsidRPr="006170B3">
        <w:rPr>
          <w:rFonts w:ascii="Palatino Linotype" w:hAnsi="Palatino Linotype"/>
        </w:rPr>
        <w:t xml:space="preserve">Architects of Empire: The Military–Strategic Studies Complex and the Scripting of US National Security. </w:t>
      </w:r>
      <w:r w:rsidRPr="006170B3">
        <w:rPr>
          <w:rFonts w:ascii="Palatino Linotype" w:hAnsi="Palatino Linotype"/>
          <w:i/>
        </w:rPr>
        <w:t>Antipode</w:t>
      </w:r>
      <w:r w:rsidRPr="006170B3">
        <w:rPr>
          <w:rFonts w:ascii="Palatino Linotype" w:hAnsi="Palatino Linotype"/>
        </w:rPr>
        <w:t xml:space="preserve">, 43(2): 435–470. </w:t>
      </w:r>
    </w:p>
    <w:p w14:paraId="4714B2D8" w14:textId="31A8E1E8"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Prakash A </w:t>
      </w:r>
      <w:r w:rsidR="009C07DC">
        <w:rPr>
          <w:rFonts w:ascii="Palatino Linotype" w:hAnsi="Palatino Linotype"/>
        </w:rPr>
        <w:t>and</w:t>
      </w:r>
      <w:r w:rsidRPr="00C651C9">
        <w:rPr>
          <w:rFonts w:ascii="Palatino Linotype" w:hAnsi="Palatino Linotype"/>
        </w:rPr>
        <w:t xml:space="preserve"> Potoski M (2016) Dysfunctional institutions? Toward a New Agenda in Governance Studies.</w:t>
      </w:r>
      <w:r w:rsidR="009C07DC">
        <w:rPr>
          <w:rFonts w:ascii="Palatino Linotype" w:hAnsi="Palatino Linotype"/>
        </w:rPr>
        <w:t xml:space="preserve"> </w:t>
      </w:r>
      <w:r w:rsidRPr="00C651C9">
        <w:rPr>
          <w:rFonts w:ascii="Palatino Linotype" w:hAnsi="Palatino Linotype"/>
          <w:i/>
        </w:rPr>
        <w:t>Regulation &amp; Governance</w:t>
      </w:r>
      <w:r w:rsidRPr="00C651C9">
        <w:rPr>
          <w:rFonts w:ascii="Palatino Linotype" w:hAnsi="Palatino Linotype"/>
        </w:rPr>
        <w:t xml:space="preserve"> 10</w:t>
      </w:r>
      <w:r w:rsidR="009C07DC">
        <w:rPr>
          <w:rFonts w:ascii="Palatino Linotype" w:hAnsi="Palatino Linotype"/>
        </w:rPr>
        <w:t>(2):</w:t>
      </w:r>
      <w:r w:rsidRPr="00C651C9">
        <w:rPr>
          <w:rFonts w:ascii="Palatino Linotype" w:hAnsi="Palatino Linotype"/>
        </w:rPr>
        <w:t xml:space="preserve"> 115–125.</w:t>
      </w:r>
    </w:p>
    <w:p w14:paraId="001DD6C6" w14:textId="36EF5BCC" w:rsidR="00E371FB" w:rsidRPr="00C651C9" w:rsidRDefault="00E371FB" w:rsidP="005D0BC8">
      <w:pPr>
        <w:autoSpaceDE w:val="0"/>
        <w:autoSpaceDN w:val="0"/>
        <w:adjustRightInd w:val="0"/>
        <w:spacing w:after="120"/>
        <w:jc w:val="both"/>
        <w:rPr>
          <w:rFonts w:ascii="Palatino Linotype" w:hAnsi="Palatino Linotype"/>
          <w:bCs/>
        </w:rPr>
      </w:pPr>
      <w:proofErr w:type="spellStart"/>
      <w:r w:rsidRPr="00C651C9">
        <w:rPr>
          <w:rFonts w:ascii="Palatino Linotype" w:hAnsi="Palatino Linotype"/>
          <w:bCs/>
        </w:rPr>
        <w:t>Putzel</w:t>
      </w:r>
      <w:proofErr w:type="spellEnd"/>
      <w:r w:rsidRPr="00C651C9">
        <w:rPr>
          <w:rFonts w:ascii="Palatino Linotype" w:hAnsi="Palatino Linotype"/>
          <w:bCs/>
        </w:rPr>
        <w:t xml:space="preserve"> J (2006) Cracks in the US Empire: Unilateralism, the </w:t>
      </w:r>
      <w:r w:rsidR="00EF0568">
        <w:rPr>
          <w:rFonts w:ascii="Palatino Linotype" w:hAnsi="Palatino Linotype"/>
          <w:bCs/>
        </w:rPr>
        <w:t>‘</w:t>
      </w:r>
      <w:r w:rsidRPr="00C651C9">
        <w:rPr>
          <w:rFonts w:ascii="Palatino Linotype" w:hAnsi="Palatino Linotype"/>
          <w:bCs/>
        </w:rPr>
        <w:t xml:space="preserve">War on </w:t>
      </w:r>
      <w:r w:rsidR="006276D0">
        <w:rPr>
          <w:rFonts w:ascii="Palatino Linotype" w:hAnsi="Palatino Linotype"/>
          <w:bCs/>
        </w:rPr>
        <w:t>Terror</w:t>
      </w:r>
      <w:r w:rsidR="00EF0568">
        <w:rPr>
          <w:rFonts w:ascii="Palatino Linotype" w:hAnsi="Palatino Linotype"/>
          <w:bCs/>
        </w:rPr>
        <w:t>’</w:t>
      </w:r>
      <w:r w:rsidR="006276D0">
        <w:rPr>
          <w:rFonts w:ascii="Palatino Linotype" w:hAnsi="Palatino Linotype"/>
          <w:bCs/>
        </w:rPr>
        <w:t xml:space="preserve"> and the Developing World</w:t>
      </w:r>
      <w:r w:rsidRPr="00C651C9">
        <w:rPr>
          <w:rFonts w:ascii="Palatino Linotype" w:hAnsi="Palatino Linotype"/>
          <w:bCs/>
        </w:rPr>
        <w:t>.</w:t>
      </w:r>
      <w:r w:rsidR="00EF0568">
        <w:rPr>
          <w:rFonts w:ascii="Palatino Linotype" w:hAnsi="Palatino Linotype"/>
          <w:bCs/>
        </w:rPr>
        <w:t xml:space="preserve"> </w:t>
      </w:r>
      <w:r w:rsidRPr="00C651C9">
        <w:rPr>
          <w:rFonts w:ascii="Palatino Linotype" w:hAnsi="Palatino Linotype"/>
          <w:bCs/>
          <w:i/>
        </w:rPr>
        <w:t>Journal of International Development</w:t>
      </w:r>
      <w:r w:rsidRPr="00C651C9">
        <w:rPr>
          <w:rFonts w:ascii="Palatino Linotype" w:hAnsi="Palatino Linotype"/>
          <w:bCs/>
        </w:rPr>
        <w:t xml:space="preserve"> 18</w:t>
      </w:r>
      <w:r w:rsidR="006276D0">
        <w:rPr>
          <w:rFonts w:ascii="Palatino Linotype" w:hAnsi="Palatino Linotype"/>
          <w:bCs/>
        </w:rPr>
        <w:t>(1): 69-85.</w:t>
      </w:r>
    </w:p>
    <w:p w14:paraId="13C5164A" w14:textId="17A164C6" w:rsidR="00E371FB" w:rsidRPr="00C651C9" w:rsidRDefault="00E371FB" w:rsidP="005D0BC8">
      <w:pPr>
        <w:autoSpaceDE w:val="0"/>
        <w:autoSpaceDN w:val="0"/>
        <w:adjustRightInd w:val="0"/>
        <w:spacing w:after="120"/>
        <w:jc w:val="both"/>
        <w:rPr>
          <w:rFonts w:ascii="Palatino Linotype" w:hAnsi="Palatino Linotype"/>
          <w:bCs/>
        </w:rPr>
      </w:pPr>
      <w:r w:rsidRPr="00C651C9">
        <w:rPr>
          <w:rFonts w:ascii="Palatino Linotype" w:hAnsi="Palatino Linotype"/>
          <w:bCs/>
        </w:rPr>
        <w:t>Richmond O (2010) Resistance and the Post-Liberal Peace</w:t>
      </w:r>
      <w:r w:rsidR="00EF0568">
        <w:rPr>
          <w:rFonts w:ascii="Palatino Linotype" w:hAnsi="Palatino Linotype"/>
          <w:bCs/>
        </w:rPr>
        <w:t xml:space="preserve">. </w:t>
      </w:r>
      <w:r w:rsidRPr="00C651C9">
        <w:rPr>
          <w:rFonts w:ascii="Palatino Linotype" w:hAnsi="Palatino Linotype"/>
          <w:bCs/>
          <w:i/>
        </w:rPr>
        <w:t xml:space="preserve">Millennium: Journal of International Studies </w:t>
      </w:r>
      <w:r w:rsidRPr="00C651C9">
        <w:rPr>
          <w:rFonts w:ascii="Palatino Linotype" w:hAnsi="Palatino Linotype"/>
          <w:bCs/>
        </w:rPr>
        <w:t>38</w:t>
      </w:r>
      <w:r w:rsidR="00EF0568">
        <w:rPr>
          <w:rFonts w:ascii="Palatino Linotype" w:hAnsi="Palatino Linotype"/>
          <w:bCs/>
        </w:rPr>
        <w:t>(3):</w:t>
      </w:r>
      <w:r w:rsidRPr="00C651C9">
        <w:rPr>
          <w:rFonts w:ascii="Palatino Linotype" w:hAnsi="Palatino Linotype"/>
          <w:bCs/>
        </w:rPr>
        <w:t xml:space="preserve"> 665–692.</w:t>
      </w:r>
    </w:p>
    <w:p w14:paraId="0AF4DCBE" w14:textId="77777777" w:rsidR="00141C6F" w:rsidRDefault="00141C6F" w:rsidP="00141C6F">
      <w:pPr>
        <w:spacing w:after="120"/>
        <w:jc w:val="both"/>
        <w:rPr>
          <w:rFonts w:ascii="Palatino Linotype" w:hAnsi="Palatino Linotype"/>
          <w:bCs/>
        </w:rPr>
      </w:pPr>
      <w:proofErr w:type="spellStart"/>
      <w:r w:rsidRPr="00141C6F">
        <w:rPr>
          <w:rFonts w:ascii="Palatino Linotype" w:hAnsi="Palatino Linotype"/>
          <w:bCs/>
        </w:rPr>
        <w:t>Sarat</w:t>
      </w:r>
      <w:proofErr w:type="spellEnd"/>
      <w:r w:rsidRPr="00141C6F">
        <w:rPr>
          <w:rFonts w:ascii="Palatino Linotype" w:hAnsi="Palatino Linotype"/>
          <w:bCs/>
        </w:rPr>
        <w:t xml:space="preserve"> A and Kearns TR (eds) (1995) </w:t>
      </w:r>
      <w:r w:rsidRPr="00141C6F">
        <w:rPr>
          <w:rFonts w:ascii="Palatino Linotype" w:hAnsi="Palatino Linotype"/>
          <w:bCs/>
          <w:i/>
        </w:rPr>
        <w:t>Law’s Violence</w:t>
      </w:r>
      <w:r w:rsidRPr="00141C6F">
        <w:rPr>
          <w:rFonts w:ascii="Palatino Linotype" w:hAnsi="Palatino Linotype"/>
          <w:bCs/>
        </w:rPr>
        <w:t>. Ann Arbor: University of Michigan Press.</w:t>
      </w:r>
    </w:p>
    <w:p w14:paraId="57A40D2D" w14:textId="77777777" w:rsidR="000753BC" w:rsidRPr="000753BC" w:rsidRDefault="000753BC" w:rsidP="005D0BC8">
      <w:pPr>
        <w:spacing w:after="120"/>
        <w:jc w:val="both"/>
        <w:rPr>
          <w:rFonts w:ascii="Palatino Linotype" w:hAnsi="Palatino Linotype"/>
        </w:rPr>
      </w:pPr>
      <w:r w:rsidRPr="000753BC">
        <w:rPr>
          <w:rFonts w:ascii="Palatino Linotype" w:hAnsi="Palatino Linotype"/>
        </w:rPr>
        <w:t>Sibley</w:t>
      </w:r>
      <w:r>
        <w:rPr>
          <w:rFonts w:ascii="Palatino Linotype" w:hAnsi="Palatino Linotype"/>
        </w:rPr>
        <w:t xml:space="preserve"> D (1995) </w:t>
      </w:r>
      <w:r w:rsidRPr="000753BC">
        <w:rPr>
          <w:rFonts w:ascii="Palatino Linotype" w:hAnsi="Palatino Linotype"/>
          <w:i/>
        </w:rPr>
        <w:t>Geographies of Exclusion: Society and Difference in the West</w:t>
      </w:r>
      <w:r w:rsidR="00EF0568">
        <w:rPr>
          <w:rFonts w:ascii="Palatino Linotype" w:hAnsi="Palatino Linotype"/>
          <w:i/>
        </w:rPr>
        <w:t>.</w:t>
      </w:r>
      <w:r>
        <w:rPr>
          <w:rFonts w:ascii="Palatino Linotype" w:hAnsi="Palatino Linotype"/>
          <w:i/>
        </w:rPr>
        <w:t xml:space="preserve"> </w:t>
      </w:r>
      <w:r>
        <w:rPr>
          <w:rFonts w:ascii="Palatino Linotype" w:hAnsi="Palatino Linotype"/>
        </w:rPr>
        <w:t xml:space="preserve">London: Routledge. </w:t>
      </w:r>
    </w:p>
    <w:p w14:paraId="4B9A64E4" w14:textId="77777777" w:rsidR="00B9799C" w:rsidRDefault="00E371FB" w:rsidP="005D0BC8">
      <w:pPr>
        <w:autoSpaceDE w:val="0"/>
        <w:autoSpaceDN w:val="0"/>
        <w:adjustRightInd w:val="0"/>
        <w:spacing w:after="120"/>
        <w:jc w:val="both"/>
      </w:pPr>
      <w:proofErr w:type="spellStart"/>
      <w:r w:rsidRPr="00C651C9">
        <w:rPr>
          <w:rFonts w:ascii="Palatino Linotype" w:hAnsi="Palatino Linotype"/>
          <w:bCs/>
        </w:rPr>
        <w:t>Sissons</w:t>
      </w:r>
      <w:proofErr w:type="spellEnd"/>
      <w:r w:rsidRPr="00C651C9">
        <w:rPr>
          <w:rFonts w:ascii="Palatino Linotype" w:hAnsi="Palatino Linotype"/>
          <w:bCs/>
        </w:rPr>
        <w:t xml:space="preserve"> M</w:t>
      </w:r>
      <w:r w:rsidR="00EF0568">
        <w:rPr>
          <w:rFonts w:ascii="Palatino Linotype" w:hAnsi="Palatino Linotype"/>
          <w:bCs/>
        </w:rPr>
        <w:t xml:space="preserve"> and</w:t>
      </w:r>
      <w:r w:rsidRPr="00C651C9">
        <w:rPr>
          <w:rFonts w:ascii="Palatino Linotype" w:hAnsi="Palatino Linotype"/>
          <w:bCs/>
        </w:rPr>
        <w:t xml:space="preserve"> Al-</w:t>
      </w:r>
      <w:proofErr w:type="spellStart"/>
      <w:r w:rsidRPr="00C651C9">
        <w:rPr>
          <w:rFonts w:ascii="Palatino Linotype" w:hAnsi="Palatino Linotype"/>
          <w:bCs/>
        </w:rPr>
        <w:t>Saiedi</w:t>
      </w:r>
      <w:proofErr w:type="spellEnd"/>
      <w:r w:rsidRPr="00C651C9">
        <w:rPr>
          <w:rFonts w:ascii="Palatino Linotype" w:hAnsi="Palatino Linotype"/>
          <w:bCs/>
        </w:rPr>
        <w:t xml:space="preserve"> A (2013) A Bitter Legacy: Lessons of De-Baathification in Iraq</w:t>
      </w:r>
      <w:r w:rsidR="008F0050">
        <w:rPr>
          <w:rFonts w:ascii="Palatino Linotype" w:hAnsi="Palatino Linotype"/>
          <w:bCs/>
        </w:rPr>
        <w:t>. Available at:</w:t>
      </w:r>
      <w:r w:rsidRPr="00C651C9">
        <w:rPr>
          <w:rFonts w:ascii="Palatino Linotype" w:hAnsi="Palatino Linotype"/>
          <w:bCs/>
        </w:rPr>
        <w:t xml:space="preserve"> https://www.ictj.org/sites/default/files/ICTJ-Report-Iraq-De-Baathification-2013-ENG.pdf (</w:t>
      </w:r>
      <w:r w:rsidR="008F0050">
        <w:rPr>
          <w:rFonts w:ascii="Palatino Linotype" w:hAnsi="Palatino Linotype"/>
          <w:bCs/>
        </w:rPr>
        <w:t>accessed 1 January 2017</w:t>
      </w:r>
      <w:r w:rsidRPr="00C651C9">
        <w:rPr>
          <w:rFonts w:ascii="Palatino Linotype" w:hAnsi="Palatino Linotype"/>
          <w:bCs/>
        </w:rPr>
        <w:t>).</w:t>
      </w:r>
      <w:r w:rsidR="00B9799C" w:rsidRPr="00B9799C">
        <w:t xml:space="preserve"> </w:t>
      </w:r>
    </w:p>
    <w:p w14:paraId="6D1584CE" w14:textId="14460D09" w:rsidR="00E371FB" w:rsidRPr="00C651C9" w:rsidRDefault="001308D3" w:rsidP="005D0BC8">
      <w:pPr>
        <w:autoSpaceDE w:val="0"/>
        <w:autoSpaceDN w:val="0"/>
        <w:adjustRightInd w:val="0"/>
        <w:spacing w:after="120"/>
        <w:jc w:val="both"/>
        <w:rPr>
          <w:rFonts w:ascii="Palatino Linotype" w:hAnsi="Palatino Linotype"/>
          <w:bCs/>
        </w:rPr>
      </w:pPr>
      <w:r>
        <w:rPr>
          <w:rFonts w:ascii="Palatino Linotype" w:hAnsi="Palatino Linotype"/>
          <w:bCs/>
        </w:rPr>
        <w:t xml:space="preserve">Stover E, </w:t>
      </w:r>
      <w:proofErr w:type="spellStart"/>
      <w:r>
        <w:rPr>
          <w:rFonts w:ascii="Palatino Linotype" w:hAnsi="Palatino Linotype"/>
          <w:bCs/>
        </w:rPr>
        <w:t>Megally</w:t>
      </w:r>
      <w:proofErr w:type="spellEnd"/>
      <w:r>
        <w:rPr>
          <w:rFonts w:ascii="Palatino Linotype" w:hAnsi="Palatino Linotype"/>
          <w:bCs/>
        </w:rPr>
        <w:t xml:space="preserve"> H and</w:t>
      </w:r>
      <w:r w:rsidR="00E371FB" w:rsidRPr="00C651C9">
        <w:rPr>
          <w:rFonts w:ascii="Palatino Linotype" w:hAnsi="Palatino Linotype"/>
          <w:bCs/>
        </w:rPr>
        <w:t xml:space="preserve"> Mufti H (2005) </w:t>
      </w:r>
      <w:proofErr w:type="gramStart"/>
      <w:r>
        <w:rPr>
          <w:rFonts w:ascii="Palatino Linotype" w:hAnsi="Palatino Linotype"/>
          <w:bCs/>
        </w:rPr>
        <w:t>Bremer’s  “</w:t>
      </w:r>
      <w:proofErr w:type="gramEnd"/>
      <w:r>
        <w:rPr>
          <w:rFonts w:ascii="Palatino Linotype" w:hAnsi="Palatino Linotype"/>
          <w:bCs/>
        </w:rPr>
        <w:t>Gordian knot”</w:t>
      </w:r>
      <w:r w:rsidR="00E371FB" w:rsidRPr="00C651C9">
        <w:rPr>
          <w:rFonts w:ascii="Palatino Linotype" w:hAnsi="Palatino Linotype"/>
          <w:bCs/>
        </w:rPr>
        <w:t xml:space="preserve">: Transitional Justice and the US Occupation of Iraq’. </w:t>
      </w:r>
      <w:r w:rsidR="00E371FB" w:rsidRPr="001308D3">
        <w:rPr>
          <w:rFonts w:ascii="Palatino Linotype" w:hAnsi="Palatino Linotype"/>
          <w:bCs/>
          <w:i/>
        </w:rPr>
        <w:t>Human Rights Quarterly</w:t>
      </w:r>
      <w:r w:rsidR="00E371FB" w:rsidRPr="00C651C9">
        <w:rPr>
          <w:rFonts w:ascii="Palatino Linotype" w:hAnsi="Palatino Linotype"/>
          <w:bCs/>
        </w:rPr>
        <w:t xml:space="preserve"> 27</w:t>
      </w:r>
      <w:r>
        <w:rPr>
          <w:rFonts w:ascii="Palatino Linotype" w:hAnsi="Palatino Linotype"/>
          <w:bCs/>
        </w:rPr>
        <w:t>(3):</w:t>
      </w:r>
      <w:r w:rsidR="00E371FB" w:rsidRPr="00C651C9">
        <w:rPr>
          <w:rFonts w:ascii="Palatino Linotype" w:hAnsi="Palatino Linotype"/>
          <w:bCs/>
        </w:rPr>
        <w:t xml:space="preserve"> 830–</w:t>
      </w:r>
      <w:r>
        <w:rPr>
          <w:rFonts w:ascii="Palatino Linotype" w:hAnsi="Palatino Linotype"/>
          <w:bCs/>
        </w:rPr>
        <w:t>8</w:t>
      </w:r>
      <w:r w:rsidR="00E371FB" w:rsidRPr="00C651C9">
        <w:rPr>
          <w:rFonts w:ascii="Palatino Linotype" w:hAnsi="Palatino Linotype"/>
          <w:bCs/>
        </w:rPr>
        <w:t>57.</w:t>
      </w:r>
    </w:p>
    <w:p w14:paraId="6D94B6DD" w14:textId="5E6EBE53" w:rsidR="00E371FB" w:rsidRPr="00C651C9" w:rsidRDefault="001308D3" w:rsidP="005D0BC8">
      <w:pPr>
        <w:spacing w:after="120"/>
        <w:jc w:val="both"/>
        <w:rPr>
          <w:rFonts w:ascii="Palatino Linotype" w:hAnsi="Palatino Linotype"/>
        </w:rPr>
      </w:pPr>
      <w:r>
        <w:rPr>
          <w:rFonts w:ascii="Palatino Linotype" w:hAnsi="Palatino Linotype"/>
        </w:rPr>
        <w:t xml:space="preserve">Stover E, </w:t>
      </w:r>
      <w:proofErr w:type="spellStart"/>
      <w:r>
        <w:rPr>
          <w:rFonts w:ascii="Palatino Linotype" w:hAnsi="Palatino Linotype"/>
        </w:rPr>
        <w:t>Sissons</w:t>
      </w:r>
      <w:proofErr w:type="spellEnd"/>
      <w:r>
        <w:rPr>
          <w:rFonts w:ascii="Palatino Linotype" w:hAnsi="Palatino Linotype"/>
        </w:rPr>
        <w:t xml:space="preserve"> M,</w:t>
      </w:r>
      <w:r w:rsidR="00E371FB" w:rsidRPr="00C651C9">
        <w:rPr>
          <w:rFonts w:ascii="Palatino Linotype" w:hAnsi="Palatino Linotype"/>
        </w:rPr>
        <w:t xml:space="preserve"> Phuong P</w:t>
      </w:r>
      <w:r>
        <w:rPr>
          <w:rFonts w:ascii="Palatino Linotype" w:hAnsi="Palatino Linotype"/>
        </w:rPr>
        <w:t xml:space="preserve"> et al</w:t>
      </w:r>
      <w:r w:rsidR="00E371FB" w:rsidRPr="00C651C9">
        <w:rPr>
          <w:rFonts w:ascii="Palatino Linotype" w:hAnsi="Palatino Linotype"/>
        </w:rPr>
        <w:t xml:space="preserve"> (2008) Justice on Hold: Accountability and</w:t>
      </w:r>
      <w:r>
        <w:rPr>
          <w:rFonts w:ascii="Palatino Linotype" w:hAnsi="Palatino Linotype"/>
        </w:rPr>
        <w:t xml:space="preserve"> Social reconstruction in Iraq</w:t>
      </w:r>
      <w:r w:rsidR="00E371FB" w:rsidRPr="00C651C9">
        <w:rPr>
          <w:rFonts w:ascii="Palatino Linotype" w:hAnsi="Palatino Linotype"/>
        </w:rPr>
        <w:t xml:space="preserve">. </w:t>
      </w:r>
      <w:r w:rsidR="00E371FB" w:rsidRPr="00C651C9">
        <w:rPr>
          <w:rFonts w:ascii="Palatino Linotype" w:hAnsi="Palatino Linotype"/>
          <w:i/>
        </w:rPr>
        <w:t>International Review of the Red Cross</w:t>
      </w:r>
      <w:r w:rsidR="00E371FB" w:rsidRPr="00C651C9">
        <w:rPr>
          <w:rFonts w:ascii="Palatino Linotype" w:hAnsi="Palatino Linotype"/>
        </w:rPr>
        <w:t xml:space="preserve"> </w:t>
      </w:r>
      <w:r>
        <w:rPr>
          <w:rFonts w:ascii="Palatino Linotype" w:hAnsi="Palatino Linotype"/>
        </w:rPr>
        <w:t>90(</w:t>
      </w:r>
      <w:r w:rsidR="00E371FB" w:rsidRPr="00C651C9">
        <w:rPr>
          <w:rFonts w:ascii="Palatino Linotype" w:hAnsi="Palatino Linotype"/>
        </w:rPr>
        <w:t>869</w:t>
      </w:r>
      <w:r>
        <w:rPr>
          <w:rFonts w:ascii="Palatino Linotype" w:hAnsi="Palatino Linotype"/>
        </w:rPr>
        <w:t>):</w:t>
      </w:r>
      <w:r w:rsidR="00E371FB" w:rsidRPr="00C651C9">
        <w:rPr>
          <w:rFonts w:ascii="Palatino Linotype" w:hAnsi="Palatino Linotype"/>
        </w:rPr>
        <w:t xml:space="preserve"> </w:t>
      </w:r>
      <w:r>
        <w:rPr>
          <w:rFonts w:ascii="Palatino Linotype" w:hAnsi="Palatino Linotype"/>
        </w:rPr>
        <w:t>5-28</w:t>
      </w:r>
      <w:r w:rsidR="00E371FB" w:rsidRPr="00C651C9">
        <w:rPr>
          <w:rFonts w:ascii="Palatino Linotype" w:hAnsi="Palatino Linotype"/>
        </w:rPr>
        <w:t>.</w:t>
      </w:r>
    </w:p>
    <w:p w14:paraId="7D382901" w14:textId="59886EDC" w:rsidR="00141C6F" w:rsidRPr="00141C6F" w:rsidRDefault="00141C6F" w:rsidP="00141C6F">
      <w:pPr>
        <w:spacing w:after="120"/>
        <w:jc w:val="both"/>
        <w:rPr>
          <w:rFonts w:ascii="Palatino Linotype" w:hAnsi="Palatino Linotype"/>
          <w:bCs/>
        </w:rPr>
      </w:pPr>
      <w:proofErr w:type="spellStart"/>
      <w:r w:rsidRPr="00141C6F">
        <w:rPr>
          <w:rFonts w:ascii="Palatino Linotype" w:hAnsi="Palatino Linotype"/>
          <w:bCs/>
        </w:rPr>
        <w:t>Tiefenbrun</w:t>
      </w:r>
      <w:proofErr w:type="spellEnd"/>
      <w:r w:rsidRPr="00141C6F">
        <w:rPr>
          <w:rFonts w:ascii="Palatino Linotype" w:hAnsi="Palatino Linotype"/>
          <w:bCs/>
        </w:rPr>
        <w:t xml:space="preserve"> SW (2010) Semiotic Definition of “Lawfare". </w:t>
      </w:r>
      <w:r w:rsidRPr="00141C6F">
        <w:rPr>
          <w:rFonts w:ascii="Palatino Linotype" w:hAnsi="Palatino Linotype"/>
          <w:bCs/>
          <w:i/>
        </w:rPr>
        <w:t>Case Western Reserve Journal of International Law</w:t>
      </w:r>
      <w:r w:rsidRPr="00141C6F">
        <w:rPr>
          <w:rFonts w:ascii="Palatino Linotype" w:hAnsi="Palatino Linotype"/>
          <w:bCs/>
        </w:rPr>
        <w:t xml:space="preserve"> 43 (1/2): 29-60.</w:t>
      </w:r>
    </w:p>
    <w:p w14:paraId="6E89FAC7" w14:textId="6211DFA9" w:rsidR="00E371FB" w:rsidRPr="00C651C9" w:rsidRDefault="00E371FB" w:rsidP="005D0BC8">
      <w:pPr>
        <w:spacing w:after="120"/>
        <w:jc w:val="both"/>
        <w:rPr>
          <w:rFonts w:ascii="Palatino Linotype" w:hAnsi="Palatino Linotype"/>
        </w:rPr>
      </w:pPr>
      <w:r w:rsidRPr="00C651C9">
        <w:rPr>
          <w:rFonts w:ascii="Palatino Linotype" w:hAnsi="Palatino Linotype"/>
        </w:rPr>
        <w:t xml:space="preserve">Visser R (2007) Ethnicity, </w:t>
      </w:r>
      <w:proofErr w:type="gramStart"/>
      <w:r w:rsidRPr="00C651C9">
        <w:rPr>
          <w:rFonts w:ascii="Palatino Linotype" w:hAnsi="Palatino Linotype"/>
        </w:rPr>
        <w:t>Federalism</w:t>
      </w:r>
      <w:proofErr w:type="gramEnd"/>
      <w:r w:rsidRPr="00C651C9">
        <w:rPr>
          <w:rFonts w:ascii="Palatino Linotype" w:hAnsi="Palatino Linotype"/>
        </w:rPr>
        <w:t xml:space="preserve"> and the idea of sectarian c</w:t>
      </w:r>
      <w:r w:rsidR="001308D3">
        <w:rPr>
          <w:rFonts w:ascii="Palatino Linotype" w:hAnsi="Palatino Linotype"/>
        </w:rPr>
        <w:t>itizenship in Iraq: A Critique.</w:t>
      </w:r>
      <w:r w:rsidRPr="00C651C9">
        <w:rPr>
          <w:rFonts w:ascii="Palatino Linotype" w:hAnsi="Palatino Linotype"/>
        </w:rPr>
        <w:t xml:space="preserve"> </w:t>
      </w:r>
      <w:r w:rsidRPr="001308D3">
        <w:rPr>
          <w:rFonts w:ascii="Palatino Linotype" w:hAnsi="Palatino Linotype"/>
          <w:i/>
        </w:rPr>
        <w:t>International Review of the Red Cross</w:t>
      </w:r>
      <w:r w:rsidRPr="00C651C9">
        <w:rPr>
          <w:rFonts w:ascii="Palatino Linotype" w:hAnsi="Palatino Linotype"/>
        </w:rPr>
        <w:t xml:space="preserve"> 89</w:t>
      </w:r>
      <w:r w:rsidR="001308D3">
        <w:rPr>
          <w:rFonts w:ascii="Palatino Linotype" w:hAnsi="Palatino Linotype"/>
        </w:rPr>
        <w:t>(868):</w:t>
      </w:r>
      <w:r w:rsidRPr="00C651C9">
        <w:rPr>
          <w:rFonts w:ascii="Palatino Linotype" w:hAnsi="Palatino Linotype"/>
        </w:rPr>
        <w:t xml:space="preserve"> 80</w:t>
      </w:r>
      <w:r w:rsidR="00461555">
        <w:rPr>
          <w:rFonts w:ascii="Palatino Linotype" w:hAnsi="Palatino Linotype"/>
        </w:rPr>
        <w:t>9</w:t>
      </w:r>
      <w:r w:rsidRPr="00C651C9">
        <w:rPr>
          <w:rFonts w:ascii="Palatino Linotype" w:hAnsi="Palatino Linotype"/>
        </w:rPr>
        <w:t>-822.</w:t>
      </w:r>
    </w:p>
    <w:p w14:paraId="3E66A864" w14:textId="77777777" w:rsidR="00E371FB" w:rsidRPr="00C651C9" w:rsidRDefault="00E371FB" w:rsidP="005D0BC8">
      <w:pPr>
        <w:spacing w:after="120"/>
        <w:ind w:right="-7"/>
        <w:jc w:val="both"/>
        <w:rPr>
          <w:rFonts w:ascii="Palatino Linotype" w:hAnsi="Palatino Linotype"/>
        </w:rPr>
      </w:pPr>
      <w:proofErr w:type="spellStart"/>
      <w:r w:rsidRPr="00C651C9">
        <w:rPr>
          <w:rFonts w:ascii="Palatino Linotype" w:hAnsi="Palatino Linotype"/>
          <w:bCs/>
        </w:rPr>
        <w:t>Wehrey</w:t>
      </w:r>
      <w:proofErr w:type="spellEnd"/>
      <w:r w:rsidRPr="00C651C9">
        <w:rPr>
          <w:rFonts w:ascii="Palatino Linotype" w:hAnsi="Palatino Linotype"/>
          <w:bCs/>
        </w:rPr>
        <w:t xml:space="preserve"> F (2014) </w:t>
      </w:r>
      <w:r w:rsidRPr="00C651C9">
        <w:rPr>
          <w:rFonts w:ascii="Palatino Linotype" w:hAnsi="Palatino Linotype"/>
          <w:bCs/>
          <w:i/>
        </w:rPr>
        <w:t>Sectarian Politics in the Gulf: From the Iraq War to the Arab Uprisings</w:t>
      </w:r>
      <w:r w:rsidRPr="00C651C9">
        <w:rPr>
          <w:rFonts w:ascii="Palatino Linotype" w:hAnsi="Palatino Linotype"/>
          <w:bCs/>
        </w:rPr>
        <w:t>. Columbia: Columbia University Press.</w:t>
      </w:r>
    </w:p>
    <w:p w14:paraId="37EED9C6" w14:textId="62BE4C41" w:rsidR="007864BE" w:rsidRDefault="00BC3477" w:rsidP="005D0BC8">
      <w:pPr>
        <w:autoSpaceDE w:val="0"/>
        <w:autoSpaceDN w:val="0"/>
        <w:adjustRightInd w:val="0"/>
        <w:spacing w:after="120"/>
        <w:jc w:val="both"/>
        <w:rPr>
          <w:rFonts w:ascii="Palatino Linotype" w:hAnsi="Palatino Linotype"/>
          <w:bCs/>
        </w:rPr>
      </w:pPr>
      <w:r>
        <w:rPr>
          <w:rFonts w:ascii="Palatino Linotype" w:hAnsi="Palatino Linotype"/>
          <w:bCs/>
        </w:rPr>
        <w:t>Werner W.</w:t>
      </w:r>
      <w:r w:rsidR="007864BE" w:rsidRPr="007864BE">
        <w:rPr>
          <w:rFonts w:ascii="Palatino Linotype" w:hAnsi="Palatino Linotype"/>
          <w:bCs/>
        </w:rPr>
        <w:t xml:space="preserve">  (2010) The Curious Career </w:t>
      </w:r>
      <w:proofErr w:type="gramStart"/>
      <w:r w:rsidR="007864BE" w:rsidRPr="007864BE">
        <w:rPr>
          <w:rFonts w:ascii="Palatino Linotype" w:hAnsi="Palatino Linotype"/>
          <w:bCs/>
        </w:rPr>
        <w:t>Of</w:t>
      </w:r>
      <w:proofErr w:type="gramEnd"/>
      <w:r w:rsidR="007864BE" w:rsidRPr="007864BE">
        <w:rPr>
          <w:rFonts w:ascii="Palatino Linotype" w:hAnsi="Palatino Linotype"/>
          <w:bCs/>
        </w:rPr>
        <w:t xml:space="preserve"> Lawfare </w:t>
      </w:r>
      <w:r w:rsidR="007864BE" w:rsidRPr="00917A35">
        <w:rPr>
          <w:rFonts w:ascii="Palatino Linotype" w:hAnsi="Palatino Linotype"/>
          <w:bCs/>
          <w:i/>
        </w:rPr>
        <w:t xml:space="preserve">Case Western Reserve Journal of International Law </w:t>
      </w:r>
      <w:r w:rsidR="007864BE" w:rsidRPr="007864BE">
        <w:rPr>
          <w:rFonts w:ascii="Palatino Linotype" w:hAnsi="Palatino Linotype"/>
          <w:bCs/>
        </w:rPr>
        <w:t>43 (1/2):  61-72.</w:t>
      </w:r>
    </w:p>
    <w:p w14:paraId="61255E83" w14:textId="77777777" w:rsidR="00DC5BDF" w:rsidRDefault="00DC5BDF">
      <w:pPr>
        <w:rPr>
          <w:rFonts w:ascii="Palatino Linotype" w:hAnsi="Palatino Linotype"/>
          <w:color w:val="FF0000"/>
        </w:rPr>
      </w:pPr>
    </w:p>
    <w:p w14:paraId="71A7C2C5" w14:textId="77777777" w:rsidR="009A41F8" w:rsidRDefault="009A41F8">
      <w:pPr>
        <w:rPr>
          <w:rFonts w:ascii="Palatino Linotype" w:hAnsi="Palatino Linotype"/>
          <w:color w:val="FF0000"/>
        </w:rPr>
      </w:pPr>
      <w:r>
        <w:rPr>
          <w:rFonts w:ascii="Palatino Linotype" w:hAnsi="Palatino Linotype"/>
          <w:color w:val="FF0000"/>
        </w:rPr>
        <w:br w:type="page"/>
      </w:r>
    </w:p>
    <w:p w14:paraId="4BE7F115" w14:textId="77777777" w:rsidR="005E37C1" w:rsidRPr="009A41F8" w:rsidRDefault="009A41F8" w:rsidP="005E37C1">
      <w:pPr>
        <w:jc w:val="both"/>
        <w:rPr>
          <w:rFonts w:ascii="Palatino Linotype" w:hAnsi="Palatino Linotype"/>
        </w:rPr>
      </w:pPr>
      <w:r w:rsidRPr="009A41F8">
        <w:rPr>
          <w:rFonts w:ascii="Palatino Linotype" w:hAnsi="Palatino Linotype"/>
        </w:rPr>
        <w:lastRenderedPageBreak/>
        <w:t>Notes</w:t>
      </w:r>
    </w:p>
    <w:sectPr w:rsidR="005E37C1" w:rsidRPr="009A41F8" w:rsidSect="00F6203E">
      <w:endnotePr>
        <w:numFmt w:val="decimal"/>
      </w:endnotePr>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egeroth, Viola" w:date="2019-12-17T14:10:00Z" w:initials="SV">
    <w:p w14:paraId="04BF249A" w14:textId="77777777" w:rsidR="00450F89" w:rsidRDefault="00450F89" w:rsidP="00450F89">
      <w:pPr>
        <w:pStyle w:val="CommentText"/>
      </w:pPr>
      <w:r>
        <w:rPr>
          <w:rStyle w:val="CommentReference"/>
        </w:rPr>
        <w:annotationRef/>
      </w:r>
      <w:proofErr w:type="spellStart"/>
      <w:r>
        <w:t>Biblio</w:t>
      </w:r>
      <w:proofErr w:type="spellEnd"/>
      <w:r>
        <w:t xml:space="preserve"> listing is 2008</w:t>
      </w:r>
    </w:p>
  </w:comment>
  <w:comment w:id="1" w:author="Segeroth, Viola" w:date="2019-12-17T14:13:00Z" w:initials="SV">
    <w:p w14:paraId="24EF1603" w14:textId="6DBCA2FE" w:rsidR="007B0965" w:rsidRDefault="007B0965">
      <w:pPr>
        <w:pStyle w:val="CommentText"/>
      </w:pPr>
      <w:r>
        <w:rPr>
          <w:rStyle w:val="CommentReference"/>
        </w:rPr>
        <w:annotationRef/>
      </w:r>
      <w:r>
        <w:t xml:space="preserve">Missing from </w:t>
      </w:r>
      <w:proofErr w:type="spellStart"/>
      <w:r>
        <w:t>biblio</w:t>
      </w:r>
      <w:proofErr w:type="spellEnd"/>
    </w:p>
  </w:comment>
  <w:comment w:id="2" w:author="Segeroth, Viola" w:date="2019-12-17T14:15:00Z" w:initials="SV">
    <w:p w14:paraId="71D9AB5B" w14:textId="5E12174B" w:rsidR="000158B1" w:rsidRDefault="000158B1">
      <w:pPr>
        <w:pStyle w:val="CommentText"/>
      </w:pPr>
      <w:r>
        <w:rPr>
          <w:rStyle w:val="CommentReference"/>
        </w:rPr>
        <w:annotationRef/>
      </w:r>
      <w:r>
        <w:t xml:space="preserve">Missing from </w:t>
      </w:r>
      <w:proofErr w:type="spellStart"/>
      <w:r>
        <w:t>biblio</w:t>
      </w:r>
      <w:proofErr w:type="spellEnd"/>
    </w:p>
  </w:comment>
  <w:comment w:id="3" w:author="Segeroth, Viola" w:date="2019-12-17T14:16:00Z" w:initials="SV">
    <w:p w14:paraId="417571E8" w14:textId="468773D7" w:rsidR="005B505C" w:rsidRDefault="005B505C">
      <w:pPr>
        <w:pStyle w:val="CommentText"/>
      </w:pPr>
      <w:r>
        <w:rPr>
          <w:rStyle w:val="CommentReference"/>
        </w:rPr>
        <w:annotationRef/>
      </w:r>
      <w:r>
        <w:t xml:space="preserve">Missing from </w:t>
      </w:r>
      <w:proofErr w:type="spellStart"/>
      <w:r>
        <w:t>biblio</w:t>
      </w:r>
      <w:proofErr w:type="spellEnd"/>
    </w:p>
  </w:comment>
  <w:comment w:id="4" w:author="Segeroth, Viola" w:date="2019-12-17T14:24:00Z" w:initials="SV">
    <w:p w14:paraId="2EB19A67" w14:textId="514CBCA5" w:rsidR="005B505C" w:rsidRDefault="005B505C">
      <w:pPr>
        <w:pStyle w:val="CommentText"/>
      </w:pPr>
      <w:r>
        <w:rPr>
          <w:rStyle w:val="CommentReference"/>
        </w:rPr>
        <w:annotationRef/>
      </w:r>
      <w:r>
        <w:t xml:space="preserve">A or b? </w:t>
      </w:r>
      <w:proofErr w:type="gramStart"/>
      <w:r w:rsidR="007521C4">
        <w:t>There’s</w:t>
      </w:r>
      <w:proofErr w:type="gramEnd"/>
      <w:r>
        <w:t xml:space="preserve"> 2 Morrissey 2011 in </w:t>
      </w:r>
      <w:proofErr w:type="spellStart"/>
      <w:r>
        <w:t>biblio</w:t>
      </w:r>
      <w:proofErr w:type="spellEnd"/>
    </w:p>
  </w:comment>
  <w:comment w:id="5" w:author="Segeroth, Viola" w:date="2019-12-17T14:39:00Z" w:initials="SV">
    <w:p w14:paraId="4FC4591D" w14:textId="0FCF97C1" w:rsidR="005E120E" w:rsidRDefault="005E120E">
      <w:pPr>
        <w:pStyle w:val="CommentText"/>
      </w:pPr>
      <w:r>
        <w:rPr>
          <w:rStyle w:val="CommentReference"/>
        </w:rPr>
        <w:annotationRef/>
      </w:r>
      <w:r>
        <w:t>Missing comma or words?</w:t>
      </w:r>
    </w:p>
  </w:comment>
  <w:comment w:id="6" w:author="Segeroth, Viola" w:date="2019-12-17T14:39:00Z" w:initials="SV">
    <w:p w14:paraId="29FD738C" w14:textId="33041DDC" w:rsidR="005E120E" w:rsidRDefault="005E120E">
      <w:pPr>
        <w:pStyle w:val="CommentText"/>
      </w:pPr>
      <w:r>
        <w:rPr>
          <w:rStyle w:val="CommentReference"/>
        </w:rPr>
        <w:annotationRef/>
      </w:r>
      <w:r>
        <w:t xml:space="preserve">‘the author’ instead of </w:t>
      </w:r>
      <w:proofErr w:type="gramStart"/>
      <w:r>
        <w:t>I</w:t>
      </w:r>
      <w:proofErr w:type="gramEnd"/>
      <w:r>
        <w:t>?</w:t>
      </w:r>
    </w:p>
  </w:comment>
  <w:comment w:id="7" w:author="Segeroth, Viola" w:date="2019-12-17T14:51:00Z" w:initials="SV">
    <w:p w14:paraId="6080864D" w14:textId="4FB658C8" w:rsidR="004B4806" w:rsidRDefault="004B4806">
      <w:pPr>
        <w:pStyle w:val="CommentText"/>
      </w:pPr>
      <w:r>
        <w:rPr>
          <w:rStyle w:val="CommentReference"/>
        </w:rPr>
        <w:annotationRef/>
      </w:r>
      <w:r>
        <w:t>Denies/is denying?</w:t>
      </w:r>
    </w:p>
  </w:comment>
  <w:comment w:id="8" w:author="Segeroth, Viola" w:date="2019-12-17T14:55:00Z" w:initials="SV">
    <w:p w14:paraId="20074473" w14:textId="7F1CA554" w:rsidR="00DD6114" w:rsidRDefault="00DD6114">
      <w:pPr>
        <w:pStyle w:val="CommentText"/>
      </w:pPr>
      <w:r>
        <w:rPr>
          <w:rStyle w:val="CommentReference"/>
        </w:rPr>
        <w:annotationRef/>
      </w:r>
      <w:r>
        <w:t>Interview (as per the other quotes)?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BF249A" w15:done="0"/>
  <w15:commentEx w15:paraId="24EF1603" w15:done="0"/>
  <w15:commentEx w15:paraId="71D9AB5B" w15:done="0"/>
  <w15:commentEx w15:paraId="417571E8" w15:done="0"/>
  <w15:commentEx w15:paraId="2EB19A67" w15:done="0"/>
  <w15:commentEx w15:paraId="4FC4591D" w15:done="0"/>
  <w15:commentEx w15:paraId="29FD738C" w15:done="0"/>
  <w15:commentEx w15:paraId="6080864D" w15:done="0"/>
  <w15:commentEx w15:paraId="200744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BF249A" w16cid:durableId="2284975A"/>
  <w16cid:commentId w16cid:paraId="24EF1603" w16cid:durableId="2284975B"/>
  <w16cid:commentId w16cid:paraId="71D9AB5B" w16cid:durableId="2284975C"/>
  <w16cid:commentId w16cid:paraId="417571E8" w16cid:durableId="2284975D"/>
  <w16cid:commentId w16cid:paraId="2EB19A67" w16cid:durableId="2284975E"/>
  <w16cid:commentId w16cid:paraId="4FC4591D" w16cid:durableId="2284975F"/>
  <w16cid:commentId w16cid:paraId="29FD738C" w16cid:durableId="22849760"/>
  <w16cid:commentId w16cid:paraId="6080864D" w16cid:durableId="22849761"/>
  <w16cid:commentId w16cid:paraId="20074473" w16cid:durableId="22849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9B85" w14:textId="77777777" w:rsidR="00292A0F" w:rsidRDefault="00292A0F">
      <w:r>
        <w:separator/>
      </w:r>
    </w:p>
  </w:endnote>
  <w:endnote w:type="continuationSeparator" w:id="0">
    <w:p w14:paraId="0C6B2A01" w14:textId="77777777" w:rsidR="00292A0F" w:rsidRDefault="00292A0F">
      <w:r>
        <w:continuationSeparator/>
      </w:r>
    </w:p>
  </w:endnote>
  <w:endnote w:id="1">
    <w:p w14:paraId="509D9011" w14:textId="77777777" w:rsidR="00C43141" w:rsidRDefault="00C43141" w:rsidP="00C43141">
      <w:pPr>
        <w:pStyle w:val="EndnoteText"/>
        <w:jc w:val="both"/>
        <w:rPr>
          <w:rFonts w:ascii="Palatino Linotype" w:hAnsi="Palatino Linotype" w:cs="Arial"/>
          <w:sz w:val="22"/>
          <w:szCs w:val="22"/>
          <w:lang w:val="en-GB"/>
        </w:rPr>
      </w:pPr>
      <w:r>
        <w:rPr>
          <w:rStyle w:val="EndnoteReference"/>
          <w:rFonts w:ascii="Palatino Linotype" w:hAnsi="Palatino Linotype"/>
          <w:sz w:val="22"/>
          <w:szCs w:val="22"/>
        </w:rPr>
        <w:endnoteRef/>
      </w:r>
      <w:r>
        <w:rPr>
          <w:rFonts w:ascii="Palatino Linotype" w:hAnsi="Palatino Linotype"/>
          <w:sz w:val="22"/>
          <w:szCs w:val="22"/>
        </w:rPr>
        <w:t xml:space="preserve"> </w:t>
      </w:r>
      <w:r>
        <w:rPr>
          <w:rFonts w:ascii="Palatino Linotype" w:hAnsi="Palatino Linotype" w:cs="Arial"/>
          <w:sz w:val="22"/>
          <w:szCs w:val="22"/>
        </w:rPr>
        <w:t xml:space="preserve">The work of David is highly instructive when analyzing lustration due to his typology of type </w:t>
      </w:r>
      <w:proofErr w:type="gramStart"/>
      <w:r>
        <w:rPr>
          <w:rFonts w:ascii="Palatino Linotype" w:hAnsi="Palatino Linotype" w:cs="Arial"/>
          <w:sz w:val="22"/>
          <w:szCs w:val="22"/>
        </w:rPr>
        <w:t>and also</w:t>
      </w:r>
      <w:proofErr w:type="gramEnd"/>
      <w:r>
        <w:rPr>
          <w:rFonts w:ascii="Palatino Linotype" w:hAnsi="Palatino Linotype" w:cs="Arial"/>
          <w:sz w:val="22"/>
          <w:szCs w:val="22"/>
        </w:rPr>
        <w:t xml:space="preserve"> his understanding that purification is symbolically constructed and creates agency and social construction.</w:t>
      </w:r>
    </w:p>
  </w:endnote>
  <w:endnote w:id="2">
    <w:p w14:paraId="47ACCBAB" w14:textId="77777777" w:rsidR="00C43141" w:rsidRDefault="00C43141" w:rsidP="00C43141">
      <w:pPr>
        <w:pStyle w:val="EndnoteText"/>
        <w:jc w:val="both"/>
        <w:rPr>
          <w:lang w:val="en-GB"/>
        </w:rPr>
      </w:pPr>
      <w:r>
        <w:rPr>
          <w:rStyle w:val="EndnoteReference"/>
        </w:rPr>
        <w:endnoteRef/>
      </w:r>
      <w:r>
        <w:rPr>
          <w:rFonts w:ascii="Palatino Linotype" w:hAnsi="Palatino Linotype"/>
          <w:bCs/>
          <w:sz w:val="22"/>
          <w:szCs w:val="22"/>
        </w:rPr>
        <w:t xml:space="preserve">We challenge the reading that exogenous actors achieved the installation of a neo-liberal state and that they failed to engage local actors in post-invasion decision making as argued by Klein &amp; Holt (2007). In </w:t>
      </w:r>
      <w:proofErr w:type="gramStart"/>
      <w:r>
        <w:rPr>
          <w:rFonts w:ascii="Palatino Linotype" w:hAnsi="Palatino Linotype"/>
          <w:bCs/>
          <w:sz w:val="22"/>
          <w:szCs w:val="22"/>
        </w:rPr>
        <w:t>fact</w:t>
      </w:r>
      <w:proofErr w:type="gramEnd"/>
      <w:r>
        <w:rPr>
          <w:rFonts w:ascii="Palatino Linotype" w:hAnsi="Palatino Linotype"/>
          <w:bCs/>
          <w:sz w:val="22"/>
          <w:szCs w:val="22"/>
        </w:rPr>
        <w:t xml:space="preserve"> public sector employment grew post-invasion and lustration was administered by endogenous actors who, far from a position of passivity, subverted due process mechanism and expanded the push against international and national legal norms and duties. We do agree that neo-liberal capacities were located elsewhere in terms of private capital and state asset stripping. </w:t>
      </w:r>
    </w:p>
  </w:endnote>
  <w:endnote w:id="3">
    <w:p w14:paraId="4B0E43C0" w14:textId="77777777" w:rsidR="00066BB1" w:rsidRDefault="00066BB1" w:rsidP="00066BB1">
      <w:pPr>
        <w:pStyle w:val="EndnoteText"/>
        <w:jc w:val="both"/>
        <w:rPr>
          <w:rFonts w:ascii="Palatino Linotype" w:hAnsi="Palatino Linotype"/>
          <w:sz w:val="22"/>
          <w:szCs w:val="22"/>
          <w:lang w:val="en-GB"/>
        </w:rPr>
      </w:pPr>
      <w:r>
        <w:rPr>
          <w:rStyle w:val="EndnoteReference"/>
          <w:rFonts w:ascii="Palatino Linotype" w:hAnsi="Palatino Linotype"/>
          <w:sz w:val="22"/>
          <w:szCs w:val="22"/>
        </w:rPr>
        <w:endnoteRef/>
      </w:r>
      <w:r>
        <w:rPr>
          <w:rFonts w:ascii="Palatino Linotype" w:hAnsi="Palatino Linotype"/>
          <w:sz w:val="22"/>
          <w:szCs w:val="22"/>
        </w:rPr>
        <w:t xml:space="preserve"> For a description of the link between lustration and sectarianism see Ben Emmerson </w:t>
      </w:r>
      <w:proofErr w:type="gramStart"/>
      <w:r>
        <w:rPr>
          <w:rFonts w:ascii="Palatino Linotype" w:hAnsi="Palatino Linotype"/>
          <w:sz w:val="22"/>
          <w:szCs w:val="22"/>
        </w:rPr>
        <w:t>The</w:t>
      </w:r>
      <w:proofErr w:type="gramEnd"/>
      <w:r>
        <w:rPr>
          <w:rFonts w:ascii="Palatino Linotype" w:hAnsi="Palatino Linotype"/>
          <w:sz w:val="22"/>
          <w:szCs w:val="22"/>
        </w:rPr>
        <w:t xml:space="preserve"> Guardian http://www.theguardian.com/commentisfree/2013/mar/07/reconciliation-iraq-impossible-us-truth-dirty-war</w:t>
      </w:r>
    </w:p>
  </w:endnote>
  <w:endnote w:id="4">
    <w:p w14:paraId="7D49F46A" w14:textId="77777777" w:rsidR="001560CB" w:rsidRPr="007265B1" w:rsidRDefault="001560CB" w:rsidP="001560CB">
      <w:pPr>
        <w:pStyle w:val="EndnoteText"/>
        <w:jc w:val="both"/>
        <w:rPr>
          <w:rFonts w:ascii="Palatino Linotype" w:hAnsi="Palatino Linotype"/>
          <w:sz w:val="24"/>
          <w:szCs w:val="24"/>
        </w:rPr>
      </w:pPr>
      <w:r>
        <w:rPr>
          <w:rStyle w:val="EndnoteReference"/>
        </w:rPr>
        <w:endnoteRef/>
      </w:r>
      <w:r>
        <w:t xml:space="preserve"> </w:t>
      </w:r>
      <w:r w:rsidRPr="007265B1">
        <w:rPr>
          <w:rFonts w:ascii="Palatino Linotype" w:hAnsi="Palatino Linotype"/>
          <w:sz w:val="24"/>
          <w:szCs w:val="24"/>
        </w:rPr>
        <w:t xml:space="preserve">Following the overthrow of the </w:t>
      </w:r>
      <w:proofErr w:type="spellStart"/>
      <w:r w:rsidRPr="007265B1">
        <w:rPr>
          <w:rFonts w:ascii="Palatino Linotype" w:hAnsi="Palatino Linotype"/>
          <w:sz w:val="24"/>
          <w:szCs w:val="24"/>
        </w:rPr>
        <w:t>Ba</w:t>
      </w:r>
      <w:r w:rsidRPr="007265B1">
        <w:rPr>
          <w:sz w:val="24"/>
          <w:szCs w:val="24"/>
        </w:rPr>
        <w:t>ʿ</w:t>
      </w:r>
      <w:r>
        <w:rPr>
          <w:sz w:val="24"/>
          <w:szCs w:val="24"/>
        </w:rPr>
        <w:t>a</w:t>
      </w:r>
      <w:r w:rsidRPr="007265B1">
        <w:rPr>
          <w:rFonts w:ascii="Palatino Linotype" w:hAnsi="Palatino Linotype"/>
          <w:sz w:val="24"/>
          <w:szCs w:val="24"/>
        </w:rPr>
        <w:t>th</w:t>
      </w:r>
      <w:proofErr w:type="spellEnd"/>
      <w:r w:rsidRPr="007265B1">
        <w:rPr>
          <w:rFonts w:ascii="Palatino Linotype" w:hAnsi="Palatino Linotype"/>
          <w:sz w:val="24"/>
          <w:szCs w:val="24"/>
        </w:rPr>
        <w:t xml:space="preserve"> government in 2003, the </w:t>
      </w:r>
      <w:hyperlink r:id="rId1" w:history="1">
        <w:r w:rsidRPr="007265B1">
          <w:rPr>
            <w:rStyle w:val="Hyperlink"/>
            <w:rFonts w:ascii="Palatino Linotype" w:hAnsi="Palatino Linotype"/>
            <w:color w:val="auto"/>
            <w:sz w:val="24"/>
            <w:szCs w:val="24"/>
            <w:u w:val="none"/>
          </w:rPr>
          <w:t>United States</w:t>
        </w:r>
      </w:hyperlink>
      <w:r w:rsidRPr="007265B1">
        <w:rPr>
          <w:rFonts w:ascii="Palatino Linotype" w:hAnsi="Palatino Linotype"/>
          <w:sz w:val="24"/>
          <w:szCs w:val="24"/>
        </w:rPr>
        <w:t xml:space="preserve"> and its coalition allies established the </w:t>
      </w:r>
      <w:hyperlink r:id="rId2" w:history="1">
        <w:r w:rsidRPr="007265B1">
          <w:rPr>
            <w:rStyle w:val="Hyperlink"/>
            <w:rFonts w:ascii="Palatino Linotype" w:hAnsi="Palatino Linotype"/>
            <w:color w:val="auto"/>
            <w:sz w:val="24"/>
            <w:szCs w:val="24"/>
            <w:u w:val="none"/>
          </w:rPr>
          <w:t>Coalition Provisional Authority</w:t>
        </w:r>
      </w:hyperlink>
      <w:r>
        <w:rPr>
          <w:rFonts w:ascii="Palatino Linotype" w:hAnsi="Palatino Linotype"/>
          <w:sz w:val="24"/>
          <w:szCs w:val="24"/>
        </w:rPr>
        <w:t xml:space="preserve"> (CPA)</w:t>
      </w:r>
      <w:r w:rsidRPr="007265B1">
        <w:rPr>
          <w:rFonts w:ascii="Palatino Linotype" w:hAnsi="Palatino Linotype"/>
          <w:sz w:val="24"/>
          <w:szCs w:val="24"/>
        </w:rPr>
        <w:t xml:space="preserve">. In July the CPA appointed the 25-member </w:t>
      </w:r>
      <w:hyperlink r:id="rId3" w:history="1">
        <w:r w:rsidRPr="007265B1">
          <w:rPr>
            <w:rStyle w:val="Hyperlink"/>
            <w:rFonts w:ascii="Palatino Linotype" w:hAnsi="Palatino Linotype"/>
            <w:sz w:val="24"/>
            <w:szCs w:val="24"/>
          </w:rPr>
          <w:t>Iraqi Governing Council</w:t>
        </w:r>
      </w:hyperlink>
      <w:r w:rsidRPr="007265B1">
        <w:rPr>
          <w:rFonts w:ascii="Palatino Linotype" w:hAnsi="Palatino Linotype"/>
          <w:sz w:val="24"/>
          <w:szCs w:val="24"/>
        </w:rPr>
        <w:t>, which assumed limited governing functions.</w:t>
      </w:r>
      <w:r w:rsidRPr="00235AA3">
        <w:rPr>
          <w:rFonts w:ascii="Palatino Linotype" w:hAnsi="Palatino Linotype"/>
          <w:sz w:val="24"/>
          <w:szCs w:val="24"/>
        </w:rPr>
        <w:t xml:space="preserve"> I</w:t>
      </w:r>
      <w:r w:rsidRPr="00235AA3">
        <w:rPr>
          <w:rFonts w:ascii="Palatino Linotype" w:hAnsi="Palatino Linotype"/>
          <w:bCs/>
          <w:sz w:val="24"/>
          <w:szCs w:val="24"/>
        </w:rPr>
        <w:t>GC</w:t>
      </w:r>
      <w:r w:rsidRPr="007265B1">
        <w:rPr>
          <w:rFonts w:ascii="Palatino Linotype" w:hAnsi="Palatino Linotype"/>
          <w:sz w:val="24"/>
          <w:szCs w:val="24"/>
        </w:rPr>
        <w:t xml:space="preserve"> was the provisional government of </w:t>
      </w:r>
      <w:hyperlink r:id="rId4" w:tooltip="Iraq" w:history="1">
        <w:r w:rsidRPr="007265B1">
          <w:rPr>
            <w:rStyle w:val="Hyperlink"/>
            <w:rFonts w:ascii="Palatino Linotype" w:hAnsi="Palatino Linotype"/>
            <w:color w:val="auto"/>
            <w:sz w:val="24"/>
            <w:szCs w:val="24"/>
            <w:u w:val="none"/>
          </w:rPr>
          <w:t>Iraq</w:t>
        </w:r>
      </w:hyperlink>
      <w:r w:rsidRPr="007265B1">
        <w:rPr>
          <w:rFonts w:ascii="Palatino Linotype" w:hAnsi="Palatino Linotype"/>
          <w:sz w:val="24"/>
          <w:szCs w:val="24"/>
        </w:rPr>
        <w:t xml:space="preserve"> from July 13, 2003 to June 1, 2004. The IGC consisted of various Iraqi political and tribal leaders who were appointed by the CPA to provide advice and leadership of the country until the June 2004 transfer of sovereignty to the </w:t>
      </w:r>
      <w:hyperlink r:id="rId5" w:tooltip="Iraqi Interim Government" w:history="1">
        <w:r w:rsidRPr="007265B1">
          <w:rPr>
            <w:rStyle w:val="Hyperlink"/>
            <w:rFonts w:ascii="Palatino Linotype" w:hAnsi="Palatino Linotype"/>
            <w:color w:val="auto"/>
            <w:sz w:val="24"/>
            <w:szCs w:val="24"/>
            <w:u w:val="none"/>
          </w:rPr>
          <w:t>Iraqi Interim Government</w:t>
        </w:r>
      </w:hyperlink>
      <w:r w:rsidRPr="007265B1">
        <w:rPr>
          <w:rFonts w:ascii="Palatino Linotype" w:hAnsi="Palatino Linotype"/>
          <w:sz w:val="24"/>
          <w:szCs w:val="24"/>
        </w:rPr>
        <w:t xml:space="preserve"> (which was replaced in May 2005 by the </w:t>
      </w:r>
      <w:hyperlink r:id="rId6" w:tooltip="Iraqi Transitional Government" w:history="1">
        <w:r w:rsidRPr="007265B1">
          <w:rPr>
            <w:rStyle w:val="Hyperlink"/>
            <w:rFonts w:ascii="Palatino Linotype" w:hAnsi="Palatino Linotype"/>
            <w:color w:val="auto"/>
            <w:sz w:val="24"/>
            <w:szCs w:val="24"/>
            <w:u w:val="none"/>
          </w:rPr>
          <w:t>Iraqi Transitional Government</w:t>
        </w:r>
      </w:hyperlink>
      <w:r w:rsidRPr="007265B1">
        <w:rPr>
          <w:rFonts w:ascii="Palatino Linotype" w:hAnsi="Palatino Linotype"/>
          <w:sz w:val="24"/>
          <w:szCs w:val="24"/>
        </w:rPr>
        <w:t>, which was then replaced the following year by the first permanent government</w:t>
      </w:r>
      <w:r>
        <w:rPr>
          <w:rFonts w:ascii="Palatino Linotype" w:hAnsi="Palatino Linotype"/>
          <w:sz w:val="24"/>
          <w:szCs w:val="24"/>
        </w:rPr>
        <w:t>.</w:t>
      </w:r>
      <w:r w:rsidRPr="007265B1">
        <w:rPr>
          <w:rFonts w:ascii="Palatino Linotype" w:hAnsi="Palatino Linotype"/>
          <w:sz w:val="24"/>
          <w:szCs w:val="24"/>
        </w:rPr>
        <w:t xml:space="preserve"> </w:t>
      </w:r>
      <w:r>
        <w:rPr>
          <w:rFonts w:ascii="Palatino Linotype" w:hAnsi="Palatino Linotype"/>
          <w:sz w:val="24"/>
          <w:szCs w:val="24"/>
        </w:rPr>
        <w:t xml:space="preserve">The IGC, was unlike the DPWG, drawn from vehement opponents of the Ba’ath regime and were particularly supportive of neo-liberal economics. </w:t>
      </w:r>
    </w:p>
  </w:endnote>
  <w:endnote w:id="5">
    <w:p w14:paraId="19327448" w14:textId="77777777" w:rsidR="00F05DBB" w:rsidRPr="00235AA3" w:rsidRDefault="00F05DBB" w:rsidP="00235AA3">
      <w:pPr>
        <w:pStyle w:val="EndnoteText"/>
        <w:jc w:val="both"/>
        <w:rPr>
          <w:rFonts w:ascii="Palatino Linotype" w:hAnsi="Palatino Linotype"/>
          <w:sz w:val="24"/>
          <w:szCs w:val="24"/>
          <w:lang w:val="en-GB"/>
        </w:rPr>
      </w:pPr>
      <w:r w:rsidRPr="00235AA3">
        <w:rPr>
          <w:rStyle w:val="EndnoteReference"/>
          <w:rFonts w:ascii="Palatino Linotype" w:hAnsi="Palatino Linotype"/>
          <w:sz w:val="24"/>
          <w:szCs w:val="24"/>
        </w:rPr>
        <w:endnoteRef/>
      </w:r>
      <w:r w:rsidRPr="00235AA3">
        <w:rPr>
          <w:rFonts w:ascii="Palatino Linotype" w:hAnsi="Palatino Linotype"/>
          <w:sz w:val="24"/>
          <w:szCs w:val="24"/>
        </w:rPr>
        <w:t xml:space="preserve"> The DPWG included the Iraqi National Front, the Iraqi National Accord, Patriotic Union of Kurdistan, Kurdistan Democratic Party, Constitutional Monarchy Movement, Iraq Turkoman Front, Iraqi National Movement, Alliance of Iraqi Tribes, Iraqi Forum for Democracy, Iraqi National Coalition, Representatives of the Assyrian Community, and the Iraqi National Congress. </w:t>
      </w:r>
      <w:proofErr w:type="gramStart"/>
      <w:r w:rsidRPr="00235AA3">
        <w:rPr>
          <w:rFonts w:ascii="Palatino Linotype" w:hAnsi="Palatino Linotype"/>
          <w:sz w:val="24"/>
          <w:szCs w:val="24"/>
        </w:rPr>
        <w:t>It’</w:t>
      </w:r>
      <w:r w:rsidR="007265B1" w:rsidRPr="00235AA3">
        <w:rPr>
          <w:rFonts w:ascii="Palatino Linotype" w:hAnsi="Palatino Linotype"/>
          <w:sz w:val="24"/>
          <w:szCs w:val="24"/>
        </w:rPr>
        <w:t>s</w:t>
      </w:r>
      <w:proofErr w:type="gramEnd"/>
      <w:r w:rsidR="007265B1" w:rsidRPr="00235AA3">
        <w:rPr>
          <w:rFonts w:ascii="Palatino Linotype" w:hAnsi="Palatino Linotype"/>
          <w:sz w:val="24"/>
          <w:szCs w:val="24"/>
        </w:rPr>
        <w:t xml:space="preserve"> membership were</w:t>
      </w:r>
      <w:r w:rsidRPr="00235AA3">
        <w:rPr>
          <w:rFonts w:ascii="Palatino Linotype" w:hAnsi="Palatino Linotype"/>
          <w:sz w:val="24"/>
          <w:szCs w:val="24"/>
        </w:rPr>
        <w:t xml:space="preserve"> opponents of the Ba’athist regime.</w:t>
      </w:r>
      <w:r w:rsidRPr="00235AA3">
        <w:rPr>
          <w:rFonts w:ascii="Palatino Linotype" w:hAnsi="Palatino Linotype" w:cs="Arial"/>
          <w:color w:val="000000"/>
          <w:sz w:val="24"/>
          <w:szCs w:val="24"/>
          <w:shd w:val="clear" w:color="auto" w:fill="FFFFFF"/>
        </w:rPr>
        <w:t xml:space="preserve"> T</w:t>
      </w:r>
      <w:r w:rsidRPr="00235AA3">
        <w:rPr>
          <w:rFonts w:ascii="Palatino Linotype" w:hAnsi="Palatino Linotype"/>
          <w:sz w:val="24"/>
          <w:szCs w:val="24"/>
        </w:rPr>
        <w:t xml:space="preserve">he participants </w:t>
      </w:r>
      <w:proofErr w:type="spellStart"/>
      <w:r w:rsidRPr="00235AA3">
        <w:rPr>
          <w:rFonts w:ascii="Palatino Linotype" w:hAnsi="Palatino Linotype"/>
          <w:sz w:val="24"/>
          <w:szCs w:val="24"/>
        </w:rPr>
        <w:t>analysed</w:t>
      </w:r>
      <w:proofErr w:type="spellEnd"/>
      <w:r w:rsidRPr="00235AA3">
        <w:rPr>
          <w:rFonts w:ascii="Palatino Linotype" w:hAnsi="Palatino Linotype"/>
          <w:sz w:val="24"/>
          <w:szCs w:val="24"/>
        </w:rPr>
        <w:t xml:space="preserve"> the specifics of democratic principles in a post-Saddam Hussein Iraq, and how best to prepare for Iraq's evolution towards democracy.</w:t>
      </w:r>
    </w:p>
  </w:endnote>
  <w:endnote w:id="6">
    <w:p w14:paraId="205B652B" w14:textId="77777777" w:rsidR="00E561BA" w:rsidRPr="00026220" w:rsidRDefault="00E561BA" w:rsidP="00E561BA">
      <w:pPr>
        <w:pStyle w:val="EndnoteText"/>
        <w:jc w:val="both"/>
        <w:rPr>
          <w:rFonts w:ascii="Palatino Linotype" w:hAnsi="Palatino Linotype" w:cs="Arial"/>
          <w:sz w:val="22"/>
          <w:szCs w:val="22"/>
          <w:lang w:val="en-GB"/>
        </w:rPr>
      </w:pPr>
      <w:r w:rsidRPr="00026220">
        <w:rPr>
          <w:rStyle w:val="EndnoteReference"/>
          <w:rFonts w:ascii="Palatino Linotype" w:hAnsi="Palatino Linotype" w:cs="Arial"/>
          <w:sz w:val="22"/>
          <w:szCs w:val="22"/>
        </w:rPr>
        <w:endnoteRef/>
      </w:r>
      <w:r w:rsidRPr="00026220">
        <w:rPr>
          <w:rFonts w:ascii="Palatino Linotype" w:hAnsi="Palatino Linotype" w:cs="Arial"/>
          <w:sz w:val="22"/>
          <w:szCs w:val="22"/>
        </w:rPr>
        <w:t xml:space="preserve"> Council on Foreign Relations ‘ Iraq: </w:t>
      </w:r>
      <w:proofErr w:type="spellStart"/>
      <w:r w:rsidRPr="00026220">
        <w:rPr>
          <w:rFonts w:ascii="Palatino Linotype" w:hAnsi="Palatino Linotype" w:cs="Arial"/>
          <w:sz w:val="22"/>
          <w:szCs w:val="22"/>
        </w:rPr>
        <w:t>Debaathification</w:t>
      </w:r>
      <w:proofErr w:type="spellEnd"/>
      <w:r w:rsidRPr="00026220">
        <w:rPr>
          <w:rFonts w:ascii="Palatino Linotype" w:hAnsi="Palatino Linotype" w:cs="Arial"/>
          <w:sz w:val="22"/>
          <w:szCs w:val="22"/>
        </w:rPr>
        <w:t xml:space="preserve">’  </w:t>
      </w:r>
      <w:hyperlink r:id="rId7" w:history="1">
        <w:r w:rsidRPr="00026220">
          <w:rPr>
            <w:rStyle w:val="Hyperlink"/>
            <w:rFonts w:ascii="Palatino Linotype" w:hAnsi="Palatino Linotype" w:cs="Arial"/>
            <w:color w:val="auto"/>
            <w:sz w:val="22"/>
            <w:szCs w:val="22"/>
          </w:rPr>
          <w:t>http://www.cfr.org/iraq/iraq-debaathification/p7853</w:t>
        </w:r>
      </w:hyperlink>
      <w:r w:rsidRPr="00026220">
        <w:rPr>
          <w:rFonts w:ascii="Palatino Linotype" w:hAnsi="Palatino Linotype" w:cs="Arial"/>
          <w:sz w:val="22"/>
          <w:szCs w:val="22"/>
        </w:rPr>
        <w:t xml:space="preserve"> (</w:t>
      </w:r>
      <w:r>
        <w:rPr>
          <w:rFonts w:ascii="Palatino Linotype" w:hAnsi="Palatino Linotype" w:cs="Arial"/>
          <w:sz w:val="22"/>
          <w:szCs w:val="22"/>
        </w:rPr>
        <w:t>Accessed 6 April 2016</w:t>
      </w:r>
      <w:r w:rsidRPr="00026220">
        <w:rPr>
          <w:rFonts w:ascii="Palatino Linotype" w:hAnsi="Palatino Linotype" w:cs="Arial"/>
          <w:sz w:val="22"/>
          <w:szCs w:val="22"/>
        </w:rPr>
        <w:t>)</w:t>
      </w:r>
    </w:p>
  </w:endnote>
  <w:endnote w:id="7">
    <w:p w14:paraId="6D44DEB6" w14:textId="77777777" w:rsidR="00E561BA" w:rsidRPr="00026220" w:rsidRDefault="00E561BA" w:rsidP="00E561BA">
      <w:pPr>
        <w:pStyle w:val="EndnoteText"/>
        <w:jc w:val="both"/>
        <w:rPr>
          <w:rFonts w:ascii="Palatino Linotype" w:hAnsi="Palatino Linotype" w:cs="Arial"/>
          <w:sz w:val="22"/>
          <w:szCs w:val="22"/>
          <w:lang w:val="en-GB"/>
        </w:rPr>
      </w:pPr>
      <w:r w:rsidRPr="00026220">
        <w:rPr>
          <w:rStyle w:val="EndnoteReference"/>
          <w:rFonts w:ascii="Palatino Linotype" w:hAnsi="Palatino Linotype" w:cs="Arial"/>
          <w:sz w:val="22"/>
          <w:szCs w:val="22"/>
        </w:rPr>
        <w:endnoteRef/>
      </w:r>
      <w:r w:rsidRPr="00026220">
        <w:rPr>
          <w:rFonts w:ascii="Palatino Linotype" w:hAnsi="Palatino Linotype" w:cs="Arial"/>
          <w:sz w:val="22"/>
          <w:szCs w:val="22"/>
        </w:rPr>
        <w:t xml:space="preserve"> For an argument that Shias who were in the Ba’ath Party were less likely than Sunnis to be punished see </w:t>
      </w:r>
      <w:hyperlink r:id="rId8" w:history="1">
        <w:r w:rsidRPr="00026220">
          <w:rPr>
            <w:rStyle w:val="Hyperlink"/>
            <w:rFonts w:ascii="Palatino Linotype" w:hAnsi="Palatino Linotype" w:cs="Arial"/>
            <w:color w:val="auto"/>
            <w:sz w:val="22"/>
            <w:szCs w:val="22"/>
          </w:rPr>
          <w:t>http://foreignpolicy.com/2008/01/16/seven-questions-the-de-bremerification-of-iraq/</w:t>
        </w:r>
      </w:hyperlink>
      <w:r w:rsidRPr="00026220">
        <w:rPr>
          <w:rFonts w:ascii="Palatino Linotype" w:hAnsi="Palatino Linotype" w:cs="Arial"/>
          <w:sz w:val="22"/>
          <w:szCs w:val="22"/>
        </w:rPr>
        <w:t xml:space="preserve"> (</w:t>
      </w:r>
      <w:r>
        <w:rPr>
          <w:rFonts w:ascii="Palatino Linotype" w:hAnsi="Palatino Linotype" w:cs="Arial"/>
          <w:sz w:val="22"/>
          <w:szCs w:val="22"/>
        </w:rPr>
        <w:t xml:space="preserve">Accessed 3 April </w:t>
      </w:r>
      <w:r w:rsidRPr="00026220">
        <w:rPr>
          <w:rFonts w:ascii="Palatino Linotype" w:hAnsi="Palatino Linotype" w:cs="Arial"/>
          <w:sz w:val="22"/>
          <w:szCs w:val="22"/>
        </w:rPr>
        <w:t>2016)</w:t>
      </w:r>
    </w:p>
  </w:endnote>
  <w:endnote w:id="8">
    <w:p w14:paraId="0620DFE3" w14:textId="77777777" w:rsidR="00E561BA" w:rsidRPr="00026220" w:rsidRDefault="00E561BA" w:rsidP="00E561BA">
      <w:pPr>
        <w:pStyle w:val="EndnoteText"/>
        <w:jc w:val="both"/>
        <w:rPr>
          <w:rFonts w:ascii="Palatino Linotype" w:hAnsi="Palatino Linotype" w:cs="Arial"/>
          <w:sz w:val="22"/>
          <w:szCs w:val="22"/>
          <w:lang w:val="en-GB"/>
        </w:rPr>
      </w:pPr>
      <w:r w:rsidRPr="00026220">
        <w:rPr>
          <w:rStyle w:val="EndnoteReference"/>
          <w:rFonts w:ascii="Palatino Linotype" w:hAnsi="Palatino Linotype" w:cs="Arial"/>
          <w:sz w:val="22"/>
          <w:szCs w:val="22"/>
        </w:rPr>
        <w:endnoteRef/>
      </w:r>
      <w:r w:rsidRPr="00026220">
        <w:rPr>
          <w:rFonts w:ascii="Palatino Linotype" w:hAnsi="Palatino Linotype" w:cs="Arial"/>
          <w:sz w:val="22"/>
          <w:szCs w:val="22"/>
        </w:rPr>
        <w:t xml:space="preserve"> Contrary to the International Covenant on Civil and Political Rights position regarding collective guilt. See  </w:t>
      </w:r>
      <w:hyperlink r:id="rId9" w:history="1">
        <w:r w:rsidRPr="00026220">
          <w:rPr>
            <w:rStyle w:val="Hyperlink"/>
            <w:rFonts w:ascii="Palatino Linotype" w:hAnsi="Palatino Linotype" w:cs="Arial"/>
            <w:color w:val="auto"/>
            <w:sz w:val="22"/>
            <w:szCs w:val="22"/>
          </w:rPr>
          <w:t>http://www.ohchr.org/en/professionalinterest/pages/ccpr.aspx</w:t>
        </w:r>
      </w:hyperlink>
      <w:r w:rsidRPr="00026220">
        <w:rPr>
          <w:rFonts w:ascii="Palatino Linotype" w:hAnsi="Palatino Linotype" w:cs="Arial"/>
          <w:sz w:val="22"/>
          <w:szCs w:val="22"/>
        </w:rPr>
        <w:t xml:space="preserve"> (</w:t>
      </w:r>
      <w:r>
        <w:rPr>
          <w:rFonts w:ascii="Palatino Linotype" w:hAnsi="Palatino Linotype" w:cs="Arial"/>
          <w:sz w:val="22"/>
          <w:szCs w:val="22"/>
        </w:rPr>
        <w:t xml:space="preserve">Accessed 3 April </w:t>
      </w:r>
      <w:r w:rsidRPr="00026220">
        <w:rPr>
          <w:rFonts w:ascii="Palatino Linotype" w:hAnsi="Palatino Linotype" w:cs="Arial"/>
          <w:sz w:val="22"/>
          <w:szCs w:val="22"/>
        </w:rPr>
        <w:t>2016)</w:t>
      </w:r>
      <w:r>
        <w:rPr>
          <w:rFonts w:ascii="Palatino Linotype" w:hAnsi="Palatino Linotype" w:cs="Arial"/>
          <w:sz w:val="22"/>
          <w:szCs w:val="22"/>
        </w:rPr>
        <w:t>.</w:t>
      </w:r>
    </w:p>
  </w:endnote>
  <w:endnote w:id="9">
    <w:p w14:paraId="3639AD01"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w:t>
      </w:r>
      <w:r w:rsidRPr="00026220">
        <w:rPr>
          <w:rFonts w:ascii="Palatino Linotype" w:hAnsi="Palatino Linotype"/>
          <w:sz w:val="22"/>
          <w:szCs w:val="22"/>
          <w:lang w:val="en-GB"/>
        </w:rPr>
        <w:t xml:space="preserve">A key issue in Iraq was that the capacity to deal with victimhood and related issues was undermined by a lack of political agreement, families recovering bodies from sites of war crimes and a general failure to create agreed investigations, forensic analysis and truth commissions. </w:t>
      </w:r>
    </w:p>
  </w:endnote>
  <w:endnote w:id="10">
    <w:p w14:paraId="5DAED947"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Order 1 is available at </w:t>
      </w:r>
      <w:hyperlink r:id="rId10" w:history="1">
        <w:r w:rsidRPr="00026220">
          <w:rPr>
            <w:rStyle w:val="Hyperlink"/>
            <w:rFonts w:ascii="Palatino Linotype" w:hAnsi="Palatino Linotype"/>
            <w:sz w:val="22"/>
            <w:szCs w:val="22"/>
          </w:rPr>
          <w:t>http://www.cfr.org/iraq/iraq-coalition-provisional-authority-order-number-one-de-baathification-iraqi-society/p30235</w:t>
        </w:r>
      </w:hyperlink>
      <w:r w:rsidRPr="00026220">
        <w:rPr>
          <w:rFonts w:ascii="Palatino Linotype" w:hAnsi="Palatino Linotype"/>
          <w:sz w:val="22"/>
          <w:szCs w:val="22"/>
        </w:rPr>
        <w:t xml:space="preserve"> (</w:t>
      </w:r>
      <w:r w:rsidR="00F44A60">
        <w:rPr>
          <w:rFonts w:ascii="Palatino Linotype" w:hAnsi="Palatino Linotype"/>
          <w:sz w:val="22"/>
          <w:szCs w:val="22"/>
        </w:rPr>
        <w:t xml:space="preserve">Accessed 1 April </w:t>
      </w:r>
      <w:r w:rsidRPr="00026220">
        <w:rPr>
          <w:rFonts w:ascii="Palatino Linotype" w:hAnsi="Palatino Linotype"/>
          <w:sz w:val="22"/>
          <w:szCs w:val="22"/>
        </w:rPr>
        <w:t>2016).</w:t>
      </w:r>
    </w:p>
  </w:endnote>
  <w:endnote w:id="11">
    <w:p w14:paraId="17D25170"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w:t>
      </w:r>
      <w:r w:rsidRPr="00026220">
        <w:rPr>
          <w:rFonts w:ascii="Palatino Linotype" w:hAnsi="Palatino Linotype"/>
          <w:sz w:val="22"/>
          <w:szCs w:val="22"/>
          <w:lang w:val="en-GB"/>
        </w:rPr>
        <w:t>Copy held by author.</w:t>
      </w:r>
    </w:p>
  </w:endnote>
  <w:endnote w:id="12">
    <w:p w14:paraId="7A8AE497"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w:t>
      </w:r>
      <w:r w:rsidRPr="00026220">
        <w:rPr>
          <w:rFonts w:ascii="Palatino Linotype" w:hAnsi="Palatino Linotype"/>
          <w:sz w:val="22"/>
          <w:szCs w:val="22"/>
          <w:lang w:val="en-GB"/>
        </w:rPr>
        <w:t>Copy held by author.</w:t>
      </w:r>
    </w:p>
  </w:endnote>
  <w:endnote w:id="13">
    <w:p w14:paraId="3D7069D2"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w:t>
      </w:r>
      <w:r w:rsidRPr="00026220">
        <w:rPr>
          <w:rFonts w:ascii="Palatino Linotype" w:hAnsi="Palatino Linotype"/>
          <w:sz w:val="22"/>
          <w:szCs w:val="22"/>
          <w:lang w:val="en-GB"/>
        </w:rPr>
        <w:t>It was alleged by several interviewees that the majority of those permitted to return were Shi’ites.</w:t>
      </w:r>
    </w:p>
  </w:endnote>
  <w:endnote w:id="14">
    <w:p w14:paraId="1C986599"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See </w:t>
      </w:r>
      <w:hyperlink r:id="rId11" w:history="1">
        <w:r w:rsidR="00F44A60" w:rsidRPr="0042032B">
          <w:rPr>
            <w:rStyle w:val="Hyperlink"/>
            <w:rFonts w:ascii="Palatino Linotype" w:hAnsi="Palatino Linotype"/>
            <w:sz w:val="22"/>
            <w:szCs w:val="22"/>
          </w:rPr>
          <w:t>https://search.wikileaks.org/gifiles/?q=de-baathification&amp;mfrom=&amp;mto=&amp;title=&amp;notitle=&amp;date=&amp;nofrom=&amp;noto=&amp;count=50&amp;sort=0&amp;file=&amp;docid=&amp;relid=0</w:t>
        </w:r>
      </w:hyperlink>
      <w:r w:rsidR="00F44A60">
        <w:rPr>
          <w:rFonts w:ascii="Palatino Linotype" w:hAnsi="Palatino Linotype"/>
          <w:sz w:val="22"/>
          <w:szCs w:val="22"/>
        </w:rPr>
        <w:t xml:space="preserve"> </w:t>
      </w:r>
    </w:p>
  </w:endnote>
  <w:endnote w:id="15">
    <w:p w14:paraId="1D7E5CED" w14:textId="77777777" w:rsidR="00393AE8" w:rsidRPr="00026220" w:rsidRDefault="00393AE8" w:rsidP="00026220">
      <w:pPr>
        <w:pStyle w:val="EndnoteText"/>
        <w:jc w:val="both"/>
        <w:rPr>
          <w:rFonts w:ascii="Palatino Linotype" w:hAnsi="Palatino Linotype"/>
          <w:sz w:val="22"/>
          <w:szCs w:val="22"/>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The main choice in attitudinal surveys regarding </w:t>
      </w:r>
      <w:proofErr w:type="spellStart"/>
      <w:r w:rsidRPr="00026220">
        <w:rPr>
          <w:rFonts w:ascii="Palatino Linotype" w:hAnsi="Palatino Linotype"/>
          <w:sz w:val="22"/>
          <w:szCs w:val="22"/>
        </w:rPr>
        <w:t>de-baathification</w:t>
      </w:r>
      <w:proofErr w:type="spellEnd"/>
      <w:r w:rsidRPr="00026220">
        <w:rPr>
          <w:rFonts w:ascii="Palatino Linotype" w:hAnsi="Palatino Linotype"/>
          <w:sz w:val="22"/>
          <w:szCs w:val="22"/>
        </w:rPr>
        <w:t xml:space="preserve"> is for limited forms of lustration see for example </w:t>
      </w:r>
      <w:hyperlink r:id="rId12" w:history="1">
        <w:r w:rsidRPr="00026220">
          <w:rPr>
            <w:rStyle w:val="Hyperlink"/>
            <w:rFonts w:ascii="Palatino Linotype" w:hAnsi="Palatino Linotype"/>
            <w:sz w:val="22"/>
            <w:szCs w:val="22"/>
          </w:rPr>
          <w:t>https://www.globalpolicy.org/images/pdfs/09bbciraqipoll.pdf</w:t>
        </w:r>
      </w:hyperlink>
      <w:r w:rsidRPr="00026220">
        <w:rPr>
          <w:rFonts w:ascii="Palatino Linotype" w:hAnsi="Palatino Linotype"/>
          <w:sz w:val="22"/>
          <w:szCs w:val="22"/>
        </w:rPr>
        <w:t xml:space="preserve"> and </w:t>
      </w:r>
      <w:hyperlink r:id="rId13" w:history="1">
        <w:r w:rsidRPr="00026220">
          <w:rPr>
            <w:rStyle w:val="Hyperlink"/>
            <w:rFonts w:ascii="Palatino Linotype" w:hAnsi="Palatino Linotype"/>
            <w:sz w:val="22"/>
            <w:szCs w:val="22"/>
          </w:rPr>
          <w:t>http://www.iri.org/resource/iri-releases-survey-iraqi-public-opinion-2</w:t>
        </w:r>
      </w:hyperlink>
      <w:r w:rsidRPr="00026220">
        <w:rPr>
          <w:rFonts w:ascii="Palatino Linotype" w:hAnsi="Palatino Linotype"/>
          <w:sz w:val="22"/>
          <w:szCs w:val="22"/>
        </w:rPr>
        <w:t>.</w:t>
      </w:r>
    </w:p>
    <w:p w14:paraId="13BFA85F" w14:textId="77777777" w:rsidR="00393AE8" w:rsidRPr="00026220" w:rsidRDefault="00393AE8" w:rsidP="00026220">
      <w:pPr>
        <w:pStyle w:val="EndnoteText"/>
        <w:jc w:val="both"/>
        <w:rPr>
          <w:rFonts w:ascii="Palatino Linotype" w:hAnsi="Palatino Linotype"/>
          <w:sz w:val="22"/>
          <w:szCs w:val="22"/>
          <w:lang w:val="en-GB"/>
        </w:rPr>
      </w:pPr>
    </w:p>
  </w:endnote>
  <w:endnote w:id="16">
    <w:p w14:paraId="3AAB07CC" w14:textId="77777777" w:rsidR="00393AE8" w:rsidRPr="00026220" w:rsidRDefault="00393AE8" w:rsidP="00026220">
      <w:pPr>
        <w:pStyle w:val="EndnoteText"/>
        <w:jc w:val="both"/>
        <w:rPr>
          <w:rFonts w:ascii="Palatino Linotype" w:hAnsi="Palatino Linotype"/>
          <w:sz w:val="22"/>
          <w:szCs w:val="22"/>
          <w:lang w:val="en-GB"/>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The power of the error prone approach reflected in the rise of the </w:t>
      </w:r>
      <w:proofErr w:type="spellStart"/>
      <w:r w:rsidRPr="00026220">
        <w:rPr>
          <w:rFonts w:ascii="Palatino Linotype" w:hAnsi="Palatino Linotype"/>
          <w:sz w:val="22"/>
          <w:szCs w:val="22"/>
        </w:rPr>
        <w:t>Jaych</w:t>
      </w:r>
      <w:proofErr w:type="spellEnd"/>
      <w:r w:rsidRPr="00026220">
        <w:rPr>
          <w:rFonts w:ascii="Palatino Linotype" w:hAnsi="Palatino Linotype"/>
          <w:sz w:val="22"/>
          <w:szCs w:val="22"/>
        </w:rPr>
        <w:t xml:space="preserve"> </w:t>
      </w:r>
      <w:proofErr w:type="spellStart"/>
      <w:r w:rsidRPr="00026220">
        <w:rPr>
          <w:rFonts w:ascii="Palatino Linotype" w:hAnsi="Palatino Linotype"/>
          <w:sz w:val="22"/>
          <w:szCs w:val="22"/>
        </w:rPr>
        <w:t>Rijal</w:t>
      </w:r>
      <w:proofErr w:type="spellEnd"/>
      <w:r w:rsidRPr="00026220">
        <w:rPr>
          <w:rFonts w:ascii="Palatino Linotype" w:hAnsi="Palatino Linotype"/>
          <w:sz w:val="22"/>
          <w:szCs w:val="22"/>
        </w:rPr>
        <w:t xml:space="preserve"> al-Tariqa al-</w:t>
      </w:r>
      <w:proofErr w:type="spellStart"/>
      <w:r w:rsidRPr="00026220">
        <w:rPr>
          <w:rFonts w:ascii="Palatino Linotype" w:hAnsi="Palatino Linotype"/>
          <w:sz w:val="22"/>
          <w:szCs w:val="22"/>
        </w:rPr>
        <w:t>Naqshbandia</w:t>
      </w:r>
      <w:proofErr w:type="spellEnd"/>
      <w:r w:rsidRPr="00026220">
        <w:rPr>
          <w:rFonts w:ascii="Palatino Linotype" w:hAnsi="Palatino Linotype"/>
          <w:sz w:val="22"/>
          <w:szCs w:val="22"/>
        </w:rPr>
        <w:t xml:space="preserve"> militia which used Sunni and Ba’athist experiences of lustration to ferment dissent. A group, who despite their secularism aided the rise of ISIS in Iraq, notably in the seizure of Mosul in 2014. In response and in an attempt to gain Sunni support and to defeat ISIS the Governate of Salahuddin removed </w:t>
      </w:r>
      <w:proofErr w:type="gramStart"/>
      <w:r w:rsidRPr="00026220">
        <w:rPr>
          <w:rFonts w:ascii="Palatino Linotype" w:hAnsi="Palatino Linotype"/>
          <w:sz w:val="22"/>
          <w:szCs w:val="22"/>
        </w:rPr>
        <w:t>lustration based</w:t>
      </w:r>
      <w:proofErr w:type="gramEnd"/>
      <w:r w:rsidRPr="00026220">
        <w:rPr>
          <w:rFonts w:ascii="Palatino Linotype" w:hAnsi="Palatino Linotype"/>
          <w:sz w:val="22"/>
          <w:szCs w:val="22"/>
        </w:rPr>
        <w:t xml:space="preserve"> exclusions so as to return the vetted to local security forces.</w:t>
      </w:r>
    </w:p>
  </w:endnote>
  <w:endnote w:id="17">
    <w:p w14:paraId="4E56FB4B" w14:textId="77777777" w:rsidR="00393AE8" w:rsidRPr="009A41F8" w:rsidRDefault="00393AE8" w:rsidP="009A41F8">
      <w:pPr>
        <w:pStyle w:val="EndnoteText"/>
        <w:jc w:val="both"/>
        <w:rPr>
          <w:lang w:val="en-GB"/>
        </w:rPr>
      </w:pPr>
      <w:r>
        <w:rPr>
          <w:rStyle w:val="EndnoteReference"/>
        </w:rPr>
        <w:endnoteRef/>
      </w:r>
      <w:r>
        <w:t xml:space="preserve"> </w:t>
      </w:r>
      <w:r w:rsidRPr="009A41F8">
        <w:rPr>
          <w:rFonts w:ascii="Palatino Linotype" w:hAnsi="Palatino Linotype"/>
          <w:sz w:val="22"/>
          <w:szCs w:val="22"/>
        </w:rPr>
        <w:t>That internal state operated by undermining the appeal rules outlined in Order 1 namely that; Any Iraqi citizen who is dismissed from his or her position of employment as a result of the exercise of the authority conferred herein shall be entitled to: a) advance written notification explaining the grounds for dismissal and the procedures for appealing that dismissal; b) a reasonable opportunity to respond to the notification in writing or in person and present evidence; c) a reasonable opportunity to appeal immediately any adverse decision, in writing or in person, to a fair and impartial entity independent of the individual or organization that rendered the adverse decision, which shall promptly render a written decision in the case (Coalition Provisional Authority 2003 p.1).</w:t>
      </w:r>
    </w:p>
  </w:endnote>
  <w:endnote w:id="18">
    <w:p w14:paraId="79F35272" w14:textId="77777777" w:rsidR="00CB1FDD" w:rsidRPr="00CB1FDD" w:rsidRDefault="00393AE8" w:rsidP="00CB1FDD">
      <w:pPr>
        <w:pStyle w:val="EndnoteText"/>
        <w:rPr>
          <w:rFonts w:ascii="Palatino Linotype" w:hAnsi="Palatino Linotype"/>
          <w:bCs/>
          <w:sz w:val="22"/>
          <w:szCs w:val="22"/>
        </w:rPr>
      </w:pPr>
      <w:r w:rsidRPr="00026220">
        <w:rPr>
          <w:rStyle w:val="EndnoteReference"/>
          <w:rFonts w:ascii="Palatino Linotype" w:hAnsi="Palatino Linotype"/>
          <w:sz w:val="22"/>
          <w:szCs w:val="22"/>
        </w:rPr>
        <w:endnoteRef/>
      </w:r>
      <w:r w:rsidRPr="00026220">
        <w:rPr>
          <w:rFonts w:ascii="Palatino Linotype" w:hAnsi="Palatino Linotype"/>
          <w:sz w:val="22"/>
          <w:szCs w:val="22"/>
        </w:rPr>
        <w:t xml:space="preserve"> Coalition Provisional Authority (2003)  Order 1 also included the following processes 1) In any case in which a dismissed employee’s appeal is denied, the dismissed employee shall have the right to request further review of the matter by the Higher National De-Baathification Commission or a national committee established by the Higher National De-Baathification Commission for this purpose 2) If an appeal results in an employee’s reinstatement, the employee shall be paid back</w:t>
      </w:r>
      <w:r>
        <w:rPr>
          <w:rFonts w:ascii="Palatino Linotype" w:hAnsi="Palatino Linotype"/>
          <w:sz w:val="22"/>
          <w:szCs w:val="22"/>
        </w:rPr>
        <w:t xml:space="preserve"> p</w:t>
      </w:r>
      <w:r w:rsidRPr="00026220">
        <w:rPr>
          <w:rFonts w:ascii="Palatino Linotype" w:hAnsi="Palatino Linotype"/>
          <w:sz w:val="22"/>
          <w:szCs w:val="22"/>
        </w:rPr>
        <w:t>ay from the date of dismissal to the date of reinstatement 3) Following consultation with the Governing Council, the Administrator may reinstate an employee if he concludes that it is in the interests of the Iraqi people or that failing to reinstate the employee would be fundamentally unfair 4) The Governing Council shall coordinate with the Minister of Finance before exercising the authority conferred under this Memorandum in a manner that will significantly affect the national budget</w:t>
      </w:r>
      <w:r w:rsidR="00CB1FDD" w:rsidRPr="00CB1FDD">
        <w:rPr>
          <w:rFonts w:ascii="Palatino Linotype" w:hAnsi="Palatino Linotype"/>
          <w:bCs/>
        </w:rPr>
        <w:t xml:space="preserve"> </w:t>
      </w:r>
      <w:r w:rsidR="00CB1FDD" w:rsidRPr="00CB1FDD">
        <w:rPr>
          <w:rFonts w:ascii="Palatino Linotype" w:hAnsi="Palatino Linotype"/>
          <w:bCs/>
          <w:sz w:val="22"/>
          <w:szCs w:val="22"/>
        </w:rPr>
        <w:t>In Iraq lustration was a system was presented as  transgressor removal which masked the desire to develop neo-liberal practice</w:t>
      </w:r>
      <w:r w:rsidR="00CB1FDD" w:rsidRPr="00CB1FDD">
        <w:rPr>
          <w:rFonts w:ascii="Palatino Linotype" w:hAnsi="Palatino Linotype"/>
          <w:bCs/>
          <w:sz w:val="22"/>
          <w:szCs w:val="22"/>
          <w:vertAlign w:val="superscript"/>
        </w:rPr>
        <w:endnoteRef/>
      </w:r>
      <w:r w:rsidR="00CB1FDD" w:rsidRPr="00CB1FDD">
        <w:rPr>
          <w:rFonts w:ascii="Palatino Linotype" w:hAnsi="Palatino Linotype"/>
          <w:bCs/>
          <w:sz w:val="22"/>
          <w:szCs w:val="22"/>
        </w:rPr>
        <w:t>, undermine Arab nationalism, remove those opposed to federalism and undermine secular values. An unquestioned example of laws expanding role in the spaces of war (</w:t>
      </w:r>
      <w:proofErr w:type="spellStart"/>
      <w:r w:rsidR="00CB1FDD" w:rsidRPr="00CB1FDD">
        <w:rPr>
          <w:rFonts w:ascii="Palatino Linotype" w:hAnsi="Palatino Linotype"/>
          <w:bCs/>
          <w:sz w:val="22"/>
          <w:szCs w:val="22"/>
        </w:rPr>
        <w:t>Sarat</w:t>
      </w:r>
      <w:proofErr w:type="spellEnd"/>
      <w:r w:rsidR="00CB1FDD" w:rsidRPr="00CB1FDD">
        <w:rPr>
          <w:rFonts w:ascii="Palatino Linotype" w:hAnsi="Palatino Linotype"/>
          <w:bCs/>
          <w:sz w:val="22"/>
          <w:szCs w:val="22"/>
        </w:rPr>
        <w:t xml:space="preserve"> and Kearns, 1995) in which lustration, was not, in the case of Iraq ‘… an impartial arbiter of conflict’ but ‘…an instrument of power’ that perpetuated the conflict via other means (Jones, 2016: 224). Therefore, lustration evolves through … use’ of ‘different social practices…’ that ‘… suppress different ways of </w:t>
      </w:r>
      <w:proofErr w:type="spellStart"/>
      <w:r w:rsidR="00CB1FDD" w:rsidRPr="00CB1FDD">
        <w:rPr>
          <w:rFonts w:ascii="Palatino Linotype" w:hAnsi="Palatino Linotype"/>
          <w:bCs/>
          <w:sz w:val="22"/>
          <w:szCs w:val="22"/>
        </w:rPr>
        <w:t>organising</w:t>
      </w:r>
      <w:proofErr w:type="spellEnd"/>
      <w:r w:rsidR="00CB1FDD" w:rsidRPr="00CB1FDD">
        <w:rPr>
          <w:rFonts w:ascii="Palatino Linotype" w:hAnsi="Palatino Linotype"/>
          <w:bCs/>
          <w:sz w:val="22"/>
          <w:szCs w:val="22"/>
        </w:rPr>
        <w:t xml:space="preserve"> legal, moral, and political responsibility’ (Werner, 2010: 61). </w:t>
      </w:r>
    </w:p>
    <w:p w14:paraId="06AED654" w14:textId="77777777" w:rsidR="00CB1FDD" w:rsidRPr="00CB1FDD" w:rsidRDefault="00CB1FDD" w:rsidP="00CB1FDD">
      <w:pPr>
        <w:pStyle w:val="EndnoteText"/>
        <w:rPr>
          <w:rFonts w:ascii="Palatino Linotype" w:hAnsi="Palatino Linotype"/>
          <w:bCs/>
          <w:sz w:val="22"/>
          <w:szCs w:val="22"/>
        </w:rPr>
      </w:pPr>
    </w:p>
    <w:p w14:paraId="7C61122E" w14:textId="044CCE74" w:rsidR="00CB1FDD" w:rsidRPr="00CB1FDD" w:rsidRDefault="00CB1FDD" w:rsidP="00CB1FDD">
      <w:pPr>
        <w:pStyle w:val="EndnoteText"/>
        <w:rPr>
          <w:rFonts w:ascii="Palatino Linotype" w:hAnsi="Palatino Linotype"/>
          <w:bCs/>
          <w:sz w:val="22"/>
          <w:szCs w:val="22"/>
        </w:rPr>
      </w:pPr>
      <w:r w:rsidRPr="00CB1FDD">
        <w:rPr>
          <w:rFonts w:ascii="Palatino Linotype" w:hAnsi="Palatino Linotype"/>
          <w:bCs/>
          <w:sz w:val="22"/>
          <w:szCs w:val="22"/>
        </w:rPr>
        <w:t xml:space="preserve">We do not question the removal of transgressors within the Ba’ath regime but instead acknowledge that lustration policies included acts that denied economic well-being, the security of economic activity and denial of full-citizenship to those who were guiltless or whose guilt was unproven. How actors constructed the classification of those who were deemed as peripheral to the new political order is not only allied to an understanding of symbolic violence but is key to interpreting the performativity of doing so and the processes through which ‘… men and women … simply fall short, in the eyes of their judges, of the right way of being and doing (Bourdieu 1990 p. 231).  In examining the process through which the concentration of state power was achieved we </w:t>
      </w:r>
      <w:proofErr w:type="spellStart"/>
      <w:r w:rsidRPr="00CB1FDD">
        <w:rPr>
          <w:rFonts w:ascii="Palatino Linotype" w:hAnsi="Palatino Linotype"/>
          <w:bCs/>
          <w:sz w:val="22"/>
          <w:szCs w:val="22"/>
        </w:rPr>
        <w:t>analyse</w:t>
      </w:r>
      <w:proofErr w:type="spellEnd"/>
      <w:r w:rsidRPr="00CB1FDD">
        <w:rPr>
          <w:rFonts w:ascii="Palatino Linotype" w:hAnsi="Palatino Linotype"/>
          <w:bCs/>
          <w:sz w:val="22"/>
          <w:szCs w:val="22"/>
        </w:rPr>
        <w:t xml:space="preserve"> the exchange of power from exogenous to endogenous control, fraud, variant law making and sectarianized political agency. Understanding those relationships requires measurement of state practice as a site of contestation and friction. We here focus upon lustration as a form of resource allocation </w:t>
      </w:r>
      <w:proofErr w:type="spellStart"/>
      <w:r w:rsidRPr="00CB1FDD">
        <w:rPr>
          <w:rFonts w:ascii="Palatino Linotype" w:hAnsi="Palatino Linotype"/>
          <w:bCs/>
          <w:sz w:val="22"/>
          <w:szCs w:val="22"/>
        </w:rPr>
        <w:t>centred</w:t>
      </w:r>
      <w:proofErr w:type="spellEnd"/>
      <w:r w:rsidRPr="00CB1FDD">
        <w:rPr>
          <w:rFonts w:ascii="Palatino Linotype" w:hAnsi="Palatino Linotype"/>
          <w:bCs/>
          <w:sz w:val="22"/>
          <w:szCs w:val="22"/>
        </w:rPr>
        <w:t xml:space="preserve"> governance by examining actor-related </w:t>
      </w:r>
      <w:proofErr w:type="spellStart"/>
      <w:r w:rsidRPr="00CB1FDD">
        <w:rPr>
          <w:rFonts w:ascii="Palatino Linotype" w:hAnsi="Palatino Linotype"/>
          <w:bCs/>
          <w:sz w:val="22"/>
          <w:szCs w:val="22"/>
        </w:rPr>
        <w:t>behaviour</w:t>
      </w:r>
      <w:proofErr w:type="spellEnd"/>
      <w:r w:rsidRPr="00CB1FDD">
        <w:rPr>
          <w:rFonts w:ascii="Palatino Linotype" w:hAnsi="Palatino Linotype"/>
          <w:bCs/>
          <w:sz w:val="22"/>
          <w:szCs w:val="22"/>
        </w:rPr>
        <w:t xml:space="preserve"> as concerns the administration of lustration and the process through which exogenous actors in advancing lustration, as contingent to regime transfer, aided the authority of an ethno-sectarian and political party mission led by endogenous actors (</w:t>
      </w:r>
      <w:proofErr w:type="spellStart"/>
      <w:r w:rsidRPr="00CB1FDD">
        <w:rPr>
          <w:rFonts w:ascii="Palatino Linotype" w:hAnsi="Palatino Linotype"/>
          <w:bCs/>
          <w:sz w:val="22"/>
          <w:szCs w:val="22"/>
        </w:rPr>
        <w:t>Köse</w:t>
      </w:r>
      <w:proofErr w:type="spellEnd"/>
      <w:r w:rsidRPr="00CB1FDD">
        <w:rPr>
          <w:rFonts w:ascii="Palatino Linotype" w:hAnsi="Palatino Linotype"/>
          <w:bCs/>
          <w:sz w:val="22"/>
          <w:szCs w:val="22"/>
        </w:rPr>
        <w:t xml:space="preserve">, </w:t>
      </w:r>
      <w:proofErr w:type="spellStart"/>
      <w:r w:rsidRPr="00CB1FDD">
        <w:rPr>
          <w:rFonts w:ascii="Palatino Linotype" w:hAnsi="Palatino Linotype"/>
          <w:bCs/>
          <w:sz w:val="22"/>
          <w:szCs w:val="22"/>
        </w:rPr>
        <w:t>Ozcan</w:t>
      </w:r>
      <w:proofErr w:type="spellEnd"/>
      <w:r w:rsidRPr="00CB1FDD">
        <w:rPr>
          <w:rFonts w:ascii="Palatino Linotype" w:hAnsi="Palatino Linotype"/>
          <w:bCs/>
          <w:sz w:val="22"/>
          <w:szCs w:val="22"/>
        </w:rPr>
        <w:t xml:space="preserve"> &amp; </w:t>
      </w:r>
      <w:proofErr w:type="spellStart"/>
      <w:r w:rsidRPr="00CB1FDD">
        <w:rPr>
          <w:rFonts w:ascii="Palatino Linotype" w:hAnsi="Palatino Linotype"/>
          <w:bCs/>
          <w:sz w:val="22"/>
          <w:szCs w:val="22"/>
        </w:rPr>
        <w:t>Karakoç</w:t>
      </w:r>
      <w:proofErr w:type="spellEnd"/>
      <w:r w:rsidRPr="00CB1FDD">
        <w:rPr>
          <w:rFonts w:ascii="Palatino Linotype" w:hAnsi="Palatino Linotype"/>
          <w:bCs/>
          <w:sz w:val="22"/>
          <w:szCs w:val="22"/>
        </w:rPr>
        <w:t xml:space="preserve"> 2016). That mission undermined broader notions of citizenship in </w:t>
      </w:r>
      <w:proofErr w:type="spellStart"/>
      <w:r w:rsidRPr="00CB1FDD">
        <w:rPr>
          <w:rFonts w:ascii="Palatino Linotype" w:hAnsi="Palatino Linotype"/>
          <w:bCs/>
          <w:sz w:val="22"/>
          <w:szCs w:val="22"/>
        </w:rPr>
        <w:t>favour</w:t>
      </w:r>
      <w:proofErr w:type="spellEnd"/>
      <w:r w:rsidRPr="00CB1FDD">
        <w:rPr>
          <w:rFonts w:ascii="Palatino Linotype" w:hAnsi="Palatino Linotype"/>
          <w:bCs/>
          <w:sz w:val="22"/>
          <w:szCs w:val="22"/>
        </w:rPr>
        <w:t xml:space="preserve"> of a form of governance that aimed to achieve a regulatory fit that was to be achieved by illegally banning the free press and electoral candidates, skewing resources to ensure political patronage and ‘purifying’ the spaces of public sector employment (Haddad 2011; Katzman 2009; Al-Ali 2014; Ismael &amp; Fuller, 2009). The robust nature of that exclusion and control was emblematic of interventionist state power delivered by a state that was weak. In such circumstances the state achieves authority through the sites in which control is achievable. </w:t>
      </w:r>
      <w:proofErr w:type="spellStart"/>
      <w:r w:rsidRPr="00CB1FDD">
        <w:rPr>
          <w:rFonts w:ascii="Palatino Linotype" w:hAnsi="Palatino Linotype"/>
          <w:bCs/>
          <w:sz w:val="22"/>
          <w:szCs w:val="22"/>
        </w:rPr>
        <w:t>Sectarianised</w:t>
      </w:r>
      <w:proofErr w:type="spellEnd"/>
      <w:r w:rsidRPr="00CB1FDD">
        <w:rPr>
          <w:rFonts w:ascii="Palatino Linotype" w:hAnsi="Palatino Linotype"/>
          <w:bCs/>
          <w:sz w:val="22"/>
          <w:szCs w:val="22"/>
        </w:rPr>
        <w:t xml:space="preserve"> governance, for example, became one of the pivots upon which state regulation turned (Migdal 1988; Prakash &amp; Potoski 2016). Laws of lustration providing the signifier of and for the constitutive practices required to control empowerment (new elite) and disempowerment (generally old elite) processes. </w:t>
      </w:r>
    </w:p>
    <w:p w14:paraId="33035B5C" w14:textId="77777777" w:rsidR="00CB1FDD" w:rsidRPr="00CB1FDD" w:rsidRDefault="00CB1FDD" w:rsidP="00CB1FDD">
      <w:pPr>
        <w:pStyle w:val="EndnoteText"/>
        <w:rPr>
          <w:rFonts w:ascii="Palatino Linotype" w:hAnsi="Palatino Linotype"/>
          <w:bCs/>
          <w:sz w:val="22"/>
          <w:szCs w:val="22"/>
        </w:rPr>
      </w:pPr>
    </w:p>
    <w:p w14:paraId="22D49A96" w14:textId="77777777" w:rsidR="00CB1FDD" w:rsidRPr="00CB1FDD" w:rsidRDefault="00CB1FDD" w:rsidP="00CB1FDD">
      <w:pPr>
        <w:pStyle w:val="EndnoteText"/>
        <w:rPr>
          <w:rFonts w:ascii="Palatino Linotype" w:hAnsi="Palatino Linotype"/>
          <w:bCs/>
          <w:sz w:val="22"/>
          <w:szCs w:val="22"/>
        </w:rPr>
      </w:pPr>
      <w:r w:rsidRPr="00CB1FDD">
        <w:rPr>
          <w:rFonts w:ascii="Palatino Linotype" w:hAnsi="Palatino Linotype"/>
          <w:bCs/>
          <w:sz w:val="22"/>
          <w:szCs w:val="22"/>
        </w:rPr>
        <w:t>The capacity therefore for new modes of democratic governance that would have disavowed ethno-sectarian state-based regulation was undermined by the imposition of a Western ‘fix’ bereft of an adequate understanding of Iraq’s complex, ethnic, sectarian and tribal loyalties and their manipulation</w:t>
      </w:r>
      <w:r w:rsidRPr="00CB1FDD">
        <w:rPr>
          <w:rFonts w:ascii="Palatino Linotype" w:hAnsi="Palatino Linotype"/>
          <w:bCs/>
          <w:sz w:val="22"/>
          <w:szCs w:val="22"/>
          <w:vertAlign w:val="superscript"/>
        </w:rPr>
        <w:endnoteRef/>
      </w:r>
      <w:r w:rsidRPr="00CB1FDD">
        <w:rPr>
          <w:rFonts w:ascii="Palatino Linotype" w:hAnsi="Palatino Linotype"/>
          <w:bCs/>
          <w:sz w:val="22"/>
          <w:szCs w:val="22"/>
        </w:rPr>
        <w:t xml:space="preserve">. We support the proposition, led by scholars and others, that exogenous-led intervention was inappropriate for Iraq and agree that the outcome of the Western tendency to endorse regime change via elite imposition is a repeated folly (Brinkerhoff &amp; Mayfield 2005). As noted by </w:t>
      </w:r>
      <w:proofErr w:type="spellStart"/>
      <w:r w:rsidRPr="00CB1FDD">
        <w:rPr>
          <w:rFonts w:ascii="Palatino Linotype" w:hAnsi="Palatino Linotype"/>
          <w:bCs/>
          <w:sz w:val="22"/>
          <w:szCs w:val="22"/>
        </w:rPr>
        <w:t>Fakhoury</w:t>
      </w:r>
      <w:proofErr w:type="spellEnd"/>
      <w:r w:rsidRPr="00CB1FDD">
        <w:rPr>
          <w:rFonts w:ascii="Palatino Linotype" w:hAnsi="Palatino Linotype"/>
          <w:bCs/>
          <w:sz w:val="22"/>
          <w:szCs w:val="22"/>
        </w:rPr>
        <w:t xml:space="preserve"> (2014) Western policies of regime change intensified the politics of political entrepreneurs by providing ‘the main vector through which they entrench their predominance’ (2014, p. 134). </w:t>
      </w:r>
    </w:p>
    <w:p w14:paraId="513B2EE1" w14:textId="77777777" w:rsidR="00CB1FDD" w:rsidRPr="00CB1FDD" w:rsidRDefault="00CB1FDD" w:rsidP="00CB1FDD">
      <w:pPr>
        <w:pStyle w:val="EndnoteText"/>
        <w:rPr>
          <w:rFonts w:ascii="Palatino Linotype" w:hAnsi="Palatino Linotype"/>
          <w:b/>
          <w:bCs/>
          <w:sz w:val="22"/>
          <w:szCs w:val="22"/>
        </w:rPr>
      </w:pPr>
    </w:p>
    <w:p w14:paraId="66824507" w14:textId="77777777" w:rsidR="00393AE8" w:rsidRPr="00026220" w:rsidRDefault="00393AE8" w:rsidP="00026220">
      <w:pPr>
        <w:pStyle w:val="EndnoteText"/>
        <w:jc w:val="both"/>
        <w:rPr>
          <w:sz w:val="22"/>
          <w:szCs w:val="22"/>
          <w:lang w:val="en-GB"/>
        </w:rPr>
      </w:pPr>
      <w:r w:rsidRPr="00026220">
        <w:rPr>
          <w:rFonts w:ascii="Palatino Linotype" w:hAnsi="Palatino Linotype"/>
          <w:sz w:val="22"/>
          <w:szCs w:val="22"/>
        </w:rPr>
        <w:t xml:space="preserve"> of Iraq.</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994C" w14:textId="77777777" w:rsidR="00292A0F" w:rsidRDefault="00292A0F">
      <w:r>
        <w:separator/>
      </w:r>
    </w:p>
  </w:footnote>
  <w:footnote w:type="continuationSeparator" w:id="0">
    <w:p w14:paraId="49C1A308" w14:textId="77777777" w:rsidR="00292A0F" w:rsidRDefault="00292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71"/>
    <w:multiLevelType w:val="hybridMultilevel"/>
    <w:tmpl w:val="18B4E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351CE"/>
    <w:multiLevelType w:val="multilevel"/>
    <w:tmpl w:val="34C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4940"/>
    <w:multiLevelType w:val="multilevel"/>
    <w:tmpl w:val="A59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E71B7"/>
    <w:multiLevelType w:val="hybridMultilevel"/>
    <w:tmpl w:val="EEDE57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52E8D"/>
    <w:multiLevelType w:val="hybridMultilevel"/>
    <w:tmpl w:val="488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539FB"/>
    <w:multiLevelType w:val="multilevel"/>
    <w:tmpl w:val="20E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AD0DC6"/>
    <w:multiLevelType w:val="multilevel"/>
    <w:tmpl w:val="2B14F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C23AE4"/>
    <w:multiLevelType w:val="multilevel"/>
    <w:tmpl w:val="F61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507A8"/>
    <w:multiLevelType w:val="multilevel"/>
    <w:tmpl w:val="B3E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E2A0C"/>
    <w:multiLevelType w:val="hybridMultilevel"/>
    <w:tmpl w:val="47CA8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C54D47"/>
    <w:multiLevelType w:val="multilevel"/>
    <w:tmpl w:val="C48C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F07C8"/>
    <w:multiLevelType w:val="multilevel"/>
    <w:tmpl w:val="834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C26A7"/>
    <w:multiLevelType w:val="hybridMultilevel"/>
    <w:tmpl w:val="84BCA5CC"/>
    <w:lvl w:ilvl="0" w:tplc="694AD64A">
      <w:start w:val="1"/>
      <w:numFmt w:val="lowerLetter"/>
      <w:lvlText w:val="%1)"/>
      <w:lvlJc w:val="left"/>
      <w:pPr>
        <w:tabs>
          <w:tab w:val="num" w:pos="720"/>
        </w:tabs>
        <w:ind w:left="720" w:hanging="360"/>
      </w:pPr>
      <w:rPr>
        <w:rFonts w:ascii="Times New Roman" w:eastAsia="Times New Roman" w:hAnsi="Times New Roman" w:cs="Times New Roman"/>
      </w:rPr>
    </w:lvl>
    <w:lvl w:ilvl="1" w:tplc="F53CA5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AF1AB3"/>
    <w:multiLevelType w:val="hybridMultilevel"/>
    <w:tmpl w:val="FFDAE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8E5DFA"/>
    <w:multiLevelType w:val="multilevel"/>
    <w:tmpl w:val="086C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07086F"/>
    <w:multiLevelType w:val="hybridMultilevel"/>
    <w:tmpl w:val="4AFC39FC"/>
    <w:lvl w:ilvl="0" w:tplc="0409000F">
      <w:start w:val="1"/>
      <w:numFmt w:val="decimal"/>
      <w:lvlText w:val="%1."/>
      <w:lvlJc w:val="left"/>
      <w:pPr>
        <w:tabs>
          <w:tab w:val="num" w:pos="720"/>
        </w:tabs>
        <w:ind w:left="720" w:hanging="360"/>
      </w:pPr>
      <w:rPr>
        <w:rFonts w:hint="default"/>
      </w:rPr>
    </w:lvl>
    <w:lvl w:ilvl="1" w:tplc="CE36A1F8">
      <w:start w:val="1"/>
      <w:numFmt w:val="lowerLetter"/>
      <w:lvlText w:val="%2."/>
      <w:lvlJc w:val="left"/>
      <w:pPr>
        <w:tabs>
          <w:tab w:val="num" w:pos="1440"/>
        </w:tabs>
        <w:ind w:left="1440" w:hanging="360"/>
      </w:pPr>
      <w:rPr>
        <w:rFonts w:hint="default"/>
      </w:rPr>
    </w:lvl>
    <w:lvl w:ilvl="2" w:tplc="CCB848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95588A"/>
    <w:multiLevelType w:val="multilevel"/>
    <w:tmpl w:val="D53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35C2A"/>
    <w:multiLevelType w:val="multilevel"/>
    <w:tmpl w:val="E1D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4B6027"/>
    <w:multiLevelType w:val="multilevel"/>
    <w:tmpl w:val="01B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5"/>
  </w:num>
  <w:num w:numId="5">
    <w:abstractNumId w:val="12"/>
  </w:num>
  <w:num w:numId="6">
    <w:abstractNumId w:val="13"/>
  </w:num>
  <w:num w:numId="7">
    <w:abstractNumId w:val="4"/>
  </w:num>
  <w:num w:numId="8">
    <w:abstractNumId w:val="6"/>
  </w:num>
  <w:num w:numId="9">
    <w:abstractNumId w:val="11"/>
  </w:num>
  <w:num w:numId="10">
    <w:abstractNumId w:val="14"/>
  </w:num>
  <w:num w:numId="11">
    <w:abstractNumId w:val="8"/>
  </w:num>
  <w:num w:numId="12">
    <w:abstractNumId w:val="18"/>
  </w:num>
  <w:num w:numId="13">
    <w:abstractNumId w:val="2"/>
  </w:num>
  <w:num w:numId="14">
    <w:abstractNumId w:val="16"/>
  </w:num>
  <w:num w:numId="15">
    <w:abstractNumId w:val="1"/>
  </w:num>
  <w:num w:numId="16">
    <w:abstractNumId w:val="5"/>
  </w:num>
  <w:num w:numId="17">
    <w:abstractNumId w:val="10"/>
  </w:num>
  <w:num w:numId="18">
    <w:abstractNumId w:val="7"/>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geroth, Viola">
    <w15:presenceInfo w15:providerId="AD" w15:userId="S-1-5-21-137024685-2204166116-4157399963-8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70"/>
    <w:rsid w:val="0000076D"/>
    <w:rsid w:val="000023B0"/>
    <w:rsid w:val="000029C0"/>
    <w:rsid w:val="00002E00"/>
    <w:rsid w:val="00003460"/>
    <w:rsid w:val="00004C44"/>
    <w:rsid w:val="00004CB0"/>
    <w:rsid w:val="00005415"/>
    <w:rsid w:val="000069E2"/>
    <w:rsid w:val="00006ED2"/>
    <w:rsid w:val="000074CD"/>
    <w:rsid w:val="0000754A"/>
    <w:rsid w:val="0000768C"/>
    <w:rsid w:val="00010274"/>
    <w:rsid w:val="00010CBA"/>
    <w:rsid w:val="00010EC0"/>
    <w:rsid w:val="00011670"/>
    <w:rsid w:val="00011A1B"/>
    <w:rsid w:val="00011DBB"/>
    <w:rsid w:val="00012BD7"/>
    <w:rsid w:val="00013021"/>
    <w:rsid w:val="00013401"/>
    <w:rsid w:val="0001368F"/>
    <w:rsid w:val="00013AB0"/>
    <w:rsid w:val="00013B58"/>
    <w:rsid w:val="00013B85"/>
    <w:rsid w:val="00013D4B"/>
    <w:rsid w:val="000158B1"/>
    <w:rsid w:val="000169CF"/>
    <w:rsid w:val="000177F1"/>
    <w:rsid w:val="00017E15"/>
    <w:rsid w:val="00020523"/>
    <w:rsid w:val="00020B8B"/>
    <w:rsid w:val="00020E5F"/>
    <w:rsid w:val="0002107F"/>
    <w:rsid w:val="00021A6E"/>
    <w:rsid w:val="00021E1F"/>
    <w:rsid w:val="0002291C"/>
    <w:rsid w:val="00022F28"/>
    <w:rsid w:val="00023756"/>
    <w:rsid w:val="000239C4"/>
    <w:rsid w:val="00024E03"/>
    <w:rsid w:val="00026220"/>
    <w:rsid w:val="00026575"/>
    <w:rsid w:val="00026BAE"/>
    <w:rsid w:val="00027A06"/>
    <w:rsid w:val="00027B39"/>
    <w:rsid w:val="00027F82"/>
    <w:rsid w:val="000300C0"/>
    <w:rsid w:val="00032B82"/>
    <w:rsid w:val="00032CD7"/>
    <w:rsid w:val="00033412"/>
    <w:rsid w:val="00033C68"/>
    <w:rsid w:val="00033D2B"/>
    <w:rsid w:val="00034006"/>
    <w:rsid w:val="0003429D"/>
    <w:rsid w:val="00034BFF"/>
    <w:rsid w:val="0003513C"/>
    <w:rsid w:val="0003698A"/>
    <w:rsid w:val="000372CB"/>
    <w:rsid w:val="00040673"/>
    <w:rsid w:val="00040A57"/>
    <w:rsid w:val="00040D8C"/>
    <w:rsid w:val="00041C41"/>
    <w:rsid w:val="00041FBC"/>
    <w:rsid w:val="00042BFB"/>
    <w:rsid w:val="000435A2"/>
    <w:rsid w:val="00045AE2"/>
    <w:rsid w:val="00045C8F"/>
    <w:rsid w:val="0004604D"/>
    <w:rsid w:val="00046C78"/>
    <w:rsid w:val="00046CA8"/>
    <w:rsid w:val="00046FBD"/>
    <w:rsid w:val="00047E2A"/>
    <w:rsid w:val="00047F81"/>
    <w:rsid w:val="000500B0"/>
    <w:rsid w:val="00050B70"/>
    <w:rsid w:val="00051421"/>
    <w:rsid w:val="0005331C"/>
    <w:rsid w:val="000533D0"/>
    <w:rsid w:val="000537AC"/>
    <w:rsid w:val="00053C67"/>
    <w:rsid w:val="000558C1"/>
    <w:rsid w:val="00056182"/>
    <w:rsid w:val="0005649C"/>
    <w:rsid w:val="000564A5"/>
    <w:rsid w:val="00056C5B"/>
    <w:rsid w:val="000571D7"/>
    <w:rsid w:val="00062F95"/>
    <w:rsid w:val="000630EC"/>
    <w:rsid w:val="000632F6"/>
    <w:rsid w:val="000633E1"/>
    <w:rsid w:val="00063A67"/>
    <w:rsid w:val="00064398"/>
    <w:rsid w:val="0006471C"/>
    <w:rsid w:val="00064AFD"/>
    <w:rsid w:val="00064EBB"/>
    <w:rsid w:val="000651C0"/>
    <w:rsid w:val="00065566"/>
    <w:rsid w:val="000656FB"/>
    <w:rsid w:val="00066160"/>
    <w:rsid w:val="00066BB1"/>
    <w:rsid w:val="00067E58"/>
    <w:rsid w:val="000703A3"/>
    <w:rsid w:val="00070BD9"/>
    <w:rsid w:val="00070FD3"/>
    <w:rsid w:val="000713F7"/>
    <w:rsid w:val="000726E6"/>
    <w:rsid w:val="00074D9A"/>
    <w:rsid w:val="0007501D"/>
    <w:rsid w:val="000753BC"/>
    <w:rsid w:val="0007552C"/>
    <w:rsid w:val="000757F6"/>
    <w:rsid w:val="000759A6"/>
    <w:rsid w:val="00075B66"/>
    <w:rsid w:val="00075D67"/>
    <w:rsid w:val="0007643A"/>
    <w:rsid w:val="00076D26"/>
    <w:rsid w:val="0008015F"/>
    <w:rsid w:val="000801AE"/>
    <w:rsid w:val="000802DA"/>
    <w:rsid w:val="000811A8"/>
    <w:rsid w:val="00081BD5"/>
    <w:rsid w:val="00082448"/>
    <w:rsid w:val="0008366D"/>
    <w:rsid w:val="000844F1"/>
    <w:rsid w:val="000848A8"/>
    <w:rsid w:val="00085878"/>
    <w:rsid w:val="0008726E"/>
    <w:rsid w:val="000874DF"/>
    <w:rsid w:val="000876A7"/>
    <w:rsid w:val="0008780A"/>
    <w:rsid w:val="00087A8C"/>
    <w:rsid w:val="00087DDB"/>
    <w:rsid w:val="000905CE"/>
    <w:rsid w:val="00090DE4"/>
    <w:rsid w:val="0009227E"/>
    <w:rsid w:val="000922C9"/>
    <w:rsid w:val="00092B1A"/>
    <w:rsid w:val="00092F1F"/>
    <w:rsid w:val="00093062"/>
    <w:rsid w:val="000934BE"/>
    <w:rsid w:val="00093619"/>
    <w:rsid w:val="00093D60"/>
    <w:rsid w:val="00094204"/>
    <w:rsid w:val="00095748"/>
    <w:rsid w:val="00095BD1"/>
    <w:rsid w:val="00095FBE"/>
    <w:rsid w:val="00096191"/>
    <w:rsid w:val="000964D0"/>
    <w:rsid w:val="00096892"/>
    <w:rsid w:val="0009704D"/>
    <w:rsid w:val="00097F2A"/>
    <w:rsid w:val="000A00A5"/>
    <w:rsid w:val="000A093B"/>
    <w:rsid w:val="000A22E7"/>
    <w:rsid w:val="000A2B41"/>
    <w:rsid w:val="000A3087"/>
    <w:rsid w:val="000A3274"/>
    <w:rsid w:val="000A3D2F"/>
    <w:rsid w:val="000A3D8C"/>
    <w:rsid w:val="000A4B63"/>
    <w:rsid w:val="000A5E60"/>
    <w:rsid w:val="000A6258"/>
    <w:rsid w:val="000A6688"/>
    <w:rsid w:val="000B18A0"/>
    <w:rsid w:val="000B1E96"/>
    <w:rsid w:val="000B2709"/>
    <w:rsid w:val="000B318F"/>
    <w:rsid w:val="000B3418"/>
    <w:rsid w:val="000B416D"/>
    <w:rsid w:val="000B5733"/>
    <w:rsid w:val="000B5822"/>
    <w:rsid w:val="000B5B46"/>
    <w:rsid w:val="000B6221"/>
    <w:rsid w:val="000B63AF"/>
    <w:rsid w:val="000B668D"/>
    <w:rsid w:val="000B769C"/>
    <w:rsid w:val="000B7ED1"/>
    <w:rsid w:val="000C0FB8"/>
    <w:rsid w:val="000C1AEF"/>
    <w:rsid w:val="000C336B"/>
    <w:rsid w:val="000C420C"/>
    <w:rsid w:val="000C4D11"/>
    <w:rsid w:val="000C5BCB"/>
    <w:rsid w:val="000C67DB"/>
    <w:rsid w:val="000C7690"/>
    <w:rsid w:val="000C78C6"/>
    <w:rsid w:val="000C78EB"/>
    <w:rsid w:val="000C79D9"/>
    <w:rsid w:val="000C7B92"/>
    <w:rsid w:val="000D0310"/>
    <w:rsid w:val="000D0387"/>
    <w:rsid w:val="000D08A9"/>
    <w:rsid w:val="000D0DD0"/>
    <w:rsid w:val="000D1377"/>
    <w:rsid w:val="000D1C5D"/>
    <w:rsid w:val="000D1F8B"/>
    <w:rsid w:val="000D2442"/>
    <w:rsid w:val="000D2782"/>
    <w:rsid w:val="000D30A0"/>
    <w:rsid w:val="000D37AF"/>
    <w:rsid w:val="000D3A01"/>
    <w:rsid w:val="000D4DF9"/>
    <w:rsid w:val="000D55FB"/>
    <w:rsid w:val="000D5CA1"/>
    <w:rsid w:val="000D61B3"/>
    <w:rsid w:val="000D779A"/>
    <w:rsid w:val="000D7FB7"/>
    <w:rsid w:val="000E0EF2"/>
    <w:rsid w:val="000E108A"/>
    <w:rsid w:val="000E1290"/>
    <w:rsid w:val="000E19DF"/>
    <w:rsid w:val="000E1A60"/>
    <w:rsid w:val="000E249C"/>
    <w:rsid w:val="000E2601"/>
    <w:rsid w:val="000E40E5"/>
    <w:rsid w:val="000E439F"/>
    <w:rsid w:val="000E448B"/>
    <w:rsid w:val="000E491D"/>
    <w:rsid w:val="000E4CAE"/>
    <w:rsid w:val="000E645A"/>
    <w:rsid w:val="000E6754"/>
    <w:rsid w:val="000E6843"/>
    <w:rsid w:val="000E6B1E"/>
    <w:rsid w:val="000E7060"/>
    <w:rsid w:val="000E7206"/>
    <w:rsid w:val="000E73D4"/>
    <w:rsid w:val="000E797F"/>
    <w:rsid w:val="000E7C88"/>
    <w:rsid w:val="000F0146"/>
    <w:rsid w:val="000F0334"/>
    <w:rsid w:val="000F0383"/>
    <w:rsid w:val="000F04A3"/>
    <w:rsid w:val="000F0962"/>
    <w:rsid w:val="000F15FE"/>
    <w:rsid w:val="000F263D"/>
    <w:rsid w:val="000F272D"/>
    <w:rsid w:val="000F3E93"/>
    <w:rsid w:val="000F45B0"/>
    <w:rsid w:val="000F4C3B"/>
    <w:rsid w:val="000F5474"/>
    <w:rsid w:val="000F5C53"/>
    <w:rsid w:val="000F5C68"/>
    <w:rsid w:val="000F5FB8"/>
    <w:rsid w:val="000F6063"/>
    <w:rsid w:val="000F68EF"/>
    <w:rsid w:val="000F6D6D"/>
    <w:rsid w:val="000F7586"/>
    <w:rsid w:val="000F7CAE"/>
    <w:rsid w:val="0010085C"/>
    <w:rsid w:val="0010104E"/>
    <w:rsid w:val="001010D6"/>
    <w:rsid w:val="00101291"/>
    <w:rsid w:val="001013B3"/>
    <w:rsid w:val="00102321"/>
    <w:rsid w:val="00102FCB"/>
    <w:rsid w:val="00103FFB"/>
    <w:rsid w:val="001049D6"/>
    <w:rsid w:val="001052F6"/>
    <w:rsid w:val="00105A7E"/>
    <w:rsid w:val="00105B87"/>
    <w:rsid w:val="00105CBF"/>
    <w:rsid w:val="0010799F"/>
    <w:rsid w:val="0011087D"/>
    <w:rsid w:val="001118A1"/>
    <w:rsid w:val="00111D60"/>
    <w:rsid w:val="001129D5"/>
    <w:rsid w:val="00115D41"/>
    <w:rsid w:val="001172D8"/>
    <w:rsid w:val="00117633"/>
    <w:rsid w:val="00120228"/>
    <w:rsid w:val="00120752"/>
    <w:rsid w:val="00120F7B"/>
    <w:rsid w:val="001210B5"/>
    <w:rsid w:val="00121759"/>
    <w:rsid w:val="00121872"/>
    <w:rsid w:val="00121969"/>
    <w:rsid w:val="0012217E"/>
    <w:rsid w:val="00122A15"/>
    <w:rsid w:val="0012338B"/>
    <w:rsid w:val="00124ACF"/>
    <w:rsid w:val="00124BFA"/>
    <w:rsid w:val="001252AC"/>
    <w:rsid w:val="001255ED"/>
    <w:rsid w:val="001261CC"/>
    <w:rsid w:val="00126DCF"/>
    <w:rsid w:val="00126F54"/>
    <w:rsid w:val="001308D3"/>
    <w:rsid w:val="001329C1"/>
    <w:rsid w:val="00132D4A"/>
    <w:rsid w:val="0013350E"/>
    <w:rsid w:val="00133F26"/>
    <w:rsid w:val="00135635"/>
    <w:rsid w:val="00135719"/>
    <w:rsid w:val="00135DC0"/>
    <w:rsid w:val="00136475"/>
    <w:rsid w:val="0013692A"/>
    <w:rsid w:val="0013769F"/>
    <w:rsid w:val="00137823"/>
    <w:rsid w:val="00140460"/>
    <w:rsid w:val="001407F7"/>
    <w:rsid w:val="00140AF3"/>
    <w:rsid w:val="00140C96"/>
    <w:rsid w:val="001415E6"/>
    <w:rsid w:val="00141C6F"/>
    <w:rsid w:val="00141E88"/>
    <w:rsid w:val="00142063"/>
    <w:rsid w:val="0014308B"/>
    <w:rsid w:val="00143140"/>
    <w:rsid w:val="001434D0"/>
    <w:rsid w:val="00143B1D"/>
    <w:rsid w:val="00143B2F"/>
    <w:rsid w:val="00143DAF"/>
    <w:rsid w:val="00144921"/>
    <w:rsid w:val="00145619"/>
    <w:rsid w:val="00145C8A"/>
    <w:rsid w:val="00146B08"/>
    <w:rsid w:val="0014743F"/>
    <w:rsid w:val="00150AC0"/>
    <w:rsid w:val="001512BE"/>
    <w:rsid w:val="00151A7C"/>
    <w:rsid w:val="00151DC7"/>
    <w:rsid w:val="00151F54"/>
    <w:rsid w:val="00152268"/>
    <w:rsid w:val="001526D6"/>
    <w:rsid w:val="001528EB"/>
    <w:rsid w:val="00153714"/>
    <w:rsid w:val="00153D5B"/>
    <w:rsid w:val="00154245"/>
    <w:rsid w:val="00154A38"/>
    <w:rsid w:val="0015512C"/>
    <w:rsid w:val="00155A0E"/>
    <w:rsid w:val="00155C7B"/>
    <w:rsid w:val="00155C7C"/>
    <w:rsid w:val="001560CB"/>
    <w:rsid w:val="00156A4C"/>
    <w:rsid w:val="00157000"/>
    <w:rsid w:val="001610CC"/>
    <w:rsid w:val="00161879"/>
    <w:rsid w:val="0016271B"/>
    <w:rsid w:val="001628E6"/>
    <w:rsid w:val="00163D0C"/>
    <w:rsid w:val="00163EA2"/>
    <w:rsid w:val="00164840"/>
    <w:rsid w:val="00165905"/>
    <w:rsid w:val="00165BAA"/>
    <w:rsid w:val="00166504"/>
    <w:rsid w:val="001667B8"/>
    <w:rsid w:val="00166884"/>
    <w:rsid w:val="00167A8E"/>
    <w:rsid w:val="001715C6"/>
    <w:rsid w:val="00171899"/>
    <w:rsid w:val="00173F62"/>
    <w:rsid w:val="00173FD5"/>
    <w:rsid w:val="0017403D"/>
    <w:rsid w:val="00174236"/>
    <w:rsid w:val="00174C57"/>
    <w:rsid w:val="001751AC"/>
    <w:rsid w:val="00175283"/>
    <w:rsid w:val="0017731E"/>
    <w:rsid w:val="00177CA9"/>
    <w:rsid w:val="00180056"/>
    <w:rsid w:val="0018017A"/>
    <w:rsid w:val="001814B9"/>
    <w:rsid w:val="00181872"/>
    <w:rsid w:val="001818EC"/>
    <w:rsid w:val="0018243E"/>
    <w:rsid w:val="00183AA8"/>
    <w:rsid w:val="001843CB"/>
    <w:rsid w:val="00185832"/>
    <w:rsid w:val="00185CBA"/>
    <w:rsid w:val="00186347"/>
    <w:rsid w:val="001864A1"/>
    <w:rsid w:val="001866A4"/>
    <w:rsid w:val="00186C8F"/>
    <w:rsid w:val="00187AD9"/>
    <w:rsid w:val="001907D3"/>
    <w:rsid w:val="00190829"/>
    <w:rsid w:val="00192301"/>
    <w:rsid w:val="00192569"/>
    <w:rsid w:val="0019284A"/>
    <w:rsid w:val="001945F8"/>
    <w:rsid w:val="001963A6"/>
    <w:rsid w:val="001A0513"/>
    <w:rsid w:val="001A060F"/>
    <w:rsid w:val="001A082F"/>
    <w:rsid w:val="001A1084"/>
    <w:rsid w:val="001A276E"/>
    <w:rsid w:val="001A2CF4"/>
    <w:rsid w:val="001A320D"/>
    <w:rsid w:val="001A3A95"/>
    <w:rsid w:val="001A43E1"/>
    <w:rsid w:val="001A48B3"/>
    <w:rsid w:val="001A4EE3"/>
    <w:rsid w:val="001A4F8F"/>
    <w:rsid w:val="001A4FE3"/>
    <w:rsid w:val="001A6641"/>
    <w:rsid w:val="001A6A96"/>
    <w:rsid w:val="001A6BC4"/>
    <w:rsid w:val="001B257E"/>
    <w:rsid w:val="001B6148"/>
    <w:rsid w:val="001B6423"/>
    <w:rsid w:val="001B71A4"/>
    <w:rsid w:val="001B7DA2"/>
    <w:rsid w:val="001B7E23"/>
    <w:rsid w:val="001C00FF"/>
    <w:rsid w:val="001C13A3"/>
    <w:rsid w:val="001C26BB"/>
    <w:rsid w:val="001C2D8D"/>
    <w:rsid w:val="001C32AB"/>
    <w:rsid w:val="001C3C30"/>
    <w:rsid w:val="001C62FC"/>
    <w:rsid w:val="001C7D00"/>
    <w:rsid w:val="001D0040"/>
    <w:rsid w:val="001D08EF"/>
    <w:rsid w:val="001D14BD"/>
    <w:rsid w:val="001D172E"/>
    <w:rsid w:val="001D1895"/>
    <w:rsid w:val="001D3465"/>
    <w:rsid w:val="001D3B0D"/>
    <w:rsid w:val="001D3D90"/>
    <w:rsid w:val="001D40EC"/>
    <w:rsid w:val="001D411A"/>
    <w:rsid w:val="001D466B"/>
    <w:rsid w:val="001D4C8B"/>
    <w:rsid w:val="001D5033"/>
    <w:rsid w:val="001D58E3"/>
    <w:rsid w:val="001D600F"/>
    <w:rsid w:val="001D62A3"/>
    <w:rsid w:val="001D6308"/>
    <w:rsid w:val="001D6A5A"/>
    <w:rsid w:val="001D6E0D"/>
    <w:rsid w:val="001D7B1E"/>
    <w:rsid w:val="001D7E7F"/>
    <w:rsid w:val="001E00A6"/>
    <w:rsid w:val="001E0294"/>
    <w:rsid w:val="001E0435"/>
    <w:rsid w:val="001E1499"/>
    <w:rsid w:val="001E1D5F"/>
    <w:rsid w:val="001E1EC9"/>
    <w:rsid w:val="001E238D"/>
    <w:rsid w:val="001E2ACC"/>
    <w:rsid w:val="001E2CE7"/>
    <w:rsid w:val="001E2D51"/>
    <w:rsid w:val="001E36B5"/>
    <w:rsid w:val="001E553C"/>
    <w:rsid w:val="001E568A"/>
    <w:rsid w:val="001E74AC"/>
    <w:rsid w:val="001F0A0F"/>
    <w:rsid w:val="001F0CBB"/>
    <w:rsid w:val="001F10B6"/>
    <w:rsid w:val="001F12DB"/>
    <w:rsid w:val="001F1354"/>
    <w:rsid w:val="001F2650"/>
    <w:rsid w:val="001F273D"/>
    <w:rsid w:val="001F30A6"/>
    <w:rsid w:val="001F3496"/>
    <w:rsid w:val="001F352D"/>
    <w:rsid w:val="001F376D"/>
    <w:rsid w:val="001F3A43"/>
    <w:rsid w:val="001F590B"/>
    <w:rsid w:val="001F5C69"/>
    <w:rsid w:val="001F634B"/>
    <w:rsid w:val="001F6E33"/>
    <w:rsid w:val="001F7272"/>
    <w:rsid w:val="001F7334"/>
    <w:rsid w:val="001F793C"/>
    <w:rsid w:val="001F7E73"/>
    <w:rsid w:val="002006EC"/>
    <w:rsid w:val="002011FD"/>
    <w:rsid w:val="002016B3"/>
    <w:rsid w:val="002026D5"/>
    <w:rsid w:val="00202D14"/>
    <w:rsid w:val="00202E53"/>
    <w:rsid w:val="00203346"/>
    <w:rsid w:val="002034E4"/>
    <w:rsid w:val="00203709"/>
    <w:rsid w:val="002044D1"/>
    <w:rsid w:val="002051AB"/>
    <w:rsid w:val="00205A71"/>
    <w:rsid w:val="00205AE8"/>
    <w:rsid w:val="002067F6"/>
    <w:rsid w:val="00206939"/>
    <w:rsid w:val="00206A7F"/>
    <w:rsid w:val="002076D7"/>
    <w:rsid w:val="00210231"/>
    <w:rsid w:val="00210355"/>
    <w:rsid w:val="0021214C"/>
    <w:rsid w:val="00212327"/>
    <w:rsid w:val="00212D43"/>
    <w:rsid w:val="0021314B"/>
    <w:rsid w:val="00213505"/>
    <w:rsid w:val="002151CC"/>
    <w:rsid w:val="0021533C"/>
    <w:rsid w:val="0021569E"/>
    <w:rsid w:val="00215F03"/>
    <w:rsid w:val="00216F74"/>
    <w:rsid w:val="00220DFE"/>
    <w:rsid w:val="00222572"/>
    <w:rsid w:val="002227D2"/>
    <w:rsid w:val="00224047"/>
    <w:rsid w:val="00224AE3"/>
    <w:rsid w:val="00224BC7"/>
    <w:rsid w:val="00224F99"/>
    <w:rsid w:val="00225E1A"/>
    <w:rsid w:val="002264EB"/>
    <w:rsid w:val="00226A23"/>
    <w:rsid w:val="002271D6"/>
    <w:rsid w:val="00227A55"/>
    <w:rsid w:val="002307A7"/>
    <w:rsid w:val="00230CDA"/>
    <w:rsid w:val="00231714"/>
    <w:rsid w:val="002335A0"/>
    <w:rsid w:val="00233B3E"/>
    <w:rsid w:val="002342D1"/>
    <w:rsid w:val="00234DFB"/>
    <w:rsid w:val="00234F2E"/>
    <w:rsid w:val="00234F80"/>
    <w:rsid w:val="0023542C"/>
    <w:rsid w:val="00235AA3"/>
    <w:rsid w:val="002369AA"/>
    <w:rsid w:val="0023731A"/>
    <w:rsid w:val="00240CD6"/>
    <w:rsid w:val="0024125C"/>
    <w:rsid w:val="002413DD"/>
    <w:rsid w:val="00242434"/>
    <w:rsid w:val="00243D2D"/>
    <w:rsid w:val="00244260"/>
    <w:rsid w:val="002442AD"/>
    <w:rsid w:val="002442F1"/>
    <w:rsid w:val="00244750"/>
    <w:rsid w:val="00244894"/>
    <w:rsid w:val="00244B3D"/>
    <w:rsid w:val="0024621F"/>
    <w:rsid w:val="002466B2"/>
    <w:rsid w:val="002470DB"/>
    <w:rsid w:val="0024723B"/>
    <w:rsid w:val="002505E3"/>
    <w:rsid w:val="00250738"/>
    <w:rsid w:val="00250AE0"/>
    <w:rsid w:val="00250B1F"/>
    <w:rsid w:val="0025115E"/>
    <w:rsid w:val="002534A0"/>
    <w:rsid w:val="0025356F"/>
    <w:rsid w:val="0025363F"/>
    <w:rsid w:val="00255357"/>
    <w:rsid w:val="002557A4"/>
    <w:rsid w:val="00255CD0"/>
    <w:rsid w:val="00256256"/>
    <w:rsid w:val="002566D4"/>
    <w:rsid w:val="002571B5"/>
    <w:rsid w:val="00257794"/>
    <w:rsid w:val="002608DA"/>
    <w:rsid w:val="00260D21"/>
    <w:rsid w:val="00265973"/>
    <w:rsid w:val="00265C04"/>
    <w:rsid w:val="00265EFF"/>
    <w:rsid w:val="00266041"/>
    <w:rsid w:val="00270070"/>
    <w:rsid w:val="00270AE9"/>
    <w:rsid w:val="0027106B"/>
    <w:rsid w:val="002721EF"/>
    <w:rsid w:val="002728DB"/>
    <w:rsid w:val="002732EB"/>
    <w:rsid w:val="002736A8"/>
    <w:rsid w:val="002737F2"/>
    <w:rsid w:val="00274742"/>
    <w:rsid w:val="00274C82"/>
    <w:rsid w:val="00277265"/>
    <w:rsid w:val="00277D3A"/>
    <w:rsid w:val="00277E20"/>
    <w:rsid w:val="002800D7"/>
    <w:rsid w:val="0028115A"/>
    <w:rsid w:val="00281274"/>
    <w:rsid w:val="002817A8"/>
    <w:rsid w:val="00281DFD"/>
    <w:rsid w:val="00281FAB"/>
    <w:rsid w:val="00282045"/>
    <w:rsid w:val="002824F0"/>
    <w:rsid w:val="0028271B"/>
    <w:rsid w:val="0028292E"/>
    <w:rsid w:val="0028398F"/>
    <w:rsid w:val="00283B82"/>
    <w:rsid w:val="0028448B"/>
    <w:rsid w:val="00284996"/>
    <w:rsid w:val="00284F26"/>
    <w:rsid w:val="002850E7"/>
    <w:rsid w:val="00285112"/>
    <w:rsid w:val="00287F1E"/>
    <w:rsid w:val="0029016E"/>
    <w:rsid w:val="00290D71"/>
    <w:rsid w:val="00291777"/>
    <w:rsid w:val="0029281C"/>
    <w:rsid w:val="002928C4"/>
    <w:rsid w:val="00292A0F"/>
    <w:rsid w:val="00292B32"/>
    <w:rsid w:val="00293A08"/>
    <w:rsid w:val="00293B7D"/>
    <w:rsid w:val="00294E34"/>
    <w:rsid w:val="00294FAC"/>
    <w:rsid w:val="00295304"/>
    <w:rsid w:val="002965AA"/>
    <w:rsid w:val="00296A98"/>
    <w:rsid w:val="00297E0B"/>
    <w:rsid w:val="002A03C3"/>
    <w:rsid w:val="002A197F"/>
    <w:rsid w:val="002A1E7C"/>
    <w:rsid w:val="002A202C"/>
    <w:rsid w:val="002A280E"/>
    <w:rsid w:val="002A33EC"/>
    <w:rsid w:val="002A5C9C"/>
    <w:rsid w:val="002A5EF5"/>
    <w:rsid w:val="002A6C5F"/>
    <w:rsid w:val="002A76F5"/>
    <w:rsid w:val="002A78B1"/>
    <w:rsid w:val="002B07FD"/>
    <w:rsid w:val="002B0A64"/>
    <w:rsid w:val="002B14D6"/>
    <w:rsid w:val="002B193E"/>
    <w:rsid w:val="002B1BB7"/>
    <w:rsid w:val="002B26D8"/>
    <w:rsid w:val="002B31B6"/>
    <w:rsid w:val="002B3FE6"/>
    <w:rsid w:val="002B541B"/>
    <w:rsid w:val="002B58EF"/>
    <w:rsid w:val="002B638F"/>
    <w:rsid w:val="002B68CD"/>
    <w:rsid w:val="002C010A"/>
    <w:rsid w:val="002C0A6C"/>
    <w:rsid w:val="002C1982"/>
    <w:rsid w:val="002C21E6"/>
    <w:rsid w:val="002C2378"/>
    <w:rsid w:val="002C2DCA"/>
    <w:rsid w:val="002C424F"/>
    <w:rsid w:val="002C4AC4"/>
    <w:rsid w:val="002C4E1A"/>
    <w:rsid w:val="002C5B02"/>
    <w:rsid w:val="002C64CC"/>
    <w:rsid w:val="002C7B1C"/>
    <w:rsid w:val="002D0D6D"/>
    <w:rsid w:val="002D0DA1"/>
    <w:rsid w:val="002D0EEA"/>
    <w:rsid w:val="002D1AC4"/>
    <w:rsid w:val="002D41B4"/>
    <w:rsid w:val="002D4293"/>
    <w:rsid w:val="002D4F7A"/>
    <w:rsid w:val="002D63BC"/>
    <w:rsid w:val="002D7137"/>
    <w:rsid w:val="002D7351"/>
    <w:rsid w:val="002E071C"/>
    <w:rsid w:val="002E0CFF"/>
    <w:rsid w:val="002E165D"/>
    <w:rsid w:val="002E1881"/>
    <w:rsid w:val="002E19AB"/>
    <w:rsid w:val="002E2FA1"/>
    <w:rsid w:val="002E3889"/>
    <w:rsid w:val="002E4766"/>
    <w:rsid w:val="002E47FC"/>
    <w:rsid w:val="002E4E64"/>
    <w:rsid w:val="002E4E85"/>
    <w:rsid w:val="002E503B"/>
    <w:rsid w:val="002E53EE"/>
    <w:rsid w:val="002E59CB"/>
    <w:rsid w:val="002E64E7"/>
    <w:rsid w:val="002E6B7A"/>
    <w:rsid w:val="002E70A3"/>
    <w:rsid w:val="002E79BA"/>
    <w:rsid w:val="002F02A1"/>
    <w:rsid w:val="002F07FB"/>
    <w:rsid w:val="002F0F8F"/>
    <w:rsid w:val="002F27A4"/>
    <w:rsid w:val="002F2ACE"/>
    <w:rsid w:val="002F3377"/>
    <w:rsid w:val="002F351B"/>
    <w:rsid w:val="002F3779"/>
    <w:rsid w:val="002F3C55"/>
    <w:rsid w:val="002F3DB9"/>
    <w:rsid w:val="002F3F7E"/>
    <w:rsid w:val="002F40A8"/>
    <w:rsid w:val="002F419B"/>
    <w:rsid w:val="002F54D7"/>
    <w:rsid w:val="002F59D5"/>
    <w:rsid w:val="002F685B"/>
    <w:rsid w:val="002F69D5"/>
    <w:rsid w:val="002F79D0"/>
    <w:rsid w:val="003007A1"/>
    <w:rsid w:val="0030235A"/>
    <w:rsid w:val="00302D61"/>
    <w:rsid w:val="003043A6"/>
    <w:rsid w:val="003046EB"/>
    <w:rsid w:val="00304EA6"/>
    <w:rsid w:val="00305660"/>
    <w:rsid w:val="00305F26"/>
    <w:rsid w:val="00306FE0"/>
    <w:rsid w:val="00307B1E"/>
    <w:rsid w:val="00307CC4"/>
    <w:rsid w:val="00310395"/>
    <w:rsid w:val="00310D83"/>
    <w:rsid w:val="003113A3"/>
    <w:rsid w:val="0031185C"/>
    <w:rsid w:val="00311C3C"/>
    <w:rsid w:val="00311C88"/>
    <w:rsid w:val="00311EB0"/>
    <w:rsid w:val="00312306"/>
    <w:rsid w:val="00312390"/>
    <w:rsid w:val="0031286E"/>
    <w:rsid w:val="00312FA8"/>
    <w:rsid w:val="00313484"/>
    <w:rsid w:val="0031356D"/>
    <w:rsid w:val="0031372E"/>
    <w:rsid w:val="00313F1E"/>
    <w:rsid w:val="00314059"/>
    <w:rsid w:val="00314673"/>
    <w:rsid w:val="00314734"/>
    <w:rsid w:val="00314F51"/>
    <w:rsid w:val="00315BFD"/>
    <w:rsid w:val="00316235"/>
    <w:rsid w:val="003173C0"/>
    <w:rsid w:val="0031745A"/>
    <w:rsid w:val="00317819"/>
    <w:rsid w:val="0031792A"/>
    <w:rsid w:val="00320531"/>
    <w:rsid w:val="00320844"/>
    <w:rsid w:val="0032099B"/>
    <w:rsid w:val="003211DE"/>
    <w:rsid w:val="0032168F"/>
    <w:rsid w:val="0032186B"/>
    <w:rsid w:val="00321CF0"/>
    <w:rsid w:val="003220B8"/>
    <w:rsid w:val="0032282E"/>
    <w:rsid w:val="003234DF"/>
    <w:rsid w:val="0032360D"/>
    <w:rsid w:val="003236D7"/>
    <w:rsid w:val="0032383A"/>
    <w:rsid w:val="00324D6A"/>
    <w:rsid w:val="003250D0"/>
    <w:rsid w:val="00325807"/>
    <w:rsid w:val="00325A6E"/>
    <w:rsid w:val="0032615F"/>
    <w:rsid w:val="003264B1"/>
    <w:rsid w:val="00326B07"/>
    <w:rsid w:val="00326FE4"/>
    <w:rsid w:val="00327210"/>
    <w:rsid w:val="00330A1B"/>
    <w:rsid w:val="00330A43"/>
    <w:rsid w:val="003317F9"/>
    <w:rsid w:val="00331EC2"/>
    <w:rsid w:val="003328E8"/>
    <w:rsid w:val="0033383B"/>
    <w:rsid w:val="00333902"/>
    <w:rsid w:val="00334E64"/>
    <w:rsid w:val="00335A5A"/>
    <w:rsid w:val="00335C3E"/>
    <w:rsid w:val="00335FB1"/>
    <w:rsid w:val="00336604"/>
    <w:rsid w:val="0033708C"/>
    <w:rsid w:val="00340CCD"/>
    <w:rsid w:val="003412CD"/>
    <w:rsid w:val="003416CB"/>
    <w:rsid w:val="00341FCB"/>
    <w:rsid w:val="003428E2"/>
    <w:rsid w:val="00342B92"/>
    <w:rsid w:val="0034333D"/>
    <w:rsid w:val="00343935"/>
    <w:rsid w:val="00343B02"/>
    <w:rsid w:val="00345474"/>
    <w:rsid w:val="003456EF"/>
    <w:rsid w:val="00345D87"/>
    <w:rsid w:val="00350902"/>
    <w:rsid w:val="0035092B"/>
    <w:rsid w:val="00351702"/>
    <w:rsid w:val="00351E02"/>
    <w:rsid w:val="003521B0"/>
    <w:rsid w:val="0035258D"/>
    <w:rsid w:val="003535C2"/>
    <w:rsid w:val="00354548"/>
    <w:rsid w:val="003545A4"/>
    <w:rsid w:val="0035471D"/>
    <w:rsid w:val="00355E90"/>
    <w:rsid w:val="003569AC"/>
    <w:rsid w:val="0036010E"/>
    <w:rsid w:val="00360529"/>
    <w:rsid w:val="003605F0"/>
    <w:rsid w:val="00361C49"/>
    <w:rsid w:val="00361CE3"/>
    <w:rsid w:val="00361DF2"/>
    <w:rsid w:val="003627D4"/>
    <w:rsid w:val="00362C2F"/>
    <w:rsid w:val="003630EC"/>
    <w:rsid w:val="003639FE"/>
    <w:rsid w:val="00363B48"/>
    <w:rsid w:val="0036435C"/>
    <w:rsid w:val="003643E5"/>
    <w:rsid w:val="003647B3"/>
    <w:rsid w:val="00364B18"/>
    <w:rsid w:val="003658A3"/>
    <w:rsid w:val="00365A34"/>
    <w:rsid w:val="0036625D"/>
    <w:rsid w:val="003705BC"/>
    <w:rsid w:val="00371E14"/>
    <w:rsid w:val="00372414"/>
    <w:rsid w:val="00372663"/>
    <w:rsid w:val="003739EA"/>
    <w:rsid w:val="00373C68"/>
    <w:rsid w:val="0037406B"/>
    <w:rsid w:val="003740AF"/>
    <w:rsid w:val="00374635"/>
    <w:rsid w:val="00374CC8"/>
    <w:rsid w:val="00375CCB"/>
    <w:rsid w:val="00376995"/>
    <w:rsid w:val="00376BCE"/>
    <w:rsid w:val="003771D3"/>
    <w:rsid w:val="00380FCB"/>
    <w:rsid w:val="00380FD3"/>
    <w:rsid w:val="00382D58"/>
    <w:rsid w:val="00383220"/>
    <w:rsid w:val="00383322"/>
    <w:rsid w:val="003843B8"/>
    <w:rsid w:val="00384898"/>
    <w:rsid w:val="00384E29"/>
    <w:rsid w:val="00385472"/>
    <w:rsid w:val="00385CB6"/>
    <w:rsid w:val="00386D7A"/>
    <w:rsid w:val="003874A3"/>
    <w:rsid w:val="00390F7B"/>
    <w:rsid w:val="003910AE"/>
    <w:rsid w:val="00392468"/>
    <w:rsid w:val="00392659"/>
    <w:rsid w:val="003938D2"/>
    <w:rsid w:val="00393AB0"/>
    <w:rsid w:val="00393AE8"/>
    <w:rsid w:val="0039426E"/>
    <w:rsid w:val="003943BE"/>
    <w:rsid w:val="0039464D"/>
    <w:rsid w:val="00395468"/>
    <w:rsid w:val="00396679"/>
    <w:rsid w:val="0039699A"/>
    <w:rsid w:val="003A1D9B"/>
    <w:rsid w:val="003A304F"/>
    <w:rsid w:val="003A323F"/>
    <w:rsid w:val="003A32C3"/>
    <w:rsid w:val="003A63EA"/>
    <w:rsid w:val="003A66A4"/>
    <w:rsid w:val="003A6A54"/>
    <w:rsid w:val="003A6F3E"/>
    <w:rsid w:val="003A7A85"/>
    <w:rsid w:val="003A7D3C"/>
    <w:rsid w:val="003B0254"/>
    <w:rsid w:val="003B0998"/>
    <w:rsid w:val="003B1306"/>
    <w:rsid w:val="003B1419"/>
    <w:rsid w:val="003B1A7D"/>
    <w:rsid w:val="003B2C88"/>
    <w:rsid w:val="003B3036"/>
    <w:rsid w:val="003B322F"/>
    <w:rsid w:val="003B36D9"/>
    <w:rsid w:val="003B3CA8"/>
    <w:rsid w:val="003B42F0"/>
    <w:rsid w:val="003B4354"/>
    <w:rsid w:val="003B4503"/>
    <w:rsid w:val="003B4679"/>
    <w:rsid w:val="003B4C5A"/>
    <w:rsid w:val="003B5884"/>
    <w:rsid w:val="003B5990"/>
    <w:rsid w:val="003B5B5E"/>
    <w:rsid w:val="003B77A4"/>
    <w:rsid w:val="003B7E38"/>
    <w:rsid w:val="003C067E"/>
    <w:rsid w:val="003C0B55"/>
    <w:rsid w:val="003C0FA5"/>
    <w:rsid w:val="003C141B"/>
    <w:rsid w:val="003C2356"/>
    <w:rsid w:val="003C23C6"/>
    <w:rsid w:val="003C2CBA"/>
    <w:rsid w:val="003C2D72"/>
    <w:rsid w:val="003C30DC"/>
    <w:rsid w:val="003C387F"/>
    <w:rsid w:val="003C3D22"/>
    <w:rsid w:val="003C3E10"/>
    <w:rsid w:val="003C41A4"/>
    <w:rsid w:val="003C4584"/>
    <w:rsid w:val="003C4C3F"/>
    <w:rsid w:val="003C4EA5"/>
    <w:rsid w:val="003C53BD"/>
    <w:rsid w:val="003C5604"/>
    <w:rsid w:val="003C799B"/>
    <w:rsid w:val="003C7CF7"/>
    <w:rsid w:val="003D0075"/>
    <w:rsid w:val="003D0328"/>
    <w:rsid w:val="003D05AB"/>
    <w:rsid w:val="003D05C6"/>
    <w:rsid w:val="003D061B"/>
    <w:rsid w:val="003D0674"/>
    <w:rsid w:val="003D13C4"/>
    <w:rsid w:val="003D1530"/>
    <w:rsid w:val="003D1A10"/>
    <w:rsid w:val="003D2780"/>
    <w:rsid w:val="003D28FC"/>
    <w:rsid w:val="003D320A"/>
    <w:rsid w:val="003D5F1C"/>
    <w:rsid w:val="003D69A9"/>
    <w:rsid w:val="003D6B12"/>
    <w:rsid w:val="003D7887"/>
    <w:rsid w:val="003E1BE1"/>
    <w:rsid w:val="003E1DF2"/>
    <w:rsid w:val="003E21FA"/>
    <w:rsid w:val="003E22BD"/>
    <w:rsid w:val="003E30B5"/>
    <w:rsid w:val="003E5874"/>
    <w:rsid w:val="003E5C86"/>
    <w:rsid w:val="003E5FB3"/>
    <w:rsid w:val="003E665C"/>
    <w:rsid w:val="003E6CAD"/>
    <w:rsid w:val="003E6EAA"/>
    <w:rsid w:val="003E74E2"/>
    <w:rsid w:val="003E76DA"/>
    <w:rsid w:val="003E7860"/>
    <w:rsid w:val="003E7BCC"/>
    <w:rsid w:val="003E7FCB"/>
    <w:rsid w:val="003F368D"/>
    <w:rsid w:val="003F3751"/>
    <w:rsid w:val="003F3AC3"/>
    <w:rsid w:val="003F3EAC"/>
    <w:rsid w:val="003F3ED9"/>
    <w:rsid w:val="003F4204"/>
    <w:rsid w:val="003F4B46"/>
    <w:rsid w:val="003F4DD1"/>
    <w:rsid w:val="003F52E8"/>
    <w:rsid w:val="003F6AEC"/>
    <w:rsid w:val="0040039C"/>
    <w:rsid w:val="004006D5"/>
    <w:rsid w:val="00402658"/>
    <w:rsid w:val="00402E59"/>
    <w:rsid w:val="00402ECD"/>
    <w:rsid w:val="00403248"/>
    <w:rsid w:val="00403396"/>
    <w:rsid w:val="004036DD"/>
    <w:rsid w:val="004039EB"/>
    <w:rsid w:val="00403EB2"/>
    <w:rsid w:val="00404CFE"/>
    <w:rsid w:val="00404F41"/>
    <w:rsid w:val="004051F5"/>
    <w:rsid w:val="004065F5"/>
    <w:rsid w:val="00407026"/>
    <w:rsid w:val="00407F08"/>
    <w:rsid w:val="00407FE9"/>
    <w:rsid w:val="004100D3"/>
    <w:rsid w:val="00410823"/>
    <w:rsid w:val="00410DC6"/>
    <w:rsid w:val="00410E5F"/>
    <w:rsid w:val="00413113"/>
    <w:rsid w:val="00413552"/>
    <w:rsid w:val="00413655"/>
    <w:rsid w:val="00413BF4"/>
    <w:rsid w:val="00413C62"/>
    <w:rsid w:val="00415C93"/>
    <w:rsid w:val="0041630F"/>
    <w:rsid w:val="0041657C"/>
    <w:rsid w:val="0041677F"/>
    <w:rsid w:val="00416A95"/>
    <w:rsid w:val="00416F04"/>
    <w:rsid w:val="0041715C"/>
    <w:rsid w:val="0042027D"/>
    <w:rsid w:val="004207ED"/>
    <w:rsid w:val="004223BD"/>
    <w:rsid w:val="00422726"/>
    <w:rsid w:val="004228F3"/>
    <w:rsid w:val="00422E1E"/>
    <w:rsid w:val="00424CDD"/>
    <w:rsid w:val="00424E75"/>
    <w:rsid w:val="0042514A"/>
    <w:rsid w:val="00425B77"/>
    <w:rsid w:val="00426127"/>
    <w:rsid w:val="0043026D"/>
    <w:rsid w:val="004308E5"/>
    <w:rsid w:val="00430F7F"/>
    <w:rsid w:val="00431565"/>
    <w:rsid w:val="004322AC"/>
    <w:rsid w:val="00432A81"/>
    <w:rsid w:val="004340EB"/>
    <w:rsid w:val="004349C9"/>
    <w:rsid w:val="00434BE9"/>
    <w:rsid w:val="004351D9"/>
    <w:rsid w:val="004354AA"/>
    <w:rsid w:val="00435776"/>
    <w:rsid w:val="0043656F"/>
    <w:rsid w:val="00436A3B"/>
    <w:rsid w:val="00436C9C"/>
    <w:rsid w:val="004371E4"/>
    <w:rsid w:val="00437B40"/>
    <w:rsid w:val="00437D0C"/>
    <w:rsid w:val="00437D5A"/>
    <w:rsid w:val="00437D87"/>
    <w:rsid w:val="004430BF"/>
    <w:rsid w:val="004432A4"/>
    <w:rsid w:val="00443B69"/>
    <w:rsid w:val="00443BF2"/>
    <w:rsid w:val="00444308"/>
    <w:rsid w:val="00444AD1"/>
    <w:rsid w:val="00444DA6"/>
    <w:rsid w:val="0044575C"/>
    <w:rsid w:val="0044657E"/>
    <w:rsid w:val="00446A97"/>
    <w:rsid w:val="0044726E"/>
    <w:rsid w:val="00447AC8"/>
    <w:rsid w:val="00447B22"/>
    <w:rsid w:val="00450CEA"/>
    <w:rsid w:val="00450D61"/>
    <w:rsid w:val="00450F89"/>
    <w:rsid w:val="004516CA"/>
    <w:rsid w:val="00451783"/>
    <w:rsid w:val="00452061"/>
    <w:rsid w:val="004526D1"/>
    <w:rsid w:val="00452BF5"/>
    <w:rsid w:val="00452C26"/>
    <w:rsid w:val="0045406E"/>
    <w:rsid w:val="004542AF"/>
    <w:rsid w:val="0045462F"/>
    <w:rsid w:val="00455641"/>
    <w:rsid w:val="00455CC1"/>
    <w:rsid w:val="00455E01"/>
    <w:rsid w:val="00456F3F"/>
    <w:rsid w:val="00457E4C"/>
    <w:rsid w:val="00460734"/>
    <w:rsid w:val="00460AAB"/>
    <w:rsid w:val="00461555"/>
    <w:rsid w:val="00463CBB"/>
    <w:rsid w:val="00464E87"/>
    <w:rsid w:val="00465852"/>
    <w:rsid w:val="00466410"/>
    <w:rsid w:val="00466A95"/>
    <w:rsid w:val="00467A0C"/>
    <w:rsid w:val="00467B24"/>
    <w:rsid w:val="00467B87"/>
    <w:rsid w:val="0047010C"/>
    <w:rsid w:val="00470470"/>
    <w:rsid w:val="00470479"/>
    <w:rsid w:val="00471E9D"/>
    <w:rsid w:val="00472817"/>
    <w:rsid w:val="00472858"/>
    <w:rsid w:val="00473021"/>
    <w:rsid w:val="00473248"/>
    <w:rsid w:val="0047361A"/>
    <w:rsid w:val="004736DC"/>
    <w:rsid w:val="004750C3"/>
    <w:rsid w:val="00475A9D"/>
    <w:rsid w:val="00475B51"/>
    <w:rsid w:val="0047644D"/>
    <w:rsid w:val="004806A6"/>
    <w:rsid w:val="00480A2B"/>
    <w:rsid w:val="00480BCA"/>
    <w:rsid w:val="00480DC3"/>
    <w:rsid w:val="00481217"/>
    <w:rsid w:val="004822CB"/>
    <w:rsid w:val="00482FF1"/>
    <w:rsid w:val="00483389"/>
    <w:rsid w:val="00483857"/>
    <w:rsid w:val="00484EFB"/>
    <w:rsid w:val="00485016"/>
    <w:rsid w:val="00485889"/>
    <w:rsid w:val="004858FD"/>
    <w:rsid w:val="00485A90"/>
    <w:rsid w:val="00487182"/>
    <w:rsid w:val="004873BF"/>
    <w:rsid w:val="004873D1"/>
    <w:rsid w:val="004874CC"/>
    <w:rsid w:val="0048765E"/>
    <w:rsid w:val="00487DEF"/>
    <w:rsid w:val="004902C5"/>
    <w:rsid w:val="004907AE"/>
    <w:rsid w:val="00490B9F"/>
    <w:rsid w:val="00491176"/>
    <w:rsid w:val="00492912"/>
    <w:rsid w:val="00492FE5"/>
    <w:rsid w:val="00494BD4"/>
    <w:rsid w:val="00494CFA"/>
    <w:rsid w:val="0049506B"/>
    <w:rsid w:val="00495122"/>
    <w:rsid w:val="00495D94"/>
    <w:rsid w:val="00496062"/>
    <w:rsid w:val="004962AD"/>
    <w:rsid w:val="00496649"/>
    <w:rsid w:val="00496B64"/>
    <w:rsid w:val="0049781F"/>
    <w:rsid w:val="004A0909"/>
    <w:rsid w:val="004A13CD"/>
    <w:rsid w:val="004A15B4"/>
    <w:rsid w:val="004A1DB9"/>
    <w:rsid w:val="004A2945"/>
    <w:rsid w:val="004A2C69"/>
    <w:rsid w:val="004A36FF"/>
    <w:rsid w:val="004A3CF8"/>
    <w:rsid w:val="004A3F3D"/>
    <w:rsid w:val="004A4421"/>
    <w:rsid w:val="004A4E26"/>
    <w:rsid w:val="004A5332"/>
    <w:rsid w:val="004A6CBE"/>
    <w:rsid w:val="004A704D"/>
    <w:rsid w:val="004A72DF"/>
    <w:rsid w:val="004A7528"/>
    <w:rsid w:val="004A7FD0"/>
    <w:rsid w:val="004B007A"/>
    <w:rsid w:val="004B1ED5"/>
    <w:rsid w:val="004B226A"/>
    <w:rsid w:val="004B2CC5"/>
    <w:rsid w:val="004B3467"/>
    <w:rsid w:val="004B3C53"/>
    <w:rsid w:val="004B4806"/>
    <w:rsid w:val="004B6434"/>
    <w:rsid w:val="004B7CAF"/>
    <w:rsid w:val="004C0FB2"/>
    <w:rsid w:val="004C1103"/>
    <w:rsid w:val="004C1673"/>
    <w:rsid w:val="004C1BF3"/>
    <w:rsid w:val="004C2531"/>
    <w:rsid w:val="004C38DB"/>
    <w:rsid w:val="004C4309"/>
    <w:rsid w:val="004C46B6"/>
    <w:rsid w:val="004C49AD"/>
    <w:rsid w:val="004C4EA3"/>
    <w:rsid w:val="004C527E"/>
    <w:rsid w:val="004C5C9A"/>
    <w:rsid w:val="004C678F"/>
    <w:rsid w:val="004C6BEA"/>
    <w:rsid w:val="004C6E32"/>
    <w:rsid w:val="004C777C"/>
    <w:rsid w:val="004D0133"/>
    <w:rsid w:val="004D068E"/>
    <w:rsid w:val="004D1167"/>
    <w:rsid w:val="004D1714"/>
    <w:rsid w:val="004D1B12"/>
    <w:rsid w:val="004D35C4"/>
    <w:rsid w:val="004D3769"/>
    <w:rsid w:val="004D4275"/>
    <w:rsid w:val="004D4D15"/>
    <w:rsid w:val="004D52CD"/>
    <w:rsid w:val="004D540C"/>
    <w:rsid w:val="004D5E9E"/>
    <w:rsid w:val="004D6A32"/>
    <w:rsid w:val="004D7220"/>
    <w:rsid w:val="004D7C42"/>
    <w:rsid w:val="004E007E"/>
    <w:rsid w:val="004E0B57"/>
    <w:rsid w:val="004E104A"/>
    <w:rsid w:val="004E2706"/>
    <w:rsid w:val="004E328A"/>
    <w:rsid w:val="004E4241"/>
    <w:rsid w:val="004E4A96"/>
    <w:rsid w:val="004E54C7"/>
    <w:rsid w:val="004E5D52"/>
    <w:rsid w:val="004E5D98"/>
    <w:rsid w:val="004E611A"/>
    <w:rsid w:val="004E684B"/>
    <w:rsid w:val="004E78D6"/>
    <w:rsid w:val="004F1C2B"/>
    <w:rsid w:val="004F2338"/>
    <w:rsid w:val="004F23C0"/>
    <w:rsid w:val="004F2FCC"/>
    <w:rsid w:val="004F3431"/>
    <w:rsid w:val="004F3F14"/>
    <w:rsid w:val="004F42A1"/>
    <w:rsid w:val="004F45F7"/>
    <w:rsid w:val="004F488C"/>
    <w:rsid w:val="004F4E07"/>
    <w:rsid w:val="004F6A7C"/>
    <w:rsid w:val="004F6D89"/>
    <w:rsid w:val="004F7594"/>
    <w:rsid w:val="005027D9"/>
    <w:rsid w:val="0050348C"/>
    <w:rsid w:val="00503AA9"/>
    <w:rsid w:val="00504FC5"/>
    <w:rsid w:val="00505B5C"/>
    <w:rsid w:val="00505F8E"/>
    <w:rsid w:val="0050606C"/>
    <w:rsid w:val="005065E0"/>
    <w:rsid w:val="00511250"/>
    <w:rsid w:val="00511534"/>
    <w:rsid w:val="00511D4F"/>
    <w:rsid w:val="00511DFA"/>
    <w:rsid w:val="00511DFC"/>
    <w:rsid w:val="005121AC"/>
    <w:rsid w:val="005139A3"/>
    <w:rsid w:val="0051409A"/>
    <w:rsid w:val="00514751"/>
    <w:rsid w:val="00515E25"/>
    <w:rsid w:val="00516CF9"/>
    <w:rsid w:val="005171EB"/>
    <w:rsid w:val="0052030E"/>
    <w:rsid w:val="005207E6"/>
    <w:rsid w:val="0052081D"/>
    <w:rsid w:val="00520DDD"/>
    <w:rsid w:val="00521366"/>
    <w:rsid w:val="0052275A"/>
    <w:rsid w:val="005239BC"/>
    <w:rsid w:val="0052473A"/>
    <w:rsid w:val="00525AEB"/>
    <w:rsid w:val="00526255"/>
    <w:rsid w:val="00526EE6"/>
    <w:rsid w:val="005275B4"/>
    <w:rsid w:val="005275EE"/>
    <w:rsid w:val="005276C0"/>
    <w:rsid w:val="00527D3E"/>
    <w:rsid w:val="0053031F"/>
    <w:rsid w:val="00530FF2"/>
    <w:rsid w:val="00531000"/>
    <w:rsid w:val="00531CAF"/>
    <w:rsid w:val="00531E33"/>
    <w:rsid w:val="0053219E"/>
    <w:rsid w:val="00532785"/>
    <w:rsid w:val="005336E0"/>
    <w:rsid w:val="00533AFC"/>
    <w:rsid w:val="00533DA3"/>
    <w:rsid w:val="0053443F"/>
    <w:rsid w:val="00534D3F"/>
    <w:rsid w:val="0053563F"/>
    <w:rsid w:val="0053568E"/>
    <w:rsid w:val="005364A9"/>
    <w:rsid w:val="00537631"/>
    <w:rsid w:val="00537E8B"/>
    <w:rsid w:val="00540740"/>
    <w:rsid w:val="00541016"/>
    <w:rsid w:val="0054127E"/>
    <w:rsid w:val="005412FA"/>
    <w:rsid w:val="005433D3"/>
    <w:rsid w:val="005451A4"/>
    <w:rsid w:val="00545275"/>
    <w:rsid w:val="0054536D"/>
    <w:rsid w:val="005454A2"/>
    <w:rsid w:val="005463AD"/>
    <w:rsid w:val="00546CC7"/>
    <w:rsid w:val="00550002"/>
    <w:rsid w:val="00550431"/>
    <w:rsid w:val="00550C88"/>
    <w:rsid w:val="00550F51"/>
    <w:rsid w:val="00551E6B"/>
    <w:rsid w:val="00551E6C"/>
    <w:rsid w:val="00552489"/>
    <w:rsid w:val="005536E7"/>
    <w:rsid w:val="0055467C"/>
    <w:rsid w:val="00555421"/>
    <w:rsid w:val="00556F7C"/>
    <w:rsid w:val="00557717"/>
    <w:rsid w:val="00557CED"/>
    <w:rsid w:val="00557DD9"/>
    <w:rsid w:val="005603F8"/>
    <w:rsid w:val="005605A4"/>
    <w:rsid w:val="0056061F"/>
    <w:rsid w:val="0056062E"/>
    <w:rsid w:val="0056151B"/>
    <w:rsid w:val="00562DB1"/>
    <w:rsid w:val="00565E79"/>
    <w:rsid w:val="00566B49"/>
    <w:rsid w:val="00566D9F"/>
    <w:rsid w:val="00567DF8"/>
    <w:rsid w:val="005714EC"/>
    <w:rsid w:val="005726E4"/>
    <w:rsid w:val="00572AE1"/>
    <w:rsid w:val="0057305C"/>
    <w:rsid w:val="0057308F"/>
    <w:rsid w:val="0057370A"/>
    <w:rsid w:val="005737B1"/>
    <w:rsid w:val="00573AE1"/>
    <w:rsid w:val="00574413"/>
    <w:rsid w:val="00575BED"/>
    <w:rsid w:val="00576116"/>
    <w:rsid w:val="00576127"/>
    <w:rsid w:val="00576347"/>
    <w:rsid w:val="00580CA7"/>
    <w:rsid w:val="00580F24"/>
    <w:rsid w:val="005810E0"/>
    <w:rsid w:val="005820ED"/>
    <w:rsid w:val="0058327D"/>
    <w:rsid w:val="00583287"/>
    <w:rsid w:val="0058364F"/>
    <w:rsid w:val="005837C4"/>
    <w:rsid w:val="00583884"/>
    <w:rsid w:val="00583B10"/>
    <w:rsid w:val="00583CF1"/>
    <w:rsid w:val="005846C1"/>
    <w:rsid w:val="00584F53"/>
    <w:rsid w:val="005850D9"/>
    <w:rsid w:val="005860C1"/>
    <w:rsid w:val="0058796E"/>
    <w:rsid w:val="00587BD0"/>
    <w:rsid w:val="00587BE4"/>
    <w:rsid w:val="0059001A"/>
    <w:rsid w:val="005901B6"/>
    <w:rsid w:val="00590BE4"/>
    <w:rsid w:val="00590DAF"/>
    <w:rsid w:val="00590F03"/>
    <w:rsid w:val="00590FCC"/>
    <w:rsid w:val="00591AE0"/>
    <w:rsid w:val="00591AF2"/>
    <w:rsid w:val="00591BAE"/>
    <w:rsid w:val="005926DE"/>
    <w:rsid w:val="00592D5B"/>
    <w:rsid w:val="00593479"/>
    <w:rsid w:val="00593C1F"/>
    <w:rsid w:val="0059408D"/>
    <w:rsid w:val="00594AC9"/>
    <w:rsid w:val="0059502D"/>
    <w:rsid w:val="00595DA7"/>
    <w:rsid w:val="00595FB5"/>
    <w:rsid w:val="005960DB"/>
    <w:rsid w:val="00596376"/>
    <w:rsid w:val="00596D00"/>
    <w:rsid w:val="0059747A"/>
    <w:rsid w:val="00597749"/>
    <w:rsid w:val="00597C0C"/>
    <w:rsid w:val="005A04C3"/>
    <w:rsid w:val="005A0C4E"/>
    <w:rsid w:val="005A12BE"/>
    <w:rsid w:val="005A14F7"/>
    <w:rsid w:val="005A173A"/>
    <w:rsid w:val="005A1A70"/>
    <w:rsid w:val="005A1E50"/>
    <w:rsid w:val="005A22D8"/>
    <w:rsid w:val="005A2845"/>
    <w:rsid w:val="005A3EFA"/>
    <w:rsid w:val="005A3EFC"/>
    <w:rsid w:val="005A49A5"/>
    <w:rsid w:val="005A4BF1"/>
    <w:rsid w:val="005A4DAC"/>
    <w:rsid w:val="005A5982"/>
    <w:rsid w:val="005A5E87"/>
    <w:rsid w:val="005A61CE"/>
    <w:rsid w:val="005A6202"/>
    <w:rsid w:val="005A70C7"/>
    <w:rsid w:val="005A7A07"/>
    <w:rsid w:val="005B0174"/>
    <w:rsid w:val="005B0729"/>
    <w:rsid w:val="005B0A81"/>
    <w:rsid w:val="005B1341"/>
    <w:rsid w:val="005B168E"/>
    <w:rsid w:val="005B18FF"/>
    <w:rsid w:val="005B1B9A"/>
    <w:rsid w:val="005B1FFE"/>
    <w:rsid w:val="005B2899"/>
    <w:rsid w:val="005B29AC"/>
    <w:rsid w:val="005B2C52"/>
    <w:rsid w:val="005B329F"/>
    <w:rsid w:val="005B3880"/>
    <w:rsid w:val="005B505C"/>
    <w:rsid w:val="005B6B67"/>
    <w:rsid w:val="005C1698"/>
    <w:rsid w:val="005C18B6"/>
    <w:rsid w:val="005C25BF"/>
    <w:rsid w:val="005C2826"/>
    <w:rsid w:val="005C297C"/>
    <w:rsid w:val="005C48C2"/>
    <w:rsid w:val="005C5423"/>
    <w:rsid w:val="005C54B9"/>
    <w:rsid w:val="005C56B8"/>
    <w:rsid w:val="005C6C2D"/>
    <w:rsid w:val="005D0544"/>
    <w:rsid w:val="005D0BC8"/>
    <w:rsid w:val="005D1938"/>
    <w:rsid w:val="005D1D39"/>
    <w:rsid w:val="005D25B8"/>
    <w:rsid w:val="005D3F15"/>
    <w:rsid w:val="005D40E5"/>
    <w:rsid w:val="005D41DB"/>
    <w:rsid w:val="005D532F"/>
    <w:rsid w:val="005D73FD"/>
    <w:rsid w:val="005D7CCD"/>
    <w:rsid w:val="005E0022"/>
    <w:rsid w:val="005E04DF"/>
    <w:rsid w:val="005E0728"/>
    <w:rsid w:val="005E120E"/>
    <w:rsid w:val="005E1C07"/>
    <w:rsid w:val="005E2320"/>
    <w:rsid w:val="005E27FC"/>
    <w:rsid w:val="005E37C1"/>
    <w:rsid w:val="005E3BF0"/>
    <w:rsid w:val="005E4199"/>
    <w:rsid w:val="005E4741"/>
    <w:rsid w:val="005E4901"/>
    <w:rsid w:val="005E564E"/>
    <w:rsid w:val="005E671B"/>
    <w:rsid w:val="005E6C85"/>
    <w:rsid w:val="005E7C09"/>
    <w:rsid w:val="005E7C20"/>
    <w:rsid w:val="005E7F9F"/>
    <w:rsid w:val="005F0863"/>
    <w:rsid w:val="005F0B66"/>
    <w:rsid w:val="005F0D18"/>
    <w:rsid w:val="005F1068"/>
    <w:rsid w:val="005F2E42"/>
    <w:rsid w:val="005F3042"/>
    <w:rsid w:val="005F3801"/>
    <w:rsid w:val="005F390B"/>
    <w:rsid w:val="005F3E00"/>
    <w:rsid w:val="005F42FA"/>
    <w:rsid w:val="005F46BE"/>
    <w:rsid w:val="005F52ED"/>
    <w:rsid w:val="005F5BC8"/>
    <w:rsid w:val="005F5BD0"/>
    <w:rsid w:val="005F6388"/>
    <w:rsid w:val="005F674C"/>
    <w:rsid w:val="005F6858"/>
    <w:rsid w:val="005F7926"/>
    <w:rsid w:val="005F7A99"/>
    <w:rsid w:val="005F7B4A"/>
    <w:rsid w:val="0060312E"/>
    <w:rsid w:val="006034E9"/>
    <w:rsid w:val="0060352C"/>
    <w:rsid w:val="0060375E"/>
    <w:rsid w:val="00603BA4"/>
    <w:rsid w:val="00603C3D"/>
    <w:rsid w:val="00604FC5"/>
    <w:rsid w:val="00605CD9"/>
    <w:rsid w:val="00606371"/>
    <w:rsid w:val="0060686C"/>
    <w:rsid w:val="00606AF0"/>
    <w:rsid w:val="00606C6C"/>
    <w:rsid w:val="00606D9E"/>
    <w:rsid w:val="00607068"/>
    <w:rsid w:val="006072DB"/>
    <w:rsid w:val="00607692"/>
    <w:rsid w:val="00607CDA"/>
    <w:rsid w:val="006108CC"/>
    <w:rsid w:val="00611112"/>
    <w:rsid w:val="00611811"/>
    <w:rsid w:val="00611DF0"/>
    <w:rsid w:val="00613A3C"/>
    <w:rsid w:val="00613B61"/>
    <w:rsid w:val="0061418D"/>
    <w:rsid w:val="00615FBD"/>
    <w:rsid w:val="00616184"/>
    <w:rsid w:val="00616406"/>
    <w:rsid w:val="00616CAB"/>
    <w:rsid w:val="006170B3"/>
    <w:rsid w:val="00617391"/>
    <w:rsid w:val="00617AAE"/>
    <w:rsid w:val="00620C4E"/>
    <w:rsid w:val="00620E18"/>
    <w:rsid w:val="006216A1"/>
    <w:rsid w:val="00622EE3"/>
    <w:rsid w:val="006230F8"/>
    <w:rsid w:val="006231B9"/>
    <w:rsid w:val="00623662"/>
    <w:rsid w:val="006239EE"/>
    <w:rsid w:val="00623B81"/>
    <w:rsid w:val="00623F71"/>
    <w:rsid w:val="00624379"/>
    <w:rsid w:val="006246F5"/>
    <w:rsid w:val="00624A1A"/>
    <w:rsid w:val="00625BE1"/>
    <w:rsid w:val="00625E39"/>
    <w:rsid w:val="006275DF"/>
    <w:rsid w:val="006276D0"/>
    <w:rsid w:val="006300BF"/>
    <w:rsid w:val="00630CFF"/>
    <w:rsid w:val="00631FD7"/>
    <w:rsid w:val="00632662"/>
    <w:rsid w:val="00632B77"/>
    <w:rsid w:val="00632FB8"/>
    <w:rsid w:val="00635175"/>
    <w:rsid w:val="00635885"/>
    <w:rsid w:val="00636245"/>
    <w:rsid w:val="006371F1"/>
    <w:rsid w:val="00637619"/>
    <w:rsid w:val="00637629"/>
    <w:rsid w:val="00637B49"/>
    <w:rsid w:val="00637CCF"/>
    <w:rsid w:val="006401AF"/>
    <w:rsid w:val="006418D4"/>
    <w:rsid w:val="00641AA5"/>
    <w:rsid w:val="00641C62"/>
    <w:rsid w:val="00641CFA"/>
    <w:rsid w:val="0064251D"/>
    <w:rsid w:val="0064387A"/>
    <w:rsid w:val="00644C93"/>
    <w:rsid w:val="006458C8"/>
    <w:rsid w:val="00645A32"/>
    <w:rsid w:val="00646166"/>
    <w:rsid w:val="00646391"/>
    <w:rsid w:val="00646674"/>
    <w:rsid w:val="006466CB"/>
    <w:rsid w:val="00646948"/>
    <w:rsid w:val="00646BFF"/>
    <w:rsid w:val="00647769"/>
    <w:rsid w:val="0064797F"/>
    <w:rsid w:val="006503BB"/>
    <w:rsid w:val="00650E61"/>
    <w:rsid w:val="0065159A"/>
    <w:rsid w:val="006524C4"/>
    <w:rsid w:val="00652618"/>
    <w:rsid w:val="006527F9"/>
    <w:rsid w:val="0065369A"/>
    <w:rsid w:val="00653C59"/>
    <w:rsid w:val="0065402D"/>
    <w:rsid w:val="00654319"/>
    <w:rsid w:val="0065557C"/>
    <w:rsid w:val="006561ED"/>
    <w:rsid w:val="00656B6D"/>
    <w:rsid w:val="00656D3C"/>
    <w:rsid w:val="00661F91"/>
    <w:rsid w:val="00662598"/>
    <w:rsid w:val="006627EF"/>
    <w:rsid w:val="00662E1E"/>
    <w:rsid w:val="00663589"/>
    <w:rsid w:val="00663A75"/>
    <w:rsid w:val="00664695"/>
    <w:rsid w:val="00664E74"/>
    <w:rsid w:val="00665365"/>
    <w:rsid w:val="00665525"/>
    <w:rsid w:val="00666023"/>
    <w:rsid w:val="006674F4"/>
    <w:rsid w:val="006679A1"/>
    <w:rsid w:val="00670D8F"/>
    <w:rsid w:val="0067127A"/>
    <w:rsid w:val="0067188D"/>
    <w:rsid w:val="00672126"/>
    <w:rsid w:val="00672484"/>
    <w:rsid w:val="00672A7E"/>
    <w:rsid w:val="00672C47"/>
    <w:rsid w:val="00672FD2"/>
    <w:rsid w:val="006740B5"/>
    <w:rsid w:val="00674E8E"/>
    <w:rsid w:val="00674EA5"/>
    <w:rsid w:val="00675BF2"/>
    <w:rsid w:val="00675EB8"/>
    <w:rsid w:val="006763BB"/>
    <w:rsid w:val="00676534"/>
    <w:rsid w:val="0067728F"/>
    <w:rsid w:val="00677ACB"/>
    <w:rsid w:val="00680059"/>
    <w:rsid w:val="006803D6"/>
    <w:rsid w:val="00680DE0"/>
    <w:rsid w:val="00681DAE"/>
    <w:rsid w:val="00682006"/>
    <w:rsid w:val="00683743"/>
    <w:rsid w:val="006839A9"/>
    <w:rsid w:val="00683C3D"/>
    <w:rsid w:val="006842E5"/>
    <w:rsid w:val="00684E7B"/>
    <w:rsid w:val="006855EE"/>
    <w:rsid w:val="0068616B"/>
    <w:rsid w:val="00687595"/>
    <w:rsid w:val="00687978"/>
    <w:rsid w:val="00687A23"/>
    <w:rsid w:val="00690FDF"/>
    <w:rsid w:val="0069171E"/>
    <w:rsid w:val="0069210D"/>
    <w:rsid w:val="00692923"/>
    <w:rsid w:val="006946C3"/>
    <w:rsid w:val="0069633F"/>
    <w:rsid w:val="006965B0"/>
    <w:rsid w:val="006968CC"/>
    <w:rsid w:val="00697ADE"/>
    <w:rsid w:val="006A1A6B"/>
    <w:rsid w:val="006A1BF6"/>
    <w:rsid w:val="006A1E64"/>
    <w:rsid w:val="006A2320"/>
    <w:rsid w:val="006A3240"/>
    <w:rsid w:val="006A3897"/>
    <w:rsid w:val="006A39DD"/>
    <w:rsid w:val="006A3D8C"/>
    <w:rsid w:val="006A3DF9"/>
    <w:rsid w:val="006A4408"/>
    <w:rsid w:val="006A4A41"/>
    <w:rsid w:val="006A538B"/>
    <w:rsid w:val="006A5533"/>
    <w:rsid w:val="006A5FD9"/>
    <w:rsid w:val="006A6ADE"/>
    <w:rsid w:val="006A700C"/>
    <w:rsid w:val="006A7E35"/>
    <w:rsid w:val="006A7E92"/>
    <w:rsid w:val="006B08C9"/>
    <w:rsid w:val="006B09F3"/>
    <w:rsid w:val="006B1E46"/>
    <w:rsid w:val="006B2243"/>
    <w:rsid w:val="006B2457"/>
    <w:rsid w:val="006B258E"/>
    <w:rsid w:val="006B342F"/>
    <w:rsid w:val="006B3DE9"/>
    <w:rsid w:val="006B3FDD"/>
    <w:rsid w:val="006B413B"/>
    <w:rsid w:val="006B4A10"/>
    <w:rsid w:val="006B696A"/>
    <w:rsid w:val="006B6B65"/>
    <w:rsid w:val="006B7702"/>
    <w:rsid w:val="006B79D0"/>
    <w:rsid w:val="006B7B1C"/>
    <w:rsid w:val="006B7B83"/>
    <w:rsid w:val="006B7CF0"/>
    <w:rsid w:val="006B7D57"/>
    <w:rsid w:val="006C01EF"/>
    <w:rsid w:val="006C0F12"/>
    <w:rsid w:val="006C130E"/>
    <w:rsid w:val="006C1623"/>
    <w:rsid w:val="006C1BC1"/>
    <w:rsid w:val="006C1ED1"/>
    <w:rsid w:val="006C2794"/>
    <w:rsid w:val="006C2E89"/>
    <w:rsid w:val="006C322C"/>
    <w:rsid w:val="006C3D76"/>
    <w:rsid w:val="006C439A"/>
    <w:rsid w:val="006C493E"/>
    <w:rsid w:val="006C4ACF"/>
    <w:rsid w:val="006C4E63"/>
    <w:rsid w:val="006C53E6"/>
    <w:rsid w:val="006C619E"/>
    <w:rsid w:val="006C68F1"/>
    <w:rsid w:val="006C76B8"/>
    <w:rsid w:val="006D04AC"/>
    <w:rsid w:val="006D05BE"/>
    <w:rsid w:val="006D17FE"/>
    <w:rsid w:val="006D2CFA"/>
    <w:rsid w:val="006D3089"/>
    <w:rsid w:val="006D310B"/>
    <w:rsid w:val="006D3489"/>
    <w:rsid w:val="006D3794"/>
    <w:rsid w:val="006D418D"/>
    <w:rsid w:val="006D5115"/>
    <w:rsid w:val="006D53F7"/>
    <w:rsid w:val="006D5E6C"/>
    <w:rsid w:val="006D6223"/>
    <w:rsid w:val="006D6379"/>
    <w:rsid w:val="006D6A3A"/>
    <w:rsid w:val="006D7314"/>
    <w:rsid w:val="006D77A1"/>
    <w:rsid w:val="006D7979"/>
    <w:rsid w:val="006D7B5C"/>
    <w:rsid w:val="006E049F"/>
    <w:rsid w:val="006E0A8B"/>
    <w:rsid w:val="006E1640"/>
    <w:rsid w:val="006E1FF6"/>
    <w:rsid w:val="006E3963"/>
    <w:rsid w:val="006E3A03"/>
    <w:rsid w:val="006E4EFE"/>
    <w:rsid w:val="006E6841"/>
    <w:rsid w:val="006E78A6"/>
    <w:rsid w:val="006F1354"/>
    <w:rsid w:val="006F18F0"/>
    <w:rsid w:val="006F1D93"/>
    <w:rsid w:val="006F1D9E"/>
    <w:rsid w:val="006F1E09"/>
    <w:rsid w:val="006F2692"/>
    <w:rsid w:val="006F2FF8"/>
    <w:rsid w:val="006F3C3E"/>
    <w:rsid w:val="006F3EAF"/>
    <w:rsid w:val="006F4018"/>
    <w:rsid w:val="006F5659"/>
    <w:rsid w:val="006F5722"/>
    <w:rsid w:val="006F5804"/>
    <w:rsid w:val="006F72B3"/>
    <w:rsid w:val="006F76DC"/>
    <w:rsid w:val="006F7A1F"/>
    <w:rsid w:val="00700129"/>
    <w:rsid w:val="0070057E"/>
    <w:rsid w:val="007006A2"/>
    <w:rsid w:val="00700ABE"/>
    <w:rsid w:val="00701025"/>
    <w:rsid w:val="00701557"/>
    <w:rsid w:val="007043E0"/>
    <w:rsid w:val="007049C2"/>
    <w:rsid w:val="00704CB6"/>
    <w:rsid w:val="00705EB6"/>
    <w:rsid w:val="00705F44"/>
    <w:rsid w:val="0070646C"/>
    <w:rsid w:val="007066FA"/>
    <w:rsid w:val="007072E7"/>
    <w:rsid w:val="00707D9C"/>
    <w:rsid w:val="00707F28"/>
    <w:rsid w:val="0071087D"/>
    <w:rsid w:val="00710FF2"/>
    <w:rsid w:val="007110D2"/>
    <w:rsid w:val="00713BB7"/>
    <w:rsid w:val="00714044"/>
    <w:rsid w:val="00714303"/>
    <w:rsid w:val="007145E0"/>
    <w:rsid w:val="00714CFF"/>
    <w:rsid w:val="007152FF"/>
    <w:rsid w:val="00715F43"/>
    <w:rsid w:val="00716500"/>
    <w:rsid w:val="007168D0"/>
    <w:rsid w:val="00716B3B"/>
    <w:rsid w:val="0071714B"/>
    <w:rsid w:val="00717251"/>
    <w:rsid w:val="007176DC"/>
    <w:rsid w:val="00720873"/>
    <w:rsid w:val="007208A9"/>
    <w:rsid w:val="007218CF"/>
    <w:rsid w:val="00721CC6"/>
    <w:rsid w:val="00722633"/>
    <w:rsid w:val="00722DF9"/>
    <w:rsid w:val="0072332E"/>
    <w:rsid w:val="00723365"/>
    <w:rsid w:val="007236E9"/>
    <w:rsid w:val="00724236"/>
    <w:rsid w:val="0072443A"/>
    <w:rsid w:val="007244A7"/>
    <w:rsid w:val="007244D5"/>
    <w:rsid w:val="00724BF1"/>
    <w:rsid w:val="00725667"/>
    <w:rsid w:val="00726549"/>
    <w:rsid w:val="007265B1"/>
    <w:rsid w:val="00727727"/>
    <w:rsid w:val="007306DA"/>
    <w:rsid w:val="00730C1C"/>
    <w:rsid w:val="00730E50"/>
    <w:rsid w:val="007311AD"/>
    <w:rsid w:val="007312D6"/>
    <w:rsid w:val="00731803"/>
    <w:rsid w:val="00731F9B"/>
    <w:rsid w:val="007322E1"/>
    <w:rsid w:val="00732B09"/>
    <w:rsid w:val="00732B61"/>
    <w:rsid w:val="007331B8"/>
    <w:rsid w:val="007332C2"/>
    <w:rsid w:val="0073331B"/>
    <w:rsid w:val="007337EF"/>
    <w:rsid w:val="007346A3"/>
    <w:rsid w:val="00734880"/>
    <w:rsid w:val="00734E07"/>
    <w:rsid w:val="00734F09"/>
    <w:rsid w:val="00736429"/>
    <w:rsid w:val="007367D1"/>
    <w:rsid w:val="00736B0D"/>
    <w:rsid w:val="00736F93"/>
    <w:rsid w:val="007370C1"/>
    <w:rsid w:val="00737820"/>
    <w:rsid w:val="00740763"/>
    <w:rsid w:val="00740D6C"/>
    <w:rsid w:val="00740F02"/>
    <w:rsid w:val="007415EE"/>
    <w:rsid w:val="00741B18"/>
    <w:rsid w:val="007446D2"/>
    <w:rsid w:val="00745815"/>
    <w:rsid w:val="007460C6"/>
    <w:rsid w:val="00746874"/>
    <w:rsid w:val="0074701E"/>
    <w:rsid w:val="00747326"/>
    <w:rsid w:val="0075028A"/>
    <w:rsid w:val="0075175C"/>
    <w:rsid w:val="00751841"/>
    <w:rsid w:val="007519BF"/>
    <w:rsid w:val="007521C4"/>
    <w:rsid w:val="007531E4"/>
    <w:rsid w:val="0075395B"/>
    <w:rsid w:val="007539AB"/>
    <w:rsid w:val="00753BD9"/>
    <w:rsid w:val="00754155"/>
    <w:rsid w:val="007545B0"/>
    <w:rsid w:val="00754D27"/>
    <w:rsid w:val="0075590B"/>
    <w:rsid w:val="00756295"/>
    <w:rsid w:val="00756828"/>
    <w:rsid w:val="00760342"/>
    <w:rsid w:val="007606DF"/>
    <w:rsid w:val="00760912"/>
    <w:rsid w:val="0076172C"/>
    <w:rsid w:val="007621D7"/>
    <w:rsid w:val="00762278"/>
    <w:rsid w:val="00762376"/>
    <w:rsid w:val="00762390"/>
    <w:rsid w:val="00762544"/>
    <w:rsid w:val="00762DA3"/>
    <w:rsid w:val="00763086"/>
    <w:rsid w:val="00763758"/>
    <w:rsid w:val="00764570"/>
    <w:rsid w:val="007646D3"/>
    <w:rsid w:val="00765AE4"/>
    <w:rsid w:val="00766483"/>
    <w:rsid w:val="00766AC5"/>
    <w:rsid w:val="00766C29"/>
    <w:rsid w:val="007677BF"/>
    <w:rsid w:val="007678E8"/>
    <w:rsid w:val="00767AEC"/>
    <w:rsid w:val="00770A25"/>
    <w:rsid w:val="00770B84"/>
    <w:rsid w:val="00770CFA"/>
    <w:rsid w:val="0077147E"/>
    <w:rsid w:val="00772546"/>
    <w:rsid w:val="00772CE1"/>
    <w:rsid w:val="007730DC"/>
    <w:rsid w:val="007731AE"/>
    <w:rsid w:val="0077354E"/>
    <w:rsid w:val="00773A4F"/>
    <w:rsid w:val="007743DE"/>
    <w:rsid w:val="00774897"/>
    <w:rsid w:val="00774CE5"/>
    <w:rsid w:val="00774DCB"/>
    <w:rsid w:val="00775006"/>
    <w:rsid w:val="0077694A"/>
    <w:rsid w:val="00776DD0"/>
    <w:rsid w:val="00776E86"/>
    <w:rsid w:val="00777054"/>
    <w:rsid w:val="0078042F"/>
    <w:rsid w:val="00781058"/>
    <w:rsid w:val="0078159A"/>
    <w:rsid w:val="007819BB"/>
    <w:rsid w:val="00781A24"/>
    <w:rsid w:val="00781AB8"/>
    <w:rsid w:val="007820D8"/>
    <w:rsid w:val="00782DE2"/>
    <w:rsid w:val="00783EDA"/>
    <w:rsid w:val="0078528A"/>
    <w:rsid w:val="0078593F"/>
    <w:rsid w:val="007862B7"/>
    <w:rsid w:val="007863DF"/>
    <w:rsid w:val="007864BE"/>
    <w:rsid w:val="0078654B"/>
    <w:rsid w:val="00786D64"/>
    <w:rsid w:val="0078728C"/>
    <w:rsid w:val="00787436"/>
    <w:rsid w:val="00787782"/>
    <w:rsid w:val="007879DC"/>
    <w:rsid w:val="00790171"/>
    <w:rsid w:val="0079087A"/>
    <w:rsid w:val="007909D7"/>
    <w:rsid w:val="00791C6C"/>
    <w:rsid w:val="0079394A"/>
    <w:rsid w:val="00795592"/>
    <w:rsid w:val="00795662"/>
    <w:rsid w:val="00795969"/>
    <w:rsid w:val="00795D47"/>
    <w:rsid w:val="00795EF2"/>
    <w:rsid w:val="00796FAB"/>
    <w:rsid w:val="00797385"/>
    <w:rsid w:val="007A06D2"/>
    <w:rsid w:val="007A09CA"/>
    <w:rsid w:val="007A1390"/>
    <w:rsid w:val="007A1A97"/>
    <w:rsid w:val="007A1FD7"/>
    <w:rsid w:val="007A2EA6"/>
    <w:rsid w:val="007A3538"/>
    <w:rsid w:val="007A376A"/>
    <w:rsid w:val="007A4438"/>
    <w:rsid w:val="007A4838"/>
    <w:rsid w:val="007A4E41"/>
    <w:rsid w:val="007A5402"/>
    <w:rsid w:val="007A56AD"/>
    <w:rsid w:val="007A56D0"/>
    <w:rsid w:val="007A6C8E"/>
    <w:rsid w:val="007B0965"/>
    <w:rsid w:val="007B0B8D"/>
    <w:rsid w:val="007B18B1"/>
    <w:rsid w:val="007B1CAE"/>
    <w:rsid w:val="007B1F1D"/>
    <w:rsid w:val="007B2200"/>
    <w:rsid w:val="007B2C14"/>
    <w:rsid w:val="007B3199"/>
    <w:rsid w:val="007B67F2"/>
    <w:rsid w:val="007B6FBA"/>
    <w:rsid w:val="007B710E"/>
    <w:rsid w:val="007B750F"/>
    <w:rsid w:val="007B7812"/>
    <w:rsid w:val="007B7F41"/>
    <w:rsid w:val="007C0029"/>
    <w:rsid w:val="007C0F71"/>
    <w:rsid w:val="007C108F"/>
    <w:rsid w:val="007C12B6"/>
    <w:rsid w:val="007C1940"/>
    <w:rsid w:val="007C1DE8"/>
    <w:rsid w:val="007C225B"/>
    <w:rsid w:val="007C29FD"/>
    <w:rsid w:val="007C2D3B"/>
    <w:rsid w:val="007C47B3"/>
    <w:rsid w:val="007C4FBF"/>
    <w:rsid w:val="007C5947"/>
    <w:rsid w:val="007C600A"/>
    <w:rsid w:val="007C77DB"/>
    <w:rsid w:val="007D181C"/>
    <w:rsid w:val="007D18C8"/>
    <w:rsid w:val="007D2355"/>
    <w:rsid w:val="007D244E"/>
    <w:rsid w:val="007D24A1"/>
    <w:rsid w:val="007D2799"/>
    <w:rsid w:val="007D361D"/>
    <w:rsid w:val="007D38C7"/>
    <w:rsid w:val="007D3BCA"/>
    <w:rsid w:val="007D6540"/>
    <w:rsid w:val="007D68F0"/>
    <w:rsid w:val="007D72E1"/>
    <w:rsid w:val="007D7DF0"/>
    <w:rsid w:val="007E0A7E"/>
    <w:rsid w:val="007E0B31"/>
    <w:rsid w:val="007E1125"/>
    <w:rsid w:val="007E12FD"/>
    <w:rsid w:val="007E13F7"/>
    <w:rsid w:val="007E14FB"/>
    <w:rsid w:val="007E1D72"/>
    <w:rsid w:val="007E2BAA"/>
    <w:rsid w:val="007E2F6C"/>
    <w:rsid w:val="007E3392"/>
    <w:rsid w:val="007E349F"/>
    <w:rsid w:val="007E35C5"/>
    <w:rsid w:val="007E3AE8"/>
    <w:rsid w:val="007E3F21"/>
    <w:rsid w:val="007E4D34"/>
    <w:rsid w:val="007E4FA5"/>
    <w:rsid w:val="007E574E"/>
    <w:rsid w:val="007E59B2"/>
    <w:rsid w:val="007E5ACC"/>
    <w:rsid w:val="007E5ADF"/>
    <w:rsid w:val="007E5EF7"/>
    <w:rsid w:val="007E685D"/>
    <w:rsid w:val="007F09FC"/>
    <w:rsid w:val="007F0CA5"/>
    <w:rsid w:val="007F20BF"/>
    <w:rsid w:val="007F5864"/>
    <w:rsid w:val="007F5E2D"/>
    <w:rsid w:val="007F752A"/>
    <w:rsid w:val="00800168"/>
    <w:rsid w:val="0080110B"/>
    <w:rsid w:val="0080145F"/>
    <w:rsid w:val="008015A4"/>
    <w:rsid w:val="00801D28"/>
    <w:rsid w:val="0080223A"/>
    <w:rsid w:val="008029B9"/>
    <w:rsid w:val="008033B5"/>
    <w:rsid w:val="00803FA6"/>
    <w:rsid w:val="0080484F"/>
    <w:rsid w:val="0080500C"/>
    <w:rsid w:val="00805CC4"/>
    <w:rsid w:val="00805F54"/>
    <w:rsid w:val="00807127"/>
    <w:rsid w:val="008076C4"/>
    <w:rsid w:val="00807EAE"/>
    <w:rsid w:val="00807F45"/>
    <w:rsid w:val="00810A39"/>
    <w:rsid w:val="00810EAB"/>
    <w:rsid w:val="00811D63"/>
    <w:rsid w:val="0081332E"/>
    <w:rsid w:val="00814014"/>
    <w:rsid w:val="008142B3"/>
    <w:rsid w:val="008155B5"/>
    <w:rsid w:val="00815CE5"/>
    <w:rsid w:val="00815D8E"/>
    <w:rsid w:val="00815DAA"/>
    <w:rsid w:val="00815ECE"/>
    <w:rsid w:val="0081701E"/>
    <w:rsid w:val="00817692"/>
    <w:rsid w:val="0081794F"/>
    <w:rsid w:val="008207D7"/>
    <w:rsid w:val="00821BAF"/>
    <w:rsid w:val="00822C03"/>
    <w:rsid w:val="00822D49"/>
    <w:rsid w:val="008244C2"/>
    <w:rsid w:val="00824708"/>
    <w:rsid w:val="00824FA2"/>
    <w:rsid w:val="00825433"/>
    <w:rsid w:val="00825F27"/>
    <w:rsid w:val="008260C6"/>
    <w:rsid w:val="0082652C"/>
    <w:rsid w:val="0082745F"/>
    <w:rsid w:val="00830895"/>
    <w:rsid w:val="00830EFF"/>
    <w:rsid w:val="00831803"/>
    <w:rsid w:val="00831B93"/>
    <w:rsid w:val="0083393E"/>
    <w:rsid w:val="00833B02"/>
    <w:rsid w:val="00833B0D"/>
    <w:rsid w:val="00834103"/>
    <w:rsid w:val="008345FA"/>
    <w:rsid w:val="0083554D"/>
    <w:rsid w:val="008359F3"/>
    <w:rsid w:val="00835ABC"/>
    <w:rsid w:val="008365DD"/>
    <w:rsid w:val="00836CFB"/>
    <w:rsid w:val="00837191"/>
    <w:rsid w:val="00840091"/>
    <w:rsid w:val="008433B1"/>
    <w:rsid w:val="008434B4"/>
    <w:rsid w:val="00843F10"/>
    <w:rsid w:val="00844139"/>
    <w:rsid w:val="00844C56"/>
    <w:rsid w:val="00845CD0"/>
    <w:rsid w:val="008465F4"/>
    <w:rsid w:val="00846946"/>
    <w:rsid w:val="00846B90"/>
    <w:rsid w:val="0084747D"/>
    <w:rsid w:val="00847646"/>
    <w:rsid w:val="00850F9C"/>
    <w:rsid w:val="008519D6"/>
    <w:rsid w:val="00851B2C"/>
    <w:rsid w:val="008523C3"/>
    <w:rsid w:val="0085550C"/>
    <w:rsid w:val="00855B0E"/>
    <w:rsid w:val="008567A9"/>
    <w:rsid w:val="00857FE8"/>
    <w:rsid w:val="008602E1"/>
    <w:rsid w:val="008622FE"/>
    <w:rsid w:val="0086298B"/>
    <w:rsid w:val="00862D47"/>
    <w:rsid w:val="008631FA"/>
    <w:rsid w:val="0086341B"/>
    <w:rsid w:val="00863647"/>
    <w:rsid w:val="00863D65"/>
    <w:rsid w:val="00867A22"/>
    <w:rsid w:val="00867B2B"/>
    <w:rsid w:val="00867D97"/>
    <w:rsid w:val="0087030F"/>
    <w:rsid w:val="00870344"/>
    <w:rsid w:val="00870B6E"/>
    <w:rsid w:val="00870D38"/>
    <w:rsid w:val="008713A5"/>
    <w:rsid w:val="008721C6"/>
    <w:rsid w:val="008722B5"/>
    <w:rsid w:val="00872356"/>
    <w:rsid w:val="008736C0"/>
    <w:rsid w:val="008736F9"/>
    <w:rsid w:val="00873A28"/>
    <w:rsid w:val="00873CFE"/>
    <w:rsid w:val="00873E9F"/>
    <w:rsid w:val="008745C1"/>
    <w:rsid w:val="00875466"/>
    <w:rsid w:val="00875C5A"/>
    <w:rsid w:val="00875EE9"/>
    <w:rsid w:val="00876ACF"/>
    <w:rsid w:val="00877003"/>
    <w:rsid w:val="00877892"/>
    <w:rsid w:val="00877AC5"/>
    <w:rsid w:val="00877DAD"/>
    <w:rsid w:val="00880AED"/>
    <w:rsid w:val="00881601"/>
    <w:rsid w:val="00881B22"/>
    <w:rsid w:val="00881F36"/>
    <w:rsid w:val="00882C7A"/>
    <w:rsid w:val="00883789"/>
    <w:rsid w:val="00884025"/>
    <w:rsid w:val="00884D79"/>
    <w:rsid w:val="00884DEC"/>
    <w:rsid w:val="0088542A"/>
    <w:rsid w:val="008854EA"/>
    <w:rsid w:val="0088595E"/>
    <w:rsid w:val="00885BD7"/>
    <w:rsid w:val="00886A4E"/>
    <w:rsid w:val="00886C7E"/>
    <w:rsid w:val="00886F72"/>
    <w:rsid w:val="00887ADB"/>
    <w:rsid w:val="00890032"/>
    <w:rsid w:val="00890D3D"/>
    <w:rsid w:val="00891506"/>
    <w:rsid w:val="00891870"/>
    <w:rsid w:val="00891947"/>
    <w:rsid w:val="00891A1A"/>
    <w:rsid w:val="00891B4D"/>
    <w:rsid w:val="00891C8E"/>
    <w:rsid w:val="00891CFC"/>
    <w:rsid w:val="00892716"/>
    <w:rsid w:val="008937B9"/>
    <w:rsid w:val="00893EF8"/>
    <w:rsid w:val="008943F3"/>
    <w:rsid w:val="00894637"/>
    <w:rsid w:val="00895391"/>
    <w:rsid w:val="00896806"/>
    <w:rsid w:val="00897697"/>
    <w:rsid w:val="00897751"/>
    <w:rsid w:val="00897F60"/>
    <w:rsid w:val="008A04B9"/>
    <w:rsid w:val="008A04DA"/>
    <w:rsid w:val="008A08BA"/>
    <w:rsid w:val="008A1F9A"/>
    <w:rsid w:val="008A26DF"/>
    <w:rsid w:val="008A2906"/>
    <w:rsid w:val="008A2BE2"/>
    <w:rsid w:val="008A2E38"/>
    <w:rsid w:val="008A3003"/>
    <w:rsid w:val="008A34D2"/>
    <w:rsid w:val="008A3E76"/>
    <w:rsid w:val="008A4CA6"/>
    <w:rsid w:val="008A4F95"/>
    <w:rsid w:val="008A6B54"/>
    <w:rsid w:val="008A75E1"/>
    <w:rsid w:val="008A7DD8"/>
    <w:rsid w:val="008A7E01"/>
    <w:rsid w:val="008B0BD6"/>
    <w:rsid w:val="008B1B81"/>
    <w:rsid w:val="008B3725"/>
    <w:rsid w:val="008B3778"/>
    <w:rsid w:val="008B45F0"/>
    <w:rsid w:val="008B4776"/>
    <w:rsid w:val="008B641F"/>
    <w:rsid w:val="008B6B53"/>
    <w:rsid w:val="008B7225"/>
    <w:rsid w:val="008B7966"/>
    <w:rsid w:val="008C0119"/>
    <w:rsid w:val="008C08B5"/>
    <w:rsid w:val="008C0BFC"/>
    <w:rsid w:val="008C0DE0"/>
    <w:rsid w:val="008C1424"/>
    <w:rsid w:val="008C22FE"/>
    <w:rsid w:val="008C25B8"/>
    <w:rsid w:val="008C2CEE"/>
    <w:rsid w:val="008C385E"/>
    <w:rsid w:val="008C4781"/>
    <w:rsid w:val="008C4B8F"/>
    <w:rsid w:val="008C571B"/>
    <w:rsid w:val="008C5802"/>
    <w:rsid w:val="008C6E73"/>
    <w:rsid w:val="008C7C57"/>
    <w:rsid w:val="008D0C63"/>
    <w:rsid w:val="008D2198"/>
    <w:rsid w:val="008D247D"/>
    <w:rsid w:val="008D5631"/>
    <w:rsid w:val="008D57DB"/>
    <w:rsid w:val="008D5BB4"/>
    <w:rsid w:val="008D605E"/>
    <w:rsid w:val="008D63CB"/>
    <w:rsid w:val="008D6443"/>
    <w:rsid w:val="008D7227"/>
    <w:rsid w:val="008D728A"/>
    <w:rsid w:val="008D7B90"/>
    <w:rsid w:val="008E00B9"/>
    <w:rsid w:val="008E05EE"/>
    <w:rsid w:val="008E0D7A"/>
    <w:rsid w:val="008E20B7"/>
    <w:rsid w:val="008E2508"/>
    <w:rsid w:val="008E2EF4"/>
    <w:rsid w:val="008E3241"/>
    <w:rsid w:val="008E3254"/>
    <w:rsid w:val="008E47A9"/>
    <w:rsid w:val="008E5B18"/>
    <w:rsid w:val="008E7182"/>
    <w:rsid w:val="008F0050"/>
    <w:rsid w:val="008F03DC"/>
    <w:rsid w:val="008F05C3"/>
    <w:rsid w:val="008F1369"/>
    <w:rsid w:val="008F20CB"/>
    <w:rsid w:val="008F23BA"/>
    <w:rsid w:val="008F3406"/>
    <w:rsid w:val="008F3943"/>
    <w:rsid w:val="008F5AEE"/>
    <w:rsid w:val="008F7400"/>
    <w:rsid w:val="009005BF"/>
    <w:rsid w:val="00900D92"/>
    <w:rsid w:val="009018C9"/>
    <w:rsid w:val="00901C77"/>
    <w:rsid w:val="00903622"/>
    <w:rsid w:val="0090373F"/>
    <w:rsid w:val="00903B1E"/>
    <w:rsid w:val="00903E0B"/>
    <w:rsid w:val="0090477D"/>
    <w:rsid w:val="00905537"/>
    <w:rsid w:val="00906D6C"/>
    <w:rsid w:val="00907C4E"/>
    <w:rsid w:val="009101E0"/>
    <w:rsid w:val="00910320"/>
    <w:rsid w:val="0091050C"/>
    <w:rsid w:val="0091308F"/>
    <w:rsid w:val="0091328A"/>
    <w:rsid w:val="009136CC"/>
    <w:rsid w:val="00913765"/>
    <w:rsid w:val="00913FFC"/>
    <w:rsid w:val="00915007"/>
    <w:rsid w:val="009154DF"/>
    <w:rsid w:val="00915AC4"/>
    <w:rsid w:val="00915DE0"/>
    <w:rsid w:val="00916247"/>
    <w:rsid w:val="009179B0"/>
    <w:rsid w:val="00917A35"/>
    <w:rsid w:val="009205FA"/>
    <w:rsid w:val="00920BFD"/>
    <w:rsid w:val="009215D0"/>
    <w:rsid w:val="00921A75"/>
    <w:rsid w:val="0092238A"/>
    <w:rsid w:val="00923BB5"/>
    <w:rsid w:val="00925D96"/>
    <w:rsid w:val="00926926"/>
    <w:rsid w:val="00926B30"/>
    <w:rsid w:val="00930E68"/>
    <w:rsid w:val="0093127A"/>
    <w:rsid w:val="00931CBC"/>
    <w:rsid w:val="00932866"/>
    <w:rsid w:val="00932C98"/>
    <w:rsid w:val="009337D0"/>
    <w:rsid w:val="00936753"/>
    <w:rsid w:val="00936DC6"/>
    <w:rsid w:val="00936EE7"/>
    <w:rsid w:val="009371BD"/>
    <w:rsid w:val="0093772B"/>
    <w:rsid w:val="00940D20"/>
    <w:rsid w:val="00940E7F"/>
    <w:rsid w:val="00941F20"/>
    <w:rsid w:val="009421B3"/>
    <w:rsid w:val="0094444A"/>
    <w:rsid w:val="00944C3E"/>
    <w:rsid w:val="0094541B"/>
    <w:rsid w:val="00946B32"/>
    <w:rsid w:val="00946D71"/>
    <w:rsid w:val="00946EEF"/>
    <w:rsid w:val="009471EE"/>
    <w:rsid w:val="00947492"/>
    <w:rsid w:val="009500CE"/>
    <w:rsid w:val="00950745"/>
    <w:rsid w:val="009510DD"/>
    <w:rsid w:val="00951EA5"/>
    <w:rsid w:val="009534E9"/>
    <w:rsid w:val="00953911"/>
    <w:rsid w:val="00953EBD"/>
    <w:rsid w:val="009546C7"/>
    <w:rsid w:val="009550CF"/>
    <w:rsid w:val="0095513E"/>
    <w:rsid w:val="00955150"/>
    <w:rsid w:val="00955569"/>
    <w:rsid w:val="00955D97"/>
    <w:rsid w:val="00956149"/>
    <w:rsid w:val="0095724B"/>
    <w:rsid w:val="009576CB"/>
    <w:rsid w:val="009602EC"/>
    <w:rsid w:val="00960CB8"/>
    <w:rsid w:val="009615ED"/>
    <w:rsid w:val="0096166C"/>
    <w:rsid w:val="00961A12"/>
    <w:rsid w:val="0096288C"/>
    <w:rsid w:val="00963568"/>
    <w:rsid w:val="0096398A"/>
    <w:rsid w:val="00963E41"/>
    <w:rsid w:val="00964209"/>
    <w:rsid w:val="009645A2"/>
    <w:rsid w:val="009648F1"/>
    <w:rsid w:val="00965694"/>
    <w:rsid w:val="00965C87"/>
    <w:rsid w:val="0096618A"/>
    <w:rsid w:val="0096748A"/>
    <w:rsid w:val="0096785C"/>
    <w:rsid w:val="00970745"/>
    <w:rsid w:val="00970B51"/>
    <w:rsid w:val="00971AF4"/>
    <w:rsid w:val="009728C2"/>
    <w:rsid w:val="009732D0"/>
    <w:rsid w:val="00973BAD"/>
    <w:rsid w:val="00974044"/>
    <w:rsid w:val="00975262"/>
    <w:rsid w:val="00975423"/>
    <w:rsid w:val="00975B43"/>
    <w:rsid w:val="0097726B"/>
    <w:rsid w:val="00977DC2"/>
    <w:rsid w:val="00980FE4"/>
    <w:rsid w:val="009810A9"/>
    <w:rsid w:val="00981857"/>
    <w:rsid w:val="00981DDB"/>
    <w:rsid w:val="009823BA"/>
    <w:rsid w:val="0098247A"/>
    <w:rsid w:val="0098264A"/>
    <w:rsid w:val="009838FA"/>
    <w:rsid w:val="009852B5"/>
    <w:rsid w:val="00986647"/>
    <w:rsid w:val="00986DCB"/>
    <w:rsid w:val="00987649"/>
    <w:rsid w:val="00987B25"/>
    <w:rsid w:val="00990CCB"/>
    <w:rsid w:val="00992015"/>
    <w:rsid w:val="009920CE"/>
    <w:rsid w:val="0099276F"/>
    <w:rsid w:val="0099332F"/>
    <w:rsid w:val="0099484F"/>
    <w:rsid w:val="00994EED"/>
    <w:rsid w:val="00995074"/>
    <w:rsid w:val="00997AFB"/>
    <w:rsid w:val="009A0618"/>
    <w:rsid w:val="009A36F2"/>
    <w:rsid w:val="009A3C80"/>
    <w:rsid w:val="009A3EC9"/>
    <w:rsid w:val="009A41F8"/>
    <w:rsid w:val="009A44D4"/>
    <w:rsid w:val="009A455D"/>
    <w:rsid w:val="009A45D8"/>
    <w:rsid w:val="009A5158"/>
    <w:rsid w:val="009A57DE"/>
    <w:rsid w:val="009A655B"/>
    <w:rsid w:val="009A6C7F"/>
    <w:rsid w:val="009A72D7"/>
    <w:rsid w:val="009A7BA2"/>
    <w:rsid w:val="009B0042"/>
    <w:rsid w:val="009B0071"/>
    <w:rsid w:val="009B0288"/>
    <w:rsid w:val="009B042D"/>
    <w:rsid w:val="009B0B53"/>
    <w:rsid w:val="009B131B"/>
    <w:rsid w:val="009B16CA"/>
    <w:rsid w:val="009B1A5C"/>
    <w:rsid w:val="009B2EEE"/>
    <w:rsid w:val="009B3790"/>
    <w:rsid w:val="009B3ACB"/>
    <w:rsid w:val="009B451B"/>
    <w:rsid w:val="009B4D87"/>
    <w:rsid w:val="009B5238"/>
    <w:rsid w:val="009B6040"/>
    <w:rsid w:val="009B61B7"/>
    <w:rsid w:val="009B72A3"/>
    <w:rsid w:val="009B74D3"/>
    <w:rsid w:val="009B778B"/>
    <w:rsid w:val="009B77FC"/>
    <w:rsid w:val="009C07DC"/>
    <w:rsid w:val="009C0815"/>
    <w:rsid w:val="009C2272"/>
    <w:rsid w:val="009C28F9"/>
    <w:rsid w:val="009C2B53"/>
    <w:rsid w:val="009C2F6F"/>
    <w:rsid w:val="009C33F1"/>
    <w:rsid w:val="009C3D3A"/>
    <w:rsid w:val="009C4559"/>
    <w:rsid w:val="009C6554"/>
    <w:rsid w:val="009C6B90"/>
    <w:rsid w:val="009C6D4E"/>
    <w:rsid w:val="009C6DCC"/>
    <w:rsid w:val="009C6F2E"/>
    <w:rsid w:val="009C700B"/>
    <w:rsid w:val="009C733C"/>
    <w:rsid w:val="009D084C"/>
    <w:rsid w:val="009D110C"/>
    <w:rsid w:val="009D1120"/>
    <w:rsid w:val="009D1232"/>
    <w:rsid w:val="009D1B42"/>
    <w:rsid w:val="009D1F39"/>
    <w:rsid w:val="009D26E1"/>
    <w:rsid w:val="009D27B0"/>
    <w:rsid w:val="009D30AD"/>
    <w:rsid w:val="009D3641"/>
    <w:rsid w:val="009D3664"/>
    <w:rsid w:val="009D3F38"/>
    <w:rsid w:val="009D4680"/>
    <w:rsid w:val="009D48AF"/>
    <w:rsid w:val="009D4C2D"/>
    <w:rsid w:val="009D4C45"/>
    <w:rsid w:val="009D5689"/>
    <w:rsid w:val="009D7A04"/>
    <w:rsid w:val="009E014B"/>
    <w:rsid w:val="009E29CB"/>
    <w:rsid w:val="009E2FF2"/>
    <w:rsid w:val="009E2FF4"/>
    <w:rsid w:val="009E315A"/>
    <w:rsid w:val="009E347B"/>
    <w:rsid w:val="009E3C6A"/>
    <w:rsid w:val="009E3EB4"/>
    <w:rsid w:val="009E4651"/>
    <w:rsid w:val="009E4A5A"/>
    <w:rsid w:val="009E5460"/>
    <w:rsid w:val="009E6457"/>
    <w:rsid w:val="009E67F4"/>
    <w:rsid w:val="009E6F5A"/>
    <w:rsid w:val="009E71BC"/>
    <w:rsid w:val="009E7928"/>
    <w:rsid w:val="009E7BCC"/>
    <w:rsid w:val="009F151E"/>
    <w:rsid w:val="009F19F3"/>
    <w:rsid w:val="009F2983"/>
    <w:rsid w:val="009F2AB8"/>
    <w:rsid w:val="009F2ECD"/>
    <w:rsid w:val="009F3130"/>
    <w:rsid w:val="009F3671"/>
    <w:rsid w:val="009F38DB"/>
    <w:rsid w:val="009F4201"/>
    <w:rsid w:val="009F5403"/>
    <w:rsid w:val="009F5668"/>
    <w:rsid w:val="009F652F"/>
    <w:rsid w:val="009F68B6"/>
    <w:rsid w:val="009F7975"/>
    <w:rsid w:val="00A003A6"/>
    <w:rsid w:val="00A005C4"/>
    <w:rsid w:val="00A00CD8"/>
    <w:rsid w:val="00A015F2"/>
    <w:rsid w:val="00A021A5"/>
    <w:rsid w:val="00A0338D"/>
    <w:rsid w:val="00A04890"/>
    <w:rsid w:val="00A04A5E"/>
    <w:rsid w:val="00A07694"/>
    <w:rsid w:val="00A07A27"/>
    <w:rsid w:val="00A07DAA"/>
    <w:rsid w:val="00A107CB"/>
    <w:rsid w:val="00A10F09"/>
    <w:rsid w:val="00A117BD"/>
    <w:rsid w:val="00A12B2B"/>
    <w:rsid w:val="00A136DA"/>
    <w:rsid w:val="00A13E0A"/>
    <w:rsid w:val="00A143CC"/>
    <w:rsid w:val="00A15C5C"/>
    <w:rsid w:val="00A16810"/>
    <w:rsid w:val="00A17134"/>
    <w:rsid w:val="00A176DA"/>
    <w:rsid w:val="00A17C6D"/>
    <w:rsid w:val="00A20476"/>
    <w:rsid w:val="00A20792"/>
    <w:rsid w:val="00A207E5"/>
    <w:rsid w:val="00A21889"/>
    <w:rsid w:val="00A2249C"/>
    <w:rsid w:val="00A22AF0"/>
    <w:rsid w:val="00A2335F"/>
    <w:rsid w:val="00A2389D"/>
    <w:rsid w:val="00A239BF"/>
    <w:rsid w:val="00A23D86"/>
    <w:rsid w:val="00A23D93"/>
    <w:rsid w:val="00A23EE6"/>
    <w:rsid w:val="00A24FF8"/>
    <w:rsid w:val="00A25712"/>
    <w:rsid w:val="00A259C3"/>
    <w:rsid w:val="00A2606F"/>
    <w:rsid w:val="00A265C6"/>
    <w:rsid w:val="00A27092"/>
    <w:rsid w:val="00A27203"/>
    <w:rsid w:val="00A27F66"/>
    <w:rsid w:val="00A3067A"/>
    <w:rsid w:val="00A30C56"/>
    <w:rsid w:val="00A322CF"/>
    <w:rsid w:val="00A32FEC"/>
    <w:rsid w:val="00A331A1"/>
    <w:rsid w:val="00A33A1C"/>
    <w:rsid w:val="00A33AC9"/>
    <w:rsid w:val="00A34820"/>
    <w:rsid w:val="00A348A1"/>
    <w:rsid w:val="00A349AC"/>
    <w:rsid w:val="00A34C05"/>
    <w:rsid w:val="00A34C72"/>
    <w:rsid w:val="00A34F2D"/>
    <w:rsid w:val="00A37020"/>
    <w:rsid w:val="00A3747B"/>
    <w:rsid w:val="00A37CDA"/>
    <w:rsid w:val="00A400EE"/>
    <w:rsid w:val="00A40F50"/>
    <w:rsid w:val="00A410D9"/>
    <w:rsid w:val="00A41652"/>
    <w:rsid w:val="00A41E95"/>
    <w:rsid w:val="00A42283"/>
    <w:rsid w:val="00A42764"/>
    <w:rsid w:val="00A42B57"/>
    <w:rsid w:val="00A42E2D"/>
    <w:rsid w:val="00A436B3"/>
    <w:rsid w:val="00A439E3"/>
    <w:rsid w:val="00A43C92"/>
    <w:rsid w:val="00A44075"/>
    <w:rsid w:val="00A44E45"/>
    <w:rsid w:val="00A452C4"/>
    <w:rsid w:val="00A454B0"/>
    <w:rsid w:val="00A465EC"/>
    <w:rsid w:val="00A46D3E"/>
    <w:rsid w:val="00A46DA3"/>
    <w:rsid w:val="00A47D70"/>
    <w:rsid w:val="00A47E24"/>
    <w:rsid w:val="00A50468"/>
    <w:rsid w:val="00A515FD"/>
    <w:rsid w:val="00A5245C"/>
    <w:rsid w:val="00A5450A"/>
    <w:rsid w:val="00A548A1"/>
    <w:rsid w:val="00A54EEC"/>
    <w:rsid w:val="00A55720"/>
    <w:rsid w:val="00A56E08"/>
    <w:rsid w:val="00A57A40"/>
    <w:rsid w:val="00A60155"/>
    <w:rsid w:val="00A60F42"/>
    <w:rsid w:val="00A614E6"/>
    <w:rsid w:val="00A619B0"/>
    <w:rsid w:val="00A6240B"/>
    <w:rsid w:val="00A62F88"/>
    <w:rsid w:val="00A6357A"/>
    <w:rsid w:val="00A638D1"/>
    <w:rsid w:val="00A649C1"/>
    <w:rsid w:val="00A64C86"/>
    <w:rsid w:val="00A64F56"/>
    <w:rsid w:val="00A666E6"/>
    <w:rsid w:val="00A66C95"/>
    <w:rsid w:val="00A703F5"/>
    <w:rsid w:val="00A706DE"/>
    <w:rsid w:val="00A70DDA"/>
    <w:rsid w:val="00A71260"/>
    <w:rsid w:val="00A7142A"/>
    <w:rsid w:val="00A7181A"/>
    <w:rsid w:val="00A71ECE"/>
    <w:rsid w:val="00A72B3A"/>
    <w:rsid w:val="00A744A3"/>
    <w:rsid w:val="00A74E57"/>
    <w:rsid w:val="00A76298"/>
    <w:rsid w:val="00A762AF"/>
    <w:rsid w:val="00A76361"/>
    <w:rsid w:val="00A76742"/>
    <w:rsid w:val="00A77283"/>
    <w:rsid w:val="00A77F47"/>
    <w:rsid w:val="00A81C7A"/>
    <w:rsid w:val="00A84B54"/>
    <w:rsid w:val="00A8545C"/>
    <w:rsid w:val="00A87274"/>
    <w:rsid w:val="00A87E18"/>
    <w:rsid w:val="00A913A0"/>
    <w:rsid w:val="00A91D1C"/>
    <w:rsid w:val="00A92A18"/>
    <w:rsid w:val="00A92FB3"/>
    <w:rsid w:val="00A938EF"/>
    <w:rsid w:val="00A94ABC"/>
    <w:rsid w:val="00A94F47"/>
    <w:rsid w:val="00A96577"/>
    <w:rsid w:val="00A96F71"/>
    <w:rsid w:val="00A9715C"/>
    <w:rsid w:val="00A97663"/>
    <w:rsid w:val="00AA0249"/>
    <w:rsid w:val="00AA13FA"/>
    <w:rsid w:val="00AA1476"/>
    <w:rsid w:val="00AA1787"/>
    <w:rsid w:val="00AA1DB4"/>
    <w:rsid w:val="00AA22DA"/>
    <w:rsid w:val="00AA26F4"/>
    <w:rsid w:val="00AA27E7"/>
    <w:rsid w:val="00AA2919"/>
    <w:rsid w:val="00AA3FB6"/>
    <w:rsid w:val="00AA43EC"/>
    <w:rsid w:val="00AA4BDA"/>
    <w:rsid w:val="00AA4E61"/>
    <w:rsid w:val="00AA6486"/>
    <w:rsid w:val="00AA6832"/>
    <w:rsid w:val="00AB07BF"/>
    <w:rsid w:val="00AB0A2D"/>
    <w:rsid w:val="00AB0AF2"/>
    <w:rsid w:val="00AB21A0"/>
    <w:rsid w:val="00AB2671"/>
    <w:rsid w:val="00AB27DE"/>
    <w:rsid w:val="00AB3280"/>
    <w:rsid w:val="00AB3439"/>
    <w:rsid w:val="00AB3581"/>
    <w:rsid w:val="00AB367C"/>
    <w:rsid w:val="00AB3BD0"/>
    <w:rsid w:val="00AB4258"/>
    <w:rsid w:val="00AB49F8"/>
    <w:rsid w:val="00AB4DCA"/>
    <w:rsid w:val="00AB505B"/>
    <w:rsid w:val="00AB5224"/>
    <w:rsid w:val="00AB6923"/>
    <w:rsid w:val="00AB781B"/>
    <w:rsid w:val="00AB78E4"/>
    <w:rsid w:val="00AB7E67"/>
    <w:rsid w:val="00AC03C0"/>
    <w:rsid w:val="00AC0CD7"/>
    <w:rsid w:val="00AC1153"/>
    <w:rsid w:val="00AC2258"/>
    <w:rsid w:val="00AC2F3B"/>
    <w:rsid w:val="00AC3441"/>
    <w:rsid w:val="00AC3613"/>
    <w:rsid w:val="00AC3CF3"/>
    <w:rsid w:val="00AC597E"/>
    <w:rsid w:val="00AC64E8"/>
    <w:rsid w:val="00AC7363"/>
    <w:rsid w:val="00AC7611"/>
    <w:rsid w:val="00AC7797"/>
    <w:rsid w:val="00AC77B2"/>
    <w:rsid w:val="00AC7D9C"/>
    <w:rsid w:val="00AD073A"/>
    <w:rsid w:val="00AD0E43"/>
    <w:rsid w:val="00AD0FB1"/>
    <w:rsid w:val="00AD2AD0"/>
    <w:rsid w:val="00AD31D6"/>
    <w:rsid w:val="00AD3247"/>
    <w:rsid w:val="00AD32C1"/>
    <w:rsid w:val="00AD4AB6"/>
    <w:rsid w:val="00AD4CE1"/>
    <w:rsid w:val="00AD5331"/>
    <w:rsid w:val="00AD5A80"/>
    <w:rsid w:val="00AD5CFB"/>
    <w:rsid w:val="00AD5F59"/>
    <w:rsid w:val="00AD61D7"/>
    <w:rsid w:val="00AD698C"/>
    <w:rsid w:val="00AD6C32"/>
    <w:rsid w:val="00AD7B6B"/>
    <w:rsid w:val="00AD7E1C"/>
    <w:rsid w:val="00AE1A2A"/>
    <w:rsid w:val="00AE257B"/>
    <w:rsid w:val="00AE2E41"/>
    <w:rsid w:val="00AE36E7"/>
    <w:rsid w:val="00AE385C"/>
    <w:rsid w:val="00AE39E1"/>
    <w:rsid w:val="00AE5A4E"/>
    <w:rsid w:val="00AE648A"/>
    <w:rsid w:val="00AE64E8"/>
    <w:rsid w:val="00AE7AD4"/>
    <w:rsid w:val="00AF01FC"/>
    <w:rsid w:val="00AF09C7"/>
    <w:rsid w:val="00AF1605"/>
    <w:rsid w:val="00AF1D8D"/>
    <w:rsid w:val="00AF23BD"/>
    <w:rsid w:val="00AF3280"/>
    <w:rsid w:val="00AF3839"/>
    <w:rsid w:val="00AF3B24"/>
    <w:rsid w:val="00AF3EA3"/>
    <w:rsid w:val="00AF4FC7"/>
    <w:rsid w:val="00AF65BB"/>
    <w:rsid w:val="00AF663F"/>
    <w:rsid w:val="00AF6A86"/>
    <w:rsid w:val="00AF6EFC"/>
    <w:rsid w:val="00B00B67"/>
    <w:rsid w:val="00B01882"/>
    <w:rsid w:val="00B01AFC"/>
    <w:rsid w:val="00B01B0B"/>
    <w:rsid w:val="00B01CC6"/>
    <w:rsid w:val="00B034A8"/>
    <w:rsid w:val="00B055A5"/>
    <w:rsid w:val="00B05F8B"/>
    <w:rsid w:val="00B06A0B"/>
    <w:rsid w:val="00B06B58"/>
    <w:rsid w:val="00B07649"/>
    <w:rsid w:val="00B07670"/>
    <w:rsid w:val="00B07871"/>
    <w:rsid w:val="00B07928"/>
    <w:rsid w:val="00B07C03"/>
    <w:rsid w:val="00B1013C"/>
    <w:rsid w:val="00B1054D"/>
    <w:rsid w:val="00B10693"/>
    <w:rsid w:val="00B1108B"/>
    <w:rsid w:val="00B11850"/>
    <w:rsid w:val="00B121BF"/>
    <w:rsid w:val="00B13242"/>
    <w:rsid w:val="00B13563"/>
    <w:rsid w:val="00B1381E"/>
    <w:rsid w:val="00B140BA"/>
    <w:rsid w:val="00B141E8"/>
    <w:rsid w:val="00B145A8"/>
    <w:rsid w:val="00B148E3"/>
    <w:rsid w:val="00B1493C"/>
    <w:rsid w:val="00B16758"/>
    <w:rsid w:val="00B16B66"/>
    <w:rsid w:val="00B174BE"/>
    <w:rsid w:val="00B17644"/>
    <w:rsid w:val="00B20425"/>
    <w:rsid w:val="00B2060A"/>
    <w:rsid w:val="00B2087C"/>
    <w:rsid w:val="00B21433"/>
    <w:rsid w:val="00B22B31"/>
    <w:rsid w:val="00B245A4"/>
    <w:rsid w:val="00B24AE0"/>
    <w:rsid w:val="00B250E3"/>
    <w:rsid w:val="00B251A6"/>
    <w:rsid w:val="00B25678"/>
    <w:rsid w:val="00B25F1B"/>
    <w:rsid w:val="00B267D3"/>
    <w:rsid w:val="00B27298"/>
    <w:rsid w:val="00B279F4"/>
    <w:rsid w:val="00B30082"/>
    <w:rsid w:val="00B30E5A"/>
    <w:rsid w:val="00B31355"/>
    <w:rsid w:val="00B31BB6"/>
    <w:rsid w:val="00B329FD"/>
    <w:rsid w:val="00B3303B"/>
    <w:rsid w:val="00B333AC"/>
    <w:rsid w:val="00B3370B"/>
    <w:rsid w:val="00B3405F"/>
    <w:rsid w:val="00B357CB"/>
    <w:rsid w:val="00B36067"/>
    <w:rsid w:val="00B363A1"/>
    <w:rsid w:val="00B36E84"/>
    <w:rsid w:val="00B37711"/>
    <w:rsid w:val="00B40376"/>
    <w:rsid w:val="00B41934"/>
    <w:rsid w:val="00B42419"/>
    <w:rsid w:val="00B42631"/>
    <w:rsid w:val="00B43881"/>
    <w:rsid w:val="00B43D5C"/>
    <w:rsid w:val="00B43E52"/>
    <w:rsid w:val="00B4460C"/>
    <w:rsid w:val="00B45738"/>
    <w:rsid w:val="00B4723F"/>
    <w:rsid w:val="00B475B6"/>
    <w:rsid w:val="00B479E5"/>
    <w:rsid w:val="00B47C96"/>
    <w:rsid w:val="00B47CCA"/>
    <w:rsid w:val="00B50410"/>
    <w:rsid w:val="00B50601"/>
    <w:rsid w:val="00B5129D"/>
    <w:rsid w:val="00B517A0"/>
    <w:rsid w:val="00B521A3"/>
    <w:rsid w:val="00B54FD2"/>
    <w:rsid w:val="00B55CC5"/>
    <w:rsid w:val="00B55CFE"/>
    <w:rsid w:val="00B55E78"/>
    <w:rsid w:val="00B56AFD"/>
    <w:rsid w:val="00B573D6"/>
    <w:rsid w:val="00B60110"/>
    <w:rsid w:val="00B61B0E"/>
    <w:rsid w:val="00B635B6"/>
    <w:rsid w:val="00B6408E"/>
    <w:rsid w:val="00B6411F"/>
    <w:rsid w:val="00B643F2"/>
    <w:rsid w:val="00B652C6"/>
    <w:rsid w:val="00B65CB2"/>
    <w:rsid w:val="00B660AF"/>
    <w:rsid w:val="00B66428"/>
    <w:rsid w:val="00B664E7"/>
    <w:rsid w:val="00B6689F"/>
    <w:rsid w:val="00B671D2"/>
    <w:rsid w:val="00B67EB5"/>
    <w:rsid w:val="00B67F5C"/>
    <w:rsid w:val="00B70023"/>
    <w:rsid w:val="00B7011F"/>
    <w:rsid w:val="00B71A3C"/>
    <w:rsid w:val="00B725F2"/>
    <w:rsid w:val="00B72BEE"/>
    <w:rsid w:val="00B72CAB"/>
    <w:rsid w:val="00B72E27"/>
    <w:rsid w:val="00B73B6B"/>
    <w:rsid w:val="00B74108"/>
    <w:rsid w:val="00B7422F"/>
    <w:rsid w:val="00B74EF5"/>
    <w:rsid w:val="00B74FD6"/>
    <w:rsid w:val="00B7545C"/>
    <w:rsid w:val="00B76A74"/>
    <w:rsid w:val="00B7724E"/>
    <w:rsid w:val="00B77268"/>
    <w:rsid w:val="00B77AAC"/>
    <w:rsid w:val="00B77C24"/>
    <w:rsid w:val="00B77CED"/>
    <w:rsid w:val="00B802EF"/>
    <w:rsid w:val="00B80502"/>
    <w:rsid w:val="00B8241A"/>
    <w:rsid w:val="00B8280A"/>
    <w:rsid w:val="00B82F43"/>
    <w:rsid w:val="00B83017"/>
    <w:rsid w:val="00B8462B"/>
    <w:rsid w:val="00B84A36"/>
    <w:rsid w:val="00B85B49"/>
    <w:rsid w:val="00B86DA1"/>
    <w:rsid w:val="00B87AED"/>
    <w:rsid w:val="00B9073A"/>
    <w:rsid w:val="00B910B6"/>
    <w:rsid w:val="00B91C1F"/>
    <w:rsid w:val="00B920DD"/>
    <w:rsid w:val="00B9227D"/>
    <w:rsid w:val="00B92543"/>
    <w:rsid w:val="00B9328A"/>
    <w:rsid w:val="00B93F47"/>
    <w:rsid w:val="00B94CDD"/>
    <w:rsid w:val="00B954D7"/>
    <w:rsid w:val="00B959FD"/>
    <w:rsid w:val="00B95B7A"/>
    <w:rsid w:val="00B962A0"/>
    <w:rsid w:val="00B967FE"/>
    <w:rsid w:val="00B97206"/>
    <w:rsid w:val="00B978FB"/>
    <w:rsid w:val="00B9799C"/>
    <w:rsid w:val="00BA2205"/>
    <w:rsid w:val="00BA2F99"/>
    <w:rsid w:val="00BA3932"/>
    <w:rsid w:val="00BA42E0"/>
    <w:rsid w:val="00BA4A27"/>
    <w:rsid w:val="00BA4C11"/>
    <w:rsid w:val="00BB01BE"/>
    <w:rsid w:val="00BB0424"/>
    <w:rsid w:val="00BB0532"/>
    <w:rsid w:val="00BB196E"/>
    <w:rsid w:val="00BB25C7"/>
    <w:rsid w:val="00BB3616"/>
    <w:rsid w:val="00BB438C"/>
    <w:rsid w:val="00BB4E1C"/>
    <w:rsid w:val="00BB6577"/>
    <w:rsid w:val="00BB6B0F"/>
    <w:rsid w:val="00BB77F2"/>
    <w:rsid w:val="00BB7F77"/>
    <w:rsid w:val="00BC020F"/>
    <w:rsid w:val="00BC05B2"/>
    <w:rsid w:val="00BC0750"/>
    <w:rsid w:val="00BC09A6"/>
    <w:rsid w:val="00BC3477"/>
    <w:rsid w:val="00BC3887"/>
    <w:rsid w:val="00BC3CDD"/>
    <w:rsid w:val="00BC40A1"/>
    <w:rsid w:val="00BC47E6"/>
    <w:rsid w:val="00BC480F"/>
    <w:rsid w:val="00BC4A9B"/>
    <w:rsid w:val="00BC4ACB"/>
    <w:rsid w:val="00BC4D6A"/>
    <w:rsid w:val="00BC6696"/>
    <w:rsid w:val="00BC6B7C"/>
    <w:rsid w:val="00BD046B"/>
    <w:rsid w:val="00BD0F1C"/>
    <w:rsid w:val="00BD2876"/>
    <w:rsid w:val="00BD2D02"/>
    <w:rsid w:val="00BD319F"/>
    <w:rsid w:val="00BD32BE"/>
    <w:rsid w:val="00BD35EF"/>
    <w:rsid w:val="00BD400E"/>
    <w:rsid w:val="00BD4D3D"/>
    <w:rsid w:val="00BD5F04"/>
    <w:rsid w:val="00BD69EF"/>
    <w:rsid w:val="00BD7790"/>
    <w:rsid w:val="00BD78D4"/>
    <w:rsid w:val="00BD7A79"/>
    <w:rsid w:val="00BD7C25"/>
    <w:rsid w:val="00BD7CB9"/>
    <w:rsid w:val="00BE0BFC"/>
    <w:rsid w:val="00BE1298"/>
    <w:rsid w:val="00BE2D2A"/>
    <w:rsid w:val="00BE2E50"/>
    <w:rsid w:val="00BE3591"/>
    <w:rsid w:val="00BE3C08"/>
    <w:rsid w:val="00BE517D"/>
    <w:rsid w:val="00BE611B"/>
    <w:rsid w:val="00BE6904"/>
    <w:rsid w:val="00BF1DF8"/>
    <w:rsid w:val="00BF1FB1"/>
    <w:rsid w:val="00BF22B2"/>
    <w:rsid w:val="00BF2BCC"/>
    <w:rsid w:val="00BF332B"/>
    <w:rsid w:val="00BF3372"/>
    <w:rsid w:val="00BF3730"/>
    <w:rsid w:val="00BF4203"/>
    <w:rsid w:val="00BF4F82"/>
    <w:rsid w:val="00BF6953"/>
    <w:rsid w:val="00BF72ED"/>
    <w:rsid w:val="00BF73A0"/>
    <w:rsid w:val="00BF77D1"/>
    <w:rsid w:val="00BF7B54"/>
    <w:rsid w:val="00C00364"/>
    <w:rsid w:val="00C00504"/>
    <w:rsid w:val="00C01463"/>
    <w:rsid w:val="00C0147C"/>
    <w:rsid w:val="00C0194B"/>
    <w:rsid w:val="00C02439"/>
    <w:rsid w:val="00C0261B"/>
    <w:rsid w:val="00C0286D"/>
    <w:rsid w:val="00C031DE"/>
    <w:rsid w:val="00C0331A"/>
    <w:rsid w:val="00C03434"/>
    <w:rsid w:val="00C03CA3"/>
    <w:rsid w:val="00C04408"/>
    <w:rsid w:val="00C04801"/>
    <w:rsid w:val="00C04C87"/>
    <w:rsid w:val="00C04E7C"/>
    <w:rsid w:val="00C060B8"/>
    <w:rsid w:val="00C06D36"/>
    <w:rsid w:val="00C07553"/>
    <w:rsid w:val="00C07850"/>
    <w:rsid w:val="00C10481"/>
    <w:rsid w:val="00C122B9"/>
    <w:rsid w:val="00C12812"/>
    <w:rsid w:val="00C12969"/>
    <w:rsid w:val="00C12A80"/>
    <w:rsid w:val="00C13EB9"/>
    <w:rsid w:val="00C16393"/>
    <w:rsid w:val="00C17239"/>
    <w:rsid w:val="00C177BC"/>
    <w:rsid w:val="00C17DB9"/>
    <w:rsid w:val="00C17DC8"/>
    <w:rsid w:val="00C20167"/>
    <w:rsid w:val="00C20619"/>
    <w:rsid w:val="00C20713"/>
    <w:rsid w:val="00C208A9"/>
    <w:rsid w:val="00C20C0C"/>
    <w:rsid w:val="00C22AE0"/>
    <w:rsid w:val="00C22B4F"/>
    <w:rsid w:val="00C23AD8"/>
    <w:rsid w:val="00C23C34"/>
    <w:rsid w:val="00C24358"/>
    <w:rsid w:val="00C24A6C"/>
    <w:rsid w:val="00C25D59"/>
    <w:rsid w:val="00C27959"/>
    <w:rsid w:val="00C27DAB"/>
    <w:rsid w:val="00C30830"/>
    <w:rsid w:val="00C32E84"/>
    <w:rsid w:val="00C32ED8"/>
    <w:rsid w:val="00C34B48"/>
    <w:rsid w:val="00C35275"/>
    <w:rsid w:val="00C35759"/>
    <w:rsid w:val="00C35CF0"/>
    <w:rsid w:val="00C36C01"/>
    <w:rsid w:val="00C37013"/>
    <w:rsid w:val="00C37619"/>
    <w:rsid w:val="00C37735"/>
    <w:rsid w:val="00C40258"/>
    <w:rsid w:val="00C41138"/>
    <w:rsid w:val="00C41DB8"/>
    <w:rsid w:val="00C43141"/>
    <w:rsid w:val="00C433B0"/>
    <w:rsid w:val="00C44439"/>
    <w:rsid w:val="00C44E74"/>
    <w:rsid w:val="00C44F7E"/>
    <w:rsid w:val="00C45496"/>
    <w:rsid w:val="00C46287"/>
    <w:rsid w:val="00C46622"/>
    <w:rsid w:val="00C46ACE"/>
    <w:rsid w:val="00C47970"/>
    <w:rsid w:val="00C47B84"/>
    <w:rsid w:val="00C50C8E"/>
    <w:rsid w:val="00C50CF5"/>
    <w:rsid w:val="00C510DD"/>
    <w:rsid w:val="00C511F4"/>
    <w:rsid w:val="00C51F3F"/>
    <w:rsid w:val="00C52FD1"/>
    <w:rsid w:val="00C533E8"/>
    <w:rsid w:val="00C533ED"/>
    <w:rsid w:val="00C534C1"/>
    <w:rsid w:val="00C5447E"/>
    <w:rsid w:val="00C55BC9"/>
    <w:rsid w:val="00C55CC5"/>
    <w:rsid w:val="00C56082"/>
    <w:rsid w:val="00C614FF"/>
    <w:rsid w:val="00C61E52"/>
    <w:rsid w:val="00C651C9"/>
    <w:rsid w:val="00C654D1"/>
    <w:rsid w:val="00C657C1"/>
    <w:rsid w:val="00C65BDF"/>
    <w:rsid w:val="00C66CD7"/>
    <w:rsid w:val="00C66FF2"/>
    <w:rsid w:val="00C674ED"/>
    <w:rsid w:val="00C6760E"/>
    <w:rsid w:val="00C6791F"/>
    <w:rsid w:val="00C67C69"/>
    <w:rsid w:val="00C70501"/>
    <w:rsid w:val="00C723B2"/>
    <w:rsid w:val="00C726C0"/>
    <w:rsid w:val="00C72948"/>
    <w:rsid w:val="00C73B67"/>
    <w:rsid w:val="00C74200"/>
    <w:rsid w:val="00C7508C"/>
    <w:rsid w:val="00C752D2"/>
    <w:rsid w:val="00C75429"/>
    <w:rsid w:val="00C75C40"/>
    <w:rsid w:val="00C75CC0"/>
    <w:rsid w:val="00C7642D"/>
    <w:rsid w:val="00C76EC5"/>
    <w:rsid w:val="00C77313"/>
    <w:rsid w:val="00C800DD"/>
    <w:rsid w:val="00C8053A"/>
    <w:rsid w:val="00C80A50"/>
    <w:rsid w:val="00C80B55"/>
    <w:rsid w:val="00C80D5C"/>
    <w:rsid w:val="00C811AB"/>
    <w:rsid w:val="00C82F77"/>
    <w:rsid w:val="00C8322C"/>
    <w:rsid w:val="00C83ABB"/>
    <w:rsid w:val="00C8417C"/>
    <w:rsid w:val="00C8449D"/>
    <w:rsid w:val="00C84523"/>
    <w:rsid w:val="00C85F08"/>
    <w:rsid w:val="00C85F63"/>
    <w:rsid w:val="00C860F6"/>
    <w:rsid w:val="00C8693C"/>
    <w:rsid w:val="00C87029"/>
    <w:rsid w:val="00C87620"/>
    <w:rsid w:val="00C877E8"/>
    <w:rsid w:val="00C879D4"/>
    <w:rsid w:val="00C87F2F"/>
    <w:rsid w:val="00C90B78"/>
    <w:rsid w:val="00C91686"/>
    <w:rsid w:val="00C916BD"/>
    <w:rsid w:val="00C9272A"/>
    <w:rsid w:val="00C928BC"/>
    <w:rsid w:val="00C92CB8"/>
    <w:rsid w:val="00C92D46"/>
    <w:rsid w:val="00C92F5A"/>
    <w:rsid w:val="00C95BDC"/>
    <w:rsid w:val="00C96DBA"/>
    <w:rsid w:val="00C970A6"/>
    <w:rsid w:val="00C97801"/>
    <w:rsid w:val="00CA0B1A"/>
    <w:rsid w:val="00CA0D55"/>
    <w:rsid w:val="00CA11FA"/>
    <w:rsid w:val="00CA1B62"/>
    <w:rsid w:val="00CA1D66"/>
    <w:rsid w:val="00CA1EE9"/>
    <w:rsid w:val="00CA2374"/>
    <w:rsid w:val="00CA2630"/>
    <w:rsid w:val="00CA2717"/>
    <w:rsid w:val="00CA3588"/>
    <w:rsid w:val="00CA4751"/>
    <w:rsid w:val="00CA4CA8"/>
    <w:rsid w:val="00CA512F"/>
    <w:rsid w:val="00CA70E6"/>
    <w:rsid w:val="00CA73BC"/>
    <w:rsid w:val="00CA7B3F"/>
    <w:rsid w:val="00CA7CFF"/>
    <w:rsid w:val="00CA7D0E"/>
    <w:rsid w:val="00CB0940"/>
    <w:rsid w:val="00CB1FDD"/>
    <w:rsid w:val="00CB2469"/>
    <w:rsid w:val="00CB3EE3"/>
    <w:rsid w:val="00CB4044"/>
    <w:rsid w:val="00CB44AB"/>
    <w:rsid w:val="00CB4701"/>
    <w:rsid w:val="00CB48D5"/>
    <w:rsid w:val="00CB493B"/>
    <w:rsid w:val="00CB4E6B"/>
    <w:rsid w:val="00CB4FBA"/>
    <w:rsid w:val="00CB512C"/>
    <w:rsid w:val="00CB56E8"/>
    <w:rsid w:val="00CB6AB4"/>
    <w:rsid w:val="00CB76F0"/>
    <w:rsid w:val="00CB7AD2"/>
    <w:rsid w:val="00CC04CF"/>
    <w:rsid w:val="00CC0599"/>
    <w:rsid w:val="00CC0990"/>
    <w:rsid w:val="00CC0BA0"/>
    <w:rsid w:val="00CC0F82"/>
    <w:rsid w:val="00CC1FD5"/>
    <w:rsid w:val="00CC2122"/>
    <w:rsid w:val="00CC37A0"/>
    <w:rsid w:val="00CC3B53"/>
    <w:rsid w:val="00CC44E8"/>
    <w:rsid w:val="00CC53C4"/>
    <w:rsid w:val="00CC569A"/>
    <w:rsid w:val="00CC5D84"/>
    <w:rsid w:val="00CC7AFB"/>
    <w:rsid w:val="00CC7BE4"/>
    <w:rsid w:val="00CD0D23"/>
    <w:rsid w:val="00CD1B70"/>
    <w:rsid w:val="00CD27C0"/>
    <w:rsid w:val="00CD30EE"/>
    <w:rsid w:val="00CD3F8A"/>
    <w:rsid w:val="00CD491C"/>
    <w:rsid w:val="00CD5A81"/>
    <w:rsid w:val="00CD6E46"/>
    <w:rsid w:val="00CD7669"/>
    <w:rsid w:val="00CE0379"/>
    <w:rsid w:val="00CE1262"/>
    <w:rsid w:val="00CE1879"/>
    <w:rsid w:val="00CE1DED"/>
    <w:rsid w:val="00CE2B02"/>
    <w:rsid w:val="00CE2B33"/>
    <w:rsid w:val="00CE34EE"/>
    <w:rsid w:val="00CE38BE"/>
    <w:rsid w:val="00CE4886"/>
    <w:rsid w:val="00CE4FA6"/>
    <w:rsid w:val="00CE5A8A"/>
    <w:rsid w:val="00CE67EE"/>
    <w:rsid w:val="00CE6EDB"/>
    <w:rsid w:val="00CE6F6E"/>
    <w:rsid w:val="00CE74EE"/>
    <w:rsid w:val="00CE78B6"/>
    <w:rsid w:val="00CF0D18"/>
    <w:rsid w:val="00CF1429"/>
    <w:rsid w:val="00CF153E"/>
    <w:rsid w:val="00CF33F6"/>
    <w:rsid w:val="00CF40D0"/>
    <w:rsid w:val="00CF4316"/>
    <w:rsid w:val="00CF4321"/>
    <w:rsid w:val="00CF4533"/>
    <w:rsid w:val="00CF4BB7"/>
    <w:rsid w:val="00CF4F13"/>
    <w:rsid w:val="00CF5B83"/>
    <w:rsid w:val="00CF680F"/>
    <w:rsid w:val="00CF6F77"/>
    <w:rsid w:val="00CF77B6"/>
    <w:rsid w:val="00CF783E"/>
    <w:rsid w:val="00D01E73"/>
    <w:rsid w:val="00D022B4"/>
    <w:rsid w:val="00D0288C"/>
    <w:rsid w:val="00D0289F"/>
    <w:rsid w:val="00D0291C"/>
    <w:rsid w:val="00D035C6"/>
    <w:rsid w:val="00D04754"/>
    <w:rsid w:val="00D051C8"/>
    <w:rsid w:val="00D0552B"/>
    <w:rsid w:val="00D069AA"/>
    <w:rsid w:val="00D06FB4"/>
    <w:rsid w:val="00D06FC1"/>
    <w:rsid w:val="00D0752A"/>
    <w:rsid w:val="00D07BF8"/>
    <w:rsid w:val="00D1064A"/>
    <w:rsid w:val="00D10CE0"/>
    <w:rsid w:val="00D110FD"/>
    <w:rsid w:val="00D118CF"/>
    <w:rsid w:val="00D122C2"/>
    <w:rsid w:val="00D12EA2"/>
    <w:rsid w:val="00D131DD"/>
    <w:rsid w:val="00D13AFD"/>
    <w:rsid w:val="00D141BE"/>
    <w:rsid w:val="00D14491"/>
    <w:rsid w:val="00D14573"/>
    <w:rsid w:val="00D14696"/>
    <w:rsid w:val="00D14C32"/>
    <w:rsid w:val="00D15A84"/>
    <w:rsid w:val="00D16CAC"/>
    <w:rsid w:val="00D17580"/>
    <w:rsid w:val="00D2124D"/>
    <w:rsid w:val="00D21631"/>
    <w:rsid w:val="00D220E9"/>
    <w:rsid w:val="00D223D9"/>
    <w:rsid w:val="00D2304F"/>
    <w:rsid w:val="00D232AD"/>
    <w:rsid w:val="00D23857"/>
    <w:rsid w:val="00D2409E"/>
    <w:rsid w:val="00D243BC"/>
    <w:rsid w:val="00D247F6"/>
    <w:rsid w:val="00D2487E"/>
    <w:rsid w:val="00D248FE"/>
    <w:rsid w:val="00D24E4D"/>
    <w:rsid w:val="00D25EBB"/>
    <w:rsid w:val="00D2631A"/>
    <w:rsid w:val="00D26652"/>
    <w:rsid w:val="00D26883"/>
    <w:rsid w:val="00D2698C"/>
    <w:rsid w:val="00D26CFD"/>
    <w:rsid w:val="00D270DF"/>
    <w:rsid w:val="00D27C90"/>
    <w:rsid w:val="00D30950"/>
    <w:rsid w:val="00D30BEC"/>
    <w:rsid w:val="00D318A1"/>
    <w:rsid w:val="00D32234"/>
    <w:rsid w:val="00D324C1"/>
    <w:rsid w:val="00D324E0"/>
    <w:rsid w:val="00D326AB"/>
    <w:rsid w:val="00D32FD3"/>
    <w:rsid w:val="00D34EA9"/>
    <w:rsid w:val="00D34EBC"/>
    <w:rsid w:val="00D35E31"/>
    <w:rsid w:val="00D36971"/>
    <w:rsid w:val="00D369A8"/>
    <w:rsid w:val="00D37171"/>
    <w:rsid w:val="00D37B7B"/>
    <w:rsid w:val="00D37EFB"/>
    <w:rsid w:val="00D40B4D"/>
    <w:rsid w:val="00D41941"/>
    <w:rsid w:val="00D423C2"/>
    <w:rsid w:val="00D4254D"/>
    <w:rsid w:val="00D42C21"/>
    <w:rsid w:val="00D43202"/>
    <w:rsid w:val="00D447D9"/>
    <w:rsid w:val="00D4508E"/>
    <w:rsid w:val="00D47A29"/>
    <w:rsid w:val="00D47E16"/>
    <w:rsid w:val="00D47FCF"/>
    <w:rsid w:val="00D5079E"/>
    <w:rsid w:val="00D50874"/>
    <w:rsid w:val="00D50CE8"/>
    <w:rsid w:val="00D51A71"/>
    <w:rsid w:val="00D51CF7"/>
    <w:rsid w:val="00D526EB"/>
    <w:rsid w:val="00D539C1"/>
    <w:rsid w:val="00D542A2"/>
    <w:rsid w:val="00D54547"/>
    <w:rsid w:val="00D5479B"/>
    <w:rsid w:val="00D54D05"/>
    <w:rsid w:val="00D55857"/>
    <w:rsid w:val="00D5586E"/>
    <w:rsid w:val="00D56326"/>
    <w:rsid w:val="00D56FD0"/>
    <w:rsid w:val="00D5743F"/>
    <w:rsid w:val="00D575DA"/>
    <w:rsid w:val="00D6049C"/>
    <w:rsid w:val="00D6054E"/>
    <w:rsid w:val="00D606E8"/>
    <w:rsid w:val="00D60B04"/>
    <w:rsid w:val="00D60D6C"/>
    <w:rsid w:val="00D6124A"/>
    <w:rsid w:val="00D61267"/>
    <w:rsid w:val="00D62602"/>
    <w:rsid w:val="00D6275C"/>
    <w:rsid w:val="00D62D35"/>
    <w:rsid w:val="00D638D9"/>
    <w:rsid w:val="00D64486"/>
    <w:rsid w:val="00D65D3B"/>
    <w:rsid w:val="00D664B4"/>
    <w:rsid w:val="00D67D2E"/>
    <w:rsid w:val="00D707DD"/>
    <w:rsid w:val="00D711C0"/>
    <w:rsid w:val="00D72024"/>
    <w:rsid w:val="00D727B8"/>
    <w:rsid w:val="00D7308C"/>
    <w:rsid w:val="00D73653"/>
    <w:rsid w:val="00D7436D"/>
    <w:rsid w:val="00D7481A"/>
    <w:rsid w:val="00D76A8D"/>
    <w:rsid w:val="00D77890"/>
    <w:rsid w:val="00D77B2A"/>
    <w:rsid w:val="00D80D61"/>
    <w:rsid w:val="00D80ED2"/>
    <w:rsid w:val="00D81CD4"/>
    <w:rsid w:val="00D81D3F"/>
    <w:rsid w:val="00D831E5"/>
    <w:rsid w:val="00D83278"/>
    <w:rsid w:val="00D83710"/>
    <w:rsid w:val="00D84B5F"/>
    <w:rsid w:val="00D852AE"/>
    <w:rsid w:val="00D854F7"/>
    <w:rsid w:val="00D85CD0"/>
    <w:rsid w:val="00D86896"/>
    <w:rsid w:val="00D878BC"/>
    <w:rsid w:val="00D9076E"/>
    <w:rsid w:val="00D90955"/>
    <w:rsid w:val="00D92AAB"/>
    <w:rsid w:val="00D92D76"/>
    <w:rsid w:val="00D93887"/>
    <w:rsid w:val="00D94044"/>
    <w:rsid w:val="00D946D6"/>
    <w:rsid w:val="00D9487A"/>
    <w:rsid w:val="00D953DD"/>
    <w:rsid w:val="00D95B30"/>
    <w:rsid w:val="00D95D58"/>
    <w:rsid w:val="00D95E44"/>
    <w:rsid w:val="00D9614D"/>
    <w:rsid w:val="00D969B3"/>
    <w:rsid w:val="00D97E86"/>
    <w:rsid w:val="00DA0696"/>
    <w:rsid w:val="00DA0E53"/>
    <w:rsid w:val="00DA10EA"/>
    <w:rsid w:val="00DA1290"/>
    <w:rsid w:val="00DA1412"/>
    <w:rsid w:val="00DA20E1"/>
    <w:rsid w:val="00DA229B"/>
    <w:rsid w:val="00DA2A6B"/>
    <w:rsid w:val="00DA3020"/>
    <w:rsid w:val="00DA3DCB"/>
    <w:rsid w:val="00DA43E7"/>
    <w:rsid w:val="00DA4C3F"/>
    <w:rsid w:val="00DA4FE1"/>
    <w:rsid w:val="00DA504F"/>
    <w:rsid w:val="00DA538B"/>
    <w:rsid w:val="00DA5B06"/>
    <w:rsid w:val="00DA5D5B"/>
    <w:rsid w:val="00DA5DD1"/>
    <w:rsid w:val="00DA64A0"/>
    <w:rsid w:val="00DA69A1"/>
    <w:rsid w:val="00DA6CC0"/>
    <w:rsid w:val="00DA733F"/>
    <w:rsid w:val="00DA7E4D"/>
    <w:rsid w:val="00DB178A"/>
    <w:rsid w:val="00DB19E5"/>
    <w:rsid w:val="00DB1C99"/>
    <w:rsid w:val="00DB1FB1"/>
    <w:rsid w:val="00DB294B"/>
    <w:rsid w:val="00DB298B"/>
    <w:rsid w:val="00DB3AD9"/>
    <w:rsid w:val="00DB3F94"/>
    <w:rsid w:val="00DB4CDD"/>
    <w:rsid w:val="00DB4ECA"/>
    <w:rsid w:val="00DB5078"/>
    <w:rsid w:val="00DB5477"/>
    <w:rsid w:val="00DB5E68"/>
    <w:rsid w:val="00DB6AF8"/>
    <w:rsid w:val="00DB7176"/>
    <w:rsid w:val="00DB7218"/>
    <w:rsid w:val="00DB7D91"/>
    <w:rsid w:val="00DC0337"/>
    <w:rsid w:val="00DC059C"/>
    <w:rsid w:val="00DC1418"/>
    <w:rsid w:val="00DC2F01"/>
    <w:rsid w:val="00DC49BA"/>
    <w:rsid w:val="00DC4A93"/>
    <w:rsid w:val="00DC4D32"/>
    <w:rsid w:val="00DC5BDF"/>
    <w:rsid w:val="00DC72F7"/>
    <w:rsid w:val="00DC7F4A"/>
    <w:rsid w:val="00DD055D"/>
    <w:rsid w:val="00DD0907"/>
    <w:rsid w:val="00DD0AB3"/>
    <w:rsid w:val="00DD11CD"/>
    <w:rsid w:val="00DD253A"/>
    <w:rsid w:val="00DD2D6D"/>
    <w:rsid w:val="00DD3AC0"/>
    <w:rsid w:val="00DD3B0D"/>
    <w:rsid w:val="00DD4347"/>
    <w:rsid w:val="00DD4692"/>
    <w:rsid w:val="00DD46F0"/>
    <w:rsid w:val="00DD609C"/>
    <w:rsid w:val="00DD6114"/>
    <w:rsid w:val="00DD6B34"/>
    <w:rsid w:val="00DD6DEE"/>
    <w:rsid w:val="00DD7072"/>
    <w:rsid w:val="00DD7B44"/>
    <w:rsid w:val="00DD7EFD"/>
    <w:rsid w:val="00DE02A9"/>
    <w:rsid w:val="00DE04BB"/>
    <w:rsid w:val="00DE08EB"/>
    <w:rsid w:val="00DE0F78"/>
    <w:rsid w:val="00DE0FBA"/>
    <w:rsid w:val="00DE147D"/>
    <w:rsid w:val="00DE2673"/>
    <w:rsid w:val="00DE279A"/>
    <w:rsid w:val="00DE34C3"/>
    <w:rsid w:val="00DE39BA"/>
    <w:rsid w:val="00DE3C50"/>
    <w:rsid w:val="00DE40A3"/>
    <w:rsid w:val="00DE4D3C"/>
    <w:rsid w:val="00DE57EF"/>
    <w:rsid w:val="00DF10DD"/>
    <w:rsid w:val="00DF270E"/>
    <w:rsid w:val="00DF2DE6"/>
    <w:rsid w:val="00DF434E"/>
    <w:rsid w:val="00DF7050"/>
    <w:rsid w:val="00E004E7"/>
    <w:rsid w:val="00E016F2"/>
    <w:rsid w:val="00E01C30"/>
    <w:rsid w:val="00E0206D"/>
    <w:rsid w:val="00E02457"/>
    <w:rsid w:val="00E0267C"/>
    <w:rsid w:val="00E030FE"/>
    <w:rsid w:val="00E03E67"/>
    <w:rsid w:val="00E04432"/>
    <w:rsid w:val="00E04A6F"/>
    <w:rsid w:val="00E05CF2"/>
    <w:rsid w:val="00E069DA"/>
    <w:rsid w:val="00E06F2A"/>
    <w:rsid w:val="00E071EF"/>
    <w:rsid w:val="00E073E9"/>
    <w:rsid w:val="00E0791C"/>
    <w:rsid w:val="00E10558"/>
    <w:rsid w:val="00E105B7"/>
    <w:rsid w:val="00E11DA9"/>
    <w:rsid w:val="00E13874"/>
    <w:rsid w:val="00E13D1D"/>
    <w:rsid w:val="00E15C71"/>
    <w:rsid w:val="00E16215"/>
    <w:rsid w:val="00E1648F"/>
    <w:rsid w:val="00E166A9"/>
    <w:rsid w:val="00E220E6"/>
    <w:rsid w:val="00E22B04"/>
    <w:rsid w:val="00E231AD"/>
    <w:rsid w:val="00E23445"/>
    <w:rsid w:val="00E2344B"/>
    <w:rsid w:val="00E23C54"/>
    <w:rsid w:val="00E24513"/>
    <w:rsid w:val="00E24F1E"/>
    <w:rsid w:val="00E26B13"/>
    <w:rsid w:val="00E277AA"/>
    <w:rsid w:val="00E300F2"/>
    <w:rsid w:val="00E30858"/>
    <w:rsid w:val="00E308CA"/>
    <w:rsid w:val="00E30A1B"/>
    <w:rsid w:val="00E312A1"/>
    <w:rsid w:val="00E32CDD"/>
    <w:rsid w:val="00E333D9"/>
    <w:rsid w:val="00E334CE"/>
    <w:rsid w:val="00E3433E"/>
    <w:rsid w:val="00E35662"/>
    <w:rsid w:val="00E35962"/>
    <w:rsid w:val="00E371FB"/>
    <w:rsid w:val="00E377E6"/>
    <w:rsid w:val="00E37E2F"/>
    <w:rsid w:val="00E4006A"/>
    <w:rsid w:val="00E40375"/>
    <w:rsid w:val="00E40EB1"/>
    <w:rsid w:val="00E4179A"/>
    <w:rsid w:val="00E419D0"/>
    <w:rsid w:val="00E4220C"/>
    <w:rsid w:val="00E4221D"/>
    <w:rsid w:val="00E42E03"/>
    <w:rsid w:val="00E44466"/>
    <w:rsid w:val="00E4542E"/>
    <w:rsid w:val="00E4570A"/>
    <w:rsid w:val="00E45DC8"/>
    <w:rsid w:val="00E45DFC"/>
    <w:rsid w:val="00E46038"/>
    <w:rsid w:val="00E462D4"/>
    <w:rsid w:val="00E46B06"/>
    <w:rsid w:val="00E50238"/>
    <w:rsid w:val="00E51904"/>
    <w:rsid w:val="00E51ABE"/>
    <w:rsid w:val="00E52515"/>
    <w:rsid w:val="00E547D0"/>
    <w:rsid w:val="00E54CDC"/>
    <w:rsid w:val="00E55C73"/>
    <w:rsid w:val="00E55F54"/>
    <w:rsid w:val="00E561BA"/>
    <w:rsid w:val="00E5698C"/>
    <w:rsid w:val="00E56E48"/>
    <w:rsid w:val="00E5722C"/>
    <w:rsid w:val="00E57DEF"/>
    <w:rsid w:val="00E60966"/>
    <w:rsid w:val="00E60FC7"/>
    <w:rsid w:val="00E61A68"/>
    <w:rsid w:val="00E63936"/>
    <w:rsid w:val="00E648C7"/>
    <w:rsid w:val="00E65531"/>
    <w:rsid w:val="00E6578D"/>
    <w:rsid w:val="00E66888"/>
    <w:rsid w:val="00E668C5"/>
    <w:rsid w:val="00E66FF4"/>
    <w:rsid w:val="00E67363"/>
    <w:rsid w:val="00E67CF2"/>
    <w:rsid w:val="00E70F60"/>
    <w:rsid w:val="00E724B6"/>
    <w:rsid w:val="00E728A4"/>
    <w:rsid w:val="00E729A2"/>
    <w:rsid w:val="00E72E31"/>
    <w:rsid w:val="00E7481C"/>
    <w:rsid w:val="00E76D65"/>
    <w:rsid w:val="00E771FF"/>
    <w:rsid w:val="00E779FE"/>
    <w:rsid w:val="00E80D52"/>
    <w:rsid w:val="00E81F7F"/>
    <w:rsid w:val="00E82905"/>
    <w:rsid w:val="00E8375F"/>
    <w:rsid w:val="00E83956"/>
    <w:rsid w:val="00E83D17"/>
    <w:rsid w:val="00E83DDD"/>
    <w:rsid w:val="00E84A06"/>
    <w:rsid w:val="00E8527F"/>
    <w:rsid w:val="00E85391"/>
    <w:rsid w:val="00E8554B"/>
    <w:rsid w:val="00E85F4A"/>
    <w:rsid w:val="00E86870"/>
    <w:rsid w:val="00E87059"/>
    <w:rsid w:val="00E87537"/>
    <w:rsid w:val="00E876BF"/>
    <w:rsid w:val="00E87A7B"/>
    <w:rsid w:val="00E901FA"/>
    <w:rsid w:val="00E90E9A"/>
    <w:rsid w:val="00E916EE"/>
    <w:rsid w:val="00E92759"/>
    <w:rsid w:val="00E92F5D"/>
    <w:rsid w:val="00E9352E"/>
    <w:rsid w:val="00E9406B"/>
    <w:rsid w:val="00E95318"/>
    <w:rsid w:val="00E9541C"/>
    <w:rsid w:val="00E95680"/>
    <w:rsid w:val="00E96292"/>
    <w:rsid w:val="00E96432"/>
    <w:rsid w:val="00E9687B"/>
    <w:rsid w:val="00E97536"/>
    <w:rsid w:val="00E97FF7"/>
    <w:rsid w:val="00EA0480"/>
    <w:rsid w:val="00EA18EE"/>
    <w:rsid w:val="00EA2849"/>
    <w:rsid w:val="00EA2912"/>
    <w:rsid w:val="00EA2918"/>
    <w:rsid w:val="00EA3279"/>
    <w:rsid w:val="00EA3F1C"/>
    <w:rsid w:val="00EA4540"/>
    <w:rsid w:val="00EA4927"/>
    <w:rsid w:val="00EA4E08"/>
    <w:rsid w:val="00EA67FA"/>
    <w:rsid w:val="00EB084C"/>
    <w:rsid w:val="00EB0A61"/>
    <w:rsid w:val="00EB1111"/>
    <w:rsid w:val="00EB146B"/>
    <w:rsid w:val="00EB1D3E"/>
    <w:rsid w:val="00EB2B4A"/>
    <w:rsid w:val="00EB4632"/>
    <w:rsid w:val="00EB53F5"/>
    <w:rsid w:val="00EB5689"/>
    <w:rsid w:val="00EB6077"/>
    <w:rsid w:val="00EB6A36"/>
    <w:rsid w:val="00EB6A7D"/>
    <w:rsid w:val="00EB6B10"/>
    <w:rsid w:val="00EB75CD"/>
    <w:rsid w:val="00EC07A4"/>
    <w:rsid w:val="00EC08A5"/>
    <w:rsid w:val="00EC13CA"/>
    <w:rsid w:val="00EC142A"/>
    <w:rsid w:val="00EC17A5"/>
    <w:rsid w:val="00EC1CE1"/>
    <w:rsid w:val="00EC2829"/>
    <w:rsid w:val="00EC3266"/>
    <w:rsid w:val="00EC39D5"/>
    <w:rsid w:val="00EC3A63"/>
    <w:rsid w:val="00EC44FC"/>
    <w:rsid w:val="00EC48B6"/>
    <w:rsid w:val="00EC5888"/>
    <w:rsid w:val="00EC5E9E"/>
    <w:rsid w:val="00EC6ECA"/>
    <w:rsid w:val="00EC76A4"/>
    <w:rsid w:val="00EC7C37"/>
    <w:rsid w:val="00EC7F59"/>
    <w:rsid w:val="00ED086F"/>
    <w:rsid w:val="00ED1257"/>
    <w:rsid w:val="00ED1E6F"/>
    <w:rsid w:val="00ED21E3"/>
    <w:rsid w:val="00ED2D11"/>
    <w:rsid w:val="00ED2D73"/>
    <w:rsid w:val="00ED31BC"/>
    <w:rsid w:val="00ED45B3"/>
    <w:rsid w:val="00ED5668"/>
    <w:rsid w:val="00ED6F5D"/>
    <w:rsid w:val="00ED706A"/>
    <w:rsid w:val="00ED7F7A"/>
    <w:rsid w:val="00EE05AF"/>
    <w:rsid w:val="00EE197A"/>
    <w:rsid w:val="00EE2E2E"/>
    <w:rsid w:val="00EE2F03"/>
    <w:rsid w:val="00EE3499"/>
    <w:rsid w:val="00EE45CE"/>
    <w:rsid w:val="00EE4D4C"/>
    <w:rsid w:val="00EE4DEC"/>
    <w:rsid w:val="00EE502C"/>
    <w:rsid w:val="00EE51BE"/>
    <w:rsid w:val="00EE615D"/>
    <w:rsid w:val="00EE7210"/>
    <w:rsid w:val="00EE7436"/>
    <w:rsid w:val="00EF00C9"/>
    <w:rsid w:val="00EF0568"/>
    <w:rsid w:val="00EF0AB9"/>
    <w:rsid w:val="00EF0F51"/>
    <w:rsid w:val="00EF121A"/>
    <w:rsid w:val="00EF17B2"/>
    <w:rsid w:val="00EF2D21"/>
    <w:rsid w:val="00EF3D89"/>
    <w:rsid w:val="00EF4E43"/>
    <w:rsid w:val="00EF52D8"/>
    <w:rsid w:val="00EF65BE"/>
    <w:rsid w:val="00EF6BFB"/>
    <w:rsid w:val="00EF6F86"/>
    <w:rsid w:val="00EF7CFD"/>
    <w:rsid w:val="00EF7D5E"/>
    <w:rsid w:val="00F001B5"/>
    <w:rsid w:val="00F00CD2"/>
    <w:rsid w:val="00F01D55"/>
    <w:rsid w:val="00F02485"/>
    <w:rsid w:val="00F02E4B"/>
    <w:rsid w:val="00F0360B"/>
    <w:rsid w:val="00F03B8B"/>
    <w:rsid w:val="00F053D3"/>
    <w:rsid w:val="00F05CBA"/>
    <w:rsid w:val="00F05DAF"/>
    <w:rsid w:val="00F05DBB"/>
    <w:rsid w:val="00F06081"/>
    <w:rsid w:val="00F06116"/>
    <w:rsid w:val="00F06851"/>
    <w:rsid w:val="00F100D0"/>
    <w:rsid w:val="00F10326"/>
    <w:rsid w:val="00F10AE1"/>
    <w:rsid w:val="00F1136E"/>
    <w:rsid w:val="00F117CD"/>
    <w:rsid w:val="00F117D7"/>
    <w:rsid w:val="00F11B6D"/>
    <w:rsid w:val="00F12111"/>
    <w:rsid w:val="00F12347"/>
    <w:rsid w:val="00F1248B"/>
    <w:rsid w:val="00F12E6D"/>
    <w:rsid w:val="00F1354C"/>
    <w:rsid w:val="00F13A8D"/>
    <w:rsid w:val="00F140CD"/>
    <w:rsid w:val="00F141A0"/>
    <w:rsid w:val="00F14468"/>
    <w:rsid w:val="00F14E69"/>
    <w:rsid w:val="00F152CC"/>
    <w:rsid w:val="00F15504"/>
    <w:rsid w:val="00F15792"/>
    <w:rsid w:val="00F15965"/>
    <w:rsid w:val="00F15BBB"/>
    <w:rsid w:val="00F16473"/>
    <w:rsid w:val="00F166E5"/>
    <w:rsid w:val="00F16976"/>
    <w:rsid w:val="00F16FF8"/>
    <w:rsid w:val="00F1735A"/>
    <w:rsid w:val="00F17B2F"/>
    <w:rsid w:val="00F17E04"/>
    <w:rsid w:val="00F20CD9"/>
    <w:rsid w:val="00F20E5F"/>
    <w:rsid w:val="00F21BDA"/>
    <w:rsid w:val="00F223CE"/>
    <w:rsid w:val="00F25370"/>
    <w:rsid w:val="00F25836"/>
    <w:rsid w:val="00F268A4"/>
    <w:rsid w:val="00F275DE"/>
    <w:rsid w:val="00F27A7A"/>
    <w:rsid w:val="00F303E6"/>
    <w:rsid w:val="00F31B2C"/>
    <w:rsid w:val="00F3226A"/>
    <w:rsid w:val="00F33231"/>
    <w:rsid w:val="00F33A49"/>
    <w:rsid w:val="00F33B23"/>
    <w:rsid w:val="00F33C41"/>
    <w:rsid w:val="00F34873"/>
    <w:rsid w:val="00F34941"/>
    <w:rsid w:val="00F34AE1"/>
    <w:rsid w:val="00F35742"/>
    <w:rsid w:val="00F36ABE"/>
    <w:rsid w:val="00F37014"/>
    <w:rsid w:val="00F37036"/>
    <w:rsid w:val="00F3759C"/>
    <w:rsid w:val="00F37E52"/>
    <w:rsid w:val="00F40A12"/>
    <w:rsid w:val="00F40D5A"/>
    <w:rsid w:val="00F414CE"/>
    <w:rsid w:val="00F41700"/>
    <w:rsid w:val="00F42CB2"/>
    <w:rsid w:val="00F43B09"/>
    <w:rsid w:val="00F446F2"/>
    <w:rsid w:val="00F44A60"/>
    <w:rsid w:val="00F45D2C"/>
    <w:rsid w:val="00F45DDB"/>
    <w:rsid w:val="00F46804"/>
    <w:rsid w:val="00F46813"/>
    <w:rsid w:val="00F471BB"/>
    <w:rsid w:val="00F474A5"/>
    <w:rsid w:val="00F47903"/>
    <w:rsid w:val="00F47A9B"/>
    <w:rsid w:val="00F50687"/>
    <w:rsid w:val="00F50DE1"/>
    <w:rsid w:val="00F514FE"/>
    <w:rsid w:val="00F5177C"/>
    <w:rsid w:val="00F51CAE"/>
    <w:rsid w:val="00F5212B"/>
    <w:rsid w:val="00F5235C"/>
    <w:rsid w:val="00F5262A"/>
    <w:rsid w:val="00F52AF0"/>
    <w:rsid w:val="00F52BFE"/>
    <w:rsid w:val="00F54262"/>
    <w:rsid w:val="00F545E2"/>
    <w:rsid w:val="00F54AAC"/>
    <w:rsid w:val="00F5557B"/>
    <w:rsid w:val="00F55C99"/>
    <w:rsid w:val="00F55D48"/>
    <w:rsid w:val="00F56098"/>
    <w:rsid w:val="00F5631C"/>
    <w:rsid w:val="00F56356"/>
    <w:rsid w:val="00F57233"/>
    <w:rsid w:val="00F57849"/>
    <w:rsid w:val="00F57B15"/>
    <w:rsid w:val="00F57DD8"/>
    <w:rsid w:val="00F61265"/>
    <w:rsid w:val="00F61E6D"/>
    <w:rsid w:val="00F61ED9"/>
    <w:rsid w:val="00F6203E"/>
    <w:rsid w:val="00F62284"/>
    <w:rsid w:val="00F6286D"/>
    <w:rsid w:val="00F62BE5"/>
    <w:rsid w:val="00F6358F"/>
    <w:rsid w:val="00F6452A"/>
    <w:rsid w:val="00F64FA7"/>
    <w:rsid w:val="00F65F7A"/>
    <w:rsid w:val="00F66258"/>
    <w:rsid w:val="00F66C56"/>
    <w:rsid w:val="00F6708F"/>
    <w:rsid w:val="00F701E8"/>
    <w:rsid w:val="00F704E8"/>
    <w:rsid w:val="00F70A6B"/>
    <w:rsid w:val="00F71854"/>
    <w:rsid w:val="00F72703"/>
    <w:rsid w:val="00F731C4"/>
    <w:rsid w:val="00F7512D"/>
    <w:rsid w:val="00F76C7E"/>
    <w:rsid w:val="00F8016E"/>
    <w:rsid w:val="00F80746"/>
    <w:rsid w:val="00F82121"/>
    <w:rsid w:val="00F82650"/>
    <w:rsid w:val="00F828E4"/>
    <w:rsid w:val="00F82EA7"/>
    <w:rsid w:val="00F8357A"/>
    <w:rsid w:val="00F83DD8"/>
    <w:rsid w:val="00F86ADB"/>
    <w:rsid w:val="00F86E9F"/>
    <w:rsid w:val="00F90BA9"/>
    <w:rsid w:val="00F90E96"/>
    <w:rsid w:val="00F9151E"/>
    <w:rsid w:val="00F9177E"/>
    <w:rsid w:val="00F92405"/>
    <w:rsid w:val="00F95D4D"/>
    <w:rsid w:val="00F970E6"/>
    <w:rsid w:val="00F97E88"/>
    <w:rsid w:val="00FA0277"/>
    <w:rsid w:val="00FA147B"/>
    <w:rsid w:val="00FA19CA"/>
    <w:rsid w:val="00FA1E6F"/>
    <w:rsid w:val="00FA1EED"/>
    <w:rsid w:val="00FA1FDD"/>
    <w:rsid w:val="00FA22E6"/>
    <w:rsid w:val="00FA2899"/>
    <w:rsid w:val="00FA361B"/>
    <w:rsid w:val="00FA396B"/>
    <w:rsid w:val="00FA3A73"/>
    <w:rsid w:val="00FA3FFD"/>
    <w:rsid w:val="00FA4455"/>
    <w:rsid w:val="00FA456E"/>
    <w:rsid w:val="00FA49A4"/>
    <w:rsid w:val="00FA5AC2"/>
    <w:rsid w:val="00FA6705"/>
    <w:rsid w:val="00FA6D2C"/>
    <w:rsid w:val="00FA6E29"/>
    <w:rsid w:val="00FB0084"/>
    <w:rsid w:val="00FB06EA"/>
    <w:rsid w:val="00FB076E"/>
    <w:rsid w:val="00FB0790"/>
    <w:rsid w:val="00FB14A0"/>
    <w:rsid w:val="00FB1B5F"/>
    <w:rsid w:val="00FB1BE4"/>
    <w:rsid w:val="00FB3670"/>
    <w:rsid w:val="00FB3A51"/>
    <w:rsid w:val="00FB4386"/>
    <w:rsid w:val="00FB50A7"/>
    <w:rsid w:val="00FB53E0"/>
    <w:rsid w:val="00FC1954"/>
    <w:rsid w:val="00FC1B37"/>
    <w:rsid w:val="00FC1DD9"/>
    <w:rsid w:val="00FC241F"/>
    <w:rsid w:val="00FC3131"/>
    <w:rsid w:val="00FC3399"/>
    <w:rsid w:val="00FC363F"/>
    <w:rsid w:val="00FC3CBA"/>
    <w:rsid w:val="00FC499C"/>
    <w:rsid w:val="00FC4CEF"/>
    <w:rsid w:val="00FC5DA8"/>
    <w:rsid w:val="00FC5DF5"/>
    <w:rsid w:val="00FC60F4"/>
    <w:rsid w:val="00FC691A"/>
    <w:rsid w:val="00FC7C56"/>
    <w:rsid w:val="00FD021B"/>
    <w:rsid w:val="00FD0773"/>
    <w:rsid w:val="00FD13AF"/>
    <w:rsid w:val="00FD221B"/>
    <w:rsid w:val="00FD2C91"/>
    <w:rsid w:val="00FD30A3"/>
    <w:rsid w:val="00FD344E"/>
    <w:rsid w:val="00FD385C"/>
    <w:rsid w:val="00FD3D1E"/>
    <w:rsid w:val="00FD49F8"/>
    <w:rsid w:val="00FD4A58"/>
    <w:rsid w:val="00FD59AB"/>
    <w:rsid w:val="00FD6733"/>
    <w:rsid w:val="00FD697A"/>
    <w:rsid w:val="00FD789E"/>
    <w:rsid w:val="00FE1B56"/>
    <w:rsid w:val="00FE2680"/>
    <w:rsid w:val="00FE34B1"/>
    <w:rsid w:val="00FE3654"/>
    <w:rsid w:val="00FE4555"/>
    <w:rsid w:val="00FE4E64"/>
    <w:rsid w:val="00FE5277"/>
    <w:rsid w:val="00FE5FC8"/>
    <w:rsid w:val="00FE737A"/>
    <w:rsid w:val="00FE73D0"/>
    <w:rsid w:val="00FE7A3B"/>
    <w:rsid w:val="00FE7B16"/>
    <w:rsid w:val="00FF0336"/>
    <w:rsid w:val="00FF04C7"/>
    <w:rsid w:val="00FF099F"/>
    <w:rsid w:val="00FF0E8E"/>
    <w:rsid w:val="00FF11B1"/>
    <w:rsid w:val="00FF3018"/>
    <w:rsid w:val="00FF43C0"/>
    <w:rsid w:val="00FF490D"/>
    <w:rsid w:val="00FF4911"/>
    <w:rsid w:val="00FF4C73"/>
    <w:rsid w:val="00FF570E"/>
    <w:rsid w:val="00FF5BE7"/>
    <w:rsid w:val="00FF5CBF"/>
    <w:rsid w:val="00FF6797"/>
    <w:rsid w:val="00FF7320"/>
    <w:rsid w:val="00FF76FD"/>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C0634"/>
  <w15:docId w15:val="{F7867283-966E-41F0-A98E-79333C84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03E"/>
    <w:rPr>
      <w:sz w:val="24"/>
      <w:szCs w:val="24"/>
      <w:lang w:val="en-US" w:eastAsia="en-US"/>
    </w:rPr>
  </w:style>
  <w:style w:type="paragraph" w:styleId="Heading1">
    <w:name w:val="heading 1"/>
    <w:basedOn w:val="Normal"/>
    <w:next w:val="Normal"/>
    <w:link w:val="Heading1Char"/>
    <w:qFormat/>
    <w:rsid w:val="00257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0274"/>
    <w:pPr>
      <w:outlineLvl w:val="1"/>
    </w:pPr>
    <w:rPr>
      <w:b/>
      <w:bCs/>
      <w:color w:val="303030"/>
      <w:sz w:val="15"/>
      <w:szCs w:val="15"/>
      <w:lang w:val="en-GB" w:eastAsia="en-GB"/>
    </w:rPr>
  </w:style>
  <w:style w:type="paragraph" w:styleId="Heading3">
    <w:name w:val="heading 3"/>
    <w:basedOn w:val="Normal"/>
    <w:next w:val="Normal"/>
    <w:link w:val="Heading3Char"/>
    <w:semiHidden/>
    <w:unhideWhenUsed/>
    <w:qFormat/>
    <w:rsid w:val="000E68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4570"/>
    <w:rPr>
      <w:color w:val="0000FF"/>
      <w:u w:val="single"/>
    </w:rPr>
  </w:style>
  <w:style w:type="paragraph" w:styleId="FootnoteText">
    <w:name w:val="footnote text"/>
    <w:basedOn w:val="Normal"/>
    <w:link w:val="FootnoteTextChar"/>
    <w:semiHidden/>
    <w:rsid w:val="00E5722C"/>
    <w:rPr>
      <w:sz w:val="20"/>
      <w:szCs w:val="20"/>
    </w:rPr>
  </w:style>
  <w:style w:type="character" w:styleId="FootnoteReference">
    <w:name w:val="footnote reference"/>
    <w:basedOn w:val="DefaultParagraphFont"/>
    <w:semiHidden/>
    <w:rsid w:val="00E5722C"/>
    <w:rPr>
      <w:vertAlign w:val="superscript"/>
    </w:rPr>
  </w:style>
  <w:style w:type="table" w:styleId="TableGrid">
    <w:name w:val="Table Grid"/>
    <w:basedOn w:val="TableNormal"/>
    <w:rsid w:val="009F3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B1A7D"/>
    <w:pPr>
      <w:spacing w:before="100" w:beforeAutospacing="1" w:after="100" w:afterAutospacing="1"/>
    </w:pPr>
  </w:style>
  <w:style w:type="character" w:styleId="Strong">
    <w:name w:val="Strong"/>
    <w:basedOn w:val="DefaultParagraphFont"/>
    <w:qFormat/>
    <w:rsid w:val="0070057E"/>
    <w:rPr>
      <w:b/>
      <w:bCs/>
    </w:rPr>
  </w:style>
  <w:style w:type="paragraph" w:styleId="BalloonText">
    <w:name w:val="Balloon Text"/>
    <w:basedOn w:val="Normal"/>
    <w:link w:val="BalloonTextChar"/>
    <w:rsid w:val="00AC64E8"/>
    <w:rPr>
      <w:rFonts w:ascii="Tahoma" w:hAnsi="Tahoma" w:cs="Tahoma"/>
      <w:sz w:val="16"/>
      <w:szCs w:val="16"/>
    </w:rPr>
  </w:style>
  <w:style w:type="character" w:customStyle="1" w:styleId="BalloonTextChar">
    <w:name w:val="Balloon Text Char"/>
    <w:basedOn w:val="DefaultParagraphFont"/>
    <w:link w:val="BalloonText"/>
    <w:rsid w:val="00AC64E8"/>
    <w:rPr>
      <w:rFonts w:ascii="Tahoma" w:hAnsi="Tahoma" w:cs="Tahoma"/>
      <w:sz w:val="16"/>
      <w:szCs w:val="16"/>
      <w:lang w:val="en-US" w:eastAsia="en-US"/>
    </w:rPr>
  </w:style>
  <w:style w:type="paragraph" w:styleId="ListParagraph">
    <w:name w:val="List Paragraph"/>
    <w:basedOn w:val="Normal"/>
    <w:uiPriority w:val="34"/>
    <w:qFormat/>
    <w:rsid w:val="009371BD"/>
    <w:pPr>
      <w:ind w:left="720"/>
      <w:contextualSpacing/>
    </w:pPr>
  </w:style>
  <w:style w:type="character" w:customStyle="1" w:styleId="FootnoteTextChar">
    <w:name w:val="Footnote Text Char"/>
    <w:basedOn w:val="DefaultParagraphFont"/>
    <w:link w:val="FootnoteText"/>
    <w:semiHidden/>
    <w:rsid w:val="00314F51"/>
    <w:rPr>
      <w:lang w:val="en-US" w:eastAsia="en-US"/>
    </w:rPr>
  </w:style>
  <w:style w:type="character" w:customStyle="1" w:styleId="Heading2Char">
    <w:name w:val="Heading 2 Char"/>
    <w:basedOn w:val="DefaultParagraphFont"/>
    <w:link w:val="Heading2"/>
    <w:uiPriority w:val="9"/>
    <w:rsid w:val="00010274"/>
    <w:rPr>
      <w:b/>
      <w:bCs/>
      <w:color w:val="303030"/>
      <w:sz w:val="15"/>
      <w:szCs w:val="15"/>
    </w:rPr>
  </w:style>
  <w:style w:type="paragraph" w:styleId="Header">
    <w:name w:val="header"/>
    <w:basedOn w:val="Normal"/>
    <w:link w:val="HeaderChar"/>
    <w:rsid w:val="00143140"/>
    <w:pPr>
      <w:tabs>
        <w:tab w:val="center" w:pos="4513"/>
        <w:tab w:val="right" w:pos="9026"/>
      </w:tabs>
    </w:pPr>
  </w:style>
  <w:style w:type="character" w:customStyle="1" w:styleId="HeaderChar">
    <w:name w:val="Header Char"/>
    <w:basedOn w:val="DefaultParagraphFont"/>
    <w:link w:val="Header"/>
    <w:rsid w:val="00143140"/>
    <w:rPr>
      <w:sz w:val="24"/>
      <w:szCs w:val="24"/>
      <w:lang w:val="en-US" w:eastAsia="en-US"/>
    </w:rPr>
  </w:style>
  <w:style w:type="paragraph" w:styleId="Footer">
    <w:name w:val="footer"/>
    <w:basedOn w:val="Normal"/>
    <w:link w:val="FooterChar"/>
    <w:rsid w:val="00143140"/>
    <w:pPr>
      <w:tabs>
        <w:tab w:val="center" w:pos="4513"/>
        <w:tab w:val="right" w:pos="9026"/>
      </w:tabs>
    </w:pPr>
  </w:style>
  <w:style w:type="character" w:customStyle="1" w:styleId="FooterChar">
    <w:name w:val="Footer Char"/>
    <w:basedOn w:val="DefaultParagraphFont"/>
    <w:link w:val="Footer"/>
    <w:rsid w:val="00143140"/>
    <w:rPr>
      <w:sz w:val="24"/>
      <w:szCs w:val="24"/>
      <w:lang w:val="en-US" w:eastAsia="en-US"/>
    </w:rPr>
  </w:style>
  <w:style w:type="paragraph" w:styleId="EndnoteText">
    <w:name w:val="endnote text"/>
    <w:basedOn w:val="Normal"/>
    <w:link w:val="EndnoteTextChar"/>
    <w:unhideWhenUsed/>
    <w:rsid w:val="008567A9"/>
    <w:rPr>
      <w:sz w:val="20"/>
      <w:szCs w:val="20"/>
    </w:rPr>
  </w:style>
  <w:style w:type="character" w:customStyle="1" w:styleId="EndnoteTextChar">
    <w:name w:val="Endnote Text Char"/>
    <w:basedOn w:val="DefaultParagraphFont"/>
    <w:link w:val="EndnoteText"/>
    <w:rsid w:val="008567A9"/>
    <w:rPr>
      <w:lang w:val="en-US" w:eastAsia="en-US"/>
    </w:rPr>
  </w:style>
  <w:style w:type="character" w:styleId="EndnoteReference">
    <w:name w:val="endnote reference"/>
    <w:basedOn w:val="DefaultParagraphFont"/>
    <w:semiHidden/>
    <w:unhideWhenUsed/>
    <w:rsid w:val="008567A9"/>
    <w:rPr>
      <w:vertAlign w:val="superscript"/>
    </w:rPr>
  </w:style>
  <w:style w:type="character" w:customStyle="1" w:styleId="Heading1Char">
    <w:name w:val="Heading 1 Char"/>
    <w:basedOn w:val="DefaultParagraphFont"/>
    <w:link w:val="Heading1"/>
    <w:rsid w:val="00257794"/>
    <w:rPr>
      <w:rFonts w:asciiTheme="majorHAnsi" w:eastAsiaTheme="majorEastAsia" w:hAnsiTheme="majorHAnsi" w:cstheme="majorBidi"/>
      <w:b/>
      <w:bCs/>
      <w:color w:val="365F91" w:themeColor="accent1" w:themeShade="BF"/>
      <w:sz w:val="28"/>
      <w:szCs w:val="28"/>
      <w:lang w:val="en-US" w:eastAsia="en-US"/>
    </w:rPr>
  </w:style>
  <w:style w:type="character" w:styleId="CommentReference">
    <w:name w:val="annotation reference"/>
    <w:basedOn w:val="DefaultParagraphFont"/>
    <w:semiHidden/>
    <w:unhideWhenUsed/>
    <w:rsid w:val="006763BB"/>
    <w:rPr>
      <w:sz w:val="16"/>
      <w:szCs w:val="16"/>
    </w:rPr>
  </w:style>
  <w:style w:type="paragraph" w:styleId="CommentText">
    <w:name w:val="annotation text"/>
    <w:basedOn w:val="Normal"/>
    <w:link w:val="CommentTextChar"/>
    <w:semiHidden/>
    <w:unhideWhenUsed/>
    <w:rsid w:val="006763BB"/>
    <w:rPr>
      <w:sz w:val="20"/>
      <w:szCs w:val="20"/>
    </w:rPr>
  </w:style>
  <w:style w:type="character" w:customStyle="1" w:styleId="CommentTextChar">
    <w:name w:val="Comment Text Char"/>
    <w:basedOn w:val="DefaultParagraphFont"/>
    <w:link w:val="CommentText"/>
    <w:semiHidden/>
    <w:rsid w:val="006763BB"/>
    <w:rPr>
      <w:lang w:val="en-US" w:eastAsia="en-US"/>
    </w:rPr>
  </w:style>
  <w:style w:type="paragraph" w:styleId="CommentSubject">
    <w:name w:val="annotation subject"/>
    <w:basedOn w:val="CommentText"/>
    <w:next w:val="CommentText"/>
    <w:link w:val="CommentSubjectChar"/>
    <w:semiHidden/>
    <w:unhideWhenUsed/>
    <w:rsid w:val="006763BB"/>
    <w:rPr>
      <w:b/>
      <w:bCs/>
    </w:rPr>
  </w:style>
  <w:style w:type="character" w:customStyle="1" w:styleId="CommentSubjectChar">
    <w:name w:val="Comment Subject Char"/>
    <w:basedOn w:val="CommentTextChar"/>
    <w:link w:val="CommentSubject"/>
    <w:semiHidden/>
    <w:rsid w:val="006763BB"/>
    <w:rPr>
      <w:b/>
      <w:bCs/>
      <w:lang w:val="en-US" w:eastAsia="en-US"/>
    </w:rPr>
  </w:style>
  <w:style w:type="character" w:customStyle="1" w:styleId="apple-converted-space">
    <w:name w:val="apple-converted-space"/>
    <w:basedOn w:val="DefaultParagraphFont"/>
    <w:rsid w:val="00C75C40"/>
  </w:style>
  <w:style w:type="character" w:customStyle="1" w:styleId="pagesnum">
    <w:name w:val="pagesnum"/>
    <w:basedOn w:val="DefaultParagraphFont"/>
    <w:rsid w:val="006855EE"/>
  </w:style>
  <w:style w:type="character" w:customStyle="1" w:styleId="Heading3Char">
    <w:name w:val="Heading 3 Char"/>
    <w:basedOn w:val="DefaultParagraphFont"/>
    <w:link w:val="Heading3"/>
    <w:semiHidden/>
    <w:rsid w:val="000E6843"/>
    <w:rPr>
      <w:rFonts w:asciiTheme="majorHAnsi" w:eastAsiaTheme="majorEastAsia" w:hAnsiTheme="majorHAnsi" w:cstheme="majorBidi"/>
      <w:b/>
      <w:bCs/>
      <w:color w:val="4F81BD" w:themeColor="accent1"/>
      <w:sz w:val="24"/>
      <w:szCs w:val="24"/>
      <w:lang w:val="en-US" w:eastAsia="en-US"/>
    </w:rPr>
  </w:style>
  <w:style w:type="character" w:styleId="FollowedHyperlink">
    <w:name w:val="FollowedHyperlink"/>
    <w:basedOn w:val="DefaultParagraphFont"/>
    <w:semiHidden/>
    <w:unhideWhenUsed/>
    <w:rsid w:val="00E312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222">
      <w:bodyDiv w:val="1"/>
      <w:marLeft w:val="0"/>
      <w:marRight w:val="0"/>
      <w:marTop w:val="0"/>
      <w:marBottom w:val="0"/>
      <w:divBdr>
        <w:top w:val="none" w:sz="0" w:space="0" w:color="auto"/>
        <w:left w:val="none" w:sz="0" w:space="0" w:color="auto"/>
        <w:bottom w:val="none" w:sz="0" w:space="0" w:color="auto"/>
        <w:right w:val="none" w:sz="0" w:space="0" w:color="auto"/>
      </w:divBdr>
      <w:divsChild>
        <w:div w:id="787163733">
          <w:marLeft w:val="0"/>
          <w:marRight w:val="0"/>
          <w:marTop w:val="0"/>
          <w:marBottom w:val="0"/>
          <w:divBdr>
            <w:top w:val="none" w:sz="0" w:space="0" w:color="auto"/>
            <w:left w:val="none" w:sz="0" w:space="0" w:color="auto"/>
            <w:bottom w:val="none" w:sz="0" w:space="0" w:color="auto"/>
            <w:right w:val="none" w:sz="0" w:space="0" w:color="auto"/>
          </w:divBdr>
          <w:divsChild>
            <w:div w:id="12589809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476722248">
      <w:bodyDiv w:val="1"/>
      <w:marLeft w:val="0"/>
      <w:marRight w:val="0"/>
      <w:marTop w:val="0"/>
      <w:marBottom w:val="0"/>
      <w:divBdr>
        <w:top w:val="none" w:sz="0" w:space="0" w:color="auto"/>
        <w:left w:val="none" w:sz="0" w:space="0" w:color="auto"/>
        <w:bottom w:val="none" w:sz="0" w:space="0" w:color="auto"/>
        <w:right w:val="none" w:sz="0" w:space="0" w:color="auto"/>
      </w:divBdr>
    </w:div>
    <w:div w:id="589389065">
      <w:bodyDiv w:val="1"/>
      <w:marLeft w:val="0"/>
      <w:marRight w:val="0"/>
      <w:marTop w:val="0"/>
      <w:marBottom w:val="0"/>
      <w:divBdr>
        <w:top w:val="none" w:sz="0" w:space="0" w:color="auto"/>
        <w:left w:val="none" w:sz="0" w:space="0" w:color="auto"/>
        <w:bottom w:val="none" w:sz="0" w:space="0" w:color="auto"/>
        <w:right w:val="none" w:sz="0" w:space="0" w:color="auto"/>
      </w:divBdr>
      <w:divsChild>
        <w:div w:id="572279093">
          <w:marLeft w:val="0"/>
          <w:marRight w:val="0"/>
          <w:marTop w:val="0"/>
          <w:marBottom w:val="0"/>
          <w:divBdr>
            <w:top w:val="none" w:sz="0" w:space="0" w:color="auto"/>
            <w:left w:val="none" w:sz="0" w:space="0" w:color="auto"/>
            <w:bottom w:val="none" w:sz="0" w:space="0" w:color="auto"/>
            <w:right w:val="none" w:sz="0" w:space="0" w:color="auto"/>
          </w:divBdr>
          <w:divsChild>
            <w:div w:id="568223872">
              <w:marLeft w:val="0"/>
              <w:marRight w:val="0"/>
              <w:marTop w:val="0"/>
              <w:marBottom w:val="0"/>
              <w:divBdr>
                <w:top w:val="none" w:sz="0" w:space="0" w:color="auto"/>
                <w:left w:val="none" w:sz="0" w:space="0" w:color="auto"/>
                <w:bottom w:val="none" w:sz="0" w:space="0" w:color="auto"/>
                <w:right w:val="none" w:sz="0" w:space="0" w:color="auto"/>
              </w:divBdr>
              <w:divsChild>
                <w:div w:id="1208176500">
                  <w:marLeft w:val="0"/>
                  <w:marRight w:val="0"/>
                  <w:marTop w:val="0"/>
                  <w:marBottom w:val="0"/>
                  <w:divBdr>
                    <w:top w:val="none" w:sz="0" w:space="0" w:color="auto"/>
                    <w:left w:val="none" w:sz="0" w:space="0" w:color="auto"/>
                    <w:bottom w:val="none" w:sz="0" w:space="0" w:color="auto"/>
                    <w:right w:val="none" w:sz="0" w:space="0" w:color="auto"/>
                  </w:divBdr>
                  <w:divsChild>
                    <w:div w:id="1698660132">
                      <w:marLeft w:val="0"/>
                      <w:marRight w:val="0"/>
                      <w:marTop w:val="0"/>
                      <w:marBottom w:val="0"/>
                      <w:divBdr>
                        <w:top w:val="none" w:sz="0" w:space="0" w:color="auto"/>
                        <w:left w:val="none" w:sz="0" w:space="0" w:color="auto"/>
                        <w:bottom w:val="none" w:sz="0" w:space="0" w:color="auto"/>
                        <w:right w:val="none" w:sz="0" w:space="0" w:color="auto"/>
                      </w:divBdr>
                      <w:divsChild>
                        <w:div w:id="1516306767">
                          <w:marLeft w:val="0"/>
                          <w:marRight w:val="0"/>
                          <w:marTop w:val="0"/>
                          <w:marBottom w:val="0"/>
                          <w:divBdr>
                            <w:top w:val="none" w:sz="0" w:space="0" w:color="auto"/>
                            <w:left w:val="none" w:sz="0" w:space="0" w:color="auto"/>
                            <w:bottom w:val="none" w:sz="0" w:space="0" w:color="auto"/>
                            <w:right w:val="none" w:sz="0" w:space="0" w:color="auto"/>
                          </w:divBdr>
                          <w:divsChild>
                            <w:div w:id="2039964634">
                              <w:marLeft w:val="0"/>
                              <w:marRight w:val="0"/>
                              <w:marTop w:val="0"/>
                              <w:marBottom w:val="0"/>
                              <w:divBdr>
                                <w:top w:val="none" w:sz="0" w:space="0" w:color="auto"/>
                                <w:left w:val="none" w:sz="0" w:space="0" w:color="auto"/>
                                <w:bottom w:val="none" w:sz="0" w:space="0" w:color="auto"/>
                                <w:right w:val="none" w:sz="0" w:space="0" w:color="auto"/>
                              </w:divBdr>
                              <w:divsChild>
                                <w:div w:id="706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2055">
      <w:bodyDiv w:val="1"/>
      <w:marLeft w:val="0"/>
      <w:marRight w:val="0"/>
      <w:marTop w:val="0"/>
      <w:marBottom w:val="0"/>
      <w:divBdr>
        <w:top w:val="none" w:sz="0" w:space="0" w:color="auto"/>
        <w:left w:val="none" w:sz="0" w:space="0" w:color="auto"/>
        <w:bottom w:val="none" w:sz="0" w:space="0" w:color="auto"/>
        <w:right w:val="none" w:sz="0" w:space="0" w:color="auto"/>
      </w:divBdr>
    </w:div>
    <w:div w:id="627398116">
      <w:bodyDiv w:val="1"/>
      <w:marLeft w:val="0"/>
      <w:marRight w:val="0"/>
      <w:marTop w:val="0"/>
      <w:marBottom w:val="0"/>
      <w:divBdr>
        <w:top w:val="none" w:sz="0" w:space="0" w:color="auto"/>
        <w:left w:val="none" w:sz="0" w:space="0" w:color="auto"/>
        <w:bottom w:val="none" w:sz="0" w:space="0" w:color="auto"/>
        <w:right w:val="none" w:sz="0" w:space="0" w:color="auto"/>
      </w:divBdr>
      <w:divsChild>
        <w:div w:id="1555963863">
          <w:marLeft w:val="0"/>
          <w:marRight w:val="0"/>
          <w:marTop w:val="0"/>
          <w:marBottom w:val="0"/>
          <w:divBdr>
            <w:top w:val="none" w:sz="0" w:space="0" w:color="auto"/>
            <w:left w:val="none" w:sz="0" w:space="0" w:color="auto"/>
            <w:bottom w:val="none" w:sz="0" w:space="0" w:color="auto"/>
            <w:right w:val="none" w:sz="0" w:space="0" w:color="auto"/>
          </w:divBdr>
        </w:div>
        <w:div w:id="2047748837">
          <w:marLeft w:val="0"/>
          <w:marRight w:val="0"/>
          <w:marTop w:val="0"/>
          <w:marBottom w:val="0"/>
          <w:divBdr>
            <w:top w:val="none" w:sz="0" w:space="0" w:color="auto"/>
            <w:left w:val="none" w:sz="0" w:space="0" w:color="auto"/>
            <w:bottom w:val="none" w:sz="0" w:space="0" w:color="auto"/>
            <w:right w:val="none" w:sz="0" w:space="0" w:color="auto"/>
          </w:divBdr>
        </w:div>
      </w:divsChild>
    </w:div>
    <w:div w:id="676922903">
      <w:bodyDiv w:val="1"/>
      <w:marLeft w:val="0"/>
      <w:marRight w:val="0"/>
      <w:marTop w:val="0"/>
      <w:marBottom w:val="0"/>
      <w:divBdr>
        <w:top w:val="none" w:sz="0" w:space="0" w:color="auto"/>
        <w:left w:val="none" w:sz="0" w:space="0" w:color="auto"/>
        <w:bottom w:val="none" w:sz="0" w:space="0" w:color="auto"/>
        <w:right w:val="none" w:sz="0" w:space="0" w:color="auto"/>
      </w:divBdr>
      <w:divsChild>
        <w:div w:id="1737170707">
          <w:marLeft w:val="0"/>
          <w:marRight w:val="0"/>
          <w:marTop w:val="0"/>
          <w:marBottom w:val="120"/>
          <w:divBdr>
            <w:top w:val="none" w:sz="0" w:space="0" w:color="auto"/>
            <w:left w:val="none" w:sz="0" w:space="0" w:color="auto"/>
            <w:bottom w:val="none" w:sz="0" w:space="0" w:color="auto"/>
            <w:right w:val="none" w:sz="0" w:space="0" w:color="auto"/>
          </w:divBdr>
          <w:divsChild>
            <w:div w:id="2145199786">
              <w:marLeft w:val="0"/>
              <w:marRight w:val="0"/>
              <w:marTop w:val="0"/>
              <w:marBottom w:val="0"/>
              <w:divBdr>
                <w:top w:val="single" w:sz="6" w:space="16" w:color="414141"/>
                <w:left w:val="single" w:sz="6" w:space="18" w:color="414141"/>
                <w:bottom w:val="single" w:sz="6" w:space="0" w:color="414141"/>
                <w:right w:val="single" w:sz="6" w:space="31" w:color="414141"/>
              </w:divBdr>
              <w:divsChild>
                <w:div w:id="16270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97254">
          <w:marLeft w:val="0"/>
          <w:marRight w:val="0"/>
          <w:marTop w:val="0"/>
          <w:marBottom w:val="0"/>
          <w:divBdr>
            <w:top w:val="none" w:sz="0" w:space="0" w:color="auto"/>
            <w:left w:val="none" w:sz="0" w:space="0" w:color="auto"/>
            <w:bottom w:val="none" w:sz="0" w:space="0" w:color="auto"/>
            <w:right w:val="none" w:sz="0" w:space="0" w:color="auto"/>
          </w:divBdr>
        </w:div>
      </w:divsChild>
    </w:div>
    <w:div w:id="801508339">
      <w:bodyDiv w:val="1"/>
      <w:marLeft w:val="0"/>
      <w:marRight w:val="0"/>
      <w:marTop w:val="0"/>
      <w:marBottom w:val="0"/>
      <w:divBdr>
        <w:top w:val="none" w:sz="0" w:space="0" w:color="auto"/>
        <w:left w:val="none" w:sz="0" w:space="0" w:color="auto"/>
        <w:bottom w:val="none" w:sz="0" w:space="0" w:color="auto"/>
        <w:right w:val="none" w:sz="0" w:space="0" w:color="auto"/>
      </w:divBdr>
    </w:div>
    <w:div w:id="914359351">
      <w:bodyDiv w:val="1"/>
      <w:marLeft w:val="0"/>
      <w:marRight w:val="0"/>
      <w:marTop w:val="0"/>
      <w:marBottom w:val="0"/>
      <w:divBdr>
        <w:top w:val="none" w:sz="0" w:space="0" w:color="auto"/>
        <w:left w:val="none" w:sz="0" w:space="0" w:color="auto"/>
        <w:bottom w:val="none" w:sz="0" w:space="0" w:color="auto"/>
        <w:right w:val="none" w:sz="0" w:space="0" w:color="auto"/>
      </w:divBdr>
    </w:div>
    <w:div w:id="1303921948">
      <w:bodyDiv w:val="1"/>
      <w:marLeft w:val="0"/>
      <w:marRight w:val="0"/>
      <w:marTop w:val="0"/>
      <w:marBottom w:val="0"/>
      <w:divBdr>
        <w:top w:val="none" w:sz="0" w:space="0" w:color="auto"/>
        <w:left w:val="none" w:sz="0" w:space="0" w:color="auto"/>
        <w:bottom w:val="none" w:sz="0" w:space="0" w:color="auto"/>
        <w:right w:val="none" w:sz="0" w:space="0" w:color="auto"/>
      </w:divBdr>
    </w:div>
    <w:div w:id="1435397801">
      <w:bodyDiv w:val="1"/>
      <w:marLeft w:val="0"/>
      <w:marRight w:val="0"/>
      <w:marTop w:val="0"/>
      <w:marBottom w:val="0"/>
      <w:divBdr>
        <w:top w:val="none" w:sz="0" w:space="0" w:color="auto"/>
        <w:left w:val="none" w:sz="0" w:space="0" w:color="auto"/>
        <w:bottom w:val="none" w:sz="0" w:space="0" w:color="auto"/>
        <w:right w:val="none" w:sz="0" w:space="0" w:color="auto"/>
      </w:divBdr>
    </w:div>
    <w:div w:id="1520852185">
      <w:bodyDiv w:val="1"/>
      <w:marLeft w:val="0"/>
      <w:marRight w:val="0"/>
      <w:marTop w:val="0"/>
      <w:marBottom w:val="0"/>
      <w:divBdr>
        <w:top w:val="none" w:sz="0" w:space="0" w:color="auto"/>
        <w:left w:val="none" w:sz="0" w:space="0" w:color="auto"/>
        <w:bottom w:val="none" w:sz="0" w:space="0" w:color="auto"/>
        <w:right w:val="none" w:sz="0" w:space="0" w:color="auto"/>
      </w:divBdr>
    </w:div>
    <w:div w:id="1558737370">
      <w:bodyDiv w:val="1"/>
      <w:marLeft w:val="0"/>
      <w:marRight w:val="0"/>
      <w:marTop w:val="0"/>
      <w:marBottom w:val="0"/>
      <w:divBdr>
        <w:top w:val="none" w:sz="0" w:space="0" w:color="auto"/>
        <w:left w:val="none" w:sz="0" w:space="0" w:color="auto"/>
        <w:bottom w:val="none" w:sz="0" w:space="0" w:color="auto"/>
        <w:right w:val="none" w:sz="0" w:space="0" w:color="auto"/>
      </w:divBdr>
    </w:div>
    <w:div w:id="1877738286">
      <w:bodyDiv w:val="1"/>
      <w:marLeft w:val="0"/>
      <w:marRight w:val="0"/>
      <w:marTop w:val="0"/>
      <w:marBottom w:val="0"/>
      <w:divBdr>
        <w:top w:val="none" w:sz="0" w:space="0" w:color="auto"/>
        <w:left w:val="none" w:sz="0" w:space="0" w:color="auto"/>
        <w:bottom w:val="none" w:sz="0" w:space="0" w:color="auto"/>
        <w:right w:val="none" w:sz="0" w:space="0" w:color="auto"/>
      </w:divBdr>
      <w:divsChild>
        <w:div w:id="670455193">
          <w:marLeft w:val="0"/>
          <w:marRight w:val="0"/>
          <w:marTop w:val="0"/>
          <w:marBottom w:val="0"/>
          <w:divBdr>
            <w:top w:val="none" w:sz="0" w:space="0" w:color="auto"/>
            <w:left w:val="none" w:sz="0" w:space="0" w:color="auto"/>
            <w:bottom w:val="none" w:sz="0" w:space="0" w:color="auto"/>
            <w:right w:val="none" w:sz="0" w:space="0" w:color="auto"/>
          </w:divBdr>
          <w:divsChild>
            <w:div w:id="348869522">
              <w:marLeft w:val="0"/>
              <w:marRight w:val="0"/>
              <w:marTop w:val="0"/>
              <w:marBottom w:val="0"/>
              <w:divBdr>
                <w:top w:val="none" w:sz="0" w:space="0" w:color="auto"/>
                <w:left w:val="none" w:sz="0" w:space="0" w:color="auto"/>
                <w:bottom w:val="none" w:sz="0" w:space="0" w:color="auto"/>
                <w:right w:val="none" w:sz="0" w:space="0" w:color="auto"/>
              </w:divBdr>
              <w:divsChild>
                <w:div w:id="977496816">
                  <w:marLeft w:val="0"/>
                  <w:marRight w:val="0"/>
                  <w:marTop w:val="0"/>
                  <w:marBottom w:val="0"/>
                  <w:divBdr>
                    <w:top w:val="none" w:sz="0" w:space="0" w:color="auto"/>
                    <w:left w:val="none" w:sz="0" w:space="0" w:color="auto"/>
                    <w:bottom w:val="none" w:sz="0" w:space="0" w:color="auto"/>
                    <w:right w:val="none" w:sz="0" w:space="0" w:color="auto"/>
                  </w:divBdr>
                  <w:divsChild>
                    <w:div w:id="936447542">
                      <w:marLeft w:val="0"/>
                      <w:marRight w:val="0"/>
                      <w:marTop w:val="0"/>
                      <w:marBottom w:val="0"/>
                      <w:divBdr>
                        <w:top w:val="none" w:sz="0" w:space="0" w:color="auto"/>
                        <w:left w:val="none" w:sz="0" w:space="0" w:color="auto"/>
                        <w:bottom w:val="none" w:sz="0" w:space="0" w:color="auto"/>
                        <w:right w:val="none" w:sz="0" w:space="0" w:color="auto"/>
                      </w:divBdr>
                      <w:divsChild>
                        <w:div w:id="55788487">
                          <w:marLeft w:val="0"/>
                          <w:marRight w:val="0"/>
                          <w:marTop w:val="0"/>
                          <w:marBottom w:val="0"/>
                          <w:divBdr>
                            <w:top w:val="none" w:sz="0" w:space="0" w:color="auto"/>
                            <w:left w:val="none" w:sz="0" w:space="0" w:color="auto"/>
                            <w:bottom w:val="none" w:sz="0" w:space="0" w:color="auto"/>
                            <w:right w:val="none" w:sz="0" w:space="0" w:color="auto"/>
                          </w:divBdr>
                          <w:divsChild>
                            <w:div w:id="716778112">
                              <w:marLeft w:val="0"/>
                              <w:marRight w:val="0"/>
                              <w:marTop w:val="0"/>
                              <w:marBottom w:val="0"/>
                              <w:divBdr>
                                <w:top w:val="none" w:sz="0" w:space="0" w:color="auto"/>
                                <w:left w:val="none" w:sz="0" w:space="0" w:color="auto"/>
                                <w:bottom w:val="none" w:sz="0" w:space="0" w:color="auto"/>
                                <w:right w:val="none" w:sz="0" w:space="0" w:color="auto"/>
                              </w:divBdr>
                              <w:divsChild>
                                <w:div w:id="74522957">
                                  <w:marLeft w:val="0"/>
                                  <w:marRight w:val="0"/>
                                  <w:marTop w:val="0"/>
                                  <w:marBottom w:val="0"/>
                                  <w:divBdr>
                                    <w:top w:val="none" w:sz="0" w:space="0" w:color="auto"/>
                                    <w:left w:val="none" w:sz="0" w:space="0" w:color="auto"/>
                                    <w:bottom w:val="none" w:sz="0" w:space="0" w:color="auto"/>
                                    <w:right w:val="none" w:sz="0" w:space="0" w:color="auto"/>
                                  </w:divBdr>
                                  <w:divsChild>
                                    <w:div w:id="1652556830">
                                      <w:marLeft w:val="0"/>
                                      <w:marRight w:val="0"/>
                                      <w:marTop w:val="0"/>
                                      <w:marBottom w:val="0"/>
                                      <w:divBdr>
                                        <w:top w:val="none" w:sz="0" w:space="0" w:color="auto"/>
                                        <w:left w:val="none" w:sz="0" w:space="0" w:color="auto"/>
                                        <w:bottom w:val="none" w:sz="0" w:space="0" w:color="auto"/>
                                        <w:right w:val="none" w:sz="0" w:space="0" w:color="auto"/>
                                      </w:divBdr>
                                      <w:divsChild>
                                        <w:div w:id="758450312">
                                          <w:marLeft w:val="0"/>
                                          <w:marRight w:val="0"/>
                                          <w:marTop w:val="0"/>
                                          <w:marBottom w:val="0"/>
                                          <w:divBdr>
                                            <w:top w:val="none" w:sz="0" w:space="0" w:color="auto"/>
                                            <w:left w:val="none" w:sz="0" w:space="0" w:color="auto"/>
                                            <w:bottom w:val="none" w:sz="0" w:space="0" w:color="auto"/>
                                            <w:right w:val="none" w:sz="0" w:space="0" w:color="auto"/>
                                          </w:divBdr>
                                        </w:div>
                                        <w:div w:id="920792059">
                                          <w:marLeft w:val="0"/>
                                          <w:marRight w:val="0"/>
                                          <w:marTop w:val="0"/>
                                          <w:marBottom w:val="0"/>
                                          <w:divBdr>
                                            <w:top w:val="none" w:sz="0" w:space="0" w:color="auto"/>
                                            <w:left w:val="none" w:sz="0" w:space="0" w:color="auto"/>
                                            <w:bottom w:val="none" w:sz="0" w:space="0" w:color="auto"/>
                                            <w:right w:val="none" w:sz="0" w:space="0" w:color="auto"/>
                                          </w:divBdr>
                                          <w:divsChild>
                                            <w:div w:id="1245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Ansar_al-Islam" TargetMode="External"/><Relationship Id="rId18" Type="http://schemas.openxmlformats.org/officeDocument/2006/relationships/hyperlink" Target="http://www.ingentaconnect.com/content/intellect/ijcis;jsessionid=b1shgn7q36lgk.x-ic-live-03"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n.wikipedia.org/wiki/Patriotic_Union_of_Kurdistan" TargetMode="External"/><Relationship Id="rId17" Type="http://schemas.openxmlformats.org/officeDocument/2006/relationships/hyperlink" Target="http://www.wadinet.de/news/dokus/transition_to_democracy.pdf" TargetMode="External"/><Relationship Id="rId2" Type="http://schemas.openxmlformats.org/officeDocument/2006/relationships/numbering" Target="numbering.xml"/><Relationship Id="rId16" Type="http://schemas.openxmlformats.org/officeDocument/2006/relationships/hyperlink" Target="https://en.wikisource.org/wiki/Mem_7:_Delegation_of_Authority_Under_De-Baathification_Order_No_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chutzstaffel" TargetMode="External"/><Relationship Id="rId5" Type="http://schemas.openxmlformats.org/officeDocument/2006/relationships/webSettings" Target="webSettings.xml"/><Relationship Id="rId15" Type="http://schemas.openxmlformats.org/officeDocument/2006/relationships/hyperlink" Target="https://en.wikipedia.org/wiki/Islamic_Army_in_Iraq" TargetMode="External"/><Relationship Id="rId10" Type="http://schemas.microsoft.com/office/2016/09/relationships/commentsIds" Target="commentsIds.xml"/><Relationship Id="rId19" Type="http://schemas.openxmlformats.org/officeDocument/2006/relationships/hyperlink" Target="http://www.alternet.org/story/62525/america's_deadly_shock_doctrine_in_iraq"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Political_Council_for_the_Iraqi_Resistanc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foreignpolicy.com/2008/01/16/seven-questions-the-de-bremerification-of-iraq/" TargetMode="External"/><Relationship Id="rId13" Type="http://schemas.openxmlformats.org/officeDocument/2006/relationships/hyperlink" Target="http://www.iri.org/resource/iri-releases-survey-iraqi-public-opinion-2" TargetMode="External"/><Relationship Id="rId3" Type="http://schemas.openxmlformats.org/officeDocument/2006/relationships/hyperlink" Target="https://www.britannica.com/topic/Iraqi-Governing-Council" TargetMode="External"/><Relationship Id="rId7" Type="http://schemas.openxmlformats.org/officeDocument/2006/relationships/hyperlink" Target="http://www.cfr.org/iraq/iraq-debaathification/p7853" TargetMode="External"/><Relationship Id="rId12" Type="http://schemas.openxmlformats.org/officeDocument/2006/relationships/hyperlink" Target="https://www.globalpolicy.org/images/pdfs/09bbciraqipoll.pdf" TargetMode="External"/><Relationship Id="rId2" Type="http://schemas.openxmlformats.org/officeDocument/2006/relationships/hyperlink" Target="https://www.britannica.com/topic/Coalition-Provisional-Authority" TargetMode="External"/><Relationship Id="rId1" Type="http://schemas.openxmlformats.org/officeDocument/2006/relationships/hyperlink" Target="https://www.britannica.com/place/United-States" TargetMode="External"/><Relationship Id="rId6" Type="http://schemas.openxmlformats.org/officeDocument/2006/relationships/hyperlink" Target="https://en.wikipedia.org/wiki/Iraqi_Transitional_Government" TargetMode="External"/><Relationship Id="rId11" Type="http://schemas.openxmlformats.org/officeDocument/2006/relationships/hyperlink" Target="https://search.wikileaks.org/gifiles/?q=de-baathification&amp;mfrom=&amp;mto=&amp;title=&amp;notitle=&amp;date=&amp;nofrom=&amp;noto=&amp;count=50&amp;sort=0&amp;file=&amp;docid=&amp;relid=0" TargetMode="External"/><Relationship Id="rId5" Type="http://schemas.openxmlformats.org/officeDocument/2006/relationships/hyperlink" Target="https://en.wikipedia.org/wiki/Iraqi_Interim_Government" TargetMode="External"/><Relationship Id="rId10" Type="http://schemas.openxmlformats.org/officeDocument/2006/relationships/hyperlink" Target="http://www.cfr.org/iraq/iraq-coalition-provisional-authority-order-number-one-de-baathification-iraqi-society/p30235" TargetMode="External"/><Relationship Id="rId4" Type="http://schemas.openxmlformats.org/officeDocument/2006/relationships/hyperlink" Target="https://en.wikipedia.org/wiki/Iraq" TargetMode="External"/><Relationship Id="rId9" Type="http://schemas.openxmlformats.org/officeDocument/2006/relationships/hyperlink" Target="http://www.ohchr.org/en/professionalinterest/pages/ccp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2F76-22AC-4D3A-8BAD-6BCCB3B8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9182</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De-Ba’athification Report:</vt:lpstr>
    </vt:vector>
  </TitlesOfParts>
  <Company>United Nations</Company>
  <LinksUpToDate>false</LinksUpToDate>
  <CharactersWithSpaces>61400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De-Ba’athification Report:</dc:title>
  <dc:creator>UNAMI</dc:creator>
  <cp:lastModifiedBy>pshir</cp:lastModifiedBy>
  <cp:revision>2</cp:revision>
  <cp:lastPrinted>2016-02-29T19:38:00Z</cp:lastPrinted>
  <dcterms:created xsi:type="dcterms:W3CDTF">2020-06-05T16:12:00Z</dcterms:created>
  <dcterms:modified xsi:type="dcterms:W3CDTF">2020-06-05T16:12:00Z</dcterms:modified>
</cp:coreProperties>
</file>