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9DF71" w14:textId="3FBA33EC" w:rsidR="00AF514E" w:rsidRPr="0062673F" w:rsidRDefault="00305F76" w:rsidP="00AF514E">
      <w:pPr>
        <w:rPr>
          <w:b/>
          <w:color w:val="000000" w:themeColor="text1"/>
        </w:rPr>
      </w:pPr>
      <w:r w:rsidRPr="0062673F">
        <w:rPr>
          <w:b/>
          <w:color w:val="000000" w:themeColor="text1"/>
        </w:rPr>
        <w:t xml:space="preserve">Full </w:t>
      </w:r>
      <w:r w:rsidR="00AF514E" w:rsidRPr="0062673F">
        <w:rPr>
          <w:b/>
          <w:color w:val="000000" w:themeColor="text1"/>
        </w:rPr>
        <w:t xml:space="preserve">Title: </w:t>
      </w:r>
      <w:r w:rsidR="00147D38">
        <w:rPr>
          <w:b/>
          <w:color w:val="000000" w:themeColor="text1"/>
        </w:rPr>
        <w:t>T</w:t>
      </w:r>
      <w:r w:rsidR="00AF514E" w:rsidRPr="0062673F">
        <w:rPr>
          <w:b/>
          <w:color w:val="000000" w:themeColor="text1"/>
        </w:rPr>
        <w:t xml:space="preserve">he potential health impact of </w:t>
      </w:r>
      <w:r w:rsidR="00C5145B" w:rsidRPr="0062673F">
        <w:rPr>
          <w:b/>
          <w:color w:val="000000" w:themeColor="text1"/>
        </w:rPr>
        <w:t>restricting less-</w:t>
      </w:r>
      <w:r w:rsidR="00AF514E" w:rsidRPr="0062673F">
        <w:rPr>
          <w:b/>
          <w:color w:val="000000" w:themeColor="text1"/>
        </w:rPr>
        <w:t xml:space="preserve">healthy food and beverage </w:t>
      </w:r>
      <w:r w:rsidR="008B0EA3" w:rsidRPr="0062673F">
        <w:rPr>
          <w:b/>
          <w:color w:val="000000" w:themeColor="text1"/>
        </w:rPr>
        <w:t>a</w:t>
      </w:r>
      <w:r w:rsidR="00AF514E" w:rsidRPr="0062673F">
        <w:rPr>
          <w:b/>
          <w:color w:val="000000" w:themeColor="text1"/>
        </w:rPr>
        <w:t xml:space="preserve">dvertising on </w:t>
      </w:r>
      <w:r w:rsidR="009C31E6" w:rsidRPr="0062673F">
        <w:rPr>
          <w:b/>
          <w:color w:val="000000" w:themeColor="text1"/>
        </w:rPr>
        <w:t xml:space="preserve">UK </w:t>
      </w:r>
      <w:r w:rsidR="00AF514E" w:rsidRPr="0062673F">
        <w:rPr>
          <w:b/>
          <w:color w:val="000000" w:themeColor="text1"/>
        </w:rPr>
        <w:t>television</w:t>
      </w:r>
      <w:r w:rsidR="00C5145B" w:rsidRPr="0062673F">
        <w:rPr>
          <w:b/>
          <w:color w:val="000000" w:themeColor="text1"/>
        </w:rPr>
        <w:t xml:space="preserve"> between </w:t>
      </w:r>
      <w:r w:rsidR="008F406E">
        <w:rPr>
          <w:b/>
          <w:color w:val="000000" w:themeColor="text1"/>
        </w:rPr>
        <w:t>05.30</w:t>
      </w:r>
      <w:r w:rsidR="00C5145B" w:rsidRPr="0062673F">
        <w:rPr>
          <w:b/>
          <w:color w:val="000000" w:themeColor="text1"/>
        </w:rPr>
        <w:t xml:space="preserve"> and </w:t>
      </w:r>
      <w:r w:rsidR="008F406E">
        <w:rPr>
          <w:b/>
          <w:color w:val="000000" w:themeColor="text1"/>
        </w:rPr>
        <w:t>21.00 hours</w:t>
      </w:r>
      <w:r w:rsidR="00AF514E" w:rsidRPr="0062673F">
        <w:rPr>
          <w:b/>
          <w:color w:val="000000" w:themeColor="text1"/>
        </w:rPr>
        <w:t>: a modelling study</w:t>
      </w:r>
    </w:p>
    <w:p w14:paraId="68477EB3" w14:textId="2FFE7ACB" w:rsidR="00305F76" w:rsidRPr="0062673F" w:rsidRDefault="00305F76" w:rsidP="00C33273">
      <w:pPr>
        <w:rPr>
          <w:b/>
          <w:bCs/>
          <w:color w:val="000000" w:themeColor="text1"/>
        </w:rPr>
      </w:pPr>
      <w:r w:rsidRPr="0062673F">
        <w:rPr>
          <w:b/>
          <w:bCs/>
          <w:color w:val="000000" w:themeColor="text1"/>
        </w:rPr>
        <w:t>Short Title: A health impact assessment of restricting unhealthy food advertising on UK TV</w:t>
      </w:r>
    </w:p>
    <w:p w14:paraId="078B46C0" w14:textId="77777777" w:rsidR="00305F76" w:rsidRPr="0062673F" w:rsidRDefault="00305F76" w:rsidP="00C33273">
      <w:pPr>
        <w:rPr>
          <w:color w:val="000000" w:themeColor="text1"/>
        </w:rPr>
      </w:pPr>
    </w:p>
    <w:p w14:paraId="3C947C3D" w14:textId="683C3F60" w:rsidR="00C33273" w:rsidRPr="0062673F" w:rsidRDefault="00C33273" w:rsidP="00C33273">
      <w:pPr>
        <w:rPr>
          <w:color w:val="000000" w:themeColor="text1"/>
        </w:rPr>
      </w:pPr>
      <w:r w:rsidRPr="0062673F">
        <w:rPr>
          <w:color w:val="000000" w:themeColor="text1"/>
        </w:rPr>
        <w:t xml:space="preserve">Authors: Oliver </w:t>
      </w:r>
      <w:r w:rsidR="00C5145B" w:rsidRPr="0062673F">
        <w:rPr>
          <w:color w:val="000000" w:themeColor="text1"/>
        </w:rPr>
        <w:t xml:space="preserve">T </w:t>
      </w:r>
      <w:r w:rsidRPr="0062673F">
        <w:rPr>
          <w:color w:val="000000" w:themeColor="text1"/>
        </w:rPr>
        <w:t>Mytton</w:t>
      </w:r>
      <w:r w:rsidR="00FA7559" w:rsidRPr="0062673F">
        <w:rPr>
          <w:color w:val="000000" w:themeColor="text1"/>
          <w:vertAlign w:val="superscript"/>
        </w:rPr>
        <w:t>1</w:t>
      </w:r>
      <w:r w:rsidRPr="0062673F">
        <w:rPr>
          <w:color w:val="000000" w:themeColor="text1"/>
        </w:rPr>
        <w:t>, Emma Boyland</w:t>
      </w:r>
      <w:r w:rsidR="00FA7559" w:rsidRPr="0062673F">
        <w:rPr>
          <w:color w:val="000000" w:themeColor="text1"/>
          <w:vertAlign w:val="superscript"/>
        </w:rPr>
        <w:t>2</w:t>
      </w:r>
      <w:r w:rsidRPr="0062673F">
        <w:rPr>
          <w:color w:val="000000" w:themeColor="text1"/>
        </w:rPr>
        <w:t xml:space="preserve">, </w:t>
      </w:r>
      <w:r w:rsidR="00AF514E" w:rsidRPr="0062673F">
        <w:rPr>
          <w:color w:val="000000" w:themeColor="text1"/>
        </w:rPr>
        <w:t>Jean Adams</w:t>
      </w:r>
      <w:r w:rsidR="00FA7559" w:rsidRPr="0062673F">
        <w:rPr>
          <w:color w:val="000000" w:themeColor="text1"/>
          <w:vertAlign w:val="superscript"/>
        </w:rPr>
        <w:t>1</w:t>
      </w:r>
      <w:r w:rsidRPr="0062673F">
        <w:rPr>
          <w:color w:val="000000" w:themeColor="text1"/>
        </w:rPr>
        <w:t xml:space="preserve">, </w:t>
      </w:r>
      <w:r w:rsidR="00AF514E" w:rsidRPr="0062673F">
        <w:rPr>
          <w:color w:val="000000" w:themeColor="text1"/>
        </w:rPr>
        <w:t>Brendan Collins</w:t>
      </w:r>
      <w:r w:rsidR="00FA7559" w:rsidRPr="0062673F">
        <w:rPr>
          <w:color w:val="000000" w:themeColor="text1"/>
          <w:vertAlign w:val="superscript"/>
        </w:rPr>
        <w:t>3</w:t>
      </w:r>
      <w:r w:rsidRPr="0062673F">
        <w:rPr>
          <w:color w:val="000000" w:themeColor="text1"/>
        </w:rPr>
        <w:t xml:space="preserve">, </w:t>
      </w:r>
      <w:r w:rsidR="00AF514E" w:rsidRPr="0062673F">
        <w:rPr>
          <w:color w:val="000000" w:themeColor="text1"/>
        </w:rPr>
        <w:t>Martin O’Connell</w:t>
      </w:r>
      <w:r w:rsidR="00FA7559" w:rsidRPr="0062673F">
        <w:rPr>
          <w:color w:val="000000" w:themeColor="text1"/>
          <w:vertAlign w:val="superscript"/>
        </w:rPr>
        <w:t>4</w:t>
      </w:r>
      <w:r w:rsidRPr="0062673F">
        <w:rPr>
          <w:color w:val="000000" w:themeColor="text1"/>
        </w:rPr>
        <w:t xml:space="preserve">, </w:t>
      </w:r>
      <w:r w:rsidR="00AF514E" w:rsidRPr="0062673F">
        <w:rPr>
          <w:color w:val="000000" w:themeColor="text1"/>
        </w:rPr>
        <w:t xml:space="preserve">Simon </w:t>
      </w:r>
      <w:r w:rsidR="003A6DF5" w:rsidRPr="0062673F">
        <w:rPr>
          <w:color w:val="000000" w:themeColor="text1"/>
        </w:rPr>
        <w:t xml:space="preserve">J </w:t>
      </w:r>
      <w:r w:rsidR="00AF514E" w:rsidRPr="0062673F">
        <w:rPr>
          <w:color w:val="000000" w:themeColor="text1"/>
        </w:rPr>
        <w:t>Russell</w:t>
      </w:r>
      <w:r w:rsidR="00FA7559" w:rsidRPr="0062673F">
        <w:rPr>
          <w:color w:val="000000" w:themeColor="text1"/>
          <w:vertAlign w:val="superscript"/>
        </w:rPr>
        <w:t>5</w:t>
      </w:r>
      <w:r w:rsidRPr="0062673F">
        <w:rPr>
          <w:color w:val="000000" w:themeColor="text1"/>
        </w:rPr>
        <w:t xml:space="preserve">, </w:t>
      </w:r>
      <w:r w:rsidR="00AF514E" w:rsidRPr="0062673F">
        <w:rPr>
          <w:color w:val="000000" w:themeColor="text1"/>
        </w:rPr>
        <w:t>Kate Smith</w:t>
      </w:r>
      <w:r w:rsidR="00FA7559" w:rsidRPr="0062673F">
        <w:rPr>
          <w:color w:val="000000" w:themeColor="text1"/>
          <w:vertAlign w:val="superscript"/>
        </w:rPr>
        <w:t>4</w:t>
      </w:r>
      <w:r w:rsidRPr="0062673F">
        <w:rPr>
          <w:color w:val="000000" w:themeColor="text1"/>
        </w:rPr>
        <w:t xml:space="preserve">, </w:t>
      </w:r>
      <w:r w:rsidR="00AF514E" w:rsidRPr="0062673F">
        <w:rPr>
          <w:color w:val="000000" w:themeColor="text1"/>
        </w:rPr>
        <w:t>Rebekah Stroud</w:t>
      </w:r>
      <w:r w:rsidR="00FA7559" w:rsidRPr="0062673F">
        <w:rPr>
          <w:color w:val="000000" w:themeColor="text1"/>
          <w:vertAlign w:val="superscript"/>
        </w:rPr>
        <w:t>4</w:t>
      </w:r>
      <w:r w:rsidRPr="0062673F">
        <w:rPr>
          <w:color w:val="000000" w:themeColor="text1"/>
        </w:rPr>
        <w:t xml:space="preserve">, </w:t>
      </w:r>
      <w:r w:rsidR="00AF514E" w:rsidRPr="0062673F">
        <w:rPr>
          <w:color w:val="000000" w:themeColor="text1"/>
        </w:rPr>
        <w:t xml:space="preserve">Russell </w:t>
      </w:r>
      <w:r w:rsidR="00574D16" w:rsidRPr="0062673F">
        <w:rPr>
          <w:color w:val="000000" w:themeColor="text1"/>
        </w:rPr>
        <w:t xml:space="preserve">M. </w:t>
      </w:r>
      <w:r w:rsidR="00AF514E" w:rsidRPr="0062673F">
        <w:rPr>
          <w:color w:val="000000" w:themeColor="text1"/>
        </w:rPr>
        <w:t>Viner</w:t>
      </w:r>
      <w:r w:rsidR="00FA7559" w:rsidRPr="0062673F">
        <w:rPr>
          <w:color w:val="000000" w:themeColor="text1"/>
          <w:vertAlign w:val="superscript"/>
        </w:rPr>
        <w:t>5</w:t>
      </w:r>
      <w:r w:rsidRPr="0062673F">
        <w:rPr>
          <w:color w:val="000000" w:themeColor="text1"/>
        </w:rPr>
        <w:t xml:space="preserve"> and Linda </w:t>
      </w:r>
      <w:r w:rsidR="002C5008" w:rsidRPr="0062673F">
        <w:rPr>
          <w:color w:val="000000" w:themeColor="text1"/>
        </w:rPr>
        <w:t xml:space="preserve">J </w:t>
      </w:r>
      <w:r w:rsidRPr="0062673F">
        <w:rPr>
          <w:color w:val="000000" w:themeColor="text1"/>
        </w:rPr>
        <w:t>Cobiac</w:t>
      </w:r>
      <w:r w:rsidR="00FA7559" w:rsidRPr="0062673F">
        <w:rPr>
          <w:color w:val="000000" w:themeColor="text1"/>
          <w:vertAlign w:val="superscript"/>
        </w:rPr>
        <w:t>6</w:t>
      </w:r>
    </w:p>
    <w:p w14:paraId="00144107" w14:textId="240F483A" w:rsidR="00FA7559" w:rsidRPr="0062673F" w:rsidRDefault="00FA7559" w:rsidP="00C33273">
      <w:pPr>
        <w:rPr>
          <w:color w:val="000000" w:themeColor="text1"/>
        </w:rPr>
      </w:pPr>
    </w:p>
    <w:p w14:paraId="7952AE60" w14:textId="6F159EB2" w:rsidR="00FA7559" w:rsidRPr="0062673F" w:rsidRDefault="00FA7559" w:rsidP="00C33273">
      <w:pPr>
        <w:rPr>
          <w:color w:val="000000" w:themeColor="text1"/>
        </w:rPr>
      </w:pPr>
      <w:r w:rsidRPr="0062673F">
        <w:rPr>
          <w:color w:val="000000" w:themeColor="text1"/>
        </w:rPr>
        <w:t>Affiliations:</w:t>
      </w:r>
    </w:p>
    <w:p w14:paraId="73E55C74" w14:textId="3723DACE" w:rsidR="00FA7559" w:rsidRPr="0062673F" w:rsidRDefault="00C5145B" w:rsidP="00FA7559">
      <w:pPr>
        <w:pStyle w:val="ListParagraph"/>
        <w:numPr>
          <w:ilvl w:val="0"/>
          <w:numId w:val="9"/>
        </w:numPr>
        <w:rPr>
          <w:rFonts w:cstheme="minorHAnsi"/>
          <w:color w:val="000000" w:themeColor="text1"/>
        </w:rPr>
      </w:pPr>
      <w:r w:rsidRPr="0062673F">
        <w:rPr>
          <w:color w:val="000000" w:themeColor="text1"/>
        </w:rPr>
        <w:t xml:space="preserve">Centre for Diet and Activity Research (CEDAR), </w:t>
      </w:r>
      <w:r w:rsidR="00FA7559" w:rsidRPr="0062673F">
        <w:rPr>
          <w:color w:val="000000" w:themeColor="text1"/>
        </w:rPr>
        <w:t xml:space="preserve">MRC </w:t>
      </w:r>
      <w:r w:rsidR="00FA7559" w:rsidRPr="0062673F">
        <w:rPr>
          <w:rFonts w:cstheme="minorHAnsi"/>
          <w:color w:val="000000" w:themeColor="text1"/>
        </w:rPr>
        <w:t>Epidemiology Unit, University of Cambridge, Cambridge Biomedical Campus, Cambridge CB2 0QQ</w:t>
      </w:r>
    </w:p>
    <w:p w14:paraId="6EF8598F" w14:textId="43A6EF3F" w:rsidR="00FA7559" w:rsidRPr="0062673F" w:rsidRDefault="00AE14C9" w:rsidP="00FA7559">
      <w:pPr>
        <w:pStyle w:val="ListParagraph"/>
        <w:numPr>
          <w:ilvl w:val="0"/>
          <w:numId w:val="9"/>
        </w:numPr>
        <w:rPr>
          <w:color w:val="000000" w:themeColor="text1"/>
        </w:rPr>
      </w:pPr>
      <w:r w:rsidRPr="0062673F">
        <w:rPr>
          <w:color w:val="000000" w:themeColor="text1"/>
        </w:rPr>
        <w:t>Department of Psychological Sciences</w:t>
      </w:r>
      <w:r w:rsidR="00FA7559" w:rsidRPr="0062673F">
        <w:rPr>
          <w:color w:val="000000" w:themeColor="text1"/>
        </w:rPr>
        <w:t>, University of Liverpool</w:t>
      </w:r>
      <w:r w:rsidR="00022F15" w:rsidRPr="0062673F">
        <w:rPr>
          <w:color w:val="000000" w:themeColor="text1"/>
        </w:rPr>
        <w:t>, L69 3BX</w:t>
      </w:r>
    </w:p>
    <w:p w14:paraId="2E24A51A" w14:textId="09311556" w:rsidR="00FA7559" w:rsidRPr="0062673F" w:rsidRDefault="00F774A6" w:rsidP="00FA7559">
      <w:pPr>
        <w:pStyle w:val="ListParagraph"/>
        <w:numPr>
          <w:ilvl w:val="0"/>
          <w:numId w:val="9"/>
        </w:numPr>
        <w:rPr>
          <w:color w:val="000000" w:themeColor="text1"/>
        </w:rPr>
      </w:pPr>
      <w:r w:rsidRPr="0062673F">
        <w:rPr>
          <w:color w:val="000000" w:themeColor="text1"/>
        </w:rPr>
        <w:t>Department of Public Health and Policy</w:t>
      </w:r>
      <w:r w:rsidR="00FA7559" w:rsidRPr="0062673F">
        <w:rPr>
          <w:color w:val="000000" w:themeColor="text1"/>
        </w:rPr>
        <w:t>, University of Liverpool</w:t>
      </w:r>
      <w:r w:rsidR="00022F15" w:rsidRPr="0062673F">
        <w:rPr>
          <w:color w:val="000000" w:themeColor="text1"/>
        </w:rPr>
        <w:t>, L69 3BX</w:t>
      </w:r>
    </w:p>
    <w:p w14:paraId="19138C82" w14:textId="3DF14ED7" w:rsidR="00FA7559" w:rsidRPr="0062673F" w:rsidRDefault="00022F15" w:rsidP="00177819">
      <w:pPr>
        <w:pStyle w:val="ListParagraph"/>
        <w:numPr>
          <w:ilvl w:val="0"/>
          <w:numId w:val="9"/>
        </w:numPr>
        <w:rPr>
          <w:color w:val="000000" w:themeColor="text1"/>
        </w:rPr>
      </w:pPr>
      <w:r w:rsidRPr="0062673F">
        <w:rPr>
          <w:color w:val="000000" w:themeColor="text1"/>
        </w:rPr>
        <w:t>Institute for Fiscal Studies, 7 Ridgmount Street, London, WC1E 7AE</w:t>
      </w:r>
    </w:p>
    <w:p w14:paraId="0B62BF58" w14:textId="747DE265" w:rsidR="003A6DF5" w:rsidRPr="0062673F" w:rsidRDefault="003A6DF5" w:rsidP="00FA7559">
      <w:pPr>
        <w:pStyle w:val="ListParagraph"/>
        <w:numPr>
          <w:ilvl w:val="0"/>
          <w:numId w:val="9"/>
        </w:numPr>
        <w:rPr>
          <w:color w:val="000000" w:themeColor="text1"/>
        </w:rPr>
      </w:pPr>
      <w:r w:rsidRPr="0062673F">
        <w:rPr>
          <w:color w:val="000000" w:themeColor="text1"/>
        </w:rPr>
        <w:t>Great Ormond Street Institute of Child Health, University College London</w:t>
      </w:r>
      <w:r w:rsidR="00022F15" w:rsidRPr="0062673F">
        <w:rPr>
          <w:color w:val="000000" w:themeColor="text1"/>
        </w:rPr>
        <w:t xml:space="preserve">, </w:t>
      </w:r>
      <w:r w:rsidR="00022F15" w:rsidRPr="0062673F">
        <w:rPr>
          <w:rFonts w:ascii="Arial" w:hAnsi="Arial" w:cs="Arial"/>
          <w:color w:val="000000" w:themeColor="text1"/>
          <w:shd w:val="clear" w:color="auto" w:fill="FFFFFF"/>
        </w:rPr>
        <w:t>WC1N 1EH</w:t>
      </w:r>
      <w:r w:rsidRPr="0062673F" w:rsidDel="003A6DF5">
        <w:rPr>
          <w:color w:val="000000" w:themeColor="text1"/>
        </w:rPr>
        <w:t xml:space="preserve"> </w:t>
      </w:r>
    </w:p>
    <w:p w14:paraId="0604FEBA" w14:textId="74623A26" w:rsidR="00FA7559" w:rsidRPr="0062673F" w:rsidRDefault="002C5008" w:rsidP="002C5008">
      <w:pPr>
        <w:pStyle w:val="ListParagraph"/>
        <w:numPr>
          <w:ilvl w:val="0"/>
          <w:numId w:val="9"/>
        </w:numPr>
        <w:rPr>
          <w:color w:val="000000" w:themeColor="text1"/>
        </w:rPr>
      </w:pPr>
      <w:r w:rsidRPr="0062673F">
        <w:rPr>
          <w:color w:val="000000" w:themeColor="text1"/>
        </w:rPr>
        <w:t>Centre on Population Approaches for Non-Communicable Disease Prevention, Nuffield Department of Population Health</w:t>
      </w:r>
      <w:r w:rsidR="00FA7559" w:rsidRPr="0062673F">
        <w:rPr>
          <w:color w:val="000000" w:themeColor="text1"/>
        </w:rPr>
        <w:t>, University of Oxford</w:t>
      </w:r>
      <w:r w:rsidR="00022F15" w:rsidRPr="0062673F">
        <w:rPr>
          <w:color w:val="000000" w:themeColor="text1"/>
        </w:rPr>
        <w:t>, OX3 7LF</w:t>
      </w:r>
    </w:p>
    <w:p w14:paraId="21172CEF" w14:textId="50A4CC1D" w:rsidR="00FA7559" w:rsidRPr="0062673F" w:rsidRDefault="00FA7559" w:rsidP="00C33273">
      <w:pPr>
        <w:rPr>
          <w:color w:val="000000" w:themeColor="text1"/>
        </w:rPr>
      </w:pPr>
    </w:p>
    <w:p w14:paraId="5D374C0D" w14:textId="1457FD5F" w:rsidR="00FA7559" w:rsidRPr="0062673F" w:rsidRDefault="00FA7559" w:rsidP="00C33273">
      <w:pPr>
        <w:rPr>
          <w:color w:val="000000" w:themeColor="text1"/>
        </w:rPr>
      </w:pPr>
      <w:r w:rsidRPr="0062673F">
        <w:rPr>
          <w:color w:val="000000" w:themeColor="text1"/>
        </w:rPr>
        <w:t>Corresponding author: Oliver Mytton (</w:t>
      </w:r>
      <w:hyperlink r:id="rId8" w:history="1">
        <w:r w:rsidRPr="0062673F">
          <w:rPr>
            <w:rStyle w:val="Hyperlink"/>
            <w:color w:val="000000" w:themeColor="text1"/>
          </w:rPr>
          <w:t>otm21@medschl.cam.ac.uk</w:t>
        </w:r>
      </w:hyperlink>
      <w:r w:rsidRPr="0062673F">
        <w:rPr>
          <w:color w:val="000000" w:themeColor="text1"/>
        </w:rPr>
        <w:t>).</w:t>
      </w:r>
    </w:p>
    <w:p w14:paraId="4A0A2C72" w14:textId="39809006" w:rsidR="00AC77AB" w:rsidRPr="0062673F" w:rsidRDefault="00AC77AB">
      <w:pPr>
        <w:rPr>
          <w:color w:val="000000" w:themeColor="text1"/>
        </w:rPr>
      </w:pPr>
      <w:r w:rsidRPr="0062673F">
        <w:rPr>
          <w:color w:val="000000" w:themeColor="text1"/>
        </w:rPr>
        <w:br w:type="page"/>
      </w:r>
    </w:p>
    <w:p w14:paraId="3244AE13" w14:textId="4E45274D" w:rsidR="00AF514E" w:rsidRPr="0062673F" w:rsidRDefault="00AF514E" w:rsidP="00AF514E">
      <w:pPr>
        <w:rPr>
          <w:color w:val="000000" w:themeColor="text1"/>
        </w:rPr>
      </w:pPr>
      <w:r w:rsidRPr="0062673F">
        <w:rPr>
          <w:b/>
          <w:color w:val="000000" w:themeColor="text1"/>
          <w:u w:val="single"/>
        </w:rPr>
        <w:lastRenderedPageBreak/>
        <w:t>Abstract</w:t>
      </w:r>
    </w:p>
    <w:p w14:paraId="0FD6CE72" w14:textId="09061EF9" w:rsidR="00AF514E" w:rsidRPr="0062673F" w:rsidRDefault="008B0EA3" w:rsidP="00AF514E">
      <w:pPr>
        <w:rPr>
          <w:color w:val="000000" w:themeColor="text1"/>
        </w:rPr>
      </w:pPr>
      <w:r w:rsidRPr="0062673F">
        <w:rPr>
          <w:color w:val="000000" w:themeColor="text1"/>
        </w:rPr>
        <w:t>Background</w:t>
      </w:r>
      <w:r w:rsidR="003121BC" w:rsidRPr="0062673F">
        <w:rPr>
          <w:color w:val="000000" w:themeColor="text1"/>
        </w:rPr>
        <w:t>:</w:t>
      </w:r>
      <w:r w:rsidRPr="0062673F">
        <w:rPr>
          <w:color w:val="000000" w:themeColor="text1"/>
        </w:rPr>
        <w:t xml:space="preserve"> Restrictions on the advertising of less-healthy foods and beverages is seen as one measure to tackle childhood obesity and is under active consideration by the UK government. Whilst evidence increasingly links this advertising to excess calorie intake, understanding of the potential impact of advertising restrictions on population health is limited.  </w:t>
      </w:r>
    </w:p>
    <w:p w14:paraId="359218F7" w14:textId="2F2E9BA8" w:rsidR="00175583" w:rsidRPr="0062673F" w:rsidRDefault="008B0EA3" w:rsidP="00AF514E">
      <w:pPr>
        <w:rPr>
          <w:color w:val="000000" w:themeColor="text1"/>
        </w:rPr>
      </w:pPr>
      <w:r w:rsidRPr="0062673F">
        <w:rPr>
          <w:color w:val="000000" w:themeColor="text1"/>
        </w:rPr>
        <w:t>Methods and findings</w:t>
      </w:r>
      <w:r w:rsidR="003121BC" w:rsidRPr="0062673F">
        <w:rPr>
          <w:color w:val="000000" w:themeColor="text1"/>
        </w:rPr>
        <w:t xml:space="preserve">: </w:t>
      </w:r>
      <w:r w:rsidRPr="0062673F">
        <w:rPr>
          <w:color w:val="000000" w:themeColor="text1"/>
        </w:rPr>
        <w:t>We used a p</w:t>
      </w:r>
      <w:r w:rsidR="003121BC" w:rsidRPr="0062673F">
        <w:rPr>
          <w:color w:val="000000" w:themeColor="text1"/>
        </w:rPr>
        <w:t>roportional multi-state life table model</w:t>
      </w:r>
      <w:r w:rsidRPr="0062673F">
        <w:rPr>
          <w:color w:val="000000" w:themeColor="text1"/>
        </w:rPr>
        <w:t xml:space="preserve"> to estimate the health impact of prohibiting the advertising of food and beverages high in fat sugar and salt (HFSS) from </w:t>
      </w:r>
      <w:r w:rsidR="008F406E">
        <w:rPr>
          <w:color w:val="000000" w:themeColor="text1"/>
        </w:rPr>
        <w:t>05.30 hours</w:t>
      </w:r>
      <w:r w:rsidRPr="0062673F">
        <w:rPr>
          <w:color w:val="000000" w:themeColor="text1"/>
        </w:rPr>
        <w:t xml:space="preserve"> to </w:t>
      </w:r>
      <w:r w:rsidR="008F406E">
        <w:rPr>
          <w:color w:val="000000" w:themeColor="text1"/>
        </w:rPr>
        <w:t>21.00 hours</w:t>
      </w:r>
      <w:r w:rsidRPr="0062673F">
        <w:rPr>
          <w:color w:val="000000" w:themeColor="text1"/>
        </w:rPr>
        <w:t xml:space="preserve"> on television in the UK. We used the following data to parameterise the model: </w:t>
      </w:r>
      <w:r w:rsidR="003121BC" w:rsidRPr="0062673F">
        <w:rPr>
          <w:color w:val="000000" w:themeColor="text1"/>
        </w:rPr>
        <w:t>AC Nielsen and</w:t>
      </w:r>
      <w:r w:rsidR="0053436E" w:rsidRPr="0062673F">
        <w:rPr>
          <w:color w:val="000000" w:themeColor="text1"/>
        </w:rPr>
        <w:t xml:space="preserve"> Broadcasters' Audience Research Board</w:t>
      </w:r>
      <w:r w:rsidR="003121BC" w:rsidRPr="0062673F">
        <w:rPr>
          <w:color w:val="000000" w:themeColor="text1"/>
        </w:rPr>
        <w:t xml:space="preserve"> data on children’s exposure to HFSS advertising </w:t>
      </w:r>
      <w:r w:rsidR="00EB5AAE" w:rsidRPr="0062673F">
        <w:rPr>
          <w:color w:val="000000" w:themeColor="text1"/>
        </w:rPr>
        <w:t>(</w:t>
      </w:r>
      <w:r w:rsidR="003121BC" w:rsidRPr="0062673F">
        <w:rPr>
          <w:color w:val="000000" w:themeColor="text1"/>
        </w:rPr>
        <w:t>2015</w:t>
      </w:r>
      <w:r w:rsidR="00EB5AAE" w:rsidRPr="0062673F">
        <w:rPr>
          <w:color w:val="000000" w:themeColor="text1"/>
        </w:rPr>
        <w:t>)</w:t>
      </w:r>
      <w:r w:rsidR="003121BC" w:rsidRPr="0062673F">
        <w:rPr>
          <w:color w:val="000000" w:themeColor="text1"/>
        </w:rPr>
        <w:t xml:space="preserve">; </w:t>
      </w:r>
      <w:r w:rsidR="00AE14C9" w:rsidRPr="0062673F">
        <w:rPr>
          <w:color w:val="000000" w:themeColor="text1"/>
        </w:rPr>
        <w:t xml:space="preserve">published </w:t>
      </w:r>
      <w:r w:rsidR="00EB5AAE" w:rsidRPr="0062673F">
        <w:rPr>
          <w:color w:val="000000" w:themeColor="text1"/>
        </w:rPr>
        <w:t xml:space="preserve">meta-analysis quantifying the effect of </w:t>
      </w:r>
      <w:r w:rsidR="00414C96" w:rsidRPr="0062673F">
        <w:rPr>
          <w:color w:val="000000" w:themeColor="text1"/>
        </w:rPr>
        <w:t>less</w:t>
      </w:r>
      <w:r w:rsidR="00BE6614" w:rsidRPr="0062673F">
        <w:rPr>
          <w:color w:val="000000" w:themeColor="text1"/>
        </w:rPr>
        <w:t>-</w:t>
      </w:r>
      <w:r w:rsidR="00EB5AAE" w:rsidRPr="0062673F">
        <w:rPr>
          <w:color w:val="000000" w:themeColor="text1"/>
        </w:rPr>
        <w:t>healthy food advertising on acute caloric intake</w:t>
      </w:r>
      <w:r w:rsidR="00AE14C9" w:rsidRPr="0062673F">
        <w:rPr>
          <w:color w:val="000000" w:themeColor="text1"/>
        </w:rPr>
        <w:t xml:space="preserve"> in children</w:t>
      </w:r>
      <w:r w:rsidR="00EB5AAE" w:rsidRPr="0062673F">
        <w:rPr>
          <w:color w:val="000000" w:themeColor="text1"/>
        </w:rPr>
        <w:t xml:space="preserve">; </w:t>
      </w:r>
      <w:r w:rsidR="003121BC" w:rsidRPr="0062673F">
        <w:rPr>
          <w:color w:val="000000" w:themeColor="text1"/>
        </w:rPr>
        <w:t>population numbers</w:t>
      </w:r>
      <w:r w:rsidR="00EB5AAE" w:rsidRPr="0062673F">
        <w:rPr>
          <w:color w:val="000000" w:themeColor="text1"/>
        </w:rPr>
        <w:t xml:space="preserve"> and all-cause mortality rates </w:t>
      </w:r>
      <w:r w:rsidR="003121BC" w:rsidRPr="0062673F">
        <w:rPr>
          <w:color w:val="000000" w:themeColor="text1"/>
        </w:rPr>
        <w:t>from the Human Mortality Database for</w:t>
      </w:r>
      <w:r w:rsidR="00EB5AAE" w:rsidRPr="0062673F">
        <w:rPr>
          <w:color w:val="000000" w:themeColor="text1"/>
        </w:rPr>
        <w:t xml:space="preserve"> the UK (</w:t>
      </w:r>
      <w:r w:rsidR="003121BC" w:rsidRPr="0062673F">
        <w:rPr>
          <w:color w:val="000000" w:themeColor="text1"/>
        </w:rPr>
        <w:t>2015</w:t>
      </w:r>
      <w:r w:rsidR="00EB5AAE" w:rsidRPr="0062673F">
        <w:rPr>
          <w:color w:val="000000" w:themeColor="text1"/>
        </w:rPr>
        <w:t>)</w:t>
      </w:r>
      <w:r w:rsidR="001812DD" w:rsidRPr="0062673F">
        <w:rPr>
          <w:color w:val="000000" w:themeColor="text1"/>
        </w:rPr>
        <w:t xml:space="preserve">; </w:t>
      </w:r>
      <w:r w:rsidR="003121BC" w:rsidRPr="0062673F">
        <w:rPr>
          <w:color w:val="000000" w:themeColor="text1"/>
        </w:rPr>
        <w:t>body mass index distribution from t</w:t>
      </w:r>
      <w:r w:rsidR="00EB5AAE" w:rsidRPr="0062673F">
        <w:rPr>
          <w:color w:val="000000" w:themeColor="text1"/>
        </w:rPr>
        <w:t>he Health Survey for England (</w:t>
      </w:r>
      <w:r w:rsidR="003121BC" w:rsidRPr="0062673F">
        <w:rPr>
          <w:color w:val="000000" w:themeColor="text1"/>
        </w:rPr>
        <w:t>2016</w:t>
      </w:r>
      <w:r w:rsidR="00EB5AAE" w:rsidRPr="0062673F">
        <w:rPr>
          <w:color w:val="000000" w:themeColor="text1"/>
        </w:rPr>
        <w:t>)</w:t>
      </w:r>
      <w:r w:rsidR="0053436E" w:rsidRPr="0062673F">
        <w:rPr>
          <w:color w:val="000000" w:themeColor="text1"/>
        </w:rPr>
        <w:t>; disa</w:t>
      </w:r>
      <w:r w:rsidR="009431D9" w:rsidRPr="0062673F">
        <w:rPr>
          <w:color w:val="000000" w:themeColor="text1"/>
        </w:rPr>
        <w:t>bility weights for estimating Dis</w:t>
      </w:r>
      <w:r w:rsidR="0053436E" w:rsidRPr="0062673F">
        <w:rPr>
          <w:color w:val="000000" w:themeColor="text1"/>
        </w:rPr>
        <w:t>a</w:t>
      </w:r>
      <w:r w:rsidR="009431D9" w:rsidRPr="0062673F">
        <w:rPr>
          <w:color w:val="000000" w:themeColor="text1"/>
        </w:rPr>
        <w:t>bi</w:t>
      </w:r>
      <w:r w:rsidR="0053436E" w:rsidRPr="0062673F">
        <w:rPr>
          <w:color w:val="000000" w:themeColor="text1"/>
        </w:rPr>
        <w:t>lity Adjusted Life Years (</w:t>
      </w:r>
      <w:r w:rsidR="00CC7EFC" w:rsidRPr="0062673F">
        <w:rPr>
          <w:color w:val="000000" w:themeColor="text1"/>
        </w:rPr>
        <w:t>DALY</w:t>
      </w:r>
      <w:r w:rsidR="0053436E" w:rsidRPr="0062673F">
        <w:rPr>
          <w:color w:val="000000" w:themeColor="text1"/>
        </w:rPr>
        <w:t>s) were taken from the Global Burden of Disease Study; healthcare costs were taken from NHS England programme budgeting data.</w:t>
      </w:r>
      <w:r w:rsidR="00175583" w:rsidRPr="0062673F">
        <w:rPr>
          <w:color w:val="000000" w:themeColor="text1"/>
        </w:rPr>
        <w:t xml:space="preserve"> </w:t>
      </w:r>
    </w:p>
    <w:p w14:paraId="189C606F" w14:textId="02FABB14" w:rsidR="00AF514E" w:rsidRPr="0062673F" w:rsidRDefault="00175583" w:rsidP="00AF514E">
      <w:pPr>
        <w:rPr>
          <w:color w:val="000000" w:themeColor="text1"/>
        </w:rPr>
      </w:pPr>
      <w:r w:rsidRPr="0062673F">
        <w:rPr>
          <w:color w:val="000000" w:themeColor="text1"/>
        </w:rPr>
        <w:t>The main outcome measures were change in the percentage of the children (aged 5-17 years) with obesity defined using the International Obesity Task Force cut-points, and change in health status (DALYS). Monte Carlo analyses was used to estimate 95% uncertainty intervals.</w:t>
      </w:r>
    </w:p>
    <w:p w14:paraId="6E1CCE67" w14:textId="6AE91D29" w:rsidR="00A53B0F" w:rsidRPr="0062673F" w:rsidRDefault="008B0EA3" w:rsidP="00A53B0F">
      <w:pPr>
        <w:rPr>
          <w:color w:val="000000" w:themeColor="text1"/>
        </w:rPr>
      </w:pPr>
      <w:r w:rsidRPr="0062673F">
        <w:rPr>
          <w:color w:val="000000" w:themeColor="text1"/>
        </w:rPr>
        <w:t>W</w:t>
      </w:r>
      <w:r w:rsidR="00A53B0F" w:rsidRPr="0062673F">
        <w:rPr>
          <w:color w:val="000000" w:themeColor="text1"/>
        </w:rPr>
        <w:t>e estimate that</w:t>
      </w:r>
      <w:r w:rsidRPr="0062673F">
        <w:rPr>
          <w:color w:val="000000" w:themeColor="text1"/>
        </w:rPr>
        <w:t xml:space="preserve"> if all HFSS advertising between </w:t>
      </w:r>
      <w:r w:rsidR="008F406E">
        <w:rPr>
          <w:color w:val="000000" w:themeColor="text1"/>
        </w:rPr>
        <w:t>05.30 hours</w:t>
      </w:r>
      <w:r w:rsidRPr="0062673F">
        <w:rPr>
          <w:color w:val="000000" w:themeColor="text1"/>
        </w:rPr>
        <w:t xml:space="preserve"> and </w:t>
      </w:r>
      <w:r w:rsidR="008F406E">
        <w:rPr>
          <w:color w:val="000000" w:themeColor="text1"/>
        </w:rPr>
        <w:t>21.00 hours</w:t>
      </w:r>
      <w:r w:rsidRPr="0062673F">
        <w:rPr>
          <w:color w:val="000000" w:themeColor="text1"/>
        </w:rPr>
        <w:t xml:space="preserve"> was withdrawn, </w:t>
      </w:r>
      <w:r w:rsidR="00414C96" w:rsidRPr="0062673F">
        <w:rPr>
          <w:color w:val="000000" w:themeColor="text1"/>
        </w:rPr>
        <w:t xml:space="preserve">UK </w:t>
      </w:r>
      <w:r w:rsidR="00A53B0F" w:rsidRPr="0062673F">
        <w:rPr>
          <w:color w:val="000000" w:themeColor="text1"/>
        </w:rPr>
        <w:t>children</w:t>
      </w:r>
      <w:r w:rsidR="00175583" w:rsidRPr="0062673F">
        <w:rPr>
          <w:color w:val="000000" w:themeColor="text1"/>
        </w:rPr>
        <w:t xml:space="preserve"> (n=13,729,000), </w:t>
      </w:r>
      <w:r w:rsidR="00A53B0F" w:rsidRPr="0062673F">
        <w:rPr>
          <w:color w:val="000000" w:themeColor="text1"/>
        </w:rPr>
        <w:t>would see on average 1.5 fewer HFSS adverts per day and decrease</w:t>
      </w:r>
      <w:r w:rsidR="00EB5AAE" w:rsidRPr="0062673F">
        <w:rPr>
          <w:color w:val="000000" w:themeColor="text1"/>
        </w:rPr>
        <w:t xml:space="preserve"> caloric intake</w:t>
      </w:r>
      <w:r w:rsidR="00A53B0F" w:rsidRPr="0062673F">
        <w:rPr>
          <w:color w:val="000000" w:themeColor="text1"/>
        </w:rPr>
        <w:t xml:space="preserve"> by 9.1kcal (95 CI: 0.5kcal-17.7kcal), which would reduce the number of children</w:t>
      </w:r>
      <w:r w:rsidRPr="0062673F">
        <w:rPr>
          <w:color w:val="000000" w:themeColor="text1"/>
        </w:rPr>
        <w:t xml:space="preserve"> (aged 5-17 years)</w:t>
      </w:r>
      <w:r w:rsidR="00A53B0F" w:rsidRPr="0062673F">
        <w:rPr>
          <w:color w:val="000000" w:themeColor="text1"/>
        </w:rPr>
        <w:t xml:space="preserve"> with obesity by 4.6% (1.4%-9.5%) and with overweight </w:t>
      </w:r>
      <w:r w:rsidR="00C70062" w:rsidRPr="0062673F">
        <w:rPr>
          <w:color w:val="000000" w:themeColor="text1"/>
        </w:rPr>
        <w:t>(including obesity)</w:t>
      </w:r>
      <w:r w:rsidR="00414C96" w:rsidRPr="0062673F">
        <w:rPr>
          <w:color w:val="000000" w:themeColor="text1"/>
        </w:rPr>
        <w:t xml:space="preserve"> </w:t>
      </w:r>
      <w:r w:rsidR="00A66B50" w:rsidRPr="0062673F">
        <w:rPr>
          <w:color w:val="000000" w:themeColor="text1"/>
        </w:rPr>
        <w:t>by 3.6% (1.1%-7.4</w:t>
      </w:r>
      <w:r w:rsidR="00A53B0F" w:rsidRPr="0062673F">
        <w:rPr>
          <w:color w:val="000000" w:themeColor="text1"/>
        </w:rPr>
        <w:t xml:space="preserve">%) This is equivalent to 40,000 (12,000-81,000) fewer </w:t>
      </w:r>
      <w:r w:rsidR="00414C96" w:rsidRPr="0062673F">
        <w:rPr>
          <w:color w:val="000000" w:themeColor="text1"/>
        </w:rPr>
        <w:t xml:space="preserve">UK </w:t>
      </w:r>
      <w:r w:rsidR="00A53B0F" w:rsidRPr="0062673F">
        <w:rPr>
          <w:color w:val="000000" w:themeColor="text1"/>
        </w:rPr>
        <w:t>children with obesity, and 120,000 (34,000-240,000)</w:t>
      </w:r>
      <w:r w:rsidR="00C930AD" w:rsidRPr="0062673F">
        <w:rPr>
          <w:color w:val="000000" w:themeColor="text1"/>
        </w:rPr>
        <w:t xml:space="preserve"> fewer</w:t>
      </w:r>
      <w:r w:rsidR="00A53B0F" w:rsidRPr="0062673F">
        <w:rPr>
          <w:color w:val="000000" w:themeColor="text1"/>
        </w:rPr>
        <w:t xml:space="preserve"> with overweight. For children</w:t>
      </w:r>
      <w:r w:rsidR="00175583" w:rsidRPr="0062673F">
        <w:rPr>
          <w:color w:val="000000" w:themeColor="text1"/>
        </w:rPr>
        <w:t xml:space="preserve"> alive in 2015</w:t>
      </w:r>
      <w:r w:rsidR="00A53B0F" w:rsidRPr="0062673F">
        <w:rPr>
          <w:color w:val="000000" w:themeColor="text1"/>
        </w:rPr>
        <w:t xml:space="preserve"> (n=13,729,000) </w:t>
      </w:r>
      <w:r w:rsidR="009431D9" w:rsidRPr="0062673F">
        <w:rPr>
          <w:color w:val="000000" w:themeColor="text1"/>
        </w:rPr>
        <w:t>this would avert</w:t>
      </w:r>
      <w:r w:rsidR="00EB5AAE" w:rsidRPr="0062673F">
        <w:rPr>
          <w:color w:val="000000" w:themeColor="text1"/>
        </w:rPr>
        <w:t xml:space="preserve"> </w:t>
      </w:r>
      <w:r w:rsidR="00A53B0F" w:rsidRPr="0062673F">
        <w:rPr>
          <w:color w:val="000000" w:themeColor="text1"/>
        </w:rPr>
        <w:t xml:space="preserve">240,000 (65,000-530,000) </w:t>
      </w:r>
      <w:r w:rsidR="00CC7EFC" w:rsidRPr="0062673F">
        <w:rPr>
          <w:color w:val="000000" w:themeColor="text1"/>
        </w:rPr>
        <w:t>DALY</w:t>
      </w:r>
      <w:r w:rsidR="00A53B0F" w:rsidRPr="0062673F">
        <w:rPr>
          <w:color w:val="000000" w:themeColor="text1"/>
        </w:rPr>
        <w:t>s</w:t>
      </w:r>
      <w:r w:rsidR="00C930AD" w:rsidRPr="0062673F">
        <w:rPr>
          <w:color w:val="000000" w:themeColor="text1"/>
        </w:rPr>
        <w:t xml:space="preserve"> across their lifetime</w:t>
      </w:r>
      <w:r w:rsidR="00175583" w:rsidRPr="0062673F">
        <w:rPr>
          <w:color w:val="000000" w:themeColor="text1"/>
        </w:rPr>
        <w:t xml:space="preserve"> (i.e. followed from 2015 through to death)</w:t>
      </w:r>
      <w:r w:rsidR="00A53B0F" w:rsidRPr="0062673F">
        <w:rPr>
          <w:color w:val="000000" w:themeColor="text1"/>
        </w:rPr>
        <w:t xml:space="preserve">, </w:t>
      </w:r>
      <w:r w:rsidR="00F774A6" w:rsidRPr="0062673F">
        <w:rPr>
          <w:color w:val="000000" w:themeColor="text1"/>
        </w:rPr>
        <w:t xml:space="preserve">and </w:t>
      </w:r>
      <w:r w:rsidR="00A53B0F" w:rsidRPr="0062673F">
        <w:rPr>
          <w:color w:val="000000" w:themeColor="text1"/>
        </w:rPr>
        <w:t>result in a</w:t>
      </w:r>
      <w:r w:rsidR="0041451A" w:rsidRPr="0062673F">
        <w:rPr>
          <w:color w:val="000000" w:themeColor="text1"/>
        </w:rPr>
        <w:t xml:space="preserve"> health-related net</w:t>
      </w:r>
      <w:r w:rsidR="00A53B0F" w:rsidRPr="0062673F">
        <w:rPr>
          <w:color w:val="000000" w:themeColor="text1"/>
        </w:rPr>
        <w:t xml:space="preserve"> monetary benefit of £7.4 billion (£2.0 billion-£16 billion)</w:t>
      </w:r>
      <w:r w:rsidR="007A2793">
        <w:rPr>
          <w:color w:val="000000" w:themeColor="text1"/>
        </w:rPr>
        <w:t xml:space="preserve"> to society</w:t>
      </w:r>
      <w:r w:rsidR="00EB5AAE" w:rsidRPr="0062673F">
        <w:rPr>
          <w:color w:val="000000" w:themeColor="text1"/>
        </w:rPr>
        <w:t xml:space="preserve">. </w:t>
      </w:r>
      <w:r w:rsidR="00A53B0F" w:rsidRPr="0062673F">
        <w:rPr>
          <w:color w:val="000000" w:themeColor="text1"/>
        </w:rPr>
        <w:t>Under a scenario where</w:t>
      </w:r>
      <w:r w:rsidR="0053436E" w:rsidRPr="0062673F">
        <w:rPr>
          <w:color w:val="000000" w:themeColor="text1"/>
        </w:rPr>
        <w:t xml:space="preserve"> all HFSS advertising is displaced</w:t>
      </w:r>
      <w:r w:rsidR="001812DD" w:rsidRPr="0062673F">
        <w:rPr>
          <w:color w:val="000000" w:themeColor="text1"/>
        </w:rPr>
        <w:t xml:space="preserve"> to after </w:t>
      </w:r>
      <w:r w:rsidR="008F406E">
        <w:rPr>
          <w:color w:val="000000" w:themeColor="text1"/>
        </w:rPr>
        <w:t>21.00 hours</w:t>
      </w:r>
      <w:r w:rsidR="00EB5AAE" w:rsidRPr="0062673F">
        <w:rPr>
          <w:color w:val="000000" w:themeColor="text1"/>
        </w:rPr>
        <w:t xml:space="preserve">, we estimate </w:t>
      </w:r>
      <w:r w:rsidR="00C930AD" w:rsidRPr="0062673F">
        <w:rPr>
          <w:color w:val="000000" w:themeColor="text1"/>
        </w:rPr>
        <w:t xml:space="preserve">that </w:t>
      </w:r>
      <w:r w:rsidR="00EB5AAE" w:rsidRPr="0062673F">
        <w:rPr>
          <w:color w:val="000000" w:themeColor="text1"/>
        </w:rPr>
        <w:t>the</w:t>
      </w:r>
      <w:r w:rsidR="00A53B0F" w:rsidRPr="0062673F">
        <w:rPr>
          <w:color w:val="000000" w:themeColor="text1"/>
        </w:rPr>
        <w:t xml:space="preserve"> benefits </w:t>
      </w:r>
      <w:r w:rsidR="00C930AD" w:rsidRPr="0062673F">
        <w:rPr>
          <w:color w:val="000000" w:themeColor="text1"/>
        </w:rPr>
        <w:t>would be reduced</w:t>
      </w:r>
      <w:r w:rsidR="00A53B0F" w:rsidRPr="0062673F">
        <w:rPr>
          <w:color w:val="000000" w:themeColor="text1"/>
        </w:rPr>
        <w:t xml:space="preserve"> by around two-thirds.</w:t>
      </w:r>
    </w:p>
    <w:p w14:paraId="73D1873B" w14:textId="0C1094C6" w:rsidR="00175583" w:rsidRPr="0062673F" w:rsidRDefault="00175583" w:rsidP="00A53B0F">
      <w:pPr>
        <w:rPr>
          <w:color w:val="000000" w:themeColor="text1"/>
        </w:rPr>
      </w:pPr>
      <w:r w:rsidRPr="0062673F">
        <w:rPr>
          <w:color w:val="000000" w:themeColor="text1"/>
        </w:rPr>
        <w:t>This is a modelling study and subject to uncertainty</w:t>
      </w:r>
      <w:r w:rsidR="008A0E9C" w:rsidRPr="0062673F">
        <w:rPr>
          <w:color w:val="000000" w:themeColor="text1"/>
        </w:rPr>
        <w:t>; we cannot fully and accurately account for all of the factors that will affect the impact of this policy if implement</w:t>
      </w:r>
      <w:r w:rsidR="00A03787">
        <w:rPr>
          <w:color w:val="000000" w:themeColor="text1"/>
        </w:rPr>
        <w:t xml:space="preserve">. Whilst </w:t>
      </w:r>
      <w:r w:rsidR="00C027CA">
        <w:rPr>
          <w:color w:val="000000" w:themeColor="text1"/>
        </w:rPr>
        <w:t>randomised trials show that children exposed to less-healthy food advertising consume more calories, there is uncertainty about the nature of the dose-response relationship between HFSS advertising and calorie intake</w:t>
      </w:r>
      <w:r w:rsidR="008A0E9C" w:rsidRPr="0062673F">
        <w:rPr>
          <w:color w:val="000000" w:themeColor="text1"/>
        </w:rPr>
        <w:t>.</w:t>
      </w:r>
    </w:p>
    <w:p w14:paraId="213B8CD7" w14:textId="6641FF24" w:rsidR="00871306" w:rsidRPr="0062673F" w:rsidRDefault="00AF514E" w:rsidP="00EB5AAE">
      <w:pPr>
        <w:rPr>
          <w:color w:val="000000" w:themeColor="text1"/>
        </w:rPr>
      </w:pPr>
      <w:r w:rsidRPr="0062673F">
        <w:rPr>
          <w:color w:val="000000" w:themeColor="text1"/>
        </w:rPr>
        <w:t>Conclusion</w:t>
      </w:r>
      <w:r w:rsidR="00EB5AAE" w:rsidRPr="0062673F">
        <w:rPr>
          <w:color w:val="000000" w:themeColor="text1"/>
        </w:rPr>
        <w:t xml:space="preserve">: </w:t>
      </w:r>
      <w:r w:rsidR="00D46F8D" w:rsidRPr="0062673F">
        <w:rPr>
          <w:color w:val="000000" w:themeColor="text1"/>
        </w:rPr>
        <w:t>Our resul</w:t>
      </w:r>
      <w:r w:rsidR="00067B6B" w:rsidRPr="0062673F">
        <w:rPr>
          <w:color w:val="000000" w:themeColor="text1"/>
        </w:rPr>
        <w:t xml:space="preserve">ts show that </w:t>
      </w:r>
      <w:r w:rsidR="001812DD" w:rsidRPr="0062673F">
        <w:rPr>
          <w:color w:val="000000" w:themeColor="text1"/>
        </w:rPr>
        <w:t xml:space="preserve">HFSS </w:t>
      </w:r>
      <w:r w:rsidR="00067B6B" w:rsidRPr="0062673F">
        <w:rPr>
          <w:color w:val="000000" w:themeColor="text1"/>
        </w:rPr>
        <w:t xml:space="preserve">television </w:t>
      </w:r>
      <w:r w:rsidR="001812DD" w:rsidRPr="0062673F">
        <w:rPr>
          <w:color w:val="000000" w:themeColor="text1"/>
        </w:rPr>
        <w:t xml:space="preserve">advertising </w:t>
      </w:r>
      <w:r w:rsidR="00067B6B" w:rsidRPr="0062673F">
        <w:rPr>
          <w:color w:val="000000" w:themeColor="text1"/>
        </w:rPr>
        <w:t xml:space="preserve">restrictions </w:t>
      </w:r>
      <w:r w:rsidR="001812DD" w:rsidRPr="0062673F">
        <w:rPr>
          <w:color w:val="000000" w:themeColor="text1"/>
        </w:rPr>
        <w:t xml:space="preserve">between </w:t>
      </w:r>
      <w:r w:rsidR="008F406E">
        <w:rPr>
          <w:color w:val="000000" w:themeColor="text1"/>
        </w:rPr>
        <w:t>05.30 hours</w:t>
      </w:r>
      <w:r w:rsidR="001812DD" w:rsidRPr="0062673F">
        <w:rPr>
          <w:color w:val="000000" w:themeColor="text1"/>
        </w:rPr>
        <w:t xml:space="preserve"> and </w:t>
      </w:r>
      <w:r w:rsidR="008F406E">
        <w:rPr>
          <w:color w:val="000000" w:themeColor="text1"/>
        </w:rPr>
        <w:t>21.00 hours</w:t>
      </w:r>
      <w:r w:rsidR="00067B6B" w:rsidRPr="0062673F">
        <w:rPr>
          <w:color w:val="000000" w:themeColor="text1"/>
        </w:rPr>
        <w:t xml:space="preserve"> in the UK</w:t>
      </w:r>
      <w:r w:rsidR="00EB5AAE" w:rsidRPr="0062673F">
        <w:rPr>
          <w:color w:val="000000" w:themeColor="text1"/>
        </w:rPr>
        <w:t>, could make a meaningful contribution to reducing childhood obesit</w:t>
      </w:r>
      <w:r w:rsidR="001812DD" w:rsidRPr="0062673F">
        <w:rPr>
          <w:color w:val="000000" w:themeColor="text1"/>
        </w:rPr>
        <w:t xml:space="preserve">y. </w:t>
      </w:r>
      <w:r w:rsidR="008F406E">
        <w:rPr>
          <w:color w:val="000000" w:themeColor="text1"/>
        </w:rPr>
        <w:t xml:space="preserve">We estimate that the </w:t>
      </w:r>
      <w:r w:rsidR="005A3D7B">
        <w:rPr>
          <w:color w:val="000000" w:themeColor="text1"/>
        </w:rPr>
        <w:t>impact on childhood obesity</w:t>
      </w:r>
      <w:r w:rsidR="001812DD" w:rsidRPr="0062673F">
        <w:rPr>
          <w:color w:val="000000" w:themeColor="text1"/>
        </w:rPr>
        <w:t xml:space="preserve"> of this policy</w:t>
      </w:r>
      <w:r w:rsidR="00EB5AAE" w:rsidRPr="0062673F">
        <w:rPr>
          <w:color w:val="000000" w:themeColor="text1"/>
        </w:rPr>
        <w:t xml:space="preserve"> may be reduced</w:t>
      </w:r>
      <w:r w:rsidR="008F406E">
        <w:rPr>
          <w:color w:val="000000" w:themeColor="text1"/>
        </w:rPr>
        <w:t xml:space="preserve"> by around two-thirds</w:t>
      </w:r>
      <w:r w:rsidR="00EB5AAE" w:rsidRPr="0062673F">
        <w:rPr>
          <w:color w:val="000000" w:themeColor="text1"/>
        </w:rPr>
        <w:t xml:space="preserve"> if </w:t>
      </w:r>
      <w:r w:rsidR="0053436E" w:rsidRPr="0062673F">
        <w:rPr>
          <w:color w:val="000000" w:themeColor="text1"/>
        </w:rPr>
        <w:t>adverts are displac</w:t>
      </w:r>
      <w:r w:rsidR="001812DD" w:rsidRPr="0062673F">
        <w:rPr>
          <w:color w:val="000000" w:themeColor="text1"/>
        </w:rPr>
        <w:t xml:space="preserve">ed to after </w:t>
      </w:r>
      <w:r w:rsidR="008F406E">
        <w:rPr>
          <w:color w:val="000000" w:themeColor="text1"/>
        </w:rPr>
        <w:t>21.00 hours</w:t>
      </w:r>
      <w:r w:rsidR="00EB5AAE" w:rsidRPr="0062673F">
        <w:rPr>
          <w:color w:val="000000" w:themeColor="text1"/>
        </w:rPr>
        <w:t xml:space="preserve"> rather than being withdrawn.</w:t>
      </w:r>
      <w:r w:rsidR="00871306" w:rsidRPr="0062673F">
        <w:rPr>
          <w:color w:val="000000" w:themeColor="text1"/>
        </w:rPr>
        <w:t xml:space="preserve"> </w:t>
      </w:r>
    </w:p>
    <w:p w14:paraId="2B6ACBD8" w14:textId="0F4E1BCB" w:rsidR="00646603" w:rsidRPr="0062673F" w:rsidRDefault="00646603" w:rsidP="00AF514E">
      <w:pPr>
        <w:rPr>
          <w:color w:val="000000" w:themeColor="text1"/>
        </w:rPr>
      </w:pPr>
    </w:p>
    <w:p w14:paraId="08C36555" w14:textId="77777777" w:rsidR="00646603" w:rsidRPr="0062673F" w:rsidRDefault="00646603">
      <w:pPr>
        <w:rPr>
          <w:b/>
          <w:color w:val="000000" w:themeColor="text1"/>
        </w:rPr>
      </w:pPr>
      <w:r w:rsidRPr="0062673F">
        <w:rPr>
          <w:b/>
          <w:color w:val="000000" w:themeColor="text1"/>
        </w:rPr>
        <w:br w:type="page"/>
      </w:r>
    </w:p>
    <w:p w14:paraId="428D0334" w14:textId="1B398581" w:rsidR="00646603" w:rsidRPr="0062673F" w:rsidRDefault="00646603" w:rsidP="00AF514E">
      <w:pPr>
        <w:rPr>
          <w:b/>
          <w:color w:val="000000" w:themeColor="text1"/>
          <w:sz w:val="28"/>
          <w:szCs w:val="28"/>
        </w:rPr>
      </w:pPr>
      <w:r w:rsidRPr="0062673F">
        <w:rPr>
          <w:b/>
          <w:color w:val="000000" w:themeColor="text1"/>
          <w:sz w:val="28"/>
          <w:szCs w:val="28"/>
        </w:rPr>
        <w:t>Author Summary</w:t>
      </w:r>
    </w:p>
    <w:p w14:paraId="7DBF1F62" w14:textId="77777777" w:rsidR="00646603" w:rsidRPr="0062673F" w:rsidRDefault="00646603" w:rsidP="00946DA1">
      <w:pPr>
        <w:pStyle w:val="NormalWeb"/>
        <w:spacing w:before="0" w:beforeAutospacing="0" w:after="270" w:afterAutospacing="0" w:line="270" w:lineRule="atLeast"/>
        <w:rPr>
          <w:rStyle w:val="Strong"/>
          <w:rFonts w:asciiTheme="minorHAnsi" w:hAnsiTheme="minorHAnsi" w:cstheme="minorHAnsi"/>
          <w:b w:val="0"/>
          <w:bCs w:val="0"/>
          <w:color w:val="000000" w:themeColor="text1"/>
          <w:lang w:val="en"/>
        </w:rPr>
      </w:pPr>
      <w:r w:rsidRPr="0062673F">
        <w:rPr>
          <w:rStyle w:val="Strong"/>
          <w:rFonts w:asciiTheme="minorHAnsi" w:hAnsiTheme="minorHAnsi" w:cstheme="minorHAnsi"/>
          <w:color w:val="000000" w:themeColor="text1"/>
          <w:lang w:val="en"/>
        </w:rPr>
        <w:t>Why Was This Study Done?</w:t>
      </w:r>
    </w:p>
    <w:p w14:paraId="5112EF15" w14:textId="6AEA9C9A" w:rsidR="00946DA1" w:rsidRPr="0062673F" w:rsidRDefault="002E53AB" w:rsidP="00646603">
      <w:pPr>
        <w:pStyle w:val="NormalWeb"/>
        <w:numPr>
          <w:ilvl w:val="0"/>
          <w:numId w:val="11"/>
        </w:numPr>
        <w:spacing w:before="0" w:beforeAutospacing="0" w:after="270" w:afterAutospacing="0" w:line="270" w:lineRule="atLeast"/>
        <w:rPr>
          <w:rStyle w:val="Strong"/>
          <w:rFonts w:asciiTheme="minorHAnsi" w:hAnsiTheme="minorHAnsi" w:cstheme="minorHAnsi"/>
          <w:b w:val="0"/>
          <w:bCs w:val="0"/>
          <w:color w:val="000000" w:themeColor="text1"/>
          <w:lang w:val="en"/>
        </w:rPr>
      </w:pPr>
      <w:r>
        <w:rPr>
          <w:rStyle w:val="Strong"/>
          <w:rFonts w:asciiTheme="minorHAnsi" w:hAnsiTheme="minorHAnsi" w:cstheme="minorHAnsi"/>
          <w:b w:val="0"/>
          <w:bCs w:val="0"/>
          <w:color w:val="000000" w:themeColor="text1"/>
          <w:lang w:val="en"/>
        </w:rPr>
        <w:t>Watching</w:t>
      </w:r>
      <w:r w:rsidR="00646603" w:rsidRPr="0062673F">
        <w:rPr>
          <w:rStyle w:val="Strong"/>
          <w:rFonts w:asciiTheme="minorHAnsi" w:hAnsiTheme="minorHAnsi" w:cstheme="minorHAnsi"/>
          <w:b w:val="0"/>
          <w:bCs w:val="0"/>
          <w:color w:val="000000" w:themeColor="text1"/>
          <w:lang w:val="en"/>
        </w:rPr>
        <w:t xml:space="preserve"> unhealthy food advertising increas</w:t>
      </w:r>
      <w:r w:rsidR="00946DA1" w:rsidRPr="0062673F">
        <w:rPr>
          <w:rStyle w:val="Strong"/>
          <w:rFonts w:asciiTheme="minorHAnsi" w:hAnsiTheme="minorHAnsi" w:cstheme="minorHAnsi"/>
          <w:b w:val="0"/>
          <w:bCs w:val="0"/>
          <w:color w:val="000000" w:themeColor="text1"/>
          <w:lang w:val="en"/>
        </w:rPr>
        <w:t>e</w:t>
      </w:r>
      <w:r>
        <w:rPr>
          <w:rStyle w:val="Strong"/>
          <w:rFonts w:asciiTheme="minorHAnsi" w:hAnsiTheme="minorHAnsi" w:cstheme="minorHAnsi"/>
          <w:b w:val="0"/>
          <w:bCs w:val="0"/>
          <w:color w:val="000000" w:themeColor="text1"/>
          <w:lang w:val="en"/>
        </w:rPr>
        <w:t>s</w:t>
      </w:r>
      <w:r w:rsidR="00946DA1" w:rsidRPr="0062673F">
        <w:rPr>
          <w:rStyle w:val="Strong"/>
          <w:rFonts w:asciiTheme="minorHAnsi" w:hAnsiTheme="minorHAnsi" w:cstheme="minorHAnsi"/>
          <w:b w:val="0"/>
          <w:bCs w:val="0"/>
          <w:color w:val="000000" w:themeColor="text1"/>
          <w:lang w:val="en"/>
        </w:rPr>
        <w:t xml:space="preserve"> the calories children eat</w:t>
      </w:r>
      <w:r w:rsidR="008A0E9C" w:rsidRPr="0062673F">
        <w:rPr>
          <w:rStyle w:val="Strong"/>
          <w:rFonts w:asciiTheme="minorHAnsi" w:hAnsiTheme="minorHAnsi" w:cstheme="minorHAnsi"/>
          <w:b w:val="0"/>
          <w:bCs w:val="0"/>
          <w:color w:val="000000" w:themeColor="text1"/>
          <w:lang w:val="en"/>
        </w:rPr>
        <w:t>.</w:t>
      </w:r>
      <w:r w:rsidR="00946DA1" w:rsidRPr="0062673F">
        <w:rPr>
          <w:rStyle w:val="Strong"/>
          <w:rFonts w:asciiTheme="minorHAnsi" w:hAnsiTheme="minorHAnsi" w:cstheme="minorHAnsi"/>
          <w:b w:val="0"/>
          <w:bCs w:val="0"/>
          <w:color w:val="000000" w:themeColor="text1"/>
          <w:lang w:val="en"/>
        </w:rPr>
        <w:t xml:space="preserve"> </w:t>
      </w:r>
    </w:p>
    <w:p w14:paraId="6E8F5234" w14:textId="44AA763B" w:rsidR="00646603" w:rsidRPr="0062673F" w:rsidRDefault="00946DA1" w:rsidP="00646603">
      <w:pPr>
        <w:pStyle w:val="NormalWeb"/>
        <w:numPr>
          <w:ilvl w:val="0"/>
          <w:numId w:val="11"/>
        </w:numPr>
        <w:spacing w:before="0" w:beforeAutospacing="0" w:after="270" w:afterAutospacing="0" w:line="270" w:lineRule="atLeast"/>
        <w:rPr>
          <w:rStyle w:val="Strong"/>
          <w:rFonts w:asciiTheme="minorHAnsi" w:hAnsiTheme="minorHAnsi" w:cstheme="minorHAnsi"/>
          <w:b w:val="0"/>
          <w:bCs w:val="0"/>
          <w:color w:val="000000" w:themeColor="text1"/>
          <w:lang w:val="en"/>
        </w:rPr>
      </w:pPr>
      <w:r w:rsidRPr="0062673F">
        <w:rPr>
          <w:rStyle w:val="Strong"/>
          <w:rFonts w:asciiTheme="minorHAnsi" w:hAnsiTheme="minorHAnsi" w:cstheme="minorHAnsi"/>
          <w:b w:val="0"/>
          <w:bCs w:val="0"/>
          <w:color w:val="000000" w:themeColor="text1"/>
          <w:lang w:val="en"/>
        </w:rPr>
        <w:t xml:space="preserve">While </w:t>
      </w:r>
      <w:r w:rsidR="002E53AB">
        <w:rPr>
          <w:rStyle w:val="Strong"/>
          <w:rFonts w:asciiTheme="minorHAnsi" w:hAnsiTheme="minorHAnsi" w:cstheme="minorHAnsi"/>
          <w:b w:val="0"/>
          <w:bCs w:val="0"/>
          <w:color w:val="000000" w:themeColor="text1"/>
          <w:lang w:val="en"/>
        </w:rPr>
        <w:t xml:space="preserve">greater </w:t>
      </w:r>
      <w:r w:rsidR="00646603" w:rsidRPr="0062673F">
        <w:rPr>
          <w:rStyle w:val="Strong"/>
          <w:rFonts w:asciiTheme="minorHAnsi" w:hAnsiTheme="minorHAnsi" w:cstheme="minorHAnsi"/>
          <w:b w:val="0"/>
          <w:bCs w:val="0"/>
          <w:color w:val="000000" w:themeColor="text1"/>
          <w:lang w:val="en"/>
        </w:rPr>
        <w:t>calorie intake</w:t>
      </w:r>
      <w:r w:rsidR="002E53AB">
        <w:rPr>
          <w:rStyle w:val="Strong"/>
          <w:rFonts w:asciiTheme="minorHAnsi" w:hAnsiTheme="minorHAnsi" w:cstheme="minorHAnsi"/>
          <w:b w:val="0"/>
          <w:bCs w:val="0"/>
          <w:color w:val="000000" w:themeColor="text1"/>
          <w:lang w:val="en"/>
        </w:rPr>
        <w:t xml:space="preserve"> increases the likelihood of a child gaining excess weight</w:t>
      </w:r>
      <w:r w:rsidRPr="0062673F">
        <w:rPr>
          <w:rStyle w:val="Strong"/>
          <w:rFonts w:asciiTheme="minorHAnsi" w:hAnsiTheme="minorHAnsi" w:cstheme="minorHAnsi"/>
          <w:b w:val="0"/>
          <w:bCs w:val="0"/>
          <w:color w:val="000000" w:themeColor="text1"/>
          <w:lang w:val="en"/>
        </w:rPr>
        <w:t>, little is known about the impact of advertising on childhood obesity and overweight</w:t>
      </w:r>
      <w:r w:rsidR="008A0E9C" w:rsidRPr="0062673F">
        <w:rPr>
          <w:rStyle w:val="Strong"/>
          <w:rFonts w:asciiTheme="minorHAnsi" w:hAnsiTheme="minorHAnsi" w:cstheme="minorHAnsi"/>
          <w:b w:val="0"/>
          <w:bCs w:val="0"/>
          <w:color w:val="000000" w:themeColor="text1"/>
          <w:lang w:val="en"/>
        </w:rPr>
        <w:t>.</w:t>
      </w:r>
    </w:p>
    <w:p w14:paraId="3F145DCB" w14:textId="5A869783" w:rsidR="00646603" w:rsidRPr="0062673F" w:rsidRDefault="00646603" w:rsidP="00646603">
      <w:pPr>
        <w:pStyle w:val="NormalWeb"/>
        <w:numPr>
          <w:ilvl w:val="0"/>
          <w:numId w:val="11"/>
        </w:numPr>
        <w:spacing w:before="0" w:beforeAutospacing="0" w:after="270" w:afterAutospacing="0" w:line="270" w:lineRule="atLeast"/>
        <w:rPr>
          <w:rStyle w:val="Strong"/>
          <w:rFonts w:asciiTheme="minorHAnsi" w:hAnsiTheme="minorHAnsi" w:cstheme="minorHAnsi"/>
          <w:b w:val="0"/>
          <w:bCs w:val="0"/>
          <w:color w:val="000000" w:themeColor="text1"/>
          <w:lang w:val="en"/>
        </w:rPr>
      </w:pPr>
      <w:r w:rsidRPr="0062673F">
        <w:rPr>
          <w:rStyle w:val="Strong"/>
          <w:rFonts w:asciiTheme="minorHAnsi" w:hAnsiTheme="minorHAnsi" w:cstheme="minorHAnsi"/>
          <w:b w:val="0"/>
          <w:bCs w:val="0"/>
          <w:color w:val="000000" w:themeColor="text1"/>
          <w:lang w:val="en"/>
        </w:rPr>
        <w:t xml:space="preserve">Restrictions on </w:t>
      </w:r>
      <w:r w:rsidR="002E53AB">
        <w:rPr>
          <w:rStyle w:val="Strong"/>
          <w:rFonts w:asciiTheme="minorHAnsi" w:hAnsiTheme="minorHAnsi" w:cstheme="minorHAnsi"/>
          <w:b w:val="0"/>
          <w:bCs w:val="0"/>
          <w:color w:val="000000" w:themeColor="text1"/>
          <w:lang w:val="en"/>
        </w:rPr>
        <w:t>television</w:t>
      </w:r>
      <w:r w:rsidRPr="0062673F">
        <w:rPr>
          <w:rStyle w:val="Strong"/>
          <w:rFonts w:asciiTheme="minorHAnsi" w:hAnsiTheme="minorHAnsi" w:cstheme="minorHAnsi"/>
          <w:b w:val="0"/>
          <w:bCs w:val="0"/>
          <w:color w:val="000000" w:themeColor="text1"/>
          <w:lang w:val="en"/>
        </w:rPr>
        <w:t xml:space="preserve"> advertising of unhealthy food are actively being considered in the UK to help prevent childhood obesity; the impact of these proposed restriction</w:t>
      </w:r>
      <w:r w:rsidR="002E53AB">
        <w:rPr>
          <w:rStyle w:val="Strong"/>
          <w:rFonts w:asciiTheme="minorHAnsi" w:hAnsiTheme="minorHAnsi" w:cstheme="minorHAnsi"/>
          <w:b w:val="0"/>
          <w:bCs w:val="0"/>
          <w:color w:val="000000" w:themeColor="text1"/>
          <w:lang w:val="en"/>
        </w:rPr>
        <w:t>s</w:t>
      </w:r>
      <w:r w:rsidRPr="0062673F">
        <w:rPr>
          <w:rStyle w:val="Strong"/>
          <w:rFonts w:asciiTheme="minorHAnsi" w:hAnsiTheme="minorHAnsi" w:cstheme="minorHAnsi"/>
          <w:b w:val="0"/>
          <w:bCs w:val="0"/>
          <w:color w:val="000000" w:themeColor="text1"/>
          <w:lang w:val="en"/>
        </w:rPr>
        <w:t xml:space="preserve"> is unknown</w:t>
      </w:r>
      <w:r w:rsidR="008A0E9C" w:rsidRPr="0062673F">
        <w:rPr>
          <w:rStyle w:val="Strong"/>
          <w:rFonts w:asciiTheme="minorHAnsi" w:hAnsiTheme="minorHAnsi" w:cstheme="minorHAnsi"/>
          <w:b w:val="0"/>
          <w:bCs w:val="0"/>
          <w:color w:val="000000" w:themeColor="text1"/>
          <w:lang w:val="en"/>
        </w:rPr>
        <w:t>.</w:t>
      </w:r>
    </w:p>
    <w:p w14:paraId="18355B3D" w14:textId="436BEA9A" w:rsidR="00646603" w:rsidRPr="0062673F" w:rsidRDefault="00646603" w:rsidP="00946DA1">
      <w:pPr>
        <w:pStyle w:val="NormalWeb"/>
        <w:spacing w:before="0" w:beforeAutospacing="0" w:after="270" w:afterAutospacing="0" w:line="270" w:lineRule="atLeast"/>
        <w:rPr>
          <w:rFonts w:asciiTheme="minorHAnsi" w:hAnsiTheme="minorHAnsi" w:cstheme="minorHAnsi"/>
          <w:color w:val="000000" w:themeColor="text1"/>
          <w:lang w:val="en"/>
        </w:rPr>
      </w:pPr>
      <w:r w:rsidRPr="0062673F">
        <w:rPr>
          <w:rStyle w:val="Strong"/>
          <w:rFonts w:asciiTheme="minorHAnsi" w:hAnsiTheme="minorHAnsi" w:cstheme="minorHAnsi"/>
          <w:color w:val="000000" w:themeColor="text1"/>
          <w:lang w:val="en"/>
        </w:rPr>
        <w:t>What Did the Researchers Do and Find?</w:t>
      </w:r>
      <w:r w:rsidRPr="0062673F">
        <w:rPr>
          <w:rFonts w:asciiTheme="minorHAnsi" w:hAnsiTheme="minorHAnsi" w:cstheme="minorHAnsi"/>
          <w:color w:val="000000" w:themeColor="text1"/>
          <w:lang w:val="en"/>
        </w:rPr>
        <w:t>     </w:t>
      </w:r>
    </w:p>
    <w:p w14:paraId="4FBDA8B9" w14:textId="5CEF5640" w:rsidR="00946DA1" w:rsidRPr="009626D9" w:rsidRDefault="00946DA1" w:rsidP="00FC7AAD">
      <w:pPr>
        <w:pStyle w:val="ListParagraph"/>
        <w:numPr>
          <w:ilvl w:val="0"/>
          <w:numId w:val="11"/>
        </w:numPr>
        <w:rPr>
          <w:rFonts w:cstheme="minorHAnsi"/>
          <w:color w:val="000000" w:themeColor="text1"/>
          <w:lang w:val="en"/>
        </w:rPr>
      </w:pPr>
      <w:r w:rsidRPr="0062673F">
        <w:rPr>
          <w:rFonts w:cstheme="minorHAnsi"/>
          <w:color w:val="000000" w:themeColor="text1"/>
          <w:sz w:val="24"/>
          <w:szCs w:val="24"/>
        </w:rPr>
        <w:t xml:space="preserve">We used </w:t>
      </w:r>
      <w:r w:rsidR="002E53AB">
        <w:rPr>
          <w:rFonts w:cstheme="minorHAnsi"/>
          <w:color w:val="000000" w:themeColor="text1"/>
          <w:sz w:val="24"/>
          <w:szCs w:val="24"/>
        </w:rPr>
        <w:t>computer</w:t>
      </w:r>
      <w:r w:rsidRPr="0062673F">
        <w:rPr>
          <w:rFonts w:cstheme="minorHAnsi"/>
          <w:color w:val="000000" w:themeColor="text1"/>
          <w:sz w:val="24"/>
          <w:szCs w:val="24"/>
        </w:rPr>
        <w:t xml:space="preserve"> model</w:t>
      </w:r>
      <w:r w:rsidR="002E53AB">
        <w:rPr>
          <w:rFonts w:cstheme="minorHAnsi"/>
          <w:color w:val="000000" w:themeColor="text1"/>
          <w:sz w:val="24"/>
          <w:szCs w:val="24"/>
        </w:rPr>
        <w:t>ling</w:t>
      </w:r>
      <w:r w:rsidRPr="0062673F">
        <w:rPr>
          <w:rFonts w:cstheme="minorHAnsi"/>
          <w:color w:val="000000" w:themeColor="text1"/>
          <w:sz w:val="24"/>
          <w:szCs w:val="24"/>
        </w:rPr>
        <w:t xml:space="preserve"> to estimate the health impact of proh</w:t>
      </w:r>
      <w:r w:rsidRPr="00546064">
        <w:rPr>
          <w:rFonts w:cstheme="minorHAnsi"/>
          <w:color w:val="000000" w:themeColor="text1"/>
          <w:sz w:val="24"/>
          <w:szCs w:val="24"/>
        </w:rPr>
        <w:t>ibiting the advertising of f</w:t>
      </w:r>
      <w:r w:rsidRPr="00915CA5">
        <w:rPr>
          <w:rFonts w:cstheme="minorHAnsi"/>
          <w:color w:val="000000" w:themeColor="text1"/>
          <w:sz w:val="24"/>
          <w:szCs w:val="24"/>
        </w:rPr>
        <w:t xml:space="preserve">ood and beverages high in fat sugar and salt (HFSS) from </w:t>
      </w:r>
      <w:r w:rsidR="008F406E" w:rsidRPr="00546064">
        <w:rPr>
          <w:rFonts w:cstheme="minorHAnsi"/>
          <w:color w:val="000000" w:themeColor="text1"/>
          <w:sz w:val="24"/>
          <w:szCs w:val="24"/>
        </w:rPr>
        <w:t>05.30 hours</w:t>
      </w:r>
      <w:r w:rsidRPr="00546064">
        <w:rPr>
          <w:rFonts w:cstheme="minorHAnsi"/>
          <w:color w:val="000000" w:themeColor="text1"/>
          <w:sz w:val="24"/>
          <w:szCs w:val="24"/>
        </w:rPr>
        <w:t xml:space="preserve"> to </w:t>
      </w:r>
      <w:r w:rsidR="008F406E" w:rsidRPr="00546064">
        <w:rPr>
          <w:rFonts w:cstheme="minorHAnsi"/>
          <w:color w:val="000000" w:themeColor="text1"/>
          <w:sz w:val="24"/>
          <w:szCs w:val="24"/>
        </w:rPr>
        <w:t>21.00 hours</w:t>
      </w:r>
      <w:r w:rsidRPr="00546064">
        <w:rPr>
          <w:rFonts w:cstheme="minorHAnsi"/>
          <w:color w:val="000000" w:themeColor="text1"/>
          <w:sz w:val="24"/>
          <w:szCs w:val="24"/>
        </w:rPr>
        <w:t xml:space="preserve"> on television in the UK.</w:t>
      </w:r>
      <w:r w:rsidRPr="00FC7AAD">
        <w:rPr>
          <w:rFonts w:cstheme="minorHAnsi"/>
          <w:color w:val="000000" w:themeColor="text1"/>
          <w:sz w:val="24"/>
          <w:szCs w:val="24"/>
        </w:rPr>
        <w:t xml:space="preserve">Using 2015 data, we estimate that if all HFSS advertising between </w:t>
      </w:r>
      <w:r w:rsidR="008F406E" w:rsidRPr="00FC7AAD">
        <w:rPr>
          <w:rFonts w:cstheme="minorHAnsi"/>
          <w:color w:val="000000" w:themeColor="text1"/>
          <w:sz w:val="24"/>
          <w:szCs w:val="24"/>
        </w:rPr>
        <w:t>05.30 hours</w:t>
      </w:r>
      <w:r w:rsidRPr="00FC7AAD">
        <w:rPr>
          <w:rFonts w:cstheme="minorHAnsi"/>
          <w:color w:val="000000" w:themeColor="text1"/>
          <w:sz w:val="24"/>
          <w:szCs w:val="24"/>
        </w:rPr>
        <w:t xml:space="preserve"> and </w:t>
      </w:r>
      <w:r w:rsidR="008F406E" w:rsidRPr="00FC7AAD">
        <w:rPr>
          <w:rFonts w:cstheme="minorHAnsi"/>
          <w:color w:val="000000" w:themeColor="text1"/>
          <w:sz w:val="24"/>
          <w:szCs w:val="24"/>
        </w:rPr>
        <w:t>21.00 hours</w:t>
      </w:r>
      <w:r w:rsidRPr="00FC7AAD">
        <w:rPr>
          <w:rFonts w:cstheme="minorHAnsi"/>
          <w:color w:val="000000" w:themeColor="text1"/>
          <w:sz w:val="24"/>
          <w:szCs w:val="24"/>
        </w:rPr>
        <w:t xml:space="preserve"> was withdrawn,children</w:t>
      </w:r>
      <w:r w:rsidR="00546064" w:rsidRPr="00FC7AAD">
        <w:rPr>
          <w:rFonts w:cstheme="minorHAnsi"/>
          <w:color w:val="000000" w:themeColor="text1"/>
          <w:sz w:val="24"/>
          <w:szCs w:val="24"/>
        </w:rPr>
        <w:t xml:space="preserve"> in the UK</w:t>
      </w:r>
      <w:r w:rsidRPr="00FC7AAD">
        <w:rPr>
          <w:rFonts w:cstheme="minorHAnsi"/>
          <w:color w:val="000000" w:themeColor="text1"/>
          <w:sz w:val="24"/>
          <w:szCs w:val="24"/>
        </w:rPr>
        <w:t xml:space="preserve"> would see</w:t>
      </w:r>
      <w:r w:rsidR="00546064" w:rsidRPr="00FC7AAD">
        <w:rPr>
          <w:rFonts w:cstheme="minorHAnsi"/>
          <w:color w:val="000000" w:themeColor="text1"/>
          <w:sz w:val="24"/>
          <w:szCs w:val="24"/>
        </w:rPr>
        <w:t>,</w:t>
      </w:r>
      <w:r w:rsidRPr="00FC7AAD">
        <w:rPr>
          <w:rFonts w:cstheme="minorHAnsi"/>
          <w:color w:val="000000" w:themeColor="text1"/>
          <w:sz w:val="24"/>
          <w:szCs w:val="24"/>
        </w:rPr>
        <w:t xml:space="preserve"> on average</w:t>
      </w:r>
      <w:r w:rsidR="00546064" w:rsidRPr="00FC7AAD">
        <w:rPr>
          <w:rFonts w:cstheme="minorHAnsi"/>
          <w:color w:val="000000" w:themeColor="text1"/>
          <w:sz w:val="24"/>
          <w:szCs w:val="24"/>
        </w:rPr>
        <w:t>,</w:t>
      </w:r>
      <w:r w:rsidRPr="00FC7AAD">
        <w:rPr>
          <w:rFonts w:cstheme="minorHAnsi"/>
          <w:color w:val="000000" w:themeColor="text1"/>
          <w:sz w:val="24"/>
          <w:szCs w:val="24"/>
        </w:rPr>
        <w:t xml:space="preserve"> 1.5 fewer HFSS adverts per da</w:t>
      </w:r>
      <w:r w:rsidR="00546064" w:rsidRPr="00FC7AAD">
        <w:rPr>
          <w:rFonts w:cstheme="minorHAnsi"/>
          <w:color w:val="000000" w:themeColor="text1"/>
          <w:sz w:val="24"/>
          <w:szCs w:val="24"/>
        </w:rPr>
        <w:t>y;</w:t>
      </w:r>
      <w:r w:rsidRPr="00FC7AAD">
        <w:rPr>
          <w:rFonts w:cstheme="minorHAnsi"/>
          <w:color w:val="000000" w:themeColor="text1"/>
          <w:sz w:val="24"/>
          <w:szCs w:val="24"/>
        </w:rPr>
        <w:t xml:space="preserve"> which would reduce the number of children (aged 5-17 years) with obesity by 4.6% (1.4%-9.5%) and with overweight (including obesity) by 3.6% (1.1%-7.4%)</w:t>
      </w:r>
      <w:r w:rsidR="008A0E9C" w:rsidRPr="00FC7AAD">
        <w:rPr>
          <w:rFonts w:cstheme="minorHAnsi"/>
          <w:color w:val="000000" w:themeColor="text1"/>
          <w:sz w:val="24"/>
          <w:szCs w:val="24"/>
        </w:rPr>
        <w:t>.</w:t>
      </w:r>
    </w:p>
    <w:p w14:paraId="14E2FC63" w14:textId="4E450EDF" w:rsidR="00946DA1" w:rsidRPr="0062673F" w:rsidRDefault="002E53AB" w:rsidP="00946DA1">
      <w:pPr>
        <w:pStyle w:val="ListParagraph"/>
        <w:numPr>
          <w:ilvl w:val="0"/>
          <w:numId w:val="11"/>
        </w:numPr>
        <w:rPr>
          <w:rFonts w:cstheme="minorHAnsi"/>
          <w:color w:val="000000" w:themeColor="text1"/>
          <w:sz w:val="24"/>
          <w:szCs w:val="24"/>
        </w:rPr>
      </w:pPr>
      <w:r>
        <w:rPr>
          <w:rFonts w:cstheme="minorHAnsi"/>
          <w:color w:val="000000" w:themeColor="text1"/>
          <w:sz w:val="24"/>
          <w:szCs w:val="24"/>
        </w:rPr>
        <w:t>We estimate that if</w:t>
      </w:r>
      <w:r w:rsidR="00946DA1" w:rsidRPr="0062673F">
        <w:rPr>
          <w:rFonts w:cstheme="minorHAnsi"/>
          <w:color w:val="000000" w:themeColor="text1"/>
          <w:sz w:val="24"/>
          <w:szCs w:val="24"/>
        </w:rPr>
        <w:t xml:space="preserve"> all HFSS advertising is displaced to after </w:t>
      </w:r>
      <w:r w:rsidR="008F406E">
        <w:rPr>
          <w:rFonts w:cstheme="minorHAnsi"/>
          <w:color w:val="000000" w:themeColor="text1"/>
          <w:sz w:val="24"/>
          <w:szCs w:val="24"/>
        </w:rPr>
        <w:t>21.00 hours</w:t>
      </w:r>
      <w:r w:rsidR="00946DA1" w:rsidRPr="0062673F">
        <w:rPr>
          <w:rFonts w:cstheme="minorHAnsi"/>
          <w:color w:val="000000" w:themeColor="text1"/>
          <w:sz w:val="24"/>
          <w:szCs w:val="24"/>
        </w:rPr>
        <w:t xml:space="preserve">, </w:t>
      </w:r>
      <w:r>
        <w:rPr>
          <w:rFonts w:cstheme="minorHAnsi"/>
          <w:color w:val="000000" w:themeColor="text1"/>
          <w:sz w:val="24"/>
          <w:szCs w:val="24"/>
        </w:rPr>
        <w:t xml:space="preserve">rather than being withdrawn, </w:t>
      </w:r>
      <w:r w:rsidR="00946DA1" w:rsidRPr="0062673F">
        <w:rPr>
          <w:rFonts w:cstheme="minorHAnsi"/>
          <w:color w:val="000000" w:themeColor="text1"/>
          <w:sz w:val="24"/>
          <w:szCs w:val="24"/>
        </w:rPr>
        <w:t>we estimate that the</w:t>
      </w:r>
      <w:r>
        <w:rPr>
          <w:rFonts w:cstheme="minorHAnsi"/>
          <w:color w:val="000000" w:themeColor="text1"/>
          <w:sz w:val="24"/>
          <w:szCs w:val="24"/>
        </w:rPr>
        <w:t xml:space="preserve"> health</w:t>
      </w:r>
      <w:r w:rsidR="00946DA1" w:rsidRPr="0062673F">
        <w:rPr>
          <w:rFonts w:cstheme="minorHAnsi"/>
          <w:color w:val="000000" w:themeColor="text1"/>
          <w:sz w:val="24"/>
          <w:szCs w:val="24"/>
        </w:rPr>
        <w:t xml:space="preserve"> benefits would be reduced by around two-thirds.</w:t>
      </w:r>
    </w:p>
    <w:p w14:paraId="04743597" w14:textId="7CE4C837" w:rsidR="00946DA1" w:rsidRPr="0062673F" w:rsidRDefault="00646603" w:rsidP="00946DA1">
      <w:pPr>
        <w:pStyle w:val="NormalWeb"/>
        <w:numPr>
          <w:ilvl w:val="0"/>
          <w:numId w:val="11"/>
        </w:numPr>
        <w:spacing w:before="0" w:beforeAutospacing="0" w:after="270" w:afterAutospacing="0" w:line="270" w:lineRule="atLeast"/>
        <w:rPr>
          <w:rFonts w:asciiTheme="minorHAnsi" w:hAnsiTheme="minorHAnsi" w:cstheme="minorHAnsi"/>
          <w:color w:val="000000" w:themeColor="text1"/>
          <w:lang w:val="en"/>
        </w:rPr>
      </w:pPr>
      <w:r w:rsidRPr="0062673F">
        <w:rPr>
          <w:rStyle w:val="Strong"/>
          <w:rFonts w:asciiTheme="minorHAnsi" w:hAnsiTheme="minorHAnsi" w:cstheme="minorHAnsi"/>
          <w:color w:val="000000" w:themeColor="text1"/>
          <w:lang w:val="en"/>
        </w:rPr>
        <w:t>What Do These Findings Mean?</w:t>
      </w:r>
      <w:r w:rsidRPr="0062673F">
        <w:rPr>
          <w:rFonts w:asciiTheme="minorHAnsi" w:hAnsiTheme="minorHAnsi" w:cstheme="minorHAnsi"/>
          <w:color w:val="000000" w:themeColor="text1"/>
          <w:lang w:val="en"/>
        </w:rPr>
        <w:t> </w:t>
      </w:r>
      <w:r w:rsidR="00946DA1" w:rsidRPr="0062673F">
        <w:rPr>
          <w:rFonts w:asciiTheme="minorHAnsi" w:hAnsiTheme="minorHAnsi" w:cstheme="minorHAnsi"/>
          <w:color w:val="000000" w:themeColor="text1"/>
        </w:rPr>
        <w:t xml:space="preserve">Measures which have the potential to reduce exposure to less-healthy food advertising on television, such as restricting HFSS advertising between </w:t>
      </w:r>
      <w:r w:rsidR="008F406E">
        <w:rPr>
          <w:rFonts w:asciiTheme="minorHAnsi" w:hAnsiTheme="minorHAnsi" w:cstheme="minorHAnsi"/>
          <w:color w:val="000000" w:themeColor="text1"/>
        </w:rPr>
        <w:t>05.30 hours</w:t>
      </w:r>
      <w:r w:rsidR="00946DA1" w:rsidRPr="0062673F">
        <w:rPr>
          <w:rFonts w:asciiTheme="minorHAnsi" w:hAnsiTheme="minorHAnsi" w:cstheme="minorHAnsi"/>
          <w:color w:val="000000" w:themeColor="text1"/>
        </w:rPr>
        <w:t xml:space="preserve"> and </w:t>
      </w:r>
      <w:r w:rsidR="008F406E">
        <w:rPr>
          <w:rFonts w:asciiTheme="minorHAnsi" w:hAnsiTheme="minorHAnsi" w:cstheme="minorHAnsi"/>
          <w:color w:val="000000" w:themeColor="text1"/>
        </w:rPr>
        <w:t>21.00 hours</w:t>
      </w:r>
      <w:r w:rsidR="00946DA1" w:rsidRPr="0062673F">
        <w:rPr>
          <w:rFonts w:asciiTheme="minorHAnsi" w:hAnsiTheme="minorHAnsi" w:cstheme="minorHAnsi"/>
          <w:color w:val="000000" w:themeColor="text1"/>
        </w:rPr>
        <w:t xml:space="preserve">, could make a meaningful contribution to reducing childhood obesity. </w:t>
      </w:r>
    </w:p>
    <w:p w14:paraId="30B38BF8" w14:textId="6FE1DF49" w:rsidR="00946DA1" w:rsidRPr="00FC7AAD" w:rsidRDefault="00946DA1" w:rsidP="00946DA1">
      <w:pPr>
        <w:pStyle w:val="NormalWeb"/>
        <w:numPr>
          <w:ilvl w:val="0"/>
          <w:numId w:val="11"/>
        </w:numPr>
        <w:spacing w:before="0" w:beforeAutospacing="0" w:after="270" w:afterAutospacing="0" w:line="270" w:lineRule="atLeast"/>
        <w:rPr>
          <w:rFonts w:asciiTheme="minorHAnsi" w:hAnsiTheme="minorHAnsi" w:cstheme="minorHAnsi"/>
          <w:color w:val="000000" w:themeColor="text1"/>
          <w:lang w:val="en"/>
        </w:rPr>
      </w:pPr>
      <w:r w:rsidRPr="0062673F">
        <w:rPr>
          <w:rFonts w:asciiTheme="minorHAnsi" w:hAnsiTheme="minorHAnsi" w:cstheme="minorHAnsi"/>
          <w:color w:val="000000" w:themeColor="text1"/>
        </w:rPr>
        <w:t xml:space="preserve">The impact of this policy is likely to be reduced if adverts are displaced to after </w:t>
      </w:r>
      <w:r w:rsidR="008F406E">
        <w:rPr>
          <w:rFonts w:asciiTheme="minorHAnsi" w:hAnsiTheme="minorHAnsi" w:cstheme="minorHAnsi"/>
          <w:color w:val="000000" w:themeColor="text1"/>
        </w:rPr>
        <w:t>21.00 hours</w:t>
      </w:r>
      <w:r w:rsidRPr="0062673F">
        <w:rPr>
          <w:rFonts w:asciiTheme="minorHAnsi" w:hAnsiTheme="minorHAnsi" w:cstheme="minorHAnsi"/>
          <w:color w:val="000000" w:themeColor="text1"/>
        </w:rPr>
        <w:t xml:space="preserve"> or to other media</w:t>
      </w:r>
      <w:r w:rsidR="008A0E9C" w:rsidRPr="0062673F">
        <w:rPr>
          <w:rFonts w:asciiTheme="minorHAnsi" w:hAnsiTheme="minorHAnsi" w:cstheme="minorHAnsi"/>
          <w:color w:val="000000" w:themeColor="text1"/>
        </w:rPr>
        <w:t>.</w:t>
      </w:r>
    </w:p>
    <w:p w14:paraId="62E6DCE4" w14:textId="77777777" w:rsidR="00915CA5" w:rsidRPr="0062673F" w:rsidRDefault="00915CA5" w:rsidP="00915CA5">
      <w:pPr>
        <w:pStyle w:val="NormalWeb"/>
        <w:spacing w:before="0" w:beforeAutospacing="0" w:after="270" w:afterAutospacing="0" w:line="270" w:lineRule="atLeast"/>
        <w:rPr>
          <w:rFonts w:asciiTheme="minorHAnsi" w:hAnsiTheme="minorHAnsi" w:cstheme="minorHAnsi"/>
          <w:color w:val="000000" w:themeColor="text1"/>
          <w:lang w:val="en"/>
        </w:rPr>
      </w:pPr>
    </w:p>
    <w:p w14:paraId="4DB5074C" w14:textId="77777777" w:rsidR="00915CA5" w:rsidRPr="0062673F" w:rsidRDefault="00915CA5" w:rsidP="00915CA5">
      <w:pPr>
        <w:pStyle w:val="NormalWeb"/>
        <w:numPr>
          <w:ilvl w:val="0"/>
          <w:numId w:val="11"/>
        </w:numPr>
        <w:spacing w:before="0" w:beforeAutospacing="0" w:after="270" w:afterAutospacing="0" w:line="270" w:lineRule="atLeast"/>
        <w:rPr>
          <w:rFonts w:asciiTheme="minorHAnsi" w:hAnsiTheme="minorHAnsi" w:cstheme="minorHAnsi"/>
          <w:color w:val="000000" w:themeColor="text1"/>
          <w:lang w:val="en"/>
        </w:rPr>
      </w:pPr>
      <w:r w:rsidRPr="0062673F">
        <w:rPr>
          <w:rFonts w:asciiTheme="minorHAnsi" w:hAnsiTheme="minorHAnsi" w:cstheme="minorHAnsi"/>
          <w:color w:val="000000" w:themeColor="text1"/>
          <w:lang w:val="en"/>
        </w:rPr>
        <w:t>This is a modelling study and we cannot fully account accurately for all factors that would affect the impact of this policy if it was implemented.</w:t>
      </w:r>
    </w:p>
    <w:p w14:paraId="542CFB6F" w14:textId="77777777" w:rsidR="00915CA5" w:rsidRPr="0062673F" w:rsidRDefault="00915CA5" w:rsidP="00FC7AAD">
      <w:pPr>
        <w:pStyle w:val="NormalWeb"/>
        <w:spacing w:before="0" w:beforeAutospacing="0" w:after="270" w:afterAutospacing="0" w:line="270" w:lineRule="atLeast"/>
        <w:ind w:left="720"/>
        <w:rPr>
          <w:rFonts w:asciiTheme="minorHAnsi" w:hAnsiTheme="minorHAnsi" w:cstheme="minorHAnsi"/>
          <w:color w:val="000000" w:themeColor="text1"/>
          <w:lang w:val="en"/>
        </w:rPr>
      </w:pPr>
    </w:p>
    <w:p w14:paraId="3E45C6F9" w14:textId="521C86C3" w:rsidR="00AF514E" w:rsidRPr="0062673F" w:rsidRDefault="00AF514E" w:rsidP="00AF514E">
      <w:pPr>
        <w:rPr>
          <w:color w:val="000000" w:themeColor="text1"/>
        </w:rPr>
      </w:pPr>
      <w:r w:rsidRPr="0062673F">
        <w:rPr>
          <w:color w:val="000000" w:themeColor="text1"/>
        </w:rPr>
        <w:br w:type="page"/>
      </w:r>
    </w:p>
    <w:p w14:paraId="15EF0F88" w14:textId="75FC9046" w:rsidR="004A7C45" w:rsidRPr="0062673F" w:rsidRDefault="00177819" w:rsidP="004A7C45">
      <w:pPr>
        <w:rPr>
          <w:b/>
          <w:color w:val="000000" w:themeColor="text1"/>
        </w:rPr>
      </w:pPr>
      <w:r w:rsidRPr="0062673F">
        <w:rPr>
          <w:b/>
          <w:color w:val="000000" w:themeColor="text1"/>
        </w:rPr>
        <w:t>INTRODUCTION</w:t>
      </w:r>
    </w:p>
    <w:p w14:paraId="5B5DDF5C" w14:textId="3083785E" w:rsidR="006B05D3" w:rsidRPr="0062673F" w:rsidRDefault="004A7C45" w:rsidP="006B05D3">
      <w:pPr>
        <w:rPr>
          <w:color w:val="000000" w:themeColor="text1"/>
        </w:rPr>
      </w:pPr>
      <w:r w:rsidRPr="0062673F">
        <w:rPr>
          <w:color w:val="000000" w:themeColor="text1"/>
        </w:rPr>
        <w:t>Childhood obesity is a</w:t>
      </w:r>
      <w:r w:rsidR="000D337B" w:rsidRPr="0062673F">
        <w:rPr>
          <w:color w:val="000000" w:themeColor="text1"/>
        </w:rPr>
        <w:t xml:space="preserve"> global problem</w:t>
      </w:r>
      <w:r w:rsidR="00573208" w:rsidRPr="0062673F">
        <w:rPr>
          <w:color w:val="000000" w:themeColor="text1"/>
        </w:rPr>
        <w:t>, with few signs of progress</w:t>
      </w:r>
      <w:r w:rsidR="00C92373">
        <w:rPr>
          <w:color w:val="000000" w:themeColor="text1"/>
        </w:rPr>
        <w:t xml:space="preserve"> </w:t>
      </w:r>
      <w:r w:rsidR="00573208" w:rsidRPr="0062673F">
        <w:rPr>
          <w:color w:val="000000" w:themeColor="text1"/>
        </w:rPr>
        <w:fldChar w:fldCharType="begin" w:fldLock="1"/>
      </w:r>
      <w:r w:rsidR="00467360" w:rsidRPr="0062673F">
        <w:rPr>
          <w:color w:val="000000" w:themeColor="text1"/>
        </w:rPr>
        <w:instrText>ADDIN CSL_CITATION {"citationItems":[{"id":"ITEM-1","itemData":{"author":[{"dropping-particle":"","family":"Lobstein","given":"Tim","non-dropping-particle":"","parse-names":false,"suffix":""},{"dropping-particle":"","family":"Brinsden","given":"H C","non-dropping-particle":"","parse-names":false,"suffix":""}],"id":"ITEM-1","issued":{"date-parts":[["2019"]]},"publisher-place":"London","title":"Atlas of Childhood Obesity","type":"report"},"uris":["http://www.mendeley.com/documents/?uuid=57a5a889-172f-4835-b44f-f9ad3d53098c"]}],"mendeley":{"formattedCitation":"[1]","plainTextFormattedCitation":"[1]","previouslyFormattedCitation":"[1]"},"properties":{"noteIndex":0},"schema":"https://github.com/citation-style-language/schema/raw/master/csl-citation.json"}</w:instrText>
      </w:r>
      <w:r w:rsidR="00573208" w:rsidRPr="0062673F">
        <w:rPr>
          <w:color w:val="000000" w:themeColor="text1"/>
        </w:rPr>
        <w:fldChar w:fldCharType="separate"/>
      </w:r>
      <w:r w:rsidR="0066542D" w:rsidRPr="0062673F">
        <w:rPr>
          <w:noProof/>
          <w:color w:val="000000" w:themeColor="text1"/>
        </w:rPr>
        <w:t>[1]</w:t>
      </w:r>
      <w:r w:rsidR="00573208" w:rsidRPr="0062673F">
        <w:rPr>
          <w:color w:val="000000" w:themeColor="text1"/>
        </w:rPr>
        <w:fldChar w:fldCharType="end"/>
      </w:r>
      <w:r w:rsidR="0066542D" w:rsidRPr="0062673F">
        <w:rPr>
          <w:color w:val="000000" w:themeColor="text1"/>
        </w:rPr>
        <w:t>.</w:t>
      </w:r>
      <w:r w:rsidRPr="0062673F">
        <w:rPr>
          <w:color w:val="000000" w:themeColor="text1"/>
        </w:rPr>
        <w:t xml:space="preserve"> </w:t>
      </w:r>
      <w:r w:rsidR="006B05D3" w:rsidRPr="0062673F">
        <w:rPr>
          <w:color w:val="000000" w:themeColor="text1"/>
        </w:rPr>
        <w:t>Overweight and obesity directly affects children’s health and wellbeing</w:t>
      </w:r>
      <w:r w:rsidR="00C92373">
        <w:rPr>
          <w:color w:val="000000" w:themeColor="text1"/>
        </w:rPr>
        <w:t xml:space="preserve"> </w:t>
      </w:r>
      <w:r w:rsidR="00CB4C50" w:rsidRPr="0062673F">
        <w:rPr>
          <w:color w:val="000000" w:themeColor="text1"/>
        </w:rPr>
        <w:fldChar w:fldCharType="begin" w:fldLock="1"/>
      </w:r>
      <w:r w:rsidR="00467360" w:rsidRPr="0062673F">
        <w:rPr>
          <w:color w:val="000000" w:themeColor="text1"/>
        </w:rPr>
        <w:instrText>ADDIN CSL_CITATION {"citationItems":[{"id":"ITEM-1","itemData":{"DOI":"10.1056/NEJMp0902392","ISBN":"1533-4406 (Electronic)\r0028-4793 (Linking)","PMID":"19357400","author":[{"dropping-particle":"","family":"Brownell","given":"K D","non-dropping-particle":"","parse-names":false,"suffix":""},{"dropping-particle":"","family":"Frieden","given":"T R","non-dropping-particle":"","parse-names":false,"suffix":""}],"container-title":"N Engl J Med","edition":"2009/04/10","id":"ITEM-1","issue":"18","issued":{"date-parts":[["2009"]]},"language":"eng","note":"Brownell, Kelly D\nFrieden, Thomas R\nN Engl J Med. 2009 Apr 30;360(18):1805-8. doi: 10.1056/NEJMp0902392. Epub 2009 Apr 8.","page":"1805-1808","title":"Ounces of prevention--the public policy case for taxes on sugared beverages","type":"article-journal","volume":"360"},"uris":["http://www.mendeley.com/documents/?uuid=c9013e8c-bebe-4bda-9cc2-6add52449b74"]},{"id":"ITEM-2","itemData":{"DOI":"10.2147/AHMT.S101631","ISSN":"1179-318X","PMID":"27881930","abstract":"Childhood obesity is one of the most serious public health challenges of the 21st century with far-reaching and enduring adverse consequences for health outcomes. Over 42 million children &lt;5 years worldwide are estimated to be overweight (OW) or obese (OB), and if current trends continue, then an estimated 70 million children will be OW or OB by 2025. The purpose of this review was to focus on psychiatric, psychological, and psychosocial consequences of childhood obesity (OBy) to include a broad range of international studies. The aim was to establish what has recently changed in relation to the common psychological consequences associated with childhood OBy. A systematic search was conducted in MEDLINE, Web of Science, and the Cochrane Library for articles presenting information on the identification or prevention of psychiatric morbidity in childhood obesity. Relevant data were extracted and narratively reviewed. Findings established childhood OW/OBy was negatively associated with psychological comorbidities, such as depression, poorer perceived lower scores on health-related quality of life, emotional and behavioral disorders, and self-esteem during childhood. Evidence related to the association between attention-deficit/hyperactivity disorder (ADHD) and OBy remains unconvincing because of various findings from studies. OW children were more likely to experience multiple associated psychosocial problems than their healthy-weight peers, which may be adversely influenced by OBy stigma, teasing, and bullying. OBy stigma, teasing, and bullying are pervasive and can have serious consequences for emotional and physical health and performance. It remains unclear as to whether psychiatric disorders and psychological problems are a cause or a consequence of childhood obesity or whether common factors promote both obesity and psychiatric disturbances in susceptible children and adolescents. A cohesive and strategic approach to tackle this current obesity epidemic is necessary to combat this increasing trend which is compromising the health and well-being of the young generation and seriously impinging on resources and economic costs.","author":[{"dropping-particle":"","family":"Rankin","given":"Jean","non-dropping-particle":"","parse-names":false,"suffix":""},{"dropping-particle":"","family":"Matthews","given":"Lynsay","non-dropping-particle":"","parse-names":false,"suffix":""},{"dropping-particle":"","family":"Cobley","given":"Stephen","non-dropping-particle":"","parse-names":false,"suffix":""},{"dropping-particle":"","family":"Han","given":"Ahreum","non-dropping-particle":"","parse-names":false,"suffix":""},{"dropping-particle":"","family":"Sanders","given":"Ross","non-dropping-particle":"","parse-names":false,"suffix":""},{"dropping-particle":"","family":"Wiltshire","given":"Huw D","non-dropping-particle":"","parse-names":false,"suffix":""},{"dropping-particle":"","family":"Baker","given":"Julien S","non-dropping-particle":"","parse-names":false,"suffix":""}],"container-title":"Adolescent health, medicine and therapeutics","id":"ITEM-2","issued":{"date-parts":[["2016"]]},"page":"125-146","publisher":"Dove Press","title":"Psychological consequences of childhood obesity: psychiatric comorbidity and prevention.","type":"article-journal","volume":"7"},"uris":["http://www.mendeley.com/documents/?uuid=391df7bd-9bfa-3c4a-a479-ab29e6910dd9"]}],"mendeley":{"formattedCitation":"[2,3]","plainTextFormattedCitation":"[2,3]","previouslyFormattedCitation":"[2,3]"},"properties":{"noteIndex":0},"schema":"https://github.com/citation-style-language/schema/raw/master/csl-citation.json"}</w:instrText>
      </w:r>
      <w:r w:rsidR="00CB4C50" w:rsidRPr="0062673F">
        <w:rPr>
          <w:color w:val="000000" w:themeColor="text1"/>
        </w:rPr>
        <w:fldChar w:fldCharType="separate"/>
      </w:r>
      <w:r w:rsidR="0066542D" w:rsidRPr="0062673F">
        <w:rPr>
          <w:noProof/>
          <w:color w:val="000000" w:themeColor="text1"/>
        </w:rPr>
        <w:t>[2,3]</w:t>
      </w:r>
      <w:r w:rsidR="00CB4C50" w:rsidRPr="0062673F">
        <w:rPr>
          <w:color w:val="000000" w:themeColor="text1"/>
        </w:rPr>
        <w:fldChar w:fldCharType="end"/>
      </w:r>
      <w:r w:rsidR="00C92373">
        <w:rPr>
          <w:color w:val="000000" w:themeColor="text1"/>
        </w:rPr>
        <w:t>,</w:t>
      </w:r>
      <w:r w:rsidR="006B05D3" w:rsidRPr="0062673F">
        <w:rPr>
          <w:color w:val="000000" w:themeColor="text1"/>
        </w:rPr>
        <w:t xml:space="preserve"> increases their likelihood of attendance at primary care</w:t>
      </w:r>
      <w:r w:rsidR="00C92373">
        <w:rPr>
          <w:color w:val="000000" w:themeColor="text1"/>
        </w:rPr>
        <w:t xml:space="preserve"> </w:t>
      </w:r>
      <w:r w:rsidR="00CB4C50" w:rsidRPr="0062673F">
        <w:rPr>
          <w:color w:val="000000" w:themeColor="text1"/>
        </w:rPr>
        <w:fldChar w:fldCharType="begin" w:fldLock="1"/>
      </w:r>
      <w:r w:rsidR="00467360" w:rsidRPr="0062673F">
        <w:rPr>
          <w:color w:val="000000" w:themeColor="text1"/>
        </w:rPr>
        <w:instrText>ADDIN CSL_CITATION {"citationItems":[{"id":"ITEM-1","itemData":{"DOI":"10.1016/j.puhe.2018.10.019","ISSN":"00333506","PMID":"30610958","abstract":"OBJECTIVES The objective of the article was to examine the association between body mass index (BMI), health and general practice (GP) healthcare use in early childhood. STUDY DESIGN This study is a prospective cohort study. METHODS Multivariate Poisson and logistic regression models were used to explore the association between BMI and health outcomes using data from the Born In Bradford cohort study, linked to routine data capturing objective measures of BMI at age 5 years, alongside GP appointment rates, GP prescriptions and specific morbidities in the subsequent 3-year period. RESULTS Compared with healthy weight, children who were obese at the age of 5 years had significantly higher rates of GP appointments (incident rate ratio 1.14, 95% confidence interval [CI]: 1.06-1.23), GP prescriptions (incident rate ratio 1.15, 95% CI: 1.04-1.27), asthma (odds ratio 1.46, 95% CI: 1.21-1.77), sleep apnoea (odds ratio 2.50, 95% CI: 1.36-4.58), infections (incident rate ratio 1.19, 95% CI: 1.08-1.30), antibiotic prescriptions (incident rate ratio 1.25, 95% CI: 1.10-1.42) and accidents (incident rate ratio 1.20, 95% CI: 1.01-1.42) in the subsequent 3 years. Underweight children were found to have higher rates of GP appointments (incident rate ratio 1.25, 95% CI: 1.04-1.52), but there were no differences between overweight and healthy weight children. CONCLUSIONS Childhood obesity was found to be associated with increased primary healthcare use and a range of poorer health outcomes at the age of 8 years, underlining the importance of reducing childhood obesity in early childhood.","author":[{"dropping-particle":"","family":"Kelly","given":"B.","non-dropping-particle":"","parse-names":false,"suffix":""},{"dropping-particle":"","family":"West","given":"J.","non-dropping-particle":"","parse-names":false,"suffix":""},{"dropping-particle":"","family":"Yang","given":"T.C.","non-dropping-particle":"","parse-names":false,"suffix":""},{"dropping-particle":"","family":"Mason","given":"D.","non-dropping-particle":"","parse-names":false,"suffix":""},{"dropping-particle":"","family":"Hasan","given":"T.","non-dropping-particle":"","parse-names":false,"suffix":""},{"dropping-particle":"","family":"Wright","given":"J.","non-dropping-particle":"","parse-names":false,"suffix":""}],"container-title":"Public Health","id":"ITEM-1","issued":{"date-parts":[["2019","2","2"]]},"page":"21-27","title":"The association between body mass index, primary healthcare use and morbidity in early childhood: findings from the Born In Bradford cohort study","type":"article-journal","volume":"167"},"uris":["http://www.mendeley.com/documents/?uuid=6b2c76b9-b709-3f18-bb3c-b8088f6a6eaf"]}],"mendeley":{"formattedCitation":"[4]","plainTextFormattedCitation":"[4]","previouslyFormattedCitation":"[4]"},"properties":{"noteIndex":0},"schema":"https://github.com/citation-style-language/schema/raw/master/csl-citation.json"}</w:instrText>
      </w:r>
      <w:r w:rsidR="00CB4C50" w:rsidRPr="0062673F">
        <w:rPr>
          <w:color w:val="000000" w:themeColor="text1"/>
        </w:rPr>
        <w:fldChar w:fldCharType="separate"/>
      </w:r>
      <w:r w:rsidR="0066542D" w:rsidRPr="0062673F">
        <w:rPr>
          <w:noProof/>
          <w:color w:val="000000" w:themeColor="text1"/>
        </w:rPr>
        <w:t>[4]</w:t>
      </w:r>
      <w:r w:rsidR="00CB4C50" w:rsidRPr="0062673F">
        <w:rPr>
          <w:color w:val="000000" w:themeColor="text1"/>
        </w:rPr>
        <w:fldChar w:fldCharType="end"/>
      </w:r>
      <w:r w:rsidR="00C92373">
        <w:rPr>
          <w:color w:val="000000" w:themeColor="text1"/>
        </w:rPr>
        <w:t>,</w:t>
      </w:r>
      <w:r w:rsidR="006B05D3" w:rsidRPr="0062673F">
        <w:rPr>
          <w:color w:val="000000" w:themeColor="text1"/>
        </w:rPr>
        <w:t xml:space="preserve"> a</w:t>
      </w:r>
      <w:r w:rsidR="00297339" w:rsidRPr="0062673F">
        <w:rPr>
          <w:color w:val="000000" w:themeColor="text1"/>
        </w:rPr>
        <w:t>nd may adversely affect</w:t>
      </w:r>
      <w:r w:rsidR="006B05D3" w:rsidRPr="0062673F">
        <w:rPr>
          <w:color w:val="000000" w:themeColor="text1"/>
        </w:rPr>
        <w:t xml:space="preserve"> educational achievement</w:t>
      </w:r>
      <w:r w:rsidR="00C92373">
        <w:rPr>
          <w:color w:val="000000" w:themeColor="text1"/>
        </w:rPr>
        <w:t xml:space="preserve"> </w:t>
      </w:r>
      <w:r w:rsidR="003F3D39" w:rsidRPr="0062673F">
        <w:rPr>
          <w:color w:val="000000" w:themeColor="text1"/>
        </w:rPr>
        <w:fldChar w:fldCharType="begin" w:fldLock="1"/>
      </w:r>
      <w:r w:rsidR="00467360" w:rsidRPr="0062673F">
        <w:rPr>
          <w:color w:val="000000" w:themeColor="text1"/>
        </w:rPr>
        <w:instrText xml:space="preserve">ADDIN CSL_CITATION {"citationItems":[{"id":"ITEM-1","itemData":{"DOI":"10.1038/ijo.2014.40","ISSN":"0307-0565","PMID":"24614099","abstract":"OBJECTIVE While being overweight or obese in adolescence may have detrimental effects on academic attainment, the evidence base is limited by reliance on cross-sectional studies with small sample sizes, failure to take account of confounders and lack of consideration of potential mediators. The present study aimed to address these limitations and examine longitudinal associations between obesity in adolescence and academic attainment. DESIGN Associations between weight status at 11 years old and academic attainment assessed by national tests at 11, 13 and 16 years were examined in the Avon Longitudinal Study of Parents and Children. Healthy weight was defined as body mass index (BMI) Z-score &lt;1.04; overweight as BMI Z-score 1.04-1.63; obesity as BMI Z-score </w:instrText>
      </w:r>
      <w:r w:rsidR="00467360" w:rsidRPr="0062673F">
        <w:rPr>
          <w:rFonts w:ascii="Cambria Math" w:hAnsi="Cambria Math" w:cs="Cambria Math"/>
          <w:color w:val="000000" w:themeColor="text1"/>
        </w:rPr>
        <w:instrText>⩾</w:instrText>
      </w:r>
      <w:r w:rsidR="00467360" w:rsidRPr="0062673F">
        <w:rPr>
          <w:color w:val="000000" w:themeColor="text1"/>
        </w:rPr>
        <w:instrText>1.64. PARTICIPANTS Data from 5966 participants with objectively measured weight status were examined: 71.4% were healthy weight (1935 males; 2325 females), 13.3% overweight (372 males; 420 females) and 15.3% obese (448 males; 466 females). RESULTS Girls obese at 11 years had lower academic attainment at 11, 13 and 16 years compared with those of a healthy weight, even after controlling for a wide range of confounders. Associations between obesity and academic attainment were less clear in boys. The potential mediating effects of depressive symptoms, intelligence quotient (IQ) and age of menarche in girls were explored, but when confounders were included, there was no strong evidence for mediation. CONCLUSIONS For girls, obesity in adolescence has a detrimental impact on academic attainment 5 years later. Mental health, IQ and age of menarche did not mediate this relationship, suggesting that further work is required to understand the underlying mechanisms. Parents, education and public health policy makers should consider the wide reaching detrimental impact of obesity on educational outcomes in this age group.","author":[{"dropping-particle":"","family":"Booth","given":"J N","non-dropping-particle":"","parse-names":false,"suffix":""},{"dropping-particle":"","family":"Tomporowski","given":"P D","non-dropping-particle":"","parse-names":false,"suffix":""},{"dropping-particle":"","family":"Boyle","given":"J M E","non-dropping-particle":"","parse-names":false,"suffix":""},{"dropping-particle":"","family":"Ness","given":"A R","non-dropping-particle":"","parse-names":false,"suffix":""},{"dropping-particle":"","family":"Joinson","given":"C","non-dropping-particle":"","parse-names":false,"suffix":""},{"dropping-particle":"","family":"Leary","given":"S D","non-dropping-particle":"","parse-names":false,"suffix":""},{"dropping-particle":"","family":"Reilly","given":"J J","non-dropping-particle":"","parse-names":false,"suffix":""}],"container-title":"International Journal of Obesity","id":"ITEM-1","issue":"10","issued":{"date-parts":[["2014","10","11"]]},"page":"1335-1342","title":"Obesity impairs academic attainment in adolescence: findings from ALSPAC, a UK cohort","type":"article-journal","volume":"38"},"uris":["http://www.mendeley.com/documents/?uuid=23206a3e-0e26-3e2d-9de3-92898af58a7f"]}],"mendeley":{"formattedCitation":"[5]","plainTextFormattedCitation":"[5]","previouslyFormattedCitation":"[5]"},"properties":{"noteIndex":0},"schema":"https://github.com/citation-style-language/schema/raw/master/csl-citation.json"}</w:instrText>
      </w:r>
      <w:r w:rsidR="003F3D39" w:rsidRPr="0062673F">
        <w:rPr>
          <w:color w:val="000000" w:themeColor="text1"/>
        </w:rPr>
        <w:fldChar w:fldCharType="separate"/>
      </w:r>
      <w:r w:rsidR="0066542D" w:rsidRPr="0062673F">
        <w:rPr>
          <w:noProof/>
          <w:color w:val="000000" w:themeColor="text1"/>
        </w:rPr>
        <w:t>[5]</w:t>
      </w:r>
      <w:r w:rsidR="003F3D39" w:rsidRPr="0062673F">
        <w:rPr>
          <w:color w:val="000000" w:themeColor="text1"/>
        </w:rPr>
        <w:fldChar w:fldCharType="end"/>
      </w:r>
      <w:r w:rsidR="0066542D" w:rsidRPr="0062673F">
        <w:rPr>
          <w:color w:val="000000" w:themeColor="text1"/>
        </w:rPr>
        <w:t>.</w:t>
      </w:r>
      <w:r w:rsidR="006B05D3" w:rsidRPr="0062673F">
        <w:rPr>
          <w:color w:val="000000" w:themeColor="text1"/>
        </w:rPr>
        <w:t xml:space="preserve"> Children with obesity are five times more likely to have obesity as an adult,</w:t>
      </w:r>
      <w:r w:rsidR="00F1082A" w:rsidRPr="0062673F">
        <w:rPr>
          <w:color w:val="000000" w:themeColor="text1"/>
        </w:rPr>
        <w:fldChar w:fldCharType="begin" w:fldLock="1"/>
      </w:r>
      <w:r w:rsidR="00467360" w:rsidRPr="0062673F">
        <w:rPr>
          <w:color w:val="000000" w:themeColor="text1"/>
        </w:rPr>
        <w:instrText>ADDIN CSL_CITATION {"citationItems":[{"id":"ITEM-1","itemData":{"DOI":"10.1111/obr.12334","ISSN":"14677881","PMID":"26696565","abstract":"A systematic review and meta-analysis was performed to investigate the ability of simple measures of childhood obesity such as body mass index (BMI) to predict future obesity in adolescence and adulthood. Large cohort studies, which measured obesity both in childhood and in later adolescence or adulthood, using any recognized measure of obesity were sought. Study quality was assessed. Studies were pooled using diagnostic meta-analysis methods. Fifteen prospective cohort studies were included in the meta-analysis. BMI was the only measure of obesity reported in any study, with 200,777 participants followed up. Obese children and adolescents were around five times more likely to be obese in adulthood than those who were not obese. Around 55% of obese children go on to be obese in adolescence, around 80% of obese adolescents will still be obese in adulthood and around 70% will be obese over age 30. Therefore, action to reduce and prevent obesity in these adolescents is needed. However, 70% of obese adults were not obese in childhood or adolescence, so targeting obesity reduction solely at obese or overweight children needs to be considered carefully as this may not substantially reduce the overall burden of adult obesity.","author":[{"dropping-particle":"","family":"Simmonds","given":"M.","non-dropping-particle":"","parse-names":false,"suffix":""},{"dropping-particle":"","family":"Llewellyn","given":"A.","non-dropping-particle":"","parse-names":false,"suffix":""},{"dropping-particle":"","family":"Owen","given":"C. G.","non-dropping-particle":"","parse-names":false,"suffix":""},{"dropping-particle":"","family":"Woolacott","given":"N.","non-dropping-particle":"","parse-names":false,"suffix":""}],"container-title":"Obesity Reviews","id":"ITEM-1","issue":"2","issued":{"date-parts":[["2016","2"]]},"page":"95-107","title":"Predicting adult obesity from childhood obesity: a systematic review and meta-analysis","type":"article-journal","volume":"17"},"uris":["http://www.mendeley.com/documents/?uuid=946e5995-9f7c-4c92-bf9a-90d90e6cc2a0"]}],"mendeley":{"formattedCitation":"[6]","plainTextFormattedCitation":"[6]","previouslyFormattedCitation":"[6]"},"properties":{"noteIndex":0},"schema":"https://github.com/citation-style-language/schema/raw/master/csl-citation.json"}</w:instrText>
      </w:r>
      <w:r w:rsidR="00F1082A" w:rsidRPr="0062673F">
        <w:rPr>
          <w:color w:val="000000" w:themeColor="text1"/>
        </w:rPr>
        <w:fldChar w:fldCharType="separate"/>
      </w:r>
      <w:r w:rsidR="0066542D" w:rsidRPr="0062673F">
        <w:rPr>
          <w:noProof/>
          <w:color w:val="000000" w:themeColor="text1"/>
        </w:rPr>
        <w:t>[6]</w:t>
      </w:r>
      <w:r w:rsidR="00F1082A" w:rsidRPr="0062673F">
        <w:rPr>
          <w:color w:val="000000" w:themeColor="text1"/>
        </w:rPr>
        <w:fldChar w:fldCharType="end"/>
      </w:r>
      <w:r w:rsidR="006B05D3" w:rsidRPr="0062673F">
        <w:rPr>
          <w:color w:val="000000" w:themeColor="text1"/>
        </w:rPr>
        <w:t xml:space="preserve"> and</w:t>
      </w:r>
      <w:r w:rsidR="001A49A7" w:rsidRPr="0062673F">
        <w:rPr>
          <w:color w:val="000000" w:themeColor="text1"/>
        </w:rPr>
        <w:t xml:space="preserve"> are</w:t>
      </w:r>
      <w:r w:rsidR="006B05D3" w:rsidRPr="0062673F">
        <w:rPr>
          <w:color w:val="000000" w:themeColor="text1"/>
        </w:rPr>
        <w:t xml:space="preserve"> at increased risk of</w:t>
      </w:r>
      <w:r w:rsidR="003F3D39" w:rsidRPr="0062673F">
        <w:rPr>
          <w:color w:val="000000" w:themeColor="text1"/>
        </w:rPr>
        <w:t xml:space="preserve"> premature death and of</w:t>
      </w:r>
      <w:r w:rsidR="006B05D3" w:rsidRPr="0062673F">
        <w:rPr>
          <w:color w:val="000000" w:themeColor="text1"/>
        </w:rPr>
        <w:t xml:space="preserve"> developing a range of diseases in adult life (e.g. cardio-metabolic dis</w:t>
      </w:r>
      <w:r w:rsidR="00F1082A" w:rsidRPr="0062673F">
        <w:rPr>
          <w:color w:val="000000" w:themeColor="text1"/>
        </w:rPr>
        <w:t>ease, some cancers</w:t>
      </w:r>
      <w:r w:rsidR="003F3D39" w:rsidRPr="0062673F">
        <w:rPr>
          <w:color w:val="000000" w:themeColor="text1"/>
        </w:rPr>
        <w:t>)</w:t>
      </w:r>
      <w:r w:rsidR="00C92373">
        <w:rPr>
          <w:color w:val="000000" w:themeColor="text1"/>
        </w:rPr>
        <w:t xml:space="preserve"> </w:t>
      </w:r>
      <w:r w:rsidR="00F1082A" w:rsidRPr="0062673F">
        <w:rPr>
          <w:color w:val="000000" w:themeColor="text1"/>
        </w:rPr>
        <w:fldChar w:fldCharType="begin" w:fldLock="1"/>
      </w:r>
      <w:r w:rsidR="00467360" w:rsidRPr="0062673F">
        <w:rPr>
          <w:color w:val="000000" w:themeColor="text1"/>
        </w:rPr>
        <w:instrText>ADDIN CSL_CITATION {"citationItems":[{"id":"ITEM-1","itemData":{"DOI":"10.1038/ijo.2010.222","ISSN":"0307-0565","PMID":"20975725","abstract":"BACKGROUND AND OBJECTIVE The last systematic review on the health consequences of child and adolescent obesity found little evidence on consequences for adult health. The present study aimed to summarize evidence on the long-term impact of child and adolescent obesity for premature mortality and physical morbidity in adulthood. METHODS Systematic review with evidence searched from January 2002 to June 2010. Studies were included if they contained a measure of overweight and/or obesity between birth and 18 years (exposure measure) and premature mortality and physical morbidity (outcome) in adulthood. RESULTS Five eligible studies examined associations between overweight and/or obesity, and premature mortality: 4/5 found significantly increased risk of premature mortality with child and adolescent overweight or obesity. All 11 studies with cardiometabolic morbidity as outcomes reported that overweight and obesity were associated with significantly increased risk of later cardiometabolic morbidity (diabetes, hypertension, ischaemic heart disease, and stroke) in adult life, with hazard ratios ranging from 1.1-5.1. Nine studies examined associations of child or adolescent overweight and obesity with other adult morbidity: studies of cancer morbidity were inconsistent; child and adolescent overweight and obesity were associated with significantly increased risk of later disability pension, asthma, and polycystic ovary syndrome symptoms. CONCLUSIONS A relatively large and fairly consistent body of evidence now demonstrates that overweight and obesity in childhood and adolescence have adverse consequences on premature mortality and physical morbidity in adulthood.","author":[{"dropping-particle":"","family":"Reilly","given":"J J","non-dropping-particle":"","parse-names":false,"suffix":""},{"dropping-particle":"","family":"Kelly","given":"J","non-dropping-particle":"","parse-names":false,"suffix":""}],"container-title":"International Journal of Obesity","id":"ITEM-1","issue":"7","issued":{"date-parts":[["2011","7","26"]]},"page":"891-898","title":"Long-term impact of overweight and obesity in childhood and adolescence on morbidity and premature mortality in adulthood: systematic review","type":"article-journal","volume":"35"},"uris":["http://www.mendeley.com/documents/?uuid=5bc96c41-0fbd-3f0b-a1a4-1f8085442106"]},{"id":"ITEM-2","itemData":{"DOI":"10.1111/obr.12316","ISSN":"14677881","PMID":"26440472","abstract":"Obese children are at higher risk of being obese as adults, and adult obesity is associated with an increased risk of morbidity. This systematic review and meta-analysis investigates the ability of childhood body mass index (BMI) to predict obesity-related morbidities in adulthood. Thirty-seven studies were included. High childhood BMI was associated with an increased incidence of adult diabetes (OR 1.70; 95% CI 1.30-2.22), coronary heart disease (CHD) (OR 1.20; 95% CI 1.10-1.31) and a range of cancers, but not stroke or breast cancer. The accuracy of childhood BMI when predicting any adult morbidity was low. Only 31% of future diabetes and 22% of future hypertension and CHD occurred in children aged 12 or over classified as being overweight or obese. Only 20% of all adult cancers occurred in children classified as being overweight or obese. Childhood obesity is associated with moderately increased risks of adult obesity-related morbidity, but the increase in risk is not large enough for childhood BMI to be a good predictor of the incidence of adult morbidities. This is because the majority of adult obesity-related morbidity occurs in adults who were of healthy weight in childhood. Therefore, targeting obesity reduction solely at obese or overweight children may not substantially reduce the overall burden of obesity-related disease in adulthood.","author":[{"dropping-particle":"","family":"Llewellyn","given":"A.","non-dropping-particle":"","parse-names":false,"suffix":""},{"dropping-particle":"","family":"Simmonds","given":"M.","non-dropping-particle":"","parse-names":false,"suffix":""},{"dropping-particle":"","family":"Owen","given":"C. G.","non-dropping-particle":"","parse-names":false,"suffix":""},{"dropping-particle":"","family":"Woolacott","given":"N.","non-dropping-particle":"","parse-names":false,"suffix":""}],"container-title":"Obesity Reviews","id":"ITEM-2","issue":"1","issued":{"date-parts":[["2016","1"]]},"page":"56-67","title":"Childhood obesity as a predictor of morbidity in adulthood: a systematic review and meta-analysis","type":"article-journal","volume":"17"},"uris":["http://www.mendeley.com/documents/?uuid=89bb0db1-7220-3ebe-91f3-1f4af8cfdd83"]}],"mendeley":{"formattedCitation":"[7,8]","plainTextFormattedCitation":"[7,8]","previouslyFormattedCitation":"[7,8]"},"properties":{"noteIndex":0},"schema":"https://github.com/citation-style-language/schema/raw/master/csl-citation.json"}</w:instrText>
      </w:r>
      <w:r w:rsidR="00F1082A" w:rsidRPr="0062673F">
        <w:rPr>
          <w:color w:val="000000" w:themeColor="text1"/>
        </w:rPr>
        <w:fldChar w:fldCharType="separate"/>
      </w:r>
      <w:r w:rsidR="0066542D" w:rsidRPr="0062673F">
        <w:rPr>
          <w:noProof/>
          <w:color w:val="000000" w:themeColor="text1"/>
        </w:rPr>
        <w:t>[7,8]</w:t>
      </w:r>
      <w:r w:rsidR="00F1082A" w:rsidRPr="0062673F">
        <w:rPr>
          <w:color w:val="000000" w:themeColor="text1"/>
        </w:rPr>
        <w:fldChar w:fldCharType="end"/>
      </w:r>
      <w:r w:rsidR="0066542D" w:rsidRPr="0062673F">
        <w:rPr>
          <w:color w:val="000000" w:themeColor="text1"/>
        </w:rPr>
        <w:t>.</w:t>
      </w:r>
      <w:r w:rsidR="003F3D39" w:rsidRPr="0062673F">
        <w:rPr>
          <w:color w:val="000000" w:themeColor="text1"/>
        </w:rPr>
        <w:t xml:space="preserve"> </w:t>
      </w:r>
    </w:p>
    <w:p w14:paraId="16AAA46D" w14:textId="2EAEB666" w:rsidR="00573208" w:rsidRPr="0062673F" w:rsidRDefault="00573208" w:rsidP="004A7C45">
      <w:pPr>
        <w:rPr>
          <w:color w:val="000000" w:themeColor="text1"/>
        </w:rPr>
      </w:pPr>
      <w:r w:rsidRPr="0062673F">
        <w:rPr>
          <w:color w:val="000000" w:themeColor="text1"/>
        </w:rPr>
        <w:t>In England, one in five children aged 4-5 years old and one in three children aged 10-11 years old, have overweight or obesity</w:t>
      </w:r>
      <w:r w:rsidR="00C92373">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Health","given":"","non-dropping-particle":"","parse-names":false,"suffix":""}],"id":"ITEM-1","issued":{"date-parts":[["2018"]]},"publisher-place":"London","title":"Childhood obesity: a plan for action, chapter 2","type":"report"},"uris":["http://www.mendeley.com/documents/?uuid=9b04945d-5fb0-444d-80cf-423ba8847a85"]}],"mendeley":{"formattedCitation":"[9]","plainTextFormattedCitation":"[9]","previouslyFormattedCitation":"[9]"},"properties":{"noteIndex":0},"schema":"https://github.com/citation-style-language/schema/raw/master/csl-citation.json"}</w:instrText>
      </w:r>
      <w:r w:rsidRPr="0062673F">
        <w:rPr>
          <w:color w:val="000000" w:themeColor="text1"/>
        </w:rPr>
        <w:fldChar w:fldCharType="separate"/>
      </w:r>
      <w:r w:rsidR="0066542D" w:rsidRPr="0062673F">
        <w:rPr>
          <w:noProof/>
          <w:color w:val="000000" w:themeColor="text1"/>
        </w:rPr>
        <w:t>[9]</w:t>
      </w:r>
      <w:r w:rsidRPr="0062673F">
        <w:rPr>
          <w:color w:val="000000" w:themeColor="text1"/>
        </w:rPr>
        <w:fldChar w:fldCharType="end"/>
      </w:r>
      <w:r w:rsidR="0066542D" w:rsidRPr="0062673F">
        <w:rPr>
          <w:color w:val="000000" w:themeColor="text1"/>
        </w:rPr>
        <w:t>.</w:t>
      </w:r>
      <w:r w:rsidRPr="0062673F">
        <w:rPr>
          <w:color w:val="000000" w:themeColor="text1"/>
        </w:rPr>
        <w:t xml:space="preserve"> </w:t>
      </w:r>
      <w:r w:rsidR="000040F8" w:rsidRPr="0062673F">
        <w:rPr>
          <w:color w:val="000000" w:themeColor="text1"/>
        </w:rPr>
        <w:t>The UK G</w:t>
      </w:r>
      <w:r w:rsidR="004A7C45" w:rsidRPr="0062673F">
        <w:rPr>
          <w:color w:val="000000" w:themeColor="text1"/>
        </w:rPr>
        <w:t>overnment</w:t>
      </w:r>
      <w:r w:rsidRPr="0062673F">
        <w:rPr>
          <w:color w:val="000000" w:themeColor="text1"/>
        </w:rPr>
        <w:t xml:space="preserve"> has announced ambitious plans</w:t>
      </w:r>
      <w:r w:rsidR="004A7C45" w:rsidRPr="0062673F">
        <w:rPr>
          <w:color w:val="000000" w:themeColor="text1"/>
        </w:rPr>
        <w:t xml:space="preserve"> to halve childhood obesity by 2030</w:t>
      </w:r>
      <w:r w:rsidR="00C92373">
        <w:rPr>
          <w:color w:val="000000" w:themeColor="text1"/>
        </w:rPr>
        <w:t xml:space="preserve"> </w:t>
      </w:r>
      <w:r w:rsidR="003F3D39"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Health","given":"","non-dropping-particle":"","parse-names":false,"suffix":""}],"id":"ITEM-1","issued":{"date-parts":[["2018"]]},"publisher-place":"London","title":"Childhood obesity: a plan for action, chapter 2","type":"report"},"uris":["http://www.mendeley.com/documents/?uuid=9b04945d-5fb0-444d-80cf-423ba8847a85"]}],"mendeley":{"formattedCitation":"[9]","plainTextFormattedCitation":"[9]","previouslyFormattedCitation":"[9]"},"properties":{"noteIndex":0},"schema":"https://github.com/citation-style-language/schema/raw/master/csl-citation.json"}</w:instrText>
      </w:r>
      <w:r w:rsidR="003F3D39" w:rsidRPr="0062673F">
        <w:rPr>
          <w:color w:val="000000" w:themeColor="text1"/>
        </w:rPr>
        <w:fldChar w:fldCharType="separate"/>
      </w:r>
      <w:r w:rsidR="0066542D" w:rsidRPr="0062673F">
        <w:rPr>
          <w:noProof/>
          <w:color w:val="000000" w:themeColor="text1"/>
        </w:rPr>
        <w:t>[9]</w:t>
      </w:r>
      <w:r w:rsidR="003F3D39" w:rsidRPr="0062673F">
        <w:rPr>
          <w:color w:val="000000" w:themeColor="text1"/>
        </w:rPr>
        <w:fldChar w:fldCharType="end"/>
      </w:r>
      <w:r w:rsidR="0066542D" w:rsidRPr="0062673F">
        <w:rPr>
          <w:color w:val="000000" w:themeColor="text1"/>
        </w:rPr>
        <w:t>.</w:t>
      </w:r>
      <w:r w:rsidR="004A7C45" w:rsidRPr="0062673F">
        <w:rPr>
          <w:color w:val="000000" w:themeColor="text1"/>
        </w:rPr>
        <w:t xml:space="preserve"> As part of its plan to reduce childhood obesity, it is consulting on a 9pm watershed for</w:t>
      </w:r>
      <w:r w:rsidR="000D337B" w:rsidRPr="0062673F">
        <w:rPr>
          <w:color w:val="000000" w:themeColor="text1"/>
        </w:rPr>
        <w:t xml:space="preserve"> advertising for</w:t>
      </w:r>
      <w:r w:rsidR="001A49A7" w:rsidRPr="0062673F">
        <w:rPr>
          <w:color w:val="000000" w:themeColor="text1"/>
        </w:rPr>
        <w:t xml:space="preserve"> foods</w:t>
      </w:r>
      <w:r w:rsidR="0053436E" w:rsidRPr="0062673F">
        <w:rPr>
          <w:color w:val="000000" w:themeColor="text1"/>
        </w:rPr>
        <w:t xml:space="preserve"> or beverages (‘products’)</w:t>
      </w:r>
      <w:r w:rsidR="001A49A7" w:rsidRPr="0062673F">
        <w:rPr>
          <w:color w:val="000000" w:themeColor="text1"/>
        </w:rPr>
        <w:t xml:space="preserve"> </w:t>
      </w:r>
      <w:r w:rsidR="004A7C45" w:rsidRPr="0062673F">
        <w:rPr>
          <w:color w:val="000000" w:themeColor="text1"/>
        </w:rPr>
        <w:t>high</w:t>
      </w:r>
      <w:r w:rsidR="001A49A7" w:rsidRPr="0062673F">
        <w:rPr>
          <w:color w:val="000000" w:themeColor="text1"/>
        </w:rPr>
        <w:t xml:space="preserve"> in</w:t>
      </w:r>
      <w:r w:rsidR="004A7C45" w:rsidRPr="0062673F">
        <w:rPr>
          <w:color w:val="000000" w:themeColor="text1"/>
        </w:rPr>
        <w:t xml:space="preserve"> fat sugar</w:t>
      </w:r>
      <w:r w:rsidR="008248A7" w:rsidRPr="0062673F">
        <w:rPr>
          <w:color w:val="000000" w:themeColor="text1"/>
        </w:rPr>
        <w:t xml:space="preserve"> and salt</w:t>
      </w:r>
      <w:r w:rsidR="000D337B" w:rsidRPr="0062673F">
        <w:rPr>
          <w:color w:val="000000" w:themeColor="text1"/>
        </w:rPr>
        <w:t xml:space="preserve"> (HFSS)</w:t>
      </w:r>
      <w:r w:rsidR="0053436E" w:rsidRPr="0062673F">
        <w:rPr>
          <w:color w:val="000000" w:themeColor="text1"/>
        </w:rPr>
        <w:t>, as defined the by the Food Standards Agency nutrient profile model,</w:t>
      </w:r>
      <w:r w:rsidR="001D206C" w:rsidRPr="0062673F">
        <w:rPr>
          <w:color w:val="000000" w:themeColor="text1"/>
        </w:rPr>
        <w:t xml:space="preserve"> on television</w:t>
      </w:r>
      <w:r w:rsidR="006F06C1">
        <w:rPr>
          <w:color w:val="000000" w:themeColor="text1"/>
        </w:rPr>
        <w:t xml:space="preserve"> </w:t>
      </w:r>
      <w:r w:rsidR="003F3D39"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Health","given":"","non-dropping-particle":"","parse-names":false,"suffix":""}],"id":"ITEM-1","issued":{"date-parts":[["2018"]]},"publisher-place":"London","title":"Childhood obesity: a plan for action, chapter 2","type":"report"},"uris":["http://www.mendeley.com/documents/?uuid=9b04945d-5fb0-444d-80cf-423ba8847a85"]},{"id":"ITEM-2","itemData":{"URL":"http://www.food.gov.uk/sites/default/files/multimedia/pdfs/techguidenutprofiling.pdf","accessed":{"date-parts":[["2016","4","11"]]},"author":[{"dropping-particle":"","family":"Food Standards Agency","given":"","non-dropping-particle":"","parse-names":false,"suffix":""}],"id":"ITEM-2","issued":{"date-parts":[["2009"]]},"title":"Nutrient Profiling Technical Guidance","type":"webpage"},"uris":["http://www.mendeley.com/documents/?uuid=4e820876-6600-46db-be3e-b4459dc125c1"]}],"mendeley":{"formattedCitation":"[9,10]","plainTextFormattedCitation":"[9,10]","previouslyFormattedCitation":"[9,10]"},"properties":{"noteIndex":0},"schema":"https://github.com/citation-style-language/schema/raw/master/csl-citation.json"}</w:instrText>
      </w:r>
      <w:r w:rsidR="003F3D39" w:rsidRPr="0062673F">
        <w:rPr>
          <w:color w:val="000000" w:themeColor="text1"/>
        </w:rPr>
        <w:fldChar w:fldCharType="separate"/>
      </w:r>
      <w:r w:rsidR="0066542D" w:rsidRPr="0062673F">
        <w:rPr>
          <w:noProof/>
          <w:color w:val="000000" w:themeColor="text1"/>
        </w:rPr>
        <w:t>[9,10]</w:t>
      </w:r>
      <w:r w:rsidR="003F3D39" w:rsidRPr="0062673F">
        <w:rPr>
          <w:color w:val="000000" w:themeColor="text1"/>
        </w:rPr>
        <w:fldChar w:fldCharType="end"/>
      </w:r>
      <w:r w:rsidR="0066542D" w:rsidRPr="0062673F">
        <w:rPr>
          <w:color w:val="000000" w:themeColor="text1"/>
        </w:rPr>
        <w:t>.</w:t>
      </w:r>
      <w:r w:rsidR="0053436E" w:rsidRPr="0062673F">
        <w:rPr>
          <w:color w:val="000000" w:themeColor="text1"/>
        </w:rPr>
        <w:t xml:space="preserve"> This</w:t>
      </w:r>
      <w:r w:rsidR="001A49A7" w:rsidRPr="0062673F">
        <w:rPr>
          <w:color w:val="000000" w:themeColor="text1"/>
        </w:rPr>
        <w:t xml:space="preserve"> entail</w:t>
      </w:r>
      <w:r w:rsidR="0053436E" w:rsidRPr="0062673F">
        <w:rPr>
          <w:color w:val="000000" w:themeColor="text1"/>
        </w:rPr>
        <w:t>s</w:t>
      </w:r>
      <w:r w:rsidR="001A49A7" w:rsidRPr="0062673F">
        <w:rPr>
          <w:color w:val="000000" w:themeColor="text1"/>
        </w:rPr>
        <w:t xml:space="preserve"> restricting television advertising for</w:t>
      </w:r>
      <w:r w:rsidR="004A7216" w:rsidRPr="0062673F">
        <w:rPr>
          <w:color w:val="000000" w:themeColor="text1"/>
        </w:rPr>
        <w:t xml:space="preserve"> most </w:t>
      </w:r>
      <w:r w:rsidR="001A49A7" w:rsidRPr="0062673F">
        <w:rPr>
          <w:color w:val="000000" w:themeColor="text1"/>
        </w:rPr>
        <w:t>HFSS products</w:t>
      </w:r>
      <w:r w:rsidR="001812DD" w:rsidRPr="0062673F">
        <w:rPr>
          <w:color w:val="000000" w:themeColor="text1"/>
        </w:rPr>
        <w:t xml:space="preserve"> between </w:t>
      </w:r>
      <w:r w:rsidR="008F406E">
        <w:rPr>
          <w:color w:val="000000" w:themeColor="text1"/>
        </w:rPr>
        <w:t>05.30 hours</w:t>
      </w:r>
      <w:r w:rsidR="001812DD" w:rsidRPr="0062673F">
        <w:rPr>
          <w:color w:val="000000" w:themeColor="text1"/>
        </w:rPr>
        <w:t xml:space="preserve"> and </w:t>
      </w:r>
      <w:r w:rsidR="008F406E">
        <w:rPr>
          <w:color w:val="000000" w:themeColor="text1"/>
        </w:rPr>
        <w:t>21.00 hours</w:t>
      </w:r>
      <w:r w:rsidR="004A7216" w:rsidRPr="0062673F">
        <w:rPr>
          <w:color w:val="000000" w:themeColor="text1"/>
        </w:rPr>
        <w:t>.</w:t>
      </w:r>
      <w:r w:rsidRPr="0062673F">
        <w:rPr>
          <w:color w:val="000000" w:themeColor="text1"/>
        </w:rPr>
        <w:t xml:space="preserve"> The proposed measure has received strong support from the Chief Medical Officer</w:t>
      </w:r>
      <w:r w:rsidR="006F06C1">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{"citationItems":[{"id":"ITEM-1","itemData":{"author":[{"dropping-particle":"","family":"Davies","given":"SC","non-dropping-particle":"","parse-names":false,"suffix":""}],"id":"ITEM-1","issued":{"date-parts":[["2019"]]},"publisher-place":"London","title":"Time to Solve Childhood Obesity","type":"report"},"uris":["http://www.mendeley.com/documents/?uuid=22ce6cef-f370-4994-a553-2091bdc46b6d"]}],"mendeley":{"formattedCitation":"[11]","plainTextFormattedCitation":"[11]","previouslyFormattedCitation":"[11]"},"properties":{"noteIndex":0},"schema":"https://github.com/citation-style-language/schema/raw/master/csl-citation.json"}</w:instrText>
      </w:r>
      <w:r w:rsidRPr="0062673F">
        <w:rPr>
          <w:color w:val="000000" w:themeColor="text1"/>
        </w:rPr>
        <w:fldChar w:fldCharType="separate"/>
      </w:r>
      <w:r w:rsidR="0066542D" w:rsidRPr="0062673F">
        <w:rPr>
          <w:noProof/>
          <w:color w:val="000000" w:themeColor="text1"/>
        </w:rPr>
        <w:t>[11]</w:t>
      </w:r>
      <w:r w:rsidRPr="0062673F">
        <w:rPr>
          <w:color w:val="000000" w:themeColor="text1"/>
        </w:rPr>
        <w:fldChar w:fldCharType="end"/>
      </w:r>
      <w:r w:rsidR="006F06C1">
        <w:rPr>
          <w:color w:val="000000" w:themeColor="text1"/>
        </w:rPr>
        <w:t>,</w:t>
      </w:r>
      <w:r w:rsidRPr="0062673F">
        <w:rPr>
          <w:color w:val="000000" w:themeColor="text1"/>
        </w:rPr>
        <w:t xml:space="preserve"> the Health Select Committee</w:t>
      </w:r>
      <w:r w:rsidR="006F06C1">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{"citationItems":[{"id":"ITEM-1","itemData":{"author":[{"dropping-particle":"","family":"Health Select Committee","given":"","non-dropping-particle":"","parse-names":false,"suffix":""}],"id":"ITEM-1","issued":{"date-parts":[["2018"]]},"publisher-place":"London","title":"Childhood obesity: Time for action","type":"report"},"uris":["http://www.mendeley.com/documents/?uuid=991ec455-a06d-4cc2-aeee-a24795320ce7"]}],"mendeley":{"formattedCitation":"[12]","plainTextFormattedCitation":"[12]","previouslyFormattedCitation":"[12]"},"properties":{"noteIndex":0},"schema":"https://github.com/citation-style-language/schema/raw/master/csl-citation.json"}</w:instrText>
      </w:r>
      <w:r w:rsidRPr="0062673F">
        <w:rPr>
          <w:color w:val="000000" w:themeColor="text1"/>
        </w:rPr>
        <w:fldChar w:fldCharType="separate"/>
      </w:r>
      <w:r w:rsidR="0066542D" w:rsidRPr="0062673F">
        <w:rPr>
          <w:noProof/>
          <w:color w:val="000000" w:themeColor="text1"/>
        </w:rPr>
        <w:t>[12]</w:t>
      </w:r>
      <w:r w:rsidRPr="0062673F">
        <w:rPr>
          <w:color w:val="000000" w:themeColor="text1"/>
        </w:rPr>
        <w:fldChar w:fldCharType="end"/>
      </w:r>
      <w:r w:rsidR="006F06C1">
        <w:rPr>
          <w:color w:val="000000" w:themeColor="text1"/>
        </w:rPr>
        <w:t>,</w:t>
      </w:r>
      <w:r w:rsidRPr="0062673F">
        <w:rPr>
          <w:color w:val="000000" w:themeColor="text1"/>
        </w:rPr>
        <w:t xml:space="preserve"> as well as health bodies</w:t>
      </w:r>
      <w:r w:rsidR="006F06C1">
        <w:rPr>
          <w:color w:val="000000" w:themeColor="text1"/>
        </w:rPr>
        <w:t xml:space="preserve"> </w:t>
      </w:r>
      <w:r w:rsidR="00923EB8" w:rsidRPr="0062673F">
        <w:rPr>
          <w:color w:val="000000" w:themeColor="text1"/>
        </w:rPr>
        <w:fldChar w:fldCharType="begin" w:fldLock="1"/>
      </w:r>
      <w:r w:rsidR="00467360" w:rsidRPr="0062673F">
        <w:rPr>
          <w:color w:val="000000" w:themeColor="text1"/>
        </w:rPr>
        <w:instrText>ADDIN CSL_CITATION {"citationItems":[{"id":"ITEM-1","itemData":{"author":[{"dropping-particle":"","family":"Obesity Health Alliance","given":"","non-dropping-particle":"","parse-names":false,"suffix":""}],"id":"ITEM-1","issued":{"date-parts":[["2018"]]},"publisher-place":"London","title":"Written evidence submitted by Obesity Health Alliance (COY0009)","type":"report"},"uris":["http://www.mendeley.com/documents/?uuid=05234239-bd9d-4856-ac0f-bc6d665e22a3"]}],"mendeley":{"formattedCitation":"[13]","plainTextFormattedCitation":"[13]","previouslyFormattedCitation":"[13]"},"properties":{"noteIndex":0},"schema":"https://github.com/citation-style-language/schema/raw/master/csl-citation.json"}</w:instrText>
      </w:r>
      <w:r w:rsidR="00923EB8" w:rsidRPr="0062673F">
        <w:rPr>
          <w:color w:val="000000" w:themeColor="text1"/>
        </w:rPr>
        <w:fldChar w:fldCharType="separate"/>
      </w:r>
      <w:r w:rsidR="0066542D" w:rsidRPr="0062673F">
        <w:rPr>
          <w:noProof/>
          <w:color w:val="000000" w:themeColor="text1"/>
        </w:rPr>
        <w:t>[13]</w:t>
      </w:r>
      <w:r w:rsidR="00923EB8" w:rsidRPr="0062673F">
        <w:rPr>
          <w:color w:val="000000" w:themeColor="text1"/>
        </w:rPr>
        <w:fldChar w:fldCharType="end"/>
      </w:r>
      <w:r w:rsidR="0066542D" w:rsidRPr="0062673F">
        <w:rPr>
          <w:color w:val="000000" w:themeColor="text1"/>
        </w:rPr>
        <w:t>.</w:t>
      </w:r>
      <w:r w:rsidR="004A7216" w:rsidRPr="0062673F">
        <w:rPr>
          <w:color w:val="000000" w:themeColor="text1"/>
        </w:rPr>
        <w:t xml:space="preserve"> </w:t>
      </w:r>
    </w:p>
    <w:p w14:paraId="4A045756" w14:textId="12C4F141" w:rsidR="004A7C45" w:rsidRPr="0062673F" w:rsidRDefault="001A49A7" w:rsidP="004A7C45">
      <w:pPr>
        <w:rPr>
          <w:color w:val="000000" w:themeColor="text1"/>
        </w:rPr>
      </w:pPr>
      <w:r w:rsidRPr="0062673F">
        <w:rPr>
          <w:color w:val="000000" w:themeColor="text1"/>
        </w:rPr>
        <w:t>Th</w:t>
      </w:r>
      <w:r w:rsidR="00573208" w:rsidRPr="0062673F">
        <w:rPr>
          <w:color w:val="000000" w:themeColor="text1"/>
        </w:rPr>
        <w:t>e proposal</w:t>
      </w:r>
      <w:r w:rsidRPr="0062673F">
        <w:rPr>
          <w:color w:val="000000" w:themeColor="text1"/>
        </w:rPr>
        <w:t xml:space="preserve"> represents</w:t>
      </w:r>
      <w:r w:rsidR="004A7C45" w:rsidRPr="0062673F">
        <w:rPr>
          <w:color w:val="000000" w:themeColor="text1"/>
        </w:rPr>
        <w:t xml:space="preserve"> a tightening of the current regulations in the UK</w:t>
      </w:r>
      <w:r w:rsidR="00063544" w:rsidRPr="0062673F">
        <w:rPr>
          <w:color w:val="000000" w:themeColor="text1"/>
        </w:rPr>
        <w:t>, introduced in 2007,</w:t>
      </w:r>
      <w:r w:rsidR="004A7C45" w:rsidRPr="0062673F">
        <w:rPr>
          <w:color w:val="000000" w:themeColor="text1"/>
        </w:rPr>
        <w:t xml:space="preserve"> which prohibit the advertising of HFSS </w:t>
      </w:r>
      <w:r w:rsidR="0053436E" w:rsidRPr="0062673F">
        <w:rPr>
          <w:color w:val="000000" w:themeColor="text1"/>
        </w:rPr>
        <w:t xml:space="preserve">products </w:t>
      </w:r>
      <w:r w:rsidR="004A7C45" w:rsidRPr="0062673F">
        <w:rPr>
          <w:color w:val="000000" w:themeColor="text1"/>
        </w:rPr>
        <w:t>in or around programmes of particular appeal to children aged 4-15 years and on dedicated children’s c</w:t>
      </w:r>
      <w:r w:rsidRPr="0062673F">
        <w:rPr>
          <w:color w:val="000000" w:themeColor="text1"/>
        </w:rPr>
        <w:t xml:space="preserve">hannels. </w:t>
      </w:r>
      <w:r w:rsidR="001812DD" w:rsidRPr="0062673F">
        <w:rPr>
          <w:color w:val="000000" w:themeColor="text1"/>
        </w:rPr>
        <w:t>While an official report</w:t>
      </w:r>
      <w:r w:rsidR="004A7C45" w:rsidRPr="0062673F">
        <w:rPr>
          <w:color w:val="000000" w:themeColor="text1"/>
        </w:rPr>
        <w:t xml:space="preserve"> suggest</w:t>
      </w:r>
      <w:r w:rsidR="001812DD" w:rsidRPr="0062673F">
        <w:rPr>
          <w:color w:val="000000" w:themeColor="text1"/>
        </w:rPr>
        <w:t>ed that</w:t>
      </w:r>
      <w:r w:rsidR="004A7C45" w:rsidRPr="0062673F">
        <w:rPr>
          <w:color w:val="000000" w:themeColor="text1"/>
        </w:rPr>
        <w:t xml:space="preserve"> these restrictions did reduce children’s exposure to advertising</w:t>
      </w:r>
      <w:r w:rsidR="006F06C1">
        <w:rPr>
          <w:color w:val="000000" w:themeColor="text1"/>
        </w:rPr>
        <w:t xml:space="preserve"> </w:t>
      </w:r>
      <w:r w:rsidR="003F3D39" w:rsidRPr="0062673F">
        <w:rPr>
          <w:color w:val="000000" w:themeColor="text1"/>
        </w:rPr>
        <w:fldChar w:fldCharType="begin" w:fldLock="1"/>
      </w:r>
      <w:r w:rsidR="00467360" w:rsidRPr="0062673F">
        <w:rPr>
          <w:color w:val="000000" w:themeColor="text1"/>
        </w:rPr>
        <w:instrText>ADDIN CSL_CITATION {"citationItems":[{"id":"ITEM-1","itemData":{"author":[{"dropping-particle":"","family":"Ofcom","given":"","non-dropping-particle":"","parse-names":false,"suffix":""}],"id":"ITEM-1","issued":{"date-parts":[["2010"]]},"publisher-place":"London","title":"HFSS Advertising Restrictions - Final Review","type":"report"},"uris":["http://www.mendeley.com/documents/?uuid=e77f0cab-8244-4156-a8fe-319c4a395ccd"]}],"mendeley":{"formattedCitation":"[14]","plainTextFormattedCitation":"[14]","previouslyFormattedCitation":"[14]"},"properties":{"noteIndex":0},"schema":"https://github.com/citation-style-language/schema/raw/master/csl-citation.json"}</w:instrText>
      </w:r>
      <w:r w:rsidR="003F3D39" w:rsidRPr="0062673F">
        <w:rPr>
          <w:color w:val="000000" w:themeColor="text1"/>
        </w:rPr>
        <w:fldChar w:fldCharType="separate"/>
      </w:r>
      <w:r w:rsidR="0066542D" w:rsidRPr="0062673F">
        <w:rPr>
          <w:noProof/>
          <w:color w:val="000000" w:themeColor="text1"/>
        </w:rPr>
        <w:t>[14]</w:t>
      </w:r>
      <w:r w:rsidR="003F3D39" w:rsidRPr="0062673F">
        <w:rPr>
          <w:color w:val="000000" w:themeColor="text1"/>
        </w:rPr>
        <w:fldChar w:fldCharType="end"/>
      </w:r>
      <w:r w:rsidR="006F06C1">
        <w:rPr>
          <w:color w:val="000000" w:themeColor="text1"/>
        </w:rPr>
        <w:t>,</w:t>
      </w:r>
      <w:r w:rsidR="00CB4532" w:rsidRPr="0062673F">
        <w:rPr>
          <w:color w:val="000000" w:themeColor="text1"/>
        </w:rPr>
        <w:t xml:space="preserve"> independent </w:t>
      </w:r>
      <w:r w:rsidR="001812DD" w:rsidRPr="0062673F">
        <w:rPr>
          <w:color w:val="000000" w:themeColor="text1"/>
        </w:rPr>
        <w:t>research</w:t>
      </w:r>
      <w:r w:rsidR="004A7C45" w:rsidRPr="0062673F">
        <w:rPr>
          <w:color w:val="000000" w:themeColor="text1"/>
        </w:rPr>
        <w:t xml:space="preserve"> suggested that </w:t>
      </w:r>
      <w:r w:rsidR="00C40AB7" w:rsidRPr="0062673F">
        <w:rPr>
          <w:color w:val="000000" w:themeColor="text1"/>
        </w:rPr>
        <w:t>less-healthy</w:t>
      </w:r>
      <w:r w:rsidR="004A7C45" w:rsidRPr="0062673F">
        <w:rPr>
          <w:color w:val="000000" w:themeColor="text1"/>
        </w:rPr>
        <w:t xml:space="preserve"> food advertising switched away from dedicated children’s programmes to family programmes that are watched by </w:t>
      </w:r>
      <w:r w:rsidR="00022F15" w:rsidRPr="0062673F">
        <w:rPr>
          <w:color w:val="000000" w:themeColor="text1"/>
        </w:rPr>
        <w:t xml:space="preserve">a </w:t>
      </w:r>
      <w:r w:rsidR="004A7C45" w:rsidRPr="0062673F">
        <w:rPr>
          <w:color w:val="000000" w:themeColor="text1"/>
        </w:rPr>
        <w:t>large number of children</w:t>
      </w:r>
      <w:r w:rsidR="006F06C1">
        <w:rPr>
          <w:color w:val="000000" w:themeColor="text1"/>
        </w:rPr>
        <w:t xml:space="preserve"> </w:t>
      </w:r>
      <w:r w:rsidR="003F3D39" w:rsidRPr="0062673F">
        <w:rPr>
          <w:color w:val="000000" w:themeColor="text1"/>
        </w:rPr>
        <w:fldChar w:fldCharType="begin" w:fldLock="1"/>
      </w:r>
      <w:r w:rsidR="00467360" w:rsidRPr="0062673F">
        <w:rPr>
          <w:color w:val="000000" w:themeColor="text1"/>
        </w:rPr>
        <w:instrText>ADDIN CSL_CITATION {"citationItems":[{"id":"ITEM-1","itemData":{"DOI":"10.1371/journal.pone.0031578","ISSN":"1932-6203","PMID":"22355376","abstract":"BACKGROUND: In 2007, new scheduling restrictions on television food advertising to children in the UK were announced. The aim of the restrictions was to \"reduce significantly the exposure of children under 16 to high fat, salt or sugar (HFSS) advertising\". We explored the impact of the restrictions on relative exposure to HFSS food advertising among all viewers and among child television viewers, as well as adherence to the restrictions.\n\nMETHODS: We conducted two cross-sectional studies of all advertisements broadcast in one region of the UK over one week periods--the first (week 1) six months before the restrictions were introduced, and the second (week 2) six months after. Data on what products were advertised were linked to data on how many people watched each advertisement. Nutritional content of foods advertised was added to the dataset and used to calculate HFSS status. Relative exposure was calculated as the proportion of all advertising person-minute-views (PMVs) that were for HFSS foods.\n\nRESULTS: 1,672,417 advertising PMV were included. 14.6% of advertising PMV were for food and 51.1% of these were for HFSS food. Relative exposure of all viewers to HFSS food advertising increased between study weeks 1 and 2 (odds ratio (99% confidence intervals) = 1·54 (1·51 to 1·57)). Exposure of children to HFSS food advertising did not change between study weeks 1 and 2 (odds ratio (99% confidence intervals) = 1·05 (0·99 to 1·12)). There was almost universal adherence to the restrictions.\n\nCONCLUSIONS: Despite good adherence to the restrictions, they did not change relative exposure of children to HFSS advertising and were associated with an increase in relative exposure of all viewers to HFSS advertising. Stronger restrictions targeting a wider range of advertisements are necessary to reduce exposure of children to marketing of less healthful foods.","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J","non-dropping-particle":"","parse-names":false,"suffix":""},{"dropping-particle":"","family":"White","given":"Martin","non-dropping-particle":"","parse-names":false,"suffix":""}],"container-title":"PloS one","id":"ITEM-1","issue":"2","issued":{"date-parts":[["2012","1"]]},"page":"e31578","title":"Effect of restrictions on television food advertising to children on exposure to advertisements for 'less healthy' foods: repeat cross-sectional study.","type":"article-journal","volume":"7"},"uris":["http://www.mendeley.com/documents/?uuid=f90cdad1-0f4d-4043-b3fd-ab726e8f12c3"]},{"id":"ITEM-2","itemData":{"DOI":"10.1093/heapro/dax044","ISSN":"0957-4824","PMID":"29092014","abstract":"Evidence demonstrating links between exposure to unhealthy food marketing, poor eating behaviours and paediatric obesity has led to calls for regulatory change in many countries, including the UK. However no official monitoring system exists to inform international debate on food advertising policy. This study systematically explores food advertising on UK television in 2010 (post-regulation) and compare this to 2008 (mid-regulation) to assess if food adverts improved in nutritional quality after implementation of regulations. Television was recorded between 6 a.m. and 10 p.m. for one weekday and one weekend day during 6 months of 2010 across 13 commercial television channels popular with children. These data were directly compared with previously published data for 2008. Food and beverages were the third most frequently advertised product type (11.9% of all ads), a decrease of 0.9% from 2008 (12.8%). Non-core food commercials decreased (down 2.2-53.8%) and core food advertising increased (up 0.5-18.6%). Fast food items were the third most frequently advertised food product (15.4%, up 3.5% from 2008). During peak children's viewing times, 17.0% of all commercials were for food, an increase of 4.7% from non-peak children's viewing times and fewer core (-0.9%) and more non-core (+0.5%) foods were advertised at these times. Despite statutory regulation, frequency and balance of food commercials (core, non-core and miscellaneous) remained relatively static over the 2 years. Children are still exposed to high amounts of unhealthy food advertising on television. Continued monitoring of television food advertising remains crucial and policymakers should examine the comparative efficacy of other restrictions.","author":[{"dropping-particle":"","family":"Whalen","given":"Rosa","non-dropping-particle":"","parse-names":false,"suffix":""},{"dropping-particle":"","family":"Harrold","given":"Joanne","non-dropping-particle":"","parse-names":false,"suffix":""},{"dropping-particle":"","family":"Child","given":"Simon","non-dropping-particle":"","parse-names":false,"suffix":""},{"dropping-particle":"","family":"Halford","given":"Jason","non-dropping-particle":"","parse-names":false,"suffix":""},{"dropping-particle":"","family":"Boyland","given":"Emma","non-dropping-particle":"","parse-names":false,"suffix":""}],"container-title":"Health Promotion International","id":"ITEM-2","issued":{"date-parts":[["2017","10","30"]]},"title":"Children’s exposure to food advertising: the impact of statutory restrictions","type":"article-journal"},"uris":["http://www.mendeley.com/documents/?uuid=83ecf810-adb1-31ab-9154-e888544fb93a"]}],"mendeley":{"formattedCitation":"[15,16]","plainTextFormattedCitation":"[15,16]","previouslyFormattedCitation":"[15,16]"},"properties":{"noteIndex":0},"schema":"https://github.com/citation-style-language/schema/raw/master/csl-citation.json"}</w:instrText>
      </w:r>
      <w:r w:rsidR="003F3D39" w:rsidRPr="0062673F">
        <w:rPr>
          <w:color w:val="000000" w:themeColor="text1"/>
        </w:rPr>
        <w:fldChar w:fldCharType="separate"/>
      </w:r>
      <w:r w:rsidR="0066542D" w:rsidRPr="0062673F">
        <w:rPr>
          <w:noProof/>
          <w:color w:val="000000" w:themeColor="text1"/>
        </w:rPr>
        <w:t>[15,16]</w:t>
      </w:r>
      <w:r w:rsidR="003F3D39" w:rsidRPr="0062673F">
        <w:rPr>
          <w:color w:val="000000" w:themeColor="text1"/>
        </w:rPr>
        <w:fldChar w:fldCharType="end"/>
      </w:r>
      <w:r w:rsidR="006F06C1">
        <w:rPr>
          <w:color w:val="000000" w:themeColor="text1"/>
        </w:rPr>
        <w:t>,</w:t>
      </w:r>
      <w:r w:rsidR="004A7C45" w:rsidRPr="0062673F">
        <w:rPr>
          <w:color w:val="000000" w:themeColor="text1"/>
        </w:rPr>
        <w:t xml:space="preserve"> such that children’s exposure was largely unchanged. Recent w</w:t>
      </w:r>
      <w:r w:rsidR="009C31E6" w:rsidRPr="0062673F">
        <w:rPr>
          <w:color w:val="000000" w:themeColor="text1"/>
        </w:rPr>
        <w:t>ork has shown that children still see</w:t>
      </w:r>
      <w:r w:rsidR="004A7C45" w:rsidRPr="0062673F">
        <w:rPr>
          <w:color w:val="000000" w:themeColor="text1"/>
        </w:rPr>
        <w:t xml:space="preserve"> </w:t>
      </w:r>
      <w:r w:rsidR="009733AE" w:rsidRPr="0062673F">
        <w:rPr>
          <w:color w:val="000000" w:themeColor="text1"/>
        </w:rPr>
        <w:t>substantial HFSS</w:t>
      </w:r>
      <w:r w:rsidR="00CB4C50" w:rsidRPr="0062673F">
        <w:rPr>
          <w:color w:val="000000" w:themeColor="text1"/>
        </w:rPr>
        <w:t xml:space="preserve"> advertising on </w:t>
      </w:r>
      <w:r w:rsidR="00086DD1" w:rsidRPr="0062673F">
        <w:rPr>
          <w:color w:val="000000" w:themeColor="text1"/>
        </w:rPr>
        <w:t>television</w:t>
      </w:r>
      <w:r w:rsidR="00CB4C50" w:rsidRPr="0062673F">
        <w:rPr>
          <w:color w:val="000000" w:themeColor="text1"/>
        </w:rPr>
        <w:t>,</w:t>
      </w:r>
      <w:r w:rsidR="008F1619" w:rsidRPr="0062673F">
        <w:rPr>
          <w:color w:val="000000" w:themeColor="text1"/>
        </w:rPr>
        <w:t xml:space="preserve"> despite good adherence to the current regulation</w:t>
      </w:r>
      <w:r w:rsidR="006F06C1">
        <w:rPr>
          <w:color w:val="000000" w:themeColor="text1"/>
        </w:rPr>
        <w:t xml:space="preserve"> </w:t>
      </w:r>
      <w:r w:rsidR="008F1619" w:rsidRPr="0062673F">
        <w:rPr>
          <w:color w:val="000000" w:themeColor="text1"/>
        </w:rPr>
        <w:fldChar w:fldCharType="begin" w:fldLock="1"/>
      </w:r>
      <w:r w:rsidR="00467360" w:rsidRPr="0062673F">
        <w:rPr>
          <w:color w:val="000000" w:themeColor="text1"/>
        </w:rPr>
        <w:instrText>ADDIN CSL_CITATION {"citationItems":[{"id":"ITEM-1","itemData":{"DOI":"10.1371/journal.pone.0031578","ISSN":"1932-6203","PMID":"22355376","abstract":"BACKGROUND: In 2007, new scheduling restrictions on television food advertising to children in the UK were announced. The aim of the restrictions was to \"reduce significantly the exposure of children under 16 to high fat, salt or sugar (HFSS) advertising\". We explored the impact of the restrictions on relative exposure to HFSS food advertising among all viewers and among child television viewers, as well as adherence to the restrictions.\n\nMETHODS: We conducted two cross-sectional studies of all advertisements broadcast in one region of the UK over one week periods--the first (week 1) six months before the restrictions were introduced, and the second (week 2) six months after. Data on what products were advertised were linked to data on how many people watched each advertisement. Nutritional content of foods advertised was added to the dataset and used to calculate HFSS status. Relative exposure was calculated as the proportion of all advertising person-minute-views (PMVs) that were for HFSS foods.\n\nRESULTS: 1,672,417 advertising PMV were included. 14.6% of advertising PMV were for food and 51.1% of these were for HFSS food. Relative exposure of all viewers to HFSS food advertising increased between study weeks 1 and 2 (odds ratio (99% confidence intervals) = 1·54 (1·51 to 1·57)). Exposure of children to HFSS food advertising did not change between study weeks 1 and 2 (odds ratio (99% confidence intervals) = 1·05 (0·99 to 1·12)). There was almost universal adherence to the restrictions.\n\nCONCLUSIONS: Despite good adherence to the restrictions, they did not change relative exposure of children to HFSS advertising and were associated with an increase in relative exposure of all viewers to HFSS advertising. Stronger restrictions targeting a wider range of advertisements are necessary to reduce exposure of children to marketing of less healthful foods.","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J","non-dropping-particle":"","parse-names":false,"suffix":""},{"dropping-particle":"","family":"White","given":"Martin","non-dropping-particle":"","parse-names":false,"suffix":""}],"container-title":"PloS one","id":"ITEM-1","issue":"2","issued":{"date-parts":[["2012","1"]]},"page":"e31578","title":"Effect of restrictions on television food advertising to children on exposure to advertisements for 'less healthy' foods: repeat cross-sectional study.","type":"article-journal","volume":"7"},"uris":["http://www.mendeley.com/documents/?uuid=f90cdad1-0f4d-4043-b3fd-ab726e8f12c3"]}],"mendeley":{"formattedCitation":"[15]","plainTextFormattedCitation":"[15]","previouslyFormattedCitation":"[15]"},"properties":{"noteIndex":0},"schema":"https://github.com/citation-style-language/schema/raw/master/csl-citation.json"}</w:instrText>
      </w:r>
      <w:r w:rsidR="008F1619" w:rsidRPr="0062673F">
        <w:rPr>
          <w:color w:val="000000" w:themeColor="text1"/>
        </w:rPr>
        <w:fldChar w:fldCharType="separate"/>
      </w:r>
      <w:r w:rsidR="0066542D" w:rsidRPr="0062673F">
        <w:rPr>
          <w:noProof/>
          <w:color w:val="000000" w:themeColor="text1"/>
        </w:rPr>
        <w:t>[15]</w:t>
      </w:r>
      <w:r w:rsidR="008F1619" w:rsidRPr="0062673F">
        <w:rPr>
          <w:color w:val="000000" w:themeColor="text1"/>
        </w:rPr>
        <w:fldChar w:fldCharType="end"/>
      </w:r>
      <w:r w:rsidR="006F06C1">
        <w:rPr>
          <w:color w:val="000000" w:themeColor="text1"/>
        </w:rPr>
        <w:t>,</w:t>
      </w:r>
      <w:r w:rsidR="008F1619" w:rsidRPr="0062673F">
        <w:rPr>
          <w:color w:val="000000" w:themeColor="text1"/>
        </w:rPr>
        <w:t xml:space="preserve"> with much of this exposure happening</w:t>
      </w:r>
      <w:r w:rsidR="004A7C45" w:rsidRPr="0062673F">
        <w:rPr>
          <w:color w:val="000000" w:themeColor="text1"/>
        </w:rPr>
        <w:t xml:space="preserve"> be</w:t>
      </w:r>
      <w:r w:rsidR="001812DD" w:rsidRPr="0062673F">
        <w:rPr>
          <w:color w:val="000000" w:themeColor="text1"/>
        </w:rPr>
        <w:t xml:space="preserve">fore </w:t>
      </w:r>
      <w:r w:rsidR="008F406E">
        <w:rPr>
          <w:color w:val="000000" w:themeColor="text1"/>
        </w:rPr>
        <w:t>21.00 hours</w:t>
      </w:r>
      <w:r w:rsidR="006F06C1">
        <w:rPr>
          <w:color w:val="000000" w:themeColor="text1"/>
        </w:rPr>
        <w:t xml:space="preserve"> </w:t>
      </w:r>
      <w:r w:rsidR="00CB4C50" w:rsidRPr="0062673F">
        <w:rPr>
          <w:color w:val="000000" w:themeColor="text1"/>
        </w:rPr>
        <w:fldChar w:fldCharType="begin" w:fldLock="1"/>
      </w:r>
      <w:r w:rsidR="00467360" w:rsidRPr="0062673F">
        <w:rPr>
          <w:color w:val="000000" w:themeColor="text1"/>
        </w:rPr>
        <w:instrText>ADDIN CSL_CITATION {"citationItems":[{"id":"ITEM-1","itemData":{"author":[{"dropping-particle":"","family":"Griffith","given":"Rachel","non-dropping-particle":"","parse-names":false,"suffix":""},{"dropping-particle":"","family":"O'Connell","given":"Martin","non-dropping-particle":"","parse-names":false,"suffix":""},{"dropping-particle":"","family":"Smith","given":"Kate","non-dropping-particle":"","parse-names":false,"suffix":""},{"dropping-particle":"","family":"Stroud","given":"Rebekah","non-dropping-particle":"","parse-names":false,"suffix":""}],"id":"ITEM-1","issued":{"date-parts":[["2018"]]},"publisher-place":"London","title":"Children’s exposure to TV advertising of food and drink","type":"report"},"uris":["http://www.mendeley.com/documents/?uuid=fb3ac909-9440-4258-b626-8e9d650e9e9f"]}],"mendeley":{"formattedCitation":"[17]","plainTextFormattedCitation":"[17]","previouslyFormattedCitation":"[17]"},"properties":{"noteIndex":0},"schema":"https://github.com/citation-style-language/schema/raw/master/csl-citation.json"}</w:instrText>
      </w:r>
      <w:r w:rsidR="00CB4C50" w:rsidRPr="0062673F">
        <w:rPr>
          <w:color w:val="000000" w:themeColor="text1"/>
        </w:rPr>
        <w:fldChar w:fldCharType="separate"/>
      </w:r>
      <w:r w:rsidR="0066542D" w:rsidRPr="0062673F">
        <w:rPr>
          <w:noProof/>
          <w:color w:val="000000" w:themeColor="text1"/>
        </w:rPr>
        <w:t>[17]</w:t>
      </w:r>
      <w:r w:rsidR="00CB4C50" w:rsidRPr="0062673F">
        <w:rPr>
          <w:color w:val="000000" w:themeColor="text1"/>
        </w:rPr>
        <w:fldChar w:fldCharType="end"/>
      </w:r>
      <w:r w:rsidR="0066542D" w:rsidRPr="0062673F">
        <w:rPr>
          <w:color w:val="000000" w:themeColor="text1"/>
        </w:rPr>
        <w:t>.</w:t>
      </w:r>
    </w:p>
    <w:p w14:paraId="23976D5D" w14:textId="2868135F" w:rsidR="004A7C45" w:rsidRPr="0062673F" w:rsidRDefault="001812DD" w:rsidP="004A7C45">
      <w:pPr>
        <w:rPr>
          <w:color w:val="000000" w:themeColor="text1"/>
        </w:rPr>
      </w:pPr>
      <w:r w:rsidRPr="0062673F">
        <w:rPr>
          <w:color w:val="000000" w:themeColor="text1"/>
        </w:rPr>
        <w:t>Since 2007</w:t>
      </w:r>
      <w:r w:rsidR="003A6DF5" w:rsidRPr="0062673F">
        <w:rPr>
          <w:color w:val="000000" w:themeColor="text1"/>
        </w:rPr>
        <w:t>,</w:t>
      </w:r>
      <w:r w:rsidR="004A7C45" w:rsidRPr="0062673F">
        <w:rPr>
          <w:color w:val="000000" w:themeColor="text1"/>
        </w:rPr>
        <w:t xml:space="preserve"> evidence has continued to </w:t>
      </w:r>
      <w:r w:rsidR="009C31E6" w:rsidRPr="0062673F">
        <w:rPr>
          <w:color w:val="000000" w:themeColor="text1"/>
        </w:rPr>
        <w:t>ac</w:t>
      </w:r>
      <w:r w:rsidR="004A7C45" w:rsidRPr="0062673F">
        <w:rPr>
          <w:color w:val="000000" w:themeColor="text1"/>
        </w:rPr>
        <w:t>cumulate showing that food</w:t>
      </w:r>
      <w:r w:rsidR="008F1619" w:rsidRPr="0062673F">
        <w:rPr>
          <w:color w:val="000000" w:themeColor="text1"/>
        </w:rPr>
        <w:t xml:space="preserve"> and beverage</w:t>
      </w:r>
      <w:r w:rsidR="004A7C45" w:rsidRPr="0062673F">
        <w:rPr>
          <w:color w:val="000000" w:themeColor="text1"/>
        </w:rPr>
        <w:t xml:space="preserve"> </w:t>
      </w:r>
      <w:r w:rsidR="008E35E4" w:rsidRPr="0062673F">
        <w:rPr>
          <w:color w:val="000000" w:themeColor="text1"/>
        </w:rPr>
        <w:t xml:space="preserve">advertising </w:t>
      </w:r>
      <w:r w:rsidR="004A7C45" w:rsidRPr="0062673F">
        <w:rPr>
          <w:color w:val="000000" w:themeColor="text1"/>
        </w:rPr>
        <w:t xml:space="preserve">contributes to </w:t>
      </w:r>
      <w:r w:rsidR="008F1619" w:rsidRPr="0062673F">
        <w:rPr>
          <w:color w:val="000000" w:themeColor="text1"/>
        </w:rPr>
        <w:t xml:space="preserve">increasing calorie intake </w:t>
      </w:r>
      <w:r w:rsidR="004A7C45" w:rsidRPr="0062673F">
        <w:rPr>
          <w:color w:val="000000" w:themeColor="text1"/>
        </w:rPr>
        <w:t>in children</w:t>
      </w:r>
      <w:r w:rsidR="006F06C1">
        <w:rPr>
          <w:color w:val="000000" w:themeColor="text1"/>
        </w:rPr>
        <w:t xml:space="preserve"> </w:t>
      </w:r>
      <w:r w:rsidR="00063544" w:rsidRPr="0062673F">
        <w:rPr>
          <w:color w:val="000000" w:themeColor="text1"/>
        </w:rPr>
        <w:fldChar w:fldCharType="begin" w:fldLock="1"/>
      </w:r>
      <w:r w:rsidR="00467360" w:rsidRPr="0062673F">
        <w:rPr>
          <w:color w:val="000000" w:themeColor="text1"/>
        </w:rPr>
        <w:instrText>ADDIN CSL_CITATION {"citationItems":[{"id":"ITEM-1","itemData":{"DOI":"10.3945/ajcn.115.120022","ISSN":"0002-9165","author":[{"dropping-particle":"","family":"Boyland","given":"E. J.","non-dropping-particle":"","parse-names":false,"suffix":""},{"dropping-particle":"","family":"Nolan","given":"S.","non-dropping-particle":"","parse-names":false,"suffix":""},{"dropping-particle":"","family":"Kelly","given":"B.","non-dropping-particle":"","parse-names":false,"suffix":""},{"dropping-particle":"","family":"Tudur-Smith","given":"C.","non-dropping-particle":"","parse-names":false,"suffix":""},{"dropping-particle":"","family":"Jones","given":"A.","non-dropping-particle":"","parse-names":false,"suffix":""},{"dropping-particle":"","family":"Halford","given":"J. C.","non-dropping-particle":"","parse-names":false,"suffix":""},{"dropping-particle":"","family":"Robinson","given":"E.","non-dropping-particle":"","parse-names":false,"suffix":""}],"container-title":"American Journal of Clinical Nutrition","id":"ITEM-1","issue":"2","issued":{"date-parts":[["2016","2","1"]]},"page":"519-533","publisher":"Oxford University Press","title":"Advertising as a cue to consume: a systematic review and meta-analysis of the effects of acute exposure to unhealthy food and nonalcoholic beverage advertising on intake in children and adults","type":"article-journal","volume":"103"},"uris":["http://www.mendeley.com/documents/?uuid=a80effdc-a77a-3656-9c80-94a15f422200"]},{"id":"ITEM-2","itemData":{"DOI":"10.1111/obr.12812","ISSN":"14677881","PMID":"30576057","abstract":"Evidence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Reviews","id":"ITEM-2","issued":{"date-parts":[["2018","12","21"]]},"title":"The effect of screen advertising on children's dietary intake: A systematic review and meta-analysis","type":"article-journal"},"uris":["http://www.mendeley.com/documents/?uuid=28da32d5-400d-30e5-8a68-bc684c6afcb1"]}],"mendeley":{"formattedCitation":"[18,19]","plainTextFormattedCitation":"[18,19]","previouslyFormattedCitation":"[18,19]"},"properties":{"noteIndex":0},"schema":"https://github.com/citation-style-language/schema/raw/master/csl-citation.json"}</w:instrText>
      </w:r>
      <w:r w:rsidR="00063544" w:rsidRPr="0062673F">
        <w:rPr>
          <w:color w:val="000000" w:themeColor="text1"/>
        </w:rPr>
        <w:fldChar w:fldCharType="separate"/>
      </w:r>
      <w:r w:rsidR="0066542D" w:rsidRPr="0062673F">
        <w:rPr>
          <w:noProof/>
          <w:color w:val="000000" w:themeColor="text1"/>
        </w:rPr>
        <w:t>[18,19]</w:t>
      </w:r>
      <w:r w:rsidR="00063544" w:rsidRPr="0062673F">
        <w:rPr>
          <w:color w:val="000000" w:themeColor="text1"/>
        </w:rPr>
        <w:fldChar w:fldCharType="end"/>
      </w:r>
      <w:r w:rsidR="0066542D" w:rsidRPr="0062673F">
        <w:rPr>
          <w:color w:val="000000" w:themeColor="text1"/>
        </w:rPr>
        <w:t>.</w:t>
      </w:r>
      <w:r w:rsidR="004A7C45" w:rsidRPr="0062673F">
        <w:rPr>
          <w:color w:val="000000" w:themeColor="text1"/>
        </w:rPr>
        <w:t xml:space="preserve"> </w:t>
      </w:r>
      <w:r w:rsidR="00177C2F" w:rsidRPr="0062673F">
        <w:rPr>
          <w:color w:val="000000" w:themeColor="text1"/>
        </w:rPr>
        <w:t>M</w:t>
      </w:r>
      <w:r w:rsidR="004A7C45" w:rsidRPr="0062673F">
        <w:rPr>
          <w:color w:val="000000" w:themeColor="text1"/>
        </w:rPr>
        <w:t>eta-analyses of short-term trials have consistently shown that children exp</w:t>
      </w:r>
      <w:r w:rsidR="00EC32CA" w:rsidRPr="0062673F">
        <w:rPr>
          <w:color w:val="000000" w:themeColor="text1"/>
        </w:rPr>
        <w:t xml:space="preserve">osed to </w:t>
      </w:r>
      <w:r w:rsidR="00086DD1" w:rsidRPr="0062673F">
        <w:rPr>
          <w:color w:val="000000" w:themeColor="text1"/>
        </w:rPr>
        <w:t>television</w:t>
      </w:r>
      <w:r w:rsidR="00EC32CA" w:rsidRPr="0062673F">
        <w:rPr>
          <w:color w:val="000000" w:themeColor="text1"/>
        </w:rPr>
        <w:t xml:space="preserve"> advertisements for less-</w:t>
      </w:r>
      <w:r w:rsidR="004A7C45" w:rsidRPr="0062673F">
        <w:rPr>
          <w:color w:val="000000" w:themeColor="text1"/>
        </w:rPr>
        <w:t>heal</w:t>
      </w:r>
      <w:r w:rsidR="00EC32CA" w:rsidRPr="0062673F">
        <w:rPr>
          <w:color w:val="000000" w:themeColor="text1"/>
        </w:rPr>
        <w:t xml:space="preserve">thy food consume more </w:t>
      </w:r>
      <w:r w:rsidR="004A7C45" w:rsidRPr="0062673F">
        <w:rPr>
          <w:color w:val="000000" w:themeColor="text1"/>
        </w:rPr>
        <w:t xml:space="preserve">food in the immediate period after watching </w:t>
      </w:r>
      <w:r w:rsidR="009733AE" w:rsidRPr="0062673F">
        <w:rPr>
          <w:color w:val="000000" w:themeColor="text1"/>
        </w:rPr>
        <w:t xml:space="preserve">such </w:t>
      </w:r>
      <w:r w:rsidR="004A7C45" w:rsidRPr="0062673F">
        <w:rPr>
          <w:color w:val="000000" w:themeColor="text1"/>
        </w:rPr>
        <w:t>advertisement</w:t>
      </w:r>
      <w:r w:rsidR="009733AE" w:rsidRPr="0062673F">
        <w:rPr>
          <w:color w:val="000000" w:themeColor="text1"/>
        </w:rPr>
        <w:t>s</w:t>
      </w:r>
      <w:r w:rsidR="006F06C1">
        <w:rPr>
          <w:color w:val="000000" w:themeColor="text1"/>
        </w:rPr>
        <w:t xml:space="preserve"> </w:t>
      </w:r>
      <w:r w:rsidR="00063544"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meta-analysis","type":"article-journal"},"uris":["http://www.mendeley.com/documents/?uuid=28da32d5-400d-30e5-8a68-bc684c6afcb1"]},{"id":"ITEM-2","itemData":{"DOI":"10.3945/ajcn.115.120022","ISSN":"0002-9165","author":[{"dropping-particle":"","family":"Boyland","given":"E. J.","non-dropping-particle":"","parse-names":false,"suffix":""},{"dropping-particle":"","family":"Nolan","given":"S.","non-dropping-particle":"","parse-names":false,"suffix":""},{"dropping-particle":"","family":"Kelly","given":"B.","non-dropping-particle":"","parse-names":false,"suffix":""},{"dropping-particle":"","family":"Tudur-Smith","given":"C.","non-dropping-particle":"","parse-names":false,"suffix":""},{"dropping-particle":"","family":"Jones","given":"A.","non-dropping-particle":"","parse-names":false,"suffix":""},{"dropping-particle":"","family":"Halford","given":"J. C.","non-dropping-particle":"","parse-names":false,"suffix":""},{"dropping-particle":"","family":"Robinson","given":"E.","non-dropping-particle":"","parse-names":false,"suffix":""}],"container-title":"American Journal of Clinical Nutrition","id":"ITEM-2","issue":"2","issued":{"date-parts":[["2016","2","1"]]},"page":"519-533","publisher":"Oxford University Press","title":"Advertising as a cue to consume: a systematic review and meta-analysis of the effects of acute exposure to unhealthy food and nonalcoholic beverage advertising on intake in children and adults","type":"article-journal","volume":"103"},"uris":["http://www.mendeley.com/documents/?uuid=a80effdc-a77a-3656-9c80-94a15f422200"]},{"id":"ITEM-3","itemData":{"DOI":"10.1111/obr.12445","ISSN":"14677881","PMID":"27427474","abstract":"Marketing of foods and beverages high in fat, sugar and salt are suggested to contribute to poor dietary behaviours in children and diet-related diseases later in life. This systematic review and meta-analysis of randomized trials aimed to assess the effects of unhealthy food and beverage marketing on dietary intake (grams or kilocalories) and dietary preference (preference score or percentage of participants who selected specific foods/beverages) among children 2 to 18 years of age. We searched MEDLINE, EMBASE and PsycINFO up to January 2015 for terms related to advertising, unhealthy foods or beverages among children. Randomized trials that assessed the effects of unhealthy food and beverage marketing compared with non-dietary advertisement or no advertisement in children were considered eligible. Two authors independently extracted information on study characteristics and outcomes of interest and assessed risk of bias and the overall quality of evidence using grade methodology. Meta-analysis was conducted separately for dietary intake and preference using a random-effects model. We identified 29 eligible studies, of which 17 studies were included for meta-analysis of dietary preference and nine for meta-analysis of dietary intake. Almost half of the studies were at high risk of bias. Our meta-analysis showed that in children exposed to unhealthy dietary marketing, dietary intake significantly increased (mean difference [MD] = 30.4 kcal, 95% confidence interval [CI] 2.9 to 57.9, and MD = 4.8 g, 95%CI 0.8 to 8.8) during or shortly after exposure to advertisements. Similarly, children exposed to the unhealthy dietary marketing had a higher risk of selecting the advertised foods or beverages (relative risk = 1.1, 95%CI 1.0 to 1.2; P = 0.052). The evidence indicates that unhealthy food and beverage marketing increases dietary intake (moderate quality evidence) and preference (moderate to low quality evidence) for energy-dense, low-nutrition food and beverage. Unhealthy food and beverage marketing increased dietary intake and influenced dietary preference in children during or shortly after exposure to advertisements. © 2016 World Obesity.","author":[{"dropping-particle":"","family":"Sadeghirad","given":"B.","non-dropping-particle":"","parse-names":false,"suffix":""},{"dropping-particle":"","family":"Duhaney","given":"T.","non-dropping-particle":"","parse-names":false,"suffix":""},{"dropping-particle":"","family":"Motaghipisheh","given":"S.","non-dropping-particle":"","parse-names":false,"suffix":""},{"dropping-particle":"","family":"Campbell","given":"N. R. C.","non-dropping-particle":"","parse-names":false,"suffix":""},{"dropping-particle":"","family":"Johnston","given":"B. C.","non-dropping-particle":"","parse-names":false,"suffix":""}],"container-title":"Obesity Reviews","id":"ITEM-3","issue":"10","issued":{"date-parts":[["2016","10"]]},"page":"945-959","title":"Influence of unhealthy food and beverage marketing on children's dietary intake and preference: a systematic review and meta-analysis of randomized trials","type":"article-journal","volume":"17"},"uris":["http://www.mendeley.com/documents/?uuid=3f13af19-37c9-37b3-923e-e11a665a7d69"]}],"mendeley":{"formattedCitation":"[18–20]","plainTextFormattedCitation":"[18–20]","previouslyFormattedCitation":"[18–20]"},"properties":{"noteIndex":0},"schema":"https://github.com/citation-style-language/schema/raw/master/csl-citation.json"}</w:instrText>
      </w:r>
      <w:r w:rsidR="00063544" w:rsidRPr="0062673F">
        <w:rPr>
          <w:color w:val="000000" w:themeColor="text1"/>
        </w:rPr>
        <w:fldChar w:fldCharType="separate"/>
      </w:r>
      <w:r w:rsidR="0066542D" w:rsidRPr="0062673F">
        <w:rPr>
          <w:noProof/>
          <w:color w:val="000000" w:themeColor="text1"/>
        </w:rPr>
        <w:t>[18–20]</w:t>
      </w:r>
      <w:r w:rsidR="00063544" w:rsidRPr="0062673F">
        <w:rPr>
          <w:color w:val="000000" w:themeColor="text1"/>
        </w:rPr>
        <w:fldChar w:fldCharType="end"/>
      </w:r>
      <w:r w:rsidR="0066542D" w:rsidRPr="0062673F">
        <w:rPr>
          <w:color w:val="000000" w:themeColor="text1"/>
        </w:rPr>
        <w:t>.</w:t>
      </w:r>
      <w:r w:rsidR="004A7C45" w:rsidRPr="0062673F">
        <w:rPr>
          <w:color w:val="000000" w:themeColor="text1"/>
        </w:rPr>
        <w:t xml:space="preserve"> As children do not </w:t>
      </w:r>
      <w:r w:rsidR="000040F8" w:rsidRPr="0062673F">
        <w:rPr>
          <w:color w:val="000000" w:themeColor="text1"/>
        </w:rPr>
        <w:t xml:space="preserve">appear to </w:t>
      </w:r>
      <w:r w:rsidR="004A7C45" w:rsidRPr="0062673F">
        <w:rPr>
          <w:color w:val="000000" w:themeColor="text1"/>
        </w:rPr>
        <w:t>compensate by adequately reducing consumption at subsequent meals</w:t>
      </w:r>
      <w:r w:rsidR="006F06C1">
        <w:rPr>
          <w:color w:val="000000" w:themeColor="text1"/>
        </w:rPr>
        <w:t xml:space="preserve"> </w:t>
      </w:r>
      <w:r w:rsidR="00297339" w:rsidRPr="0062673F">
        <w:rPr>
          <w:color w:val="000000" w:themeColor="text1"/>
        </w:rPr>
        <w:fldChar w:fldCharType="begin" w:fldLock="1"/>
      </w:r>
      <w:r w:rsidR="00467360" w:rsidRPr="0062673F">
        <w:rPr>
          <w:color w:val="000000" w:themeColor="text1"/>
        </w:rPr>
        <w:instrText>ADDIN CSL_CITATION {"citationItems":[{"id":"ITEM-1","itemData":{"DOI":"10.1186/s12966-018-0672-6","ISSN":"1479-5868","PMID":"29650023","abstract":"BACKGROUND Policies restricting children's exposure to unhealthy food marketing have been impeded by the lack of evidence showing a direct link between food advertising exposure and children's energy intake and body weight. Food advertising exposure increases children's immediate food consumption, but whether this increased intake is compensated for at later eating occasions is not known; consequently the sustained effect on diets remains unclear. METHODS We conducted a within-subject, randomised, crossover, counterbalanced study across four, six-day holiday camps in New South Wales, Australia between April 2016 and January 2017. Children (7-12 years, n = 160) were recruited via local schools, email networks and social media. Two gender- and age-balanced groups were formed for each camp (n = 20), randomised to either a multiple- or single- media condition and exposed to food and non-food advertising in an online game and/or a television cartoon. Children's food consumption (kilojoules) was measured at a snack immediately after exposure and then at lunch later in the day. Linear mixed models were conducted to examine relationships between food advertising exposure and dietary intake, taking into account gender, age and weight status. RESULTS All children in the multiple-media condition ate more at a snack after exposure to food advertising compared with non-food advertising; this was not compensated for at lunch, leading to additional daily food intake of 194 kJ (95% CI 80-308, p = 0.001, d = 0.2). Exposure to multiple-media food advertising compared with a single-media source increased the effect on snack intake by a difference of 182 kJ (95% CI 46-317, p = 0.009, d = 0.4). Food advertising had an increased effect among children with heavier weight status in both media groups. CONCLUSION Online ('advergame') advertising combined with TV advertising exerted a stronger influence on children's food consumption than TV advertising alone. The lack of compensation at lunch for children's increased snack intake after food advertising exposure suggests that unhealthy food advertising exposure contributes to a positive energy-gap, which could cumulatively lead to the development of overweight. TRIAL REGISTRATION Australian New Zealand Clinical Trials Registry, number ACTRN12617001230347 (Retrospectively registered).","author":[{"dropping-particle":"","family":"Norman","given":"Jennifer","non-dropping-particle":"","parse-names":false,"suffix":""},{"dropping-particle":"","family":"Kelly","given":"Bridget","non-dropping-particle":"","parse-names":false,"suffix":""},{"dropping-particle":"","family":"McMahon","given":"Anne-T","non-dropping-particle":"","parse-names":false,"suffix":""},{"dropping-particle":"","family":"Boyland","given":"Emma","non-dropping-particle":"","parse-names":false,"suffix":""},{"dropping-particle":"","family":"Baur","given":"Louise A","non-dropping-particle":"","parse-names":false,"suffix":""},{"dropping-particle":"","family":"Chapman","given":"Kathy","non-dropping-particle":"","parse-names":false,"suffix":""},{"dropping-particle":"","family":"King","given":"Lesley","non-dropping-particle":"","parse-names":false,"suffix":""},{"dropping-particle":"","family":"Hughes","given":"Clare","non-dropping-particle":"","parse-names":false,"suffix":""},{"dropping-particle":"","family":"Bauman","given":"Adrian","non-dropping-particle":"","parse-names":false,"suffix":""}],"container-title":"The international journal of behavioral nutrition and physical activity","id":"ITEM-1","issue":"1","issued":{"date-parts":[["2018"]]},"page":"37","publisher":"BioMed Central","title":"Sustained impact of energy-dense TV and online food advertising on children's dietary intake: a within-subject, randomised, crossover, counter-balanced trial.","type":"article-journal","volume":"15"},"uris":["http://www.mendeley.com/documents/?uuid=0d6b4c90-ae54-304b-b4e1-dbfea9827e27"]}],"mendeley":{"formattedCitation":"[21]","plainTextFormattedCitation":"[21]","previouslyFormattedCitation":"[21]"},"properties":{"noteIndex":0},"schema":"https://github.com/citation-style-language/schema/raw/master/csl-citation.json"}</w:instrText>
      </w:r>
      <w:r w:rsidR="00297339" w:rsidRPr="0062673F">
        <w:rPr>
          <w:color w:val="000000" w:themeColor="text1"/>
        </w:rPr>
        <w:fldChar w:fldCharType="separate"/>
      </w:r>
      <w:r w:rsidR="0066542D" w:rsidRPr="0062673F">
        <w:rPr>
          <w:noProof/>
          <w:color w:val="000000" w:themeColor="text1"/>
        </w:rPr>
        <w:t>[21]</w:t>
      </w:r>
      <w:r w:rsidR="00297339" w:rsidRPr="0062673F">
        <w:rPr>
          <w:color w:val="000000" w:themeColor="text1"/>
        </w:rPr>
        <w:fldChar w:fldCharType="end"/>
      </w:r>
      <w:r w:rsidR="006F06C1">
        <w:rPr>
          <w:color w:val="000000" w:themeColor="text1"/>
        </w:rPr>
        <w:t>,</w:t>
      </w:r>
      <w:r w:rsidR="00EC32CA" w:rsidRPr="0062673F">
        <w:rPr>
          <w:color w:val="000000" w:themeColor="text1"/>
        </w:rPr>
        <w:t xml:space="preserve"> the repeated exposure to television</w:t>
      </w:r>
      <w:r w:rsidR="004A7C45" w:rsidRPr="0062673F">
        <w:rPr>
          <w:color w:val="000000" w:themeColor="text1"/>
        </w:rPr>
        <w:t xml:space="preserve"> advertisements </w:t>
      </w:r>
      <w:r w:rsidR="009733AE" w:rsidRPr="0062673F">
        <w:rPr>
          <w:color w:val="000000" w:themeColor="text1"/>
        </w:rPr>
        <w:t>for less</w:t>
      </w:r>
      <w:r w:rsidR="008F1619" w:rsidRPr="0062673F">
        <w:rPr>
          <w:color w:val="000000" w:themeColor="text1"/>
        </w:rPr>
        <w:t>-</w:t>
      </w:r>
      <w:r w:rsidR="009733AE" w:rsidRPr="0062673F">
        <w:rPr>
          <w:color w:val="000000" w:themeColor="text1"/>
        </w:rPr>
        <w:t xml:space="preserve">healthy foods </w:t>
      </w:r>
      <w:r w:rsidR="004A7C45" w:rsidRPr="0062673F">
        <w:rPr>
          <w:color w:val="000000" w:themeColor="text1"/>
        </w:rPr>
        <w:t xml:space="preserve">is </w:t>
      </w:r>
      <w:r w:rsidR="001A49A7" w:rsidRPr="0062673F">
        <w:rPr>
          <w:color w:val="000000" w:themeColor="text1"/>
        </w:rPr>
        <w:t>likely to lead to repeated over-</w:t>
      </w:r>
      <w:r w:rsidR="004A7C45" w:rsidRPr="0062673F">
        <w:rPr>
          <w:color w:val="000000" w:themeColor="text1"/>
        </w:rPr>
        <w:t>consumption</w:t>
      </w:r>
      <w:r w:rsidR="00594850" w:rsidRPr="0062673F">
        <w:rPr>
          <w:color w:val="000000" w:themeColor="text1"/>
        </w:rPr>
        <w:t xml:space="preserve"> </w:t>
      </w:r>
      <w:r w:rsidR="001A49A7" w:rsidRPr="0062673F">
        <w:rPr>
          <w:color w:val="000000" w:themeColor="text1"/>
        </w:rPr>
        <w:t>and</w:t>
      </w:r>
      <w:r w:rsidR="00594850" w:rsidRPr="0062673F">
        <w:rPr>
          <w:color w:val="000000" w:themeColor="text1"/>
        </w:rPr>
        <w:t xml:space="preserve"> excess weight gain</w:t>
      </w:r>
      <w:r w:rsidR="00545720" w:rsidRPr="0062673F">
        <w:rPr>
          <w:color w:val="000000" w:themeColor="text1"/>
        </w:rPr>
        <w:t>.</w:t>
      </w:r>
      <w:r w:rsidR="004A7C45" w:rsidRPr="0062673F">
        <w:rPr>
          <w:color w:val="000000" w:themeColor="text1"/>
        </w:rPr>
        <w:t xml:space="preserve"> In addition</w:t>
      </w:r>
      <w:r w:rsidR="00CB4532" w:rsidRPr="0062673F">
        <w:rPr>
          <w:color w:val="000000" w:themeColor="text1"/>
        </w:rPr>
        <w:t xml:space="preserve">, </w:t>
      </w:r>
      <w:r w:rsidR="009C31E6" w:rsidRPr="0062673F">
        <w:rPr>
          <w:color w:val="000000" w:themeColor="text1"/>
        </w:rPr>
        <w:t xml:space="preserve">evidence </w:t>
      </w:r>
      <w:r w:rsidR="00CB4532" w:rsidRPr="0062673F">
        <w:rPr>
          <w:color w:val="000000" w:themeColor="text1"/>
        </w:rPr>
        <w:t xml:space="preserve">suggests </w:t>
      </w:r>
      <w:r w:rsidR="009C31E6" w:rsidRPr="0062673F">
        <w:rPr>
          <w:color w:val="000000" w:themeColor="text1"/>
        </w:rPr>
        <w:t>that</w:t>
      </w:r>
      <w:r w:rsidR="004A7C45" w:rsidRPr="0062673F">
        <w:rPr>
          <w:color w:val="000000" w:themeColor="text1"/>
        </w:rPr>
        <w:t xml:space="preserve"> exposure to advertising </w:t>
      </w:r>
      <w:r w:rsidR="008F1619" w:rsidRPr="0062673F">
        <w:rPr>
          <w:color w:val="000000" w:themeColor="text1"/>
        </w:rPr>
        <w:t>for less-</w:t>
      </w:r>
      <w:r w:rsidR="009C31E6" w:rsidRPr="0062673F">
        <w:rPr>
          <w:color w:val="000000" w:themeColor="text1"/>
        </w:rPr>
        <w:t>healthy foods influences</w:t>
      </w:r>
      <w:r w:rsidR="004A7C45" w:rsidRPr="0062673F">
        <w:rPr>
          <w:color w:val="000000" w:themeColor="text1"/>
        </w:rPr>
        <w:t xml:space="preserve"> food pref</w:t>
      </w:r>
      <w:r w:rsidR="00716DC7" w:rsidRPr="0062673F">
        <w:rPr>
          <w:color w:val="000000" w:themeColor="text1"/>
        </w:rPr>
        <w:t>erences and purchasing patterns</w:t>
      </w:r>
      <w:r w:rsidR="006F06C1">
        <w:rPr>
          <w:color w:val="000000" w:themeColor="text1"/>
        </w:rPr>
        <w:t xml:space="preserve"> </w:t>
      </w:r>
      <w:r w:rsidR="008B02E5" w:rsidRPr="0062673F">
        <w:rPr>
          <w:color w:val="000000" w:themeColor="text1"/>
        </w:rPr>
        <w:fldChar w:fldCharType="begin" w:fldLock="1"/>
      </w:r>
      <w:r w:rsidR="00467360" w:rsidRPr="0062673F">
        <w:rPr>
          <w:color w:val="000000" w:themeColor="text1"/>
        </w:rPr>
        <w:instrText>ADDIN CSL_CITATION {"citationItems":[{"id":"ITEM-1","itemData":{"DOI":"10.1016/j.appet.2012.04.017","ISSN":"1095-8304","PMID":"22561190","abstract":"A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author":[{"dropping-particle":"","family":"Cairns","given":"Georgina","non-dropping-particle":"","parse-names":false,"suffix":""},{"dropping-particle":"","family":"Angus","given":"Kathryn","non-dropping-particle":"","parse-names":false,"suffix":""},{"dropping-particle":"","family":"Hastings","given":"Gerard","non-dropping-particle":"","parse-names":false,"suffix":""},{"dropping-particle":"","family":"Caraher","given":"Martin","non-dropping-particle":"","parse-names":false,"suffix":""}],"container-title":"Appetite","id":"ITEM-1","issued":{"date-parts":[["2013","3"]]},"page":"209-15","title":"Systematic reviews of the evidence on the nature, extent and effects of food marketing to children. A retrospective summary.","type":"article-journal","volume":"62"},"uris":["http://www.mendeley.com/documents/?uuid=280901d8-57b9-3baa-9619-c76ac460f381"]},{"id":"ITEM-2","itemData":{"DOI":"10.2105/AJPH.2014.302476","ISSN":"1541-0048","PMID":"25713968","abstract":"We assessed the evidence for a conceptual \"hierarchy of effects\" of marketing, to guide understanding of the relationship between children's exposure to unhealthy food marketing and poor diets and overweight, and drive the research agenda. We reviewed studies assessing the impact of food promotions on children from MEDLINE, Web of Science, ABI Inform, World Health Organization library database, and The Gray Literature Report. We included articles published in English from 2009 to 2013, with earlier articles from a 2009 systematic review. We grouped articles by outcome of exposure and assessed outcomes within a framework depicting a hierarchy of effects of marketing exposures. Evidence supports a logical sequence of effects linking food promotions to individual-level weight outcomes. Future studies should demonstrate the sustained effects of marketing exposure, and exploit variations in exposures to assess differences in outcomes longitudinally.","author":[{"dropping-particle":"","family":"Kelly","given":"Bridget","non-dropping-particle":"","parse-names":false,"suffix":""},{"dropping-particle":"","family":"King MPsy","given":"Lesley","non-dropping-particle":"","parse-names":false,"suffix":""},{"dropping-particle":"","family":"Chapman Mnd","given":"Kathy","non-dropping-particle":"","parse-names":false,"suffix":""},{"dropping-particle":"","family":"Boyland","given":"Emma","non-dropping-particle":"","parse-names":false,"suffix":""},{"dropping-particle":"","family":"Bauman","given":"Adrian E","non-dropping-particle":"","parse-names":false,"suffix":""},{"dropping-particle":"","family":"Baur","given":"Louise A","non-dropping-particle":"","parse-names":false,"suffix":""}],"container-title":"American journal of public health","id":"ITEM-2","issue":"4","issued":{"date-parts":[["2015","4"]]},"page":"e86-95","title":"A hierarchy of unhealthy food promotion effects: identifying methodological approaches and knowledge gaps.","type":"article-journal","volume":"105"},"uris":["http://www.mendeley.com/documents/?uuid=50b815fa-4467-3a13-b6a3-1a72b97bdb40"]}],"mendeley":{"formattedCitation":"[22,23]","plainTextFormattedCitation":"[22,23]","previouslyFormattedCitation":"[22,23]"},"properties":{"noteIndex":0},"schema":"https://github.com/citation-style-language/schema/raw/master/csl-citation.json"}</w:instrText>
      </w:r>
      <w:r w:rsidR="008B02E5" w:rsidRPr="0062673F">
        <w:rPr>
          <w:color w:val="000000" w:themeColor="text1"/>
        </w:rPr>
        <w:fldChar w:fldCharType="separate"/>
      </w:r>
      <w:r w:rsidR="0066542D" w:rsidRPr="0062673F">
        <w:rPr>
          <w:noProof/>
          <w:color w:val="000000" w:themeColor="text1"/>
        </w:rPr>
        <w:t>[22,23]</w:t>
      </w:r>
      <w:r w:rsidR="008B02E5" w:rsidRPr="0062673F">
        <w:rPr>
          <w:color w:val="000000" w:themeColor="text1"/>
        </w:rPr>
        <w:fldChar w:fldCharType="end"/>
      </w:r>
      <w:r w:rsidR="0066542D" w:rsidRPr="0062673F">
        <w:rPr>
          <w:color w:val="000000" w:themeColor="text1"/>
        </w:rPr>
        <w:t>.</w:t>
      </w:r>
      <w:r w:rsidR="00716DC7" w:rsidRPr="0062673F">
        <w:rPr>
          <w:color w:val="000000" w:themeColor="text1"/>
        </w:rPr>
        <w:t xml:space="preserve"> This is</w:t>
      </w:r>
      <w:r w:rsidR="004A7C45" w:rsidRPr="0062673F">
        <w:rPr>
          <w:color w:val="000000" w:themeColor="text1"/>
        </w:rPr>
        <w:t xml:space="preserve"> likely to encoura</w:t>
      </w:r>
      <w:r w:rsidR="004B68DB" w:rsidRPr="0062673F">
        <w:rPr>
          <w:color w:val="000000" w:themeColor="text1"/>
        </w:rPr>
        <w:t xml:space="preserve">ge consumption </w:t>
      </w:r>
      <w:r w:rsidR="008413B1" w:rsidRPr="0062673F">
        <w:rPr>
          <w:color w:val="000000" w:themeColor="text1"/>
        </w:rPr>
        <w:t xml:space="preserve">of a diet high in </w:t>
      </w:r>
      <w:r w:rsidR="008B02E5" w:rsidRPr="0062673F">
        <w:rPr>
          <w:color w:val="000000" w:themeColor="text1"/>
        </w:rPr>
        <w:t>foods high in fat</w:t>
      </w:r>
      <w:r w:rsidR="009733AE" w:rsidRPr="0062673F">
        <w:rPr>
          <w:color w:val="000000" w:themeColor="text1"/>
        </w:rPr>
        <w:t>,</w:t>
      </w:r>
      <w:r w:rsidR="008B02E5" w:rsidRPr="0062673F">
        <w:rPr>
          <w:color w:val="000000" w:themeColor="text1"/>
        </w:rPr>
        <w:t xml:space="preserve"> </w:t>
      </w:r>
      <w:r w:rsidR="00C40AB7" w:rsidRPr="0062673F">
        <w:rPr>
          <w:color w:val="000000" w:themeColor="text1"/>
        </w:rPr>
        <w:t>sugar</w:t>
      </w:r>
      <w:r w:rsidR="009733AE" w:rsidRPr="0062673F">
        <w:rPr>
          <w:color w:val="000000" w:themeColor="text1"/>
        </w:rPr>
        <w:t xml:space="preserve"> </w:t>
      </w:r>
      <w:r w:rsidR="00654C92" w:rsidRPr="0062673F">
        <w:rPr>
          <w:color w:val="000000" w:themeColor="text1"/>
        </w:rPr>
        <w:t>and</w:t>
      </w:r>
      <w:r w:rsidR="009733AE" w:rsidRPr="0062673F">
        <w:rPr>
          <w:color w:val="000000" w:themeColor="text1"/>
        </w:rPr>
        <w:t xml:space="preserve"> s</w:t>
      </w:r>
      <w:r w:rsidR="00C40AB7" w:rsidRPr="0062673F">
        <w:rPr>
          <w:color w:val="000000" w:themeColor="text1"/>
        </w:rPr>
        <w:t>alt</w:t>
      </w:r>
      <w:r w:rsidR="00EC32CA" w:rsidRPr="0062673F">
        <w:rPr>
          <w:color w:val="000000" w:themeColor="text1"/>
        </w:rPr>
        <w:t>,</w:t>
      </w:r>
      <w:r w:rsidR="008F1619" w:rsidRPr="0062673F">
        <w:rPr>
          <w:color w:val="000000" w:themeColor="text1"/>
        </w:rPr>
        <w:t xml:space="preserve"> or a western-dietary pattern</w:t>
      </w:r>
      <w:r w:rsidR="00716DC7" w:rsidRPr="0062673F">
        <w:rPr>
          <w:color w:val="000000" w:themeColor="text1"/>
        </w:rPr>
        <w:t>, which</w:t>
      </w:r>
      <w:r w:rsidR="004A7C45" w:rsidRPr="0062673F">
        <w:rPr>
          <w:color w:val="000000" w:themeColor="text1"/>
        </w:rPr>
        <w:t xml:space="preserve"> is associated with obesity and ill-health</w:t>
      </w:r>
      <w:r w:rsidR="006F06C1">
        <w:rPr>
          <w:color w:val="000000" w:themeColor="text1"/>
        </w:rPr>
        <w:t xml:space="preserve"> </w:t>
      </w:r>
      <w:r w:rsidR="008B02E5" w:rsidRPr="0062673F">
        <w:rPr>
          <w:color w:val="000000" w:themeColor="text1"/>
        </w:rPr>
        <w:fldChar w:fldCharType="begin" w:fldLock="1"/>
      </w:r>
      <w:r w:rsidR="00467360" w:rsidRPr="0062673F">
        <w:rPr>
          <w:color w:val="000000" w:themeColor="text1"/>
        </w:rPr>
        <w:instrText>ADDIN CSL_CITATION {"citationItems":[{"id":"ITEM-1","itemData":{"DOI":"10.1161/CIRCULATIONAHA.115.018585","ISSN":"1524-4539","PMID":"26746178","abstract":"Suboptimal nutrition is a leading cause of poor health. Nutrition and policy science have advanced rapidly, creating confusion yet also providing powerful opportunities to reduce the adverse health and economic impacts of poor diets. This review considers the history, new evidence, controversies, and corresponding lessons for modern dietary and policy priorities for cardiovascular diseases, obesity, and diabetes mellitus. Major identified themes include the importance of evaluating the full diversity of diet-related risk pathways, not only blood lipids or obesity; focusing on foods and overall diet patterns, rather than single isolated nutrients; recognizing the complex influences of different foods on long-term weight regulation, rather than simply counting calories; and characterizing and implementing evidence-based strategies, including policy approaches, for lifestyle change. Evidence-informed dietary priorities include increased fruits, nonstarchy vegetables, nuts, legumes, fish, vegetable oils, yogurt, and minimally processed whole grains; and fewer red meats, processed (eg, sodium-preserved) meats, and foods rich in refined grains, starch, added sugars, salt, and trans fat. More investigation is needed on the cardiometabolic effects of phenolics, dairy fat, probiotics, fermentation, coffee, tea, cocoa, eggs, specific vegetable and tropical oils, vitamin D, individual fatty acids, and diet-microbiome interactions. Little evidence to date supports the cardiometabolic relevance of other popular priorities: eg, local, organic, grass-fed, farmed/wild, or non-genetically modified. Evidence-based personalized nutrition appears to depend more on nongenetic characteristics (eg, physical activity, abdominal adiposity, gender, socioeconomic status, culture) than genetic factors. Food choices must be strongly supported by clinical behavior change efforts, health systems reforms, novel technologies, and robust policy strategies targeting economic incentives, schools and workplaces, neighborhood environments, and the food system. Scientific advances provide crucial new insights on optimal targets and best practices to reduce the burdens of diet-related cardiometabolic diseases.","author":[{"dropping-particle":"","family":"Mozaffarian","given":"Dariush","non-dropping-particle":"","parse-names":false,"suffix":""}],"container-title":"Circulation","id":"ITEM-1","issued":{"date-parts":[["2016","1","8"]]},"title":"Dietary and Policy Priorities for Cardiovascular Disease, Diabetes, and Obesity: A Comprehensive Review.","type":"article-journal"},"uris":["http://www.mendeley.com/documents/?uuid=18163030-f986-4fa0-8bdd-15961fe68eb9"]},{"id":"ITEM-2","itemData":{"DOI":"10.1016/j.ijcard.2017.02.092","ISSN":"01675273","author":[{"dropping-particle":"","family":"Adriouch","given":"Solia","non-dropping-particle":"","parse-names":false,"suffix":""},{"dropping-particle":"","family":"Julia","given":"Chantal","non-dropping-particle":"","parse-names":false,"suffix":""},{"dropping-particle":"","family":"Kesse-Guyot","given":"Emmanuelle","non-dropping-particle":"","parse-names":false,"suffix":""},{"dropping-particle":"","family":"Ducrot","given":"Pauline","non-dropping-particle":"","parse-names":false,"suffix":""},{"dropping-particle":"","family":"Péneau","given":"Sandrine","non-dropping-particle":"","parse-names":false,"suffix":""},{"dropping-particle":"","family":"Méjean","given":"Caroline","non-dropping-particle":"","parse-names":false,"suffix":""},{"dropping-particle":"","family":"Assmann","given":"Karen E.","non-dropping-particle":"","parse-names":false,"suffix":""},{"dropping-particle":"","family":"Deschasaux","given":"Mélanie","non-dropping-particle":"","parse-names":false,"suffix":""},{"dropping-particle":"","family":"Hercberg","given":"Serge","non-dropping-particle":"","parse-names":false,"suffix":""},{"dropping-particle":"","family":"Touvier","given":"Mathilde","non-dropping-particle":"","parse-names":false,"suffix":""},{"dropping-particle":"","family":"Fezeu","given":"Léopold K","non-dropping-particle":"","parse-names":false,"suffix":""}],"container-title":"International Journal of Cardiology","id":"ITEM-2","issued":{"date-parts":[["2017","5"]]},"page":"22-27","title":"Association between a dietary quality index based on the food standard agency nutrient profiling system and cardiovascular disease risk among French adults","type":"article-journal","volume":"234"},"uris":["http://www.mendeley.com/documents/?uuid=b424e3e5-cad2-3dfa-9d09-0f060d80111e"]},{"id":"ITEM-3","itemData":{"DOI":"10.1016/j.ypmed.2015.08.022","ISSN":"1096-0260","PMID":"26348449","abstract":"BACKGROUND/OBJECTIVES: The scoring of the nutritional quality of individual foods using nutrient profiling systems (NPS) has been suggested as a basis for public health preventive measures. Used for front-of-package labeling, such scoring would help consumers in making healthier food choices. An individual dietary score based on the Food Standards Agency NPS has been developed (FSA-NPS-DI), but its long term association with weight gain has not been investigated. Our objectives were to investigate long-term associations between the FSA-NPS DI and weight gain and overweight/obesity onset in a middle-aged French population.\n\nSUBJECTS/METHODS: Subjects included in the French SU.VI.MAX cohort with at least three dietary records at baseline and available anthropometric measurements at baseline and at a 13-year follow-up examination were included in the study. FSA-NPS DI at baseline was computed for each subject. Association between FSA-NPS DI and weight and BMI gain were investigated with ANCOVA and associations with overweight/obesity onset with logistic regression models.\n\nRESULTS: Higher baseline FSA-NPS DI (reflecting a poorer diet) was associated with higher weight and BMI gain (beta Q4 versus Q1=0.70; (95%CI 0.01; 1.38), P for trend=0.04). A 16% higher risk of obesity for a 1 point increase of FSA-NPS DI was observed only in men.\n\nCONCLUSIONS: Our results suggest that a shift in nutritional quality of the foods and beverages within an individual's diet, as expressed by the FSA-NPS DI would be associated with lower weight gain in the long term. Using the FSA-NPS as a basis for food labeling might therefore contribute to tackle obesity.","author":[{"dropping-particle":"","family":"Julia","given":"Chantal","non-dropping-particle":"","parse-names":false,"suffix":""},{"dropping-particle":"","family":"Ducrot","given":"Pauline","non-dropping-particle":"","parse-names":false,"suffix":""},{"dropping-particle":"","family":"Lassale","given":"Camille","non-dropping-particle":"","parse-names":false,"suffix":""},{"dropping-particle":"","family":"Fézeu","given":"Léopold","non-dropping-particle":"","parse-names":false,"suffix":""},{"dropping-particle":"","family":"Méjean","given":"Caroline","non-dropping-particle":"","parse-names":false,"suffix":""},{"dropping-particle":"","family":"Péneau","given":"Sandrine","non-dropping-particle":"","parse-names":false,"suffix":""},{"dropping-particle":"","family":"Touvier","given":"Mathilde","non-dropping-particle":"","parse-names":false,"suffix":""},{"dropping-particle":"","family":"Hercberg","given":"Serge","non-dropping-particle":"","parse-names":false,"suffix":""},{"dropping-particle":"","family":"Kesse-Guyot","given":"Emmanuelle","non-dropping-particle":"","parse-names":false,"suffix":""}],"container-title":"Preventive medicine","id":"ITEM-3","issued":{"date-parts":[["2015","12"]]},"page":"189-94","title":"Prospective associations between a dietary index based on the British Food Standard Agency nutrient profiling system and 13-year weight gain in the SU.VI.MAX cohort.","type":"article-journal","volume":"81"},"uris":["http://www.mendeley.com/documents/?uuid=fbce655c-bc5e-4c4d-9a75-de2846dbb12f"]}],"mendeley":{"formattedCitation":"[24–26]","plainTextFormattedCitation":"[24–26]","previouslyFormattedCitation":"[24–26]"},"properties":{"noteIndex":0},"schema":"https://github.com/citation-style-language/schema/raw/master/csl-citation.json"}</w:instrText>
      </w:r>
      <w:r w:rsidR="008B02E5" w:rsidRPr="0062673F">
        <w:rPr>
          <w:color w:val="000000" w:themeColor="text1"/>
        </w:rPr>
        <w:fldChar w:fldCharType="separate"/>
      </w:r>
      <w:r w:rsidR="0066542D" w:rsidRPr="0062673F">
        <w:rPr>
          <w:noProof/>
          <w:color w:val="000000" w:themeColor="text1"/>
        </w:rPr>
        <w:t>[24–26]</w:t>
      </w:r>
      <w:r w:rsidR="008B02E5" w:rsidRPr="0062673F">
        <w:rPr>
          <w:color w:val="000000" w:themeColor="text1"/>
        </w:rPr>
        <w:fldChar w:fldCharType="end"/>
      </w:r>
      <w:r w:rsidR="0066542D" w:rsidRPr="0062673F">
        <w:rPr>
          <w:color w:val="000000" w:themeColor="text1"/>
        </w:rPr>
        <w:t>.</w:t>
      </w:r>
      <w:r w:rsidR="004A7C45" w:rsidRPr="0062673F">
        <w:rPr>
          <w:color w:val="000000" w:themeColor="text1"/>
        </w:rPr>
        <w:t xml:space="preserve"> </w:t>
      </w:r>
    </w:p>
    <w:p w14:paraId="034B4A94" w14:textId="3BBBE54D" w:rsidR="004A7C45" w:rsidRPr="0062673F" w:rsidRDefault="00654C92" w:rsidP="004A7C45">
      <w:pPr>
        <w:rPr>
          <w:color w:val="000000" w:themeColor="text1"/>
        </w:rPr>
      </w:pPr>
      <w:r w:rsidRPr="0062673F">
        <w:rPr>
          <w:color w:val="000000" w:themeColor="text1"/>
        </w:rPr>
        <w:t xml:space="preserve">The World Health Organisation recommends </w:t>
      </w:r>
      <w:r w:rsidR="000040F8" w:rsidRPr="0062673F">
        <w:rPr>
          <w:color w:val="000000" w:themeColor="text1"/>
        </w:rPr>
        <w:t>restrict</w:t>
      </w:r>
      <w:r w:rsidRPr="0062673F">
        <w:rPr>
          <w:color w:val="000000" w:themeColor="text1"/>
        </w:rPr>
        <w:t>ing</w:t>
      </w:r>
      <w:r w:rsidR="000040F8" w:rsidRPr="0062673F">
        <w:rPr>
          <w:color w:val="000000" w:themeColor="text1"/>
        </w:rPr>
        <w:t xml:space="preserve"> </w:t>
      </w:r>
      <w:r w:rsidRPr="0062673F">
        <w:rPr>
          <w:color w:val="000000" w:themeColor="text1"/>
        </w:rPr>
        <w:t>television</w:t>
      </w:r>
      <w:r w:rsidR="009733AE" w:rsidRPr="0062673F">
        <w:rPr>
          <w:color w:val="000000" w:themeColor="text1"/>
        </w:rPr>
        <w:t xml:space="preserve"> </w:t>
      </w:r>
      <w:r w:rsidR="000040F8" w:rsidRPr="0062673F">
        <w:rPr>
          <w:color w:val="000000" w:themeColor="text1"/>
        </w:rPr>
        <w:t>advertising</w:t>
      </w:r>
      <w:r w:rsidRPr="0062673F">
        <w:rPr>
          <w:color w:val="000000" w:themeColor="text1"/>
        </w:rPr>
        <w:t xml:space="preserve"> to children for products high in saturated fat, trans fatty acids, free sugar or salt</w:t>
      </w:r>
      <w:r w:rsidR="006F06C1">
        <w:rPr>
          <w:color w:val="000000" w:themeColor="text1"/>
        </w:rPr>
        <w:t xml:space="preserve"> </w:t>
      </w:r>
      <w:r w:rsidR="000040F8" w:rsidRPr="0062673F">
        <w:rPr>
          <w:color w:val="000000" w:themeColor="text1"/>
        </w:rPr>
        <w:fldChar w:fldCharType="begin" w:fldLock="1"/>
      </w:r>
      <w:r w:rsidR="00467360" w:rsidRPr="0062673F">
        <w:rPr>
          <w:color w:val="000000" w:themeColor="text1"/>
        </w:rPr>
        <w:instrText>ADDIN CSL_CITATION {"citationItems":[{"id":"ITEM-1","itemData":{"author":[{"dropping-particle":"","family":"World Health Organization","given":"","non-dropping-particle":"","parse-names":false,"suffix":""}],"id":"ITEM-1","issued":{"date-parts":[["2010"]]},"publisher-place":"Geneva","title":"Set of recommendations on the marketing of foods and non-alcoholic beverages to children","type":"report"},"uris":["http://www.mendeley.com/documents/?uuid=1b28ac3f-23af-47b9-9860-19d3e8476941"]}],"mendeley":{"formattedCitation":"[27]","plainTextFormattedCitation":"[27]","previouslyFormattedCitation":"[27]"},"properties":{"noteIndex":0},"schema":"https://github.com/citation-style-language/schema/raw/master/csl-citation.json"}</w:instrText>
      </w:r>
      <w:r w:rsidR="000040F8" w:rsidRPr="0062673F">
        <w:rPr>
          <w:color w:val="000000" w:themeColor="text1"/>
        </w:rPr>
        <w:fldChar w:fldCharType="separate"/>
      </w:r>
      <w:r w:rsidR="0066542D" w:rsidRPr="0062673F">
        <w:rPr>
          <w:noProof/>
          <w:color w:val="000000" w:themeColor="text1"/>
        </w:rPr>
        <w:t>[27]</w:t>
      </w:r>
      <w:r w:rsidR="000040F8" w:rsidRPr="0062673F">
        <w:rPr>
          <w:color w:val="000000" w:themeColor="text1"/>
        </w:rPr>
        <w:fldChar w:fldCharType="end"/>
      </w:r>
      <w:r w:rsidR="0066542D" w:rsidRPr="0062673F">
        <w:rPr>
          <w:color w:val="000000" w:themeColor="text1"/>
        </w:rPr>
        <w:t>.</w:t>
      </w:r>
      <w:r w:rsidR="000040F8" w:rsidRPr="0062673F">
        <w:rPr>
          <w:color w:val="000000" w:themeColor="text1"/>
        </w:rPr>
        <w:t xml:space="preserve"> While many</w:t>
      </w:r>
      <w:r w:rsidR="004A7C45" w:rsidRPr="0062673F">
        <w:rPr>
          <w:color w:val="000000" w:themeColor="text1"/>
        </w:rPr>
        <w:t xml:space="preserve"> countries </w:t>
      </w:r>
      <w:r w:rsidR="000040F8" w:rsidRPr="0062673F">
        <w:rPr>
          <w:color w:val="000000" w:themeColor="text1"/>
        </w:rPr>
        <w:t xml:space="preserve">have </w:t>
      </w:r>
      <w:r w:rsidR="008E35E4" w:rsidRPr="0062673F">
        <w:rPr>
          <w:color w:val="000000" w:themeColor="text1"/>
        </w:rPr>
        <w:t xml:space="preserve">taken action </w:t>
      </w:r>
      <w:r w:rsidR="00CB4532" w:rsidRPr="0062673F">
        <w:rPr>
          <w:color w:val="000000" w:themeColor="text1"/>
        </w:rPr>
        <w:t>to limit less-</w:t>
      </w:r>
      <w:r w:rsidR="004A7C45" w:rsidRPr="0062673F">
        <w:rPr>
          <w:color w:val="000000" w:themeColor="text1"/>
        </w:rPr>
        <w:t>healthy food a</w:t>
      </w:r>
      <w:r w:rsidR="00297339" w:rsidRPr="0062673F">
        <w:rPr>
          <w:color w:val="000000" w:themeColor="text1"/>
        </w:rPr>
        <w:t xml:space="preserve">dvertising to children, </w:t>
      </w:r>
      <w:r w:rsidR="000040F8" w:rsidRPr="0062673F">
        <w:rPr>
          <w:color w:val="000000" w:themeColor="text1"/>
        </w:rPr>
        <w:t>no country has yet implemented a 9pm watershed</w:t>
      </w:r>
      <w:r w:rsidR="006F06C1">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{"citationItems":[{"id":"ITEM-1","itemData":{"DOI":"10.1111/obr.12678","ISSN":"14677881","author":[{"dropping-particle":"","family":"Kovic","given":"Y.","non-dropping-particle":"","parse-names":false,"suffix":""},{"dropping-particle":"","family":"Noel","given":"J. K.","non-dropping-particle":"","parse-names":false,"suffix":""},{"dropping-particle":"","family":"Ungemack","given":"J. A.","non-dropping-particle":"","parse-names":false,"suffix":""},{"dropping-particle":"","family":"Burleson","given":"J. A.","non-dropping-particle":"","parse-names":false,"suffix":""}],"container-title":"Obesity Reviews","id":"ITEM-1","issued":{"date-parts":[["2018","3","8"]]},"title":"The impact of junk food marketing regulations ona food sales: an ecological study","type":"article-journal"},"uris":["http://www.mendeley.com/documents/?uuid=740873ee-8636-3683-9ca2-8b2e8cce8bef"]},{"id":"ITEM-2","itemData":{"author":[{"dropping-particle":"","family":"WHO Regional Office for Europe","given":"","non-dropping-particle":"","parse-names":false,"suffix":""}],"id":"ITEM-2","issued":{"date-parts":[["2018"]]},"title":"Evaluating implementation of the WHO set of recommendation on the marketing of foods and non-alchoholic beverages to children","type":"report"},"uris":["http://www.mendeley.com/documents/?uuid=8d222895-cc37-43a6-8944-0f5a56751d58"]}],"mendeley":{"formattedCitation":"[28,29]","plainTextFormattedCitation":"[28,29]","previouslyFormattedCitation":"[28,29]"},"properties":{"noteIndex":0},"schema":"https://github.com/citation-style-language/schema/raw/master/csl-citation.json"}</w:instrText>
      </w:r>
      <w:r w:rsidRPr="0062673F">
        <w:rPr>
          <w:color w:val="000000" w:themeColor="text1"/>
        </w:rPr>
        <w:fldChar w:fldCharType="separate"/>
      </w:r>
      <w:r w:rsidR="0066542D" w:rsidRPr="0062673F">
        <w:rPr>
          <w:noProof/>
          <w:color w:val="000000" w:themeColor="text1"/>
        </w:rPr>
        <w:t>[28,29]</w:t>
      </w:r>
      <w:r w:rsidRPr="0062673F">
        <w:rPr>
          <w:color w:val="000000" w:themeColor="text1"/>
        </w:rPr>
        <w:fldChar w:fldCharType="end"/>
      </w:r>
      <w:r w:rsidR="0066542D" w:rsidRPr="0062673F">
        <w:rPr>
          <w:color w:val="000000" w:themeColor="text1"/>
        </w:rPr>
        <w:t>.</w:t>
      </w:r>
      <w:r w:rsidR="004A7C45" w:rsidRPr="0062673F">
        <w:rPr>
          <w:color w:val="000000" w:themeColor="text1"/>
        </w:rPr>
        <w:t xml:space="preserve"> A cross-country comparison found that those countries that had statutory regulations experienced a smaller increase in</w:t>
      </w:r>
      <w:r w:rsidR="0041451A" w:rsidRPr="0062673F">
        <w:rPr>
          <w:color w:val="000000" w:themeColor="text1"/>
        </w:rPr>
        <w:t xml:space="preserve"> household</w:t>
      </w:r>
      <w:r w:rsidR="004A7C45" w:rsidRPr="0062673F">
        <w:rPr>
          <w:color w:val="000000" w:themeColor="text1"/>
        </w:rPr>
        <w:t xml:space="preserve"> expenditu</w:t>
      </w:r>
      <w:r w:rsidR="002D2379" w:rsidRPr="0062673F">
        <w:rPr>
          <w:color w:val="000000" w:themeColor="text1"/>
        </w:rPr>
        <w:t>re on less healthy food and drink products</w:t>
      </w:r>
      <w:r w:rsidR="004A7C45" w:rsidRPr="0062673F">
        <w:rPr>
          <w:color w:val="000000" w:themeColor="text1"/>
        </w:rPr>
        <w:t xml:space="preserve"> over time</w:t>
      </w:r>
      <w:r w:rsidR="006F06C1">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{"citationItems":[{"id":"ITEM-1","itemData":{"DOI":"10.1111/obr.12678","ISSN":"14677881","author":[{"dropping-particle":"","family":"Kovic","given":"Y.","non-dropping-particle":"","parse-names":false,"suffix":""},{"dropping-particle":"","family":"Noel","given":"J. K.","non-dropping-particle":"","parse-names":false,"suffix":""},{"dropping-particle":"","family":"Ungemack","given":"J. A.","non-dropping-particle":"","parse-names":false,"suffix":""},{"dropping-particle":"","family":"Burleson","given":"J. A.","non-dropping-particle":"","parse-names":false,"suffix":""}],"container-title":"Obesity Reviews","id":"ITEM-1","issued":{"date-parts":[["2018","3","8"]]},"title":"The impact of junk food marketing regulations ona food sales: an ecological study","type":"article-journal"},"uris":["http://www.mendeley.com/documents/?uuid=740873ee-8636-3683-9ca2-8b2e8cce8bef"]}],"mendeley":{"formattedCitation":"[28]","plainTextFormattedCitation":"[28]","previouslyFormattedCitation":"[28]"},"properties":{"noteIndex":0},"schema":"https://github.com/citation-style-language/schema/raw/master/csl-citation.json"}</w:instrText>
      </w:r>
      <w:r w:rsidRPr="0062673F">
        <w:rPr>
          <w:color w:val="000000" w:themeColor="text1"/>
        </w:rPr>
        <w:fldChar w:fldCharType="separate"/>
      </w:r>
      <w:r w:rsidR="0066542D" w:rsidRPr="0062673F">
        <w:rPr>
          <w:noProof/>
          <w:color w:val="000000" w:themeColor="text1"/>
        </w:rPr>
        <w:t>[28]</w:t>
      </w:r>
      <w:r w:rsidRPr="0062673F">
        <w:rPr>
          <w:color w:val="000000" w:themeColor="text1"/>
        </w:rPr>
        <w:fldChar w:fldCharType="end"/>
      </w:r>
      <w:r w:rsidR="006F06C1">
        <w:rPr>
          <w:color w:val="000000" w:themeColor="text1"/>
        </w:rPr>
        <w:t>.</w:t>
      </w:r>
      <w:r w:rsidR="004A7C45" w:rsidRPr="0062673F">
        <w:rPr>
          <w:color w:val="000000" w:themeColor="text1"/>
        </w:rPr>
        <w:t xml:space="preserve"> A recent study estimated </w:t>
      </w:r>
      <w:r w:rsidR="001E4FAE" w:rsidRPr="0062673F">
        <w:rPr>
          <w:color w:val="000000" w:themeColor="text1"/>
        </w:rPr>
        <w:t>that</w:t>
      </w:r>
      <w:r w:rsidR="004A7C45" w:rsidRPr="0062673F">
        <w:rPr>
          <w:color w:val="000000" w:themeColor="text1"/>
        </w:rPr>
        <w:t xml:space="preserve"> a 9.30pm wa</w:t>
      </w:r>
      <w:r w:rsidR="001A49A7" w:rsidRPr="0062673F">
        <w:rPr>
          <w:color w:val="000000" w:themeColor="text1"/>
        </w:rPr>
        <w:t>tershed in Australia</w:t>
      </w:r>
      <w:r w:rsidR="001E4FAE" w:rsidRPr="0062673F">
        <w:rPr>
          <w:color w:val="000000" w:themeColor="text1"/>
        </w:rPr>
        <w:t xml:space="preserve"> would </w:t>
      </w:r>
      <w:r w:rsidR="008E35E4" w:rsidRPr="0062673F">
        <w:rPr>
          <w:color w:val="000000" w:themeColor="text1"/>
        </w:rPr>
        <w:t xml:space="preserve">reduce </w:t>
      </w:r>
      <w:r w:rsidR="001E4FAE" w:rsidRPr="0062673F">
        <w:rPr>
          <w:color w:val="000000" w:themeColor="text1"/>
        </w:rPr>
        <w:t>mean BMI by 0.35kg/m</w:t>
      </w:r>
      <w:r w:rsidR="001E4FAE" w:rsidRPr="0062673F">
        <w:rPr>
          <w:color w:val="000000" w:themeColor="text1"/>
          <w:vertAlign w:val="superscript"/>
        </w:rPr>
        <w:t>2</w:t>
      </w:r>
      <w:r w:rsidRPr="0062673F">
        <w:rPr>
          <w:color w:val="000000" w:themeColor="text1"/>
        </w:rPr>
        <w:t xml:space="preserve"> amongst children,</w:t>
      </w:r>
      <w:r w:rsidR="001E4FAE" w:rsidRPr="0062673F">
        <w:rPr>
          <w:color w:val="000000" w:themeColor="text1"/>
        </w:rPr>
        <w:t xml:space="preserve"> be cost saving and reduce inequalities in childhood obes</w:t>
      </w:r>
      <w:r w:rsidRPr="0062673F">
        <w:rPr>
          <w:color w:val="000000" w:themeColor="text1"/>
        </w:rPr>
        <w:t>ity. Potential differences in television</w:t>
      </w:r>
      <w:r w:rsidR="001E4FAE" w:rsidRPr="0062673F">
        <w:rPr>
          <w:color w:val="000000" w:themeColor="text1"/>
        </w:rPr>
        <w:t xml:space="preserve"> viewing patterns </w:t>
      </w:r>
      <w:r w:rsidR="009733AE" w:rsidRPr="0062673F">
        <w:rPr>
          <w:color w:val="000000" w:themeColor="text1"/>
        </w:rPr>
        <w:t xml:space="preserve">and advertising practices </w:t>
      </w:r>
      <w:r w:rsidR="001E4FAE" w:rsidRPr="0062673F">
        <w:rPr>
          <w:color w:val="000000" w:themeColor="text1"/>
        </w:rPr>
        <w:t>between the UK and Australia mean those results are not readily transferable to the UK</w:t>
      </w:r>
      <w:r w:rsidR="006F06C1">
        <w:rPr>
          <w:color w:val="000000" w:themeColor="text1"/>
        </w:rPr>
        <w:t xml:space="preserve"> </w:t>
      </w:r>
      <w:r w:rsidR="00594850"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594850" w:rsidRPr="0062673F">
        <w:rPr>
          <w:color w:val="000000" w:themeColor="text1"/>
        </w:rPr>
        <w:fldChar w:fldCharType="separate"/>
      </w:r>
      <w:r w:rsidR="0066542D" w:rsidRPr="0062673F">
        <w:rPr>
          <w:noProof/>
          <w:color w:val="000000" w:themeColor="text1"/>
        </w:rPr>
        <w:t>[30]</w:t>
      </w:r>
      <w:r w:rsidR="00594850" w:rsidRPr="0062673F">
        <w:rPr>
          <w:color w:val="000000" w:themeColor="text1"/>
        </w:rPr>
        <w:fldChar w:fldCharType="end"/>
      </w:r>
      <w:r w:rsidR="0066542D" w:rsidRPr="0062673F">
        <w:rPr>
          <w:color w:val="000000" w:themeColor="text1"/>
        </w:rPr>
        <w:t>.</w:t>
      </w:r>
      <w:r w:rsidR="004A7C45" w:rsidRPr="0062673F">
        <w:rPr>
          <w:color w:val="000000" w:themeColor="text1"/>
        </w:rPr>
        <w:t xml:space="preserve"> </w:t>
      </w:r>
    </w:p>
    <w:p w14:paraId="7A78AF4F" w14:textId="004F4DBB" w:rsidR="004A7C45" w:rsidRPr="0062673F" w:rsidRDefault="004A7C45" w:rsidP="004A7C45">
      <w:pPr>
        <w:rPr>
          <w:color w:val="000000" w:themeColor="text1"/>
        </w:rPr>
      </w:pPr>
      <w:r w:rsidRPr="0062673F">
        <w:rPr>
          <w:color w:val="000000" w:themeColor="text1"/>
        </w:rPr>
        <w:t>Understanding the poten</w:t>
      </w:r>
      <w:r w:rsidR="001A49A7" w:rsidRPr="0062673F">
        <w:rPr>
          <w:color w:val="000000" w:themeColor="text1"/>
        </w:rPr>
        <w:t>tial size o</w:t>
      </w:r>
      <w:r w:rsidR="009C31E6" w:rsidRPr="0062673F">
        <w:rPr>
          <w:color w:val="000000" w:themeColor="text1"/>
        </w:rPr>
        <w:t>f health</w:t>
      </w:r>
      <w:r w:rsidR="007D567B" w:rsidRPr="0062673F">
        <w:rPr>
          <w:color w:val="000000" w:themeColor="text1"/>
        </w:rPr>
        <w:t xml:space="preserve"> impacts</w:t>
      </w:r>
      <w:r w:rsidR="009C31E6" w:rsidRPr="0062673F">
        <w:rPr>
          <w:color w:val="000000" w:themeColor="text1"/>
        </w:rPr>
        <w:t>,</w:t>
      </w:r>
      <w:r w:rsidR="001A49A7" w:rsidRPr="0062673F">
        <w:rPr>
          <w:color w:val="000000" w:themeColor="text1"/>
        </w:rPr>
        <w:t xml:space="preserve"> consequent cost savings and economic</w:t>
      </w:r>
      <w:r w:rsidRPr="0062673F">
        <w:rPr>
          <w:color w:val="000000" w:themeColor="text1"/>
        </w:rPr>
        <w:t xml:space="preserve"> benefits</w:t>
      </w:r>
      <w:r w:rsidR="00EC32CA" w:rsidRPr="0062673F">
        <w:rPr>
          <w:color w:val="000000" w:themeColor="text1"/>
        </w:rPr>
        <w:t xml:space="preserve"> from restricting HFSS advertising between </w:t>
      </w:r>
      <w:r w:rsidR="008F406E">
        <w:rPr>
          <w:color w:val="000000" w:themeColor="text1"/>
        </w:rPr>
        <w:t>05.30 hours</w:t>
      </w:r>
      <w:r w:rsidR="00EC32CA" w:rsidRPr="0062673F">
        <w:rPr>
          <w:color w:val="000000" w:themeColor="text1"/>
        </w:rPr>
        <w:t xml:space="preserve"> and </w:t>
      </w:r>
      <w:r w:rsidR="008F406E">
        <w:rPr>
          <w:color w:val="000000" w:themeColor="text1"/>
        </w:rPr>
        <w:t>21.00 hours</w:t>
      </w:r>
      <w:r w:rsidR="00CB4532" w:rsidRPr="0062673F">
        <w:rPr>
          <w:color w:val="000000" w:themeColor="text1"/>
        </w:rPr>
        <w:t xml:space="preserve"> </w:t>
      </w:r>
      <w:r w:rsidR="009C31E6" w:rsidRPr="0062673F">
        <w:rPr>
          <w:color w:val="000000" w:themeColor="text1"/>
        </w:rPr>
        <w:t>on the advertising of HFSS products could</w:t>
      </w:r>
      <w:r w:rsidRPr="0062673F">
        <w:rPr>
          <w:color w:val="000000" w:themeColor="text1"/>
        </w:rPr>
        <w:t xml:space="preserve"> help inform the decision about whether and how to introduce the policy in the UK</w:t>
      </w:r>
      <w:r w:rsidR="009C31E6" w:rsidRPr="0062673F">
        <w:rPr>
          <w:color w:val="000000" w:themeColor="text1"/>
        </w:rPr>
        <w:t xml:space="preserve"> and elsewhere</w:t>
      </w:r>
      <w:r w:rsidR="00CB4532" w:rsidRPr="0062673F">
        <w:rPr>
          <w:color w:val="000000" w:themeColor="text1"/>
        </w:rPr>
        <w:t>. Sections of the television</w:t>
      </w:r>
      <w:r w:rsidR="00594850" w:rsidRPr="0062673F">
        <w:rPr>
          <w:color w:val="000000" w:themeColor="text1"/>
        </w:rPr>
        <w:t xml:space="preserve"> </w:t>
      </w:r>
      <w:r w:rsidR="000040F8" w:rsidRPr="0062673F">
        <w:rPr>
          <w:color w:val="000000" w:themeColor="text1"/>
        </w:rPr>
        <w:t xml:space="preserve">and advertising </w:t>
      </w:r>
      <w:r w:rsidR="00594850" w:rsidRPr="0062673F">
        <w:rPr>
          <w:color w:val="000000" w:themeColor="text1"/>
        </w:rPr>
        <w:t>industry</w:t>
      </w:r>
      <w:r w:rsidR="00CB4532" w:rsidRPr="0062673F">
        <w:rPr>
          <w:color w:val="000000" w:themeColor="text1"/>
        </w:rPr>
        <w:t xml:space="preserve"> have</w:t>
      </w:r>
      <w:r w:rsidR="00C1502A" w:rsidRPr="0062673F">
        <w:rPr>
          <w:color w:val="000000" w:themeColor="text1"/>
        </w:rPr>
        <w:t xml:space="preserve"> question</w:t>
      </w:r>
      <w:r w:rsidR="00CB4532" w:rsidRPr="0062673F">
        <w:rPr>
          <w:color w:val="000000" w:themeColor="text1"/>
        </w:rPr>
        <w:t>ed</w:t>
      </w:r>
      <w:r w:rsidR="00C1502A" w:rsidRPr="0062673F">
        <w:rPr>
          <w:color w:val="000000" w:themeColor="text1"/>
        </w:rPr>
        <w:t xml:space="preserve"> the link between advertising and </w:t>
      </w:r>
      <w:r w:rsidR="00CB4532" w:rsidRPr="0062673F">
        <w:rPr>
          <w:color w:val="000000" w:themeColor="text1"/>
        </w:rPr>
        <w:t>childhood obesity and</w:t>
      </w:r>
      <w:r w:rsidR="00C1502A" w:rsidRPr="0062673F">
        <w:rPr>
          <w:color w:val="000000" w:themeColor="text1"/>
        </w:rPr>
        <w:t xml:space="preserve"> expressed</w:t>
      </w:r>
      <w:r w:rsidR="000040F8" w:rsidRPr="0062673F">
        <w:rPr>
          <w:color w:val="000000" w:themeColor="text1"/>
        </w:rPr>
        <w:t xml:space="preserve"> concern</w:t>
      </w:r>
      <w:r w:rsidR="00C1502A" w:rsidRPr="0062673F">
        <w:rPr>
          <w:color w:val="000000" w:themeColor="text1"/>
        </w:rPr>
        <w:t>s</w:t>
      </w:r>
      <w:r w:rsidR="00CB4532" w:rsidRPr="0062673F">
        <w:rPr>
          <w:color w:val="000000" w:themeColor="text1"/>
        </w:rPr>
        <w:t xml:space="preserve"> about loss of</w:t>
      </w:r>
      <w:r w:rsidR="000040F8" w:rsidRPr="0062673F">
        <w:rPr>
          <w:color w:val="000000" w:themeColor="text1"/>
        </w:rPr>
        <w:t xml:space="preserve"> revenue</w:t>
      </w:r>
      <w:r w:rsidR="006F06C1">
        <w:rPr>
          <w:color w:val="000000" w:themeColor="text1"/>
        </w:rPr>
        <w:t xml:space="preserve"> </w:t>
      </w:r>
      <w:r w:rsidR="0026219C" w:rsidRPr="0062673F">
        <w:rPr>
          <w:color w:val="000000" w:themeColor="text1"/>
        </w:rPr>
        <w:fldChar w:fldCharType="begin" w:fldLock="1"/>
      </w:r>
      <w:r w:rsidR="00467360" w:rsidRPr="0062673F">
        <w:rPr>
          <w:color w:val="000000" w:themeColor="text1"/>
        </w:rPr>
        <w:instrText>ADDIN CSL_CITATION {"citationItems":[{"id":"ITEM-1","itemData":{"URL":"https://www.adassoc.org.uk/policy-areas/10-key-facts-about-hfss-advertising-in-the-uk-2/","accessed":{"date-parts":[["2019","3","18"]]},"author":[{"dropping-particle":"","family":"Advertising Association","given":"","non-dropping-particle":"","parse-names":false,"suffix":""}],"id":"ITEM-1","issued":{"date-parts":[["2018"]]},"title":"10 Key Facts About HFFS Advertising In The UK","type":"webpage"},"uris":["http://www.mendeley.com/documents/?uuid=73808478-1501-43a7-a2f6-b244344018d3"]},{"id":"ITEM-2","itemData":{"URL":"https://www.itv.com/news/2018-07-25/future-of-itv-and-online-streaming/","accessed":{"date-parts":[["2019","3","18"]]},"author":[{"dropping-particle":"","family":"Hills","given":"Joel","non-dropping-particle":"","parse-names":false,"suffix":""}],"id":"ITEM-2","issued":{"date-parts":[["2018"]]},"title":"'We can compete' - ITV Chief Executive Carolyn McCall says television can challenge online opposition","type":"webpage"},"uris":["http://www.mendeley.com/documents/?uuid=9859996c-284a-4c35-b1ca-14e23eb2e0cb"]}],"mendeley":{"formattedCitation":"[31,32]","plainTextFormattedCitation":"[31,32]","previouslyFormattedCitation":"[31,32]"},"properties":{"noteIndex":0},"schema":"https://github.com/citation-style-language/schema/raw/master/csl-citation.json"}</w:instrText>
      </w:r>
      <w:r w:rsidR="0026219C" w:rsidRPr="0062673F">
        <w:rPr>
          <w:color w:val="000000" w:themeColor="text1"/>
        </w:rPr>
        <w:fldChar w:fldCharType="separate"/>
      </w:r>
      <w:r w:rsidR="0066542D" w:rsidRPr="0062673F">
        <w:rPr>
          <w:noProof/>
          <w:color w:val="000000" w:themeColor="text1"/>
        </w:rPr>
        <w:t>[31,32]</w:t>
      </w:r>
      <w:r w:rsidR="0026219C" w:rsidRPr="0062673F">
        <w:rPr>
          <w:color w:val="000000" w:themeColor="text1"/>
        </w:rPr>
        <w:fldChar w:fldCharType="end"/>
      </w:r>
      <w:r w:rsidR="0066542D" w:rsidRPr="0062673F">
        <w:rPr>
          <w:color w:val="000000" w:themeColor="text1"/>
        </w:rPr>
        <w:t>.</w:t>
      </w:r>
      <w:r w:rsidR="00CB4532" w:rsidRPr="0062673F">
        <w:rPr>
          <w:color w:val="000000" w:themeColor="text1"/>
        </w:rPr>
        <w:t xml:space="preserve"> This paper aims</w:t>
      </w:r>
      <w:r w:rsidRPr="0062673F">
        <w:rPr>
          <w:color w:val="000000" w:themeColor="text1"/>
        </w:rPr>
        <w:t xml:space="preserve"> to quantify the pote</w:t>
      </w:r>
      <w:r w:rsidR="00CB4532" w:rsidRPr="0062673F">
        <w:rPr>
          <w:color w:val="000000" w:themeColor="text1"/>
        </w:rPr>
        <w:t>ntial health and consequent monetary benefit</w:t>
      </w:r>
      <w:r w:rsidR="007A1F16" w:rsidRPr="0062673F">
        <w:rPr>
          <w:color w:val="000000" w:themeColor="text1"/>
        </w:rPr>
        <w:t xml:space="preserve"> of restricting</w:t>
      </w:r>
      <w:r w:rsidR="001D206C" w:rsidRPr="0062673F">
        <w:rPr>
          <w:color w:val="000000" w:themeColor="text1"/>
        </w:rPr>
        <w:t xml:space="preserve"> HFSS </w:t>
      </w:r>
      <w:r w:rsidR="007A1F16" w:rsidRPr="0062673F">
        <w:rPr>
          <w:color w:val="000000" w:themeColor="text1"/>
        </w:rPr>
        <w:t>advertising on</w:t>
      </w:r>
      <w:r w:rsidR="001D206C" w:rsidRPr="0062673F">
        <w:rPr>
          <w:color w:val="000000" w:themeColor="text1"/>
        </w:rPr>
        <w:t xml:space="preserve"> television</w:t>
      </w:r>
      <w:r w:rsidRPr="0062673F">
        <w:rPr>
          <w:color w:val="000000" w:themeColor="text1"/>
        </w:rPr>
        <w:t xml:space="preserve"> </w:t>
      </w:r>
      <w:r w:rsidR="007A1F16" w:rsidRPr="0062673F">
        <w:rPr>
          <w:color w:val="000000" w:themeColor="text1"/>
        </w:rPr>
        <w:t xml:space="preserve">between </w:t>
      </w:r>
      <w:r w:rsidR="008F406E">
        <w:rPr>
          <w:color w:val="000000" w:themeColor="text1"/>
        </w:rPr>
        <w:t>05.30 hours</w:t>
      </w:r>
      <w:r w:rsidR="007A1F16" w:rsidRPr="0062673F">
        <w:rPr>
          <w:color w:val="000000" w:themeColor="text1"/>
        </w:rPr>
        <w:t xml:space="preserve"> and </w:t>
      </w:r>
      <w:r w:rsidR="008F406E">
        <w:rPr>
          <w:color w:val="000000" w:themeColor="text1"/>
        </w:rPr>
        <w:t>21.00 hours</w:t>
      </w:r>
      <w:r w:rsidRPr="0062673F">
        <w:rPr>
          <w:color w:val="000000" w:themeColor="text1"/>
        </w:rPr>
        <w:t xml:space="preserve"> in the UK.</w:t>
      </w:r>
    </w:p>
    <w:p w14:paraId="7D557E0B" w14:textId="0691292B" w:rsidR="004A7C45" w:rsidRPr="0062673F" w:rsidRDefault="00177819" w:rsidP="004A7C45">
      <w:pPr>
        <w:rPr>
          <w:b/>
          <w:color w:val="000000" w:themeColor="text1"/>
        </w:rPr>
      </w:pPr>
      <w:r w:rsidRPr="0062673F">
        <w:rPr>
          <w:b/>
          <w:color w:val="000000" w:themeColor="text1"/>
        </w:rPr>
        <w:t>METHODS</w:t>
      </w:r>
    </w:p>
    <w:p w14:paraId="53D15B90" w14:textId="3BE2F5DC" w:rsidR="004A7C45" w:rsidRPr="0062673F" w:rsidRDefault="004A7C45" w:rsidP="004A7C45">
      <w:pPr>
        <w:rPr>
          <w:color w:val="000000" w:themeColor="text1"/>
        </w:rPr>
      </w:pPr>
      <w:r w:rsidRPr="0062673F">
        <w:rPr>
          <w:color w:val="000000" w:themeColor="text1"/>
        </w:rPr>
        <w:t xml:space="preserve">We used data on children’s exposure to </w:t>
      </w:r>
      <w:r w:rsidR="001867D5" w:rsidRPr="0062673F">
        <w:rPr>
          <w:color w:val="000000" w:themeColor="text1"/>
        </w:rPr>
        <w:t>HFSS</w:t>
      </w:r>
      <w:r w:rsidRPr="0062673F">
        <w:rPr>
          <w:color w:val="000000" w:themeColor="text1"/>
        </w:rPr>
        <w:t xml:space="preserve"> advertising </w:t>
      </w:r>
      <w:r w:rsidR="001D206C" w:rsidRPr="0062673F">
        <w:rPr>
          <w:color w:val="000000" w:themeColor="text1"/>
        </w:rPr>
        <w:t xml:space="preserve">on television </w:t>
      </w:r>
      <w:r w:rsidRPr="0062673F">
        <w:rPr>
          <w:color w:val="000000" w:themeColor="text1"/>
        </w:rPr>
        <w:t>by time of day to estima</w:t>
      </w:r>
      <w:r w:rsidR="007A1F16" w:rsidRPr="0062673F">
        <w:rPr>
          <w:color w:val="000000" w:themeColor="text1"/>
        </w:rPr>
        <w:t xml:space="preserve">te the impact of restricting HFSS advertising between </w:t>
      </w:r>
      <w:r w:rsidR="008F406E">
        <w:rPr>
          <w:color w:val="000000" w:themeColor="text1"/>
        </w:rPr>
        <w:t>05.30 hours</w:t>
      </w:r>
      <w:r w:rsidR="007A1F16" w:rsidRPr="0062673F">
        <w:rPr>
          <w:color w:val="000000" w:themeColor="text1"/>
        </w:rPr>
        <w:t xml:space="preserve"> and </w:t>
      </w:r>
      <w:r w:rsidR="008F406E">
        <w:rPr>
          <w:color w:val="000000" w:themeColor="text1"/>
        </w:rPr>
        <w:t>21.00 hours</w:t>
      </w:r>
      <w:r w:rsidRPr="0062673F">
        <w:rPr>
          <w:color w:val="000000" w:themeColor="text1"/>
        </w:rPr>
        <w:t xml:space="preserve"> on the change in HFSS advertising seen by children</w:t>
      </w:r>
      <w:r w:rsidR="006F06C1">
        <w:rPr>
          <w:color w:val="000000" w:themeColor="text1"/>
        </w:rPr>
        <w:t xml:space="preserve"> </w:t>
      </w:r>
      <w:r w:rsidR="005A501D" w:rsidRPr="0062673F">
        <w:rPr>
          <w:color w:val="000000" w:themeColor="text1"/>
        </w:rPr>
        <w:fldChar w:fldCharType="begin" w:fldLock="1"/>
      </w:r>
      <w:r w:rsidR="00467360" w:rsidRPr="0062673F">
        <w:rPr>
          <w:color w:val="000000" w:themeColor="text1"/>
        </w:rPr>
        <w:instrText>ADDIN CSL_CITATION {"citationItems":[{"id":"ITEM-1","itemData":{"author":[{"dropping-particle":"","family":"Griffith","given":"Rachel","non-dropping-particle":"","parse-names":false,"suffix":""},{"dropping-particle":"","family":"O'Connell","given":"Martin","non-dropping-particle":"","parse-names":false,"suffix":""},{"dropping-particle":"","family":"Smith","given":"Kate","non-dropping-particle":"","parse-names":false,"suffix":""},{"dropping-particle":"","family":"Stroud","given":"Rebekah","non-dropping-particle":"","parse-names":false,"suffix":""}],"id":"ITEM-1","issued":{"date-parts":[["2018"]]},"publisher-place":"London","title":"Children’s exposure to TV advertising of food and drink","type":"report"},"uris":["http://www.mendeley.com/documents/?uuid=fb3ac909-9440-4258-b626-8e9d650e9e9f"]}],"mendeley":{"formattedCitation":"[17]","plainTextFormattedCitation":"[17]","previouslyFormattedCitation":"[17]"},"properties":{"noteIndex":0},"schema":"https://github.com/citation-style-language/schema/raw/master/csl-citation.json"}</w:instrText>
      </w:r>
      <w:r w:rsidR="005A501D" w:rsidRPr="0062673F">
        <w:rPr>
          <w:color w:val="000000" w:themeColor="text1"/>
        </w:rPr>
        <w:fldChar w:fldCharType="separate"/>
      </w:r>
      <w:r w:rsidR="0066542D" w:rsidRPr="0062673F">
        <w:rPr>
          <w:noProof/>
          <w:color w:val="000000" w:themeColor="text1"/>
        </w:rPr>
        <w:t>[17]</w:t>
      </w:r>
      <w:r w:rsidR="005A501D" w:rsidRPr="0062673F">
        <w:rPr>
          <w:color w:val="000000" w:themeColor="text1"/>
        </w:rPr>
        <w:fldChar w:fldCharType="end"/>
      </w:r>
      <w:r w:rsidR="0066542D" w:rsidRPr="0062673F">
        <w:rPr>
          <w:color w:val="000000" w:themeColor="text1"/>
        </w:rPr>
        <w:t>.</w:t>
      </w:r>
      <w:r w:rsidR="00111E35" w:rsidRPr="0062673F">
        <w:rPr>
          <w:color w:val="000000" w:themeColor="text1"/>
        </w:rPr>
        <w:t xml:space="preserve"> We used the most</w:t>
      </w:r>
      <w:r w:rsidRPr="0062673F">
        <w:rPr>
          <w:color w:val="000000" w:themeColor="text1"/>
        </w:rPr>
        <w:t xml:space="preserve"> recent meta-analysis that estimates the effect of watching </w:t>
      </w:r>
      <w:r w:rsidR="00C40AB7" w:rsidRPr="0062673F">
        <w:rPr>
          <w:color w:val="000000" w:themeColor="text1"/>
        </w:rPr>
        <w:t>less-healthy</w:t>
      </w:r>
      <w:r w:rsidRPr="0062673F">
        <w:rPr>
          <w:color w:val="000000" w:themeColor="text1"/>
        </w:rPr>
        <w:t xml:space="preserve"> food advertising on calorie consumption</w:t>
      </w:r>
      <w:r w:rsidR="004B68DB" w:rsidRPr="0062673F">
        <w:rPr>
          <w:color w:val="000000" w:themeColor="text1"/>
        </w:rPr>
        <w:t xml:space="preserve"> from experimental studies</w:t>
      </w:r>
      <w:r w:rsidRPr="0062673F">
        <w:rPr>
          <w:color w:val="000000" w:themeColor="text1"/>
        </w:rPr>
        <w:t>, to estimate the effect of a reduction in HFSS advertising on children’s calorie consumption</w:t>
      </w:r>
      <w:r w:rsidR="006F06C1">
        <w:rPr>
          <w:color w:val="000000" w:themeColor="text1"/>
        </w:rPr>
        <w:t xml:space="preserve"> </w:t>
      </w:r>
      <w:r w:rsidR="005A501D"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mendeley":{"formattedCitation":"[19]","plainTextFormattedCitation":"[19]","previouslyFormattedCitation":"[19]"},"properties":{"noteIndex":0},"schema":"https://github.com/citation-style-language/schema/raw/master/csl-citation.json"}</w:instrText>
      </w:r>
      <w:r w:rsidR="005A501D" w:rsidRPr="0062673F">
        <w:rPr>
          <w:color w:val="000000" w:themeColor="text1"/>
        </w:rPr>
        <w:fldChar w:fldCharType="separate"/>
      </w:r>
      <w:r w:rsidR="0066542D" w:rsidRPr="0062673F">
        <w:rPr>
          <w:noProof/>
          <w:color w:val="000000" w:themeColor="text1"/>
        </w:rPr>
        <w:t>[19]</w:t>
      </w:r>
      <w:r w:rsidR="005A501D" w:rsidRPr="0062673F">
        <w:rPr>
          <w:color w:val="000000" w:themeColor="text1"/>
        </w:rPr>
        <w:fldChar w:fldCharType="end"/>
      </w:r>
      <w:r w:rsidR="0066542D" w:rsidRPr="0062673F">
        <w:rPr>
          <w:color w:val="000000" w:themeColor="text1"/>
        </w:rPr>
        <w:t>.</w:t>
      </w:r>
      <w:r w:rsidRPr="0062673F">
        <w:rPr>
          <w:color w:val="000000" w:themeColor="text1"/>
        </w:rPr>
        <w:t xml:space="preserve"> We used the validated Hall equations to describe the effect of change in</w:t>
      </w:r>
      <w:r w:rsidR="0058064C" w:rsidRPr="0062673F">
        <w:rPr>
          <w:color w:val="000000" w:themeColor="text1"/>
        </w:rPr>
        <w:t xml:space="preserve"> calorie consumption on body weight</w:t>
      </w:r>
      <w:r w:rsidRPr="0062673F">
        <w:rPr>
          <w:color w:val="000000" w:themeColor="text1"/>
        </w:rPr>
        <w:t xml:space="preserve">, and then used the PRIMETIME </w:t>
      </w:r>
      <w:r w:rsidR="0058064C" w:rsidRPr="0062673F">
        <w:rPr>
          <w:color w:val="000000" w:themeColor="text1"/>
        </w:rPr>
        <w:t>multi-state life</w:t>
      </w:r>
      <w:r w:rsidR="002E53AB">
        <w:rPr>
          <w:color w:val="000000" w:themeColor="text1"/>
        </w:rPr>
        <w:t xml:space="preserve"> </w:t>
      </w:r>
      <w:r w:rsidR="0058064C" w:rsidRPr="0062673F">
        <w:rPr>
          <w:color w:val="000000" w:themeColor="text1"/>
        </w:rPr>
        <w:t xml:space="preserve">table </w:t>
      </w:r>
      <w:r w:rsidRPr="0062673F">
        <w:rPr>
          <w:color w:val="000000" w:themeColor="text1"/>
        </w:rPr>
        <w:t>model</w:t>
      </w:r>
      <w:r w:rsidR="006F06C1">
        <w:rPr>
          <w:color w:val="000000" w:themeColor="text1"/>
        </w:rPr>
        <w:t xml:space="preserve"> </w:t>
      </w:r>
      <w:r w:rsidR="001867D5" w:rsidRPr="0062673F">
        <w:rPr>
          <w:color w:val="000000" w:themeColor="text1"/>
        </w:rPr>
        <w:fldChar w:fldCharType="begin" w:fldLock="1"/>
      </w:r>
      <w:r w:rsidR="00467360" w:rsidRPr="0062673F">
        <w:rPr>
          <w:color w:val="000000" w:themeColor="text1"/>
        </w:rPr>
        <w:instrText>ADDIN CSL_CITATION {"citationItems":[{"id":"ITEM-1","itemData":{"DOI":"10.1371/journal.pone.0167859","ISSN":"1932-6203","author":[{"dropping-particle":"","family":"Cobiac","given":"Linda J.","non-dropping-particle":"","parse-names":false,"suffix":""},{"dropping-particle":"","family":"Scarborough","given":"Peter","non-dropping-particle":"","parse-names":false,"suffix":""},{"dropping-particle":"","family":"Kaur","given":"Asha","non-dropping-particle":"","parse-names":false,"suffix":""},{"dropping-particle":"","family":"Rayner","given":"Mike","non-dropping-particle":"","parse-names":false,"suffix":""},{"dropping-particle":"","family":"Shields","given":"E","non-dropping-particle":"","parse-names":false,"suffix":""},{"dropping-particle":"","family":"Cobiac","given":"LJ","non-dropping-particle":"","parse-names":false,"suffix":""}],"container-title":"PLOS ONE","editor":[{"dropping-particle":"","family":"Wiley","given":"Andrea S.","non-dropping-particle":"","parse-names":false,"suffix":""}],"id":"ITEM-1","issue":"12","issued":{"date-parts":[["2016","12","20"]]},"page":"e0167859","publisher":"Committee on Climate Change","title":"The Eatwell Guide: Modelling the Health Implications of Incorporating New Sugar and Fibre Guidelines","type":"article-journal","volume":"11"},"uris":["http://www.mendeley.com/documents/?uuid=cfc11215-f11a-38d8-af64-6c222fb85a0b"]}],"mendeley":{"formattedCitation":"[33]","plainTextFormattedCitation":"[33]","previouslyFormattedCitation":"[33]"},"properties":{"noteIndex":0},"schema":"https://github.com/citation-style-language/schema/raw/master/csl-citation.json"}</w:instrText>
      </w:r>
      <w:r w:rsidR="001867D5" w:rsidRPr="0062673F">
        <w:rPr>
          <w:color w:val="000000" w:themeColor="text1"/>
        </w:rPr>
        <w:fldChar w:fldCharType="separate"/>
      </w:r>
      <w:r w:rsidR="0066542D" w:rsidRPr="0062673F">
        <w:rPr>
          <w:noProof/>
          <w:color w:val="000000" w:themeColor="text1"/>
        </w:rPr>
        <w:t>[33]</w:t>
      </w:r>
      <w:r w:rsidR="001867D5" w:rsidRPr="0062673F">
        <w:rPr>
          <w:color w:val="000000" w:themeColor="text1"/>
        </w:rPr>
        <w:fldChar w:fldCharType="end"/>
      </w:r>
      <w:r w:rsidRPr="0062673F">
        <w:rPr>
          <w:color w:val="000000" w:themeColor="text1"/>
        </w:rPr>
        <w:t xml:space="preserve"> </w:t>
      </w:r>
      <w:r w:rsidR="001D1E88" w:rsidRPr="0062673F">
        <w:rPr>
          <w:color w:val="000000" w:themeColor="text1"/>
        </w:rPr>
        <w:t xml:space="preserve">to </w:t>
      </w:r>
      <w:r w:rsidRPr="0062673F">
        <w:rPr>
          <w:color w:val="000000" w:themeColor="text1"/>
        </w:rPr>
        <w:t>estimate the eff</w:t>
      </w:r>
      <w:r w:rsidR="0058064C" w:rsidRPr="0062673F">
        <w:rPr>
          <w:color w:val="000000" w:themeColor="text1"/>
        </w:rPr>
        <w:t>ects of BMI on children’s quality of life</w:t>
      </w:r>
      <w:r w:rsidRPr="0062673F">
        <w:rPr>
          <w:color w:val="000000" w:themeColor="text1"/>
        </w:rPr>
        <w:t>, and their subsequent health in adult life.</w:t>
      </w:r>
      <w:r w:rsidR="00515526" w:rsidRPr="0062673F">
        <w:rPr>
          <w:color w:val="000000" w:themeColor="text1"/>
        </w:rPr>
        <w:t xml:space="preserve"> </w:t>
      </w:r>
      <w:r w:rsidR="00CB4532" w:rsidRPr="0062673F">
        <w:rPr>
          <w:color w:val="000000" w:themeColor="text1"/>
        </w:rPr>
        <w:t xml:space="preserve">An overview of our approach, which draws on the methods </w:t>
      </w:r>
      <w:r w:rsidRPr="0062673F">
        <w:rPr>
          <w:color w:val="000000" w:themeColor="text1"/>
        </w:rPr>
        <w:t>used by others</w:t>
      </w:r>
      <w:r w:rsidR="006F06C1">
        <w:rPr>
          <w:color w:val="000000" w:themeColor="text1"/>
        </w:rPr>
        <w:t xml:space="preserve"> </w:t>
      </w:r>
      <w:r w:rsidR="00C26A4A"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C26A4A" w:rsidRPr="0062673F">
        <w:rPr>
          <w:color w:val="000000" w:themeColor="text1"/>
        </w:rPr>
        <w:fldChar w:fldCharType="separate"/>
      </w:r>
      <w:r w:rsidR="0066542D" w:rsidRPr="0062673F">
        <w:rPr>
          <w:noProof/>
          <w:color w:val="000000" w:themeColor="text1"/>
        </w:rPr>
        <w:t>[30]</w:t>
      </w:r>
      <w:r w:rsidR="00C26A4A" w:rsidRPr="0062673F">
        <w:rPr>
          <w:color w:val="000000" w:themeColor="text1"/>
        </w:rPr>
        <w:fldChar w:fldCharType="end"/>
      </w:r>
      <w:r w:rsidR="006F06C1">
        <w:rPr>
          <w:color w:val="000000" w:themeColor="text1"/>
        </w:rPr>
        <w:t>,</w:t>
      </w:r>
      <w:r w:rsidR="00CB4532" w:rsidRPr="0062673F">
        <w:rPr>
          <w:color w:val="000000" w:themeColor="text1"/>
        </w:rPr>
        <w:t xml:space="preserve"> is shown in Figure 1.</w:t>
      </w:r>
    </w:p>
    <w:p w14:paraId="59523873" w14:textId="10B69F78" w:rsidR="009D1B15" w:rsidRPr="0062673F" w:rsidRDefault="009D1B15" w:rsidP="004A7C45">
      <w:pPr>
        <w:rPr>
          <w:color w:val="000000" w:themeColor="text1"/>
        </w:rPr>
      </w:pPr>
      <w:r w:rsidRPr="0062673F">
        <w:rPr>
          <w:color w:val="000000" w:themeColor="text1"/>
        </w:rPr>
        <w:t>The original analytic plan and changes to that plan are provided as supplementary materials.</w:t>
      </w:r>
    </w:p>
    <w:p w14:paraId="746E14AA" w14:textId="13FB97F4" w:rsidR="00305F76" w:rsidRPr="0062673F" w:rsidRDefault="00305F76" w:rsidP="00305F76">
      <w:pPr>
        <w:rPr>
          <w:b/>
          <w:color w:val="000000" w:themeColor="text1"/>
        </w:rPr>
      </w:pPr>
      <w:r w:rsidRPr="0062673F">
        <w:rPr>
          <w:b/>
          <w:color w:val="000000" w:themeColor="text1"/>
        </w:rPr>
        <w:t>Figure 1. Overview of the modelling approach used and the path</w:t>
      </w:r>
      <w:r w:rsidR="00DA078D" w:rsidRPr="0062673F">
        <w:rPr>
          <w:b/>
          <w:color w:val="000000" w:themeColor="text1"/>
        </w:rPr>
        <w:t>ways through which advertising a</w:t>
      </w:r>
      <w:r w:rsidRPr="0062673F">
        <w:rPr>
          <w:b/>
          <w:color w:val="000000" w:themeColor="text1"/>
        </w:rPr>
        <w:t xml:space="preserve">ffects health </w:t>
      </w:r>
    </w:p>
    <w:p w14:paraId="2B3AC3FE" w14:textId="2EAC3915" w:rsidR="00305F76" w:rsidRPr="0062673F" w:rsidRDefault="00305F76" w:rsidP="004A7C45">
      <w:pPr>
        <w:rPr>
          <w:color w:val="000000" w:themeColor="text1"/>
        </w:rPr>
      </w:pPr>
      <w:r w:rsidRPr="0062673F">
        <w:rPr>
          <w:noProof/>
          <w:color w:val="000000" w:themeColor="text1"/>
        </w:rPr>
        <w:drawing>
          <wp:inline distT="0" distB="0" distL="0" distR="0" wp14:anchorId="2016A1AA" wp14:editId="0AD5363B">
            <wp:extent cx="5731510" cy="3223895"/>
            <wp:effectExtent l="0" t="0" r="254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79343CE" w14:textId="77777777" w:rsidR="00305F76" w:rsidRPr="0062673F" w:rsidRDefault="00305F76" w:rsidP="00305F76">
      <w:pPr>
        <w:rPr>
          <w:color w:val="000000" w:themeColor="text1"/>
          <w:sz w:val="16"/>
          <w:szCs w:val="16"/>
        </w:rPr>
      </w:pPr>
      <w:r w:rsidRPr="0062673F">
        <w:rPr>
          <w:color w:val="000000" w:themeColor="text1"/>
          <w:sz w:val="16"/>
          <w:szCs w:val="16"/>
        </w:rPr>
        <w:t>Orange boxes and bold arrows show the modelled pathway with key data sources or methods shown in brackets; dashed arrows and grey boxes highlight a second pathway through which advertising is likely to affect health and which has not been modelled.</w:t>
      </w:r>
    </w:p>
    <w:p w14:paraId="0776EEBF" w14:textId="77777777" w:rsidR="00305F76" w:rsidRPr="0062673F" w:rsidRDefault="00305F76" w:rsidP="00515526">
      <w:pPr>
        <w:rPr>
          <w:color w:val="000000" w:themeColor="text1"/>
        </w:rPr>
      </w:pPr>
    </w:p>
    <w:p w14:paraId="0ADF7FDD" w14:textId="70C675AE" w:rsidR="00515526" w:rsidRPr="0062673F" w:rsidRDefault="00515526" w:rsidP="00515526">
      <w:pPr>
        <w:rPr>
          <w:color w:val="000000" w:themeColor="text1"/>
        </w:rPr>
      </w:pPr>
      <w:r w:rsidRPr="0062673F">
        <w:rPr>
          <w:color w:val="000000" w:themeColor="text1"/>
        </w:rPr>
        <w:t>Fig</w:t>
      </w:r>
      <w:r w:rsidR="00CB4532" w:rsidRPr="0062673F">
        <w:rPr>
          <w:color w:val="000000" w:themeColor="text1"/>
        </w:rPr>
        <w:t xml:space="preserve">ure 1 </w:t>
      </w:r>
      <w:r w:rsidRPr="0062673F">
        <w:rPr>
          <w:color w:val="000000" w:themeColor="text1"/>
        </w:rPr>
        <w:t>shows the two</w:t>
      </w:r>
      <w:r w:rsidR="004B68DB" w:rsidRPr="0062673F">
        <w:rPr>
          <w:color w:val="000000" w:themeColor="text1"/>
        </w:rPr>
        <w:t xml:space="preserve"> main</w:t>
      </w:r>
      <w:r w:rsidRPr="0062673F">
        <w:rPr>
          <w:color w:val="000000" w:themeColor="text1"/>
        </w:rPr>
        <w:t xml:space="preserve"> pathways </w:t>
      </w:r>
      <w:r w:rsidR="00111E35" w:rsidRPr="0062673F">
        <w:rPr>
          <w:color w:val="000000" w:themeColor="text1"/>
        </w:rPr>
        <w:t>through which</w:t>
      </w:r>
      <w:r w:rsidR="004B68DB" w:rsidRPr="0062673F">
        <w:rPr>
          <w:color w:val="000000" w:themeColor="text1"/>
        </w:rPr>
        <w:t xml:space="preserve"> HFSS advertising</w:t>
      </w:r>
      <w:r w:rsidR="00111E35" w:rsidRPr="0062673F">
        <w:rPr>
          <w:color w:val="000000" w:themeColor="text1"/>
        </w:rPr>
        <w:t xml:space="preserve"> </w:t>
      </w:r>
      <w:r w:rsidR="008E35E4" w:rsidRPr="0062673F">
        <w:rPr>
          <w:color w:val="000000" w:themeColor="text1"/>
        </w:rPr>
        <w:t xml:space="preserve">is thought to </w:t>
      </w:r>
      <w:r w:rsidR="00111E35" w:rsidRPr="0062673F">
        <w:rPr>
          <w:color w:val="000000" w:themeColor="text1"/>
        </w:rPr>
        <w:t>a</w:t>
      </w:r>
      <w:r w:rsidRPr="0062673F">
        <w:rPr>
          <w:color w:val="000000" w:themeColor="text1"/>
        </w:rPr>
        <w:t>ffect dietary consumption</w:t>
      </w:r>
      <w:r w:rsidR="004B68DB" w:rsidRPr="0062673F">
        <w:rPr>
          <w:color w:val="000000" w:themeColor="text1"/>
        </w:rPr>
        <w:t xml:space="preserve"> and health</w:t>
      </w:r>
      <w:r w:rsidR="006F06C1">
        <w:rPr>
          <w:color w:val="000000" w:themeColor="text1"/>
        </w:rPr>
        <w:t xml:space="preserve"> </w:t>
      </w:r>
      <w:r w:rsidR="008413B1" w:rsidRPr="0062673F">
        <w:rPr>
          <w:color w:val="000000" w:themeColor="text1"/>
        </w:rPr>
        <w:fldChar w:fldCharType="begin" w:fldLock="1"/>
      </w:r>
      <w:r w:rsidR="00467360" w:rsidRPr="0062673F">
        <w:rPr>
          <w:color w:val="000000" w:themeColor="text1"/>
        </w:rPr>
        <w:instrText>ADDIN CSL_CITATION {"citationItems":[{"id":"ITEM-1","itemData":{"DOI":"10.1016/j.appet.2012.04.017","ISSN":"1095-8304","PMID":"22561190","abstract":"A 2009 systematic review of the international evidence on food and beverage marketing to children is the most recent internationally comprehensive review of the evidence base. Its findings are consistent with other independent, rigorous reviews conducted during the period 2003-2012. Food promotions have a direct effect on children's nutrition knowledge, preferences, purchase behaviour, consumption patterns and diet-related health. Current marketing practice predominantly promotes low nutrition foods and beverages. Rebalancing the food marketing landscape' is a recurring policy aim of interventions aimed at constraining food and beverage promotions to children. The collective review evidence on marketing practice indicates little progress towards policy aims has been achieved during the period 2003-2012. There is a gap in the evidence base on how substantive policy implementation can be achieved. We recommend a priority for future policy relevant research is a greater emphasis on translational research. A global framework for co-ordinated intervention to constrain unhealthy food marketing which has received high level support provides valuable insight on some aspects of immediate implementation research priorities.","author":[{"dropping-particle":"","family":"Cairns","given":"Georgina","non-dropping-particle":"","parse-names":false,"suffix":""},{"dropping-particle":"","family":"Angus","given":"Kathryn","non-dropping-particle":"","parse-names":false,"suffix":""},{"dropping-particle":"","family":"Hastings","given":"Gerard","non-dropping-particle":"","parse-names":false,"suffix":""},{"dropping-particle":"","family":"Caraher","given":"Martin","non-dropping-particle":"","parse-names":false,"suffix":""}],"container-title":"Appetite","id":"ITEM-1","issued":{"date-parts":[["2013","3"]]},"page":"209-15","title":"Systematic reviews of the evidence on the nature, extent and effects of food marketing to children. A retrospective summary.","type":"article-journal","volume":"62"},"uris":["http://www.mendeley.com/documents/?uuid=280901d8-57b9-3baa-9619-c76ac460f381"]},{"id":"ITEM-2","itemData":{"DOI":"10.2105/AJPH.2014.302476","ISSN":"1541-0048","PMID":"25713968","abstract":"We assessed the evidence for a conceptual \"hierarchy of effects\" of marketing, to guide understanding of the relationship between children's exposure to unhealthy food marketing and poor diets and overweight, and drive the research agenda. We reviewed studies assessing the impact of food promotions on children from MEDLINE, Web of Science, ABI Inform, World Health Organization library database, and The Gray Literature Report. We included articles published in English from 2009 to 2013, with earlier articles from a 2009 systematic review. We grouped articles by outcome of exposure and assessed outcomes within a framework depicting a hierarchy of effects of marketing exposures. Evidence supports a logical sequence of effects linking food promotions to individual-level weight outcomes. Future studies should demonstrate the sustained effects of marketing exposure, and exploit variations in exposures to assess differences in outcomes longitudinally.","author":[{"dropping-particle":"","family":"Kelly","given":"Bridget","non-dropping-particle":"","parse-names":false,"suffix":""},{"dropping-particle":"","family":"King MPsy","given":"Lesley","non-dropping-particle":"","parse-names":false,"suffix":""},{"dropping-particle":"","family":"Chapman Mnd","given":"Kathy","non-dropping-particle":"","parse-names":false,"suffix":""},{"dropping-particle":"","family":"Boyland","given":"Emma","non-dropping-particle":"","parse-names":false,"suffix":""},{"dropping-particle":"","family":"Bauman","given":"Adrian E","non-dropping-particle":"","parse-names":false,"suffix":""},{"dropping-particle":"","family":"Baur","given":"Louise A","non-dropping-particle":"","parse-names":false,"suffix":""}],"container-title":"American journal of public health","id":"ITEM-2","issue":"4","issued":{"date-parts":[["2015","4"]]},"page":"e86-95","title":"A hierarchy of unhealthy food promotion effects: identifying methodological approaches and knowledge gaps.","type":"article-journal","volume":"105"},"uris":["http://www.mendeley.com/documents/?uuid=50b815fa-4467-3a13-b6a3-1a72b97bdb40"]}],"mendeley":{"formattedCitation":"[22,23]","plainTextFormattedCitation":"[22,23]","previouslyFormattedCitation":"[22,23]"},"properties":{"noteIndex":0},"schema":"https://github.com/citation-style-language/schema/raw/master/csl-citation.json"}</w:instrText>
      </w:r>
      <w:r w:rsidR="008413B1" w:rsidRPr="0062673F">
        <w:rPr>
          <w:color w:val="000000" w:themeColor="text1"/>
        </w:rPr>
        <w:fldChar w:fldCharType="separate"/>
      </w:r>
      <w:r w:rsidR="0066542D" w:rsidRPr="0062673F">
        <w:rPr>
          <w:noProof/>
          <w:color w:val="000000" w:themeColor="text1"/>
        </w:rPr>
        <w:t>[22,23]</w:t>
      </w:r>
      <w:r w:rsidR="008413B1" w:rsidRPr="0062673F">
        <w:rPr>
          <w:color w:val="000000" w:themeColor="text1"/>
        </w:rPr>
        <w:fldChar w:fldCharType="end"/>
      </w:r>
      <w:r w:rsidR="0066542D" w:rsidRPr="0062673F">
        <w:rPr>
          <w:color w:val="000000" w:themeColor="text1"/>
        </w:rPr>
        <w:t>.</w:t>
      </w:r>
      <w:r w:rsidR="008413B1" w:rsidRPr="0062673F">
        <w:rPr>
          <w:color w:val="000000" w:themeColor="text1"/>
        </w:rPr>
        <w:t xml:space="preserve"> </w:t>
      </w:r>
      <w:r w:rsidRPr="0062673F">
        <w:rPr>
          <w:color w:val="000000" w:themeColor="text1"/>
        </w:rPr>
        <w:t>We have modelled the first of these two pathways (shown in orange). The second pathway (shown in grey) re</w:t>
      </w:r>
      <w:r w:rsidR="00285145" w:rsidRPr="0062673F">
        <w:rPr>
          <w:color w:val="000000" w:themeColor="text1"/>
        </w:rPr>
        <w:t xml:space="preserve">sults from the effect of HFSS advertising in changing food choices and </w:t>
      </w:r>
      <w:r w:rsidRPr="0062673F">
        <w:rPr>
          <w:color w:val="000000" w:themeColor="text1"/>
        </w:rPr>
        <w:t>shifting</w:t>
      </w:r>
      <w:r w:rsidR="00285145" w:rsidRPr="0062673F">
        <w:rPr>
          <w:color w:val="000000" w:themeColor="text1"/>
        </w:rPr>
        <w:t xml:space="preserve"> food</w:t>
      </w:r>
      <w:r w:rsidRPr="0062673F">
        <w:rPr>
          <w:color w:val="000000" w:themeColor="text1"/>
        </w:rPr>
        <w:t xml:space="preserve"> consumption towards</w:t>
      </w:r>
      <w:r w:rsidR="008413B1" w:rsidRPr="0062673F">
        <w:rPr>
          <w:color w:val="000000" w:themeColor="text1"/>
        </w:rPr>
        <w:t xml:space="preserve"> foods high in fat </w:t>
      </w:r>
      <w:r w:rsidR="008248A7" w:rsidRPr="0062673F">
        <w:rPr>
          <w:color w:val="000000" w:themeColor="text1"/>
        </w:rPr>
        <w:t xml:space="preserve">sugar and </w:t>
      </w:r>
      <w:r w:rsidR="008413B1" w:rsidRPr="0062673F">
        <w:rPr>
          <w:color w:val="000000" w:themeColor="text1"/>
        </w:rPr>
        <w:t>sal</w:t>
      </w:r>
      <w:r w:rsidR="008248A7" w:rsidRPr="0062673F">
        <w:rPr>
          <w:color w:val="000000" w:themeColor="text1"/>
        </w:rPr>
        <w:t>t</w:t>
      </w:r>
      <w:r w:rsidRPr="0062673F">
        <w:rPr>
          <w:color w:val="000000" w:themeColor="text1"/>
        </w:rPr>
        <w:t>. Existing tri</w:t>
      </w:r>
      <w:r w:rsidR="00D87EEB" w:rsidRPr="0062673F">
        <w:rPr>
          <w:color w:val="000000" w:themeColor="text1"/>
        </w:rPr>
        <w:t>al and epidemiological data did</w:t>
      </w:r>
      <w:r w:rsidRPr="0062673F">
        <w:rPr>
          <w:color w:val="000000" w:themeColor="text1"/>
        </w:rPr>
        <w:t xml:space="preserve"> not allow us </w:t>
      </w:r>
      <w:r w:rsidR="00285145" w:rsidRPr="0062673F">
        <w:rPr>
          <w:color w:val="000000" w:themeColor="text1"/>
        </w:rPr>
        <w:t>to quantify this second pathway</w:t>
      </w:r>
      <w:r w:rsidR="000B2E31" w:rsidRPr="0062673F">
        <w:rPr>
          <w:color w:val="000000" w:themeColor="text1"/>
        </w:rPr>
        <w:t>;</w:t>
      </w:r>
      <w:r w:rsidR="00336BDC" w:rsidRPr="0062673F">
        <w:rPr>
          <w:color w:val="000000" w:themeColor="text1"/>
        </w:rPr>
        <w:t xml:space="preserve"> consequently it w</w:t>
      </w:r>
      <w:r w:rsidR="00285145" w:rsidRPr="0062673F">
        <w:rPr>
          <w:color w:val="000000" w:themeColor="text1"/>
        </w:rPr>
        <w:t>as not modelled.</w:t>
      </w:r>
      <w:r w:rsidR="00871306" w:rsidRPr="0062673F">
        <w:rPr>
          <w:color w:val="000000" w:themeColor="text1"/>
        </w:rPr>
        <w:t xml:space="preserve"> </w:t>
      </w:r>
    </w:p>
    <w:p w14:paraId="21B28EFD" w14:textId="09742F10" w:rsidR="004A7C45" w:rsidRPr="0062673F" w:rsidRDefault="004A7C45" w:rsidP="004A7C45">
      <w:pPr>
        <w:rPr>
          <w:b/>
          <w:color w:val="000000" w:themeColor="text1"/>
        </w:rPr>
      </w:pPr>
      <w:r w:rsidRPr="0062673F">
        <w:rPr>
          <w:b/>
          <w:color w:val="000000" w:themeColor="text1"/>
        </w:rPr>
        <w:t>Population and scope</w:t>
      </w:r>
    </w:p>
    <w:p w14:paraId="57CDF719" w14:textId="32F9E560" w:rsidR="004A7C45" w:rsidRPr="0062673F" w:rsidRDefault="00111E35" w:rsidP="00111E35">
      <w:pPr>
        <w:rPr>
          <w:color w:val="000000" w:themeColor="text1"/>
        </w:rPr>
      </w:pPr>
      <w:r w:rsidRPr="0062673F">
        <w:rPr>
          <w:color w:val="000000" w:themeColor="text1"/>
        </w:rPr>
        <w:t xml:space="preserve">Our analysis is focused on children in the UK, reflecting both the current policy focus </w:t>
      </w:r>
      <w:r w:rsidR="00CB4532" w:rsidRPr="0062673F">
        <w:rPr>
          <w:color w:val="000000" w:themeColor="text1"/>
        </w:rPr>
        <w:t>in the UK and the evidence base that only shows an effect on excess food consumption in children</w:t>
      </w:r>
      <w:r w:rsidR="004A7C45" w:rsidRPr="0062673F">
        <w:rPr>
          <w:color w:val="000000" w:themeColor="text1"/>
        </w:rPr>
        <w:t>.</w:t>
      </w:r>
      <w:r w:rsidR="00D87EEB" w:rsidRPr="0062673F">
        <w:rPr>
          <w:color w:val="000000" w:themeColor="text1"/>
        </w:rPr>
        <w:fldChar w:fldCharType="begin" w:fldLock="1"/>
      </w:r>
      <w:r w:rsidR="00467360" w:rsidRPr="0062673F">
        <w:rPr>
          <w:color w:val="000000" w:themeColor="text1"/>
        </w:rPr>
        <w:instrText>ADDIN CSL_CITATION {"citationItems":[{"id":"ITEM-1","itemData":{"DOI":"10.3945/ajcn.115.120022","ISSN":"0002-9165","author":[{"dropping-particle":"","family":"Boyland","given":"E. J.","non-dropping-particle":"","parse-names":false,"suffix":""},{"dropping-particle":"","family":"Nolan","given":"S.","non-dropping-particle":"","parse-names":false,"suffix":""},{"dropping-particle":"","family":"Kelly","given":"B.","non-dropping-particle":"","parse-names":false,"suffix":""},{"dropping-particle":"","family":"Tudur-Smith","given":"C.","non-dropping-particle":"","parse-names":false,"suffix":""},{"dropping-particle":"","family":"Jones","given":"A.","non-dropping-particle":"","parse-names":false,"suffix":""},{"dropping-particle":"","family":"Halford","given":"J. C.","non-dropping-particle":"","parse-names":false,"suffix":""},{"dropping-particle":"","family":"Robinson","given":"E.","non-dropping-particle":"","parse-names":false,"suffix":""}],"container-title":"American Journal of Clinical Nutrition","id":"ITEM-1","issue":"2","issued":{"date-parts":[["2016","2","1"]]},"page":"519-533","publisher":"Oxford University Press","title":"Advertising as a cue to consume: a systematic review and meta-analysis of the effects of acute exposure to unhealthy food and nonalcoholic beverage advertising on intake in children and adults","type":"article-journal","volume":"103"},"uris":["http://www.mendeley.com/documents/?uuid=a80effdc-a77a-3656-9c80-94a15f422200"]}],"mendeley":{"formattedCitation":"[18]","plainTextFormattedCitation":"[18]","previouslyFormattedCitation":"[18]"},"properties":{"noteIndex":0},"schema":"https://github.com/citation-style-language/schema/raw/master/csl-citation.json"}</w:instrText>
      </w:r>
      <w:r w:rsidR="00D87EEB" w:rsidRPr="0062673F">
        <w:rPr>
          <w:color w:val="000000" w:themeColor="text1"/>
        </w:rPr>
        <w:fldChar w:fldCharType="separate"/>
      </w:r>
      <w:r w:rsidR="0066542D" w:rsidRPr="0062673F">
        <w:rPr>
          <w:noProof/>
          <w:color w:val="000000" w:themeColor="text1"/>
        </w:rPr>
        <w:t>[18]</w:t>
      </w:r>
      <w:r w:rsidR="00D87EEB" w:rsidRPr="0062673F">
        <w:rPr>
          <w:color w:val="000000" w:themeColor="text1"/>
        </w:rPr>
        <w:fldChar w:fldCharType="end"/>
      </w:r>
      <w:r w:rsidR="004A7C45" w:rsidRPr="0062673F">
        <w:rPr>
          <w:color w:val="000000" w:themeColor="text1"/>
        </w:rPr>
        <w:t xml:space="preserve"> </w:t>
      </w:r>
      <w:r w:rsidR="00336BDC" w:rsidRPr="0062673F">
        <w:rPr>
          <w:color w:val="000000" w:themeColor="text1"/>
        </w:rPr>
        <w:t>The model was parameterised using</w:t>
      </w:r>
      <w:r w:rsidR="001429E9" w:rsidRPr="0062673F">
        <w:rPr>
          <w:color w:val="000000" w:themeColor="text1"/>
        </w:rPr>
        <w:t xml:space="preserve"> data f</w:t>
      </w:r>
      <w:r w:rsidR="00336BDC" w:rsidRPr="0062673F">
        <w:rPr>
          <w:color w:val="000000" w:themeColor="text1"/>
        </w:rPr>
        <w:t>or</w:t>
      </w:r>
      <w:r w:rsidR="001429E9" w:rsidRPr="0062673F">
        <w:rPr>
          <w:color w:val="000000" w:themeColor="text1"/>
        </w:rPr>
        <w:t xml:space="preserve"> 2015</w:t>
      </w:r>
      <w:r w:rsidR="00336BDC" w:rsidRPr="0062673F">
        <w:rPr>
          <w:color w:val="000000" w:themeColor="text1"/>
        </w:rPr>
        <w:t xml:space="preserve"> (or 2016 where 2015 data was not available)</w:t>
      </w:r>
      <w:r w:rsidR="001429E9" w:rsidRPr="0062673F">
        <w:rPr>
          <w:color w:val="000000" w:themeColor="text1"/>
        </w:rPr>
        <w:t xml:space="preserve">. </w:t>
      </w:r>
      <w:r w:rsidRPr="0062673F">
        <w:rPr>
          <w:color w:val="000000" w:themeColor="text1"/>
        </w:rPr>
        <w:t>Reflecting current studies, w</w:t>
      </w:r>
      <w:r w:rsidR="004A7C45" w:rsidRPr="0062673F">
        <w:rPr>
          <w:color w:val="000000" w:themeColor="text1"/>
        </w:rPr>
        <w:t xml:space="preserve">e </w:t>
      </w:r>
      <w:r w:rsidRPr="0062673F">
        <w:rPr>
          <w:color w:val="000000" w:themeColor="text1"/>
        </w:rPr>
        <w:t xml:space="preserve">have </w:t>
      </w:r>
      <w:r w:rsidR="004A7C45" w:rsidRPr="0062673F">
        <w:rPr>
          <w:color w:val="000000" w:themeColor="text1"/>
        </w:rPr>
        <w:t>assume</w:t>
      </w:r>
      <w:r w:rsidRPr="0062673F">
        <w:rPr>
          <w:color w:val="000000" w:themeColor="text1"/>
        </w:rPr>
        <w:t>d</w:t>
      </w:r>
      <w:r w:rsidR="004A7C45" w:rsidRPr="0062673F">
        <w:rPr>
          <w:color w:val="000000" w:themeColor="text1"/>
        </w:rPr>
        <w:t xml:space="preserve"> that</w:t>
      </w:r>
      <w:r w:rsidR="00336BDC" w:rsidRPr="0062673F">
        <w:rPr>
          <w:color w:val="000000" w:themeColor="text1"/>
        </w:rPr>
        <w:t xml:space="preserve"> only children aged 5-14 years we</w:t>
      </w:r>
      <w:r w:rsidR="004A7C45" w:rsidRPr="0062673F">
        <w:rPr>
          <w:color w:val="000000" w:themeColor="text1"/>
        </w:rPr>
        <w:t>re affected by exposure to HFSS advertising. The upper limit reflects the upper age of children included in studies (14 years) showi</w:t>
      </w:r>
      <w:r w:rsidR="00C40AB7" w:rsidRPr="0062673F">
        <w:rPr>
          <w:color w:val="000000" w:themeColor="text1"/>
        </w:rPr>
        <w:t>ng that exposure to less-healthy television</w:t>
      </w:r>
      <w:r w:rsidR="004A7C45" w:rsidRPr="0062673F">
        <w:rPr>
          <w:color w:val="000000" w:themeColor="text1"/>
        </w:rPr>
        <w:t xml:space="preserve"> food advertising promotes excess calorie consumption</w:t>
      </w:r>
      <w:r w:rsidR="006F06C1">
        <w:rPr>
          <w:color w:val="000000" w:themeColor="text1"/>
        </w:rPr>
        <w:t xml:space="preserve"> </w:t>
      </w:r>
      <w:r w:rsidR="00D87EEB"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mendeley":{"formattedCitation":"[19]","plainTextFormattedCitation":"[19]","previouslyFormattedCitation":"[19]"},"properties":{"noteIndex":0},"schema":"https://github.com/citation-style-language/schema/raw/master/csl-citation.json"}</w:instrText>
      </w:r>
      <w:r w:rsidR="00D87EEB" w:rsidRPr="0062673F">
        <w:rPr>
          <w:color w:val="000000" w:themeColor="text1"/>
        </w:rPr>
        <w:fldChar w:fldCharType="separate"/>
      </w:r>
      <w:r w:rsidR="0066542D" w:rsidRPr="0062673F">
        <w:rPr>
          <w:noProof/>
          <w:color w:val="000000" w:themeColor="text1"/>
        </w:rPr>
        <w:t>[19]</w:t>
      </w:r>
      <w:r w:rsidR="00D87EEB" w:rsidRPr="0062673F">
        <w:rPr>
          <w:color w:val="000000" w:themeColor="text1"/>
        </w:rPr>
        <w:fldChar w:fldCharType="end"/>
      </w:r>
      <w:r w:rsidR="0066542D" w:rsidRPr="0062673F">
        <w:rPr>
          <w:color w:val="000000" w:themeColor="text1"/>
        </w:rPr>
        <w:t>.</w:t>
      </w:r>
      <w:r w:rsidR="004A7C45" w:rsidRPr="0062673F">
        <w:rPr>
          <w:color w:val="000000" w:themeColor="text1"/>
        </w:rPr>
        <w:t xml:space="preserve"> The lower limit reflects the lower age limit for which the Hall equations are validated (5 years)</w:t>
      </w:r>
      <w:r w:rsidR="006F06C1">
        <w:rPr>
          <w:color w:val="000000" w:themeColor="text1"/>
        </w:rPr>
        <w:t xml:space="preserve"> </w:t>
      </w:r>
      <w:r w:rsidR="00D87EEB" w:rsidRPr="0062673F">
        <w:rPr>
          <w:color w:val="000000" w:themeColor="text1"/>
        </w:rPr>
        <w:fldChar w:fldCharType="begin" w:fldLock="1"/>
      </w:r>
      <w:r w:rsidR="00467360" w:rsidRPr="0062673F">
        <w:rPr>
          <w:color w:val="000000" w:themeColor="text1"/>
        </w:rPr>
        <w:instrText>ADDIN CSL_CITATION {"citationItems":[{"id":"ITEM-1","itemData":{"DOI":"10.1016/S2213-8587(13)70051-2","ISSN":"22138587","abstract":"&lt;h2&gt;Summary&lt;/h2&gt;&lt;h3&gt;Background&lt;/h3&gt;&lt;p&gt;Clinicians and policy makers need the ability to predict quantitatively how childhood bodyweight will respond to obesity interventions.&lt;/p&gt;&lt;h3&gt;Methods&lt;/h3&gt;&lt;p&gt;We developed and validated a mathematical model of childhood energy balance that accounts for healthy growth and development of obesity, and that makes quantitative predictions about weight-management interventions. The model was calibrated to reference body composition data in healthy children and validated by comparing model predictions with data other than those used to build the model.&lt;/p&gt;&lt;h3&gt;Findings&lt;/h3&gt;&lt;p&gt;The model accurately simulated the changes in body composition and energy expenditure reported in reference data during healthy growth, and predicted increases in energy intake from ages 5–18 years of roughly 1200 kcal per day in boys and 900 kcal per day in girls. Development of childhood obesity necessitated a substantially greater excess energy intake than for development of adult obesity. Furthermore, excess energy intake in overweight and obese children calculated by the model greatly exceeded the typical energy balance calculated on the basis of growth charts. At the population level, the excess weight of US children in 2003–06 was associated with a mean increase in energy intake of roughly 200 kcal per day per child compared with similar children in 1971–74. The model also suggests that therapeutic windows when children can outgrow obesity without losing weight might exist, especially during periods of high growth potential in boys who are not severely obese.&lt;/p&gt;&lt;h3&gt;Interpretation&lt;/h3&gt;&lt;p&gt;This model quantifies the energy excess underlying obesity and calculates the necessary intervention magnitude to achieve bodyweight change in children. Policy makers and clinicians now have a quantitative technique for understanding the childhood obesity epidemic and planning interventions to control it.&lt;/p&gt;&lt;h3&gt;Funding&lt;/h3&gt;&lt;p&gt;Intramural Research Program of the National Institutes of Health, National Institute of Diabetes and Digestive and Kidney Diseases.&lt;/p&gt;","author":[{"dropping-particle":"","family":"Hall","given":"Kevin D","non-dropping-particle":"","parse-names":false,"suffix":""},{"dropping-particle":"","family":"Butte","given":"Nancy F","non-dropping-particle":"","parse-names":false,"suffix":""},{"dropping-particle":"","family":"Swinburn","given":"Boyd A","non-dropping-particle":"","parse-names":false,"suffix":""},{"dropping-particle":"","family":"Chow","given":"Carson C","non-dropping-particle":"","parse-names":false,"suffix":""}],"container-title":"The Lancet Diabetes &amp; Endocrinology","id":"ITEM-1","issue":"2","issued":{"date-parts":[["2013","10","1"]]},"page":"97-105","publisher":"Elsevier","title":"Dynamics of childhood growth and obesity: development and validation of a quantitative mathematical model","type":"article-journal","volume":"1"},"uris":["http://www.mendeley.com/documents/?uuid=a79d4c23-d191-40f1-a54e-5f41ec7f77b6"]}],"mendeley":{"formattedCitation":"[34]","plainTextFormattedCitation":"[34]","previouslyFormattedCitation":"[34]"},"properties":{"noteIndex":0},"schema":"https://github.com/citation-style-language/schema/raw/master/csl-citation.json"}</w:instrText>
      </w:r>
      <w:r w:rsidR="00D87EEB" w:rsidRPr="0062673F">
        <w:rPr>
          <w:color w:val="000000" w:themeColor="text1"/>
        </w:rPr>
        <w:fldChar w:fldCharType="separate"/>
      </w:r>
      <w:r w:rsidR="0066542D" w:rsidRPr="0062673F">
        <w:rPr>
          <w:noProof/>
          <w:color w:val="000000" w:themeColor="text1"/>
        </w:rPr>
        <w:t>[34]</w:t>
      </w:r>
      <w:r w:rsidR="00D87EEB" w:rsidRPr="0062673F">
        <w:rPr>
          <w:color w:val="000000" w:themeColor="text1"/>
        </w:rPr>
        <w:fldChar w:fldCharType="end"/>
      </w:r>
      <w:r w:rsidR="004A7C45" w:rsidRPr="0062673F">
        <w:rPr>
          <w:color w:val="000000" w:themeColor="text1"/>
        </w:rPr>
        <w:t xml:space="preserve"> We have assumed that reduction in childhood obesity tracks into adult life, and thus do consider health benefits in later life.</w:t>
      </w:r>
    </w:p>
    <w:p w14:paraId="2F701E32" w14:textId="5D0DFDC0" w:rsidR="004C4B7D" w:rsidRPr="0062673F" w:rsidRDefault="008248A7" w:rsidP="00111E35">
      <w:pPr>
        <w:rPr>
          <w:color w:val="000000" w:themeColor="text1"/>
        </w:rPr>
      </w:pPr>
      <w:r w:rsidRPr="0062673F">
        <w:rPr>
          <w:color w:val="000000" w:themeColor="text1"/>
        </w:rPr>
        <w:t xml:space="preserve">This focus, considering </w:t>
      </w:r>
      <w:r w:rsidR="00CF7318" w:rsidRPr="0062673F">
        <w:rPr>
          <w:color w:val="000000" w:themeColor="text1"/>
        </w:rPr>
        <w:t>effects from</w:t>
      </w:r>
      <w:r w:rsidRPr="0062673F">
        <w:rPr>
          <w:color w:val="000000" w:themeColor="text1"/>
        </w:rPr>
        <w:t xml:space="preserve"> only age 5-14 years and considering the one pathway (i.e. that concerned with the acute effect of advertising on calorie consumption</w:t>
      </w:r>
      <w:r w:rsidR="004C4B7D" w:rsidRPr="0062673F">
        <w:rPr>
          <w:color w:val="000000" w:themeColor="text1"/>
        </w:rPr>
        <w:t>) between advertising and health,</w:t>
      </w:r>
      <w:r w:rsidR="00F47105" w:rsidRPr="0062673F">
        <w:rPr>
          <w:color w:val="000000" w:themeColor="text1"/>
        </w:rPr>
        <w:t xml:space="preserve"> </w:t>
      </w:r>
      <w:r w:rsidR="00336BDC" w:rsidRPr="0062673F">
        <w:rPr>
          <w:color w:val="000000" w:themeColor="text1"/>
        </w:rPr>
        <w:t>is</w:t>
      </w:r>
      <w:r w:rsidRPr="0062673F">
        <w:rPr>
          <w:color w:val="000000" w:themeColor="text1"/>
        </w:rPr>
        <w:t xml:space="preserve"> likely to</w:t>
      </w:r>
      <w:r w:rsidR="00F47105" w:rsidRPr="0062673F">
        <w:rPr>
          <w:color w:val="000000" w:themeColor="text1"/>
        </w:rPr>
        <w:t xml:space="preserve"> underestimat</w:t>
      </w:r>
      <w:r w:rsidRPr="0062673F">
        <w:rPr>
          <w:color w:val="000000" w:themeColor="text1"/>
        </w:rPr>
        <w:t>e</w:t>
      </w:r>
      <w:r w:rsidR="00F47105" w:rsidRPr="0062673F">
        <w:rPr>
          <w:color w:val="000000" w:themeColor="text1"/>
        </w:rPr>
        <w:t xml:space="preserve"> </w:t>
      </w:r>
      <w:r w:rsidR="004C4B7D" w:rsidRPr="0062673F">
        <w:rPr>
          <w:color w:val="000000" w:themeColor="text1"/>
        </w:rPr>
        <w:t>the impact of HFSS television advertising on</w:t>
      </w:r>
      <w:r w:rsidR="00CE5E56" w:rsidRPr="0062673F">
        <w:rPr>
          <w:color w:val="000000" w:themeColor="text1"/>
        </w:rPr>
        <w:t xml:space="preserve"> dietary behaviour and</w:t>
      </w:r>
      <w:r w:rsidR="004C4B7D" w:rsidRPr="0062673F">
        <w:rPr>
          <w:color w:val="000000" w:themeColor="text1"/>
        </w:rPr>
        <w:t xml:space="preserve"> health.</w:t>
      </w:r>
    </w:p>
    <w:p w14:paraId="7C87B59E" w14:textId="77777777" w:rsidR="004A7C45" w:rsidRPr="0062673F" w:rsidRDefault="004A7C45" w:rsidP="004A7C45">
      <w:pPr>
        <w:rPr>
          <w:b/>
          <w:color w:val="000000" w:themeColor="text1"/>
        </w:rPr>
      </w:pPr>
      <w:r w:rsidRPr="0062673F">
        <w:rPr>
          <w:b/>
          <w:color w:val="000000" w:themeColor="text1"/>
        </w:rPr>
        <w:t xml:space="preserve">Advertising exposure  </w:t>
      </w:r>
    </w:p>
    <w:p w14:paraId="421CEF20" w14:textId="59BE8AAB" w:rsidR="0034784B" w:rsidRPr="0062673F" w:rsidRDefault="004A7C45" w:rsidP="0034784B">
      <w:pPr>
        <w:rPr>
          <w:color w:val="000000" w:themeColor="text1"/>
        </w:rPr>
      </w:pPr>
      <w:r w:rsidRPr="0062673F">
        <w:rPr>
          <w:color w:val="000000" w:themeColor="text1"/>
        </w:rPr>
        <w:t>We used data from AC Nielsen on all adv</w:t>
      </w:r>
      <w:r w:rsidR="00D87071" w:rsidRPr="0062673F">
        <w:rPr>
          <w:color w:val="000000" w:themeColor="text1"/>
        </w:rPr>
        <w:t>erts for food and drink</w:t>
      </w:r>
      <w:r w:rsidRPr="0062673F">
        <w:rPr>
          <w:color w:val="000000" w:themeColor="text1"/>
        </w:rPr>
        <w:t xml:space="preserve"> broadcast on television between January and December 2015. The dataset inc</w:t>
      </w:r>
      <w:r w:rsidR="00D87071" w:rsidRPr="0062673F">
        <w:rPr>
          <w:color w:val="000000" w:themeColor="text1"/>
        </w:rPr>
        <w:t>lude</w:t>
      </w:r>
      <w:r w:rsidR="00336BDC" w:rsidRPr="0062673F">
        <w:rPr>
          <w:color w:val="000000" w:themeColor="text1"/>
        </w:rPr>
        <w:t>d</w:t>
      </w:r>
      <w:r w:rsidR="00D87071" w:rsidRPr="0062673F">
        <w:rPr>
          <w:color w:val="000000" w:themeColor="text1"/>
        </w:rPr>
        <w:t xml:space="preserve"> details on what products and/or</w:t>
      </w:r>
      <w:r w:rsidRPr="0062673F">
        <w:rPr>
          <w:color w:val="000000" w:themeColor="text1"/>
        </w:rPr>
        <w:t xml:space="preserve"> brands were advertised, the time of the advert, the channel on which the advert was shown and what programmes ran either side of the advert. The data also contain</w:t>
      </w:r>
      <w:r w:rsidR="00336BDC" w:rsidRPr="0062673F">
        <w:rPr>
          <w:color w:val="000000" w:themeColor="text1"/>
        </w:rPr>
        <w:t>ed</w:t>
      </w:r>
      <w:r w:rsidRPr="0062673F">
        <w:rPr>
          <w:color w:val="000000" w:themeColor="text1"/>
        </w:rPr>
        <w:t xml:space="preserve"> information on ‘child impacts’ for each advert, provided by the Broadcasters' Audience Research Board (BARB). Impacts are a widely used industry measure.</w:t>
      </w:r>
      <w:r w:rsidR="0034784B" w:rsidRPr="0062673F">
        <w:rPr>
          <w:color w:val="000000" w:themeColor="text1"/>
        </w:rPr>
        <w:t xml:space="preserve"> One impact represents one person viewing one advert. Therefore</w:t>
      </w:r>
      <w:r w:rsidR="00B14D1F" w:rsidRPr="0062673F">
        <w:rPr>
          <w:color w:val="000000" w:themeColor="text1"/>
        </w:rPr>
        <w:t>,</w:t>
      </w:r>
      <w:r w:rsidR="0034784B" w:rsidRPr="0062673F">
        <w:rPr>
          <w:color w:val="000000" w:themeColor="text1"/>
        </w:rPr>
        <w:t xml:space="preserve"> two impacts can represent two different people viewing the same advert once, or </w:t>
      </w:r>
      <w:r w:rsidR="00B14D1F" w:rsidRPr="0062673F">
        <w:rPr>
          <w:color w:val="000000" w:themeColor="text1"/>
        </w:rPr>
        <w:t>one person viewing two the same</w:t>
      </w:r>
      <w:r w:rsidR="0034784B" w:rsidRPr="0062673F">
        <w:rPr>
          <w:color w:val="000000" w:themeColor="text1"/>
        </w:rPr>
        <w:t xml:space="preserve"> advert</w:t>
      </w:r>
      <w:r w:rsidR="00B14D1F" w:rsidRPr="0062673F">
        <w:rPr>
          <w:color w:val="000000" w:themeColor="text1"/>
        </w:rPr>
        <w:t xml:space="preserve"> twice</w:t>
      </w:r>
      <w:r w:rsidR="0034784B" w:rsidRPr="0062673F">
        <w:rPr>
          <w:color w:val="000000" w:themeColor="text1"/>
        </w:rPr>
        <w:t>.</w:t>
      </w:r>
    </w:p>
    <w:p w14:paraId="12D78C8F" w14:textId="05D08155" w:rsidR="00B145FA" w:rsidRPr="0062673F" w:rsidRDefault="0034784B" w:rsidP="004A7C45">
      <w:pPr>
        <w:rPr>
          <w:color w:val="000000" w:themeColor="text1"/>
        </w:rPr>
      </w:pPr>
      <w:r w:rsidRPr="0062673F">
        <w:rPr>
          <w:color w:val="000000" w:themeColor="text1"/>
        </w:rPr>
        <w:t>I</w:t>
      </w:r>
      <w:r w:rsidR="00336BDC" w:rsidRPr="0062673F">
        <w:rPr>
          <w:color w:val="000000" w:themeColor="text1"/>
        </w:rPr>
        <w:t>n this dataset children we</w:t>
      </w:r>
      <w:r w:rsidR="004A7C45" w:rsidRPr="0062673F">
        <w:rPr>
          <w:color w:val="000000" w:themeColor="text1"/>
        </w:rPr>
        <w:t xml:space="preserve">re defined as those </w:t>
      </w:r>
      <w:r w:rsidR="00336BDC" w:rsidRPr="0062673F">
        <w:rPr>
          <w:color w:val="000000" w:themeColor="text1"/>
        </w:rPr>
        <w:t>aged 4–15 years. BARB calculated</w:t>
      </w:r>
      <w:r w:rsidR="004A7C45" w:rsidRPr="0062673F">
        <w:rPr>
          <w:color w:val="000000" w:themeColor="text1"/>
        </w:rPr>
        <w:t xml:space="preserve"> the number of child impacts by using a</w:t>
      </w:r>
      <w:r w:rsidR="005736D5" w:rsidRPr="0062673F">
        <w:rPr>
          <w:color w:val="000000" w:themeColor="text1"/>
        </w:rPr>
        <w:t xml:space="preserve"> </w:t>
      </w:r>
      <w:r w:rsidR="004A7C45" w:rsidRPr="0062673F">
        <w:rPr>
          <w:color w:val="000000" w:themeColor="text1"/>
        </w:rPr>
        <w:t>panel of 5</w:t>
      </w:r>
      <w:r w:rsidR="000B2E31" w:rsidRPr="0062673F">
        <w:rPr>
          <w:color w:val="000000" w:themeColor="text1"/>
        </w:rPr>
        <w:t>,</w:t>
      </w:r>
      <w:r w:rsidR="004A7C45" w:rsidRPr="0062673F">
        <w:rPr>
          <w:color w:val="000000" w:themeColor="text1"/>
        </w:rPr>
        <w:t>100 home</w:t>
      </w:r>
      <w:r w:rsidR="004C4B7D" w:rsidRPr="0062673F">
        <w:rPr>
          <w:color w:val="000000" w:themeColor="text1"/>
        </w:rPr>
        <w:t>s.</w:t>
      </w:r>
      <w:r w:rsidR="005736D5" w:rsidRPr="0062673F">
        <w:rPr>
          <w:color w:val="000000" w:themeColor="text1"/>
        </w:rPr>
        <w:t xml:space="preserve"> The pa</w:t>
      </w:r>
      <w:r w:rsidR="005736D5" w:rsidRPr="0062673F">
        <w:rPr>
          <w:rFonts w:cstheme="minorHAnsi"/>
          <w:color w:val="000000" w:themeColor="text1"/>
        </w:rPr>
        <w:t>nel is reported to be re</w:t>
      </w:r>
      <w:r w:rsidR="009160B2" w:rsidRPr="0062673F">
        <w:rPr>
          <w:rFonts w:cstheme="minorHAnsi"/>
          <w:color w:val="000000" w:themeColor="text1"/>
        </w:rPr>
        <w:t>p</w:t>
      </w:r>
      <w:r w:rsidR="005736D5" w:rsidRPr="0062673F">
        <w:rPr>
          <w:rFonts w:cstheme="minorHAnsi"/>
          <w:color w:val="000000" w:themeColor="text1"/>
        </w:rPr>
        <w:t>resen</w:t>
      </w:r>
      <w:r w:rsidR="009160B2" w:rsidRPr="0062673F">
        <w:rPr>
          <w:rFonts w:cstheme="minorHAnsi"/>
          <w:color w:val="000000" w:themeColor="text1"/>
        </w:rPr>
        <w:t>ta</w:t>
      </w:r>
      <w:r w:rsidR="005736D5" w:rsidRPr="0062673F">
        <w:rPr>
          <w:rFonts w:cstheme="minorHAnsi"/>
          <w:color w:val="000000" w:themeColor="text1"/>
        </w:rPr>
        <w:t xml:space="preserve">tive of the UK in terms of demography, geography, ethnicity and TV platform, </w:t>
      </w:r>
      <w:r w:rsidR="00467360" w:rsidRPr="0062673F">
        <w:rPr>
          <w:rFonts w:cstheme="minorHAnsi"/>
          <w:color w:val="000000" w:themeColor="text1"/>
        </w:rPr>
        <w:t>although</w:t>
      </w:r>
      <w:r w:rsidR="005736D5" w:rsidRPr="0062673F">
        <w:rPr>
          <w:rFonts w:cstheme="minorHAnsi"/>
          <w:color w:val="000000" w:themeColor="text1"/>
        </w:rPr>
        <w:t xml:space="preserve"> BARB do not provide a specific breakdown</w:t>
      </w:r>
      <w:r w:rsidR="006F06C1">
        <w:rPr>
          <w:rFonts w:cstheme="minorHAnsi"/>
          <w:color w:val="000000" w:themeColor="text1"/>
        </w:rPr>
        <w:t xml:space="preserve"> </w:t>
      </w:r>
      <w:r w:rsidR="00467360" w:rsidRPr="0062673F">
        <w:rPr>
          <w:rFonts w:cstheme="minorHAnsi"/>
          <w:color w:val="000000" w:themeColor="text1"/>
        </w:rPr>
        <w:fldChar w:fldCharType="begin" w:fldLock="1"/>
      </w:r>
      <w:r w:rsidR="00467360" w:rsidRPr="0062673F">
        <w:rPr>
          <w:rFonts w:cstheme="minorHAnsi"/>
          <w:color w:val="000000" w:themeColor="text1"/>
        </w:rPr>
        <w:instrText>ADDIN CSL_CITATION {"citationItems":[{"id":"ITEM-1","itemData":{"URL":"https://www.barb.co.uk/barb-explained/the-central-role-of-the-barb-panel/","accessed":{"date-parts":[["2022","5","29"]]},"author":[{"dropping-particle":"","family":"BARB","given":"","non-dropping-particle":"","parse-names":false,"suffix":""}],"id":"ITEM-1","issued":{"date-parts":[["2019"]]},"title":"BARB Explained: The central role of the BARB panel","type":"webpage"},"uris":["http://www.mendeley.com/documents/?uuid=f73c8871-1bc9-4742-b8bf-2059ea333298"]}],"mendeley":{"formattedCitation":"[35]","plainTextFormattedCitation":"[35]"},"properties":{"noteIndex":0},"schema":"https://github.com/citation-style-language/schema/raw/master/csl-citation.json"}</w:instrText>
      </w:r>
      <w:r w:rsidR="00467360" w:rsidRPr="0062673F">
        <w:rPr>
          <w:rFonts w:cstheme="minorHAnsi"/>
          <w:color w:val="000000" w:themeColor="text1"/>
        </w:rPr>
        <w:fldChar w:fldCharType="separate"/>
      </w:r>
      <w:r w:rsidR="00467360" w:rsidRPr="0062673F">
        <w:rPr>
          <w:rFonts w:cstheme="minorHAnsi"/>
          <w:noProof/>
          <w:color w:val="000000" w:themeColor="text1"/>
        </w:rPr>
        <w:t>[35]</w:t>
      </w:r>
      <w:r w:rsidR="00467360" w:rsidRPr="0062673F">
        <w:rPr>
          <w:rFonts w:cstheme="minorHAnsi"/>
          <w:color w:val="000000" w:themeColor="text1"/>
        </w:rPr>
        <w:fldChar w:fldCharType="end"/>
      </w:r>
      <w:r w:rsidR="005736D5" w:rsidRPr="0062673F">
        <w:rPr>
          <w:rFonts w:cstheme="minorHAnsi"/>
          <w:color w:val="000000" w:themeColor="text1"/>
        </w:rPr>
        <w:t>.</w:t>
      </w:r>
      <w:r w:rsidR="005736D5" w:rsidRPr="0062673F">
        <w:rPr>
          <w:color w:val="000000" w:themeColor="text1"/>
        </w:rPr>
        <w:t xml:space="preserve"> </w:t>
      </w:r>
      <w:r w:rsidR="004C4B7D" w:rsidRPr="0062673F">
        <w:rPr>
          <w:color w:val="000000" w:themeColor="text1"/>
        </w:rPr>
        <w:t xml:space="preserve"> Each household</w:t>
      </w:r>
      <w:r w:rsidR="00336BDC" w:rsidRPr="0062673F">
        <w:rPr>
          <w:color w:val="000000" w:themeColor="text1"/>
        </w:rPr>
        <w:t xml:space="preserve"> wa</w:t>
      </w:r>
      <w:r w:rsidR="004A7C45" w:rsidRPr="0062673F">
        <w:rPr>
          <w:color w:val="000000" w:themeColor="text1"/>
        </w:rPr>
        <w:t xml:space="preserve">s given a remote control with a button on it for each member of the </w:t>
      </w:r>
      <w:r w:rsidR="00336BDC" w:rsidRPr="0062673F">
        <w:rPr>
          <w:color w:val="000000" w:themeColor="text1"/>
        </w:rPr>
        <w:t xml:space="preserve">household; each individual </w:t>
      </w:r>
      <w:r w:rsidR="004A7C45" w:rsidRPr="0062673F">
        <w:rPr>
          <w:color w:val="000000" w:themeColor="text1"/>
        </w:rPr>
        <w:t>press</w:t>
      </w:r>
      <w:r w:rsidR="00336BDC" w:rsidRPr="0062673F">
        <w:rPr>
          <w:color w:val="000000" w:themeColor="text1"/>
        </w:rPr>
        <w:t>ed</w:t>
      </w:r>
      <w:r w:rsidR="004A7C45" w:rsidRPr="0062673F">
        <w:rPr>
          <w:color w:val="000000" w:themeColor="text1"/>
        </w:rPr>
        <w:t xml:space="preserve"> their button e</w:t>
      </w:r>
      <w:r w:rsidR="003D7160" w:rsidRPr="0062673F">
        <w:rPr>
          <w:color w:val="000000" w:themeColor="text1"/>
        </w:rPr>
        <w:t>ach time they enter</w:t>
      </w:r>
      <w:r w:rsidR="00336BDC" w:rsidRPr="0062673F">
        <w:rPr>
          <w:color w:val="000000" w:themeColor="text1"/>
        </w:rPr>
        <w:t>ed or left</w:t>
      </w:r>
      <w:r w:rsidR="003D7160" w:rsidRPr="0062673F">
        <w:rPr>
          <w:color w:val="000000" w:themeColor="text1"/>
        </w:rPr>
        <w:t xml:space="preserve"> a</w:t>
      </w:r>
      <w:r w:rsidR="004A7C45" w:rsidRPr="0062673F">
        <w:rPr>
          <w:color w:val="000000" w:themeColor="text1"/>
        </w:rPr>
        <w:t xml:space="preserve"> room </w:t>
      </w:r>
      <w:r w:rsidR="003D7160" w:rsidRPr="0062673F">
        <w:rPr>
          <w:color w:val="000000" w:themeColor="text1"/>
        </w:rPr>
        <w:t>in which a</w:t>
      </w:r>
      <w:r w:rsidR="00336BDC" w:rsidRPr="0062673F">
        <w:rPr>
          <w:color w:val="000000" w:themeColor="text1"/>
        </w:rPr>
        <w:t xml:space="preserve"> television wa</w:t>
      </w:r>
      <w:r w:rsidR="004A7C45" w:rsidRPr="0062673F">
        <w:rPr>
          <w:color w:val="000000" w:themeColor="text1"/>
        </w:rPr>
        <w:t>s on. Weighting</w:t>
      </w:r>
      <w:r w:rsidR="00336BDC" w:rsidRPr="0062673F">
        <w:rPr>
          <w:color w:val="000000" w:themeColor="text1"/>
        </w:rPr>
        <w:t>s we</w:t>
      </w:r>
      <w:r w:rsidR="004A7C45" w:rsidRPr="0062673F">
        <w:rPr>
          <w:color w:val="000000" w:themeColor="text1"/>
        </w:rPr>
        <w:t xml:space="preserve">re used to estimate the total </w:t>
      </w:r>
      <w:r w:rsidR="00D87071" w:rsidRPr="0062673F">
        <w:rPr>
          <w:color w:val="000000" w:themeColor="text1"/>
        </w:rPr>
        <w:t xml:space="preserve">number of </w:t>
      </w:r>
      <w:r w:rsidR="004A7C45" w:rsidRPr="0062673F">
        <w:rPr>
          <w:color w:val="000000" w:themeColor="text1"/>
        </w:rPr>
        <w:t>child i</w:t>
      </w:r>
      <w:r w:rsidR="003D7160" w:rsidRPr="0062673F">
        <w:rPr>
          <w:color w:val="000000" w:themeColor="text1"/>
        </w:rPr>
        <w:t xml:space="preserve">mpacts for the whole of the UK. </w:t>
      </w:r>
      <w:r w:rsidR="00B145FA" w:rsidRPr="0062673F">
        <w:rPr>
          <w:color w:val="000000" w:themeColor="text1"/>
        </w:rPr>
        <w:t xml:space="preserve">We assumed the average impact seen by a child in this dataset (defined as aged 4-15 years) was the average impacts seen by a child aged 5-14 years, i.e. that impacts were spread widely across the population, given that 96% of children aged 5-15 years are reported to watch television in the UK </w:t>
      </w:r>
      <w:r w:rsidR="00B145FA" w:rsidRPr="0062673F">
        <w:rPr>
          <w:color w:val="000000" w:themeColor="text1"/>
        </w:rPr>
        <w:fldChar w:fldCharType="begin" w:fldLock="1"/>
      </w:r>
      <w:r w:rsidR="00B145FA" w:rsidRPr="0062673F">
        <w:rPr>
          <w:color w:val="000000" w:themeColor="text1"/>
        </w:rPr>
        <w:instrText>ADDIN CSL_CITATION {"citationItems":[{"id":"ITEM-1","itemData":{"author":[{"dropping-particle":"","family":"Ofcom","given":"","non-dropping-particle":"","parse-names":false,"suffix":""}],"id":"ITEM-1","issued":{"date-parts":[["2020"]]},"publisher-place":"London","title":"Children and parents: Media use and attitudes report 2019","type":"report"},"uris":["http://www.mendeley.com/documents/?uuid=e8fd884c-b592-43e6-ba1f-43ef79e09928"]}],"mendeley":{"formattedCitation":"[35]","plainTextFormattedCitation":"[35]"},"properties":{"noteIndex":0},"schema":"https://github.com/citation-style-language/schema/raw/master/csl-citation.json"}</w:instrText>
      </w:r>
      <w:r w:rsidR="00B145FA" w:rsidRPr="0062673F">
        <w:rPr>
          <w:color w:val="000000" w:themeColor="text1"/>
        </w:rPr>
        <w:fldChar w:fldCharType="separate"/>
      </w:r>
      <w:r w:rsidR="00B145FA" w:rsidRPr="0062673F">
        <w:rPr>
          <w:noProof/>
          <w:color w:val="000000" w:themeColor="text1"/>
        </w:rPr>
        <w:t>[35]</w:t>
      </w:r>
      <w:r w:rsidR="00B145FA" w:rsidRPr="0062673F">
        <w:rPr>
          <w:color w:val="000000" w:themeColor="text1"/>
        </w:rPr>
        <w:fldChar w:fldCharType="end"/>
      </w:r>
      <w:r w:rsidR="00B145FA" w:rsidRPr="0062673F">
        <w:rPr>
          <w:color w:val="000000" w:themeColor="text1"/>
        </w:rPr>
        <w:t>.</w:t>
      </w:r>
    </w:p>
    <w:p w14:paraId="572456B1" w14:textId="77777777" w:rsidR="00B145FA" w:rsidRPr="0062673F" w:rsidRDefault="00B145FA" w:rsidP="004A7C45">
      <w:pPr>
        <w:rPr>
          <w:color w:val="000000" w:themeColor="text1"/>
        </w:rPr>
      </w:pPr>
    </w:p>
    <w:p w14:paraId="771B4B8A" w14:textId="71E3B017" w:rsidR="00F331F4" w:rsidRPr="0062673F" w:rsidRDefault="00F331F4" w:rsidP="004A7C45">
      <w:pPr>
        <w:rPr>
          <w:b/>
          <w:color w:val="000000" w:themeColor="text1"/>
        </w:rPr>
      </w:pPr>
      <w:r w:rsidRPr="0062673F">
        <w:rPr>
          <w:b/>
          <w:color w:val="000000" w:themeColor="text1"/>
        </w:rPr>
        <w:t>Classification of adverts</w:t>
      </w:r>
    </w:p>
    <w:p w14:paraId="028175C4" w14:textId="0CFECC19" w:rsidR="004A7C45" w:rsidRPr="0062673F" w:rsidRDefault="004A7C45" w:rsidP="004A7C45">
      <w:pPr>
        <w:rPr>
          <w:color w:val="000000" w:themeColor="text1"/>
        </w:rPr>
      </w:pPr>
      <w:r w:rsidRPr="0062673F">
        <w:rPr>
          <w:color w:val="000000" w:themeColor="text1"/>
        </w:rPr>
        <w:t>We combined the advertising data with information on the nutrient content of products from Kantar Worldpanel for 2015. Foods</w:t>
      </w:r>
      <w:r w:rsidR="00DF15BD" w:rsidRPr="0062673F">
        <w:rPr>
          <w:color w:val="000000" w:themeColor="text1"/>
        </w:rPr>
        <w:t xml:space="preserve"> and non-alcoholic beverages</w:t>
      </w:r>
      <w:r w:rsidRPr="0062673F">
        <w:rPr>
          <w:color w:val="000000" w:themeColor="text1"/>
        </w:rPr>
        <w:t xml:space="preserve"> were classified as being HFSS on the basis of the </w:t>
      </w:r>
      <w:r w:rsidR="003D7160" w:rsidRPr="0062673F">
        <w:rPr>
          <w:color w:val="000000" w:themeColor="text1"/>
        </w:rPr>
        <w:t xml:space="preserve">UK </w:t>
      </w:r>
      <w:r w:rsidRPr="0062673F">
        <w:rPr>
          <w:color w:val="000000" w:themeColor="text1"/>
        </w:rPr>
        <w:t xml:space="preserve">nutrient profiling model, which </w:t>
      </w:r>
      <w:r w:rsidR="0034784B" w:rsidRPr="0062673F">
        <w:rPr>
          <w:color w:val="000000" w:themeColor="text1"/>
        </w:rPr>
        <w:t xml:space="preserve">assigns a score to a food or beverage product based </w:t>
      </w:r>
      <w:r w:rsidRPr="0062673F">
        <w:rPr>
          <w:color w:val="000000" w:themeColor="text1"/>
        </w:rPr>
        <w:t xml:space="preserve">on </w:t>
      </w:r>
      <w:r w:rsidR="0034784B" w:rsidRPr="0062673F">
        <w:rPr>
          <w:color w:val="000000" w:themeColor="text1"/>
        </w:rPr>
        <w:t>content per 100 g of: energy, saturated fat, sugar, sodium,</w:t>
      </w:r>
      <w:r w:rsidRPr="0062673F">
        <w:rPr>
          <w:color w:val="000000" w:themeColor="text1"/>
        </w:rPr>
        <w:t xml:space="preserve"> fruit vegetable and </w:t>
      </w:r>
      <w:r w:rsidR="0034784B" w:rsidRPr="0062673F">
        <w:rPr>
          <w:color w:val="000000" w:themeColor="text1"/>
        </w:rPr>
        <w:t>nuts, fibre, and protein</w:t>
      </w:r>
      <w:r w:rsidR="006F06C1">
        <w:rPr>
          <w:color w:val="000000" w:themeColor="text1"/>
        </w:rPr>
        <w:t xml:space="preserve"> </w:t>
      </w:r>
      <w:r w:rsidR="00D87EEB" w:rsidRPr="0062673F">
        <w:rPr>
          <w:color w:val="000000" w:themeColor="text1"/>
        </w:rPr>
        <w:fldChar w:fldCharType="begin" w:fldLock="1"/>
      </w:r>
      <w:r w:rsidR="00467360" w:rsidRPr="0062673F">
        <w:rPr>
          <w:color w:val="000000" w:themeColor="text1"/>
        </w:rPr>
        <w:instrText>ADDIN CSL_CITATION {"citationItems":[{"id":"ITEM-1","itemData":{"author":[{"dropping-particle":"","family":"Food Standards Agency","given":"","non-dropping-particle":"","parse-names":false,"suffix":""}],"id":"ITEM-1","issued":{"date-parts":[["2009"]]},"title":"Nutrient Profiling Technical Guidance April 2009","type":"report"},"uris":["http://www.mendeley.com/documents/?uuid=c860e5b4-c531-4561-a05a-9f62116997a4"]}],"mendeley":{"formattedCitation":"[36]","plainTextFormattedCitation":"[36]","previouslyFormattedCitation":"[35]"},"properties":{"noteIndex":0},"schema":"https://github.com/citation-style-language/schema/raw/master/csl-citation.json"}</w:instrText>
      </w:r>
      <w:r w:rsidR="00D87EEB" w:rsidRPr="0062673F">
        <w:rPr>
          <w:color w:val="000000" w:themeColor="text1"/>
        </w:rPr>
        <w:fldChar w:fldCharType="separate"/>
      </w:r>
      <w:r w:rsidR="00467360" w:rsidRPr="0062673F">
        <w:rPr>
          <w:noProof/>
          <w:color w:val="000000" w:themeColor="text1"/>
        </w:rPr>
        <w:t>[36]</w:t>
      </w:r>
      <w:r w:rsidR="00D87EEB" w:rsidRPr="0062673F">
        <w:rPr>
          <w:color w:val="000000" w:themeColor="text1"/>
        </w:rPr>
        <w:fldChar w:fldCharType="end"/>
      </w:r>
      <w:r w:rsidR="0066542D" w:rsidRPr="0062673F">
        <w:rPr>
          <w:color w:val="000000" w:themeColor="text1"/>
        </w:rPr>
        <w:t>.</w:t>
      </w:r>
      <w:r w:rsidR="001D340C" w:rsidRPr="0062673F">
        <w:rPr>
          <w:color w:val="000000" w:themeColor="text1"/>
        </w:rPr>
        <w:t xml:space="preserve"> Based on the algorithm</w:t>
      </w:r>
      <w:r w:rsidR="006F06C1">
        <w:rPr>
          <w:color w:val="000000" w:themeColor="text1"/>
        </w:rPr>
        <w:t xml:space="preserve"> </w:t>
      </w:r>
      <w:r w:rsidR="001D340C" w:rsidRPr="0062673F">
        <w:rPr>
          <w:color w:val="000000" w:themeColor="text1"/>
        </w:rPr>
        <w:fldChar w:fldCharType="begin" w:fldLock="1"/>
      </w:r>
      <w:r w:rsidR="00467360" w:rsidRPr="0062673F">
        <w:rPr>
          <w:color w:val="000000" w:themeColor="text1"/>
        </w:rPr>
        <w:instrText>ADDIN CSL_CITATION {"citationItems":[{"id":"ITEM-1","itemData":{"URL":"http://www.food.gov.uk/sites/default/files/multimedia/pdfs/techguidenutprofiling.pdf","accessed":{"date-parts":[["2016","4","11"]]},"author":[{"dropping-particle":"","family":"Food Standards Agency","given":"","non-dropping-particle":"","parse-names":false,"suffix":""}],"id":"ITEM-1","issued":{"date-parts":[["2009"]]},"title":"Nutrient Profiling Technical Guidance","type":"webpage"},"uris":["http://www.mendeley.com/documents/?uuid=4e820876-6600-46db-be3e-b4459dc125c1"]}],"mendeley":{"formattedCitation":"[10]","plainTextFormattedCitation":"[10]","previouslyFormattedCitation":"[10]"},"properties":{"noteIndex":0},"schema":"https://github.com/citation-style-language/schema/raw/master/csl-citation.json"}</w:instrText>
      </w:r>
      <w:r w:rsidR="001D340C" w:rsidRPr="0062673F">
        <w:rPr>
          <w:color w:val="000000" w:themeColor="text1"/>
        </w:rPr>
        <w:fldChar w:fldCharType="separate"/>
      </w:r>
      <w:r w:rsidR="0066542D" w:rsidRPr="0062673F">
        <w:rPr>
          <w:noProof/>
          <w:color w:val="000000" w:themeColor="text1"/>
        </w:rPr>
        <w:t>[10]</w:t>
      </w:r>
      <w:r w:rsidR="001D340C" w:rsidRPr="0062673F">
        <w:rPr>
          <w:color w:val="000000" w:themeColor="text1"/>
        </w:rPr>
        <w:fldChar w:fldCharType="end"/>
      </w:r>
      <w:r w:rsidR="006F06C1">
        <w:rPr>
          <w:color w:val="000000" w:themeColor="text1"/>
        </w:rPr>
        <w:t>,</w:t>
      </w:r>
      <w:r w:rsidR="001D340C" w:rsidRPr="0062673F">
        <w:rPr>
          <w:color w:val="000000" w:themeColor="text1"/>
        </w:rPr>
        <w:t xml:space="preserve"> each food or beverage was given</w:t>
      </w:r>
      <w:r w:rsidRPr="0062673F">
        <w:rPr>
          <w:color w:val="000000" w:themeColor="text1"/>
        </w:rPr>
        <w:t xml:space="preserve"> a single ‘nutrient</w:t>
      </w:r>
      <w:r w:rsidR="001D340C" w:rsidRPr="0062673F">
        <w:rPr>
          <w:color w:val="000000" w:themeColor="text1"/>
        </w:rPr>
        <w:t xml:space="preserve"> profile score’; foods and beverages</w:t>
      </w:r>
      <w:r w:rsidRPr="0062673F">
        <w:rPr>
          <w:color w:val="000000" w:themeColor="text1"/>
        </w:rPr>
        <w:t xml:space="preserve"> that ha</w:t>
      </w:r>
      <w:r w:rsidR="001D340C" w:rsidRPr="0062673F">
        <w:rPr>
          <w:color w:val="000000" w:themeColor="text1"/>
        </w:rPr>
        <w:t>d a score above a threshold were classified as HFSS foods or beverages and were assumed to be subjected to restrictions</w:t>
      </w:r>
      <w:r w:rsidRPr="0062673F">
        <w:rPr>
          <w:color w:val="000000" w:themeColor="text1"/>
        </w:rPr>
        <w:t>. We refer to products that are above the threshold as HFSS, and those that are below the threshold as non-HFSS.</w:t>
      </w:r>
    </w:p>
    <w:p w14:paraId="4CC8C0A3" w14:textId="25E88006" w:rsidR="001D340C" w:rsidRPr="0062673F" w:rsidRDefault="001D340C" w:rsidP="00A907CC">
      <w:pPr>
        <w:rPr>
          <w:rFonts w:cstheme="minorHAnsi"/>
          <w:color w:val="000000" w:themeColor="text1"/>
        </w:rPr>
      </w:pPr>
      <w:r w:rsidRPr="0062673F">
        <w:rPr>
          <w:color w:val="000000" w:themeColor="text1"/>
        </w:rPr>
        <w:t>Some</w:t>
      </w:r>
      <w:r w:rsidR="00A907CC" w:rsidRPr="0062673F">
        <w:rPr>
          <w:color w:val="000000" w:themeColor="text1"/>
        </w:rPr>
        <w:t xml:space="preserve"> advert</w:t>
      </w:r>
      <w:r w:rsidRPr="0062673F">
        <w:rPr>
          <w:color w:val="000000" w:themeColor="text1"/>
        </w:rPr>
        <w:t>s</w:t>
      </w:r>
      <w:r w:rsidR="00A907CC" w:rsidRPr="0062673F">
        <w:rPr>
          <w:color w:val="000000" w:themeColor="text1"/>
        </w:rPr>
        <w:t xml:space="preserve"> </w:t>
      </w:r>
      <w:r w:rsidRPr="0062673F">
        <w:rPr>
          <w:color w:val="000000" w:themeColor="text1"/>
        </w:rPr>
        <w:t>were</w:t>
      </w:r>
      <w:r w:rsidR="00A907CC" w:rsidRPr="0062673F">
        <w:rPr>
          <w:color w:val="000000" w:themeColor="text1"/>
        </w:rPr>
        <w:t xml:space="preserve"> for a brand or product range that contains numerous individual products</w:t>
      </w:r>
      <w:r w:rsidRPr="0062673F">
        <w:rPr>
          <w:color w:val="000000" w:themeColor="text1"/>
        </w:rPr>
        <w:t>, rather than a single product</w:t>
      </w:r>
      <w:r w:rsidR="00A907CC" w:rsidRPr="0062673F">
        <w:rPr>
          <w:color w:val="000000" w:themeColor="text1"/>
        </w:rPr>
        <w:t xml:space="preserve">. </w:t>
      </w:r>
      <w:r w:rsidRPr="0062673F">
        <w:rPr>
          <w:color w:val="000000" w:themeColor="text1"/>
        </w:rPr>
        <w:t>For these adverts, w</w:t>
      </w:r>
      <w:r w:rsidR="00A907CC" w:rsidRPr="0062673F">
        <w:rPr>
          <w:color w:val="000000" w:themeColor="text1"/>
        </w:rPr>
        <w:t>e matched each advert to the set of products that it directly promoted. When all of those products were HFSS we classified the advert as an HFSS advert (and thus subject to restrictions); when all of the products were non-HFSS we classified the advert as a non-HFSS advert (and thus not subject to r</w:t>
      </w:r>
      <w:r w:rsidRPr="0062673F">
        <w:rPr>
          <w:color w:val="000000" w:themeColor="text1"/>
        </w:rPr>
        <w:t>estrictions). A proportion of food and beverage adverts</w:t>
      </w:r>
      <w:r w:rsidR="00A907CC" w:rsidRPr="0062673F">
        <w:rPr>
          <w:color w:val="000000" w:themeColor="text1"/>
        </w:rPr>
        <w:t xml:space="preserve"> (13%</w:t>
      </w:r>
      <w:r w:rsidRPr="0062673F">
        <w:rPr>
          <w:color w:val="000000" w:themeColor="text1"/>
        </w:rPr>
        <w:t xml:space="preserve"> of impacts</w:t>
      </w:r>
      <w:r w:rsidR="00A907CC" w:rsidRPr="0062673F">
        <w:rPr>
          <w:color w:val="000000" w:themeColor="text1"/>
        </w:rPr>
        <w:t xml:space="preserve">) were for brands or product sets that included both HFSS and non-HFSS products. </w:t>
      </w:r>
      <w:r w:rsidRPr="0062673F">
        <w:rPr>
          <w:color w:val="000000" w:themeColor="text1"/>
        </w:rPr>
        <w:t>For these,</w:t>
      </w:r>
      <w:r w:rsidR="00A907CC" w:rsidRPr="0062673F">
        <w:rPr>
          <w:color w:val="000000" w:themeColor="text1"/>
        </w:rPr>
        <w:t xml:space="preserve"> we </w:t>
      </w:r>
      <w:r w:rsidR="00A907CC" w:rsidRPr="0062673F">
        <w:rPr>
          <w:rFonts w:cstheme="minorHAnsi"/>
          <w:color w:val="000000" w:themeColor="text1"/>
        </w:rPr>
        <w:t>apportioned</w:t>
      </w:r>
      <w:r w:rsidR="00DF15BD" w:rsidRPr="0062673F">
        <w:rPr>
          <w:rFonts w:cstheme="minorHAnsi"/>
          <w:color w:val="000000" w:themeColor="text1"/>
        </w:rPr>
        <w:t xml:space="preserve"> child</w:t>
      </w:r>
      <w:r w:rsidR="00A907CC" w:rsidRPr="0062673F">
        <w:rPr>
          <w:rFonts w:cstheme="minorHAnsi"/>
          <w:color w:val="000000" w:themeColor="text1"/>
        </w:rPr>
        <w:t xml:space="preserve"> impacts to the HFSS/non-HFSS category in proportion to the market share of products that were HFSS/non-HFSS within the relevant product set. We assumed that adverts for restaurant</w:t>
      </w:r>
      <w:r w:rsidRPr="0062673F">
        <w:rPr>
          <w:rFonts w:cstheme="minorHAnsi"/>
          <w:color w:val="000000" w:themeColor="text1"/>
        </w:rPr>
        <w:t xml:space="preserve"> and bars</w:t>
      </w:r>
      <w:r w:rsidR="005262BA" w:rsidRPr="0062673F">
        <w:rPr>
          <w:rFonts w:cstheme="minorHAnsi"/>
          <w:color w:val="000000" w:themeColor="text1"/>
        </w:rPr>
        <w:t xml:space="preserve"> (the majority of which were for takeaway outlets)</w:t>
      </w:r>
      <w:r w:rsidRPr="0062673F">
        <w:rPr>
          <w:rFonts w:cstheme="minorHAnsi"/>
          <w:color w:val="000000" w:themeColor="text1"/>
        </w:rPr>
        <w:t xml:space="preserve"> </w:t>
      </w:r>
      <w:r w:rsidR="00A907CC" w:rsidRPr="0062673F">
        <w:rPr>
          <w:rFonts w:cstheme="minorHAnsi"/>
          <w:color w:val="000000" w:themeColor="text1"/>
        </w:rPr>
        <w:t>include</w:t>
      </w:r>
      <w:r w:rsidR="005262BA" w:rsidRPr="0062673F">
        <w:rPr>
          <w:rFonts w:cstheme="minorHAnsi"/>
          <w:color w:val="000000" w:themeColor="text1"/>
        </w:rPr>
        <w:t xml:space="preserve">d HFSS foods. </w:t>
      </w:r>
      <w:r w:rsidRPr="0062673F">
        <w:rPr>
          <w:rFonts w:cstheme="minorHAnsi"/>
          <w:color w:val="000000" w:themeColor="text1"/>
        </w:rPr>
        <w:t>W</w:t>
      </w:r>
      <w:r w:rsidR="00A907CC" w:rsidRPr="0062673F">
        <w:rPr>
          <w:rFonts w:cstheme="minorHAnsi"/>
          <w:color w:val="000000" w:themeColor="text1"/>
        </w:rPr>
        <w:t xml:space="preserve">e assumed that adverts for supermarkets would not include HFSS foods, and thus would not be subject to the restrictions. Only a minority (17.8%) of supermarket adverts on television were for ‘non-core’ foods (i.e. </w:t>
      </w:r>
      <w:r w:rsidR="00C40AB7" w:rsidRPr="0062673F">
        <w:rPr>
          <w:rFonts w:cstheme="minorHAnsi"/>
          <w:color w:val="000000" w:themeColor="text1"/>
        </w:rPr>
        <w:t>less-healthy</w:t>
      </w:r>
      <w:r w:rsidR="00A907CC" w:rsidRPr="0062673F">
        <w:rPr>
          <w:rFonts w:cstheme="minorHAnsi"/>
          <w:color w:val="000000" w:themeColor="text1"/>
        </w:rPr>
        <w:t xml:space="preserve"> foods)</w:t>
      </w:r>
      <w:r w:rsidR="006F06C1">
        <w:rPr>
          <w:rFonts w:cstheme="minorHAnsi"/>
          <w:color w:val="000000" w:themeColor="text1"/>
        </w:rPr>
        <w:t xml:space="preserve"> </w:t>
      </w:r>
      <w:r w:rsidR="00336BDC" w:rsidRPr="0062673F">
        <w:rPr>
          <w:rFonts w:cstheme="minorHAnsi"/>
          <w:color w:val="000000" w:themeColor="text1"/>
        </w:rPr>
        <w:fldChar w:fldCharType="begin" w:fldLock="1"/>
      </w:r>
      <w:r w:rsidR="00467360" w:rsidRPr="0062673F">
        <w:rPr>
          <w:rFonts w:cstheme="minorHAnsi"/>
          <w:color w:val="000000" w:themeColor="text1"/>
        </w:rPr>
        <w:instrText>ADDIN CSL_CITATION {"citationItems":[{"id":"ITEM-1","itemData":{"DOI":"10.3109/17477166.2011.608801","ISSN":"1747-7166","PMID":"21846176","abstract":"OBJECTIVE To provide the most comprehensive analysis to date of the extent of food advertising on UK television channels popular with young people following regulatory reform of this type of marketing activity. METHODS UK television was recorded 06:00-22:00 h for a weekday and a weekend day every month between January and December 2008 for 14 of the most popular commercial channels broadcasting children's/family viewing. Recordings were screened for advertisements, which were coded according to predefined categories including whether they were broadcast in peak/non-peak children's viewing time. Food advertisements were coded as core (healthy)/non-core (unhealthy)/miscellaneous foods. RESULTS Food and drinks were the third most heavily advertised product category, and there were a significantly greater proportion of advertisements for food/drinks during peak compared to non-peak children's viewing times. A significantly greater proportion of the advertisements broadcast around soap operas than around children's programmes were for food/drinks. Children's channels broadcast a significantly greater proportion of non-core food advertisements than the family channels. There were significant differences between recording months for the proportion of core/non-core/miscellaneous food advertisements. CONCLUSIONS Despite regulation, children in the UK are exposed to more TV advertising for unhealthy than healthy food items, even at peak children's viewing times. There remains scope to strengthen the rules regarding advertising of HFSS foods around programming popular with children and adults alike, where current regulations do not apply. Ongoing, systematic monitoring is essential for evaluation of the effectiveness of regulations designed to reduce children's exposure to HFSS food advertising on television in the UK.","author":[{"dropping-particle":"","family":"Boyland","given":"Emma J.","non-dropping-particle":"","parse-names":false,"suffix":""},{"dropping-particle":"","family":"Harrold","given":"Joanne A.","non-dropping-particle":"","parse-names":false,"suffix":""},{"dropping-particle":"","family":"Kirkham","given":"Tim C.","non-dropping-particle":"","parse-names":false,"suffix":""},{"dropping-particle":"","family":"Halford","given":"Jason C. G.","non-dropping-particle":"","parse-names":false,"suffix":""}],"container-title":"International Journal of Pediatric Obesity","id":"ITEM-1","issue":"5-6","issued":{"date-parts":[["2011","10"]]},"page":"455-461","title":"The extent of food advertising to children on UK television in 2008","type":"article-journal","volume":"6"},"uris":["http://www.mendeley.com/documents/?uuid=faa093b6-e67c-352e-b870-cff84e77c8d3"]}],"mendeley":{"formattedCitation":"[37]","plainTextFormattedCitation":"[37]","previouslyFormattedCitation":"[36]"},"properties":{"noteIndex":0},"schema":"https://github.com/citation-style-language/schema/raw/master/csl-citation.json"}</w:instrText>
      </w:r>
      <w:r w:rsidR="00336BDC" w:rsidRPr="0062673F">
        <w:rPr>
          <w:rFonts w:cstheme="minorHAnsi"/>
          <w:color w:val="000000" w:themeColor="text1"/>
        </w:rPr>
        <w:fldChar w:fldCharType="separate"/>
      </w:r>
      <w:r w:rsidR="00467360" w:rsidRPr="0062673F">
        <w:rPr>
          <w:rFonts w:cstheme="minorHAnsi"/>
          <w:noProof/>
          <w:color w:val="000000" w:themeColor="text1"/>
        </w:rPr>
        <w:t>[37]</w:t>
      </w:r>
      <w:r w:rsidR="00336BDC" w:rsidRPr="0062673F">
        <w:rPr>
          <w:rFonts w:cstheme="minorHAnsi"/>
          <w:color w:val="000000" w:themeColor="text1"/>
        </w:rPr>
        <w:fldChar w:fldCharType="end"/>
      </w:r>
      <w:r w:rsidR="006F06C1">
        <w:rPr>
          <w:rFonts w:cstheme="minorHAnsi"/>
          <w:color w:val="000000" w:themeColor="text1"/>
        </w:rPr>
        <w:t>,</w:t>
      </w:r>
      <w:r w:rsidR="00336BDC" w:rsidRPr="0062673F">
        <w:rPr>
          <w:rFonts w:cstheme="minorHAnsi"/>
          <w:color w:val="000000" w:themeColor="text1"/>
        </w:rPr>
        <w:t xml:space="preserve"> </w:t>
      </w:r>
      <w:r w:rsidR="00A907CC" w:rsidRPr="0062673F">
        <w:rPr>
          <w:rFonts w:cstheme="minorHAnsi"/>
          <w:color w:val="000000" w:themeColor="text1"/>
        </w:rPr>
        <w:t>and</w:t>
      </w:r>
      <w:r w:rsidRPr="0062673F">
        <w:rPr>
          <w:rFonts w:cstheme="minorHAnsi"/>
          <w:color w:val="000000" w:themeColor="text1"/>
        </w:rPr>
        <w:t xml:space="preserve"> we assumed that</w:t>
      </w:r>
      <w:r w:rsidR="00A907CC" w:rsidRPr="0062673F">
        <w:rPr>
          <w:rFonts w:cstheme="minorHAnsi"/>
          <w:color w:val="000000" w:themeColor="text1"/>
        </w:rPr>
        <w:t xml:space="preserve"> su</w:t>
      </w:r>
      <w:r w:rsidR="004A4671" w:rsidRPr="0062673F">
        <w:rPr>
          <w:rFonts w:cstheme="minorHAnsi"/>
          <w:color w:val="000000" w:themeColor="text1"/>
        </w:rPr>
        <w:t xml:space="preserve">permarkets advertising containing HFSS products would be modified to remove these </w:t>
      </w:r>
      <w:r w:rsidR="00A907CC" w:rsidRPr="0062673F">
        <w:rPr>
          <w:rFonts w:cstheme="minorHAnsi"/>
          <w:color w:val="000000" w:themeColor="text1"/>
        </w:rPr>
        <w:t>products</w:t>
      </w:r>
      <w:r w:rsidR="00336BDC" w:rsidRPr="0062673F">
        <w:rPr>
          <w:rFonts w:cstheme="minorHAnsi"/>
          <w:color w:val="000000" w:themeColor="text1"/>
        </w:rPr>
        <w:t xml:space="preserve">. </w:t>
      </w:r>
    </w:p>
    <w:p w14:paraId="7D41E045" w14:textId="660696F9" w:rsidR="00A907CC" w:rsidRPr="0062673F" w:rsidRDefault="00DF15BD" w:rsidP="00A907CC">
      <w:pPr>
        <w:rPr>
          <w:rFonts w:cstheme="minorHAnsi"/>
          <w:color w:val="000000" w:themeColor="text1"/>
        </w:rPr>
      </w:pPr>
      <w:r w:rsidRPr="0062673F">
        <w:rPr>
          <w:rFonts w:cstheme="minorHAnsi"/>
          <w:color w:val="000000" w:themeColor="text1"/>
        </w:rPr>
        <w:t>The number of child advertising impacts f</w:t>
      </w:r>
      <w:r w:rsidR="00791E5A" w:rsidRPr="0062673F">
        <w:rPr>
          <w:rFonts w:cstheme="minorHAnsi"/>
          <w:color w:val="000000" w:themeColor="text1"/>
        </w:rPr>
        <w:t>o</w:t>
      </w:r>
      <w:r w:rsidRPr="0062673F">
        <w:rPr>
          <w:rFonts w:cstheme="minorHAnsi"/>
          <w:color w:val="000000" w:themeColor="text1"/>
        </w:rPr>
        <w:t>r HFSS products</w:t>
      </w:r>
      <w:r w:rsidR="00791E5A" w:rsidRPr="0062673F">
        <w:rPr>
          <w:rFonts w:cstheme="minorHAnsi"/>
          <w:color w:val="000000" w:themeColor="text1"/>
        </w:rPr>
        <w:t xml:space="preserve"> by time of day is show</w:t>
      </w:r>
      <w:r w:rsidR="004A4671" w:rsidRPr="0062673F">
        <w:rPr>
          <w:rFonts w:cstheme="minorHAnsi"/>
          <w:color w:val="000000" w:themeColor="text1"/>
        </w:rPr>
        <w:t>n</w:t>
      </w:r>
      <w:r w:rsidR="00791E5A" w:rsidRPr="0062673F">
        <w:rPr>
          <w:rFonts w:cstheme="minorHAnsi"/>
          <w:color w:val="000000" w:themeColor="text1"/>
        </w:rPr>
        <w:t xml:space="preserve"> in Figure 2.</w:t>
      </w:r>
    </w:p>
    <w:p w14:paraId="41A5E884" w14:textId="77777777" w:rsidR="00305F76" w:rsidRPr="0062673F" w:rsidRDefault="00305F76" w:rsidP="00305F76">
      <w:pPr>
        <w:rPr>
          <w:b/>
          <w:color w:val="000000" w:themeColor="text1"/>
        </w:rPr>
      </w:pPr>
      <w:r w:rsidRPr="0062673F">
        <w:rPr>
          <w:b/>
          <w:color w:val="000000" w:themeColor="text1"/>
        </w:rPr>
        <w:t xml:space="preserve">Figure 2. Children’s exposure to HFSS television advertising in the UK by time of day in 2015 </w:t>
      </w:r>
    </w:p>
    <w:p w14:paraId="20EB2162" w14:textId="0137663F" w:rsidR="00305F76" w:rsidRPr="0062673F" w:rsidRDefault="00305F76" w:rsidP="00A907CC">
      <w:pPr>
        <w:rPr>
          <w:rFonts w:cstheme="minorHAnsi"/>
          <w:color w:val="000000" w:themeColor="text1"/>
        </w:rPr>
      </w:pPr>
      <w:r w:rsidRPr="0062673F">
        <w:rPr>
          <w:rFonts w:cstheme="minorHAnsi"/>
          <w:noProof/>
          <w:color w:val="000000" w:themeColor="text1"/>
        </w:rPr>
        <w:drawing>
          <wp:inline distT="0" distB="0" distL="0" distR="0" wp14:anchorId="455A2A7F" wp14:editId="6B77CB26">
            <wp:extent cx="5731510" cy="41649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164965"/>
                    </a:xfrm>
                    <a:prstGeom prst="rect">
                      <a:avLst/>
                    </a:prstGeom>
                  </pic:spPr>
                </pic:pic>
              </a:graphicData>
            </a:graphic>
          </wp:inline>
        </w:drawing>
      </w:r>
    </w:p>
    <w:p w14:paraId="0EF5ED75" w14:textId="77777777" w:rsidR="006745E8" w:rsidRPr="0062673F" w:rsidRDefault="006745E8" w:rsidP="004A7C45">
      <w:pPr>
        <w:rPr>
          <w:b/>
          <w:color w:val="000000" w:themeColor="text1"/>
        </w:rPr>
      </w:pPr>
    </w:p>
    <w:p w14:paraId="1E19E577" w14:textId="77777777" w:rsidR="006745E8" w:rsidRPr="0062673F" w:rsidRDefault="006745E8" w:rsidP="006745E8">
      <w:pPr>
        <w:rPr>
          <w:color w:val="000000" w:themeColor="text1"/>
          <w:sz w:val="16"/>
          <w:szCs w:val="16"/>
        </w:rPr>
      </w:pPr>
      <w:r w:rsidRPr="0062673F">
        <w:rPr>
          <w:color w:val="000000" w:themeColor="text1"/>
          <w:sz w:val="16"/>
          <w:szCs w:val="16"/>
        </w:rPr>
        <w:t>Children defined as ages 4-15 years; an impact is one person-viewing of an advert, therefore two impacts could refer to two different people viewing an advert once, or one person viewing an advert twice; HFSS = high fat salt sugar foods, defined by the FSA-Ofcom model (2007).</w:t>
      </w:r>
    </w:p>
    <w:p w14:paraId="5520B566" w14:textId="77777777" w:rsidR="006745E8" w:rsidRPr="0062673F" w:rsidRDefault="006745E8" w:rsidP="004A7C45">
      <w:pPr>
        <w:rPr>
          <w:b/>
          <w:color w:val="000000" w:themeColor="text1"/>
        </w:rPr>
      </w:pPr>
    </w:p>
    <w:p w14:paraId="5B37A8E6" w14:textId="77777777" w:rsidR="006745E8" w:rsidRPr="0062673F" w:rsidRDefault="006745E8">
      <w:pPr>
        <w:rPr>
          <w:b/>
          <w:color w:val="000000" w:themeColor="text1"/>
        </w:rPr>
      </w:pPr>
      <w:r w:rsidRPr="0062673F">
        <w:rPr>
          <w:b/>
          <w:color w:val="000000" w:themeColor="text1"/>
        </w:rPr>
        <w:br w:type="page"/>
      </w:r>
    </w:p>
    <w:p w14:paraId="0C63BFEF" w14:textId="4644DF4F" w:rsidR="004A7C45" w:rsidRPr="0062673F" w:rsidRDefault="004A7C45" w:rsidP="004A7C45">
      <w:pPr>
        <w:rPr>
          <w:b/>
          <w:color w:val="000000" w:themeColor="text1"/>
        </w:rPr>
      </w:pPr>
      <w:r w:rsidRPr="0062673F">
        <w:rPr>
          <w:b/>
          <w:color w:val="000000" w:themeColor="text1"/>
        </w:rPr>
        <w:t>Scenarios</w:t>
      </w:r>
    </w:p>
    <w:p w14:paraId="0F4888FA" w14:textId="3BE8B5A1" w:rsidR="004A3A20" w:rsidRPr="0062673F" w:rsidRDefault="005F4D0F" w:rsidP="004A3A20">
      <w:pPr>
        <w:rPr>
          <w:color w:val="000000" w:themeColor="text1"/>
        </w:rPr>
      </w:pPr>
      <w:r w:rsidRPr="0062673F">
        <w:rPr>
          <w:color w:val="000000" w:themeColor="text1"/>
        </w:rPr>
        <w:t>We considered</w:t>
      </w:r>
      <w:r w:rsidR="001E4FAE" w:rsidRPr="0062673F">
        <w:rPr>
          <w:color w:val="000000" w:themeColor="text1"/>
        </w:rPr>
        <w:t xml:space="preserve"> two scenarios</w:t>
      </w:r>
      <w:r w:rsidR="004A3A20" w:rsidRPr="0062673F">
        <w:rPr>
          <w:color w:val="000000" w:themeColor="text1"/>
        </w:rPr>
        <w:t xml:space="preserve"> for </w:t>
      </w:r>
      <w:r w:rsidR="007A1F16" w:rsidRPr="0062673F">
        <w:rPr>
          <w:color w:val="000000" w:themeColor="text1"/>
        </w:rPr>
        <w:t>how HFSS television advertising changed in response to the restrictions</w:t>
      </w:r>
      <w:r w:rsidR="004A7C45" w:rsidRPr="0062673F">
        <w:rPr>
          <w:color w:val="000000" w:themeColor="text1"/>
        </w:rPr>
        <w:t>:</w:t>
      </w:r>
      <w:r w:rsidR="004A3A20" w:rsidRPr="0062673F">
        <w:rPr>
          <w:color w:val="000000" w:themeColor="text1"/>
        </w:rPr>
        <w:t xml:space="preserve"> </w:t>
      </w:r>
    </w:p>
    <w:p w14:paraId="41A34244" w14:textId="6100CF5C" w:rsidR="004A3A20" w:rsidRPr="0062673F" w:rsidRDefault="00436D21" w:rsidP="00632038">
      <w:pPr>
        <w:rPr>
          <w:color w:val="000000" w:themeColor="text1"/>
        </w:rPr>
      </w:pPr>
      <w:r w:rsidRPr="0062673F">
        <w:rPr>
          <w:color w:val="000000" w:themeColor="text1"/>
        </w:rPr>
        <w:t>A) Al</w:t>
      </w:r>
      <w:r w:rsidR="004A7C45" w:rsidRPr="0062673F">
        <w:rPr>
          <w:color w:val="000000" w:themeColor="text1"/>
        </w:rPr>
        <w:t xml:space="preserve">l existing HFSS </w:t>
      </w:r>
      <w:r w:rsidR="007A1F16" w:rsidRPr="0062673F">
        <w:rPr>
          <w:color w:val="000000" w:themeColor="text1"/>
        </w:rPr>
        <w:t xml:space="preserve">adverts between </w:t>
      </w:r>
      <w:r w:rsidR="008F406E">
        <w:rPr>
          <w:color w:val="000000" w:themeColor="text1"/>
        </w:rPr>
        <w:t>05.30 hours</w:t>
      </w:r>
      <w:r w:rsidR="004A3A20" w:rsidRPr="0062673F">
        <w:rPr>
          <w:color w:val="000000" w:themeColor="text1"/>
        </w:rPr>
        <w:t xml:space="preserve"> and</w:t>
      </w:r>
      <w:r w:rsidR="007A1F16" w:rsidRPr="0062673F">
        <w:rPr>
          <w:color w:val="000000" w:themeColor="text1"/>
        </w:rPr>
        <w:t xml:space="preserve"> </w:t>
      </w:r>
      <w:r w:rsidR="008F406E">
        <w:rPr>
          <w:color w:val="000000" w:themeColor="text1"/>
        </w:rPr>
        <w:t>21.00 hours</w:t>
      </w:r>
      <w:r w:rsidR="00D21D51" w:rsidRPr="0062673F">
        <w:rPr>
          <w:color w:val="000000" w:themeColor="text1"/>
        </w:rPr>
        <w:t xml:space="preserve"> </w:t>
      </w:r>
      <w:r w:rsidR="00DA078D" w:rsidRPr="0062673F">
        <w:rPr>
          <w:color w:val="000000" w:themeColor="text1"/>
        </w:rPr>
        <w:t>are</w:t>
      </w:r>
      <w:r w:rsidR="00D21D51" w:rsidRPr="0062673F">
        <w:rPr>
          <w:color w:val="000000" w:themeColor="text1"/>
        </w:rPr>
        <w:t xml:space="preserve"> withdrawn</w:t>
      </w:r>
      <w:r w:rsidR="004A7C45" w:rsidRPr="0062673F">
        <w:rPr>
          <w:color w:val="000000" w:themeColor="text1"/>
        </w:rPr>
        <w:t>.</w:t>
      </w:r>
    </w:p>
    <w:p w14:paraId="6403F404" w14:textId="11F1661F" w:rsidR="005F4D0F" w:rsidRPr="0062673F" w:rsidRDefault="004A3A20" w:rsidP="00632038">
      <w:pPr>
        <w:rPr>
          <w:color w:val="000000" w:themeColor="text1"/>
        </w:rPr>
      </w:pPr>
      <w:r w:rsidRPr="0062673F">
        <w:rPr>
          <w:color w:val="000000" w:themeColor="text1"/>
        </w:rPr>
        <w:t xml:space="preserve">B): </w:t>
      </w:r>
      <w:r w:rsidR="00436D21" w:rsidRPr="0062673F">
        <w:rPr>
          <w:color w:val="000000" w:themeColor="text1"/>
        </w:rPr>
        <w:t>A</w:t>
      </w:r>
      <w:r w:rsidRPr="0062673F">
        <w:rPr>
          <w:color w:val="000000" w:themeColor="text1"/>
        </w:rPr>
        <w:t xml:space="preserve">ll </w:t>
      </w:r>
      <w:r w:rsidR="00436D21" w:rsidRPr="0062673F">
        <w:rPr>
          <w:color w:val="000000" w:themeColor="text1"/>
        </w:rPr>
        <w:t>e</w:t>
      </w:r>
      <w:r w:rsidRPr="0062673F">
        <w:rPr>
          <w:color w:val="000000" w:themeColor="text1"/>
        </w:rPr>
        <w:t xml:space="preserve">xisting HFSS </w:t>
      </w:r>
      <w:r w:rsidR="00D21D51" w:rsidRPr="0062673F">
        <w:rPr>
          <w:color w:val="000000" w:themeColor="text1"/>
        </w:rPr>
        <w:t xml:space="preserve">adverts previously shown </w:t>
      </w:r>
      <w:r w:rsidR="007A1F16" w:rsidRPr="0062673F">
        <w:rPr>
          <w:color w:val="000000" w:themeColor="text1"/>
        </w:rPr>
        <w:t xml:space="preserve">between </w:t>
      </w:r>
      <w:r w:rsidR="008F406E">
        <w:rPr>
          <w:color w:val="000000" w:themeColor="text1"/>
        </w:rPr>
        <w:t>05.30 hours</w:t>
      </w:r>
      <w:r w:rsidR="007A1F16" w:rsidRPr="0062673F">
        <w:rPr>
          <w:color w:val="000000" w:themeColor="text1"/>
        </w:rPr>
        <w:t xml:space="preserve"> and </w:t>
      </w:r>
      <w:r w:rsidR="008F406E">
        <w:rPr>
          <w:color w:val="000000" w:themeColor="text1"/>
        </w:rPr>
        <w:t>21.00 hours</w:t>
      </w:r>
      <w:r w:rsidRPr="0062673F">
        <w:rPr>
          <w:color w:val="000000" w:themeColor="text1"/>
        </w:rPr>
        <w:t xml:space="preserve"> </w:t>
      </w:r>
      <w:r w:rsidR="00D21D51" w:rsidRPr="0062673F">
        <w:rPr>
          <w:color w:val="000000" w:themeColor="text1"/>
        </w:rPr>
        <w:t>move</w:t>
      </w:r>
      <w:r w:rsidR="004A4671" w:rsidRPr="0062673F">
        <w:rPr>
          <w:color w:val="000000" w:themeColor="text1"/>
        </w:rPr>
        <w:t>d</w:t>
      </w:r>
      <w:r w:rsidR="00D21D51" w:rsidRPr="0062673F">
        <w:rPr>
          <w:color w:val="000000" w:themeColor="text1"/>
        </w:rPr>
        <w:t xml:space="preserve"> </w:t>
      </w:r>
      <w:r w:rsidRPr="0062673F">
        <w:rPr>
          <w:color w:val="000000" w:themeColor="text1"/>
        </w:rPr>
        <w:t xml:space="preserve">to </w:t>
      </w:r>
      <w:r w:rsidR="00D21D51" w:rsidRPr="0062673F">
        <w:rPr>
          <w:color w:val="000000" w:themeColor="text1"/>
        </w:rPr>
        <w:t>between</w:t>
      </w:r>
      <w:r w:rsidR="007A1F16" w:rsidRPr="0062673F">
        <w:rPr>
          <w:color w:val="000000" w:themeColor="text1"/>
        </w:rPr>
        <w:t xml:space="preserve"> </w:t>
      </w:r>
      <w:r w:rsidR="008F406E">
        <w:rPr>
          <w:color w:val="000000" w:themeColor="text1"/>
        </w:rPr>
        <w:t>21.00 hours</w:t>
      </w:r>
      <w:r w:rsidR="00D21D51" w:rsidRPr="0062673F">
        <w:rPr>
          <w:color w:val="000000" w:themeColor="text1"/>
        </w:rPr>
        <w:t xml:space="preserve"> and </w:t>
      </w:r>
      <w:r w:rsidR="008F406E">
        <w:rPr>
          <w:color w:val="000000" w:themeColor="text1"/>
        </w:rPr>
        <w:t>05.30 hours</w:t>
      </w:r>
      <w:r w:rsidRPr="0062673F">
        <w:rPr>
          <w:color w:val="000000" w:themeColor="text1"/>
        </w:rPr>
        <w:t>.</w:t>
      </w:r>
    </w:p>
    <w:p w14:paraId="27E7129D" w14:textId="62EE00B7" w:rsidR="0057686D" w:rsidRPr="0062673F" w:rsidRDefault="005F4D0F" w:rsidP="00B30239">
      <w:pPr>
        <w:autoSpaceDE w:val="0"/>
        <w:autoSpaceDN w:val="0"/>
        <w:adjustRightInd w:val="0"/>
        <w:spacing w:after="0" w:line="240" w:lineRule="auto"/>
        <w:rPr>
          <w:rFonts w:cstheme="minorHAnsi"/>
          <w:color w:val="000000" w:themeColor="text1"/>
        </w:rPr>
      </w:pPr>
      <w:r w:rsidRPr="0062673F">
        <w:rPr>
          <w:color w:val="000000" w:themeColor="text1"/>
        </w:rPr>
        <w:t xml:space="preserve">To </w:t>
      </w:r>
      <w:r w:rsidRPr="0062673F">
        <w:rPr>
          <w:rFonts w:cstheme="minorHAnsi"/>
          <w:color w:val="000000" w:themeColor="text1"/>
        </w:rPr>
        <w:t>model the shift in advertising</w:t>
      </w:r>
      <w:r w:rsidR="00632038" w:rsidRPr="0062673F">
        <w:rPr>
          <w:rFonts w:cstheme="minorHAnsi"/>
          <w:color w:val="000000" w:themeColor="text1"/>
        </w:rPr>
        <w:t xml:space="preserve"> </w:t>
      </w:r>
      <w:r w:rsidR="00387D73" w:rsidRPr="0062673F">
        <w:rPr>
          <w:rFonts w:cstheme="minorHAnsi"/>
          <w:color w:val="000000" w:themeColor="text1"/>
        </w:rPr>
        <w:t xml:space="preserve">in scenario B, </w:t>
      </w:r>
      <w:r w:rsidR="00632038" w:rsidRPr="0062673F">
        <w:rPr>
          <w:rFonts w:cstheme="minorHAnsi"/>
          <w:color w:val="000000" w:themeColor="text1"/>
        </w:rPr>
        <w:t xml:space="preserve">we defined four time slots: </w:t>
      </w:r>
      <w:r w:rsidR="004A4671" w:rsidRPr="0062673F">
        <w:rPr>
          <w:rFonts w:cstheme="minorHAnsi"/>
          <w:color w:val="000000" w:themeColor="text1"/>
        </w:rPr>
        <w:t>(</w:t>
      </w:r>
      <w:r w:rsidR="00632038" w:rsidRPr="0062673F">
        <w:rPr>
          <w:rFonts w:cstheme="minorHAnsi"/>
          <w:color w:val="000000" w:themeColor="text1"/>
        </w:rPr>
        <w:t xml:space="preserve">i) </w:t>
      </w:r>
      <w:r w:rsidRPr="0062673F">
        <w:rPr>
          <w:rFonts w:cstheme="minorHAnsi"/>
          <w:color w:val="000000" w:themeColor="text1"/>
        </w:rPr>
        <w:t>non-</w:t>
      </w:r>
      <w:r w:rsidR="00E20CA2" w:rsidRPr="0062673F">
        <w:rPr>
          <w:rFonts w:cstheme="minorHAnsi"/>
          <w:color w:val="000000" w:themeColor="text1"/>
        </w:rPr>
        <w:t>prime</w:t>
      </w:r>
      <w:r w:rsidRPr="0062673F">
        <w:rPr>
          <w:rFonts w:cstheme="minorHAnsi"/>
          <w:color w:val="000000" w:themeColor="text1"/>
        </w:rPr>
        <w:t xml:space="preserve"> </w:t>
      </w:r>
      <w:r w:rsidR="00E20CA2" w:rsidRPr="0062673F">
        <w:rPr>
          <w:rFonts w:cstheme="minorHAnsi"/>
          <w:color w:val="000000" w:themeColor="text1"/>
        </w:rPr>
        <w:t>time</w:t>
      </w:r>
      <w:r w:rsidR="007A1F16" w:rsidRPr="0062673F">
        <w:rPr>
          <w:rFonts w:cstheme="minorHAnsi"/>
          <w:color w:val="000000" w:themeColor="text1"/>
        </w:rPr>
        <w:t xml:space="preserve"> before </w:t>
      </w:r>
      <w:r w:rsidR="008F406E">
        <w:rPr>
          <w:rFonts w:cstheme="minorHAnsi"/>
          <w:color w:val="000000" w:themeColor="text1"/>
        </w:rPr>
        <w:t>21.00 hours</w:t>
      </w:r>
      <w:r w:rsidR="007A1F16" w:rsidRPr="0062673F">
        <w:rPr>
          <w:rFonts w:cstheme="minorHAnsi"/>
          <w:color w:val="000000" w:themeColor="text1"/>
        </w:rPr>
        <w:t xml:space="preserve">: </w:t>
      </w:r>
      <w:r w:rsidR="008F406E">
        <w:rPr>
          <w:rFonts w:cstheme="minorHAnsi"/>
          <w:color w:val="000000" w:themeColor="text1"/>
        </w:rPr>
        <w:t>05.30 hours</w:t>
      </w:r>
      <w:r w:rsidR="007A1F16" w:rsidRPr="0062673F">
        <w:rPr>
          <w:rFonts w:cstheme="minorHAnsi"/>
          <w:color w:val="000000" w:themeColor="text1"/>
        </w:rPr>
        <w:t xml:space="preserve"> - 1700</w:t>
      </w:r>
      <w:r w:rsidR="00632038" w:rsidRPr="0062673F">
        <w:rPr>
          <w:rFonts w:cstheme="minorHAnsi"/>
          <w:color w:val="000000" w:themeColor="text1"/>
        </w:rPr>
        <w:t xml:space="preserve">; </w:t>
      </w:r>
      <w:r w:rsidR="004A4671" w:rsidRPr="0062673F">
        <w:rPr>
          <w:rFonts w:cstheme="minorHAnsi"/>
          <w:color w:val="000000" w:themeColor="text1"/>
        </w:rPr>
        <w:t>(</w:t>
      </w:r>
      <w:r w:rsidR="00632038" w:rsidRPr="0062673F">
        <w:rPr>
          <w:rFonts w:cstheme="minorHAnsi"/>
          <w:color w:val="000000" w:themeColor="text1"/>
        </w:rPr>
        <w:t>ii)</w:t>
      </w:r>
      <w:r w:rsidR="00E20CA2" w:rsidRPr="0062673F">
        <w:rPr>
          <w:rFonts w:cstheme="minorHAnsi"/>
          <w:color w:val="000000" w:themeColor="text1"/>
        </w:rPr>
        <w:t xml:space="preserve"> </w:t>
      </w:r>
      <w:r w:rsidR="00F26E40" w:rsidRPr="0062673F">
        <w:rPr>
          <w:rFonts w:cstheme="minorHAnsi"/>
          <w:color w:val="000000" w:themeColor="text1"/>
        </w:rPr>
        <w:t xml:space="preserve">non-prime time after </w:t>
      </w:r>
      <w:r w:rsidR="008F406E">
        <w:rPr>
          <w:rFonts w:cstheme="minorHAnsi"/>
          <w:color w:val="000000" w:themeColor="text1"/>
        </w:rPr>
        <w:t>21.00 hours</w:t>
      </w:r>
      <w:r w:rsidR="007A1F16" w:rsidRPr="0062673F">
        <w:rPr>
          <w:rFonts w:cstheme="minorHAnsi"/>
          <w:color w:val="000000" w:themeColor="text1"/>
        </w:rPr>
        <w:t>: 2300</w:t>
      </w:r>
      <w:r w:rsidR="00F26E40" w:rsidRPr="0062673F">
        <w:rPr>
          <w:rFonts w:cstheme="minorHAnsi"/>
          <w:color w:val="000000" w:themeColor="text1"/>
        </w:rPr>
        <w:t xml:space="preserve"> -</w:t>
      </w:r>
      <w:r w:rsidR="007A1F16" w:rsidRPr="0062673F">
        <w:rPr>
          <w:rFonts w:cstheme="minorHAnsi"/>
          <w:color w:val="000000" w:themeColor="text1"/>
        </w:rPr>
        <w:t xml:space="preserve"> </w:t>
      </w:r>
      <w:r w:rsidR="008F406E">
        <w:rPr>
          <w:rFonts w:cstheme="minorHAnsi"/>
          <w:color w:val="000000" w:themeColor="text1"/>
        </w:rPr>
        <w:t>05.30 hours</w:t>
      </w:r>
      <w:r w:rsidR="00F26E40" w:rsidRPr="0062673F">
        <w:rPr>
          <w:rFonts w:cstheme="minorHAnsi"/>
          <w:color w:val="000000" w:themeColor="text1"/>
        </w:rPr>
        <w:t xml:space="preserve">; </w:t>
      </w:r>
      <w:r w:rsidR="004A4671" w:rsidRPr="0062673F">
        <w:rPr>
          <w:rFonts w:cstheme="minorHAnsi"/>
          <w:color w:val="000000" w:themeColor="text1"/>
        </w:rPr>
        <w:t>(</w:t>
      </w:r>
      <w:r w:rsidR="00F26E40" w:rsidRPr="0062673F">
        <w:rPr>
          <w:rFonts w:cstheme="minorHAnsi"/>
          <w:color w:val="000000" w:themeColor="text1"/>
        </w:rPr>
        <w:t xml:space="preserve">iii) </w:t>
      </w:r>
      <w:r w:rsidR="00E20CA2" w:rsidRPr="0062673F">
        <w:rPr>
          <w:rFonts w:cstheme="minorHAnsi"/>
          <w:color w:val="000000" w:themeColor="text1"/>
        </w:rPr>
        <w:t>prime time</w:t>
      </w:r>
      <w:r w:rsidR="007A1F16" w:rsidRPr="0062673F">
        <w:rPr>
          <w:rFonts w:cstheme="minorHAnsi"/>
          <w:color w:val="000000" w:themeColor="text1"/>
        </w:rPr>
        <w:t xml:space="preserve"> before </w:t>
      </w:r>
      <w:r w:rsidR="008F406E">
        <w:rPr>
          <w:rFonts w:cstheme="minorHAnsi"/>
          <w:color w:val="000000" w:themeColor="text1"/>
        </w:rPr>
        <w:t>21.00 hours</w:t>
      </w:r>
      <w:r w:rsidR="00F26E40" w:rsidRPr="0062673F">
        <w:rPr>
          <w:rFonts w:cstheme="minorHAnsi"/>
          <w:color w:val="000000" w:themeColor="text1"/>
        </w:rPr>
        <w:t xml:space="preserve"> watershed</w:t>
      </w:r>
      <w:r w:rsidR="007A1F16" w:rsidRPr="0062673F">
        <w:rPr>
          <w:rFonts w:cstheme="minorHAnsi"/>
          <w:color w:val="000000" w:themeColor="text1"/>
        </w:rPr>
        <w:t>: 1700</w:t>
      </w:r>
      <w:r w:rsidR="00E20CA2" w:rsidRPr="0062673F">
        <w:rPr>
          <w:rFonts w:cstheme="minorHAnsi"/>
          <w:color w:val="000000" w:themeColor="text1"/>
        </w:rPr>
        <w:t xml:space="preserve"> - </w:t>
      </w:r>
      <w:r w:rsidR="008F406E">
        <w:rPr>
          <w:rFonts w:cstheme="minorHAnsi"/>
          <w:color w:val="000000" w:themeColor="text1"/>
        </w:rPr>
        <w:t>21.00 hours</w:t>
      </w:r>
      <w:r w:rsidR="004A4671" w:rsidRPr="0062673F">
        <w:rPr>
          <w:rFonts w:cstheme="minorHAnsi"/>
          <w:color w:val="000000" w:themeColor="text1"/>
        </w:rPr>
        <w:t>; and (</w:t>
      </w:r>
      <w:r w:rsidR="004E1198" w:rsidRPr="0062673F">
        <w:rPr>
          <w:rFonts w:cstheme="minorHAnsi"/>
          <w:color w:val="000000" w:themeColor="text1"/>
        </w:rPr>
        <w:t>iv</w:t>
      </w:r>
      <w:r w:rsidR="00632038" w:rsidRPr="0062673F">
        <w:rPr>
          <w:rFonts w:cstheme="minorHAnsi"/>
          <w:color w:val="000000" w:themeColor="text1"/>
        </w:rPr>
        <w:t>)</w:t>
      </w:r>
      <w:r w:rsidR="00E20CA2" w:rsidRPr="0062673F">
        <w:rPr>
          <w:rFonts w:cstheme="minorHAnsi"/>
          <w:color w:val="000000" w:themeColor="text1"/>
        </w:rPr>
        <w:t xml:space="preserve"> </w:t>
      </w:r>
      <w:r w:rsidR="007A1F16" w:rsidRPr="0062673F">
        <w:rPr>
          <w:rFonts w:cstheme="minorHAnsi"/>
          <w:color w:val="000000" w:themeColor="text1"/>
        </w:rPr>
        <w:t xml:space="preserve">prime time after </w:t>
      </w:r>
      <w:r w:rsidR="008F406E">
        <w:rPr>
          <w:rFonts w:cstheme="minorHAnsi"/>
          <w:color w:val="000000" w:themeColor="text1"/>
        </w:rPr>
        <w:t>21.00 hours</w:t>
      </w:r>
      <w:r w:rsidR="00E20CA2" w:rsidRPr="0062673F">
        <w:rPr>
          <w:rFonts w:cstheme="minorHAnsi"/>
          <w:color w:val="000000" w:themeColor="text1"/>
        </w:rPr>
        <w:t xml:space="preserve">: </w:t>
      </w:r>
      <w:r w:rsidR="008F406E">
        <w:rPr>
          <w:rFonts w:cstheme="minorHAnsi"/>
          <w:color w:val="000000" w:themeColor="text1"/>
        </w:rPr>
        <w:t>21.00 hours</w:t>
      </w:r>
      <w:r w:rsidR="007A1F16" w:rsidRPr="0062673F">
        <w:rPr>
          <w:rFonts w:cstheme="minorHAnsi"/>
          <w:color w:val="000000" w:themeColor="text1"/>
        </w:rPr>
        <w:t>-2300</w:t>
      </w:r>
      <w:r w:rsidR="00A907CC" w:rsidRPr="0062673F">
        <w:rPr>
          <w:rFonts w:cstheme="minorHAnsi"/>
          <w:color w:val="000000" w:themeColor="text1"/>
        </w:rPr>
        <w:t xml:space="preserve">. We </w:t>
      </w:r>
      <w:r w:rsidRPr="0062673F">
        <w:rPr>
          <w:rFonts w:cstheme="minorHAnsi"/>
          <w:color w:val="000000" w:themeColor="text1"/>
        </w:rPr>
        <w:t>assumed that adverts that we</w:t>
      </w:r>
      <w:r w:rsidR="00F26E40" w:rsidRPr="0062673F">
        <w:rPr>
          <w:rFonts w:cstheme="minorHAnsi"/>
          <w:color w:val="000000" w:themeColor="text1"/>
        </w:rPr>
        <w:t>re banned during non-</w:t>
      </w:r>
      <w:r w:rsidRPr="0062673F">
        <w:rPr>
          <w:rFonts w:cstheme="minorHAnsi"/>
          <w:color w:val="000000" w:themeColor="text1"/>
        </w:rPr>
        <w:t xml:space="preserve">prime time </w:t>
      </w:r>
      <w:r w:rsidR="00436D21" w:rsidRPr="0062673F">
        <w:rPr>
          <w:rFonts w:cstheme="minorHAnsi"/>
          <w:color w:val="000000" w:themeColor="text1"/>
        </w:rPr>
        <w:t xml:space="preserve">(before </w:t>
      </w:r>
      <w:r w:rsidR="008F406E">
        <w:rPr>
          <w:rFonts w:cstheme="minorHAnsi"/>
          <w:color w:val="000000" w:themeColor="text1"/>
        </w:rPr>
        <w:t>21.00 hours</w:t>
      </w:r>
      <w:r w:rsidR="00F26E40" w:rsidRPr="0062673F">
        <w:rPr>
          <w:rFonts w:cstheme="minorHAnsi"/>
          <w:color w:val="000000" w:themeColor="text1"/>
        </w:rPr>
        <w:t xml:space="preserve">) would shift </w:t>
      </w:r>
      <w:r w:rsidR="00436D21" w:rsidRPr="0062673F">
        <w:rPr>
          <w:rFonts w:cstheme="minorHAnsi"/>
          <w:color w:val="000000" w:themeColor="text1"/>
        </w:rPr>
        <w:t xml:space="preserve">to non-prime time slot after </w:t>
      </w:r>
      <w:r w:rsidR="008F406E">
        <w:rPr>
          <w:rFonts w:cstheme="minorHAnsi"/>
          <w:color w:val="000000" w:themeColor="text1"/>
        </w:rPr>
        <w:t>21.00 hours</w:t>
      </w:r>
      <w:r w:rsidR="004E1198" w:rsidRPr="0062673F">
        <w:rPr>
          <w:rFonts w:cstheme="minorHAnsi"/>
          <w:color w:val="000000" w:themeColor="text1"/>
        </w:rPr>
        <w:t xml:space="preserve"> on the same channel. </w:t>
      </w:r>
      <w:r w:rsidR="00F26E40" w:rsidRPr="0062673F">
        <w:rPr>
          <w:rFonts w:cstheme="minorHAnsi"/>
          <w:color w:val="000000" w:themeColor="text1"/>
        </w:rPr>
        <w:t>Similarly, we assumed that adverts that were banned</w:t>
      </w:r>
      <w:r w:rsidR="007A1F16" w:rsidRPr="0062673F">
        <w:rPr>
          <w:rFonts w:cstheme="minorHAnsi"/>
          <w:color w:val="000000" w:themeColor="text1"/>
        </w:rPr>
        <w:t xml:space="preserve"> during prime time (before </w:t>
      </w:r>
      <w:r w:rsidR="008F406E">
        <w:rPr>
          <w:rFonts w:cstheme="minorHAnsi"/>
          <w:color w:val="000000" w:themeColor="text1"/>
        </w:rPr>
        <w:t>21.00 hours</w:t>
      </w:r>
      <w:r w:rsidR="00F26E40" w:rsidRPr="0062673F">
        <w:rPr>
          <w:rFonts w:cstheme="minorHAnsi"/>
          <w:color w:val="000000" w:themeColor="text1"/>
        </w:rPr>
        <w:t>) shif</w:t>
      </w:r>
      <w:r w:rsidR="007A1F16" w:rsidRPr="0062673F">
        <w:rPr>
          <w:rFonts w:cstheme="minorHAnsi"/>
          <w:color w:val="000000" w:themeColor="text1"/>
        </w:rPr>
        <w:t xml:space="preserve">ted to prime time slot after </w:t>
      </w:r>
      <w:r w:rsidR="008F406E">
        <w:rPr>
          <w:rFonts w:cstheme="minorHAnsi"/>
          <w:color w:val="000000" w:themeColor="text1"/>
        </w:rPr>
        <w:t>21.00 hours</w:t>
      </w:r>
      <w:r w:rsidR="004E1198" w:rsidRPr="0062673F">
        <w:rPr>
          <w:rFonts w:cstheme="minorHAnsi"/>
          <w:color w:val="000000" w:themeColor="text1"/>
        </w:rPr>
        <w:t xml:space="preserve"> on the same channel</w:t>
      </w:r>
      <w:r w:rsidR="00F26E40" w:rsidRPr="0062673F">
        <w:rPr>
          <w:rFonts w:cstheme="minorHAnsi"/>
          <w:color w:val="000000" w:themeColor="text1"/>
        </w:rPr>
        <w:t>.</w:t>
      </w:r>
      <w:r w:rsidR="004E1198" w:rsidRPr="0062673F">
        <w:rPr>
          <w:rFonts w:cstheme="minorHAnsi"/>
          <w:color w:val="000000" w:themeColor="text1"/>
        </w:rPr>
        <w:t xml:space="preserve"> We assumed that the number of </w:t>
      </w:r>
      <w:r w:rsidR="00DF15BD" w:rsidRPr="0062673F">
        <w:rPr>
          <w:rFonts w:cstheme="minorHAnsi"/>
          <w:color w:val="000000" w:themeColor="text1"/>
        </w:rPr>
        <w:t>child impacts for each displaced</w:t>
      </w:r>
      <w:r w:rsidR="004E1198" w:rsidRPr="0062673F">
        <w:rPr>
          <w:rFonts w:cstheme="minorHAnsi"/>
          <w:color w:val="000000" w:themeColor="text1"/>
        </w:rPr>
        <w:t xml:space="preserve"> advert was equivalent to the average number of</w:t>
      </w:r>
      <w:r w:rsidR="00DF15BD" w:rsidRPr="0062673F">
        <w:rPr>
          <w:rFonts w:cstheme="minorHAnsi"/>
          <w:color w:val="000000" w:themeColor="text1"/>
        </w:rPr>
        <w:t xml:space="preserve"> child</w:t>
      </w:r>
      <w:r w:rsidR="004E1198" w:rsidRPr="0062673F">
        <w:rPr>
          <w:rFonts w:cstheme="minorHAnsi"/>
          <w:color w:val="000000" w:themeColor="text1"/>
        </w:rPr>
        <w:t xml:space="preserve"> impacts for</w:t>
      </w:r>
      <w:r w:rsidR="004A3A20" w:rsidRPr="0062673F">
        <w:rPr>
          <w:rFonts w:cstheme="minorHAnsi"/>
          <w:color w:val="000000" w:themeColor="text1"/>
        </w:rPr>
        <w:t xml:space="preserve"> food</w:t>
      </w:r>
      <w:r w:rsidR="004E1198" w:rsidRPr="0062673F">
        <w:rPr>
          <w:rFonts w:cstheme="minorHAnsi"/>
          <w:color w:val="000000" w:themeColor="text1"/>
        </w:rPr>
        <w:t xml:space="preserve"> adverts shown on that channel in that time slot, i.e. if an advert on Channel X was shifted</w:t>
      </w:r>
      <w:r w:rsidR="00436D21" w:rsidRPr="0062673F">
        <w:rPr>
          <w:rFonts w:cstheme="minorHAnsi"/>
          <w:color w:val="000000" w:themeColor="text1"/>
        </w:rPr>
        <w:t xml:space="preserve"> from 1800</w:t>
      </w:r>
      <w:r w:rsidR="007A1F16" w:rsidRPr="0062673F">
        <w:rPr>
          <w:rFonts w:cstheme="minorHAnsi"/>
          <w:color w:val="000000" w:themeColor="text1"/>
        </w:rPr>
        <w:t xml:space="preserve"> (p</w:t>
      </w:r>
      <w:r w:rsidR="00436D21" w:rsidRPr="0062673F">
        <w:rPr>
          <w:rFonts w:cstheme="minorHAnsi"/>
          <w:color w:val="000000" w:themeColor="text1"/>
        </w:rPr>
        <w:t xml:space="preserve">rime time before </w:t>
      </w:r>
      <w:r w:rsidR="008F406E">
        <w:rPr>
          <w:rFonts w:cstheme="minorHAnsi"/>
          <w:color w:val="000000" w:themeColor="text1"/>
        </w:rPr>
        <w:t>21.00 hours</w:t>
      </w:r>
      <w:r w:rsidR="00436D21" w:rsidRPr="0062673F">
        <w:rPr>
          <w:rFonts w:cstheme="minorHAnsi"/>
          <w:color w:val="000000" w:themeColor="text1"/>
        </w:rPr>
        <w:t xml:space="preserve">) to the </w:t>
      </w:r>
      <w:r w:rsidR="007A1F16" w:rsidRPr="0062673F">
        <w:rPr>
          <w:rFonts w:cstheme="minorHAnsi"/>
          <w:color w:val="000000" w:themeColor="text1"/>
        </w:rPr>
        <w:t>prime time</w:t>
      </w:r>
      <w:r w:rsidR="00436D21" w:rsidRPr="0062673F">
        <w:rPr>
          <w:rFonts w:cstheme="minorHAnsi"/>
          <w:color w:val="000000" w:themeColor="text1"/>
        </w:rPr>
        <w:t xml:space="preserve"> slot</w:t>
      </w:r>
      <w:r w:rsidR="007A1F16" w:rsidRPr="0062673F">
        <w:rPr>
          <w:rFonts w:cstheme="minorHAnsi"/>
          <w:color w:val="000000" w:themeColor="text1"/>
        </w:rPr>
        <w:t xml:space="preserve"> after </w:t>
      </w:r>
      <w:r w:rsidR="008F406E">
        <w:rPr>
          <w:rFonts w:cstheme="minorHAnsi"/>
          <w:color w:val="000000" w:themeColor="text1"/>
        </w:rPr>
        <w:t>21.00 hours</w:t>
      </w:r>
      <w:r w:rsidR="00436D21" w:rsidRPr="0062673F">
        <w:rPr>
          <w:rFonts w:cstheme="minorHAnsi"/>
          <w:color w:val="000000" w:themeColor="text1"/>
        </w:rPr>
        <w:t xml:space="preserve"> (i.e. </w:t>
      </w:r>
      <w:r w:rsidR="008F406E">
        <w:rPr>
          <w:rFonts w:cstheme="minorHAnsi"/>
          <w:color w:val="000000" w:themeColor="text1"/>
        </w:rPr>
        <w:t>21.00 hours</w:t>
      </w:r>
      <w:r w:rsidR="00436D21" w:rsidRPr="0062673F">
        <w:rPr>
          <w:rFonts w:cstheme="minorHAnsi"/>
          <w:color w:val="000000" w:themeColor="text1"/>
        </w:rPr>
        <w:t>-2300</w:t>
      </w:r>
      <w:r w:rsidR="004E1198" w:rsidRPr="0062673F">
        <w:rPr>
          <w:rFonts w:cstheme="minorHAnsi"/>
          <w:color w:val="000000" w:themeColor="text1"/>
        </w:rPr>
        <w:t>), the number of</w:t>
      </w:r>
      <w:r w:rsidR="00DF15BD" w:rsidRPr="0062673F">
        <w:rPr>
          <w:rFonts w:cstheme="minorHAnsi"/>
          <w:color w:val="000000" w:themeColor="text1"/>
        </w:rPr>
        <w:t xml:space="preserve"> child</w:t>
      </w:r>
      <w:r w:rsidR="004E1198" w:rsidRPr="0062673F">
        <w:rPr>
          <w:rFonts w:cstheme="minorHAnsi"/>
          <w:color w:val="000000" w:themeColor="text1"/>
        </w:rPr>
        <w:t xml:space="preserve"> impacts it receives wou</w:t>
      </w:r>
      <w:r w:rsidR="004A3A20" w:rsidRPr="0062673F">
        <w:rPr>
          <w:rFonts w:cstheme="minorHAnsi"/>
          <w:color w:val="000000" w:themeColor="text1"/>
        </w:rPr>
        <w:t xml:space="preserve">ld be the average </w:t>
      </w:r>
      <w:r w:rsidR="00DF15BD" w:rsidRPr="0062673F">
        <w:rPr>
          <w:rFonts w:cstheme="minorHAnsi"/>
          <w:color w:val="000000" w:themeColor="text1"/>
        </w:rPr>
        <w:t xml:space="preserve">child </w:t>
      </w:r>
      <w:r w:rsidR="004A3A20" w:rsidRPr="0062673F">
        <w:rPr>
          <w:rFonts w:cstheme="minorHAnsi"/>
          <w:color w:val="000000" w:themeColor="text1"/>
        </w:rPr>
        <w:t>impacts for a food</w:t>
      </w:r>
      <w:r w:rsidR="004E1198" w:rsidRPr="0062673F">
        <w:rPr>
          <w:rFonts w:cstheme="minorHAnsi"/>
          <w:color w:val="000000" w:themeColor="text1"/>
        </w:rPr>
        <w:t xml:space="preserve"> adver</w:t>
      </w:r>
      <w:r w:rsidR="007A1F16" w:rsidRPr="0062673F">
        <w:rPr>
          <w:rFonts w:cstheme="minorHAnsi"/>
          <w:color w:val="000000" w:themeColor="text1"/>
        </w:rPr>
        <w:t xml:space="preserve">t shown on Channel X between </w:t>
      </w:r>
      <w:r w:rsidR="008F406E">
        <w:rPr>
          <w:rFonts w:cstheme="minorHAnsi"/>
          <w:color w:val="000000" w:themeColor="text1"/>
        </w:rPr>
        <w:t>21.00 hours</w:t>
      </w:r>
      <w:r w:rsidR="004E1198" w:rsidRPr="0062673F">
        <w:rPr>
          <w:rFonts w:cstheme="minorHAnsi"/>
          <w:color w:val="000000" w:themeColor="text1"/>
        </w:rPr>
        <w:t xml:space="preserve"> and </w:t>
      </w:r>
      <w:r w:rsidR="007A1F16" w:rsidRPr="0062673F">
        <w:rPr>
          <w:rFonts w:cstheme="minorHAnsi"/>
          <w:color w:val="000000" w:themeColor="text1"/>
        </w:rPr>
        <w:t>2300</w:t>
      </w:r>
      <w:r w:rsidR="004A4671" w:rsidRPr="0062673F">
        <w:rPr>
          <w:rFonts w:cstheme="minorHAnsi"/>
          <w:color w:val="000000" w:themeColor="text1"/>
        </w:rPr>
        <w:t xml:space="preserve"> before the intervention</w:t>
      </w:r>
      <w:r w:rsidR="004E1198" w:rsidRPr="0062673F">
        <w:rPr>
          <w:rFonts w:cstheme="minorHAnsi"/>
          <w:color w:val="000000" w:themeColor="text1"/>
        </w:rPr>
        <w:t>.</w:t>
      </w:r>
      <w:r w:rsidR="00B30239" w:rsidRPr="0062673F">
        <w:rPr>
          <w:rFonts w:cstheme="minorHAnsi"/>
          <w:color w:val="000000" w:themeColor="text1"/>
        </w:rPr>
        <w:t xml:space="preserve"> </w:t>
      </w:r>
      <w:r w:rsidR="00DF15BD" w:rsidRPr="0062673F">
        <w:rPr>
          <w:rFonts w:cstheme="minorHAnsi"/>
          <w:color w:val="000000" w:themeColor="text1"/>
        </w:rPr>
        <w:t>The modelled effect</w:t>
      </w:r>
      <w:r w:rsidR="0057686D" w:rsidRPr="0062673F">
        <w:rPr>
          <w:rFonts w:cstheme="minorHAnsi"/>
          <w:color w:val="000000" w:themeColor="text1"/>
        </w:rPr>
        <w:t xml:space="preserve"> of these scenarios is shown in Figure 3.</w:t>
      </w:r>
    </w:p>
    <w:p w14:paraId="1B6C22AA" w14:textId="1748D7CC" w:rsidR="0057686D" w:rsidRPr="0062673F" w:rsidRDefault="0057686D" w:rsidP="00B30239">
      <w:pPr>
        <w:autoSpaceDE w:val="0"/>
        <w:autoSpaceDN w:val="0"/>
        <w:adjustRightInd w:val="0"/>
        <w:spacing w:after="0" w:line="240" w:lineRule="auto"/>
        <w:rPr>
          <w:rFonts w:cstheme="minorHAnsi"/>
          <w:b/>
          <w:color w:val="000000" w:themeColor="text1"/>
        </w:rPr>
      </w:pPr>
    </w:p>
    <w:p w14:paraId="7B23013F" w14:textId="77777777" w:rsidR="006745E8" w:rsidRPr="0062673F" w:rsidRDefault="006745E8" w:rsidP="006745E8">
      <w:pPr>
        <w:autoSpaceDE w:val="0"/>
        <w:autoSpaceDN w:val="0"/>
        <w:adjustRightInd w:val="0"/>
        <w:spacing w:after="0" w:line="240" w:lineRule="auto"/>
        <w:rPr>
          <w:rFonts w:cstheme="minorHAnsi"/>
          <w:b/>
          <w:color w:val="000000" w:themeColor="text1"/>
        </w:rPr>
      </w:pPr>
      <w:r w:rsidRPr="0062673F">
        <w:rPr>
          <w:rFonts w:cstheme="minorHAnsi"/>
          <w:b/>
          <w:color w:val="000000" w:themeColor="text1"/>
        </w:rPr>
        <w:t>Figure 3: The modelled effect of the two scenarios on children’s exposure to HFSS advertising by time of day compared to baseline</w:t>
      </w:r>
    </w:p>
    <w:p w14:paraId="08F3CC4B" w14:textId="3F8D7EBF" w:rsidR="006745E8" w:rsidRPr="0062673F" w:rsidRDefault="006745E8" w:rsidP="006745E8">
      <w:pPr>
        <w:autoSpaceDE w:val="0"/>
        <w:autoSpaceDN w:val="0"/>
        <w:adjustRightInd w:val="0"/>
        <w:spacing w:after="0" w:line="240" w:lineRule="auto"/>
        <w:rPr>
          <w:rFonts w:cstheme="minorHAnsi"/>
          <w:color w:val="000000" w:themeColor="text1"/>
        </w:rPr>
      </w:pPr>
      <w:r w:rsidRPr="0062673F">
        <w:rPr>
          <w:rFonts w:cstheme="minorHAnsi"/>
          <w:b/>
          <w:noProof/>
          <w:color w:val="000000" w:themeColor="text1"/>
        </w:rPr>
        <w:drawing>
          <wp:inline distT="0" distB="0" distL="0" distR="0" wp14:anchorId="324430C4" wp14:editId="7D0F9EB3">
            <wp:extent cx="5715000" cy="41338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4133850"/>
                    </a:xfrm>
                    <a:prstGeom prst="rect">
                      <a:avLst/>
                    </a:prstGeom>
                  </pic:spPr>
                </pic:pic>
              </a:graphicData>
            </a:graphic>
          </wp:inline>
        </w:drawing>
      </w:r>
    </w:p>
    <w:p w14:paraId="2C4B4D7C" w14:textId="25A21740" w:rsidR="006745E8" w:rsidRPr="0062673F" w:rsidRDefault="006745E8" w:rsidP="006745E8">
      <w:pPr>
        <w:autoSpaceDE w:val="0"/>
        <w:autoSpaceDN w:val="0"/>
        <w:adjustRightInd w:val="0"/>
        <w:spacing w:after="0" w:line="240" w:lineRule="auto"/>
        <w:rPr>
          <w:rFonts w:cstheme="minorHAnsi"/>
          <w:color w:val="000000" w:themeColor="text1"/>
          <w:sz w:val="18"/>
          <w:szCs w:val="18"/>
        </w:rPr>
      </w:pPr>
      <w:r w:rsidRPr="0062673F">
        <w:rPr>
          <w:rFonts w:cstheme="minorHAnsi"/>
          <w:color w:val="000000" w:themeColor="text1"/>
          <w:sz w:val="18"/>
          <w:szCs w:val="18"/>
        </w:rPr>
        <w:t xml:space="preserve">Scenario A: all advertising between </w:t>
      </w:r>
      <w:r w:rsidR="008F406E">
        <w:rPr>
          <w:rFonts w:cstheme="minorHAnsi"/>
          <w:color w:val="000000" w:themeColor="text1"/>
          <w:sz w:val="18"/>
          <w:szCs w:val="18"/>
        </w:rPr>
        <w:t>05.30 hours</w:t>
      </w:r>
      <w:r w:rsidRPr="0062673F">
        <w:rPr>
          <w:rFonts w:cstheme="minorHAnsi"/>
          <w:color w:val="000000" w:themeColor="text1"/>
          <w:sz w:val="18"/>
          <w:szCs w:val="18"/>
        </w:rPr>
        <w:t xml:space="preserve"> and </w:t>
      </w:r>
      <w:r w:rsidR="008F406E">
        <w:rPr>
          <w:rFonts w:cstheme="minorHAnsi"/>
          <w:color w:val="000000" w:themeColor="text1"/>
          <w:sz w:val="18"/>
          <w:szCs w:val="18"/>
        </w:rPr>
        <w:t>21.00 hours</w:t>
      </w:r>
      <w:r w:rsidRPr="0062673F">
        <w:rPr>
          <w:rFonts w:cstheme="minorHAnsi"/>
          <w:color w:val="000000" w:themeColor="text1"/>
          <w:sz w:val="18"/>
          <w:szCs w:val="18"/>
        </w:rPr>
        <w:t xml:space="preserve"> is withdrawn; Scenario B: all advertising between </w:t>
      </w:r>
      <w:r w:rsidR="008F406E">
        <w:rPr>
          <w:rFonts w:cstheme="minorHAnsi"/>
          <w:color w:val="000000" w:themeColor="text1"/>
          <w:sz w:val="18"/>
          <w:szCs w:val="18"/>
        </w:rPr>
        <w:t>05.30 hours</w:t>
      </w:r>
      <w:r w:rsidRPr="0062673F">
        <w:rPr>
          <w:rFonts w:cstheme="minorHAnsi"/>
          <w:color w:val="000000" w:themeColor="text1"/>
          <w:sz w:val="18"/>
          <w:szCs w:val="18"/>
        </w:rPr>
        <w:t xml:space="preserve"> and </w:t>
      </w:r>
      <w:r w:rsidR="008F406E">
        <w:rPr>
          <w:rFonts w:cstheme="minorHAnsi"/>
          <w:color w:val="000000" w:themeColor="text1"/>
          <w:sz w:val="18"/>
          <w:szCs w:val="18"/>
        </w:rPr>
        <w:t>21.00 hours</w:t>
      </w:r>
      <w:r w:rsidRPr="0062673F">
        <w:rPr>
          <w:rFonts w:cstheme="minorHAnsi"/>
          <w:color w:val="000000" w:themeColor="text1"/>
          <w:sz w:val="18"/>
          <w:szCs w:val="18"/>
        </w:rPr>
        <w:t xml:space="preserve"> is displaced to </w:t>
      </w:r>
      <w:r w:rsidR="008F406E">
        <w:rPr>
          <w:rFonts w:cstheme="minorHAnsi"/>
          <w:color w:val="000000" w:themeColor="text1"/>
          <w:sz w:val="18"/>
          <w:szCs w:val="18"/>
        </w:rPr>
        <w:t>21.00 hours</w:t>
      </w:r>
      <w:r w:rsidRPr="0062673F">
        <w:rPr>
          <w:rFonts w:cstheme="minorHAnsi"/>
          <w:color w:val="000000" w:themeColor="text1"/>
          <w:sz w:val="18"/>
          <w:szCs w:val="18"/>
        </w:rPr>
        <w:t xml:space="preserve"> to </w:t>
      </w:r>
      <w:r w:rsidR="008F406E">
        <w:rPr>
          <w:rFonts w:cstheme="minorHAnsi"/>
          <w:color w:val="000000" w:themeColor="text1"/>
          <w:sz w:val="18"/>
          <w:szCs w:val="18"/>
        </w:rPr>
        <w:t>05.30 hours</w:t>
      </w:r>
      <w:r w:rsidRPr="0062673F">
        <w:rPr>
          <w:rFonts w:cstheme="minorHAnsi"/>
          <w:color w:val="000000" w:themeColor="text1"/>
          <w:sz w:val="18"/>
          <w:szCs w:val="18"/>
        </w:rPr>
        <w:t>.</w:t>
      </w:r>
    </w:p>
    <w:p w14:paraId="1560AD78" w14:textId="4E69AF42" w:rsidR="006745E8" w:rsidRPr="0062673F" w:rsidRDefault="006745E8" w:rsidP="00B30239">
      <w:pPr>
        <w:autoSpaceDE w:val="0"/>
        <w:autoSpaceDN w:val="0"/>
        <w:adjustRightInd w:val="0"/>
        <w:spacing w:after="0" w:line="240" w:lineRule="auto"/>
        <w:rPr>
          <w:rFonts w:cstheme="minorHAnsi"/>
          <w:b/>
          <w:color w:val="000000" w:themeColor="text1"/>
        </w:rPr>
      </w:pPr>
    </w:p>
    <w:p w14:paraId="42EF2A15" w14:textId="77777777" w:rsidR="006745E8" w:rsidRPr="0062673F" w:rsidRDefault="006745E8" w:rsidP="00B30239">
      <w:pPr>
        <w:autoSpaceDE w:val="0"/>
        <w:autoSpaceDN w:val="0"/>
        <w:adjustRightInd w:val="0"/>
        <w:spacing w:after="0" w:line="240" w:lineRule="auto"/>
        <w:rPr>
          <w:rFonts w:cstheme="minorHAnsi"/>
          <w:b/>
          <w:color w:val="000000" w:themeColor="text1"/>
        </w:rPr>
      </w:pPr>
    </w:p>
    <w:p w14:paraId="13616F47" w14:textId="13850A27" w:rsidR="004A7C45" w:rsidRPr="0062673F" w:rsidRDefault="004A7C45" w:rsidP="004A7C45">
      <w:pPr>
        <w:rPr>
          <w:b/>
          <w:color w:val="000000" w:themeColor="text1"/>
        </w:rPr>
      </w:pPr>
      <w:r w:rsidRPr="0062673F">
        <w:rPr>
          <w:b/>
          <w:color w:val="000000" w:themeColor="text1"/>
        </w:rPr>
        <w:t>Effect of advertising exposure on energy consumption</w:t>
      </w:r>
    </w:p>
    <w:p w14:paraId="1BF6AB2C" w14:textId="5662C7E4" w:rsidR="004A7C45" w:rsidRPr="0062673F" w:rsidRDefault="00DF15BD" w:rsidP="004A7C45">
      <w:pPr>
        <w:rPr>
          <w:color w:val="000000" w:themeColor="text1"/>
        </w:rPr>
      </w:pPr>
      <w:r w:rsidRPr="0062673F">
        <w:rPr>
          <w:color w:val="000000" w:themeColor="text1"/>
        </w:rPr>
        <w:t>We converted the reductions in number of adverts seen to a reduction in the number of minutes of exposure to HFSS advertising.</w:t>
      </w:r>
      <w:r w:rsidR="004A7C45" w:rsidRPr="0062673F">
        <w:rPr>
          <w:color w:val="000000" w:themeColor="text1"/>
        </w:rPr>
        <w:t xml:space="preserve"> To do this we assumed a mean duration of 25.9 seconds (standard deviation 11</w:t>
      </w:r>
      <w:r w:rsidRPr="0062673F">
        <w:rPr>
          <w:color w:val="000000" w:themeColor="text1"/>
        </w:rPr>
        <w:t>.9 seconds) for HFSS adverts</w:t>
      </w:r>
      <w:r w:rsidR="004A7C45" w:rsidRPr="0062673F">
        <w:rPr>
          <w:color w:val="000000" w:themeColor="text1"/>
        </w:rPr>
        <w:t>, based on reported advert duration in the AC Nielsen database. We then converted the reduction in advertising exposure (measured in minutes) to a reduction in calorie</w:t>
      </w:r>
      <w:r w:rsidR="00F47105" w:rsidRPr="0062673F">
        <w:rPr>
          <w:color w:val="000000" w:themeColor="text1"/>
        </w:rPr>
        <w:t>s</w:t>
      </w:r>
      <w:r w:rsidR="004A7C45" w:rsidRPr="0062673F">
        <w:rPr>
          <w:color w:val="000000" w:themeColor="text1"/>
        </w:rPr>
        <w:t xml:space="preserve"> consumed. To do this, we assumed a linear relationship between </w:t>
      </w:r>
      <w:r w:rsidR="00387D73" w:rsidRPr="0062673F">
        <w:rPr>
          <w:color w:val="000000" w:themeColor="text1"/>
        </w:rPr>
        <w:t xml:space="preserve">time exposed to </w:t>
      </w:r>
      <w:r w:rsidR="004A7C45" w:rsidRPr="0062673F">
        <w:rPr>
          <w:color w:val="000000" w:themeColor="text1"/>
        </w:rPr>
        <w:t>HFSS advertising and excess calorie consumption following t</w:t>
      </w:r>
      <w:r w:rsidR="00D60D13" w:rsidRPr="0062673F">
        <w:rPr>
          <w:color w:val="000000" w:themeColor="text1"/>
        </w:rPr>
        <w:t>he approach used by others</w:t>
      </w:r>
      <w:r w:rsidR="006F06C1">
        <w:rPr>
          <w:color w:val="000000" w:themeColor="text1"/>
        </w:rPr>
        <w:t xml:space="preserve"> </w:t>
      </w:r>
      <w:r w:rsidR="00D60D13"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D60D13" w:rsidRPr="0062673F">
        <w:rPr>
          <w:color w:val="000000" w:themeColor="text1"/>
        </w:rPr>
        <w:fldChar w:fldCharType="separate"/>
      </w:r>
      <w:r w:rsidR="0066542D" w:rsidRPr="0062673F">
        <w:rPr>
          <w:noProof/>
          <w:color w:val="000000" w:themeColor="text1"/>
        </w:rPr>
        <w:t>[30]</w:t>
      </w:r>
      <w:r w:rsidR="00D60D13" w:rsidRPr="0062673F">
        <w:rPr>
          <w:color w:val="000000" w:themeColor="text1"/>
        </w:rPr>
        <w:fldChar w:fldCharType="end"/>
      </w:r>
      <w:r w:rsidR="006F06C1">
        <w:rPr>
          <w:color w:val="000000" w:themeColor="text1"/>
        </w:rPr>
        <w:t>.</w:t>
      </w:r>
      <w:r w:rsidR="004A7C45" w:rsidRPr="0062673F">
        <w:rPr>
          <w:color w:val="000000" w:themeColor="text1"/>
        </w:rPr>
        <w:t xml:space="preserve"> We assumed that each minute of </w:t>
      </w:r>
      <w:r w:rsidR="00387D73" w:rsidRPr="0062673F">
        <w:rPr>
          <w:color w:val="000000" w:themeColor="text1"/>
        </w:rPr>
        <w:t xml:space="preserve">HFSS </w:t>
      </w:r>
      <w:r w:rsidR="004A7C45" w:rsidRPr="0062673F">
        <w:rPr>
          <w:color w:val="000000" w:themeColor="text1"/>
        </w:rPr>
        <w:t xml:space="preserve">advertising seen per child per day equated to an additional 14.2 kcal (95% CI: 0.7 to 27.7) consumed per </w:t>
      </w:r>
      <w:r w:rsidR="00E15250" w:rsidRPr="0062673F">
        <w:rPr>
          <w:color w:val="000000" w:themeColor="text1"/>
        </w:rPr>
        <w:t>child per day, based on a re-analysis of a recent</w:t>
      </w:r>
      <w:r w:rsidR="004A7C45" w:rsidRPr="0062673F">
        <w:rPr>
          <w:color w:val="000000" w:themeColor="text1"/>
        </w:rPr>
        <w:t xml:space="preserve"> meta-analysis</w:t>
      </w:r>
      <w:r w:rsidR="00E15250" w:rsidRPr="0062673F">
        <w:rPr>
          <w:color w:val="000000" w:themeColor="text1"/>
        </w:rPr>
        <w:t xml:space="preserve"> to express the estimate in kcal/minute</w:t>
      </w:r>
      <w:r w:rsidR="006F06C1">
        <w:rPr>
          <w:color w:val="000000" w:themeColor="text1"/>
        </w:rPr>
        <w:t xml:space="preserve"> </w:t>
      </w:r>
      <w:r w:rsidR="00E15250"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mendeley":{"formattedCitation":"[19]","plainTextFormattedCitation":"[19]","previouslyFormattedCitation":"[19]"},"properties":{"noteIndex":0},"schema":"https://github.com/citation-style-language/schema/raw/master/csl-citation.json"}</w:instrText>
      </w:r>
      <w:r w:rsidR="00E15250" w:rsidRPr="0062673F">
        <w:rPr>
          <w:color w:val="000000" w:themeColor="text1"/>
        </w:rPr>
        <w:fldChar w:fldCharType="separate"/>
      </w:r>
      <w:r w:rsidR="0066542D" w:rsidRPr="0062673F">
        <w:rPr>
          <w:noProof/>
          <w:color w:val="000000" w:themeColor="text1"/>
        </w:rPr>
        <w:t>[19]</w:t>
      </w:r>
      <w:r w:rsidR="00E15250" w:rsidRPr="0062673F">
        <w:rPr>
          <w:color w:val="000000" w:themeColor="text1"/>
        </w:rPr>
        <w:fldChar w:fldCharType="end"/>
      </w:r>
      <w:r w:rsidR="0066542D" w:rsidRPr="0062673F">
        <w:rPr>
          <w:color w:val="000000" w:themeColor="text1"/>
        </w:rPr>
        <w:t>.</w:t>
      </w:r>
    </w:p>
    <w:p w14:paraId="6111692F" w14:textId="77777777" w:rsidR="004A7C45" w:rsidRPr="0062673F" w:rsidRDefault="004A7C45" w:rsidP="004A7C45">
      <w:pPr>
        <w:rPr>
          <w:b/>
          <w:color w:val="000000" w:themeColor="text1"/>
        </w:rPr>
      </w:pPr>
      <w:r w:rsidRPr="0062673F">
        <w:rPr>
          <w:b/>
          <w:color w:val="000000" w:themeColor="text1"/>
        </w:rPr>
        <w:t xml:space="preserve">Effect of calorie consumption on body mass index </w:t>
      </w:r>
    </w:p>
    <w:p w14:paraId="73FD24BC" w14:textId="1B3887A6" w:rsidR="004A7C45" w:rsidRPr="0062673F" w:rsidRDefault="004A7C45" w:rsidP="004A7C45">
      <w:pPr>
        <w:rPr>
          <w:color w:val="000000" w:themeColor="text1"/>
        </w:rPr>
      </w:pPr>
      <w:r w:rsidRPr="0062673F">
        <w:rPr>
          <w:color w:val="000000" w:themeColor="text1"/>
        </w:rPr>
        <w:t>We used the validated Hall equation</w:t>
      </w:r>
      <w:r w:rsidR="0058064C" w:rsidRPr="0062673F">
        <w:rPr>
          <w:color w:val="000000" w:themeColor="text1"/>
        </w:rPr>
        <w:t>s</w:t>
      </w:r>
      <w:r w:rsidRPr="0062673F">
        <w:rPr>
          <w:color w:val="000000" w:themeColor="text1"/>
        </w:rPr>
        <w:t xml:space="preserve"> to estimate the effect of the average change in calorie consumption on the average body </w:t>
      </w:r>
      <w:r w:rsidR="0058064C" w:rsidRPr="0062673F">
        <w:rPr>
          <w:color w:val="000000" w:themeColor="text1"/>
        </w:rPr>
        <w:t>weight</w:t>
      </w:r>
      <w:r w:rsidRPr="0062673F">
        <w:rPr>
          <w:color w:val="000000" w:themeColor="text1"/>
        </w:rPr>
        <w:t xml:space="preserve"> of boys and girls</w:t>
      </w:r>
      <w:r w:rsidR="006F06C1">
        <w:rPr>
          <w:color w:val="000000" w:themeColor="text1"/>
        </w:rPr>
        <w:t xml:space="preserve"> </w:t>
      </w:r>
      <w:r w:rsidR="00D60D13" w:rsidRPr="0062673F">
        <w:rPr>
          <w:color w:val="000000" w:themeColor="text1"/>
        </w:rPr>
        <w:fldChar w:fldCharType="begin" w:fldLock="1"/>
      </w:r>
      <w:r w:rsidR="00467360" w:rsidRPr="0062673F">
        <w:rPr>
          <w:color w:val="000000" w:themeColor="text1"/>
        </w:rPr>
        <w:instrText>ADDIN CSL_CITATION {"citationItems":[{"id":"ITEM-1","itemData":{"DOI":"10.1016/S2213-8587(13)70051-2","ISSN":"22138587","abstract":"&lt;h2&gt;Summary&lt;/h2&gt;&lt;h3&gt;Background&lt;/h3&gt;&lt;p&gt;Clinicians and policy makers need the ability to predict quantitatively how childhood bodyweight will respond to obesity interventions.&lt;/p&gt;&lt;h3&gt;Methods&lt;/h3&gt;&lt;p&gt;We developed and validated a mathematical model of childhood energy balance that accounts for healthy growth and development of obesity, and that makes quantitative predictions about weight-management interventions. The model was calibrated to reference body composition data in healthy children and validated by comparing model predictions with data other than those used to build the model.&lt;/p&gt;&lt;h3&gt;Findings&lt;/h3&gt;&lt;p&gt;The model accurately simulated the changes in body composition and energy expenditure reported in reference data during healthy growth, and predicted increases in energy intake from ages 5–18 years of roughly 1200 kcal per day in boys and 900 kcal per day in girls. Development of childhood obesity necessitated a substantially greater excess energy intake than for development of adult obesity. Furthermore, excess energy intake in overweight and obese children calculated by the model greatly exceeded the typical energy balance calculated on the basis of growth charts. At the population level, the excess weight of US children in 2003–06 was associated with a mean increase in energy intake of roughly 200 kcal per day per child compared with similar children in 1971–74. The model also suggests that therapeutic windows when children can outgrow obesity without losing weight might exist, especially during periods of high growth potential in boys who are not severely obese.&lt;/p&gt;&lt;h3&gt;Interpretation&lt;/h3&gt;&lt;p&gt;This model quantifies the energy excess underlying obesity and calculates the necessary intervention magnitude to achieve bodyweight change in children. Policy makers and clinicians now have a quantitative technique for understanding the childhood obesity epidemic and planning interventions to control it.&lt;/p&gt;&lt;h3&gt;Funding&lt;/h3&gt;&lt;p&gt;Intramural Research Program of the National Institutes of Health, National Institute of Diabetes and Digestive and Kidney Diseases.&lt;/p&gt;","author":[{"dropping-particle":"","family":"Hall","given":"Kevin D","non-dropping-particle":"","parse-names":false,"suffix":""},{"dropping-particle":"","family":"Butte","given":"Nancy F","non-dropping-particle":"","parse-names":false,"suffix":""},{"dropping-particle":"","family":"Swinburn","given":"Boyd A","non-dropping-particle":"","parse-names":false,"suffix":""},{"dropping-particle":"","family":"Chow","given":"Carson C","non-dropping-particle":"","parse-names":false,"suffix":""}],"container-title":"The Lancet Diabetes &amp; Endocrinology","id":"ITEM-1","issue":"2","issued":{"date-parts":[["2013","10","1"]]},"page":"97-105","publisher":"Elsevier","title":"Dynamics of childhood growth and obesity: development and validation of a quantitative mathematical model","type":"article-journal","volume":"1"},"uris":["http://www.mendeley.com/documents/?uuid=a79d4c23-d191-40f1-a54e-5f41ec7f77b6"]}],"mendeley":{"formattedCitation":"[34]","plainTextFormattedCitation":"[34]","previouslyFormattedCitation":"[34]"},"properties":{"noteIndex":0},"schema":"https://github.com/citation-style-language/schema/raw/master/csl-citation.json"}</w:instrText>
      </w:r>
      <w:r w:rsidR="00D60D13" w:rsidRPr="0062673F">
        <w:rPr>
          <w:color w:val="000000" w:themeColor="text1"/>
        </w:rPr>
        <w:fldChar w:fldCharType="separate"/>
      </w:r>
      <w:r w:rsidR="0066542D" w:rsidRPr="0062673F">
        <w:rPr>
          <w:noProof/>
          <w:color w:val="000000" w:themeColor="text1"/>
        </w:rPr>
        <w:t>[34]</w:t>
      </w:r>
      <w:r w:rsidR="00D60D13" w:rsidRPr="0062673F">
        <w:rPr>
          <w:color w:val="000000" w:themeColor="text1"/>
        </w:rPr>
        <w:fldChar w:fldCharType="end"/>
      </w:r>
      <w:r w:rsidR="0066542D" w:rsidRPr="0062673F">
        <w:rPr>
          <w:color w:val="000000" w:themeColor="text1"/>
        </w:rPr>
        <w:t>.</w:t>
      </w:r>
      <w:r w:rsidR="001429E9" w:rsidRPr="0062673F">
        <w:rPr>
          <w:color w:val="000000" w:themeColor="text1"/>
        </w:rPr>
        <w:t xml:space="preserve"> </w:t>
      </w:r>
      <w:r w:rsidRPr="0062673F">
        <w:rPr>
          <w:color w:val="000000" w:themeColor="text1"/>
        </w:rPr>
        <w:t>We assumed the BMI distribution was log</w:t>
      </w:r>
      <w:r w:rsidR="001269E2" w:rsidRPr="0062673F">
        <w:rPr>
          <w:color w:val="000000" w:themeColor="text1"/>
        </w:rPr>
        <w:t>-</w:t>
      </w:r>
      <w:r w:rsidRPr="0062673F">
        <w:rPr>
          <w:color w:val="000000" w:themeColor="text1"/>
        </w:rPr>
        <w:t>normally distributed. We then assumed a reduction in the mean BMI resulted in a shift of the BMI distribution to the left. As the curve is log</w:t>
      </w:r>
      <w:r w:rsidR="001269E2" w:rsidRPr="0062673F">
        <w:rPr>
          <w:color w:val="000000" w:themeColor="text1"/>
        </w:rPr>
        <w:t>-</w:t>
      </w:r>
      <w:r w:rsidRPr="0062673F">
        <w:rPr>
          <w:color w:val="000000" w:themeColor="text1"/>
        </w:rPr>
        <w:t xml:space="preserve">normally distributed a shift to the left has the effect of </w:t>
      </w:r>
      <w:r w:rsidR="00A907CC" w:rsidRPr="0062673F">
        <w:rPr>
          <w:color w:val="000000" w:themeColor="text1"/>
        </w:rPr>
        <w:t>reducing the rightwards skew of the current BMI distribution and making the distribution a closer approximation to the normal distribution</w:t>
      </w:r>
      <w:r w:rsidRPr="0062673F">
        <w:rPr>
          <w:color w:val="000000" w:themeColor="text1"/>
        </w:rPr>
        <w:t>, i.e. it implicitly assumes a greater calorie reduction and BMI reduction in children who are already overweight. We assumed the shift in the BMI curve that was observed at age 15 years persisted into later life, reflecting the observation</w:t>
      </w:r>
      <w:r w:rsidR="00475AF7" w:rsidRPr="0062673F">
        <w:rPr>
          <w:color w:val="000000" w:themeColor="text1"/>
        </w:rPr>
        <w:t>al</w:t>
      </w:r>
      <w:r w:rsidRPr="0062673F">
        <w:rPr>
          <w:color w:val="000000" w:themeColor="text1"/>
        </w:rPr>
        <w:t xml:space="preserve"> data showing that childhood </w:t>
      </w:r>
      <w:r w:rsidR="008A1DFB" w:rsidRPr="0062673F">
        <w:rPr>
          <w:color w:val="000000" w:themeColor="text1"/>
        </w:rPr>
        <w:t xml:space="preserve">weight status </w:t>
      </w:r>
      <w:r w:rsidRPr="0062673F">
        <w:rPr>
          <w:color w:val="000000" w:themeColor="text1"/>
        </w:rPr>
        <w:t>tracks into adult life</w:t>
      </w:r>
      <w:r w:rsidR="006F06C1">
        <w:rPr>
          <w:color w:val="000000" w:themeColor="text1"/>
        </w:rPr>
        <w:t xml:space="preserve"> </w:t>
      </w:r>
      <w:r w:rsidR="004A3A20" w:rsidRPr="0062673F">
        <w:rPr>
          <w:color w:val="000000" w:themeColor="text1"/>
        </w:rPr>
        <w:fldChar w:fldCharType="begin" w:fldLock="1"/>
      </w:r>
      <w:r w:rsidR="00467360" w:rsidRPr="0062673F">
        <w:rPr>
          <w:color w:val="000000" w:themeColor="text1"/>
        </w:rPr>
        <w:instrText>ADDIN CSL_CITATION {"citationItems":[{"id":"ITEM-1","itemData":{"DOI":"10.1038/oby.2009.451","ISBN":"1930-739X (Electronic)\n1930-7381 (Linking)","PMID":"20035278","abstract":"No longitudinal analyses using national data have evaluated the increase in obesity from adolescence into early adulthood. We examined obesity incidence, persistence, and reversal in a nationally representative cohort of US teens followed into their early 30s, using measured height and weight data, in individuals enrolled in wave II (1996; 12-21 years), wave III (2001; 17-26 years), and wave IV (2008 early release data; 24-32 years) of the National Longitudinal Study of Adolescent Health (N = 8,675). Obesity was defined as a BMI &gt;or=95th percentile of the 2000 Centers for Disease Control/National Center for Health Statistics growth charts or &gt;or=30 kg/m(2) for individuals &lt;20 years and &gt;or=30 kg/m(2) in individuals &gt;or=20 years. In 1996, 13.3% of adolescents were obese. By 2008, obesity prevalence increased to 36.1%, and was highest among non-Hispanic black females (54.8%). Ninety percent of the obese adolescents remained obese in 2008. While annual obesity incidence did not decline in the total sample across the two study intervals (2.3% per year 1996-2001 vs. 2.2% per year 2001-2008), rates among white females declined (2.7 to 1.9% per year) and were highest among non-Hispanic black and Hispanic females (3.8 and 2.7% per year, 1996-2001 vs. 3.0 and 2.6% per year, 2002-2008, respectively). Obesity prevalence doubled from adolescence to the early 20s, and doubled again from the early to late 20s or early 30s, with strong tracking from adolescence into adulthood. This trend is likely to continue owing to high rates of pediatric obesity. Effective preventive and treatment efforts are critically needed.","author":[{"dropping-particle":"","family":"Gordon-Larsen","given":"P","non-dropping-particle":"","parse-names":false,"suffix":""},{"dropping-particle":"","family":"The","given":"N S","non-dropping-particle":"","parse-names":false,"suffix":""},{"dropping-particle":"","family":"Adair","given":"L S","non-dropping-particle":"","parse-names":false,"suffix":""}],"container-title":"Obesity (Silver Spring)","edition":"2009/12/26","id":"ITEM-1","issue":"9","issued":{"date-parts":[["2010"]]},"language":"eng","note":"Gordon-Larsen, Penny\nThe, Natalie S\nAdair, Linda S\nP01-HD31921/HD/NICHD NIH HHS/\nR01 HD057194-02/HD/NICHD NIH HHS/\nR01 HD057194-04/HD/NICHD NIH HHS/\nR01-HD057194/HD/NICHD NIH HHS/\nR24 HD050924-07/HD/NICHD NIH HHS/\nSilver Spring, Md.\nObesity (Silver Spring). 2010 Sep;18(9):1801-4. Epub 2009 Dec 24.","page":"1801-1804","title":"Longitudinal trends in obesity in the United States from adolescence to the third decade of life","type":"article-journal","volume":"18"},"uris":["http://www.mendeley.com/documents/?uuid=7dd2c5f4-4a88-4ece-85cf-9f7088f570d9"]},{"id":"ITEM-2","itemData":{"DOI":"10.1111/j.1467-789X.2008.00475.x","ISSN":"14677881","PMID":"18331423","abstract":"Overweight and obesity in youth are important public health concerns and are of particular interest because of possible long-term associations with adult weight status and morbidity. The aim of this study was to systematically review the literature and update evidence concerning persistence of childhood overweight. A computerized bibliographical search--restricted to studies with a prospective or retrospective longitudinal design--was conducted. Two authors independently extracted data and assessed the methodological quality of the included studies in four dimensions (i) study population and participation rate; (ii) study attrition; (iii) data collection and (iv) data analysis. Conclusions were based on a rating system of three levels of evidence. A total of 25 publications were selected for inclusion in this review. According to a methodological quality assessment, 13 studies were considered to be of high quality. The majority of these high-quality studies were published after 2001, indicating that recently published data, in particular, provide us with reliable information. All included studies consistently report an increased risk of overweight and obese youth becoming overweight adults, suggesting that the likelihood of persistence of overweight into adulthood is moderate for overweight and obese youth. However, predictive values varied considerably. Limiting aspects with respect to generalizability and methodological issues are discussed.","author":[{"dropping-particle":"","family":"Singh","given":"A. S.","non-dropping-particle":"","parse-names":false,"suffix":""},{"dropping-particle":"","family":"Mulder","given":"C.","non-dropping-particle":"","parse-names":false,"suffix":""},{"dropping-particle":"","family":"Twisk","given":"J. W. R.","non-dropping-particle":"","parse-names":false,"suffix":""},{"dropping-particle":"","family":"Mechelen","given":"W.","non-dropping-particle":"Van","parse-names":false,"suffix":""},{"dropping-particle":"","family":"Chinapaw","given":"M. J. M.","non-dropping-particle":"","parse-names":false,"suffix":""}],"container-title":"Obesity Reviews","id":"ITEM-2","issue":"5","issued":{"date-parts":[["2008","3","5"]]},"page":"474-488","title":"Tracking of childhood overweight into adulthood: a systematic review of the literature","type":"article-journal","volume":"9"},"uris":["http://www.mendeley.com/documents/?uuid=e6229532-d2ce-3fc5-ad6e-4a2c601c88ce"]}],"mendeley":{"formattedCitation":"[38,39]","plainTextFormattedCitation":"[38,39]","previouslyFormattedCitation":"[37,38]"},"properties":{"noteIndex":0},"schema":"https://github.com/citation-style-language/schema/raw/master/csl-citation.json"}</w:instrText>
      </w:r>
      <w:r w:rsidR="004A3A20" w:rsidRPr="0062673F">
        <w:rPr>
          <w:color w:val="000000" w:themeColor="text1"/>
        </w:rPr>
        <w:fldChar w:fldCharType="separate"/>
      </w:r>
      <w:r w:rsidR="00467360" w:rsidRPr="0062673F">
        <w:rPr>
          <w:noProof/>
          <w:color w:val="000000" w:themeColor="text1"/>
        </w:rPr>
        <w:t>[38,39]</w:t>
      </w:r>
      <w:r w:rsidR="004A3A20" w:rsidRPr="0062673F">
        <w:rPr>
          <w:color w:val="000000" w:themeColor="text1"/>
        </w:rPr>
        <w:fldChar w:fldCharType="end"/>
      </w:r>
      <w:r w:rsidR="0066542D" w:rsidRPr="0062673F">
        <w:rPr>
          <w:color w:val="000000" w:themeColor="text1"/>
        </w:rPr>
        <w:t>.</w:t>
      </w:r>
      <w:r w:rsidRPr="0062673F">
        <w:rPr>
          <w:color w:val="000000" w:themeColor="text1"/>
        </w:rPr>
        <w:t xml:space="preserve"> Children aged between zero and four at the start of the simulation, did not receive an effect until reaching the age of five in later years</w:t>
      </w:r>
      <w:r w:rsidR="004A3A20" w:rsidRPr="0062673F">
        <w:rPr>
          <w:color w:val="000000" w:themeColor="text1"/>
        </w:rPr>
        <w:t>, reflecting the lower age limit for which the Hall equations have been validated</w:t>
      </w:r>
      <w:r w:rsidR="006F06C1">
        <w:rPr>
          <w:color w:val="000000" w:themeColor="text1"/>
        </w:rPr>
        <w:t xml:space="preserve"> </w:t>
      </w:r>
      <w:r w:rsidR="004A3A20" w:rsidRPr="0062673F">
        <w:rPr>
          <w:color w:val="000000" w:themeColor="text1"/>
        </w:rPr>
        <w:fldChar w:fldCharType="begin" w:fldLock="1"/>
      </w:r>
      <w:r w:rsidR="00467360" w:rsidRPr="0062673F">
        <w:rPr>
          <w:color w:val="000000" w:themeColor="text1"/>
        </w:rPr>
        <w:instrText>ADDIN CSL_CITATION {"citationItems":[{"id":"ITEM-1","itemData":{"DOI":"10.1016/S2213-8587(13)70051-2","ISSN":"22138587","abstract":"&lt;h2&gt;Summary&lt;/h2&gt;&lt;h3&gt;Background&lt;/h3&gt;&lt;p&gt;Clinicians and policy makers need the ability to predict quantitatively how childhood bodyweight will respond to obesity interventions.&lt;/p&gt;&lt;h3&gt;Methods&lt;/h3&gt;&lt;p&gt;We developed and validated a mathematical model of childhood energy balance that accounts for healthy growth and development of obesity, and that makes quantitative predictions about weight-management interventions. The model was calibrated to reference body composition data in healthy children and validated by comparing model predictions with data other than those used to build the model.&lt;/p&gt;&lt;h3&gt;Findings&lt;/h3&gt;&lt;p&gt;The model accurately simulated the changes in body composition and energy expenditure reported in reference data during healthy growth, and predicted increases in energy intake from ages 5–18 years of roughly 1200 kcal per day in boys and 900 kcal per day in girls. Development of childhood obesity necessitated a substantially greater excess energy intake than for development of adult obesity. Furthermore, excess energy intake in overweight and obese children calculated by the model greatly exceeded the typical energy balance calculated on the basis of growth charts. At the population level, the excess weight of US children in 2003–06 was associated with a mean increase in energy intake of roughly 200 kcal per day per child compared with similar children in 1971–74. The model also suggests that therapeutic windows when children can outgrow obesity without losing weight might exist, especially during periods of high growth potential in boys who are not severely obese.&lt;/p&gt;&lt;h3&gt;Interpretation&lt;/h3&gt;&lt;p&gt;This model quantifies the energy excess underlying obesity and calculates the necessary intervention magnitude to achieve bodyweight change in children. Policy makers and clinicians now have a quantitative technique for understanding the childhood obesity epidemic and planning interventions to control it.&lt;/p&gt;&lt;h3&gt;Funding&lt;/h3&gt;&lt;p&gt;Intramural Research Program of the National Institutes of Health, National Institute of Diabetes and Digestive and Kidney Diseases.&lt;/p&gt;","author":[{"dropping-particle":"","family":"Hall","given":"Kevin D","non-dropping-particle":"","parse-names":false,"suffix":""},{"dropping-particle":"","family":"Butte","given":"Nancy F","non-dropping-particle":"","parse-names":false,"suffix":""},{"dropping-particle":"","family":"Swinburn","given":"Boyd A","non-dropping-particle":"","parse-names":false,"suffix":""},{"dropping-particle":"","family":"Chow","given":"Carson C","non-dropping-particle":"","parse-names":false,"suffix":""}],"container-title":"The Lancet Diabetes &amp; Endocrinology","id":"ITEM-1","issue":"2","issued":{"date-parts":[["2013","10","1"]]},"page":"97-105","publisher":"Elsevier","title":"Dynamics of childhood growth and obesity: development and validation of a quantitative mathematical model","type":"article-journal","volume":"1"},"uris":["http://www.mendeley.com/documents/?uuid=a79d4c23-d191-40f1-a54e-5f41ec7f77b6"]}],"mendeley":{"formattedCitation":"[34]","plainTextFormattedCitation":"[34]","previouslyFormattedCitation":"[34]"},"properties":{"noteIndex":0},"schema":"https://github.com/citation-style-language/schema/raw/master/csl-citation.json"}</w:instrText>
      </w:r>
      <w:r w:rsidR="004A3A20" w:rsidRPr="0062673F">
        <w:rPr>
          <w:color w:val="000000" w:themeColor="text1"/>
        </w:rPr>
        <w:fldChar w:fldCharType="separate"/>
      </w:r>
      <w:r w:rsidR="0066542D" w:rsidRPr="0062673F">
        <w:rPr>
          <w:noProof/>
          <w:color w:val="000000" w:themeColor="text1"/>
        </w:rPr>
        <w:t>[34]</w:t>
      </w:r>
      <w:r w:rsidR="004A3A20" w:rsidRPr="0062673F">
        <w:rPr>
          <w:color w:val="000000" w:themeColor="text1"/>
        </w:rPr>
        <w:fldChar w:fldCharType="end"/>
      </w:r>
      <w:r w:rsidR="0066542D" w:rsidRPr="0062673F">
        <w:rPr>
          <w:color w:val="000000" w:themeColor="text1"/>
        </w:rPr>
        <w:t>.</w:t>
      </w:r>
      <w:r w:rsidRPr="0062673F">
        <w:rPr>
          <w:color w:val="000000" w:themeColor="text1"/>
        </w:rPr>
        <w:t xml:space="preserve"> Baseline BMI distributions and average height, by age and sex, were taken from the Health Survey for England</w:t>
      </w:r>
      <w:r w:rsidR="00EF31D1" w:rsidRPr="0062673F">
        <w:rPr>
          <w:color w:val="000000" w:themeColor="text1"/>
        </w:rPr>
        <w:t>, 2016</w:t>
      </w:r>
      <w:r w:rsidR="006F06C1">
        <w:rPr>
          <w:color w:val="000000" w:themeColor="text1"/>
        </w:rPr>
        <w:t xml:space="preserve"> </w:t>
      </w:r>
      <w:r w:rsidR="00EF31D1" w:rsidRPr="0062673F">
        <w:rPr>
          <w:color w:val="000000" w:themeColor="text1"/>
        </w:rPr>
        <w:fldChar w:fldCharType="begin" w:fldLock="1"/>
      </w:r>
      <w:r w:rsidR="00467360" w:rsidRPr="0062673F">
        <w:rPr>
          <w:color w:val="000000" w:themeColor="text1"/>
        </w:rPr>
        <w:instrText>ADDIN CSL_CITATION {"citationItems":[{"id":"ITEM-1","itemData":{"author":[{"dropping-particle":"","family":"National Statistics","given":"","non-dropping-particle":"","parse-names":false,"suffix":""}],"id":"ITEM-1","issued":{"date-parts":[["2017"]]},"publisher-place":"Leeds","title":"Health Survey for England, 2016","type":"report"},"uris":["http://www.mendeley.com/documents/?uuid=606ca126-0060-4254-8c0f-dbea87b53fda"]}],"mendeley":{"formattedCitation":"[40]","plainTextFormattedCitation":"[40]","previouslyFormattedCitation":"[39]"},"properties":{"noteIndex":0},"schema":"https://github.com/citation-style-language/schema/raw/master/csl-citation.json"}</w:instrText>
      </w:r>
      <w:r w:rsidR="00EF31D1" w:rsidRPr="0062673F">
        <w:rPr>
          <w:color w:val="000000" w:themeColor="text1"/>
        </w:rPr>
        <w:fldChar w:fldCharType="separate"/>
      </w:r>
      <w:r w:rsidR="00467360" w:rsidRPr="0062673F">
        <w:rPr>
          <w:noProof/>
          <w:color w:val="000000" w:themeColor="text1"/>
        </w:rPr>
        <w:t>[40]</w:t>
      </w:r>
      <w:r w:rsidR="00EF31D1" w:rsidRPr="0062673F">
        <w:rPr>
          <w:color w:val="000000" w:themeColor="text1"/>
        </w:rPr>
        <w:fldChar w:fldCharType="end"/>
      </w:r>
      <w:r w:rsidR="0066542D" w:rsidRPr="0062673F">
        <w:rPr>
          <w:color w:val="000000" w:themeColor="text1"/>
        </w:rPr>
        <w:t>.</w:t>
      </w:r>
      <w:r w:rsidRPr="0062673F">
        <w:rPr>
          <w:color w:val="000000" w:themeColor="text1"/>
        </w:rPr>
        <w:t xml:space="preserve"> </w:t>
      </w:r>
    </w:p>
    <w:p w14:paraId="3CC473A7" w14:textId="5936846C" w:rsidR="001F39AE" w:rsidRPr="0062673F" w:rsidRDefault="001F39AE" w:rsidP="004A7C45">
      <w:pPr>
        <w:rPr>
          <w:b/>
          <w:color w:val="000000" w:themeColor="text1"/>
        </w:rPr>
      </w:pPr>
      <w:r w:rsidRPr="0062673F">
        <w:rPr>
          <w:b/>
          <w:color w:val="000000" w:themeColor="text1"/>
        </w:rPr>
        <w:t>Obesity and overweight</w:t>
      </w:r>
    </w:p>
    <w:p w14:paraId="2A446EEA" w14:textId="269B6745" w:rsidR="00475AF7" w:rsidRPr="0062673F" w:rsidRDefault="00475AF7" w:rsidP="00475AF7">
      <w:pPr>
        <w:rPr>
          <w:rFonts w:cstheme="minorHAnsi"/>
          <w:color w:val="000000" w:themeColor="text1"/>
        </w:rPr>
      </w:pPr>
      <w:r w:rsidRPr="0062673F">
        <w:rPr>
          <w:color w:val="000000" w:themeColor="text1"/>
        </w:rPr>
        <w:t>We report the change in t</w:t>
      </w:r>
      <w:r w:rsidR="00251AB3" w:rsidRPr="0062673F">
        <w:rPr>
          <w:color w:val="000000" w:themeColor="text1"/>
        </w:rPr>
        <w:t>he number of children, aged 5-17</w:t>
      </w:r>
      <w:r w:rsidRPr="0062673F">
        <w:rPr>
          <w:color w:val="000000" w:themeColor="text1"/>
        </w:rPr>
        <w:t xml:space="preserve"> years, with obesity and with ov</w:t>
      </w:r>
      <w:r w:rsidR="00AD1E29" w:rsidRPr="0062673F">
        <w:rPr>
          <w:color w:val="000000" w:themeColor="text1"/>
        </w:rPr>
        <w:t>erweight in the UK. O</w:t>
      </w:r>
      <w:r w:rsidRPr="0062673F">
        <w:rPr>
          <w:color w:val="000000" w:themeColor="text1"/>
        </w:rPr>
        <w:t>besity</w:t>
      </w:r>
      <w:r w:rsidR="00AD1E29" w:rsidRPr="0062673F">
        <w:rPr>
          <w:color w:val="000000" w:themeColor="text1"/>
        </w:rPr>
        <w:t xml:space="preserve"> (&gt;98.9</w:t>
      </w:r>
      <w:r w:rsidR="00AD1E29" w:rsidRPr="0062673F">
        <w:rPr>
          <w:color w:val="000000" w:themeColor="text1"/>
          <w:vertAlign w:val="superscript"/>
        </w:rPr>
        <w:t>th</w:t>
      </w:r>
      <w:r w:rsidR="00AD1E29" w:rsidRPr="0062673F">
        <w:rPr>
          <w:color w:val="000000" w:themeColor="text1"/>
        </w:rPr>
        <w:t xml:space="preserve"> centile for boy, and &gt;98.6</w:t>
      </w:r>
      <w:r w:rsidR="00AD1E29" w:rsidRPr="0062673F">
        <w:rPr>
          <w:color w:val="000000" w:themeColor="text1"/>
          <w:vertAlign w:val="superscript"/>
        </w:rPr>
        <w:t>th</w:t>
      </w:r>
      <w:r w:rsidR="00AD1E29" w:rsidRPr="0062673F">
        <w:rPr>
          <w:color w:val="000000" w:themeColor="text1"/>
        </w:rPr>
        <w:t xml:space="preserve"> centile for girls based on the WHO growth charts) </w:t>
      </w:r>
      <w:r w:rsidRPr="0062673F">
        <w:rPr>
          <w:color w:val="000000" w:themeColor="text1"/>
        </w:rPr>
        <w:t>and overweight</w:t>
      </w:r>
      <w:r w:rsidR="00AD1E29" w:rsidRPr="0062673F">
        <w:rPr>
          <w:color w:val="000000" w:themeColor="text1"/>
        </w:rPr>
        <w:t xml:space="preserve"> (&gt;90.5</w:t>
      </w:r>
      <w:r w:rsidR="00AD1E29" w:rsidRPr="0062673F">
        <w:rPr>
          <w:color w:val="000000" w:themeColor="text1"/>
          <w:vertAlign w:val="superscript"/>
        </w:rPr>
        <w:t>th</w:t>
      </w:r>
      <w:r w:rsidR="00AD1E29" w:rsidRPr="0062673F">
        <w:rPr>
          <w:color w:val="000000" w:themeColor="text1"/>
        </w:rPr>
        <w:t xml:space="preserve"> centile and &gt;89.3</w:t>
      </w:r>
      <w:r w:rsidR="00AD1E29" w:rsidRPr="0062673F">
        <w:rPr>
          <w:color w:val="000000" w:themeColor="text1"/>
          <w:vertAlign w:val="superscript"/>
        </w:rPr>
        <w:t>th</w:t>
      </w:r>
      <w:r w:rsidR="00AD1E29" w:rsidRPr="0062673F">
        <w:rPr>
          <w:color w:val="000000" w:themeColor="text1"/>
        </w:rPr>
        <w:t xml:space="preserve"> centile)</w:t>
      </w:r>
      <w:r w:rsidRPr="0062673F">
        <w:rPr>
          <w:color w:val="000000" w:themeColor="text1"/>
        </w:rPr>
        <w:t xml:space="preserve"> </w:t>
      </w:r>
      <w:r w:rsidR="00AD1E29" w:rsidRPr="0062673F">
        <w:rPr>
          <w:color w:val="000000" w:themeColor="text1"/>
        </w:rPr>
        <w:t>were based on</w:t>
      </w:r>
      <w:r w:rsidRPr="0062673F">
        <w:rPr>
          <w:color w:val="000000" w:themeColor="text1"/>
        </w:rPr>
        <w:t xml:space="preserve"> </w:t>
      </w:r>
      <w:r w:rsidR="00CE5E56" w:rsidRPr="0062673F">
        <w:rPr>
          <w:color w:val="000000" w:themeColor="text1"/>
        </w:rPr>
        <w:t>the Inte</w:t>
      </w:r>
      <w:r w:rsidR="00690BED" w:rsidRPr="0062673F">
        <w:rPr>
          <w:color w:val="000000" w:themeColor="text1"/>
        </w:rPr>
        <w:t>rnational Obesity Task Force (I</w:t>
      </w:r>
      <w:r w:rsidR="00CE5E56" w:rsidRPr="0062673F">
        <w:rPr>
          <w:color w:val="000000" w:themeColor="text1"/>
        </w:rPr>
        <w:t>O</w:t>
      </w:r>
      <w:r w:rsidR="00690BED" w:rsidRPr="0062673F">
        <w:rPr>
          <w:color w:val="000000" w:themeColor="text1"/>
        </w:rPr>
        <w:t>T</w:t>
      </w:r>
      <w:r w:rsidR="00CE5E56" w:rsidRPr="0062673F">
        <w:rPr>
          <w:color w:val="000000" w:themeColor="text1"/>
        </w:rPr>
        <w:t>F</w:t>
      </w:r>
      <w:r w:rsidR="00AD1E29" w:rsidRPr="0062673F">
        <w:rPr>
          <w:color w:val="000000" w:themeColor="text1"/>
        </w:rPr>
        <w:t>) definitions</w:t>
      </w:r>
      <w:r w:rsidR="006F06C1">
        <w:rPr>
          <w:color w:val="000000" w:themeColor="text1"/>
        </w:rPr>
        <w:t xml:space="preserve"> </w:t>
      </w:r>
      <w:r w:rsidRPr="0062673F">
        <w:rPr>
          <w:color w:val="000000" w:themeColor="text1"/>
        </w:rPr>
        <w:fldChar w:fldCharType="begin" w:fldLock="1"/>
      </w:r>
      <w:r w:rsidR="00467360" w:rsidRPr="0062673F">
        <w:rPr>
          <w:color w:val="000000" w:themeColor="text1"/>
        </w:rPr>
        <w:instrText>ADDIN CSL_CITATION {"citationItems":[{"id":"ITEM-1","itemData":{"DOI":"10.1111/j.2047-6310.2012.00064.x","ISSN":"20476302","PMID":"22715120","abstract":"BACKGROUND The international (International Obesity Task Force; IOTF) body mass index (BMI) cut-offs are widely used to assess the prevalence of child overweight, obesity and thinness. Based on data from six countries fitted by the LMS method, they link BMI values at 18 years (16, 17, 18.5, 25 and 30 kg 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 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 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 = 98.9th centile), allowing them to be compared with other BMI references. For WHO, median BMI is relatively low in early life and high at older ages, probably due to its method of construction.","author":[{"dropping-particle":"","family":"Cole","given":"T. J.","non-dropping-particle":"","parse-names":false,"suffix":""},{"dropping-particle":"","family":"Lobstein","given":"T.","non-dropping-particle":"","parse-names":false,"suffix":""}],"container-title":"Pediatric Obesity","id":"ITEM-1","issue":"4","issued":{"date-parts":[["2012","8"]]},"page":"284-294","title":"Extended international (IOTF) body mass index cut-offs for thinness, overweight and obesity","type":"article-journal","volume":"7"},"uris":["http://www.mendeley.com/documents/?uuid=b4523295-14a4-31ce-bcdc-0556e109cf4d"]}],"mendeley":{"formattedCitation":"[41]","plainTextFormattedCitation":"[41]","previouslyFormattedCitation":"[40]"},"properties":{"noteIndex":0},"schema":"https://github.com/citation-style-language/schema/raw/master/csl-citation.json"}</w:instrText>
      </w:r>
      <w:r w:rsidRPr="0062673F">
        <w:rPr>
          <w:color w:val="000000" w:themeColor="text1"/>
        </w:rPr>
        <w:fldChar w:fldCharType="separate"/>
      </w:r>
      <w:r w:rsidR="00467360" w:rsidRPr="0062673F">
        <w:rPr>
          <w:noProof/>
          <w:color w:val="000000" w:themeColor="text1"/>
        </w:rPr>
        <w:t>[41]</w:t>
      </w:r>
      <w:r w:rsidRPr="0062673F">
        <w:rPr>
          <w:color w:val="000000" w:themeColor="text1"/>
        </w:rPr>
        <w:fldChar w:fldCharType="end"/>
      </w:r>
      <w:r w:rsidR="006F06C1">
        <w:rPr>
          <w:color w:val="000000" w:themeColor="text1"/>
        </w:rPr>
        <w:t>.</w:t>
      </w:r>
      <w:r w:rsidR="001F39AE" w:rsidRPr="0062673F">
        <w:rPr>
          <w:color w:val="000000" w:themeColor="text1"/>
        </w:rPr>
        <w:t xml:space="preserve"> In addition we also report the number of children with obesity and overweight using UK</w:t>
      </w:r>
      <w:r w:rsidR="00BE4892" w:rsidRPr="0062673F">
        <w:rPr>
          <w:color w:val="000000" w:themeColor="text1"/>
        </w:rPr>
        <w:t xml:space="preserve">90 growth charts, using </w:t>
      </w:r>
      <w:r w:rsidR="001F39AE" w:rsidRPr="0062673F">
        <w:rPr>
          <w:color w:val="000000" w:themeColor="text1"/>
        </w:rPr>
        <w:t>the 95</w:t>
      </w:r>
      <w:r w:rsidR="001F39AE" w:rsidRPr="0062673F">
        <w:rPr>
          <w:color w:val="000000" w:themeColor="text1"/>
          <w:vertAlign w:val="superscript"/>
        </w:rPr>
        <w:t>th</w:t>
      </w:r>
      <w:r w:rsidR="001F39AE" w:rsidRPr="0062673F">
        <w:rPr>
          <w:color w:val="000000" w:themeColor="text1"/>
        </w:rPr>
        <w:t xml:space="preserve"> and 85</w:t>
      </w:r>
      <w:r w:rsidR="001F39AE" w:rsidRPr="0062673F">
        <w:rPr>
          <w:color w:val="000000" w:themeColor="text1"/>
          <w:vertAlign w:val="superscript"/>
        </w:rPr>
        <w:t>th</w:t>
      </w:r>
      <w:r w:rsidR="001F39AE" w:rsidRPr="0062673F">
        <w:rPr>
          <w:color w:val="000000" w:themeColor="text1"/>
        </w:rPr>
        <w:t xml:space="preserve"> centile</w:t>
      </w:r>
      <w:r w:rsidR="00BE4892" w:rsidRPr="0062673F">
        <w:rPr>
          <w:color w:val="000000" w:themeColor="text1"/>
        </w:rPr>
        <w:t xml:space="preserve">, which are widely used in the </w:t>
      </w:r>
      <w:r w:rsidR="00BE4892" w:rsidRPr="0062673F">
        <w:rPr>
          <w:rFonts w:cstheme="minorHAnsi"/>
          <w:color w:val="000000" w:themeColor="text1"/>
        </w:rPr>
        <w:t>UK</w:t>
      </w:r>
      <w:r w:rsidR="001F39AE" w:rsidRPr="0062673F">
        <w:rPr>
          <w:rFonts w:cstheme="minorHAnsi"/>
          <w:color w:val="000000" w:themeColor="text1"/>
        </w:rPr>
        <w:t>.</w:t>
      </w:r>
    </w:p>
    <w:p w14:paraId="23E3845B" w14:textId="32D59C0E" w:rsidR="00CA654A" w:rsidRPr="0062673F" w:rsidRDefault="00CA654A" w:rsidP="004A7C45">
      <w:pPr>
        <w:rPr>
          <w:rFonts w:cstheme="minorHAnsi"/>
          <w:b/>
          <w:color w:val="000000" w:themeColor="text1"/>
        </w:rPr>
      </w:pPr>
      <w:r w:rsidRPr="0062673F">
        <w:rPr>
          <w:rFonts w:cstheme="minorHAnsi"/>
          <w:b/>
          <w:color w:val="000000" w:themeColor="text1"/>
        </w:rPr>
        <w:t>Differences by social</w:t>
      </w:r>
      <w:r w:rsidR="00212C84">
        <w:rPr>
          <w:rFonts w:cstheme="minorHAnsi"/>
          <w:b/>
          <w:color w:val="000000" w:themeColor="text1"/>
        </w:rPr>
        <w:t xml:space="preserve"> economic status</w:t>
      </w:r>
    </w:p>
    <w:p w14:paraId="10BBA572" w14:textId="57C379CB" w:rsidR="00281DC0" w:rsidRPr="0062673F" w:rsidRDefault="00CA654A" w:rsidP="00CA654A">
      <w:pPr>
        <w:rPr>
          <w:rFonts w:cstheme="minorHAnsi"/>
          <w:color w:val="000000" w:themeColor="text1"/>
        </w:rPr>
      </w:pPr>
      <w:r w:rsidRPr="0062673F">
        <w:rPr>
          <w:rFonts w:cstheme="minorHAnsi"/>
          <w:color w:val="000000" w:themeColor="text1"/>
        </w:rPr>
        <w:t>We estimated the impact of the restrictions (Scenario A) by social grade</w:t>
      </w:r>
      <w:r w:rsidR="009626D9">
        <w:rPr>
          <w:rFonts w:cstheme="minorHAnsi"/>
          <w:color w:val="000000" w:themeColor="text1"/>
        </w:rPr>
        <w:t xml:space="preserve"> (see Table 1)</w:t>
      </w:r>
      <w:r w:rsidRPr="0062673F">
        <w:rPr>
          <w:rFonts w:cstheme="minorHAnsi"/>
          <w:color w:val="000000" w:themeColor="text1"/>
        </w:rPr>
        <w:t xml:space="preserve">, making allowance for reported differences in body mass index and </w:t>
      </w:r>
      <w:r w:rsidR="00086DD1" w:rsidRPr="0062673F">
        <w:rPr>
          <w:rFonts w:cstheme="minorHAnsi"/>
          <w:color w:val="000000" w:themeColor="text1"/>
        </w:rPr>
        <w:t>television</w:t>
      </w:r>
      <w:r w:rsidRPr="0062673F">
        <w:rPr>
          <w:rFonts w:cstheme="minorHAnsi"/>
          <w:color w:val="000000" w:themeColor="text1"/>
        </w:rPr>
        <w:t xml:space="preserve"> viewing by social grade. </w:t>
      </w:r>
    </w:p>
    <w:p w14:paraId="4F8C6D7D" w14:textId="1E4F5CEE" w:rsidR="00281DC0" w:rsidRPr="0062673F" w:rsidRDefault="001E0877" w:rsidP="00CA654A">
      <w:pPr>
        <w:rPr>
          <w:rFonts w:cstheme="minorHAnsi"/>
          <w:color w:val="000000" w:themeColor="text1"/>
        </w:rPr>
      </w:pPr>
      <w:r w:rsidRPr="0062673F">
        <w:rPr>
          <w:rFonts w:cstheme="minorHAnsi"/>
          <w:color w:val="000000" w:themeColor="text1"/>
        </w:rPr>
        <w:t xml:space="preserve">Based on a survey of </w:t>
      </w:r>
      <w:r w:rsidR="00086DD1" w:rsidRPr="0062673F">
        <w:rPr>
          <w:rFonts w:cstheme="minorHAnsi"/>
          <w:color w:val="000000" w:themeColor="text1"/>
        </w:rPr>
        <w:t>television</w:t>
      </w:r>
      <w:r w:rsidRPr="0062673F">
        <w:rPr>
          <w:rFonts w:cstheme="minorHAnsi"/>
          <w:color w:val="000000" w:themeColor="text1"/>
        </w:rPr>
        <w:t xml:space="preserve"> viewing habits in one UK region in 2009, </w:t>
      </w:r>
      <w:r w:rsidR="00CA654A" w:rsidRPr="0062673F">
        <w:rPr>
          <w:rFonts w:cstheme="minorHAnsi"/>
          <w:color w:val="000000" w:themeColor="text1"/>
        </w:rPr>
        <w:t xml:space="preserve">we assumed children in social </w:t>
      </w:r>
      <w:r w:rsidRPr="0062673F">
        <w:rPr>
          <w:rFonts w:cstheme="minorHAnsi"/>
          <w:color w:val="000000" w:themeColor="text1"/>
        </w:rPr>
        <w:t>grade</w:t>
      </w:r>
      <w:r w:rsidR="00CA654A" w:rsidRPr="0062673F">
        <w:rPr>
          <w:rFonts w:cstheme="minorHAnsi"/>
          <w:color w:val="000000" w:themeColor="text1"/>
        </w:rPr>
        <w:t xml:space="preserve"> DE</w:t>
      </w:r>
      <w:r w:rsidR="003D2A4B" w:rsidRPr="0062673F">
        <w:rPr>
          <w:rFonts w:cstheme="minorHAnsi"/>
          <w:color w:val="000000" w:themeColor="text1"/>
        </w:rPr>
        <w:t xml:space="preserve"> </w:t>
      </w:r>
      <w:r w:rsidR="00CA654A" w:rsidRPr="0062673F">
        <w:rPr>
          <w:rFonts w:cstheme="minorHAnsi"/>
          <w:color w:val="000000" w:themeColor="text1"/>
        </w:rPr>
        <w:t xml:space="preserve">watched 2.11 time more television than children in social </w:t>
      </w:r>
      <w:r w:rsidRPr="0062673F">
        <w:rPr>
          <w:rFonts w:cstheme="minorHAnsi"/>
          <w:color w:val="000000" w:themeColor="text1"/>
        </w:rPr>
        <w:t>grade</w:t>
      </w:r>
      <w:r w:rsidR="00CA654A" w:rsidRPr="0062673F">
        <w:rPr>
          <w:rFonts w:cstheme="minorHAnsi"/>
          <w:color w:val="000000" w:themeColor="text1"/>
        </w:rPr>
        <w:t>, and consequently 2.11 times more unhealthy food advertisements. We assumed children in social</w:t>
      </w:r>
      <w:r w:rsidRPr="0062673F">
        <w:rPr>
          <w:rFonts w:cstheme="minorHAnsi"/>
          <w:color w:val="000000" w:themeColor="text1"/>
        </w:rPr>
        <w:t xml:space="preserve"> grade</w:t>
      </w:r>
      <w:r w:rsidR="00CA654A" w:rsidRPr="0062673F">
        <w:rPr>
          <w:rFonts w:cstheme="minorHAnsi"/>
          <w:color w:val="000000" w:themeColor="text1"/>
        </w:rPr>
        <w:t xml:space="preserve"> C</w:t>
      </w:r>
      <w:r w:rsidR="003D2A4B" w:rsidRPr="0062673F">
        <w:rPr>
          <w:rFonts w:cstheme="minorHAnsi"/>
          <w:color w:val="000000" w:themeColor="text1"/>
        </w:rPr>
        <w:t xml:space="preserve"> </w:t>
      </w:r>
      <w:r w:rsidR="00CA654A" w:rsidRPr="0062673F">
        <w:rPr>
          <w:rFonts w:cstheme="minorHAnsi"/>
          <w:color w:val="000000" w:themeColor="text1"/>
        </w:rPr>
        <w:t xml:space="preserve">watched 1.45 times than children in social </w:t>
      </w:r>
      <w:r w:rsidRPr="0062673F">
        <w:rPr>
          <w:rFonts w:cstheme="minorHAnsi"/>
          <w:color w:val="000000" w:themeColor="text1"/>
        </w:rPr>
        <w:t>grade DE</w:t>
      </w:r>
      <w:r w:rsidR="006F06C1">
        <w:rPr>
          <w:rFonts w:cstheme="minorHAnsi"/>
          <w:color w:val="000000" w:themeColor="text1"/>
        </w:rPr>
        <w:t xml:space="preserve"> </w:t>
      </w:r>
      <w:r w:rsidR="003D2A4B" w:rsidRPr="0062673F">
        <w:rPr>
          <w:rFonts w:cstheme="minorHAnsi"/>
          <w:color w:val="000000" w:themeColor="text1"/>
        </w:rPr>
        <w:fldChar w:fldCharType="begin" w:fldLock="1"/>
      </w:r>
      <w:r w:rsidR="00467360" w:rsidRPr="0062673F">
        <w:rPr>
          <w:rFonts w:cstheme="minorHAnsi"/>
          <w:color w:val="000000" w:themeColor="text1"/>
        </w:rPr>
        <w:instrText>ADDIN CSL_CITATION {"citationItems":[{"id":"ITEM-1","itemData":{"DOI":"10.1017/S1368980011001686","ISSN":"1368-9800","PMID":"21806864","abstract":"OBJECTIVE To document socio-economic differences in exposure to food advertising, including advertisements for foods high in fat, salt and sugar (HFSS) as defined by the UK Food Standards Agency's Nutrient Profiling Model. DESIGN A cross-sectional survey. Information (including product advertised and viewing figures) on all advertisements broadcast in one UK region over one week (6-12 July 2009) was obtained. Food advertisements were identified and linked to nutritional information on the content of advertised foods. SETTING UK Tyne-Tees television region. SUBJECTS Data were sourced from a UK-wide television viewing panel. RESULTS Eleven per cent of advertising seen was for food and 63 % of food advertising seen was for HFSS foods. The proportion of all advertising seen that was for food was smaller among viewers in the least v. most affluent social grade (OR = 0·98, 99 % CI 0·95, 1·00). There was no difference in the proportion of food advertising seen that was for HFSS food between viewers in the most and least affluent social grades. Total exposure to both all food advertising and HFSS food advertising was 2·1 times greater among the least v. the most affluent viewers. CONCLUSIONS While the least affluent viewers saw relatively fewer food advertisements, their absolute exposure to all food and HFSS food advertisements was higher than that of the most affluent viewers. Current UK restrictions prohibit advertisements for HFSS foods during programmes with a high proportion of child viewers. Extending these to all programming may reduce socio-economic inequalities in exposure to these advertisements and in diet and obesity.","author":[{"dropping-particle":"","family":"Adams","given":"Jean","non-dropping-particle":"","parse-names":false,"suffix":""},{"dropping-particle":"","family":"Tyrrell","given":"Rachel","non-dropping-particle":"","parse-names":false,"suffix":""},{"dropping-particle":"","family":"Adamson","given":"Ashley J","non-dropping-particle":"","parse-names":false,"suffix":""},{"dropping-particle":"","family":"White","given":"Martin","non-dropping-particle":"","parse-names":false,"suffix":""}],"container-title":"Public Health Nutrition","id":"ITEM-1","issue":"03","issued":{"date-parts":[["2012","3","2"]]},"page":"487-494","title":"Socio-economic differences in exposure to television food advertisements in the UK: a cross-sectional study of advertisements broadcast in one television region","type":"article-journal","volume":"15"},"uris":["http://www.mendeley.com/documents/?uuid=a05dfa3f-580b-366b-bd54-e3365576eaa5"]}],"mendeley":{"formattedCitation":"[42]","plainTextFormattedCitation":"[42]","previouslyFormattedCitation":"[41]"},"properties":{"noteIndex":0},"schema":"https://github.com/citation-style-language/schema/raw/master/csl-citation.json"}</w:instrText>
      </w:r>
      <w:r w:rsidR="003D2A4B" w:rsidRPr="0062673F">
        <w:rPr>
          <w:rFonts w:cstheme="minorHAnsi"/>
          <w:color w:val="000000" w:themeColor="text1"/>
        </w:rPr>
        <w:fldChar w:fldCharType="separate"/>
      </w:r>
      <w:r w:rsidR="00467360" w:rsidRPr="0062673F">
        <w:rPr>
          <w:rFonts w:cstheme="minorHAnsi"/>
          <w:noProof/>
          <w:color w:val="000000" w:themeColor="text1"/>
        </w:rPr>
        <w:t>[42]</w:t>
      </w:r>
      <w:r w:rsidR="003D2A4B" w:rsidRPr="0062673F">
        <w:rPr>
          <w:rFonts w:cstheme="minorHAnsi"/>
          <w:color w:val="000000" w:themeColor="text1"/>
        </w:rPr>
        <w:fldChar w:fldCharType="end"/>
      </w:r>
      <w:r w:rsidR="0066542D" w:rsidRPr="0062673F">
        <w:rPr>
          <w:rFonts w:cstheme="minorHAnsi"/>
          <w:color w:val="000000" w:themeColor="text1"/>
        </w:rPr>
        <w:t>.</w:t>
      </w:r>
      <w:r w:rsidR="00CA654A" w:rsidRPr="0062673F">
        <w:rPr>
          <w:rFonts w:cstheme="minorHAnsi"/>
          <w:color w:val="000000" w:themeColor="text1"/>
        </w:rPr>
        <w:t xml:space="preserve"> </w:t>
      </w:r>
    </w:p>
    <w:p w14:paraId="4F57D5F5" w14:textId="77777777" w:rsidR="009626D9" w:rsidRDefault="009626D9" w:rsidP="00CA654A">
      <w:pPr>
        <w:rPr>
          <w:rFonts w:cstheme="minorHAnsi"/>
          <w:color w:val="000000" w:themeColor="text1"/>
        </w:rPr>
      </w:pPr>
    </w:p>
    <w:p w14:paraId="36D9C715" w14:textId="7B74012C" w:rsidR="009626D9" w:rsidRPr="00FC7AAD" w:rsidRDefault="009626D9" w:rsidP="00CA654A">
      <w:pPr>
        <w:rPr>
          <w:rFonts w:cstheme="minorHAnsi"/>
          <w:b/>
          <w:bCs/>
          <w:color w:val="000000" w:themeColor="text1"/>
        </w:rPr>
      </w:pPr>
      <w:r w:rsidRPr="00FC7AAD">
        <w:rPr>
          <w:rFonts w:cstheme="minorHAnsi"/>
          <w:b/>
          <w:bCs/>
          <w:color w:val="000000" w:themeColor="text1"/>
        </w:rPr>
        <w:t>Table 1: Definition of social grade in the UK</w:t>
      </w:r>
    </w:p>
    <w:tbl>
      <w:tblPr>
        <w:tblStyle w:val="TableGrid"/>
        <w:tblW w:w="0" w:type="auto"/>
        <w:tblLook w:val="04A0" w:firstRow="1" w:lastRow="0" w:firstColumn="1" w:lastColumn="0" w:noHBand="0" w:noVBand="1"/>
      </w:tblPr>
      <w:tblGrid>
        <w:gridCol w:w="2122"/>
        <w:gridCol w:w="6894"/>
      </w:tblGrid>
      <w:tr w:rsidR="009626D9" w:rsidRPr="009626D9" w14:paraId="7A874A88" w14:textId="77777777" w:rsidTr="00FC7AAD">
        <w:tc>
          <w:tcPr>
            <w:tcW w:w="2122" w:type="dxa"/>
          </w:tcPr>
          <w:p w14:paraId="1CA834A4" w14:textId="508295C7" w:rsidR="009626D9" w:rsidRPr="00FC7AAD" w:rsidRDefault="009626D9" w:rsidP="009626D9">
            <w:pPr>
              <w:rPr>
                <w:rFonts w:cstheme="minorHAnsi"/>
                <w:b/>
                <w:bCs/>
                <w:color w:val="000000" w:themeColor="text1"/>
              </w:rPr>
            </w:pPr>
            <w:r w:rsidRPr="00FC7AAD">
              <w:rPr>
                <w:rFonts w:cstheme="minorHAnsi"/>
                <w:b/>
                <w:bCs/>
              </w:rPr>
              <w:t>Social Grade</w:t>
            </w:r>
          </w:p>
        </w:tc>
        <w:tc>
          <w:tcPr>
            <w:tcW w:w="6894" w:type="dxa"/>
          </w:tcPr>
          <w:p w14:paraId="7BF82A9A" w14:textId="3CB8C1D1" w:rsidR="009626D9" w:rsidRPr="00FC7AAD" w:rsidRDefault="009626D9" w:rsidP="009626D9">
            <w:pPr>
              <w:rPr>
                <w:rFonts w:cstheme="minorHAnsi"/>
                <w:b/>
                <w:bCs/>
                <w:color w:val="000000" w:themeColor="text1"/>
              </w:rPr>
            </w:pPr>
            <w:r w:rsidRPr="00FC7AAD">
              <w:rPr>
                <w:rFonts w:cstheme="minorHAnsi"/>
                <w:b/>
                <w:bCs/>
              </w:rPr>
              <w:t>Definition</w:t>
            </w:r>
          </w:p>
        </w:tc>
      </w:tr>
      <w:tr w:rsidR="009626D9" w:rsidRPr="009626D9" w14:paraId="403FEAC9" w14:textId="77777777" w:rsidTr="00FC7AAD">
        <w:tc>
          <w:tcPr>
            <w:tcW w:w="2122" w:type="dxa"/>
          </w:tcPr>
          <w:p w14:paraId="33433586" w14:textId="16F0568E" w:rsidR="009626D9" w:rsidRPr="009626D9" w:rsidRDefault="009626D9" w:rsidP="009626D9">
            <w:pPr>
              <w:rPr>
                <w:rFonts w:cstheme="minorHAnsi"/>
                <w:color w:val="000000" w:themeColor="text1"/>
              </w:rPr>
            </w:pPr>
            <w:r w:rsidRPr="0092761E">
              <w:rPr>
                <w:rFonts w:cstheme="minorHAnsi"/>
              </w:rPr>
              <w:t>A</w:t>
            </w:r>
          </w:p>
        </w:tc>
        <w:tc>
          <w:tcPr>
            <w:tcW w:w="6894" w:type="dxa"/>
          </w:tcPr>
          <w:p w14:paraId="346921BC" w14:textId="1D354115" w:rsidR="009626D9" w:rsidRPr="009626D9" w:rsidRDefault="009626D9" w:rsidP="009626D9">
            <w:pPr>
              <w:rPr>
                <w:rFonts w:cstheme="minorHAnsi"/>
                <w:color w:val="000000" w:themeColor="text1"/>
              </w:rPr>
            </w:pPr>
            <w:r w:rsidRPr="0092761E">
              <w:rPr>
                <w:rFonts w:cstheme="minorHAnsi"/>
              </w:rPr>
              <w:t>Higher managerial, administrative or professional</w:t>
            </w:r>
          </w:p>
        </w:tc>
      </w:tr>
      <w:tr w:rsidR="009626D9" w:rsidRPr="009626D9" w14:paraId="23D7D163" w14:textId="77777777" w:rsidTr="00FC7AAD">
        <w:tc>
          <w:tcPr>
            <w:tcW w:w="2122" w:type="dxa"/>
          </w:tcPr>
          <w:p w14:paraId="6F1EF16A" w14:textId="1F0E7EA6" w:rsidR="009626D9" w:rsidRPr="009626D9" w:rsidRDefault="009626D9" w:rsidP="009626D9">
            <w:pPr>
              <w:rPr>
                <w:rFonts w:cstheme="minorHAnsi"/>
                <w:color w:val="000000" w:themeColor="text1"/>
              </w:rPr>
            </w:pPr>
            <w:r w:rsidRPr="0092761E">
              <w:rPr>
                <w:rFonts w:cstheme="minorHAnsi"/>
              </w:rPr>
              <w:t>B</w:t>
            </w:r>
          </w:p>
        </w:tc>
        <w:tc>
          <w:tcPr>
            <w:tcW w:w="6894" w:type="dxa"/>
          </w:tcPr>
          <w:p w14:paraId="11206BE4" w14:textId="0A1D6CBE" w:rsidR="009626D9" w:rsidRPr="009626D9" w:rsidRDefault="009626D9" w:rsidP="009626D9">
            <w:pPr>
              <w:rPr>
                <w:rFonts w:cstheme="minorHAnsi"/>
                <w:color w:val="000000" w:themeColor="text1"/>
              </w:rPr>
            </w:pPr>
            <w:r w:rsidRPr="0092761E">
              <w:rPr>
                <w:rFonts w:cstheme="minorHAnsi"/>
              </w:rPr>
              <w:t>Intermediate managerial, administrative or professional</w:t>
            </w:r>
          </w:p>
        </w:tc>
      </w:tr>
      <w:tr w:rsidR="009626D9" w:rsidRPr="009626D9" w14:paraId="3876D477" w14:textId="77777777" w:rsidTr="00FC7AAD">
        <w:tc>
          <w:tcPr>
            <w:tcW w:w="2122" w:type="dxa"/>
            <w:vAlign w:val="center"/>
          </w:tcPr>
          <w:p w14:paraId="2988885A" w14:textId="76D0ADDA" w:rsidR="009626D9" w:rsidRPr="009626D9" w:rsidRDefault="009626D9" w:rsidP="009626D9">
            <w:pPr>
              <w:rPr>
                <w:rFonts w:cstheme="minorHAnsi"/>
                <w:color w:val="000000" w:themeColor="text1"/>
              </w:rPr>
            </w:pPr>
            <w:r w:rsidRPr="00FC7AAD">
              <w:rPr>
                <w:rFonts w:cstheme="minorHAnsi"/>
                <w:b/>
                <w:bCs/>
                <w:color w:val="202122"/>
              </w:rPr>
              <w:t>C</w:t>
            </w:r>
          </w:p>
        </w:tc>
        <w:tc>
          <w:tcPr>
            <w:tcW w:w="6894" w:type="dxa"/>
            <w:vAlign w:val="center"/>
          </w:tcPr>
          <w:p w14:paraId="75E39FD0" w14:textId="3EAA8CA4" w:rsidR="009626D9" w:rsidRPr="009626D9" w:rsidRDefault="009626D9" w:rsidP="009626D9">
            <w:pPr>
              <w:rPr>
                <w:rFonts w:cstheme="minorHAnsi"/>
                <w:color w:val="000000" w:themeColor="text1"/>
              </w:rPr>
            </w:pPr>
            <w:r w:rsidRPr="00FC7AAD">
              <w:rPr>
                <w:rFonts w:cstheme="minorHAnsi"/>
                <w:color w:val="202122"/>
              </w:rPr>
              <w:t>Supervisory or clerical and junior managerial, administrative or professional; skilled manual workers</w:t>
            </w:r>
          </w:p>
        </w:tc>
      </w:tr>
      <w:tr w:rsidR="009626D9" w:rsidRPr="009626D9" w14:paraId="50F30E42" w14:textId="77777777" w:rsidTr="00FC7AAD">
        <w:tc>
          <w:tcPr>
            <w:tcW w:w="2122" w:type="dxa"/>
            <w:vAlign w:val="center"/>
          </w:tcPr>
          <w:p w14:paraId="41C1B445" w14:textId="06747F9A" w:rsidR="009626D9" w:rsidRPr="009626D9" w:rsidRDefault="009626D9" w:rsidP="009626D9">
            <w:pPr>
              <w:rPr>
                <w:rFonts w:cstheme="minorHAnsi"/>
                <w:color w:val="000000" w:themeColor="text1"/>
              </w:rPr>
            </w:pPr>
            <w:r w:rsidRPr="00FC7AAD">
              <w:rPr>
                <w:rFonts w:cstheme="minorHAnsi"/>
                <w:b/>
                <w:bCs/>
                <w:color w:val="202122"/>
              </w:rPr>
              <w:t>D</w:t>
            </w:r>
          </w:p>
        </w:tc>
        <w:tc>
          <w:tcPr>
            <w:tcW w:w="6894" w:type="dxa"/>
            <w:vAlign w:val="center"/>
          </w:tcPr>
          <w:p w14:paraId="3F2D8924" w14:textId="3E4FFA3B" w:rsidR="009626D9" w:rsidRPr="009626D9" w:rsidRDefault="009626D9" w:rsidP="009626D9">
            <w:pPr>
              <w:rPr>
                <w:rFonts w:cstheme="minorHAnsi"/>
                <w:color w:val="000000" w:themeColor="text1"/>
              </w:rPr>
            </w:pPr>
            <w:r w:rsidRPr="00FC7AAD">
              <w:rPr>
                <w:rFonts w:cstheme="minorHAnsi"/>
                <w:color w:val="202122"/>
              </w:rPr>
              <w:t>Semi-skilled and unskilled manual workers</w:t>
            </w:r>
          </w:p>
        </w:tc>
      </w:tr>
      <w:tr w:rsidR="009626D9" w:rsidRPr="009626D9" w14:paraId="4BD0232C" w14:textId="77777777" w:rsidTr="00FC7AAD">
        <w:tc>
          <w:tcPr>
            <w:tcW w:w="2122" w:type="dxa"/>
            <w:vAlign w:val="center"/>
          </w:tcPr>
          <w:p w14:paraId="1776CE33" w14:textId="1D3F879F" w:rsidR="009626D9" w:rsidRPr="009626D9" w:rsidRDefault="009626D9" w:rsidP="009626D9">
            <w:pPr>
              <w:rPr>
                <w:rFonts w:cstheme="minorHAnsi"/>
                <w:color w:val="000000" w:themeColor="text1"/>
              </w:rPr>
            </w:pPr>
            <w:r w:rsidRPr="00FC7AAD">
              <w:rPr>
                <w:rFonts w:cstheme="minorHAnsi"/>
                <w:b/>
                <w:bCs/>
                <w:color w:val="202122"/>
              </w:rPr>
              <w:t>E</w:t>
            </w:r>
          </w:p>
        </w:tc>
        <w:tc>
          <w:tcPr>
            <w:tcW w:w="6894" w:type="dxa"/>
            <w:vAlign w:val="center"/>
          </w:tcPr>
          <w:p w14:paraId="43D1344C" w14:textId="29429E9A" w:rsidR="009626D9" w:rsidRPr="009626D9" w:rsidRDefault="009626D9" w:rsidP="009626D9">
            <w:pPr>
              <w:rPr>
                <w:rFonts w:cstheme="minorHAnsi"/>
                <w:color w:val="000000" w:themeColor="text1"/>
              </w:rPr>
            </w:pPr>
            <w:r w:rsidRPr="00FC7AAD">
              <w:rPr>
                <w:rFonts w:cstheme="minorHAnsi"/>
                <w:color w:val="202122"/>
              </w:rPr>
              <w:t>State pensioners, casual and lowest grade workers, unemployed with state benefits only</w:t>
            </w:r>
          </w:p>
        </w:tc>
      </w:tr>
    </w:tbl>
    <w:p w14:paraId="2C5DE54E" w14:textId="5728FE02" w:rsidR="009626D9" w:rsidRPr="009626D9" w:rsidRDefault="009626D9" w:rsidP="00CA654A">
      <w:pPr>
        <w:rPr>
          <w:rFonts w:cstheme="minorHAnsi"/>
          <w:color w:val="000000" w:themeColor="text1"/>
        </w:rPr>
      </w:pPr>
      <w:r w:rsidRPr="009626D9">
        <w:rPr>
          <w:rFonts w:cstheme="minorHAnsi"/>
          <w:color w:val="000000" w:themeColor="text1"/>
        </w:rPr>
        <w:t xml:space="preserve">Source: National Readership Survey: </w:t>
      </w:r>
      <w:hyperlink r:id="rId12" w:history="1">
        <w:r w:rsidRPr="009626D9">
          <w:rPr>
            <w:rStyle w:val="Hyperlink"/>
            <w:rFonts w:cstheme="minorHAnsi"/>
          </w:rPr>
          <w:t>http://www.nrs.co.uk/nrs-print/lifestyle-and-classification-data/social-grade/</w:t>
        </w:r>
      </w:hyperlink>
    </w:p>
    <w:p w14:paraId="2CF67B1C" w14:textId="77777777" w:rsidR="009626D9" w:rsidRDefault="009626D9" w:rsidP="00CA654A">
      <w:pPr>
        <w:rPr>
          <w:rFonts w:cstheme="minorHAnsi"/>
          <w:color w:val="000000" w:themeColor="text1"/>
        </w:rPr>
      </w:pPr>
    </w:p>
    <w:p w14:paraId="01B722FA" w14:textId="1E794270" w:rsidR="00CA654A" w:rsidRPr="0062673F" w:rsidRDefault="00CA654A" w:rsidP="00CA654A">
      <w:pPr>
        <w:rPr>
          <w:rFonts w:cstheme="minorHAnsi"/>
          <w:color w:val="000000" w:themeColor="text1"/>
        </w:rPr>
      </w:pPr>
      <w:r w:rsidRPr="0062673F">
        <w:rPr>
          <w:rFonts w:cstheme="minorHAnsi"/>
          <w:color w:val="000000" w:themeColor="text1"/>
        </w:rPr>
        <w:t xml:space="preserve">Weighting by population size (based on 2011 census data with social </w:t>
      </w:r>
      <w:r w:rsidR="003D2A4B" w:rsidRPr="0062673F">
        <w:rPr>
          <w:rFonts w:cstheme="minorHAnsi"/>
          <w:color w:val="000000" w:themeColor="text1"/>
        </w:rPr>
        <w:t>grade</w:t>
      </w:r>
      <w:r w:rsidRPr="0062673F">
        <w:rPr>
          <w:rFonts w:cstheme="minorHAnsi"/>
          <w:color w:val="000000" w:themeColor="text1"/>
        </w:rPr>
        <w:t xml:space="preserve"> of the head of the household)</w:t>
      </w:r>
      <w:r w:rsidR="006F06C1">
        <w:rPr>
          <w:rFonts w:cstheme="minorHAnsi"/>
          <w:color w:val="000000" w:themeColor="text1"/>
        </w:rPr>
        <w:t xml:space="preserve"> </w:t>
      </w:r>
      <w:r w:rsidR="00281DC0" w:rsidRPr="0062673F">
        <w:rPr>
          <w:rFonts w:cstheme="minorHAnsi"/>
          <w:color w:val="000000" w:themeColor="text1"/>
        </w:rPr>
        <w:fldChar w:fldCharType="begin" w:fldLock="1"/>
      </w:r>
      <w:r w:rsidR="00467360" w:rsidRPr="0062673F">
        <w:rPr>
          <w:rFonts w:cstheme="minorHAnsi"/>
          <w:color w:val="000000" w:themeColor="text1"/>
        </w:rPr>
        <w:instrText>ADDIN CSL_CITATION {"citationItems":[{"id":"ITEM-1","itemData":{"URL":"https://www.nomisweb.co.uk/census/2011/DC6127EW/view/2092957703?rows=household_composition&amp;cols=c_scgpuk11","accessed":{"date-parts":[["2019","11","24"]]},"author":[{"dropping-particle":"","family":"Office for National Statistics","given":"","non-dropping-particle":"","parse-names":false,"suffix":""}],"container-title":"Nomis Official Labour Market Statistics","id":"ITEM-1","issued":{"date-parts":[["2011"]]},"title":"DC6127EW - Approximated social grade by household composition","type":"webpage"},"uris":["http://www.mendeley.com/documents/?uuid=f856915a-425e-49d2-ba38-580c6f0a8c4d"]}],"mendeley":{"formattedCitation":"[43]","plainTextFormattedCitation":"[43]","previouslyFormattedCitation":"[42]"},"properties":{"noteIndex":0},"schema":"https://github.com/citation-style-language/schema/raw/master/csl-citation.json"}</w:instrText>
      </w:r>
      <w:r w:rsidR="00281DC0" w:rsidRPr="0062673F">
        <w:rPr>
          <w:rFonts w:cstheme="minorHAnsi"/>
          <w:color w:val="000000" w:themeColor="text1"/>
        </w:rPr>
        <w:fldChar w:fldCharType="separate"/>
      </w:r>
      <w:r w:rsidR="00467360" w:rsidRPr="0062673F">
        <w:rPr>
          <w:rFonts w:cstheme="minorHAnsi"/>
          <w:noProof/>
          <w:color w:val="000000" w:themeColor="text1"/>
        </w:rPr>
        <w:t>[43]</w:t>
      </w:r>
      <w:r w:rsidR="00281DC0" w:rsidRPr="0062673F">
        <w:rPr>
          <w:rFonts w:cstheme="minorHAnsi"/>
          <w:color w:val="000000" w:themeColor="text1"/>
        </w:rPr>
        <w:fldChar w:fldCharType="end"/>
      </w:r>
      <w:r w:rsidRPr="0062673F">
        <w:rPr>
          <w:rFonts w:cstheme="minorHAnsi"/>
          <w:color w:val="000000" w:themeColor="text1"/>
        </w:rPr>
        <w:t xml:space="preserve"> and applying to the 2015 dataset on HFSS advertising on television, for scenario A this equated to 0.9</w:t>
      </w:r>
      <w:r w:rsidR="00281DC0" w:rsidRPr="0062673F">
        <w:rPr>
          <w:rFonts w:cstheme="minorHAnsi"/>
          <w:color w:val="000000" w:themeColor="text1"/>
        </w:rPr>
        <w:t>7</w:t>
      </w:r>
      <w:r w:rsidRPr="0062673F">
        <w:rPr>
          <w:rFonts w:cstheme="minorHAnsi"/>
          <w:color w:val="000000" w:themeColor="text1"/>
        </w:rPr>
        <w:t>, 1.4</w:t>
      </w:r>
      <w:r w:rsidR="00281DC0" w:rsidRPr="0062673F">
        <w:rPr>
          <w:rFonts w:cstheme="minorHAnsi"/>
          <w:color w:val="000000" w:themeColor="text1"/>
        </w:rPr>
        <w:t>2</w:t>
      </w:r>
      <w:r w:rsidRPr="0062673F">
        <w:rPr>
          <w:rFonts w:cstheme="minorHAnsi"/>
          <w:color w:val="000000" w:themeColor="text1"/>
        </w:rPr>
        <w:t xml:space="preserve"> and 2.0</w:t>
      </w:r>
      <w:r w:rsidR="00281DC0" w:rsidRPr="0062673F">
        <w:rPr>
          <w:rFonts w:cstheme="minorHAnsi"/>
          <w:color w:val="000000" w:themeColor="text1"/>
        </w:rPr>
        <w:t>6</w:t>
      </w:r>
      <w:r w:rsidRPr="0062673F">
        <w:rPr>
          <w:rFonts w:cstheme="minorHAnsi"/>
          <w:color w:val="000000" w:themeColor="text1"/>
        </w:rPr>
        <w:t xml:space="preserve"> fewer HFSS adverts seen per day by children in social </w:t>
      </w:r>
      <w:r w:rsidR="00281DC0" w:rsidRPr="0062673F">
        <w:rPr>
          <w:rFonts w:cstheme="minorHAnsi"/>
          <w:color w:val="000000" w:themeColor="text1"/>
        </w:rPr>
        <w:t>grade AB, grade</w:t>
      </w:r>
      <w:r w:rsidRPr="0062673F">
        <w:rPr>
          <w:rFonts w:cstheme="minorHAnsi"/>
          <w:color w:val="000000" w:themeColor="text1"/>
        </w:rPr>
        <w:t xml:space="preserve"> C</w:t>
      </w:r>
      <w:r w:rsidR="00281DC0" w:rsidRPr="0062673F">
        <w:rPr>
          <w:rFonts w:cstheme="minorHAnsi"/>
          <w:color w:val="000000" w:themeColor="text1"/>
        </w:rPr>
        <w:t xml:space="preserve"> and grade</w:t>
      </w:r>
      <w:r w:rsidRPr="0062673F">
        <w:rPr>
          <w:rFonts w:cstheme="minorHAnsi"/>
          <w:color w:val="000000" w:themeColor="text1"/>
        </w:rPr>
        <w:t xml:space="preserve"> DE respectively.</w:t>
      </w:r>
    </w:p>
    <w:p w14:paraId="69C56F17" w14:textId="65ACCDE8" w:rsidR="00CA654A" w:rsidRPr="0062673F" w:rsidRDefault="00281DC0" w:rsidP="00CA654A">
      <w:pPr>
        <w:rPr>
          <w:rFonts w:cstheme="minorHAnsi"/>
          <w:color w:val="000000" w:themeColor="text1"/>
        </w:rPr>
      </w:pPr>
      <w:r w:rsidRPr="0062673F">
        <w:rPr>
          <w:rFonts w:cstheme="minorHAnsi"/>
          <w:color w:val="000000" w:themeColor="text1"/>
        </w:rPr>
        <w:t>Differences in BMI by social grade were taken from the Millennium Cohort Study, a cohort of 19,000 children born in 2000-01 in the UK, using data from children aged 7, 11 and 14 years (i.e. in 2007-8, 2011-12 and 2014-15), equating the five-point scale of social class reported in the study to social grade</w:t>
      </w:r>
      <w:r w:rsidR="006F06C1">
        <w:rPr>
          <w:rFonts w:cstheme="minorHAnsi"/>
          <w:color w:val="000000" w:themeColor="text1"/>
        </w:rPr>
        <w:t xml:space="preserve"> </w:t>
      </w:r>
      <w:r w:rsidR="003C036D" w:rsidRPr="0062673F">
        <w:rPr>
          <w:rFonts w:cstheme="minorHAnsi"/>
          <w:color w:val="000000" w:themeColor="text1"/>
        </w:rPr>
        <w:fldChar w:fldCharType="begin" w:fldLock="1"/>
      </w:r>
      <w:r w:rsidR="00467360" w:rsidRPr="0062673F">
        <w:rPr>
          <w:rFonts w:cstheme="minorHAnsi"/>
          <w:color w:val="000000" w:themeColor="text1"/>
        </w:rPr>
        <w:instrText>ADDIN CSL_CITATION {"citationItems":[{"id":"ITEM-1","itemData":{"DOI":"10.1016/S2468-2667(18)30045-8","ISSN":"24682667","PMID":"29571937","abstract":"BACKGROUND Socioeconomic inequalities in childhood body-mass index (BMI) have been documented in high-income countries; however, uncertainty exists with regard to how they have changed over time, how inequalities in the composite parts (ie, weight and height) of BMI have changed, and whether inequalities differ in magnitude across the outcome distribution. Therefore, we aimed to investigate how socioeconomic inequalities in childhood and adolescent weight, height, and BMI have changed over time in Britain. METHODS We used data from four British longitudinal, observational, birth cohort studies: the 1946 Medical Research Council National Survey of Health and Development (1946 NSHD), 1958 National Child Development Study (1958 NCDS), 1970 British Cohort Study (1970 BCS), and 2001 Millennium Cohort Study (2001 MCS). BMI (kg/m2) was derived in each study from measured weight and height. Childhood socioeconomic position was indicated by the father's occupational social class, measured at the ages of 10-11 years. We examined associations between childhood socioeconomic position and anthropometric outcomes at age 7 years, 11 years, and 15 years to assess socioeconomic inequalities in each cohort using gender-adjusted linear regression models. We also used multilevel models to examine whether these inequalities widened or narrowed from childhood to adolescence, and quantile regression was used to examine whether the magnitude of inequalities differed across the outcome distribution. FINDINGS In England, Scotland, and Wales, 5362 singleton births were enrolled in 1946, 17 202 in 1958, 17 290 in 1970, and 16 404 in 2001. Low socioeconomic position was associated with lower weight at childhood and adolescent in the earlier-born cohorts (1946-70), but with higher weight in the 2001 MCS cohort. Weight disparities became larger from childhood to adolescence in the 2001 MCS but not the earlier-born cohorts (pinteraction=0·001). Low socioeconomic position was also associated with shorter height in all cohorts, yet the absolute magnitude of this difference narrowed across generations. These disparities widened with age in the 2001 MCS (pinteraction=0·002) but not in the earlier-born cohorts. There was little inequality in childhood BMI in the 1946-70 cohorts, whereas inequalities were present in the 2001 cohort and widened from childhood to adolescence in the 1958-2001 cohorts (pinteraction&lt;0·05 in the later three cohorts but not the 1946 NSHD). BMI and weight dispariti…","author":[{"dropping-particle":"","family":"Bann","given":"David","non-dropping-particle":"","parse-names":false,"suffix":""},{"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The Lancet Public Health","id":"ITEM-1","issue":"4","issued":{"date-parts":[["2018","4"]]},"page":"e194-e203","title":"Socioeconomic inequalities in childhood and adolescent body-mass index, weight, and height from 1953 to 2015: an analysis of four longitudinal, observational, British birth cohort studies","type":"article-journal","volume":"3"},"uris":["http://www.mendeley.com/documents/?uuid=23a09005-9423-3569-883c-bf4455eac48e"]}],"mendeley":{"formattedCitation":"[44]","plainTextFormattedCitation":"[44]","previouslyFormattedCitation":"[43]"},"properties":{"noteIndex":0},"schema":"https://github.com/citation-style-language/schema/raw/master/csl-citation.json"}</w:instrText>
      </w:r>
      <w:r w:rsidR="003C036D" w:rsidRPr="0062673F">
        <w:rPr>
          <w:rFonts w:cstheme="minorHAnsi"/>
          <w:color w:val="000000" w:themeColor="text1"/>
        </w:rPr>
        <w:fldChar w:fldCharType="separate"/>
      </w:r>
      <w:r w:rsidR="00467360" w:rsidRPr="0062673F">
        <w:rPr>
          <w:rFonts w:cstheme="minorHAnsi"/>
          <w:noProof/>
          <w:color w:val="000000" w:themeColor="text1"/>
        </w:rPr>
        <w:t>[44]</w:t>
      </w:r>
      <w:r w:rsidR="003C036D" w:rsidRPr="0062673F">
        <w:rPr>
          <w:rFonts w:cstheme="minorHAnsi"/>
          <w:color w:val="000000" w:themeColor="text1"/>
        </w:rPr>
        <w:fldChar w:fldCharType="end"/>
      </w:r>
      <w:r w:rsidR="006F06C1">
        <w:rPr>
          <w:rFonts w:cstheme="minorHAnsi"/>
          <w:color w:val="000000" w:themeColor="text1"/>
        </w:rPr>
        <w:t>.</w:t>
      </w:r>
      <w:r w:rsidRPr="0062673F">
        <w:rPr>
          <w:rFonts w:cstheme="minorHAnsi"/>
          <w:color w:val="000000" w:themeColor="text1"/>
        </w:rPr>
        <w:t xml:space="preserve"> </w:t>
      </w:r>
      <w:r w:rsidR="00CA654A" w:rsidRPr="0062673F">
        <w:rPr>
          <w:rFonts w:cstheme="minorHAnsi"/>
          <w:color w:val="000000" w:themeColor="text1"/>
        </w:rPr>
        <w:t>Weighting by population size</w:t>
      </w:r>
      <w:r w:rsidR="003C036D" w:rsidRPr="0062673F">
        <w:rPr>
          <w:rFonts w:cstheme="minorHAnsi"/>
          <w:color w:val="000000" w:themeColor="text1"/>
        </w:rPr>
        <w:t>,</w:t>
      </w:r>
      <w:r w:rsidR="00CA654A" w:rsidRPr="0062673F">
        <w:rPr>
          <w:rFonts w:cstheme="minorHAnsi"/>
          <w:color w:val="000000" w:themeColor="text1"/>
        </w:rPr>
        <w:t xml:space="preserve"> we </w:t>
      </w:r>
      <w:r w:rsidR="003C036D" w:rsidRPr="0062673F">
        <w:rPr>
          <w:rFonts w:cstheme="minorHAnsi"/>
          <w:color w:val="000000" w:themeColor="text1"/>
        </w:rPr>
        <w:t>use</w:t>
      </w:r>
      <w:r w:rsidR="00CA654A" w:rsidRPr="0062673F">
        <w:rPr>
          <w:rFonts w:cstheme="minorHAnsi"/>
          <w:color w:val="000000" w:themeColor="text1"/>
        </w:rPr>
        <w:t>d the absolute differences in BMI observed in the Millennium Cohort Study by age (see</w:t>
      </w:r>
      <w:r w:rsidR="00305F76" w:rsidRPr="0062673F">
        <w:rPr>
          <w:rFonts w:cstheme="minorHAnsi"/>
          <w:color w:val="000000" w:themeColor="text1"/>
        </w:rPr>
        <w:t xml:space="preserve"> S1 </w:t>
      </w:r>
      <w:r w:rsidR="00912668" w:rsidRPr="0062673F">
        <w:rPr>
          <w:rFonts w:cstheme="minorHAnsi"/>
          <w:color w:val="000000" w:themeColor="text1"/>
        </w:rPr>
        <w:t>Table</w:t>
      </w:r>
      <w:r w:rsidR="00CA654A" w:rsidRPr="0062673F">
        <w:rPr>
          <w:rFonts w:cstheme="minorHAnsi"/>
          <w:color w:val="000000" w:themeColor="text1"/>
        </w:rPr>
        <w:t>)</w:t>
      </w:r>
      <w:r w:rsidR="003C036D" w:rsidRPr="0062673F">
        <w:rPr>
          <w:rFonts w:cstheme="minorHAnsi"/>
          <w:color w:val="000000" w:themeColor="text1"/>
        </w:rPr>
        <w:t xml:space="preserve">. </w:t>
      </w:r>
      <w:r w:rsidR="00CA654A" w:rsidRPr="0062673F">
        <w:rPr>
          <w:rFonts w:cstheme="minorHAnsi"/>
          <w:color w:val="000000" w:themeColor="text1"/>
        </w:rPr>
        <w:t>We used linear interpolation and extrapolation to estimate differences in BMI for age groups for which data was not directly reported.</w:t>
      </w:r>
      <w:r w:rsidR="008C1426" w:rsidRPr="0062673F">
        <w:rPr>
          <w:rFonts w:cstheme="minorHAnsi"/>
          <w:color w:val="000000" w:themeColor="text1"/>
        </w:rPr>
        <w:t xml:space="preserve"> </w:t>
      </w:r>
      <w:r w:rsidR="00F949A4" w:rsidRPr="0062673F">
        <w:rPr>
          <w:rFonts w:cstheme="minorHAnsi"/>
          <w:color w:val="000000" w:themeColor="text1"/>
        </w:rPr>
        <w:t>The values we used, including our estimates</w:t>
      </w:r>
      <w:r w:rsidR="008C1426" w:rsidRPr="0062673F">
        <w:rPr>
          <w:rFonts w:cstheme="minorHAnsi"/>
          <w:color w:val="000000" w:themeColor="text1"/>
        </w:rPr>
        <w:t xml:space="preserve"> for age groups</w:t>
      </w:r>
      <w:r w:rsidR="00F949A4" w:rsidRPr="0062673F">
        <w:rPr>
          <w:rFonts w:cstheme="minorHAnsi"/>
          <w:color w:val="000000" w:themeColor="text1"/>
        </w:rPr>
        <w:t xml:space="preserve"> with missing data,</w:t>
      </w:r>
      <w:r w:rsidR="008C1426" w:rsidRPr="0062673F">
        <w:rPr>
          <w:rFonts w:cstheme="minorHAnsi"/>
          <w:color w:val="000000" w:themeColor="text1"/>
        </w:rPr>
        <w:t xml:space="preserve"> are shown in the supplementary material.</w:t>
      </w:r>
    </w:p>
    <w:p w14:paraId="51773961" w14:textId="6A594DD4" w:rsidR="004A7C45" w:rsidRPr="0062673F" w:rsidRDefault="004A7C45" w:rsidP="004A7C45">
      <w:pPr>
        <w:rPr>
          <w:b/>
          <w:color w:val="000000" w:themeColor="text1"/>
        </w:rPr>
      </w:pPr>
      <w:r w:rsidRPr="0062673F">
        <w:rPr>
          <w:b/>
          <w:color w:val="000000" w:themeColor="text1"/>
        </w:rPr>
        <w:t>Health Impact modelling</w:t>
      </w:r>
    </w:p>
    <w:p w14:paraId="59C42D68" w14:textId="6043513C" w:rsidR="00EF31D1" w:rsidRPr="0062673F" w:rsidRDefault="004A7C45" w:rsidP="00EF31D1">
      <w:pPr>
        <w:rPr>
          <w:color w:val="000000" w:themeColor="text1"/>
        </w:rPr>
      </w:pPr>
      <w:r w:rsidRPr="0062673F">
        <w:rPr>
          <w:color w:val="000000" w:themeColor="text1"/>
        </w:rPr>
        <w:t xml:space="preserve">We simulated the long-term health and cost impacts of </w:t>
      </w:r>
      <w:r w:rsidR="00196C8E" w:rsidRPr="0062673F">
        <w:rPr>
          <w:color w:val="000000" w:themeColor="text1"/>
        </w:rPr>
        <w:t>advertising restrictions</w:t>
      </w:r>
      <w:r w:rsidRPr="0062673F">
        <w:rPr>
          <w:color w:val="000000" w:themeColor="text1"/>
        </w:rPr>
        <w:t xml:space="preserve"> in UK children and adolescents using the Excel-based PRIMEtime model</w:t>
      </w:r>
      <w:r w:rsidR="006F06C1">
        <w:rPr>
          <w:color w:val="000000" w:themeColor="text1"/>
        </w:rPr>
        <w:t xml:space="preserve"> </w:t>
      </w:r>
      <w:r w:rsidR="001429E9" w:rsidRPr="0062673F">
        <w:rPr>
          <w:color w:val="000000" w:themeColor="text1"/>
        </w:rPr>
        <w:fldChar w:fldCharType="begin" w:fldLock="1"/>
      </w:r>
      <w:r w:rsidR="00467360" w:rsidRPr="0062673F">
        <w:rPr>
          <w:color w:val="000000" w:themeColor="text1"/>
        </w:rPr>
        <w:instrText>ADDIN CSL_CITATION {"citationItems":[{"id":"ITEM-1","itemData":{"DOI":"10.1371/journal.pone.0167859","ISSN":"1932-6203","author":[{"dropping-particle":"","family":"Cobiac","given":"Linda J.","non-dropping-particle":"","parse-names":false,"suffix":""},{"dropping-particle":"","family":"Scarborough","given":"Peter","non-dropping-particle":"","parse-names":false,"suffix":""},{"dropping-particle":"","family":"Kaur","given":"Asha","non-dropping-particle":"","parse-names":false,"suffix":""},{"dropping-particle":"","family":"Rayner","given":"Mike","non-dropping-particle":"","parse-names":false,"suffix":""},{"dropping-particle":"","family":"Shields","given":"E","non-dropping-particle":"","parse-names":false,"suffix":""},{"dropping-particle":"","family":"Cobiac","given":"LJ","non-dropping-particle":"","parse-names":false,"suffix":""}],"container-title":"PLOS ONE","editor":[{"dropping-particle":"","family":"Wiley","given":"Andrea S.","non-dropping-particle":"","parse-names":false,"suffix":""}],"id":"ITEM-1","issue":"12","issued":{"date-parts":[["2016","12","20"]]},"page":"e0167859","publisher":"Committee on Climate Change","title":"The Eatwell Guide: Modelling the Health Implications of Incorporating New Sugar and Fibre Guidelines","type":"article-journal","volume":"11"},"uris":["http://www.mendeley.com/documents/?uuid=cfc11215-f11a-38d8-af64-6c222fb85a0b"]}],"mendeley":{"formattedCitation":"[33]","plainTextFormattedCitation":"[33]","previouslyFormattedCitation":"[33]"},"properties":{"noteIndex":0},"schema":"https://github.com/citation-style-language/schema/raw/master/csl-citation.json"}</w:instrText>
      </w:r>
      <w:r w:rsidR="001429E9" w:rsidRPr="0062673F">
        <w:rPr>
          <w:color w:val="000000" w:themeColor="text1"/>
        </w:rPr>
        <w:fldChar w:fldCharType="separate"/>
      </w:r>
      <w:r w:rsidR="0066542D" w:rsidRPr="0062673F">
        <w:rPr>
          <w:noProof/>
          <w:color w:val="000000" w:themeColor="text1"/>
        </w:rPr>
        <w:t>[33]</w:t>
      </w:r>
      <w:r w:rsidR="001429E9" w:rsidRPr="0062673F">
        <w:rPr>
          <w:color w:val="000000" w:themeColor="text1"/>
        </w:rPr>
        <w:fldChar w:fldCharType="end"/>
      </w:r>
      <w:r w:rsidR="0066542D" w:rsidRPr="0062673F">
        <w:rPr>
          <w:color w:val="000000" w:themeColor="text1"/>
        </w:rPr>
        <w:t>.</w:t>
      </w:r>
      <w:r w:rsidRPr="0062673F">
        <w:rPr>
          <w:color w:val="000000" w:themeColor="text1"/>
        </w:rPr>
        <w:t xml:space="preserve"> </w:t>
      </w:r>
      <w:r w:rsidR="00EF31D1" w:rsidRPr="0062673F">
        <w:rPr>
          <w:color w:val="000000" w:themeColor="text1"/>
        </w:rPr>
        <w:t>Full details of the model are available elsewhere</w:t>
      </w:r>
      <w:r w:rsidR="006F06C1">
        <w:rPr>
          <w:color w:val="000000" w:themeColor="text1"/>
        </w:rPr>
        <w:t xml:space="preserve"> </w:t>
      </w:r>
      <w:r w:rsidR="00EF31D1" w:rsidRPr="0062673F">
        <w:rPr>
          <w:color w:val="000000" w:themeColor="text1"/>
        </w:rPr>
        <w:fldChar w:fldCharType="begin" w:fldLock="1"/>
      </w:r>
      <w:r w:rsidR="00467360" w:rsidRPr="0062673F">
        <w:rPr>
          <w:color w:val="000000" w:themeColor="text1"/>
        </w:rPr>
        <w:instrText>ADDIN CSL_CITATION {"citationItems":[{"id":"ITEM-1","itemData":{"DOI":"10.1371/journal.pone.0167859","ISSN":"1932-6203","author":[{"dropping-particle":"","family":"Cobiac","given":"Linda J.","non-dropping-particle":"","parse-names":false,"suffix":""},{"dropping-particle":"","family":"Scarborough","given":"Peter","non-dropping-particle":"","parse-names":false,"suffix":""},{"dropping-particle":"","family":"Kaur","given":"Asha","non-dropping-particle":"","parse-names":false,"suffix":""},{"dropping-particle":"","family":"Rayner","given":"Mike","non-dropping-particle":"","parse-names":false,"suffix":""},{"dropping-particle":"","family":"Shields","given":"E","non-dropping-particle":"","parse-names":false,"suffix":""},{"dropping-particle":"","family":"Cobiac","given":"LJ","non-dropping-particle":"","parse-names":false,"suffix":""}],"container-title":"PLOS ONE","editor":[{"dropping-particle":"","family":"Wiley","given":"Andrea S.","non-dropping-particle":"","parse-names":false,"suffix":""}],"id":"ITEM-1","issue":"12","issued":{"date-parts":[["2016","12","20"]]},"page":"e0167859","publisher":"Committee on Climate Change","title":"The Eatwell Guide: Modelling the Health Implications of Incorporating New Sugar and Fibre Guidelines","type":"article-journal","volume":"11"},"uris":["http://www.mendeley.com/documents/?uuid=cfc11215-f11a-38d8-af64-6c222fb85a0b"]}],"mendeley":{"formattedCitation":"[33]","plainTextFormattedCitation":"[33]","previouslyFormattedCitation":"[33]"},"properties":{"noteIndex":0},"schema":"https://github.com/citation-style-language/schema/raw/master/csl-citation.json"}</w:instrText>
      </w:r>
      <w:r w:rsidR="00EF31D1" w:rsidRPr="0062673F">
        <w:rPr>
          <w:color w:val="000000" w:themeColor="text1"/>
        </w:rPr>
        <w:fldChar w:fldCharType="separate"/>
      </w:r>
      <w:r w:rsidR="0066542D" w:rsidRPr="0062673F">
        <w:rPr>
          <w:noProof/>
          <w:color w:val="000000" w:themeColor="text1"/>
        </w:rPr>
        <w:t>[33]</w:t>
      </w:r>
      <w:r w:rsidR="00EF31D1" w:rsidRPr="0062673F">
        <w:rPr>
          <w:color w:val="000000" w:themeColor="text1"/>
        </w:rPr>
        <w:fldChar w:fldCharType="end"/>
      </w:r>
      <w:r w:rsidR="0066542D" w:rsidRPr="0062673F">
        <w:rPr>
          <w:color w:val="000000" w:themeColor="text1"/>
        </w:rPr>
        <w:t>.</w:t>
      </w:r>
      <w:r w:rsidR="00EF31D1" w:rsidRPr="0062673F">
        <w:rPr>
          <w:color w:val="000000" w:themeColor="text1"/>
        </w:rPr>
        <w:t xml:space="preserve"> Briefly, t</w:t>
      </w:r>
      <w:r w:rsidRPr="0062673F">
        <w:rPr>
          <w:color w:val="000000" w:themeColor="text1"/>
        </w:rPr>
        <w:t>he model design is based on proportional multi-state life</w:t>
      </w:r>
      <w:r w:rsidR="002E53AB">
        <w:rPr>
          <w:color w:val="000000" w:themeColor="text1"/>
        </w:rPr>
        <w:t xml:space="preserve"> </w:t>
      </w:r>
      <w:r w:rsidRPr="0062673F">
        <w:rPr>
          <w:color w:val="000000" w:themeColor="text1"/>
        </w:rPr>
        <w:t>table methods, which are an efficient way of simulating population impacts of changes in risk factors on mul</w:t>
      </w:r>
      <w:r w:rsidR="00285145" w:rsidRPr="0062673F">
        <w:rPr>
          <w:color w:val="000000" w:themeColor="text1"/>
        </w:rPr>
        <w:t>tiple diseases simultaneously</w:t>
      </w:r>
      <w:r w:rsidR="006F06C1">
        <w:rPr>
          <w:color w:val="000000" w:themeColor="text1"/>
        </w:rPr>
        <w:t xml:space="preserve"> </w:t>
      </w:r>
      <w:r w:rsidR="00285145" w:rsidRPr="0062673F">
        <w:rPr>
          <w:color w:val="000000" w:themeColor="text1"/>
        </w:rPr>
        <w:fldChar w:fldCharType="begin" w:fldLock="1"/>
      </w:r>
      <w:r w:rsidR="00467360" w:rsidRPr="0062673F">
        <w:rPr>
          <w:color w:val="000000" w:themeColor="text1"/>
        </w:rPr>
        <w:instrText>ADDIN CSL_CITATION {"citationItems":[{"id":"ITEM-1","itemData":{"DOI":"10.1080/08898489809525445","ISSN":"0889-8480","PMID":"12321476","abstract":"\"We present the proportional multi-state life table method, that makes the inclusion of multiple diseases better manageable and allows for comorbidity implicitly, without the need to define additional states. We implement the method for heart disease and stroke [among Dutch males in 1988], and look at the effect of hypothetical but not unrealistic changes in incidence and survival on disease prevalence and comorbidity. Finally we discuss limitations and extensions of the method.\" (EXCERPT)","author":[{"dropping-particle":"","family":"Barendregt","given":"J J","non-dropping-particle":"","parse-names":false,"suffix":""},{"dropping-particle":"","family":"Oortmarssen","given":"G J","non-dropping-particle":"Van","parse-names":false,"suffix":""},{"dropping-particle":"","family":"Hout","given":"B a","non-dropping-particle":"Van","parse-names":false,"suffix":""},{"dropping-particle":"","family":"Bosch","given":"J M","non-dropping-particle":"Van Den","parse-names":false,"suffix":""},{"dropping-particle":"","family":"Bonneux","given":"L","non-dropping-particle":"","parse-names":false,"suffix":""}],"container-title":"Mathematical population studies","id":"ITEM-1","issue":"1","issued":{"date-parts":[["1998","1"]]},"page":"29-49, 109","title":"Coping with multiple morbidity in a life table.","type":"article-journal","volume":"7"},"uris":["http://www.mendeley.com/documents/?uuid=1aa03af8-713a-42f8-b68d-8e2b83b65ba7"]}],"mendeley":{"formattedCitation":"[45]","plainTextFormattedCitation":"[45]","previouslyFormattedCitation":"[44]"},"properties":{"noteIndex":0},"schema":"https://github.com/citation-style-language/schema/raw/master/csl-citation.json"}</w:instrText>
      </w:r>
      <w:r w:rsidR="00285145" w:rsidRPr="0062673F">
        <w:rPr>
          <w:color w:val="000000" w:themeColor="text1"/>
        </w:rPr>
        <w:fldChar w:fldCharType="separate"/>
      </w:r>
      <w:r w:rsidR="00467360" w:rsidRPr="0062673F">
        <w:rPr>
          <w:noProof/>
          <w:color w:val="000000" w:themeColor="text1"/>
        </w:rPr>
        <w:t>[45]</w:t>
      </w:r>
      <w:r w:rsidR="00285145" w:rsidRPr="0062673F">
        <w:rPr>
          <w:color w:val="000000" w:themeColor="text1"/>
        </w:rPr>
        <w:fldChar w:fldCharType="end"/>
      </w:r>
      <w:r w:rsidR="0066542D" w:rsidRPr="0062673F">
        <w:rPr>
          <w:color w:val="000000" w:themeColor="text1"/>
        </w:rPr>
        <w:t>.</w:t>
      </w:r>
      <w:r w:rsidR="00EF31D1" w:rsidRPr="0062673F">
        <w:rPr>
          <w:color w:val="000000" w:themeColor="text1"/>
        </w:rPr>
        <w:t xml:space="preserve"> It </w:t>
      </w:r>
      <w:r w:rsidRPr="0062673F">
        <w:rPr>
          <w:color w:val="000000" w:themeColor="text1"/>
        </w:rPr>
        <w:t xml:space="preserve">was </w:t>
      </w:r>
      <w:r w:rsidR="00594850" w:rsidRPr="0062673F">
        <w:rPr>
          <w:color w:val="000000" w:themeColor="text1"/>
        </w:rPr>
        <w:t>first developed by Cobiac et al</w:t>
      </w:r>
      <w:r w:rsidRPr="0062673F">
        <w:rPr>
          <w:color w:val="000000" w:themeColor="text1"/>
        </w:rPr>
        <w:t xml:space="preserve"> for evaluating health impacts of dietary change scenarios. Briggs et al then added components allowing the simulation of health and social care costs</w:t>
      </w:r>
      <w:r w:rsidR="00EF31D1" w:rsidRPr="0062673F">
        <w:rPr>
          <w:color w:val="000000" w:themeColor="text1"/>
        </w:rPr>
        <w:fldChar w:fldCharType="begin" w:fldLock="1"/>
      </w:r>
      <w:r w:rsidR="00467360" w:rsidRPr="0062673F">
        <w:rPr>
          <w:color w:val="000000" w:themeColor="text1"/>
        </w:rPr>
        <w:instrText>ADDIN CSL_CITATION {"citationItems":[{"id":"ITEM-1","itemData":{"DOI":"10.1371/journal.pone.0197257","ISSN":"1932-6203","abstract":"Objectives Healthcare interventions, and particularly those in public health may affect multiple diseases and significantly prolong life. No consensus currently exists for how to estimate comparable healthcare costs across multiple diseases for use in health and public health cost-effectiveness models. We aim to describe a method for estimating comparable disease specific English healthcare costs as well as future healthcare costs from diseases unrelated to those modelled.   Methods We use routine national datasets including programme budgeting data and cost curves from NHS England to estimate annual per person costs for diseases included in the PRIMEtime model as well as age and sex specific costs due to unrelated diseases.   Results The 2013/14 annual cost to NHS England per prevalent case varied between £3,074 for pancreatic cancer and £314 for liver disease. Costs due to unrelated diseases increase with age except for a secondary peak at 30–34 years for women reflecting maternity resource use.   Conclusions The methodology described allows health and public health economic modellers to estimate comparable English healthcare costs for multiple diseases. This facilitates the direct comparison of different health and public health interventions enabling better decision making.","author":[{"dropping-particle":"","family":"Briggs","given":"Adam D. M.","non-dropping-particle":"","parse-names":false,"suffix":""},{"dropping-particle":"","family":"Scarborough","given":"Peter","non-dropping-particle":"","parse-names":false,"suffix":""},{"dropping-particle":"","family":"Wolstenholme","given":"Jane","non-dropping-particle":"","parse-names":false,"suffix":""}],"container-title":"PLOS ONE","editor":[{"dropping-particle":"","family":"Postma","given":"Maarten","non-dropping-particle":"","parse-names":false,"suffix":""}],"id":"ITEM-1","issue":"5","issued":{"date-parts":[["2018","5","24"]]},"page":"e0197257","publisher":"Public Library of Science","title":"Estimating comparable English healthcare costs for multiple diseases and unrelated future costs for use in health and public health economic modelling","type":"article-journal","volume":"13"},"uris":["http://www.mendeley.com/documents/?uuid=5ba34860-6c6a-3510-beb3-5ed4152d745a"]}],"mendeley":{"formattedCitation":"[46]","plainTextFormattedCitation":"[46]","previouslyFormattedCitation":"[45]"},"properties":{"noteIndex":0},"schema":"https://github.com/citation-style-language/schema/raw/master/csl-citation.json"}</w:instrText>
      </w:r>
      <w:r w:rsidR="00EF31D1" w:rsidRPr="0062673F">
        <w:rPr>
          <w:color w:val="000000" w:themeColor="text1"/>
        </w:rPr>
        <w:fldChar w:fldCharType="separate"/>
      </w:r>
      <w:r w:rsidR="00467360" w:rsidRPr="0062673F">
        <w:rPr>
          <w:noProof/>
          <w:color w:val="000000" w:themeColor="text1"/>
        </w:rPr>
        <w:t>[46]</w:t>
      </w:r>
      <w:r w:rsidR="00EF31D1" w:rsidRPr="0062673F">
        <w:rPr>
          <w:color w:val="000000" w:themeColor="text1"/>
        </w:rPr>
        <w:fldChar w:fldCharType="end"/>
      </w:r>
      <w:r w:rsidR="0066542D" w:rsidRPr="0062673F">
        <w:rPr>
          <w:color w:val="000000" w:themeColor="text1"/>
        </w:rPr>
        <w:t>.</w:t>
      </w:r>
      <w:r w:rsidRPr="0062673F">
        <w:rPr>
          <w:color w:val="000000" w:themeColor="text1"/>
        </w:rPr>
        <w:t xml:space="preserve"> </w:t>
      </w:r>
    </w:p>
    <w:p w14:paraId="0A7365C4" w14:textId="31642702" w:rsidR="004A7C45" w:rsidRPr="0062673F" w:rsidRDefault="004A7C45" w:rsidP="00EF31D1">
      <w:pPr>
        <w:rPr>
          <w:color w:val="000000" w:themeColor="text1"/>
        </w:rPr>
      </w:pPr>
      <w:r w:rsidRPr="0062673F">
        <w:rPr>
          <w:color w:val="000000" w:themeColor="text1"/>
        </w:rPr>
        <w:t>For these analyses, we made the followi</w:t>
      </w:r>
      <w:r w:rsidR="001429E9" w:rsidRPr="0062673F">
        <w:rPr>
          <w:color w:val="000000" w:themeColor="text1"/>
        </w:rPr>
        <w:t>ng changes to the PRIMEtime mod</w:t>
      </w:r>
      <w:r w:rsidRPr="0062673F">
        <w:rPr>
          <w:color w:val="000000" w:themeColor="text1"/>
        </w:rPr>
        <w:t>el: (1) updated the population numbers and all-cause mortality rates to a baseline year of 2015, using UK data from the Human Mortality Database</w:t>
      </w:r>
      <w:r w:rsidR="006F06C1">
        <w:rPr>
          <w:color w:val="000000" w:themeColor="text1"/>
        </w:rPr>
        <w:t xml:space="preserve"> </w:t>
      </w:r>
      <w:r w:rsidR="001429E9" w:rsidRPr="0062673F">
        <w:rPr>
          <w:color w:val="000000" w:themeColor="text1"/>
        </w:rPr>
        <w:fldChar w:fldCharType="begin" w:fldLock="1"/>
      </w:r>
      <w:r w:rsidR="00467360" w:rsidRPr="0062673F">
        <w:rPr>
          <w:color w:val="000000" w:themeColor="text1"/>
        </w:rPr>
        <w:instrText>ADDIN CSL_CITATION {"citationItems":[{"id":"ITEM-1","itemData":{"URL":"https://www.mortality.org/","accessed":{"date-parts":[["2019","3","10"]]},"id":"ITEM-1","issued":{"date-parts":[["0"]]},"title":"Human Mortality Database","type":"webpage"},"uris":["http://www.mendeley.com/documents/?uuid=9ef10eb8-c229-4f0f-b075-462e3a15df0f"]}],"mendeley":{"formattedCitation":"[47]","plainTextFormattedCitation":"[47]","previouslyFormattedCitation":"[46]"},"properties":{"noteIndex":0},"schema":"https://github.com/citation-style-language/schema/raw/master/csl-citation.json"}</w:instrText>
      </w:r>
      <w:r w:rsidR="001429E9" w:rsidRPr="0062673F">
        <w:rPr>
          <w:color w:val="000000" w:themeColor="text1"/>
        </w:rPr>
        <w:fldChar w:fldCharType="separate"/>
      </w:r>
      <w:r w:rsidR="00467360" w:rsidRPr="0062673F">
        <w:rPr>
          <w:noProof/>
          <w:color w:val="000000" w:themeColor="text1"/>
        </w:rPr>
        <w:t>[47]</w:t>
      </w:r>
      <w:r w:rsidR="001429E9" w:rsidRPr="0062673F">
        <w:rPr>
          <w:color w:val="000000" w:themeColor="text1"/>
        </w:rPr>
        <w:fldChar w:fldCharType="end"/>
      </w:r>
      <w:r w:rsidR="006F06C1">
        <w:rPr>
          <w:color w:val="000000" w:themeColor="text1"/>
        </w:rPr>
        <w:t>;</w:t>
      </w:r>
      <w:r w:rsidRPr="0062673F">
        <w:rPr>
          <w:color w:val="000000" w:themeColor="text1"/>
        </w:rPr>
        <w:t xml:space="preserve"> (2) expanded the model to include simulation of children and adolescents; and (3) redesigned the model structure to allow probabilistic sensitivity analyses using macros rather than an add-in program that relies on ongoing third-party updating. </w:t>
      </w:r>
    </w:p>
    <w:p w14:paraId="14BA4C1B" w14:textId="13BF09EB" w:rsidR="00475AF7" w:rsidRPr="0062673F" w:rsidRDefault="004A7C45" w:rsidP="004A7C45">
      <w:pPr>
        <w:rPr>
          <w:color w:val="000000" w:themeColor="text1"/>
        </w:rPr>
      </w:pPr>
      <w:r w:rsidRPr="0062673F">
        <w:rPr>
          <w:color w:val="000000" w:themeColor="text1"/>
        </w:rPr>
        <w:t>We simul</w:t>
      </w:r>
      <w:r w:rsidR="00EF31D1" w:rsidRPr="0062673F">
        <w:rPr>
          <w:color w:val="000000" w:themeColor="text1"/>
        </w:rPr>
        <w:t>ated</w:t>
      </w:r>
      <w:r w:rsidR="00F47105" w:rsidRPr="0062673F">
        <w:rPr>
          <w:color w:val="000000" w:themeColor="text1"/>
        </w:rPr>
        <w:t xml:space="preserve"> a closed cohort of the UK population ag</w:t>
      </w:r>
      <w:r w:rsidR="005F24FB" w:rsidRPr="0062673F">
        <w:rPr>
          <w:color w:val="000000" w:themeColor="text1"/>
        </w:rPr>
        <w:t>ed 0-17</w:t>
      </w:r>
      <w:r w:rsidRPr="0062673F">
        <w:rPr>
          <w:color w:val="000000" w:themeColor="text1"/>
        </w:rPr>
        <w:t xml:space="preserve"> years in 2015</w:t>
      </w:r>
      <w:r w:rsidR="00F47105" w:rsidRPr="0062673F">
        <w:rPr>
          <w:color w:val="000000" w:themeColor="text1"/>
        </w:rPr>
        <w:t xml:space="preserve"> (</w:t>
      </w:r>
      <w:r w:rsidR="005F24FB" w:rsidRPr="0062673F">
        <w:rPr>
          <w:color w:val="000000" w:themeColor="text1"/>
        </w:rPr>
        <w:t>n=</w:t>
      </w:r>
      <w:r w:rsidR="00A53B0F" w:rsidRPr="0062673F">
        <w:rPr>
          <w:color w:val="000000" w:themeColor="text1"/>
        </w:rPr>
        <w:t>13,729,000</w:t>
      </w:r>
      <w:r w:rsidR="00F47105" w:rsidRPr="0062673F">
        <w:rPr>
          <w:rFonts w:ascii="Calibri" w:eastAsia="Times New Roman" w:hAnsi="Calibri" w:cs="Calibri"/>
          <w:color w:val="000000" w:themeColor="text1"/>
          <w:lang w:eastAsia="en-GB"/>
        </w:rPr>
        <w:t>)</w:t>
      </w:r>
      <w:r w:rsidR="00F47105" w:rsidRPr="0062673F">
        <w:rPr>
          <w:color w:val="000000" w:themeColor="text1"/>
        </w:rPr>
        <w:t xml:space="preserve"> and followed them through their lifetime</w:t>
      </w:r>
      <w:r w:rsidRPr="0062673F">
        <w:rPr>
          <w:color w:val="000000" w:themeColor="text1"/>
        </w:rPr>
        <w:t xml:space="preserve">. We simulated the effect </w:t>
      </w:r>
      <w:r w:rsidR="00475AF7" w:rsidRPr="0062673F">
        <w:rPr>
          <w:color w:val="000000" w:themeColor="text1"/>
        </w:rPr>
        <w:t>of changes in BMI distribution arising from the</w:t>
      </w:r>
      <w:r w:rsidRPr="0062673F">
        <w:rPr>
          <w:color w:val="000000" w:themeColor="text1"/>
        </w:rPr>
        <w:t xml:space="preserve"> scenarios on incidence, prevalence and mortality of all</w:t>
      </w:r>
      <w:r w:rsidR="00EF31D1" w:rsidRPr="0062673F">
        <w:rPr>
          <w:color w:val="000000" w:themeColor="text1"/>
        </w:rPr>
        <w:t xml:space="preserve"> obesity-related</w:t>
      </w:r>
      <w:r w:rsidRPr="0062673F">
        <w:rPr>
          <w:color w:val="000000" w:themeColor="text1"/>
        </w:rPr>
        <w:t xml:space="preserve"> diseases, over time, until the simulated population had all died. From the changing disease rates, we determined the impact on total years of healthy life that would be lived in the future. </w:t>
      </w:r>
    </w:p>
    <w:p w14:paraId="0813BAD7" w14:textId="5C020735" w:rsidR="004A7C45" w:rsidRPr="0062673F" w:rsidRDefault="00CE5E56" w:rsidP="004A7C45">
      <w:pPr>
        <w:rPr>
          <w:color w:val="000000" w:themeColor="text1"/>
        </w:rPr>
      </w:pPr>
      <w:bookmarkStart w:id="0" w:name="_Hlk41512419"/>
      <w:r w:rsidRPr="0062673F">
        <w:rPr>
          <w:color w:val="000000" w:themeColor="text1"/>
        </w:rPr>
        <w:t>We</w:t>
      </w:r>
      <w:r w:rsidR="00475AF7" w:rsidRPr="0062673F">
        <w:rPr>
          <w:color w:val="000000" w:themeColor="text1"/>
        </w:rPr>
        <w:t xml:space="preserve"> report</w:t>
      </w:r>
      <w:r w:rsidR="004A7C45" w:rsidRPr="0062673F">
        <w:rPr>
          <w:color w:val="000000" w:themeColor="text1"/>
        </w:rPr>
        <w:t xml:space="preserve"> </w:t>
      </w:r>
      <w:r w:rsidR="00CC7EFC" w:rsidRPr="0062673F">
        <w:rPr>
          <w:color w:val="000000" w:themeColor="text1"/>
        </w:rPr>
        <w:t>disability</w:t>
      </w:r>
      <w:r w:rsidR="004A7C45" w:rsidRPr="0062673F">
        <w:rPr>
          <w:color w:val="000000" w:themeColor="text1"/>
        </w:rPr>
        <w:t xml:space="preserve"> adjusted life years (</w:t>
      </w:r>
      <w:r w:rsidR="00CC7EFC" w:rsidRPr="0062673F">
        <w:rPr>
          <w:color w:val="000000" w:themeColor="text1"/>
        </w:rPr>
        <w:t>DALY</w:t>
      </w:r>
      <w:r w:rsidR="004A7C45" w:rsidRPr="0062673F">
        <w:rPr>
          <w:color w:val="000000" w:themeColor="text1"/>
        </w:rPr>
        <w:t>s)</w:t>
      </w:r>
      <w:r w:rsidR="005A35B8" w:rsidRPr="0062673F">
        <w:rPr>
          <w:color w:val="000000" w:themeColor="text1"/>
        </w:rPr>
        <w:t>, which</w:t>
      </w:r>
      <w:r w:rsidR="004A7C45" w:rsidRPr="0062673F">
        <w:rPr>
          <w:color w:val="000000" w:themeColor="text1"/>
        </w:rPr>
        <w:t xml:space="preserve"> were </w:t>
      </w:r>
      <w:r w:rsidR="005A35B8" w:rsidRPr="0062673F">
        <w:rPr>
          <w:color w:val="000000" w:themeColor="text1"/>
        </w:rPr>
        <w:t>estimated</w:t>
      </w:r>
      <w:r w:rsidR="004A7C45" w:rsidRPr="0062673F">
        <w:rPr>
          <w:color w:val="000000" w:themeColor="text1"/>
        </w:rPr>
        <w:t xml:space="preserve">, by adjusting the healthy </w:t>
      </w:r>
      <w:r w:rsidR="005A35B8" w:rsidRPr="0062673F">
        <w:rPr>
          <w:color w:val="000000" w:themeColor="text1"/>
        </w:rPr>
        <w:t>years of life lived</w:t>
      </w:r>
      <w:r w:rsidR="004A7C45" w:rsidRPr="0062673F">
        <w:rPr>
          <w:color w:val="000000" w:themeColor="text1"/>
        </w:rPr>
        <w:t xml:space="preserve"> for time spent in ill-health in adulthood using </w:t>
      </w:r>
      <w:r w:rsidR="00DB4961" w:rsidRPr="0062673F">
        <w:rPr>
          <w:color w:val="000000" w:themeColor="text1"/>
        </w:rPr>
        <w:t xml:space="preserve">age- and sex-specific </w:t>
      </w:r>
      <w:r w:rsidR="004A7C45" w:rsidRPr="0062673F">
        <w:rPr>
          <w:color w:val="000000" w:themeColor="text1"/>
        </w:rPr>
        <w:t>dis</w:t>
      </w:r>
      <w:r w:rsidR="00D26F17" w:rsidRPr="0062673F">
        <w:rPr>
          <w:color w:val="000000" w:themeColor="text1"/>
        </w:rPr>
        <w:t xml:space="preserve">ease disability </w:t>
      </w:r>
      <w:r w:rsidR="0032078E" w:rsidRPr="0062673F">
        <w:rPr>
          <w:color w:val="000000" w:themeColor="text1"/>
        </w:rPr>
        <w:t xml:space="preserve">rates derived from </w:t>
      </w:r>
      <w:r w:rsidR="00DB4961" w:rsidRPr="0062673F">
        <w:rPr>
          <w:color w:val="000000" w:themeColor="text1"/>
        </w:rPr>
        <w:t xml:space="preserve">UK </w:t>
      </w:r>
      <w:r w:rsidR="004A7C45" w:rsidRPr="0062673F">
        <w:rPr>
          <w:color w:val="000000" w:themeColor="text1"/>
        </w:rPr>
        <w:t>G</w:t>
      </w:r>
      <w:r w:rsidR="00594850" w:rsidRPr="0062673F">
        <w:rPr>
          <w:color w:val="000000" w:themeColor="text1"/>
        </w:rPr>
        <w:t>lobal Burden of Disease Study</w:t>
      </w:r>
      <w:r w:rsidR="00D26F17" w:rsidRPr="0062673F">
        <w:rPr>
          <w:color w:val="000000" w:themeColor="text1"/>
        </w:rPr>
        <w:t xml:space="preserve"> </w:t>
      </w:r>
      <w:r w:rsidR="00DB4961" w:rsidRPr="0062673F">
        <w:rPr>
          <w:color w:val="000000" w:themeColor="text1"/>
        </w:rPr>
        <w:t>data</w:t>
      </w:r>
      <w:r w:rsidR="00594850" w:rsidRPr="0062673F">
        <w:rPr>
          <w:color w:val="000000" w:themeColor="text1"/>
        </w:rPr>
        <w:t>.</w:t>
      </w:r>
      <w:r w:rsidR="008F2E05" w:rsidRPr="0062673F">
        <w:rPr>
          <w:color w:val="000000" w:themeColor="text1"/>
        </w:rPr>
        <w:t xml:space="preserve"> </w:t>
      </w:r>
      <w:bookmarkEnd w:id="0"/>
      <w:r w:rsidR="008F2E05" w:rsidRPr="0062673F">
        <w:rPr>
          <w:color w:val="000000" w:themeColor="text1"/>
        </w:rPr>
        <w:t xml:space="preserve">We present both the change in total </w:t>
      </w:r>
      <w:r w:rsidR="00CC7EFC" w:rsidRPr="0062673F">
        <w:rPr>
          <w:color w:val="000000" w:themeColor="text1"/>
        </w:rPr>
        <w:t>DALY</w:t>
      </w:r>
      <w:r w:rsidR="008F2E05" w:rsidRPr="0062673F">
        <w:rPr>
          <w:color w:val="000000" w:themeColor="text1"/>
        </w:rPr>
        <w:t xml:space="preserve">s undiscounted and an estimate of the discounted </w:t>
      </w:r>
      <w:r w:rsidR="00CC7EFC" w:rsidRPr="0062673F">
        <w:rPr>
          <w:color w:val="000000" w:themeColor="text1"/>
        </w:rPr>
        <w:t>DALY</w:t>
      </w:r>
      <w:r w:rsidR="008F2E05" w:rsidRPr="0062673F">
        <w:rPr>
          <w:color w:val="000000" w:themeColor="text1"/>
        </w:rPr>
        <w:t>s</w:t>
      </w:r>
      <w:r w:rsidR="00B663CF" w:rsidRPr="0062673F">
        <w:rPr>
          <w:color w:val="000000" w:themeColor="text1"/>
        </w:rPr>
        <w:t xml:space="preserve"> following the approach used by the UK </w:t>
      </w:r>
      <w:r w:rsidR="005A35B8" w:rsidRPr="0062673F">
        <w:rPr>
          <w:color w:val="000000" w:themeColor="text1"/>
        </w:rPr>
        <w:t>Treasury</w:t>
      </w:r>
      <w:r w:rsidR="006F06C1">
        <w:rPr>
          <w:color w:val="000000" w:themeColor="text1"/>
        </w:rPr>
        <w:t xml:space="preserve"> </w:t>
      </w:r>
      <w:r w:rsidR="00DA13A9" w:rsidRPr="0062673F">
        <w:rPr>
          <w:color w:val="000000" w:themeColor="text1"/>
        </w:rPr>
        <w:fldChar w:fldCharType="begin" w:fldLock="1"/>
      </w:r>
      <w:r w:rsidR="00467360" w:rsidRPr="0062673F">
        <w:rPr>
          <w:color w:val="000000" w:themeColor="text1"/>
        </w:rPr>
        <w:instrText>ADDIN CSL_CITATION {"citationItems":[{"id":"ITEM-1","itemData":{"author":[{"dropping-particle":"","family":"HM Treasury","given":"","non-dropping-particle":"","parse-names":false,"suffix":""}],"id":"ITEM-1","issued":{"date-parts":[["2018"]]},"number-of-pages":"106","publisher-place":"London","title":"The Green Book: Central Government Advice On Appraisal And Evaluation","type":"report"},"uris":["http://www.mendeley.com/documents/?uuid=d82157fe-9131-45e5-8a0c-08e4a29684aa"]}],"mendeley":{"formattedCitation":"[48]","plainTextFormattedCitation":"[48]","previouslyFormattedCitation":"[47]"},"properties":{"noteIndex":0},"schema":"https://github.com/citation-style-language/schema/raw/master/csl-citation.json"}</w:instrText>
      </w:r>
      <w:r w:rsidR="00DA13A9" w:rsidRPr="0062673F">
        <w:rPr>
          <w:color w:val="000000" w:themeColor="text1"/>
        </w:rPr>
        <w:fldChar w:fldCharType="separate"/>
      </w:r>
      <w:r w:rsidR="00467360" w:rsidRPr="0062673F">
        <w:rPr>
          <w:noProof/>
          <w:color w:val="000000" w:themeColor="text1"/>
        </w:rPr>
        <w:t>[48]</w:t>
      </w:r>
      <w:r w:rsidR="00DA13A9" w:rsidRPr="0062673F">
        <w:rPr>
          <w:color w:val="000000" w:themeColor="text1"/>
        </w:rPr>
        <w:fldChar w:fldCharType="end"/>
      </w:r>
      <w:r w:rsidR="0066542D" w:rsidRPr="0062673F">
        <w:rPr>
          <w:color w:val="000000" w:themeColor="text1"/>
        </w:rPr>
        <w:t>.</w:t>
      </w:r>
      <w:r w:rsidR="00B663CF" w:rsidRPr="0062673F">
        <w:rPr>
          <w:color w:val="000000" w:themeColor="text1"/>
        </w:rPr>
        <w:t xml:space="preserve"> This</w:t>
      </w:r>
      <w:r w:rsidR="008F2E05" w:rsidRPr="0062673F">
        <w:rPr>
          <w:color w:val="000000" w:themeColor="text1"/>
        </w:rPr>
        <w:t xml:space="preserve"> assum</w:t>
      </w:r>
      <w:r w:rsidR="00B663CF" w:rsidRPr="0062673F">
        <w:rPr>
          <w:color w:val="000000" w:themeColor="text1"/>
        </w:rPr>
        <w:t>es</w:t>
      </w:r>
      <w:r w:rsidR="008F2E05" w:rsidRPr="0062673F">
        <w:rPr>
          <w:color w:val="000000" w:themeColor="text1"/>
        </w:rPr>
        <w:t xml:space="preserve"> a discount rate of 1.5% for the first 30 years</w:t>
      </w:r>
      <w:r w:rsidR="00EF31D1" w:rsidRPr="0062673F">
        <w:rPr>
          <w:color w:val="000000" w:themeColor="text1"/>
        </w:rPr>
        <w:t>, 1.3</w:t>
      </w:r>
      <w:r w:rsidR="00B663CF" w:rsidRPr="0062673F">
        <w:rPr>
          <w:color w:val="000000" w:themeColor="text1"/>
        </w:rPr>
        <w:t xml:space="preserve">% </w:t>
      </w:r>
      <w:r w:rsidR="00EF31D1" w:rsidRPr="0062673F">
        <w:rPr>
          <w:color w:val="000000" w:themeColor="text1"/>
        </w:rPr>
        <w:t xml:space="preserve">for the next 45 years and 1.1% </w:t>
      </w:r>
      <w:r w:rsidR="00B663CF" w:rsidRPr="0062673F">
        <w:rPr>
          <w:color w:val="000000" w:themeColor="text1"/>
        </w:rPr>
        <w:t>thereafter.</w:t>
      </w:r>
    </w:p>
    <w:p w14:paraId="77F38B24" w14:textId="10EB023D" w:rsidR="004A7C45" w:rsidRPr="0062673F" w:rsidRDefault="004A7C45" w:rsidP="004A7C45">
      <w:pPr>
        <w:rPr>
          <w:color w:val="000000" w:themeColor="text1"/>
        </w:rPr>
      </w:pPr>
      <w:r w:rsidRPr="0062673F">
        <w:rPr>
          <w:color w:val="000000" w:themeColor="text1"/>
        </w:rPr>
        <w:t xml:space="preserve">The reduction in incidence of </w:t>
      </w:r>
      <w:r w:rsidR="00DB4961" w:rsidRPr="0062673F">
        <w:rPr>
          <w:color w:val="000000" w:themeColor="text1"/>
        </w:rPr>
        <w:t>obesity-related</w:t>
      </w:r>
      <w:r w:rsidRPr="0062673F">
        <w:rPr>
          <w:color w:val="000000" w:themeColor="text1"/>
        </w:rPr>
        <w:t xml:space="preserve"> diseases was estimated using relative risks from meta-analyses of the dose-response relations</w:t>
      </w:r>
      <w:r w:rsidR="0070171F" w:rsidRPr="0062673F">
        <w:rPr>
          <w:color w:val="000000" w:themeColor="text1"/>
        </w:rPr>
        <w:t>hip between BMI and disease.</w:t>
      </w:r>
      <w:r w:rsidRPr="0062673F">
        <w:rPr>
          <w:color w:val="000000" w:themeColor="text1"/>
        </w:rPr>
        <w:t xml:space="preserve"> </w:t>
      </w:r>
      <w:r w:rsidR="00C83ED1" w:rsidRPr="0062673F">
        <w:rPr>
          <w:color w:val="000000" w:themeColor="text1"/>
        </w:rPr>
        <w:t xml:space="preserve">The </w:t>
      </w:r>
      <w:r w:rsidR="002A01BC" w:rsidRPr="0062673F">
        <w:rPr>
          <w:color w:val="000000" w:themeColor="text1"/>
        </w:rPr>
        <w:t xml:space="preserve">obesity-related </w:t>
      </w:r>
      <w:r w:rsidR="00C83ED1" w:rsidRPr="0062673F">
        <w:rPr>
          <w:color w:val="000000" w:themeColor="text1"/>
        </w:rPr>
        <w:t xml:space="preserve">diseases </w:t>
      </w:r>
      <w:r w:rsidR="00DB4961" w:rsidRPr="0062673F">
        <w:rPr>
          <w:color w:val="000000" w:themeColor="text1"/>
        </w:rPr>
        <w:t xml:space="preserve">explicitly modelled </w:t>
      </w:r>
      <w:r w:rsidR="00C83ED1" w:rsidRPr="0062673F">
        <w:rPr>
          <w:color w:val="000000" w:themeColor="text1"/>
        </w:rPr>
        <w:t>were</w:t>
      </w:r>
      <w:r w:rsidRPr="0062673F">
        <w:rPr>
          <w:color w:val="000000" w:themeColor="text1"/>
        </w:rPr>
        <w:t xml:space="preserve"> coronary heart disease, stroke, type 2 diabetes, breast cancer (in women), colorectal cancer, pancreatic cancer, kidney cancer and liver cancer.</w:t>
      </w:r>
      <w:r w:rsidR="0078376E" w:rsidRPr="0062673F">
        <w:rPr>
          <w:color w:val="000000" w:themeColor="text1"/>
        </w:rPr>
        <w:t xml:space="preserve"> Diseases are included if there is evidence of an association, e.g. from meta-analyses of prospective cohort studies (or randomised controlled trials), the association is quantified, and the disease makes a substantial contribution to mortality (greater than 500 deaths in the UK in 2006)</w:t>
      </w:r>
      <w:r w:rsidR="006F06C1">
        <w:rPr>
          <w:color w:val="000000" w:themeColor="text1"/>
        </w:rPr>
        <w:t xml:space="preserve"> </w:t>
      </w:r>
      <w:r w:rsidR="0078376E" w:rsidRPr="0062673F">
        <w:rPr>
          <w:color w:val="000000" w:themeColor="text1"/>
        </w:rPr>
        <w:fldChar w:fldCharType="begin" w:fldLock="1"/>
      </w:r>
      <w:r w:rsidR="00467360" w:rsidRPr="0062673F">
        <w:rPr>
          <w:color w:val="000000" w:themeColor="text1"/>
        </w:rPr>
        <w:instrText>ADDIN CSL_CITATION {"citationItems":[{"id":"ITEM-1","itemData":{"DOI":"10.1155/2014/748750","ISSN":"2090-908X","author":[{"dropping-particle":"","family":"Scarborough","given":"Peter","non-dropping-particle":"","parse-names":false,"suffix":""},{"dropping-particle":"","family":"Harrington","given":"Richard","non-dropping-particle":"","parse-names":false,"suffix":""},{"dropping-particle":"","family":"Mizdrak","given":"Anja","non-dropping-particle":"","parse-names":false,"suffix":""},{"dropping-particle":"","family":"Zhou","given":"Lijuan Marissa","non-dropping-particle":"","parse-names":false,"suffix":""},{"dropping-particle":"","family":"Doherty","given":"Aiden","non-dropping-particle":"","parse-names":false,"suffix":""}],"container-title":"Scientifica","id":"ITEM-1","issued":{"date-parts":[["2014"]]},"page":"1-21","title":"The Preventable Risk Integrated ModEl and Its Use to Estimate the Health Impact of Public Health Policy Scenarios","type":"article-journal","volume":"2014"},"uris":["http://www.mendeley.com/documents/?uuid=86d25816-91f2-4bf5-9719-8c17e2561a7f"]}],"mendeley":{"formattedCitation":"[49]","plainTextFormattedCitation":"[49]","previouslyFormattedCitation":"[48]"},"properties":{"noteIndex":0},"schema":"https://github.com/citation-style-language/schema/raw/master/csl-citation.json"}</w:instrText>
      </w:r>
      <w:r w:rsidR="0078376E" w:rsidRPr="0062673F">
        <w:rPr>
          <w:color w:val="000000" w:themeColor="text1"/>
        </w:rPr>
        <w:fldChar w:fldCharType="separate"/>
      </w:r>
      <w:r w:rsidR="00467360" w:rsidRPr="0062673F">
        <w:rPr>
          <w:noProof/>
          <w:color w:val="000000" w:themeColor="text1"/>
        </w:rPr>
        <w:t>[49]</w:t>
      </w:r>
      <w:r w:rsidR="0078376E" w:rsidRPr="0062673F">
        <w:rPr>
          <w:color w:val="000000" w:themeColor="text1"/>
        </w:rPr>
        <w:fldChar w:fldCharType="end"/>
      </w:r>
      <w:r w:rsidR="0066542D" w:rsidRPr="0062673F">
        <w:rPr>
          <w:color w:val="000000" w:themeColor="text1"/>
        </w:rPr>
        <w:t>.</w:t>
      </w:r>
      <w:r w:rsidRPr="0062673F">
        <w:rPr>
          <w:color w:val="000000" w:themeColor="text1"/>
        </w:rPr>
        <w:t xml:space="preserve"> </w:t>
      </w:r>
      <w:bookmarkStart w:id="1" w:name="_Hlk41593213"/>
      <w:r w:rsidRPr="0062673F">
        <w:rPr>
          <w:color w:val="000000" w:themeColor="text1"/>
        </w:rPr>
        <w:t>Given uncertainty about the immediacy of the effect of change in BMI on dise</w:t>
      </w:r>
      <w:r w:rsidR="00AC6AAF" w:rsidRPr="0062673F">
        <w:rPr>
          <w:color w:val="000000" w:themeColor="text1"/>
        </w:rPr>
        <w:t xml:space="preserve">ase outcomes, we </w:t>
      </w:r>
      <w:r w:rsidRPr="0062673F">
        <w:rPr>
          <w:color w:val="000000" w:themeColor="text1"/>
        </w:rPr>
        <w:t>assumed a five-year lag for cardiovascular diseases and diabetes</w:t>
      </w:r>
      <w:r w:rsidR="00AC6AAF" w:rsidRPr="0062673F">
        <w:rPr>
          <w:color w:val="000000" w:themeColor="text1"/>
        </w:rPr>
        <w:t xml:space="preserve"> (</w:t>
      </w:r>
      <w:r w:rsidR="0092761E">
        <w:rPr>
          <w:color w:val="000000" w:themeColor="text1"/>
        </w:rPr>
        <w:t>in the first year we assumed one fifth of the effect of BMI  on disease risk, in the second year two fifths, etc until five years when the full effect is assumed)</w:t>
      </w:r>
      <w:r w:rsidRPr="0062673F">
        <w:rPr>
          <w:color w:val="000000" w:themeColor="text1"/>
        </w:rPr>
        <w:t xml:space="preserve"> and a twenty-year lag for all cancers</w:t>
      </w:r>
      <w:bookmarkEnd w:id="1"/>
      <w:r w:rsidRPr="0062673F">
        <w:rPr>
          <w:color w:val="000000" w:themeColor="text1"/>
        </w:rPr>
        <w:t xml:space="preserve">. </w:t>
      </w:r>
      <w:r w:rsidR="00DB4961" w:rsidRPr="0062673F">
        <w:rPr>
          <w:color w:val="000000" w:themeColor="text1"/>
        </w:rPr>
        <w:t>In addition to obesity-related dis</w:t>
      </w:r>
      <w:r w:rsidR="00AC6AAF" w:rsidRPr="0062673F">
        <w:rPr>
          <w:color w:val="000000" w:themeColor="text1"/>
        </w:rPr>
        <w:t xml:space="preserve">ease, we simulated changes in the burden of all other diseases arising from changes in life expectancy, by making allowance for disutility associated with age that is not attributed to the diseases specifically included </w:t>
      </w:r>
      <w:r w:rsidR="00983DA7" w:rsidRPr="0062673F">
        <w:rPr>
          <w:color w:val="000000" w:themeColor="text1"/>
        </w:rPr>
        <w:t>the model</w:t>
      </w:r>
      <w:r w:rsidR="00DB4961" w:rsidRPr="0062673F">
        <w:rPr>
          <w:color w:val="000000" w:themeColor="text1"/>
        </w:rPr>
        <w:t>.</w:t>
      </w:r>
    </w:p>
    <w:p w14:paraId="552DD764" w14:textId="28525BAD" w:rsidR="004A7C45" w:rsidRPr="0062673F" w:rsidRDefault="004A7C45" w:rsidP="004A7C45">
      <w:pPr>
        <w:rPr>
          <w:color w:val="000000" w:themeColor="text1"/>
        </w:rPr>
      </w:pPr>
      <w:r w:rsidRPr="0062673F">
        <w:rPr>
          <w:color w:val="000000" w:themeColor="text1"/>
        </w:rPr>
        <w:t>In addition we also</w:t>
      </w:r>
      <w:r w:rsidR="00C70062" w:rsidRPr="0062673F">
        <w:rPr>
          <w:color w:val="000000" w:themeColor="text1"/>
        </w:rPr>
        <w:t xml:space="preserve"> simulated the effect of weight status</w:t>
      </w:r>
      <w:r w:rsidRPr="0062673F">
        <w:rPr>
          <w:color w:val="000000" w:themeColor="text1"/>
        </w:rPr>
        <w:t xml:space="preserve"> in childhood on quality of life using utility weights associated with being in the healthy, </w:t>
      </w:r>
      <w:r w:rsidR="00594850" w:rsidRPr="0062673F">
        <w:rPr>
          <w:color w:val="000000" w:themeColor="text1"/>
        </w:rPr>
        <w:t>overweight and obese BMI range</w:t>
      </w:r>
      <w:r w:rsidR="006F06C1">
        <w:rPr>
          <w:color w:val="000000" w:themeColor="text1"/>
        </w:rPr>
        <w:t xml:space="preserve"> </w:t>
      </w:r>
      <w:r w:rsidR="00064E72" w:rsidRPr="0062673F">
        <w:rPr>
          <w:color w:val="000000" w:themeColor="text1"/>
        </w:rPr>
        <w:fldChar w:fldCharType="begin" w:fldLock="1"/>
      </w:r>
      <w:r w:rsidR="00467360" w:rsidRPr="0062673F">
        <w:rPr>
          <w:color w:val="000000" w:themeColor="text1"/>
        </w:rPr>
        <w:instrText>ADDIN CSL_CITATION {"citationItems":[{"id":"ITEM-1","itemData":{"DOI":"10.1111/obr.12672","ISSN":"14677881","PMID":"29356315","abstract":"Rigorous estimates of preference-based utilities are important inputs into economic evaluations of childhood obesity interventions, yet no published review currently exists examining utility by weight status in paediatric populations. A comprehensive systematic literature review and meta-analysis was therefore undertaken, pooling data on preference-based health state utilities by weight status in children using a random-effects model. Tests for heterogeneity were performed, and publication bias was assessed. Of 3,434 potentially relevant studies identified, 11 met our eligibility criteria. Estimates of Cohen's d statistic suggested a small effect of weight status on preference-based utilities. Mean utility values were estimated as 0.85 (95% uncertainty interval [UI] 0.84-0.87), 0.83 (95% UI 0.81-0.85), 0.82 (95% UI 0.79-0.84) and 0.83 (95% UI 0.80-0.86) for healthy weight, overweight, obese and overweight/obese states, respectively. Meta-analysis of studies reporting utility values for both healthy weight and overweight/obese participants found a statistically significant weighted mean difference (0.015, 95% UI 0.003-0.026). A small but statistically significant difference was also estimated between healthy weight and overweight participants (0.011, 95% UI 0.004-0.018). Study findings suggest that paediatric-specific benefits of obesity interventions may not be well reflected by available utility measures, potentially underestimating cost-effectiveness if weight loss in childhood/adolescence improves health or well-being.","author":[{"dropping-particle":"","family":"Brown","given":"V.","non-dropping-particle":"","parse-names":false,"suffix":""},{"dropping-particle":"","family":"Tan","given":"E. J.","non-dropping-particle":"","parse-names":false,"suffix":""},{"dropping-particle":"","family":"Hayes","given":"A. J.","non-dropping-particle":"","parse-names":false,"suffix":""},{"dropping-particle":"","family":"Petrou","given":"S.","non-dropping-particle":"","parse-names":false,"suffix":""},{"dropping-particle":"","family":"Moodie","given":"M. L.","non-dropping-particle":"","parse-names":false,"suffix":""}],"container-title":"Obesity Reviews","id":"ITEM-1","issue":"7","issued":{"date-parts":[["2018","7"]]},"page":"905-916","title":"Utility values for childhood obesity interventions: a systematic review and meta-analysis of the evidence for use in economic evaluation","type":"article-journal","volume":"19"},"uris":["http://www.mendeley.com/documents/?uuid=032344bb-bc14-3a7e-8cfd-df04a7684d68"]}],"mendeley":{"formattedCitation":"[50]","plainTextFormattedCitation":"[50]","previouslyFormattedCitation":"[49]"},"properties":{"noteIndex":0},"schema":"https://github.com/citation-style-language/schema/raw/master/csl-citation.json"}</w:instrText>
      </w:r>
      <w:r w:rsidR="00064E72" w:rsidRPr="0062673F">
        <w:rPr>
          <w:color w:val="000000" w:themeColor="text1"/>
        </w:rPr>
        <w:fldChar w:fldCharType="separate"/>
      </w:r>
      <w:r w:rsidR="00467360" w:rsidRPr="0062673F">
        <w:rPr>
          <w:noProof/>
          <w:color w:val="000000" w:themeColor="text1"/>
        </w:rPr>
        <w:t>[50]</w:t>
      </w:r>
      <w:r w:rsidR="00064E72" w:rsidRPr="0062673F">
        <w:rPr>
          <w:color w:val="000000" w:themeColor="text1"/>
        </w:rPr>
        <w:fldChar w:fldCharType="end"/>
      </w:r>
      <w:r w:rsidR="006F06C1">
        <w:rPr>
          <w:color w:val="000000" w:themeColor="text1"/>
        </w:rPr>
        <w:t>.</w:t>
      </w:r>
      <w:r w:rsidRPr="0062673F">
        <w:rPr>
          <w:color w:val="000000" w:themeColor="text1"/>
        </w:rPr>
        <w:t xml:space="preserve"> Thus the total effect on </w:t>
      </w:r>
      <w:r w:rsidR="00CC7EFC" w:rsidRPr="0062673F">
        <w:rPr>
          <w:color w:val="000000" w:themeColor="text1"/>
        </w:rPr>
        <w:t>DALY</w:t>
      </w:r>
      <w:r w:rsidR="00D55600" w:rsidRPr="0062673F">
        <w:rPr>
          <w:color w:val="000000" w:themeColor="text1"/>
        </w:rPr>
        <w:t>s</w:t>
      </w:r>
      <w:r w:rsidRPr="0062673F">
        <w:rPr>
          <w:color w:val="000000" w:themeColor="text1"/>
        </w:rPr>
        <w:t xml:space="preserve"> is the sum of the effect in childhood (from the direct effect of obesity and overweight on quality of life) and the effect in adulthood mediated through the different diseases.</w:t>
      </w:r>
    </w:p>
    <w:p w14:paraId="5AAD0625" w14:textId="05369DF7" w:rsidR="004A7C45" w:rsidRPr="0062673F" w:rsidRDefault="004A7C45" w:rsidP="004A7C45">
      <w:pPr>
        <w:rPr>
          <w:b/>
          <w:color w:val="000000" w:themeColor="text1"/>
        </w:rPr>
      </w:pPr>
      <w:r w:rsidRPr="0062673F">
        <w:rPr>
          <w:b/>
          <w:color w:val="000000" w:themeColor="text1"/>
        </w:rPr>
        <w:t>Costs attributable to changes in disease incidence</w:t>
      </w:r>
    </w:p>
    <w:p w14:paraId="3AD1AC15" w14:textId="37CD946E" w:rsidR="004A7C45" w:rsidRPr="0062673F" w:rsidRDefault="00CC3616" w:rsidP="003F41E7">
      <w:pPr>
        <w:rPr>
          <w:color w:val="000000" w:themeColor="text1"/>
        </w:rPr>
      </w:pPr>
      <w:r w:rsidRPr="0062673F">
        <w:rPr>
          <w:color w:val="000000" w:themeColor="text1"/>
        </w:rPr>
        <w:t>We estimated the change in healthcare costs</w:t>
      </w:r>
      <w:r w:rsidR="00DD6B05" w:rsidRPr="0062673F">
        <w:rPr>
          <w:color w:val="000000" w:themeColor="text1"/>
        </w:rPr>
        <w:t>, social care costs</w:t>
      </w:r>
      <w:r w:rsidR="00D1653D" w:rsidRPr="0062673F">
        <w:rPr>
          <w:color w:val="000000" w:themeColor="text1"/>
        </w:rPr>
        <w:t xml:space="preserve"> and</w:t>
      </w:r>
      <w:r w:rsidR="00DD6B05" w:rsidRPr="0062673F">
        <w:rPr>
          <w:color w:val="000000" w:themeColor="text1"/>
        </w:rPr>
        <w:t xml:space="preserve"> change in employment costs</w:t>
      </w:r>
      <w:r w:rsidR="00CE5E56" w:rsidRPr="0062673F">
        <w:rPr>
          <w:color w:val="000000" w:themeColor="text1"/>
        </w:rPr>
        <w:t xml:space="preserve"> associated with the modelled scenarios</w:t>
      </w:r>
      <w:r w:rsidR="00DD6B05" w:rsidRPr="0062673F">
        <w:rPr>
          <w:color w:val="000000" w:themeColor="text1"/>
        </w:rPr>
        <w:t>.</w:t>
      </w:r>
      <w:r w:rsidRPr="0062673F">
        <w:rPr>
          <w:color w:val="000000" w:themeColor="text1"/>
        </w:rPr>
        <w:t xml:space="preserve"> </w:t>
      </w:r>
      <w:r w:rsidR="004A7C45" w:rsidRPr="0062673F">
        <w:rPr>
          <w:color w:val="000000" w:themeColor="text1"/>
        </w:rPr>
        <w:t>The healthcare costs were derived from NHS England programme budgeti</w:t>
      </w:r>
      <w:r w:rsidR="00973576" w:rsidRPr="0062673F">
        <w:rPr>
          <w:color w:val="000000" w:themeColor="text1"/>
        </w:rPr>
        <w:t>ng data</w:t>
      </w:r>
      <w:r w:rsidR="006F06C1">
        <w:rPr>
          <w:color w:val="000000" w:themeColor="text1"/>
        </w:rPr>
        <w:t xml:space="preserve"> </w:t>
      </w:r>
      <w:r w:rsidR="00973576" w:rsidRPr="0062673F">
        <w:rPr>
          <w:color w:val="000000" w:themeColor="text1"/>
        </w:rPr>
        <w:fldChar w:fldCharType="begin" w:fldLock="1"/>
      </w:r>
      <w:r w:rsidR="00467360" w:rsidRPr="0062673F">
        <w:rPr>
          <w:color w:val="000000" w:themeColor="text1"/>
        </w:rPr>
        <w:instrText>ADDIN CSL_CITATION {"citationItems":[{"id":"ITEM-1","itemData":{"DOI":"10.1371/journal.pone.0197257","ISSN":"1932-6203","abstract":"Objectives Healthcare interventions, and particularly those in public health may affect multiple diseases and significantly prolong life. No consensus currently exists for how to estimate comparable healthcare costs across multiple diseases for use in health and public health cost-effectiveness models. We aim to describe a method for estimating comparable disease specific English healthcare costs as well as future healthcare costs from diseases unrelated to those modelled.   Methods We use routine national datasets including programme budgeting data and cost curves from NHS England to estimate annual per person costs for diseases included in the PRIMEtime model as well as age and sex specific costs due to unrelated diseases.   Results The 2013/14 annual cost to NHS England per prevalent case varied between £3,074 for pancreatic cancer and £314 for liver disease. Costs due to unrelated diseases increase with age except for a secondary peak at 30–34 years for women reflecting maternity resource use.   Conclusions The methodology described allows health and public health economic modellers to estimate comparable English healthcare costs for multiple diseases. This facilitates the direct comparison of different health and public health interventions enabling better decision making.","author":[{"dropping-particle":"","family":"Briggs","given":"Adam D. M.","non-dropping-particle":"","parse-names":false,"suffix":""},{"dropping-particle":"","family":"Scarborough","given":"Peter","non-dropping-particle":"","parse-names":false,"suffix":""},{"dropping-particle":"","family":"Wolstenholme","given":"Jane","non-dropping-particle":"","parse-names":false,"suffix":""}],"container-title":"PLOS ONE","editor":[{"dropping-particle":"","family":"Postma","given":"Maarten","non-dropping-particle":"","parse-names":false,"suffix":""}],"id":"ITEM-1","issue":"5","issued":{"date-parts":[["2018","5","24"]]},"page":"e0197257","publisher":"Public Library of Science","title":"Estimating comparable English healthcare costs for multiple diseases and unrelated future costs for use in health and public health economic modelling","type":"article-journal","volume":"13"},"uris":["http://www.mendeley.com/documents/?uuid=5ba34860-6c6a-3510-beb3-5ed4152d745a"]}],"mendeley":{"formattedCitation":"[46]","plainTextFormattedCitation":"[46]","previouslyFormattedCitation":"[45]"},"properties":{"noteIndex":0},"schema":"https://github.com/citation-style-language/schema/raw/master/csl-citation.json"}</w:instrText>
      </w:r>
      <w:r w:rsidR="00973576" w:rsidRPr="0062673F">
        <w:rPr>
          <w:color w:val="000000" w:themeColor="text1"/>
        </w:rPr>
        <w:fldChar w:fldCharType="separate"/>
      </w:r>
      <w:r w:rsidR="00467360" w:rsidRPr="0062673F">
        <w:rPr>
          <w:noProof/>
          <w:color w:val="000000" w:themeColor="text1"/>
        </w:rPr>
        <w:t>[46]</w:t>
      </w:r>
      <w:r w:rsidR="00973576" w:rsidRPr="0062673F">
        <w:rPr>
          <w:color w:val="000000" w:themeColor="text1"/>
        </w:rPr>
        <w:fldChar w:fldCharType="end"/>
      </w:r>
      <w:r w:rsidR="0066542D" w:rsidRPr="0062673F">
        <w:rPr>
          <w:color w:val="000000" w:themeColor="text1"/>
        </w:rPr>
        <w:t>.</w:t>
      </w:r>
      <w:r w:rsidR="004A7C45" w:rsidRPr="0062673F">
        <w:rPr>
          <w:color w:val="000000" w:themeColor="text1"/>
        </w:rPr>
        <w:t xml:space="preserve"> The cost included both unit costs for all modelled diseases, as well as a unit cost for all other non-modelled diseases, which allowed our modelling to account for potential increases in overall health care costs due to increases in life expectancy</w:t>
      </w:r>
      <w:r w:rsidR="00C83ED1" w:rsidRPr="0062673F">
        <w:rPr>
          <w:color w:val="000000" w:themeColor="text1"/>
        </w:rPr>
        <w:t xml:space="preserve"> (often called unrelated future healthcare costs)</w:t>
      </w:r>
      <w:r w:rsidR="004A7C45" w:rsidRPr="0062673F">
        <w:rPr>
          <w:color w:val="000000" w:themeColor="text1"/>
        </w:rPr>
        <w:t>.</w:t>
      </w:r>
      <w:r w:rsidR="00973576" w:rsidRPr="0062673F">
        <w:rPr>
          <w:color w:val="000000" w:themeColor="text1"/>
        </w:rPr>
        <w:t xml:space="preserve"> </w:t>
      </w:r>
      <w:r w:rsidR="004A7C45" w:rsidRPr="0062673F">
        <w:rPr>
          <w:color w:val="000000" w:themeColor="text1"/>
        </w:rPr>
        <w:t>All costs were adjusted from 2014 to the baseline year of 2015 using the co</w:t>
      </w:r>
      <w:r w:rsidR="00F47E36" w:rsidRPr="0062673F">
        <w:rPr>
          <w:color w:val="000000" w:themeColor="text1"/>
        </w:rPr>
        <w:t>nsumer price index for health.</w:t>
      </w:r>
    </w:p>
    <w:p w14:paraId="610766EF" w14:textId="22B90D3B" w:rsidR="008F2E05" w:rsidRPr="0062673F" w:rsidRDefault="0041451A" w:rsidP="004A7C45">
      <w:pPr>
        <w:rPr>
          <w:b/>
          <w:color w:val="000000" w:themeColor="text1"/>
        </w:rPr>
      </w:pPr>
      <w:r w:rsidRPr="0062673F">
        <w:rPr>
          <w:b/>
          <w:color w:val="000000" w:themeColor="text1"/>
        </w:rPr>
        <w:t>Health-related n</w:t>
      </w:r>
      <w:r w:rsidR="008B5244" w:rsidRPr="0062673F">
        <w:rPr>
          <w:b/>
          <w:color w:val="000000" w:themeColor="text1"/>
        </w:rPr>
        <w:t xml:space="preserve">et </w:t>
      </w:r>
      <w:r w:rsidR="00DA7255" w:rsidRPr="0062673F">
        <w:rPr>
          <w:b/>
          <w:color w:val="000000" w:themeColor="text1"/>
        </w:rPr>
        <w:t>m</w:t>
      </w:r>
      <w:r w:rsidR="008F2E05" w:rsidRPr="0062673F">
        <w:rPr>
          <w:b/>
          <w:color w:val="000000" w:themeColor="text1"/>
        </w:rPr>
        <w:t>onetary benefit</w:t>
      </w:r>
    </w:p>
    <w:p w14:paraId="7CE923D8" w14:textId="6CE8E239" w:rsidR="004F6D03" w:rsidRPr="0062673F" w:rsidRDefault="00CE78EB" w:rsidP="004A7C45">
      <w:pPr>
        <w:rPr>
          <w:color w:val="000000" w:themeColor="text1"/>
        </w:rPr>
      </w:pPr>
      <w:r w:rsidRPr="0062673F">
        <w:rPr>
          <w:color w:val="000000" w:themeColor="text1"/>
        </w:rPr>
        <w:t>We estimated the</w:t>
      </w:r>
      <w:r w:rsidR="0041451A" w:rsidRPr="0062673F">
        <w:rPr>
          <w:color w:val="000000" w:themeColor="text1"/>
        </w:rPr>
        <w:t xml:space="preserve"> health-related</w:t>
      </w:r>
      <w:r w:rsidRPr="0062673F">
        <w:rPr>
          <w:color w:val="000000" w:themeColor="text1"/>
        </w:rPr>
        <w:t xml:space="preserve"> </w:t>
      </w:r>
      <w:r w:rsidR="00C83ED1" w:rsidRPr="0062673F">
        <w:rPr>
          <w:color w:val="000000" w:themeColor="text1"/>
        </w:rPr>
        <w:t xml:space="preserve">net </w:t>
      </w:r>
      <w:r w:rsidRPr="0062673F">
        <w:rPr>
          <w:color w:val="000000" w:themeColor="text1"/>
        </w:rPr>
        <w:t>monetary benefit</w:t>
      </w:r>
      <w:r w:rsidR="0091636A" w:rsidRPr="0062673F">
        <w:rPr>
          <w:color w:val="000000" w:themeColor="text1"/>
        </w:rPr>
        <w:t xml:space="preserve"> attributable to changes in health</w:t>
      </w:r>
      <w:r w:rsidRPr="0062673F">
        <w:rPr>
          <w:color w:val="000000" w:themeColor="text1"/>
        </w:rPr>
        <w:t xml:space="preserve"> from this poli</w:t>
      </w:r>
      <w:r w:rsidR="00E15250" w:rsidRPr="0062673F">
        <w:rPr>
          <w:color w:val="000000" w:themeColor="text1"/>
        </w:rPr>
        <w:t>cy by summing the cost changes attributable</w:t>
      </w:r>
      <w:r w:rsidR="00CC7EFC" w:rsidRPr="0062673F">
        <w:rPr>
          <w:color w:val="000000" w:themeColor="text1"/>
        </w:rPr>
        <w:t xml:space="preserve"> to changes in disease incidence and consequent healthcare cost changes</w:t>
      </w:r>
      <w:r w:rsidR="00DD6B05" w:rsidRPr="0062673F">
        <w:rPr>
          <w:color w:val="000000" w:themeColor="text1"/>
        </w:rPr>
        <w:t xml:space="preserve"> (as described above)</w:t>
      </w:r>
      <w:r w:rsidR="00CC7EFC" w:rsidRPr="0062673F">
        <w:rPr>
          <w:color w:val="000000" w:themeColor="text1"/>
        </w:rPr>
        <w:t xml:space="preserve"> and the monetary value attributed to changes in health status. For the latter, was assumed that one DALY was equivalent to £60,000, based on the </w:t>
      </w:r>
      <w:r w:rsidR="001D206C" w:rsidRPr="0062673F">
        <w:rPr>
          <w:color w:val="000000" w:themeColor="text1"/>
        </w:rPr>
        <w:t>UK Treasury</w:t>
      </w:r>
      <w:r w:rsidR="00C83ED1" w:rsidRPr="0062673F">
        <w:rPr>
          <w:color w:val="000000" w:themeColor="text1"/>
        </w:rPr>
        <w:t xml:space="preserve"> guidance</w:t>
      </w:r>
      <w:r w:rsidR="00CC7EFC" w:rsidRPr="0062673F">
        <w:rPr>
          <w:color w:val="000000" w:themeColor="text1"/>
        </w:rPr>
        <w:t xml:space="preserve"> that one Quality Adjusted Life Year (QALY) should be valued at £60,000.</w:t>
      </w:r>
      <w:r w:rsidR="00E15250" w:rsidRPr="0062673F">
        <w:rPr>
          <w:color w:val="000000" w:themeColor="text1"/>
        </w:rPr>
        <w:fldChar w:fldCharType="begin" w:fldLock="1"/>
      </w:r>
      <w:r w:rsidR="00467360" w:rsidRPr="0062673F">
        <w:rPr>
          <w:color w:val="000000" w:themeColor="text1"/>
        </w:rPr>
        <w:instrText>ADDIN CSL_CITATION {"citationItems":[{"id":"ITEM-1","itemData":{"author":[{"dropping-particle":"","family":"HM Treasury","given":"","non-dropping-particle":"","parse-names":false,"suffix":""}],"id":"ITEM-1","issued":{"date-parts":[["2018"]]},"number-of-pages":"106","publisher-place":"London","title":"The Green Book: Central Government Advice On Appraisal And Evaluation","type":"report"},"uris":["http://www.mendeley.com/documents/?uuid=d82157fe-9131-45e5-8a0c-08e4a29684aa"]}],"mendeley":{"formattedCitation":"[48]","plainTextFormattedCitation":"[48]","previouslyFormattedCitation":"[47]"},"properties":{"noteIndex":0},"schema":"https://github.com/citation-style-language/schema/raw/master/csl-citation.json"}</w:instrText>
      </w:r>
      <w:r w:rsidR="00E15250" w:rsidRPr="0062673F">
        <w:rPr>
          <w:color w:val="000000" w:themeColor="text1"/>
        </w:rPr>
        <w:fldChar w:fldCharType="separate"/>
      </w:r>
      <w:r w:rsidR="00467360" w:rsidRPr="0062673F">
        <w:rPr>
          <w:noProof/>
          <w:color w:val="000000" w:themeColor="text1"/>
        </w:rPr>
        <w:t>[48]</w:t>
      </w:r>
      <w:r w:rsidR="00E15250" w:rsidRPr="0062673F">
        <w:rPr>
          <w:color w:val="000000" w:themeColor="text1"/>
        </w:rPr>
        <w:fldChar w:fldCharType="end"/>
      </w:r>
      <w:r w:rsidR="00B94558" w:rsidRPr="0062673F">
        <w:rPr>
          <w:color w:val="000000" w:themeColor="text1"/>
        </w:rPr>
        <w:t xml:space="preserve"> DALYs are, roughly speaking, the reciprocal of QALYs.</w:t>
      </w:r>
      <w:r w:rsidR="00CC7EFC" w:rsidRPr="0062673F">
        <w:rPr>
          <w:color w:val="000000" w:themeColor="text1"/>
        </w:rPr>
        <w:t xml:space="preserve"> This is also in keeping with </w:t>
      </w:r>
      <w:r w:rsidR="009431D9" w:rsidRPr="0062673F">
        <w:rPr>
          <w:color w:val="000000" w:themeColor="text1"/>
        </w:rPr>
        <w:t>the WHO-CHOICE method for valuing a DALY</w:t>
      </w:r>
      <w:r w:rsidR="00B94558" w:rsidRPr="0062673F">
        <w:rPr>
          <w:color w:val="000000" w:themeColor="text1"/>
        </w:rPr>
        <w:t xml:space="preserve"> averted</w:t>
      </w:r>
      <w:r w:rsidR="009431D9" w:rsidRPr="0062673F">
        <w:rPr>
          <w:color w:val="000000" w:themeColor="text1"/>
        </w:rPr>
        <w:t xml:space="preserve"> (one to three times the GDP per capita; in 2015 being £28,983 per capita in the UK, thus mid-point estimate of a DALY of £57,966)</w:t>
      </w:r>
      <w:r w:rsidR="006F06C1">
        <w:rPr>
          <w:color w:val="000000" w:themeColor="text1"/>
        </w:rPr>
        <w:t xml:space="preserve"> </w:t>
      </w:r>
      <w:r w:rsidR="0078376E" w:rsidRPr="0062673F">
        <w:rPr>
          <w:color w:val="000000" w:themeColor="text1"/>
        </w:rPr>
        <w:fldChar w:fldCharType="begin" w:fldLock="1"/>
      </w:r>
      <w:r w:rsidR="00467360" w:rsidRPr="0062673F">
        <w:rPr>
          <w:color w:val="000000" w:themeColor="text1"/>
        </w:rPr>
        <w:instrText>ADDIN CSL_CITATION {"citationItems":[{"id":"ITEM-1","itemData":{"URL":"https://www.ons.gov.uk/economy/grossdomesticproductgdp/datasets/gdpperheadtablep","accessed":{"date-parts":[["2019","12","4"]]},"author":[{"dropping-particle":"","family":"Office for National Statistics","given":"","non-dropping-particle":"","parse-names":false,"suffix":""}],"id":"ITEM-1","issued":{"date-parts":[["2018"]]},"title":"Gross domestic product per head: Table P","type":"webpage"},"uris":["http://www.mendeley.com/documents/?uuid=958dd2a7-b780-4ae5-be0e-924b821fba0b"]},{"id":"ITEM-2","itemData":{"DOI":"10.1093/heapol/czw096","ISSN":"0268-1080","author":[{"dropping-particle":"","family":"Robinson","given":"Lisa A","non-dropping-particle":"","parse-names":false,"suffix":""},{"dropping-particle":"","family":"Hammitt","given":"James K","non-dropping-particle":"","parse-names":false,"suffix":""},{"dropping-particle":"","family":"Chang","given":"Angela Y","non-dropping-particle":"","parse-names":false,"suffix":""},{"dropping-particle":"","family":"Resch","given":"Stephen","non-dropping-particle":"","parse-names":false,"suffix":""}],"container-title":"Health Policy and Planning","id":"ITEM-2","issue":"1","issued":{"date-parts":[["2017","2","1"]]},"page":"141-145","publisher":"Narnia","title":"Understanding and improving the one and three times GDP per capita cost-effectiveness thresholds","type":"article-journal","volume":"32"},"uris":["http://www.mendeley.com/documents/?uuid=42e25010-d320-37b5-995b-1a023596eb8a"]}],"mendeley":{"formattedCitation":"[51,52]","plainTextFormattedCitation":"[51,52]","previouslyFormattedCitation":"[50,51]"},"properties":{"noteIndex":0},"schema":"https://github.com/citation-style-language/schema/raw/master/csl-citation.json"}</w:instrText>
      </w:r>
      <w:r w:rsidR="0078376E" w:rsidRPr="0062673F">
        <w:rPr>
          <w:color w:val="000000" w:themeColor="text1"/>
        </w:rPr>
        <w:fldChar w:fldCharType="separate"/>
      </w:r>
      <w:r w:rsidR="00467360" w:rsidRPr="0062673F">
        <w:rPr>
          <w:noProof/>
          <w:color w:val="000000" w:themeColor="text1"/>
        </w:rPr>
        <w:t>[51,52]</w:t>
      </w:r>
      <w:r w:rsidR="0078376E" w:rsidRPr="0062673F">
        <w:rPr>
          <w:color w:val="000000" w:themeColor="text1"/>
        </w:rPr>
        <w:fldChar w:fldCharType="end"/>
      </w:r>
      <w:r w:rsidR="0066542D" w:rsidRPr="0062673F">
        <w:rPr>
          <w:color w:val="000000" w:themeColor="text1"/>
        </w:rPr>
        <w:t>.</w:t>
      </w:r>
      <w:r w:rsidR="009431D9" w:rsidRPr="0062673F">
        <w:rPr>
          <w:color w:val="000000" w:themeColor="text1"/>
        </w:rPr>
        <w:t xml:space="preserve"> </w:t>
      </w:r>
    </w:p>
    <w:p w14:paraId="3A315D67" w14:textId="3A9EB865" w:rsidR="004A7C45" w:rsidRPr="0062673F" w:rsidRDefault="00CA654A" w:rsidP="004A7C45">
      <w:pPr>
        <w:rPr>
          <w:b/>
          <w:color w:val="000000" w:themeColor="text1"/>
        </w:rPr>
      </w:pPr>
      <w:r w:rsidRPr="0062673F">
        <w:rPr>
          <w:b/>
          <w:color w:val="000000" w:themeColor="text1"/>
        </w:rPr>
        <w:t xml:space="preserve">Uncertainty and </w:t>
      </w:r>
      <w:r w:rsidR="004A7C45" w:rsidRPr="0062673F">
        <w:rPr>
          <w:b/>
          <w:color w:val="000000" w:themeColor="text1"/>
        </w:rPr>
        <w:t>Sensitivity Analyses</w:t>
      </w:r>
    </w:p>
    <w:p w14:paraId="60A6F932" w14:textId="48F99416" w:rsidR="00311685" w:rsidRPr="0062673F" w:rsidRDefault="00CA654A" w:rsidP="004A7C45">
      <w:pPr>
        <w:rPr>
          <w:rFonts w:cstheme="minorHAnsi"/>
          <w:color w:val="000000" w:themeColor="text1"/>
          <w:shd w:val="clear" w:color="auto" w:fill="FFFFFF"/>
        </w:rPr>
      </w:pPr>
      <w:r w:rsidRPr="0062673F">
        <w:rPr>
          <w:rFonts w:cstheme="minorHAnsi"/>
          <w:color w:val="000000" w:themeColor="text1"/>
          <w:shd w:val="clear" w:color="auto" w:fill="FFFFFF"/>
        </w:rPr>
        <w:t>We determined uncertainty (95% uncertainty intervals) for our main outcome measu</w:t>
      </w:r>
      <w:r w:rsidR="00311685" w:rsidRPr="0062673F">
        <w:rPr>
          <w:rFonts w:cstheme="minorHAnsi"/>
          <w:color w:val="000000" w:themeColor="text1"/>
          <w:shd w:val="clear" w:color="auto" w:fill="FFFFFF"/>
        </w:rPr>
        <w:t xml:space="preserve">res using Monte Carlo analysis. </w:t>
      </w:r>
      <w:r w:rsidR="00311685" w:rsidRPr="0062673F">
        <w:rPr>
          <w:color w:val="000000" w:themeColor="text1"/>
        </w:rPr>
        <w:t>To do this we run the model 1000 times, for each run we use a different estimate for each parameter, drawn from the distribution described by the parameter’s mean and standard deviation.</w:t>
      </w:r>
    </w:p>
    <w:p w14:paraId="603890C3" w14:textId="7A93C8B9" w:rsidR="00DA2AAE" w:rsidRPr="0062673F" w:rsidRDefault="004A7C45" w:rsidP="004A7C45">
      <w:pPr>
        <w:rPr>
          <w:color w:val="000000" w:themeColor="text1"/>
        </w:rPr>
      </w:pPr>
      <w:r w:rsidRPr="0062673F">
        <w:rPr>
          <w:rFonts w:cstheme="minorHAnsi"/>
          <w:color w:val="000000" w:themeColor="text1"/>
        </w:rPr>
        <w:t>We undertook</w:t>
      </w:r>
      <w:r w:rsidRPr="0062673F">
        <w:rPr>
          <w:color w:val="000000" w:themeColor="text1"/>
        </w:rPr>
        <w:t xml:space="preserve"> </w:t>
      </w:r>
      <w:r w:rsidR="00266818" w:rsidRPr="0062673F">
        <w:rPr>
          <w:color w:val="000000" w:themeColor="text1"/>
        </w:rPr>
        <w:t>a set of sensitivity analyses,</w:t>
      </w:r>
      <w:r w:rsidR="009730F3" w:rsidRPr="0062673F">
        <w:rPr>
          <w:color w:val="000000" w:themeColor="text1"/>
        </w:rPr>
        <w:t xml:space="preserve"> where we tested the effect of key assumptions on the model outputs (obesity and </w:t>
      </w:r>
      <w:r w:rsidR="00CC7EFC" w:rsidRPr="0062673F">
        <w:rPr>
          <w:color w:val="000000" w:themeColor="text1"/>
        </w:rPr>
        <w:t>DALY</w:t>
      </w:r>
      <w:r w:rsidR="009730F3" w:rsidRPr="0062673F">
        <w:rPr>
          <w:color w:val="000000" w:themeColor="text1"/>
        </w:rPr>
        <w:t>s) under scenario A. These</w:t>
      </w:r>
      <w:r w:rsidR="00285145" w:rsidRPr="0062673F">
        <w:rPr>
          <w:color w:val="000000" w:themeColor="text1"/>
        </w:rPr>
        <w:t xml:space="preserve"> </w:t>
      </w:r>
      <w:r w:rsidR="009730F3" w:rsidRPr="0062673F">
        <w:rPr>
          <w:color w:val="000000" w:themeColor="text1"/>
        </w:rPr>
        <w:t xml:space="preserve">analyses </w:t>
      </w:r>
      <w:r w:rsidR="00285145" w:rsidRPr="0062673F">
        <w:rPr>
          <w:color w:val="000000" w:themeColor="text1"/>
        </w:rPr>
        <w:t>ar</w:t>
      </w:r>
      <w:r w:rsidR="003D4454" w:rsidRPr="0062673F">
        <w:rPr>
          <w:color w:val="000000" w:themeColor="text1"/>
        </w:rPr>
        <w:t xml:space="preserve">e summarised in Table </w:t>
      </w:r>
      <w:r w:rsidR="009626D9">
        <w:rPr>
          <w:color w:val="000000" w:themeColor="text1"/>
        </w:rPr>
        <w:t>2</w:t>
      </w:r>
      <w:r w:rsidR="00285145" w:rsidRPr="0062673F">
        <w:rPr>
          <w:color w:val="000000" w:themeColor="text1"/>
        </w:rPr>
        <w:t>.</w:t>
      </w:r>
      <w:r w:rsidR="009730F3" w:rsidRPr="0062673F">
        <w:rPr>
          <w:color w:val="000000" w:themeColor="text1"/>
        </w:rPr>
        <w:t xml:space="preserve"> </w:t>
      </w:r>
    </w:p>
    <w:p w14:paraId="14F4EFC3" w14:textId="128848FC" w:rsidR="00475AF7" w:rsidRPr="0062673F" w:rsidRDefault="009730F3" w:rsidP="003D4454">
      <w:pPr>
        <w:rPr>
          <w:color w:val="000000" w:themeColor="text1"/>
        </w:rPr>
      </w:pPr>
      <w:r w:rsidRPr="0062673F">
        <w:rPr>
          <w:color w:val="000000" w:themeColor="text1"/>
        </w:rPr>
        <w:t>In addition</w:t>
      </w:r>
      <w:r w:rsidR="00CA654A" w:rsidRPr="0062673F">
        <w:rPr>
          <w:color w:val="000000" w:themeColor="text1"/>
        </w:rPr>
        <w:t>,</w:t>
      </w:r>
      <w:r w:rsidRPr="0062673F">
        <w:rPr>
          <w:color w:val="000000" w:themeColor="text1"/>
        </w:rPr>
        <w:t xml:space="preserve"> we undertook a further set of sensitivity analyses in which we explored the effect of assum</w:t>
      </w:r>
      <w:r w:rsidR="00CE5E56" w:rsidRPr="0062673F">
        <w:rPr>
          <w:color w:val="000000" w:themeColor="text1"/>
        </w:rPr>
        <w:t>ing that older children (aged 15</w:t>
      </w:r>
      <w:r w:rsidR="005F24FB" w:rsidRPr="0062673F">
        <w:rPr>
          <w:color w:val="000000" w:themeColor="text1"/>
        </w:rPr>
        <w:t>-17</w:t>
      </w:r>
      <w:r w:rsidR="003D4454" w:rsidRPr="0062673F">
        <w:rPr>
          <w:color w:val="000000" w:themeColor="text1"/>
        </w:rPr>
        <w:t xml:space="preserve"> years) had the same caloric response to</w:t>
      </w:r>
      <w:r w:rsidRPr="0062673F">
        <w:rPr>
          <w:color w:val="000000" w:themeColor="text1"/>
        </w:rPr>
        <w:t xml:space="preserve"> exposure to H</w:t>
      </w:r>
      <w:r w:rsidR="003D4454" w:rsidRPr="0062673F">
        <w:rPr>
          <w:color w:val="000000" w:themeColor="text1"/>
        </w:rPr>
        <w:t>FSS adverts as</w:t>
      </w:r>
      <w:r w:rsidRPr="0062673F">
        <w:rPr>
          <w:color w:val="000000" w:themeColor="text1"/>
        </w:rPr>
        <w:t xml:space="preserve"> younger children</w:t>
      </w:r>
      <w:r w:rsidR="00CE5E56" w:rsidRPr="0062673F">
        <w:rPr>
          <w:color w:val="000000" w:themeColor="text1"/>
        </w:rPr>
        <w:t xml:space="preserve"> (aged 5-14 years)</w:t>
      </w:r>
      <w:r w:rsidRPr="0062673F">
        <w:rPr>
          <w:color w:val="000000" w:themeColor="text1"/>
        </w:rPr>
        <w:t xml:space="preserve">. As we lacked detail on the viewing patterns of these older children, we assumed their viewing patterns were either like </w:t>
      </w:r>
      <w:r w:rsidR="00CE5E56" w:rsidRPr="0062673F">
        <w:rPr>
          <w:color w:val="000000" w:themeColor="text1"/>
        </w:rPr>
        <w:t xml:space="preserve">those of children </w:t>
      </w:r>
      <w:r w:rsidRPr="0062673F">
        <w:rPr>
          <w:color w:val="000000" w:themeColor="text1"/>
        </w:rPr>
        <w:t>aged 4-15 years</w:t>
      </w:r>
      <w:r w:rsidR="00CE5E56" w:rsidRPr="0062673F">
        <w:rPr>
          <w:color w:val="000000" w:themeColor="text1"/>
        </w:rPr>
        <w:t>, or like those of people aged 16</w:t>
      </w:r>
      <w:r w:rsidR="00DF15BD" w:rsidRPr="0062673F">
        <w:rPr>
          <w:color w:val="000000" w:themeColor="text1"/>
        </w:rPr>
        <w:t xml:space="preserve">-65 </w:t>
      </w:r>
      <w:r w:rsidR="00CE5E56" w:rsidRPr="0062673F">
        <w:rPr>
          <w:color w:val="000000" w:themeColor="text1"/>
        </w:rPr>
        <w:t>years</w:t>
      </w:r>
      <w:r w:rsidRPr="0062673F">
        <w:rPr>
          <w:color w:val="000000" w:themeColor="text1"/>
        </w:rPr>
        <w:t xml:space="preserve"> (</w:t>
      </w:r>
      <w:r w:rsidR="00CE5E56" w:rsidRPr="0062673F">
        <w:rPr>
          <w:color w:val="000000" w:themeColor="text1"/>
        </w:rPr>
        <w:t xml:space="preserve">i.e. </w:t>
      </w:r>
      <w:r w:rsidRPr="0062673F">
        <w:rPr>
          <w:color w:val="000000" w:themeColor="text1"/>
        </w:rPr>
        <w:t xml:space="preserve">the two </w:t>
      </w:r>
      <w:r w:rsidR="00CE5E56" w:rsidRPr="0062673F">
        <w:rPr>
          <w:color w:val="000000" w:themeColor="text1"/>
        </w:rPr>
        <w:t xml:space="preserve">age </w:t>
      </w:r>
      <w:r w:rsidRPr="0062673F">
        <w:rPr>
          <w:color w:val="000000" w:themeColor="text1"/>
        </w:rPr>
        <w:t>groups on which we had data on viewing behaviours).</w:t>
      </w:r>
      <w:r w:rsidR="00DA2AAE" w:rsidRPr="0062673F">
        <w:rPr>
          <w:color w:val="000000" w:themeColor="text1"/>
        </w:rPr>
        <w:t xml:space="preserve"> We ran these sensitivity analyses on both s</w:t>
      </w:r>
      <w:r w:rsidR="00AD1E29" w:rsidRPr="0062673F">
        <w:rPr>
          <w:color w:val="000000" w:themeColor="text1"/>
        </w:rPr>
        <w:t>cenarios A and B, to explore a</w:t>
      </w:r>
      <w:r w:rsidR="00DA2AAE" w:rsidRPr="0062673F">
        <w:rPr>
          <w:color w:val="000000" w:themeColor="text1"/>
        </w:rPr>
        <w:t xml:space="preserve"> potential concern around older children seeing more HFSS adverts if they watched</w:t>
      </w:r>
      <w:r w:rsidR="00C40AB7" w:rsidRPr="0062673F">
        <w:rPr>
          <w:color w:val="000000" w:themeColor="text1"/>
        </w:rPr>
        <w:t xml:space="preserve"> television</w:t>
      </w:r>
      <w:r w:rsidR="00DA2AAE" w:rsidRPr="0062673F">
        <w:rPr>
          <w:color w:val="000000" w:themeColor="text1"/>
        </w:rPr>
        <w:t xml:space="preserve"> after </w:t>
      </w:r>
      <w:r w:rsidR="008F406E">
        <w:rPr>
          <w:color w:val="000000" w:themeColor="text1"/>
        </w:rPr>
        <w:t>21.00 hours</w:t>
      </w:r>
      <w:r w:rsidR="00DA2AAE" w:rsidRPr="0062673F">
        <w:rPr>
          <w:color w:val="000000" w:themeColor="text1"/>
        </w:rPr>
        <w:t>.</w:t>
      </w:r>
      <w:r w:rsidR="00475AF7" w:rsidRPr="0062673F">
        <w:rPr>
          <w:color w:val="000000" w:themeColor="text1"/>
        </w:rPr>
        <w:t xml:space="preserve"> </w:t>
      </w:r>
    </w:p>
    <w:p w14:paraId="7044A82E" w14:textId="77777777" w:rsidR="00475AF7" w:rsidRPr="0062673F" w:rsidRDefault="00475AF7" w:rsidP="004A7C45">
      <w:pPr>
        <w:rPr>
          <w:color w:val="000000" w:themeColor="text1"/>
        </w:rPr>
      </w:pPr>
    </w:p>
    <w:p w14:paraId="0C924510" w14:textId="77777777" w:rsidR="003D4454" w:rsidRPr="0062673F" w:rsidRDefault="003D4454">
      <w:pPr>
        <w:rPr>
          <w:b/>
          <w:color w:val="000000" w:themeColor="text1"/>
        </w:rPr>
      </w:pPr>
      <w:r w:rsidRPr="0062673F">
        <w:rPr>
          <w:b/>
          <w:color w:val="000000" w:themeColor="text1"/>
        </w:rPr>
        <w:br w:type="page"/>
      </w:r>
    </w:p>
    <w:p w14:paraId="7C25753E" w14:textId="1164B50E" w:rsidR="009730F3" w:rsidRPr="0062673F" w:rsidRDefault="009730F3" w:rsidP="004A7C45">
      <w:pPr>
        <w:rPr>
          <w:b/>
          <w:color w:val="000000" w:themeColor="text1"/>
        </w:rPr>
      </w:pPr>
      <w:r w:rsidRPr="0062673F">
        <w:rPr>
          <w:b/>
          <w:color w:val="000000" w:themeColor="text1"/>
        </w:rPr>
        <w:t xml:space="preserve">Table </w:t>
      </w:r>
      <w:r w:rsidR="009626D9">
        <w:rPr>
          <w:b/>
          <w:color w:val="000000" w:themeColor="text1"/>
        </w:rPr>
        <w:t>2</w:t>
      </w:r>
      <w:r w:rsidRPr="0062673F">
        <w:rPr>
          <w:b/>
          <w:color w:val="000000" w:themeColor="text1"/>
        </w:rPr>
        <w:t>: Description of sensitivity analyses</w:t>
      </w:r>
    </w:p>
    <w:tbl>
      <w:tblPr>
        <w:tblStyle w:val="TableGrid"/>
        <w:tblW w:w="0" w:type="auto"/>
        <w:tblLook w:val="04A0" w:firstRow="1" w:lastRow="0" w:firstColumn="1" w:lastColumn="0" w:noHBand="0" w:noVBand="1"/>
      </w:tblPr>
      <w:tblGrid>
        <w:gridCol w:w="2547"/>
        <w:gridCol w:w="6237"/>
      </w:tblGrid>
      <w:tr w:rsidR="00285145" w:rsidRPr="0062673F" w14:paraId="3E045A3D" w14:textId="77777777" w:rsidTr="00285145">
        <w:tc>
          <w:tcPr>
            <w:tcW w:w="2547" w:type="dxa"/>
          </w:tcPr>
          <w:p w14:paraId="384DFDC2" w14:textId="4562EBCD" w:rsidR="00285145" w:rsidRPr="0062673F" w:rsidRDefault="00285145" w:rsidP="00063544">
            <w:pPr>
              <w:rPr>
                <w:b/>
                <w:color w:val="000000" w:themeColor="text1"/>
              </w:rPr>
            </w:pPr>
            <w:r w:rsidRPr="0062673F">
              <w:rPr>
                <w:b/>
                <w:color w:val="000000" w:themeColor="text1"/>
              </w:rPr>
              <w:t>Sensitivity Analysis</w:t>
            </w:r>
          </w:p>
        </w:tc>
        <w:tc>
          <w:tcPr>
            <w:tcW w:w="6237" w:type="dxa"/>
          </w:tcPr>
          <w:p w14:paraId="230CD2EC" w14:textId="5279B717" w:rsidR="00285145" w:rsidRPr="0062673F" w:rsidRDefault="00285145" w:rsidP="00063544">
            <w:pPr>
              <w:rPr>
                <w:b/>
                <w:color w:val="000000" w:themeColor="text1"/>
              </w:rPr>
            </w:pPr>
            <w:r w:rsidRPr="0062673F">
              <w:rPr>
                <w:b/>
                <w:color w:val="000000" w:themeColor="text1"/>
              </w:rPr>
              <w:t>Description</w:t>
            </w:r>
          </w:p>
        </w:tc>
      </w:tr>
      <w:tr w:rsidR="00D55600" w:rsidRPr="0062673F" w14:paraId="3CA00061" w14:textId="77777777" w:rsidTr="00285145">
        <w:tc>
          <w:tcPr>
            <w:tcW w:w="2547" w:type="dxa"/>
          </w:tcPr>
          <w:p w14:paraId="0F2FFC02" w14:textId="6BE595DC" w:rsidR="00D55600" w:rsidRPr="0062673F" w:rsidRDefault="00D55600" w:rsidP="00FB3E99">
            <w:pPr>
              <w:rPr>
                <w:color w:val="000000" w:themeColor="text1"/>
                <w:sz w:val="18"/>
                <w:szCs w:val="18"/>
              </w:rPr>
            </w:pPr>
            <w:r w:rsidRPr="0062673F">
              <w:rPr>
                <w:color w:val="000000" w:themeColor="text1"/>
                <w:sz w:val="18"/>
                <w:szCs w:val="18"/>
              </w:rPr>
              <w:t>2018 Nutrient Profile Model</w:t>
            </w:r>
          </w:p>
        </w:tc>
        <w:tc>
          <w:tcPr>
            <w:tcW w:w="6237" w:type="dxa"/>
          </w:tcPr>
          <w:p w14:paraId="3EE39A37" w14:textId="42F3D6AF" w:rsidR="00D55600" w:rsidRPr="0062673F" w:rsidRDefault="00D55600" w:rsidP="00AD1E29">
            <w:pPr>
              <w:rPr>
                <w:color w:val="000000" w:themeColor="text1"/>
                <w:sz w:val="18"/>
                <w:szCs w:val="18"/>
              </w:rPr>
            </w:pPr>
            <w:r w:rsidRPr="0062673F">
              <w:rPr>
                <w:color w:val="000000" w:themeColor="text1"/>
                <w:sz w:val="18"/>
                <w:szCs w:val="18"/>
              </w:rPr>
              <w:t>We used the revised version of the nutrient profile model, published in 2018.</w:t>
            </w:r>
            <w:r w:rsidR="003D4454" w:rsidRPr="0062673F">
              <w:rPr>
                <w:color w:val="000000" w:themeColor="text1"/>
                <w:sz w:val="18"/>
                <w:szCs w:val="18"/>
              </w:rPr>
              <w:t xml:space="preserve"> This model has revised thresholds for sugar and is more liable to classify food with sugar as HFSS</w:t>
            </w:r>
            <w:r w:rsidR="006F06C1">
              <w:rPr>
                <w:color w:val="000000" w:themeColor="text1"/>
                <w:sz w:val="18"/>
                <w:szCs w:val="18"/>
              </w:rPr>
              <w:t xml:space="preserve"> </w:t>
            </w:r>
            <w:r w:rsidRPr="0062673F">
              <w:rPr>
                <w:color w:val="000000" w:themeColor="text1"/>
                <w:sz w:val="18"/>
                <w:szCs w:val="18"/>
              </w:rPr>
              <w:fldChar w:fldCharType="begin" w:fldLock="1"/>
            </w:r>
            <w:r w:rsidR="00467360" w:rsidRPr="0062673F">
              <w:rPr>
                <w:color w:val="000000" w:themeColor="text1"/>
                <w:sz w:val="18"/>
                <w:szCs w:val="18"/>
              </w:rPr>
              <w:instrText>ADDIN CSL_CITATION {"citationItems":[{"id":"ITEM-1","itemData":{"author":[{"dropping-particle":"","family":"Public Health England","given":"","non-dropping-particle":"","parse-names":false,"suffix":""}],"id":"ITEM-1","issued":{"date-parts":[["2018"]]},"publisher-place":"London","title":"Annex C: Basis of the nutrient/food component and scoring for the UK NPM 2004/5 and the draft 2018 NPM","type":"report"},"uris":["http://www.mendeley.com/documents/?uuid=c7095fec-0604-45be-8caf-539213d19c96"]}],"mendeley":{"formattedCitation":"[53]","plainTextFormattedCitation":"[53]","previouslyFormattedCitation":"[52]"},"properties":{"noteIndex":0},"schema":"https://github.com/citation-style-language/schema/raw/master/csl-citation.json"}</w:instrText>
            </w:r>
            <w:r w:rsidRPr="0062673F">
              <w:rPr>
                <w:color w:val="000000" w:themeColor="text1"/>
                <w:sz w:val="18"/>
                <w:szCs w:val="18"/>
              </w:rPr>
              <w:fldChar w:fldCharType="separate"/>
            </w:r>
            <w:r w:rsidR="00467360" w:rsidRPr="0062673F">
              <w:rPr>
                <w:noProof/>
                <w:color w:val="000000" w:themeColor="text1"/>
                <w:sz w:val="18"/>
                <w:szCs w:val="18"/>
              </w:rPr>
              <w:t>[53]</w:t>
            </w:r>
            <w:r w:rsidRPr="0062673F">
              <w:rPr>
                <w:color w:val="000000" w:themeColor="text1"/>
                <w:sz w:val="18"/>
                <w:szCs w:val="18"/>
              </w:rPr>
              <w:fldChar w:fldCharType="end"/>
            </w:r>
            <w:r w:rsidR="0066542D" w:rsidRPr="0062673F">
              <w:rPr>
                <w:color w:val="000000" w:themeColor="text1"/>
                <w:sz w:val="18"/>
                <w:szCs w:val="18"/>
              </w:rPr>
              <w:t>.</w:t>
            </w:r>
          </w:p>
        </w:tc>
      </w:tr>
      <w:tr w:rsidR="00285145" w:rsidRPr="0062673F" w14:paraId="7E272104" w14:textId="77777777" w:rsidTr="00285145">
        <w:tc>
          <w:tcPr>
            <w:tcW w:w="2547" w:type="dxa"/>
          </w:tcPr>
          <w:p w14:paraId="480699F8" w14:textId="3092B3B2" w:rsidR="00285145" w:rsidRPr="0062673F" w:rsidRDefault="00285145" w:rsidP="00FB3E99">
            <w:pPr>
              <w:rPr>
                <w:color w:val="000000" w:themeColor="text1"/>
                <w:sz w:val="18"/>
                <w:szCs w:val="18"/>
              </w:rPr>
            </w:pPr>
            <w:r w:rsidRPr="0062673F">
              <w:rPr>
                <w:color w:val="000000" w:themeColor="text1"/>
                <w:sz w:val="18"/>
                <w:szCs w:val="18"/>
              </w:rPr>
              <w:t xml:space="preserve">Classification of </w:t>
            </w:r>
            <w:r w:rsidR="00F331F4" w:rsidRPr="0062673F">
              <w:rPr>
                <w:color w:val="000000" w:themeColor="text1"/>
                <w:sz w:val="18"/>
                <w:szCs w:val="18"/>
              </w:rPr>
              <w:t xml:space="preserve">brand </w:t>
            </w:r>
            <w:r w:rsidRPr="0062673F">
              <w:rPr>
                <w:color w:val="000000" w:themeColor="text1"/>
                <w:sz w:val="18"/>
                <w:szCs w:val="18"/>
              </w:rPr>
              <w:t>adverts</w:t>
            </w:r>
            <w:r w:rsidR="00266818" w:rsidRPr="0062673F">
              <w:rPr>
                <w:color w:val="000000" w:themeColor="text1"/>
                <w:sz w:val="18"/>
                <w:szCs w:val="18"/>
              </w:rPr>
              <w:t xml:space="preserve"> – all HFSS</w:t>
            </w:r>
          </w:p>
        </w:tc>
        <w:tc>
          <w:tcPr>
            <w:tcW w:w="6237" w:type="dxa"/>
          </w:tcPr>
          <w:p w14:paraId="404DA7B2" w14:textId="523B2C93" w:rsidR="00285145" w:rsidRPr="0062673F" w:rsidRDefault="00FB3E99" w:rsidP="00650E18">
            <w:pPr>
              <w:rPr>
                <w:color w:val="000000" w:themeColor="text1"/>
                <w:sz w:val="18"/>
                <w:szCs w:val="18"/>
              </w:rPr>
            </w:pPr>
            <w:r w:rsidRPr="0062673F">
              <w:rPr>
                <w:color w:val="000000" w:themeColor="text1"/>
                <w:sz w:val="18"/>
                <w:szCs w:val="18"/>
              </w:rPr>
              <w:t>We assumed all adverts for brands that contained a mi</w:t>
            </w:r>
            <w:r w:rsidR="00A907CC" w:rsidRPr="0062673F">
              <w:rPr>
                <w:color w:val="000000" w:themeColor="text1"/>
                <w:sz w:val="18"/>
                <w:szCs w:val="18"/>
              </w:rPr>
              <w:t>x of HFSS and non-HFSS products</w:t>
            </w:r>
            <w:r w:rsidRPr="0062673F">
              <w:rPr>
                <w:color w:val="000000" w:themeColor="text1"/>
                <w:sz w:val="18"/>
                <w:szCs w:val="18"/>
              </w:rPr>
              <w:t xml:space="preserve"> included HFSS products</w:t>
            </w:r>
            <w:r w:rsidR="00371EB2" w:rsidRPr="0062673F">
              <w:rPr>
                <w:color w:val="000000" w:themeColor="text1"/>
                <w:sz w:val="18"/>
                <w:szCs w:val="18"/>
              </w:rPr>
              <w:t xml:space="preserve"> within the advert</w:t>
            </w:r>
            <w:r w:rsidRPr="0062673F">
              <w:rPr>
                <w:color w:val="000000" w:themeColor="text1"/>
                <w:sz w:val="18"/>
                <w:szCs w:val="18"/>
              </w:rPr>
              <w:t xml:space="preserve"> and would be subjects to the restrictions</w:t>
            </w:r>
          </w:p>
        </w:tc>
      </w:tr>
      <w:tr w:rsidR="00285145" w:rsidRPr="0062673F" w14:paraId="6F61CE40" w14:textId="77777777" w:rsidTr="00285145">
        <w:tc>
          <w:tcPr>
            <w:tcW w:w="2547" w:type="dxa"/>
          </w:tcPr>
          <w:p w14:paraId="3E2A8FFD" w14:textId="56815653" w:rsidR="00266818" w:rsidRPr="0062673F" w:rsidRDefault="00F331F4" w:rsidP="00266818">
            <w:pPr>
              <w:rPr>
                <w:color w:val="000000" w:themeColor="text1"/>
                <w:sz w:val="18"/>
                <w:szCs w:val="18"/>
              </w:rPr>
            </w:pPr>
            <w:r w:rsidRPr="0062673F">
              <w:rPr>
                <w:color w:val="000000" w:themeColor="text1"/>
                <w:sz w:val="18"/>
                <w:szCs w:val="18"/>
              </w:rPr>
              <w:t>Classification of brand adverts</w:t>
            </w:r>
            <w:r w:rsidR="00266818" w:rsidRPr="0062673F">
              <w:rPr>
                <w:color w:val="000000" w:themeColor="text1"/>
                <w:sz w:val="18"/>
                <w:szCs w:val="18"/>
              </w:rPr>
              <w:t xml:space="preserve"> - all non-HFSS</w:t>
            </w:r>
          </w:p>
        </w:tc>
        <w:tc>
          <w:tcPr>
            <w:tcW w:w="6237" w:type="dxa"/>
          </w:tcPr>
          <w:p w14:paraId="01E2A85E" w14:textId="4329DD2B" w:rsidR="00285145" w:rsidRPr="0062673F" w:rsidRDefault="00371EB2" w:rsidP="00650E18">
            <w:pPr>
              <w:rPr>
                <w:color w:val="000000" w:themeColor="text1"/>
                <w:sz w:val="18"/>
                <w:szCs w:val="18"/>
              </w:rPr>
            </w:pPr>
            <w:r w:rsidRPr="0062673F">
              <w:rPr>
                <w:color w:val="000000" w:themeColor="text1"/>
                <w:sz w:val="18"/>
                <w:szCs w:val="18"/>
              </w:rPr>
              <w:t>We assumed all adverts for brands that contained a mi</w:t>
            </w:r>
            <w:r w:rsidR="00A907CC" w:rsidRPr="0062673F">
              <w:rPr>
                <w:color w:val="000000" w:themeColor="text1"/>
                <w:sz w:val="18"/>
                <w:szCs w:val="18"/>
              </w:rPr>
              <w:t>x of HFSS and non-HFSS products</w:t>
            </w:r>
            <w:r w:rsidRPr="0062673F">
              <w:rPr>
                <w:color w:val="000000" w:themeColor="text1"/>
                <w:sz w:val="18"/>
                <w:szCs w:val="18"/>
              </w:rPr>
              <w:t xml:space="preserve"> included</w:t>
            </w:r>
            <w:r w:rsidR="000C6B25" w:rsidRPr="0062673F">
              <w:rPr>
                <w:color w:val="000000" w:themeColor="text1"/>
                <w:sz w:val="18"/>
                <w:szCs w:val="18"/>
              </w:rPr>
              <w:t xml:space="preserve"> only non-</w:t>
            </w:r>
            <w:r w:rsidRPr="0062673F">
              <w:rPr>
                <w:color w:val="000000" w:themeColor="text1"/>
                <w:sz w:val="18"/>
                <w:szCs w:val="18"/>
              </w:rPr>
              <w:t xml:space="preserve">HFSS products within the advert and would </w:t>
            </w:r>
            <w:r w:rsidR="000C6B25" w:rsidRPr="0062673F">
              <w:rPr>
                <w:color w:val="000000" w:themeColor="text1"/>
                <w:sz w:val="18"/>
                <w:szCs w:val="18"/>
              </w:rPr>
              <w:t xml:space="preserve">not </w:t>
            </w:r>
            <w:r w:rsidRPr="0062673F">
              <w:rPr>
                <w:color w:val="000000" w:themeColor="text1"/>
                <w:sz w:val="18"/>
                <w:szCs w:val="18"/>
              </w:rPr>
              <w:t>be subjects to the restrictions</w:t>
            </w:r>
          </w:p>
        </w:tc>
      </w:tr>
      <w:tr w:rsidR="003D4454" w:rsidRPr="0062673F" w14:paraId="4DD3DA51" w14:textId="77777777" w:rsidTr="00285145">
        <w:tc>
          <w:tcPr>
            <w:tcW w:w="2547" w:type="dxa"/>
          </w:tcPr>
          <w:p w14:paraId="417B89B8" w14:textId="7D7A28DD" w:rsidR="003D4454" w:rsidRPr="0062673F" w:rsidRDefault="003D4454" w:rsidP="003D4454">
            <w:pPr>
              <w:rPr>
                <w:color w:val="000000" w:themeColor="text1"/>
                <w:sz w:val="18"/>
                <w:szCs w:val="18"/>
              </w:rPr>
            </w:pPr>
            <w:r w:rsidRPr="0062673F">
              <w:rPr>
                <w:color w:val="000000" w:themeColor="text1"/>
                <w:sz w:val="18"/>
                <w:szCs w:val="18"/>
              </w:rPr>
              <w:t>NICE discount rate</w:t>
            </w:r>
          </w:p>
        </w:tc>
        <w:tc>
          <w:tcPr>
            <w:tcW w:w="6237" w:type="dxa"/>
          </w:tcPr>
          <w:p w14:paraId="3B5F307C" w14:textId="3D33B397" w:rsidR="003D4454" w:rsidRPr="0062673F" w:rsidRDefault="003D4454" w:rsidP="003D4454">
            <w:pPr>
              <w:rPr>
                <w:color w:val="000000" w:themeColor="text1"/>
                <w:sz w:val="18"/>
                <w:szCs w:val="18"/>
              </w:rPr>
            </w:pPr>
            <w:r w:rsidRPr="0062673F">
              <w:rPr>
                <w:color w:val="000000" w:themeColor="text1"/>
                <w:sz w:val="18"/>
                <w:szCs w:val="18"/>
              </w:rPr>
              <w:t xml:space="preserve">We used a discount rate of 3.5% for </w:t>
            </w:r>
            <w:r w:rsidR="00C83ED1" w:rsidRPr="0062673F">
              <w:rPr>
                <w:color w:val="000000" w:themeColor="text1"/>
                <w:sz w:val="18"/>
                <w:szCs w:val="18"/>
              </w:rPr>
              <w:t xml:space="preserve">costs and </w:t>
            </w:r>
            <w:r w:rsidR="00CC7EFC" w:rsidRPr="0062673F">
              <w:rPr>
                <w:color w:val="000000" w:themeColor="text1"/>
                <w:sz w:val="18"/>
                <w:szCs w:val="18"/>
              </w:rPr>
              <w:t>DALY</w:t>
            </w:r>
            <w:r w:rsidRPr="0062673F">
              <w:rPr>
                <w:color w:val="000000" w:themeColor="text1"/>
                <w:sz w:val="18"/>
                <w:szCs w:val="18"/>
              </w:rPr>
              <w:t>s (with no tapering over time)</w:t>
            </w:r>
            <w:r w:rsidR="00546172" w:rsidRPr="0062673F">
              <w:rPr>
                <w:color w:val="000000" w:themeColor="text1"/>
                <w:sz w:val="18"/>
                <w:szCs w:val="18"/>
              </w:rPr>
              <w:t>, instead of those recommended by the UK Treasury. The 3.5% discount</w:t>
            </w:r>
            <w:r w:rsidRPr="0062673F">
              <w:rPr>
                <w:color w:val="000000" w:themeColor="text1"/>
                <w:sz w:val="18"/>
                <w:szCs w:val="18"/>
              </w:rPr>
              <w:t xml:space="preserve"> rate</w:t>
            </w:r>
            <w:r w:rsidR="00546172" w:rsidRPr="0062673F">
              <w:rPr>
                <w:color w:val="000000" w:themeColor="text1"/>
                <w:sz w:val="18"/>
                <w:szCs w:val="18"/>
              </w:rPr>
              <w:t xml:space="preserve"> is</w:t>
            </w:r>
            <w:r w:rsidRPr="0062673F">
              <w:rPr>
                <w:color w:val="000000" w:themeColor="text1"/>
                <w:sz w:val="18"/>
                <w:szCs w:val="18"/>
              </w:rPr>
              <w:t xml:space="preserve"> recommended by the National Institute for Health and Care Excellence (NICE) for evaluation of health and care interventions in</w:t>
            </w:r>
            <w:r w:rsidR="00546172" w:rsidRPr="0062673F">
              <w:rPr>
                <w:color w:val="000000" w:themeColor="text1"/>
                <w:sz w:val="18"/>
                <w:szCs w:val="18"/>
              </w:rPr>
              <w:t xml:space="preserve"> the UK</w:t>
            </w:r>
            <w:r w:rsidRPr="0062673F">
              <w:rPr>
                <w:color w:val="000000" w:themeColor="text1"/>
                <w:sz w:val="18"/>
                <w:szCs w:val="18"/>
              </w:rPr>
              <w:t>.</w:t>
            </w:r>
          </w:p>
        </w:tc>
      </w:tr>
      <w:tr w:rsidR="00266818" w:rsidRPr="0062673F" w14:paraId="44F95E1C" w14:textId="77777777" w:rsidTr="00285145">
        <w:tc>
          <w:tcPr>
            <w:tcW w:w="2547" w:type="dxa"/>
          </w:tcPr>
          <w:p w14:paraId="1A70645E" w14:textId="72951693" w:rsidR="00266818" w:rsidRPr="0062673F" w:rsidRDefault="00266818" w:rsidP="00266818">
            <w:pPr>
              <w:rPr>
                <w:color w:val="000000" w:themeColor="text1"/>
                <w:sz w:val="18"/>
                <w:szCs w:val="18"/>
              </w:rPr>
            </w:pPr>
            <w:r w:rsidRPr="0062673F">
              <w:rPr>
                <w:color w:val="000000" w:themeColor="text1"/>
                <w:sz w:val="18"/>
                <w:szCs w:val="18"/>
              </w:rPr>
              <w:t>Differential impact by weight</w:t>
            </w:r>
          </w:p>
        </w:tc>
        <w:tc>
          <w:tcPr>
            <w:tcW w:w="6237" w:type="dxa"/>
          </w:tcPr>
          <w:p w14:paraId="64C7183A" w14:textId="5F777480" w:rsidR="00266818" w:rsidRPr="0062673F" w:rsidRDefault="00984E62" w:rsidP="00C40AB7">
            <w:pPr>
              <w:rPr>
                <w:color w:val="000000" w:themeColor="text1"/>
                <w:sz w:val="18"/>
                <w:szCs w:val="18"/>
              </w:rPr>
            </w:pPr>
            <w:r w:rsidRPr="0062673F">
              <w:rPr>
                <w:color w:val="000000" w:themeColor="text1"/>
                <w:sz w:val="18"/>
                <w:szCs w:val="18"/>
              </w:rPr>
              <w:t xml:space="preserve">Assuming the same average change in energy intake, we assumed a greater effect of the proposed regulations on children who </w:t>
            </w:r>
            <w:r w:rsidR="00650E18" w:rsidRPr="0062673F">
              <w:rPr>
                <w:color w:val="000000" w:themeColor="text1"/>
                <w:sz w:val="18"/>
                <w:szCs w:val="18"/>
              </w:rPr>
              <w:t xml:space="preserve">have </w:t>
            </w:r>
            <w:r w:rsidRPr="0062673F">
              <w:rPr>
                <w:color w:val="000000" w:themeColor="text1"/>
                <w:sz w:val="18"/>
                <w:szCs w:val="18"/>
              </w:rPr>
              <w:t>overwe</w:t>
            </w:r>
            <w:r w:rsidR="00690BED" w:rsidRPr="0062673F">
              <w:rPr>
                <w:color w:val="000000" w:themeColor="text1"/>
                <w:sz w:val="18"/>
                <w:szCs w:val="18"/>
              </w:rPr>
              <w:t>ight</w:t>
            </w:r>
            <w:r w:rsidRPr="0062673F">
              <w:rPr>
                <w:color w:val="000000" w:themeColor="text1"/>
                <w:sz w:val="18"/>
                <w:szCs w:val="18"/>
              </w:rPr>
              <w:t xml:space="preserve">. </w:t>
            </w:r>
            <w:r w:rsidR="00266818" w:rsidRPr="0062673F">
              <w:rPr>
                <w:color w:val="000000" w:themeColor="text1"/>
                <w:sz w:val="18"/>
                <w:szCs w:val="18"/>
              </w:rPr>
              <w:t xml:space="preserve">Based on the Russell et al meta-analysis we assumed that children who have overweight </w:t>
            </w:r>
            <w:r w:rsidRPr="0062673F">
              <w:rPr>
                <w:color w:val="000000" w:themeColor="text1"/>
                <w:sz w:val="18"/>
                <w:szCs w:val="18"/>
              </w:rPr>
              <w:t>consumed more calories in response to HFSS advertising than children who had a normal weight (125.5 kcal vs 79.9 kcal, ratio 1.57)</w:t>
            </w:r>
            <w:r w:rsidR="00C424FB" w:rsidRPr="0062673F">
              <w:rPr>
                <w:color w:val="000000" w:themeColor="text1"/>
                <w:sz w:val="18"/>
                <w:szCs w:val="18"/>
              </w:rPr>
              <w:t xml:space="preserve">; </w:t>
            </w:r>
            <w:r w:rsidRPr="0062673F">
              <w:rPr>
                <w:color w:val="000000" w:themeColor="text1"/>
                <w:sz w:val="18"/>
                <w:szCs w:val="18"/>
              </w:rPr>
              <w:t>that children who are overweight watch more</w:t>
            </w:r>
            <w:r w:rsidR="00C40AB7" w:rsidRPr="0062673F">
              <w:rPr>
                <w:color w:val="000000" w:themeColor="text1"/>
                <w:sz w:val="18"/>
                <w:szCs w:val="18"/>
              </w:rPr>
              <w:t xml:space="preserve"> television</w:t>
            </w:r>
            <w:r w:rsidRPr="0062673F">
              <w:rPr>
                <w:color w:val="000000" w:themeColor="text1"/>
                <w:sz w:val="18"/>
                <w:szCs w:val="18"/>
              </w:rPr>
              <w:t>, and thus are to more exposed to HFSS adverts (</w:t>
            </w:r>
            <w:r w:rsidR="00C424FB" w:rsidRPr="0062673F">
              <w:rPr>
                <w:color w:val="000000" w:themeColor="text1"/>
                <w:sz w:val="18"/>
                <w:szCs w:val="18"/>
              </w:rPr>
              <w:t>based on Health Survey for England 2008 data, obese children watch 120 minutes vs 102.9 minutes for those who are not obese; ratio 1.17</w:t>
            </w:r>
            <w:r w:rsidRPr="0062673F">
              <w:rPr>
                <w:color w:val="000000" w:themeColor="text1"/>
                <w:sz w:val="18"/>
                <w:szCs w:val="18"/>
              </w:rPr>
              <w:t>)</w:t>
            </w:r>
            <w:r w:rsidR="00C424FB" w:rsidRPr="0062673F">
              <w:rPr>
                <w:color w:val="000000" w:themeColor="text1"/>
                <w:sz w:val="18"/>
                <w:szCs w:val="18"/>
              </w:rPr>
              <w:t>; and that the cumulative effect of the increased exposure and increased sensitivity to exposure results in an approximate 80% difference in change in energy intake (1.57 x 1.17 =1.83).</w:t>
            </w:r>
          </w:p>
        </w:tc>
      </w:tr>
    </w:tbl>
    <w:p w14:paraId="0B4A56FF" w14:textId="3DF83693" w:rsidR="002948FD" w:rsidRPr="0062673F" w:rsidRDefault="002948FD">
      <w:pPr>
        <w:rPr>
          <w:color w:val="000000" w:themeColor="text1"/>
        </w:rPr>
      </w:pPr>
      <w:r w:rsidRPr="0062673F">
        <w:rPr>
          <w:color w:val="000000" w:themeColor="text1"/>
        </w:rPr>
        <w:br w:type="page"/>
      </w:r>
    </w:p>
    <w:p w14:paraId="726FA8E2" w14:textId="77777777" w:rsidR="00177819" w:rsidRPr="0062673F" w:rsidRDefault="00177819" w:rsidP="00B61000">
      <w:pPr>
        <w:rPr>
          <w:b/>
          <w:color w:val="000000" w:themeColor="text1"/>
        </w:rPr>
      </w:pPr>
      <w:r w:rsidRPr="0062673F">
        <w:rPr>
          <w:b/>
          <w:color w:val="000000" w:themeColor="text1"/>
        </w:rPr>
        <w:t>RESULTS</w:t>
      </w:r>
    </w:p>
    <w:p w14:paraId="4475AAF6" w14:textId="5FECE314" w:rsidR="00DA0F22" w:rsidRPr="0062673F" w:rsidRDefault="00423DBD" w:rsidP="00B61000">
      <w:pPr>
        <w:rPr>
          <w:color w:val="000000" w:themeColor="text1"/>
        </w:rPr>
      </w:pPr>
      <w:r w:rsidRPr="0062673F">
        <w:rPr>
          <w:color w:val="000000" w:themeColor="text1"/>
        </w:rPr>
        <w:t xml:space="preserve">The descriptive characteristics of the study population are shown in Table </w:t>
      </w:r>
      <w:r w:rsidR="009626D9">
        <w:rPr>
          <w:color w:val="000000" w:themeColor="text1"/>
        </w:rPr>
        <w:t>3</w:t>
      </w:r>
      <w:r w:rsidRPr="0062673F">
        <w:rPr>
          <w:color w:val="000000" w:themeColor="text1"/>
        </w:rPr>
        <w:t xml:space="preserve">. On average, children in the UK </w:t>
      </w:r>
      <w:r w:rsidR="00701784" w:rsidRPr="0062673F">
        <w:rPr>
          <w:color w:val="000000" w:themeColor="text1"/>
        </w:rPr>
        <w:t>saw</w:t>
      </w:r>
      <w:r w:rsidR="00690BED" w:rsidRPr="0062673F">
        <w:rPr>
          <w:color w:val="000000" w:themeColor="text1"/>
        </w:rPr>
        <w:t xml:space="preserve"> 2.1</w:t>
      </w:r>
      <w:r w:rsidRPr="0062673F">
        <w:rPr>
          <w:color w:val="000000" w:themeColor="text1"/>
        </w:rPr>
        <w:t xml:space="preserve"> HFSS adverts on television</w:t>
      </w:r>
      <w:r w:rsidR="00690BED" w:rsidRPr="0062673F">
        <w:rPr>
          <w:color w:val="000000" w:themeColor="text1"/>
        </w:rPr>
        <w:t xml:space="preserve"> per day, of which 71.5% (1.5</w:t>
      </w:r>
      <w:r w:rsidRPr="0062673F">
        <w:rPr>
          <w:color w:val="000000" w:themeColor="text1"/>
        </w:rPr>
        <w:t xml:space="preserve">) </w:t>
      </w:r>
      <w:r w:rsidR="00701784" w:rsidRPr="0062673F">
        <w:rPr>
          <w:color w:val="000000" w:themeColor="text1"/>
        </w:rPr>
        <w:t>we</w:t>
      </w:r>
      <w:r w:rsidRPr="0062673F">
        <w:rPr>
          <w:color w:val="000000" w:themeColor="text1"/>
        </w:rPr>
        <w:t xml:space="preserve">re between </w:t>
      </w:r>
      <w:r w:rsidR="008F406E">
        <w:rPr>
          <w:color w:val="000000" w:themeColor="text1"/>
        </w:rPr>
        <w:t>05.30 hours</w:t>
      </w:r>
      <w:r w:rsidRPr="0062673F">
        <w:rPr>
          <w:color w:val="000000" w:themeColor="text1"/>
        </w:rPr>
        <w:t xml:space="preserve"> and </w:t>
      </w:r>
      <w:r w:rsidR="008F406E">
        <w:rPr>
          <w:color w:val="000000" w:themeColor="text1"/>
        </w:rPr>
        <w:t>21.00 hours</w:t>
      </w:r>
      <w:r w:rsidRPr="0062673F">
        <w:rPr>
          <w:color w:val="000000" w:themeColor="text1"/>
        </w:rPr>
        <w:t xml:space="preserve">. If all of these HFSS adverts were withdrawn, in response to </w:t>
      </w:r>
      <w:r w:rsidR="00196C8E" w:rsidRPr="0062673F">
        <w:rPr>
          <w:color w:val="000000" w:themeColor="text1"/>
        </w:rPr>
        <w:t>the restrictions</w:t>
      </w:r>
      <w:r w:rsidRPr="0062673F">
        <w:rPr>
          <w:color w:val="000000" w:themeColor="text1"/>
        </w:rPr>
        <w:t xml:space="preserve"> (i.e. scenario A), we estimate that children’s mean daily energy intake would decrease by 9.1kcal (95 CI: 0.5kcal-17.7kcal)</w:t>
      </w:r>
      <w:r w:rsidR="00DD3AFC" w:rsidRPr="0062673F">
        <w:rPr>
          <w:color w:val="000000" w:themeColor="text1"/>
        </w:rPr>
        <w:t xml:space="preserve">. This calorie reduction would </w:t>
      </w:r>
      <w:r w:rsidRPr="0062673F">
        <w:rPr>
          <w:color w:val="000000" w:themeColor="text1"/>
        </w:rPr>
        <w:t>reduce the number of children aged 5-17 years with obesity by 4.6% (1.4%-9.5%) and with overweight</w:t>
      </w:r>
      <w:r w:rsidR="00701784" w:rsidRPr="0062673F">
        <w:rPr>
          <w:color w:val="000000" w:themeColor="text1"/>
        </w:rPr>
        <w:t xml:space="preserve"> </w:t>
      </w:r>
      <w:r w:rsidR="00436D21" w:rsidRPr="0062673F">
        <w:rPr>
          <w:color w:val="000000" w:themeColor="text1"/>
        </w:rPr>
        <w:t>by 3.6% (1.1%-7.4</w:t>
      </w:r>
      <w:r w:rsidRPr="0062673F">
        <w:rPr>
          <w:color w:val="000000" w:themeColor="text1"/>
        </w:rPr>
        <w:t xml:space="preserve">%) (Table </w:t>
      </w:r>
      <w:r w:rsidR="009626D9">
        <w:rPr>
          <w:color w:val="000000" w:themeColor="text1"/>
        </w:rPr>
        <w:t>4</w:t>
      </w:r>
      <w:r w:rsidRPr="0062673F">
        <w:rPr>
          <w:color w:val="000000" w:themeColor="text1"/>
        </w:rPr>
        <w:t xml:space="preserve">). </w:t>
      </w:r>
    </w:p>
    <w:p w14:paraId="72D73A73" w14:textId="1DD06C21" w:rsidR="00BF64A2" w:rsidRPr="0062673F" w:rsidRDefault="00BF64A2" w:rsidP="00BF64A2">
      <w:pPr>
        <w:rPr>
          <w:b/>
          <w:color w:val="000000" w:themeColor="text1"/>
        </w:rPr>
      </w:pPr>
      <w:r w:rsidRPr="0062673F">
        <w:rPr>
          <w:b/>
          <w:color w:val="000000" w:themeColor="text1"/>
        </w:rPr>
        <w:t xml:space="preserve">Table </w:t>
      </w:r>
      <w:r w:rsidR="009626D9">
        <w:rPr>
          <w:b/>
          <w:color w:val="000000" w:themeColor="text1"/>
        </w:rPr>
        <w:t>3</w:t>
      </w:r>
      <w:r w:rsidRPr="0062673F">
        <w:rPr>
          <w:b/>
          <w:color w:val="000000" w:themeColor="text1"/>
        </w:rPr>
        <w:t>: Characteristics of the study population at baseline (n=13,729,000, aged 0-17 years)</w:t>
      </w:r>
    </w:p>
    <w:tbl>
      <w:tblPr>
        <w:tblStyle w:val="TableGrid"/>
        <w:tblW w:w="0" w:type="auto"/>
        <w:tblLook w:val="04A0" w:firstRow="1" w:lastRow="0" w:firstColumn="1" w:lastColumn="0" w:noHBand="0" w:noVBand="1"/>
      </w:tblPr>
      <w:tblGrid>
        <w:gridCol w:w="6658"/>
        <w:gridCol w:w="2358"/>
      </w:tblGrid>
      <w:tr w:rsidR="00BF64A2" w:rsidRPr="0062673F" w14:paraId="70E3C8DD" w14:textId="77777777" w:rsidTr="001812DD">
        <w:tc>
          <w:tcPr>
            <w:tcW w:w="6658" w:type="dxa"/>
          </w:tcPr>
          <w:p w14:paraId="45EA5566" w14:textId="217A5ABF" w:rsidR="00BF64A2" w:rsidRPr="0062673F" w:rsidRDefault="00BF64A2" w:rsidP="001812DD">
            <w:pPr>
              <w:rPr>
                <w:color w:val="000000" w:themeColor="text1"/>
                <w:sz w:val="18"/>
                <w:szCs w:val="18"/>
              </w:rPr>
            </w:pPr>
            <w:r w:rsidRPr="0062673F">
              <w:rPr>
                <w:color w:val="000000" w:themeColor="text1"/>
                <w:sz w:val="18"/>
                <w:szCs w:val="18"/>
              </w:rPr>
              <w:t xml:space="preserve">Number of children (5-17 years) with obesity </w:t>
            </w:r>
            <w:r w:rsidR="004A0554" w:rsidRPr="0062673F">
              <w:rPr>
                <w:color w:val="000000" w:themeColor="text1"/>
                <w:sz w:val="18"/>
                <w:szCs w:val="18"/>
              </w:rPr>
              <w:t>(IOTF)</w:t>
            </w:r>
          </w:p>
        </w:tc>
        <w:tc>
          <w:tcPr>
            <w:tcW w:w="2358" w:type="dxa"/>
          </w:tcPr>
          <w:p w14:paraId="49DAFB34" w14:textId="77777777" w:rsidR="00BF64A2" w:rsidRPr="0062673F" w:rsidRDefault="00BF64A2" w:rsidP="001812DD">
            <w:pPr>
              <w:rPr>
                <w:color w:val="000000" w:themeColor="text1"/>
                <w:sz w:val="18"/>
                <w:szCs w:val="18"/>
              </w:rPr>
            </w:pPr>
            <w:r w:rsidRPr="0062673F">
              <w:rPr>
                <w:color w:val="000000" w:themeColor="text1"/>
                <w:sz w:val="18"/>
                <w:szCs w:val="18"/>
              </w:rPr>
              <w:t>852,000 (8.8%)</w:t>
            </w:r>
          </w:p>
        </w:tc>
      </w:tr>
      <w:tr w:rsidR="00BF64A2" w:rsidRPr="0062673F" w14:paraId="70F4E8CB" w14:textId="77777777" w:rsidTr="001812DD">
        <w:tc>
          <w:tcPr>
            <w:tcW w:w="6658" w:type="dxa"/>
          </w:tcPr>
          <w:p w14:paraId="6D9DB15B" w14:textId="26513B9F" w:rsidR="00BF64A2" w:rsidRPr="0062673F" w:rsidRDefault="00BF64A2" w:rsidP="001812DD">
            <w:pPr>
              <w:rPr>
                <w:color w:val="000000" w:themeColor="text1"/>
                <w:sz w:val="18"/>
                <w:szCs w:val="18"/>
              </w:rPr>
            </w:pPr>
            <w:r w:rsidRPr="0062673F">
              <w:rPr>
                <w:color w:val="000000" w:themeColor="text1"/>
                <w:sz w:val="18"/>
                <w:szCs w:val="18"/>
              </w:rPr>
              <w:t xml:space="preserve">Number of children (5-17 years) with overweight </w:t>
            </w:r>
            <w:r w:rsidR="004A0554" w:rsidRPr="0062673F">
              <w:rPr>
                <w:color w:val="000000" w:themeColor="text1"/>
                <w:sz w:val="18"/>
                <w:szCs w:val="18"/>
              </w:rPr>
              <w:t>(IOTF)</w:t>
            </w:r>
          </w:p>
        </w:tc>
        <w:tc>
          <w:tcPr>
            <w:tcW w:w="2358" w:type="dxa"/>
          </w:tcPr>
          <w:p w14:paraId="55A9DFA0" w14:textId="77777777" w:rsidR="00BF64A2" w:rsidRPr="0062673F" w:rsidRDefault="00BF64A2" w:rsidP="001812DD">
            <w:pPr>
              <w:rPr>
                <w:color w:val="000000" w:themeColor="text1"/>
                <w:sz w:val="18"/>
                <w:szCs w:val="18"/>
              </w:rPr>
            </w:pPr>
            <w:r w:rsidRPr="0062673F">
              <w:rPr>
                <w:color w:val="000000" w:themeColor="text1"/>
                <w:sz w:val="18"/>
                <w:szCs w:val="18"/>
              </w:rPr>
              <w:t>3,210,000 (33.1%)</w:t>
            </w:r>
          </w:p>
        </w:tc>
      </w:tr>
      <w:tr w:rsidR="004A0554" w:rsidRPr="0062673F" w14:paraId="2253CE93" w14:textId="77777777" w:rsidTr="001812DD">
        <w:tc>
          <w:tcPr>
            <w:tcW w:w="6658" w:type="dxa"/>
          </w:tcPr>
          <w:p w14:paraId="2E82A390" w14:textId="65C7A886" w:rsidR="004A0554" w:rsidRPr="0062673F" w:rsidRDefault="004A0554" w:rsidP="004A0554">
            <w:pPr>
              <w:rPr>
                <w:color w:val="000000" w:themeColor="text1"/>
                <w:sz w:val="18"/>
                <w:szCs w:val="18"/>
              </w:rPr>
            </w:pPr>
            <w:r w:rsidRPr="0062673F">
              <w:rPr>
                <w:color w:val="000000" w:themeColor="text1"/>
                <w:sz w:val="18"/>
                <w:szCs w:val="18"/>
              </w:rPr>
              <w:t>Number of children (5-17 years) with obesity (UK90</w:t>
            </w:r>
            <w:r w:rsidR="00BE4892" w:rsidRPr="0062673F">
              <w:rPr>
                <w:color w:val="000000" w:themeColor="text1"/>
                <w:sz w:val="18"/>
                <w:szCs w:val="18"/>
              </w:rPr>
              <w:t>, &gt; 95</w:t>
            </w:r>
            <w:r w:rsidR="00BE4892" w:rsidRPr="0062673F">
              <w:rPr>
                <w:color w:val="000000" w:themeColor="text1"/>
                <w:sz w:val="18"/>
                <w:szCs w:val="18"/>
                <w:vertAlign w:val="superscript"/>
              </w:rPr>
              <w:t>th</w:t>
            </w:r>
            <w:r w:rsidR="00BE4892" w:rsidRPr="0062673F">
              <w:rPr>
                <w:color w:val="000000" w:themeColor="text1"/>
                <w:sz w:val="18"/>
                <w:szCs w:val="18"/>
              </w:rPr>
              <w:t xml:space="preserve"> centile</w:t>
            </w:r>
            <w:r w:rsidRPr="0062673F">
              <w:rPr>
                <w:color w:val="000000" w:themeColor="text1"/>
                <w:sz w:val="18"/>
                <w:szCs w:val="18"/>
              </w:rPr>
              <w:t>)</w:t>
            </w:r>
          </w:p>
        </w:tc>
        <w:tc>
          <w:tcPr>
            <w:tcW w:w="2358" w:type="dxa"/>
          </w:tcPr>
          <w:p w14:paraId="64C9872E" w14:textId="58BEF441" w:rsidR="004A0554" w:rsidRPr="0062673F" w:rsidRDefault="00BE4892" w:rsidP="004A0554">
            <w:pPr>
              <w:rPr>
                <w:color w:val="000000" w:themeColor="text1"/>
                <w:sz w:val="18"/>
                <w:szCs w:val="18"/>
              </w:rPr>
            </w:pPr>
            <w:r w:rsidRPr="0062673F">
              <w:rPr>
                <w:color w:val="000000" w:themeColor="text1"/>
                <w:sz w:val="18"/>
                <w:szCs w:val="18"/>
              </w:rPr>
              <w:t>2,240,000 (23.1%)</w:t>
            </w:r>
          </w:p>
        </w:tc>
      </w:tr>
      <w:tr w:rsidR="004A0554" w:rsidRPr="0062673F" w14:paraId="0F7650F1" w14:textId="77777777" w:rsidTr="001812DD">
        <w:tc>
          <w:tcPr>
            <w:tcW w:w="6658" w:type="dxa"/>
          </w:tcPr>
          <w:p w14:paraId="04288F3C" w14:textId="03B74CAA" w:rsidR="004A0554" w:rsidRPr="0062673F" w:rsidRDefault="004A0554" w:rsidP="004A0554">
            <w:pPr>
              <w:rPr>
                <w:color w:val="000000" w:themeColor="text1"/>
                <w:sz w:val="18"/>
                <w:szCs w:val="18"/>
              </w:rPr>
            </w:pPr>
            <w:r w:rsidRPr="0062673F">
              <w:rPr>
                <w:color w:val="000000" w:themeColor="text1"/>
                <w:sz w:val="18"/>
                <w:szCs w:val="18"/>
              </w:rPr>
              <w:t>Number of children (5-17 years) with overweight (UK90</w:t>
            </w:r>
            <w:r w:rsidR="00BE4892" w:rsidRPr="0062673F">
              <w:rPr>
                <w:color w:val="000000" w:themeColor="text1"/>
                <w:sz w:val="18"/>
                <w:szCs w:val="18"/>
              </w:rPr>
              <w:t>, &gt; 85</w:t>
            </w:r>
            <w:r w:rsidR="00BE4892" w:rsidRPr="0062673F">
              <w:rPr>
                <w:color w:val="000000" w:themeColor="text1"/>
                <w:sz w:val="18"/>
                <w:szCs w:val="18"/>
                <w:vertAlign w:val="superscript"/>
              </w:rPr>
              <w:t>th</w:t>
            </w:r>
            <w:r w:rsidR="00BE4892" w:rsidRPr="0062673F">
              <w:rPr>
                <w:color w:val="000000" w:themeColor="text1"/>
                <w:sz w:val="18"/>
                <w:szCs w:val="18"/>
              </w:rPr>
              <w:t xml:space="preserve"> centile</w:t>
            </w:r>
            <w:r w:rsidRPr="0062673F">
              <w:rPr>
                <w:color w:val="000000" w:themeColor="text1"/>
                <w:sz w:val="18"/>
                <w:szCs w:val="18"/>
              </w:rPr>
              <w:t>)</w:t>
            </w:r>
          </w:p>
        </w:tc>
        <w:tc>
          <w:tcPr>
            <w:tcW w:w="2358" w:type="dxa"/>
          </w:tcPr>
          <w:p w14:paraId="230B9C42" w14:textId="63D9A8E3" w:rsidR="004A0554" w:rsidRPr="0062673F" w:rsidRDefault="00BE4892" w:rsidP="004A0554">
            <w:pPr>
              <w:rPr>
                <w:color w:val="000000" w:themeColor="text1"/>
                <w:sz w:val="18"/>
                <w:szCs w:val="18"/>
              </w:rPr>
            </w:pPr>
            <w:r w:rsidRPr="0062673F">
              <w:rPr>
                <w:color w:val="000000" w:themeColor="text1"/>
                <w:sz w:val="18"/>
                <w:szCs w:val="18"/>
              </w:rPr>
              <w:t>3,890,000 (40.1%)</w:t>
            </w:r>
          </w:p>
        </w:tc>
      </w:tr>
      <w:tr w:rsidR="00BF64A2" w:rsidRPr="0062673F" w14:paraId="256DF6C2" w14:textId="77777777" w:rsidTr="001812DD">
        <w:tc>
          <w:tcPr>
            <w:tcW w:w="6658" w:type="dxa"/>
          </w:tcPr>
          <w:p w14:paraId="7E93B49F" w14:textId="77777777" w:rsidR="00BF64A2" w:rsidRPr="0062673F" w:rsidRDefault="00BF64A2" w:rsidP="001812DD">
            <w:pPr>
              <w:rPr>
                <w:color w:val="000000" w:themeColor="text1"/>
                <w:sz w:val="18"/>
                <w:szCs w:val="18"/>
              </w:rPr>
            </w:pPr>
            <w:r w:rsidRPr="0062673F">
              <w:rPr>
                <w:color w:val="000000" w:themeColor="text1"/>
                <w:sz w:val="18"/>
                <w:szCs w:val="18"/>
              </w:rPr>
              <w:t>Child impacts (4-15 years) per year for food adverts (millions)</w:t>
            </w:r>
          </w:p>
        </w:tc>
        <w:tc>
          <w:tcPr>
            <w:tcW w:w="2358" w:type="dxa"/>
          </w:tcPr>
          <w:p w14:paraId="038521CA" w14:textId="77777777" w:rsidR="00BF64A2" w:rsidRPr="0062673F" w:rsidRDefault="00BF64A2" w:rsidP="001812DD">
            <w:pPr>
              <w:rPr>
                <w:color w:val="000000" w:themeColor="text1"/>
                <w:sz w:val="18"/>
                <w:szCs w:val="18"/>
              </w:rPr>
            </w:pPr>
            <w:r w:rsidRPr="0062673F">
              <w:rPr>
                <w:color w:val="000000" w:themeColor="text1"/>
                <w:sz w:val="18"/>
                <w:szCs w:val="18"/>
              </w:rPr>
              <w:t>14,200</w:t>
            </w:r>
          </w:p>
        </w:tc>
      </w:tr>
      <w:tr w:rsidR="00BF64A2" w:rsidRPr="0062673F" w14:paraId="154EAB55" w14:textId="77777777" w:rsidTr="001812DD">
        <w:tc>
          <w:tcPr>
            <w:tcW w:w="6658" w:type="dxa"/>
          </w:tcPr>
          <w:p w14:paraId="06A0490C" w14:textId="77777777" w:rsidR="00BF64A2" w:rsidRPr="0062673F" w:rsidRDefault="00BF64A2" w:rsidP="001812DD">
            <w:pPr>
              <w:rPr>
                <w:color w:val="000000" w:themeColor="text1"/>
                <w:sz w:val="18"/>
                <w:szCs w:val="18"/>
              </w:rPr>
            </w:pPr>
            <w:r w:rsidRPr="0062673F">
              <w:rPr>
                <w:color w:val="000000" w:themeColor="text1"/>
                <w:sz w:val="18"/>
                <w:szCs w:val="18"/>
              </w:rPr>
              <w:t>Child impacts (4-15 years) per year for HFSS adverts (millions)</w:t>
            </w:r>
          </w:p>
        </w:tc>
        <w:tc>
          <w:tcPr>
            <w:tcW w:w="2358" w:type="dxa"/>
          </w:tcPr>
          <w:p w14:paraId="4E1EF94C" w14:textId="77777777" w:rsidR="00BF64A2" w:rsidRPr="0062673F" w:rsidRDefault="00BF64A2" w:rsidP="001812DD">
            <w:pPr>
              <w:rPr>
                <w:color w:val="000000" w:themeColor="text1"/>
                <w:sz w:val="18"/>
                <w:szCs w:val="18"/>
              </w:rPr>
            </w:pPr>
            <w:r w:rsidRPr="0062673F">
              <w:rPr>
                <w:color w:val="000000" w:themeColor="text1"/>
                <w:sz w:val="18"/>
                <w:szCs w:val="18"/>
              </w:rPr>
              <w:t>6,640</w:t>
            </w:r>
          </w:p>
        </w:tc>
      </w:tr>
      <w:tr w:rsidR="00BF64A2" w:rsidRPr="0062673F" w14:paraId="7B97CC95" w14:textId="77777777" w:rsidTr="001812DD">
        <w:tc>
          <w:tcPr>
            <w:tcW w:w="6658" w:type="dxa"/>
          </w:tcPr>
          <w:p w14:paraId="060FA3BD" w14:textId="5FD0FD1C" w:rsidR="00BF64A2" w:rsidRPr="0062673F" w:rsidRDefault="00BF64A2" w:rsidP="001812DD">
            <w:pPr>
              <w:rPr>
                <w:color w:val="000000" w:themeColor="text1"/>
                <w:sz w:val="18"/>
                <w:szCs w:val="18"/>
              </w:rPr>
            </w:pPr>
            <w:r w:rsidRPr="0062673F">
              <w:rPr>
                <w:color w:val="000000" w:themeColor="text1"/>
                <w:sz w:val="18"/>
                <w:szCs w:val="18"/>
              </w:rPr>
              <w:t xml:space="preserve">Child impacts (4-15 years) per year for HFSS adverts between </w:t>
            </w:r>
            <w:r w:rsidR="008F406E">
              <w:rPr>
                <w:color w:val="000000" w:themeColor="text1"/>
                <w:sz w:val="18"/>
                <w:szCs w:val="18"/>
              </w:rPr>
              <w:t>05.30 hours</w:t>
            </w:r>
            <w:r w:rsidRPr="0062673F">
              <w:rPr>
                <w:color w:val="000000" w:themeColor="text1"/>
                <w:sz w:val="18"/>
                <w:szCs w:val="18"/>
              </w:rPr>
              <w:t xml:space="preserve"> and 0900 (millions)</w:t>
            </w:r>
          </w:p>
        </w:tc>
        <w:tc>
          <w:tcPr>
            <w:tcW w:w="2358" w:type="dxa"/>
          </w:tcPr>
          <w:p w14:paraId="2109448E" w14:textId="77777777" w:rsidR="00BF64A2" w:rsidRPr="0062673F" w:rsidRDefault="00BF64A2" w:rsidP="001812DD">
            <w:pPr>
              <w:rPr>
                <w:color w:val="000000" w:themeColor="text1"/>
                <w:sz w:val="18"/>
                <w:szCs w:val="18"/>
              </w:rPr>
            </w:pPr>
            <w:r w:rsidRPr="0062673F">
              <w:rPr>
                <w:color w:val="000000" w:themeColor="text1"/>
                <w:sz w:val="18"/>
                <w:szCs w:val="18"/>
              </w:rPr>
              <w:t>4,740</w:t>
            </w:r>
          </w:p>
        </w:tc>
      </w:tr>
      <w:tr w:rsidR="00BF64A2" w:rsidRPr="0062673F" w14:paraId="5E8B96CD" w14:textId="77777777" w:rsidTr="001812DD">
        <w:tc>
          <w:tcPr>
            <w:tcW w:w="6658" w:type="dxa"/>
          </w:tcPr>
          <w:p w14:paraId="09905789" w14:textId="77777777" w:rsidR="00BF64A2" w:rsidRPr="0062673F" w:rsidRDefault="00BF64A2" w:rsidP="001812DD">
            <w:pPr>
              <w:rPr>
                <w:color w:val="000000" w:themeColor="text1"/>
                <w:sz w:val="18"/>
                <w:szCs w:val="18"/>
              </w:rPr>
            </w:pPr>
            <w:r w:rsidRPr="0062673F">
              <w:rPr>
                <w:color w:val="000000" w:themeColor="text1"/>
                <w:sz w:val="18"/>
                <w:szCs w:val="18"/>
              </w:rPr>
              <w:t>Number of food adverts seen per child (4-15 years) per day</w:t>
            </w:r>
          </w:p>
        </w:tc>
        <w:tc>
          <w:tcPr>
            <w:tcW w:w="2358" w:type="dxa"/>
          </w:tcPr>
          <w:p w14:paraId="017AC95D" w14:textId="77777777" w:rsidR="00BF64A2" w:rsidRPr="0062673F" w:rsidRDefault="00BF64A2" w:rsidP="001812DD">
            <w:pPr>
              <w:rPr>
                <w:color w:val="000000" w:themeColor="text1"/>
                <w:sz w:val="18"/>
                <w:szCs w:val="18"/>
              </w:rPr>
            </w:pPr>
            <w:r w:rsidRPr="0062673F">
              <w:rPr>
                <w:color w:val="000000" w:themeColor="text1"/>
                <w:sz w:val="18"/>
                <w:szCs w:val="18"/>
              </w:rPr>
              <w:t>4.45</w:t>
            </w:r>
          </w:p>
        </w:tc>
      </w:tr>
      <w:tr w:rsidR="00BF64A2" w:rsidRPr="0062673F" w14:paraId="1ED7A9E1" w14:textId="77777777" w:rsidTr="001812DD">
        <w:tc>
          <w:tcPr>
            <w:tcW w:w="6658" w:type="dxa"/>
          </w:tcPr>
          <w:p w14:paraId="2C252226" w14:textId="77777777" w:rsidR="00BF64A2" w:rsidRPr="0062673F" w:rsidRDefault="00BF64A2" w:rsidP="001812DD">
            <w:pPr>
              <w:rPr>
                <w:color w:val="000000" w:themeColor="text1"/>
                <w:sz w:val="18"/>
                <w:szCs w:val="18"/>
              </w:rPr>
            </w:pPr>
            <w:r w:rsidRPr="0062673F">
              <w:rPr>
                <w:color w:val="000000" w:themeColor="text1"/>
                <w:sz w:val="18"/>
                <w:szCs w:val="18"/>
              </w:rPr>
              <w:t>Number of HFSS adverts seen per child (4-15 years) per day</w:t>
            </w:r>
          </w:p>
        </w:tc>
        <w:tc>
          <w:tcPr>
            <w:tcW w:w="2358" w:type="dxa"/>
          </w:tcPr>
          <w:p w14:paraId="279BCB6C" w14:textId="77777777" w:rsidR="00BF64A2" w:rsidRPr="0062673F" w:rsidRDefault="00BF64A2" w:rsidP="001812DD">
            <w:pPr>
              <w:rPr>
                <w:color w:val="000000" w:themeColor="text1"/>
                <w:sz w:val="18"/>
                <w:szCs w:val="18"/>
              </w:rPr>
            </w:pPr>
            <w:r w:rsidRPr="0062673F">
              <w:rPr>
                <w:color w:val="000000" w:themeColor="text1"/>
                <w:sz w:val="18"/>
                <w:szCs w:val="18"/>
              </w:rPr>
              <w:t>2.07</w:t>
            </w:r>
          </w:p>
        </w:tc>
      </w:tr>
      <w:tr w:rsidR="00BF64A2" w:rsidRPr="0062673F" w14:paraId="1F39BA42" w14:textId="77777777" w:rsidTr="001812DD">
        <w:tc>
          <w:tcPr>
            <w:tcW w:w="6658" w:type="dxa"/>
          </w:tcPr>
          <w:p w14:paraId="529CE6B1" w14:textId="77777777" w:rsidR="00BF64A2" w:rsidRPr="0062673F" w:rsidRDefault="00BF64A2" w:rsidP="001812DD">
            <w:pPr>
              <w:rPr>
                <w:color w:val="000000" w:themeColor="text1"/>
                <w:sz w:val="18"/>
                <w:szCs w:val="18"/>
              </w:rPr>
            </w:pPr>
            <w:r w:rsidRPr="0062673F">
              <w:rPr>
                <w:color w:val="000000" w:themeColor="text1"/>
                <w:sz w:val="18"/>
                <w:szCs w:val="18"/>
              </w:rPr>
              <w:t>Number of HFSS adverts seen per child (4-15 years) per day between 5.30am and 9pm</w:t>
            </w:r>
          </w:p>
        </w:tc>
        <w:tc>
          <w:tcPr>
            <w:tcW w:w="2358" w:type="dxa"/>
          </w:tcPr>
          <w:p w14:paraId="684AF8DA" w14:textId="77777777" w:rsidR="00BF64A2" w:rsidRPr="0062673F" w:rsidRDefault="00BF64A2" w:rsidP="001812DD">
            <w:pPr>
              <w:rPr>
                <w:color w:val="000000" w:themeColor="text1"/>
                <w:sz w:val="18"/>
                <w:szCs w:val="18"/>
              </w:rPr>
            </w:pPr>
            <w:r w:rsidRPr="0062673F">
              <w:rPr>
                <w:color w:val="000000" w:themeColor="text1"/>
                <w:sz w:val="18"/>
                <w:szCs w:val="18"/>
              </w:rPr>
              <w:t>1.48</w:t>
            </w:r>
          </w:p>
        </w:tc>
      </w:tr>
    </w:tbl>
    <w:p w14:paraId="7BD4B0D6" w14:textId="77777777" w:rsidR="00BE4892" w:rsidRPr="0062673F" w:rsidRDefault="00BE4892" w:rsidP="00BF64A2">
      <w:pPr>
        <w:rPr>
          <w:b/>
          <w:color w:val="000000" w:themeColor="text1"/>
        </w:rPr>
      </w:pPr>
    </w:p>
    <w:p w14:paraId="2C0F94BA" w14:textId="0F7B35E6" w:rsidR="00BF64A2" w:rsidRPr="0062673F" w:rsidRDefault="00BF64A2" w:rsidP="00BF64A2">
      <w:pPr>
        <w:rPr>
          <w:b/>
          <w:color w:val="000000" w:themeColor="text1"/>
        </w:rPr>
      </w:pPr>
      <w:r w:rsidRPr="0062673F">
        <w:rPr>
          <w:b/>
          <w:color w:val="000000" w:themeColor="text1"/>
        </w:rPr>
        <w:t xml:space="preserve">Table </w:t>
      </w:r>
      <w:r w:rsidR="009626D9">
        <w:rPr>
          <w:b/>
          <w:color w:val="000000" w:themeColor="text1"/>
        </w:rPr>
        <w:t>4</w:t>
      </w:r>
      <w:r w:rsidRPr="0062673F">
        <w:rPr>
          <w:b/>
          <w:color w:val="000000" w:themeColor="text1"/>
        </w:rPr>
        <w:t xml:space="preserve">: Estimated impact on children’s energy intake and weight status of restricting HFSS advertising on television between </w:t>
      </w:r>
      <w:r w:rsidR="008F406E">
        <w:rPr>
          <w:b/>
          <w:color w:val="000000" w:themeColor="text1"/>
        </w:rPr>
        <w:t>05.30 hours</w:t>
      </w:r>
      <w:r w:rsidRPr="0062673F">
        <w:rPr>
          <w:b/>
          <w:color w:val="000000" w:themeColor="text1"/>
        </w:rPr>
        <w:t xml:space="preserve"> and </w:t>
      </w:r>
      <w:r w:rsidR="008F406E">
        <w:rPr>
          <w:b/>
          <w:color w:val="000000" w:themeColor="text1"/>
        </w:rPr>
        <w:t>21.00 hours</w:t>
      </w:r>
    </w:p>
    <w:tbl>
      <w:tblPr>
        <w:tblStyle w:val="TableGrid"/>
        <w:tblW w:w="9016" w:type="dxa"/>
        <w:tblLook w:val="04A0" w:firstRow="1" w:lastRow="0" w:firstColumn="1" w:lastColumn="0" w:noHBand="0" w:noVBand="1"/>
      </w:tblPr>
      <w:tblGrid>
        <w:gridCol w:w="858"/>
        <w:gridCol w:w="977"/>
        <w:gridCol w:w="1279"/>
        <w:gridCol w:w="1417"/>
        <w:gridCol w:w="1418"/>
        <w:gridCol w:w="1559"/>
        <w:gridCol w:w="1508"/>
      </w:tblGrid>
      <w:tr w:rsidR="00BE4892" w:rsidRPr="0062673F" w14:paraId="4E4BBF7D" w14:textId="6E42CDC3" w:rsidTr="00D47BE5">
        <w:tc>
          <w:tcPr>
            <w:tcW w:w="858" w:type="dxa"/>
          </w:tcPr>
          <w:p w14:paraId="6CC95C83" w14:textId="77777777" w:rsidR="00BE4892" w:rsidRPr="0062673F" w:rsidRDefault="00BE4892" w:rsidP="001812DD">
            <w:pPr>
              <w:rPr>
                <w:b/>
                <w:color w:val="000000" w:themeColor="text1"/>
                <w:sz w:val="18"/>
                <w:szCs w:val="18"/>
              </w:rPr>
            </w:pPr>
            <w:r w:rsidRPr="0062673F">
              <w:rPr>
                <w:b/>
                <w:color w:val="000000" w:themeColor="text1"/>
                <w:sz w:val="18"/>
                <w:szCs w:val="18"/>
              </w:rPr>
              <w:t>Scenario</w:t>
            </w:r>
          </w:p>
        </w:tc>
        <w:tc>
          <w:tcPr>
            <w:tcW w:w="977" w:type="dxa"/>
          </w:tcPr>
          <w:p w14:paraId="03EF0F98" w14:textId="77777777" w:rsidR="00BE4892" w:rsidRPr="0062673F" w:rsidRDefault="00BE4892" w:rsidP="001812DD">
            <w:pPr>
              <w:rPr>
                <w:b/>
                <w:color w:val="000000" w:themeColor="text1"/>
                <w:sz w:val="18"/>
                <w:szCs w:val="18"/>
              </w:rPr>
            </w:pPr>
            <w:r w:rsidRPr="0062673F">
              <w:rPr>
                <w:b/>
                <w:color w:val="000000" w:themeColor="text1"/>
                <w:sz w:val="18"/>
                <w:szCs w:val="18"/>
              </w:rPr>
              <w:t>Reduction in HFSS adverts</w:t>
            </w:r>
          </w:p>
        </w:tc>
        <w:tc>
          <w:tcPr>
            <w:tcW w:w="1279" w:type="dxa"/>
          </w:tcPr>
          <w:p w14:paraId="0535F365" w14:textId="77777777" w:rsidR="00BE4892" w:rsidRPr="0062673F" w:rsidRDefault="00BE4892" w:rsidP="001812DD">
            <w:pPr>
              <w:rPr>
                <w:b/>
                <w:color w:val="000000" w:themeColor="text1"/>
                <w:sz w:val="18"/>
                <w:szCs w:val="18"/>
              </w:rPr>
            </w:pPr>
            <w:r w:rsidRPr="0062673F">
              <w:rPr>
                <w:b/>
                <w:color w:val="000000" w:themeColor="text1"/>
                <w:sz w:val="18"/>
                <w:szCs w:val="18"/>
              </w:rPr>
              <w:t>Reduction in energy intake (kcal/day)</w:t>
            </w:r>
          </w:p>
        </w:tc>
        <w:tc>
          <w:tcPr>
            <w:tcW w:w="2835" w:type="dxa"/>
            <w:gridSpan w:val="2"/>
          </w:tcPr>
          <w:p w14:paraId="4C5E0752" w14:textId="404FCC76" w:rsidR="00BE4892" w:rsidRPr="0062673F" w:rsidRDefault="00BE4892" w:rsidP="001812DD">
            <w:pPr>
              <w:rPr>
                <w:b/>
                <w:color w:val="000000" w:themeColor="text1"/>
                <w:sz w:val="18"/>
                <w:szCs w:val="18"/>
              </w:rPr>
            </w:pPr>
            <w:r w:rsidRPr="0062673F">
              <w:rPr>
                <w:b/>
                <w:color w:val="000000" w:themeColor="text1"/>
                <w:sz w:val="18"/>
                <w:szCs w:val="18"/>
              </w:rPr>
              <w:t>Reduction in number of children aged 5-17 years with obesity (95% CI)</w:t>
            </w:r>
          </w:p>
        </w:tc>
        <w:tc>
          <w:tcPr>
            <w:tcW w:w="3067" w:type="dxa"/>
            <w:gridSpan w:val="2"/>
          </w:tcPr>
          <w:p w14:paraId="13DC9B31" w14:textId="3BBE987B" w:rsidR="00BE4892" w:rsidRPr="0062673F" w:rsidRDefault="00BE4892" w:rsidP="001812DD">
            <w:pPr>
              <w:rPr>
                <w:b/>
                <w:color w:val="000000" w:themeColor="text1"/>
                <w:sz w:val="18"/>
                <w:szCs w:val="18"/>
              </w:rPr>
            </w:pPr>
            <w:r w:rsidRPr="0062673F">
              <w:rPr>
                <w:b/>
                <w:color w:val="000000" w:themeColor="text1"/>
                <w:sz w:val="18"/>
                <w:szCs w:val="18"/>
              </w:rPr>
              <w:t>Reduction in number of children aged 5-17 years with overweight (95% CI)</w:t>
            </w:r>
          </w:p>
        </w:tc>
      </w:tr>
      <w:tr w:rsidR="00BE4892" w:rsidRPr="0062673F" w14:paraId="04964301" w14:textId="113A6944" w:rsidTr="00D47BE5">
        <w:tc>
          <w:tcPr>
            <w:tcW w:w="858" w:type="dxa"/>
          </w:tcPr>
          <w:p w14:paraId="499DA187" w14:textId="77777777" w:rsidR="00BE4892" w:rsidRPr="0062673F" w:rsidRDefault="00BE4892" w:rsidP="001812DD">
            <w:pPr>
              <w:rPr>
                <w:b/>
                <w:color w:val="000000" w:themeColor="text1"/>
                <w:sz w:val="18"/>
                <w:szCs w:val="18"/>
              </w:rPr>
            </w:pPr>
          </w:p>
        </w:tc>
        <w:tc>
          <w:tcPr>
            <w:tcW w:w="977" w:type="dxa"/>
          </w:tcPr>
          <w:p w14:paraId="3F4AA729" w14:textId="77777777" w:rsidR="00BE4892" w:rsidRPr="0062673F" w:rsidRDefault="00BE4892" w:rsidP="001812DD">
            <w:pPr>
              <w:rPr>
                <w:b/>
                <w:color w:val="000000" w:themeColor="text1"/>
                <w:sz w:val="18"/>
                <w:szCs w:val="18"/>
              </w:rPr>
            </w:pPr>
          </w:p>
        </w:tc>
        <w:tc>
          <w:tcPr>
            <w:tcW w:w="1279" w:type="dxa"/>
          </w:tcPr>
          <w:p w14:paraId="2DFBB80C" w14:textId="77777777" w:rsidR="00BE4892" w:rsidRPr="0062673F" w:rsidRDefault="00BE4892" w:rsidP="001812DD">
            <w:pPr>
              <w:rPr>
                <w:b/>
                <w:color w:val="000000" w:themeColor="text1"/>
                <w:sz w:val="18"/>
                <w:szCs w:val="18"/>
              </w:rPr>
            </w:pPr>
          </w:p>
        </w:tc>
        <w:tc>
          <w:tcPr>
            <w:tcW w:w="1417" w:type="dxa"/>
          </w:tcPr>
          <w:p w14:paraId="2CD06A45" w14:textId="6631C025" w:rsidR="00BE4892" w:rsidRPr="0062673F" w:rsidRDefault="00BA02C6" w:rsidP="001812DD">
            <w:pPr>
              <w:rPr>
                <w:b/>
                <w:color w:val="000000" w:themeColor="text1"/>
                <w:sz w:val="18"/>
                <w:szCs w:val="18"/>
              </w:rPr>
            </w:pPr>
            <w:r w:rsidRPr="0062673F">
              <w:rPr>
                <w:b/>
                <w:color w:val="000000" w:themeColor="text1"/>
                <w:sz w:val="18"/>
                <w:szCs w:val="18"/>
              </w:rPr>
              <w:t>IOTF cut-points</w:t>
            </w:r>
          </w:p>
        </w:tc>
        <w:tc>
          <w:tcPr>
            <w:tcW w:w="1418" w:type="dxa"/>
          </w:tcPr>
          <w:p w14:paraId="52899E99" w14:textId="6F86FC54" w:rsidR="00BE4892" w:rsidRPr="0062673F" w:rsidRDefault="00BA02C6" w:rsidP="001812DD">
            <w:pPr>
              <w:rPr>
                <w:b/>
                <w:color w:val="000000" w:themeColor="text1"/>
                <w:sz w:val="18"/>
                <w:szCs w:val="18"/>
              </w:rPr>
            </w:pPr>
            <w:r w:rsidRPr="0062673F">
              <w:rPr>
                <w:b/>
                <w:color w:val="000000" w:themeColor="text1"/>
                <w:sz w:val="18"/>
                <w:szCs w:val="18"/>
              </w:rPr>
              <w:t>UK90 cut-points</w:t>
            </w:r>
          </w:p>
        </w:tc>
        <w:tc>
          <w:tcPr>
            <w:tcW w:w="1559" w:type="dxa"/>
          </w:tcPr>
          <w:p w14:paraId="364882E1" w14:textId="14654865" w:rsidR="00BE4892" w:rsidRPr="0062673F" w:rsidRDefault="00BA02C6" w:rsidP="001812DD">
            <w:pPr>
              <w:rPr>
                <w:b/>
                <w:color w:val="000000" w:themeColor="text1"/>
                <w:sz w:val="18"/>
                <w:szCs w:val="18"/>
              </w:rPr>
            </w:pPr>
            <w:r w:rsidRPr="0062673F">
              <w:rPr>
                <w:b/>
                <w:color w:val="000000" w:themeColor="text1"/>
                <w:sz w:val="18"/>
                <w:szCs w:val="18"/>
              </w:rPr>
              <w:t>IOTF</w:t>
            </w:r>
            <w:r w:rsidR="009D2868" w:rsidRPr="0062673F">
              <w:rPr>
                <w:b/>
                <w:color w:val="000000" w:themeColor="text1"/>
                <w:sz w:val="18"/>
                <w:szCs w:val="18"/>
              </w:rPr>
              <w:t xml:space="preserve"> cut</w:t>
            </w:r>
          </w:p>
        </w:tc>
        <w:tc>
          <w:tcPr>
            <w:tcW w:w="1508" w:type="dxa"/>
          </w:tcPr>
          <w:p w14:paraId="08E50D9A" w14:textId="3D50C74A" w:rsidR="00BE4892" w:rsidRPr="0062673F" w:rsidRDefault="00BA02C6" w:rsidP="001812DD">
            <w:pPr>
              <w:rPr>
                <w:b/>
                <w:color w:val="000000" w:themeColor="text1"/>
                <w:sz w:val="18"/>
                <w:szCs w:val="18"/>
              </w:rPr>
            </w:pPr>
            <w:r w:rsidRPr="0062673F">
              <w:rPr>
                <w:b/>
                <w:color w:val="000000" w:themeColor="text1"/>
                <w:sz w:val="18"/>
                <w:szCs w:val="18"/>
              </w:rPr>
              <w:t>UK90</w:t>
            </w:r>
            <w:r w:rsidR="009D2868" w:rsidRPr="0062673F">
              <w:rPr>
                <w:b/>
                <w:color w:val="000000" w:themeColor="text1"/>
                <w:sz w:val="18"/>
                <w:szCs w:val="18"/>
              </w:rPr>
              <w:t xml:space="preserve"> cut-p</w:t>
            </w:r>
            <w:r w:rsidRPr="0062673F">
              <w:rPr>
                <w:b/>
                <w:color w:val="000000" w:themeColor="text1"/>
                <w:sz w:val="18"/>
                <w:szCs w:val="18"/>
              </w:rPr>
              <w:t>o</w:t>
            </w:r>
            <w:r w:rsidR="009D2868" w:rsidRPr="0062673F">
              <w:rPr>
                <w:b/>
                <w:color w:val="000000" w:themeColor="text1"/>
                <w:sz w:val="18"/>
                <w:szCs w:val="18"/>
              </w:rPr>
              <w:t>i</w:t>
            </w:r>
            <w:r w:rsidRPr="0062673F">
              <w:rPr>
                <w:b/>
                <w:color w:val="000000" w:themeColor="text1"/>
                <w:sz w:val="18"/>
                <w:szCs w:val="18"/>
              </w:rPr>
              <w:t>nts</w:t>
            </w:r>
          </w:p>
        </w:tc>
      </w:tr>
      <w:tr w:rsidR="00BA02C6" w:rsidRPr="0062673F" w14:paraId="2966C796" w14:textId="564793C0" w:rsidTr="00D47BE5">
        <w:tc>
          <w:tcPr>
            <w:tcW w:w="858" w:type="dxa"/>
            <w:vAlign w:val="center"/>
          </w:tcPr>
          <w:p w14:paraId="4AFE0210"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A</w:t>
            </w:r>
          </w:p>
        </w:tc>
        <w:tc>
          <w:tcPr>
            <w:tcW w:w="977" w:type="dxa"/>
            <w:vAlign w:val="center"/>
          </w:tcPr>
          <w:p w14:paraId="0DA20FFC"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1.5</w:t>
            </w:r>
          </w:p>
        </w:tc>
        <w:tc>
          <w:tcPr>
            <w:tcW w:w="1279" w:type="dxa"/>
            <w:vAlign w:val="center"/>
          </w:tcPr>
          <w:p w14:paraId="1D4BE6CE"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9.1 (0.5-17.7)</w:t>
            </w:r>
          </w:p>
        </w:tc>
        <w:tc>
          <w:tcPr>
            <w:tcW w:w="1417" w:type="dxa"/>
            <w:vAlign w:val="center"/>
          </w:tcPr>
          <w:p w14:paraId="7CA113FE"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 xml:space="preserve">40,000 </w:t>
            </w:r>
          </w:p>
          <w:p w14:paraId="03E21F6B" w14:textId="499BE4B0"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(12,000-81,000)</w:t>
            </w:r>
          </w:p>
          <w:p w14:paraId="14DBF04A"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4.6% (1.4%-9.5%)</w:t>
            </w:r>
          </w:p>
        </w:tc>
        <w:tc>
          <w:tcPr>
            <w:tcW w:w="1418" w:type="dxa"/>
            <w:vAlign w:val="center"/>
          </w:tcPr>
          <w:p w14:paraId="0527DCB0"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 xml:space="preserve">88,000 </w:t>
            </w:r>
          </w:p>
          <w:p w14:paraId="340039A2" w14:textId="58DBD930"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(15,000-300,000)</w:t>
            </w:r>
          </w:p>
          <w:p w14:paraId="4D329ABB" w14:textId="2E419DBC"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3.9% (1.2%-8.8%)</w:t>
            </w:r>
          </w:p>
        </w:tc>
        <w:tc>
          <w:tcPr>
            <w:tcW w:w="1559" w:type="dxa"/>
            <w:vAlign w:val="center"/>
          </w:tcPr>
          <w:p w14:paraId="60EFAD2A"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 xml:space="preserve">120,000 </w:t>
            </w:r>
          </w:p>
          <w:p w14:paraId="0B06FB79" w14:textId="6549F2AC"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(34,000-240,000)</w:t>
            </w:r>
          </w:p>
          <w:p w14:paraId="0A6D3394" w14:textId="3CCFCA0F" w:rsidR="00BA02C6" w:rsidRPr="0062673F" w:rsidRDefault="009D2868" w:rsidP="00BA02C6">
            <w:pPr>
              <w:rPr>
                <w:rFonts w:cstheme="minorHAnsi"/>
                <w:color w:val="000000" w:themeColor="text1"/>
                <w:sz w:val="16"/>
                <w:szCs w:val="16"/>
              </w:rPr>
            </w:pPr>
            <w:r w:rsidRPr="0062673F">
              <w:rPr>
                <w:rFonts w:cstheme="minorHAnsi"/>
                <w:color w:val="000000" w:themeColor="text1"/>
                <w:sz w:val="16"/>
                <w:szCs w:val="16"/>
              </w:rPr>
              <w:t>3.6% (1.1%-7.4</w:t>
            </w:r>
            <w:r w:rsidR="00BA02C6" w:rsidRPr="0062673F">
              <w:rPr>
                <w:rFonts w:cstheme="minorHAnsi"/>
                <w:color w:val="000000" w:themeColor="text1"/>
                <w:sz w:val="16"/>
                <w:szCs w:val="16"/>
              </w:rPr>
              <w:t>%)</w:t>
            </w:r>
          </w:p>
        </w:tc>
        <w:tc>
          <w:tcPr>
            <w:tcW w:w="1508" w:type="dxa"/>
          </w:tcPr>
          <w:p w14:paraId="423D5D13"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130,00</w:t>
            </w:r>
            <w:r w:rsidR="00D47BE5" w:rsidRPr="0062673F">
              <w:rPr>
                <w:rFonts w:cstheme="minorHAnsi"/>
                <w:color w:val="000000" w:themeColor="text1"/>
                <w:sz w:val="16"/>
                <w:szCs w:val="16"/>
              </w:rPr>
              <w:t xml:space="preserve">0 </w:t>
            </w:r>
          </w:p>
          <w:p w14:paraId="7CB843F9" w14:textId="60E4BD41" w:rsidR="00BA02C6" w:rsidRPr="0062673F" w:rsidRDefault="00D47BE5" w:rsidP="00BA02C6">
            <w:pPr>
              <w:rPr>
                <w:rFonts w:cstheme="minorHAnsi"/>
                <w:color w:val="000000" w:themeColor="text1"/>
                <w:sz w:val="16"/>
                <w:szCs w:val="16"/>
              </w:rPr>
            </w:pPr>
            <w:r w:rsidRPr="0062673F">
              <w:rPr>
                <w:rFonts w:cstheme="minorHAnsi"/>
                <w:color w:val="000000" w:themeColor="text1"/>
                <w:sz w:val="16"/>
                <w:szCs w:val="16"/>
              </w:rPr>
              <w:t>(22,000-440,000)</w:t>
            </w:r>
          </w:p>
          <w:p w14:paraId="12FC1F8B" w14:textId="4E7069E9" w:rsidR="00D47BE5" w:rsidRPr="0062673F" w:rsidRDefault="00D47BE5" w:rsidP="00BA02C6">
            <w:pPr>
              <w:rPr>
                <w:rFonts w:cstheme="minorHAnsi"/>
                <w:color w:val="000000" w:themeColor="text1"/>
                <w:sz w:val="16"/>
                <w:szCs w:val="16"/>
              </w:rPr>
            </w:pPr>
            <w:r w:rsidRPr="0062673F">
              <w:rPr>
                <w:rFonts w:cstheme="minorHAnsi"/>
                <w:color w:val="000000" w:themeColor="text1"/>
                <w:sz w:val="16"/>
                <w:szCs w:val="16"/>
              </w:rPr>
              <w:t>3.3% (1.0-7.4%)</w:t>
            </w:r>
          </w:p>
        </w:tc>
      </w:tr>
      <w:tr w:rsidR="00BA02C6" w:rsidRPr="0062673F" w14:paraId="0BBC813A" w14:textId="6D52D576" w:rsidTr="00D47BE5">
        <w:tc>
          <w:tcPr>
            <w:tcW w:w="858" w:type="dxa"/>
            <w:vAlign w:val="center"/>
          </w:tcPr>
          <w:p w14:paraId="67037C30"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B</w:t>
            </w:r>
          </w:p>
        </w:tc>
        <w:tc>
          <w:tcPr>
            <w:tcW w:w="977" w:type="dxa"/>
            <w:vAlign w:val="center"/>
          </w:tcPr>
          <w:p w14:paraId="0BC02E35"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0.5</w:t>
            </w:r>
          </w:p>
        </w:tc>
        <w:tc>
          <w:tcPr>
            <w:tcW w:w="1279" w:type="dxa"/>
            <w:vAlign w:val="center"/>
          </w:tcPr>
          <w:p w14:paraId="66B968E4"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2.8 (0.1-5.3)</w:t>
            </w:r>
          </w:p>
        </w:tc>
        <w:tc>
          <w:tcPr>
            <w:tcW w:w="1417" w:type="dxa"/>
            <w:vAlign w:val="center"/>
          </w:tcPr>
          <w:p w14:paraId="02C19E20"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 xml:space="preserve">12,000 </w:t>
            </w:r>
          </w:p>
          <w:p w14:paraId="71F9D129" w14:textId="4A88F23B"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(3,100-28,000)</w:t>
            </w:r>
          </w:p>
          <w:p w14:paraId="17DA0609" w14:textId="77777777"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1.4% (0.4%-3.3%)</w:t>
            </w:r>
          </w:p>
        </w:tc>
        <w:tc>
          <w:tcPr>
            <w:tcW w:w="1418" w:type="dxa"/>
            <w:vAlign w:val="center"/>
          </w:tcPr>
          <w:p w14:paraId="3E3887C8" w14:textId="77777777" w:rsidR="009D2868" w:rsidRPr="0062673F" w:rsidRDefault="009D2868" w:rsidP="00BA02C6">
            <w:pP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27,000 </w:t>
            </w:r>
          </w:p>
          <w:p w14:paraId="32CD5ED9" w14:textId="19BDD482" w:rsidR="00BA02C6" w:rsidRPr="0062673F" w:rsidRDefault="009D2868" w:rsidP="009D2868">
            <w:pPr>
              <w:rPr>
                <w:rFonts w:cstheme="minorHAnsi"/>
                <w:color w:val="000000" w:themeColor="text1"/>
                <w:sz w:val="16"/>
                <w:szCs w:val="16"/>
              </w:rPr>
            </w:pPr>
            <w:r w:rsidRPr="0062673F">
              <w:rPr>
                <w:rFonts w:ascii="Calibri" w:eastAsia="Times New Roman" w:hAnsi="Calibri" w:cs="Calibri"/>
                <w:color w:val="000000" w:themeColor="text1"/>
                <w:sz w:val="16"/>
                <w:szCs w:val="16"/>
                <w:lang w:eastAsia="en-GB"/>
              </w:rPr>
              <w:t>(7,400-63,000) 1.2% (0.3%-2.8%)</w:t>
            </w:r>
          </w:p>
        </w:tc>
        <w:tc>
          <w:tcPr>
            <w:tcW w:w="1559" w:type="dxa"/>
            <w:vAlign w:val="center"/>
          </w:tcPr>
          <w:p w14:paraId="781FCE2F" w14:textId="77777777" w:rsidR="00D47BE5" w:rsidRPr="0062673F" w:rsidRDefault="00BA02C6" w:rsidP="00BA02C6">
            <w:pPr>
              <w:rPr>
                <w:rFonts w:cstheme="minorHAnsi"/>
                <w:color w:val="000000" w:themeColor="text1"/>
                <w:sz w:val="16"/>
                <w:szCs w:val="16"/>
              </w:rPr>
            </w:pPr>
            <w:r w:rsidRPr="0062673F">
              <w:rPr>
                <w:rFonts w:cstheme="minorHAnsi"/>
                <w:color w:val="000000" w:themeColor="text1"/>
                <w:sz w:val="16"/>
                <w:szCs w:val="16"/>
              </w:rPr>
              <w:t xml:space="preserve">35,000 </w:t>
            </w:r>
          </w:p>
          <w:p w14:paraId="20622959" w14:textId="47288269" w:rsidR="00BA02C6" w:rsidRPr="0062673F" w:rsidRDefault="00BA02C6" w:rsidP="00BA02C6">
            <w:pPr>
              <w:rPr>
                <w:rFonts w:cstheme="minorHAnsi"/>
                <w:color w:val="000000" w:themeColor="text1"/>
                <w:sz w:val="16"/>
                <w:szCs w:val="16"/>
              </w:rPr>
            </w:pPr>
            <w:r w:rsidRPr="0062673F">
              <w:rPr>
                <w:rFonts w:cstheme="minorHAnsi"/>
                <w:color w:val="000000" w:themeColor="text1"/>
                <w:sz w:val="16"/>
                <w:szCs w:val="16"/>
              </w:rPr>
              <w:t>(9,000-81,000)</w:t>
            </w:r>
          </w:p>
          <w:p w14:paraId="7F582685" w14:textId="6A8CB3D3" w:rsidR="00BA02C6" w:rsidRPr="0062673F" w:rsidRDefault="009D2868" w:rsidP="00BA02C6">
            <w:pPr>
              <w:rPr>
                <w:rFonts w:cstheme="minorHAnsi"/>
                <w:color w:val="000000" w:themeColor="text1"/>
                <w:sz w:val="16"/>
                <w:szCs w:val="16"/>
              </w:rPr>
            </w:pPr>
            <w:r w:rsidRPr="0062673F">
              <w:rPr>
                <w:rFonts w:cstheme="minorHAnsi"/>
                <w:color w:val="000000" w:themeColor="text1"/>
                <w:sz w:val="16"/>
                <w:szCs w:val="16"/>
              </w:rPr>
              <w:t>1.1% (0.3%-2.5</w:t>
            </w:r>
            <w:r w:rsidR="00BA02C6" w:rsidRPr="0062673F">
              <w:rPr>
                <w:rFonts w:cstheme="minorHAnsi"/>
                <w:color w:val="000000" w:themeColor="text1"/>
                <w:sz w:val="16"/>
                <w:szCs w:val="16"/>
              </w:rPr>
              <w:t>%)</w:t>
            </w:r>
          </w:p>
        </w:tc>
        <w:tc>
          <w:tcPr>
            <w:tcW w:w="1508" w:type="dxa"/>
          </w:tcPr>
          <w:p w14:paraId="0071B313" w14:textId="77777777" w:rsidR="009D2868" w:rsidRPr="0062673F" w:rsidRDefault="009D2868" w:rsidP="00BA02C6">
            <w:pP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39,000 </w:t>
            </w:r>
          </w:p>
          <w:p w14:paraId="1DD3F207" w14:textId="714BB528" w:rsidR="00BA02C6" w:rsidRPr="0062673F" w:rsidRDefault="009D2868" w:rsidP="00BA02C6">
            <w:pPr>
              <w:rPr>
                <w:rFonts w:cstheme="minorHAnsi"/>
                <w:color w:val="000000" w:themeColor="text1"/>
                <w:sz w:val="16"/>
                <w:szCs w:val="16"/>
              </w:rPr>
            </w:pPr>
            <w:r w:rsidRPr="0062673F">
              <w:rPr>
                <w:rFonts w:ascii="Calibri" w:eastAsia="Times New Roman" w:hAnsi="Calibri" w:cs="Calibri"/>
                <w:color w:val="000000" w:themeColor="text1"/>
                <w:sz w:val="16"/>
                <w:szCs w:val="16"/>
                <w:lang w:eastAsia="en-GB"/>
              </w:rPr>
              <w:t>(11,000-92,000) 1.0% (0.3%-2.4%)</w:t>
            </w:r>
          </w:p>
        </w:tc>
      </w:tr>
    </w:tbl>
    <w:p w14:paraId="59B6521B" w14:textId="6B534F84" w:rsidR="00BF64A2" w:rsidRPr="0062673F" w:rsidRDefault="00BF64A2" w:rsidP="00BF64A2">
      <w:pPr>
        <w:autoSpaceDE w:val="0"/>
        <w:autoSpaceDN w:val="0"/>
        <w:adjustRightInd w:val="0"/>
        <w:spacing w:after="0" w:line="240" w:lineRule="auto"/>
        <w:rPr>
          <w:rFonts w:cstheme="minorHAnsi"/>
          <w:color w:val="000000" w:themeColor="text1"/>
          <w:sz w:val="16"/>
          <w:szCs w:val="16"/>
        </w:rPr>
      </w:pPr>
      <w:r w:rsidRPr="0062673F">
        <w:rPr>
          <w:color w:val="000000" w:themeColor="text1"/>
          <w:sz w:val="16"/>
          <w:szCs w:val="16"/>
        </w:rPr>
        <w:t xml:space="preserve">Estimates of number of children are based on 2015 population; </w:t>
      </w:r>
      <w:r w:rsidRPr="0062673F">
        <w:rPr>
          <w:rFonts w:cstheme="minorHAnsi"/>
          <w:color w:val="000000" w:themeColor="text1"/>
          <w:sz w:val="16"/>
          <w:szCs w:val="16"/>
        </w:rPr>
        <w:t xml:space="preserve">Scenario A: all advertising between </w:t>
      </w:r>
      <w:r w:rsidR="008F406E">
        <w:rPr>
          <w:rFonts w:cstheme="minorHAnsi"/>
          <w:color w:val="000000" w:themeColor="text1"/>
          <w:sz w:val="16"/>
          <w:szCs w:val="16"/>
        </w:rPr>
        <w:t>05.30 hours</w:t>
      </w:r>
      <w:r w:rsidRPr="0062673F">
        <w:rPr>
          <w:rFonts w:cstheme="minorHAnsi"/>
          <w:color w:val="000000" w:themeColor="text1"/>
          <w:sz w:val="16"/>
          <w:szCs w:val="16"/>
        </w:rPr>
        <w:t xml:space="preserve"> and </w:t>
      </w:r>
      <w:r w:rsidR="008F406E">
        <w:rPr>
          <w:rFonts w:cstheme="minorHAnsi"/>
          <w:color w:val="000000" w:themeColor="text1"/>
          <w:sz w:val="16"/>
          <w:szCs w:val="16"/>
        </w:rPr>
        <w:t>21.00 hours</w:t>
      </w:r>
      <w:r w:rsidRPr="0062673F">
        <w:rPr>
          <w:rFonts w:cstheme="minorHAnsi"/>
          <w:color w:val="000000" w:themeColor="text1"/>
          <w:sz w:val="16"/>
          <w:szCs w:val="16"/>
        </w:rPr>
        <w:t xml:space="preserve"> is withdrawn; Scenario B: all advertising between </w:t>
      </w:r>
      <w:r w:rsidR="008F406E">
        <w:rPr>
          <w:rFonts w:cstheme="minorHAnsi"/>
          <w:color w:val="000000" w:themeColor="text1"/>
          <w:sz w:val="16"/>
          <w:szCs w:val="16"/>
        </w:rPr>
        <w:t>05.30 hours</w:t>
      </w:r>
      <w:r w:rsidRPr="0062673F">
        <w:rPr>
          <w:rFonts w:cstheme="minorHAnsi"/>
          <w:color w:val="000000" w:themeColor="text1"/>
          <w:sz w:val="16"/>
          <w:szCs w:val="16"/>
        </w:rPr>
        <w:t xml:space="preserve"> and </w:t>
      </w:r>
      <w:r w:rsidR="008F406E">
        <w:rPr>
          <w:rFonts w:cstheme="minorHAnsi"/>
          <w:color w:val="000000" w:themeColor="text1"/>
          <w:sz w:val="16"/>
          <w:szCs w:val="16"/>
        </w:rPr>
        <w:t>21.00 hours</w:t>
      </w:r>
      <w:r w:rsidRPr="0062673F">
        <w:rPr>
          <w:rFonts w:cstheme="minorHAnsi"/>
          <w:color w:val="000000" w:themeColor="text1"/>
          <w:sz w:val="16"/>
          <w:szCs w:val="16"/>
        </w:rPr>
        <w:t xml:space="preserve"> i</w:t>
      </w:r>
      <w:r w:rsidR="00BA02C6" w:rsidRPr="0062673F">
        <w:rPr>
          <w:rFonts w:cstheme="minorHAnsi"/>
          <w:color w:val="000000" w:themeColor="text1"/>
          <w:sz w:val="16"/>
          <w:szCs w:val="16"/>
        </w:rPr>
        <w:t xml:space="preserve">s displaced to </w:t>
      </w:r>
      <w:r w:rsidR="008F406E">
        <w:rPr>
          <w:rFonts w:cstheme="minorHAnsi"/>
          <w:color w:val="000000" w:themeColor="text1"/>
          <w:sz w:val="16"/>
          <w:szCs w:val="16"/>
        </w:rPr>
        <w:t>21.00 hours</w:t>
      </w:r>
      <w:r w:rsidR="00BA02C6" w:rsidRPr="0062673F">
        <w:rPr>
          <w:rFonts w:cstheme="minorHAnsi"/>
          <w:color w:val="000000" w:themeColor="text1"/>
          <w:sz w:val="16"/>
          <w:szCs w:val="16"/>
        </w:rPr>
        <w:t xml:space="preserve"> to </w:t>
      </w:r>
      <w:r w:rsidR="008F406E">
        <w:rPr>
          <w:rFonts w:cstheme="minorHAnsi"/>
          <w:color w:val="000000" w:themeColor="text1"/>
          <w:sz w:val="16"/>
          <w:szCs w:val="16"/>
        </w:rPr>
        <w:t>05.30 hours</w:t>
      </w:r>
      <w:r w:rsidR="00BA02C6" w:rsidRPr="0062673F">
        <w:rPr>
          <w:rFonts w:cstheme="minorHAnsi"/>
          <w:color w:val="000000" w:themeColor="text1"/>
          <w:sz w:val="16"/>
          <w:szCs w:val="16"/>
        </w:rPr>
        <w:t>; IOTF = International Obesity Task Force; UK90 = UK90 growth chart, using the 85</w:t>
      </w:r>
      <w:r w:rsidR="00BA02C6" w:rsidRPr="0062673F">
        <w:rPr>
          <w:rFonts w:cstheme="minorHAnsi"/>
          <w:color w:val="000000" w:themeColor="text1"/>
          <w:sz w:val="16"/>
          <w:szCs w:val="16"/>
          <w:vertAlign w:val="superscript"/>
        </w:rPr>
        <w:t>th</w:t>
      </w:r>
      <w:r w:rsidR="00BA02C6" w:rsidRPr="0062673F">
        <w:rPr>
          <w:rFonts w:cstheme="minorHAnsi"/>
          <w:color w:val="000000" w:themeColor="text1"/>
          <w:sz w:val="16"/>
          <w:szCs w:val="16"/>
        </w:rPr>
        <w:t xml:space="preserve"> and 95</w:t>
      </w:r>
      <w:r w:rsidR="00BA02C6" w:rsidRPr="0062673F">
        <w:rPr>
          <w:rFonts w:cstheme="minorHAnsi"/>
          <w:color w:val="000000" w:themeColor="text1"/>
          <w:sz w:val="16"/>
          <w:szCs w:val="16"/>
          <w:vertAlign w:val="superscript"/>
        </w:rPr>
        <w:t>th</w:t>
      </w:r>
      <w:r w:rsidR="00BA02C6" w:rsidRPr="0062673F">
        <w:rPr>
          <w:rFonts w:cstheme="minorHAnsi"/>
          <w:color w:val="000000" w:themeColor="text1"/>
          <w:sz w:val="16"/>
          <w:szCs w:val="16"/>
        </w:rPr>
        <w:t xml:space="preserve"> centile.</w:t>
      </w:r>
    </w:p>
    <w:p w14:paraId="1D26C16D" w14:textId="57C34097" w:rsidR="00BF64A2" w:rsidRPr="0062673F" w:rsidRDefault="00BF64A2" w:rsidP="00B61000">
      <w:pPr>
        <w:rPr>
          <w:color w:val="000000" w:themeColor="text1"/>
        </w:rPr>
      </w:pPr>
    </w:p>
    <w:p w14:paraId="7390AA62" w14:textId="149E248D" w:rsidR="00423DBD" w:rsidRPr="0062673F" w:rsidRDefault="00423DBD" w:rsidP="00B61000">
      <w:pPr>
        <w:rPr>
          <w:color w:val="000000" w:themeColor="text1"/>
        </w:rPr>
      </w:pPr>
      <w:r w:rsidRPr="0062673F">
        <w:rPr>
          <w:color w:val="000000" w:themeColor="text1"/>
        </w:rPr>
        <w:t xml:space="preserve">This </w:t>
      </w:r>
      <w:r w:rsidR="006B331E" w:rsidRPr="0062673F">
        <w:rPr>
          <w:color w:val="000000" w:themeColor="text1"/>
        </w:rPr>
        <w:t xml:space="preserve">is </w:t>
      </w:r>
      <w:r w:rsidRPr="0062673F">
        <w:rPr>
          <w:color w:val="000000" w:themeColor="text1"/>
        </w:rPr>
        <w:t>equivalent to 40,000 (12,000-81,000) fewer children with obesity, and 120,000 (3</w:t>
      </w:r>
      <w:r w:rsidR="006B331E" w:rsidRPr="0062673F">
        <w:rPr>
          <w:color w:val="000000" w:themeColor="text1"/>
        </w:rPr>
        <w:t>4,000-240,000) with overweight, based on the 2015 population</w:t>
      </w:r>
      <w:r w:rsidR="00C82454" w:rsidRPr="0062673F">
        <w:rPr>
          <w:color w:val="000000" w:themeColor="text1"/>
        </w:rPr>
        <w:t xml:space="preserve"> using the IOTF cut-points</w:t>
      </w:r>
      <w:r w:rsidR="006B331E" w:rsidRPr="0062673F">
        <w:rPr>
          <w:color w:val="000000" w:themeColor="text1"/>
        </w:rPr>
        <w:t>.</w:t>
      </w:r>
      <w:r w:rsidR="00DA0F22" w:rsidRPr="0062673F">
        <w:rPr>
          <w:color w:val="000000" w:themeColor="text1"/>
        </w:rPr>
        <w:t xml:space="preserve"> This is also equivalent to a number needed to treat (NNT) of 22 for obesity, and 28 for overweight, or reducing the point prevalence of obesity by 0.4 percentage points from 8.8% to 8.4% and the point prevalence of overweight by 1.2 percentage points from 33.1% to 31.9%.</w:t>
      </w:r>
    </w:p>
    <w:p w14:paraId="7D16E7FB" w14:textId="06261039" w:rsidR="00D932FA" w:rsidRPr="0062673F" w:rsidRDefault="00423DBD" w:rsidP="00B61000">
      <w:pPr>
        <w:rPr>
          <w:color w:val="000000" w:themeColor="text1"/>
        </w:rPr>
      </w:pPr>
      <w:r w:rsidRPr="0062673F">
        <w:rPr>
          <w:color w:val="000000" w:themeColor="text1"/>
        </w:rPr>
        <w:t>If the adverts</w:t>
      </w:r>
      <w:r w:rsidR="00690BED" w:rsidRPr="0062673F">
        <w:rPr>
          <w:color w:val="000000" w:themeColor="text1"/>
        </w:rPr>
        <w:t xml:space="preserve"> affect</w:t>
      </w:r>
      <w:r w:rsidR="00701784" w:rsidRPr="0062673F">
        <w:rPr>
          <w:color w:val="000000" w:themeColor="text1"/>
        </w:rPr>
        <w:t>ed by the intervention</w:t>
      </w:r>
      <w:r w:rsidRPr="0062673F">
        <w:rPr>
          <w:color w:val="000000" w:themeColor="text1"/>
        </w:rPr>
        <w:t xml:space="preserve"> were shifted to between </w:t>
      </w:r>
      <w:r w:rsidR="008F406E">
        <w:rPr>
          <w:color w:val="000000" w:themeColor="text1"/>
        </w:rPr>
        <w:t>21.00 hours</w:t>
      </w:r>
      <w:r w:rsidRPr="0062673F">
        <w:rPr>
          <w:color w:val="000000" w:themeColor="text1"/>
        </w:rPr>
        <w:t xml:space="preserve"> and </w:t>
      </w:r>
      <w:r w:rsidR="008F406E">
        <w:rPr>
          <w:color w:val="000000" w:themeColor="text1"/>
        </w:rPr>
        <w:t>05.30 hours</w:t>
      </w:r>
      <w:r w:rsidR="00897A37" w:rsidRPr="0062673F">
        <w:rPr>
          <w:color w:val="000000" w:themeColor="text1"/>
        </w:rPr>
        <w:t xml:space="preserve"> </w:t>
      </w:r>
      <w:r w:rsidRPr="0062673F">
        <w:rPr>
          <w:color w:val="000000" w:themeColor="text1"/>
        </w:rPr>
        <w:t>(scenario B), we estima</w:t>
      </w:r>
      <w:r w:rsidR="00D932FA" w:rsidRPr="0062673F">
        <w:rPr>
          <w:color w:val="000000" w:themeColor="text1"/>
        </w:rPr>
        <w:t>te the effects would be a quarter to a</w:t>
      </w:r>
      <w:r w:rsidRPr="0062673F">
        <w:rPr>
          <w:color w:val="000000" w:themeColor="text1"/>
        </w:rPr>
        <w:t xml:space="preserve"> third of those </w:t>
      </w:r>
      <w:r w:rsidR="00845EEB" w:rsidRPr="0062673F">
        <w:rPr>
          <w:color w:val="000000" w:themeColor="text1"/>
        </w:rPr>
        <w:t>of scenario A in which the</w:t>
      </w:r>
      <w:r w:rsidR="00701784" w:rsidRPr="0062673F">
        <w:rPr>
          <w:color w:val="000000" w:themeColor="text1"/>
        </w:rPr>
        <w:t xml:space="preserve"> </w:t>
      </w:r>
      <w:r w:rsidRPr="0062673F">
        <w:rPr>
          <w:color w:val="000000" w:themeColor="text1"/>
        </w:rPr>
        <w:t>adverts</w:t>
      </w:r>
      <w:r w:rsidR="00845EEB" w:rsidRPr="0062673F">
        <w:rPr>
          <w:color w:val="000000" w:themeColor="text1"/>
        </w:rPr>
        <w:t xml:space="preserve"> were withdrawn</w:t>
      </w:r>
      <w:r w:rsidRPr="0062673F">
        <w:rPr>
          <w:color w:val="000000" w:themeColor="text1"/>
        </w:rPr>
        <w:t xml:space="preserve">. </w:t>
      </w:r>
      <w:r w:rsidR="006B331E" w:rsidRPr="0062673F">
        <w:rPr>
          <w:color w:val="000000" w:themeColor="text1"/>
        </w:rPr>
        <w:t>Under scenario</w:t>
      </w:r>
      <w:r w:rsidR="00701784" w:rsidRPr="0062673F">
        <w:rPr>
          <w:color w:val="000000" w:themeColor="text1"/>
        </w:rPr>
        <w:t xml:space="preserve"> B</w:t>
      </w:r>
      <w:r w:rsidR="006B331E" w:rsidRPr="0062673F">
        <w:rPr>
          <w:color w:val="000000" w:themeColor="text1"/>
        </w:rPr>
        <w:t>, w</w:t>
      </w:r>
      <w:r w:rsidRPr="0062673F">
        <w:rPr>
          <w:color w:val="000000" w:themeColor="text1"/>
        </w:rPr>
        <w:t>e estimate that the net reduction in HFSS advert</w:t>
      </w:r>
      <w:r w:rsidR="00701784" w:rsidRPr="0062673F">
        <w:rPr>
          <w:color w:val="000000" w:themeColor="text1"/>
        </w:rPr>
        <w:t>s</w:t>
      </w:r>
      <w:r w:rsidRPr="0062673F">
        <w:rPr>
          <w:color w:val="000000" w:themeColor="text1"/>
        </w:rPr>
        <w:t xml:space="preserve"> seen by children on average would be 0.5 </w:t>
      </w:r>
      <w:r w:rsidR="006B331E" w:rsidRPr="0062673F">
        <w:rPr>
          <w:color w:val="000000" w:themeColor="text1"/>
        </w:rPr>
        <w:t>HFSS adverts per day, and that children’s mean daily energy intake would decrease by 2.8 kcal (95 CI: 0.1kcal-5.3</w:t>
      </w:r>
      <w:r w:rsidR="00D932FA" w:rsidRPr="0062673F">
        <w:rPr>
          <w:color w:val="000000" w:themeColor="text1"/>
        </w:rPr>
        <w:t>kcal), reducing</w:t>
      </w:r>
      <w:r w:rsidR="006B331E" w:rsidRPr="0062673F">
        <w:rPr>
          <w:color w:val="000000" w:themeColor="text1"/>
        </w:rPr>
        <w:t xml:space="preserve"> the number of children aged 5-17 years with obesity by 1.4% (0.4%-3.3%) and with overweight by 1.</w:t>
      </w:r>
      <w:r w:rsidR="00436D21" w:rsidRPr="0062673F">
        <w:rPr>
          <w:color w:val="000000" w:themeColor="text1"/>
        </w:rPr>
        <w:t>1% (0.3%-2.5</w:t>
      </w:r>
      <w:r w:rsidR="006B331E" w:rsidRPr="0062673F">
        <w:rPr>
          <w:color w:val="000000" w:themeColor="text1"/>
        </w:rPr>
        <w:t xml:space="preserve">%) (Table 3). </w:t>
      </w:r>
    </w:p>
    <w:p w14:paraId="0C184CA3" w14:textId="3516F83D" w:rsidR="006A4722" w:rsidRPr="0062673F" w:rsidRDefault="006A4722" w:rsidP="00B61000">
      <w:pPr>
        <w:rPr>
          <w:color w:val="000000" w:themeColor="text1"/>
        </w:rPr>
      </w:pPr>
      <w:r w:rsidRPr="0062673F">
        <w:rPr>
          <w:color w:val="000000" w:themeColor="text1"/>
        </w:rPr>
        <w:t>The</w:t>
      </w:r>
      <w:r w:rsidR="00D932FA" w:rsidRPr="0062673F">
        <w:rPr>
          <w:color w:val="000000" w:themeColor="text1"/>
        </w:rPr>
        <w:t xml:space="preserve"> population attributable fraction</w:t>
      </w:r>
      <w:r w:rsidRPr="0062673F">
        <w:rPr>
          <w:color w:val="000000" w:themeColor="text1"/>
        </w:rPr>
        <w:t xml:space="preserve"> of </w:t>
      </w:r>
      <w:r w:rsidR="00690BED" w:rsidRPr="0062673F">
        <w:rPr>
          <w:color w:val="000000" w:themeColor="text1"/>
        </w:rPr>
        <w:t xml:space="preserve">childhood </w:t>
      </w:r>
      <w:r w:rsidRPr="0062673F">
        <w:rPr>
          <w:color w:val="000000" w:themeColor="text1"/>
        </w:rPr>
        <w:t>obesity</w:t>
      </w:r>
      <w:r w:rsidR="00690BED" w:rsidRPr="0062673F">
        <w:rPr>
          <w:color w:val="000000" w:themeColor="text1"/>
        </w:rPr>
        <w:t xml:space="preserve"> attributable to HFSS advertising (i.e. the proportion of childhood obesity caused by HFSS advertising)</w:t>
      </w:r>
      <w:r w:rsidRPr="0062673F">
        <w:rPr>
          <w:color w:val="000000" w:themeColor="text1"/>
        </w:rPr>
        <w:t xml:space="preserve"> was estimated at 6.4% (95% CI: 2.0%-</w:t>
      </w:r>
      <w:r w:rsidR="00897A37" w:rsidRPr="0062673F">
        <w:rPr>
          <w:color w:val="000000" w:themeColor="text1"/>
        </w:rPr>
        <w:t>13.8%), and of overweight at 5.0% (1.5%-10</w:t>
      </w:r>
      <w:r w:rsidRPr="0062673F">
        <w:rPr>
          <w:color w:val="000000" w:themeColor="text1"/>
        </w:rPr>
        <w:t xml:space="preserve">.9%). </w:t>
      </w:r>
    </w:p>
    <w:p w14:paraId="705161AA" w14:textId="7D4902CA" w:rsidR="003C036D" w:rsidRPr="0062673F" w:rsidRDefault="003C036D" w:rsidP="003C036D">
      <w:pPr>
        <w:rPr>
          <w:rFonts w:eastAsia="Times New Roman" w:cstheme="minorHAnsi"/>
          <w:color w:val="000000" w:themeColor="text1"/>
          <w:sz w:val="18"/>
          <w:szCs w:val="18"/>
          <w:lang w:eastAsia="en-GB"/>
        </w:rPr>
      </w:pPr>
      <w:r w:rsidRPr="0062673F">
        <w:rPr>
          <w:rFonts w:cstheme="minorHAnsi"/>
          <w:color w:val="000000" w:themeColor="text1"/>
        </w:rPr>
        <w:t>We estimated that the intervention would be more effective at reducing obesity and overweight in children from social grade DE than those from social grade AB (2.</w:t>
      </w:r>
      <w:r w:rsidR="002469BF" w:rsidRPr="0062673F">
        <w:rPr>
          <w:rFonts w:cstheme="minorHAnsi"/>
          <w:color w:val="000000" w:themeColor="text1"/>
        </w:rPr>
        <w:t>5</w:t>
      </w:r>
      <w:r w:rsidRPr="0062673F">
        <w:rPr>
          <w:rFonts w:cstheme="minorHAnsi"/>
          <w:color w:val="000000" w:themeColor="text1"/>
        </w:rPr>
        <w:t xml:space="preserve"> fold greater reduction in number of children with obesity, 6,</w:t>
      </w:r>
      <w:r w:rsidR="002469BF" w:rsidRPr="0062673F">
        <w:rPr>
          <w:rFonts w:cstheme="minorHAnsi"/>
          <w:color w:val="000000" w:themeColor="text1"/>
        </w:rPr>
        <w:t>5</w:t>
      </w:r>
      <w:r w:rsidRPr="0062673F">
        <w:rPr>
          <w:rFonts w:cstheme="minorHAnsi"/>
          <w:color w:val="000000" w:themeColor="text1"/>
        </w:rPr>
        <w:t>00 vs 2,</w:t>
      </w:r>
      <w:r w:rsidR="002469BF" w:rsidRPr="0062673F">
        <w:rPr>
          <w:rFonts w:cstheme="minorHAnsi"/>
          <w:color w:val="000000" w:themeColor="text1"/>
        </w:rPr>
        <w:t>6</w:t>
      </w:r>
      <w:r w:rsidRPr="0062673F">
        <w:rPr>
          <w:rFonts w:cstheme="minorHAnsi"/>
          <w:color w:val="000000" w:themeColor="text1"/>
        </w:rPr>
        <w:t xml:space="preserve">00 per million children, and </w:t>
      </w:r>
      <w:r w:rsidR="002469BF" w:rsidRPr="0062673F">
        <w:rPr>
          <w:rFonts w:cstheme="minorHAnsi"/>
          <w:color w:val="000000" w:themeColor="text1"/>
        </w:rPr>
        <w:t>1.8</w:t>
      </w:r>
      <w:r w:rsidRPr="0062673F">
        <w:rPr>
          <w:rFonts w:cstheme="minorHAnsi"/>
          <w:color w:val="000000" w:themeColor="text1"/>
        </w:rPr>
        <w:t xml:space="preserve"> fold greater percentage reduction in children with obesity, 6.</w:t>
      </w:r>
      <w:r w:rsidR="002469BF" w:rsidRPr="0062673F">
        <w:rPr>
          <w:rFonts w:cstheme="minorHAnsi"/>
          <w:color w:val="000000" w:themeColor="text1"/>
        </w:rPr>
        <w:t>1</w:t>
      </w:r>
      <w:r w:rsidRPr="0062673F">
        <w:rPr>
          <w:rFonts w:cstheme="minorHAnsi"/>
          <w:color w:val="000000" w:themeColor="text1"/>
        </w:rPr>
        <w:t>% vs 3.</w:t>
      </w:r>
      <w:r w:rsidR="002469BF" w:rsidRPr="0062673F">
        <w:rPr>
          <w:rFonts w:cstheme="minorHAnsi"/>
          <w:color w:val="000000" w:themeColor="text1"/>
        </w:rPr>
        <w:t>5</w:t>
      </w:r>
      <w:r w:rsidRPr="0062673F">
        <w:rPr>
          <w:rFonts w:cstheme="minorHAnsi"/>
          <w:color w:val="000000" w:themeColor="text1"/>
        </w:rPr>
        <w:t>%; 2.</w:t>
      </w:r>
      <w:r w:rsidR="002469BF" w:rsidRPr="0062673F">
        <w:rPr>
          <w:rFonts w:cstheme="minorHAnsi"/>
          <w:color w:val="000000" w:themeColor="text1"/>
        </w:rPr>
        <w:t>1</w:t>
      </w:r>
      <w:r w:rsidRPr="0062673F">
        <w:rPr>
          <w:rFonts w:cstheme="minorHAnsi"/>
          <w:color w:val="000000" w:themeColor="text1"/>
        </w:rPr>
        <w:t xml:space="preserve"> fold greater reduction in number of children with obesity and overweight, 18,000 vs </w:t>
      </w:r>
      <w:r w:rsidR="002469BF" w:rsidRPr="0062673F">
        <w:rPr>
          <w:rFonts w:cstheme="minorHAnsi"/>
          <w:color w:val="000000" w:themeColor="text1"/>
        </w:rPr>
        <w:t>8</w:t>
      </w:r>
      <w:r w:rsidRPr="0062673F">
        <w:rPr>
          <w:rFonts w:cstheme="minorHAnsi"/>
          <w:color w:val="000000" w:themeColor="text1"/>
        </w:rPr>
        <w:t>,</w:t>
      </w:r>
      <w:r w:rsidR="002469BF" w:rsidRPr="0062673F">
        <w:rPr>
          <w:rFonts w:cstheme="minorHAnsi"/>
          <w:color w:val="000000" w:themeColor="text1"/>
        </w:rPr>
        <w:t>6</w:t>
      </w:r>
      <w:r w:rsidRPr="0062673F">
        <w:rPr>
          <w:rFonts w:cstheme="minorHAnsi"/>
          <w:color w:val="000000" w:themeColor="text1"/>
        </w:rPr>
        <w:t>00, and 1.</w:t>
      </w:r>
      <w:r w:rsidR="002469BF" w:rsidRPr="0062673F">
        <w:rPr>
          <w:rFonts w:cstheme="minorHAnsi"/>
          <w:color w:val="000000" w:themeColor="text1"/>
        </w:rPr>
        <w:t>6</w:t>
      </w:r>
      <w:r w:rsidRPr="0062673F">
        <w:rPr>
          <w:rFonts w:cstheme="minorHAnsi"/>
          <w:color w:val="000000" w:themeColor="text1"/>
        </w:rPr>
        <w:t xml:space="preserve"> fold greater percentage reduction, 4.</w:t>
      </w:r>
      <w:r w:rsidR="002469BF" w:rsidRPr="0062673F">
        <w:rPr>
          <w:rFonts w:cstheme="minorHAnsi"/>
          <w:color w:val="000000" w:themeColor="text1"/>
        </w:rPr>
        <w:t>6</w:t>
      </w:r>
      <w:r w:rsidRPr="0062673F">
        <w:rPr>
          <w:rFonts w:cstheme="minorHAnsi"/>
          <w:color w:val="000000" w:themeColor="text1"/>
        </w:rPr>
        <w:t xml:space="preserve">% vs </w:t>
      </w:r>
      <w:r w:rsidR="002469BF" w:rsidRPr="0062673F">
        <w:rPr>
          <w:rFonts w:cstheme="minorHAnsi"/>
          <w:color w:val="000000" w:themeColor="text1"/>
        </w:rPr>
        <w:t>3.0</w:t>
      </w:r>
      <w:r w:rsidRPr="0062673F">
        <w:rPr>
          <w:rFonts w:cstheme="minorHAnsi"/>
          <w:color w:val="000000" w:themeColor="text1"/>
        </w:rPr>
        <w:t>%)</w:t>
      </w:r>
      <w:r w:rsidR="002469BF" w:rsidRPr="0062673F">
        <w:rPr>
          <w:rFonts w:cstheme="minorHAnsi"/>
          <w:color w:val="000000" w:themeColor="text1"/>
        </w:rPr>
        <w:t xml:space="preserve">, as shown in Table </w:t>
      </w:r>
      <w:r w:rsidR="009626D9">
        <w:rPr>
          <w:rFonts w:cstheme="minorHAnsi"/>
          <w:color w:val="000000" w:themeColor="text1"/>
        </w:rPr>
        <w:t>5</w:t>
      </w:r>
      <w:r w:rsidRPr="0062673F">
        <w:rPr>
          <w:rFonts w:cstheme="minorHAnsi"/>
          <w:color w:val="000000" w:themeColor="text1"/>
        </w:rPr>
        <w:t>.</w:t>
      </w:r>
      <w:r w:rsidRPr="0062673F">
        <w:rPr>
          <w:rFonts w:eastAsia="Times New Roman" w:cstheme="minorHAnsi"/>
          <w:color w:val="000000" w:themeColor="text1"/>
          <w:sz w:val="18"/>
          <w:szCs w:val="18"/>
          <w:lang w:eastAsia="en-GB"/>
        </w:rPr>
        <w:t xml:space="preserve"> </w:t>
      </w:r>
    </w:p>
    <w:p w14:paraId="7D1CB41C" w14:textId="4B225B83" w:rsidR="003C036D" w:rsidRPr="0062673F" w:rsidRDefault="003C036D" w:rsidP="003C036D">
      <w:pPr>
        <w:rPr>
          <w:rFonts w:ascii="Arial" w:eastAsia="Times New Roman" w:hAnsi="Arial" w:cs="Arial"/>
          <w:color w:val="000000" w:themeColor="text1"/>
          <w:sz w:val="18"/>
          <w:szCs w:val="18"/>
          <w:lang w:eastAsia="en-GB"/>
        </w:rPr>
      </w:pPr>
      <w:r w:rsidRPr="0062673F">
        <w:rPr>
          <w:b/>
          <w:color w:val="000000" w:themeColor="text1"/>
        </w:rPr>
        <w:t xml:space="preserve">Table </w:t>
      </w:r>
      <w:r w:rsidR="009626D9">
        <w:rPr>
          <w:b/>
          <w:color w:val="000000" w:themeColor="text1"/>
        </w:rPr>
        <w:t>5</w:t>
      </w:r>
      <w:r w:rsidRPr="0062673F">
        <w:rPr>
          <w:b/>
          <w:color w:val="000000" w:themeColor="text1"/>
        </w:rPr>
        <w:t xml:space="preserve">. Estimated impact on children’s energy intake and weight status of restricting HFSS advertising on television between </w:t>
      </w:r>
      <w:r w:rsidR="008F406E">
        <w:rPr>
          <w:b/>
          <w:color w:val="000000" w:themeColor="text1"/>
        </w:rPr>
        <w:t>05.30 hours</w:t>
      </w:r>
      <w:r w:rsidRPr="0062673F">
        <w:rPr>
          <w:b/>
          <w:color w:val="000000" w:themeColor="text1"/>
        </w:rPr>
        <w:t xml:space="preserve"> and </w:t>
      </w:r>
      <w:r w:rsidR="008F406E">
        <w:rPr>
          <w:b/>
          <w:color w:val="000000" w:themeColor="text1"/>
        </w:rPr>
        <w:t>21.00 hours</w:t>
      </w:r>
      <w:r w:rsidRPr="0062673F">
        <w:rPr>
          <w:b/>
          <w:color w:val="000000" w:themeColor="text1"/>
        </w:rPr>
        <w:t xml:space="preserve"> by social class</w:t>
      </w:r>
    </w:p>
    <w:tbl>
      <w:tblPr>
        <w:tblStyle w:val="TableGrid"/>
        <w:tblW w:w="9016" w:type="dxa"/>
        <w:tblLook w:val="04A0" w:firstRow="1" w:lastRow="0" w:firstColumn="1" w:lastColumn="0" w:noHBand="0" w:noVBand="1"/>
      </w:tblPr>
      <w:tblGrid>
        <w:gridCol w:w="688"/>
        <w:gridCol w:w="1034"/>
        <w:gridCol w:w="874"/>
        <w:gridCol w:w="1088"/>
        <w:gridCol w:w="1450"/>
        <w:gridCol w:w="1251"/>
        <w:gridCol w:w="1378"/>
        <w:gridCol w:w="1253"/>
      </w:tblGrid>
      <w:tr w:rsidR="0033376B" w:rsidRPr="0062673F" w14:paraId="580C3A8B" w14:textId="77777777" w:rsidTr="00573208">
        <w:trPr>
          <w:trHeight w:val="290"/>
        </w:trPr>
        <w:tc>
          <w:tcPr>
            <w:tcW w:w="688" w:type="dxa"/>
            <w:noWrap/>
          </w:tcPr>
          <w:p w14:paraId="60F1D0F1" w14:textId="5370EF94" w:rsidR="0033376B" w:rsidRPr="0062673F" w:rsidRDefault="0033376B"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Social</w:t>
            </w:r>
          </w:p>
          <w:p w14:paraId="51369207" w14:textId="013F1BD0" w:rsidR="0033376B" w:rsidRPr="0062673F" w:rsidRDefault="0033376B" w:rsidP="002469BF">
            <w:pPr>
              <w:jc w:val="center"/>
              <w:rPr>
                <w:rFonts w:ascii="Arial" w:eastAsia="Times New Roman" w:hAnsi="Arial" w:cs="Arial"/>
                <w:color w:val="000000" w:themeColor="text1"/>
                <w:sz w:val="16"/>
                <w:szCs w:val="16"/>
                <w:lang w:eastAsia="en-GB"/>
              </w:rPr>
            </w:pPr>
            <w:r w:rsidRPr="0062673F">
              <w:rPr>
                <w:rFonts w:ascii="Arial" w:eastAsia="Times New Roman" w:hAnsi="Arial" w:cs="Arial"/>
                <w:b/>
                <w:bCs/>
                <w:color w:val="000000" w:themeColor="text1"/>
                <w:sz w:val="16"/>
                <w:szCs w:val="16"/>
                <w:lang w:eastAsia="en-GB"/>
              </w:rPr>
              <w:t>Grade</w:t>
            </w:r>
          </w:p>
        </w:tc>
        <w:tc>
          <w:tcPr>
            <w:tcW w:w="1034" w:type="dxa"/>
            <w:noWrap/>
          </w:tcPr>
          <w:p w14:paraId="358CFA20" w14:textId="77777777" w:rsidR="0033376B" w:rsidRPr="0062673F" w:rsidRDefault="0033376B"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Proportion of population</w:t>
            </w:r>
          </w:p>
        </w:tc>
        <w:tc>
          <w:tcPr>
            <w:tcW w:w="1962" w:type="dxa"/>
            <w:gridSpan w:val="2"/>
            <w:noWrap/>
          </w:tcPr>
          <w:p w14:paraId="7C646075" w14:textId="3F09C982" w:rsidR="0033376B"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Baseline n</w:t>
            </w:r>
            <w:r w:rsidR="0033376B" w:rsidRPr="0062673F">
              <w:rPr>
                <w:rFonts w:ascii="Arial" w:eastAsia="Times New Roman" w:hAnsi="Arial" w:cs="Arial"/>
                <w:b/>
                <w:bCs/>
                <w:color w:val="000000" w:themeColor="text1"/>
                <w:sz w:val="16"/>
                <w:szCs w:val="16"/>
                <w:lang w:eastAsia="en-GB"/>
              </w:rPr>
              <w:t>umber of children with obesity and overweight per million (%)</w:t>
            </w:r>
          </w:p>
        </w:tc>
        <w:tc>
          <w:tcPr>
            <w:tcW w:w="5332" w:type="dxa"/>
            <w:gridSpan w:val="4"/>
          </w:tcPr>
          <w:p w14:paraId="634137F2" w14:textId="50342B9D" w:rsidR="0033376B" w:rsidRPr="0062673F" w:rsidRDefault="0033376B"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Reduction in obesity and overweight</w:t>
            </w:r>
          </w:p>
        </w:tc>
      </w:tr>
      <w:tr w:rsidR="002469BF" w:rsidRPr="0062673F" w14:paraId="20FD3D54" w14:textId="77777777" w:rsidTr="00573208">
        <w:trPr>
          <w:trHeight w:val="290"/>
        </w:trPr>
        <w:tc>
          <w:tcPr>
            <w:tcW w:w="688" w:type="dxa"/>
            <w:noWrap/>
            <w:hideMark/>
          </w:tcPr>
          <w:p w14:paraId="682EDB75" w14:textId="6D1ABC59"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1034" w:type="dxa"/>
            <w:noWrap/>
            <w:hideMark/>
          </w:tcPr>
          <w:p w14:paraId="68A60619" w14:textId="77777777"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874" w:type="dxa"/>
            <w:noWrap/>
            <w:hideMark/>
          </w:tcPr>
          <w:p w14:paraId="4444CAD1" w14:textId="77777777"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Obesity</w:t>
            </w:r>
          </w:p>
        </w:tc>
        <w:tc>
          <w:tcPr>
            <w:tcW w:w="1088" w:type="dxa"/>
            <w:noWrap/>
            <w:hideMark/>
          </w:tcPr>
          <w:p w14:paraId="1E2596AF" w14:textId="77777777"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Overweight</w:t>
            </w:r>
          </w:p>
        </w:tc>
        <w:tc>
          <w:tcPr>
            <w:tcW w:w="2701" w:type="dxa"/>
            <w:gridSpan w:val="2"/>
            <w:noWrap/>
            <w:hideMark/>
          </w:tcPr>
          <w:p w14:paraId="16F1C8C2" w14:textId="11C54922"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Obesity</w:t>
            </w:r>
          </w:p>
        </w:tc>
        <w:tc>
          <w:tcPr>
            <w:tcW w:w="2631" w:type="dxa"/>
            <w:gridSpan w:val="2"/>
            <w:noWrap/>
            <w:hideMark/>
          </w:tcPr>
          <w:p w14:paraId="684B049F" w14:textId="6B0CE01E"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Overweight</w:t>
            </w:r>
          </w:p>
        </w:tc>
      </w:tr>
      <w:tr w:rsidR="002469BF" w:rsidRPr="0062673F" w14:paraId="1390BBBC" w14:textId="77777777" w:rsidTr="002469BF">
        <w:trPr>
          <w:trHeight w:val="290"/>
        </w:trPr>
        <w:tc>
          <w:tcPr>
            <w:tcW w:w="688" w:type="dxa"/>
            <w:noWrap/>
          </w:tcPr>
          <w:p w14:paraId="54E92D02" w14:textId="77777777"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1034" w:type="dxa"/>
            <w:noWrap/>
          </w:tcPr>
          <w:p w14:paraId="10707EF8" w14:textId="77777777"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874" w:type="dxa"/>
            <w:noWrap/>
          </w:tcPr>
          <w:p w14:paraId="46C3B062" w14:textId="77777777"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1088" w:type="dxa"/>
            <w:noWrap/>
          </w:tcPr>
          <w:p w14:paraId="5C527398" w14:textId="77777777" w:rsidR="002469BF" w:rsidRPr="0062673F" w:rsidRDefault="002469BF" w:rsidP="002469BF">
            <w:pPr>
              <w:jc w:val="center"/>
              <w:rPr>
                <w:rFonts w:ascii="Arial" w:eastAsia="Times New Roman" w:hAnsi="Arial" w:cs="Arial"/>
                <w:b/>
                <w:bCs/>
                <w:color w:val="000000" w:themeColor="text1"/>
                <w:sz w:val="16"/>
                <w:szCs w:val="16"/>
                <w:lang w:eastAsia="en-GB"/>
              </w:rPr>
            </w:pPr>
          </w:p>
        </w:tc>
        <w:tc>
          <w:tcPr>
            <w:tcW w:w="1450" w:type="dxa"/>
            <w:noWrap/>
          </w:tcPr>
          <w:p w14:paraId="62297FCF" w14:textId="67FEDB34"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Number of children per million</w:t>
            </w:r>
          </w:p>
        </w:tc>
        <w:tc>
          <w:tcPr>
            <w:tcW w:w="1251" w:type="dxa"/>
          </w:tcPr>
          <w:p w14:paraId="6D19101F" w14:textId="7A19AF75"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Percentage reduction</w:t>
            </w:r>
          </w:p>
        </w:tc>
        <w:tc>
          <w:tcPr>
            <w:tcW w:w="1378" w:type="dxa"/>
            <w:noWrap/>
          </w:tcPr>
          <w:p w14:paraId="758C72FD" w14:textId="37C347D8"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Number of children per million</w:t>
            </w:r>
          </w:p>
        </w:tc>
        <w:tc>
          <w:tcPr>
            <w:tcW w:w="1253" w:type="dxa"/>
          </w:tcPr>
          <w:p w14:paraId="28244C52" w14:textId="30311AA9" w:rsidR="002469BF" w:rsidRPr="0062673F" w:rsidRDefault="002469BF" w:rsidP="002469BF">
            <w:pPr>
              <w:jc w:val="center"/>
              <w:rPr>
                <w:rFonts w:ascii="Arial" w:eastAsia="Times New Roman" w:hAnsi="Arial" w:cs="Arial"/>
                <w:b/>
                <w:bCs/>
                <w:color w:val="000000" w:themeColor="text1"/>
                <w:sz w:val="16"/>
                <w:szCs w:val="16"/>
                <w:lang w:eastAsia="en-GB"/>
              </w:rPr>
            </w:pPr>
            <w:r w:rsidRPr="0062673F">
              <w:rPr>
                <w:rFonts w:ascii="Arial" w:eastAsia="Times New Roman" w:hAnsi="Arial" w:cs="Arial"/>
                <w:b/>
                <w:bCs/>
                <w:color w:val="000000" w:themeColor="text1"/>
                <w:sz w:val="16"/>
                <w:szCs w:val="16"/>
                <w:lang w:eastAsia="en-GB"/>
              </w:rPr>
              <w:t>Percentage reduction</w:t>
            </w:r>
          </w:p>
        </w:tc>
      </w:tr>
      <w:tr w:rsidR="0033376B" w:rsidRPr="0062673F" w14:paraId="768A252F" w14:textId="77777777" w:rsidTr="002469BF">
        <w:trPr>
          <w:trHeight w:val="290"/>
        </w:trPr>
        <w:tc>
          <w:tcPr>
            <w:tcW w:w="688" w:type="dxa"/>
            <w:noWrap/>
            <w:hideMark/>
          </w:tcPr>
          <w:p w14:paraId="2E2672C5" w14:textId="77777777" w:rsidR="0033376B" w:rsidRPr="0062673F" w:rsidRDefault="0033376B" w:rsidP="0033376B">
            <w:pP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AB</w:t>
            </w:r>
          </w:p>
        </w:tc>
        <w:tc>
          <w:tcPr>
            <w:tcW w:w="1034" w:type="dxa"/>
            <w:noWrap/>
            <w:hideMark/>
          </w:tcPr>
          <w:p w14:paraId="140DAC56"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23%</w:t>
            </w:r>
          </w:p>
        </w:tc>
        <w:tc>
          <w:tcPr>
            <w:tcW w:w="874" w:type="dxa"/>
            <w:noWrap/>
            <w:hideMark/>
          </w:tcPr>
          <w:p w14:paraId="6B991EA1"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75,500 (7.5%)</w:t>
            </w:r>
          </w:p>
        </w:tc>
        <w:tc>
          <w:tcPr>
            <w:tcW w:w="1088" w:type="dxa"/>
            <w:noWrap/>
            <w:hideMark/>
          </w:tcPr>
          <w:p w14:paraId="6C38F9F3"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294,000</w:t>
            </w:r>
          </w:p>
          <w:p w14:paraId="60D9DC08"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(29.4%)</w:t>
            </w:r>
          </w:p>
        </w:tc>
        <w:tc>
          <w:tcPr>
            <w:tcW w:w="1450" w:type="dxa"/>
            <w:noWrap/>
            <w:vAlign w:val="bottom"/>
            <w:hideMark/>
          </w:tcPr>
          <w:p w14:paraId="1285D9A5"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2,600 </w:t>
            </w:r>
          </w:p>
          <w:p w14:paraId="20DB0962" w14:textId="23D08B89"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(1,100-4700) </w:t>
            </w:r>
          </w:p>
          <w:p w14:paraId="0E03AC5A" w14:textId="77777777" w:rsidR="0033376B" w:rsidRPr="0062673F" w:rsidRDefault="0033376B" w:rsidP="0033376B">
            <w:pPr>
              <w:jc w:val="center"/>
              <w:rPr>
                <w:rFonts w:ascii="Arial" w:eastAsia="Times New Roman" w:hAnsi="Arial" w:cs="Arial"/>
                <w:color w:val="000000" w:themeColor="text1"/>
                <w:sz w:val="16"/>
                <w:szCs w:val="16"/>
                <w:lang w:eastAsia="en-GB"/>
              </w:rPr>
            </w:pPr>
          </w:p>
        </w:tc>
        <w:tc>
          <w:tcPr>
            <w:tcW w:w="1251" w:type="dxa"/>
          </w:tcPr>
          <w:p w14:paraId="3DF7B191" w14:textId="77777777"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3.5% </w:t>
            </w:r>
          </w:p>
          <w:p w14:paraId="6263DC58" w14:textId="77777777"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(1.4%-6.3%)</w:t>
            </w:r>
          </w:p>
        </w:tc>
        <w:tc>
          <w:tcPr>
            <w:tcW w:w="1378" w:type="dxa"/>
            <w:noWrap/>
            <w:vAlign w:val="bottom"/>
            <w:hideMark/>
          </w:tcPr>
          <w:p w14:paraId="2CB92940"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8,600 </w:t>
            </w:r>
          </w:p>
          <w:p w14:paraId="2C08FF8D" w14:textId="07B458A3"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(3,700-16,000) </w:t>
            </w:r>
          </w:p>
        </w:tc>
        <w:tc>
          <w:tcPr>
            <w:tcW w:w="1253" w:type="dxa"/>
          </w:tcPr>
          <w:p w14:paraId="0ED523AB"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3.0% </w:t>
            </w:r>
          </w:p>
          <w:p w14:paraId="7040870E" w14:textId="6C6F8F30"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(1.3%-5.3%)</w:t>
            </w:r>
          </w:p>
        </w:tc>
      </w:tr>
      <w:tr w:rsidR="0033376B" w:rsidRPr="0062673F" w14:paraId="7FF2907B" w14:textId="77777777" w:rsidTr="002469BF">
        <w:trPr>
          <w:trHeight w:val="290"/>
        </w:trPr>
        <w:tc>
          <w:tcPr>
            <w:tcW w:w="688" w:type="dxa"/>
            <w:noWrap/>
            <w:hideMark/>
          </w:tcPr>
          <w:p w14:paraId="2CC17B14" w14:textId="77777777" w:rsidR="0033376B" w:rsidRPr="0062673F" w:rsidRDefault="0033376B" w:rsidP="0033376B">
            <w:pP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C</w:t>
            </w:r>
          </w:p>
        </w:tc>
        <w:tc>
          <w:tcPr>
            <w:tcW w:w="1034" w:type="dxa"/>
            <w:noWrap/>
            <w:hideMark/>
          </w:tcPr>
          <w:p w14:paraId="159B839D"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49%</w:t>
            </w:r>
          </w:p>
        </w:tc>
        <w:tc>
          <w:tcPr>
            <w:tcW w:w="874" w:type="dxa"/>
            <w:noWrap/>
            <w:hideMark/>
          </w:tcPr>
          <w:p w14:paraId="0A14CD3E"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86,000 (8.6%)</w:t>
            </w:r>
          </w:p>
        </w:tc>
        <w:tc>
          <w:tcPr>
            <w:tcW w:w="1088" w:type="dxa"/>
            <w:noWrap/>
            <w:hideMark/>
          </w:tcPr>
          <w:p w14:paraId="5B1287A2"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327,000</w:t>
            </w:r>
          </w:p>
          <w:p w14:paraId="70EA2FF5"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(38.4%)</w:t>
            </w:r>
          </w:p>
        </w:tc>
        <w:tc>
          <w:tcPr>
            <w:tcW w:w="1450" w:type="dxa"/>
            <w:noWrap/>
            <w:vAlign w:val="bottom"/>
            <w:hideMark/>
          </w:tcPr>
          <w:p w14:paraId="48949B87"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3,700 </w:t>
            </w:r>
          </w:p>
          <w:p w14:paraId="633ECF99" w14:textId="33FB3E5F"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(1,300-7,700) </w:t>
            </w:r>
          </w:p>
          <w:p w14:paraId="7BAF1BB0" w14:textId="77777777" w:rsidR="0033376B" w:rsidRPr="0062673F" w:rsidRDefault="0033376B" w:rsidP="0033376B">
            <w:pPr>
              <w:jc w:val="center"/>
              <w:rPr>
                <w:rFonts w:ascii="Arial" w:eastAsia="Times New Roman" w:hAnsi="Arial" w:cs="Arial"/>
                <w:color w:val="000000" w:themeColor="text1"/>
                <w:sz w:val="16"/>
                <w:szCs w:val="16"/>
                <w:lang w:eastAsia="en-GB"/>
              </w:rPr>
            </w:pPr>
          </w:p>
        </w:tc>
        <w:tc>
          <w:tcPr>
            <w:tcW w:w="1251" w:type="dxa"/>
          </w:tcPr>
          <w:p w14:paraId="2A3D2B56"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4.3% </w:t>
            </w:r>
          </w:p>
          <w:p w14:paraId="07C6197D" w14:textId="3489EC5B"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(1.5% - 9.1%)</w:t>
            </w:r>
          </w:p>
        </w:tc>
        <w:tc>
          <w:tcPr>
            <w:tcW w:w="1378" w:type="dxa"/>
            <w:noWrap/>
            <w:vAlign w:val="bottom"/>
            <w:hideMark/>
          </w:tcPr>
          <w:p w14:paraId="2E3C06AF"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11,000 </w:t>
            </w:r>
          </w:p>
          <w:p w14:paraId="55CC8F46" w14:textId="56705364"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(3,600-23,500) </w:t>
            </w:r>
          </w:p>
        </w:tc>
        <w:tc>
          <w:tcPr>
            <w:tcW w:w="1253" w:type="dxa"/>
          </w:tcPr>
          <w:p w14:paraId="4809C4CD"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3.4% </w:t>
            </w:r>
          </w:p>
          <w:p w14:paraId="23A1597B" w14:textId="21C61B15"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(1.1% - 7.3%)</w:t>
            </w:r>
          </w:p>
        </w:tc>
      </w:tr>
      <w:tr w:rsidR="0033376B" w:rsidRPr="0062673F" w14:paraId="103DCE68" w14:textId="77777777" w:rsidTr="002469BF">
        <w:trPr>
          <w:trHeight w:val="290"/>
        </w:trPr>
        <w:tc>
          <w:tcPr>
            <w:tcW w:w="688" w:type="dxa"/>
            <w:noWrap/>
            <w:hideMark/>
          </w:tcPr>
          <w:p w14:paraId="179DC5DB" w14:textId="77777777" w:rsidR="0033376B" w:rsidRPr="0062673F" w:rsidRDefault="0033376B" w:rsidP="0033376B">
            <w:pP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DE</w:t>
            </w:r>
          </w:p>
        </w:tc>
        <w:tc>
          <w:tcPr>
            <w:tcW w:w="1034" w:type="dxa"/>
            <w:noWrap/>
            <w:hideMark/>
          </w:tcPr>
          <w:p w14:paraId="1ABC301D"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28%</w:t>
            </w:r>
          </w:p>
        </w:tc>
        <w:tc>
          <w:tcPr>
            <w:tcW w:w="874" w:type="dxa"/>
            <w:noWrap/>
            <w:hideMark/>
          </w:tcPr>
          <w:p w14:paraId="408E7BF0"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 xml:space="preserve">107,000 </w:t>
            </w:r>
          </w:p>
          <w:p w14:paraId="353570E4"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(10.7%)</w:t>
            </w:r>
          </w:p>
        </w:tc>
        <w:tc>
          <w:tcPr>
            <w:tcW w:w="1088" w:type="dxa"/>
            <w:noWrap/>
            <w:hideMark/>
          </w:tcPr>
          <w:p w14:paraId="5E38B856"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384,000</w:t>
            </w:r>
          </w:p>
          <w:p w14:paraId="4104AF75" w14:textId="77777777"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Arial" w:eastAsia="Times New Roman" w:hAnsi="Arial" w:cs="Arial"/>
                <w:color w:val="000000" w:themeColor="text1"/>
                <w:sz w:val="16"/>
                <w:szCs w:val="16"/>
                <w:lang w:eastAsia="en-GB"/>
              </w:rPr>
              <w:t>(33.2%)</w:t>
            </w:r>
          </w:p>
        </w:tc>
        <w:tc>
          <w:tcPr>
            <w:tcW w:w="1450" w:type="dxa"/>
            <w:noWrap/>
            <w:vAlign w:val="bottom"/>
            <w:hideMark/>
          </w:tcPr>
          <w:p w14:paraId="361134BE"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6,500 </w:t>
            </w:r>
          </w:p>
          <w:p w14:paraId="6BCBEAC7" w14:textId="081F5BCB"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Calibri" w:eastAsia="Times New Roman" w:hAnsi="Calibri" w:cs="Calibri"/>
                <w:color w:val="000000" w:themeColor="text1"/>
                <w:sz w:val="16"/>
                <w:szCs w:val="16"/>
                <w:lang w:eastAsia="en-GB"/>
              </w:rPr>
              <w:t>(2,200-14,000)</w:t>
            </w:r>
          </w:p>
        </w:tc>
        <w:tc>
          <w:tcPr>
            <w:tcW w:w="1251" w:type="dxa"/>
          </w:tcPr>
          <w:p w14:paraId="0BE6E91E"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6.1% </w:t>
            </w:r>
          </w:p>
          <w:p w14:paraId="08FAB4E1" w14:textId="4D212721"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(1.1%-20.6%)</w:t>
            </w:r>
          </w:p>
        </w:tc>
        <w:tc>
          <w:tcPr>
            <w:tcW w:w="1378" w:type="dxa"/>
            <w:noWrap/>
            <w:vAlign w:val="bottom"/>
            <w:hideMark/>
          </w:tcPr>
          <w:p w14:paraId="5BDA9AC0"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18,000 </w:t>
            </w:r>
          </w:p>
          <w:p w14:paraId="14F9D476" w14:textId="4FD93BDE" w:rsidR="0033376B" w:rsidRPr="0062673F" w:rsidRDefault="0033376B" w:rsidP="0033376B">
            <w:pPr>
              <w:jc w:val="center"/>
              <w:rPr>
                <w:rFonts w:ascii="Arial" w:eastAsia="Times New Roman" w:hAnsi="Arial" w:cs="Arial"/>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(5,500-38,000) </w:t>
            </w:r>
          </w:p>
        </w:tc>
        <w:tc>
          <w:tcPr>
            <w:tcW w:w="1253" w:type="dxa"/>
          </w:tcPr>
          <w:p w14:paraId="7502E532" w14:textId="77777777" w:rsidR="002469BF"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 xml:space="preserve">4.6% </w:t>
            </w:r>
          </w:p>
          <w:p w14:paraId="4F587999" w14:textId="39CFD3F3" w:rsidR="0033376B" w:rsidRPr="0062673F" w:rsidRDefault="0033376B" w:rsidP="0033376B">
            <w:pPr>
              <w:jc w:val="center"/>
              <w:rPr>
                <w:rFonts w:ascii="Calibri" w:eastAsia="Times New Roman" w:hAnsi="Calibri" w:cs="Calibri"/>
                <w:color w:val="000000" w:themeColor="text1"/>
                <w:sz w:val="16"/>
                <w:szCs w:val="16"/>
                <w:lang w:eastAsia="en-GB"/>
              </w:rPr>
            </w:pPr>
            <w:r w:rsidRPr="0062673F">
              <w:rPr>
                <w:rFonts w:ascii="Calibri" w:eastAsia="Times New Roman" w:hAnsi="Calibri" w:cs="Calibri"/>
                <w:color w:val="000000" w:themeColor="text1"/>
                <w:sz w:val="16"/>
                <w:szCs w:val="16"/>
                <w:lang w:eastAsia="en-GB"/>
              </w:rPr>
              <w:t>(1.4%-10.0%)</w:t>
            </w:r>
          </w:p>
        </w:tc>
      </w:tr>
    </w:tbl>
    <w:p w14:paraId="7E7E23E4" w14:textId="77777777" w:rsidR="002469BF" w:rsidRPr="0062673F" w:rsidRDefault="002469BF" w:rsidP="002469BF">
      <w:pPr>
        <w:rPr>
          <w:rFonts w:ascii="Arial" w:hAnsi="Arial" w:cs="Arial"/>
          <w:b/>
          <w:bCs/>
          <w:color w:val="000000" w:themeColor="text1"/>
        </w:rPr>
      </w:pPr>
      <w:r w:rsidRPr="0062673F">
        <w:rPr>
          <w:rFonts w:ascii="Arial" w:hAnsi="Arial" w:cs="Arial"/>
          <w:color w:val="000000" w:themeColor="text1"/>
          <w:sz w:val="16"/>
          <w:szCs w:val="16"/>
        </w:rPr>
        <w:t>Estimates are based on IOTF cut-points. Social class defined using the five-point National Readership Survey classification based on occupation of head of household</w:t>
      </w:r>
    </w:p>
    <w:p w14:paraId="0C7A2E9A" w14:textId="1222824E" w:rsidR="008134D3" w:rsidRPr="0062673F" w:rsidRDefault="00D932FA" w:rsidP="008134D3">
      <w:pPr>
        <w:rPr>
          <w:color w:val="000000" w:themeColor="text1"/>
        </w:rPr>
      </w:pPr>
      <w:r w:rsidRPr="0062673F">
        <w:rPr>
          <w:color w:val="000000" w:themeColor="text1"/>
        </w:rPr>
        <w:t>The lifetime benefits for today’s children attributable to changes in weight status a</w:t>
      </w:r>
      <w:r w:rsidR="00196C8E" w:rsidRPr="0062673F">
        <w:rPr>
          <w:color w:val="000000" w:themeColor="text1"/>
        </w:rPr>
        <w:t>rising from restricting HFSS advertising on</w:t>
      </w:r>
      <w:r w:rsidR="00C40AB7" w:rsidRPr="0062673F">
        <w:rPr>
          <w:color w:val="000000" w:themeColor="text1"/>
        </w:rPr>
        <w:t xml:space="preserve"> television</w:t>
      </w:r>
      <w:r w:rsidR="00196C8E" w:rsidRPr="0062673F">
        <w:rPr>
          <w:color w:val="000000" w:themeColor="text1"/>
        </w:rPr>
        <w:t xml:space="preserve"> between </w:t>
      </w:r>
      <w:r w:rsidR="008F406E">
        <w:rPr>
          <w:color w:val="000000" w:themeColor="text1"/>
        </w:rPr>
        <w:t>05.30 hours</w:t>
      </w:r>
      <w:r w:rsidR="00196C8E" w:rsidRPr="0062673F">
        <w:rPr>
          <w:color w:val="000000" w:themeColor="text1"/>
        </w:rPr>
        <w:t xml:space="preserve"> and </w:t>
      </w:r>
      <w:r w:rsidR="008F406E">
        <w:rPr>
          <w:color w:val="000000" w:themeColor="text1"/>
        </w:rPr>
        <w:t>21.00 hours</w:t>
      </w:r>
      <w:r w:rsidRPr="0062673F">
        <w:rPr>
          <w:color w:val="000000" w:themeColor="text1"/>
        </w:rPr>
        <w:t xml:space="preserve"> are shown in Table </w:t>
      </w:r>
      <w:r w:rsidR="009626D9">
        <w:rPr>
          <w:color w:val="000000" w:themeColor="text1"/>
        </w:rPr>
        <w:t>6</w:t>
      </w:r>
      <w:r w:rsidRPr="0062673F">
        <w:rPr>
          <w:color w:val="000000" w:themeColor="text1"/>
        </w:rPr>
        <w:t xml:space="preserve">. </w:t>
      </w:r>
      <w:r w:rsidR="0082667C" w:rsidRPr="0062673F">
        <w:rPr>
          <w:color w:val="000000" w:themeColor="text1"/>
        </w:rPr>
        <w:t xml:space="preserve">Under scenario A, the </w:t>
      </w:r>
      <w:r w:rsidR="00196C8E" w:rsidRPr="0062673F">
        <w:rPr>
          <w:color w:val="000000" w:themeColor="text1"/>
        </w:rPr>
        <w:t>restrictions</w:t>
      </w:r>
      <w:r w:rsidR="0082667C" w:rsidRPr="0062673F">
        <w:rPr>
          <w:color w:val="000000" w:themeColor="text1"/>
        </w:rPr>
        <w:t xml:space="preserve"> would result in </w:t>
      </w:r>
      <w:r w:rsidR="009431D9" w:rsidRPr="0062673F">
        <w:rPr>
          <w:color w:val="000000" w:themeColor="text1"/>
        </w:rPr>
        <w:t>averting</w:t>
      </w:r>
      <w:r w:rsidR="0082667C" w:rsidRPr="0062673F">
        <w:rPr>
          <w:color w:val="000000" w:themeColor="text1"/>
        </w:rPr>
        <w:t xml:space="preserve"> 240,000 (65,000-530,000) </w:t>
      </w:r>
      <w:r w:rsidR="00CC7EFC" w:rsidRPr="0062673F">
        <w:rPr>
          <w:color w:val="000000" w:themeColor="text1"/>
        </w:rPr>
        <w:t>DALY</w:t>
      </w:r>
      <w:r w:rsidR="0082667C" w:rsidRPr="0062673F">
        <w:rPr>
          <w:color w:val="000000" w:themeColor="text1"/>
        </w:rPr>
        <w:t>s, resulting in a</w:t>
      </w:r>
      <w:r w:rsidR="0041451A" w:rsidRPr="0062673F">
        <w:rPr>
          <w:color w:val="000000" w:themeColor="text1"/>
        </w:rPr>
        <w:t xml:space="preserve"> health-related</w:t>
      </w:r>
      <w:r w:rsidR="0082667C" w:rsidRPr="0062673F">
        <w:rPr>
          <w:color w:val="000000" w:themeColor="text1"/>
        </w:rPr>
        <w:t xml:space="preserve"> </w:t>
      </w:r>
      <w:r w:rsidR="008B5244" w:rsidRPr="0062673F">
        <w:rPr>
          <w:color w:val="000000" w:themeColor="text1"/>
        </w:rPr>
        <w:t xml:space="preserve">net </w:t>
      </w:r>
      <w:r w:rsidR="0082667C" w:rsidRPr="0062673F">
        <w:rPr>
          <w:color w:val="000000" w:themeColor="text1"/>
        </w:rPr>
        <w:t>monetary benefit of £7</w:t>
      </w:r>
      <w:r w:rsidR="00C82454" w:rsidRPr="0062673F">
        <w:rPr>
          <w:color w:val="000000" w:themeColor="text1"/>
        </w:rPr>
        <w:t>.</w:t>
      </w:r>
      <w:r w:rsidR="0082667C" w:rsidRPr="0062673F">
        <w:rPr>
          <w:color w:val="000000" w:themeColor="text1"/>
        </w:rPr>
        <w:t xml:space="preserve">4 </w:t>
      </w:r>
      <w:r w:rsidR="00C82454" w:rsidRPr="0062673F">
        <w:rPr>
          <w:color w:val="000000" w:themeColor="text1"/>
        </w:rPr>
        <w:t>b</w:t>
      </w:r>
      <w:r w:rsidR="0082667C" w:rsidRPr="0062673F">
        <w:rPr>
          <w:color w:val="000000" w:themeColor="text1"/>
        </w:rPr>
        <w:t>illion (£2</w:t>
      </w:r>
      <w:r w:rsidR="00C82454" w:rsidRPr="0062673F">
        <w:rPr>
          <w:color w:val="000000" w:themeColor="text1"/>
        </w:rPr>
        <w:t>.0</w:t>
      </w:r>
      <w:r w:rsidR="0082667C" w:rsidRPr="0062673F">
        <w:rPr>
          <w:color w:val="000000" w:themeColor="text1"/>
        </w:rPr>
        <w:t xml:space="preserve"> </w:t>
      </w:r>
      <w:r w:rsidR="00C82454" w:rsidRPr="0062673F">
        <w:rPr>
          <w:color w:val="000000" w:themeColor="text1"/>
        </w:rPr>
        <w:t>b</w:t>
      </w:r>
      <w:r w:rsidR="0082667C" w:rsidRPr="0062673F">
        <w:rPr>
          <w:color w:val="000000" w:themeColor="text1"/>
        </w:rPr>
        <w:t>illion-£16</w:t>
      </w:r>
      <w:r w:rsidR="00C82454" w:rsidRPr="0062673F">
        <w:rPr>
          <w:color w:val="000000" w:themeColor="text1"/>
        </w:rPr>
        <w:t xml:space="preserve"> bi</w:t>
      </w:r>
      <w:r w:rsidR="0082667C" w:rsidRPr="0062673F">
        <w:rPr>
          <w:color w:val="000000" w:themeColor="text1"/>
        </w:rPr>
        <w:t xml:space="preserve">llion). The benefits would be between a quarter and a third as great under scenario B, </w:t>
      </w:r>
      <w:r w:rsidR="009431D9" w:rsidRPr="0062673F">
        <w:rPr>
          <w:color w:val="000000" w:themeColor="text1"/>
        </w:rPr>
        <w:t>averting</w:t>
      </w:r>
      <w:r w:rsidR="0082667C" w:rsidRPr="0062673F">
        <w:rPr>
          <w:color w:val="000000" w:themeColor="text1"/>
        </w:rPr>
        <w:t xml:space="preserve"> 73,000 (20,000-160,000) </w:t>
      </w:r>
      <w:r w:rsidR="00CC7EFC" w:rsidRPr="0062673F">
        <w:rPr>
          <w:color w:val="000000" w:themeColor="text1"/>
        </w:rPr>
        <w:t>DALY</w:t>
      </w:r>
      <w:r w:rsidR="0082667C" w:rsidRPr="0062673F">
        <w:rPr>
          <w:color w:val="000000" w:themeColor="text1"/>
        </w:rPr>
        <w:t xml:space="preserve">s and a </w:t>
      </w:r>
      <w:r w:rsidR="0041451A" w:rsidRPr="0062673F">
        <w:rPr>
          <w:color w:val="000000" w:themeColor="text1"/>
        </w:rPr>
        <w:t xml:space="preserve">health-related </w:t>
      </w:r>
      <w:r w:rsidR="008B5244" w:rsidRPr="0062673F">
        <w:rPr>
          <w:color w:val="000000" w:themeColor="text1"/>
        </w:rPr>
        <w:t xml:space="preserve">net </w:t>
      </w:r>
      <w:r w:rsidR="0082667C" w:rsidRPr="0062673F">
        <w:rPr>
          <w:color w:val="000000" w:themeColor="text1"/>
        </w:rPr>
        <w:t>monetary benefit of £2</w:t>
      </w:r>
      <w:r w:rsidR="00C82454" w:rsidRPr="0062673F">
        <w:rPr>
          <w:color w:val="000000" w:themeColor="text1"/>
        </w:rPr>
        <w:t>.2</w:t>
      </w:r>
      <w:r w:rsidR="0082667C" w:rsidRPr="0062673F">
        <w:rPr>
          <w:color w:val="000000" w:themeColor="text1"/>
        </w:rPr>
        <w:t xml:space="preserve"> </w:t>
      </w:r>
      <w:r w:rsidR="00C82454" w:rsidRPr="0062673F">
        <w:rPr>
          <w:color w:val="000000" w:themeColor="text1"/>
        </w:rPr>
        <w:t>b</w:t>
      </w:r>
      <w:r w:rsidR="0082667C" w:rsidRPr="0062673F">
        <w:rPr>
          <w:color w:val="000000" w:themeColor="text1"/>
        </w:rPr>
        <w:t>illion (£</w:t>
      </w:r>
      <w:r w:rsidR="00C82454" w:rsidRPr="0062673F">
        <w:rPr>
          <w:color w:val="000000" w:themeColor="text1"/>
        </w:rPr>
        <w:t>0.62</w:t>
      </w:r>
      <w:r w:rsidR="0082667C" w:rsidRPr="0062673F">
        <w:rPr>
          <w:color w:val="000000" w:themeColor="text1"/>
        </w:rPr>
        <w:t xml:space="preserve"> </w:t>
      </w:r>
      <w:r w:rsidR="00C82454" w:rsidRPr="0062673F">
        <w:rPr>
          <w:color w:val="000000" w:themeColor="text1"/>
        </w:rPr>
        <w:t>b</w:t>
      </w:r>
      <w:r w:rsidR="0082667C" w:rsidRPr="0062673F">
        <w:rPr>
          <w:color w:val="000000" w:themeColor="text1"/>
        </w:rPr>
        <w:t>illion-£4</w:t>
      </w:r>
      <w:r w:rsidR="00C82454" w:rsidRPr="0062673F">
        <w:rPr>
          <w:color w:val="000000" w:themeColor="text1"/>
        </w:rPr>
        <w:t>.</w:t>
      </w:r>
      <w:r w:rsidR="0082667C" w:rsidRPr="0062673F">
        <w:rPr>
          <w:color w:val="000000" w:themeColor="text1"/>
        </w:rPr>
        <w:t>9</w:t>
      </w:r>
      <w:r w:rsidR="00C82454" w:rsidRPr="0062673F">
        <w:rPr>
          <w:color w:val="000000" w:themeColor="text1"/>
        </w:rPr>
        <w:t xml:space="preserve"> b</w:t>
      </w:r>
      <w:r w:rsidR="0082667C" w:rsidRPr="0062673F">
        <w:rPr>
          <w:color w:val="000000" w:themeColor="text1"/>
        </w:rPr>
        <w:t>illion).</w:t>
      </w:r>
      <w:r w:rsidR="00430B97" w:rsidRPr="0062673F">
        <w:rPr>
          <w:color w:val="000000" w:themeColor="text1"/>
        </w:rPr>
        <w:t xml:space="preserve"> </w:t>
      </w:r>
      <w:r w:rsidR="008134D3" w:rsidRPr="0062673F">
        <w:rPr>
          <w:color w:val="000000" w:themeColor="text1"/>
        </w:rPr>
        <w:t xml:space="preserve">Under both scenarios around a fifth </w:t>
      </w:r>
      <w:r w:rsidR="004414E9" w:rsidRPr="0062673F">
        <w:rPr>
          <w:color w:val="000000" w:themeColor="text1"/>
        </w:rPr>
        <w:t xml:space="preserve">(22%) </w:t>
      </w:r>
      <w:r w:rsidR="008134D3" w:rsidRPr="0062673F">
        <w:rPr>
          <w:color w:val="000000" w:themeColor="text1"/>
        </w:rPr>
        <w:t>of the gain i</w:t>
      </w:r>
      <w:r w:rsidR="004414E9" w:rsidRPr="0062673F">
        <w:rPr>
          <w:color w:val="000000" w:themeColor="text1"/>
        </w:rPr>
        <w:t xml:space="preserve">n health, expressed in </w:t>
      </w:r>
      <w:r w:rsidR="00CC7EFC" w:rsidRPr="0062673F">
        <w:rPr>
          <w:color w:val="000000" w:themeColor="text1"/>
        </w:rPr>
        <w:t>DALY</w:t>
      </w:r>
      <w:r w:rsidR="004414E9" w:rsidRPr="0062673F">
        <w:rPr>
          <w:color w:val="000000" w:themeColor="text1"/>
        </w:rPr>
        <w:t>s (</w:t>
      </w:r>
      <w:r w:rsidR="008134D3" w:rsidRPr="0062673F">
        <w:rPr>
          <w:color w:val="000000" w:themeColor="text1"/>
        </w:rPr>
        <w:t>discounted) occurs during childhood.</w:t>
      </w:r>
    </w:p>
    <w:p w14:paraId="0F7C3068" w14:textId="5F34D527" w:rsidR="00BF64A2" w:rsidRPr="0062673F" w:rsidRDefault="00BF64A2" w:rsidP="00BF64A2">
      <w:pPr>
        <w:rPr>
          <w:b/>
          <w:color w:val="000000" w:themeColor="text1"/>
        </w:rPr>
      </w:pPr>
      <w:r w:rsidRPr="0062673F">
        <w:rPr>
          <w:b/>
          <w:color w:val="000000" w:themeColor="text1"/>
        </w:rPr>
        <w:t xml:space="preserve">Table </w:t>
      </w:r>
      <w:r w:rsidR="009626D9">
        <w:rPr>
          <w:b/>
          <w:color w:val="000000" w:themeColor="text1"/>
        </w:rPr>
        <w:t>6</w:t>
      </w:r>
      <w:r w:rsidRPr="0062673F">
        <w:rPr>
          <w:b/>
          <w:color w:val="000000" w:themeColor="text1"/>
        </w:rPr>
        <w:t xml:space="preserve">: Estimated lifetime benefits for today’s children (n=13,729,000) attributable to changes in weight status due to restrictions in HFSS advertising on television between </w:t>
      </w:r>
      <w:r w:rsidR="008F406E">
        <w:rPr>
          <w:b/>
          <w:color w:val="000000" w:themeColor="text1"/>
        </w:rPr>
        <w:t>05.30 hours</w:t>
      </w:r>
      <w:r w:rsidRPr="0062673F">
        <w:rPr>
          <w:b/>
          <w:color w:val="000000" w:themeColor="text1"/>
        </w:rPr>
        <w:t xml:space="preserve"> and </w:t>
      </w:r>
      <w:r w:rsidR="008F406E">
        <w:rPr>
          <w:b/>
          <w:color w:val="000000" w:themeColor="text1"/>
        </w:rPr>
        <w:t>21.00 hours</w:t>
      </w:r>
    </w:p>
    <w:tbl>
      <w:tblPr>
        <w:tblStyle w:val="TableGrid"/>
        <w:tblW w:w="0" w:type="auto"/>
        <w:tblLayout w:type="fixed"/>
        <w:tblLook w:val="04A0" w:firstRow="1" w:lastRow="0" w:firstColumn="1" w:lastColumn="0" w:noHBand="0" w:noVBand="1"/>
      </w:tblPr>
      <w:tblGrid>
        <w:gridCol w:w="846"/>
        <w:gridCol w:w="1276"/>
        <w:gridCol w:w="1275"/>
        <w:gridCol w:w="1134"/>
        <w:gridCol w:w="993"/>
        <w:gridCol w:w="850"/>
        <w:gridCol w:w="1134"/>
        <w:gridCol w:w="1367"/>
      </w:tblGrid>
      <w:tr w:rsidR="00BF64A2" w:rsidRPr="0062673F" w14:paraId="0C284522" w14:textId="77777777" w:rsidTr="00845EEB">
        <w:tc>
          <w:tcPr>
            <w:tcW w:w="846" w:type="dxa"/>
          </w:tcPr>
          <w:p w14:paraId="2A59C459" w14:textId="77777777" w:rsidR="00BF64A2" w:rsidRPr="0062673F" w:rsidRDefault="00BF64A2" w:rsidP="001812DD">
            <w:pPr>
              <w:rPr>
                <w:b/>
                <w:color w:val="000000" w:themeColor="text1"/>
                <w:sz w:val="14"/>
                <w:szCs w:val="14"/>
              </w:rPr>
            </w:pPr>
            <w:r w:rsidRPr="0062673F">
              <w:rPr>
                <w:b/>
                <w:color w:val="000000" w:themeColor="text1"/>
                <w:sz w:val="14"/>
                <w:szCs w:val="14"/>
              </w:rPr>
              <w:t>Scenario</w:t>
            </w:r>
          </w:p>
        </w:tc>
        <w:tc>
          <w:tcPr>
            <w:tcW w:w="1276" w:type="dxa"/>
          </w:tcPr>
          <w:p w14:paraId="50CE5782" w14:textId="3ABE30FD" w:rsidR="00BF64A2" w:rsidRPr="0062673F" w:rsidRDefault="00BF64A2" w:rsidP="001812DD">
            <w:pPr>
              <w:rPr>
                <w:b/>
                <w:color w:val="000000" w:themeColor="text1"/>
                <w:sz w:val="14"/>
                <w:szCs w:val="14"/>
              </w:rPr>
            </w:pPr>
            <w:r w:rsidRPr="0062673F">
              <w:rPr>
                <w:b/>
                <w:color w:val="000000" w:themeColor="text1"/>
                <w:sz w:val="14"/>
                <w:szCs w:val="14"/>
              </w:rPr>
              <w:t xml:space="preserve">Total </w:t>
            </w:r>
            <w:r w:rsidR="00CC7EFC" w:rsidRPr="0062673F">
              <w:rPr>
                <w:b/>
                <w:color w:val="000000" w:themeColor="text1"/>
                <w:sz w:val="14"/>
                <w:szCs w:val="14"/>
              </w:rPr>
              <w:t>DALY</w:t>
            </w:r>
            <w:r w:rsidRPr="0062673F">
              <w:rPr>
                <w:b/>
                <w:color w:val="000000" w:themeColor="text1"/>
                <w:sz w:val="14"/>
                <w:szCs w:val="14"/>
              </w:rPr>
              <w:t>s (undiscounted)</w:t>
            </w:r>
          </w:p>
        </w:tc>
        <w:tc>
          <w:tcPr>
            <w:tcW w:w="1275" w:type="dxa"/>
          </w:tcPr>
          <w:p w14:paraId="16FFF384" w14:textId="5CB2310B" w:rsidR="00BF64A2" w:rsidRPr="0062673F" w:rsidRDefault="00BF64A2" w:rsidP="001812DD">
            <w:pPr>
              <w:rPr>
                <w:b/>
                <w:color w:val="000000" w:themeColor="text1"/>
                <w:sz w:val="14"/>
                <w:szCs w:val="14"/>
              </w:rPr>
            </w:pPr>
            <w:r w:rsidRPr="0062673F">
              <w:rPr>
                <w:b/>
                <w:color w:val="000000" w:themeColor="text1"/>
                <w:sz w:val="14"/>
                <w:szCs w:val="14"/>
              </w:rPr>
              <w:t xml:space="preserve">Total </w:t>
            </w:r>
            <w:r w:rsidR="00CC7EFC" w:rsidRPr="0062673F">
              <w:rPr>
                <w:b/>
                <w:color w:val="000000" w:themeColor="text1"/>
                <w:sz w:val="14"/>
                <w:szCs w:val="14"/>
              </w:rPr>
              <w:t>DALY</w:t>
            </w:r>
            <w:r w:rsidRPr="0062673F">
              <w:rPr>
                <w:b/>
                <w:color w:val="000000" w:themeColor="text1"/>
                <w:sz w:val="14"/>
                <w:szCs w:val="14"/>
              </w:rPr>
              <w:t xml:space="preserve">s </w:t>
            </w:r>
          </w:p>
          <w:p w14:paraId="742DC7E5" w14:textId="77777777" w:rsidR="00BF64A2" w:rsidRPr="0062673F" w:rsidRDefault="00BF64A2" w:rsidP="001812DD">
            <w:pPr>
              <w:rPr>
                <w:b/>
                <w:color w:val="000000" w:themeColor="text1"/>
                <w:sz w:val="14"/>
                <w:szCs w:val="14"/>
              </w:rPr>
            </w:pPr>
            <w:r w:rsidRPr="0062673F">
              <w:rPr>
                <w:b/>
                <w:color w:val="000000" w:themeColor="text1"/>
                <w:sz w:val="14"/>
                <w:szCs w:val="14"/>
              </w:rPr>
              <w:t>(discounted)</w:t>
            </w:r>
          </w:p>
        </w:tc>
        <w:tc>
          <w:tcPr>
            <w:tcW w:w="1134" w:type="dxa"/>
          </w:tcPr>
          <w:p w14:paraId="1B5A9E32" w14:textId="7E012126" w:rsidR="00BF64A2" w:rsidRPr="0062673F" w:rsidRDefault="00CC7EFC" w:rsidP="001812DD">
            <w:pPr>
              <w:rPr>
                <w:b/>
                <w:color w:val="000000" w:themeColor="text1"/>
                <w:sz w:val="14"/>
                <w:szCs w:val="14"/>
              </w:rPr>
            </w:pPr>
            <w:r w:rsidRPr="0062673F">
              <w:rPr>
                <w:b/>
                <w:color w:val="000000" w:themeColor="text1"/>
                <w:sz w:val="14"/>
                <w:szCs w:val="14"/>
              </w:rPr>
              <w:t>DALY</w:t>
            </w:r>
            <w:r w:rsidR="00BF64A2" w:rsidRPr="0062673F">
              <w:rPr>
                <w:b/>
                <w:color w:val="000000" w:themeColor="text1"/>
                <w:sz w:val="14"/>
                <w:szCs w:val="14"/>
              </w:rPr>
              <w:t>s in childhood (discounted)</w:t>
            </w:r>
          </w:p>
        </w:tc>
        <w:tc>
          <w:tcPr>
            <w:tcW w:w="993" w:type="dxa"/>
          </w:tcPr>
          <w:p w14:paraId="7E739D55" w14:textId="77777777" w:rsidR="00BF64A2" w:rsidRPr="0062673F" w:rsidRDefault="00BF64A2" w:rsidP="001812DD">
            <w:pPr>
              <w:rPr>
                <w:b/>
                <w:color w:val="000000" w:themeColor="text1"/>
                <w:sz w:val="14"/>
                <w:szCs w:val="14"/>
              </w:rPr>
            </w:pPr>
            <w:r w:rsidRPr="0062673F">
              <w:rPr>
                <w:b/>
                <w:color w:val="000000" w:themeColor="text1"/>
                <w:sz w:val="14"/>
                <w:szCs w:val="14"/>
              </w:rPr>
              <w:t>Healthcare cost savings (£million)</w:t>
            </w:r>
          </w:p>
        </w:tc>
        <w:tc>
          <w:tcPr>
            <w:tcW w:w="850" w:type="dxa"/>
          </w:tcPr>
          <w:p w14:paraId="3467B66C" w14:textId="77777777" w:rsidR="00BF64A2" w:rsidRPr="0062673F" w:rsidRDefault="00BF64A2" w:rsidP="001812DD">
            <w:pPr>
              <w:rPr>
                <w:b/>
                <w:color w:val="000000" w:themeColor="text1"/>
                <w:sz w:val="14"/>
                <w:szCs w:val="14"/>
              </w:rPr>
            </w:pPr>
            <w:r w:rsidRPr="0062673F">
              <w:rPr>
                <w:b/>
                <w:color w:val="000000" w:themeColor="text1"/>
                <w:sz w:val="14"/>
                <w:szCs w:val="14"/>
              </w:rPr>
              <w:t xml:space="preserve">Social care cost savings (£million) </w:t>
            </w:r>
          </w:p>
        </w:tc>
        <w:tc>
          <w:tcPr>
            <w:tcW w:w="1134" w:type="dxa"/>
          </w:tcPr>
          <w:p w14:paraId="09CE207C" w14:textId="77777777" w:rsidR="00BF64A2" w:rsidRPr="0062673F" w:rsidRDefault="00BF64A2" w:rsidP="001812DD">
            <w:pPr>
              <w:rPr>
                <w:b/>
                <w:color w:val="000000" w:themeColor="text1"/>
                <w:sz w:val="14"/>
                <w:szCs w:val="14"/>
              </w:rPr>
            </w:pPr>
            <w:r w:rsidRPr="0062673F">
              <w:rPr>
                <w:b/>
                <w:color w:val="000000" w:themeColor="text1"/>
                <w:sz w:val="14"/>
                <w:szCs w:val="14"/>
              </w:rPr>
              <w:t>Change in production/</w:t>
            </w:r>
          </w:p>
          <w:p w14:paraId="43C0E0F4" w14:textId="77777777" w:rsidR="00BF64A2" w:rsidRPr="0062673F" w:rsidRDefault="00BF64A2" w:rsidP="001812DD">
            <w:pPr>
              <w:rPr>
                <w:b/>
                <w:color w:val="000000" w:themeColor="text1"/>
                <w:sz w:val="14"/>
                <w:szCs w:val="14"/>
              </w:rPr>
            </w:pPr>
            <w:r w:rsidRPr="0062673F">
              <w:rPr>
                <w:b/>
                <w:color w:val="000000" w:themeColor="text1"/>
                <w:sz w:val="14"/>
                <w:szCs w:val="14"/>
              </w:rPr>
              <w:t>employment costs (£million)</w:t>
            </w:r>
          </w:p>
        </w:tc>
        <w:tc>
          <w:tcPr>
            <w:tcW w:w="1367" w:type="dxa"/>
          </w:tcPr>
          <w:p w14:paraId="5982DB6A" w14:textId="77777777" w:rsidR="00BF64A2" w:rsidRPr="0062673F" w:rsidRDefault="00BF64A2" w:rsidP="001812DD">
            <w:pPr>
              <w:rPr>
                <w:b/>
                <w:color w:val="000000" w:themeColor="text1"/>
                <w:sz w:val="14"/>
                <w:szCs w:val="14"/>
              </w:rPr>
            </w:pPr>
            <w:r w:rsidRPr="0062673F">
              <w:rPr>
                <w:b/>
                <w:color w:val="000000" w:themeColor="text1"/>
                <w:sz w:val="14"/>
                <w:szCs w:val="14"/>
              </w:rPr>
              <w:t>Health-related net monetary benefit (£million)</w:t>
            </w:r>
          </w:p>
        </w:tc>
      </w:tr>
      <w:tr w:rsidR="00BF64A2" w:rsidRPr="0062673F" w14:paraId="05824469" w14:textId="77777777" w:rsidTr="00845EEB">
        <w:tc>
          <w:tcPr>
            <w:tcW w:w="846" w:type="dxa"/>
            <w:vAlign w:val="center"/>
          </w:tcPr>
          <w:p w14:paraId="7FF0D1BC" w14:textId="77777777" w:rsidR="00BF64A2" w:rsidRPr="0062673F" w:rsidRDefault="00BF64A2" w:rsidP="001812DD">
            <w:pPr>
              <w:rPr>
                <w:color w:val="000000" w:themeColor="text1"/>
                <w:sz w:val="14"/>
                <w:szCs w:val="14"/>
              </w:rPr>
            </w:pPr>
            <w:r w:rsidRPr="0062673F">
              <w:rPr>
                <w:color w:val="000000" w:themeColor="text1"/>
                <w:sz w:val="14"/>
                <w:szCs w:val="14"/>
              </w:rPr>
              <w:t>A</w:t>
            </w:r>
          </w:p>
        </w:tc>
        <w:tc>
          <w:tcPr>
            <w:tcW w:w="1276" w:type="dxa"/>
            <w:vAlign w:val="center"/>
          </w:tcPr>
          <w:p w14:paraId="198505F6"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240,000</w:t>
            </w:r>
          </w:p>
          <w:p w14:paraId="54AB15D4" w14:textId="1F425C9A"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(65,000-530,000)</w:t>
            </w:r>
          </w:p>
        </w:tc>
        <w:tc>
          <w:tcPr>
            <w:tcW w:w="1275" w:type="dxa"/>
            <w:vAlign w:val="center"/>
          </w:tcPr>
          <w:p w14:paraId="71E9345C"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120,000 </w:t>
            </w:r>
          </w:p>
          <w:p w14:paraId="42713BA9" w14:textId="2D13F6A0"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(32,000-250,000)</w:t>
            </w:r>
          </w:p>
        </w:tc>
        <w:tc>
          <w:tcPr>
            <w:tcW w:w="1134" w:type="dxa"/>
          </w:tcPr>
          <w:p w14:paraId="05D839F1"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37,000 </w:t>
            </w:r>
          </w:p>
          <w:p w14:paraId="0D0A8D7A" w14:textId="6AE8F3A7" w:rsidR="00BF64A2"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(11,000-90,000)</w:t>
            </w:r>
          </w:p>
        </w:tc>
        <w:tc>
          <w:tcPr>
            <w:tcW w:w="993" w:type="dxa"/>
            <w:vAlign w:val="center"/>
          </w:tcPr>
          <w:p w14:paraId="68E234F2" w14:textId="77777777" w:rsidR="00BF64A2"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£84 </w:t>
            </w:r>
          </w:p>
          <w:p w14:paraId="49160786" w14:textId="77777777"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(£23-£190)</w:t>
            </w:r>
          </w:p>
        </w:tc>
        <w:tc>
          <w:tcPr>
            <w:tcW w:w="850" w:type="dxa"/>
            <w:vAlign w:val="center"/>
          </w:tcPr>
          <w:p w14:paraId="6D2B70D3" w14:textId="77777777" w:rsidR="00BF64A2" w:rsidRPr="0062673F" w:rsidRDefault="00BF64A2" w:rsidP="001812DD">
            <w:pPr>
              <w:rPr>
                <w:rFonts w:ascii="Calibri" w:eastAsia="Times New Roman" w:hAnsi="Calibri" w:cs="Calibri"/>
                <w:color w:val="000000" w:themeColor="text1"/>
                <w:sz w:val="14"/>
                <w:szCs w:val="14"/>
                <w:lang w:eastAsia="en-GB"/>
              </w:rPr>
            </w:pPr>
            <w:r w:rsidRPr="0062673F">
              <w:rPr>
                <w:rFonts w:ascii="Calibri" w:eastAsia="Times New Roman" w:hAnsi="Calibri" w:cs="Calibri"/>
                <w:color w:val="000000" w:themeColor="text1"/>
                <w:sz w:val="14"/>
                <w:szCs w:val="14"/>
                <w:lang w:eastAsia="en-GB"/>
              </w:rPr>
              <w:t xml:space="preserve">£210 </w:t>
            </w:r>
          </w:p>
          <w:p w14:paraId="369443FE" w14:textId="77777777" w:rsidR="00BF64A2" w:rsidRPr="0062673F" w:rsidRDefault="00BF64A2" w:rsidP="001812DD">
            <w:pPr>
              <w:rPr>
                <w:color w:val="000000" w:themeColor="text1"/>
                <w:sz w:val="14"/>
                <w:szCs w:val="14"/>
              </w:rPr>
            </w:pPr>
            <w:r w:rsidRPr="0062673F">
              <w:rPr>
                <w:rFonts w:ascii="Calibri" w:eastAsia="Times New Roman" w:hAnsi="Calibri" w:cs="Calibri"/>
                <w:color w:val="000000" w:themeColor="text1"/>
                <w:sz w:val="14"/>
                <w:szCs w:val="14"/>
                <w:lang w:eastAsia="en-GB"/>
              </w:rPr>
              <w:t>(£56-£490)</w:t>
            </w:r>
          </w:p>
        </w:tc>
        <w:tc>
          <w:tcPr>
            <w:tcW w:w="1134" w:type="dxa"/>
            <w:vAlign w:val="center"/>
          </w:tcPr>
          <w:p w14:paraId="20CD22E2" w14:textId="77777777" w:rsidR="00845EEB" w:rsidRPr="0062673F" w:rsidRDefault="00BF64A2" w:rsidP="001812DD">
            <w:pPr>
              <w:rPr>
                <w:rFonts w:ascii="Calibri" w:eastAsia="Times New Roman" w:hAnsi="Calibri" w:cs="Calibri"/>
                <w:color w:val="000000" w:themeColor="text1"/>
                <w:sz w:val="14"/>
                <w:szCs w:val="14"/>
                <w:lang w:eastAsia="en-GB"/>
              </w:rPr>
            </w:pPr>
            <w:r w:rsidRPr="0062673F">
              <w:rPr>
                <w:rFonts w:ascii="Calibri" w:eastAsia="Times New Roman" w:hAnsi="Calibri" w:cs="Calibri"/>
                <w:color w:val="000000" w:themeColor="text1"/>
                <w:sz w:val="14"/>
                <w:szCs w:val="14"/>
                <w:lang w:eastAsia="en-GB"/>
              </w:rPr>
              <w:t xml:space="preserve">£200 </w:t>
            </w:r>
          </w:p>
          <w:p w14:paraId="71012C21" w14:textId="14050CEA" w:rsidR="00BF64A2" w:rsidRPr="0062673F" w:rsidRDefault="00BF64A2" w:rsidP="001812DD">
            <w:pPr>
              <w:rPr>
                <w:color w:val="000000" w:themeColor="text1"/>
                <w:sz w:val="14"/>
                <w:szCs w:val="14"/>
              </w:rPr>
            </w:pPr>
            <w:r w:rsidRPr="0062673F">
              <w:rPr>
                <w:rFonts w:ascii="Calibri" w:eastAsia="Times New Roman" w:hAnsi="Calibri" w:cs="Calibri"/>
                <w:color w:val="000000" w:themeColor="text1"/>
                <w:sz w:val="14"/>
                <w:szCs w:val="14"/>
                <w:lang w:eastAsia="en-GB"/>
              </w:rPr>
              <w:t>(£55- £440)</w:t>
            </w:r>
          </w:p>
        </w:tc>
        <w:tc>
          <w:tcPr>
            <w:tcW w:w="1367" w:type="dxa"/>
            <w:vAlign w:val="center"/>
          </w:tcPr>
          <w:p w14:paraId="21BF5652" w14:textId="77777777" w:rsidR="00845EEB" w:rsidRPr="0062673F" w:rsidRDefault="00BF64A2" w:rsidP="001812DD">
            <w:pPr>
              <w:rPr>
                <w:color w:val="000000" w:themeColor="text1"/>
                <w:sz w:val="14"/>
                <w:szCs w:val="14"/>
              </w:rPr>
            </w:pPr>
            <w:r w:rsidRPr="0062673F">
              <w:rPr>
                <w:color w:val="000000" w:themeColor="text1"/>
                <w:sz w:val="14"/>
                <w:szCs w:val="14"/>
              </w:rPr>
              <w:t xml:space="preserve">£7,400 </w:t>
            </w:r>
          </w:p>
          <w:p w14:paraId="5506EB6B" w14:textId="098DD8B5" w:rsidR="00BF64A2" w:rsidRPr="0062673F" w:rsidRDefault="00BF64A2" w:rsidP="001812DD">
            <w:pPr>
              <w:rPr>
                <w:color w:val="000000" w:themeColor="text1"/>
                <w:sz w:val="14"/>
                <w:szCs w:val="14"/>
              </w:rPr>
            </w:pPr>
            <w:r w:rsidRPr="0062673F">
              <w:rPr>
                <w:color w:val="000000" w:themeColor="text1"/>
                <w:sz w:val="14"/>
                <w:szCs w:val="14"/>
              </w:rPr>
              <w:t>(£2,000- £16,000)</w:t>
            </w:r>
          </w:p>
        </w:tc>
      </w:tr>
      <w:tr w:rsidR="00BF64A2" w:rsidRPr="0062673F" w14:paraId="2FC831A1" w14:textId="77777777" w:rsidTr="00845EEB">
        <w:tc>
          <w:tcPr>
            <w:tcW w:w="846" w:type="dxa"/>
            <w:vAlign w:val="center"/>
          </w:tcPr>
          <w:p w14:paraId="71873021" w14:textId="77777777" w:rsidR="00BF64A2" w:rsidRPr="0062673F" w:rsidRDefault="00BF64A2" w:rsidP="001812DD">
            <w:pPr>
              <w:rPr>
                <w:color w:val="000000" w:themeColor="text1"/>
                <w:sz w:val="14"/>
                <w:szCs w:val="14"/>
              </w:rPr>
            </w:pPr>
            <w:r w:rsidRPr="0062673F">
              <w:rPr>
                <w:color w:val="000000" w:themeColor="text1"/>
                <w:sz w:val="14"/>
                <w:szCs w:val="14"/>
              </w:rPr>
              <w:t>B</w:t>
            </w:r>
          </w:p>
        </w:tc>
        <w:tc>
          <w:tcPr>
            <w:tcW w:w="1276" w:type="dxa"/>
            <w:vAlign w:val="center"/>
          </w:tcPr>
          <w:p w14:paraId="7416E31E"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73,000 </w:t>
            </w:r>
          </w:p>
          <w:p w14:paraId="6A4E66D5" w14:textId="4FE73631"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(20,000- 160,000)</w:t>
            </w:r>
          </w:p>
        </w:tc>
        <w:tc>
          <w:tcPr>
            <w:tcW w:w="1275" w:type="dxa"/>
            <w:vAlign w:val="center"/>
          </w:tcPr>
          <w:p w14:paraId="52E65F75"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35,000 </w:t>
            </w:r>
          </w:p>
          <w:p w14:paraId="5CCBFB87" w14:textId="1A8A9E44"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(9,700-78,000)</w:t>
            </w:r>
          </w:p>
        </w:tc>
        <w:tc>
          <w:tcPr>
            <w:tcW w:w="1134" w:type="dxa"/>
          </w:tcPr>
          <w:p w14:paraId="7D612CEA" w14:textId="77777777" w:rsidR="00845EEB"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7,700 </w:t>
            </w:r>
          </w:p>
          <w:p w14:paraId="187D5771" w14:textId="53339829" w:rsidR="00BF64A2"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(2,300-17,000)</w:t>
            </w:r>
          </w:p>
        </w:tc>
        <w:tc>
          <w:tcPr>
            <w:tcW w:w="993" w:type="dxa"/>
            <w:vAlign w:val="center"/>
          </w:tcPr>
          <w:p w14:paraId="1B904506" w14:textId="77777777" w:rsidR="00BF64A2" w:rsidRPr="0062673F" w:rsidRDefault="00BF64A2" w:rsidP="001812DD">
            <w:pPr>
              <w:rPr>
                <w:rFonts w:ascii="Calibri" w:hAnsi="Calibri" w:cs="Calibri"/>
                <w:color w:val="000000" w:themeColor="text1"/>
                <w:sz w:val="14"/>
                <w:szCs w:val="14"/>
              </w:rPr>
            </w:pPr>
            <w:r w:rsidRPr="0062673F">
              <w:rPr>
                <w:rFonts w:ascii="Calibri" w:hAnsi="Calibri" w:cs="Calibri"/>
                <w:color w:val="000000" w:themeColor="text1"/>
                <w:sz w:val="14"/>
                <w:szCs w:val="14"/>
              </w:rPr>
              <w:t xml:space="preserve">£26 </w:t>
            </w:r>
          </w:p>
          <w:p w14:paraId="08B4A8C9" w14:textId="77777777" w:rsidR="00BF64A2" w:rsidRPr="0062673F" w:rsidRDefault="00BF64A2" w:rsidP="001812DD">
            <w:pPr>
              <w:rPr>
                <w:color w:val="000000" w:themeColor="text1"/>
                <w:sz w:val="14"/>
                <w:szCs w:val="14"/>
              </w:rPr>
            </w:pPr>
            <w:r w:rsidRPr="0062673F">
              <w:rPr>
                <w:rFonts w:ascii="Calibri" w:hAnsi="Calibri" w:cs="Calibri"/>
                <w:color w:val="000000" w:themeColor="text1"/>
                <w:sz w:val="14"/>
                <w:szCs w:val="14"/>
              </w:rPr>
              <w:t>(£7 to £57)</w:t>
            </w:r>
          </w:p>
        </w:tc>
        <w:tc>
          <w:tcPr>
            <w:tcW w:w="850" w:type="dxa"/>
            <w:vAlign w:val="center"/>
          </w:tcPr>
          <w:p w14:paraId="15BBE3F0" w14:textId="77777777" w:rsidR="00BF64A2" w:rsidRPr="0062673F" w:rsidRDefault="00BF64A2" w:rsidP="001812DD">
            <w:pPr>
              <w:rPr>
                <w:color w:val="000000" w:themeColor="text1"/>
                <w:sz w:val="14"/>
                <w:szCs w:val="14"/>
              </w:rPr>
            </w:pPr>
            <w:r w:rsidRPr="0062673F">
              <w:rPr>
                <w:rFonts w:ascii="Calibri" w:eastAsia="Times New Roman" w:hAnsi="Calibri" w:cs="Calibri"/>
                <w:color w:val="000000" w:themeColor="text1"/>
                <w:sz w:val="14"/>
                <w:szCs w:val="14"/>
                <w:lang w:eastAsia="en-GB"/>
              </w:rPr>
              <w:t>£64 (£17- £150)</w:t>
            </w:r>
          </w:p>
        </w:tc>
        <w:tc>
          <w:tcPr>
            <w:tcW w:w="1134" w:type="dxa"/>
            <w:vAlign w:val="center"/>
          </w:tcPr>
          <w:p w14:paraId="792FD6BB" w14:textId="77777777" w:rsidR="00845EEB" w:rsidRPr="0062673F" w:rsidRDefault="00BF64A2" w:rsidP="001812DD">
            <w:pPr>
              <w:rPr>
                <w:rFonts w:ascii="Calibri" w:eastAsia="Times New Roman" w:hAnsi="Calibri" w:cs="Calibri"/>
                <w:color w:val="000000" w:themeColor="text1"/>
                <w:sz w:val="14"/>
                <w:szCs w:val="14"/>
                <w:lang w:eastAsia="en-GB"/>
              </w:rPr>
            </w:pPr>
            <w:r w:rsidRPr="0062673F">
              <w:rPr>
                <w:rFonts w:ascii="Calibri" w:eastAsia="Times New Roman" w:hAnsi="Calibri" w:cs="Calibri"/>
                <w:color w:val="000000" w:themeColor="text1"/>
                <w:sz w:val="14"/>
                <w:szCs w:val="14"/>
                <w:lang w:eastAsia="en-GB"/>
              </w:rPr>
              <w:t xml:space="preserve">£61 </w:t>
            </w:r>
          </w:p>
          <w:p w14:paraId="64243B83" w14:textId="78C00294" w:rsidR="00BF64A2" w:rsidRPr="0062673F" w:rsidRDefault="00BF64A2" w:rsidP="001812DD">
            <w:pPr>
              <w:rPr>
                <w:color w:val="000000" w:themeColor="text1"/>
                <w:sz w:val="14"/>
                <w:szCs w:val="14"/>
              </w:rPr>
            </w:pPr>
            <w:r w:rsidRPr="0062673F">
              <w:rPr>
                <w:rFonts w:ascii="Calibri" w:eastAsia="Times New Roman" w:hAnsi="Calibri" w:cs="Calibri"/>
                <w:color w:val="000000" w:themeColor="text1"/>
                <w:sz w:val="14"/>
                <w:szCs w:val="14"/>
                <w:lang w:eastAsia="en-GB"/>
              </w:rPr>
              <w:t>(£17-£130)</w:t>
            </w:r>
          </w:p>
        </w:tc>
        <w:tc>
          <w:tcPr>
            <w:tcW w:w="1367" w:type="dxa"/>
            <w:vAlign w:val="center"/>
          </w:tcPr>
          <w:p w14:paraId="184B6505" w14:textId="77777777" w:rsidR="00845EEB" w:rsidRPr="0062673F" w:rsidRDefault="00BF64A2" w:rsidP="001812DD">
            <w:pPr>
              <w:rPr>
                <w:color w:val="000000" w:themeColor="text1"/>
                <w:sz w:val="14"/>
                <w:szCs w:val="14"/>
              </w:rPr>
            </w:pPr>
            <w:r w:rsidRPr="0062673F">
              <w:rPr>
                <w:color w:val="000000" w:themeColor="text1"/>
                <w:sz w:val="14"/>
                <w:szCs w:val="14"/>
              </w:rPr>
              <w:t xml:space="preserve">£2,200 </w:t>
            </w:r>
          </w:p>
          <w:p w14:paraId="5D0BFBD0" w14:textId="445F54F7" w:rsidR="00BF64A2" w:rsidRPr="0062673F" w:rsidRDefault="00BF64A2" w:rsidP="001812DD">
            <w:pPr>
              <w:rPr>
                <w:color w:val="000000" w:themeColor="text1"/>
                <w:sz w:val="14"/>
                <w:szCs w:val="14"/>
              </w:rPr>
            </w:pPr>
            <w:r w:rsidRPr="0062673F">
              <w:rPr>
                <w:color w:val="000000" w:themeColor="text1"/>
                <w:sz w:val="14"/>
                <w:szCs w:val="14"/>
              </w:rPr>
              <w:t>(£620- £4,900)</w:t>
            </w:r>
          </w:p>
        </w:tc>
      </w:tr>
    </w:tbl>
    <w:p w14:paraId="2E24C9E0" w14:textId="7357D62F" w:rsidR="00BF64A2" w:rsidRPr="0062673F" w:rsidRDefault="00BF64A2" w:rsidP="00BF64A2">
      <w:pPr>
        <w:autoSpaceDE w:val="0"/>
        <w:autoSpaceDN w:val="0"/>
        <w:adjustRightInd w:val="0"/>
        <w:spacing w:after="0" w:line="240" w:lineRule="auto"/>
        <w:rPr>
          <w:rFonts w:cstheme="minorHAnsi"/>
          <w:color w:val="000000" w:themeColor="text1"/>
          <w:sz w:val="18"/>
          <w:szCs w:val="18"/>
        </w:rPr>
      </w:pPr>
      <w:r w:rsidRPr="0062673F">
        <w:rPr>
          <w:rFonts w:cstheme="minorHAnsi"/>
          <w:color w:val="000000" w:themeColor="text1"/>
          <w:sz w:val="18"/>
          <w:szCs w:val="18"/>
        </w:rPr>
        <w:t xml:space="preserve">Scenario A: all advertising between </w:t>
      </w:r>
      <w:r w:rsidR="008F406E">
        <w:rPr>
          <w:rFonts w:cstheme="minorHAnsi"/>
          <w:color w:val="000000" w:themeColor="text1"/>
          <w:sz w:val="18"/>
          <w:szCs w:val="18"/>
        </w:rPr>
        <w:t>05.30 hours</w:t>
      </w:r>
      <w:r w:rsidRPr="0062673F">
        <w:rPr>
          <w:rFonts w:cstheme="minorHAnsi"/>
          <w:color w:val="000000" w:themeColor="text1"/>
          <w:sz w:val="18"/>
          <w:szCs w:val="18"/>
        </w:rPr>
        <w:t xml:space="preserve"> and </w:t>
      </w:r>
      <w:r w:rsidR="008F406E">
        <w:rPr>
          <w:rFonts w:cstheme="minorHAnsi"/>
          <w:color w:val="000000" w:themeColor="text1"/>
          <w:sz w:val="18"/>
          <w:szCs w:val="18"/>
        </w:rPr>
        <w:t>21.00 hours</w:t>
      </w:r>
      <w:r w:rsidRPr="0062673F">
        <w:rPr>
          <w:rFonts w:cstheme="minorHAnsi"/>
          <w:color w:val="000000" w:themeColor="text1"/>
          <w:sz w:val="18"/>
          <w:szCs w:val="18"/>
        </w:rPr>
        <w:t xml:space="preserve"> is withdrawn; Scenario B: all advertising between </w:t>
      </w:r>
      <w:r w:rsidR="008F406E">
        <w:rPr>
          <w:rFonts w:cstheme="minorHAnsi"/>
          <w:color w:val="000000" w:themeColor="text1"/>
          <w:sz w:val="18"/>
          <w:szCs w:val="18"/>
        </w:rPr>
        <w:t>05.30 hours</w:t>
      </w:r>
      <w:r w:rsidRPr="0062673F">
        <w:rPr>
          <w:rFonts w:cstheme="minorHAnsi"/>
          <w:color w:val="000000" w:themeColor="text1"/>
          <w:sz w:val="18"/>
          <w:szCs w:val="18"/>
        </w:rPr>
        <w:t xml:space="preserve"> and </w:t>
      </w:r>
      <w:r w:rsidR="008F406E">
        <w:rPr>
          <w:rFonts w:cstheme="minorHAnsi"/>
          <w:color w:val="000000" w:themeColor="text1"/>
          <w:sz w:val="18"/>
          <w:szCs w:val="18"/>
        </w:rPr>
        <w:t>21.00 hours</w:t>
      </w:r>
      <w:r w:rsidRPr="0062673F">
        <w:rPr>
          <w:rFonts w:cstheme="minorHAnsi"/>
          <w:color w:val="000000" w:themeColor="text1"/>
          <w:sz w:val="18"/>
          <w:szCs w:val="18"/>
        </w:rPr>
        <w:t xml:space="preserve"> is displaced to </w:t>
      </w:r>
      <w:r w:rsidR="008F406E">
        <w:rPr>
          <w:rFonts w:cstheme="minorHAnsi"/>
          <w:color w:val="000000" w:themeColor="text1"/>
          <w:sz w:val="18"/>
          <w:szCs w:val="18"/>
        </w:rPr>
        <w:t>21.00 hours</w:t>
      </w:r>
      <w:r w:rsidRPr="0062673F">
        <w:rPr>
          <w:rFonts w:cstheme="minorHAnsi"/>
          <w:color w:val="000000" w:themeColor="text1"/>
          <w:sz w:val="18"/>
          <w:szCs w:val="18"/>
        </w:rPr>
        <w:t xml:space="preserve"> to </w:t>
      </w:r>
      <w:r w:rsidR="008F406E">
        <w:rPr>
          <w:rFonts w:cstheme="minorHAnsi"/>
          <w:color w:val="000000" w:themeColor="text1"/>
          <w:sz w:val="18"/>
          <w:szCs w:val="18"/>
        </w:rPr>
        <w:t>05.30 hours</w:t>
      </w:r>
      <w:r w:rsidRPr="0062673F">
        <w:rPr>
          <w:rFonts w:cstheme="minorHAnsi"/>
          <w:color w:val="000000" w:themeColor="text1"/>
          <w:sz w:val="18"/>
          <w:szCs w:val="18"/>
        </w:rPr>
        <w:t>.</w:t>
      </w:r>
    </w:p>
    <w:p w14:paraId="38E4221C" w14:textId="77777777" w:rsidR="00BF64A2" w:rsidRPr="0062673F" w:rsidRDefault="00BF64A2" w:rsidP="00B61000">
      <w:pPr>
        <w:rPr>
          <w:color w:val="000000" w:themeColor="text1"/>
        </w:rPr>
      </w:pPr>
    </w:p>
    <w:p w14:paraId="39B42D13" w14:textId="4BDD49E5" w:rsidR="00D932FA" w:rsidRPr="0062673F" w:rsidRDefault="00430B97" w:rsidP="00B61000">
      <w:pPr>
        <w:rPr>
          <w:color w:val="000000" w:themeColor="text1"/>
        </w:rPr>
      </w:pPr>
      <w:r w:rsidRPr="0062673F">
        <w:rPr>
          <w:color w:val="000000" w:themeColor="text1"/>
        </w:rPr>
        <w:t xml:space="preserve">The health benefits, expressed in terms of </w:t>
      </w:r>
      <w:r w:rsidR="00C82454" w:rsidRPr="0062673F">
        <w:rPr>
          <w:color w:val="000000" w:themeColor="text1"/>
        </w:rPr>
        <w:t xml:space="preserve">reduction in the </w:t>
      </w:r>
      <w:r w:rsidR="008134D3" w:rsidRPr="0062673F">
        <w:rPr>
          <w:color w:val="000000" w:themeColor="text1"/>
        </w:rPr>
        <w:t>number of incident cases of isc</w:t>
      </w:r>
      <w:r w:rsidRPr="0062673F">
        <w:rPr>
          <w:color w:val="000000" w:themeColor="text1"/>
        </w:rPr>
        <w:t>h</w:t>
      </w:r>
      <w:r w:rsidR="008134D3" w:rsidRPr="0062673F">
        <w:rPr>
          <w:color w:val="000000" w:themeColor="text1"/>
        </w:rPr>
        <w:t>a</w:t>
      </w:r>
      <w:r w:rsidRPr="0062673F">
        <w:rPr>
          <w:color w:val="000000" w:themeColor="text1"/>
        </w:rPr>
        <w:t>emic heart disease, stroke,</w:t>
      </w:r>
      <w:r w:rsidR="00690BED" w:rsidRPr="0062673F">
        <w:rPr>
          <w:color w:val="000000" w:themeColor="text1"/>
        </w:rPr>
        <w:t xml:space="preserve"> diabetes, cancer and cirrhosis</w:t>
      </w:r>
      <w:r w:rsidRPr="0062673F">
        <w:rPr>
          <w:color w:val="000000" w:themeColor="text1"/>
        </w:rPr>
        <w:t>, are shown in the appendix (</w:t>
      </w:r>
      <w:r w:rsidR="00305F76" w:rsidRPr="0062673F">
        <w:rPr>
          <w:color w:val="000000" w:themeColor="text1"/>
        </w:rPr>
        <w:t xml:space="preserve">S2 </w:t>
      </w:r>
      <w:r w:rsidRPr="0062673F">
        <w:rPr>
          <w:color w:val="000000" w:themeColor="text1"/>
        </w:rPr>
        <w:t>Table).</w:t>
      </w:r>
    </w:p>
    <w:p w14:paraId="67DC557D" w14:textId="0BC0C4EF" w:rsidR="0088279C" w:rsidRPr="0062673F" w:rsidRDefault="008134D3" w:rsidP="00C82454">
      <w:pPr>
        <w:rPr>
          <w:color w:val="000000" w:themeColor="text1"/>
        </w:rPr>
      </w:pPr>
      <w:r w:rsidRPr="0062673F">
        <w:rPr>
          <w:color w:val="000000" w:themeColor="text1"/>
        </w:rPr>
        <w:t>Sensitivity an</w:t>
      </w:r>
      <w:r w:rsidR="00AC4130" w:rsidRPr="0062673F">
        <w:rPr>
          <w:color w:val="000000" w:themeColor="text1"/>
        </w:rPr>
        <w:t>alyses are shown in the Supplementary Data</w:t>
      </w:r>
      <w:r w:rsidRPr="0062673F">
        <w:rPr>
          <w:color w:val="000000" w:themeColor="text1"/>
        </w:rPr>
        <w:t xml:space="preserve"> (</w:t>
      </w:r>
      <w:r w:rsidR="00305F76" w:rsidRPr="0062673F">
        <w:rPr>
          <w:color w:val="000000" w:themeColor="text1"/>
        </w:rPr>
        <w:t xml:space="preserve">S3 </w:t>
      </w:r>
      <w:r w:rsidRPr="0062673F">
        <w:rPr>
          <w:color w:val="000000" w:themeColor="text1"/>
        </w:rPr>
        <w:t>Table</w:t>
      </w:r>
      <w:r w:rsidR="00C82454" w:rsidRPr="0062673F">
        <w:rPr>
          <w:color w:val="000000" w:themeColor="text1"/>
        </w:rPr>
        <w:t xml:space="preserve"> and</w:t>
      </w:r>
      <w:r w:rsidR="00305F76" w:rsidRPr="0062673F">
        <w:rPr>
          <w:color w:val="000000" w:themeColor="text1"/>
        </w:rPr>
        <w:t xml:space="preserve"> S4</w:t>
      </w:r>
      <w:r w:rsidR="00C82454" w:rsidRPr="0062673F">
        <w:rPr>
          <w:color w:val="000000" w:themeColor="text1"/>
        </w:rPr>
        <w:t xml:space="preserve"> Table</w:t>
      </w:r>
      <w:r w:rsidRPr="0062673F">
        <w:rPr>
          <w:color w:val="000000" w:themeColor="text1"/>
        </w:rPr>
        <w:t>). Of note, assuming that children with overweight or obesity are more likely to watch HFSS adverts and are more sensitive to HFSS adverts increases</w:t>
      </w:r>
      <w:r w:rsidR="00C82454" w:rsidRPr="0062673F">
        <w:rPr>
          <w:color w:val="000000" w:themeColor="text1"/>
        </w:rPr>
        <w:t xml:space="preserve"> the</w:t>
      </w:r>
      <w:r w:rsidRPr="0062673F">
        <w:rPr>
          <w:color w:val="000000" w:themeColor="text1"/>
        </w:rPr>
        <w:t xml:space="preserve"> estimates of the policy’s </w:t>
      </w:r>
      <w:r w:rsidR="00C82454" w:rsidRPr="0062673F">
        <w:rPr>
          <w:color w:val="000000" w:themeColor="text1"/>
        </w:rPr>
        <w:t>impact on</w:t>
      </w:r>
      <w:r w:rsidRPr="0062673F">
        <w:rPr>
          <w:color w:val="000000" w:themeColor="text1"/>
        </w:rPr>
        <w:t xml:space="preserve"> reduc</w:t>
      </w:r>
      <w:r w:rsidR="00C82454" w:rsidRPr="0062673F">
        <w:rPr>
          <w:color w:val="000000" w:themeColor="text1"/>
        </w:rPr>
        <w:t>tion in</w:t>
      </w:r>
      <w:r w:rsidRPr="0062673F">
        <w:rPr>
          <w:color w:val="000000" w:themeColor="text1"/>
        </w:rPr>
        <w:t xml:space="preserve"> the number of children with obesity or overweight by nearly a third. Using the revised nutrient profile model (published in 2018),</w:t>
      </w:r>
      <w:r w:rsidR="00DF15BD" w:rsidRPr="0062673F">
        <w:rPr>
          <w:color w:val="000000" w:themeColor="text1"/>
        </w:rPr>
        <w:fldChar w:fldCharType="begin" w:fldLock="1"/>
      </w:r>
      <w:r w:rsidR="00467360" w:rsidRPr="0062673F">
        <w:rPr>
          <w:color w:val="000000" w:themeColor="text1"/>
        </w:rPr>
        <w:instrText>ADDIN CSL_CITATION {"citationItems":[{"id":"ITEM-1","itemData":{"author":[{"dropping-particle":"","family":"Public Health England","given":"","non-dropping-particle":"","parse-names":false,"suffix":""}],"id":"ITEM-1","issued":{"date-parts":[["2018"]]},"publisher-place":"London","title":"Annex C: Basis of the nutrient/food component and scoring for the UK NPM 2004/5 and the draft 2018 NPM","type":"report"},"uris":["http://www.mendeley.com/documents/?uuid=c7095fec-0604-45be-8caf-539213d19c96"]}],"mendeley":{"formattedCitation":"[53]","plainTextFormattedCitation":"[53]","previouslyFormattedCitation":"[52]"},"properties":{"noteIndex":0},"schema":"https://github.com/citation-style-language/schema/raw/master/csl-citation.json"}</w:instrText>
      </w:r>
      <w:r w:rsidR="00DF15BD" w:rsidRPr="0062673F">
        <w:rPr>
          <w:color w:val="000000" w:themeColor="text1"/>
        </w:rPr>
        <w:fldChar w:fldCharType="separate"/>
      </w:r>
      <w:r w:rsidR="00467360" w:rsidRPr="0062673F">
        <w:rPr>
          <w:noProof/>
          <w:color w:val="000000" w:themeColor="text1"/>
        </w:rPr>
        <w:t>[53]</w:t>
      </w:r>
      <w:r w:rsidR="00DF15BD" w:rsidRPr="0062673F">
        <w:rPr>
          <w:color w:val="000000" w:themeColor="text1"/>
        </w:rPr>
        <w:fldChar w:fldCharType="end"/>
      </w:r>
      <w:r w:rsidRPr="0062673F">
        <w:rPr>
          <w:color w:val="000000" w:themeColor="text1"/>
        </w:rPr>
        <w:t xml:space="preserve"> increases </w:t>
      </w:r>
      <w:r w:rsidR="00C82454" w:rsidRPr="0062673F">
        <w:rPr>
          <w:color w:val="000000" w:themeColor="text1"/>
        </w:rPr>
        <w:t xml:space="preserve">the </w:t>
      </w:r>
      <w:r w:rsidRPr="0062673F">
        <w:rPr>
          <w:color w:val="000000" w:themeColor="text1"/>
        </w:rPr>
        <w:t xml:space="preserve">estimates of the policy’s </w:t>
      </w:r>
      <w:r w:rsidR="00C82454" w:rsidRPr="0062673F">
        <w:rPr>
          <w:color w:val="000000" w:themeColor="text1"/>
        </w:rPr>
        <w:t>impact</w:t>
      </w:r>
      <w:r w:rsidRPr="0062673F">
        <w:rPr>
          <w:color w:val="000000" w:themeColor="text1"/>
        </w:rPr>
        <w:t xml:space="preserve"> in terms of reducing the number of children with obesity or overweight by over a quarter. </w:t>
      </w:r>
      <w:r w:rsidR="003D4454" w:rsidRPr="0062673F">
        <w:rPr>
          <w:color w:val="000000" w:themeColor="text1"/>
        </w:rPr>
        <w:t xml:space="preserve">If older children’s </w:t>
      </w:r>
      <w:r w:rsidR="00C40AB7" w:rsidRPr="0062673F">
        <w:rPr>
          <w:color w:val="000000" w:themeColor="text1"/>
        </w:rPr>
        <w:t>television</w:t>
      </w:r>
      <w:r w:rsidR="003D4454" w:rsidRPr="0062673F">
        <w:rPr>
          <w:color w:val="000000" w:themeColor="text1"/>
        </w:rPr>
        <w:t xml:space="preserve"> viewing patterns</w:t>
      </w:r>
      <w:r w:rsidR="00FC5439" w:rsidRPr="0062673F">
        <w:rPr>
          <w:color w:val="000000" w:themeColor="text1"/>
        </w:rPr>
        <w:t xml:space="preserve"> resembles those of adults</w:t>
      </w:r>
      <w:r w:rsidR="00701784" w:rsidRPr="0062673F">
        <w:rPr>
          <w:color w:val="000000" w:themeColor="text1"/>
        </w:rPr>
        <w:t xml:space="preserve"> (rather than those of children)</w:t>
      </w:r>
      <w:r w:rsidR="00FC5439" w:rsidRPr="0062673F">
        <w:rPr>
          <w:color w:val="000000" w:themeColor="text1"/>
        </w:rPr>
        <w:t xml:space="preserve">, under scenario B (i.e. </w:t>
      </w:r>
      <w:r w:rsidR="00845EEB" w:rsidRPr="0062673F">
        <w:rPr>
          <w:color w:val="000000" w:themeColor="text1"/>
        </w:rPr>
        <w:t xml:space="preserve">all adverts shifted to after </w:t>
      </w:r>
      <w:r w:rsidR="008F406E">
        <w:rPr>
          <w:color w:val="000000" w:themeColor="text1"/>
        </w:rPr>
        <w:t>21.00 hours</w:t>
      </w:r>
      <w:r w:rsidR="00FC5439" w:rsidRPr="0062673F">
        <w:rPr>
          <w:color w:val="000000" w:themeColor="text1"/>
        </w:rPr>
        <w:t>), we estimate that they would see more HFSS adverts. Under this scenario, the net effect of the policy would still be to reduce childhood overweight and obesity.</w:t>
      </w:r>
    </w:p>
    <w:p w14:paraId="5A406322" w14:textId="77777777" w:rsidR="00C82454" w:rsidRPr="0062673F" w:rsidRDefault="00C82454" w:rsidP="00C82454">
      <w:pPr>
        <w:rPr>
          <w:color w:val="000000" w:themeColor="text1"/>
        </w:rPr>
      </w:pPr>
    </w:p>
    <w:p w14:paraId="35864FDC" w14:textId="77777777" w:rsidR="00826A79" w:rsidRPr="0062673F" w:rsidRDefault="00826A79">
      <w:pPr>
        <w:rPr>
          <w:b/>
          <w:color w:val="000000" w:themeColor="text1"/>
        </w:rPr>
      </w:pPr>
      <w:r w:rsidRPr="0062673F">
        <w:rPr>
          <w:b/>
          <w:color w:val="000000" w:themeColor="text1"/>
        </w:rPr>
        <w:br w:type="page"/>
      </w:r>
    </w:p>
    <w:p w14:paraId="4345BA70" w14:textId="54F2158E" w:rsidR="002948FD" w:rsidRPr="0062673F" w:rsidRDefault="00177819" w:rsidP="004A7C45">
      <w:pPr>
        <w:rPr>
          <w:b/>
          <w:color w:val="000000" w:themeColor="text1"/>
        </w:rPr>
      </w:pPr>
      <w:r w:rsidRPr="0062673F">
        <w:rPr>
          <w:b/>
          <w:color w:val="000000" w:themeColor="text1"/>
        </w:rPr>
        <w:t>DISCUSSION</w:t>
      </w:r>
    </w:p>
    <w:p w14:paraId="03D020A5" w14:textId="6F0C8404" w:rsidR="001D37CC" w:rsidRPr="0062673F" w:rsidRDefault="001D37CC" w:rsidP="001D37CC">
      <w:pPr>
        <w:rPr>
          <w:color w:val="000000" w:themeColor="text1"/>
        </w:rPr>
      </w:pPr>
      <w:r w:rsidRPr="0062673F">
        <w:rPr>
          <w:color w:val="000000" w:themeColor="text1"/>
        </w:rPr>
        <w:t xml:space="preserve">We estimate that restricting HFSS advertising to </w:t>
      </w:r>
      <w:r w:rsidR="00701784" w:rsidRPr="0062673F">
        <w:rPr>
          <w:color w:val="000000" w:themeColor="text1"/>
        </w:rPr>
        <w:t xml:space="preserve">between </w:t>
      </w:r>
      <w:r w:rsidR="008F406E">
        <w:rPr>
          <w:color w:val="000000" w:themeColor="text1"/>
        </w:rPr>
        <w:t>21.00 hours</w:t>
      </w:r>
      <w:r w:rsidR="00701784" w:rsidRPr="0062673F">
        <w:rPr>
          <w:color w:val="000000" w:themeColor="text1"/>
        </w:rPr>
        <w:t xml:space="preserve"> and </w:t>
      </w:r>
      <w:r w:rsidR="008F406E">
        <w:rPr>
          <w:color w:val="000000" w:themeColor="text1"/>
        </w:rPr>
        <w:t>05.30 hours</w:t>
      </w:r>
      <w:r w:rsidR="00701784" w:rsidRPr="0062673F">
        <w:rPr>
          <w:color w:val="000000" w:themeColor="text1"/>
        </w:rPr>
        <w:t xml:space="preserve"> </w:t>
      </w:r>
      <w:r w:rsidRPr="0062673F">
        <w:rPr>
          <w:color w:val="000000" w:themeColor="text1"/>
        </w:rPr>
        <w:t>has the potential to reduce the number of children, aged 5-17 years, with obesity by 40,000 (4.6%) and wi</w:t>
      </w:r>
      <w:r w:rsidR="00436D21" w:rsidRPr="0062673F">
        <w:rPr>
          <w:color w:val="000000" w:themeColor="text1"/>
        </w:rPr>
        <w:t>th overweight by 120,000 (3.6</w:t>
      </w:r>
      <w:r w:rsidRPr="0062673F">
        <w:rPr>
          <w:color w:val="000000" w:themeColor="text1"/>
        </w:rPr>
        <w:t>%). Th</w:t>
      </w:r>
      <w:r w:rsidR="009431D9" w:rsidRPr="0062673F">
        <w:rPr>
          <w:color w:val="000000" w:themeColor="text1"/>
        </w:rPr>
        <w:t>is could result in averting</w:t>
      </w:r>
      <w:r w:rsidRPr="0062673F">
        <w:rPr>
          <w:color w:val="000000" w:themeColor="text1"/>
        </w:rPr>
        <w:t xml:space="preserve"> 240,000 </w:t>
      </w:r>
      <w:r w:rsidR="00CC7EFC" w:rsidRPr="0062673F">
        <w:rPr>
          <w:color w:val="000000" w:themeColor="text1"/>
        </w:rPr>
        <w:t>DALY</w:t>
      </w:r>
      <w:r w:rsidRPr="0062673F">
        <w:rPr>
          <w:color w:val="000000" w:themeColor="text1"/>
        </w:rPr>
        <w:t>s with a</w:t>
      </w:r>
      <w:r w:rsidR="0041451A" w:rsidRPr="0062673F">
        <w:rPr>
          <w:color w:val="000000" w:themeColor="text1"/>
        </w:rPr>
        <w:t xml:space="preserve"> health-related</w:t>
      </w:r>
      <w:r w:rsidRPr="0062673F">
        <w:rPr>
          <w:color w:val="000000" w:themeColor="text1"/>
        </w:rPr>
        <w:t xml:space="preserve"> net monetary benefit of £7.4 billion for today’s children across their lifetime.</w:t>
      </w:r>
      <w:r w:rsidR="002469BF" w:rsidRPr="0062673F">
        <w:rPr>
          <w:color w:val="000000" w:themeColor="text1"/>
        </w:rPr>
        <w:t xml:space="preserve"> </w:t>
      </w:r>
      <w:r w:rsidR="008D1B17" w:rsidRPr="0062673F">
        <w:rPr>
          <w:color w:val="000000" w:themeColor="text1"/>
        </w:rPr>
        <w:t xml:space="preserve">We estimate the reductions in obesity would be approximately 2-fold greater amongst children in the least affluent social grade compared to the most affluent. </w:t>
      </w:r>
      <w:r w:rsidR="00E7380F" w:rsidRPr="0062673F">
        <w:rPr>
          <w:color w:val="000000" w:themeColor="text1"/>
        </w:rPr>
        <w:t>The reductions in obesity (57,000, 6.</w:t>
      </w:r>
      <w:r w:rsidR="00436D21" w:rsidRPr="0062673F">
        <w:rPr>
          <w:color w:val="000000" w:themeColor="text1"/>
        </w:rPr>
        <w:t>7%) and overweight (170,000, 5.2</w:t>
      </w:r>
      <w:r w:rsidR="00E7380F" w:rsidRPr="0062673F">
        <w:rPr>
          <w:color w:val="000000" w:themeColor="text1"/>
        </w:rPr>
        <w:t xml:space="preserve">%) are greater if we assume that children with obesity and overweight are more </w:t>
      </w:r>
      <w:r w:rsidR="00C262E5" w:rsidRPr="0062673F">
        <w:rPr>
          <w:color w:val="000000" w:themeColor="text1"/>
        </w:rPr>
        <w:t>a</w:t>
      </w:r>
      <w:r w:rsidR="00E7380F" w:rsidRPr="0062673F">
        <w:rPr>
          <w:color w:val="000000" w:themeColor="text1"/>
        </w:rPr>
        <w:t>ffected by the restrictions.</w:t>
      </w:r>
      <w:r w:rsidRPr="0062673F">
        <w:rPr>
          <w:color w:val="000000" w:themeColor="text1"/>
        </w:rPr>
        <w:t xml:space="preserve"> The benefits are likely to be mitigated if </w:t>
      </w:r>
      <w:r w:rsidR="00701784" w:rsidRPr="0062673F">
        <w:rPr>
          <w:color w:val="000000" w:themeColor="text1"/>
        </w:rPr>
        <w:t xml:space="preserve">HFSS </w:t>
      </w:r>
      <w:r w:rsidRPr="0062673F">
        <w:rPr>
          <w:color w:val="000000" w:themeColor="text1"/>
        </w:rPr>
        <w:t xml:space="preserve">adverts </w:t>
      </w:r>
      <w:r w:rsidR="00701784" w:rsidRPr="0062673F">
        <w:rPr>
          <w:color w:val="000000" w:themeColor="text1"/>
        </w:rPr>
        <w:t xml:space="preserve">previously shown between </w:t>
      </w:r>
      <w:r w:rsidR="008F406E">
        <w:rPr>
          <w:color w:val="000000" w:themeColor="text1"/>
        </w:rPr>
        <w:t>05.30 hours</w:t>
      </w:r>
      <w:r w:rsidR="00701784" w:rsidRPr="0062673F">
        <w:rPr>
          <w:color w:val="000000" w:themeColor="text1"/>
        </w:rPr>
        <w:t xml:space="preserve"> and </w:t>
      </w:r>
      <w:r w:rsidR="008F406E">
        <w:rPr>
          <w:color w:val="000000" w:themeColor="text1"/>
        </w:rPr>
        <w:t>21.00 hours</w:t>
      </w:r>
      <w:r w:rsidR="00701784" w:rsidRPr="0062673F">
        <w:rPr>
          <w:color w:val="000000" w:themeColor="text1"/>
        </w:rPr>
        <w:t xml:space="preserve"> are displaced </w:t>
      </w:r>
      <w:r w:rsidRPr="0062673F">
        <w:rPr>
          <w:color w:val="000000" w:themeColor="text1"/>
        </w:rPr>
        <w:t xml:space="preserve">to </w:t>
      </w:r>
      <w:r w:rsidR="00701784" w:rsidRPr="0062673F">
        <w:rPr>
          <w:color w:val="000000" w:themeColor="text1"/>
        </w:rPr>
        <w:t xml:space="preserve">between </w:t>
      </w:r>
      <w:r w:rsidR="008F406E">
        <w:rPr>
          <w:color w:val="000000" w:themeColor="text1"/>
        </w:rPr>
        <w:t>21.00 hours</w:t>
      </w:r>
      <w:r w:rsidR="00701784" w:rsidRPr="0062673F">
        <w:rPr>
          <w:color w:val="000000" w:themeColor="text1"/>
        </w:rPr>
        <w:t xml:space="preserve"> and </w:t>
      </w:r>
      <w:r w:rsidR="008F406E">
        <w:rPr>
          <w:color w:val="000000" w:themeColor="text1"/>
        </w:rPr>
        <w:t>05.30 hours</w:t>
      </w:r>
      <w:r w:rsidR="00473D3E" w:rsidRPr="0062673F">
        <w:rPr>
          <w:color w:val="000000" w:themeColor="text1"/>
        </w:rPr>
        <w:t>;</w:t>
      </w:r>
      <w:r w:rsidRPr="0062673F">
        <w:rPr>
          <w:color w:val="000000" w:themeColor="text1"/>
        </w:rPr>
        <w:t xml:space="preserve"> in an extreme scenario of </w:t>
      </w:r>
      <w:r w:rsidR="00DD7A15" w:rsidRPr="0062673F">
        <w:rPr>
          <w:color w:val="000000" w:themeColor="text1"/>
        </w:rPr>
        <w:t>advertisement displacement</w:t>
      </w:r>
      <w:r w:rsidR="00473D3E" w:rsidRPr="0062673F">
        <w:rPr>
          <w:color w:val="000000" w:themeColor="text1"/>
        </w:rPr>
        <w:t>,</w:t>
      </w:r>
      <w:r w:rsidRPr="0062673F">
        <w:rPr>
          <w:color w:val="000000" w:themeColor="text1"/>
        </w:rPr>
        <w:t xml:space="preserve"> the ben</w:t>
      </w:r>
      <w:r w:rsidR="00E7380F" w:rsidRPr="0062673F">
        <w:rPr>
          <w:color w:val="000000" w:themeColor="text1"/>
        </w:rPr>
        <w:t>efits could be reduced to</w:t>
      </w:r>
      <w:r w:rsidR="008F7259" w:rsidRPr="0062673F">
        <w:rPr>
          <w:color w:val="000000" w:themeColor="text1"/>
        </w:rPr>
        <w:t xml:space="preserve"> between</w:t>
      </w:r>
      <w:r w:rsidR="00E7380F" w:rsidRPr="0062673F">
        <w:rPr>
          <w:color w:val="000000" w:themeColor="text1"/>
        </w:rPr>
        <w:t xml:space="preserve"> a quarter </w:t>
      </w:r>
      <w:r w:rsidR="008F7259" w:rsidRPr="0062673F">
        <w:rPr>
          <w:color w:val="000000" w:themeColor="text1"/>
        </w:rPr>
        <w:t>and</w:t>
      </w:r>
      <w:r w:rsidR="00E7380F" w:rsidRPr="0062673F">
        <w:rPr>
          <w:color w:val="000000" w:themeColor="text1"/>
        </w:rPr>
        <w:t xml:space="preserve"> a third of these estimates.</w:t>
      </w:r>
    </w:p>
    <w:p w14:paraId="286E2B7A" w14:textId="7B8A5E5C" w:rsidR="008760A9" w:rsidRPr="0062673F" w:rsidRDefault="009D3930" w:rsidP="004A7C45">
      <w:pPr>
        <w:rPr>
          <w:b/>
          <w:color w:val="000000" w:themeColor="text1"/>
        </w:rPr>
      </w:pPr>
      <w:r w:rsidRPr="0062673F">
        <w:rPr>
          <w:b/>
          <w:color w:val="000000" w:themeColor="text1"/>
        </w:rPr>
        <w:t>S</w:t>
      </w:r>
      <w:r w:rsidR="008760A9" w:rsidRPr="0062673F">
        <w:rPr>
          <w:b/>
          <w:color w:val="000000" w:themeColor="text1"/>
        </w:rPr>
        <w:t>trengths</w:t>
      </w:r>
    </w:p>
    <w:p w14:paraId="6C16310D" w14:textId="4E317C0C" w:rsidR="009D3930" w:rsidRPr="0062673F" w:rsidRDefault="00E36173" w:rsidP="009D3930">
      <w:pPr>
        <w:rPr>
          <w:color w:val="000000" w:themeColor="text1"/>
        </w:rPr>
      </w:pPr>
      <w:r w:rsidRPr="0062673F">
        <w:rPr>
          <w:color w:val="000000" w:themeColor="text1"/>
        </w:rPr>
        <w:t xml:space="preserve">The key strength of </w:t>
      </w:r>
      <w:r w:rsidR="00C262E5" w:rsidRPr="0062673F">
        <w:rPr>
          <w:color w:val="000000" w:themeColor="text1"/>
        </w:rPr>
        <w:t xml:space="preserve">this analysis </w:t>
      </w:r>
      <w:r w:rsidRPr="0062673F">
        <w:rPr>
          <w:color w:val="000000" w:themeColor="text1"/>
        </w:rPr>
        <w:t xml:space="preserve">is </w:t>
      </w:r>
      <w:r w:rsidR="00C262E5" w:rsidRPr="0062673F">
        <w:rPr>
          <w:color w:val="000000" w:themeColor="text1"/>
        </w:rPr>
        <w:t xml:space="preserve">that it </w:t>
      </w:r>
      <w:r w:rsidRPr="0062673F">
        <w:rPr>
          <w:color w:val="000000" w:themeColor="text1"/>
        </w:rPr>
        <w:t>extend</w:t>
      </w:r>
      <w:r w:rsidR="00C262E5" w:rsidRPr="0062673F">
        <w:rPr>
          <w:color w:val="000000" w:themeColor="text1"/>
        </w:rPr>
        <w:t>s</w:t>
      </w:r>
      <w:r w:rsidRPr="0062673F">
        <w:rPr>
          <w:color w:val="000000" w:themeColor="text1"/>
        </w:rPr>
        <w:t xml:space="preserve"> previous work on the impact of </w:t>
      </w:r>
      <w:r w:rsidR="00C70062" w:rsidRPr="0062673F">
        <w:rPr>
          <w:color w:val="000000" w:themeColor="text1"/>
        </w:rPr>
        <w:t>less-</w:t>
      </w:r>
      <w:r w:rsidR="00323D59" w:rsidRPr="0062673F">
        <w:rPr>
          <w:color w:val="000000" w:themeColor="text1"/>
        </w:rPr>
        <w:t xml:space="preserve">healthy </w:t>
      </w:r>
      <w:r w:rsidR="00C36DEB" w:rsidRPr="0062673F">
        <w:rPr>
          <w:color w:val="000000" w:themeColor="text1"/>
        </w:rPr>
        <w:t xml:space="preserve">television </w:t>
      </w:r>
      <w:r w:rsidR="00323D59" w:rsidRPr="0062673F">
        <w:rPr>
          <w:color w:val="000000" w:themeColor="text1"/>
        </w:rPr>
        <w:t xml:space="preserve">food advertising </w:t>
      </w:r>
      <w:r w:rsidRPr="0062673F">
        <w:rPr>
          <w:color w:val="000000" w:themeColor="text1"/>
        </w:rPr>
        <w:t xml:space="preserve">on children’s calorie </w:t>
      </w:r>
      <w:r w:rsidR="00323D59" w:rsidRPr="0062673F">
        <w:rPr>
          <w:color w:val="000000" w:themeColor="text1"/>
        </w:rPr>
        <w:t>consumption</w:t>
      </w:r>
      <w:r w:rsidRPr="0062673F">
        <w:rPr>
          <w:color w:val="000000" w:themeColor="text1"/>
        </w:rPr>
        <w:t xml:space="preserve"> to quantify the impact on </w:t>
      </w:r>
      <w:r w:rsidR="00DD7A15" w:rsidRPr="0062673F">
        <w:rPr>
          <w:color w:val="000000" w:themeColor="text1"/>
        </w:rPr>
        <w:t xml:space="preserve">overweight, </w:t>
      </w:r>
      <w:r w:rsidR="009D3930" w:rsidRPr="0062673F">
        <w:rPr>
          <w:color w:val="000000" w:themeColor="text1"/>
        </w:rPr>
        <w:t xml:space="preserve">obesity and </w:t>
      </w:r>
      <w:r w:rsidRPr="0062673F">
        <w:rPr>
          <w:color w:val="000000" w:themeColor="text1"/>
        </w:rPr>
        <w:t>health of a proposed policy to restrict HFSS</w:t>
      </w:r>
      <w:r w:rsidR="00323D59" w:rsidRPr="0062673F">
        <w:rPr>
          <w:color w:val="000000" w:themeColor="text1"/>
        </w:rPr>
        <w:t xml:space="preserve"> advertising on television in the UK</w:t>
      </w:r>
      <w:r w:rsidRPr="0062673F">
        <w:rPr>
          <w:color w:val="000000" w:themeColor="text1"/>
        </w:rPr>
        <w:t>. In doing this we have built on the approach used by others</w:t>
      </w:r>
      <w:r w:rsidR="006F06C1">
        <w:rPr>
          <w:color w:val="000000" w:themeColor="text1"/>
        </w:rPr>
        <w:t xml:space="preserve"> </w:t>
      </w:r>
      <w:r w:rsidR="009D3930"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9D3930" w:rsidRPr="0062673F">
        <w:rPr>
          <w:color w:val="000000" w:themeColor="text1"/>
        </w:rPr>
        <w:fldChar w:fldCharType="separate"/>
      </w:r>
      <w:r w:rsidR="0066542D" w:rsidRPr="0062673F">
        <w:rPr>
          <w:noProof/>
          <w:color w:val="000000" w:themeColor="text1"/>
        </w:rPr>
        <w:t>[30]</w:t>
      </w:r>
      <w:r w:rsidR="009D3930" w:rsidRPr="0062673F">
        <w:rPr>
          <w:color w:val="000000" w:themeColor="text1"/>
        </w:rPr>
        <w:fldChar w:fldCharType="end"/>
      </w:r>
      <w:r w:rsidRPr="0062673F">
        <w:rPr>
          <w:color w:val="000000" w:themeColor="text1"/>
        </w:rPr>
        <w:t xml:space="preserve"> and used a validated set of equations describing the relationship between calorie intake, physical activity and body fat mass</w:t>
      </w:r>
      <w:r w:rsidR="009D3930" w:rsidRPr="0062673F">
        <w:rPr>
          <w:color w:val="000000" w:themeColor="text1"/>
        </w:rPr>
        <w:fldChar w:fldCharType="begin" w:fldLock="1"/>
      </w:r>
      <w:r w:rsidR="00467360" w:rsidRPr="0062673F">
        <w:rPr>
          <w:color w:val="000000" w:themeColor="text1"/>
        </w:rPr>
        <w:instrText>ADDIN CSL_CITATION {"citationItems":[{"id":"ITEM-1","itemData":{"DOI":"10.1016/S2213-8587(13)70051-2","ISSN":"22138587","abstract":"&lt;h2&gt;Summary&lt;/h2&gt;&lt;h3&gt;Background&lt;/h3&gt;&lt;p&gt;Clinicians and policy makers need the ability to predict quantitatively how childhood bodyweight will respond to obesity interventions.&lt;/p&gt;&lt;h3&gt;Methods&lt;/h3&gt;&lt;p&gt;We developed and validated a mathematical model of childhood energy balance that accounts for healthy growth and development of obesity, and that makes quantitative predictions about weight-management interventions. The model was calibrated to reference body composition data in healthy children and validated by comparing model predictions with data other than those used to build the model.&lt;/p&gt;&lt;h3&gt;Findings&lt;/h3&gt;&lt;p&gt;The model accurately simulated the changes in body composition and energy expenditure reported in reference data during healthy growth, and predicted increases in energy intake from ages 5–18 years of roughly 1200 kcal per day in boys and 900 kcal per day in girls. Development of childhood obesity necessitated a substantially greater excess energy intake than for development of adult obesity. Furthermore, excess energy intake in overweight and obese children calculated by the model greatly exceeded the typical energy balance calculated on the basis of growth charts. At the population level, the excess weight of US children in 2003–06 was associated with a mean increase in energy intake of roughly 200 kcal per day per child compared with similar children in 1971–74. The model also suggests that therapeutic windows when children can outgrow obesity without losing weight might exist, especially during periods of high growth potential in boys who are not severely obese.&lt;/p&gt;&lt;h3&gt;Interpretation&lt;/h3&gt;&lt;p&gt;This model quantifies the energy excess underlying obesity and calculates the necessary intervention magnitude to achieve bodyweight change in children. Policy makers and clinicians now have a quantitative technique for understanding the childhood obesity epidemic and planning interventions to control it.&lt;/p&gt;&lt;h3&gt;Funding&lt;/h3&gt;&lt;p&gt;Intramural Research Program of the National Institutes of Health, National Institute of Diabetes and Digestive and Kidney Diseases.&lt;/p&gt;","author":[{"dropping-particle":"","family":"Hall","given":"Kevin D","non-dropping-particle":"","parse-names":false,"suffix":""},{"dropping-particle":"","family":"Butte","given":"Nancy F","non-dropping-particle":"","parse-names":false,"suffix":""},{"dropping-particle":"","family":"Swinburn","given":"Boyd A","non-dropping-particle":"","parse-names":false,"suffix":""},{"dropping-particle":"","family":"Chow","given":"Carson C","non-dropping-particle":"","parse-names":false,"suffix":""}],"container-title":"The Lancet Diabetes &amp; Endocrinology","id":"ITEM-1","issue":"2","issued":{"date-parts":[["2013","10","1"]]},"page":"97-105","publisher":"Elsevier","title":"Dynamics of childhood growth and obesity: development and validation of a quantitative mathematical model","type":"article-journal","volume":"1"},"uris":["http://www.mendeley.com/documents/?uuid=a79d4c23-d191-40f1-a54e-5f41ec7f77b6"]}],"mendeley":{"formattedCitation":"[34]","plainTextFormattedCitation":"[34]","previouslyFormattedCitation":"[34]"},"properties":{"noteIndex":0},"schema":"https://github.com/citation-style-language/schema/raw/master/csl-citation.json"}</w:instrText>
      </w:r>
      <w:r w:rsidR="009D3930" w:rsidRPr="0062673F">
        <w:rPr>
          <w:color w:val="000000" w:themeColor="text1"/>
        </w:rPr>
        <w:fldChar w:fldCharType="separate"/>
      </w:r>
      <w:r w:rsidR="0066542D" w:rsidRPr="0062673F">
        <w:rPr>
          <w:noProof/>
          <w:color w:val="000000" w:themeColor="text1"/>
        </w:rPr>
        <w:t>[34]</w:t>
      </w:r>
      <w:r w:rsidR="009D3930" w:rsidRPr="0062673F">
        <w:rPr>
          <w:color w:val="000000" w:themeColor="text1"/>
        </w:rPr>
        <w:fldChar w:fldCharType="end"/>
      </w:r>
      <w:r w:rsidR="0066542D" w:rsidRPr="0062673F">
        <w:rPr>
          <w:color w:val="000000" w:themeColor="text1"/>
        </w:rPr>
        <w:t>.</w:t>
      </w:r>
      <w:r w:rsidR="009D3930" w:rsidRPr="0062673F">
        <w:rPr>
          <w:color w:val="000000" w:themeColor="text1"/>
        </w:rPr>
        <w:t xml:space="preserve"> In contrast to the Australian </w:t>
      </w:r>
      <w:r w:rsidR="00C262E5" w:rsidRPr="0062673F">
        <w:rPr>
          <w:color w:val="000000" w:themeColor="text1"/>
        </w:rPr>
        <w:t>study</w:t>
      </w:r>
      <w:r w:rsidR="006F06C1">
        <w:rPr>
          <w:color w:val="000000" w:themeColor="text1"/>
        </w:rPr>
        <w:t xml:space="preserve"> </w:t>
      </w:r>
      <w:r w:rsidR="00B55504"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B55504" w:rsidRPr="0062673F">
        <w:rPr>
          <w:color w:val="000000" w:themeColor="text1"/>
        </w:rPr>
        <w:fldChar w:fldCharType="separate"/>
      </w:r>
      <w:r w:rsidR="0066542D" w:rsidRPr="0062673F">
        <w:rPr>
          <w:noProof/>
          <w:color w:val="000000" w:themeColor="text1"/>
        </w:rPr>
        <w:t>[30]</w:t>
      </w:r>
      <w:r w:rsidR="00B55504" w:rsidRPr="0062673F">
        <w:rPr>
          <w:color w:val="000000" w:themeColor="text1"/>
        </w:rPr>
        <w:fldChar w:fldCharType="end"/>
      </w:r>
      <w:r w:rsidR="006F06C1">
        <w:rPr>
          <w:color w:val="000000" w:themeColor="text1"/>
        </w:rPr>
        <w:t>,</w:t>
      </w:r>
      <w:r w:rsidR="009D3930" w:rsidRPr="0062673F">
        <w:rPr>
          <w:color w:val="000000" w:themeColor="text1"/>
        </w:rPr>
        <w:t xml:space="preserve"> we have used a recent and more comprehensive meta-analysis quantifying the impact of food advertising on calorie consumption</w:t>
      </w:r>
      <w:r w:rsidR="00F827A8" w:rsidRPr="0062673F">
        <w:rPr>
          <w:color w:val="000000" w:themeColor="text1"/>
        </w:rPr>
        <w:t>,</w:t>
      </w:r>
      <w:r w:rsidR="009D3930" w:rsidRPr="0062673F">
        <w:rPr>
          <w:color w:val="000000" w:themeColor="text1"/>
        </w:rPr>
        <w:t xml:space="preserve"> real and granular data on children’s exposure to HFSS advertising</w:t>
      </w:r>
      <w:r w:rsidR="00F827A8" w:rsidRPr="0062673F">
        <w:rPr>
          <w:color w:val="000000" w:themeColor="text1"/>
        </w:rPr>
        <w:t>,</w:t>
      </w:r>
      <w:r w:rsidR="00115A2C" w:rsidRPr="0062673F">
        <w:rPr>
          <w:color w:val="000000" w:themeColor="text1"/>
        </w:rPr>
        <w:t xml:space="preserve"> additionally explored the impact by SES,</w:t>
      </w:r>
      <w:r w:rsidR="009D3930" w:rsidRPr="0062673F">
        <w:rPr>
          <w:color w:val="000000" w:themeColor="text1"/>
        </w:rPr>
        <w:t xml:space="preserve"> and explored the potential impact of industry’s response to the policy.</w:t>
      </w:r>
      <w:r w:rsidR="00C70062" w:rsidRPr="0062673F">
        <w:rPr>
          <w:color w:val="000000" w:themeColor="text1"/>
        </w:rPr>
        <w:t xml:space="preserve"> While the results may not be generalisable per se, the method for quantifying the impact on children’s obesity and overweight can be readily generalised to other settings.</w:t>
      </w:r>
      <w:r w:rsidR="009D3930" w:rsidRPr="0062673F">
        <w:rPr>
          <w:color w:val="000000" w:themeColor="text1"/>
        </w:rPr>
        <w:t xml:space="preserve"> </w:t>
      </w:r>
    </w:p>
    <w:p w14:paraId="024002E3" w14:textId="06811295" w:rsidR="00177C2F" w:rsidRPr="0062673F" w:rsidRDefault="00177C2F" w:rsidP="009D3930">
      <w:pPr>
        <w:rPr>
          <w:color w:val="000000" w:themeColor="text1"/>
        </w:rPr>
      </w:pPr>
      <w:r w:rsidRPr="0062673F">
        <w:rPr>
          <w:color w:val="000000" w:themeColor="text1"/>
        </w:rPr>
        <w:t xml:space="preserve">Long-term trials or studies that could test the relationship between exposure to </w:t>
      </w:r>
      <w:r w:rsidR="00C40AB7" w:rsidRPr="0062673F">
        <w:rPr>
          <w:color w:val="000000" w:themeColor="text1"/>
        </w:rPr>
        <w:t>less-healthy</w:t>
      </w:r>
      <w:r w:rsidRPr="0062673F">
        <w:rPr>
          <w:color w:val="000000" w:themeColor="text1"/>
        </w:rPr>
        <w:t xml:space="preserve"> </w:t>
      </w:r>
      <w:r w:rsidR="00C40AB7" w:rsidRPr="0062673F">
        <w:rPr>
          <w:color w:val="000000" w:themeColor="text1"/>
        </w:rPr>
        <w:t>television</w:t>
      </w:r>
      <w:r w:rsidRPr="0062673F">
        <w:rPr>
          <w:color w:val="000000" w:themeColor="text1"/>
        </w:rPr>
        <w:t xml:space="preserve"> food advertising in children (or adults) and weight gain are likely to be </w:t>
      </w:r>
      <w:r w:rsidR="0041451A" w:rsidRPr="0062673F">
        <w:rPr>
          <w:color w:val="000000" w:themeColor="text1"/>
        </w:rPr>
        <w:t>impractical and unfeasible ethically. Modelling studies, such as this, will be an important means and possibly the only means to quantify the impact of less-healthy food advertising on obesity.</w:t>
      </w:r>
    </w:p>
    <w:p w14:paraId="366C42B3" w14:textId="6906147A" w:rsidR="00E91601" w:rsidRPr="0062673F" w:rsidRDefault="00E91601" w:rsidP="00C450A8">
      <w:pPr>
        <w:rPr>
          <w:b/>
          <w:color w:val="000000" w:themeColor="text1"/>
        </w:rPr>
      </w:pPr>
      <w:r w:rsidRPr="0062673F">
        <w:rPr>
          <w:b/>
          <w:color w:val="000000" w:themeColor="text1"/>
        </w:rPr>
        <w:t>Limitations: advertising data</w:t>
      </w:r>
    </w:p>
    <w:p w14:paraId="7A19F7D1" w14:textId="4B6F1AB9" w:rsidR="00F827A8" w:rsidRPr="0062673F" w:rsidRDefault="00C450A8" w:rsidP="00C450A8">
      <w:pPr>
        <w:rPr>
          <w:color w:val="000000" w:themeColor="text1"/>
        </w:rPr>
      </w:pPr>
      <w:r w:rsidRPr="0062673F">
        <w:rPr>
          <w:color w:val="000000" w:themeColor="text1"/>
        </w:rPr>
        <w:t>We have only considered the direct impact of advertising on children</w:t>
      </w:r>
      <w:r w:rsidR="00DD7A15" w:rsidRPr="0062673F">
        <w:rPr>
          <w:color w:val="000000" w:themeColor="text1"/>
        </w:rPr>
        <w:t>’s</w:t>
      </w:r>
      <w:r w:rsidR="00F827A8" w:rsidRPr="0062673F">
        <w:rPr>
          <w:color w:val="000000" w:themeColor="text1"/>
        </w:rPr>
        <w:t xml:space="preserve"> calorie intake. We have not considered the impact that HFSS food advertising has on changing dietary preferences and habits, which may have a meaningful impact on dietary behaviours of both children and adults and consequently their health. This will have led to an underestimate of the impact of HFSS advertising on </w:t>
      </w:r>
      <w:r w:rsidR="00DD7A15" w:rsidRPr="0062673F">
        <w:rPr>
          <w:color w:val="000000" w:themeColor="text1"/>
        </w:rPr>
        <w:t xml:space="preserve">both children’s and </w:t>
      </w:r>
      <w:r w:rsidR="00845EEB" w:rsidRPr="0062673F">
        <w:rPr>
          <w:color w:val="000000" w:themeColor="text1"/>
        </w:rPr>
        <w:t xml:space="preserve">adult’s </w:t>
      </w:r>
      <w:r w:rsidR="00F827A8" w:rsidRPr="0062673F">
        <w:rPr>
          <w:color w:val="000000" w:themeColor="text1"/>
        </w:rPr>
        <w:t>health.</w:t>
      </w:r>
    </w:p>
    <w:p w14:paraId="4956DF37" w14:textId="70D0637C" w:rsidR="005504E9" w:rsidRPr="0062673F" w:rsidRDefault="00F827A8" w:rsidP="005504E9">
      <w:pPr>
        <w:rPr>
          <w:color w:val="000000" w:themeColor="text1"/>
        </w:rPr>
      </w:pPr>
      <w:r w:rsidRPr="0062673F">
        <w:rPr>
          <w:color w:val="000000" w:themeColor="text1"/>
        </w:rPr>
        <w:t>Our estimates are based on short-term trials</w:t>
      </w:r>
      <w:r w:rsidR="005504E9" w:rsidRPr="0062673F">
        <w:rPr>
          <w:color w:val="000000" w:themeColor="text1"/>
        </w:rPr>
        <w:t xml:space="preserve"> that have </w:t>
      </w:r>
      <w:r w:rsidRPr="0062673F">
        <w:rPr>
          <w:color w:val="000000" w:themeColor="text1"/>
        </w:rPr>
        <w:t xml:space="preserve">shown an effect on calorie intake but, being of short duration, have not shown an effect on body weight. </w:t>
      </w:r>
      <w:r w:rsidR="005504E9" w:rsidRPr="0062673F">
        <w:rPr>
          <w:color w:val="000000" w:themeColor="text1"/>
        </w:rPr>
        <w:t xml:space="preserve">A feature of these trials is that children are presented with the opportunity to eat, either during or after watching television. The extent to which this is true in real-life, and thus the extent to which the </w:t>
      </w:r>
      <w:r w:rsidR="00DD7A15" w:rsidRPr="0062673F">
        <w:rPr>
          <w:color w:val="000000" w:themeColor="text1"/>
        </w:rPr>
        <w:t xml:space="preserve">results of these </w:t>
      </w:r>
      <w:r w:rsidR="005504E9" w:rsidRPr="0062673F">
        <w:rPr>
          <w:color w:val="000000" w:themeColor="text1"/>
        </w:rPr>
        <w:t xml:space="preserve">studies can reasonably be extrapolated, </w:t>
      </w:r>
      <w:r w:rsidR="00DD7A15" w:rsidRPr="0062673F">
        <w:rPr>
          <w:color w:val="000000" w:themeColor="text1"/>
        </w:rPr>
        <w:t xml:space="preserve">is </w:t>
      </w:r>
      <w:r w:rsidR="005504E9" w:rsidRPr="0062673F">
        <w:rPr>
          <w:color w:val="000000" w:themeColor="text1"/>
        </w:rPr>
        <w:t>unclear. However</w:t>
      </w:r>
      <w:r w:rsidR="00C36DEB" w:rsidRPr="0062673F">
        <w:rPr>
          <w:color w:val="000000" w:themeColor="text1"/>
        </w:rPr>
        <w:t>,</w:t>
      </w:r>
      <w:r w:rsidR="005504E9" w:rsidRPr="0062673F">
        <w:rPr>
          <w:color w:val="000000" w:themeColor="text1"/>
        </w:rPr>
        <w:t xml:space="preserve"> children’s television viewing occurs at home where food is likely to be readily available, much of the viewing occurs at or around meal times, and television viewing is associated with snacking</w:t>
      </w:r>
      <w:r w:rsidR="006F06C1">
        <w:rPr>
          <w:color w:val="000000" w:themeColor="text1"/>
        </w:rPr>
        <w:t xml:space="preserve"> </w:t>
      </w:r>
      <w:r w:rsidR="005504E9" w:rsidRPr="0062673F">
        <w:rPr>
          <w:color w:val="000000" w:themeColor="text1"/>
        </w:rPr>
        <w:fldChar w:fldCharType="begin" w:fldLock="1"/>
      </w:r>
      <w:r w:rsidR="00467360" w:rsidRPr="0062673F">
        <w:rPr>
          <w:color w:val="000000" w:themeColor="text1"/>
        </w:rPr>
        <w:instrText>ADDIN CSL_CITATION {"citationItems":[{"id":"ITEM-1","itemData":{"DOI":"10.23736/S0022-4707.17.06980-8","ISSN":"1827-1928","PMID":"28462567","abstract":"BACKGROUND Sedentary behaviors in adolescents are associated with using screen devices, analyzed as the total daily time in television viewing, using the computer and video game. However, an independent and clustered analysis of devices allows greater understanding of associations with physical inactivity domains and eating habits in adolescents. METHODS Sample of adolescents aged 10-17 years (N.=1011) from public and private schools, randomly selected. The use of screen devices was measured by hours per week spent in each device: TV, computer, videogames and mobile phone/tablet. Physical inactivity domains (school, leisure and sports), eating habits (weekly food consumption frequency) and socioeconomic status were assessed by questionnaire. RESULTS The prevalence of high use of mobile phone/tablet was 70% among adolescents, 63% showed high use of TV or computer and 24% reported high use of videogames. High use of videogames was greater among boys and high use of mobile phone/tablet was higher among girls. Significant associations of high use of TV (OR=1.43, 95% CI: 1.04-1.99), computer (OR=1.44, 95% CI: 1.03-2.02), videogames (OR=1.65, 95% CI: 1.13-2.69) and consumption of snacks were observed. High use of computer was associated with fried foods consumption (OR=1.32, 95% CI: 1.01-1.75) and physical inactivity (OR=1.41, 95% CI: 1.03-1.95). Mobile phone was associated with consumption of sweets (OR=1.33, 95% CI: 1.00-1.80). Cluster using screen devices showed associations with high consumption of snacks, fried foods and sweets, even after controlling for confounding variables. CONCLUSIONS The high use of screen devices was associated with high consumption of snacks, fried foods, sweets and physical inactivity in adolescents.","author":[{"dropping-particle":"","family":"Delfino","given":"Leandro D","non-dropping-particle":"","parse-names":false,"suffix":""},{"dropping-particle":"","family":"Santos Silva","given":"Diego A","non-dropping-particle":"Dos","parse-names":false,"suffix":""},{"dropping-particle":"","family":"Tebar","given":"William R","non-dropping-particle":"","parse-names":false,"suffix":""},{"dropping-particle":"","family":"Zanuto","given":"Edner F","non-dropping-particle":"","parse-names":false,"suffix":""},{"dropping-particle":"","family":"Codogno","given":"Jamile S","non-dropping-particle":"","parse-names":false,"suffix":""},{"dropping-particle":"","family":"Fernandes","given":"Rômulo A","non-dropping-particle":"","parse-names":false,"suffix":""},{"dropping-particle":"","family":"Christofaro","given":"Diego G","non-dropping-particle":"","parse-names":false,"suffix":""}],"container-title":"The Journal of sports medicine and physical fitness","id":"ITEM-1","issue":"3","issued":{"date-parts":[["2018","3"]]},"page":"318-325","title":"Screen time by different devices in adolescents: association with physical inactivity domains and eating habits.","type":"article-journal","volume":"58"},"uris":["http://www.mendeley.com/documents/?uuid=b604dd48-028a-38f7-8b86-ccc2a7edc735"]},{"id":"ITEM-2","itemData":{"DOI":"10.1186/s12889-018-5698-9","ISSN":"1471-2458","PMID":"29914455","abstract":"BACKGROUND Screen-time and unhealthy dietary behaviours are highly pervasive in young children and evidence suggests that these behaviours often co-occur and are associated. Identifying clusters of unhealthy behaviours, and their influences early in childhood, can assist in the development of targeted preventive interventions. The purpose of this study was to examine the sociodemographic, behavioural, and home physical environmental correlates of co-occurring screen-time and unhealthy eating behaviours and to assess the clustering of screen-time and unhealthy dietary behaviours in young children. METHODS Parents of 126 children, from the UK, aged 5-6 years (49% boys) completed a questionnaire which assessed their child's screen-time (ST), fruit and vegetable (FV), and energy-dense (ED) snack consumption. Categories of health behaviours were created based on frequencies of children meeting recommendations for FV and ST and median splits of frequencies for ED snacks. Parents reported on their own behaviours (ST, FV, and ED snack consumption), how often they ate meals and watched TV with their child, and on the availability and accessibility of foods within the home. An observed over expected ratio (O/E) was used to assess behavioural clustering. Multivariable multinomial logistic regression was used to examine correlates of behaviour patterns. RESULTS Approximately 25% of children had two or three health risk behaviours. Correlates consistently associated with clusters included parental income, eating meals at the TV, parental ST and ED snack food consumption, and home availability of ED snack foods. Observed over expected ratios were close to 1 and ranged from 0.78 to 1.43. The three-risk behaviour combination of insufficient FV consumption, high ED snack consumption, and excessive ST occurred more frequently than expected (1.23 (95% CI 0.89, 1.58)). CONCLUSIONS ST and unhealthy dietary behaviours cluster in children as young as 5 years of age and parents' own behaviours appear to be important influencing factors. Further research into the development of behavioural clustering in young children to identify and further understand the mechanisms underlying the synergy among health behaviours is needed. Feasibility interventions promoting reductions in both screen-time and unhealthy dietary behaviours reciprocally, while simultaneously focusing on changing parental behaviours, are warranted.","author":[{"dropping-particle":"","family":"Pearson","given":"Natalie","non-dropping-particle":"","parse-names":false,"suffix":""},{"dropping-particle":"","family":"Biddle","given":"Stuart J. H.","non-dropping-particle":"","parse-names":false,"suffix":""},{"dropping-particle":"","family":"Griffiths","given":"Paula","non-dropping-particle":"","parse-names":false,"suffix":""},{"dropping-particle":"","family":"Johnston","given":"Julie P.","non-dropping-particle":"","parse-names":false,"suffix":""},{"dropping-particle":"","family":"Haycraft","given":"Emma","non-dropping-particle":"","parse-names":false,"suffix":""}],"container-title":"BMC Public Health","id":"ITEM-2","issue":"1","issued":{"date-parts":[["2018","12","18"]]},"page":"753","title":"Clustering and correlates of screen-time and eating behaviours among young children","type":"article-journal","volume":"18"},"uris":["http://www.mendeley.com/documents/?uuid=9ae424a8-0616-373e-a1cf-fd9ad5d57589"]}],"mendeley":{"formattedCitation":"[54,55]","plainTextFormattedCitation":"[54,55]","previouslyFormattedCitation":"[53,54]"},"properties":{"noteIndex":0},"schema":"https://github.com/citation-style-language/schema/raw/master/csl-citation.json"}</w:instrText>
      </w:r>
      <w:r w:rsidR="005504E9" w:rsidRPr="0062673F">
        <w:rPr>
          <w:color w:val="000000" w:themeColor="text1"/>
        </w:rPr>
        <w:fldChar w:fldCharType="separate"/>
      </w:r>
      <w:r w:rsidR="00467360" w:rsidRPr="0062673F">
        <w:rPr>
          <w:noProof/>
          <w:color w:val="000000" w:themeColor="text1"/>
        </w:rPr>
        <w:t>[54,55]</w:t>
      </w:r>
      <w:r w:rsidR="005504E9" w:rsidRPr="0062673F">
        <w:rPr>
          <w:color w:val="000000" w:themeColor="text1"/>
        </w:rPr>
        <w:fldChar w:fldCharType="end"/>
      </w:r>
      <w:r w:rsidR="0066542D" w:rsidRPr="0062673F">
        <w:rPr>
          <w:color w:val="000000" w:themeColor="text1"/>
        </w:rPr>
        <w:t>.</w:t>
      </w:r>
      <w:r w:rsidR="005504E9" w:rsidRPr="0062673F">
        <w:rPr>
          <w:color w:val="000000" w:themeColor="text1"/>
        </w:rPr>
        <w:t xml:space="preserve"> The set of trials (n=11) included in the meta-analysis that we used, in contrast to the estimate</w:t>
      </w:r>
      <w:r w:rsidR="00FE2081" w:rsidRPr="0062673F">
        <w:rPr>
          <w:color w:val="000000" w:themeColor="text1"/>
        </w:rPr>
        <w:t xml:space="preserve"> based on three trials</w:t>
      </w:r>
      <w:r w:rsidR="005504E9" w:rsidRPr="0062673F">
        <w:rPr>
          <w:color w:val="000000" w:themeColor="text1"/>
        </w:rPr>
        <w:t xml:space="preserve"> used in the Australian study, include a range of setting</w:t>
      </w:r>
      <w:r w:rsidR="00DD7A15" w:rsidRPr="0062673F">
        <w:rPr>
          <w:color w:val="000000" w:themeColor="text1"/>
        </w:rPr>
        <w:t>s</w:t>
      </w:r>
      <w:r w:rsidR="005504E9" w:rsidRPr="0062673F">
        <w:rPr>
          <w:color w:val="000000" w:themeColor="text1"/>
        </w:rPr>
        <w:t xml:space="preserve">, </w:t>
      </w:r>
      <w:r w:rsidR="00DD7A15" w:rsidRPr="0062673F">
        <w:rPr>
          <w:color w:val="000000" w:themeColor="text1"/>
        </w:rPr>
        <w:t xml:space="preserve">including </w:t>
      </w:r>
      <w:r w:rsidR="005504E9" w:rsidRPr="0062673F">
        <w:rPr>
          <w:color w:val="000000" w:themeColor="text1"/>
        </w:rPr>
        <w:t>more naturalistic settings (e.g. schools, holiday camps)</w:t>
      </w:r>
      <w:r w:rsidR="006F06C1">
        <w:rPr>
          <w:color w:val="000000" w:themeColor="text1"/>
        </w:rPr>
        <w:t xml:space="preserve"> </w:t>
      </w:r>
      <w:r w:rsidR="005504E9"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mendeley":{"formattedCitation":"[19]","plainTextFormattedCitation":"[19]","previouslyFormattedCitation":"[19]"},"properties":{"noteIndex":0},"schema":"https://github.com/citation-style-language/schema/raw/master/csl-citation.json"}</w:instrText>
      </w:r>
      <w:r w:rsidR="005504E9" w:rsidRPr="0062673F">
        <w:rPr>
          <w:color w:val="000000" w:themeColor="text1"/>
        </w:rPr>
        <w:fldChar w:fldCharType="separate"/>
      </w:r>
      <w:r w:rsidR="0066542D" w:rsidRPr="0062673F">
        <w:rPr>
          <w:noProof/>
          <w:color w:val="000000" w:themeColor="text1"/>
        </w:rPr>
        <w:t>[19]</w:t>
      </w:r>
      <w:r w:rsidR="005504E9" w:rsidRPr="0062673F">
        <w:rPr>
          <w:color w:val="000000" w:themeColor="text1"/>
        </w:rPr>
        <w:fldChar w:fldCharType="end"/>
      </w:r>
      <w:r w:rsidR="0066542D" w:rsidRPr="0062673F">
        <w:rPr>
          <w:color w:val="000000" w:themeColor="text1"/>
        </w:rPr>
        <w:t>.</w:t>
      </w:r>
      <w:r w:rsidR="00323D59" w:rsidRPr="0062673F">
        <w:rPr>
          <w:color w:val="000000" w:themeColor="text1"/>
        </w:rPr>
        <w:t xml:space="preserve"> </w:t>
      </w:r>
      <w:bookmarkStart w:id="2" w:name="_Hlk41514125"/>
      <w:r w:rsidR="00841797" w:rsidRPr="0062673F">
        <w:rPr>
          <w:color w:val="000000" w:themeColor="text1"/>
        </w:rPr>
        <w:t>We have assumed a linear relationship between cumulative advertising exposure (measured in time) and calorie consumption.</w:t>
      </w:r>
      <w:r w:rsidR="00845EEB" w:rsidRPr="0062673F">
        <w:rPr>
          <w:color w:val="000000" w:themeColor="text1"/>
        </w:rPr>
        <w:t xml:space="preserve"> We have not explicitly explored other relationships (e.g. assuming non-linear relationships or accounting for frequency of exposure), which may affect the outcomes</w:t>
      </w:r>
      <w:bookmarkEnd w:id="2"/>
      <w:r w:rsidR="00845EEB" w:rsidRPr="0062673F">
        <w:rPr>
          <w:color w:val="000000" w:themeColor="text1"/>
        </w:rPr>
        <w:t>.</w:t>
      </w:r>
      <w:r w:rsidR="00841797" w:rsidRPr="0062673F">
        <w:rPr>
          <w:color w:val="000000" w:themeColor="text1"/>
        </w:rPr>
        <w:t xml:space="preserve"> </w:t>
      </w:r>
      <w:r w:rsidR="00323D59" w:rsidRPr="0062673F">
        <w:rPr>
          <w:color w:val="000000" w:themeColor="text1"/>
        </w:rPr>
        <w:t>We note the heterogeneity within and wide confidence intervals in</w:t>
      </w:r>
      <w:r w:rsidR="00845EEB" w:rsidRPr="0062673F">
        <w:rPr>
          <w:color w:val="000000" w:themeColor="text1"/>
        </w:rPr>
        <w:t xml:space="preserve"> (</w:t>
      </w:r>
      <w:r w:rsidR="00323D59" w:rsidRPr="0062673F">
        <w:rPr>
          <w:color w:val="000000" w:themeColor="text1"/>
        </w:rPr>
        <w:t>the lower bound of which is close to zero</w:t>
      </w:r>
      <w:r w:rsidR="00845EEB" w:rsidRPr="0062673F">
        <w:rPr>
          <w:color w:val="000000" w:themeColor="text1"/>
        </w:rPr>
        <w:t>)</w:t>
      </w:r>
      <w:r w:rsidR="00323D59" w:rsidRPr="0062673F">
        <w:rPr>
          <w:color w:val="000000" w:themeColor="text1"/>
        </w:rPr>
        <w:t xml:space="preserve"> the meta-analysis</w:t>
      </w:r>
      <w:r w:rsidR="00845EEB" w:rsidRPr="0062673F">
        <w:rPr>
          <w:color w:val="000000" w:themeColor="text1"/>
        </w:rPr>
        <w:t xml:space="preserve"> describing the effect of less-healthy food advertising on calorie consumption</w:t>
      </w:r>
      <w:r w:rsidR="00323D59" w:rsidRPr="0062673F">
        <w:rPr>
          <w:color w:val="000000" w:themeColor="text1"/>
        </w:rPr>
        <w:t xml:space="preserve"> that we used</w:t>
      </w:r>
      <w:r w:rsidR="006F06C1">
        <w:rPr>
          <w:color w:val="000000" w:themeColor="text1"/>
        </w:rPr>
        <w:t xml:space="preserve"> </w:t>
      </w:r>
      <w:r w:rsidR="00323D59" w:rsidRPr="0062673F">
        <w:rPr>
          <w:color w:val="000000" w:themeColor="text1"/>
        </w:rPr>
        <w:fldChar w:fldCharType="begin" w:fldLock="1"/>
      </w:r>
      <w:r w:rsidR="00467360" w:rsidRPr="0062673F">
        <w:rPr>
          <w:color w:val="000000" w:themeColor="text1"/>
        </w:rPr>
        <w:instrText>ADDIN CSL_CITATION {"citationItems":[{"id":"ITEM-1","itemData":{"DOI":"10.1111/obr.12812","ISSN":"14677881","PMID":"30576057","abstract":"Evidence indicates that screen advertising for unhealthy food results in significant increases in dietary intake among children. This review was undertaken with the main aim of estimating the quantitative effect of screen advertising in experimental and nonexperimental conditions on children's dietary intake. Systematic searches were undertaken of interdisciplinary databases. Studies from 1980 to April 2018, all geography and languages, were included; participants were children and adolescents aged between 2 and 18 years; the intervention was screen advertising; and the outcome was dietary intake. Meta-analyses were conducted for measured and nonmeasured outcomes. Food advertising was found to increase dietary intake among children (age range 2-14, mean 8.8 years) in experimental conditions for television (TV) advertising and advergames. Meta-analysis revealed that children exposed to food advertising on TV (11 studies) and advergames (five studies) respectively consumed an average 60.0 kcal (95% confidence interval [CI], 3.1-116.9) and 53.2 kcal (95% CI, 31.5-74.9) more than children exposed to nonfood advertising. There was also an effect by body mass index (BMI). Findings from nonexperimental studies revealed that exposure to TV food advertising was positively associated with and predictive of dietary intake in children. Short-term exposure to unhealthy food advertising on TV and advergames increases immediate calorie consumption in children.","author":[{"dropping-particle":"","family":"Russell","given":"Simon J.","non-dropping-particle":"","parse-names":false,"suffix":""},{"dropping-particle":"","family":"Croker","given":"Helen","non-dropping-particle":"","parse-names":false,"suffix":""},{"dropping-particle":"","family":"Viner","given":"Russell M.","non-dropping-particle":"","parse-names":false,"suffix":""}],"container-title":"Obesity Reviews","id":"ITEM-1","issued":{"date-parts":[["2018","12","21"]]},"title":"The effect of screen advertising on children's dietary intake: A systematic review and meta-analysis","type":"article-journal"},"uris":["http://www.mendeley.com/documents/?uuid=28da32d5-400d-30e5-8a68-bc684c6afcb1"]}],"mendeley":{"formattedCitation":"[19]","plainTextFormattedCitation":"[19]","previouslyFormattedCitation":"[19]"},"properties":{"noteIndex":0},"schema":"https://github.com/citation-style-language/schema/raw/master/csl-citation.json"}</w:instrText>
      </w:r>
      <w:r w:rsidR="00323D59" w:rsidRPr="0062673F">
        <w:rPr>
          <w:color w:val="000000" w:themeColor="text1"/>
        </w:rPr>
        <w:fldChar w:fldCharType="separate"/>
      </w:r>
      <w:r w:rsidR="0066542D" w:rsidRPr="0062673F">
        <w:rPr>
          <w:noProof/>
          <w:color w:val="000000" w:themeColor="text1"/>
        </w:rPr>
        <w:t>[19]</w:t>
      </w:r>
      <w:r w:rsidR="00323D59" w:rsidRPr="0062673F">
        <w:rPr>
          <w:color w:val="000000" w:themeColor="text1"/>
        </w:rPr>
        <w:fldChar w:fldCharType="end"/>
      </w:r>
      <w:r w:rsidR="0066542D" w:rsidRPr="0062673F">
        <w:rPr>
          <w:color w:val="000000" w:themeColor="text1"/>
        </w:rPr>
        <w:t>.</w:t>
      </w:r>
      <w:r w:rsidR="00323D59" w:rsidRPr="0062673F">
        <w:rPr>
          <w:color w:val="000000" w:themeColor="text1"/>
        </w:rPr>
        <w:t xml:space="preserve"> It is possible that heterogeneity in study design and settings may account for some of this heterogeneity.</w:t>
      </w:r>
    </w:p>
    <w:p w14:paraId="589B8EC4" w14:textId="79E8FC72" w:rsidR="00E91601" w:rsidRPr="0062673F" w:rsidRDefault="00323D59" w:rsidP="00E91601">
      <w:pPr>
        <w:rPr>
          <w:color w:val="000000" w:themeColor="text1"/>
        </w:rPr>
      </w:pPr>
      <w:r w:rsidRPr="0062673F">
        <w:rPr>
          <w:color w:val="000000" w:themeColor="text1"/>
        </w:rPr>
        <w:t xml:space="preserve">From the information we had we were </w:t>
      </w:r>
      <w:r w:rsidR="00E91601" w:rsidRPr="0062673F">
        <w:rPr>
          <w:color w:val="000000" w:themeColor="text1"/>
        </w:rPr>
        <w:t xml:space="preserve">not able to </w:t>
      </w:r>
      <w:r w:rsidRPr="0062673F">
        <w:rPr>
          <w:color w:val="000000" w:themeColor="text1"/>
        </w:rPr>
        <w:t xml:space="preserve">definitively </w:t>
      </w:r>
      <w:r w:rsidR="00E91601" w:rsidRPr="0062673F">
        <w:rPr>
          <w:color w:val="000000" w:themeColor="text1"/>
        </w:rPr>
        <w:t>classify all adverts</w:t>
      </w:r>
      <w:r w:rsidR="00DD7A15" w:rsidRPr="0062673F">
        <w:rPr>
          <w:color w:val="000000" w:themeColor="text1"/>
        </w:rPr>
        <w:t xml:space="preserve"> according to whether they show HFSS foods or not</w:t>
      </w:r>
      <w:r w:rsidR="0096296B" w:rsidRPr="0062673F">
        <w:rPr>
          <w:color w:val="000000" w:themeColor="text1"/>
        </w:rPr>
        <w:t xml:space="preserve">. </w:t>
      </w:r>
      <w:r w:rsidR="00E91601" w:rsidRPr="0062673F">
        <w:rPr>
          <w:color w:val="000000" w:themeColor="text1"/>
        </w:rPr>
        <w:t xml:space="preserve">However, </w:t>
      </w:r>
      <w:r w:rsidR="0096296B" w:rsidRPr="0062673F">
        <w:rPr>
          <w:color w:val="000000" w:themeColor="text1"/>
        </w:rPr>
        <w:t xml:space="preserve">sensitivity analyses suggest </w:t>
      </w:r>
      <w:r w:rsidR="00E91601" w:rsidRPr="0062673F">
        <w:rPr>
          <w:color w:val="000000" w:themeColor="text1"/>
        </w:rPr>
        <w:t>the overall impact of this</w:t>
      </w:r>
      <w:r w:rsidR="0096296B" w:rsidRPr="0062673F">
        <w:rPr>
          <w:color w:val="000000" w:themeColor="text1"/>
        </w:rPr>
        <w:t xml:space="preserve"> uncertainty</w:t>
      </w:r>
      <w:r w:rsidR="00E91601" w:rsidRPr="0062673F">
        <w:rPr>
          <w:color w:val="000000" w:themeColor="text1"/>
        </w:rPr>
        <w:t xml:space="preserve"> was relatively small, compared to other sources of uncertainty.</w:t>
      </w:r>
    </w:p>
    <w:p w14:paraId="76C7221B" w14:textId="6F747796" w:rsidR="00E91601" w:rsidRPr="0062673F" w:rsidRDefault="00372DE0" w:rsidP="00E91601">
      <w:pPr>
        <w:rPr>
          <w:color w:val="000000" w:themeColor="text1"/>
        </w:rPr>
      </w:pPr>
      <w:r w:rsidRPr="0062673F">
        <w:rPr>
          <w:color w:val="000000" w:themeColor="text1"/>
        </w:rPr>
        <w:t xml:space="preserve">We have only considered one form of advertising media (television), in part reflecting the </w:t>
      </w:r>
      <w:r w:rsidR="00A61C40" w:rsidRPr="0062673F">
        <w:rPr>
          <w:color w:val="000000" w:themeColor="text1"/>
        </w:rPr>
        <w:t>absence of good data on exposure to advertising on other media</w:t>
      </w:r>
      <w:r w:rsidR="00B96E28" w:rsidRPr="0062673F">
        <w:rPr>
          <w:color w:val="000000" w:themeColor="text1"/>
        </w:rPr>
        <w:t xml:space="preserve"> or its effects on consumption</w:t>
      </w:r>
      <w:r w:rsidRPr="0062673F">
        <w:rPr>
          <w:color w:val="000000" w:themeColor="text1"/>
        </w:rPr>
        <w:t xml:space="preserve">. </w:t>
      </w:r>
      <w:r w:rsidR="00E91601" w:rsidRPr="0062673F">
        <w:rPr>
          <w:color w:val="000000" w:themeColor="text1"/>
        </w:rPr>
        <w:t>Children’s television viewing has declined in recent years,</w:t>
      </w:r>
      <w:r w:rsidR="005262BA" w:rsidRPr="0062673F">
        <w:rPr>
          <w:color w:val="000000" w:themeColor="text1"/>
        </w:rPr>
        <w:t xml:space="preserve"> and shifted towards digital viewing</w:t>
      </w:r>
      <w:r w:rsidR="006F06C1">
        <w:rPr>
          <w:color w:val="000000" w:themeColor="text1"/>
        </w:rPr>
        <w:t xml:space="preserve"> </w:t>
      </w:r>
      <w:r w:rsidR="00A61C40" w:rsidRPr="0062673F">
        <w:rPr>
          <w:color w:val="000000" w:themeColor="text1"/>
        </w:rPr>
        <w:fldChar w:fldCharType="begin" w:fldLock="1"/>
      </w:r>
      <w:r w:rsidR="00467360" w:rsidRPr="0062673F">
        <w:rPr>
          <w:color w:val="000000" w:themeColor="text1"/>
        </w:rPr>
        <w:instrText>ADDIN CSL_CITATION {"citationItems":[{"id":"ITEM-1","itemData":{"author":[{"dropping-particle":"","family":"BARB","given":"","non-dropping-particle":"","parse-names":false,"suffix":""}],"id":"ITEM-1","issued":{"date-parts":[["2018"]]},"publisher-place":"London","title":"TRENDS IN TELEVISION VIEWING","type":"report"},"uris":["http://www.mendeley.com/documents/?uuid=e04257fd-291a-41c8-8a98-a2c4bd5aecb9"]}],"mendeley":{"formattedCitation":"[56]","plainTextFormattedCitation":"[56]","previouslyFormattedCitation":"[55]"},"properties":{"noteIndex":0},"schema":"https://github.com/citation-style-language/schema/raw/master/csl-citation.json"}</w:instrText>
      </w:r>
      <w:r w:rsidR="00A61C40" w:rsidRPr="0062673F">
        <w:rPr>
          <w:color w:val="000000" w:themeColor="text1"/>
        </w:rPr>
        <w:fldChar w:fldCharType="separate"/>
      </w:r>
      <w:r w:rsidR="00467360" w:rsidRPr="0062673F">
        <w:rPr>
          <w:noProof/>
          <w:color w:val="000000" w:themeColor="text1"/>
        </w:rPr>
        <w:t>[56]</w:t>
      </w:r>
      <w:r w:rsidR="00A61C40" w:rsidRPr="0062673F">
        <w:rPr>
          <w:color w:val="000000" w:themeColor="text1"/>
        </w:rPr>
        <w:fldChar w:fldCharType="end"/>
      </w:r>
      <w:r w:rsidR="0066542D" w:rsidRPr="0062673F">
        <w:rPr>
          <w:color w:val="000000" w:themeColor="text1"/>
        </w:rPr>
        <w:t>.</w:t>
      </w:r>
      <w:r w:rsidRPr="0062673F">
        <w:rPr>
          <w:color w:val="000000" w:themeColor="text1"/>
        </w:rPr>
        <w:t xml:space="preserve"> Nonetheless currently television viewing is </w:t>
      </w:r>
      <w:r w:rsidR="00A61C40" w:rsidRPr="0062673F">
        <w:rPr>
          <w:color w:val="000000" w:themeColor="text1"/>
        </w:rPr>
        <w:t>likely to be an important source of exposure</w:t>
      </w:r>
      <w:r w:rsidR="00DD7A15" w:rsidRPr="0062673F">
        <w:rPr>
          <w:color w:val="000000" w:themeColor="text1"/>
        </w:rPr>
        <w:t xml:space="preserve"> to video-based advertisements</w:t>
      </w:r>
      <w:r w:rsidR="006F06C1">
        <w:rPr>
          <w:color w:val="000000" w:themeColor="text1"/>
        </w:rPr>
        <w:t xml:space="preserve"> </w:t>
      </w:r>
      <w:r w:rsidR="00A61C40"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 &amp; Social Care","given":"","non-dropping-particle":"","parse-names":false,"suffix":""},{"dropping-particle":"","family":"Department for Digital, Culture","given":"Media &amp; Sport","non-dropping-particle":"","parse-names":false,"suffix":""}],"id":"ITEM-1","issued":{"date-parts":[["2019"]]},"publisher-place":"London","title":"Introducing further advertising restrictions on TV and online for products high in fat, sugar and salt (HFSS)","type":"report"},"uris":["http://www.mendeley.com/documents/?uuid=8826fe16-15e1-4b07-8925-4433cb319256"]}],"mendeley":{"formattedCitation":"[57]","plainTextFormattedCitation":"[57]","previouslyFormattedCitation":"[56]"},"properties":{"noteIndex":0},"schema":"https://github.com/citation-style-language/schema/raw/master/csl-citation.json"}</w:instrText>
      </w:r>
      <w:r w:rsidR="00A61C40" w:rsidRPr="0062673F">
        <w:rPr>
          <w:color w:val="000000" w:themeColor="text1"/>
        </w:rPr>
        <w:fldChar w:fldCharType="separate"/>
      </w:r>
      <w:r w:rsidR="00467360" w:rsidRPr="0062673F">
        <w:rPr>
          <w:noProof/>
          <w:color w:val="000000" w:themeColor="text1"/>
        </w:rPr>
        <w:t>[57]</w:t>
      </w:r>
      <w:r w:rsidR="00A61C40" w:rsidRPr="0062673F">
        <w:rPr>
          <w:color w:val="000000" w:themeColor="text1"/>
        </w:rPr>
        <w:fldChar w:fldCharType="end"/>
      </w:r>
      <w:r w:rsidR="0066542D" w:rsidRPr="0062673F">
        <w:rPr>
          <w:color w:val="000000" w:themeColor="text1"/>
        </w:rPr>
        <w:t>.</w:t>
      </w:r>
      <w:r w:rsidR="00A61C40" w:rsidRPr="0062673F">
        <w:rPr>
          <w:color w:val="000000" w:themeColor="text1"/>
        </w:rPr>
        <w:t xml:space="preserve"> </w:t>
      </w:r>
      <w:r w:rsidR="00E91601" w:rsidRPr="0062673F">
        <w:rPr>
          <w:color w:val="000000" w:themeColor="text1"/>
        </w:rPr>
        <w:t xml:space="preserve">If the downward trend in </w:t>
      </w:r>
      <w:r w:rsidR="00A61C40" w:rsidRPr="0062673F">
        <w:rPr>
          <w:color w:val="000000" w:themeColor="text1"/>
        </w:rPr>
        <w:t xml:space="preserve">television exposure is associated with a downward trend in </w:t>
      </w:r>
      <w:r w:rsidR="00E91601" w:rsidRPr="0062673F">
        <w:rPr>
          <w:color w:val="000000" w:themeColor="text1"/>
        </w:rPr>
        <w:t>HFSS advertising exposure</w:t>
      </w:r>
      <w:r w:rsidR="00A61C40" w:rsidRPr="0062673F">
        <w:rPr>
          <w:color w:val="000000" w:themeColor="text1"/>
        </w:rPr>
        <w:t xml:space="preserve"> (i.e. assuming the pattern, frequency and duration of advertising has not changed)</w:t>
      </w:r>
      <w:r w:rsidR="00E91601" w:rsidRPr="0062673F">
        <w:rPr>
          <w:color w:val="000000" w:themeColor="text1"/>
        </w:rPr>
        <w:t xml:space="preserve"> and </w:t>
      </w:r>
      <w:r w:rsidR="00A61C40" w:rsidRPr="0062673F">
        <w:rPr>
          <w:color w:val="000000" w:themeColor="text1"/>
        </w:rPr>
        <w:t xml:space="preserve">it </w:t>
      </w:r>
      <w:r w:rsidR="00E91601" w:rsidRPr="0062673F">
        <w:rPr>
          <w:color w:val="000000" w:themeColor="text1"/>
        </w:rPr>
        <w:t>were to continue, then our results are likely to have over</w:t>
      </w:r>
      <w:r w:rsidR="00185A12" w:rsidRPr="0062673F">
        <w:rPr>
          <w:color w:val="000000" w:themeColor="text1"/>
        </w:rPr>
        <w:t>estimated the impact of television advertising restrictions on</w:t>
      </w:r>
      <w:r w:rsidR="00E91601" w:rsidRPr="0062673F">
        <w:rPr>
          <w:color w:val="000000" w:themeColor="text1"/>
        </w:rPr>
        <w:t xml:space="preserve"> child</w:t>
      </w:r>
      <w:r w:rsidR="00185A12" w:rsidRPr="0062673F">
        <w:rPr>
          <w:color w:val="000000" w:themeColor="text1"/>
        </w:rPr>
        <w:t>ren’s</w:t>
      </w:r>
      <w:r w:rsidR="00E91601" w:rsidRPr="0062673F">
        <w:rPr>
          <w:color w:val="000000" w:themeColor="text1"/>
        </w:rPr>
        <w:t xml:space="preserve"> weight status.</w:t>
      </w:r>
      <w:r w:rsidR="00185A12" w:rsidRPr="0062673F">
        <w:rPr>
          <w:color w:val="000000" w:themeColor="text1"/>
        </w:rPr>
        <w:t xml:space="preserve"> </w:t>
      </w:r>
    </w:p>
    <w:p w14:paraId="0C2EC911" w14:textId="5B70B618" w:rsidR="00D048F4" w:rsidRPr="0062673F" w:rsidRDefault="00B53CFA" w:rsidP="00E91601">
      <w:pPr>
        <w:rPr>
          <w:color w:val="000000" w:themeColor="text1"/>
        </w:rPr>
      </w:pPr>
      <w:r w:rsidRPr="0062673F">
        <w:rPr>
          <w:color w:val="000000" w:themeColor="text1"/>
        </w:rPr>
        <w:t xml:space="preserve">We have assumed that children aged 5 years watch the same television </w:t>
      </w:r>
      <w:r w:rsidR="00473D3E" w:rsidRPr="0062673F">
        <w:rPr>
          <w:color w:val="000000" w:themeColor="text1"/>
        </w:rPr>
        <w:t>as</w:t>
      </w:r>
      <w:r w:rsidR="00C36DEB" w:rsidRPr="0062673F">
        <w:rPr>
          <w:color w:val="000000" w:themeColor="text1"/>
        </w:rPr>
        <w:t xml:space="preserve"> </w:t>
      </w:r>
      <w:r w:rsidRPr="0062673F">
        <w:rPr>
          <w:color w:val="000000" w:themeColor="text1"/>
        </w:rPr>
        <w:t xml:space="preserve">children aged 14 years. This </w:t>
      </w:r>
      <w:r w:rsidR="0096296B" w:rsidRPr="0062673F">
        <w:rPr>
          <w:color w:val="000000" w:themeColor="text1"/>
        </w:rPr>
        <w:t>assumption</w:t>
      </w:r>
      <w:r w:rsidRPr="0062673F">
        <w:rPr>
          <w:color w:val="000000" w:themeColor="text1"/>
        </w:rPr>
        <w:t xml:space="preserve"> may have failed to capture important differences in the impact of the policy by age, particularly under a scenario of a</w:t>
      </w:r>
      <w:r w:rsidR="00845EEB" w:rsidRPr="0062673F">
        <w:rPr>
          <w:color w:val="000000" w:themeColor="text1"/>
        </w:rPr>
        <w:t xml:space="preserve">dvertising shifting to after </w:t>
      </w:r>
      <w:r w:rsidR="008F406E">
        <w:rPr>
          <w:color w:val="000000" w:themeColor="text1"/>
        </w:rPr>
        <w:t>21.00 hours</w:t>
      </w:r>
      <w:r w:rsidRPr="0062673F">
        <w:rPr>
          <w:color w:val="000000" w:themeColor="text1"/>
        </w:rPr>
        <w:t xml:space="preserve"> (scenario B).</w:t>
      </w:r>
      <w:r w:rsidR="00D048F4" w:rsidRPr="0062673F">
        <w:rPr>
          <w:color w:val="000000" w:themeColor="text1"/>
        </w:rPr>
        <w:t xml:space="preserve"> </w:t>
      </w:r>
    </w:p>
    <w:p w14:paraId="1380BBC5" w14:textId="0E06997A" w:rsidR="00B53CFA" w:rsidRPr="0062673F" w:rsidRDefault="00D048F4" w:rsidP="00E91601">
      <w:pPr>
        <w:rPr>
          <w:color w:val="000000" w:themeColor="text1"/>
        </w:rPr>
      </w:pPr>
      <w:r w:rsidRPr="0062673F">
        <w:rPr>
          <w:color w:val="000000" w:themeColor="text1"/>
        </w:rPr>
        <w:t>Impacts as a measure does not contain information on the distribution of television viewing within a population, and we assumed a uniform distribution (i.e. all children watch the same amount of television). Given that most children (96%) watch television</w:t>
      </w:r>
      <w:r w:rsidR="006F06C1">
        <w:rPr>
          <w:color w:val="000000" w:themeColor="text1"/>
        </w:rPr>
        <w:t xml:space="preserve"> </w:t>
      </w:r>
      <w:r w:rsidRPr="0062673F">
        <w:rPr>
          <w:color w:val="000000" w:themeColor="text1"/>
        </w:rPr>
        <w:fldChar w:fldCharType="begin" w:fldLock="1"/>
      </w:r>
      <w:r w:rsidRPr="0062673F">
        <w:rPr>
          <w:color w:val="000000" w:themeColor="text1"/>
        </w:rPr>
        <w:instrText>ADDIN CSL_CITATION {"citationItems":[{"id":"ITEM-1","itemData":{"author":[{"dropping-particle":"","family":"Ofcom","given":"","non-dropping-particle":"","parse-names":false,"suffix":""}],"id":"ITEM-1","issued":{"date-parts":[["2020"]]},"publisher-place":"London","title":"Children and parents: Media use and attitudes report 2019","type":"report"},"uris":["http://www.mendeley.com/documents/?uuid=e8fd884c-b592-43e6-ba1f-43ef79e09928"]}],"mendeley":{"formattedCitation":"[35]","plainTextFormattedCitation":"[35]"},"properties":{"noteIndex":0},"schema":"https://github.com/citation-style-language/schema/raw/master/csl-citation.json"}</w:instrText>
      </w:r>
      <w:r w:rsidRPr="0062673F">
        <w:rPr>
          <w:color w:val="000000" w:themeColor="text1"/>
        </w:rPr>
        <w:fldChar w:fldCharType="separate"/>
      </w:r>
      <w:r w:rsidRPr="0062673F">
        <w:rPr>
          <w:noProof/>
          <w:color w:val="000000" w:themeColor="text1"/>
        </w:rPr>
        <w:t>[35]</w:t>
      </w:r>
      <w:r w:rsidRPr="0062673F">
        <w:rPr>
          <w:color w:val="000000" w:themeColor="text1"/>
        </w:rPr>
        <w:fldChar w:fldCharType="end"/>
      </w:r>
      <w:r w:rsidR="006F06C1">
        <w:rPr>
          <w:color w:val="000000" w:themeColor="text1"/>
        </w:rPr>
        <w:t>,</w:t>
      </w:r>
      <w:r w:rsidRPr="0062673F">
        <w:rPr>
          <w:color w:val="000000" w:themeColor="text1"/>
        </w:rPr>
        <w:t xml:space="preserve"> it seems likely that many children will be affected by these measures by a small amount rather than a few children being affected by a very large amount. In addition, we have explored scenarios under which TV viewing is not uniform, but varies by social grade and weight status.</w:t>
      </w:r>
    </w:p>
    <w:p w14:paraId="16D75823" w14:textId="28960D00" w:rsidR="00E91601" w:rsidRPr="0062673F" w:rsidRDefault="00E91601" w:rsidP="00E91601">
      <w:pPr>
        <w:rPr>
          <w:b/>
          <w:color w:val="000000" w:themeColor="text1"/>
        </w:rPr>
      </w:pPr>
      <w:r w:rsidRPr="0062673F">
        <w:rPr>
          <w:b/>
          <w:color w:val="000000" w:themeColor="text1"/>
        </w:rPr>
        <w:t>Limitations: scenarios</w:t>
      </w:r>
    </w:p>
    <w:p w14:paraId="5AFDE66C" w14:textId="1A21D925" w:rsidR="00841797" w:rsidRPr="0062673F" w:rsidRDefault="00E91601" w:rsidP="00B53CFA">
      <w:pPr>
        <w:rPr>
          <w:color w:val="000000" w:themeColor="text1"/>
        </w:rPr>
      </w:pPr>
      <w:r w:rsidRPr="0062673F">
        <w:rPr>
          <w:color w:val="000000" w:themeColor="text1"/>
        </w:rPr>
        <w:t>The response</w:t>
      </w:r>
      <w:r w:rsidR="00B96E28" w:rsidRPr="0062673F">
        <w:rPr>
          <w:color w:val="000000" w:themeColor="text1"/>
        </w:rPr>
        <w:t xml:space="preserve"> of</w:t>
      </w:r>
      <w:r w:rsidRPr="0062673F">
        <w:rPr>
          <w:color w:val="000000" w:themeColor="text1"/>
        </w:rPr>
        <w:t xml:space="preserve"> </w:t>
      </w:r>
      <w:r w:rsidR="00DD7A15" w:rsidRPr="0062673F">
        <w:rPr>
          <w:color w:val="000000" w:themeColor="text1"/>
        </w:rPr>
        <w:t xml:space="preserve">marketers </w:t>
      </w:r>
      <w:r w:rsidRPr="0062673F">
        <w:rPr>
          <w:color w:val="000000" w:themeColor="text1"/>
        </w:rPr>
        <w:t xml:space="preserve">to the policy may be complicated, multi-faceted and difficult to estimate before implementation. Scenario B involves </w:t>
      </w:r>
      <w:r w:rsidRPr="0062673F">
        <w:rPr>
          <w:i/>
          <w:color w:val="000000" w:themeColor="text1"/>
        </w:rPr>
        <w:t>all</w:t>
      </w:r>
      <w:r w:rsidRPr="0062673F">
        <w:rPr>
          <w:color w:val="000000" w:themeColor="text1"/>
        </w:rPr>
        <w:t xml:space="preserve"> HFSS </w:t>
      </w:r>
      <w:r w:rsidR="00C40AB7" w:rsidRPr="0062673F">
        <w:rPr>
          <w:color w:val="000000" w:themeColor="text1"/>
        </w:rPr>
        <w:t>television</w:t>
      </w:r>
      <w:r w:rsidR="00DD7A15" w:rsidRPr="0062673F">
        <w:rPr>
          <w:color w:val="000000" w:themeColor="text1"/>
        </w:rPr>
        <w:t xml:space="preserve"> </w:t>
      </w:r>
      <w:r w:rsidR="002E5B09" w:rsidRPr="0062673F">
        <w:rPr>
          <w:color w:val="000000" w:themeColor="text1"/>
        </w:rPr>
        <w:t xml:space="preserve">adverts shifting to after </w:t>
      </w:r>
      <w:r w:rsidR="008F406E">
        <w:rPr>
          <w:color w:val="000000" w:themeColor="text1"/>
        </w:rPr>
        <w:t>21.00 hours</w:t>
      </w:r>
      <w:r w:rsidRPr="0062673F">
        <w:rPr>
          <w:color w:val="000000" w:themeColor="text1"/>
        </w:rPr>
        <w:t>. This is an extreme scenario</w:t>
      </w:r>
      <w:r w:rsidR="0096296B" w:rsidRPr="0062673F">
        <w:rPr>
          <w:color w:val="000000" w:themeColor="text1"/>
        </w:rPr>
        <w:t xml:space="preserve"> of maximum advert shift</w:t>
      </w:r>
      <w:r w:rsidRPr="0062673F">
        <w:rPr>
          <w:color w:val="000000" w:themeColor="text1"/>
        </w:rPr>
        <w:t xml:space="preserve"> and we do not know to what extent that is feasible (e.g. number of and </w:t>
      </w:r>
      <w:r w:rsidR="002E5B09" w:rsidRPr="0062673F">
        <w:rPr>
          <w:color w:val="000000" w:themeColor="text1"/>
        </w:rPr>
        <w:t xml:space="preserve">cost of available slots post </w:t>
      </w:r>
      <w:r w:rsidR="008F406E">
        <w:rPr>
          <w:color w:val="000000" w:themeColor="text1"/>
        </w:rPr>
        <w:t>21.00 hours</w:t>
      </w:r>
      <w:r w:rsidRPr="0062673F">
        <w:rPr>
          <w:color w:val="000000" w:themeColor="text1"/>
        </w:rPr>
        <w:t>) or likely (e.g. extent to which it duplicates existing advertising). However</w:t>
      </w:r>
      <w:r w:rsidR="00C36DEB" w:rsidRPr="0062673F">
        <w:rPr>
          <w:color w:val="000000" w:themeColor="text1"/>
        </w:rPr>
        <w:t>,</w:t>
      </w:r>
      <w:r w:rsidRPr="0062673F">
        <w:rPr>
          <w:color w:val="000000" w:themeColor="text1"/>
        </w:rPr>
        <w:t xml:space="preserve"> other response</w:t>
      </w:r>
      <w:r w:rsidR="0096296B" w:rsidRPr="0062673F">
        <w:rPr>
          <w:color w:val="000000" w:themeColor="text1"/>
        </w:rPr>
        <w:t>s</w:t>
      </w:r>
      <w:r w:rsidRPr="0062673F">
        <w:rPr>
          <w:color w:val="000000" w:themeColor="text1"/>
        </w:rPr>
        <w:t xml:space="preserve"> are possible, shifting advertising online (</w:t>
      </w:r>
      <w:r w:rsidR="0096296B" w:rsidRPr="0062673F">
        <w:rPr>
          <w:color w:val="000000" w:themeColor="text1"/>
        </w:rPr>
        <w:t>albeit this</w:t>
      </w:r>
      <w:r w:rsidRPr="0062673F">
        <w:rPr>
          <w:color w:val="000000" w:themeColor="text1"/>
        </w:rPr>
        <w:t xml:space="preserve"> may not be possible </w:t>
      </w:r>
      <w:r w:rsidR="00B702E9" w:rsidRPr="0062673F">
        <w:rPr>
          <w:color w:val="000000" w:themeColor="text1"/>
        </w:rPr>
        <w:t>if the</w:t>
      </w:r>
      <w:r w:rsidR="0096296B" w:rsidRPr="0062673F">
        <w:rPr>
          <w:color w:val="000000" w:themeColor="text1"/>
        </w:rPr>
        <w:t xml:space="preserve"> propos</w:t>
      </w:r>
      <w:r w:rsidR="00B702E9" w:rsidRPr="0062673F">
        <w:rPr>
          <w:color w:val="000000" w:themeColor="text1"/>
        </w:rPr>
        <w:t>als for a similar watershed online are introduced)</w:t>
      </w:r>
      <w:r w:rsidR="006F06C1">
        <w:rPr>
          <w:color w:val="000000" w:themeColor="text1"/>
        </w:rPr>
        <w:t xml:space="preserve"> </w:t>
      </w:r>
      <w:r w:rsidR="00B702E9"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 &amp; Social Care","given":"","non-dropping-particle":"","parse-names":false,"suffix":""},{"dropping-particle":"","family":"Department for Digital, Culture","given":"Media &amp; Sport","non-dropping-particle":"","parse-names":false,"suffix":""}],"id":"ITEM-1","issued":{"date-parts":[["2019"]]},"publisher-place":"London","title":"Introducing further advertising restrictions on TV and online for products high in fat, sugar and salt (HFSS)","type":"report"},"uris":["http://www.mendeley.com/documents/?uuid=8826fe16-15e1-4b07-8925-4433cb319256"]}],"mendeley":{"formattedCitation":"[57]","plainTextFormattedCitation":"[57]","previouslyFormattedCitation":"[56]"},"properties":{"noteIndex":0},"schema":"https://github.com/citation-style-language/schema/raw/master/csl-citation.json"}</w:instrText>
      </w:r>
      <w:r w:rsidR="00B702E9" w:rsidRPr="0062673F">
        <w:rPr>
          <w:color w:val="000000" w:themeColor="text1"/>
        </w:rPr>
        <w:fldChar w:fldCharType="separate"/>
      </w:r>
      <w:r w:rsidR="00467360" w:rsidRPr="0062673F">
        <w:rPr>
          <w:noProof/>
          <w:color w:val="000000" w:themeColor="text1"/>
        </w:rPr>
        <w:t>[57]</w:t>
      </w:r>
      <w:r w:rsidR="00B702E9" w:rsidRPr="0062673F">
        <w:rPr>
          <w:color w:val="000000" w:themeColor="text1"/>
        </w:rPr>
        <w:fldChar w:fldCharType="end"/>
      </w:r>
      <w:r w:rsidRPr="0062673F">
        <w:rPr>
          <w:color w:val="000000" w:themeColor="text1"/>
        </w:rPr>
        <w:t xml:space="preserve"> or to other media and shifting from product advertising to brand advertising</w:t>
      </w:r>
      <w:r w:rsidR="00B96E28" w:rsidRPr="0062673F">
        <w:rPr>
          <w:color w:val="000000" w:themeColor="text1"/>
        </w:rPr>
        <w:t xml:space="preserve"> and increasing use of other marketing strategies (e.g. sponsorship)</w:t>
      </w:r>
      <w:r w:rsidRPr="0062673F">
        <w:rPr>
          <w:color w:val="000000" w:themeColor="text1"/>
        </w:rPr>
        <w:t>.</w:t>
      </w:r>
      <w:r w:rsidR="00E9566C" w:rsidRPr="0062673F">
        <w:rPr>
          <w:color w:val="000000" w:themeColor="text1"/>
        </w:rPr>
        <w:t xml:space="preserve"> With our present data we did not think it was feasible to model these </w:t>
      </w:r>
      <w:r w:rsidR="00B702E9" w:rsidRPr="0062673F">
        <w:rPr>
          <w:color w:val="000000" w:themeColor="text1"/>
        </w:rPr>
        <w:t>separate responses</w:t>
      </w:r>
      <w:r w:rsidR="00E9566C" w:rsidRPr="0062673F">
        <w:rPr>
          <w:color w:val="000000" w:themeColor="text1"/>
        </w:rPr>
        <w:t>.</w:t>
      </w:r>
      <w:r w:rsidRPr="0062673F">
        <w:rPr>
          <w:color w:val="000000" w:themeColor="text1"/>
        </w:rPr>
        <w:t xml:space="preserve"> </w:t>
      </w:r>
    </w:p>
    <w:p w14:paraId="4EBED935" w14:textId="1F940E86" w:rsidR="004E0F9C" w:rsidRPr="0062673F" w:rsidRDefault="00E91601" w:rsidP="00841797">
      <w:pPr>
        <w:rPr>
          <w:color w:val="000000" w:themeColor="text1"/>
        </w:rPr>
      </w:pPr>
      <w:r w:rsidRPr="0062673F">
        <w:rPr>
          <w:color w:val="000000" w:themeColor="text1"/>
        </w:rPr>
        <w:t>It is also possible that some products might be reformulated</w:t>
      </w:r>
      <w:r w:rsidR="00DD7A15" w:rsidRPr="0062673F">
        <w:rPr>
          <w:color w:val="000000" w:themeColor="text1"/>
        </w:rPr>
        <w:t xml:space="preserve"> in response to any regulations</w:t>
      </w:r>
      <w:r w:rsidRPr="0062673F">
        <w:rPr>
          <w:color w:val="000000" w:themeColor="text1"/>
        </w:rPr>
        <w:t xml:space="preserve"> to enable advertising bef</w:t>
      </w:r>
      <w:r w:rsidR="002E5B09" w:rsidRPr="0062673F">
        <w:rPr>
          <w:color w:val="000000" w:themeColor="text1"/>
        </w:rPr>
        <w:t xml:space="preserve">ore </w:t>
      </w:r>
      <w:r w:rsidR="008F406E">
        <w:rPr>
          <w:color w:val="000000" w:themeColor="text1"/>
        </w:rPr>
        <w:t>21.00 hours</w:t>
      </w:r>
      <w:r w:rsidR="00E9566C" w:rsidRPr="0062673F">
        <w:rPr>
          <w:color w:val="000000" w:themeColor="text1"/>
        </w:rPr>
        <w:t xml:space="preserve"> to continue, which we have not explored.</w:t>
      </w:r>
      <w:r w:rsidR="00841797" w:rsidRPr="0062673F">
        <w:rPr>
          <w:color w:val="000000" w:themeColor="text1"/>
        </w:rPr>
        <w:t xml:space="preserve"> It is not clear whether this reformulation would lead to an increase or decrease in consumption of HFSS foods relative to scenario A. For example, if advertising of the reformulated products promotes consumption of similarly branded HFSS products then this would increase consumption of HFSS products. On the other hand, if it encourages people to switch to non-HFSS products, then would decrease consumption of HFSS products.</w:t>
      </w:r>
    </w:p>
    <w:p w14:paraId="62BC8F02" w14:textId="513FB20C" w:rsidR="00E91601" w:rsidRPr="0062673F" w:rsidRDefault="00E91601" w:rsidP="00E91601">
      <w:pPr>
        <w:rPr>
          <w:b/>
          <w:color w:val="000000" w:themeColor="text1"/>
        </w:rPr>
      </w:pPr>
      <w:r w:rsidRPr="0062673F">
        <w:rPr>
          <w:b/>
          <w:color w:val="000000" w:themeColor="text1"/>
        </w:rPr>
        <w:t>Limitations: health modelling</w:t>
      </w:r>
    </w:p>
    <w:p w14:paraId="5DB122E2" w14:textId="502E08B3" w:rsidR="00147E0E" w:rsidRPr="0062673F" w:rsidRDefault="00200CAA" w:rsidP="005504E9">
      <w:pPr>
        <w:rPr>
          <w:color w:val="000000" w:themeColor="text1"/>
        </w:rPr>
      </w:pPr>
      <w:bookmarkStart w:id="3" w:name="_Hlk41592592"/>
      <w:r w:rsidRPr="0062673F">
        <w:rPr>
          <w:color w:val="000000" w:themeColor="text1"/>
        </w:rPr>
        <w:t xml:space="preserve">We have assumed that the relative change in mean body mass index </w:t>
      </w:r>
      <w:r w:rsidR="00121679" w:rsidRPr="0062673F">
        <w:rPr>
          <w:color w:val="000000" w:themeColor="text1"/>
        </w:rPr>
        <w:t xml:space="preserve">associated with change in exposure to HFSS </w:t>
      </w:r>
      <w:r w:rsidR="00C40AB7" w:rsidRPr="0062673F">
        <w:rPr>
          <w:color w:val="000000" w:themeColor="text1"/>
        </w:rPr>
        <w:t>television</w:t>
      </w:r>
      <w:r w:rsidR="00121679" w:rsidRPr="0062673F">
        <w:rPr>
          <w:color w:val="000000" w:themeColor="text1"/>
        </w:rPr>
        <w:t xml:space="preserve"> advertising </w:t>
      </w:r>
      <w:r w:rsidRPr="0062673F">
        <w:rPr>
          <w:color w:val="000000" w:themeColor="text1"/>
        </w:rPr>
        <w:t>is maintained through life, i.e. if mean BMI is reduced by 0.1 kg/m</w:t>
      </w:r>
      <w:r w:rsidRPr="0062673F">
        <w:rPr>
          <w:color w:val="000000" w:themeColor="text1"/>
          <w:vertAlign w:val="superscript"/>
        </w:rPr>
        <w:t>2</w:t>
      </w:r>
      <w:r w:rsidRPr="0062673F">
        <w:rPr>
          <w:color w:val="000000" w:themeColor="text1"/>
        </w:rPr>
        <w:t xml:space="preserve"> at age 14 years, when this cohort reaches the age of, e.g. 40 years, the mean BMI is reduced by 0.1 kg/m</w:t>
      </w:r>
      <w:r w:rsidRPr="0062673F">
        <w:rPr>
          <w:color w:val="000000" w:themeColor="text1"/>
          <w:vertAlign w:val="superscript"/>
        </w:rPr>
        <w:t>2</w:t>
      </w:r>
      <w:r w:rsidRPr="0062673F">
        <w:rPr>
          <w:color w:val="000000" w:themeColor="text1"/>
        </w:rPr>
        <w:t xml:space="preserve"> compared to the counterfactual. It is unclear to what extent this is true, </w:t>
      </w:r>
      <w:r w:rsidR="00DB4221" w:rsidRPr="0062673F">
        <w:rPr>
          <w:color w:val="000000" w:themeColor="text1"/>
        </w:rPr>
        <w:t>althou</w:t>
      </w:r>
      <w:r w:rsidR="00E44D1A" w:rsidRPr="0062673F">
        <w:rPr>
          <w:color w:val="000000" w:themeColor="text1"/>
        </w:rPr>
        <w:t xml:space="preserve">gh we note weight status </w:t>
      </w:r>
      <w:r w:rsidR="0096296B" w:rsidRPr="0062673F">
        <w:rPr>
          <w:color w:val="000000" w:themeColor="text1"/>
        </w:rPr>
        <w:t xml:space="preserve">tends to </w:t>
      </w:r>
      <w:r w:rsidR="00E44D1A" w:rsidRPr="0062673F">
        <w:rPr>
          <w:color w:val="000000" w:themeColor="text1"/>
        </w:rPr>
        <w:t>track from childhood to adult life, and that populations with higher prevalence of obesity in childhood tend to have a higher prevalence of obesity in adult life</w:t>
      </w:r>
      <w:r w:rsidR="006F06C1">
        <w:rPr>
          <w:color w:val="000000" w:themeColor="text1"/>
        </w:rPr>
        <w:t xml:space="preserve"> </w:t>
      </w:r>
      <w:r w:rsidR="00E44D1A" w:rsidRPr="0062673F">
        <w:rPr>
          <w:color w:val="000000" w:themeColor="text1"/>
        </w:rPr>
        <w:fldChar w:fldCharType="begin" w:fldLock="1"/>
      </w:r>
      <w:r w:rsidR="00467360" w:rsidRPr="0062673F">
        <w:rPr>
          <w:color w:val="000000" w:themeColor="text1"/>
        </w:rPr>
        <w:instrText>ADDIN CSL_CITATION {"citationItems":[{"id":"ITEM-1","itemData":{"DOI":"10.1038/oby.2009.451","ISBN":"1930-739X (Electronic)\n1930-7381 (Linking)","PMID":"20035278","abstract":"No longitudinal analyses using national data have evaluated the increase in obesity from adolescence into early adulthood. We examined obesity incidence, persistence, and reversal in a nationally representative cohort of US teens followed into their early 30s, using measured height and weight data, in individuals enrolled in wave II (1996; 12-21 years), wave III (2001; 17-26 years), and wave IV (2008 early release data; 24-32 years) of the National Longitudinal Study of Adolescent Health (N = 8,675). Obesity was defined as a BMI &gt;or=95th percentile of the 2000 Centers for Disease Control/National Center for Health Statistics growth charts or &gt;or=30 kg/m(2) for individuals &lt;20 years and &gt;or=30 kg/m(2) in individuals &gt;or=20 years. In 1996, 13.3% of adolescents were obese. By 2008, obesity prevalence increased to 36.1%, and was highest among non-Hispanic black females (54.8%). Ninety percent of the obese adolescents remained obese in 2008. While annual obesity incidence did not decline in the total sample across the two study intervals (2.3% per year 1996-2001 vs. 2.2% per year 2001-2008), rates among white females declined (2.7 to 1.9% per year) and were highest among non-Hispanic black and Hispanic females (3.8 and 2.7% per year, 1996-2001 vs. 3.0 and 2.6% per year, 2002-2008, respectively). Obesity prevalence doubled from adolescence to the early 20s, and doubled again from the early to late 20s or early 30s, with strong tracking from adolescence into adulthood. This trend is likely to continue owing to high rates of pediatric obesity. Effective preventive and treatment efforts are critically needed.","author":[{"dropping-particle":"","family":"Gordon-Larsen","given":"P","non-dropping-particle":"","parse-names":false,"suffix":""},{"dropping-particle":"","family":"The","given":"N S","non-dropping-particle":"","parse-names":false,"suffix":""},{"dropping-particle":"","family":"Adair","given":"L S","non-dropping-particle":"","parse-names":false,"suffix":""}],"container-title":"Obesity (Silver Spring)","edition":"2009/12/26","id":"ITEM-1","issue":"9","issued":{"date-parts":[["2010"]]},"language":"eng","note":"Gordon-Larsen, Penny\nThe, Natalie S\nAdair, Linda S\nP01-HD31921/HD/NICHD NIH HHS/\nR01 HD057194-02/HD/NICHD NIH HHS/\nR01 HD057194-04/HD/NICHD NIH HHS/\nR01-HD057194/HD/NICHD NIH HHS/\nR24 HD050924-07/HD/NICHD NIH HHS/\nSilver Spring, Md.\nObesity (Silver Spring). 2010 Sep;18(9):1801-4. Epub 2009 Dec 24.","page":"1801-1804","title":"Longitudinal trends in obesity in the United States from adolescence to the third decade of life","type":"article-journal","volume":"18"},"uris":["http://www.mendeley.com/documents/?uuid=7dd2c5f4-4a88-4ece-85cf-9f7088f570d9"]},{"id":"ITEM-2","itemData":{"DOI":"10.1111/j.1467-789X.2008.00475.x","ISSN":"14677881","PMID":"18331423","abstract":"Overweight and obesity in youth are important public health concerns and are of particular interest because of possible long-term associations with adult weight status and morbidity. The aim of this study was to systematically review the literature and update evidence concerning persistence of childhood overweight. A computerized bibliographical search--restricted to studies with a prospective or retrospective longitudinal design--was conducted. Two authors independently extracted data and assessed the methodological quality of the included studies in four dimensions (i) study population and participation rate; (ii) study attrition; (iii) data collection and (iv) data analysis. Conclusions were based on a rating system of three levels of evidence. A total of 25 publications were selected for inclusion in this review. According to a methodological quality assessment, 13 studies were considered to be of high quality. The majority of these high-quality studies were published after 2001, indicating that recently published data, in particular, provide us with reliable information. All included studies consistently report an increased risk of overweight and obese youth becoming overweight adults, suggesting that the likelihood of persistence of overweight into adulthood is moderate for overweight and obese youth. However, predictive values varied considerably. Limiting aspects with respect to generalizability and methodological issues are discussed.","author":[{"dropping-particle":"","family":"Singh","given":"A. S.","non-dropping-particle":"","parse-names":false,"suffix":""},{"dropping-particle":"","family":"Mulder","given":"C.","non-dropping-particle":"","parse-names":false,"suffix":""},{"dropping-particle":"","family":"Twisk","given":"J. W. R.","non-dropping-particle":"","parse-names":false,"suffix":""},{"dropping-particle":"","family":"Mechelen","given":"W.","non-dropping-particle":"Van","parse-names":false,"suffix":""},{"dropping-particle":"","family":"Chinapaw","given":"M. J. M.","non-dropping-particle":"","parse-names":false,"suffix":""}],"container-title":"Obesity Reviews","id":"ITEM-2","issue":"5","issued":{"date-parts":[["2008","3","5"]]},"page":"474-488","title":"Tracking of childhood overweight into adulthood: a systematic review of the literature","type":"article-journal","volume":"9"},"uris":["http://www.mendeley.com/documents/?uuid=e6229532-d2ce-3fc5-ad6e-4a2c601c88ce"]}],"mendeley":{"formattedCitation":"[38,39]","plainTextFormattedCitation":"[38,39]","previouslyFormattedCitation":"[37,38]"},"properties":{"noteIndex":0},"schema":"https://github.com/citation-style-language/schema/raw/master/csl-citation.json"}</w:instrText>
      </w:r>
      <w:r w:rsidR="00E44D1A" w:rsidRPr="0062673F">
        <w:rPr>
          <w:color w:val="000000" w:themeColor="text1"/>
        </w:rPr>
        <w:fldChar w:fldCharType="separate"/>
      </w:r>
      <w:r w:rsidR="00467360" w:rsidRPr="0062673F">
        <w:rPr>
          <w:noProof/>
          <w:color w:val="000000" w:themeColor="text1"/>
        </w:rPr>
        <w:t>[38,39]</w:t>
      </w:r>
      <w:r w:rsidR="00E44D1A" w:rsidRPr="0062673F">
        <w:rPr>
          <w:color w:val="000000" w:themeColor="text1"/>
        </w:rPr>
        <w:fldChar w:fldCharType="end"/>
      </w:r>
      <w:r w:rsidR="0066542D" w:rsidRPr="0062673F">
        <w:rPr>
          <w:color w:val="000000" w:themeColor="text1"/>
        </w:rPr>
        <w:t>.</w:t>
      </w:r>
      <w:r w:rsidR="00E44D1A" w:rsidRPr="0062673F">
        <w:rPr>
          <w:color w:val="000000" w:themeColor="text1"/>
        </w:rPr>
        <w:t xml:space="preserve"> </w:t>
      </w:r>
      <w:r w:rsidR="00147E0E" w:rsidRPr="0062673F">
        <w:rPr>
          <w:color w:val="000000" w:themeColor="text1"/>
        </w:rPr>
        <w:t xml:space="preserve">Despite this we note that a significant benefit (around 20% of </w:t>
      </w:r>
      <w:r w:rsidR="00CC7EFC" w:rsidRPr="0062673F">
        <w:rPr>
          <w:color w:val="000000" w:themeColor="text1"/>
        </w:rPr>
        <w:t>DALY</w:t>
      </w:r>
      <w:r w:rsidR="00147E0E" w:rsidRPr="0062673F">
        <w:rPr>
          <w:color w:val="000000" w:themeColor="text1"/>
        </w:rPr>
        <w:t>s</w:t>
      </w:r>
      <w:r w:rsidR="009431D9" w:rsidRPr="0062673F">
        <w:rPr>
          <w:color w:val="000000" w:themeColor="text1"/>
        </w:rPr>
        <w:t xml:space="preserve"> averted</w:t>
      </w:r>
      <w:r w:rsidR="00147E0E" w:rsidRPr="0062673F">
        <w:rPr>
          <w:color w:val="000000" w:themeColor="text1"/>
        </w:rPr>
        <w:t>), albeit discounted benefit, occurs in childhood.</w:t>
      </w:r>
      <w:r w:rsidR="003E67E1" w:rsidRPr="0062673F">
        <w:rPr>
          <w:color w:val="000000" w:themeColor="text1"/>
        </w:rPr>
        <w:t xml:space="preserve"> This effectively provides a lower estimate of the DALYs averted, if one assumed an extreme scenario of </w:t>
      </w:r>
      <w:r w:rsidR="005C582E" w:rsidRPr="0062673F">
        <w:rPr>
          <w:color w:val="000000" w:themeColor="text1"/>
        </w:rPr>
        <w:t>no persistence of change in weight status from childhood to adult life.</w:t>
      </w:r>
    </w:p>
    <w:bookmarkEnd w:id="3"/>
    <w:p w14:paraId="3E7604EA" w14:textId="24DBA898" w:rsidR="00E91601" w:rsidRPr="0062673F" w:rsidRDefault="00E91601" w:rsidP="00E91601">
      <w:pPr>
        <w:rPr>
          <w:color w:val="000000" w:themeColor="text1"/>
        </w:rPr>
      </w:pPr>
      <w:r w:rsidRPr="0062673F">
        <w:rPr>
          <w:color w:val="000000" w:themeColor="text1"/>
        </w:rPr>
        <w:t>While we have captured many of the important associations between obesity and health, not all associations have been captured. Of note we have</w:t>
      </w:r>
      <w:r w:rsidR="0096296B" w:rsidRPr="0062673F">
        <w:rPr>
          <w:color w:val="000000" w:themeColor="text1"/>
        </w:rPr>
        <w:t xml:space="preserve"> </w:t>
      </w:r>
      <w:r w:rsidRPr="0062673F">
        <w:rPr>
          <w:color w:val="000000" w:themeColor="text1"/>
        </w:rPr>
        <w:t>n</w:t>
      </w:r>
      <w:r w:rsidR="0096296B" w:rsidRPr="0062673F">
        <w:rPr>
          <w:color w:val="000000" w:themeColor="text1"/>
        </w:rPr>
        <w:t>o</w:t>
      </w:r>
      <w:r w:rsidRPr="0062673F">
        <w:rPr>
          <w:color w:val="000000" w:themeColor="text1"/>
        </w:rPr>
        <w:t>t quantified the impact on musculo-skeletal conditions which are a major cause of morbidity. We have</w:t>
      </w:r>
      <w:r w:rsidR="0096296B" w:rsidRPr="0062673F">
        <w:rPr>
          <w:color w:val="000000" w:themeColor="text1"/>
        </w:rPr>
        <w:t xml:space="preserve"> not</w:t>
      </w:r>
      <w:r w:rsidRPr="0062673F">
        <w:rPr>
          <w:color w:val="000000" w:themeColor="text1"/>
        </w:rPr>
        <w:t xml:space="preserve"> directly captured the burden of obesity in childhood (e.g. musculo-skeletal conditions, asthma, primary care attendance)</w:t>
      </w:r>
      <w:r w:rsidR="008F406E">
        <w:rPr>
          <w:color w:val="000000" w:themeColor="text1"/>
        </w:rPr>
        <w:t xml:space="preserve"> </w:t>
      </w:r>
      <w:r w:rsidR="00B702E9" w:rsidRPr="0062673F">
        <w:rPr>
          <w:color w:val="000000" w:themeColor="text1"/>
        </w:rPr>
        <w:fldChar w:fldCharType="begin" w:fldLock="1"/>
      </w:r>
      <w:r w:rsidR="00467360" w:rsidRPr="0062673F">
        <w:rPr>
          <w:color w:val="000000" w:themeColor="text1"/>
        </w:rPr>
        <w:instrText>ADDIN CSL_CITATION {"citationItems":[{"id":"ITEM-1","itemData":{"DOI":"10.1016/j.puhe.2018.10.019","ISSN":"00333506","PMID":"30610958","abstract":"OBJECTIVES The objective of the article was to examine the association between body mass index (BMI), health and general practice (GP) healthcare use in early childhood. STUDY DESIGN This study is a prospective cohort study. METHODS Multivariate Poisson and logistic regression models were used to explore the association between BMI and health outcomes using data from the Born In Bradford cohort study, linked to routine data capturing objective measures of BMI at age 5 years, alongside GP appointment rates, GP prescriptions and specific morbidities in the subsequent 3-year period. RESULTS Compared with healthy weight, children who were obese at the age of 5 years had significantly higher rates of GP appointments (incident rate ratio 1.14, 95% confidence interval [CI]: 1.06-1.23), GP prescriptions (incident rate ratio 1.15, 95% CI: 1.04-1.27), asthma (odds ratio 1.46, 95% CI: 1.21-1.77), sleep apnoea (odds ratio 2.50, 95% CI: 1.36-4.58), infections (incident rate ratio 1.19, 95% CI: 1.08-1.30), antibiotic prescriptions (incident rate ratio 1.25, 95% CI: 1.10-1.42) and accidents (incident rate ratio 1.20, 95% CI: 1.01-1.42) in the subsequent 3 years. Underweight children were found to have higher rates of GP appointments (incident rate ratio 1.25, 95% CI: 1.04-1.52), but there were no differences between overweight and healthy weight children. CONCLUSIONS Childhood obesity was found to be associated with increased primary healthcare use and a range of poorer health outcomes at the age of 8 years, underlining the importance of reducing childhood obesity in early childhood.","author":[{"dropping-particle":"","family":"Kelly","given":"B.","non-dropping-particle":"","parse-names":false,"suffix":""},{"dropping-particle":"","family":"West","given":"J.","non-dropping-particle":"","parse-names":false,"suffix":""},{"dropping-particle":"","family":"Yang","given":"T.C.","non-dropping-particle":"","parse-names":false,"suffix":""},{"dropping-particle":"","family":"Mason","given":"D.","non-dropping-particle":"","parse-names":false,"suffix":""},{"dropping-particle":"","family":"Hasan","given":"T.","non-dropping-particle":"","parse-names":false,"suffix":""},{"dropping-particle":"","family":"Wright","given":"J.","non-dropping-particle":"","parse-names":false,"suffix":""}],"container-title":"Public Health","id":"ITEM-1","issued":{"date-parts":[["2019","2","2"]]},"page":"21-27","title":"The association between body mass index, primary healthcare use and morbidity in early childhood: findings from the Born In Bradford cohort study","type":"article-journal","volume":"167"},"uris":["http://www.mendeley.com/documents/?uuid=6b2c76b9-b709-3f18-bb3c-b8088f6a6eaf"]},{"id":"ITEM-2","itemData":{"DOI":"10.1186/s12887-018-1093-z","ISSN":"1471-2431","PMID":"29699517","abstract":"BACKGROUND Asthma is a multifactorial syndrome that threatens the health of children. Body mass index (BMI) might be one of the potential factors but the evidence is controversial. The aim of this study is to perform a comprehensive meta-analysis to investigate the association between asthma and BMI. METHODS Electronic databases including, Web of Science, Pubmed, Scopus, Science Direct, ProQuest, up to April 2017, were searched by two researchers independently. The keywords \"asthma, body mass index, obesity, overweight, childhood and adolescence\" were used. Random and fixed effects models were applied to obtain the overall odds ratios (ORs) and standardized mean difference (SMD). Heterogeneity between the studies was examined using I2 and Cochrane Q statistics. RESULTS After reviewing 2511 articles, 16 studies were eligible for meta-analysis according to inclusion/exclusion criteria. A meta-analysis from 11 case-control studies revealed OR of asthma and overweight as OR = 1.64; (95% Confidence Interval (CI): 1.13-2.38) and from 14 case-control studies, OR for asthma and obesity was OR = 1.92 (95% CI: 1.39-2.65), which indicated that risk of asthma in overweight and obese children and adolescence was significantly higher (1.64 and 1.92 times) than that of individuals with (p-value &lt; 0.01 for underweight/normal weight in both cases). Furthermore, there was a significant relationship between asthma and BMI &gt; 85 percentile according to SMD SMD = 0.21; (95%CI: 0.03-0.38; p-value = 0.021). CONCLUSIONS The results showed a significant relationship between BMI (obesity/overweight) and asthma among children and adolescents. It is important to study the confounding factors that affect the relationship between asthma and BMI in future epidemiological researches.","author":[{"dropping-particle":"","family":"Azizpour","given":"Yosra","non-dropping-particle":"","parse-names":false,"suffix":""},{"dropping-particle":"","family":"Delpisheh","given":"Ali","non-dropping-particle":"","parse-names":false,"suffix":""},{"dropping-particle":"","family":"Montazeri","given":"Zahra","non-dropping-particle":"","parse-names":false,"suffix":""},{"dropping-particle":"","family":"Sayehmiri","given":"Kourosh","non-dropping-particle":"","parse-names":false,"suffix":""},{"dropping-particle":"","family":"Darabi","given":"Behzad","non-dropping-particle":"","parse-names":false,"suffix":""}],"container-title":"BMC Pediatrics","id":"ITEM-2","issue":"1","issued":{"date-parts":[["2018","12","26"]]},"page":"143","title":"Effect of childhood BMI on asthma: a systematic review and meta-analysis of case-control studies","type":"article-journal","volume":"18"},"uris":["http://www.mendeley.com/documents/?uuid=4715d21d-51e4-3419-bcb3-512c34047d18"]},{"id":"ITEM-3","itemData":{"DOI":"10.1111/obr.12067","ISSN":"14677881","PMID":"23941399","abstract":"In order to examine (i) the association between weight status and musculoskeletal complaints (MSC) in children, and (ii) whether overweight and obese children have a higher risk of developing MSC than normal-weight children Medline, Embase, Web of Science and Cochrane were searched (all years up to 2 January 2013) for observational studies studying direct associations between body mass index (or weight status) and MSC in children. Forty studies, together studying over one million children, were included. There was moderate quality of evidence that being overweight in childhood is positively associated with musculoskeletal pain (risk ratio [RR] 1.26; 95% confidence interval [CI]: 1.09-1.45). In addition, low quality of evidence was found for a positive association between overweight and low back pain (RR 1.42; 95% CI: 1.03-1.97) and between overweight and injuries and fractures (RR 1.08; 95% CI: 1.03-1.14). Although the risk of developing an injury was significantly higher for overweight than for normal-weight adolescents (RR: 2.41, 95% CI: 1.42 to 4.10), this evidence was of very low quality. Overweight and obesity are associated with musculoskeletal pain, injuries and fractures as early as childhood. More high-quality prospective cohort studies are needed to study the nature of this relationship.","author":[{"dropping-particle":"","family":"Paulis","given":"W. D.","non-dropping-particle":"","parse-names":false,"suffix":""},{"dropping-particle":"","family":"Silva","given":"S.","non-dropping-particle":"","parse-names":false,"suffix":""},{"dropping-particle":"","family":"Koes","given":"B. W.","non-dropping-particle":"","parse-names":false,"suffix":""},{"dropping-particle":"","family":"Middelkoop","given":"M.","non-dropping-particle":"van","parse-names":false,"suffix":""}],"container-title":"Obesity Reviews","id":"ITEM-3","issue":"1","issued":{"date-parts":[["2014","1"]]},"page":"52-67","title":"Overweight and obesity are associated with musculoskeletal complaints as early as childhood: a systematic review","type":"article-journal","volume":"15"},"uris":["http://www.mendeley.com/documents/?uuid=c363967f-9804-38eb-b169-278f01becaed"]},{"id":"ITEM-4","itemData":{"DOI":"10.1038/ijo.2013.187","ISSN":"0307-0565","PMID":"24077005","abstract":"This review seeks to provide a current overview of musculoskeletal pain in overweight and obese children. Databases searched were Academic Search Complete, CINAHL, Medline, Proquest Health and Medical Complete, Scopus, Google Scholar, SPORTDiscuss and Trove for studies published between 1 January 2000 and 30 December 2012. We used a broad definition of children within a 3- to 18-year age range. The search strategy included the following terms: obesity, morbid obesity, overweight, pain, musculoskeletal pain, child, adolescent, chronic pain, back pain, lower back pain, knee pain, hip pain, foot pain and pelvic pain. Two authors independently assessed each record, and any disagreement was resolved by the third author. Data were analysed using a narrative thematic approach owing to the heterogeneity of reported outcome measures. Ninety-seven records were initially identified using a variety of terms associated with children, obesity and musculoskeletal pain. Ten studies were included for thematic analysis when predetermined inclusion criteria were applied. Bone deformity and dysfunction, pain reporting and the impact of children being overweight or obese on physical activity, exercise and quality of life were the three themes identified from the literature. Chronic pain, obesity and a reduction in physical functioning and activity may contribute to a cycle of weight gain that affects a child's quality of life. Future studies are required to examine the sequela of overweight and obese children experiencing chronic musculoskeletal pain.","author":[{"dropping-particle":"","family":"Smith","given":"S M","non-dropping-particle":"","parse-names":false,"suffix":""},{"dropping-particle":"","family":"Sumar","given":"B","non-dropping-particle":"","parse-names":false,"suffix":""},{"dropping-particle":"","family":"Dixon","given":"K A","non-dropping-particle":"","parse-names":false,"suffix":""}],"container-title":"International Journal of Obesity","id":"ITEM-4","issue":"1","issued":{"date-parts":[["2014","1","30"]]},"page":"11-15","title":"Musculoskeletal pain in overweight and obese children","type":"article-journal","volume":"38"},"uris":["http://www.mendeley.com/documents/?uuid=e5733583-b38e-496c-b97a-a93e1d4e78f5"]}],"mendeley":{"formattedCitation":"[4,58–60]","plainTextFormattedCitation":"[4,58–60]","previouslyFormattedCitation":"[4,57–59]"},"properties":{"noteIndex":0},"schema":"https://github.com/citation-style-language/schema/raw/master/csl-citation.json"}</w:instrText>
      </w:r>
      <w:r w:rsidR="00B702E9" w:rsidRPr="0062673F">
        <w:rPr>
          <w:color w:val="000000" w:themeColor="text1"/>
        </w:rPr>
        <w:fldChar w:fldCharType="separate"/>
      </w:r>
      <w:r w:rsidR="00467360" w:rsidRPr="0062673F">
        <w:rPr>
          <w:noProof/>
          <w:color w:val="000000" w:themeColor="text1"/>
        </w:rPr>
        <w:t>[4,58–60]</w:t>
      </w:r>
      <w:r w:rsidR="00B702E9" w:rsidRPr="0062673F">
        <w:rPr>
          <w:color w:val="000000" w:themeColor="text1"/>
        </w:rPr>
        <w:fldChar w:fldCharType="end"/>
      </w:r>
      <w:r w:rsidR="008F406E">
        <w:rPr>
          <w:color w:val="000000" w:themeColor="text1"/>
        </w:rPr>
        <w:t>,</w:t>
      </w:r>
      <w:r w:rsidRPr="0062673F">
        <w:rPr>
          <w:color w:val="000000" w:themeColor="text1"/>
        </w:rPr>
        <w:t xml:space="preserve"> although some or much that may be captured in our </w:t>
      </w:r>
      <w:r w:rsidR="0085546F" w:rsidRPr="0062673F">
        <w:rPr>
          <w:color w:val="000000" w:themeColor="text1"/>
        </w:rPr>
        <w:t>quality</w:t>
      </w:r>
      <w:r w:rsidRPr="0062673F">
        <w:rPr>
          <w:color w:val="000000" w:themeColor="text1"/>
        </w:rPr>
        <w:t xml:space="preserve"> of life measures. These factors may have led us to underestim</w:t>
      </w:r>
      <w:r w:rsidR="009B12FA" w:rsidRPr="0062673F">
        <w:rPr>
          <w:color w:val="000000" w:themeColor="text1"/>
        </w:rPr>
        <w:t xml:space="preserve">ate the impact on </w:t>
      </w:r>
      <w:r w:rsidR="0085546F" w:rsidRPr="0062673F">
        <w:rPr>
          <w:color w:val="000000" w:themeColor="text1"/>
        </w:rPr>
        <w:t>quality of life</w:t>
      </w:r>
      <w:r w:rsidR="009B12FA" w:rsidRPr="0062673F">
        <w:rPr>
          <w:color w:val="000000" w:themeColor="text1"/>
        </w:rPr>
        <w:t xml:space="preserve"> and health-related</w:t>
      </w:r>
      <w:r w:rsidRPr="0062673F">
        <w:rPr>
          <w:color w:val="000000" w:themeColor="text1"/>
        </w:rPr>
        <w:t xml:space="preserve"> </w:t>
      </w:r>
      <w:r w:rsidR="008B5244" w:rsidRPr="0062673F">
        <w:rPr>
          <w:color w:val="000000" w:themeColor="text1"/>
        </w:rPr>
        <w:t xml:space="preserve">net </w:t>
      </w:r>
      <w:r w:rsidRPr="0062673F">
        <w:rPr>
          <w:color w:val="000000" w:themeColor="text1"/>
        </w:rPr>
        <w:t>monetary benefit.</w:t>
      </w:r>
      <w:r w:rsidR="00473D3E" w:rsidRPr="0062673F">
        <w:rPr>
          <w:color w:val="000000" w:themeColor="text1"/>
        </w:rPr>
        <w:t xml:space="preserve"> We have not included non-disease related </w:t>
      </w:r>
      <w:r w:rsidR="0085546F" w:rsidRPr="0062673F">
        <w:rPr>
          <w:color w:val="000000" w:themeColor="text1"/>
        </w:rPr>
        <w:t>quality of life</w:t>
      </w:r>
      <w:r w:rsidR="00473D3E" w:rsidRPr="0062673F">
        <w:rPr>
          <w:color w:val="000000" w:themeColor="text1"/>
        </w:rPr>
        <w:t xml:space="preserve"> losses due to overweight and obesity in adulthood which would have led us to underestimate the </w:t>
      </w:r>
      <w:r w:rsidR="009B12FA" w:rsidRPr="0062673F">
        <w:rPr>
          <w:color w:val="000000" w:themeColor="text1"/>
        </w:rPr>
        <w:t xml:space="preserve">health-related </w:t>
      </w:r>
      <w:r w:rsidR="00473D3E" w:rsidRPr="0062673F">
        <w:rPr>
          <w:color w:val="000000" w:themeColor="text1"/>
        </w:rPr>
        <w:t>net monetary benefit.</w:t>
      </w:r>
    </w:p>
    <w:p w14:paraId="066DD491" w14:textId="370BB5CD" w:rsidR="00E91601" w:rsidRPr="0062673F" w:rsidRDefault="00E91601" w:rsidP="00E91601">
      <w:pPr>
        <w:rPr>
          <w:color w:val="000000" w:themeColor="text1"/>
        </w:rPr>
      </w:pPr>
      <w:r w:rsidRPr="0062673F">
        <w:rPr>
          <w:color w:val="000000" w:themeColor="text1"/>
        </w:rPr>
        <w:t xml:space="preserve">We have </w:t>
      </w:r>
      <w:r w:rsidR="00121679" w:rsidRPr="0062673F">
        <w:rPr>
          <w:color w:val="000000" w:themeColor="text1"/>
        </w:rPr>
        <w:t xml:space="preserve">modelled impacts </w:t>
      </w:r>
      <w:r w:rsidRPr="0062673F">
        <w:rPr>
          <w:color w:val="000000" w:themeColor="text1"/>
        </w:rPr>
        <w:t>over the</w:t>
      </w:r>
      <w:r w:rsidR="00372DE0" w:rsidRPr="0062673F">
        <w:rPr>
          <w:color w:val="000000" w:themeColor="text1"/>
        </w:rPr>
        <w:t xml:space="preserve"> very</w:t>
      </w:r>
      <w:r w:rsidRPr="0062673F">
        <w:rPr>
          <w:color w:val="000000" w:themeColor="text1"/>
        </w:rPr>
        <w:t xml:space="preserve"> long-term (</w:t>
      </w:r>
      <w:r w:rsidR="00372DE0" w:rsidRPr="0062673F">
        <w:rPr>
          <w:color w:val="000000" w:themeColor="text1"/>
        </w:rPr>
        <w:t xml:space="preserve">i.e. </w:t>
      </w:r>
      <w:r w:rsidRPr="0062673F">
        <w:rPr>
          <w:color w:val="000000" w:themeColor="text1"/>
        </w:rPr>
        <w:t>following children throughout their life). Over this time period there are many uncertainties that cannot be accounted for, e.g. change</w:t>
      </w:r>
      <w:r w:rsidR="00473D3E" w:rsidRPr="0062673F">
        <w:rPr>
          <w:color w:val="000000" w:themeColor="text1"/>
        </w:rPr>
        <w:t>s</w:t>
      </w:r>
      <w:r w:rsidRPr="0062673F">
        <w:rPr>
          <w:color w:val="000000" w:themeColor="text1"/>
        </w:rPr>
        <w:t xml:space="preserve"> in healthcare technology affecting disease incidence, disease morbidity and treatment costs; changes in other risk factors that may affect the underlying incidence of some of the diseases included in the model. </w:t>
      </w:r>
    </w:p>
    <w:p w14:paraId="7C121B20" w14:textId="56BF0A90" w:rsidR="00E9566C" w:rsidRPr="0062673F" w:rsidRDefault="00E9566C" w:rsidP="00E91601">
      <w:pPr>
        <w:rPr>
          <w:color w:val="000000" w:themeColor="text1"/>
        </w:rPr>
      </w:pPr>
      <w:r w:rsidRPr="0062673F">
        <w:rPr>
          <w:color w:val="000000" w:themeColor="text1"/>
        </w:rPr>
        <w:t>Our primary estimate does not make allowance for differential effects by weight status, w</w:t>
      </w:r>
      <w:r w:rsidR="005A6766" w:rsidRPr="0062673F">
        <w:rPr>
          <w:color w:val="000000" w:themeColor="text1"/>
        </w:rPr>
        <w:t xml:space="preserve">hich </w:t>
      </w:r>
      <w:r w:rsidR="00473D3E" w:rsidRPr="0062673F">
        <w:rPr>
          <w:color w:val="000000" w:themeColor="text1"/>
        </w:rPr>
        <w:t xml:space="preserve">our </w:t>
      </w:r>
      <w:r w:rsidR="005A6766" w:rsidRPr="0062673F">
        <w:rPr>
          <w:color w:val="000000" w:themeColor="text1"/>
        </w:rPr>
        <w:t>sensitivity analyses show led to an underestimate in the reductions of the nu</w:t>
      </w:r>
      <w:r w:rsidR="006A735E" w:rsidRPr="0062673F">
        <w:rPr>
          <w:color w:val="000000" w:themeColor="text1"/>
        </w:rPr>
        <w:t>mber of children with obesity and</w:t>
      </w:r>
      <w:r w:rsidR="005A6766" w:rsidRPr="0062673F">
        <w:rPr>
          <w:color w:val="000000" w:themeColor="text1"/>
        </w:rPr>
        <w:t xml:space="preserve"> overweight by around a third, although the impact</w:t>
      </w:r>
      <w:r w:rsidR="00372DE0" w:rsidRPr="0062673F">
        <w:rPr>
          <w:color w:val="000000" w:themeColor="text1"/>
        </w:rPr>
        <w:t xml:space="preserve"> of this assumption</w:t>
      </w:r>
      <w:r w:rsidR="005A6766" w:rsidRPr="0062673F">
        <w:rPr>
          <w:color w:val="000000" w:themeColor="text1"/>
        </w:rPr>
        <w:t xml:space="preserve"> on</w:t>
      </w:r>
      <w:r w:rsidR="00372DE0" w:rsidRPr="0062673F">
        <w:rPr>
          <w:color w:val="000000" w:themeColor="text1"/>
        </w:rPr>
        <w:t xml:space="preserve"> population</w:t>
      </w:r>
      <w:r w:rsidR="005A6766" w:rsidRPr="0062673F">
        <w:rPr>
          <w:color w:val="000000" w:themeColor="text1"/>
        </w:rPr>
        <w:t xml:space="preserve"> health</w:t>
      </w:r>
      <w:r w:rsidR="00372DE0" w:rsidRPr="0062673F">
        <w:rPr>
          <w:color w:val="000000" w:themeColor="text1"/>
        </w:rPr>
        <w:t>,</w:t>
      </w:r>
      <w:r w:rsidR="005A6766" w:rsidRPr="0062673F">
        <w:rPr>
          <w:color w:val="000000" w:themeColor="text1"/>
        </w:rPr>
        <w:t xml:space="preserve"> measured in </w:t>
      </w:r>
      <w:r w:rsidR="00CC7EFC" w:rsidRPr="0062673F">
        <w:rPr>
          <w:color w:val="000000" w:themeColor="text1"/>
        </w:rPr>
        <w:t>DALY</w:t>
      </w:r>
      <w:r w:rsidR="005A6766" w:rsidRPr="0062673F">
        <w:rPr>
          <w:color w:val="000000" w:themeColor="text1"/>
        </w:rPr>
        <w:t>s</w:t>
      </w:r>
      <w:r w:rsidR="00372DE0" w:rsidRPr="0062673F">
        <w:rPr>
          <w:color w:val="000000" w:themeColor="text1"/>
        </w:rPr>
        <w:t>,</w:t>
      </w:r>
      <w:r w:rsidR="005A6766" w:rsidRPr="0062673F">
        <w:rPr>
          <w:color w:val="000000" w:themeColor="text1"/>
        </w:rPr>
        <w:t xml:space="preserve"> is relatively small.</w:t>
      </w:r>
    </w:p>
    <w:p w14:paraId="18AB15A1" w14:textId="19DF8BFD" w:rsidR="008D1B17" w:rsidRPr="0062673F" w:rsidRDefault="008D1B17" w:rsidP="00E91601">
      <w:pPr>
        <w:rPr>
          <w:color w:val="000000" w:themeColor="text1"/>
        </w:rPr>
      </w:pPr>
      <w:r w:rsidRPr="0062673F">
        <w:rPr>
          <w:color w:val="000000" w:themeColor="text1"/>
        </w:rPr>
        <w:t xml:space="preserve">Whilst we did estimate differences in BMI and obesity by </w:t>
      </w:r>
      <w:r w:rsidR="00F41759">
        <w:rPr>
          <w:color w:val="000000" w:themeColor="text1"/>
        </w:rPr>
        <w:t xml:space="preserve">social grade (a measure of </w:t>
      </w:r>
      <w:r w:rsidR="00212C84">
        <w:rPr>
          <w:color w:val="000000" w:themeColor="text1"/>
        </w:rPr>
        <w:t>socio-economic status (SES)</w:t>
      </w:r>
      <w:r w:rsidR="00F41759">
        <w:rPr>
          <w:color w:val="000000" w:themeColor="text1"/>
        </w:rPr>
        <w:t>)</w:t>
      </w:r>
      <w:r w:rsidRPr="0062673F">
        <w:rPr>
          <w:color w:val="000000" w:themeColor="text1"/>
        </w:rPr>
        <w:t xml:space="preserve">, we have not formally estimated the differences in disease by SES as we do not have robust estimates of disease parameters (e.g. incidence and case fatality) by SES. </w:t>
      </w:r>
      <w:r w:rsidR="00115A2C" w:rsidRPr="0062673F">
        <w:rPr>
          <w:color w:val="000000" w:themeColor="text1"/>
        </w:rPr>
        <w:t>Our estimates of d</w:t>
      </w:r>
      <w:r w:rsidRPr="0062673F">
        <w:rPr>
          <w:color w:val="000000" w:themeColor="text1"/>
        </w:rPr>
        <w:t>ifferences in BMI and obesity by SES did not account</w:t>
      </w:r>
      <w:r w:rsidR="00115A2C" w:rsidRPr="0062673F">
        <w:rPr>
          <w:color w:val="000000" w:themeColor="text1"/>
        </w:rPr>
        <w:t xml:space="preserve"> for</w:t>
      </w:r>
      <w:r w:rsidRPr="0062673F">
        <w:rPr>
          <w:color w:val="000000" w:themeColor="text1"/>
        </w:rPr>
        <w:t xml:space="preserve"> possible differences in response by SES (e.g. due to differences in weight status) to</w:t>
      </w:r>
      <w:r w:rsidR="00086DD1" w:rsidRPr="0062673F">
        <w:rPr>
          <w:color w:val="000000" w:themeColor="text1"/>
        </w:rPr>
        <w:t xml:space="preserve"> television</w:t>
      </w:r>
      <w:r w:rsidRPr="0062673F">
        <w:rPr>
          <w:color w:val="000000" w:themeColor="text1"/>
        </w:rPr>
        <w:t xml:space="preserve"> advertising, so may have under-estimated the impact of restrictions on health inequalities.</w:t>
      </w:r>
    </w:p>
    <w:p w14:paraId="411C4EED" w14:textId="75441882" w:rsidR="00E91601" w:rsidRPr="0062673F" w:rsidRDefault="00E91601" w:rsidP="00E91601">
      <w:pPr>
        <w:rPr>
          <w:b/>
          <w:color w:val="000000" w:themeColor="text1"/>
        </w:rPr>
      </w:pPr>
      <w:r w:rsidRPr="0062673F">
        <w:rPr>
          <w:b/>
          <w:color w:val="000000" w:themeColor="text1"/>
        </w:rPr>
        <w:t>Limitations: cost data</w:t>
      </w:r>
    </w:p>
    <w:p w14:paraId="702540DD" w14:textId="64042E17" w:rsidR="008F3B8C" w:rsidRPr="0062673F" w:rsidRDefault="00FE2081" w:rsidP="00F827A8">
      <w:pPr>
        <w:rPr>
          <w:color w:val="000000" w:themeColor="text1"/>
        </w:rPr>
      </w:pPr>
      <w:r w:rsidRPr="0062673F">
        <w:rPr>
          <w:color w:val="000000" w:themeColor="text1"/>
        </w:rPr>
        <w:t>We have not considered the costs of the proposal to</w:t>
      </w:r>
      <w:r w:rsidR="008F3B8C" w:rsidRPr="0062673F">
        <w:rPr>
          <w:color w:val="000000" w:themeColor="text1"/>
        </w:rPr>
        <w:t xml:space="preserve"> other sectors of the economy, </w:t>
      </w:r>
      <w:r w:rsidR="00B702E9" w:rsidRPr="0062673F">
        <w:rPr>
          <w:color w:val="000000" w:themeColor="text1"/>
        </w:rPr>
        <w:t>such as</w:t>
      </w:r>
      <w:r w:rsidRPr="0062673F">
        <w:rPr>
          <w:color w:val="000000" w:themeColor="text1"/>
        </w:rPr>
        <w:t xml:space="preserve"> the food industry (e.g. from lost revenue), advertising industry or commercial television. In part this is because </w:t>
      </w:r>
      <w:r w:rsidR="00B702E9" w:rsidRPr="0062673F">
        <w:rPr>
          <w:color w:val="000000" w:themeColor="text1"/>
        </w:rPr>
        <w:t xml:space="preserve">some of the </w:t>
      </w:r>
      <w:r w:rsidRPr="0062673F">
        <w:rPr>
          <w:color w:val="000000" w:themeColor="text1"/>
        </w:rPr>
        <w:t>data that would enable us to make these estim</w:t>
      </w:r>
      <w:r w:rsidR="0044671F" w:rsidRPr="0062673F">
        <w:rPr>
          <w:color w:val="000000" w:themeColor="text1"/>
        </w:rPr>
        <w:t xml:space="preserve">ates is not </w:t>
      </w:r>
      <w:r w:rsidR="00372DE0" w:rsidRPr="0062673F">
        <w:rPr>
          <w:color w:val="000000" w:themeColor="text1"/>
        </w:rPr>
        <w:t>publicly</w:t>
      </w:r>
      <w:r w:rsidR="0044671F" w:rsidRPr="0062673F">
        <w:rPr>
          <w:color w:val="000000" w:themeColor="text1"/>
        </w:rPr>
        <w:t xml:space="preserve"> </w:t>
      </w:r>
      <w:r w:rsidR="00372DE0" w:rsidRPr="0062673F">
        <w:rPr>
          <w:color w:val="000000" w:themeColor="text1"/>
        </w:rPr>
        <w:t>available</w:t>
      </w:r>
      <w:r w:rsidRPr="0062673F">
        <w:rPr>
          <w:color w:val="000000" w:themeColor="text1"/>
        </w:rPr>
        <w:t xml:space="preserve"> and in part because some of this money will be spent elsewhere in the economy</w:t>
      </w:r>
      <w:r w:rsidR="004E0F9C" w:rsidRPr="0062673F">
        <w:rPr>
          <w:color w:val="000000" w:themeColor="text1"/>
        </w:rPr>
        <w:t>.</w:t>
      </w:r>
      <w:r w:rsidRPr="0062673F">
        <w:rPr>
          <w:color w:val="000000" w:themeColor="text1"/>
        </w:rPr>
        <w:t xml:space="preserve"> For example</w:t>
      </w:r>
      <w:r w:rsidR="00C36DEB" w:rsidRPr="0062673F">
        <w:rPr>
          <w:color w:val="000000" w:themeColor="text1"/>
        </w:rPr>
        <w:t>,</w:t>
      </w:r>
      <w:r w:rsidRPr="0062673F">
        <w:rPr>
          <w:color w:val="000000" w:themeColor="text1"/>
        </w:rPr>
        <w:t xml:space="preserve"> if money is not spent on television advertising it may be spent on </w:t>
      </w:r>
      <w:r w:rsidR="00121679" w:rsidRPr="0062673F">
        <w:rPr>
          <w:color w:val="000000" w:themeColor="text1"/>
        </w:rPr>
        <w:t xml:space="preserve">advertising on </w:t>
      </w:r>
      <w:r w:rsidRPr="0062673F">
        <w:rPr>
          <w:color w:val="000000" w:themeColor="text1"/>
        </w:rPr>
        <w:t xml:space="preserve">different </w:t>
      </w:r>
      <w:r w:rsidR="00121679" w:rsidRPr="0062673F">
        <w:rPr>
          <w:color w:val="000000" w:themeColor="text1"/>
        </w:rPr>
        <w:t xml:space="preserve">media </w:t>
      </w:r>
      <w:r w:rsidRPr="0062673F">
        <w:rPr>
          <w:color w:val="000000" w:themeColor="text1"/>
        </w:rPr>
        <w:t xml:space="preserve">or returned to investors as profit or customers as reduced prices. </w:t>
      </w:r>
      <w:r w:rsidR="008F3B8C" w:rsidRPr="0062673F">
        <w:rPr>
          <w:color w:val="000000" w:themeColor="text1"/>
        </w:rPr>
        <w:t>R</w:t>
      </w:r>
      <w:r w:rsidRPr="0062673F">
        <w:rPr>
          <w:color w:val="000000" w:themeColor="text1"/>
        </w:rPr>
        <w:t>egulatory costs</w:t>
      </w:r>
      <w:r w:rsidR="008F3B8C" w:rsidRPr="0062673F">
        <w:rPr>
          <w:color w:val="000000" w:themeColor="text1"/>
        </w:rPr>
        <w:t xml:space="preserve"> have not been included, as we understand the marginal costs of regulation will be small or even negligible</w:t>
      </w:r>
      <w:r w:rsidR="00B702E9" w:rsidRPr="0062673F">
        <w:rPr>
          <w:color w:val="000000" w:themeColor="text1"/>
        </w:rPr>
        <w:t>;</w:t>
      </w:r>
      <w:r w:rsidR="008F3B8C" w:rsidRPr="0062673F">
        <w:rPr>
          <w:color w:val="000000" w:themeColor="text1"/>
        </w:rPr>
        <w:t xml:space="preserve"> there is an existing regulatory structure and system (the costs of which are borne by industry) to enforce the current restrictions around chi</w:t>
      </w:r>
      <w:r w:rsidR="004E0F9C" w:rsidRPr="0062673F">
        <w:rPr>
          <w:color w:val="000000" w:themeColor="text1"/>
        </w:rPr>
        <w:t>ldren’s television that is likely to be</w:t>
      </w:r>
      <w:r w:rsidR="008F3B8C" w:rsidRPr="0062673F">
        <w:rPr>
          <w:color w:val="000000" w:themeColor="text1"/>
        </w:rPr>
        <w:t xml:space="preserve"> u</w:t>
      </w:r>
      <w:r w:rsidR="004E0F9C" w:rsidRPr="0062673F">
        <w:rPr>
          <w:color w:val="000000" w:themeColor="text1"/>
        </w:rPr>
        <w:t>sed to enforce any</w:t>
      </w:r>
      <w:r w:rsidR="00196C8E" w:rsidRPr="0062673F">
        <w:rPr>
          <w:color w:val="000000" w:themeColor="text1"/>
        </w:rPr>
        <w:t xml:space="preserve"> new restrictions</w:t>
      </w:r>
      <w:r w:rsidR="008F3B8C" w:rsidRPr="0062673F">
        <w:rPr>
          <w:color w:val="000000" w:themeColor="text1"/>
        </w:rPr>
        <w:t>.</w:t>
      </w:r>
    </w:p>
    <w:p w14:paraId="14556DF1" w14:textId="49FF2462" w:rsidR="002948FD" w:rsidRPr="0062673F" w:rsidRDefault="002948FD" w:rsidP="004A7C45">
      <w:pPr>
        <w:rPr>
          <w:b/>
          <w:color w:val="000000" w:themeColor="text1"/>
        </w:rPr>
      </w:pPr>
      <w:r w:rsidRPr="0062673F">
        <w:rPr>
          <w:b/>
          <w:color w:val="000000" w:themeColor="text1"/>
        </w:rPr>
        <w:t>Comparison with other studies</w:t>
      </w:r>
    </w:p>
    <w:p w14:paraId="56E61670" w14:textId="428BF1C6" w:rsidR="003E140D" w:rsidRPr="0062673F" w:rsidRDefault="003E140D" w:rsidP="004A7C45">
      <w:pPr>
        <w:rPr>
          <w:color w:val="000000" w:themeColor="text1"/>
        </w:rPr>
      </w:pPr>
      <w:r w:rsidRPr="0062673F">
        <w:rPr>
          <w:color w:val="000000" w:themeColor="text1"/>
        </w:rPr>
        <w:t xml:space="preserve">Our estimates of </w:t>
      </w:r>
      <w:r w:rsidR="00841797" w:rsidRPr="0062673F">
        <w:rPr>
          <w:color w:val="000000" w:themeColor="text1"/>
        </w:rPr>
        <w:t xml:space="preserve">the </w:t>
      </w:r>
      <w:r w:rsidRPr="0062673F">
        <w:rPr>
          <w:color w:val="000000" w:themeColor="text1"/>
        </w:rPr>
        <w:t>impact on mean body mass index are more conservative (0.12 vs 0.35 kg/m</w:t>
      </w:r>
      <w:r w:rsidRPr="0062673F">
        <w:rPr>
          <w:color w:val="000000" w:themeColor="text1"/>
          <w:vertAlign w:val="superscript"/>
        </w:rPr>
        <w:t>2</w:t>
      </w:r>
      <w:r w:rsidRPr="0062673F">
        <w:rPr>
          <w:color w:val="000000" w:themeColor="text1"/>
        </w:rPr>
        <w:t>) than the esti</w:t>
      </w:r>
      <w:r w:rsidR="006A735E" w:rsidRPr="0062673F">
        <w:rPr>
          <w:color w:val="000000" w:themeColor="text1"/>
        </w:rPr>
        <w:t>mates for the impact of restrictions before 2130</w:t>
      </w:r>
      <w:r w:rsidRPr="0062673F">
        <w:rPr>
          <w:color w:val="000000" w:themeColor="text1"/>
        </w:rPr>
        <w:t xml:space="preserve"> in Australia</w:t>
      </w:r>
      <w:r w:rsidR="008F406E">
        <w:rPr>
          <w:color w:val="000000" w:themeColor="text1"/>
        </w:rPr>
        <w:t xml:space="preserve"> </w:t>
      </w:r>
      <w:r w:rsidR="0088692C" w:rsidRPr="0062673F">
        <w:rPr>
          <w:color w:val="000000" w:themeColor="text1"/>
        </w:rPr>
        <w:fldChar w:fldCharType="begin" w:fldLock="1"/>
      </w:r>
      <w:r w:rsidR="00467360" w:rsidRPr="0062673F">
        <w:rPr>
          <w:color w:val="000000" w:themeColor="text1"/>
        </w:rPr>
        <w:instrText>ADDIN CSL_CITATION {"citationItems":[{"id":"ITEM-1","itemData":{"DOI":"10.3390/nu10050622","ISSN":"2072-6643","PMID":"29762517","abstract":"Television (TV) advertising of food and beverages high in fat, sugar and salt (HFSS) influences food preferences and consumption. Children from lower socioeconomic position (SEP) have higher exposure to TV advertising due to more time spent watching TV. This paper sought to estimate the cost-effectiveness of legislation to restrict HFSS TV advertising until 9:30 pm, and to examine how health benefits and healthcare cost-savings differ by SEP. Cost-effectiveness modelling was undertaken (i) at the population level, and (ii) by area-level SEP. A multi-state multiple-cohort lifetable model was used to estimate obesity-related health outcomes and healthcare cost-savings over the lifetime of the 2010 Australian population. Incremental cost-effectiveness ratios (ICERs) were reported, with assumptions tested through sensitivity analyses. An intervention restricting HFSS TV advertising would cost AUD5.9M (95% UI AUD5.8M⁻AUD7M), resulting in modelled reductions in energy intake (mean 115 kJ/day) and body mass index (BMI) (mean 0.352 kg/m²). The intervention is likely to be cost-saving, with 1.4 times higher total cost-savings and 1.5 times higher health benefits in the most disadvantaged socioeconomic group (17,512 HALYs saved (95% UI 10,372⁻25,155); total cost-savings AUD126.3M (95% UI AUD58.7M⁻196.9M) over the lifetime) compared to the least disadvantaged socioeconomic group (11,321 HALYs saved (95% UI 6812⁻15,679); total cost-savings AUD90.9M (95% UI AUD44.3M⁻136.3M)). Legislation to restrict HFSS TV advertising is likely to be cost-effective, with greater health benefits and healthcare cost-savings for children with low SEP.","author":[{"dropping-particle":"","family":"Brown","given":"Vicki","non-dropping-particle":"","parse-names":false,"suffix":""},{"dropping-particle":"","family":"Ananthapavan","given":"Jaithri","non-dropping-particle":"","parse-names":false,"suffix":""},{"dropping-particle":"","family":"Veerman","given":"Lennert","non-dropping-particle":"","parse-names":false,"suffix":""},{"dropping-particle":"","family":"Sacks","given":"Gary","non-dropping-particle":"","parse-names":false,"suffix":""},{"dropping-particle":"","family":"Lal","given":"Anita","non-dropping-particle":"","parse-names":false,"suffix":""},{"dropping-particle":"","family":"Peeters","given":"Anna","non-dropping-particle":"","parse-names":false,"suffix":""},{"dropping-particle":"","family":"Backholer","given":"Kathryn","non-dropping-particle":"","parse-names":false,"suffix":""},{"dropping-particle":"","family":"Moodie","given":"Marjory","non-dropping-particle":"","parse-names":false,"suffix":""}],"container-title":"Nutrients","id":"ITEM-1","issue":"5","issued":{"date-parts":[["2018","5","15"]]},"publisher":"Multidisciplinary Digital Publishing Institute  (MDPI)","title":"The Potential Cost-Effectiveness and Equity Impacts of Restricting Television Advertising of Unhealthy Food and Beverages to Australian Children.","type":"article-journal","volume":"10"},"uris":["http://www.mendeley.com/documents/?uuid=23adcd38-db68-3ba5-8262-fb787bdbc19c"]}],"mendeley":{"formattedCitation":"[30]","plainTextFormattedCitation":"[30]","previouslyFormattedCitation":"[30]"},"properties":{"noteIndex":0},"schema":"https://github.com/citation-style-language/schema/raw/master/csl-citation.json"}</w:instrText>
      </w:r>
      <w:r w:rsidR="0088692C" w:rsidRPr="0062673F">
        <w:rPr>
          <w:color w:val="000000" w:themeColor="text1"/>
        </w:rPr>
        <w:fldChar w:fldCharType="separate"/>
      </w:r>
      <w:r w:rsidR="0066542D" w:rsidRPr="0062673F">
        <w:rPr>
          <w:noProof/>
          <w:color w:val="000000" w:themeColor="text1"/>
        </w:rPr>
        <w:t>[30]</w:t>
      </w:r>
      <w:r w:rsidR="0088692C" w:rsidRPr="0062673F">
        <w:rPr>
          <w:color w:val="000000" w:themeColor="text1"/>
        </w:rPr>
        <w:fldChar w:fldCharType="end"/>
      </w:r>
      <w:r w:rsidR="008F406E">
        <w:rPr>
          <w:color w:val="000000" w:themeColor="text1"/>
        </w:rPr>
        <w:t>.</w:t>
      </w:r>
      <w:r w:rsidRPr="0062673F">
        <w:rPr>
          <w:color w:val="000000" w:themeColor="text1"/>
        </w:rPr>
        <w:t xml:space="preserve"> The difference is predominantly due to greater exposure of Australian children to </w:t>
      </w:r>
      <w:r w:rsidR="00C40AB7" w:rsidRPr="0062673F">
        <w:rPr>
          <w:color w:val="000000" w:themeColor="text1"/>
        </w:rPr>
        <w:t>less-healthy</w:t>
      </w:r>
      <w:r w:rsidRPr="0062673F">
        <w:rPr>
          <w:color w:val="000000" w:themeColor="text1"/>
        </w:rPr>
        <w:t xml:space="preserve"> food advertising</w:t>
      </w:r>
      <w:r w:rsidR="00912668" w:rsidRPr="0062673F">
        <w:rPr>
          <w:color w:val="000000" w:themeColor="text1"/>
        </w:rPr>
        <w:t xml:space="preserve"> on television (see </w:t>
      </w:r>
      <w:r w:rsidR="00305F76" w:rsidRPr="0062673F">
        <w:rPr>
          <w:color w:val="000000" w:themeColor="text1"/>
        </w:rPr>
        <w:t xml:space="preserve">S5 </w:t>
      </w:r>
      <w:r w:rsidR="00912668" w:rsidRPr="0062673F">
        <w:rPr>
          <w:color w:val="000000" w:themeColor="text1"/>
        </w:rPr>
        <w:t>Table)</w:t>
      </w:r>
      <w:r w:rsidRPr="0062673F">
        <w:rPr>
          <w:color w:val="000000" w:themeColor="text1"/>
        </w:rPr>
        <w:t>, although exposure to advertising</w:t>
      </w:r>
      <w:r w:rsidR="006A735E" w:rsidRPr="0062673F">
        <w:rPr>
          <w:color w:val="000000" w:themeColor="text1"/>
        </w:rPr>
        <w:t xml:space="preserve"> in the Australian study</w:t>
      </w:r>
      <w:r w:rsidRPr="0062673F">
        <w:rPr>
          <w:color w:val="000000" w:themeColor="text1"/>
        </w:rPr>
        <w:t xml:space="preserve"> </w:t>
      </w:r>
      <w:r w:rsidR="00121679" w:rsidRPr="0062673F">
        <w:rPr>
          <w:color w:val="000000" w:themeColor="text1"/>
        </w:rPr>
        <w:t>was</w:t>
      </w:r>
      <w:r w:rsidR="006A735E" w:rsidRPr="0062673F">
        <w:rPr>
          <w:color w:val="000000" w:themeColor="text1"/>
        </w:rPr>
        <w:t xml:space="preserve"> not</w:t>
      </w:r>
      <w:r w:rsidR="00121679" w:rsidRPr="0062673F">
        <w:rPr>
          <w:color w:val="000000" w:themeColor="text1"/>
        </w:rPr>
        <w:t xml:space="preserve"> </w:t>
      </w:r>
      <w:r w:rsidRPr="0062673F">
        <w:rPr>
          <w:color w:val="000000" w:themeColor="text1"/>
        </w:rPr>
        <w:t xml:space="preserve">estimated </w:t>
      </w:r>
      <w:r w:rsidR="006A735E" w:rsidRPr="0062673F">
        <w:rPr>
          <w:color w:val="000000" w:themeColor="text1"/>
        </w:rPr>
        <w:t>from empirical data (in contrast to</w:t>
      </w:r>
      <w:r w:rsidRPr="0062673F">
        <w:rPr>
          <w:color w:val="000000" w:themeColor="text1"/>
        </w:rPr>
        <w:t xml:space="preserve"> our </w:t>
      </w:r>
      <w:r w:rsidR="00066621" w:rsidRPr="0062673F">
        <w:rPr>
          <w:color w:val="000000" w:themeColor="text1"/>
        </w:rPr>
        <w:t>study). O</w:t>
      </w:r>
      <w:r w:rsidRPr="0062673F">
        <w:rPr>
          <w:color w:val="000000" w:themeColor="text1"/>
        </w:rPr>
        <w:t>ther studies have</w:t>
      </w:r>
      <w:r w:rsidR="00066621" w:rsidRPr="0062673F">
        <w:rPr>
          <w:color w:val="000000" w:themeColor="text1"/>
        </w:rPr>
        <w:t xml:space="preserve"> also</w:t>
      </w:r>
      <w:r w:rsidRPr="0062673F">
        <w:rPr>
          <w:color w:val="000000" w:themeColor="text1"/>
        </w:rPr>
        <w:t xml:space="preserve"> tried to quantify the effect of advertising restrictions on children’s mean body mass index and subsequent health measure in HALYs. Comparisons with respect to mean body mass index are probably most informative as they are not confounded by population size, although differences in exposure to advertising and the proposed restrictions will also affect the validity of the comparisons. Many of these other studies are methodologically weaker being based either on single trials</w:t>
      </w:r>
      <w:r w:rsidR="008F406E">
        <w:rPr>
          <w:color w:val="000000" w:themeColor="text1"/>
        </w:rPr>
        <w:t xml:space="preserve"> </w:t>
      </w:r>
      <w:r w:rsidR="004A7216" w:rsidRPr="0062673F">
        <w:rPr>
          <w:color w:val="000000" w:themeColor="text1"/>
        </w:rPr>
        <w:fldChar w:fldCharType="begin" w:fldLock="1"/>
      </w:r>
      <w:r w:rsidR="00467360" w:rsidRPr="0062673F">
        <w:rPr>
          <w:color w:val="000000" w:themeColor="text1"/>
        </w:rPr>
        <w:instrText>ADDIN CSL_CITATION {"citationItems":[{"id":"ITEM-1","itemData":{"DOI":"10.1038/ijo.2009.156","ISSN":"0307-0565","PMID":"19652656","abstract":"OBJECTIVE To model the health benefits and cost-effectiveness of banning television (TV) advertisements in Australia for energy-dense, nutrient-poor food and beverages during children's peak viewing times. METHODS Benefits were modelled as changes in body mass index (BMI) and disability-adjusted life years (DALYs) saved. Intervention costs (AUD$) were compared with future health-care cost offsets from reduced prevalence of obesity-related health conditions. Changes in BMI were assumed to be maintained through to adulthood. The comparator was current practice, the reference year was 2001, and the discount rate for costs and benefits was 3%. The impact of the withdrawal of non-core food and beverage advertisements on children's actual food consumption was drawn from the best available evidence (a randomized controlled trial of advertisement exposure and food consumption). Supporting evidence was found in ecological relationships between TV advertising and childhood obesity, and from the effects of marketing bans on other products. A Working Group of stakeholders provided input into decisions surrounding the modelling assumptions and second-stage filters of 'strength of evidence', 'equity', 'acceptability to stakeholders', 'feasibility of implementation', 'sustainability' and 'side-effects'. RESULTS The intervention had a gross incremental cost-effectiveness ratio of AUD$ 3.70 (95% uncertainty interval (UI) $2.40, $7.70) per DALY. Total DALYs saved were 37 000 (95% UI 16,000, 59,000). When the present value of potential savings in future health-care costs was considered (AUD$ 300m (95% UI $130m, $480m), the intervention was 'dominant', because it resulted in both a health gain and a cost offset compared with current practice. CONCLUSIONS Although recognizing the limitations of the available evidence, restricting TV food advertising to children would be one of the most cost-effective population-based interventions available to governments today. Despite its economic credentials from a public health perspective, the initiative is strongly opposed by food and advertising industries and is under review by the current Australian government.","author":[{"dropping-particle":"","family":"Magnus","given":"A","non-dropping-particle":"","parse-names":false,"suffix":""},{"dropping-particle":"","family":"Haby","given":"M M","non-dropping-particle":"","parse-names":false,"suffix":""},{"dropping-particle":"","family":"Carter","given":"R","non-dropping-particle":"","parse-names":false,"suffix":""},{"dropping-particle":"","family":"Swinburn","given":"B","non-dropping-particle":"","parse-names":false,"suffix":""}],"container-title":"International Journal of Obesity","id":"ITEM-1","issue":"10","issued":{"date-parts":[["2009","10","4"]]},"page":"1094-1102","title":"The cost-effectiveness of removing television advertising of high-fat and/or high-sugar food and beverages to Australian children","type":"article-journal","volume":"33"},"uris":["http://www.mendeley.com/documents/?uuid=508ce62e-9c5e-3500-8049-0b4957ba20ef"]},{"id":"ITEM-2","itemData":{"DOI":"10.1016/j.amepre.2015.02.026","ISSN":"07493797","PMID":"26094233","abstract":"INTRODUCTION Food and beverage TV advertising contributes to childhood obesity. The current tax treatment of advertising as an ordinary business expense in the U.S. subsidizes marketing of nutritionally poor foods and beverages to children. This study models the effect of a national intervention that eliminates the tax subsidy of advertising nutritionally poor foods and beverages on TV to children aged 2-19 years. METHODS We adapted and modified the Assessing Cost Effectiveness framework and methods to create the Childhood Obesity Intervention Cost Effectiveness Study model to simulate the impact of the intervention over the 2015-2025 period for the U.S. population, including short-term effects on BMI and 10-year healthcare expenditures. We simulated uncertainty intervals (UIs) using probabilistic sensitivity analysis and discounted outcomes at 3% annually. Data were analyzed in 2014. RESULTS We estimated the intervention would reduce an aggregate 2.13 million (95% UI=0.83 million, 3.52 million) BMI units in the population and would cost $1.16 per BMI unit reduced (95% UI=$0.51, $2.63). From 2015 to 2025, the intervention would result in $352 million (95% UI=$138 million, $581 million) in healthcare cost savings and gain 4,538 (95% UI=1,752, 7,489) quality-adjusted life-years. CONCLUSIONS Eliminating the tax subsidy of TV advertising costs for nutritionally poor foods and beverages advertised to children and adolescents would likely be a cost-saving strategy to reduce childhood obesity and related healthcare expenditures.","author":[{"dropping-particle":"","family":"Sonneville","given":"Kendrin R.","non-dropping-particle":"","parse-names":false,"suffix":""},{"dropping-particle":"","family":"Long","given":"Michael W.","non-dropping-particle":"","parse-names":false,"suffix":""},{"dropping-particle":"","family":"Ward","given":"Zachary J.","non-dropping-particle":"","parse-names":false,"suffix":""},{"dropping-particle":"","family":"Resch","given":"Stephen C.","non-dropping-particle":"","parse-names":false,"suffix":""},{"dropping-particle":"","family":"Wang","given":"Y. Claire","non-dropping-particle":"","parse-names":false,"suffix":""},{"dropping-particle":"","family":"Pomeranz","given":"Jennifer L.","non-dropping-particle":"","parse-names":false,"suffix":""},{"dropping-particle":"","family":"Moodie","given":"Marj L.","non-dropping-particle":"","parse-names":false,"suffix":""},{"dropping-particle":"","family":"Carter","given":"Rob","non-dropping-particle":"","parse-names":false,"suffix":""},{"dropping-particle":"","family":"Sacks","given":"Gary","non-dropping-particle":"","parse-names":false,"suffix":""},{"dropping-particle":"","family":"Swinburn","given":"Boyd A.","non-dropping-particle":"","parse-names":false,"suffix":""},{"dropping-particle":"","family":"Gortmaker","given":"Steven L.","non-dropping-particle":"","parse-names":false,"suffix":""}],"container-title":"American Journal of Preventive Medicine","id":"ITEM-2","issue":"1","issued":{"date-parts":[["2015","7"]]},"page":"124-134","title":"BMI and Healthcare Cost Impact of Eliminating Tax Subsidy for Advertising Unhealthy Food to Youth","type":"article-journal","volume":"49"},"uris":["http://www.mendeley.com/documents/?uuid=f35cc632-57a9-3ec4-ba37-f91aadb583fd"]}],"mendeley":{"formattedCitation":"[61,62]","plainTextFormattedCitation":"[61,62]","previouslyFormattedCitation":"[60,61]"},"properties":{"noteIndex":0},"schema":"https://github.com/citation-style-language/schema/raw/master/csl-citation.json"}</w:instrText>
      </w:r>
      <w:r w:rsidR="004A7216" w:rsidRPr="0062673F">
        <w:rPr>
          <w:color w:val="000000" w:themeColor="text1"/>
        </w:rPr>
        <w:fldChar w:fldCharType="separate"/>
      </w:r>
      <w:r w:rsidR="00467360" w:rsidRPr="0062673F">
        <w:rPr>
          <w:noProof/>
          <w:color w:val="000000" w:themeColor="text1"/>
        </w:rPr>
        <w:t>[61,62]</w:t>
      </w:r>
      <w:r w:rsidR="004A7216" w:rsidRPr="0062673F">
        <w:rPr>
          <w:color w:val="000000" w:themeColor="text1"/>
        </w:rPr>
        <w:fldChar w:fldCharType="end"/>
      </w:r>
      <w:r w:rsidR="008F406E">
        <w:rPr>
          <w:color w:val="000000" w:themeColor="text1"/>
        </w:rPr>
        <w:t>,</w:t>
      </w:r>
      <w:r w:rsidRPr="0062673F">
        <w:rPr>
          <w:color w:val="000000" w:themeColor="text1"/>
        </w:rPr>
        <w:t xml:space="preserve"> cross-sectional data</w:t>
      </w:r>
      <w:r w:rsidR="008F406E">
        <w:rPr>
          <w:color w:val="000000" w:themeColor="text1"/>
        </w:rPr>
        <w:t xml:space="preserve"> </w:t>
      </w:r>
      <w:r w:rsidR="004A7216" w:rsidRPr="0062673F">
        <w:rPr>
          <w:color w:val="000000" w:themeColor="text1"/>
        </w:rPr>
        <w:fldChar w:fldCharType="begin" w:fldLock="1"/>
      </w:r>
      <w:r w:rsidR="00467360" w:rsidRPr="0062673F">
        <w:rPr>
          <w:color w:val="000000" w:themeColor="text1"/>
        </w:rPr>
        <w:instrText>ADDIN CSL_CITATION {"citationItems":[{"id":"ITEM-1","itemData":{"DOI":"10.1017/S1368980009992850","abstract":"Objective: To estimate the contribution of television (TV) food advertising to the prevalence of obesity among 6-11-year-old children in Australia, Great Britain (England and Scotland only), Italy, The Netherlands, Sweden and the United States. Design: Data from contemporary representative studies on the prevalence of childhood obesity and on TV food advertising exposure in the above countries were entered into a mathematical simulation model. Two different effect esti-mators were used to calculate the reduction in prevalence of overweight and obesity in the absence of TV food advertising in each country; one based on literature and one based on experts' estimates. Setting: Six-to eleven-year-old children in six Western countries. Results: Estimates of the average exposure of children to TV food advertising range from 1?8 min/d in The Netherlands to 11?5 min/d in the United States. Its contribution to the prevalence of childhood obesity is estimated at 16 %-40 % in the United States, 10 %-28 % in Australia and Italy and 4 %-18 % in Great Britain, Sweden and The Netherlands. Conclusions: The contribution of TV advertising of foods and drinks to the prevalence of childhood obesity differs distinctly by country and is likely to be significant in some countries. Keywords Child Overweight Obesity Advertising Comparison Childhood overweight and obesity is an increasing public health problem (1-3). Often persisting into adulthood, childhood obesity increases the risk of suffering from a range of diseases, including diabetes mellitus and CVD, which can lead to poor quality of life and a shortened lifespan (3-5). Overweight among children is related to many factors at the individual, family and environmental levels. Cross-sectional and longitudinal studies have shown a positive association between time spent watching television (TV) and an increase in the prevalence of childhood overweight and obesity (6-9) ; whereas the results of published studies indicate a positive relationship between TV viewing and overweight (10-12) , mechanisms driving this are not clear. Two primary mechanisms by which TV viewing contributes to weight gain in children have been suggested: reduced physical activity or increased energy intake or a combination of both. Weak-to-modest inverse associations between TV viewing and physical activity have been found (9,13). There is also evidence that at least part of the relationship between TV viewing and overweight in children can be linked t…","author":[{"dropping-particle":"","family":"Goris","given":"Janny M","non-dropping-particle":"","parse-names":false,"suffix":""},{"dropping-particle":"","family":"Petersen","given":"Solveig","non-dropping-particle":"","parse-names":false,"suffix":""},{"dropping-particle":"","family":"Stamatakis","given":"Emmanuel","non-dropping-particle":"","parse-names":false,"suffix":""},{"dropping-particle":"","family":"Lennert Veerman","given":"J","non-dropping-particle":"","parse-names":false,"suffix":""}],"container-title":"Public Health Nutrition","id":"ITEM-1","issue":"13","issued":{"date-parts":[["0"]]},"page":"1003-1012","title":"Television food advertising and the prevalence of childhood overweight and obesity: a multicountry comparison","type":"article-journal"},"uris":["http://www.mendeley.com/documents/?uuid=ab23652e-fe58-3916-8e51-46052c6fb8c6"]}],"mendeley":{"formattedCitation":"[63]","plainTextFormattedCitation":"[63]","previouslyFormattedCitation":"[62]"},"properties":{"noteIndex":0},"schema":"https://github.com/citation-style-language/schema/raw/master/csl-citation.json"}</w:instrText>
      </w:r>
      <w:r w:rsidR="004A7216" w:rsidRPr="0062673F">
        <w:rPr>
          <w:color w:val="000000" w:themeColor="text1"/>
        </w:rPr>
        <w:fldChar w:fldCharType="separate"/>
      </w:r>
      <w:r w:rsidR="00467360" w:rsidRPr="0062673F">
        <w:rPr>
          <w:noProof/>
          <w:color w:val="000000" w:themeColor="text1"/>
        </w:rPr>
        <w:t>[63]</w:t>
      </w:r>
      <w:r w:rsidR="004A7216" w:rsidRPr="0062673F">
        <w:rPr>
          <w:color w:val="000000" w:themeColor="text1"/>
        </w:rPr>
        <w:fldChar w:fldCharType="end"/>
      </w:r>
      <w:r w:rsidRPr="0062673F">
        <w:rPr>
          <w:color w:val="000000" w:themeColor="text1"/>
        </w:rPr>
        <w:t xml:space="preserve"> or consensus opinion from Delphi studies</w:t>
      </w:r>
      <w:r w:rsidR="008F406E">
        <w:rPr>
          <w:color w:val="000000" w:themeColor="text1"/>
        </w:rPr>
        <w:t xml:space="preserve"> </w:t>
      </w:r>
      <w:r w:rsidR="004A7216" w:rsidRPr="0062673F">
        <w:rPr>
          <w:color w:val="000000" w:themeColor="text1"/>
        </w:rPr>
        <w:fldChar w:fldCharType="begin" w:fldLock="1"/>
      </w:r>
      <w:r w:rsidR="00467360" w:rsidRPr="0062673F">
        <w:rPr>
          <w:color w:val="000000" w:themeColor="text1"/>
        </w:rPr>
        <w:instrText>ADDIN CSL_CITATION {"citationItems":[{"id":"ITEM-1","itemData":{"DOI":"10.1093/eurpub/ckp039","ISSN":"1101-1262","author":[{"dropping-particle":"","family":"Veerman","given":"J. L.","non-dropping-particle":"","parse-names":false,"suffix":""},{"dropping-particle":"","family":"Beeck","given":"E. F.","non-dropping-particle":"Van","parse-names":false,"suffix":""},{"dropping-particle":"","family":"Barendregt","given":"J. J.","non-dropping-particle":"","parse-names":false,"suffix":""},{"dropping-particle":"","family":"Mackenbach","given":"J. P.","non-dropping-particle":"","parse-names":false,"suffix":""}],"container-title":"The European Journal of Public Health","id":"ITEM-1","issue":"4","issued":{"date-parts":[["2009","8","1"]]},"page":"365-369","publisher":"Oxford University Press","title":"By how much would limiting TV food advertising reduce childhood obesity?","type":"article-journal","volume":"19"},"uris":["http://www.mendeley.com/documents/?uuid=82619adc-80ae-3b05-99b1-7a0492b060ac"]}],"mendeley":{"formattedCitation":"[64]","plainTextFormattedCitation":"[64]","previouslyFormattedCitation":"[63]"},"properties":{"noteIndex":0},"schema":"https://github.com/citation-style-language/schema/raw/master/csl-citation.json"}</w:instrText>
      </w:r>
      <w:r w:rsidR="004A7216" w:rsidRPr="0062673F">
        <w:rPr>
          <w:color w:val="000000" w:themeColor="text1"/>
        </w:rPr>
        <w:fldChar w:fldCharType="separate"/>
      </w:r>
      <w:r w:rsidR="00467360" w:rsidRPr="0062673F">
        <w:rPr>
          <w:noProof/>
          <w:color w:val="000000" w:themeColor="text1"/>
        </w:rPr>
        <w:t>[64]</w:t>
      </w:r>
      <w:r w:rsidR="004A7216" w:rsidRPr="0062673F">
        <w:rPr>
          <w:color w:val="000000" w:themeColor="text1"/>
        </w:rPr>
        <w:fldChar w:fldCharType="end"/>
      </w:r>
      <w:r w:rsidR="007859DE" w:rsidRPr="0062673F">
        <w:rPr>
          <w:color w:val="000000" w:themeColor="text1"/>
        </w:rPr>
        <w:t>.</w:t>
      </w:r>
      <w:r w:rsidRPr="0062673F">
        <w:rPr>
          <w:color w:val="000000" w:themeColor="text1"/>
        </w:rPr>
        <w:t xml:space="preserve"> Our estimate is similar to some studies</w:t>
      </w:r>
      <w:r w:rsidR="008F406E">
        <w:rPr>
          <w:color w:val="000000" w:themeColor="text1"/>
        </w:rPr>
        <w:t xml:space="preserve"> </w:t>
      </w:r>
      <w:r w:rsidR="00066621" w:rsidRPr="0062673F">
        <w:rPr>
          <w:color w:val="000000" w:themeColor="text1"/>
        </w:rPr>
        <w:fldChar w:fldCharType="begin" w:fldLock="1"/>
      </w:r>
      <w:r w:rsidR="00467360" w:rsidRPr="0062673F">
        <w:rPr>
          <w:color w:val="000000" w:themeColor="text1"/>
        </w:rPr>
        <w:instrText>ADDIN CSL_CITATION {"citationItems":[{"id":"ITEM-1","itemData":{"DOI":"10.1016/S0140-6736(10)61514-0","ISSN":"0140-6736","abstract":"The obesity epidemic is spreading to low-income and middle-income countries as a result of new dietary habits and sedentary ways of life, fuelling chronic diseases and premature mortality. In this report we present an assessment of public health strategies designed to tackle behavioural risk factors for chronic diseases that are closely linked with obesity, including aspects of diet and physical inactivity, in Brazil, China, India, Mexico, Russia, and South Africa. England was included for comparative purposes. Several population-based prevention policies can be expected to generate substantial health gains while entirely or largely paying for themselves through future reductions of health-care expenditures. These strategies include health information and communication strategies that improve population awareness about the benefits of healthy eating and physical activity; fiscal measures that increase the price of unhealthy food content or reduce the cost of healthy foods rich in fibre; and regulatory measures that improve nutritional information or restrict the marketing of unhealthy foods to children. A package of measures for the prevention of chronic diseases would deliver substantial health gains, with a very favourable cost-effectiveness profile.","author":[{"dropping-particle":"","family":"Cecchini","given":"Michele","non-dropping-particle":"","parse-names":false,"suffix":""},{"dropping-particle":"","family":"Sassi","given":"Franco","non-dropping-particle":"","parse-names":false,"suffix":""},{"dropping-particle":"","family":"Lauer","given":"Jeremy A","non-dropping-particle":"","parse-names":false,"suffix":""},{"dropping-particle":"","family":"Lee","given":"Yong Y","non-dropping-particle":"","parse-names":false,"suffix":""},{"dropping-particle":"","family":"Guajardo-Barron","given":"Veronica","non-dropping-particle":"","parse-names":false,"suffix":""},{"dropping-particle":"","family":"Chisholm","given":"Daniel","non-dropping-particle":"","parse-names":false,"suffix":""}],"container-title":"The Lancet","id":"ITEM-1","issue":"9754","issued":{"date-parts":[["2010","11","20"]]},"page":"1775-1784","publisher":"Elsevier","title":"Tackling of unhealthy diets, physical inactivity, and obesity: health effects and cost-effectiveness","type":"article-journal","volume":"376"},"uris":["http://www.mendeley.com/documents/?uuid=7581a3ba-4836-3ed1-b865-ff7516a2e110"]},{"id":"ITEM-2","itemData":{"DOI":"10.1038/ijo.2009.156","ISSN":"0307-0565","PMID":"19652656","abstract":"OBJECTIVE To model the health benefits and cost-effectiveness of banning television (TV) advertisements in Australia for energy-dense, nutrient-poor food and beverages during children's peak viewing times. METHODS Benefits were modelled as changes in body mass index (BMI) and disability-adjusted life years (DALYs) saved. Intervention costs (AUD$) were compared with future health-care cost offsets from reduced prevalence of obesity-related health conditions. Changes in BMI were assumed to be maintained through to adulthood. The comparator was current practice, the reference year was 2001, and the discount rate for costs and benefits was 3%. The impact of the withdrawal of non-core food and beverage advertisements on children's actual food consumption was drawn from the best available evidence (a randomized controlled trial of advertisement exposure and food consumption). Supporting evidence was found in ecological relationships between TV advertising and childhood obesity, and from the effects of marketing bans on other products. A Working Group of stakeholders provided input into decisions surrounding the modelling assumptions and second-stage filters of 'strength of evidence', 'equity', 'acceptability to stakeholders', 'feasibility of implementation', 'sustainability' and 'side-effects'. RESULTS The intervention had a gross incremental cost-effectiveness ratio of AUD$ 3.70 (95% uncertainty interval (UI) $2.40, $7.70) per DALY. Total DALYs saved were 37 000 (95% UI 16,000, 59,000). When the present value of potential savings in future health-care costs was considered (AUD$ 300m (95% UI $130m, $480m), the intervention was 'dominant', because it resulted in both a health gain and a cost offset compared with current practice. CONCLUSIONS Although recognizing the limitations of the available evidence, restricting TV food advertising to children would be one of the most cost-effective population-based interventions available to governments today. Despite its economic credentials from a public health perspective, the initiative is strongly opposed by food and advertising industries and is under review by the current Australian government.","author":[{"dropping-particle":"","family":"Magnus","given":"A","non-dropping-particle":"","parse-names":false,"suffix":""},{"dropping-particle":"","family":"Haby","given":"M M","non-dropping-particle":"","parse-names":false,"suffix":""},{"dropping-particle":"","family":"Carter","given":"R","non-dropping-particle":"","parse-names":false,"suffix":""},{"dropping-particle":"","family":"Swinburn","given":"B","non-dropping-particle":"","parse-names":false,"suffix":""}],"container-title":"International Journal of Obesity","id":"ITEM-2","issue":"10","issued":{"date-parts":[["2009","10","4"]]},"page":"1094-1102","title":"The cost-effectiveness of removing television advertising of high-fat and/or high-sugar food and beverages to Australian children","type":"article-journal","volume":"33"},"uris":["http://www.mendeley.com/documents/?uuid=508ce62e-9c5e-3500-8049-0b4957ba20ef"]}],"mendeley":{"formattedCitation":"[61,65]","plainTextFormattedCitation":"[61,65]","previouslyFormattedCitation":"[60,64]"},"properties":{"noteIndex":0},"schema":"https://github.com/citation-style-language/schema/raw/master/csl-citation.json"}</w:instrText>
      </w:r>
      <w:r w:rsidR="00066621" w:rsidRPr="0062673F">
        <w:rPr>
          <w:color w:val="000000" w:themeColor="text1"/>
        </w:rPr>
        <w:fldChar w:fldCharType="separate"/>
      </w:r>
      <w:r w:rsidR="00467360" w:rsidRPr="0062673F">
        <w:rPr>
          <w:noProof/>
          <w:color w:val="000000" w:themeColor="text1"/>
        </w:rPr>
        <w:t>[61,65]</w:t>
      </w:r>
      <w:r w:rsidR="00066621" w:rsidRPr="0062673F">
        <w:rPr>
          <w:color w:val="000000" w:themeColor="text1"/>
        </w:rPr>
        <w:fldChar w:fldCharType="end"/>
      </w:r>
      <w:r w:rsidR="008F406E">
        <w:rPr>
          <w:color w:val="000000" w:themeColor="text1"/>
        </w:rPr>
        <w:t>,</w:t>
      </w:r>
      <w:r w:rsidRPr="0062673F">
        <w:rPr>
          <w:color w:val="000000" w:themeColor="text1"/>
        </w:rPr>
        <w:t xml:space="preserve"> more conservative than so</w:t>
      </w:r>
      <w:r w:rsidR="0088692C" w:rsidRPr="0062673F">
        <w:rPr>
          <w:color w:val="000000" w:themeColor="text1"/>
        </w:rPr>
        <w:t>me</w:t>
      </w:r>
      <w:r w:rsidR="008F406E">
        <w:rPr>
          <w:color w:val="000000" w:themeColor="text1"/>
        </w:rPr>
        <w:t xml:space="preserve"> </w:t>
      </w:r>
      <w:r w:rsidR="0088692C" w:rsidRPr="0062673F">
        <w:rPr>
          <w:color w:val="000000" w:themeColor="text1"/>
        </w:rPr>
        <w:fldChar w:fldCharType="begin" w:fldLock="1"/>
      </w:r>
      <w:r w:rsidR="00467360" w:rsidRPr="0062673F">
        <w:rPr>
          <w:color w:val="000000" w:themeColor="text1"/>
        </w:rPr>
        <w:instrText>ADDIN CSL_CITATION {"citationItems":[{"id":"ITEM-1","itemData":{"DOI":"10.1093/eurpub/ckp039","ISSN":"1101-1262","author":[{"dropping-particle":"","family":"Veerman","given":"J. L.","non-dropping-particle":"","parse-names":false,"suffix":""},{"dropping-particle":"","family":"Beeck","given":"E. F.","non-dropping-particle":"Van","parse-names":false,"suffix":""},{"dropping-particle":"","family":"Barendregt","given":"J. J.","non-dropping-particle":"","parse-names":false,"suffix":""},{"dropping-particle":"","family":"Mackenbach","given":"J. P.","non-dropping-particle":"","parse-names":false,"suffix":""}],"container-title":"The European Journal of Public Health","id":"ITEM-1","issue":"4","issued":{"date-parts":[["2009","8","1"]]},"page":"365-369","publisher":"Oxford University Press","title":"By how much would limiting TV food advertising reduce childhood obesity?","type":"article-journal","volume":"19"},"uris":["http://www.mendeley.com/documents/?uuid=82619adc-80ae-3b05-99b1-7a0492b060ac"]},{"id":"ITEM-2","itemData":{"DOI":"10.1017/S1368980009992850","abstract":"Objective: To estimate the contribution of television (TV) food advertising to the prevalence of obesity among 6-11-year-old children in Australia, Great Britain (England and Scotland only), Italy, The Netherlands, Sweden and the United States. Design: Data from contemporary representative studies on the prevalence of childhood obesity and on TV food advertising exposure in the above countries were entered into a mathematical simulation model. Two different effect esti-mators were used to calculate the reduction in prevalence of overweight and obesity in the absence of TV food advertising in each country; one based on literature and one based on experts' estimates. Setting: Six-to eleven-year-old children in six Western countries. Results: Estimates of the average exposure of children to TV food advertising range from 1?8 min/d in The Netherlands to 11?5 min/d in the United States. Its contribution to the prevalence of childhood obesity is estimated at 16 %-40 % in the United States, 10 %-28 % in Australia and Italy and 4 %-18 % in Great Britain, Sweden and The Netherlands. Conclusions: The contribution of TV advertising of foods and drinks to the prevalence of childhood obesity differs distinctly by country and is likely to be significant in some countries. Keywords Child Overweight Obesity Advertising Comparison Childhood overweight and obesity is an increasing public health problem (1-3). Often persisting into adulthood, childhood obesity increases the risk of suffering from a range of diseases, including diabetes mellitus and CVD, which can lead to poor quality of life and a shortened lifespan (3-5). Overweight among children is related to many factors at the individual, family and environmental levels. Cross-sectional and longitudinal studies have shown a positive association between time spent watching television (TV) and an increase in the prevalence of childhood overweight and obesity (6-9) ; whereas the results of published studies indicate a positive relationship between TV viewing and overweight (10-12) , mechanisms driving this are not clear. Two primary mechanisms by which TV viewing contributes to weight gain in children have been suggested: reduced physical activity or increased energy intake or a combination of both. Weak-to-modest inverse associations between TV viewing and physical activity have been found (9,13). There is also evidence that at least part of the relationship between TV viewing and overweight in children can be linked t…","author":[{"dropping-particle":"","family":"Goris","given":"Janny M","non-dropping-particle":"","parse-names":false,"suffix":""},{"dropping-particle":"","family":"Petersen","given":"Solveig","non-dropping-particle":"","parse-names":false,"suffix":""},{"dropping-particle":"","family":"Stamatakis","given":"Emmanuel","non-dropping-particle":"","parse-names":false,"suffix":""},{"dropping-particle":"","family":"Lennert Veerman","given":"J","non-dropping-particle":"","parse-names":false,"suffix":""}],"container-title":"Public Health Nutrition","id":"ITEM-2","issue":"13","issued":{"date-parts":[["0"]]},"page":"1003-1012","title":"Television food advertising and the prevalence of childhood overweight and obesity: a multicountry comparison","type":"article-journal"},"uris":["http://www.mendeley.com/documents/?uuid=ab23652e-fe58-3916-8e51-46052c6fb8c6"]}],"mendeley":{"formattedCitation":"[63,64]","plainTextFormattedCitation":"[63,64]","previouslyFormattedCitation":"[62,63]"},"properties":{"noteIndex":0},"schema":"https://github.com/citation-style-language/schema/raw/master/csl-citation.json"}</w:instrText>
      </w:r>
      <w:r w:rsidR="0088692C" w:rsidRPr="0062673F">
        <w:rPr>
          <w:color w:val="000000" w:themeColor="text1"/>
        </w:rPr>
        <w:fldChar w:fldCharType="separate"/>
      </w:r>
      <w:r w:rsidR="00467360" w:rsidRPr="0062673F">
        <w:rPr>
          <w:noProof/>
          <w:color w:val="000000" w:themeColor="text1"/>
        </w:rPr>
        <w:t>[63,64]</w:t>
      </w:r>
      <w:r w:rsidR="0088692C" w:rsidRPr="0062673F">
        <w:rPr>
          <w:color w:val="000000" w:themeColor="text1"/>
        </w:rPr>
        <w:fldChar w:fldCharType="end"/>
      </w:r>
      <w:r w:rsidR="008F406E">
        <w:rPr>
          <w:color w:val="000000" w:themeColor="text1"/>
        </w:rPr>
        <w:t>,</w:t>
      </w:r>
      <w:r w:rsidR="0088692C" w:rsidRPr="0062673F">
        <w:rPr>
          <w:color w:val="000000" w:themeColor="text1"/>
        </w:rPr>
        <w:t xml:space="preserve"> and less conservative than one</w:t>
      </w:r>
      <w:r w:rsidR="008F406E">
        <w:rPr>
          <w:color w:val="000000" w:themeColor="text1"/>
        </w:rPr>
        <w:t xml:space="preserve"> </w:t>
      </w:r>
      <w:r w:rsidR="00066621" w:rsidRPr="0062673F">
        <w:rPr>
          <w:color w:val="000000" w:themeColor="text1"/>
        </w:rPr>
        <w:fldChar w:fldCharType="begin" w:fldLock="1"/>
      </w:r>
      <w:r w:rsidR="00467360" w:rsidRPr="0062673F">
        <w:rPr>
          <w:color w:val="000000" w:themeColor="text1"/>
        </w:rPr>
        <w:instrText>ADDIN CSL_CITATION {"citationItems":[{"id":"ITEM-1","itemData":{"DOI":"10.1016/j.amepre.2015.02.026","ISSN":"07493797","PMID":"26094233","abstract":"INTRODUCTION Food and beverage TV advertising contributes to childhood obesity. The current tax treatment of advertising as an ordinary business expense in the U.S. subsidizes marketing of nutritionally poor foods and beverages to children. This study models the effect of a national intervention that eliminates the tax subsidy of advertising nutritionally poor foods and beverages on TV to children aged 2-19 years. METHODS We adapted and modified the Assessing Cost Effectiveness framework and methods to create the Childhood Obesity Intervention Cost Effectiveness Study model to simulate the impact of the intervention over the 2015-2025 period for the U.S. population, including short-term effects on BMI and 10-year healthcare expenditures. We simulated uncertainty intervals (UIs) using probabilistic sensitivity analysis and discounted outcomes at 3% annually. Data were analyzed in 2014. RESULTS We estimated the intervention would reduce an aggregate 2.13 million (95% UI=0.83 million, 3.52 million) BMI units in the population and would cost $1.16 per BMI unit reduced (95% UI=$0.51, $2.63). From 2015 to 2025, the intervention would result in $352 million (95% UI=$138 million, $581 million) in healthcare cost savings and gain 4,538 (95% UI=1,752, 7,489) quality-adjusted life-years. CONCLUSIONS Eliminating the tax subsidy of TV advertising costs for nutritionally poor foods and beverages advertised to children and adolescents would likely be a cost-saving strategy to reduce childhood obesity and related healthcare expenditures.","author":[{"dropping-particle":"","family":"Sonneville","given":"Kendrin R.","non-dropping-particle":"","parse-names":false,"suffix":""},{"dropping-particle":"","family":"Long","given":"Michael W.","non-dropping-particle":"","parse-names":false,"suffix":""},{"dropping-particle":"","family":"Ward","given":"Zachary J.","non-dropping-particle":"","parse-names":false,"suffix":""},{"dropping-particle":"","family":"Resch","given":"Stephen C.","non-dropping-particle":"","parse-names":false,"suffix":""},{"dropping-particle":"","family":"Wang","given":"Y. Claire","non-dropping-particle":"","parse-names":false,"suffix":""},{"dropping-particle":"","family":"Pomeranz","given":"Jennifer L.","non-dropping-particle":"","parse-names":false,"suffix":""},{"dropping-particle":"","family":"Moodie","given":"Marj L.","non-dropping-particle":"","parse-names":false,"suffix":""},{"dropping-particle":"","family":"Carter","given":"Rob","non-dropping-particle":"","parse-names":false,"suffix":""},{"dropping-particle":"","family":"Sacks","given":"Gary","non-dropping-particle":"","parse-names":false,"suffix":""},{"dropping-particle":"","family":"Swinburn","given":"Boyd A.","non-dropping-particle":"","parse-names":false,"suffix":""},{"dropping-particle":"","family":"Gortmaker","given":"Steven L.","non-dropping-particle":"","parse-names":false,"suffix":""}],"container-title":"American Journal of Preventive Medicine","id":"ITEM-1","issue":"1","issued":{"date-parts":[["2015","7"]]},"page":"124-134","title":"BMI and Healthcare Cost Impact of Eliminating Tax Subsidy for Advertising Unhealthy Food to Youth","type":"article-journal","volume":"49"},"uris":["http://www.mendeley.com/documents/?uuid=f35cc632-57a9-3ec4-ba37-f91aadb583fd"]}],"mendeley":{"formattedCitation":"[62]","plainTextFormattedCitation":"[62]","previouslyFormattedCitation":"[61]"},"properties":{"noteIndex":0},"schema":"https://github.com/citation-style-language/schema/raw/master/csl-citation.json"}</w:instrText>
      </w:r>
      <w:r w:rsidR="00066621" w:rsidRPr="0062673F">
        <w:rPr>
          <w:color w:val="000000" w:themeColor="text1"/>
        </w:rPr>
        <w:fldChar w:fldCharType="separate"/>
      </w:r>
      <w:r w:rsidR="00467360" w:rsidRPr="0062673F">
        <w:rPr>
          <w:noProof/>
          <w:color w:val="000000" w:themeColor="text1"/>
        </w:rPr>
        <w:t>[62]</w:t>
      </w:r>
      <w:r w:rsidR="00066621" w:rsidRPr="0062673F">
        <w:rPr>
          <w:color w:val="000000" w:themeColor="text1"/>
        </w:rPr>
        <w:fldChar w:fldCharType="end"/>
      </w:r>
      <w:r w:rsidR="007859DE" w:rsidRPr="0062673F">
        <w:rPr>
          <w:color w:val="000000" w:themeColor="text1"/>
        </w:rPr>
        <w:t>.</w:t>
      </w:r>
    </w:p>
    <w:p w14:paraId="396467E7" w14:textId="71252F2E" w:rsidR="002948FD" w:rsidRPr="0062673F" w:rsidRDefault="002948FD" w:rsidP="004A7C45">
      <w:pPr>
        <w:rPr>
          <w:b/>
          <w:color w:val="000000" w:themeColor="text1"/>
        </w:rPr>
      </w:pPr>
      <w:r w:rsidRPr="0062673F">
        <w:rPr>
          <w:b/>
          <w:color w:val="000000" w:themeColor="text1"/>
        </w:rPr>
        <w:t>Policy Implications</w:t>
      </w:r>
    </w:p>
    <w:p w14:paraId="1448E783" w14:textId="69CB59E4" w:rsidR="005D230C" w:rsidRPr="0062673F" w:rsidRDefault="00B7418A" w:rsidP="00B7418A">
      <w:pPr>
        <w:rPr>
          <w:color w:val="000000" w:themeColor="text1"/>
        </w:rPr>
      </w:pPr>
      <w:r w:rsidRPr="0062673F">
        <w:rPr>
          <w:color w:val="000000" w:themeColor="text1"/>
        </w:rPr>
        <w:t xml:space="preserve">Modelling such as this involves a number of assumptions. It is particularly difficult to understand how </w:t>
      </w:r>
      <w:r w:rsidR="00121679" w:rsidRPr="0062673F">
        <w:rPr>
          <w:color w:val="000000" w:themeColor="text1"/>
        </w:rPr>
        <w:t>the HFSS advertising landscape</w:t>
      </w:r>
      <w:r w:rsidRPr="0062673F">
        <w:rPr>
          <w:color w:val="000000" w:themeColor="text1"/>
        </w:rPr>
        <w:t xml:space="preserve"> will adapt in both the short and long term. </w:t>
      </w:r>
      <w:bookmarkStart w:id="4" w:name="_Hlk41591142"/>
      <w:r w:rsidRPr="0062673F">
        <w:rPr>
          <w:color w:val="000000" w:themeColor="text1"/>
        </w:rPr>
        <w:t xml:space="preserve">For this reason, we suggest the modelled scenarios are best understood as explorations of what the policy could achieve rather than </w:t>
      </w:r>
      <w:r w:rsidR="00F928A7" w:rsidRPr="0062673F">
        <w:rPr>
          <w:color w:val="000000" w:themeColor="text1"/>
        </w:rPr>
        <w:t>predictions of what will happen; the two scenarios capturing the range of responses that might be expected, at one extreme no industry adaptation and at the other maximum shifting of advertising.</w:t>
      </w:r>
      <w:r w:rsidRPr="0062673F">
        <w:rPr>
          <w:color w:val="000000" w:themeColor="text1"/>
        </w:rPr>
        <w:t xml:space="preserve"> </w:t>
      </w:r>
      <w:bookmarkEnd w:id="4"/>
      <w:r w:rsidR="00121679" w:rsidRPr="0062673F">
        <w:rPr>
          <w:color w:val="000000" w:themeColor="text1"/>
        </w:rPr>
        <w:t xml:space="preserve">Our findings </w:t>
      </w:r>
      <w:r w:rsidRPr="0062673F">
        <w:rPr>
          <w:color w:val="000000" w:themeColor="text1"/>
        </w:rPr>
        <w:t xml:space="preserve">suggest that </w:t>
      </w:r>
      <w:r w:rsidR="00C40AB7" w:rsidRPr="0062673F">
        <w:rPr>
          <w:color w:val="000000" w:themeColor="text1"/>
        </w:rPr>
        <w:t>television</w:t>
      </w:r>
      <w:r w:rsidR="00121679" w:rsidRPr="0062673F">
        <w:rPr>
          <w:color w:val="000000" w:themeColor="text1"/>
        </w:rPr>
        <w:t xml:space="preserve"> </w:t>
      </w:r>
      <w:r w:rsidRPr="0062673F">
        <w:rPr>
          <w:color w:val="000000" w:themeColor="text1"/>
        </w:rPr>
        <w:t>advertising</w:t>
      </w:r>
      <w:r w:rsidR="00372DE0" w:rsidRPr="0062673F">
        <w:rPr>
          <w:color w:val="000000" w:themeColor="text1"/>
        </w:rPr>
        <w:t xml:space="preserve"> of </w:t>
      </w:r>
      <w:r w:rsidR="00C40AB7" w:rsidRPr="0062673F">
        <w:rPr>
          <w:color w:val="000000" w:themeColor="text1"/>
        </w:rPr>
        <w:t>less-healthy</w:t>
      </w:r>
      <w:r w:rsidR="00372DE0" w:rsidRPr="0062673F">
        <w:rPr>
          <w:color w:val="000000" w:themeColor="text1"/>
        </w:rPr>
        <w:t xml:space="preserve"> food</w:t>
      </w:r>
      <w:r w:rsidRPr="0062673F">
        <w:rPr>
          <w:color w:val="000000" w:themeColor="text1"/>
        </w:rPr>
        <w:t xml:space="preserve">, and likely other similar advertising (i.e. video advertising online), </w:t>
      </w:r>
      <w:r w:rsidR="00121679" w:rsidRPr="0062673F">
        <w:rPr>
          <w:color w:val="000000" w:themeColor="text1"/>
        </w:rPr>
        <w:t xml:space="preserve">makes </w:t>
      </w:r>
      <w:r w:rsidRPr="0062673F">
        <w:rPr>
          <w:color w:val="000000" w:themeColor="text1"/>
        </w:rPr>
        <w:t xml:space="preserve">a meaningful contribution to increasing levels of childhood obesity. </w:t>
      </w:r>
      <w:r w:rsidR="00121679" w:rsidRPr="0062673F">
        <w:rPr>
          <w:color w:val="000000" w:themeColor="text1"/>
        </w:rPr>
        <w:t>Thus, m</w:t>
      </w:r>
      <w:r w:rsidRPr="0062673F">
        <w:rPr>
          <w:color w:val="000000" w:themeColor="text1"/>
        </w:rPr>
        <w:t xml:space="preserve">easures that successfully reduce children’s exposure to </w:t>
      </w:r>
      <w:r w:rsidR="00C40AB7" w:rsidRPr="0062673F">
        <w:rPr>
          <w:color w:val="000000" w:themeColor="text1"/>
        </w:rPr>
        <w:t>less-healthy</w:t>
      </w:r>
      <w:r w:rsidR="00372DE0" w:rsidRPr="0062673F">
        <w:rPr>
          <w:color w:val="000000" w:themeColor="text1"/>
        </w:rPr>
        <w:t xml:space="preserve"> food</w:t>
      </w:r>
      <w:r w:rsidRPr="0062673F">
        <w:rPr>
          <w:color w:val="000000" w:themeColor="text1"/>
        </w:rPr>
        <w:t xml:space="preserve"> advertising</w:t>
      </w:r>
      <w:r w:rsidR="005D230C" w:rsidRPr="0062673F">
        <w:rPr>
          <w:color w:val="000000" w:themeColor="text1"/>
        </w:rPr>
        <w:t xml:space="preserve"> </w:t>
      </w:r>
      <w:r w:rsidR="00372DE0" w:rsidRPr="0062673F">
        <w:rPr>
          <w:color w:val="000000" w:themeColor="text1"/>
        </w:rPr>
        <w:t>are likely</w:t>
      </w:r>
      <w:r w:rsidR="002B6538" w:rsidRPr="0062673F">
        <w:rPr>
          <w:color w:val="000000" w:themeColor="text1"/>
        </w:rPr>
        <w:t xml:space="preserve"> </w:t>
      </w:r>
      <w:r w:rsidRPr="0062673F">
        <w:rPr>
          <w:color w:val="000000" w:themeColor="text1"/>
        </w:rPr>
        <w:t xml:space="preserve">to make </w:t>
      </w:r>
      <w:r w:rsidR="006B10E0" w:rsidRPr="0062673F">
        <w:rPr>
          <w:color w:val="000000" w:themeColor="text1"/>
        </w:rPr>
        <w:t>a valuable contribution</w:t>
      </w:r>
      <w:r w:rsidRPr="0062673F">
        <w:rPr>
          <w:color w:val="000000" w:themeColor="text1"/>
        </w:rPr>
        <w:t xml:space="preserve"> to the government’s goal of halving childhood obesity by 2030.</w:t>
      </w:r>
    </w:p>
    <w:p w14:paraId="1299E282" w14:textId="2977E08B" w:rsidR="002E5B09" w:rsidRPr="0062673F" w:rsidRDefault="005D230C" w:rsidP="0078325D">
      <w:pPr>
        <w:rPr>
          <w:color w:val="000000" w:themeColor="text1"/>
        </w:rPr>
      </w:pPr>
      <w:r w:rsidRPr="0062673F">
        <w:rPr>
          <w:color w:val="000000" w:themeColor="text1"/>
        </w:rPr>
        <w:t>The UK government is currently considering how to implement further HFSS advertising</w:t>
      </w:r>
      <w:r w:rsidR="00372DE0" w:rsidRPr="0062673F">
        <w:rPr>
          <w:color w:val="000000" w:themeColor="text1"/>
        </w:rPr>
        <w:t xml:space="preserve"> restrictions</w:t>
      </w:r>
      <w:r w:rsidRPr="0062673F">
        <w:rPr>
          <w:color w:val="000000" w:themeColor="text1"/>
        </w:rPr>
        <w:t xml:space="preserve"> to protect children. </w:t>
      </w:r>
      <w:r w:rsidR="00372DE0" w:rsidRPr="0062673F">
        <w:rPr>
          <w:color w:val="000000" w:themeColor="text1"/>
        </w:rPr>
        <w:t>Concerning advertising on television, t</w:t>
      </w:r>
      <w:r w:rsidRPr="0062673F">
        <w:rPr>
          <w:color w:val="000000" w:themeColor="text1"/>
        </w:rPr>
        <w:t xml:space="preserve">here are two main options under </w:t>
      </w:r>
      <w:r w:rsidR="00177C2F" w:rsidRPr="0062673F">
        <w:rPr>
          <w:color w:val="000000" w:themeColor="text1"/>
        </w:rPr>
        <w:t xml:space="preserve">consideration. First, restrictions between </w:t>
      </w:r>
      <w:r w:rsidR="008F406E">
        <w:rPr>
          <w:color w:val="000000" w:themeColor="text1"/>
        </w:rPr>
        <w:t>05.30 hours</w:t>
      </w:r>
      <w:r w:rsidR="00177C2F" w:rsidRPr="0062673F">
        <w:rPr>
          <w:color w:val="000000" w:themeColor="text1"/>
        </w:rPr>
        <w:t xml:space="preserve"> and </w:t>
      </w:r>
      <w:r w:rsidR="008F406E">
        <w:rPr>
          <w:color w:val="000000" w:themeColor="text1"/>
        </w:rPr>
        <w:t>21.00 hours</w:t>
      </w:r>
      <w:r w:rsidR="00177C2F" w:rsidRPr="0062673F">
        <w:rPr>
          <w:color w:val="000000" w:themeColor="text1"/>
        </w:rPr>
        <w:t>, which would apply only to foods that are currently part of the government’s reformulation or calorie reduction programme</w:t>
      </w:r>
      <w:r w:rsidR="008F406E">
        <w:rPr>
          <w:color w:val="000000" w:themeColor="text1"/>
        </w:rPr>
        <w:t xml:space="preserve"> </w:t>
      </w:r>
      <w:r w:rsidR="0078325D" w:rsidRPr="0062673F">
        <w:rPr>
          <w:color w:val="000000" w:themeColor="text1"/>
        </w:rPr>
        <w:fldChar w:fldCharType="begin" w:fldLock="1"/>
      </w:r>
      <w:r w:rsidR="00467360" w:rsidRPr="0062673F">
        <w:rPr>
          <w:color w:val="000000" w:themeColor="text1"/>
        </w:rPr>
        <w:instrText>ADDIN CSL_CITATION {"citationItems":[{"id":"ITEM-1","itemData":{"author":[{"dropping-particle":"","family":"Department for Health &amp; Social Care","given":"","non-dropping-particle":"","parse-names":false,"suffix":""},{"dropping-particle":"","family":"Department for Digital, Culture","given":"Media &amp; Sport","non-dropping-particle":"","parse-names":false,"suffix":""}],"id":"ITEM-1","issued":{"date-parts":[["2019"]]},"publisher-place":"London","title":"Introducing further advertising restrictions on TV and online for products high in fat, sugar and salt (HFSS)","type":"report"},"uris":["http://www.mendeley.com/documents/?uuid=8826fe16-15e1-4b07-8925-4433cb319256"]}],"mendeley":{"formattedCitation":"[57]","plainTextFormattedCitation":"[57]","previouslyFormattedCitation":"[56]"},"properties":{"noteIndex":0},"schema":"https://github.com/citation-style-language/schema/raw/master/csl-citation.json"}</w:instrText>
      </w:r>
      <w:r w:rsidR="0078325D" w:rsidRPr="0062673F">
        <w:rPr>
          <w:color w:val="000000" w:themeColor="text1"/>
        </w:rPr>
        <w:fldChar w:fldCharType="separate"/>
      </w:r>
      <w:r w:rsidR="00467360" w:rsidRPr="0062673F">
        <w:rPr>
          <w:noProof/>
          <w:color w:val="000000" w:themeColor="text1"/>
        </w:rPr>
        <w:t>[57]</w:t>
      </w:r>
      <w:r w:rsidR="0078325D" w:rsidRPr="0062673F">
        <w:rPr>
          <w:color w:val="000000" w:themeColor="text1"/>
        </w:rPr>
        <w:fldChar w:fldCharType="end"/>
      </w:r>
      <w:r w:rsidR="008F406E">
        <w:rPr>
          <w:color w:val="000000" w:themeColor="text1"/>
        </w:rPr>
        <w:t>.</w:t>
      </w:r>
      <w:r w:rsidR="0078325D" w:rsidRPr="0062673F">
        <w:rPr>
          <w:color w:val="000000" w:themeColor="text1"/>
        </w:rPr>
        <w:t xml:space="preserve"> </w:t>
      </w:r>
      <w:r w:rsidR="002E5B09" w:rsidRPr="0062673F">
        <w:rPr>
          <w:color w:val="000000" w:themeColor="text1"/>
        </w:rPr>
        <w:t xml:space="preserve">Whilst this is different to what we have modelled, we expect it would be very similar. The major foods excluded from the reformulation programmes are plain breads, cereals (e.g. rice, pasta), fruit, vegetables, nuts, oils, cheese, meat and fish. These products are either not classified as HFSS or are not generally advertised. </w:t>
      </w:r>
      <w:r w:rsidR="00177C2F" w:rsidRPr="0062673F">
        <w:rPr>
          <w:color w:val="000000" w:themeColor="text1"/>
        </w:rPr>
        <w:t xml:space="preserve">Second, restrictions between </w:t>
      </w:r>
      <w:r w:rsidR="008F406E">
        <w:rPr>
          <w:color w:val="000000" w:themeColor="text1"/>
        </w:rPr>
        <w:t>05.30 hours</w:t>
      </w:r>
      <w:r w:rsidR="00177C2F" w:rsidRPr="0062673F">
        <w:rPr>
          <w:color w:val="000000" w:themeColor="text1"/>
        </w:rPr>
        <w:t xml:space="preserve"> and </w:t>
      </w:r>
      <w:r w:rsidR="008F406E">
        <w:rPr>
          <w:color w:val="000000" w:themeColor="text1"/>
        </w:rPr>
        <w:t>21.00 hours</w:t>
      </w:r>
      <w:r w:rsidR="00177C2F" w:rsidRPr="0062673F">
        <w:rPr>
          <w:color w:val="000000" w:themeColor="text1"/>
        </w:rPr>
        <w:t xml:space="preserve"> but with ‘advertising freedoms’ granted to certain foods that have been reformulated.</w:t>
      </w:r>
    </w:p>
    <w:p w14:paraId="2878833B" w14:textId="4075D87A" w:rsidR="00177C2F" w:rsidRPr="0062673F" w:rsidRDefault="0078325D" w:rsidP="004A7C45">
      <w:pPr>
        <w:rPr>
          <w:color w:val="000000" w:themeColor="text1"/>
        </w:rPr>
      </w:pPr>
      <w:r w:rsidRPr="0062673F">
        <w:rPr>
          <w:color w:val="000000" w:themeColor="text1"/>
        </w:rPr>
        <w:t xml:space="preserve">Our work shows </w:t>
      </w:r>
      <w:r w:rsidR="00A17EC6" w:rsidRPr="0062673F">
        <w:rPr>
          <w:color w:val="000000" w:themeColor="text1"/>
        </w:rPr>
        <w:t xml:space="preserve">that </w:t>
      </w:r>
      <w:r w:rsidR="002E5B09" w:rsidRPr="0062673F">
        <w:rPr>
          <w:color w:val="000000" w:themeColor="text1"/>
        </w:rPr>
        <w:t xml:space="preserve">HFSS restrictions between </w:t>
      </w:r>
      <w:r w:rsidR="008F406E">
        <w:rPr>
          <w:color w:val="000000" w:themeColor="text1"/>
        </w:rPr>
        <w:t>05.30 hours</w:t>
      </w:r>
      <w:r w:rsidR="002E5B09" w:rsidRPr="0062673F">
        <w:rPr>
          <w:color w:val="000000" w:themeColor="text1"/>
        </w:rPr>
        <w:t xml:space="preserve"> and </w:t>
      </w:r>
      <w:r w:rsidR="008F406E">
        <w:rPr>
          <w:color w:val="000000" w:themeColor="text1"/>
        </w:rPr>
        <w:t>21.00 hours</w:t>
      </w:r>
      <w:r w:rsidR="002E5B09" w:rsidRPr="0062673F">
        <w:rPr>
          <w:color w:val="000000" w:themeColor="text1"/>
        </w:rPr>
        <w:t xml:space="preserve"> </w:t>
      </w:r>
      <w:r w:rsidR="007A2793">
        <w:rPr>
          <w:color w:val="000000" w:themeColor="text1"/>
        </w:rPr>
        <w:t>may</w:t>
      </w:r>
      <w:r w:rsidRPr="0062673F">
        <w:rPr>
          <w:color w:val="000000" w:themeColor="text1"/>
        </w:rPr>
        <w:t xml:space="preserve"> make a meaningful contribution to</w:t>
      </w:r>
      <w:r w:rsidR="009C3AB0" w:rsidRPr="0062673F">
        <w:rPr>
          <w:color w:val="000000" w:themeColor="text1"/>
        </w:rPr>
        <w:t xml:space="preserve"> improving the health of children</w:t>
      </w:r>
      <w:r w:rsidR="008D1B17" w:rsidRPr="0062673F">
        <w:rPr>
          <w:color w:val="000000" w:themeColor="text1"/>
        </w:rPr>
        <w:t xml:space="preserve">, </w:t>
      </w:r>
      <w:r w:rsidRPr="0062673F">
        <w:rPr>
          <w:color w:val="000000" w:themeColor="text1"/>
        </w:rPr>
        <w:t>reducing childhood overweight and obesity</w:t>
      </w:r>
      <w:r w:rsidR="008D1B17" w:rsidRPr="0062673F">
        <w:rPr>
          <w:color w:val="000000" w:themeColor="text1"/>
        </w:rPr>
        <w:t>, and reducing inequalities</w:t>
      </w:r>
      <w:r w:rsidR="00A17EC6" w:rsidRPr="0062673F">
        <w:rPr>
          <w:color w:val="000000" w:themeColor="text1"/>
        </w:rPr>
        <w:t xml:space="preserve"> in</w:t>
      </w:r>
      <w:r w:rsidR="008D1B17" w:rsidRPr="0062673F">
        <w:rPr>
          <w:color w:val="000000" w:themeColor="text1"/>
        </w:rPr>
        <w:t xml:space="preserve"> overweight and obesity in</w:t>
      </w:r>
      <w:r w:rsidR="00A17EC6" w:rsidRPr="0062673F">
        <w:rPr>
          <w:color w:val="000000" w:themeColor="text1"/>
        </w:rPr>
        <w:t xml:space="preserve"> the UK</w:t>
      </w:r>
      <w:r w:rsidRPr="0062673F">
        <w:rPr>
          <w:color w:val="000000" w:themeColor="text1"/>
        </w:rPr>
        <w:t>. However, the impact</w:t>
      </w:r>
      <w:r w:rsidR="002B6538" w:rsidRPr="0062673F">
        <w:rPr>
          <w:color w:val="000000" w:themeColor="text1"/>
        </w:rPr>
        <w:t xml:space="preserve"> of </w:t>
      </w:r>
      <w:r w:rsidR="00A17EC6" w:rsidRPr="0062673F">
        <w:rPr>
          <w:color w:val="000000" w:themeColor="text1"/>
        </w:rPr>
        <w:t xml:space="preserve">any </w:t>
      </w:r>
      <w:r w:rsidR="002B6538" w:rsidRPr="0062673F">
        <w:rPr>
          <w:color w:val="000000" w:themeColor="text1"/>
        </w:rPr>
        <w:t>policy</w:t>
      </w:r>
      <w:r w:rsidR="00A17EC6" w:rsidRPr="0062673F">
        <w:rPr>
          <w:color w:val="000000" w:themeColor="text1"/>
        </w:rPr>
        <w:t xml:space="preserve"> </w:t>
      </w:r>
      <w:r w:rsidR="002B6538" w:rsidRPr="0062673F">
        <w:rPr>
          <w:color w:val="000000" w:themeColor="text1"/>
        </w:rPr>
        <w:t>will depend</w:t>
      </w:r>
      <w:r w:rsidR="00A17EC6" w:rsidRPr="0062673F">
        <w:rPr>
          <w:color w:val="000000" w:themeColor="text1"/>
        </w:rPr>
        <w:t>, in part,</w:t>
      </w:r>
      <w:r w:rsidR="002B6538" w:rsidRPr="0062673F">
        <w:rPr>
          <w:color w:val="000000" w:themeColor="text1"/>
        </w:rPr>
        <w:t xml:space="preserve"> on how </w:t>
      </w:r>
      <w:r w:rsidR="002E5B09" w:rsidRPr="0062673F">
        <w:rPr>
          <w:color w:val="000000" w:themeColor="text1"/>
        </w:rPr>
        <w:t>the advertising</w:t>
      </w:r>
      <w:r w:rsidR="002B6538" w:rsidRPr="0062673F">
        <w:rPr>
          <w:color w:val="000000" w:themeColor="text1"/>
        </w:rPr>
        <w:t xml:space="preserve"> and food industries respond to the policy. </w:t>
      </w:r>
      <w:r w:rsidRPr="0062673F">
        <w:rPr>
          <w:color w:val="000000" w:themeColor="text1"/>
        </w:rPr>
        <w:t>One reading of this</w:t>
      </w:r>
      <w:r w:rsidR="00B53CFA" w:rsidRPr="0062673F">
        <w:rPr>
          <w:color w:val="000000" w:themeColor="text1"/>
        </w:rPr>
        <w:t xml:space="preserve"> might </w:t>
      </w:r>
      <w:r w:rsidRPr="0062673F">
        <w:rPr>
          <w:color w:val="000000" w:themeColor="text1"/>
        </w:rPr>
        <w:t>be</w:t>
      </w:r>
      <w:r w:rsidR="00B53CFA" w:rsidRPr="0062673F">
        <w:rPr>
          <w:color w:val="000000" w:themeColor="text1"/>
        </w:rPr>
        <w:t xml:space="preserve"> that</w:t>
      </w:r>
      <w:r w:rsidR="00B7418A" w:rsidRPr="0062673F">
        <w:rPr>
          <w:color w:val="000000" w:themeColor="text1"/>
        </w:rPr>
        <w:t xml:space="preserve"> </w:t>
      </w:r>
      <w:r w:rsidR="004C6711" w:rsidRPr="0062673F">
        <w:rPr>
          <w:color w:val="000000" w:themeColor="text1"/>
        </w:rPr>
        <w:t>scenario B shows that these responses could significantly reduce the policy’s effect</w:t>
      </w:r>
      <w:r w:rsidR="00B53CFA" w:rsidRPr="0062673F">
        <w:rPr>
          <w:color w:val="000000" w:themeColor="text1"/>
        </w:rPr>
        <w:t xml:space="preserve"> and that the policy </w:t>
      </w:r>
      <w:r w:rsidR="009C3AB0" w:rsidRPr="0062673F">
        <w:rPr>
          <w:color w:val="000000" w:themeColor="text1"/>
        </w:rPr>
        <w:t>should not be implemented</w:t>
      </w:r>
      <w:r w:rsidRPr="0062673F">
        <w:rPr>
          <w:color w:val="000000" w:themeColor="text1"/>
        </w:rPr>
        <w:t>. A</w:t>
      </w:r>
      <w:r w:rsidR="00B53CFA" w:rsidRPr="0062673F">
        <w:rPr>
          <w:color w:val="000000" w:themeColor="text1"/>
        </w:rPr>
        <w:t xml:space="preserve">nother reading might be that the policy needs to be implemented in a </w:t>
      </w:r>
      <w:r w:rsidR="004C6711" w:rsidRPr="0062673F">
        <w:rPr>
          <w:color w:val="000000" w:themeColor="text1"/>
        </w:rPr>
        <w:t xml:space="preserve">form that makes it harder to undermine </w:t>
      </w:r>
      <w:r w:rsidR="00B53CFA" w:rsidRPr="0062673F">
        <w:rPr>
          <w:color w:val="000000" w:themeColor="text1"/>
        </w:rPr>
        <w:t xml:space="preserve">(e.g. </w:t>
      </w:r>
      <w:r w:rsidR="004C6711" w:rsidRPr="0062673F">
        <w:rPr>
          <w:color w:val="000000" w:themeColor="text1"/>
        </w:rPr>
        <w:t>until 2200</w:t>
      </w:r>
      <w:r w:rsidR="009C3AB0" w:rsidRPr="0062673F">
        <w:rPr>
          <w:color w:val="000000" w:themeColor="text1"/>
        </w:rPr>
        <w:t xml:space="preserve"> or</w:t>
      </w:r>
      <w:r w:rsidR="005D230C" w:rsidRPr="0062673F">
        <w:rPr>
          <w:color w:val="000000" w:themeColor="text1"/>
        </w:rPr>
        <w:t xml:space="preserve"> using the revised</w:t>
      </w:r>
      <w:r w:rsidR="009C3AB0" w:rsidRPr="0062673F">
        <w:rPr>
          <w:color w:val="000000" w:themeColor="text1"/>
        </w:rPr>
        <w:t xml:space="preserve"> more stringent</w:t>
      </w:r>
      <w:r w:rsidR="005D230C" w:rsidRPr="0062673F">
        <w:rPr>
          <w:color w:val="000000" w:themeColor="text1"/>
        </w:rPr>
        <w:t xml:space="preserve"> nutrient profile model</w:t>
      </w:r>
      <w:r w:rsidR="009C3AB0" w:rsidRPr="0062673F">
        <w:rPr>
          <w:color w:val="000000" w:themeColor="text1"/>
        </w:rPr>
        <w:t>, published in 2018</w:t>
      </w:r>
      <w:r w:rsidR="00B53CFA" w:rsidRPr="0062673F">
        <w:rPr>
          <w:color w:val="000000" w:themeColor="text1"/>
        </w:rPr>
        <w:t>) and</w:t>
      </w:r>
      <w:r w:rsidR="004C6711" w:rsidRPr="0062673F">
        <w:rPr>
          <w:color w:val="000000" w:themeColor="text1"/>
        </w:rPr>
        <w:t xml:space="preserve"> that measures should be put in place to </w:t>
      </w:r>
      <w:r w:rsidR="00B96E28" w:rsidRPr="0062673F">
        <w:rPr>
          <w:color w:val="000000" w:themeColor="text1"/>
        </w:rPr>
        <w:t>restrict</w:t>
      </w:r>
      <w:r w:rsidR="00177C2F" w:rsidRPr="0062673F">
        <w:rPr>
          <w:color w:val="000000" w:themeColor="text1"/>
        </w:rPr>
        <w:t xml:space="preserve"> </w:t>
      </w:r>
      <w:r w:rsidR="00B96E28" w:rsidRPr="0062673F">
        <w:rPr>
          <w:color w:val="000000" w:themeColor="text1"/>
        </w:rPr>
        <w:t>digital</w:t>
      </w:r>
      <w:r w:rsidR="004C6711" w:rsidRPr="0062673F">
        <w:rPr>
          <w:color w:val="000000" w:themeColor="text1"/>
        </w:rPr>
        <w:t xml:space="preserve"> and brand</w:t>
      </w:r>
      <w:r w:rsidR="00B96E28" w:rsidRPr="0062673F">
        <w:rPr>
          <w:color w:val="000000" w:themeColor="text1"/>
        </w:rPr>
        <w:t xml:space="preserve"> </w:t>
      </w:r>
      <w:r w:rsidR="004C6711" w:rsidRPr="0062673F">
        <w:rPr>
          <w:color w:val="000000" w:themeColor="text1"/>
        </w:rPr>
        <w:t>advertising</w:t>
      </w:r>
      <w:r w:rsidR="00B7418A" w:rsidRPr="0062673F">
        <w:rPr>
          <w:color w:val="000000" w:themeColor="text1"/>
        </w:rPr>
        <w:t xml:space="preserve">. </w:t>
      </w:r>
      <w:r w:rsidR="00177C2F" w:rsidRPr="0062673F">
        <w:rPr>
          <w:color w:val="000000" w:themeColor="text1"/>
        </w:rPr>
        <w:t>Options that create loopholes, e.g. advertising freedoms or exemptions for certain foods, also risk undermining the policy’s effectiveness.</w:t>
      </w:r>
    </w:p>
    <w:p w14:paraId="00B1AE3F" w14:textId="7804F592" w:rsidR="00B7418A" w:rsidRPr="0062673F" w:rsidRDefault="00A66B50" w:rsidP="004A7C45">
      <w:pPr>
        <w:rPr>
          <w:color w:val="000000" w:themeColor="text1"/>
        </w:rPr>
      </w:pPr>
      <w:r w:rsidRPr="0062673F">
        <w:rPr>
          <w:color w:val="000000" w:themeColor="text1"/>
        </w:rPr>
        <w:t xml:space="preserve">Whilst we have not formally quantified the impact of restrictions on video-based advertising on broadcast media (i.e. online), because we did not have data on online exposure, it seems conceivable that similar effects would be observed if the exposure is similar. </w:t>
      </w:r>
      <w:r w:rsidR="008F73C4" w:rsidRPr="0062673F">
        <w:rPr>
          <w:color w:val="000000" w:themeColor="text1"/>
        </w:rPr>
        <w:t>Broader advertising restrictions (i.e. television and non-broadcast media, which are bo</w:t>
      </w:r>
      <w:r w:rsidRPr="0062673F">
        <w:rPr>
          <w:color w:val="000000" w:themeColor="text1"/>
        </w:rPr>
        <w:t>th being consulted on) might also be more effective because they</w:t>
      </w:r>
      <w:r w:rsidR="008F73C4" w:rsidRPr="0062673F">
        <w:rPr>
          <w:color w:val="000000" w:themeColor="text1"/>
        </w:rPr>
        <w:t xml:space="preserve"> would prevent advertising being displaced from one media to another. </w:t>
      </w:r>
    </w:p>
    <w:p w14:paraId="260CB311" w14:textId="7C020757" w:rsidR="00DF72CC" w:rsidRPr="0062673F" w:rsidRDefault="00DF72CC">
      <w:pPr>
        <w:rPr>
          <w:b/>
          <w:color w:val="000000" w:themeColor="text1"/>
        </w:rPr>
      </w:pPr>
      <w:r w:rsidRPr="0062673F">
        <w:rPr>
          <w:b/>
          <w:color w:val="000000" w:themeColor="text1"/>
        </w:rPr>
        <w:t>Future research</w:t>
      </w:r>
    </w:p>
    <w:p w14:paraId="263D42AF" w14:textId="1A176732" w:rsidR="0044671F" w:rsidRPr="0062673F" w:rsidRDefault="0044671F" w:rsidP="0044671F">
      <w:pPr>
        <w:rPr>
          <w:color w:val="000000" w:themeColor="text1"/>
        </w:rPr>
      </w:pPr>
      <w:r w:rsidRPr="0062673F">
        <w:rPr>
          <w:color w:val="000000" w:themeColor="text1"/>
        </w:rPr>
        <w:t xml:space="preserve">The difference between the two scenarios underscore the uncertainty around how the food and advertising industry will respond to </w:t>
      </w:r>
      <w:r w:rsidR="00A17EC6" w:rsidRPr="0062673F">
        <w:rPr>
          <w:color w:val="000000" w:themeColor="text1"/>
        </w:rPr>
        <w:t xml:space="preserve">any </w:t>
      </w:r>
      <w:r w:rsidRPr="0062673F">
        <w:rPr>
          <w:color w:val="000000" w:themeColor="text1"/>
        </w:rPr>
        <w:t xml:space="preserve">policy </w:t>
      </w:r>
      <w:r w:rsidR="00A17EC6" w:rsidRPr="0062673F">
        <w:rPr>
          <w:color w:val="000000" w:themeColor="text1"/>
        </w:rPr>
        <w:t xml:space="preserve">increasing restrictions on </w:t>
      </w:r>
      <w:r w:rsidR="00C40AB7" w:rsidRPr="0062673F">
        <w:rPr>
          <w:color w:val="000000" w:themeColor="text1"/>
        </w:rPr>
        <w:t>television</w:t>
      </w:r>
      <w:r w:rsidR="00A17EC6" w:rsidRPr="0062673F">
        <w:rPr>
          <w:color w:val="000000" w:themeColor="text1"/>
        </w:rPr>
        <w:t xml:space="preserve"> HFSS advertising </w:t>
      </w:r>
      <w:r w:rsidRPr="0062673F">
        <w:rPr>
          <w:color w:val="000000" w:themeColor="text1"/>
        </w:rPr>
        <w:t xml:space="preserve">and highlights the need for a careful evaluation </w:t>
      </w:r>
      <w:r w:rsidR="00A17EC6" w:rsidRPr="0062673F">
        <w:rPr>
          <w:color w:val="000000" w:themeColor="text1"/>
        </w:rPr>
        <w:t xml:space="preserve">of any new policy </w:t>
      </w:r>
      <w:r w:rsidRPr="0062673F">
        <w:rPr>
          <w:color w:val="000000" w:themeColor="text1"/>
        </w:rPr>
        <w:t xml:space="preserve">to understand its </w:t>
      </w:r>
      <w:r w:rsidR="00A17EC6" w:rsidRPr="0062673F">
        <w:rPr>
          <w:color w:val="000000" w:themeColor="text1"/>
        </w:rPr>
        <w:t xml:space="preserve">actual </w:t>
      </w:r>
      <w:r w:rsidRPr="0062673F">
        <w:rPr>
          <w:color w:val="000000" w:themeColor="text1"/>
        </w:rPr>
        <w:t>impact</w:t>
      </w:r>
      <w:r w:rsidR="00A17EC6" w:rsidRPr="0062673F">
        <w:rPr>
          <w:color w:val="000000" w:themeColor="text1"/>
        </w:rPr>
        <w:t>s</w:t>
      </w:r>
      <w:r w:rsidRPr="0062673F">
        <w:rPr>
          <w:color w:val="000000" w:themeColor="text1"/>
        </w:rPr>
        <w:t xml:space="preserve">. </w:t>
      </w:r>
      <w:r w:rsidR="00200CAA" w:rsidRPr="0062673F">
        <w:rPr>
          <w:color w:val="000000" w:themeColor="text1"/>
        </w:rPr>
        <w:t xml:space="preserve">Evaluation needs to study the industry response not only shifting advertising slots to after 9pm, but shifting to other media or moving from product advertising to brand advertising. </w:t>
      </w:r>
      <w:r w:rsidRPr="0062673F">
        <w:rPr>
          <w:color w:val="000000" w:themeColor="text1"/>
        </w:rPr>
        <w:t>Understanding the view</w:t>
      </w:r>
      <w:r w:rsidR="00A17EC6" w:rsidRPr="0062673F">
        <w:rPr>
          <w:color w:val="000000" w:themeColor="text1"/>
        </w:rPr>
        <w:t>ing</w:t>
      </w:r>
      <w:r w:rsidRPr="0062673F">
        <w:rPr>
          <w:color w:val="000000" w:themeColor="text1"/>
        </w:rPr>
        <w:t xml:space="preserve"> patterns of older children (15-17 years)</w:t>
      </w:r>
      <w:r w:rsidR="00200CAA" w:rsidRPr="0062673F">
        <w:rPr>
          <w:color w:val="000000" w:themeColor="text1"/>
        </w:rPr>
        <w:t>, viewing patterns by SES</w:t>
      </w:r>
      <w:r w:rsidRPr="0062673F">
        <w:rPr>
          <w:color w:val="000000" w:themeColor="text1"/>
        </w:rPr>
        <w:t xml:space="preserve"> and the impact of television advertising on older children are gaps in the current literature. </w:t>
      </w:r>
      <w:r w:rsidR="00200CAA" w:rsidRPr="0062673F">
        <w:rPr>
          <w:color w:val="000000" w:themeColor="text1"/>
        </w:rPr>
        <w:t xml:space="preserve">Studies quantifying the relationship between food advertising and food purchases for both children and adults are also needed </w:t>
      </w:r>
      <w:r w:rsidR="00B702E9" w:rsidRPr="0062673F">
        <w:rPr>
          <w:color w:val="000000" w:themeColor="text1"/>
        </w:rPr>
        <w:t>to facilitate</w:t>
      </w:r>
      <w:r w:rsidR="00200CAA" w:rsidRPr="0062673F">
        <w:rPr>
          <w:color w:val="000000" w:themeColor="text1"/>
        </w:rPr>
        <w:t xml:space="preserve"> modelled estimates of</w:t>
      </w:r>
      <w:r w:rsidR="00B702E9" w:rsidRPr="0062673F">
        <w:rPr>
          <w:color w:val="000000" w:themeColor="text1"/>
        </w:rPr>
        <w:t xml:space="preserve"> the impact of food</w:t>
      </w:r>
      <w:r w:rsidR="00200CAA" w:rsidRPr="0062673F">
        <w:rPr>
          <w:color w:val="000000" w:themeColor="text1"/>
        </w:rPr>
        <w:t xml:space="preserve"> advertising on diet quality and its subsequent impact on health. </w:t>
      </w:r>
    </w:p>
    <w:p w14:paraId="047BF48E" w14:textId="20F2D73E" w:rsidR="00DF72CC" w:rsidRPr="0062673F" w:rsidRDefault="00E36FF0">
      <w:pPr>
        <w:rPr>
          <w:b/>
          <w:color w:val="000000" w:themeColor="text1"/>
        </w:rPr>
      </w:pPr>
      <w:r w:rsidRPr="0062673F">
        <w:rPr>
          <w:b/>
          <w:color w:val="000000" w:themeColor="text1"/>
        </w:rPr>
        <w:t>Conclusion</w:t>
      </w:r>
    </w:p>
    <w:p w14:paraId="7120E478" w14:textId="1E7175A3" w:rsidR="00E36FF0" w:rsidRPr="0062673F" w:rsidRDefault="002B6538">
      <w:pPr>
        <w:rPr>
          <w:color w:val="000000" w:themeColor="text1"/>
        </w:rPr>
      </w:pPr>
      <w:r w:rsidRPr="0062673F">
        <w:rPr>
          <w:color w:val="000000" w:themeColor="text1"/>
        </w:rPr>
        <w:t xml:space="preserve">Our study demonstrates that </w:t>
      </w:r>
      <w:r w:rsidR="00C40AB7" w:rsidRPr="0062673F">
        <w:rPr>
          <w:color w:val="000000" w:themeColor="text1"/>
        </w:rPr>
        <w:t>less-healthy</w:t>
      </w:r>
      <w:r w:rsidR="004C6711" w:rsidRPr="0062673F">
        <w:rPr>
          <w:color w:val="000000" w:themeColor="text1"/>
        </w:rPr>
        <w:t xml:space="preserve"> advertising on television</w:t>
      </w:r>
      <w:r w:rsidRPr="0062673F">
        <w:rPr>
          <w:color w:val="000000" w:themeColor="text1"/>
        </w:rPr>
        <w:t xml:space="preserve"> in the UK is making a meaningful contribution to childhood overweight and obesity</w:t>
      </w:r>
      <w:r w:rsidR="008D1B17" w:rsidRPr="0062673F">
        <w:rPr>
          <w:color w:val="000000" w:themeColor="text1"/>
        </w:rPr>
        <w:t xml:space="preserve"> overall, as well as contributing to inequalities in it</w:t>
      </w:r>
      <w:r w:rsidRPr="0062673F">
        <w:rPr>
          <w:color w:val="000000" w:themeColor="text1"/>
        </w:rPr>
        <w:t xml:space="preserve">. </w:t>
      </w:r>
      <w:r w:rsidR="00B702E9" w:rsidRPr="0062673F">
        <w:rPr>
          <w:color w:val="000000" w:themeColor="text1"/>
        </w:rPr>
        <w:t xml:space="preserve">Measures that have the potential to reduce exposure to </w:t>
      </w:r>
      <w:r w:rsidR="00C40AB7" w:rsidRPr="0062673F">
        <w:rPr>
          <w:color w:val="000000" w:themeColor="text1"/>
        </w:rPr>
        <w:t>less-healthy</w:t>
      </w:r>
      <w:r w:rsidR="00B702E9" w:rsidRPr="0062673F">
        <w:rPr>
          <w:color w:val="000000" w:themeColor="text1"/>
        </w:rPr>
        <w:t xml:space="preserve"> food advertising, such as t</w:t>
      </w:r>
      <w:r w:rsidR="004C6711" w:rsidRPr="0062673F">
        <w:rPr>
          <w:color w:val="000000" w:themeColor="text1"/>
        </w:rPr>
        <w:t xml:space="preserve">he proposal to restrict HFSS advertising between </w:t>
      </w:r>
      <w:r w:rsidR="008F406E">
        <w:rPr>
          <w:color w:val="000000" w:themeColor="text1"/>
        </w:rPr>
        <w:t>05.30 hours</w:t>
      </w:r>
      <w:r w:rsidR="004C6711" w:rsidRPr="0062673F">
        <w:rPr>
          <w:color w:val="000000" w:themeColor="text1"/>
        </w:rPr>
        <w:t xml:space="preserve"> and </w:t>
      </w:r>
      <w:r w:rsidR="008F406E">
        <w:rPr>
          <w:color w:val="000000" w:themeColor="text1"/>
        </w:rPr>
        <w:t>21.00 hours</w:t>
      </w:r>
      <w:r w:rsidR="00B702E9" w:rsidRPr="0062673F">
        <w:rPr>
          <w:color w:val="000000" w:themeColor="text1"/>
        </w:rPr>
        <w:t xml:space="preserve"> in the UK</w:t>
      </w:r>
      <w:r w:rsidRPr="0062673F">
        <w:rPr>
          <w:color w:val="000000" w:themeColor="text1"/>
        </w:rPr>
        <w:t xml:space="preserve"> </w:t>
      </w:r>
      <w:r w:rsidR="004E7EB2" w:rsidRPr="0062673F">
        <w:rPr>
          <w:color w:val="000000" w:themeColor="text1"/>
        </w:rPr>
        <w:t>could</w:t>
      </w:r>
      <w:r w:rsidRPr="0062673F">
        <w:rPr>
          <w:color w:val="000000" w:themeColor="text1"/>
        </w:rPr>
        <w:t xml:space="preserve"> make a meaningful contribution to</w:t>
      </w:r>
      <w:r w:rsidR="005D230C" w:rsidRPr="0062673F">
        <w:rPr>
          <w:color w:val="000000" w:themeColor="text1"/>
        </w:rPr>
        <w:t xml:space="preserve"> reducing</w:t>
      </w:r>
      <w:r w:rsidRPr="0062673F">
        <w:rPr>
          <w:color w:val="000000" w:themeColor="text1"/>
        </w:rPr>
        <w:t xml:space="preserve"> childhood obesity</w:t>
      </w:r>
      <w:r w:rsidR="005D230C" w:rsidRPr="0062673F">
        <w:rPr>
          <w:color w:val="000000" w:themeColor="text1"/>
        </w:rPr>
        <w:t xml:space="preserve"> and overweight</w:t>
      </w:r>
      <w:r w:rsidR="004C6711" w:rsidRPr="0062673F">
        <w:rPr>
          <w:color w:val="000000" w:themeColor="text1"/>
        </w:rPr>
        <w:t xml:space="preserve"> and achieving the government’s goal of halving childhood obesity by</w:t>
      </w:r>
      <w:r w:rsidR="004E0F9C" w:rsidRPr="0062673F">
        <w:rPr>
          <w:color w:val="000000" w:themeColor="text1"/>
        </w:rPr>
        <w:t xml:space="preserve"> the year</w:t>
      </w:r>
      <w:r w:rsidR="004C6711" w:rsidRPr="0062673F">
        <w:rPr>
          <w:color w:val="000000" w:themeColor="text1"/>
        </w:rPr>
        <w:t xml:space="preserve"> 2030</w:t>
      </w:r>
      <w:r w:rsidR="00DD6F7E" w:rsidRPr="0062673F">
        <w:rPr>
          <w:color w:val="000000" w:themeColor="text1"/>
        </w:rPr>
        <w:t xml:space="preserve">. If HFSS advertising is displace to after </w:t>
      </w:r>
      <w:r w:rsidR="008F406E">
        <w:rPr>
          <w:color w:val="000000" w:themeColor="text1"/>
        </w:rPr>
        <w:t>21.00 hours</w:t>
      </w:r>
      <w:r w:rsidR="00DD6F7E" w:rsidRPr="0062673F">
        <w:rPr>
          <w:color w:val="000000" w:themeColor="text1"/>
        </w:rPr>
        <w:t xml:space="preserve"> rather than being withdrawn, the impact of the policy will be reduced.</w:t>
      </w:r>
    </w:p>
    <w:p w14:paraId="43C4AEA7" w14:textId="77777777" w:rsidR="00E36FF0" w:rsidRPr="0062673F" w:rsidRDefault="00E36FF0">
      <w:pPr>
        <w:rPr>
          <w:color w:val="000000" w:themeColor="text1"/>
        </w:rPr>
      </w:pPr>
    </w:p>
    <w:p w14:paraId="52A66F2A" w14:textId="77777777" w:rsidR="00E36FF0" w:rsidRPr="0062673F" w:rsidRDefault="00E36FF0">
      <w:pPr>
        <w:rPr>
          <w:color w:val="000000" w:themeColor="text1"/>
        </w:rPr>
      </w:pPr>
      <w:r w:rsidRPr="0062673F">
        <w:rPr>
          <w:color w:val="000000" w:themeColor="text1"/>
        </w:rPr>
        <w:br w:type="page"/>
      </w:r>
    </w:p>
    <w:p w14:paraId="66E0341A" w14:textId="2279FB43" w:rsidR="00D46F8D" w:rsidRPr="0062673F" w:rsidRDefault="00D46F8D" w:rsidP="00D46F8D">
      <w:pPr>
        <w:rPr>
          <w:color w:val="000000" w:themeColor="text1"/>
          <w:sz w:val="20"/>
          <w:szCs w:val="20"/>
        </w:rPr>
      </w:pPr>
      <w:r w:rsidRPr="0062673F">
        <w:rPr>
          <w:color w:val="000000" w:themeColor="text1"/>
          <w:sz w:val="20"/>
          <w:szCs w:val="20"/>
        </w:rPr>
        <w:t xml:space="preserve">Data availability statement: We used the following data sources: AC Nielsen and Broadcasters' Audience Research Board data on children’s exposure to HFSS advertising (2015) (data is not freely available, it is owned by AC Nielsen and whilst we had access to the full dataset for our own analysis, the terms of use prohibit us </w:t>
      </w:r>
      <w:r w:rsidRPr="00FC7AAD">
        <w:rPr>
          <w:sz w:val="20"/>
          <w:szCs w:val="20"/>
        </w:rPr>
        <w:t>sharing the dataset</w:t>
      </w:r>
      <w:r w:rsidR="00291D6D" w:rsidRPr="00FC7AAD">
        <w:rPr>
          <w:sz w:val="20"/>
          <w:szCs w:val="20"/>
        </w:rPr>
        <w:t xml:space="preserve">; </w:t>
      </w:r>
      <w:hyperlink r:id="rId13" w:history="1">
        <w:r w:rsidR="00291D6D" w:rsidRPr="00FC7AAD">
          <w:rPr>
            <w:rStyle w:val="Hyperlink"/>
            <w:color w:val="auto"/>
            <w:sz w:val="20"/>
            <w:szCs w:val="20"/>
            <w:u w:val="none"/>
          </w:rPr>
          <w:t>https://www.barb.co.uk/</w:t>
        </w:r>
      </w:hyperlink>
      <w:r w:rsidRPr="00FC7AAD">
        <w:rPr>
          <w:sz w:val="20"/>
          <w:szCs w:val="20"/>
        </w:rPr>
        <w:t>);</w:t>
      </w:r>
      <w:r w:rsidR="00291D6D" w:rsidRPr="00FC7AAD">
        <w:rPr>
          <w:sz w:val="20"/>
          <w:szCs w:val="20"/>
        </w:rPr>
        <w:t xml:space="preserve"> Kantar Worldpanel dataset for</w:t>
      </w:r>
      <w:r w:rsidR="00C92373" w:rsidRPr="00FC7AAD">
        <w:rPr>
          <w:sz w:val="20"/>
          <w:szCs w:val="20"/>
        </w:rPr>
        <w:t xml:space="preserve"> the UK for</w:t>
      </w:r>
      <w:r w:rsidR="00291D6D" w:rsidRPr="00FC7AAD">
        <w:rPr>
          <w:sz w:val="20"/>
          <w:szCs w:val="20"/>
        </w:rPr>
        <w:t xml:space="preserve"> information on the nutrient content of foods (data is not freely available, it is owned by Kantar</w:t>
      </w:r>
      <w:r w:rsidR="00C92373" w:rsidRPr="00FC7AAD">
        <w:rPr>
          <w:sz w:val="20"/>
          <w:szCs w:val="20"/>
        </w:rPr>
        <w:t xml:space="preserve"> and whilst we had access to the full dataset for our own analysis, the terms of use prohibit us sharing the dataset; </w:t>
      </w:r>
      <w:hyperlink r:id="rId14" w:history="1">
        <w:r w:rsidR="00C92373" w:rsidRPr="00FC7AAD">
          <w:rPr>
            <w:rStyle w:val="Hyperlink"/>
            <w:color w:val="auto"/>
            <w:sz w:val="20"/>
            <w:szCs w:val="20"/>
            <w:u w:val="none"/>
          </w:rPr>
          <w:t>https://www.kantarworldpanel.com/en</w:t>
        </w:r>
      </w:hyperlink>
      <w:r w:rsidR="00C92373" w:rsidRPr="00FC7AAD">
        <w:rPr>
          <w:sz w:val="20"/>
          <w:szCs w:val="20"/>
        </w:rPr>
        <w:t xml:space="preserve">) </w:t>
      </w:r>
      <w:r w:rsidRPr="00FC7AAD">
        <w:rPr>
          <w:sz w:val="20"/>
          <w:szCs w:val="20"/>
        </w:rPr>
        <w:t xml:space="preserve"> published meta-analysis quantifying the effect of less-healthy food advertising on acute caloric intake in children (freely available and published by Obesity Reviews, it is open access); population numbers and all-cause mortality rates from the Human Mortality Database for the UK (2015) (freely </w:t>
      </w:r>
      <w:r w:rsidR="00123071" w:rsidRPr="00FC7AAD">
        <w:rPr>
          <w:sz w:val="20"/>
          <w:szCs w:val="20"/>
        </w:rPr>
        <w:t>available at www.mortality.org)</w:t>
      </w:r>
      <w:r w:rsidRPr="00FC7AAD">
        <w:rPr>
          <w:sz w:val="20"/>
          <w:szCs w:val="20"/>
        </w:rPr>
        <w:t>; body mass index distribution from the Health Survey for England (2016)</w:t>
      </w:r>
      <w:r w:rsidR="00123071" w:rsidRPr="00FC7AAD">
        <w:rPr>
          <w:sz w:val="20"/>
          <w:szCs w:val="20"/>
        </w:rPr>
        <w:t xml:space="preserve"> (freely available from NHS Digital (summary reports</w:t>
      </w:r>
      <w:r w:rsidR="00291D6D" w:rsidRPr="00FC7AAD">
        <w:rPr>
          <w:sz w:val="20"/>
          <w:szCs w:val="20"/>
        </w:rPr>
        <w:t xml:space="preserve">; </w:t>
      </w:r>
      <w:hyperlink r:id="rId15" w:history="1">
        <w:r w:rsidR="00291D6D" w:rsidRPr="00FC7AAD">
          <w:rPr>
            <w:rStyle w:val="Hyperlink"/>
            <w:color w:val="auto"/>
            <w:sz w:val="20"/>
            <w:szCs w:val="20"/>
            <w:u w:val="none"/>
          </w:rPr>
          <w:t>https://digital.nhs.uk/data-and-information/publications/statistical/health-survey-for-england/health-survey-for-england-2016</w:t>
        </w:r>
      </w:hyperlink>
      <w:r w:rsidR="00123071" w:rsidRPr="00FC7AAD">
        <w:rPr>
          <w:sz w:val="20"/>
          <w:szCs w:val="20"/>
        </w:rPr>
        <w:t>) and UK Data Archive (raw data sets</w:t>
      </w:r>
      <w:r w:rsidR="00291D6D" w:rsidRPr="00FC7AAD">
        <w:rPr>
          <w:sz w:val="20"/>
          <w:szCs w:val="20"/>
        </w:rPr>
        <w:t xml:space="preserve">; </w:t>
      </w:r>
      <w:hyperlink r:id="rId16" w:history="1">
        <w:r w:rsidR="00291D6D" w:rsidRPr="00FC7AAD">
          <w:rPr>
            <w:rStyle w:val="Hyperlink"/>
            <w:color w:val="auto"/>
            <w:sz w:val="20"/>
            <w:szCs w:val="20"/>
            <w:u w:val="none"/>
          </w:rPr>
          <w:t>https://beta.ukdataservice.ac.uk/datacatalogue/series/series?id=2000021</w:t>
        </w:r>
      </w:hyperlink>
      <w:r w:rsidR="00123071" w:rsidRPr="00FC7AAD">
        <w:rPr>
          <w:sz w:val="20"/>
          <w:szCs w:val="20"/>
        </w:rPr>
        <w:t>))</w:t>
      </w:r>
      <w:r w:rsidRPr="00FC7AAD">
        <w:rPr>
          <w:sz w:val="20"/>
          <w:szCs w:val="20"/>
        </w:rPr>
        <w:t xml:space="preserve">; disability </w:t>
      </w:r>
      <w:r w:rsidRPr="00C92373">
        <w:rPr>
          <w:color w:val="000000" w:themeColor="text1"/>
          <w:sz w:val="20"/>
          <w:szCs w:val="20"/>
        </w:rPr>
        <w:t>weights for estimating Disability Adjusted Life Years (DALY</w:t>
      </w:r>
      <w:r w:rsidRPr="007A2793">
        <w:rPr>
          <w:color w:val="000000" w:themeColor="text1"/>
          <w:sz w:val="20"/>
          <w:szCs w:val="20"/>
        </w:rPr>
        <w:t>s) were taken from the Global Burden of Disease Study</w:t>
      </w:r>
      <w:r w:rsidR="00467360" w:rsidRPr="007A2793">
        <w:rPr>
          <w:color w:val="000000" w:themeColor="text1"/>
          <w:sz w:val="20"/>
          <w:szCs w:val="20"/>
        </w:rPr>
        <w:t xml:space="preserve"> (fre</w:t>
      </w:r>
      <w:r w:rsidR="00467360" w:rsidRPr="006F06C1">
        <w:rPr>
          <w:color w:val="000000" w:themeColor="text1"/>
          <w:sz w:val="20"/>
          <w:szCs w:val="20"/>
        </w:rPr>
        <w:t xml:space="preserve">ely available, </w:t>
      </w:r>
      <w:hyperlink r:id="rId17" w:history="1">
        <w:r w:rsidR="00467360" w:rsidRPr="00C92373">
          <w:rPr>
            <w:rStyle w:val="Hyperlink"/>
            <w:color w:val="000000" w:themeColor="text1"/>
            <w:sz w:val="20"/>
            <w:szCs w:val="20"/>
            <w:u w:val="none"/>
          </w:rPr>
          <w:t>http://ghdx.healthdata.org/gbd-results-tool</w:t>
        </w:r>
      </w:hyperlink>
      <w:r w:rsidR="00467360" w:rsidRPr="00C92373">
        <w:rPr>
          <w:color w:val="000000" w:themeColor="text1"/>
          <w:sz w:val="20"/>
          <w:szCs w:val="20"/>
        </w:rPr>
        <w:t>)</w:t>
      </w:r>
      <w:r w:rsidRPr="00C92373">
        <w:rPr>
          <w:color w:val="000000" w:themeColor="text1"/>
          <w:sz w:val="20"/>
          <w:szCs w:val="20"/>
        </w:rPr>
        <w:t>; healthcare costs were taken from NHS England programme budgeting data</w:t>
      </w:r>
      <w:r w:rsidR="006724F4" w:rsidRPr="007A2793">
        <w:rPr>
          <w:color w:val="000000" w:themeColor="text1"/>
          <w:sz w:val="20"/>
          <w:szCs w:val="20"/>
        </w:rPr>
        <w:t xml:space="preserve"> (freely available using the estimated reported by Briggs et al in</w:t>
      </w:r>
      <w:r w:rsidR="006724F4" w:rsidRPr="006F06C1">
        <w:rPr>
          <w:color w:val="000000" w:themeColor="text1"/>
          <w:sz w:val="20"/>
          <w:szCs w:val="20"/>
        </w:rPr>
        <w:t xml:space="preserve"> PLOS ONE, open access publication)</w:t>
      </w:r>
      <w:r w:rsidRPr="008F406E">
        <w:rPr>
          <w:color w:val="000000" w:themeColor="text1"/>
          <w:sz w:val="20"/>
          <w:szCs w:val="20"/>
        </w:rPr>
        <w:t>.</w:t>
      </w:r>
    </w:p>
    <w:p w14:paraId="72C7D845" w14:textId="2243799B" w:rsidR="009C3AB0" w:rsidRPr="0062673F" w:rsidRDefault="009C3AB0" w:rsidP="009C3AB0">
      <w:pPr>
        <w:rPr>
          <w:color w:val="000000" w:themeColor="text1"/>
          <w:sz w:val="20"/>
          <w:szCs w:val="20"/>
        </w:rPr>
      </w:pPr>
      <w:r w:rsidRPr="0062673F">
        <w:rPr>
          <w:color w:val="000000" w:themeColor="text1"/>
          <w:sz w:val="20"/>
          <w:szCs w:val="20"/>
        </w:rPr>
        <w:t>Acknowledgments: We are grateful to Peter Scarborough for advice on methods development, including the modelling of differential effects by weight status.</w:t>
      </w:r>
    </w:p>
    <w:p w14:paraId="63545A34" w14:textId="77777777" w:rsidR="005250DB" w:rsidRPr="0062673F" w:rsidRDefault="005250DB" w:rsidP="009660B0">
      <w:pPr>
        <w:rPr>
          <w:color w:val="000000" w:themeColor="text1"/>
          <w:sz w:val="20"/>
          <w:szCs w:val="20"/>
        </w:rPr>
      </w:pPr>
    </w:p>
    <w:p w14:paraId="544556E4" w14:textId="3DB3480E" w:rsidR="000959F0" w:rsidRPr="0062673F" w:rsidRDefault="000959F0">
      <w:pPr>
        <w:rPr>
          <w:color w:val="000000" w:themeColor="text1"/>
        </w:rPr>
      </w:pPr>
    </w:p>
    <w:p w14:paraId="594A0240" w14:textId="77777777" w:rsidR="00177819" w:rsidRPr="0062673F" w:rsidRDefault="00177819">
      <w:pPr>
        <w:rPr>
          <w:b/>
          <w:color w:val="000000" w:themeColor="text1"/>
        </w:rPr>
      </w:pPr>
      <w:r w:rsidRPr="0062673F">
        <w:rPr>
          <w:b/>
          <w:color w:val="000000" w:themeColor="text1"/>
        </w:rPr>
        <w:br w:type="page"/>
      </w:r>
    </w:p>
    <w:p w14:paraId="7C05D51E" w14:textId="15A44078" w:rsidR="002948FD" w:rsidRPr="0062673F" w:rsidRDefault="00DA13A9" w:rsidP="004A7C45">
      <w:pPr>
        <w:rPr>
          <w:b/>
          <w:color w:val="000000" w:themeColor="text1"/>
        </w:rPr>
      </w:pPr>
      <w:r w:rsidRPr="0062673F">
        <w:rPr>
          <w:b/>
          <w:color w:val="000000" w:themeColor="text1"/>
        </w:rPr>
        <w:t>References</w:t>
      </w:r>
    </w:p>
    <w:p w14:paraId="231FD7A7" w14:textId="12E35EA7" w:rsidR="00467360" w:rsidRPr="0062673F" w:rsidRDefault="00DA13A9"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color w:val="000000" w:themeColor="text1"/>
        </w:rPr>
        <w:fldChar w:fldCharType="begin" w:fldLock="1"/>
      </w:r>
      <w:r w:rsidRPr="0062673F">
        <w:rPr>
          <w:color w:val="000000" w:themeColor="text1"/>
        </w:rPr>
        <w:instrText xml:space="preserve">ADDIN Mendeley Bibliography CSL_BIBLIOGRAPHY </w:instrText>
      </w:r>
      <w:r w:rsidRPr="0062673F">
        <w:rPr>
          <w:color w:val="000000" w:themeColor="text1"/>
        </w:rPr>
        <w:fldChar w:fldCharType="separate"/>
      </w:r>
      <w:r w:rsidR="00467360" w:rsidRPr="0062673F">
        <w:rPr>
          <w:rFonts w:ascii="Calibri" w:hAnsi="Calibri" w:cs="Calibri"/>
          <w:noProof/>
          <w:color w:val="000000" w:themeColor="text1"/>
          <w:szCs w:val="24"/>
        </w:rPr>
        <w:t xml:space="preserve">1. </w:t>
      </w:r>
      <w:r w:rsidR="00467360" w:rsidRPr="0062673F">
        <w:rPr>
          <w:rFonts w:ascii="Calibri" w:hAnsi="Calibri" w:cs="Calibri"/>
          <w:noProof/>
          <w:color w:val="000000" w:themeColor="text1"/>
          <w:szCs w:val="24"/>
        </w:rPr>
        <w:tab/>
        <w:t>Lobstein T, Brinsden HC. Atlas of Childhood Obesity [Internet]. London; 2019. Available: https://www.worldobesity.org/nlsegmentation/global-atlas-on-childhood-obesity</w:t>
      </w:r>
    </w:p>
    <w:p w14:paraId="17A0DE9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 </w:t>
      </w:r>
      <w:r w:rsidRPr="0062673F">
        <w:rPr>
          <w:rFonts w:ascii="Calibri" w:hAnsi="Calibri" w:cs="Calibri"/>
          <w:noProof/>
          <w:color w:val="000000" w:themeColor="text1"/>
          <w:szCs w:val="24"/>
        </w:rPr>
        <w:tab/>
        <w:t>Brownell KD, Frieden TR. Ounces of prevention--the public policy case for taxes on sugared beverages. N Engl J Med. 2009/04/10. 2009;360: 1805–1808. doi:10.1056/NEJMp0902392</w:t>
      </w:r>
    </w:p>
    <w:p w14:paraId="1187EDD2"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 </w:t>
      </w:r>
      <w:r w:rsidRPr="0062673F">
        <w:rPr>
          <w:rFonts w:ascii="Calibri" w:hAnsi="Calibri" w:cs="Calibri"/>
          <w:noProof/>
          <w:color w:val="000000" w:themeColor="text1"/>
          <w:szCs w:val="24"/>
        </w:rPr>
        <w:tab/>
        <w:t>Rankin J, Matthews L, Cobley S, Han A, Sanders R, Wiltshire HD, et al. Psychological consequences of childhood obesity: psychiatric comorbidity and prevention. Adolesc Health Med Ther. Dove Press; 2016;7: 125–146. doi:10.2147/AHMT.S101631</w:t>
      </w:r>
    </w:p>
    <w:p w14:paraId="26BB562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 </w:t>
      </w:r>
      <w:r w:rsidRPr="0062673F">
        <w:rPr>
          <w:rFonts w:ascii="Calibri" w:hAnsi="Calibri" w:cs="Calibri"/>
          <w:noProof/>
          <w:color w:val="000000" w:themeColor="text1"/>
          <w:szCs w:val="24"/>
        </w:rPr>
        <w:tab/>
        <w:t>Kelly B, West J, Yang TC, Mason D, Hasan T, Wright J. The association between body mass index, primary healthcare use and morbidity in early childhood: findings from the Born In Bradford cohort study. Public Health. 2019;167: 21–27. doi:10.1016/j.puhe.2018.10.019</w:t>
      </w:r>
    </w:p>
    <w:p w14:paraId="7BE4C6DE"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 </w:t>
      </w:r>
      <w:r w:rsidRPr="0062673F">
        <w:rPr>
          <w:rFonts w:ascii="Calibri" w:hAnsi="Calibri" w:cs="Calibri"/>
          <w:noProof/>
          <w:color w:val="000000" w:themeColor="text1"/>
          <w:szCs w:val="24"/>
        </w:rPr>
        <w:tab/>
        <w:t>Booth JN, Tomporowski PD, Boyle JME, Ness AR, Joinson C, Leary SD, et al. Obesity impairs academic attainment in adolescence: findings from ALSPAC, a UK cohort. Int J Obes. 2014;38: 1335–1342. doi:10.1038/ijo.2014.40</w:t>
      </w:r>
    </w:p>
    <w:p w14:paraId="12AE356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 </w:t>
      </w:r>
      <w:r w:rsidRPr="0062673F">
        <w:rPr>
          <w:rFonts w:ascii="Calibri" w:hAnsi="Calibri" w:cs="Calibri"/>
          <w:noProof/>
          <w:color w:val="000000" w:themeColor="text1"/>
          <w:szCs w:val="24"/>
        </w:rPr>
        <w:tab/>
        <w:t>Simmonds M, Llewellyn A, Owen CG, Woolacott N. Predicting adult obesity from childhood obesity: a systematic review and meta-analysis. Obes Rev. 2016;17: 95–107. doi:10.1111/obr.12334</w:t>
      </w:r>
    </w:p>
    <w:p w14:paraId="4043628C"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7. </w:t>
      </w:r>
      <w:r w:rsidRPr="0062673F">
        <w:rPr>
          <w:rFonts w:ascii="Calibri" w:hAnsi="Calibri" w:cs="Calibri"/>
          <w:noProof/>
          <w:color w:val="000000" w:themeColor="text1"/>
          <w:szCs w:val="24"/>
        </w:rPr>
        <w:tab/>
        <w:t>Reilly JJ, Kelly J. Long-term impact of overweight and obesity in childhood and adolescence on morbidity and premature mortality in adulthood: systematic review. Int J Obes. 2011;35: 891–898. doi:10.1038/ijo.2010.222</w:t>
      </w:r>
    </w:p>
    <w:p w14:paraId="74285C30"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8. </w:t>
      </w:r>
      <w:r w:rsidRPr="0062673F">
        <w:rPr>
          <w:rFonts w:ascii="Calibri" w:hAnsi="Calibri" w:cs="Calibri"/>
          <w:noProof/>
          <w:color w:val="000000" w:themeColor="text1"/>
          <w:szCs w:val="24"/>
        </w:rPr>
        <w:tab/>
        <w:t>Llewellyn A, Simmonds M, Owen CG, Woolacott N. Childhood obesity as a predictor of morbidity in adulthood: a systematic review and meta-analysis. Obes Rev. 2016;17: 56–67. doi:10.1111/obr.12316</w:t>
      </w:r>
    </w:p>
    <w:p w14:paraId="4B659AA4"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9. </w:t>
      </w:r>
      <w:r w:rsidRPr="0062673F">
        <w:rPr>
          <w:rFonts w:ascii="Calibri" w:hAnsi="Calibri" w:cs="Calibri"/>
          <w:noProof/>
          <w:color w:val="000000" w:themeColor="text1"/>
          <w:szCs w:val="24"/>
        </w:rPr>
        <w:tab/>
        <w:t>Department for Health. Childhood obesity: a plan for action, chapter 2 [Internet]. London; 2018. Available: https://www.gov.uk/government/publications/childhood-obesity-a-plan-for-action-chapter-2</w:t>
      </w:r>
    </w:p>
    <w:p w14:paraId="13EA7380"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10. </w:t>
      </w:r>
      <w:r w:rsidRPr="0062673F">
        <w:rPr>
          <w:rFonts w:ascii="Calibri" w:hAnsi="Calibri" w:cs="Calibri"/>
          <w:noProof/>
          <w:color w:val="000000" w:themeColor="text1"/>
          <w:szCs w:val="24"/>
        </w:rPr>
        <w:tab/>
        <w:t>Food Standards Agency. Nutrient Profiling Technical Guidance [Internet]. 2009 [cited 11 Apr 2016]. Available: http://www.food.gov.uk/sites/default/files/multimedia/pdfs/techguidenutprofiling.pdf</w:t>
      </w:r>
    </w:p>
    <w:p w14:paraId="245DBAE3"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11. </w:t>
      </w:r>
      <w:r w:rsidRPr="0062673F">
        <w:rPr>
          <w:rFonts w:ascii="Calibri" w:hAnsi="Calibri" w:cs="Calibri"/>
          <w:noProof/>
          <w:color w:val="000000" w:themeColor="text1"/>
          <w:szCs w:val="24"/>
        </w:rPr>
        <w:tab/>
        <w:t xml:space="preserve">Davies S. Time to Solve Childhood Obesity. London; 2019. </w:t>
      </w:r>
    </w:p>
    <w:p w14:paraId="3AD75195"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12. </w:t>
      </w:r>
      <w:r w:rsidRPr="0062673F">
        <w:rPr>
          <w:rFonts w:ascii="Calibri" w:hAnsi="Calibri" w:cs="Calibri"/>
          <w:noProof/>
          <w:color w:val="000000" w:themeColor="text1"/>
          <w:szCs w:val="24"/>
        </w:rPr>
        <w:tab/>
        <w:t>Health Select Committee. Childhood obesity: Time for action [Internet]. London; 2018. Available: https://publications.parliament.uk/pa/cm201719/cmselect/cmhealth/882/88202.htm</w:t>
      </w:r>
    </w:p>
    <w:p w14:paraId="7161A70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13. </w:t>
      </w:r>
      <w:r w:rsidRPr="0062673F">
        <w:rPr>
          <w:rFonts w:ascii="Calibri" w:hAnsi="Calibri" w:cs="Calibri"/>
          <w:noProof/>
          <w:color w:val="000000" w:themeColor="text1"/>
          <w:szCs w:val="24"/>
        </w:rPr>
        <w:tab/>
        <w:t>Obesity Health Alliance. Written evidence submitted by Obesity Health Alliance (COY0009) [Internet]. London; 2018. Available: http://data.parliament.uk/WrittenEvidence/CommitteeEvidence.svc/EvidenceDocument/Health and Social Care/Childhood obesity/written/81099.html</w:t>
      </w:r>
    </w:p>
    <w:p w14:paraId="4A51B8F2"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14. </w:t>
      </w:r>
      <w:r w:rsidRPr="0062673F">
        <w:rPr>
          <w:rFonts w:ascii="Calibri" w:hAnsi="Calibri" w:cs="Calibri"/>
          <w:noProof/>
          <w:color w:val="000000" w:themeColor="text1"/>
          <w:szCs w:val="24"/>
        </w:rPr>
        <w:tab/>
        <w:t>Ofcom. HFSS Advertising Restrictions - Final Review [Internet]. London; 2010. Available: https://www.ofcom.org.uk/__data/assets/pdf_file/0024/31857/hfss-review-final.pdf</w:t>
      </w:r>
    </w:p>
    <w:p w14:paraId="3C30EA11"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15. </w:t>
      </w:r>
      <w:r w:rsidRPr="0062673F">
        <w:rPr>
          <w:rFonts w:ascii="Calibri" w:hAnsi="Calibri" w:cs="Calibri"/>
          <w:noProof/>
          <w:color w:val="000000" w:themeColor="text1"/>
          <w:szCs w:val="24"/>
        </w:rPr>
        <w:tab/>
        <w:t>Adams J, Tyrrell R, Adamson AJ, White M. Effect of restrictions on television food advertising to children on exposure to advertisements for “less healthy” foods: repeat cross-sectional study. PLoS One. 2012;7: e31578. doi:10.1371/journal.pone.0031578</w:t>
      </w:r>
    </w:p>
    <w:p w14:paraId="3B9052F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16. </w:t>
      </w:r>
      <w:r w:rsidRPr="0062673F">
        <w:rPr>
          <w:rFonts w:ascii="Calibri" w:hAnsi="Calibri" w:cs="Calibri"/>
          <w:noProof/>
          <w:color w:val="000000" w:themeColor="text1"/>
          <w:szCs w:val="24"/>
        </w:rPr>
        <w:tab/>
        <w:t>Whalen R, Harrold J, Child S, Halford J, Boyland E. Children’s exposure to food advertising: the impact of statutory restrictions. Health Promot Int. 2017; doi:10.1093/heapro/dax044</w:t>
      </w:r>
    </w:p>
    <w:p w14:paraId="2ACB777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17. </w:t>
      </w:r>
      <w:r w:rsidRPr="0062673F">
        <w:rPr>
          <w:rFonts w:ascii="Calibri" w:hAnsi="Calibri" w:cs="Calibri"/>
          <w:noProof/>
          <w:color w:val="000000" w:themeColor="text1"/>
          <w:szCs w:val="24"/>
        </w:rPr>
        <w:tab/>
        <w:t xml:space="preserve">Griffith R, O’Connell M, Smith K, Stroud R. Children’s exposure to TV advertising of food and drink. London; 2018. </w:t>
      </w:r>
    </w:p>
    <w:p w14:paraId="5AB2F0BD"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18. </w:t>
      </w:r>
      <w:r w:rsidRPr="0062673F">
        <w:rPr>
          <w:rFonts w:ascii="Calibri" w:hAnsi="Calibri" w:cs="Calibri"/>
          <w:noProof/>
          <w:color w:val="000000" w:themeColor="text1"/>
          <w:szCs w:val="24"/>
        </w:rPr>
        <w:tab/>
        <w:t>Boyland EJ, Nolan S, Kelly B, Tudur-Smith C, Jones A, Halford JC, et al. Advertising as a cue to consume: a systematic review and meta-analysis of the effects of acute exposure to unhealthy food and nonalcoholic beverage advertising on intake in children and adults. Am J Clin Nutr. Oxford University Press; 2016;103: 519–533. doi:10.3945/ajcn.115.120022</w:t>
      </w:r>
    </w:p>
    <w:p w14:paraId="1DCA5AB4"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19. </w:t>
      </w:r>
      <w:r w:rsidRPr="0062673F">
        <w:rPr>
          <w:rFonts w:ascii="Calibri" w:hAnsi="Calibri" w:cs="Calibri"/>
          <w:noProof/>
          <w:color w:val="000000" w:themeColor="text1"/>
          <w:szCs w:val="24"/>
        </w:rPr>
        <w:tab/>
        <w:t>Russell SJ, Croker H, Viner RM. The effect of screen advertising on children’s dietary intake: A systematic review and meta-analysis. Obes Rev. 2018; doi:10.1111/obr.12812</w:t>
      </w:r>
    </w:p>
    <w:p w14:paraId="77066F4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20. </w:t>
      </w:r>
      <w:r w:rsidRPr="0062673F">
        <w:rPr>
          <w:rFonts w:ascii="Calibri" w:hAnsi="Calibri" w:cs="Calibri"/>
          <w:noProof/>
          <w:color w:val="000000" w:themeColor="text1"/>
          <w:szCs w:val="24"/>
        </w:rPr>
        <w:tab/>
        <w:t>Sadeghirad B, Duhaney T, Motaghipisheh S, Campbell NRC, Johnston BC. Influence of unhealthy food and beverage marketing on children’s dietary intake and preference: a systematic review and meta-analysis of randomized trials. Obes Rev. 2016;17: 945–959. doi:10.1111/obr.12445</w:t>
      </w:r>
    </w:p>
    <w:p w14:paraId="4CE7BFF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21. </w:t>
      </w:r>
      <w:r w:rsidRPr="0062673F">
        <w:rPr>
          <w:rFonts w:ascii="Calibri" w:hAnsi="Calibri" w:cs="Calibri"/>
          <w:noProof/>
          <w:color w:val="000000" w:themeColor="text1"/>
          <w:szCs w:val="24"/>
        </w:rPr>
        <w:tab/>
        <w:t>Norman J, Kelly B, McMahon A-T, Boyland E, Baur LA, Chapman K, et al. Sustained impact of energy-dense TV and online food advertising on children’s dietary intake: a within-subject, randomised, crossover, counter-balanced trial. Int J Behav Nutr Phys Act. BioMed Central; 2018;15: 37. doi:10.1186/s12966-018-0672-6</w:t>
      </w:r>
    </w:p>
    <w:p w14:paraId="71BD854E"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22. </w:t>
      </w:r>
      <w:r w:rsidRPr="0062673F">
        <w:rPr>
          <w:rFonts w:ascii="Calibri" w:hAnsi="Calibri" w:cs="Calibri"/>
          <w:noProof/>
          <w:color w:val="000000" w:themeColor="text1"/>
          <w:szCs w:val="24"/>
        </w:rPr>
        <w:tab/>
        <w:t>Cairns G, Angus K, Hastings G, Caraher M. Systematic reviews of the evidence on the nature, extent and effects of food marketing to children. A retrospective summary. Appetite. 2013;62: 209–15. doi:10.1016/j.appet.2012.04.017</w:t>
      </w:r>
    </w:p>
    <w:p w14:paraId="0EB0023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23. </w:t>
      </w:r>
      <w:r w:rsidRPr="0062673F">
        <w:rPr>
          <w:rFonts w:ascii="Calibri" w:hAnsi="Calibri" w:cs="Calibri"/>
          <w:noProof/>
          <w:color w:val="000000" w:themeColor="text1"/>
          <w:szCs w:val="24"/>
        </w:rPr>
        <w:tab/>
        <w:t>Kelly B, King MPsy L, Chapman Mnd K, Boyland E, Bauman AE, Baur LA. A hierarchy of unhealthy food promotion effects: identifying methodological approaches and knowledge gaps. Am J Public Health. 2015;105: e86-95. doi:10.2105/AJPH.2014.302476</w:t>
      </w:r>
    </w:p>
    <w:p w14:paraId="1151BBA5"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24. </w:t>
      </w:r>
      <w:r w:rsidRPr="0062673F">
        <w:rPr>
          <w:rFonts w:ascii="Calibri" w:hAnsi="Calibri" w:cs="Calibri"/>
          <w:noProof/>
          <w:color w:val="000000" w:themeColor="text1"/>
          <w:szCs w:val="24"/>
        </w:rPr>
        <w:tab/>
        <w:t>Mozaffarian D. Dietary and Policy Priorities for Cardiovascular Disease, Diabetes, and Obesity: A Comprehensive Review. Circulation. 2016; doi:10.1161/CIRCULATIONAHA.115.018585</w:t>
      </w:r>
    </w:p>
    <w:p w14:paraId="07985D3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25. </w:t>
      </w:r>
      <w:r w:rsidRPr="0062673F">
        <w:rPr>
          <w:rFonts w:ascii="Calibri" w:hAnsi="Calibri" w:cs="Calibri"/>
          <w:noProof/>
          <w:color w:val="000000" w:themeColor="text1"/>
          <w:szCs w:val="24"/>
        </w:rPr>
        <w:tab/>
        <w:t>Adriouch S, Julia C, Kesse-Guyot E, Ducrot P, Péneau S, Méjean C, et al. Association between a dietary quality index based on the food standard agency nutrient profiling system and cardiovascular disease risk among French adults. Int J Cardiol. 2017;234: 22–27. doi:10.1016/j.ijcard.2017.02.092</w:t>
      </w:r>
    </w:p>
    <w:p w14:paraId="7B3DE51E"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26. </w:t>
      </w:r>
      <w:r w:rsidRPr="0062673F">
        <w:rPr>
          <w:rFonts w:ascii="Calibri" w:hAnsi="Calibri" w:cs="Calibri"/>
          <w:noProof/>
          <w:color w:val="000000" w:themeColor="text1"/>
          <w:szCs w:val="24"/>
        </w:rPr>
        <w:tab/>
        <w:t>Julia C, Ducrot P, Lassale C, Fézeu L, Méjean C, Péneau S, et al. Prospective associations between a dietary index based on the British Food Standard Agency nutrient profiling system and 13-year weight gain in the SU.VI.MAX cohort. Prev Med (Baltim). 2015;81: 189–94. doi:10.1016/j.ypmed.2015.08.022</w:t>
      </w:r>
    </w:p>
    <w:p w14:paraId="108BA8B0"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27. </w:t>
      </w:r>
      <w:r w:rsidRPr="0062673F">
        <w:rPr>
          <w:rFonts w:ascii="Calibri" w:hAnsi="Calibri" w:cs="Calibri"/>
          <w:noProof/>
          <w:color w:val="000000" w:themeColor="text1"/>
          <w:szCs w:val="24"/>
        </w:rPr>
        <w:tab/>
        <w:t xml:space="preserve">World Health Organization. Set of recommendations on the marketing of foods and non-alcoholic beverages to children. Geneva; 2010. </w:t>
      </w:r>
    </w:p>
    <w:p w14:paraId="58D313EB"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28. </w:t>
      </w:r>
      <w:r w:rsidRPr="0062673F">
        <w:rPr>
          <w:rFonts w:ascii="Calibri" w:hAnsi="Calibri" w:cs="Calibri"/>
          <w:noProof/>
          <w:color w:val="000000" w:themeColor="text1"/>
          <w:szCs w:val="24"/>
        </w:rPr>
        <w:tab/>
        <w:t>Kovic Y, Noel JK, Ungemack JA, Burleson JA. The impact of junk food marketing regulations ona food sales: an ecological study. Obes Rev. 2018; doi:10.1111/obr.12678</w:t>
      </w:r>
    </w:p>
    <w:p w14:paraId="34B0101D"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29. </w:t>
      </w:r>
      <w:r w:rsidRPr="0062673F">
        <w:rPr>
          <w:rFonts w:ascii="Calibri" w:hAnsi="Calibri" w:cs="Calibri"/>
          <w:noProof/>
          <w:color w:val="000000" w:themeColor="text1"/>
          <w:szCs w:val="24"/>
        </w:rPr>
        <w:tab/>
        <w:t xml:space="preserve">WHO Regional Office for Europe. Evaluating implementation of the WHO set of recommendation on the marketing of foods and non-alchoholic beverages to children. 2018. </w:t>
      </w:r>
    </w:p>
    <w:p w14:paraId="6166F80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30. </w:t>
      </w:r>
      <w:r w:rsidRPr="0062673F">
        <w:rPr>
          <w:rFonts w:ascii="Calibri" w:hAnsi="Calibri" w:cs="Calibri"/>
          <w:noProof/>
          <w:color w:val="000000" w:themeColor="text1"/>
          <w:szCs w:val="24"/>
        </w:rPr>
        <w:tab/>
        <w:t>Brown V, Ananthapavan J, Veerman L, Sacks G, Lal A, Peeters A, et al. The Potential Cost-Effectiveness and Equity Impacts of Restricting Television Advertising of Unhealthy Food and Beverages to Australian Children. Nutrients. Multidisciplinary Digital Publishing Institute  (MDPI); 2018;10. doi:10.3390/nu10050622</w:t>
      </w:r>
    </w:p>
    <w:p w14:paraId="46464065"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31. </w:t>
      </w:r>
      <w:r w:rsidRPr="0062673F">
        <w:rPr>
          <w:rFonts w:ascii="Calibri" w:hAnsi="Calibri" w:cs="Calibri"/>
          <w:noProof/>
          <w:color w:val="000000" w:themeColor="text1"/>
          <w:szCs w:val="24"/>
        </w:rPr>
        <w:tab/>
        <w:t>Advertising Association. 10 Key Facts About HFFS Advertising In The UK [Internet]. 2018 [cited 18 Mar 2019]. Available: https://www.adassoc.org.uk/policy-areas/10-key-facts-about-hfss-advertising-in-the-uk-2/</w:t>
      </w:r>
    </w:p>
    <w:p w14:paraId="1021355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32. </w:t>
      </w:r>
      <w:r w:rsidRPr="0062673F">
        <w:rPr>
          <w:rFonts w:ascii="Calibri" w:hAnsi="Calibri" w:cs="Calibri"/>
          <w:noProof/>
          <w:color w:val="000000" w:themeColor="text1"/>
          <w:szCs w:val="24"/>
        </w:rPr>
        <w:tab/>
        <w:t>Hills J. “We can compete” - ITV Chief Executive Carolyn McCall says television can challenge online opposition [Internet]. 2018 [cited 18 Mar 2019]. Available: https://www.itv.com/news/2018-07-25/future-of-itv-and-online-streaming/</w:t>
      </w:r>
    </w:p>
    <w:p w14:paraId="65080B7E"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33. </w:t>
      </w:r>
      <w:r w:rsidRPr="0062673F">
        <w:rPr>
          <w:rFonts w:ascii="Calibri" w:hAnsi="Calibri" w:cs="Calibri"/>
          <w:noProof/>
          <w:color w:val="000000" w:themeColor="text1"/>
          <w:szCs w:val="24"/>
        </w:rPr>
        <w:tab/>
        <w:t>Cobiac LJ, Scarborough P, Kaur A, Rayner M, Shields E, Cobiac L. The Eatwell Guide: Modelling the Health Implications of Incorporating New Sugar and Fibre Guidelines. Wiley AS, editor. PLoS One. Committee on Climate Change; 2016;11: e0167859. doi:10.1371/journal.pone.0167859</w:t>
      </w:r>
    </w:p>
    <w:p w14:paraId="00ADC62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34. </w:t>
      </w:r>
      <w:r w:rsidRPr="0062673F">
        <w:rPr>
          <w:rFonts w:ascii="Calibri" w:hAnsi="Calibri" w:cs="Calibri"/>
          <w:noProof/>
          <w:color w:val="000000" w:themeColor="text1"/>
          <w:szCs w:val="24"/>
        </w:rPr>
        <w:tab/>
        <w:t>Hall KD, Butte NF, Swinburn BA, Chow CC. Dynamics of childhood growth and obesity: development and validation of a quantitative mathematical model. Lancet Diabetes Endocrinol. Elsevier; 2013;1: 97–105. doi:10.1016/S2213-8587(13)70051-2</w:t>
      </w:r>
    </w:p>
    <w:p w14:paraId="259796CB"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35. </w:t>
      </w:r>
      <w:r w:rsidRPr="0062673F">
        <w:rPr>
          <w:rFonts w:ascii="Calibri" w:hAnsi="Calibri" w:cs="Calibri"/>
          <w:noProof/>
          <w:color w:val="000000" w:themeColor="text1"/>
          <w:szCs w:val="24"/>
        </w:rPr>
        <w:tab/>
        <w:t>BARB. BARB Explained: The central role of the BARB panel [Internet]. 2019 [cited 29 May 2022]. Available: https://www.barb.co.uk/barb-explained/the-central-role-of-the-barb-panel/</w:t>
      </w:r>
    </w:p>
    <w:p w14:paraId="4380AE4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36. </w:t>
      </w:r>
      <w:r w:rsidRPr="0062673F">
        <w:rPr>
          <w:rFonts w:ascii="Calibri" w:hAnsi="Calibri" w:cs="Calibri"/>
          <w:noProof/>
          <w:color w:val="000000" w:themeColor="text1"/>
          <w:szCs w:val="24"/>
        </w:rPr>
        <w:tab/>
        <w:t xml:space="preserve">Food Standards Agency. Nutrient Profiling Technical Guidance April 2009. 2009. </w:t>
      </w:r>
    </w:p>
    <w:p w14:paraId="3AABD365"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37. </w:t>
      </w:r>
      <w:r w:rsidRPr="0062673F">
        <w:rPr>
          <w:rFonts w:ascii="Calibri" w:hAnsi="Calibri" w:cs="Calibri"/>
          <w:noProof/>
          <w:color w:val="000000" w:themeColor="text1"/>
          <w:szCs w:val="24"/>
        </w:rPr>
        <w:tab/>
        <w:t>Boyland EJ, Harrold JA, Kirkham TC, Halford JCG. The extent of food advertising to children on UK television in 2008. Int J Pediatr Obes. 2011;6: 455–461. doi:10.3109/17477166.2011.608801</w:t>
      </w:r>
    </w:p>
    <w:p w14:paraId="6CD99EC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38. </w:t>
      </w:r>
      <w:r w:rsidRPr="0062673F">
        <w:rPr>
          <w:rFonts w:ascii="Calibri" w:hAnsi="Calibri" w:cs="Calibri"/>
          <w:noProof/>
          <w:color w:val="000000" w:themeColor="text1"/>
          <w:szCs w:val="24"/>
        </w:rPr>
        <w:tab/>
        <w:t>Gordon-Larsen P, The NS, Adair LS. Longitudinal trends in obesity in the United States from adolescence to the third decade of life. Obes (Silver Spring). 2009/12/26. 2010;18: 1801–1804. doi:10.1038/oby.2009.451</w:t>
      </w:r>
    </w:p>
    <w:p w14:paraId="73AE5239"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39. </w:t>
      </w:r>
      <w:r w:rsidRPr="0062673F">
        <w:rPr>
          <w:rFonts w:ascii="Calibri" w:hAnsi="Calibri" w:cs="Calibri"/>
          <w:noProof/>
          <w:color w:val="000000" w:themeColor="text1"/>
          <w:szCs w:val="24"/>
        </w:rPr>
        <w:tab/>
        <w:t>Singh AS, Mulder C, Twisk JWR, Van Mechelen W, Chinapaw MJM. Tracking of childhood overweight into adulthood: a systematic review of the literature. Obes Rev. 2008;9: 474–488. doi:10.1111/j.1467-789X.2008.00475.x</w:t>
      </w:r>
    </w:p>
    <w:p w14:paraId="01954B9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40. </w:t>
      </w:r>
      <w:r w:rsidRPr="0062673F">
        <w:rPr>
          <w:rFonts w:ascii="Calibri" w:hAnsi="Calibri" w:cs="Calibri"/>
          <w:noProof/>
          <w:color w:val="000000" w:themeColor="text1"/>
          <w:szCs w:val="24"/>
        </w:rPr>
        <w:tab/>
        <w:t>National Statistics. Health Survey for England, 2016 [Internet]. Leeds; 2017. Available: https://digital.nhs.uk/data-and-information/publications/statistical/health-survey-for-england/health-survey-for-england-2016</w:t>
      </w:r>
    </w:p>
    <w:p w14:paraId="5782D06D"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41. </w:t>
      </w:r>
      <w:r w:rsidRPr="0062673F">
        <w:rPr>
          <w:rFonts w:ascii="Calibri" w:hAnsi="Calibri" w:cs="Calibri"/>
          <w:noProof/>
          <w:color w:val="000000" w:themeColor="text1"/>
          <w:szCs w:val="24"/>
        </w:rPr>
        <w:tab/>
        <w:t>Cole TJ, Lobstein T. Extended international (IOTF) body mass index cut-offs for thinness, overweight and obesity. Pediatr Obes. 2012;7: 284–294. doi:10.1111/j.2047-6310.2012.00064.x</w:t>
      </w:r>
    </w:p>
    <w:p w14:paraId="5082D23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42. </w:t>
      </w:r>
      <w:r w:rsidRPr="0062673F">
        <w:rPr>
          <w:rFonts w:ascii="Calibri" w:hAnsi="Calibri" w:cs="Calibri"/>
          <w:noProof/>
          <w:color w:val="000000" w:themeColor="text1"/>
          <w:szCs w:val="24"/>
        </w:rPr>
        <w:tab/>
        <w:t>Adams J, Tyrrell R, Adamson AJ, White M. Socio-economic differences in exposure to television food advertisements in the UK: a cross-sectional study of advertisements broadcast in one television region. Public Health Nutr. 2012;15: 487–494. doi:10.1017/S1368980011001686</w:t>
      </w:r>
    </w:p>
    <w:p w14:paraId="45C8885D"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43. </w:t>
      </w:r>
      <w:r w:rsidRPr="0062673F">
        <w:rPr>
          <w:rFonts w:ascii="Calibri" w:hAnsi="Calibri" w:cs="Calibri"/>
          <w:noProof/>
          <w:color w:val="000000" w:themeColor="text1"/>
          <w:szCs w:val="24"/>
        </w:rPr>
        <w:tab/>
        <w:t>Office for National Statistics. DC6127EW - Approximated social grade by household composition. In: Nomis Official Labour Market Statistics [Internet]. 2011 [cited 24 Nov 2019]. Available: https://www.nomisweb.co.uk/census/2011/DC6127EW/view/2092957703?rows=household_composition&amp;cols=c_scgpuk11</w:t>
      </w:r>
    </w:p>
    <w:p w14:paraId="39242A95"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44. </w:t>
      </w:r>
      <w:r w:rsidRPr="0062673F">
        <w:rPr>
          <w:rFonts w:ascii="Calibri" w:hAnsi="Calibri" w:cs="Calibri"/>
          <w:noProof/>
          <w:color w:val="000000" w:themeColor="text1"/>
          <w:szCs w:val="24"/>
        </w:rPr>
        <w:tab/>
        <w:t>Bann D, Johnson W, Li L, Kuh D, Hardy R. Socioeconomic inequalities in childhood and adolescent body-mass index, weight, and height from 1953 to 2015: an analysis of four longitudinal, observational, British birth cohort studies. Lancet Public Heal. 2018;3: e194–e203. doi:10.1016/S2468-2667(18)30045-8</w:t>
      </w:r>
    </w:p>
    <w:p w14:paraId="3B8264F4"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45. </w:t>
      </w:r>
      <w:r w:rsidRPr="0062673F">
        <w:rPr>
          <w:rFonts w:ascii="Calibri" w:hAnsi="Calibri" w:cs="Calibri"/>
          <w:noProof/>
          <w:color w:val="000000" w:themeColor="text1"/>
          <w:szCs w:val="24"/>
        </w:rPr>
        <w:tab/>
        <w:t>Barendregt JJ, Van Oortmarssen GJ, Van Hout B a, Van Den Bosch JM, Bonneux L. Coping with multiple morbidity in a life table. Math Popul Stud. 1998;7: 29–49, 109. doi:10.1080/08898489809525445</w:t>
      </w:r>
    </w:p>
    <w:p w14:paraId="1467C1C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46. </w:t>
      </w:r>
      <w:r w:rsidRPr="0062673F">
        <w:rPr>
          <w:rFonts w:ascii="Calibri" w:hAnsi="Calibri" w:cs="Calibri"/>
          <w:noProof/>
          <w:color w:val="000000" w:themeColor="text1"/>
          <w:szCs w:val="24"/>
        </w:rPr>
        <w:tab/>
        <w:t>Briggs ADM, Scarborough P, Wolstenholme J. Estimating comparable English healthcare costs for multiple diseases and unrelated future costs for use in health and public health economic modelling. Postma M, editor. PLoS One. Public Library of Science; 2018;13: e0197257. doi:10.1371/journal.pone.0197257</w:t>
      </w:r>
    </w:p>
    <w:p w14:paraId="6B81C0AA"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47. </w:t>
      </w:r>
      <w:r w:rsidRPr="0062673F">
        <w:rPr>
          <w:rFonts w:ascii="Calibri" w:hAnsi="Calibri" w:cs="Calibri"/>
          <w:noProof/>
          <w:color w:val="000000" w:themeColor="text1"/>
          <w:szCs w:val="24"/>
        </w:rPr>
        <w:tab/>
        <w:t>Human Mortality Database [Internet]. [cited 10 Mar 2019]. Available: https://www.mortality.org/</w:t>
      </w:r>
    </w:p>
    <w:p w14:paraId="6BC91DA3"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48. </w:t>
      </w:r>
      <w:r w:rsidRPr="0062673F">
        <w:rPr>
          <w:rFonts w:ascii="Calibri" w:hAnsi="Calibri" w:cs="Calibri"/>
          <w:noProof/>
          <w:color w:val="000000" w:themeColor="text1"/>
          <w:szCs w:val="24"/>
        </w:rPr>
        <w:tab/>
        <w:t>HM Treasury. The Green Book: Central Government Advice On Appraisal And Evaluation [Internet]. London; 2018. Available: https://assets.publishing.service.gov.uk/government/uploads/system/uploads/attachment_data/file/685903/The_Green_Book.pdf</w:t>
      </w:r>
    </w:p>
    <w:p w14:paraId="1D82D500"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49. </w:t>
      </w:r>
      <w:r w:rsidRPr="0062673F">
        <w:rPr>
          <w:rFonts w:ascii="Calibri" w:hAnsi="Calibri" w:cs="Calibri"/>
          <w:noProof/>
          <w:color w:val="000000" w:themeColor="text1"/>
          <w:szCs w:val="24"/>
        </w:rPr>
        <w:tab/>
        <w:t>Scarborough P, Harrington R, Mizdrak A, Zhou LM, Doherty A. The Preventable Risk Integrated ModEl and Its Use to Estimate the Health Impact of Public Health Policy Scenarios. Scientifica (Cairo). 2014;2014: 1–21. doi:10.1155/2014/748750</w:t>
      </w:r>
    </w:p>
    <w:p w14:paraId="3F32324C"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50. </w:t>
      </w:r>
      <w:r w:rsidRPr="0062673F">
        <w:rPr>
          <w:rFonts w:ascii="Calibri" w:hAnsi="Calibri" w:cs="Calibri"/>
          <w:noProof/>
          <w:color w:val="000000" w:themeColor="text1"/>
          <w:szCs w:val="24"/>
        </w:rPr>
        <w:tab/>
        <w:t>Brown V, Tan EJ, Hayes AJ, Petrou S, Moodie ML. Utility values for childhood obesity interventions: a systematic review and meta-analysis of the evidence for use in economic evaluation. Obes Rev. 2018;19: 905–916. doi:10.1111/obr.12672</w:t>
      </w:r>
    </w:p>
    <w:p w14:paraId="03C06A8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51. </w:t>
      </w:r>
      <w:r w:rsidRPr="0062673F">
        <w:rPr>
          <w:rFonts w:ascii="Calibri" w:hAnsi="Calibri" w:cs="Calibri"/>
          <w:noProof/>
          <w:color w:val="000000" w:themeColor="text1"/>
          <w:szCs w:val="24"/>
        </w:rPr>
        <w:tab/>
        <w:t>Office for National Statistics. Gross domestic product per head: Table P [Internet]. 2018 [cited 4 Dec 2019]. Available: https://www.ons.gov.uk/economy/grossdomesticproductgdp/datasets/gdpperheadtablep</w:t>
      </w:r>
    </w:p>
    <w:p w14:paraId="07C3532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52. </w:t>
      </w:r>
      <w:r w:rsidRPr="0062673F">
        <w:rPr>
          <w:rFonts w:ascii="Calibri" w:hAnsi="Calibri" w:cs="Calibri"/>
          <w:noProof/>
          <w:color w:val="000000" w:themeColor="text1"/>
          <w:szCs w:val="24"/>
        </w:rPr>
        <w:tab/>
        <w:t>Robinson LA, Hammitt JK, Chang AY, Resch S. Understanding and improving the one and three times GDP per capita cost-effectiveness thresholds. Health Policy Plan. Narnia; 2017;32: 141–145. doi:10.1093/heapol/czw096</w:t>
      </w:r>
    </w:p>
    <w:p w14:paraId="6B59A2AF"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53. </w:t>
      </w:r>
      <w:r w:rsidRPr="0062673F">
        <w:rPr>
          <w:rFonts w:ascii="Calibri" w:hAnsi="Calibri" w:cs="Calibri"/>
          <w:noProof/>
          <w:color w:val="000000" w:themeColor="text1"/>
          <w:szCs w:val="24"/>
        </w:rPr>
        <w:tab/>
        <w:t>Public Health England. Annex C: Basis of the nutrient/food component and scoring for the UK NPM 2004/5 and the draft 2018 NPM [Internet]. London; 2018. Available: https://assets.publishing.service.gov.uk/government/uploads/system/uploads/attachment_data/file/692042/Annex_C_basis_of_the_nutrient_food_component_and_scoring_for_the_draft_2018_NPM.pdf</w:t>
      </w:r>
    </w:p>
    <w:p w14:paraId="68C2F12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54. </w:t>
      </w:r>
      <w:r w:rsidRPr="0062673F">
        <w:rPr>
          <w:rFonts w:ascii="Calibri" w:hAnsi="Calibri" w:cs="Calibri"/>
          <w:noProof/>
          <w:color w:val="000000" w:themeColor="text1"/>
          <w:szCs w:val="24"/>
        </w:rPr>
        <w:tab/>
        <w:t>Delfino LD, Dos Santos Silva DA, Tebar WR, Zanuto EF, Codogno JS, Fernandes RA, et al. Screen time by different devices in adolescents: association with physical inactivity domains and eating habits. J Sports Med Phys Fitness. 2018;58: 318–325. doi:10.23736/S0022-4707.17.06980-8</w:t>
      </w:r>
    </w:p>
    <w:p w14:paraId="19AA86CA"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55. </w:t>
      </w:r>
      <w:r w:rsidRPr="0062673F">
        <w:rPr>
          <w:rFonts w:ascii="Calibri" w:hAnsi="Calibri" w:cs="Calibri"/>
          <w:noProof/>
          <w:color w:val="000000" w:themeColor="text1"/>
          <w:szCs w:val="24"/>
        </w:rPr>
        <w:tab/>
        <w:t>Pearson N, Biddle SJH, Griffiths P, Johnston JP, Haycraft E. Clustering and correlates of screen-time and eating behaviours among young children. BMC Public Health. 2018;18: 753. doi:10.1186/s12889-018-5698-9</w:t>
      </w:r>
    </w:p>
    <w:p w14:paraId="3E01C581"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56. </w:t>
      </w:r>
      <w:r w:rsidRPr="0062673F">
        <w:rPr>
          <w:rFonts w:ascii="Calibri" w:hAnsi="Calibri" w:cs="Calibri"/>
          <w:noProof/>
          <w:color w:val="000000" w:themeColor="text1"/>
          <w:szCs w:val="24"/>
        </w:rPr>
        <w:tab/>
        <w:t>BARB. TRENDS IN TELEVISION VIEWING [Internet]. London; 2018. Available: https://www.barb.co.uk/download/?file=/wp-content/uploads/2018/03/BARB-Trends-in-Television-Viewing-2017.pdf</w:t>
      </w:r>
    </w:p>
    <w:p w14:paraId="6502C2B3"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57. </w:t>
      </w:r>
      <w:r w:rsidRPr="0062673F">
        <w:rPr>
          <w:rFonts w:ascii="Calibri" w:hAnsi="Calibri" w:cs="Calibri"/>
          <w:noProof/>
          <w:color w:val="000000" w:themeColor="text1"/>
          <w:szCs w:val="24"/>
        </w:rPr>
        <w:tab/>
        <w:t>Department for Health &amp; Social Care, Department for Digital, Culture M&amp; S. Introducing further advertising restrictions on TV and online for products high in fat, sugar and salt (HFSS) [Internet]. London; 2019. Available: https://assets.publishing.service.gov.uk/government/uploads/system/uploads/attachment_data/file/795412/hfss-advertising-consultation-10-april-2019.pdf</w:t>
      </w:r>
    </w:p>
    <w:p w14:paraId="35F428E4"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58. </w:t>
      </w:r>
      <w:r w:rsidRPr="0062673F">
        <w:rPr>
          <w:rFonts w:ascii="Calibri" w:hAnsi="Calibri" w:cs="Calibri"/>
          <w:noProof/>
          <w:color w:val="000000" w:themeColor="text1"/>
          <w:szCs w:val="24"/>
        </w:rPr>
        <w:tab/>
        <w:t>Azizpour Y, Delpisheh A, Montazeri Z, Sayehmiri K, Darabi B. Effect of childhood BMI on asthma: a systematic review and meta-analysis of case-control studies. BMC Pediatr. 2018;18: 143. doi:10.1186/s12887-018-1093-z</w:t>
      </w:r>
    </w:p>
    <w:p w14:paraId="72D180D3"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59. </w:t>
      </w:r>
      <w:r w:rsidRPr="0062673F">
        <w:rPr>
          <w:rFonts w:ascii="Calibri" w:hAnsi="Calibri" w:cs="Calibri"/>
          <w:noProof/>
          <w:color w:val="000000" w:themeColor="text1"/>
          <w:szCs w:val="24"/>
        </w:rPr>
        <w:tab/>
        <w:t>Paulis WD, Silva S, Koes BW, van Middelkoop M. Overweight and obesity are associated with musculoskeletal complaints as early as childhood: a systematic review. Obes Rev. 2014;15: 52–67. doi:10.1111/obr.12067</w:t>
      </w:r>
    </w:p>
    <w:p w14:paraId="6A482239"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60. </w:t>
      </w:r>
      <w:r w:rsidRPr="0062673F">
        <w:rPr>
          <w:rFonts w:ascii="Calibri" w:hAnsi="Calibri" w:cs="Calibri"/>
          <w:noProof/>
          <w:color w:val="000000" w:themeColor="text1"/>
          <w:szCs w:val="24"/>
        </w:rPr>
        <w:tab/>
        <w:t>Smith SM, Sumar B, Dixon KA. Musculoskeletal pain in overweight and obese children. Int J Obes. 2014;38: 11–15. doi:10.1038/ijo.2013.187</w:t>
      </w:r>
    </w:p>
    <w:p w14:paraId="6C55E369"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61. </w:t>
      </w:r>
      <w:r w:rsidRPr="0062673F">
        <w:rPr>
          <w:rFonts w:ascii="Calibri" w:hAnsi="Calibri" w:cs="Calibri"/>
          <w:noProof/>
          <w:color w:val="000000" w:themeColor="text1"/>
          <w:szCs w:val="24"/>
        </w:rPr>
        <w:tab/>
        <w:t>Magnus A, Haby MM, Carter R, Swinburn B. The cost-effectiveness of removing television advertising of high-fat and/or high-sugar food and beverages to Australian children. Int J Obes. 2009;33: 1094–1102. doi:10.1038/ijo.2009.156</w:t>
      </w:r>
    </w:p>
    <w:p w14:paraId="360212E7"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62. </w:t>
      </w:r>
      <w:r w:rsidRPr="0062673F">
        <w:rPr>
          <w:rFonts w:ascii="Calibri" w:hAnsi="Calibri" w:cs="Calibri"/>
          <w:noProof/>
          <w:color w:val="000000" w:themeColor="text1"/>
          <w:szCs w:val="24"/>
        </w:rPr>
        <w:tab/>
        <w:t>Sonneville KR, Long MW, Ward ZJ, Resch SC, Wang YC, Pomeranz JL, et al. BMI and Healthcare Cost Impact of Eliminating Tax Subsidy for Advertising Unhealthy Food to Youth. Am J Prev Med. 2015;49: 124–134. doi:10.1016/j.amepre.2015.02.026</w:t>
      </w:r>
    </w:p>
    <w:p w14:paraId="089C0728"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63. </w:t>
      </w:r>
      <w:r w:rsidRPr="0062673F">
        <w:rPr>
          <w:rFonts w:ascii="Calibri" w:hAnsi="Calibri" w:cs="Calibri"/>
          <w:noProof/>
          <w:color w:val="000000" w:themeColor="text1"/>
          <w:szCs w:val="24"/>
        </w:rPr>
        <w:tab/>
        <w:t>Goris JM, Petersen S, Stamatakis E, Lennert Veerman J. Television food advertising and the prevalence of childhood overweight and obesity: a multicountry comparison. Public Health Nutr. : 1003–1012. doi:10.1017/S1368980009992850</w:t>
      </w:r>
    </w:p>
    <w:p w14:paraId="64CB37D6"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szCs w:val="24"/>
        </w:rPr>
      </w:pPr>
      <w:r w:rsidRPr="0062673F">
        <w:rPr>
          <w:rFonts w:ascii="Calibri" w:hAnsi="Calibri" w:cs="Calibri"/>
          <w:noProof/>
          <w:color w:val="000000" w:themeColor="text1"/>
          <w:szCs w:val="24"/>
        </w:rPr>
        <w:t xml:space="preserve">64. </w:t>
      </w:r>
      <w:r w:rsidRPr="0062673F">
        <w:rPr>
          <w:rFonts w:ascii="Calibri" w:hAnsi="Calibri" w:cs="Calibri"/>
          <w:noProof/>
          <w:color w:val="000000" w:themeColor="text1"/>
          <w:szCs w:val="24"/>
        </w:rPr>
        <w:tab/>
        <w:t>Veerman JL, Van Beeck EF, Barendregt JJ, Mackenbach JP. By how much would limiting TV food advertising reduce childhood obesity? Eur J Public Health. Oxford University Press; 2009;19: 365–369. doi:10.1093/eurpub/ckp039</w:t>
      </w:r>
    </w:p>
    <w:p w14:paraId="6329F052" w14:textId="77777777" w:rsidR="00467360" w:rsidRPr="0062673F" w:rsidRDefault="00467360" w:rsidP="00467360">
      <w:pPr>
        <w:widowControl w:val="0"/>
        <w:autoSpaceDE w:val="0"/>
        <w:autoSpaceDN w:val="0"/>
        <w:adjustRightInd w:val="0"/>
        <w:spacing w:line="240" w:lineRule="auto"/>
        <w:ind w:left="640" w:hanging="640"/>
        <w:rPr>
          <w:rFonts w:ascii="Calibri" w:hAnsi="Calibri" w:cs="Calibri"/>
          <w:noProof/>
          <w:color w:val="000000" w:themeColor="text1"/>
        </w:rPr>
      </w:pPr>
      <w:r w:rsidRPr="0062673F">
        <w:rPr>
          <w:rFonts w:ascii="Calibri" w:hAnsi="Calibri" w:cs="Calibri"/>
          <w:noProof/>
          <w:color w:val="000000" w:themeColor="text1"/>
          <w:szCs w:val="24"/>
        </w:rPr>
        <w:t xml:space="preserve">65. </w:t>
      </w:r>
      <w:r w:rsidRPr="0062673F">
        <w:rPr>
          <w:rFonts w:ascii="Calibri" w:hAnsi="Calibri" w:cs="Calibri"/>
          <w:noProof/>
          <w:color w:val="000000" w:themeColor="text1"/>
          <w:szCs w:val="24"/>
        </w:rPr>
        <w:tab/>
        <w:t>Cecchini M, Sassi F, Lauer JA, Lee YY, Guajardo-Barron V, Chisholm D. Tackling of unhealthy diets, physical inactivity, and obesity: health effects and cost-effectiveness. Lancet. Elsevier; 2010;376: 1775–1784. doi:10.1016/S0140-6736(10)61514-0</w:t>
      </w:r>
    </w:p>
    <w:p w14:paraId="5D9B83BA" w14:textId="1DBA8217" w:rsidR="00DA13A9" w:rsidRDefault="00DA13A9" w:rsidP="004A7C45">
      <w:r w:rsidRPr="0062673F">
        <w:rPr>
          <w:color w:val="000000" w:themeColor="text1"/>
        </w:rPr>
        <w:fldChar w:fldCharType="end"/>
      </w:r>
    </w:p>
    <w:p w14:paraId="007B20E3" w14:textId="77777777" w:rsidR="002948FD" w:rsidRDefault="002948FD" w:rsidP="004A7C45"/>
    <w:sectPr w:rsidR="002948FD" w:rsidSect="00305F76">
      <w:footerReference w:type="defaul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5EF5" w14:textId="77777777" w:rsidR="008A0900" w:rsidRDefault="008A0900" w:rsidP="00305F76">
      <w:pPr>
        <w:spacing w:after="0" w:line="240" w:lineRule="auto"/>
      </w:pPr>
      <w:r>
        <w:separator/>
      </w:r>
    </w:p>
  </w:endnote>
  <w:endnote w:type="continuationSeparator" w:id="0">
    <w:p w14:paraId="793B512F" w14:textId="77777777" w:rsidR="008A0900" w:rsidRDefault="008A0900" w:rsidP="0030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002532"/>
      <w:docPartObj>
        <w:docPartGallery w:val="Page Numbers (Bottom of Page)"/>
        <w:docPartUnique/>
      </w:docPartObj>
    </w:sdtPr>
    <w:sdtEndPr>
      <w:rPr>
        <w:noProof/>
      </w:rPr>
    </w:sdtEndPr>
    <w:sdtContent>
      <w:p w14:paraId="63BB225E" w14:textId="4A2961CD" w:rsidR="00F20765" w:rsidRDefault="00F20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7C981" w14:textId="77777777" w:rsidR="00F20765" w:rsidRDefault="00F20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6FFE" w14:textId="77777777" w:rsidR="008A0900" w:rsidRDefault="008A0900" w:rsidP="00305F76">
      <w:pPr>
        <w:spacing w:after="0" w:line="240" w:lineRule="auto"/>
      </w:pPr>
      <w:r>
        <w:separator/>
      </w:r>
    </w:p>
  </w:footnote>
  <w:footnote w:type="continuationSeparator" w:id="0">
    <w:p w14:paraId="26EF8E5A" w14:textId="77777777" w:rsidR="008A0900" w:rsidRDefault="008A0900" w:rsidP="00305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B1873"/>
    <w:multiLevelType w:val="multilevel"/>
    <w:tmpl w:val="536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520A2"/>
    <w:multiLevelType w:val="multilevel"/>
    <w:tmpl w:val="4C82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34FA9"/>
    <w:multiLevelType w:val="multilevel"/>
    <w:tmpl w:val="AD6E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C2B2C"/>
    <w:multiLevelType w:val="hybridMultilevel"/>
    <w:tmpl w:val="FB7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17FB2"/>
    <w:multiLevelType w:val="hybridMultilevel"/>
    <w:tmpl w:val="61CC3AAA"/>
    <w:lvl w:ilvl="0" w:tplc="B4A224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46003"/>
    <w:multiLevelType w:val="hybridMultilevel"/>
    <w:tmpl w:val="6146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C2085"/>
    <w:multiLevelType w:val="hybridMultilevel"/>
    <w:tmpl w:val="856E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91EF9"/>
    <w:multiLevelType w:val="hybridMultilevel"/>
    <w:tmpl w:val="EF808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A3ABE"/>
    <w:multiLevelType w:val="hybridMultilevel"/>
    <w:tmpl w:val="38A8E8B2"/>
    <w:lvl w:ilvl="0" w:tplc="6EC4AF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4544F"/>
    <w:multiLevelType w:val="hybridMultilevel"/>
    <w:tmpl w:val="4B6E4A7C"/>
    <w:lvl w:ilvl="0" w:tplc="C2163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1BC4"/>
    <w:multiLevelType w:val="hybridMultilevel"/>
    <w:tmpl w:val="081A1D92"/>
    <w:lvl w:ilvl="0" w:tplc="67F83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0"/>
  </w:num>
  <w:num w:numId="6">
    <w:abstractNumId w:val="0"/>
  </w:num>
  <w:num w:numId="7">
    <w:abstractNumId w:val="5"/>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5"/>
    <w:rsid w:val="000040F8"/>
    <w:rsid w:val="00007E1A"/>
    <w:rsid w:val="00015E3D"/>
    <w:rsid w:val="00022F15"/>
    <w:rsid w:val="00042650"/>
    <w:rsid w:val="0005004B"/>
    <w:rsid w:val="000548FB"/>
    <w:rsid w:val="00057139"/>
    <w:rsid w:val="00063544"/>
    <w:rsid w:val="00064E72"/>
    <w:rsid w:val="00066621"/>
    <w:rsid w:val="00067B6B"/>
    <w:rsid w:val="00074776"/>
    <w:rsid w:val="00075BC5"/>
    <w:rsid w:val="00081412"/>
    <w:rsid w:val="000853A4"/>
    <w:rsid w:val="00086DD1"/>
    <w:rsid w:val="000879EE"/>
    <w:rsid w:val="000959F0"/>
    <w:rsid w:val="000A03D6"/>
    <w:rsid w:val="000B2E31"/>
    <w:rsid w:val="000C2CEB"/>
    <w:rsid w:val="000C6B25"/>
    <w:rsid w:val="000D275A"/>
    <w:rsid w:val="000D337B"/>
    <w:rsid w:val="000E1762"/>
    <w:rsid w:val="000E5BB4"/>
    <w:rsid w:val="000F2B62"/>
    <w:rsid w:val="000F6150"/>
    <w:rsid w:val="000F639C"/>
    <w:rsid w:val="001044D5"/>
    <w:rsid w:val="001113BF"/>
    <w:rsid w:val="00111E35"/>
    <w:rsid w:val="001150CD"/>
    <w:rsid w:val="00115A2C"/>
    <w:rsid w:val="00121679"/>
    <w:rsid w:val="00123071"/>
    <w:rsid w:val="001269E2"/>
    <w:rsid w:val="00131112"/>
    <w:rsid w:val="0014227F"/>
    <w:rsid w:val="001429E9"/>
    <w:rsid w:val="001466A2"/>
    <w:rsid w:val="00147D38"/>
    <w:rsid w:val="00147E0E"/>
    <w:rsid w:val="001720A0"/>
    <w:rsid w:val="00175583"/>
    <w:rsid w:val="00177819"/>
    <w:rsid w:val="00177C2F"/>
    <w:rsid w:val="001812DD"/>
    <w:rsid w:val="00182917"/>
    <w:rsid w:val="00183CD8"/>
    <w:rsid w:val="00185A12"/>
    <w:rsid w:val="001867D5"/>
    <w:rsid w:val="00191BA8"/>
    <w:rsid w:val="00194029"/>
    <w:rsid w:val="00196C8E"/>
    <w:rsid w:val="00196FEF"/>
    <w:rsid w:val="001A49A7"/>
    <w:rsid w:val="001C21F7"/>
    <w:rsid w:val="001C5A9D"/>
    <w:rsid w:val="001C5AA2"/>
    <w:rsid w:val="001D1E88"/>
    <w:rsid w:val="001D206C"/>
    <w:rsid w:val="001D340C"/>
    <w:rsid w:val="001D37CC"/>
    <w:rsid w:val="001E0877"/>
    <w:rsid w:val="001E2BCA"/>
    <w:rsid w:val="001E4FAE"/>
    <w:rsid w:val="001F39AE"/>
    <w:rsid w:val="00200CAA"/>
    <w:rsid w:val="00212C84"/>
    <w:rsid w:val="0021619E"/>
    <w:rsid w:val="00224653"/>
    <w:rsid w:val="00224938"/>
    <w:rsid w:val="00226A7B"/>
    <w:rsid w:val="00231F94"/>
    <w:rsid w:val="00234246"/>
    <w:rsid w:val="00242151"/>
    <w:rsid w:val="00246188"/>
    <w:rsid w:val="002469BF"/>
    <w:rsid w:val="00251AB3"/>
    <w:rsid w:val="0026219C"/>
    <w:rsid w:val="00266818"/>
    <w:rsid w:val="00281DC0"/>
    <w:rsid w:val="00285145"/>
    <w:rsid w:val="00291D6D"/>
    <w:rsid w:val="002948FD"/>
    <w:rsid w:val="00297339"/>
    <w:rsid w:val="002A01BC"/>
    <w:rsid w:val="002A223F"/>
    <w:rsid w:val="002A4BEF"/>
    <w:rsid w:val="002B22B9"/>
    <w:rsid w:val="002B6538"/>
    <w:rsid w:val="002C20E7"/>
    <w:rsid w:val="002C5008"/>
    <w:rsid w:val="002D2379"/>
    <w:rsid w:val="002E53AB"/>
    <w:rsid w:val="002E5B09"/>
    <w:rsid w:val="002E7F86"/>
    <w:rsid w:val="003038B0"/>
    <w:rsid w:val="00305F76"/>
    <w:rsid w:val="00311685"/>
    <w:rsid w:val="003121BC"/>
    <w:rsid w:val="00312EE1"/>
    <w:rsid w:val="0032078E"/>
    <w:rsid w:val="00323D59"/>
    <w:rsid w:val="0033376B"/>
    <w:rsid w:val="00336BDC"/>
    <w:rsid w:val="00344947"/>
    <w:rsid w:val="00346F08"/>
    <w:rsid w:val="0034784B"/>
    <w:rsid w:val="00371EB2"/>
    <w:rsid w:val="00372DE0"/>
    <w:rsid w:val="003802C3"/>
    <w:rsid w:val="00387D73"/>
    <w:rsid w:val="003A6DF5"/>
    <w:rsid w:val="003C036D"/>
    <w:rsid w:val="003D2A4B"/>
    <w:rsid w:val="003D4069"/>
    <w:rsid w:val="003D4454"/>
    <w:rsid w:val="003D7160"/>
    <w:rsid w:val="003E140D"/>
    <w:rsid w:val="003E67E1"/>
    <w:rsid w:val="003F0B72"/>
    <w:rsid w:val="003F3D39"/>
    <w:rsid w:val="003F41E7"/>
    <w:rsid w:val="0041451A"/>
    <w:rsid w:val="00414C96"/>
    <w:rsid w:val="00421361"/>
    <w:rsid w:val="00423DBD"/>
    <w:rsid w:val="00426EB9"/>
    <w:rsid w:val="00430B97"/>
    <w:rsid w:val="00430DE2"/>
    <w:rsid w:val="00435597"/>
    <w:rsid w:val="00436D21"/>
    <w:rsid w:val="004375CE"/>
    <w:rsid w:val="004414E9"/>
    <w:rsid w:val="00444305"/>
    <w:rsid w:val="0044671F"/>
    <w:rsid w:val="004528C0"/>
    <w:rsid w:val="00453D71"/>
    <w:rsid w:val="00455FC6"/>
    <w:rsid w:val="00467360"/>
    <w:rsid w:val="00473D3E"/>
    <w:rsid w:val="00475AF7"/>
    <w:rsid w:val="00487ABE"/>
    <w:rsid w:val="0049762E"/>
    <w:rsid w:val="004A0554"/>
    <w:rsid w:val="004A24F6"/>
    <w:rsid w:val="004A3A20"/>
    <w:rsid w:val="004A4671"/>
    <w:rsid w:val="004A7216"/>
    <w:rsid w:val="004A7C45"/>
    <w:rsid w:val="004B68DB"/>
    <w:rsid w:val="004C3428"/>
    <w:rsid w:val="004C4B7D"/>
    <w:rsid w:val="004C6711"/>
    <w:rsid w:val="004E0F9C"/>
    <w:rsid w:val="004E1198"/>
    <w:rsid w:val="004E7405"/>
    <w:rsid w:val="004E7EB2"/>
    <w:rsid w:val="004F5B9F"/>
    <w:rsid w:val="004F6D03"/>
    <w:rsid w:val="00504EDC"/>
    <w:rsid w:val="00515526"/>
    <w:rsid w:val="005156F0"/>
    <w:rsid w:val="005250DB"/>
    <w:rsid w:val="005253D0"/>
    <w:rsid w:val="005262BA"/>
    <w:rsid w:val="0053436E"/>
    <w:rsid w:val="00545720"/>
    <w:rsid w:val="00546064"/>
    <w:rsid w:val="00546172"/>
    <w:rsid w:val="005504E9"/>
    <w:rsid w:val="00553D46"/>
    <w:rsid w:val="005543A3"/>
    <w:rsid w:val="00557A10"/>
    <w:rsid w:val="005649A2"/>
    <w:rsid w:val="00565E52"/>
    <w:rsid w:val="00572188"/>
    <w:rsid w:val="00573208"/>
    <w:rsid w:val="005736D5"/>
    <w:rsid w:val="00574D16"/>
    <w:rsid w:val="0057686D"/>
    <w:rsid w:val="0058064C"/>
    <w:rsid w:val="00594682"/>
    <w:rsid w:val="00594850"/>
    <w:rsid w:val="00594DFE"/>
    <w:rsid w:val="005A35B8"/>
    <w:rsid w:val="005A3D7B"/>
    <w:rsid w:val="005A501D"/>
    <w:rsid w:val="005A5C45"/>
    <w:rsid w:val="005A6766"/>
    <w:rsid w:val="005C582E"/>
    <w:rsid w:val="005D230C"/>
    <w:rsid w:val="005E13CC"/>
    <w:rsid w:val="005F1236"/>
    <w:rsid w:val="005F1630"/>
    <w:rsid w:val="005F24FB"/>
    <w:rsid w:val="005F4D0F"/>
    <w:rsid w:val="00616517"/>
    <w:rsid w:val="0062673F"/>
    <w:rsid w:val="00632038"/>
    <w:rsid w:val="006349BF"/>
    <w:rsid w:val="00635CC5"/>
    <w:rsid w:val="00646603"/>
    <w:rsid w:val="00647399"/>
    <w:rsid w:val="00650E18"/>
    <w:rsid w:val="00654C92"/>
    <w:rsid w:val="006628BA"/>
    <w:rsid w:val="00664CF2"/>
    <w:rsid w:val="0066542D"/>
    <w:rsid w:val="00670041"/>
    <w:rsid w:val="006724F4"/>
    <w:rsid w:val="006745E8"/>
    <w:rsid w:val="006777F5"/>
    <w:rsid w:val="00686193"/>
    <w:rsid w:val="0068705E"/>
    <w:rsid w:val="00690BED"/>
    <w:rsid w:val="006A1D2B"/>
    <w:rsid w:val="006A4722"/>
    <w:rsid w:val="006A735E"/>
    <w:rsid w:val="006B05D3"/>
    <w:rsid w:val="006B10E0"/>
    <w:rsid w:val="006B331E"/>
    <w:rsid w:val="006E44AC"/>
    <w:rsid w:val="006E70BE"/>
    <w:rsid w:val="006F06C1"/>
    <w:rsid w:val="0070171F"/>
    <w:rsid w:val="00701784"/>
    <w:rsid w:val="007019F5"/>
    <w:rsid w:val="00706E9D"/>
    <w:rsid w:val="00716DC7"/>
    <w:rsid w:val="0072064A"/>
    <w:rsid w:val="0078325D"/>
    <w:rsid w:val="0078376E"/>
    <w:rsid w:val="007859DE"/>
    <w:rsid w:val="00786B32"/>
    <w:rsid w:val="00791E5A"/>
    <w:rsid w:val="007A03FA"/>
    <w:rsid w:val="007A1F16"/>
    <w:rsid w:val="007A2793"/>
    <w:rsid w:val="007B0170"/>
    <w:rsid w:val="007C19A1"/>
    <w:rsid w:val="007C548D"/>
    <w:rsid w:val="007D567B"/>
    <w:rsid w:val="007E7BB4"/>
    <w:rsid w:val="008134D3"/>
    <w:rsid w:val="00821E7F"/>
    <w:rsid w:val="00822312"/>
    <w:rsid w:val="008248A7"/>
    <w:rsid w:val="0082667C"/>
    <w:rsid w:val="00826A79"/>
    <w:rsid w:val="00834C01"/>
    <w:rsid w:val="008413B1"/>
    <w:rsid w:val="00841797"/>
    <w:rsid w:val="0084581E"/>
    <w:rsid w:val="00845EEB"/>
    <w:rsid w:val="008460EE"/>
    <w:rsid w:val="00850F3A"/>
    <w:rsid w:val="00852627"/>
    <w:rsid w:val="0085546F"/>
    <w:rsid w:val="00871306"/>
    <w:rsid w:val="00875490"/>
    <w:rsid w:val="008760A9"/>
    <w:rsid w:val="008772C2"/>
    <w:rsid w:val="0088279C"/>
    <w:rsid w:val="0088692C"/>
    <w:rsid w:val="00897A37"/>
    <w:rsid w:val="008A0900"/>
    <w:rsid w:val="008A0E9C"/>
    <w:rsid w:val="008A1DFB"/>
    <w:rsid w:val="008B02E5"/>
    <w:rsid w:val="008B0EA3"/>
    <w:rsid w:val="008B5244"/>
    <w:rsid w:val="008C0A63"/>
    <w:rsid w:val="008C1426"/>
    <w:rsid w:val="008D0D89"/>
    <w:rsid w:val="008D1B17"/>
    <w:rsid w:val="008D1D28"/>
    <w:rsid w:val="008D2521"/>
    <w:rsid w:val="008D4FAB"/>
    <w:rsid w:val="008E35E4"/>
    <w:rsid w:val="008E6EA6"/>
    <w:rsid w:val="008F1619"/>
    <w:rsid w:val="008F2E05"/>
    <w:rsid w:val="008F3B8C"/>
    <w:rsid w:val="008F406E"/>
    <w:rsid w:val="008F7259"/>
    <w:rsid w:val="008F73C4"/>
    <w:rsid w:val="00912668"/>
    <w:rsid w:val="00915CA5"/>
    <w:rsid w:val="009160B2"/>
    <w:rsid w:val="0091636A"/>
    <w:rsid w:val="00923EB8"/>
    <w:rsid w:val="0092761E"/>
    <w:rsid w:val="009403C1"/>
    <w:rsid w:val="00941ED3"/>
    <w:rsid w:val="0094279A"/>
    <w:rsid w:val="009431D9"/>
    <w:rsid w:val="00946DA1"/>
    <w:rsid w:val="0095022D"/>
    <w:rsid w:val="00954B58"/>
    <w:rsid w:val="009626D9"/>
    <w:rsid w:val="0096296B"/>
    <w:rsid w:val="009660B0"/>
    <w:rsid w:val="009663DA"/>
    <w:rsid w:val="009730F3"/>
    <w:rsid w:val="009733AE"/>
    <w:rsid w:val="00973576"/>
    <w:rsid w:val="00983DA7"/>
    <w:rsid w:val="00984E62"/>
    <w:rsid w:val="009876FE"/>
    <w:rsid w:val="009973C0"/>
    <w:rsid w:val="00997F92"/>
    <w:rsid w:val="009B12FA"/>
    <w:rsid w:val="009C31E6"/>
    <w:rsid w:val="009C3AB0"/>
    <w:rsid w:val="009C5AE9"/>
    <w:rsid w:val="009D1B15"/>
    <w:rsid w:val="009D1FB1"/>
    <w:rsid w:val="009D2868"/>
    <w:rsid w:val="009D3930"/>
    <w:rsid w:val="009D64CD"/>
    <w:rsid w:val="009D69E6"/>
    <w:rsid w:val="009E3E00"/>
    <w:rsid w:val="009E6FF1"/>
    <w:rsid w:val="009F095D"/>
    <w:rsid w:val="00A0057D"/>
    <w:rsid w:val="00A03787"/>
    <w:rsid w:val="00A1335B"/>
    <w:rsid w:val="00A13BD4"/>
    <w:rsid w:val="00A142D6"/>
    <w:rsid w:val="00A15878"/>
    <w:rsid w:val="00A17EC6"/>
    <w:rsid w:val="00A33648"/>
    <w:rsid w:val="00A37EE7"/>
    <w:rsid w:val="00A43A75"/>
    <w:rsid w:val="00A43AF8"/>
    <w:rsid w:val="00A53B0F"/>
    <w:rsid w:val="00A61C40"/>
    <w:rsid w:val="00A66B50"/>
    <w:rsid w:val="00A71D47"/>
    <w:rsid w:val="00A73E93"/>
    <w:rsid w:val="00A907CC"/>
    <w:rsid w:val="00A9599E"/>
    <w:rsid w:val="00AA1C44"/>
    <w:rsid w:val="00AB17C1"/>
    <w:rsid w:val="00AC4130"/>
    <w:rsid w:val="00AC6069"/>
    <w:rsid w:val="00AC6AAF"/>
    <w:rsid w:val="00AC77AB"/>
    <w:rsid w:val="00AD1E29"/>
    <w:rsid w:val="00AE14C9"/>
    <w:rsid w:val="00AF514E"/>
    <w:rsid w:val="00B0083F"/>
    <w:rsid w:val="00B05B3F"/>
    <w:rsid w:val="00B1338E"/>
    <w:rsid w:val="00B145FA"/>
    <w:rsid w:val="00B14D1F"/>
    <w:rsid w:val="00B26BDB"/>
    <w:rsid w:val="00B30239"/>
    <w:rsid w:val="00B3198A"/>
    <w:rsid w:val="00B341FB"/>
    <w:rsid w:val="00B51BD1"/>
    <w:rsid w:val="00B520BC"/>
    <w:rsid w:val="00B53CFA"/>
    <w:rsid w:val="00B55504"/>
    <w:rsid w:val="00B55D4D"/>
    <w:rsid w:val="00B61000"/>
    <w:rsid w:val="00B6358E"/>
    <w:rsid w:val="00B663CF"/>
    <w:rsid w:val="00B702E9"/>
    <w:rsid w:val="00B704F5"/>
    <w:rsid w:val="00B7075D"/>
    <w:rsid w:val="00B7418A"/>
    <w:rsid w:val="00B87842"/>
    <w:rsid w:val="00B94558"/>
    <w:rsid w:val="00B96E28"/>
    <w:rsid w:val="00BA02C6"/>
    <w:rsid w:val="00BC2ED7"/>
    <w:rsid w:val="00BE4892"/>
    <w:rsid w:val="00BE6614"/>
    <w:rsid w:val="00BE6AE4"/>
    <w:rsid w:val="00BF64A2"/>
    <w:rsid w:val="00BF7299"/>
    <w:rsid w:val="00C027CA"/>
    <w:rsid w:val="00C0350F"/>
    <w:rsid w:val="00C1502A"/>
    <w:rsid w:val="00C204BF"/>
    <w:rsid w:val="00C22B72"/>
    <w:rsid w:val="00C262E5"/>
    <w:rsid w:val="00C26A4A"/>
    <w:rsid w:val="00C33273"/>
    <w:rsid w:val="00C36DEB"/>
    <w:rsid w:val="00C40AB7"/>
    <w:rsid w:val="00C424FB"/>
    <w:rsid w:val="00C4400F"/>
    <w:rsid w:val="00C450A8"/>
    <w:rsid w:val="00C5145B"/>
    <w:rsid w:val="00C70062"/>
    <w:rsid w:val="00C82454"/>
    <w:rsid w:val="00C83CCC"/>
    <w:rsid w:val="00C83ED1"/>
    <w:rsid w:val="00C92373"/>
    <w:rsid w:val="00C930AD"/>
    <w:rsid w:val="00CA654A"/>
    <w:rsid w:val="00CB4532"/>
    <w:rsid w:val="00CB4C50"/>
    <w:rsid w:val="00CB5F79"/>
    <w:rsid w:val="00CC3616"/>
    <w:rsid w:val="00CC7EFC"/>
    <w:rsid w:val="00CD151D"/>
    <w:rsid w:val="00CE5E56"/>
    <w:rsid w:val="00CE78EB"/>
    <w:rsid w:val="00CF7318"/>
    <w:rsid w:val="00D048F4"/>
    <w:rsid w:val="00D1653D"/>
    <w:rsid w:val="00D21D51"/>
    <w:rsid w:val="00D26F17"/>
    <w:rsid w:val="00D3431C"/>
    <w:rsid w:val="00D4129A"/>
    <w:rsid w:val="00D42314"/>
    <w:rsid w:val="00D46F8D"/>
    <w:rsid w:val="00D47BE5"/>
    <w:rsid w:val="00D55600"/>
    <w:rsid w:val="00D60D13"/>
    <w:rsid w:val="00D87071"/>
    <w:rsid w:val="00D87EEB"/>
    <w:rsid w:val="00D930A9"/>
    <w:rsid w:val="00D932FA"/>
    <w:rsid w:val="00D96EFA"/>
    <w:rsid w:val="00DA078D"/>
    <w:rsid w:val="00DA0BC0"/>
    <w:rsid w:val="00DA0F22"/>
    <w:rsid w:val="00DA13A9"/>
    <w:rsid w:val="00DA2AAE"/>
    <w:rsid w:val="00DA7255"/>
    <w:rsid w:val="00DB4221"/>
    <w:rsid w:val="00DB4961"/>
    <w:rsid w:val="00DB4D08"/>
    <w:rsid w:val="00DC0726"/>
    <w:rsid w:val="00DD3AFC"/>
    <w:rsid w:val="00DD6B05"/>
    <w:rsid w:val="00DD6F7E"/>
    <w:rsid w:val="00DD7A15"/>
    <w:rsid w:val="00DF15BD"/>
    <w:rsid w:val="00DF72CC"/>
    <w:rsid w:val="00E02539"/>
    <w:rsid w:val="00E02E1E"/>
    <w:rsid w:val="00E15250"/>
    <w:rsid w:val="00E20CA2"/>
    <w:rsid w:val="00E21419"/>
    <w:rsid w:val="00E36173"/>
    <w:rsid w:val="00E36FF0"/>
    <w:rsid w:val="00E44D1A"/>
    <w:rsid w:val="00E57C6A"/>
    <w:rsid w:val="00E65698"/>
    <w:rsid w:val="00E65FF3"/>
    <w:rsid w:val="00E6726B"/>
    <w:rsid w:val="00E7380F"/>
    <w:rsid w:val="00E74E55"/>
    <w:rsid w:val="00E87781"/>
    <w:rsid w:val="00E91601"/>
    <w:rsid w:val="00E91D80"/>
    <w:rsid w:val="00E9566C"/>
    <w:rsid w:val="00EB5AAE"/>
    <w:rsid w:val="00EB5C9F"/>
    <w:rsid w:val="00EC32CA"/>
    <w:rsid w:val="00EE3484"/>
    <w:rsid w:val="00EE4F0E"/>
    <w:rsid w:val="00EF31D1"/>
    <w:rsid w:val="00F023CF"/>
    <w:rsid w:val="00F1082A"/>
    <w:rsid w:val="00F20765"/>
    <w:rsid w:val="00F208B3"/>
    <w:rsid w:val="00F23704"/>
    <w:rsid w:val="00F26E40"/>
    <w:rsid w:val="00F3169F"/>
    <w:rsid w:val="00F331F4"/>
    <w:rsid w:val="00F36DE6"/>
    <w:rsid w:val="00F41759"/>
    <w:rsid w:val="00F47105"/>
    <w:rsid w:val="00F47E36"/>
    <w:rsid w:val="00F563E2"/>
    <w:rsid w:val="00F774A6"/>
    <w:rsid w:val="00F827A8"/>
    <w:rsid w:val="00F83E51"/>
    <w:rsid w:val="00F925C8"/>
    <w:rsid w:val="00F928A7"/>
    <w:rsid w:val="00F949A4"/>
    <w:rsid w:val="00F97F9F"/>
    <w:rsid w:val="00FA7559"/>
    <w:rsid w:val="00FB1FA6"/>
    <w:rsid w:val="00FB3E99"/>
    <w:rsid w:val="00FC151F"/>
    <w:rsid w:val="00FC5439"/>
    <w:rsid w:val="00FC7AAD"/>
    <w:rsid w:val="00FD16A8"/>
    <w:rsid w:val="00FE2081"/>
    <w:rsid w:val="00FE270F"/>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9706"/>
  <w15:docId w15:val="{5082232B-FE99-4348-A0FE-034449A1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FD"/>
    <w:pPr>
      <w:ind w:left="720"/>
      <w:contextualSpacing/>
    </w:pPr>
  </w:style>
  <w:style w:type="character" w:styleId="CommentReference">
    <w:name w:val="annotation reference"/>
    <w:basedOn w:val="DefaultParagraphFont"/>
    <w:uiPriority w:val="99"/>
    <w:semiHidden/>
    <w:unhideWhenUsed/>
    <w:rsid w:val="00557A10"/>
    <w:rPr>
      <w:sz w:val="16"/>
      <w:szCs w:val="16"/>
    </w:rPr>
  </w:style>
  <w:style w:type="paragraph" w:styleId="CommentText">
    <w:name w:val="annotation text"/>
    <w:basedOn w:val="Normal"/>
    <w:link w:val="CommentTextChar"/>
    <w:uiPriority w:val="99"/>
    <w:unhideWhenUsed/>
    <w:rsid w:val="00557A10"/>
    <w:pPr>
      <w:spacing w:line="240" w:lineRule="auto"/>
    </w:pPr>
    <w:rPr>
      <w:sz w:val="20"/>
      <w:szCs w:val="20"/>
    </w:rPr>
  </w:style>
  <w:style w:type="character" w:customStyle="1" w:styleId="CommentTextChar">
    <w:name w:val="Comment Text Char"/>
    <w:basedOn w:val="DefaultParagraphFont"/>
    <w:link w:val="CommentText"/>
    <w:uiPriority w:val="99"/>
    <w:rsid w:val="00557A10"/>
    <w:rPr>
      <w:sz w:val="20"/>
      <w:szCs w:val="20"/>
    </w:rPr>
  </w:style>
  <w:style w:type="paragraph" w:styleId="CommentSubject">
    <w:name w:val="annotation subject"/>
    <w:basedOn w:val="CommentText"/>
    <w:next w:val="CommentText"/>
    <w:link w:val="CommentSubjectChar"/>
    <w:uiPriority w:val="99"/>
    <w:semiHidden/>
    <w:unhideWhenUsed/>
    <w:rsid w:val="00557A10"/>
    <w:rPr>
      <w:b/>
      <w:bCs/>
    </w:rPr>
  </w:style>
  <w:style w:type="character" w:customStyle="1" w:styleId="CommentSubjectChar">
    <w:name w:val="Comment Subject Char"/>
    <w:basedOn w:val="CommentTextChar"/>
    <w:link w:val="CommentSubject"/>
    <w:uiPriority w:val="99"/>
    <w:semiHidden/>
    <w:rsid w:val="00557A10"/>
    <w:rPr>
      <w:b/>
      <w:bCs/>
      <w:sz w:val="20"/>
      <w:szCs w:val="20"/>
    </w:rPr>
  </w:style>
  <w:style w:type="paragraph" w:styleId="BalloonText">
    <w:name w:val="Balloon Text"/>
    <w:basedOn w:val="Normal"/>
    <w:link w:val="BalloonTextChar"/>
    <w:uiPriority w:val="99"/>
    <w:semiHidden/>
    <w:unhideWhenUsed/>
    <w:rsid w:val="0055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10"/>
    <w:rPr>
      <w:rFonts w:ascii="Segoe UI" w:hAnsi="Segoe UI" w:cs="Segoe UI"/>
      <w:sz w:val="18"/>
      <w:szCs w:val="18"/>
    </w:rPr>
  </w:style>
  <w:style w:type="paragraph" w:customStyle="1" w:styleId="EndNoteBibliography">
    <w:name w:val="EndNote Bibliography"/>
    <w:basedOn w:val="Normal"/>
    <w:link w:val="EndNoteBibliographyChar"/>
    <w:rsid w:val="0070171F"/>
    <w:pPr>
      <w:spacing w:after="200"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70171F"/>
    <w:rPr>
      <w:rFonts w:ascii="Times New Roman" w:hAnsi="Times New Roman" w:cs="Times New Roman"/>
      <w:noProof/>
      <w:lang w:val="en-US"/>
    </w:rPr>
  </w:style>
  <w:style w:type="table" w:styleId="TableGrid">
    <w:name w:val="Table Grid"/>
    <w:basedOn w:val="TableNormal"/>
    <w:uiPriority w:val="39"/>
    <w:rsid w:val="00344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559"/>
    <w:rPr>
      <w:color w:val="0563C1" w:themeColor="hyperlink"/>
      <w:u w:val="single"/>
    </w:rPr>
  </w:style>
  <w:style w:type="character" w:styleId="FollowedHyperlink">
    <w:name w:val="FollowedHyperlink"/>
    <w:basedOn w:val="DefaultParagraphFont"/>
    <w:uiPriority w:val="99"/>
    <w:semiHidden/>
    <w:unhideWhenUsed/>
    <w:rsid w:val="00131112"/>
    <w:rPr>
      <w:color w:val="954F72" w:themeColor="followedHyperlink"/>
      <w:u w:val="single"/>
    </w:rPr>
  </w:style>
  <w:style w:type="paragraph" w:styleId="NormalWeb">
    <w:name w:val="Normal (Web)"/>
    <w:basedOn w:val="Normal"/>
    <w:uiPriority w:val="99"/>
    <w:unhideWhenUsed/>
    <w:rsid w:val="00546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6172"/>
    <w:rPr>
      <w:i/>
      <w:iCs/>
    </w:rPr>
  </w:style>
  <w:style w:type="paragraph" w:styleId="Header">
    <w:name w:val="header"/>
    <w:basedOn w:val="Normal"/>
    <w:link w:val="HeaderChar"/>
    <w:uiPriority w:val="99"/>
    <w:unhideWhenUsed/>
    <w:rsid w:val="00305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F76"/>
  </w:style>
  <w:style w:type="paragraph" w:styleId="Footer">
    <w:name w:val="footer"/>
    <w:basedOn w:val="Normal"/>
    <w:link w:val="FooterChar"/>
    <w:uiPriority w:val="99"/>
    <w:unhideWhenUsed/>
    <w:rsid w:val="00305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F76"/>
  </w:style>
  <w:style w:type="character" w:styleId="LineNumber">
    <w:name w:val="line number"/>
    <w:basedOn w:val="DefaultParagraphFont"/>
    <w:uiPriority w:val="99"/>
    <w:semiHidden/>
    <w:unhideWhenUsed/>
    <w:rsid w:val="00305F76"/>
  </w:style>
  <w:style w:type="character" w:styleId="Strong">
    <w:name w:val="Strong"/>
    <w:basedOn w:val="DefaultParagraphFont"/>
    <w:uiPriority w:val="22"/>
    <w:qFormat/>
    <w:rsid w:val="00646603"/>
    <w:rPr>
      <w:b/>
      <w:bCs/>
    </w:rPr>
  </w:style>
  <w:style w:type="paragraph" w:styleId="PlainText">
    <w:name w:val="Plain Text"/>
    <w:basedOn w:val="Normal"/>
    <w:link w:val="PlainTextChar"/>
    <w:uiPriority w:val="99"/>
    <w:unhideWhenUsed/>
    <w:rsid w:val="001755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55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3805">
      <w:bodyDiv w:val="1"/>
      <w:marLeft w:val="0"/>
      <w:marRight w:val="0"/>
      <w:marTop w:val="0"/>
      <w:marBottom w:val="0"/>
      <w:divBdr>
        <w:top w:val="none" w:sz="0" w:space="0" w:color="auto"/>
        <w:left w:val="none" w:sz="0" w:space="0" w:color="auto"/>
        <w:bottom w:val="none" w:sz="0" w:space="0" w:color="auto"/>
        <w:right w:val="none" w:sz="0" w:space="0" w:color="auto"/>
      </w:divBdr>
    </w:div>
    <w:div w:id="427772174">
      <w:bodyDiv w:val="1"/>
      <w:marLeft w:val="0"/>
      <w:marRight w:val="0"/>
      <w:marTop w:val="0"/>
      <w:marBottom w:val="0"/>
      <w:divBdr>
        <w:top w:val="none" w:sz="0" w:space="0" w:color="auto"/>
        <w:left w:val="none" w:sz="0" w:space="0" w:color="auto"/>
        <w:bottom w:val="none" w:sz="0" w:space="0" w:color="auto"/>
        <w:right w:val="none" w:sz="0" w:space="0" w:color="auto"/>
      </w:divBdr>
    </w:div>
    <w:div w:id="617641580">
      <w:bodyDiv w:val="1"/>
      <w:marLeft w:val="0"/>
      <w:marRight w:val="0"/>
      <w:marTop w:val="0"/>
      <w:marBottom w:val="0"/>
      <w:divBdr>
        <w:top w:val="none" w:sz="0" w:space="0" w:color="auto"/>
        <w:left w:val="none" w:sz="0" w:space="0" w:color="auto"/>
        <w:bottom w:val="none" w:sz="0" w:space="0" w:color="auto"/>
        <w:right w:val="none" w:sz="0" w:space="0" w:color="auto"/>
      </w:divBdr>
    </w:div>
    <w:div w:id="624894177">
      <w:bodyDiv w:val="1"/>
      <w:marLeft w:val="0"/>
      <w:marRight w:val="0"/>
      <w:marTop w:val="0"/>
      <w:marBottom w:val="0"/>
      <w:divBdr>
        <w:top w:val="none" w:sz="0" w:space="0" w:color="auto"/>
        <w:left w:val="none" w:sz="0" w:space="0" w:color="auto"/>
        <w:bottom w:val="none" w:sz="0" w:space="0" w:color="auto"/>
        <w:right w:val="none" w:sz="0" w:space="0" w:color="auto"/>
      </w:divBdr>
    </w:div>
    <w:div w:id="688221914">
      <w:bodyDiv w:val="1"/>
      <w:marLeft w:val="0"/>
      <w:marRight w:val="0"/>
      <w:marTop w:val="0"/>
      <w:marBottom w:val="0"/>
      <w:divBdr>
        <w:top w:val="none" w:sz="0" w:space="0" w:color="auto"/>
        <w:left w:val="none" w:sz="0" w:space="0" w:color="auto"/>
        <w:bottom w:val="none" w:sz="0" w:space="0" w:color="auto"/>
        <w:right w:val="none" w:sz="0" w:space="0" w:color="auto"/>
      </w:divBdr>
      <w:divsChild>
        <w:div w:id="1487479255">
          <w:marLeft w:val="0"/>
          <w:marRight w:val="0"/>
          <w:marTop w:val="0"/>
          <w:marBottom w:val="0"/>
          <w:divBdr>
            <w:top w:val="none" w:sz="0" w:space="0" w:color="auto"/>
            <w:left w:val="none" w:sz="0" w:space="0" w:color="auto"/>
            <w:bottom w:val="none" w:sz="0" w:space="0" w:color="auto"/>
            <w:right w:val="none" w:sz="0" w:space="0" w:color="auto"/>
          </w:divBdr>
        </w:div>
        <w:div w:id="1420563825">
          <w:marLeft w:val="0"/>
          <w:marRight w:val="0"/>
          <w:marTop w:val="0"/>
          <w:marBottom w:val="0"/>
          <w:divBdr>
            <w:top w:val="none" w:sz="0" w:space="0" w:color="auto"/>
            <w:left w:val="none" w:sz="0" w:space="0" w:color="auto"/>
            <w:bottom w:val="none" w:sz="0" w:space="0" w:color="auto"/>
            <w:right w:val="none" w:sz="0" w:space="0" w:color="auto"/>
          </w:divBdr>
          <w:divsChild>
            <w:div w:id="560287178">
              <w:marLeft w:val="0"/>
              <w:marRight w:val="0"/>
              <w:marTop w:val="0"/>
              <w:marBottom w:val="0"/>
              <w:divBdr>
                <w:top w:val="none" w:sz="0" w:space="0" w:color="auto"/>
                <w:left w:val="none" w:sz="0" w:space="0" w:color="auto"/>
                <w:bottom w:val="none" w:sz="0" w:space="0" w:color="auto"/>
                <w:right w:val="none" w:sz="0" w:space="0" w:color="auto"/>
              </w:divBdr>
              <w:divsChild>
                <w:div w:id="9475414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22162870">
      <w:bodyDiv w:val="1"/>
      <w:marLeft w:val="0"/>
      <w:marRight w:val="0"/>
      <w:marTop w:val="0"/>
      <w:marBottom w:val="0"/>
      <w:divBdr>
        <w:top w:val="none" w:sz="0" w:space="0" w:color="auto"/>
        <w:left w:val="none" w:sz="0" w:space="0" w:color="auto"/>
        <w:bottom w:val="none" w:sz="0" w:space="0" w:color="auto"/>
        <w:right w:val="none" w:sz="0" w:space="0" w:color="auto"/>
      </w:divBdr>
    </w:div>
    <w:div w:id="868298842">
      <w:bodyDiv w:val="1"/>
      <w:marLeft w:val="0"/>
      <w:marRight w:val="0"/>
      <w:marTop w:val="0"/>
      <w:marBottom w:val="0"/>
      <w:divBdr>
        <w:top w:val="none" w:sz="0" w:space="0" w:color="auto"/>
        <w:left w:val="none" w:sz="0" w:space="0" w:color="auto"/>
        <w:bottom w:val="none" w:sz="0" w:space="0" w:color="auto"/>
        <w:right w:val="none" w:sz="0" w:space="0" w:color="auto"/>
      </w:divBdr>
    </w:div>
    <w:div w:id="900751654">
      <w:bodyDiv w:val="1"/>
      <w:marLeft w:val="0"/>
      <w:marRight w:val="0"/>
      <w:marTop w:val="0"/>
      <w:marBottom w:val="0"/>
      <w:divBdr>
        <w:top w:val="none" w:sz="0" w:space="0" w:color="auto"/>
        <w:left w:val="none" w:sz="0" w:space="0" w:color="auto"/>
        <w:bottom w:val="none" w:sz="0" w:space="0" w:color="auto"/>
        <w:right w:val="none" w:sz="0" w:space="0" w:color="auto"/>
      </w:divBdr>
    </w:div>
    <w:div w:id="984045686">
      <w:bodyDiv w:val="1"/>
      <w:marLeft w:val="0"/>
      <w:marRight w:val="0"/>
      <w:marTop w:val="0"/>
      <w:marBottom w:val="0"/>
      <w:divBdr>
        <w:top w:val="none" w:sz="0" w:space="0" w:color="auto"/>
        <w:left w:val="none" w:sz="0" w:space="0" w:color="auto"/>
        <w:bottom w:val="none" w:sz="0" w:space="0" w:color="auto"/>
        <w:right w:val="none" w:sz="0" w:space="0" w:color="auto"/>
      </w:divBdr>
    </w:div>
    <w:div w:id="1015041229">
      <w:bodyDiv w:val="1"/>
      <w:marLeft w:val="0"/>
      <w:marRight w:val="0"/>
      <w:marTop w:val="0"/>
      <w:marBottom w:val="0"/>
      <w:divBdr>
        <w:top w:val="none" w:sz="0" w:space="0" w:color="auto"/>
        <w:left w:val="none" w:sz="0" w:space="0" w:color="auto"/>
        <w:bottom w:val="none" w:sz="0" w:space="0" w:color="auto"/>
        <w:right w:val="none" w:sz="0" w:space="0" w:color="auto"/>
      </w:divBdr>
    </w:div>
    <w:div w:id="1137793216">
      <w:bodyDiv w:val="1"/>
      <w:marLeft w:val="0"/>
      <w:marRight w:val="0"/>
      <w:marTop w:val="0"/>
      <w:marBottom w:val="0"/>
      <w:divBdr>
        <w:top w:val="none" w:sz="0" w:space="0" w:color="auto"/>
        <w:left w:val="none" w:sz="0" w:space="0" w:color="auto"/>
        <w:bottom w:val="none" w:sz="0" w:space="0" w:color="auto"/>
        <w:right w:val="none" w:sz="0" w:space="0" w:color="auto"/>
      </w:divBdr>
      <w:divsChild>
        <w:div w:id="698820066">
          <w:marLeft w:val="0"/>
          <w:marRight w:val="0"/>
          <w:marTop w:val="0"/>
          <w:marBottom w:val="0"/>
          <w:divBdr>
            <w:top w:val="none" w:sz="0" w:space="0" w:color="auto"/>
            <w:left w:val="none" w:sz="0" w:space="0" w:color="auto"/>
            <w:bottom w:val="none" w:sz="0" w:space="0" w:color="auto"/>
            <w:right w:val="none" w:sz="0" w:space="0" w:color="auto"/>
          </w:divBdr>
        </w:div>
        <w:div w:id="1827429688">
          <w:marLeft w:val="0"/>
          <w:marRight w:val="0"/>
          <w:marTop w:val="0"/>
          <w:marBottom w:val="0"/>
          <w:divBdr>
            <w:top w:val="none" w:sz="0" w:space="0" w:color="auto"/>
            <w:left w:val="none" w:sz="0" w:space="0" w:color="auto"/>
            <w:bottom w:val="none" w:sz="0" w:space="0" w:color="auto"/>
            <w:right w:val="none" w:sz="0" w:space="0" w:color="auto"/>
          </w:divBdr>
          <w:divsChild>
            <w:div w:id="1806921638">
              <w:marLeft w:val="0"/>
              <w:marRight w:val="0"/>
              <w:marTop w:val="0"/>
              <w:marBottom w:val="0"/>
              <w:divBdr>
                <w:top w:val="none" w:sz="0" w:space="0" w:color="auto"/>
                <w:left w:val="none" w:sz="0" w:space="0" w:color="auto"/>
                <w:bottom w:val="none" w:sz="0" w:space="0" w:color="auto"/>
                <w:right w:val="none" w:sz="0" w:space="0" w:color="auto"/>
              </w:divBdr>
              <w:divsChild>
                <w:div w:id="7941039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24105942">
      <w:bodyDiv w:val="1"/>
      <w:marLeft w:val="0"/>
      <w:marRight w:val="0"/>
      <w:marTop w:val="0"/>
      <w:marBottom w:val="0"/>
      <w:divBdr>
        <w:top w:val="none" w:sz="0" w:space="0" w:color="auto"/>
        <w:left w:val="none" w:sz="0" w:space="0" w:color="auto"/>
        <w:bottom w:val="none" w:sz="0" w:space="0" w:color="auto"/>
        <w:right w:val="none" w:sz="0" w:space="0" w:color="auto"/>
      </w:divBdr>
    </w:div>
    <w:div w:id="1576889583">
      <w:bodyDiv w:val="1"/>
      <w:marLeft w:val="0"/>
      <w:marRight w:val="0"/>
      <w:marTop w:val="0"/>
      <w:marBottom w:val="0"/>
      <w:divBdr>
        <w:top w:val="none" w:sz="0" w:space="0" w:color="auto"/>
        <w:left w:val="none" w:sz="0" w:space="0" w:color="auto"/>
        <w:bottom w:val="none" w:sz="0" w:space="0" w:color="auto"/>
        <w:right w:val="none" w:sz="0" w:space="0" w:color="auto"/>
      </w:divBdr>
    </w:div>
    <w:div w:id="1604417201">
      <w:bodyDiv w:val="1"/>
      <w:marLeft w:val="0"/>
      <w:marRight w:val="0"/>
      <w:marTop w:val="0"/>
      <w:marBottom w:val="0"/>
      <w:divBdr>
        <w:top w:val="none" w:sz="0" w:space="0" w:color="auto"/>
        <w:left w:val="none" w:sz="0" w:space="0" w:color="auto"/>
        <w:bottom w:val="none" w:sz="0" w:space="0" w:color="auto"/>
        <w:right w:val="none" w:sz="0" w:space="0" w:color="auto"/>
      </w:divBdr>
    </w:div>
    <w:div w:id="1750226515">
      <w:bodyDiv w:val="1"/>
      <w:marLeft w:val="0"/>
      <w:marRight w:val="0"/>
      <w:marTop w:val="0"/>
      <w:marBottom w:val="0"/>
      <w:divBdr>
        <w:top w:val="none" w:sz="0" w:space="0" w:color="auto"/>
        <w:left w:val="none" w:sz="0" w:space="0" w:color="auto"/>
        <w:bottom w:val="none" w:sz="0" w:space="0" w:color="auto"/>
        <w:right w:val="none" w:sz="0" w:space="0" w:color="auto"/>
      </w:divBdr>
    </w:div>
    <w:div w:id="1849902331">
      <w:bodyDiv w:val="1"/>
      <w:marLeft w:val="0"/>
      <w:marRight w:val="0"/>
      <w:marTop w:val="0"/>
      <w:marBottom w:val="0"/>
      <w:divBdr>
        <w:top w:val="none" w:sz="0" w:space="0" w:color="auto"/>
        <w:left w:val="none" w:sz="0" w:space="0" w:color="auto"/>
        <w:bottom w:val="none" w:sz="0" w:space="0" w:color="auto"/>
        <w:right w:val="none" w:sz="0" w:space="0" w:color="auto"/>
      </w:divBdr>
    </w:div>
    <w:div w:id="1869945054">
      <w:bodyDiv w:val="1"/>
      <w:marLeft w:val="0"/>
      <w:marRight w:val="0"/>
      <w:marTop w:val="0"/>
      <w:marBottom w:val="0"/>
      <w:divBdr>
        <w:top w:val="none" w:sz="0" w:space="0" w:color="auto"/>
        <w:left w:val="none" w:sz="0" w:space="0" w:color="auto"/>
        <w:bottom w:val="none" w:sz="0" w:space="0" w:color="auto"/>
        <w:right w:val="none" w:sz="0" w:space="0" w:color="auto"/>
      </w:divBdr>
    </w:div>
    <w:div w:id="20586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21@medschl.cam.ac.uk" TargetMode="External"/><Relationship Id="rId13" Type="http://schemas.openxmlformats.org/officeDocument/2006/relationships/hyperlink" Target="https://www.barb.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s.co.uk/nrs-print/lifestyle-and-classification-data/social-grade/" TargetMode="External"/><Relationship Id="rId17" Type="http://schemas.openxmlformats.org/officeDocument/2006/relationships/hyperlink" Target="http://ghdx.healthdata.org/gbd-results-tool" TargetMode="External"/><Relationship Id="rId2" Type="http://schemas.openxmlformats.org/officeDocument/2006/relationships/numbering" Target="numbering.xml"/><Relationship Id="rId16" Type="http://schemas.openxmlformats.org/officeDocument/2006/relationships/hyperlink" Target="https://beta.ukdataservice.ac.uk/datacatalogue/series/series?id=2000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digital.nhs.uk/data-and-information/publications/statistical/health-survey-for-england/health-survey-for-england-2016"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kantarworldpanel.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0E0F-8207-4914-87D8-8EA24DC2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44016</Words>
  <Characters>250896</Characters>
  <Application>Microsoft Office Word</Application>
  <DocSecurity>0</DocSecurity>
  <Lines>2090</Lines>
  <Paragraphs>588</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294324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Mytton</dc:creator>
  <cp:lastModifiedBy>Oliver Mytton</cp:lastModifiedBy>
  <cp:revision>2</cp:revision>
  <dcterms:created xsi:type="dcterms:W3CDTF">2020-06-07T20:24:00Z</dcterms:created>
  <dcterms:modified xsi:type="dcterms:W3CDTF">2020-06-07T20:24:00Z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http://www.zotero.org/styles/bmj-open</vt:lpwstr>
  </property>
  <property fmtid="{D5CDD505-2E9C-101B-9397-08002B2CF9AE}" pid="5" name="Mendeley Recent Style Name 1_1">
    <vt:lpwstr>BMJ Open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http://csl.mendeley.com/styles/26319161/nature</vt:lpwstr>
  </property>
  <property fmtid="{D5CDD505-2E9C-101B-9397-08002B2CF9AE}" pid="11" name="Mendeley Recent Style Name 4_1">
    <vt:lpwstr>Nature - Shortened</vt:lpwstr>
  </property>
  <property fmtid="{D5CDD505-2E9C-101B-9397-08002B2CF9AE}" pid="12" name="Mendeley Recent Style Id 5_1">
    <vt:lpwstr>http://www.zotero.org/styles/plos-medicine</vt:lpwstr>
  </property>
  <property fmtid="{D5CDD505-2E9C-101B-9397-08002B2CF9AE}" pid="13" name="Mendeley Recent Style Name 5_1">
    <vt:lpwstr>PLOS Medicine</vt:lpwstr>
  </property>
  <property fmtid="{D5CDD505-2E9C-101B-9397-08002B2CF9AE}" pid="14" name="Mendeley Recent Style Id 6_1">
    <vt:lpwstr>http://www.zotero.org/styles/the-american-journal-of-clinical-nutrition</vt:lpwstr>
  </property>
  <property fmtid="{D5CDD505-2E9C-101B-9397-08002B2CF9AE}" pid="15" name="Mendeley Recent Style Name 6_1">
    <vt:lpwstr>The American Journal of Clinical Nutrition</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https://csl.mendeley.com/styles/26319161/nature-2</vt:lpwstr>
  </property>
  <property fmtid="{D5CDD505-2E9C-101B-9397-08002B2CF9AE}" pid="19" name="Mendeley Recent Style Name 8_1">
    <vt:lpwstr>UKRI</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80cddd99-5872-33ce-bce5-07193f62afc3</vt:lpwstr>
  </property>
  <property fmtid="{D5CDD505-2E9C-101B-9397-08002B2CF9AE}" pid="24" name="Mendeley Citation Style_1">
    <vt:lpwstr>http://www.zotero.org/styles/plos-medicine</vt:lpwstr>
  </property>
</Properties>
</file>