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B0FE6" w14:textId="77777777" w:rsidR="00823310" w:rsidRPr="00B113B0" w:rsidRDefault="00B113B0" w:rsidP="00D01999">
      <w:pPr>
        <w:pStyle w:val="Title1"/>
      </w:pPr>
      <w:r w:rsidRPr="008112F4">
        <w:t xml:space="preserve">Controlling gas </w:t>
      </w:r>
      <w:proofErr w:type="spellStart"/>
      <w:r w:rsidRPr="008112F4">
        <w:t>selectivity</w:t>
      </w:r>
      <w:proofErr w:type="spellEnd"/>
      <w:r w:rsidRPr="008112F4">
        <w:t xml:space="preserve"> in </w:t>
      </w:r>
      <w:proofErr w:type="spellStart"/>
      <w:r w:rsidRPr="008112F4">
        <w:t>molecular</w:t>
      </w:r>
      <w:proofErr w:type="spellEnd"/>
      <w:r w:rsidRPr="008112F4">
        <w:t xml:space="preserve"> </w:t>
      </w:r>
      <w:proofErr w:type="spellStart"/>
      <w:r w:rsidRPr="008112F4">
        <w:t>porous</w:t>
      </w:r>
      <w:proofErr w:type="spellEnd"/>
      <w:r w:rsidRPr="008112F4">
        <w:t xml:space="preserve"> </w:t>
      </w:r>
      <w:proofErr w:type="spellStart"/>
      <w:r w:rsidRPr="008112F4">
        <w:t>liquids</w:t>
      </w:r>
      <w:proofErr w:type="spellEnd"/>
      <w:r w:rsidRPr="008112F4">
        <w:t xml:space="preserve"> </w:t>
      </w:r>
      <w:proofErr w:type="spellStart"/>
      <w:r w:rsidRPr="008112F4">
        <w:t>by</w:t>
      </w:r>
      <w:proofErr w:type="spellEnd"/>
      <w:r w:rsidRPr="008112F4">
        <w:t xml:space="preserve"> </w:t>
      </w:r>
      <w:proofErr w:type="spellStart"/>
      <w:r w:rsidRPr="008112F4">
        <w:t>tuning</w:t>
      </w:r>
      <w:proofErr w:type="spellEnd"/>
      <w:r w:rsidRPr="008112F4">
        <w:t xml:space="preserve"> </w:t>
      </w:r>
      <w:proofErr w:type="spellStart"/>
      <w:r w:rsidRPr="008112F4">
        <w:t>the</w:t>
      </w:r>
      <w:proofErr w:type="spellEnd"/>
      <w:r w:rsidRPr="008112F4">
        <w:t xml:space="preserve"> </w:t>
      </w:r>
      <w:proofErr w:type="spellStart"/>
      <w:r w:rsidRPr="008112F4">
        <w:t>cage</w:t>
      </w:r>
      <w:proofErr w:type="spellEnd"/>
      <w:r w:rsidRPr="008112F4">
        <w:t xml:space="preserve"> </w:t>
      </w:r>
      <w:proofErr w:type="spellStart"/>
      <w:r w:rsidRPr="008112F4">
        <w:t>window</w:t>
      </w:r>
      <w:proofErr w:type="spellEnd"/>
      <w:r w:rsidRPr="008112F4">
        <w:t xml:space="preserve"> </w:t>
      </w:r>
      <w:proofErr w:type="spellStart"/>
      <w:r w:rsidRPr="008112F4">
        <w:t>size</w:t>
      </w:r>
      <w:proofErr w:type="spellEnd"/>
    </w:p>
    <w:p w14:paraId="2DBDC5E5" w14:textId="0CB70585" w:rsidR="00F007F5" w:rsidRPr="00205632" w:rsidRDefault="008669DE" w:rsidP="00F007F5">
      <w:pPr>
        <w:pStyle w:val="Authors"/>
      </w:pPr>
      <w:r>
        <w:rPr>
          <w:noProof/>
          <w:lang w:val="de-DE" w:eastAsia="zh-CN"/>
        </w:rPr>
        <mc:AlternateContent>
          <mc:Choice Requires="wps">
            <w:drawing>
              <wp:anchor distT="180340" distB="0" distL="114300" distR="180340" simplePos="0" relativeHeight="251656704" behindDoc="0" locked="1" layoutInCell="1" allowOverlap="1" wp14:anchorId="0ACAF845" wp14:editId="091CE5A1">
                <wp:simplePos x="0" y="0"/>
                <wp:positionH relativeFrom="column">
                  <wp:posOffset>-81915</wp:posOffset>
                </wp:positionH>
                <wp:positionV relativeFrom="page">
                  <wp:posOffset>8324850</wp:posOffset>
                </wp:positionV>
                <wp:extent cx="3150235" cy="1672590"/>
                <wp:effectExtent l="7620" t="0" r="4445" b="3810"/>
                <wp:wrapSquare wrapText="r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67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58F05" w14:textId="67E90ACA" w:rsidR="00BF14BC" w:rsidRPr="007E3A49" w:rsidRDefault="00BF14BC" w:rsidP="00BF14BC">
                            <w:pPr>
                              <w:pStyle w:val="Adress"/>
                              <w:pBdr>
                                <w:top w:val="single" w:sz="4" w:space="1" w:color="000000"/>
                              </w:pBdr>
                              <w:rPr>
                                <w:lang w:val="en-GB"/>
                              </w:rPr>
                            </w:pPr>
                            <w:r w:rsidRPr="000D37AC">
                              <w:rPr>
                                <w:lang w:val="en-GB"/>
                              </w:rPr>
                              <w:t>[a]</w:t>
                            </w:r>
                            <w:r w:rsidRPr="000D37AC">
                              <w:rPr>
                                <w:lang w:val="en-GB"/>
                              </w:rPr>
                              <w:tab/>
                            </w:r>
                            <w:r w:rsidR="00F62A54">
                              <w:rPr>
                                <w:lang w:val="en-GB"/>
                              </w:rPr>
                              <w:t>B. D. Egleston, M. C Brand, R. Clowes</w:t>
                            </w:r>
                            <w:r w:rsidR="006B5521">
                              <w:rPr>
                                <w:lang w:val="en-GB"/>
                              </w:rPr>
                              <w:t xml:space="preserve">, </w:t>
                            </w:r>
                            <w:proofErr w:type="spellStart"/>
                            <w:r w:rsidR="006B5521">
                              <w:rPr>
                                <w:lang w:val="en-GB"/>
                              </w:rPr>
                              <w:t>Dr.</w:t>
                            </w:r>
                            <w:proofErr w:type="spellEnd"/>
                            <w:r w:rsidR="006B5521">
                              <w:rPr>
                                <w:lang w:val="en-GB"/>
                              </w:rPr>
                              <w:t xml:space="preserve"> M. E. Briggs, Prof. A. I. Cooper</w:t>
                            </w:r>
                            <w:r>
                              <w:rPr>
                                <w:lang w:val="en-GB"/>
                              </w:rPr>
                              <w:br/>
                              <w:t>Department</w:t>
                            </w:r>
                            <w:r w:rsidR="006B5521">
                              <w:rPr>
                                <w:lang w:val="en-GB"/>
                              </w:rPr>
                              <w:t xml:space="preserve"> of Chemistry and Materials Innovation Factory</w:t>
                            </w:r>
                            <w:r>
                              <w:rPr>
                                <w:lang w:val="en-GB"/>
                              </w:rPr>
                              <w:br/>
                            </w:r>
                            <w:r w:rsidR="006B5521">
                              <w:rPr>
                                <w:lang w:val="en-GB"/>
                              </w:rPr>
                              <w:t>University of Liverpool</w:t>
                            </w:r>
                            <w:r>
                              <w:rPr>
                                <w:lang w:val="en-GB"/>
                              </w:rPr>
                              <w:br/>
                            </w:r>
                            <w:r w:rsidR="008669DE">
                              <w:rPr>
                                <w:lang w:val="en-GB"/>
                              </w:rPr>
                              <w:t>Oxford Street, Liverpool, L7 3NY</w:t>
                            </w:r>
                            <w:r w:rsidR="006B5521">
                              <w:rPr>
                                <w:lang w:val="en-GB"/>
                              </w:rPr>
                              <w:t>, U.K.</w:t>
                            </w:r>
                            <w:r w:rsidRPr="007E3A49">
                              <w:rPr>
                                <w:lang w:val="en-GB"/>
                              </w:rPr>
                              <w:br/>
                              <w:t>E-mail:</w:t>
                            </w:r>
                            <w:r w:rsidR="006B5521">
                              <w:rPr>
                                <w:lang w:val="en-GB"/>
                              </w:rPr>
                              <w:t xml:space="preserve"> aicooper@liverpool.ac.uk</w:t>
                            </w:r>
                          </w:p>
                          <w:p w14:paraId="407C83D0" w14:textId="2DEC2CAA" w:rsidR="00BF14BC" w:rsidRDefault="00BF14BC" w:rsidP="00BF14BC">
                            <w:pPr>
                              <w:pStyle w:val="Adress"/>
                              <w:rPr>
                                <w:lang w:val="en-GB"/>
                              </w:rPr>
                            </w:pPr>
                            <w:r w:rsidRPr="000D37AC">
                              <w:rPr>
                                <w:lang w:val="en-GB"/>
                              </w:rPr>
                              <w:t>[b]</w:t>
                            </w:r>
                            <w:r w:rsidRPr="000D37AC">
                              <w:rPr>
                                <w:lang w:val="en-GB"/>
                              </w:rPr>
                              <w:tab/>
                            </w:r>
                            <w:proofErr w:type="spellStart"/>
                            <w:r w:rsidR="006B5521">
                              <w:rPr>
                                <w:lang w:val="en-GB"/>
                              </w:rPr>
                              <w:t>Dr.</w:t>
                            </w:r>
                            <w:proofErr w:type="spellEnd"/>
                            <w:r w:rsidR="006B5521">
                              <w:rPr>
                                <w:lang w:val="en-GB"/>
                              </w:rPr>
                              <w:t xml:space="preserve"> K. V. </w:t>
                            </w:r>
                            <w:proofErr w:type="spellStart"/>
                            <w:r w:rsidR="006B5521">
                              <w:rPr>
                                <w:lang w:val="en-GB"/>
                              </w:rPr>
                              <w:t>Luzyanin</w:t>
                            </w:r>
                            <w:proofErr w:type="spellEnd"/>
                            <w:r w:rsidR="00612811">
                              <w:rPr>
                                <w:lang w:val="en-GB"/>
                              </w:rPr>
                              <w:t xml:space="preserve">, </w:t>
                            </w:r>
                            <w:proofErr w:type="spellStart"/>
                            <w:r w:rsidR="00612811">
                              <w:rPr>
                                <w:lang w:val="en-GB"/>
                              </w:rPr>
                              <w:t>Dr.</w:t>
                            </w:r>
                            <w:proofErr w:type="spellEnd"/>
                            <w:r w:rsidR="00612811">
                              <w:rPr>
                                <w:lang w:val="en-GB"/>
                              </w:rPr>
                              <w:t xml:space="preserve"> R. L. Greenaway</w:t>
                            </w:r>
                            <w:r>
                              <w:rPr>
                                <w:lang w:val="en-GB"/>
                              </w:rPr>
                              <w:br/>
                            </w:r>
                            <w:r w:rsidR="006B5521">
                              <w:rPr>
                                <w:lang w:val="en-GB"/>
                              </w:rPr>
                              <w:t>Department of Chemistry</w:t>
                            </w:r>
                            <w:r w:rsidR="006B5521">
                              <w:rPr>
                                <w:lang w:val="en-GB"/>
                              </w:rPr>
                              <w:br/>
                              <w:t>University of Liverpool</w:t>
                            </w:r>
                            <w:r w:rsidR="006B5521">
                              <w:rPr>
                                <w:lang w:val="en-GB"/>
                              </w:rPr>
                              <w:br/>
                              <w:t>Crown Street, Liverpool, L6</w:t>
                            </w:r>
                            <w:r w:rsidR="00394050">
                              <w:rPr>
                                <w:lang w:val="en-GB"/>
                              </w:rPr>
                              <w:t>9</w:t>
                            </w:r>
                            <w:r w:rsidR="006B5521">
                              <w:rPr>
                                <w:lang w:val="en-GB"/>
                              </w:rPr>
                              <w:t xml:space="preserve"> 7ZD, U.K.</w:t>
                            </w:r>
                          </w:p>
                          <w:p w14:paraId="587A300D" w14:textId="20FBDD09" w:rsidR="00612811" w:rsidRPr="00613B2C" w:rsidRDefault="00612811" w:rsidP="00BF14BC">
                            <w:pPr>
                              <w:pStyle w:val="Adress"/>
                              <w:rPr>
                                <w:lang w:val="pt-PT"/>
                              </w:rPr>
                            </w:pPr>
                            <w:r>
                              <w:rPr>
                                <w:lang w:val="en-GB"/>
                              </w:rPr>
                              <w:tab/>
                            </w:r>
                            <w:r w:rsidRPr="00613B2C">
                              <w:rPr>
                                <w:lang w:val="pt-PT"/>
                              </w:rPr>
                              <w:t>E-mail: rebecca.greenaway@liverpool.ac.uk</w:t>
                            </w:r>
                          </w:p>
                          <w:p w14:paraId="03D9A9F8" w14:textId="77777777" w:rsidR="00BF14BC" w:rsidRPr="007E3A49" w:rsidRDefault="00BF14BC" w:rsidP="00BF14BC">
                            <w:pPr>
                              <w:pStyle w:val="Footnote"/>
                            </w:pPr>
                            <w:r w:rsidRPr="00613B2C">
                              <w:rPr>
                                <w:lang w:val="pt-PT"/>
                              </w:rPr>
                              <w:tab/>
                            </w:r>
                            <w:r w:rsidRPr="004532F9">
                              <w:t xml:space="preserve">Supporting information for this article is </w:t>
                            </w:r>
                            <w:r w:rsidR="000D37AC">
                              <w:t>given via a link at the end of the document</w:t>
                            </w:r>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CAF845" id="_x0000_t202" coordsize="21600,21600" o:spt="202" path="m,l,21600r21600,l21600,xe">
                <v:stroke joinstyle="miter"/>
                <v:path gradientshapeok="t" o:connecttype="rect"/>
              </v:shapetype>
              <v:shape id="Text Box 4" o:spid="_x0000_s1026" type="#_x0000_t202" style="position:absolute;margin-left:-6.45pt;margin-top:655.5pt;width:248.05pt;height:131.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" stroked="f">
                <v:fill opacity="0"/>
                <v:textbox style="mso-fit-shape-to-text:t">
                  <w:txbxContent>
                    <w:p w14:paraId="2DF58F05" w14:textId="67E90ACA" w:rsidR="00BF14BC" w:rsidRPr="007E3A49" w:rsidRDefault="00BF14BC" w:rsidP="00BF14BC">
                      <w:pPr>
                        <w:pStyle w:val="Adress"/>
                        <w:pBdr>
                          <w:top w:val="single" w:sz="4" w:space="1" w:color="000000"/>
                        </w:pBdr>
                        <w:rPr>
                          <w:lang w:val="en-GB"/>
                        </w:rPr>
                      </w:pPr>
                      <w:r w:rsidRPr="000D37AC">
                        <w:rPr>
                          <w:lang w:val="en-GB"/>
                        </w:rPr>
                        <w:t>[a]</w:t>
                      </w:r>
                      <w:r w:rsidRPr="000D37AC">
                        <w:rPr>
                          <w:lang w:val="en-GB"/>
                        </w:rPr>
                        <w:tab/>
                      </w:r>
                      <w:r w:rsidR="00F62A54">
                        <w:rPr>
                          <w:lang w:val="en-GB"/>
                        </w:rPr>
                        <w:t>B. D. Egleston, M. C Brand, R. Clowes</w:t>
                      </w:r>
                      <w:r w:rsidR="006B5521">
                        <w:rPr>
                          <w:lang w:val="en-GB"/>
                        </w:rPr>
                        <w:t xml:space="preserve">, </w:t>
                      </w:r>
                      <w:proofErr w:type="spellStart"/>
                      <w:r w:rsidR="006B5521">
                        <w:rPr>
                          <w:lang w:val="en-GB"/>
                        </w:rPr>
                        <w:t>Dr.</w:t>
                      </w:r>
                      <w:proofErr w:type="spellEnd"/>
                      <w:r w:rsidR="006B5521">
                        <w:rPr>
                          <w:lang w:val="en-GB"/>
                        </w:rPr>
                        <w:t xml:space="preserve"> M. E. Briggs, Prof. A. I. Cooper</w:t>
                      </w:r>
                      <w:r>
                        <w:rPr>
                          <w:lang w:val="en-GB"/>
                        </w:rPr>
                        <w:br/>
                        <w:t>Department</w:t>
                      </w:r>
                      <w:r w:rsidR="006B5521">
                        <w:rPr>
                          <w:lang w:val="en-GB"/>
                        </w:rPr>
                        <w:t xml:space="preserve"> of Chemistry and Materials Innovation Factory</w:t>
                      </w:r>
                      <w:r>
                        <w:rPr>
                          <w:lang w:val="en-GB"/>
                        </w:rPr>
                        <w:br/>
                      </w:r>
                      <w:r w:rsidR="006B5521">
                        <w:rPr>
                          <w:lang w:val="en-GB"/>
                        </w:rPr>
                        <w:t>University of Liverpool</w:t>
                      </w:r>
                      <w:r>
                        <w:rPr>
                          <w:lang w:val="en-GB"/>
                        </w:rPr>
                        <w:br/>
                      </w:r>
                      <w:r w:rsidR="008669DE">
                        <w:rPr>
                          <w:lang w:val="en-GB"/>
                        </w:rPr>
                        <w:t>Oxford Street, Liverpool, L7 3NY</w:t>
                      </w:r>
                      <w:r w:rsidR="006B5521">
                        <w:rPr>
                          <w:lang w:val="en-GB"/>
                        </w:rPr>
                        <w:t>, U.K.</w:t>
                      </w:r>
                      <w:r w:rsidRPr="007E3A49">
                        <w:rPr>
                          <w:lang w:val="en-GB"/>
                        </w:rPr>
                        <w:br/>
                        <w:t>E-mail:</w:t>
                      </w:r>
                      <w:r w:rsidR="006B5521">
                        <w:rPr>
                          <w:lang w:val="en-GB"/>
                        </w:rPr>
                        <w:t xml:space="preserve"> aicooper@liverpool.ac.uk</w:t>
                      </w:r>
                    </w:p>
                    <w:p w14:paraId="407C83D0" w14:textId="2DEC2CAA" w:rsidR="00BF14BC" w:rsidRDefault="00BF14BC" w:rsidP="00BF14BC">
                      <w:pPr>
                        <w:pStyle w:val="Adress"/>
                        <w:rPr>
                          <w:lang w:val="en-GB"/>
                        </w:rPr>
                      </w:pPr>
                      <w:r w:rsidRPr="000D37AC">
                        <w:rPr>
                          <w:lang w:val="en-GB"/>
                        </w:rPr>
                        <w:t>[b]</w:t>
                      </w:r>
                      <w:r w:rsidRPr="000D37AC">
                        <w:rPr>
                          <w:lang w:val="en-GB"/>
                        </w:rPr>
                        <w:tab/>
                      </w:r>
                      <w:proofErr w:type="spellStart"/>
                      <w:r w:rsidR="006B5521">
                        <w:rPr>
                          <w:lang w:val="en-GB"/>
                        </w:rPr>
                        <w:t>Dr.</w:t>
                      </w:r>
                      <w:proofErr w:type="spellEnd"/>
                      <w:r w:rsidR="006B5521">
                        <w:rPr>
                          <w:lang w:val="en-GB"/>
                        </w:rPr>
                        <w:t xml:space="preserve"> K. V. </w:t>
                      </w:r>
                      <w:proofErr w:type="spellStart"/>
                      <w:r w:rsidR="006B5521">
                        <w:rPr>
                          <w:lang w:val="en-GB"/>
                        </w:rPr>
                        <w:t>Luzyanin</w:t>
                      </w:r>
                      <w:proofErr w:type="spellEnd"/>
                      <w:r w:rsidR="00612811">
                        <w:rPr>
                          <w:lang w:val="en-GB"/>
                        </w:rPr>
                        <w:t xml:space="preserve">, </w:t>
                      </w:r>
                      <w:proofErr w:type="spellStart"/>
                      <w:r w:rsidR="00612811">
                        <w:rPr>
                          <w:lang w:val="en-GB"/>
                        </w:rPr>
                        <w:t>Dr.</w:t>
                      </w:r>
                      <w:proofErr w:type="spellEnd"/>
                      <w:r w:rsidR="00612811">
                        <w:rPr>
                          <w:lang w:val="en-GB"/>
                        </w:rPr>
                        <w:t xml:space="preserve"> R. L. Greenaway</w:t>
                      </w:r>
                      <w:r>
                        <w:rPr>
                          <w:lang w:val="en-GB"/>
                        </w:rPr>
                        <w:br/>
                      </w:r>
                      <w:r w:rsidR="006B5521">
                        <w:rPr>
                          <w:lang w:val="en-GB"/>
                        </w:rPr>
                        <w:t>Department of Chemistry</w:t>
                      </w:r>
                      <w:r w:rsidR="006B5521">
                        <w:rPr>
                          <w:lang w:val="en-GB"/>
                        </w:rPr>
                        <w:br/>
                        <w:t>University of Liverpool</w:t>
                      </w:r>
                      <w:r w:rsidR="006B5521">
                        <w:rPr>
                          <w:lang w:val="en-GB"/>
                        </w:rPr>
                        <w:br/>
                        <w:t>Crown Street, Liverpool, L6</w:t>
                      </w:r>
                      <w:r w:rsidR="00394050">
                        <w:rPr>
                          <w:lang w:val="en-GB"/>
                        </w:rPr>
                        <w:t>9</w:t>
                      </w:r>
                      <w:r w:rsidR="006B5521">
                        <w:rPr>
                          <w:lang w:val="en-GB"/>
                        </w:rPr>
                        <w:t xml:space="preserve"> 7ZD, U.K.</w:t>
                      </w:r>
                    </w:p>
                    <w:p w14:paraId="587A300D" w14:textId="20FBDD09" w:rsidR="00612811" w:rsidRPr="00613B2C" w:rsidRDefault="00612811" w:rsidP="00BF14BC">
                      <w:pPr>
                        <w:pStyle w:val="Adress"/>
                        <w:rPr>
                          <w:lang w:val="pt-PT"/>
                        </w:rPr>
                      </w:pPr>
                      <w:r>
                        <w:rPr>
                          <w:lang w:val="en-GB"/>
                        </w:rPr>
                        <w:tab/>
                      </w:r>
                      <w:r w:rsidRPr="00613B2C">
                        <w:rPr>
                          <w:lang w:val="pt-PT"/>
                        </w:rPr>
                        <w:t>E-mail: rebecca.greenaway@liverpool.ac.uk</w:t>
                      </w:r>
                    </w:p>
                    <w:p w14:paraId="03D9A9F8" w14:textId="77777777" w:rsidR="00BF14BC" w:rsidRPr="007E3A49" w:rsidRDefault="00BF14BC" w:rsidP="00BF14BC">
                      <w:pPr>
                        <w:pStyle w:val="Footnote"/>
                      </w:pPr>
                      <w:r w:rsidRPr="00613B2C">
                        <w:rPr>
                          <w:lang w:val="pt-PT"/>
                        </w:rPr>
                        <w:tab/>
                      </w:r>
                      <w:r w:rsidRPr="004532F9">
                        <w:t xml:space="preserve">Supporting information for this article is </w:t>
                      </w:r>
                      <w:r w:rsidR="000D37AC">
                        <w:t>given via a link at the end of the document</w:t>
                      </w:r>
                      <w:r>
                        <w:t>.</w:t>
                      </w:r>
                    </w:p>
                  </w:txbxContent>
                </v:textbox>
                <w10:wrap type="square" side="right" anchory="page"/>
                <w10:anchorlock/>
              </v:shape>
            </w:pict>
          </mc:Fallback>
        </mc:AlternateContent>
      </w:r>
      <w:r w:rsidR="00B113B0" w:rsidRPr="009B1F99">
        <w:t xml:space="preserve">Benjamin D. </w:t>
      </w:r>
      <w:proofErr w:type="gramStart"/>
      <w:r w:rsidR="00B113B0" w:rsidRPr="009B1F99">
        <w:t>Egleston,</w:t>
      </w:r>
      <w:r w:rsidR="00B113B0" w:rsidRPr="00B113B0">
        <w:rPr>
          <w:vertAlign w:val="superscript"/>
        </w:rPr>
        <w:t>[</w:t>
      </w:r>
      <w:proofErr w:type="gramEnd"/>
      <w:r w:rsidR="00B113B0" w:rsidRPr="00F007F5">
        <w:rPr>
          <w:vertAlign w:val="superscript"/>
        </w:rPr>
        <w:t>a]</w:t>
      </w:r>
      <w:r w:rsidR="00B113B0" w:rsidRPr="009B1F99">
        <w:t xml:space="preserve"> Konstantin V. </w:t>
      </w:r>
      <w:proofErr w:type="spellStart"/>
      <w:r w:rsidR="00B113B0" w:rsidRPr="009B1F99">
        <w:t>Luzyanin</w:t>
      </w:r>
      <w:proofErr w:type="spellEnd"/>
      <w:r w:rsidR="00B113B0" w:rsidRPr="009B1F99">
        <w:t>,</w:t>
      </w:r>
      <w:r w:rsidR="00B113B0" w:rsidRPr="00B113B0">
        <w:rPr>
          <w:vertAlign w:val="superscript"/>
        </w:rPr>
        <w:t>[</w:t>
      </w:r>
      <w:r w:rsidR="00B113B0">
        <w:rPr>
          <w:vertAlign w:val="superscript"/>
        </w:rPr>
        <w:t>b</w:t>
      </w:r>
      <w:r w:rsidR="00B113B0" w:rsidRPr="00F007F5">
        <w:rPr>
          <w:vertAlign w:val="superscript"/>
        </w:rPr>
        <w:t>]</w:t>
      </w:r>
      <w:r w:rsidR="00B113B0" w:rsidRPr="009B1F99">
        <w:t xml:space="preserve"> Michael C Brand,</w:t>
      </w:r>
      <w:r w:rsidR="00B113B0" w:rsidRPr="00B113B0">
        <w:rPr>
          <w:vertAlign w:val="superscript"/>
        </w:rPr>
        <w:t>[</w:t>
      </w:r>
      <w:r w:rsidR="00B113B0" w:rsidRPr="00F007F5">
        <w:rPr>
          <w:vertAlign w:val="superscript"/>
        </w:rPr>
        <w:t>a]</w:t>
      </w:r>
      <w:r w:rsidR="00B113B0" w:rsidRPr="009B1F99">
        <w:t xml:space="preserve"> Rob Clowes,</w:t>
      </w:r>
      <w:r w:rsidR="00B113B0" w:rsidRPr="00B113B0">
        <w:rPr>
          <w:vertAlign w:val="superscript"/>
        </w:rPr>
        <w:t>[</w:t>
      </w:r>
      <w:r w:rsidR="00B113B0" w:rsidRPr="00F007F5">
        <w:rPr>
          <w:vertAlign w:val="superscript"/>
        </w:rPr>
        <w:t>a]</w:t>
      </w:r>
      <w:r w:rsidR="00B113B0" w:rsidRPr="009B1F99">
        <w:t xml:space="preserve"> Michael E. Briggs,</w:t>
      </w:r>
      <w:r w:rsidR="00B113B0" w:rsidRPr="00B113B0">
        <w:rPr>
          <w:vertAlign w:val="superscript"/>
        </w:rPr>
        <w:t>[</w:t>
      </w:r>
      <w:r w:rsidR="00B113B0" w:rsidRPr="00F007F5">
        <w:rPr>
          <w:vertAlign w:val="superscript"/>
        </w:rPr>
        <w:t>a]</w:t>
      </w:r>
      <w:r w:rsidR="00B113B0" w:rsidRPr="009B1F99">
        <w:t xml:space="preserve"> Rebecca L. Greenaway*</w:t>
      </w:r>
      <w:r w:rsidR="00B113B0" w:rsidRPr="00B113B0">
        <w:rPr>
          <w:vertAlign w:val="superscript"/>
        </w:rPr>
        <w:t>[</w:t>
      </w:r>
      <w:r w:rsidR="00C67943">
        <w:rPr>
          <w:vertAlign w:val="superscript"/>
        </w:rPr>
        <w:t>b</w:t>
      </w:r>
      <w:r w:rsidR="00B113B0" w:rsidRPr="00F007F5">
        <w:rPr>
          <w:vertAlign w:val="superscript"/>
        </w:rPr>
        <w:t>]</w:t>
      </w:r>
      <w:r w:rsidR="00B113B0" w:rsidRPr="009B1F99">
        <w:t xml:space="preserve"> and Andrew I. Cooper*</w:t>
      </w:r>
      <w:r w:rsidR="00B113B0" w:rsidRPr="00B113B0">
        <w:rPr>
          <w:vertAlign w:val="superscript"/>
        </w:rPr>
        <w:t>[</w:t>
      </w:r>
      <w:r w:rsidR="00F007F5" w:rsidRPr="00F007F5">
        <w:rPr>
          <w:vertAlign w:val="superscript"/>
        </w:rPr>
        <w:t>a]</w:t>
      </w:r>
    </w:p>
    <w:p w14:paraId="645DA5C6" w14:textId="77777777" w:rsidR="006D4F77" w:rsidRPr="005D1EBB" w:rsidRDefault="006D4F77" w:rsidP="006D4F77">
      <w:pPr>
        <w:pStyle w:val="Dedication"/>
        <w:rPr>
          <w:lang w:val="en-US"/>
        </w:rPr>
        <w:sectPr w:rsidR="006D4F77" w:rsidRPr="005D1EBB" w:rsidSect="00205632">
          <w:headerReference w:type="even" r:id="rId8"/>
          <w:headerReference w:type="default" r:id="rId9"/>
          <w:footerReference w:type="default" r:id="rId10"/>
          <w:headerReference w:type="first" r:id="rId11"/>
          <w:pgSz w:w="11906" w:h="16838" w:code="9"/>
          <w:pgMar w:top="1134" w:right="936" w:bottom="1134" w:left="936" w:header="1021" w:footer="0" w:gutter="0"/>
          <w:cols w:space="425"/>
          <w:docGrid w:linePitch="360"/>
        </w:sectPr>
      </w:pPr>
    </w:p>
    <w:p w14:paraId="77AD96FC" w14:textId="77777777" w:rsidR="00DD7094" w:rsidRDefault="002D5B99" w:rsidP="00DD7094">
      <w:pPr>
        <w:pStyle w:val="Abstract"/>
      </w:pPr>
      <w:r w:rsidRPr="002D5B99">
        <w:rPr>
          <w:b/>
          <w:lang w:val="en-US"/>
        </w:rPr>
        <w:t>Abstract:</w:t>
      </w:r>
      <w:r>
        <w:rPr>
          <w:lang w:val="en-US"/>
        </w:rPr>
        <w:t xml:space="preserve"> </w:t>
      </w:r>
      <w:r w:rsidR="00B113B0" w:rsidRPr="009B1F99">
        <w:t xml:space="preserve">Control of pore window size is the standard approach for tuning gas selectivity in porous solids. Here, we present the first example where this is translated into a molecular porous liquid formed from organic cage molecules. Reduction of the cage window size by chemical synthesis switches the selectivity from </w:t>
      </w:r>
      <w:proofErr w:type="spellStart"/>
      <w:r w:rsidR="00B113B0" w:rsidRPr="009B1F99">
        <w:t>Xe</w:t>
      </w:r>
      <w:proofErr w:type="spellEnd"/>
      <w:r w:rsidR="00B113B0" w:rsidRPr="009B1F99">
        <w:t>-selective to CH</w:t>
      </w:r>
      <w:r w:rsidR="00B113B0" w:rsidRPr="009B1F99">
        <w:rPr>
          <w:vertAlign w:val="subscript"/>
        </w:rPr>
        <w:t>4</w:t>
      </w:r>
      <w:r w:rsidR="00B113B0" w:rsidRPr="009B1F99">
        <w:t xml:space="preserve">-selective, which is understood using </w:t>
      </w:r>
      <w:r w:rsidR="00B113B0" w:rsidRPr="009B1F99">
        <w:rPr>
          <w:vertAlign w:val="superscript"/>
        </w:rPr>
        <w:t>129</w:t>
      </w:r>
      <w:r w:rsidR="00B113B0" w:rsidRPr="009B1F99">
        <w:t xml:space="preserve">Xe, </w:t>
      </w:r>
      <w:r w:rsidR="00B113B0" w:rsidRPr="009B1F99">
        <w:rPr>
          <w:vertAlign w:val="superscript"/>
        </w:rPr>
        <w:t>1</w:t>
      </w:r>
      <w:r w:rsidR="00B113B0" w:rsidRPr="009B1F99">
        <w:t>H, and pulsed-field gradient NMR spectroscopy</w:t>
      </w:r>
      <w:r w:rsidR="00DD7094">
        <w:t>.</w:t>
      </w:r>
    </w:p>
    <w:p w14:paraId="59863DA0" w14:textId="77777777" w:rsidR="006D4F77" w:rsidRDefault="00B113B0" w:rsidP="006B5521">
      <w:pPr>
        <w:pStyle w:val="P1"/>
      </w:pPr>
      <w:r w:rsidRPr="006B5521">
        <w:t>Porous liquids (PLs) are a new class of porous material.</w:t>
      </w:r>
      <w:r w:rsidRPr="007C53B7">
        <w:rPr>
          <w:vertAlign w:val="superscript"/>
        </w:rPr>
        <w:fldChar w:fldCharType="begin" w:fldLock="1"/>
      </w:r>
      <w:r w:rsidR="003A244A">
        <w:rPr>
          <w:vertAlign w:val="superscript"/>
        </w:rPr>
        <w:instrText>ADDIN CSL_CITATION {"citationItems":[{"id":"ITEM-1","itemData":{"DOI":"10.1038/nature16072","ISBN":"0028-0836","ISSN":"0028-0836","abstract":"Porous solids such as zeolites1 and metal–organic frameworks2, 3 are useful in molecular separation and in catalysis, but their solid nature can impose limitations. For example, liquid solvents, rather than porous solids, are the most mature technology for post-combustion capture of carbon dioxide because liquid circulation systems are more easily retrofitted to existing plants. Solid porous adsorbents offer major benefits, such as lower energy penalties in adsorption–desorption cycles4, but they are difficult to implement in conventional flow processes. Materials that combine the properties of fluidity and permanent porosity could therefore offer technological advantages, but permanent porosity is not associated with conventional liquids5. Here we report free-flowing liquids whose bulk properties are determined by their permanent porosity. To achieve this, we designed cage molecules6, 7 that provide a well-defined pore space and that are highly soluble in solvents whose molecules are too large to enter the pores. The concentration of unoccupied cages can thus be around 500 times greater than in other molecular solutions that contain cavities8, 9, 10, resulting in a marked change in bulk properties, such as an eightfold increase in the solubility of methane gas. Our results provide the basis for development of a new class of functional porous materials for chemical processes, and we present a one-step, multigram scale-up route for highly soluble ‘scrambled’ porous cages prepared from a mixture of commercially available reagents. The unifying design principle for these materials is the avoidance of functional groups that can penetrate into the molecular cage cavities.","author":[{"dropping-particle":"","family":"Giri","given":"Nicola","non-dropping-particle":"","parse-names":false,"suffix":""},{"dropping-particle":"","family":"Pópolo","given":"Mario G.","non-dropping-particle":"Del","parse-names":false,"suffix":""},{"dropping-particle":"","family":"Melaugh","given":"Gavin","non-dropping-particle":"","parse-names":false,"suffix":""},{"dropping-particle":"","family":"Greenaway","given":"Rebecca L.","non-dropping-particle":"","parse-names":false,"suffix":""},{"dropping-particle":"","family":"Rätzke","given":"Klaus","non-dropping-particle":"","parse-names":false,"suffix":""},{"dropping-particle":"","family":"Koschine","given":"Tönjes","non-dropping-particle":"","parse-names":false,"suffix":""},{"dropping-particle":"","family":"Pison","given":"Laure","non-dropping-particle":"","parse-names":false,"suffix":""},{"dropping-particle":"","family":"Gomes","given":"Margarida F. Costa","non-dropping-particle":"","parse-names":false,"suffix":""},{"dropping-particle":"","family":"Cooper","given":"Andrew I.","non-dropping-particle":"","parse-names":false,"suffix":""},{"dropping-particle":"","family":"James","given":"Stuart L.","non-dropping-particle":"","parse-names":false,"suffix":""}],"container-title":"Nature","id":"ITEM-1","issue":"7577","issued":{"date-parts":[["2015"]]},"page":"216-220","publisher":"Nature Publishing Group","title":"Liquids with permanent porosity","type":"article-journal","volume":"527"},"uris":["http://www.mendeley.com/documents/?uuid=176a04f9-b05e-48be-bad3-4238f6b84522"]},{"id":"ITEM-2","itemData":{"DOI":"10.1002/adma.201505607","ISSN":"15214095","PMID":"27002308","abstract":"In 2007 the idea was put forward that, through careful molecular design, it should be possible to synthesize liquids which contain permanent, well-defined molecule-sized cavities (pores). Such \"porous liquids\" could be a kind of liquid zeolite, or liquid MOF (metal-organic framework), exhibiting the size and shape-selective sorption (or dissolution) associated with microporous solids as well as the fluidity of liquids - a new and potentially useful combination of properties. However, these materials remained essentially hypothetical until recently. In 2014 and 2015 three papers were published which describe convincing examples of porous liquids, and studies have shown that they do exhibit some remarkable properties, such as very fast gas diffusion and high gas solubilities. The examples reported so far are almost certainly only the tip of the iceberg. Now that porous liquids are 'real', a new area of materials science may open up, with clear potential for long-term applications in chemical processes.","author":[{"dropping-particle":"","family":"James","given":"Stuart L.","non-dropping-particle":"","parse-names":false,"suffix":""}],"container-title":"Advanced Materials","id":"ITEM-2","issued":{"date-parts":[["2016"]]},"page":"5712-5716","title":"The Dam Bursts for Porous Liquids","type":"article-journal","volume":"28"},"uris":["http://www.mendeley.com/documents/?uuid=da6a485d-6cd1-4e34-98d6-443be458176d"]},{"id":"ITEM-3","itemData":{"DOI":"10.1021/acscentsci.7b00146","ISBN":"9783527673223","ISSN":"23747951","PMID":"28691065","abstract":"BACKGROUND: It has been proposed that hyperlipidemia contributes to the progression of renal disease. A large trial has not been performed; however, a number of small, controlled trials have been reported. We examined the effects of antilipemic agents on glomerular filtration rate and proteinuria or albuminuria in patients with renal disease. METHODS: We used Medline, abstracts from scientific meetings, and bibliographies from recent reviews and scientific reports to locate pertinent studies. Thirteen prospective controlled trials examining the effects of antilipemic agents on renal function, proteinuria, or albuminuria were included. Studies were published as full reports or abstracts and were at least three months in duration. For five of the studies, individual patient data were obtained. Other summary data were independently extracted from the published reports by two investigators and included study quality, subject characteristics, cause of renal disease, change in serum cholesterol, blood pressure, glomerular filtration rate, proteinuria, and albuminuria. RESULTS: There was a lower rate of decline in glomerular filtration rate with treatment compared with controls (treated controls, 0.156 mL/min/month; 95% CI, 0.026 to 0. 285 mL/min/month, P = 0.008). The study results were statistically homogeneous, and in a regression analysis, the effect of treatment on glomerular filtration rate did not correlate with study quality, the percentage change in cholesterol, the type of lipid-lowering agent, or the cause of renal disease. However, longer follow-up correlated with the amount of improvement in glomerular filtration rate from treatment (P = 0.007). There was a tendency for a favorable effect of treatment on protein or albumin excretion [Ln (treatment) - Ln (control) = -0.248, 95% CI, -0.562 to 0.064, P = 0. 077]. However, these results were statistically heterogeneous between studies (P &lt; 0.001). No obvious explanation for this heterogeneity was apparent in a regression analysis examining potential reasons for differences in study results. CONCLUSIONS: Lipid reduction may preserve glomerular filtration rate and may decrease proteinuria in patients with renal disease.","author":[{"dropping-particle":"","family":"Cooper","given":"Andrew I.","non-dropping-particle":"","parse-names":false,"suffix":""}],"container-title":"ACS Central Science","id":"ITEM-3","issue":"6","issued":{"date-parts":[["2017"]]},"page":"544-553","title":"Porous Molecular Solids and Liquids","type":"article-journal","volume":"3"},"uris":["http://www.mendeley.com/documents/?uuid=51a6eb16-0ad2-433d-9e5e-c0716902b91e"]}],"mendeley":{"formattedCitation":"&lt;sup&gt;[1–3]&lt;/sup&gt;","plainTextFormattedCitation":"[1–3]","previouslyFormattedCitation":"&lt;sup&gt;[1–3]&lt;/sup&gt;"},"properties":{"noteIndex":0},"schema":"https://github.com/citation-style-language/schema/raw/master/csl-citation.json"}</w:instrText>
      </w:r>
      <w:r w:rsidRPr="007C53B7">
        <w:rPr>
          <w:vertAlign w:val="superscript"/>
        </w:rPr>
        <w:fldChar w:fldCharType="separate"/>
      </w:r>
      <w:r w:rsidRPr="007C53B7">
        <w:rPr>
          <w:noProof/>
          <w:vertAlign w:val="superscript"/>
        </w:rPr>
        <w:t>[1–3]</w:t>
      </w:r>
      <w:r w:rsidRPr="007C53B7">
        <w:rPr>
          <w:vertAlign w:val="superscript"/>
        </w:rPr>
        <w:fldChar w:fldCharType="end"/>
      </w:r>
      <w:r w:rsidRPr="006B5521">
        <w:t xml:space="preserve"> They differ from conventional liquids because they have permanent, intrinsic micropores, in contrast to the transient, sub-molecular extrinsic voids found in all liquids (Figure 1). PLs can be categorized by their composition: Type 1 PLs are neat molecular liquids containing internal cavities; Type 2 PLs (Figure 1b) are solutions of porous molecules in a solvent that is size-excluded from the pores; and Type 3 PLs are dispersions of porous particles suspended in a cavity excluded liquid.</w:t>
      </w:r>
      <w:r w:rsidRPr="007C53B7">
        <w:rPr>
          <w:vertAlign w:val="superscript"/>
        </w:rPr>
        <w:fldChar w:fldCharType="begin" w:fldLock="1"/>
      </w:r>
      <w:r w:rsidRPr="007C53B7">
        <w:rPr>
          <w:vertAlign w:val="superscript"/>
        </w:rPr>
        <w:instrText>ADDIN CSL_CITATION {"citationItems":[{"id":"ITEM-1","itemData":{"DOI":"10.1002/chem.200700090","ISBN":"0947-6539 (Print)\\n0947-6539 (Linking)","ISSN":"09476539","PMID":"17351993","abstract":"The aim of this article is to put forward the novel concept of porous liquids, or, more precisely, liquids with permanent microporosity. In contrast to the small, transient cavities that exist between the molecules of any liquid (here called \"extrinsic\" porosity), we suggest that a truly microporous liquid could exist if it had empty pores within the molecules of the liquid (\"intrinsic\" porosity). By using rigid host molecules with restricted access windows, any unwanted occupation of the pores could be prevented (i.e., the pores could be kept empty and available so that the liquid would be genuinely microporous). The liquid could have permanent, well-defined, empty pores capable of molecular recognition when exposed to other species (e.g., gases etc.). We stress that these phases are not the same as simple solutions of host species, in which any pores would normally be occupied by solvent molecules. In microporous liquids, any solvent molecules, if present, would be deliberately sterically excluded from the host cavities, to leave them readily accessible. Microporous liquids would be of considerable fundamental interest. They could combine properties of microporous solids, such as size- and shape-selective sorption and so forth, with the rapid mass transfer, fluidity and fast kinetics of liquids. Some synthetic approaches to these materials are discussed in this article. Also, whilst the overall concept of microporous liquids is new, literature is described which suggests that some examples have arguably already been reported, even if they have not previously been recognised and characterised in such terms.","author":[{"dropping-particle":"","family":"O'Reilly","given":"Niamh","non-dropping-particle":"","parse-names":false,"suffix":""},{"dropping-particle":"","family":"Giri","given":"Nicola","non-dropping-particle":"","parse-names":false,"suffix":""},{"dropping-particle":"","family":"James","given":"Stuart L.","non-dropping-particle":"","parse-names":false,"suffix":""}],"container-title":"Chemistry - A European Journal","id":"ITEM-1","issue":"11","issued":{"date-parts":[["2007"]]},"page":"3020-3025","title":"Porous liquids","type":"article-journal","volume":"13"},"uris":["http://www.mendeley.com/documents/?uuid=19902e5e-9979-4031-aa3a-1f6c47b5c391"]}],"mendeley":{"formattedCitation":"&lt;sup&gt;[4]&lt;/sup&gt;","plainTextFormattedCitation":"[4]","previouslyFormattedCitation":"&lt;sup&gt;[4]&lt;/sup&gt;"},"properties":{"noteIndex":0},"schema":"https://github.com/citation-style-language/schema/raw/master/csl-citation.json"}</w:instrText>
      </w:r>
      <w:r w:rsidRPr="007C53B7">
        <w:rPr>
          <w:vertAlign w:val="superscript"/>
        </w:rPr>
        <w:fldChar w:fldCharType="separate"/>
      </w:r>
      <w:r w:rsidRPr="007C53B7">
        <w:rPr>
          <w:noProof/>
          <w:vertAlign w:val="superscript"/>
        </w:rPr>
        <w:t>[4]</w:t>
      </w:r>
      <w:r w:rsidRPr="007C53B7">
        <w:rPr>
          <w:vertAlign w:val="superscript"/>
        </w:rPr>
        <w:fldChar w:fldCharType="end"/>
      </w:r>
      <w:r w:rsidRPr="006B5521">
        <w:t xml:space="preserve"> Examples of all three types of PL have been described recently,</w:t>
      </w:r>
      <w:r w:rsidRPr="007C53B7">
        <w:rPr>
          <w:vertAlign w:val="superscript"/>
        </w:rPr>
        <w:fldChar w:fldCharType="begin" w:fldLock="1"/>
      </w:r>
      <w:r w:rsidR="003A244A">
        <w:rPr>
          <w:vertAlign w:val="superscript"/>
        </w:rPr>
        <w:instrText>ADDIN CSL_CITATION {"citationItems":[{"id":"ITEM-1","itemData":{"DOI":"10.1002/anie.201409420","ISBN":"1521-3773 (Electronic)\\r1433-7851 (Linking)","ISSN":"15213773","PMID":"25404583","abstract":"A porous liquid containing empty cavities has been successfully fabricated by surface engineering of hollow structures with suitable corona and canopy species. By taking advantage of the liquid-like polymeric matrices as a separation medium and the empty cavities as gas transport pathway, this unique porous liquid can function as a promising candidate for gas separation. Moreover, such a facile synthetic strategy can be further extended to the fabrication of other types of nanostructure-based porous liquid, opening up new opportunities for preparation of porous liquids with attractive properties for specific tasks.","author":[{"dropping-particle":"","family":"Zhang","given":"Jinshui","non-dropping-particle":"","parse-names":false,"suffix":""},{"dropping-particle":"","family":"Chai","given":"Song Hai","non-dropping-particle":"","parse-names":false,"suffix":""},{"dropping-particle":"","family":"Qiao","given":"Zhen An","non-dropping-particle":"","parse-names":false,"suffix":""},{"dropping-particle":"","family":"Mahurin","given":"Shannon M.","non-dropping-particle":"","parse-names":false,"suffix":""},{"dropping-particle":"","family":"Chen","given":"Jihua","non-dropping-particle":"","parse-names":false,"suffix":""},{"dropping-particle":"","family":"Fang","given":"Youxing","non-dropping-particle":"","parse-names":false,"suffix":""},{"dropping-particle":"","family":"Wan","given":"Shun","non-dropping-particle":"","parse-names":false,"suffix":""},{"dropping-particle":"","family":"Nelson","given":"Kimberly","non-dropping-particle":"","parse-names":false,"suffix":""},{"dropping-particle":"","family":"Zhang","given":"Pengfei","non-dropping-particle":"","parse-names":false,"suffix":""},{"dropping-particle":"","family":"Dai","given":"Sheng","non-dropping-particle":"","parse-names":false,"suffix":""}],"container-title":"Angewandte Chemie - International Edition","id":"ITEM-1","issue":"3","issued":{"date-parts":[["2015"]]},"page":"932-936","title":"Porous liquids: A promising class of media for gas separation","type":"article-journal","volume":"54"},"uris":["http://www.mendeley.com/documents/?uuid=15ddd87d-9d4e-40c9-88ac-58a7082082df"]},{"id":"ITEM-2","itemData":{"DOI":"10.1002/anie.201708843","ISSN":"14337851","author":[{"dropping-particle":"","family":"Li","given":"PeiPei","non-dropping-particle":"","parse-names":false,"suffix":""},{"dropping-particle":"","family":"Schott","given":"Jennifer A.","non-dropping-particle":"","parse-names":false,"suffix":""},{"dropping-particle":"","family":"Zhang","given":"Jinshui","non-dropping-particle":"","parse-names":false,"suffix":""},{"dropping-particle":"","family":"Mahurin","given":"Shannon M.","non-dropping-particle":"","parse-names":false,"suffix":""},{"dropping-particle":"","family":"Sheng","given":"Yujie","non-dropping-particle":"","parse-names":false,"suffix":""},{"dropping-particle":"","family":"Hu","given":"Xunxiang","non-dropping-particle":"","parse-names":false,"suffix":""},{"dropping-particle":"","family":"Cui","given":"Guokai","non-dropping-particle":"","parse-names":false,"suffix":""},{"dropping-particle":"","family":"Yao","given":"Dongdong","non-dropping-particle":"","parse-names":false,"suffix":""},{"dropping-particle":"","family":"Brown","given":"Suree","non-dropping-particle":"","parse-names":false,"suffix":""},{"dropping-particle":"","family":"Zheng","given":"Yaping","non-dropping-particle":"","parse-names":false,"suffix":""},{"dropping-particle":"","family":"Qiao","given":"Zhen-An","non-dropping-particle":"","parse-names":false,"suffix":""},{"dropping-particle":"","family":"Hu","given":"Xunxiang","non-dropping-particle":"","parse-names":false,"suffix":""},{"dropping-particle":"","family":"Cui","given":"Guokai","non-dropping-particle":"","parse-names":false,"suffix":""},{"dropping-particle":"","family":"Yao","given":"Dongdong","non-dropping-particle":"","parse-names":false,"suffix":""},{"dropping-particle":"","family":"Brown","given":"Suree","non-dropping-particle":"","parse-names":false,"suffix":""},{"dropping-particle":"","family":"Zheng","given":"Yaping","non-dropping-particle":"","parse-names":false,"suffix":""},{"dropping-particle":"","family":"Dai","given":"Sheng","non-dropping-particle":"","parse-names":false,"suffix":""}],"container-title":"Angewandte Chemie International Edition","id":"ITEM-2","issued":{"date-parts":[["2017"]]},"page":"14958","title":"Electrostatic-assisted Liquefaction of Porous Carbons","type":"article-journal","volume":"56"},"uris":["http://www.mendeley.com/documents/?uuid=d3a142d0-d559-45ab-b2a4-039dfa7ed45d"]},{"id":"ITEM-3","itemData":{"DOI":"10.1021/acs.langmuir.7b04212","ISSN":"0743-7463","abstract":"LangmuirDOI: 10.1021/acs.langmuir.7b04212","author":[{"dropping-particle":"","family":"Liu","given":"Shengjun","non-dropping-particle":"","parse-names":false,"suffix":""},{"dropping-particle":"","family":"Liu","given":"Jiandang","non-dropping-particle":"","parse-names":false,"suffix":""},{"dropping-particle":"","family":"Hou","given":"Xudong","non-dropping-particle":"","parse-names":false,"suffix":""},{"dropping-particle":"","family":"Xu","given":"Tingting","non-dropping-particle":"","parse-names":false,"suffix":""},{"dropping-particle":"","family":"Tong","given":"Jing","non-dropping-particle":"","parse-names":false,"suffix":""},{"dropping-particle":"","family":"Zhang","given":"Junxiang","non-dropping-particle":"","parse-names":false,"suffix":""},{"dropping-particle":"","family":"Ye","given":"Bangjiao","non-dropping-particle":"","parse-names":false,"suffix":""},{"dropping-particle":"","family":"Liu","given":"Bo","non-dropping-particle":"","parse-names":false,"suffix":""}],"container-title":"Langmuir","id":"ITEM-3","issue":"12","issued":{"date-parts":[["2018"]]},"page":"3654-3660","title":"Porous Liquid: Stable ZIF-8 Colloid in Ionic Liquid with Permanent Porosity","type":"article-journal","volume":"34"},"uris":["http://www.mendeley.com/documents/?uuid=336e85ab-222d-4db8-a1ca-1a64d87d6f6e"]},{"id":"ITEM-4","itemData":{"DOI":"10.1016/j.energy.2018.12.175","ISSN":"0360-5442","author":[{"dropping-particle":"","family":"Li","given":"Xiaoqiang","non-dropping-particle":"","parse-names":false,"suffix":""},{"dropping-particle":"","family":"Ding","given":"Yudong","non-dropping-particle":"","parse-names":false,"suffix":""},{"dropping-particle":"","family":"Guo","given":"Liheng","non-dropping-particle":"","parse-names":false,"suffix":""},{"dropping-particle":"","family":"Liao","given":"Qiang","non-dropping-particle":"","parse-names":false,"suffix":""},{"dropping-particle":"","family":"Zhu","given":"Xun","non-dropping-particle":"","parse-names":false,"suffix":""}],"container-title":"Energy","id":"ITEM-4","issued":{"date-parts":[["2019"]]},"page":"109-119","publisher":"Elsevier Ltd","title":"Non-aqueous energy-ef fi cient absorbents for CO 2 capture based on porous silica nanospheres impregnated with amine","type":"article-journal","volume":"171"},"uris":["http://www.mendeley.com/documents/?uuid=ae58e39d-fc4f-4d9c-9893-0d6a3fb20264"]},{"id":"ITEM-5","itemData":{"DOI":"10.1039/c8nr07337f","author":[{"dropping-particle":"","family":"Li","given":"Peipei","non-dropping-particle":"","parse-names":false,"suffix":""},{"dropping-particle":"","family":"Chen","given":"Hao","non-dropping-particle":"","parse-names":false,"suffix":""},{"dropping-particle":"","family":"Schott","given":"Jennifer A","non-dropping-particle":"","parse-names":false,"suffix":""},{"dropping-particle":"","family":"Li","given":"Bo","non-dropping-particle":"","parse-names":false,"suffix":""},{"dropping-particle":"","family":"Zheng","given":"Yaping","non-dropping-particle":"","parse-names":false,"suffix":""}],"id":"ITEM-5","issued":{"date-parts":[["2019"]]},"page":"1515-1519","publisher":"Royal Society of Chemistry","title":"Porous liquid zeolites : hydrogen bonding- stabilized H-ZSM-5 in branched ionic liquids †","type":"article-journal"},"uris":["http://www.mendeley.com/documents/?uuid=b490ed0b-b894-4cba-8e50-fedab7c9e223"]},{"id":"ITEM-6","itemData":{"DOI":"10.1021/acsami.7b15873","ISSN":"19448252","PMID":"29277992","abstract":"Porous materials have already manifested their unique properties in a number of fields. Generally, all porous materials are in a solid state other than liquid, in which molecules are closely packed without porosity. “Porous” and “liquid” seem like antonyms. Herein, we report a new class of Type 3 porous liquids based on rational coupling of microporous framework nanoparticles as porous hosts with a bulky ionic liquid as the fluid media. Positron annihilation lifetime spectroscopy (PALS) and CO2 adsorption measurements confirm the successful engineering of permanent porosity into these liquids. Compared to common porous solid materials, as-synthesized porous liquids exhibited pronounced hysteresis loops in the CO2 sorption isotherms even at ambient conditions (298 K, 1 bar). The unique features of these novel porous liquids could bring new opportunities in many fields including gas separation and storage, air separation and regeneration, gas transport, and permanent gas storage at ambient conditions.","author":[{"dropping-particle":"","family":"Shan","given":"Weida","non-dropping-particle":"","parse-names":false,"suffix":""},{"dropping-particle":"","family":"Fulvio","given":"Pasquale F.","non-dropping-particle":"","parse-names":false,"suffix":""},{"dropping-particle":"","family":"Kong","given":"Liyun","non-dropping-particle":"","parse-names":false,"suffix":""},{"dropping-particle":"","family":"Schott","given":"Jennifer A.","non-dropping-particle":"","parse-names":false,"suffix":""},{"dropping-particle":"","family":"Do-Thanh","given":"Chi Linh","non-dropping-particle":"","parse-names":false,"suffix":""},{"dropping-particle":"","family":"Tian","given":"Tao","non-dropping-particle":"","parse-names":false,"suffix":""},{"dropping-particle":"","family":"Hu","given":"Xunxiang","non-dropping-particle":"","parse-names":false,"suffix":""},{"dropping-particle":"","family":"Mahurin","given":"Shannon M.","non-dropping-particle":"","parse-names":false,"suffix":""},{"dropping-particle":"","family":"Xing","given":"Huabin","non-dropping-particle":"","parse-names":false,"suffix":""},{"dropping-particle":"","family":"Dai","given":"Sheng","non-dropping-particle":"","parse-names":false,"suffix":""}],"container-title":"ACS Applied Materials and Interfaces","id":"ITEM-6","issue":"1","issued":{"date-parts":[["2018"]]},"page":"32-36","title":"New Class of Type III Porous Liquids: A Promising Platform for Rational Adjustment of Gas Sorption Behavior","type":"article-journal","volume":"10"},"uris":["http://www.mendeley.com/documents/?uuid=3f8215f7-7795-4f6a-ae62-1d12c2268eb3"]},{"id":"ITEM-7","itemData":{"DOI":"10.1002/cphc.201700842","author":[{"dropping-particle":"","family":"Shi","given":"Ting","non-dropping-particle":"","parse-names":false,"suffix":""},{"dropping-particle":"","family":"Zheng","given":"Yaping","non-dropping-particle":"","parse-names":false,"suffix":""},{"dropping-particle":"","family":"Wang","given":"Tianyu","non-dropping-particle":"","parse-names":false,"suffix":""},{"dropping-particle":"","family":"Li","given":"Peipei","non-dropping-particle":"","parse-names":false,"suffix":""},{"dropping-particle":"","family":"Wang","given":"Yudeng","non-dropping-particle":"","parse-names":false,"suffix":""},{"dropping-particle":"","family":"Yao","given":"Dongdong","non-dropping-particle":"","parse-names":false,"suffix":""}],"container-title":"ChemPhysChem","id":"ITEM-7","issued":{"date-parts":[["2018"]]},"page":"130-137","title":"Effect of Pore Size on the Carbon Dioxide Adsorption Behavior of Porous Liquids Based on Hollow Silica","type":"article-journal","volume":"19"},"uris":["http://www.mendeley.com/documents/?uuid=d7d0511f-50c7-4ecf-a1c1-fd0c405fc2d7"]},{"id":"ITEM-8","itemData":{"DOI":"10.1016/J.JCT.2018.08.038","ISSN":"0021-9614","abstract":"Absorption and adsorption technology as widely used methods have been reported for carbon dioxide (CO2) separation. In order to combine the advantages of absorption and adsorption methods, ionic liquids (ILs) as absorption function and zeolitic imidazolate framework-8 (ZIF-8) as adsorption function were integrated into a slurry to efficiently capture CO2 by the absorption-adsorption method. In this study, two pyridinium-based ILs, [C4Py][NTf2] and [C4Py][N(CN)2] were synthesized, and mixed with different concentration of ZIF-8 to form hybrid slurries. CO2 solubility in the different hybrid slurries at temperatures from 303.15 to 333.15 K was measured. The results indicated that CO2 solubility increases significantly with increasing pressure and decreases with increasing temperature. Moreover, CO2 solubility increases with the increase of ZIF-8 content, indicating that the addition of ZIF-8 into ILs can obviously enhance CO2 solubility. CO2 solubility in the ZIF-8/[C4Py][NTf2] slurry increases by 24% compared with the corresponding pure IL at 303.15 K and 1.80 MPa. The absorption-adsorption mechanism was studied using FT-IR and NMR spectroscopy. It was demonstrated that CO2 absorption and adsorption in the ZIF-8/ILs hybrid slurries is a physical process. Furthermore, the ZIF-8/[C4Py][NTf2] slurry can also keep the stable absorption performance after five consecutive absorption and desorption cycles. Considering the excellent capacity, thermal stability and recyclability, the porous materials/ILs slurry will provide new insight to CO2 capture compared with the conventional absorbents.","author":[{"dropping-particle":"","family":"Wang","given":"Xue","non-dropping-particle":"","parse-names":false,"suffix":""},{"dropping-particle":"","family":"Shang","given":"Dawei","non-dropping-particle":"","parse-names":false,"suffix":""},{"dropping-particle":"","family":"Zeng","given":"Shaojuan","non-dropping-particle":"","parse-names":false,"suffix":""},{"dropping-particle":"","family":"Wang","given":"Yuanming","non-dropping-particle":"","parse-names":false,"suffix":""},{"dropping-particle":"","family":"Zhang","given":"Xiaochun","non-dropping-particle":"","parse-names":false,"suffix":""},{"dropping-particle":"","family":"Zhang","given":"Xiangping","non-dropping-particle":"","parse-names":false,"suffix":""},{"dropping-particle":"","family":"Liu","given":"Jindun","non-dropping-particle":"","parse-names":false,"suffix":""}],"container-title":"The Journal of Chemical Thermodynamics","id":"ITEM-8","issued":{"date-parts":[["2019","1","1"]]},"page":"415-423","publisher":"Academic Press","title":"Enhanced CO2 capture by binary systems of pyridinium-based ionic liquids and porous ZIF-8 particles","type":"article-journal","volume":"128"},"uris":["http://www.mendeley.com/documents/?uuid=ccb968b2-b486-3ea9-940d-6f95b990c94f"]}],"mendeley":{"formattedCitation":"&lt;sup&gt;[5–12]&lt;/sup&gt;","plainTextFormattedCitation":"[5–12]","previouslyFormattedCitation":"&lt;sup&gt;[5–12]&lt;/sup&gt;"},"properties":{"noteIndex":0},"schema":"https://github.com/citation-style-language/schema/raw/master/csl-citation.json"}</w:instrText>
      </w:r>
      <w:r w:rsidRPr="007C53B7">
        <w:rPr>
          <w:vertAlign w:val="superscript"/>
        </w:rPr>
        <w:fldChar w:fldCharType="separate"/>
      </w:r>
      <w:r w:rsidRPr="007C53B7">
        <w:rPr>
          <w:noProof/>
          <w:vertAlign w:val="superscript"/>
        </w:rPr>
        <w:t>[5–12]</w:t>
      </w:r>
      <w:r w:rsidRPr="007C53B7">
        <w:rPr>
          <w:vertAlign w:val="superscript"/>
        </w:rPr>
        <w:fldChar w:fldCharType="end"/>
      </w:r>
      <w:r w:rsidRPr="006B5521">
        <w:t xml:space="preserve"> and molecular simulations have led to a better understanding of their microstructure.</w:t>
      </w:r>
      <w:r w:rsidRPr="007C53B7">
        <w:rPr>
          <w:vertAlign w:val="superscript"/>
        </w:rPr>
        <w:fldChar w:fldCharType="begin" w:fldLock="1"/>
      </w:r>
      <w:r w:rsidRPr="007C53B7">
        <w:rPr>
          <w:vertAlign w:val="superscript"/>
        </w:rPr>
        <w:instrText>ADDIN CSL_CITATION {"citationItems":[{"id":"ITEM-1","itemData":{"DOI":"10.1039/c4cp00582a","ISBN":"10.1039/C4CP00582A","ISSN":"1463-9084","PMID":"24722729","abstract":"Standard microporous materials are typically crystalline solids that exhibit a regular array of cavities of uniform size and shape. Packing and directional bonding between molecular building blocks give rise to interstitial pores that confer size and shape-specific sorption properties to the material. In the liquid state interstitial cavities are transient. However, permanent and intrinsic \"pores\" can potentially be built into the structure of the molecules that constitute the liquid. With the aid of computer simulations we have designed, synthesised and characterised a series of liquids composed of hollow cage-like molecules, which are functionalised with hydrocarbon chains to make them liquid at accessible temperatures. Experiments and simulations demonstrate that chain length and size of terminal chain substituents can be used to tune, within certain margins, the permanence of intramolecular cavities in such neat liquids. Simulations identify a candidate \"porous liquid\" in which 30% of the cages remain empty in the liquid state. Absorbed methane molecules selectively occupy these empty cavities.","author":[{"dropping-particle":"","family":"Melaugh","given":"Gavin","non-dropping-particle":"","parse-names":false,"suffix":""},{"dropping-particle":"","family":"Giri","given":"Nicola","non-dropping-particle":"","parse-names":false,"suffix":""},{"dropping-particle":"","family":"Davidson","given":"Christine E","non-dropping-particle":"","parse-names":false,"suffix":""},{"dropping-particle":"","family":"James","given":"Stuart L","non-dropping-particle":"","parse-names":false,"suffix":""},{"dropping-particle":"","family":"Pópolo","given":"Mario G","non-dropping-particle":"Del","parse-names":false,"suffix":""}],"container-title":"Physical chemistry chemical physics : PCCP","id":"ITEM-1","issue":"20","issued":{"date-parts":[["2014"]]},"page":"9422-31","title":"Designing and understanding permanent microporosity in liquids.","type":"article-journal","volume":"16"},"uris":["http://www.mendeley.com/documents/?uuid=019b1178-3649-4b69-94f7-db71b76be483"]},{"id":"ITEM-2","itemData":{"DOI":"10.1021/acs.jpcb.6b04784","ISSN":"15205207","abstract":"The recent synthesis of organic molecular liquids with permanent porosity opens up exciting new avenues for gas capture, storage, and separation. Using molecular simulations, we study the thermodynamics and kinetics for the storage of CH 4 , CO 2 , and N 2 molecules in porous liquids consisting of crown-ether-substituted cage molecules in a 15-crown-5 solvent. It is found that the intrinsic gas storage capacity per cage molecule follows the order CH 4 &gt; CO 2 &gt; N 2 , which does not correlate simply with the size of gas molecules. Different gas molecules are stored inside the cage differently; e.g., CO 2 molecules prefer the cage's core whereas CH 4 molecules favor both the core and the branch regions. All gas molecules considered can enter the cage essentially without energy barriers and leave the cage on a nanosecond time scale by overcoming a modest energy penalty. The molecular mechanisms of these observations are clarified.","author":[{"dropping-particle":"","family":"Zhang","given":"Fei","non-dropping-particle":"","parse-names":false,"suffix":""},{"dropping-particle":"","family":"Yang","given":"Fengchang","non-dropping-particle":"","parse-names":false,"suffix":""},{"dropping-particle":"","family":"Huang","given":"Jingsong","non-dropping-particle":"","parse-names":false,"suffix":""},{"dropping-particle":"","family":"Sumpter","given":"Bobby G.","non-dropping-particle":"","parse-names":false,"suffix":""},{"dropping-particle":"","family":"Qiao","given":"Rui","non-dropping-particle":"","parse-names":false,"suffix":""}],"container-title":"Journal of Physical Chemistry B","id":"ITEM-2","issue":"29","issued":{"date-parts":[["2016"]]},"page":"7195-7200","title":"Thermodynamics and Kinetics of Gas Storage in Porous Liquids","type":"article-journal","volume":"120"},"uris":["http://www.mendeley.com/documents/?uuid=df767790-28ee-433a-9018-77b860bfe295"]},{"id":"ITEM-3","itemData":{"DOI":"10.1021/acs.jpcc.7b01260","author":[{"dropping-particle":"","family":"Zhang","given":"Fei","non-dropping-particle":"","parse-names":false,"suffix":""},{"dropping-particle":"","family":"He","given":"Yadong","non-dropping-particle":"","parse-names":false,"suffix":""},{"dropping-particle":"","family":"Huang","given":"Jingsong","non-dropping-particle":"","parse-names":false,"suffix":""},{"dropping-particle":"","family":"Sumpter","given":"Bobby G","non-dropping-particle":"","parse-names":false,"suffix":""},{"dropping-particle":"","family":"Qiao","given":"Rui","non-dropping-particle":"","parse-names":false,"suffix":""}],"id":"ITEM-3","issued":{"date-parts":[["2017"]]},"title":"Multicomponent Gas Storage in Organic Cage Molecules","type":"article-journal"},"uris":["http://www.mendeley.com/documents/?uuid=193a5f6d-50a2-464c-9d1b-6861a6da7944"]},{"id":"ITEM-4","itemData":{"DOI":"10.1002/anie.201805495","ISSN":"14337851","abstract":"Liquids with permanent porosity can be created by incorporating empty cavities into liquid phases hence adding novel functionalities to conventional fluid absorbents and opening new perspectives for a range of applications including separations, catalysis and drug delivery. The preparation of porous liquids is difficult, especially in the case where they consist of a neat fluid composed by molecular entities containing empty cavities (type I porous liquid) or when these molecular entities are dissolved in sterically hindered solvents (type II porous liquids). Amongst the synthetic approaches proposed so far, the dispersion and stabilisation of solid porous materials i</w:instrText>
      </w:r>
      <w:r w:rsidRPr="007C53B7">
        <w:rPr>
          <w:rFonts w:hint="eastAsia"/>
          <w:vertAlign w:val="superscript"/>
        </w:rPr>
        <w:instrText>n hindered solvents, too large to enter the pores of the solid allowing the formation of type III porous liquids, has not been considered. We have prepared a new porous liquid from the dispersion of well characterized metal</w:instrText>
      </w:r>
      <w:r w:rsidRPr="007C53B7">
        <w:rPr>
          <w:rFonts w:hint="eastAsia"/>
          <w:vertAlign w:val="superscript"/>
        </w:rPr>
        <w:instrText>‐</w:instrText>
      </w:r>
      <w:r w:rsidRPr="007C53B7">
        <w:rPr>
          <w:rFonts w:hint="eastAsia"/>
          <w:vertAlign w:val="superscript"/>
        </w:rPr>
        <w:instrText>organic frameworks in an appropriately chosen ionic liquid. Both ionic liquids and metal</w:instrText>
      </w:r>
      <w:r w:rsidRPr="007C53B7">
        <w:rPr>
          <w:rFonts w:hint="eastAsia"/>
          <w:vertAlign w:val="superscript"/>
        </w:rPr>
        <w:instrText>‐</w:instrText>
      </w:r>
      <w:r w:rsidRPr="007C53B7">
        <w:rPr>
          <w:rFonts w:hint="eastAsia"/>
          <w:vertAlign w:val="superscript"/>
        </w:rPr>
        <w:instrText>organic frameworks are new families of materials, now easily prepared and available as off</w:instrText>
      </w:r>
      <w:r w:rsidRPr="007C53B7">
        <w:rPr>
          <w:rFonts w:hint="eastAsia"/>
          <w:vertAlign w:val="superscript"/>
        </w:rPr>
        <w:instrText>‐</w:instrText>
      </w:r>
      <w:r w:rsidRPr="007C53B7">
        <w:rPr>
          <w:rFonts w:hint="eastAsia"/>
          <w:vertAlign w:val="superscript"/>
        </w:rPr>
        <w:instrText>the</w:instrText>
      </w:r>
      <w:r w:rsidRPr="007C53B7">
        <w:rPr>
          <w:rFonts w:hint="eastAsia"/>
          <w:vertAlign w:val="superscript"/>
        </w:rPr>
        <w:instrText>‐</w:instrText>
      </w:r>
      <w:r w:rsidRPr="007C53B7">
        <w:rPr>
          <w:rFonts w:hint="eastAsia"/>
          <w:vertAlign w:val="superscript"/>
        </w:rPr>
        <w:instrText>shelf chemicals whose fascinating properties have already lead to applications in engineering, physics, chemistry and medicine. Porous liquids prepared by the addition of only 2 to 5% of ZIF</w:instrText>
      </w:r>
      <w:r w:rsidRPr="007C53B7">
        <w:rPr>
          <w:rFonts w:hint="eastAsia"/>
          <w:vertAlign w:val="superscript"/>
        </w:rPr>
        <w:instrText>‐</w:instrText>
      </w:r>
      <w:r w:rsidRPr="007C53B7">
        <w:rPr>
          <w:rFonts w:hint="eastAsia"/>
          <w:vertAlign w:val="superscript"/>
        </w:rPr>
        <w:instrText>8 to a phosphonium based ionic liquid are capable of absorbing reversibly large quantities of gas when compared with the pure ionic liquid (+63% of carbon dioxide, +1</w:instrText>
      </w:r>
      <w:r w:rsidRPr="007C53B7">
        <w:rPr>
          <w:vertAlign w:val="superscript"/>
        </w:rPr>
        <w:instrText>00% of methane and +150% of nitrogen). The suspension of the solid material is stable for several months while reversibly maintaining its high gas absorption capacity. &lt;/p&gt;","author":[{"dropping-particle":"","family":"Costa Gomes","given":"Margarida","non-dropping-particle":"","parse-names":false,"suffix":""},{"dropping-particle":"","family":"Pison","given":"Laure","non-dropping-particle":"","parse-names":false,"suffix":""},{"dropping-particle":"","family":"Červinka","given":"Ctirad","non-dropping-particle":"","parse-names":false,"suffix":""},{"dropping-particle":"","family":"Padua","given":"Agilio","non-dropping-particle":"","parse-names":false,"suffix":""}],"container-title":"Angewandte Chemie International Edition","id":"ITEM-4","issued":{"date-parts":[["2018"]]},"page":"1-5","title":"Porous ionic liquids or liquid metal-organic frameworks ?","type":"article-journal"},"uris":["http://www.mendeley.com/documents/?uuid=eacd5dc2-e97c-4987-b29a-8b4a47e2aae8"]}],"mendeley":{"formattedCitation":"&lt;sup&gt;[13–16]&lt;/sup&gt;","plainTextFormattedCitation":"[13–16]","previouslyFormattedCitation":"&lt;sup&gt;[13–16]&lt;/sup&gt;"},"properties":{"noteIndex":0},"schema":"https://github.com/citation-style-language/schema/raw/master/csl-citation.json"}</w:instrText>
      </w:r>
      <w:r w:rsidRPr="007C53B7">
        <w:rPr>
          <w:vertAlign w:val="superscript"/>
        </w:rPr>
        <w:fldChar w:fldCharType="separate"/>
      </w:r>
      <w:r w:rsidRPr="007C53B7">
        <w:rPr>
          <w:noProof/>
          <w:vertAlign w:val="superscript"/>
        </w:rPr>
        <w:t>[13–16]</w:t>
      </w:r>
      <w:r w:rsidRPr="007C53B7">
        <w:rPr>
          <w:vertAlign w:val="superscript"/>
        </w:rPr>
        <w:fldChar w:fldCharType="end"/>
      </w:r>
    </w:p>
    <w:p w14:paraId="0DF71B8A" w14:textId="77777777" w:rsidR="006B5521" w:rsidRPr="006B5521" w:rsidRDefault="006B5521" w:rsidP="006B5521">
      <w:pPr>
        <w:pStyle w:val="P1"/>
      </w:pPr>
    </w:p>
    <w:p w14:paraId="5BE82CA3" w14:textId="6768A7A6" w:rsidR="00B113B0" w:rsidRDefault="008669DE" w:rsidP="006B5521">
      <w:r>
        <w:rPr>
          <w:noProof/>
        </w:rPr>
        <w:drawing>
          <wp:inline distT="0" distB="0" distL="0" distR="0" wp14:anchorId="27A3241E" wp14:editId="1C0E3089">
            <wp:extent cx="3078480" cy="1722120"/>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8480" cy="1722120"/>
                    </a:xfrm>
                    <a:prstGeom prst="rect">
                      <a:avLst/>
                    </a:prstGeom>
                    <a:noFill/>
                    <a:ln>
                      <a:noFill/>
                    </a:ln>
                  </pic:spPr>
                </pic:pic>
              </a:graphicData>
            </a:graphic>
          </wp:inline>
        </w:drawing>
      </w:r>
    </w:p>
    <w:p w14:paraId="75054932" w14:textId="77777777" w:rsidR="00A81CB3" w:rsidRDefault="00A81CB3" w:rsidP="00A81CB3">
      <w:pPr>
        <w:pStyle w:val="FigureCaption"/>
      </w:pPr>
      <w:r w:rsidRPr="008112F4">
        <w:rPr>
          <w:b/>
        </w:rPr>
        <w:t>Figure 1.</w:t>
      </w:r>
      <w:r w:rsidRPr="008112F4">
        <w:t xml:space="preserve"> Diagram representing (a) conventional molecular liquids and (b) Type 2 molecular porous liquids. Solvent molecules are displayed as grey circles.</w:t>
      </w:r>
    </w:p>
    <w:p w14:paraId="66D5F727" w14:textId="7D81192D" w:rsidR="00A81CB3" w:rsidRDefault="00A81CB3" w:rsidP="00A81CB3">
      <w:pPr>
        <w:pStyle w:val="P1"/>
      </w:pPr>
      <w:r w:rsidRPr="008112F4">
        <w:t>Porous organic cages (POCs) are a relatively new class of microporous solids that, unlike extended frameworks, are constructed from discrete organic molecules.</w:t>
      </w:r>
      <w:r w:rsidRPr="008112F4">
        <w:fldChar w:fldCharType="begin" w:fldLock="1"/>
      </w:r>
      <w:r w:rsidR="00D8118A">
        <w:instrText>ADDIN CSL_CITATION {"citationItems":[{"id":"ITEM-1","itemData":{"DOI":"10.1002/anie.201710190","ISBN":"1521-3773 (Electronic)\r1433-7851 (Linking)","ISSN":"15213773","PMID":"29205727","abstract":"Porous organic materials are an emerging class of functional nanostructures with unprecedented properties. Dynamic covalent assembly of small organic building blocks under thermodynamic control is utilized for the intriguingly simple formation of complex molecular architectures in one-pot procedures. In this review, we aim to analyze the basic design principles that govern the formation of either covalent organic frameworks as crystalline porous polymers or covalent organic cage compounds as shape-persistent molecular objects. Common synthetic protocols and characterization techniques will be discussed besides more advanced strategies such as postsynthetic modification or self-sorting. When appropriate, healthy comparisons are drawn between polymeric frameworks and discrete organic cages considering their underlying properties. Furthermore, we highlight the potential of these materials for applications ranging from gas storage to catalysis or organic electronics.","author":[{"dropping-particle":"","family":"Beuerle","given":"Florian","non-dropping-particle":"","parse-names":false,"suffix":""},{"dropping-particle":"","family":"Gole","given":"Bappaditya","non-dropping-particle":"","parse-names":false,"suffix":""}],"container-title":"Angewandte Chemie - International Edition","id":"ITEM-1","issued":{"date-parts":[["2018"]]},"page":"2-31","title":"Covalent Organic Frameworks and Cage Compounds: Design and Applications of Polymeric and Discrete Organic Scaffolds","type":"article-journal"},"uris":["http://www.mendeley.com/documents/?uuid=96e17434-80df-4370-9512-d959bbf3aee4"]},{"id":"ITEM-2","itemData":{"DOI":"10.1002/anie.201900163","ISSN":"14337851","author":[{"dropping-particle":"","family":"Mukherjee","given":"Partha Sarathi","non-dropping-particle":"","parse-names":false,"suffix":""},{"dropping-particle":"","family":"Acharyya","given":"Koushik","non-dropping-particle":"","parse-names":false,"suffix":""}],"container-title":"Angewandte Chemie International Edition","id":"ITEM-2","issued":{"date-parts":[["2019"]]},"title":"Organic Imine Cages: Molecular Marriage and Applications","type":"article-journal"},"uris":["http://www.mendeley.com/documents/?uuid=6d1d1235-85d5-4556-8dac-bbbb40a741a1"]},{"id":"ITEM-3","itemData":{"DOI":"10.1021/acs.accounts.8b00298","ISBN":"0269-2813","ISSN":"15204898","PMID":"20500734","abstract":"BACKGROUND: Portal vein tumour thrombosis is a negative prognostic factor for hepatocellular carcinoma (HCC). AIM: To assess the efficacy of cisplatin in lipiodol emulsion combined with 5-fluorouracil (5-FU) for patients with HCC and portal vein tumour thrombosis. METHODS: The study subjects were 51 patients with the above-specified criteria who received injection of cisplatin suspension in lipiodol emulsion followed by intra-arterial infusion of 5-FU. The primary objective was to determine tumour response to the treatment, while the secondary objectives were safety and tolerability. Independent factors for survival were also assessed. RESULTS: Ten patients had complete response and 34 patients had partial response (response rate, 86.3%). The median survival for all 51 patients was 33 months, while that for 10 complete response patients and 21 patients who showed disappearance of HCC following additional therapies was 39 months. The single factor that significantly influenced survival was therapeutic effect. Treatment was well tolerated and severe toxicity was infrequent, with only grade 3 toxicity (thrombocytopenia) in one patient. CONCLUSIONS: The present study demonstrated the efficacy of hepatic arterial infusion chemotherapy using cisplatin-lipiodol emulsion and 5-FU without serious adverse effects in patients with unresectable HCC and portal vein tumour thrombosis.","author":[{"dropping-particle":"","family":"Mastalerz","given":"Michael","non-dropping-particle":"","parse-names":false,"suffix":""}],"container-title":"Accounts of Chemical Research","id":"ITEM-3","issue":"10","issued":{"date-parts":[["2018"]]},"page":"2411-2422","title":"Porous Shape-Persistent Organic Cage Compounds of Different Size, Geometry, and Function","type":"article-journal","volume":"51"},"uris":["http://www.mendeley.com/documents/?uuid=6df8cba7-288a-4105-ab04-a7647476eb95"]}],"mendeley":{"formattedCitation":"&lt;sup&gt;[17–19]&lt;/sup&gt;","plainTextFormattedCitation":"[17–19]","previouslyFormattedCitation":"&lt;sup&gt;[17–19]&lt;/sup&gt;"},"properties":{"noteIndex":0},"schema":"https://github.com/citation-style-language/schema/raw/master/csl-citation.json"}</w:instrText>
      </w:r>
      <w:r w:rsidRPr="008112F4">
        <w:fldChar w:fldCharType="separate"/>
      </w:r>
      <w:r w:rsidRPr="008112F4">
        <w:rPr>
          <w:noProof/>
          <w:vertAlign w:val="superscript"/>
        </w:rPr>
        <w:t>[17–19]</w:t>
      </w:r>
      <w:r w:rsidRPr="008112F4">
        <w:fldChar w:fldCharType="end"/>
      </w:r>
      <w:r w:rsidRPr="008112F4">
        <w:t xml:space="preserve"> POCs are shape-persistent molecules containing an internal cavity, which allows them to be dissolved in solvents while retaining their pore structure, setting them apart from many other types of insoluble porous materials, such as zeolites, metal organic frameworks and covalent organic frameworks.</w:t>
      </w:r>
      <w:r w:rsidRPr="008112F4">
        <w:fldChar w:fldCharType="begin" w:fldLock="1"/>
      </w:r>
      <w:r w:rsidR="00D8118A">
        <w:instrText>ADDIN CSL_CITATION {"citationItems":[{"id":"ITEM-1","itemData":{"DOI":"10.1038/natrevmats.2016.53","ISSN":"2058-8437","author":[{"dropping-particle":"","family":"Hasell","given":"Tom","non-dropping-particle":"","parse-names":false,"suffix":""},{"dropping-particle":"","family":"Cooper","given":"Andrew I","non-dropping-particle":"","parse-names":false,"suffix":""}],"container-title":"Nature Review Materials","id":"ITEM-1","issued":{"date-parts":[["2016"]]},"page":"16053","title":"Porous organic cages: soluble, modular and molecular pores","type":"article-journal","volume":"1"},"uris":["http://www.mendeley.com/documents/?uuid=079c5fca-e0e8-4641-a59a-545d60a086d2"]}],"mendeley":{"formattedCitation":"&lt;sup&gt;[20]&lt;/sup&gt;","plainTextFormattedCitation":"[20]","previouslyFormattedCitation":"&lt;sup&gt;[20]&lt;/sup&gt;"},"properties":{"noteIndex":0},"schema":"https://github.com/citation-style-language/schema/raw/master/csl-citation.json"}</w:instrText>
      </w:r>
      <w:r w:rsidRPr="008112F4">
        <w:fldChar w:fldCharType="separate"/>
      </w:r>
      <w:r w:rsidRPr="008112F4">
        <w:rPr>
          <w:noProof/>
          <w:vertAlign w:val="superscript"/>
        </w:rPr>
        <w:t>[20]</w:t>
      </w:r>
      <w:r w:rsidRPr="008112F4">
        <w:fldChar w:fldCharType="end"/>
      </w:r>
      <w:r w:rsidRPr="008112F4">
        <w:t xml:space="preserve"> The discrete nature of POCs has led to attempts to produce Type 1 PLs,</w:t>
      </w:r>
      <w:r w:rsidRPr="008112F4">
        <w:rPr>
          <w:rStyle w:val="CommentReference"/>
          <w:rFonts w:ascii="Times New Roman" w:hAnsi="Times New Roman"/>
          <w:sz w:val="22"/>
          <w:szCs w:val="22"/>
        </w:rPr>
        <w:fldChar w:fldCharType="begin" w:fldLock="1"/>
      </w:r>
      <w:r w:rsidR="00D8118A">
        <w:rPr>
          <w:rStyle w:val="CommentReference"/>
          <w:rFonts w:ascii="Times New Roman" w:hAnsi="Times New Roman"/>
          <w:sz w:val="22"/>
          <w:szCs w:val="22"/>
        </w:rPr>
        <w:instrText>ADDIN CSL_CITATION {"citationItems":[{"id":"ITEM-1","itemData":{"DOI":"10.1039/c2sc01007k","ISBN":"2041-6520\\n2041-6539","ISSN":"2041-6520","abstract":"Rigid organic iminospherand cages are rendered meltable by multiple alkylation; below their melting points they can take the form of permanently porous crystals, crystals unstable to desolvation or non- porous glassy solids depending on chain length and branching; melting points as low as 50 ?C are observed and a fully Newtonian liquid phase is obtained above 80 ?C. Thin glassy fibres can be drawn out from a molten phase.","author":[{"dropping-particle":"","family":"Giri","given":"Nicola","non-dropping-particle":"","parse-names":false,"suffix":""},{"dropping-particle":"","family":"Davidson","given":"Christine E.","non-dropping-particle":"","parse-names":false,"suffix":""},{"dropping-particle":"","family":"Melaugh","given":"Gavin","non-dropping-particle":"","parse-names":false,"suffix":""},{"dropping-particle":"","family":"Pópolo","given":"Mario G.","non-dropping-particle":"Del","parse-names":false,"suffix":""},{"dropping-particle":"","family":"Jones","given":"James T. a.","non-dropping-particle":"","parse-names":false,"suffix":""},{"dropping-particle":"","family":"Hasell","given":"Tom","non-dropping-particle":"","parse-names":false,"suffix":""},{"dropping-particle":"","family":"Cooper","given":"Andrew I","non-dropping-particle":"","parse-names":false,"suffix":""},{"dropping-particle":"","family":"Horton","given":"Peter N.","non-dropping-particle":"","parse-names":false,"suffix":""},{"dropping-particle":"","family":"Hursthouse","given":"Michael B.","non-dropping-particle":"","parse-names":false,"suffix":""},{"dropping-particle":"","family":"James","given":"Stuart L.","non-dropping-particle":"","parse-names":false,"suffix":""}],"container-title":"Chemical Science","id":"ITEM-1","issue":"6","issued":{"date-parts":[["2012"]]},"page":"2153","title":"Alkylated organic cages: from porous crystals to neat liquids","type":"article-journal","volume":"3"},"uris":["http://www.mendeley.com/documents/?uuid=cc56d9e2-c52a-4478-9f7c-48161a93732d"]},{"id":"ITEM-2","itemData":{"DOI":"10.1039/c4cp00582a","ISBN":"10.1039/C4CP00582A","ISSN":"1463-9084","PMID":"24722729","abstract":"Standard microporous materials are typically crystalline solids that exhibit a regular array of cavities of uniform size and shape. Packing and directional bonding between molecular building blocks give rise to interstitial pores that confer size and shape-specific sorption properties to the material. In the liquid state interstitial cavities are transient. However, permanent and intrinsic \"pores\" can potentially be built into the structure of the molecules that constitute the liquid. With the aid of computer simulations we have designed, synthesised and characterised a series of liquids composed of hollow cage-like molecules, which are functionalised with hydrocarbon chains to make them liquid at accessible temperatures. Experiments and simulations demonstrate that chain length and size of terminal chain substituents can be used to tune, within certain margins, the permanence of intramolecular cavities in such neat liquids. Simulations identify a candidate \"porous liquid\" in which 30% of the cages remain empty in the liquid state. Absorbed methane molecules selectively occupy these empty cavities.","author":[{"dropping-particle":"","family":"Melaugh","given":"Gavin","non-dropping-particle":"","parse-names":false,"suffix":""},{"dropping-particle":"","family":"Giri","given":"Nicola","non-dropping-particle":"","parse-names":false,"suffix":""},{"dropping-particle":"","family":"Davidson","given":"Christine E","non-dropping-particle":"","parse-names":false,"suffix":""},{"dropping-particle":"","family":"James","given":"Stuart L","non-dropping-particle":"","parse-names":false,"suffix":""},{"dropping-particle":"","family":"Pópolo","given":"Mario G","non-dropping-particle":"Del","parse-names":false,"suffix":""}],"container-title":"Physical chemistry chemical physics : PCCP","id":"ITEM-2","issue":"20","issued":{"date-parts":[["2014"]]},"page":"9422-31","title":"Designing and understanding permanent microporosity in liquids.","type":"article-journal","volume":"16"},"uris":["http://www.mendeley.com/documents/?uuid=019b1178-3649-4b69-94f7-db71b76be483"]}],"mendeley":{"formattedCitation":"&lt;sup&gt;[13,21]&lt;/sup&gt;","plainTextFormattedCitation":"[13,21]","previouslyFormattedCitation":"&lt;sup&gt;[13,21]&lt;/sup&gt;"},"properties":{"noteIndex":0},"schema":"https://github.com/citation-style-language/schema/raw/master/csl-citation.json"}</w:instrText>
      </w:r>
      <w:r w:rsidRPr="008112F4">
        <w:rPr>
          <w:rStyle w:val="CommentReference"/>
          <w:rFonts w:ascii="Times New Roman" w:hAnsi="Times New Roman"/>
          <w:sz w:val="22"/>
          <w:szCs w:val="22"/>
        </w:rPr>
        <w:fldChar w:fldCharType="separate"/>
      </w:r>
      <w:r w:rsidRPr="008112F4">
        <w:rPr>
          <w:rStyle w:val="CommentReference"/>
          <w:rFonts w:ascii="Times New Roman" w:hAnsi="Times New Roman"/>
          <w:noProof/>
          <w:sz w:val="22"/>
          <w:szCs w:val="22"/>
          <w:vertAlign w:val="superscript"/>
        </w:rPr>
        <w:t>[13,21]</w:t>
      </w:r>
      <w:r w:rsidRPr="008112F4">
        <w:rPr>
          <w:rStyle w:val="CommentReference"/>
          <w:rFonts w:ascii="Times New Roman" w:hAnsi="Times New Roman"/>
          <w:sz w:val="22"/>
          <w:szCs w:val="22"/>
        </w:rPr>
        <w:fldChar w:fldCharType="end"/>
      </w:r>
      <w:r w:rsidRPr="008112F4">
        <w:t xml:space="preserve"> and to the successful production of Type 2 </w:t>
      </w:r>
      <w:proofErr w:type="spellStart"/>
      <w:r w:rsidRPr="008112F4">
        <w:t>PLs.</w:t>
      </w:r>
      <w:proofErr w:type="spellEnd"/>
      <w:r w:rsidRPr="008112F4">
        <w:fldChar w:fldCharType="begin" w:fldLock="1"/>
      </w:r>
      <w:r w:rsidR="00D8118A">
        <w:instrText>ADDIN CSL_CITATION {"citationItems":[{"id":"ITEM-1","itemData":{"DOI":"10.1038/nature16072","ISBN":"0028-0836","ISSN":"0028-0836","abstract":"Porous solids such as zeolites1 and metal–organic frameworks2, 3 are useful in molecular separation and in catalysis, but their solid nature can impose limitations. For example, liquid solvents, rather than porous solids, are the most mature technology for post-combustion capture of carbon dioxide because liquid circulation systems are more easily retrofitted to existing plants. Solid porous adsorbents offer major benefits, such as lower energy penalties in adsorption–desorption cycles4, but they are difficult to implement in conventional flow processes. Materials that combine the properties of fluidity and permanent porosity could therefore offer technological advantages, but permanent porosity is not associated with conventional liquids5. Here we report free-flowing liquids whose bulk properties are determined by their permanent porosity. To achieve this, we designed cage molecules6, 7 that provide a well-defined pore space and that are highly soluble in solvents whose molecules are too large to enter the pores. The concentration of unoccupied cages can thus be around 500 times greater than in other molecular solutions that contain cavities8, 9, 10, resulting in a marked change in bulk properties, such as an eightfold increase in the solubility of methane gas. Our results provide the basis for development of a new class of functional porous materials for chemical processes, and we present a one-step, multigram scale-up route for highly soluble ‘scrambled’ porous cages prepared from a mixture of commercially available reagents. The unifying design principle for these materials is the avoidance of functional groups that can penetrate into the molecular cage cavities.","author":[{"dropping-particle":"","family":"Giri","given":"Nicola","non-dropping-particle":"","parse-names":false,"suffix":""},{"dropping-particle":"","family":"Pópolo","given":"Mario G.","non-dropping-particle":"Del","parse-names":false,"suffix":""},{"dropping-particle":"","family":"Melaugh","given":"Gavin","non-dropping-particle":"","parse-names":false,"suffix":""},{"dropping-particle":"","family":"Greenaway","given":"Rebecca L.","non-dropping-particle":"","parse-names":false,"suffix":""},{"dropping-particle":"","family":"Rätzke","given":"Klaus","non-dropping-particle":"","parse-names":false,"suffix":""},{"dropping-particle":"","family":"Koschine","given":"Tönjes","non-dropping-particle":"","parse-names":false,"suffix":""},{"dropping-particle":"","family":"Pison","given":"Laure","non-dropping-particle":"","parse-names":false,"suffix":""},{"dropping-particle":"","family":"Gomes","given":"Margarida F. Costa","non-dropping-particle":"","parse-names":false,"suffix":""},{"dropping-particle":"","family":"Cooper","given":"Andrew I.","non-dropping-particle":"","parse-names":false,"suffix":""},{"dropping-particle":"","family":"James","given":"Stuart L.","non-dropping-particle":"","parse-names":false,"suffix":""}],"container-title":"Nature","id":"ITEM-1","issue":"7577","issued":{"date-parts":[["2015"]]},"page":"216-220","publisher":"Nature Publishing Group","title":"Liquids with permanent porosity","type":"article-journal","volume":"527"},"uris":["http://www.mendeley.com/documents/?uuid=176a04f9-b05e-48be-bad3-4238f6b84522"]},{"id":"ITEM-2","itemData":{"DOI":"10.1039/C6SC05196K","ISSN":"2041-6520","author":[{"dropping-particle":"","family":"Greenaway","given":"Rebecca L.","non-dropping-particle":"","parse-names":false,"suffix":""},{"dropping-particle":"","family":"Holden","given":"Daniel","non-dropping-particle":"","parse-names":false,"suffix":""},{"dropping-particle":"","family":"Eden","given":"Edward G. B.","non-dropping-particle":"","parse-names":false,"suffix":""},{"dropping-particle":"","family":"Stephenson","given":"Andrew","non-dropping-particle":"","parse-names":false,"suffix":""},{"dropping-particle":"","family":"Yong","given":"Chin W.","non-dropping-particle":"","parse-names":false,"suffix":""},{"dropping-particle":"","family":"Bennison","given":"Michael J.","non-dropping-particle":"","parse-names":false,"suffix":""},{"dropping-particle":"","family":"Hasell","given":"Tom","non-dropping-particle":"","parse-names":false,"suffix":""},{"dropping-particle":"","family":"Briggs","given":"Michael E.","non-dropping-particle":"","parse-names":false,"suffix":""},{"dropping-particle":"","family":"James","given":"Stuart L.","non-dropping-particle":"","parse-names":false,"suffix":""},{"dropping-particle":"","family":"Cooper","given":"Andrew I.","non-dropping-particle":"","parse-names":false,"suffix":""}],"container-title":"Chem. Sci.","id":"ITEM-2","issued":{"date-parts":[["2017"]]},"page":"2640-2651","publisher":"Royal Society of Chemistry","title":"Understanding gas capacity, guest selectivity, and diffusion in porous liquids","type":"article-journal","volume":"8"},"uris":["http://www.mendeley.com/documents/?uuid=31466c2c-9def-4480-92ae-e32126da05e0"]}],"mendeley":{"formattedCitation":"&lt;sup&gt;[1,22]&lt;/sup&gt;","plainTextFormattedCitation":"[1,22]","previouslyFormattedCitation":"&lt;sup&gt;[1,22]&lt;/sup&gt;"},"properties":{"noteIndex":0},"schema":"https://github.com/citation-style-language/schema/raw/master/csl-citation.json"}</w:instrText>
      </w:r>
      <w:r w:rsidRPr="008112F4">
        <w:fldChar w:fldCharType="separate"/>
      </w:r>
      <w:r w:rsidRPr="008112F4">
        <w:rPr>
          <w:noProof/>
          <w:vertAlign w:val="superscript"/>
        </w:rPr>
        <w:t>[1,22]</w:t>
      </w:r>
      <w:r w:rsidRPr="008112F4">
        <w:fldChar w:fldCharType="end"/>
      </w:r>
      <w:r w:rsidRPr="008112F4">
        <w:t xml:space="preserve"> The latter PLs were obtained by dissolving POCs at high concentration in a solvent that was too bulky to pass through the windows of the cage. Recently, we investigated the uptake, gas selectivity and diffusion of different gases in a PL consisting of a scrambled [4+6] imine POC mixture dissolved in a bulky chlorinated solvent, </w:t>
      </w:r>
      <w:proofErr w:type="spellStart"/>
      <w:r w:rsidRPr="008112F4">
        <w:t>hexachloropropene</w:t>
      </w:r>
      <w:proofErr w:type="spellEnd"/>
      <w:r w:rsidR="00A2403B">
        <w:t xml:space="preserve"> (HCP)</w:t>
      </w:r>
      <w:r w:rsidRPr="008112F4">
        <w:t>.</w:t>
      </w:r>
      <w:r w:rsidRPr="008112F4">
        <w:fldChar w:fldCharType="begin" w:fldLock="1"/>
      </w:r>
      <w:r w:rsidR="00D8118A">
        <w:instrText>ADDIN CSL_CITATION {"citationItems":[{"id":"ITEM-1","itemData":{"DOI":"10.1039/C6SC05196K","ISSN":"2041-6520","author":[{"dropping-particle":"","family":"Greenaway","given":"Rebecca L.","non-dropping-particle":"","parse-names":false,"suffix":""},{"dropping-particle":"","family":"Holden","given":"Daniel","non-dropping-particle":"","parse-names":false,"suffix":""},{"dropping-particle":"","family":"Eden","given":"Edward G. B.","non-dropping-particle":"","parse-names":false,"suffix":""},{"dropping-particle":"","family":"Stephenson","given":"Andrew","non-dropping-particle":"","parse-names":false,"suffix":""},{"dropping-particle":"","family":"Yong","given":"Chin W.","non-dropping-particle":"","parse-names":false,"suffix":""},{"dropping-particle":"","family":"Bennison","given":"Michael J.","non-dropping-particle":"","parse-names":false,"suffix":""},{"dropping-particle":"","family":"Hasell","given":"Tom","non-dropping-particle":"","parse-names":false,"suffix":""},{"dropping-particle":"","family":"Briggs","given":"Michael E.","non-dropping-particle":"","parse-names":false,"suffix":""},{"dropping-particle":"","family":"James","given":"Stuart L.","non-dropping-particle":"","parse-names":false,"suffix":""},{"dropping-particle":"","family":"Cooper","given":"Andrew I.","non-dropping-particle":"","parse-names":false,"suffix":""}],"container-title":"Chem. Sci.","id":"ITEM-1","issued":{"date-parts":[["2017"]]},"page":"2640-2651","publisher":"Royal Society of Chemistry","title":"Understanding gas capacity, guest selectivity, and diffusion in porous liquids","type":"article-journal","volume":"8"},"uris":["http://www.mendeley.com/documents/?uuid=31466c2c-9def-4480-92ae-e32126da05e0"]}],"mendeley":{"formattedCitation":"&lt;sup&gt;[22]&lt;/sup&gt;","plainTextFormattedCitation":"[22]","previouslyFormattedCitation":"&lt;sup&gt;[22]&lt;/sup&gt;"},"properties":{"noteIndex":0},"schema":"https://github.com/citation-style-language/schema/raw/master/csl-citation.json"}</w:instrText>
      </w:r>
      <w:r w:rsidRPr="008112F4">
        <w:fldChar w:fldCharType="separate"/>
      </w:r>
      <w:r w:rsidRPr="008112F4">
        <w:rPr>
          <w:noProof/>
          <w:vertAlign w:val="superscript"/>
        </w:rPr>
        <w:t>[22]</w:t>
      </w:r>
      <w:r w:rsidRPr="008112F4">
        <w:fldChar w:fldCharType="end"/>
      </w:r>
      <w:r w:rsidRPr="008112F4">
        <w:t xml:space="preserve"> Dynamic covalent scrambling was used to produce highly soluble vertex-disordered POC mixtures.</w:t>
      </w:r>
      <w:r w:rsidRPr="008112F4">
        <w:fldChar w:fldCharType="begin" w:fldLock="1"/>
      </w:r>
      <w:r w:rsidR="00D8118A">
        <w:instrText>ADDIN CSL_CITATION {"citationItems":[{"id":"ITEM-1","itemData":{"DOI":"10.1038/ncomms1207","ISBN":"2041-1723","ISSN":"2041-1723","PMID":"21343925","abstract":"The main strategy for constructing porous solids from discrete organic molecules is crystal engineering, which involves forming regular crystalline arrays. Here, we present a chemical approach for desymmetrizing organic cages by dynamic covalent scrambling reactions. This leads to molecules with a distribution of shapes which cannot pack effectively and, hence, do not crystallize, creating porosity in the amorphous solid. The porous properties can be fine tuned by varying the ratio of reagents in the scrambling reaction, and this allows the preparation of materials with high gas selectivities. The molecular engineering of porous amorphous solids complements crystal engineering strategies and may have advantages in some applications, for example, in the compatibilization of functionalities that do not readily cocrystallize.","author":[{"dropping-particle":"","family":"Jiang","given":"Shan","non-dropping-particle":"","parse-names":false,"suffix":""},{"dropping-particle":"","family":"Jones","given":"James T a","non-dropping-particle":"","parse-names":false,"suffix":""},{"dropping-particle":"","family":"Hasell","given":"Tom","non-dropping-particle":"","parse-names":false,"suffix":""},{"dropping-particle":"","family":"Blythe","given":"Charlotte E","non-dropping-particle":"","parse-names":false,"suffix":""},{"dropping-particle":"","family":"Adams","given":"Dave J","non-dropping-particle":"","parse-names":false,"suffix":""},{"dropping-particle":"","family":"Trewin","given":"Abbie","non-dropping-particle":"","parse-names":false,"suffix":""},{"dropping-particle":"","family":"Cooper","given":"Andrew I","non-dropping-particle":"","parse-names":false,"suffix":""}],"container-title":"Nature communications","id":"ITEM-1","issued":{"date-parts":[["2011"]]},"page":"207","publisher":"Nature Publishing Group","title":"Porous organic molecular solids by dynamic covalent scrambling.","type":"article-journal","volume":"2"},"uris":["http://www.mendeley.com/documents/?uuid=46fe5896-7c76-4f81-bc8f-16e3c8402230"]}],"mendeley":{"formattedCitation":"&lt;sup&gt;[23]&lt;/sup&gt;","plainTextFormattedCitation":"[23]","previouslyFormattedCitation":"&lt;sup&gt;[23]&lt;/sup&gt;"},"properties":{"noteIndex":0},"schema":"https://github.com/citation-style-language/schema/raw/master/csl-citation.json"}</w:instrText>
      </w:r>
      <w:r w:rsidRPr="008112F4">
        <w:fldChar w:fldCharType="separate"/>
      </w:r>
      <w:r w:rsidRPr="008112F4">
        <w:rPr>
          <w:noProof/>
          <w:vertAlign w:val="superscript"/>
        </w:rPr>
        <w:t>[23]</w:t>
      </w:r>
      <w:r w:rsidRPr="008112F4">
        <w:fldChar w:fldCharType="end"/>
      </w:r>
      <w:r w:rsidRPr="008112F4">
        <w:t xml:space="preserve"> The POC used in our first scrambled cage PL, </w:t>
      </w:r>
      <w:bookmarkStart w:id="0" w:name="OLE_LINK13"/>
      <w:bookmarkStart w:id="1" w:name="OLE_LINK14"/>
      <w:r w:rsidRPr="008112F4">
        <w:rPr>
          <w:b/>
        </w:rPr>
        <w:t>CC3</w:t>
      </w:r>
      <w:r w:rsidRPr="008112F4">
        <w:rPr>
          <w:b/>
          <w:vertAlign w:val="superscript"/>
        </w:rPr>
        <w:t>3</w:t>
      </w:r>
      <w:r w:rsidRPr="008112F4">
        <w:rPr>
          <w:b/>
        </w:rPr>
        <w:t>:13</w:t>
      </w:r>
      <w:r w:rsidRPr="008112F4">
        <w:rPr>
          <w:b/>
          <w:vertAlign w:val="superscript"/>
        </w:rPr>
        <w:t>3</w:t>
      </w:r>
      <w:r w:rsidRPr="008112F4">
        <w:t>-</w:t>
      </w:r>
      <w:r w:rsidRPr="008112F4">
        <w:rPr>
          <w:i/>
        </w:rPr>
        <w:t>R</w:t>
      </w:r>
      <w:r w:rsidRPr="008112F4">
        <w:t xml:space="preserve"> </w:t>
      </w:r>
      <w:bookmarkEnd w:id="0"/>
      <w:bookmarkEnd w:id="1"/>
      <w:r w:rsidRPr="008112F4">
        <w:t xml:space="preserve">(Scheme 1), was based on the scrambling of the discrete POCs </w:t>
      </w:r>
      <w:r w:rsidRPr="008112F4">
        <w:rPr>
          <w:b/>
        </w:rPr>
        <w:t>CC3</w:t>
      </w:r>
      <w:r w:rsidRPr="008112F4">
        <w:t xml:space="preserve"> and </w:t>
      </w:r>
      <w:r w:rsidRPr="008112F4">
        <w:rPr>
          <w:b/>
        </w:rPr>
        <w:t>CC13</w:t>
      </w:r>
      <w:r w:rsidRPr="008112F4">
        <w:t xml:space="preserve">. The gas uptake capacity of this PL correlated with the heats of adsorption of the respective solid, crystalline POC, </w:t>
      </w:r>
      <w:r w:rsidRPr="008112F4">
        <w:rPr>
          <w:b/>
        </w:rPr>
        <w:t>CC3</w:t>
      </w:r>
      <w:r w:rsidRPr="008112F4">
        <w:t xml:space="preserve">. This showed that the thermodynamic gas selectivity of the PL was governed by the structure and interactions of the constituent POC, suggesting to us a scheme for tuning selectivity in </w:t>
      </w:r>
      <w:proofErr w:type="spellStart"/>
      <w:r w:rsidRPr="008112F4">
        <w:t>PLs.</w:t>
      </w:r>
      <w:proofErr w:type="spellEnd"/>
    </w:p>
    <w:p w14:paraId="397773E7" w14:textId="77777777" w:rsidR="006B5521" w:rsidRDefault="006B5521" w:rsidP="00A81CB3">
      <w:pPr>
        <w:pStyle w:val="P1"/>
      </w:pPr>
    </w:p>
    <w:p w14:paraId="36A62B80" w14:textId="7AA28F66" w:rsidR="00A81CB3" w:rsidRDefault="008669DE" w:rsidP="006B5521">
      <w:r>
        <w:rPr>
          <w:noProof/>
        </w:rPr>
        <w:drawing>
          <wp:inline distT="0" distB="0" distL="0" distR="0" wp14:anchorId="38AD68F4" wp14:editId="7487039D">
            <wp:extent cx="3078480" cy="203454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8480" cy="2034540"/>
                    </a:xfrm>
                    <a:prstGeom prst="rect">
                      <a:avLst/>
                    </a:prstGeom>
                    <a:noFill/>
                    <a:ln>
                      <a:noFill/>
                    </a:ln>
                  </pic:spPr>
                </pic:pic>
              </a:graphicData>
            </a:graphic>
          </wp:inline>
        </w:drawing>
      </w:r>
    </w:p>
    <w:p w14:paraId="1FDFAB63" w14:textId="6C1FD3F8" w:rsidR="00A81CB3" w:rsidRPr="00B113B0" w:rsidRDefault="00A81CB3" w:rsidP="00A81CB3">
      <w:pPr>
        <w:pStyle w:val="FigureCaption"/>
      </w:pPr>
      <w:r w:rsidRPr="00A81CB3">
        <w:rPr>
          <w:b/>
          <w:bCs/>
        </w:rPr>
        <w:t>Scheme 1.</w:t>
      </w:r>
      <w:r w:rsidRPr="00532E38">
        <w:t xml:space="preserve"> Synthesis of POCs for </w:t>
      </w:r>
      <w:proofErr w:type="spellStart"/>
      <w:r w:rsidRPr="00532E38">
        <w:t>PLs</w:t>
      </w:r>
      <w:r>
        <w:t>.</w:t>
      </w:r>
      <w:proofErr w:type="spellEnd"/>
      <w:r w:rsidR="007C53B7">
        <w:t xml:space="preserve"> </w:t>
      </w:r>
      <w:r w:rsidRPr="00532E38">
        <w:t>Conditions: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dichloromethane, </w:t>
      </w:r>
      <w:r w:rsidR="00E97ECD">
        <w:t>room temperature</w:t>
      </w:r>
      <w:r w:rsidRPr="00532E38">
        <w:t xml:space="preserve">, </w:t>
      </w:r>
      <w:r w:rsidR="007C53B7">
        <w:t>72 h</w:t>
      </w:r>
      <w:r w:rsidR="00A2403B">
        <w:t>;</w:t>
      </w:r>
      <w:r w:rsidRPr="00532E38">
        <w:t xml:space="preserve"> (</w:t>
      </w:r>
      <w:r w:rsidRPr="00532E38">
        <w:rPr>
          <w:b/>
        </w:rPr>
        <w:t>CC15</w:t>
      </w:r>
      <w:r w:rsidRPr="00532E38">
        <w:t>-</w:t>
      </w:r>
      <w:r w:rsidRPr="00532E38">
        <w:rPr>
          <w:i/>
        </w:rPr>
        <w:t>R</w:t>
      </w:r>
      <w:r w:rsidRPr="00532E38">
        <w:t xml:space="preserve">) dichloromethane, </w:t>
      </w:r>
      <w:r w:rsidR="007C53B7">
        <w:t>3</w:t>
      </w:r>
      <w:r w:rsidR="00A2403B">
        <w:rPr>
          <w:rFonts w:cs="Arial"/>
        </w:rPr>
        <w:t>Å</w:t>
      </w:r>
      <w:r w:rsidR="007C53B7">
        <w:t xml:space="preserve"> </w:t>
      </w:r>
      <w:r w:rsidRPr="00532E38">
        <w:t xml:space="preserve">molecular sieves, 50 </w:t>
      </w:r>
      <w:r w:rsidR="00A2403B">
        <w:rPr>
          <w:rFonts w:cs="Arial"/>
        </w:rPr>
        <w:t>°</w:t>
      </w:r>
      <w:r w:rsidR="00A2403B">
        <w:t>C</w:t>
      </w:r>
      <w:r w:rsidRPr="00532E38">
        <w:t>, reverse Dean Stark, 24 h.</w:t>
      </w:r>
    </w:p>
    <w:p w14:paraId="62BEBF4B" w14:textId="77777777" w:rsidR="00F62A54" w:rsidRDefault="00A81CB3" w:rsidP="00A81CB3">
      <w:pPr>
        <w:pStyle w:val="P1"/>
        <w:sectPr w:rsidR="00F62A54" w:rsidSect="000D37AC">
          <w:type w:val="continuous"/>
          <w:pgSz w:w="11906" w:h="16838" w:code="9"/>
          <w:pgMar w:top="1673" w:right="936" w:bottom="1134" w:left="936" w:header="709" w:footer="709" w:gutter="0"/>
          <w:cols w:num="2" w:space="284"/>
          <w:docGrid w:linePitch="360"/>
        </w:sectPr>
      </w:pPr>
      <w:r w:rsidRPr="008112F4">
        <w:t xml:space="preserve">Here, we exploited the synthetic modularity of POC molecules to produce PLs with different gas </w:t>
      </w:r>
      <w:proofErr w:type="spellStart"/>
      <w:r w:rsidRPr="008112F4">
        <w:t>selectivities</w:t>
      </w:r>
      <w:proofErr w:type="spellEnd"/>
      <w:r w:rsidRPr="008112F4">
        <w:t xml:space="preserve">. This is the first example of tuning gas selectivity in a Type 2 PL by using chemistry. The imine POC, </w:t>
      </w:r>
      <w:bookmarkStart w:id="2" w:name="OLE_LINK11"/>
      <w:bookmarkStart w:id="3" w:name="OLE_LINK12"/>
      <w:r w:rsidRPr="008112F4">
        <w:rPr>
          <w:b/>
        </w:rPr>
        <w:t>CC15</w:t>
      </w:r>
      <w:bookmarkEnd w:id="2"/>
      <w:bookmarkEnd w:id="3"/>
      <w:r w:rsidRPr="008112F4">
        <w:t>-</w:t>
      </w:r>
      <w:r w:rsidRPr="008112F4">
        <w:rPr>
          <w:i/>
        </w:rPr>
        <w:t xml:space="preserve">R </w:t>
      </w:r>
      <w:r w:rsidRPr="008112F4">
        <w:t xml:space="preserve">(Scheme 1), is a close analogue of </w:t>
      </w:r>
      <w:r w:rsidRPr="008112F4">
        <w:rPr>
          <w:b/>
        </w:rPr>
        <w:t>CC3</w:t>
      </w:r>
      <w:r w:rsidRPr="008112F4">
        <w:t>-</w:t>
      </w:r>
      <w:r w:rsidRPr="008112F4">
        <w:rPr>
          <w:i/>
        </w:rPr>
        <w:t>R</w:t>
      </w:r>
      <w:r w:rsidRPr="008112F4">
        <w:t xml:space="preserve"> that has smaller pore windows, which are </w:t>
      </w:r>
      <w:r w:rsidR="006B5521" w:rsidRPr="008112F4">
        <w:t>partially occluded by methyl groups (Figure 2a).</w:t>
      </w:r>
      <w:r w:rsidR="006B5521" w:rsidRPr="008112F4">
        <w:fldChar w:fldCharType="begin" w:fldLock="1"/>
      </w:r>
      <w:r w:rsidR="003A244A">
        <w:instrText>ADDIN CSL_CITATION {"citationItems":[{"id":"ITEM-1","itemData":{"DOI":"10.1021/acscentsci.7b00145","ISSN":"2374-7943","author":[{"dropping-particle":"","family":"Slater","given":"Anna G.","non-dropping-particle":"","parse-names":false,"suffix":""},{"dropping-particle":"","family":"Reiss","given":"Paul S.","non-dropping-particle":"","parse-names":false,"suffix":""},{"dropping-particle":"","family":"Pulido","given":"Angeles","non-dropping-particle":"","parse-names":false,"suffix":""},{"dropping-particle":"","family":"Little","given":"Marc A.","non-dropping-particle":"","parse-names":false,"suffix":""},{"dropping-particle":"","family":"Holden","given":"Daniel L.","non-dropping-particle":"","parse-names":false,"suffix":""},{"dropping-particle":"","family":"Chen","given":"Linjiang","non-dropping-particle":"","parse-names":false,"suffix":""},{"dropping-particle":"","family":"Chong","given":"Samantha Y.","non-dropping-particle":"","parse-names":false,"suffix":""},{"dropping-particle":"","family":"Alston","given":"Ben M.","non-dropping-particle":"","parse-names":false,"suffix":""},{"dropping-particle":"","family":"Clowes","given":"Rob","non-dropping-particle":"","parse-names":false,"suffix":""},{"dropping-particle":"","family":"Haranczyk","given":"Maciej","non-dropping-particle":"","parse-names":false,"suffix":""},{"dropping-particle":"","family":"Briggs","given":"Michael E.","non-dropping-particle":"","parse-names":false,"suffix":""},{"dropping-particle":"","family":"Hasell","given":"Tom","non-dropping-particle":"","parse-names":false,"suffix":""},{"dropping-particle":"","family":"Day","given":"Graeme M.","non-dropping-particle":"","parse-names":false,"suffix":""},{"dropping-particle":"","family":"Cooper","given":"Andrew I.","non-dropping-particle":"","parse-names":false,"suffix":""}],"container-title":"ACS Central Science","id":"ITEM-1","issue":"7","issued":{"date-parts":[["2017"]]},"page":"734-742","title":"Computationally-Guided Synthetic Control over Pore Size in Isostructural Porous Organic Cages","type":"article-journal","volume":"3"},"uris":["http://www.mendeley.com/documents/?uuid=1e6f4ed1-9f8b-439d-a0b1-52c09343baac"]}],"mendeley":{"formattedCitation":"&lt;sup&gt;[24]&lt;/sup&gt;","plainTextFormattedCitation":"[24]","previouslyFormattedCitation":"&lt;sup&gt;[24]&lt;/sup&gt;"},"properties":{"noteIndex":0},"schema":"https://github.com/citation-style-language/schema/raw/master/csl-citation.json"}</w:instrText>
      </w:r>
      <w:r w:rsidR="006B5521" w:rsidRPr="008112F4">
        <w:fldChar w:fldCharType="separate"/>
      </w:r>
      <w:r w:rsidR="006B5521" w:rsidRPr="008112F4">
        <w:rPr>
          <w:noProof/>
          <w:vertAlign w:val="superscript"/>
        </w:rPr>
        <w:t>[24]</w:t>
      </w:r>
      <w:r w:rsidR="006B5521" w:rsidRPr="008112F4">
        <w:fldChar w:fldCharType="end"/>
      </w:r>
      <w:r w:rsidR="006B5521" w:rsidRPr="008112F4">
        <w:t xml:space="preserve"> As a result,</w:t>
      </w:r>
      <w:r w:rsidR="006B5521">
        <w:br/>
      </w:r>
    </w:p>
    <w:p w14:paraId="4ABD8147" w14:textId="43ACE4C2" w:rsidR="00F62A54" w:rsidRDefault="008669DE" w:rsidP="00F62A54">
      <w:pPr>
        <w:rPr>
          <w:b/>
        </w:rPr>
      </w:pPr>
      <w:r>
        <w:rPr>
          <w:b/>
          <w:noProof/>
        </w:rPr>
        <w:lastRenderedPageBreak/>
        <w:drawing>
          <wp:inline distT="0" distB="0" distL="0" distR="0" wp14:anchorId="5E6594F5" wp14:editId="41826D6E">
            <wp:extent cx="6362700" cy="3794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700" cy="3794760"/>
                    </a:xfrm>
                    <a:prstGeom prst="rect">
                      <a:avLst/>
                    </a:prstGeom>
                    <a:noFill/>
                    <a:ln>
                      <a:noFill/>
                    </a:ln>
                  </pic:spPr>
                </pic:pic>
              </a:graphicData>
            </a:graphic>
          </wp:inline>
        </w:drawing>
      </w:r>
    </w:p>
    <w:p w14:paraId="6315633F" w14:textId="4811C595" w:rsidR="00F62A54" w:rsidRDefault="00F62A54" w:rsidP="00F62A54">
      <w:pPr>
        <w:pStyle w:val="FigureCaption"/>
      </w:pPr>
      <w:r w:rsidRPr="00532E38">
        <w:rPr>
          <w:b/>
        </w:rPr>
        <w:t>Figure 2.</w:t>
      </w:r>
      <w:r w:rsidRPr="00532E38">
        <w:t xml:space="preserve"> (a) Structures of the </w:t>
      </w:r>
      <w:r w:rsidRPr="00532E38">
        <w:rPr>
          <w:i/>
        </w:rPr>
        <w:t>trans</w:t>
      </w:r>
      <w:r w:rsidRPr="00532E38">
        <w:t>-</w:t>
      </w:r>
      <w:r w:rsidRPr="003A244A">
        <w:rPr>
          <w:b/>
          <w:bCs/>
        </w:rPr>
        <w:t>3</w:t>
      </w:r>
      <w:r w:rsidRPr="003A244A">
        <w:rPr>
          <w:b/>
          <w:bCs/>
          <w:vertAlign w:val="superscript"/>
        </w:rPr>
        <w:t>3</w:t>
      </w:r>
      <w:r w:rsidRPr="003A244A">
        <w:rPr>
          <w:b/>
          <w:bCs/>
        </w:rPr>
        <w:t>13</w:t>
      </w:r>
      <w:r w:rsidRPr="003A244A">
        <w:rPr>
          <w:b/>
          <w:bCs/>
          <w:vertAlign w:val="superscript"/>
        </w:rPr>
        <w:t>3</w:t>
      </w:r>
      <w:r w:rsidRPr="00532E38">
        <w:t xml:space="preserve"> component of the scrambled cage mixture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(magenta, left) and </w:t>
      </w:r>
      <w:r w:rsidRPr="00532E38">
        <w:rPr>
          <w:b/>
        </w:rPr>
        <w:t>CC15</w:t>
      </w:r>
      <w:r w:rsidRPr="00532E38">
        <w:t>-</w:t>
      </w:r>
      <w:r w:rsidRPr="00532E38">
        <w:rPr>
          <w:i/>
        </w:rPr>
        <w:t>R</w:t>
      </w:r>
      <w:r w:rsidRPr="00532E38">
        <w:t xml:space="preserve"> (teal, right) with </w:t>
      </w:r>
      <w:r w:rsidR="00403B8C">
        <w:t>the average window diameters</w:t>
      </w:r>
      <w:r w:rsidRPr="00532E38">
        <w:t xml:space="preserve"> </w:t>
      </w:r>
      <w:r w:rsidR="00403B8C">
        <w:t xml:space="preserve">calculated using </w:t>
      </w:r>
      <w:r w:rsidR="00033091">
        <w:t xml:space="preserve">the </w:t>
      </w:r>
      <w:proofErr w:type="spellStart"/>
      <w:r w:rsidR="00403B8C">
        <w:t>pywindow</w:t>
      </w:r>
      <w:proofErr w:type="spellEnd"/>
      <w:r w:rsidR="00033091">
        <w:t xml:space="preserve"> package</w:t>
      </w:r>
      <w:r w:rsidR="003408B4">
        <w:t>;</w:t>
      </w:r>
      <w:r w:rsidR="00403B8C">
        <w:fldChar w:fldCharType="begin" w:fldLock="1"/>
      </w:r>
      <w:r w:rsidR="00403B8C">
        <w:instrText>ADDIN CSL_CITATION {"citationItems":[{"id":"ITEM-1","itemData":{"DOI":"10.1021/acs.jcim.8b00490","ISSN":"15205142","abstract":"Structural analysis of molecular pores can yield important information on their behavior in solution and in the solid state. We developed pywindow, a python package that enables the automated analysis of structural features of porous molecular materials, such as molecular cages. Our analysis includes the cavity diameter, number of windows, window diameters, and average molecular diameter. Molecular dynamics trajectories of molecular pores can also be analyzed to explore the influence of flexibility. We present the methodology, validation, and application of pywindow for the analysis of molecular pores, metal-organic polyhedra, and some instances of framework materials. pywindow is freely available from github.com/JelfsMaterialsGroup/pywindow.","author":[{"dropping-particle":"","family":"Miklitz","given":"Marcin","non-dropping-particle":"","parse-names":false,"suffix":""},{"dropping-particle":"","family":"Jelfs","given":"Kim E.","non-dropping-particle":"","parse-names":false,"suffix":""}],"container-title":"Journal of Chemical Information and Modeling","genre":"brief-report","id":"ITEM-1","issue":"12","issued":{"date-parts":[["2018"]]},"page":"2387-2391","publisher":"American Chemical Society","title":"Pywindow: Automated Structural Analysis of Molecular Pores","type":"article-journal","volume":"58"},"uris":["http://www.mendeley.com/documents/?uuid=ff5a1e36-093b-445b-ab48-ce652f913211"]}],"mendeley":{"formattedCitation":"&lt;sup&gt;[25]&lt;/sup&gt;","plainTextFormattedCitation":"[25]"},"properties":{"noteIndex":0},"schema":"https://github.com/citation-style-language/schema/raw/master/csl-citation.json"}</w:instrText>
      </w:r>
      <w:r w:rsidR="00403B8C">
        <w:fldChar w:fldCharType="separate"/>
      </w:r>
      <w:r w:rsidR="00403B8C" w:rsidRPr="00403B8C">
        <w:rPr>
          <w:noProof/>
          <w:vertAlign w:val="superscript"/>
        </w:rPr>
        <w:t>[25]</w:t>
      </w:r>
      <w:r w:rsidR="00403B8C">
        <w:fldChar w:fldCharType="end"/>
      </w:r>
      <w:r w:rsidRPr="00532E38">
        <w:t xml:space="preserve"> (b) N</w:t>
      </w:r>
      <w:r w:rsidRPr="003A244A">
        <w:rPr>
          <w:vertAlign w:val="subscript"/>
        </w:rPr>
        <w:t>2</w:t>
      </w:r>
      <w:r w:rsidRPr="00532E38">
        <w:t xml:space="preserve"> adsorption (filled) and desorption (empty) isotherms for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and </w:t>
      </w:r>
      <w:r w:rsidRPr="00532E38">
        <w:rPr>
          <w:b/>
        </w:rPr>
        <w:t>CC15</w:t>
      </w:r>
      <w:r w:rsidRPr="00532E38">
        <w:t>-</w:t>
      </w:r>
      <w:r w:rsidRPr="00532E38">
        <w:rPr>
          <w:i/>
        </w:rPr>
        <w:t>R</w:t>
      </w:r>
      <w:r w:rsidR="003A244A">
        <w:t>;</w:t>
      </w:r>
      <w:r w:rsidRPr="00532E38">
        <w:t xml:space="preserve"> (c) Uptake by volumetric gas evolution for CH</w:t>
      </w:r>
      <w:r w:rsidRPr="00532E38">
        <w:rPr>
          <w:vertAlign w:val="subscript"/>
        </w:rPr>
        <w:t>4</w:t>
      </w:r>
      <w:r w:rsidRPr="00532E38">
        <w:t>, CO</w:t>
      </w:r>
      <w:r w:rsidRPr="00532E38">
        <w:rPr>
          <w:vertAlign w:val="subscript"/>
        </w:rPr>
        <w:t>2</w:t>
      </w:r>
      <w:r w:rsidRPr="00532E38">
        <w:t xml:space="preserve">, </w:t>
      </w:r>
      <w:proofErr w:type="spellStart"/>
      <w:r w:rsidRPr="00532E38">
        <w:t>Xe</w:t>
      </w:r>
      <w:proofErr w:type="spellEnd"/>
      <w:r w:rsidRPr="00532E38">
        <w:t>, and N</w:t>
      </w:r>
      <w:r w:rsidRPr="00532E38">
        <w:rPr>
          <w:vertAlign w:val="subscript"/>
        </w:rPr>
        <w:t>2</w:t>
      </w:r>
      <w:r w:rsidRPr="00532E38">
        <w:t xml:space="preserve"> for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(magenta) and </w:t>
      </w:r>
      <w:r w:rsidRPr="00532E38">
        <w:rPr>
          <w:b/>
        </w:rPr>
        <w:t>CC15</w:t>
      </w:r>
      <w:r w:rsidRPr="00532E38">
        <w:t>-</w:t>
      </w:r>
      <w:r w:rsidRPr="00532E38">
        <w:rPr>
          <w:i/>
        </w:rPr>
        <w:t>R</w:t>
      </w:r>
      <w:r w:rsidRPr="00532E38">
        <w:t xml:space="preserve"> (teal) PLs, compared with uptake in </w:t>
      </w:r>
      <w:proofErr w:type="spellStart"/>
      <w:r w:rsidR="003A244A">
        <w:t>hexachloropropene</w:t>
      </w:r>
      <w:proofErr w:type="spellEnd"/>
      <w:r w:rsidR="003A244A">
        <w:t xml:space="preserve"> (</w:t>
      </w:r>
      <w:r w:rsidRPr="00532E38">
        <w:t>HCP</w:t>
      </w:r>
      <w:r w:rsidR="003A244A">
        <w:t xml:space="preserve">, </w:t>
      </w:r>
      <w:r w:rsidRPr="00532E38">
        <w:t>dashed lines</w:t>
      </w:r>
      <w:r w:rsidR="001432CD">
        <w:t>, overlaid</w:t>
      </w:r>
      <w:r w:rsidRPr="00532E38">
        <w:t xml:space="preserve">).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PL at 4</w:t>
      </w:r>
      <w:r w:rsidR="003A244A">
        <w:t>% w/v</w:t>
      </w:r>
      <w:r w:rsidRPr="00532E38">
        <w:t xml:space="preserve"> and </w:t>
      </w:r>
      <w:r w:rsidRPr="00532E38">
        <w:rPr>
          <w:b/>
        </w:rPr>
        <w:t>CC15</w:t>
      </w:r>
      <w:r w:rsidRPr="00532E38">
        <w:t>-</w:t>
      </w:r>
      <w:r w:rsidRPr="00532E38">
        <w:rPr>
          <w:i/>
        </w:rPr>
        <w:t>R</w:t>
      </w:r>
      <w:r w:rsidRPr="00532E38">
        <w:t xml:space="preserve"> PL at 5</w:t>
      </w:r>
      <w:r w:rsidR="003A244A">
        <w:t>%</w:t>
      </w:r>
      <w:r w:rsidRPr="00532E38">
        <w:t xml:space="preserve"> </w:t>
      </w:r>
      <w:r w:rsidR="003A244A">
        <w:t>w/v</w:t>
      </w:r>
      <w:r w:rsidR="003408B4">
        <w:t>;</w:t>
      </w:r>
      <w:r w:rsidRPr="00532E38">
        <w:t xml:space="preserve"> (d) Comparison of gas uptake in the liquid and solid state at 298 K for each POC. Uptake for PLs is adjusted by subtracting the native gas capacity of HCP to show the POC uptake </w:t>
      </w:r>
      <w:proofErr w:type="gramStart"/>
      <w:r w:rsidRPr="00532E38">
        <w:t>only</w:t>
      </w:r>
      <w:r w:rsidR="003408B4">
        <w:t>, and</w:t>
      </w:r>
      <w:proofErr w:type="gramEnd"/>
      <w:r w:rsidR="003408B4">
        <w:t xml:space="preserve"> normalized to the mass of cage present</w:t>
      </w:r>
      <w:r>
        <w:t>.</w:t>
      </w:r>
    </w:p>
    <w:p w14:paraId="468D5BA7" w14:textId="77777777" w:rsidR="00F62A54" w:rsidRDefault="00F62A54" w:rsidP="00F62A54">
      <w:pPr>
        <w:pStyle w:val="FigureCaption"/>
        <w:sectPr w:rsidR="00F62A54" w:rsidSect="00F62A54">
          <w:type w:val="continuous"/>
          <w:pgSz w:w="11906" w:h="16838" w:code="9"/>
          <w:pgMar w:top="1673" w:right="936" w:bottom="1134" w:left="936" w:header="709" w:footer="709" w:gutter="0"/>
          <w:cols w:space="284"/>
          <w:docGrid w:linePitch="360"/>
        </w:sectPr>
      </w:pPr>
    </w:p>
    <w:p w14:paraId="3801E17F" w14:textId="17F1D476" w:rsidR="0070306E" w:rsidRDefault="006B5521" w:rsidP="00A81CB3">
      <w:pPr>
        <w:pStyle w:val="P1"/>
      </w:pPr>
      <w:bookmarkStart w:id="4" w:name="OLE_LINK53"/>
      <w:bookmarkStart w:id="5" w:name="OLE_LINK54"/>
      <w:r w:rsidRPr="008112F4">
        <w:rPr>
          <w:b/>
        </w:rPr>
        <w:t>CC15</w:t>
      </w:r>
      <w:r w:rsidRPr="008112F4">
        <w:t>-</w:t>
      </w:r>
      <w:r w:rsidRPr="008112F4">
        <w:rPr>
          <w:i/>
        </w:rPr>
        <w:t>R</w:t>
      </w:r>
      <w:r w:rsidRPr="008112F4">
        <w:t xml:space="preserve"> </w:t>
      </w:r>
      <w:bookmarkEnd w:id="4"/>
      <w:bookmarkEnd w:id="5"/>
      <w:r w:rsidRPr="008112F4">
        <w:t>adsorbs very little N</w:t>
      </w:r>
      <w:r w:rsidRPr="008112F4">
        <w:rPr>
          <w:vertAlign w:val="subscript"/>
        </w:rPr>
        <w:t>2</w:t>
      </w:r>
      <w:r w:rsidRPr="008112F4">
        <w:t xml:space="preserve"> in the solid state, quite unlike</w:t>
      </w:r>
      <w:r w:rsidR="002E773C">
        <w:t xml:space="preserve"> </w:t>
      </w:r>
      <w:r w:rsidR="00A81CB3" w:rsidRPr="008112F4">
        <w:rPr>
          <w:b/>
        </w:rPr>
        <w:t>CC3</w:t>
      </w:r>
      <w:r w:rsidR="00A81CB3" w:rsidRPr="008112F4">
        <w:t>-</w:t>
      </w:r>
      <w:r w:rsidR="00A81CB3" w:rsidRPr="008112F4">
        <w:rPr>
          <w:i/>
        </w:rPr>
        <w:t>R</w:t>
      </w:r>
      <w:r w:rsidR="00A81CB3" w:rsidRPr="008112F4">
        <w:t xml:space="preserve"> (Figure 2b). </w:t>
      </w:r>
      <w:r w:rsidR="00A81CB3" w:rsidRPr="008112F4">
        <w:rPr>
          <w:b/>
        </w:rPr>
        <w:t>CC15</w:t>
      </w:r>
      <w:r w:rsidR="00A81CB3" w:rsidRPr="008112F4">
        <w:t>-</w:t>
      </w:r>
      <w:r w:rsidR="00A81CB3" w:rsidRPr="008112F4">
        <w:rPr>
          <w:i/>
        </w:rPr>
        <w:t>R</w:t>
      </w:r>
      <w:r w:rsidR="00A81CB3" w:rsidRPr="008112F4">
        <w:t xml:space="preserve"> still adsorbs smaller gas molecules, such as H</w:t>
      </w:r>
      <w:r w:rsidR="00A81CB3" w:rsidRPr="008112F4">
        <w:rPr>
          <w:vertAlign w:val="subscript"/>
        </w:rPr>
        <w:t>2</w:t>
      </w:r>
      <w:r w:rsidR="00A81CB3" w:rsidRPr="008112F4">
        <w:t>;</w:t>
      </w:r>
      <w:r w:rsidR="00A81CB3" w:rsidRPr="008112F4">
        <w:fldChar w:fldCharType="begin" w:fldLock="1"/>
      </w:r>
      <w:r w:rsidR="003A244A">
        <w:instrText>ADDIN CSL_CITATION {"citationItems":[{"id":"ITEM-1","itemData":{"DOI":"10.1021/acscentsci.7b00145","ISSN":"2374-7943","author":[{"dropping-particle":"","family":"Slater","given":"Anna G.","non-dropping-particle":"","parse-names":false,"suffix":""},{"dropping-particle":"","family":"Reiss","given":"Paul S.","non-dropping-particle":"","parse-names":false,"suffix":""},{"dropping-particle":"","family":"Pulido","given":"Angeles","non-dropping-particle":"","parse-names":false,"suffix":""},{"dropping-particle":"","family":"Little","given":"Marc A.","non-dropping-particle":"","parse-names":false,"suffix":""},{"dropping-particle":"","family":"Holden","given":"Daniel L.","non-dropping-particle":"","parse-names":false,"suffix":""},{"dropping-particle":"","family":"Chen","given":"Linjiang","non-dropping-particle":"","parse-names":false,"suffix":""},{"dropping-particle":"","family":"Chong","given":"Samantha Y.","non-dropping-particle":"","parse-names":false,"suffix":""},{"dropping-particle":"","family":"Alston","given":"Ben M.","non-dropping-particle":"","parse-names":false,"suffix":""},{"dropping-particle":"","family":"Clowes","given":"Rob","non-dropping-particle":"","parse-names":false,"suffix":""},{"dropping-particle":"","family":"Haranczyk","given":"Maciej","non-dropping-particle":"","parse-names":false,"suffix":""},{"dropping-particle":"","family":"Briggs","given":"Michael E.","non-dropping-particle":"","parse-names":false,"suffix":""},{"dropping-particle":"","family":"Hasell","given":"Tom","non-dropping-particle":"","parse-names":false,"suffix":""},{"dropping-particle":"","family":"Day","given":"Graeme M.","non-dropping-particle":"","parse-names":false,"suffix":""},{"dropping-particle":"","family":"Cooper","given":"Andrew I.","non-dropping-particle":"","parse-names":false,"suffix":""}],"container-title":"ACS Central Science","id":"ITEM-1","issue":"7","issued":{"date-parts":[["2017"]]},"page":"734-742","title":"Computationally-Guided Synthetic Control over Pore Size in Isostructural Porous Organic Cages","type":"article-journal","volume":"3"},"uris":["http://www.mendeley.com/documents/?uuid=397328e7-93af-4b59-8e77-8c1934d1b1ef"]}],"mendeley":{"formattedCitation":"&lt;sup&gt;[24]&lt;/sup&gt;","plainTextFormattedCitation":"[24]","previouslyFormattedCitation":"&lt;sup&gt;[24]&lt;/sup&gt;"},"properties":{"noteIndex":0},"schema":"https://github.com/citation-style-language/schema/raw/master/csl-citation.json"}</w:instrText>
      </w:r>
      <w:r w:rsidR="00A81CB3" w:rsidRPr="008112F4">
        <w:fldChar w:fldCharType="separate"/>
      </w:r>
      <w:r w:rsidR="00A81CB3" w:rsidRPr="008112F4">
        <w:rPr>
          <w:noProof/>
          <w:vertAlign w:val="superscript"/>
        </w:rPr>
        <w:t>[24]</w:t>
      </w:r>
      <w:r w:rsidR="00A81CB3" w:rsidRPr="008112F4">
        <w:fldChar w:fldCharType="end"/>
      </w:r>
      <w:r w:rsidR="00A81CB3" w:rsidRPr="008112F4">
        <w:t xml:space="preserve"> this is because the window size modulates the gas selectivity in the solid, crystalline state.</w:t>
      </w:r>
    </w:p>
    <w:p w14:paraId="3B349815" w14:textId="77777777" w:rsidR="006B5521" w:rsidRDefault="006B5521" w:rsidP="00A81CB3">
      <w:pPr>
        <w:pStyle w:val="P1"/>
      </w:pPr>
    </w:p>
    <w:p w14:paraId="6BBB3A63" w14:textId="589CC03D" w:rsidR="006B5521" w:rsidRDefault="006B5521" w:rsidP="00A81CB3">
      <w:pPr>
        <w:pStyle w:val="P1"/>
      </w:pPr>
      <w:r w:rsidRPr="00532E38">
        <w:t xml:space="preserve">Here we sought to translate this principle for the first time into </w:t>
      </w:r>
      <w:proofErr w:type="spellStart"/>
      <w:r w:rsidRPr="00532E38">
        <w:t>PLs.</w:t>
      </w:r>
      <w:proofErr w:type="spellEnd"/>
      <w:r w:rsidRPr="00532E38">
        <w:t xml:space="preserve"> </w:t>
      </w:r>
      <w:r w:rsidRPr="00532E38">
        <w:rPr>
          <w:b/>
        </w:rPr>
        <w:t>CC15</w:t>
      </w:r>
      <w:r w:rsidRPr="00532E38">
        <w:t>-</w:t>
      </w:r>
      <w:r w:rsidRPr="00532E38">
        <w:rPr>
          <w:i/>
        </w:rPr>
        <w:t>R</w:t>
      </w:r>
      <w:r w:rsidRPr="00532E38">
        <w:t xml:space="preserve"> was found to be soluble in HCP at a concentration (50 </w:t>
      </w:r>
      <w:proofErr w:type="spellStart"/>
      <w:r w:rsidRPr="00532E38">
        <w:t>mg</w:t>
      </w:r>
      <w:r w:rsidRPr="00532E38">
        <w:rPr>
          <w:vertAlign w:val="subscript"/>
        </w:rPr>
        <w:t>cage</w:t>
      </w:r>
      <w:proofErr w:type="spellEnd"/>
      <w:r w:rsidRPr="00532E38">
        <w:t xml:space="preserve"> in 1 </w:t>
      </w:r>
      <w:proofErr w:type="spellStart"/>
      <w:r w:rsidRPr="00532E38">
        <w:t>mL</w:t>
      </w:r>
      <w:r w:rsidRPr="00532E38">
        <w:rPr>
          <w:vertAlign w:val="subscript"/>
        </w:rPr>
        <w:t>HCP</w:t>
      </w:r>
      <w:proofErr w:type="spellEnd"/>
      <w:r w:rsidRPr="00532E38">
        <w:t xml:space="preserve">, 5% w/v) that was high enough to investigate gas uptake properties, albeit at a significantly lower concentration than our previous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scrambled cage in this solvent (200 </w:t>
      </w:r>
      <w:proofErr w:type="spellStart"/>
      <w:r w:rsidRPr="00532E38">
        <w:t>mg</w:t>
      </w:r>
      <w:r w:rsidRPr="00532E38">
        <w:rPr>
          <w:vertAlign w:val="subscript"/>
        </w:rPr>
        <w:t>cage</w:t>
      </w:r>
      <w:proofErr w:type="spellEnd"/>
      <w:r w:rsidRPr="00532E38">
        <w:t xml:space="preserve"> in </w:t>
      </w:r>
      <w:proofErr w:type="spellStart"/>
      <w:r w:rsidRPr="00532E38">
        <w:t>mL</w:t>
      </w:r>
      <w:r w:rsidRPr="00532E38">
        <w:rPr>
          <w:vertAlign w:val="subscript"/>
        </w:rPr>
        <w:t>HCP</w:t>
      </w:r>
      <w:proofErr w:type="spellEnd"/>
      <w:r w:rsidRPr="00532E38">
        <w:t>, 20% w/v).</w:t>
      </w:r>
      <w:r w:rsidRPr="00532E38">
        <w:fldChar w:fldCharType="begin" w:fldLock="1"/>
      </w:r>
      <w:r w:rsidR="00D8118A">
        <w:instrText>ADDIN CSL_CITATION {"citationItems":[{"id":"ITEM-1","itemData":{"DOI":"10.1039/C6SC05196K","ISSN":"2041-6520","author":[{"dropping-particle":"","family":"Greenaway","given":"Rebecca L.","non-dropping-particle":"","parse-names":false,"suffix":""},{"dropping-particle":"","family":"Holden","given":"Daniel","non-dropping-particle":"","parse-names":false,"suffix":""},{"dropping-particle":"","family":"Eden","given":"Edward G. B.","non-dropping-particle":"","parse-names":false,"suffix":""},{"dropping-particle":"","family":"Stephenson","given":"Andrew","non-dropping-particle":"","parse-names":false,"suffix":""},{"dropping-particle":"","family":"Yong","given":"Chin W.","non-dropping-particle":"","parse-names":false,"suffix":""},{"dropping-particle":"","family":"Bennison","given":"Michael J.","non-dropping-particle":"","parse-names":false,"suffix":""},{"dropping-particle":"","family":"Hasell","given":"Tom","non-dropping-particle":"","parse-names":false,"suffix":""},{"dropping-particle":"","family":"Briggs","given":"Michael E.","non-dropping-particle":"","parse-names":false,"suffix":""},{"dropping-particle":"","family":"James","given":"Stuart L.","non-dropping-particle":"","parse-names":false,"suffix":""},{"dropping-particle":"","family":"Cooper","given":"Andrew I.","non-dropping-particle":"","parse-names":false,"suffix":""}],"container-title":"Chem. Sci.","id":"ITEM-1","issued":{"date-parts":[["2017"]]},"page":"2640-2651","publisher":"Royal Society of Chemistry","title":"Understanding gas capacity, guest selectivity, and diffusion in porous liquids","type":"article-journal","volume":"8"},"uris":["http://www.mendeley.com/documents/?uuid=31466c2c-9def-4480-92ae-e32126da05e0"]}],"mendeley":{"formattedCitation":"&lt;sup&gt;[22]&lt;/sup&gt;","plainTextFormattedCitation":"[22]","previouslyFormattedCitation":"&lt;sup&gt;[22]&lt;/sup&gt;"},"properties":{"noteIndex":0},"schema":"https://github.com/citation-style-language/schema/raw/master/csl-citation.json"}</w:instrText>
      </w:r>
      <w:r w:rsidRPr="00532E38">
        <w:fldChar w:fldCharType="separate"/>
      </w:r>
      <w:r w:rsidRPr="008730E1">
        <w:rPr>
          <w:noProof/>
          <w:vertAlign w:val="superscript"/>
        </w:rPr>
        <w:t>[22]</w:t>
      </w:r>
      <w:r w:rsidRPr="00532E38">
        <w:fldChar w:fldCharType="end"/>
      </w:r>
      <w:r w:rsidRPr="00532E38">
        <w:t xml:space="preserve"> We also tried to increase the solubility by forming a scrambled analogue of </w:t>
      </w:r>
      <w:r w:rsidRPr="00532E38">
        <w:rPr>
          <w:b/>
        </w:rPr>
        <w:t>CC15</w:t>
      </w:r>
      <w:r w:rsidRPr="00532E38">
        <w:t>-</w:t>
      </w:r>
      <w:r w:rsidRPr="00532E38">
        <w:rPr>
          <w:i/>
        </w:rPr>
        <w:t>R</w:t>
      </w:r>
      <w:r w:rsidRPr="00532E38">
        <w:t xml:space="preserve">, but HPLC analysis indicated that only </w:t>
      </w:r>
      <w:r w:rsidRPr="00532E38">
        <w:rPr>
          <w:b/>
        </w:rPr>
        <w:t>CC15</w:t>
      </w:r>
      <w:r w:rsidRPr="00532E38">
        <w:t>-</w:t>
      </w:r>
      <w:r w:rsidRPr="00532E38">
        <w:rPr>
          <w:i/>
        </w:rPr>
        <w:t>R</w:t>
      </w:r>
      <w:r w:rsidRPr="00532E38">
        <w:t xml:space="preserve"> was formed; no scrambling occurred, possibly because the three methyl groups in 1,3,5-triacetylbenzene clash sterically with the methyl groups in 1,2-diamino-2-methylpropane, preventing scrambling.</w:t>
      </w:r>
    </w:p>
    <w:p w14:paraId="08BBE33A" w14:textId="77777777" w:rsidR="006B5521" w:rsidRDefault="006B5521" w:rsidP="00A81CB3">
      <w:pPr>
        <w:pStyle w:val="P1"/>
      </w:pPr>
    </w:p>
    <w:p w14:paraId="2B08D3E8" w14:textId="724D9B1C" w:rsidR="006B5521" w:rsidRDefault="006B5521" w:rsidP="006B5521">
      <w:pPr>
        <w:pStyle w:val="P1"/>
      </w:pPr>
      <w:r w:rsidRPr="00532E38">
        <w:t>To compare these PL systems directly, equimolar solutions (39 µ</w:t>
      </w:r>
      <w:proofErr w:type="spellStart"/>
      <w:r w:rsidRPr="00532E38">
        <w:t>mol</w:t>
      </w:r>
      <w:r w:rsidRPr="00532E38">
        <w:rPr>
          <w:vertAlign w:val="subscript"/>
        </w:rPr>
        <w:t>cage</w:t>
      </w:r>
      <w:proofErr w:type="spellEnd"/>
      <w:r w:rsidRPr="00532E38">
        <w:t xml:space="preserve"> in 1 </w:t>
      </w:r>
      <w:proofErr w:type="spellStart"/>
      <w:r w:rsidRPr="00532E38">
        <w:t>mL</w:t>
      </w:r>
      <w:r w:rsidRPr="00532E38">
        <w:rPr>
          <w:vertAlign w:val="subscript"/>
        </w:rPr>
        <w:t>HCP</w:t>
      </w:r>
      <w:proofErr w:type="spellEnd"/>
      <w:r w:rsidRPr="00532E38">
        <w:t xml:space="preserve">) were prepared in HCP of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(40 </w:t>
      </w:r>
      <w:proofErr w:type="spellStart"/>
      <w:r w:rsidRPr="00532E38">
        <w:t>mg</w:t>
      </w:r>
      <w:r w:rsidRPr="00532E38">
        <w:rPr>
          <w:vertAlign w:val="subscript"/>
        </w:rPr>
        <w:t>cage</w:t>
      </w:r>
      <w:proofErr w:type="spellEnd"/>
      <w:r w:rsidRPr="00532E38">
        <w:t xml:space="preserve"> in 1 </w:t>
      </w:r>
      <w:proofErr w:type="spellStart"/>
      <w:r w:rsidRPr="00532E38">
        <w:t>mL</w:t>
      </w:r>
      <w:r w:rsidRPr="00532E38">
        <w:rPr>
          <w:vertAlign w:val="subscript"/>
        </w:rPr>
        <w:t>HCP</w:t>
      </w:r>
      <w:proofErr w:type="spellEnd"/>
      <w:r w:rsidRPr="00532E38">
        <w:t xml:space="preserve">, 4% w/v) and </w:t>
      </w:r>
      <w:r w:rsidRPr="00532E38">
        <w:rPr>
          <w:b/>
        </w:rPr>
        <w:t>CC15</w:t>
      </w:r>
      <w:r w:rsidRPr="00532E38">
        <w:t>-</w:t>
      </w:r>
      <w:r w:rsidRPr="00532E38">
        <w:rPr>
          <w:i/>
        </w:rPr>
        <w:t xml:space="preserve">R </w:t>
      </w:r>
      <w:r w:rsidRPr="00532E38">
        <w:t>(5% w/v), thus ensuring the same volumetric density of pore cavities in each case. Gas uptakes were determined for both PLs for CH</w:t>
      </w:r>
      <w:r w:rsidRPr="00532E38">
        <w:rPr>
          <w:vertAlign w:val="subscript"/>
        </w:rPr>
        <w:t>4</w:t>
      </w:r>
      <w:r w:rsidRPr="00532E38">
        <w:t>, CO</w:t>
      </w:r>
      <w:r w:rsidRPr="00532E38">
        <w:rPr>
          <w:vertAlign w:val="subscript"/>
        </w:rPr>
        <w:t>2</w:t>
      </w:r>
      <w:r w:rsidRPr="00532E38">
        <w:t xml:space="preserve">, </w:t>
      </w:r>
      <w:proofErr w:type="spellStart"/>
      <w:r w:rsidRPr="00532E38">
        <w:t>Xe</w:t>
      </w:r>
      <w:proofErr w:type="spellEnd"/>
      <w:r w:rsidRPr="00532E38">
        <w:t>, and N</w:t>
      </w:r>
      <w:r w:rsidRPr="00532E38">
        <w:rPr>
          <w:vertAlign w:val="subscript"/>
        </w:rPr>
        <w:t>2</w:t>
      </w:r>
      <w:r w:rsidRPr="00532E38">
        <w:t>, using a guest displacement method that we described previously.</w:t>
      </w:r>
      <w:r w:rsidRPr="00532E38">
        <w:fldChar w:fldCharType="begin" w:fldLock="1"/>
      </w:r>
      <w:r w:rsidR="00D8118A">
        <w:instrText>ADDIN CSL_CITATION {"citationItems":[{"id":"ITEM-1","itemData":{"DOI":"10.1039/C6SC05196K","ISSN":"2041-6520","author":[{"dropping-particle":"","family":"Greenaway","given":"Rebecca L.","non-dropping-particle":"","parse-names":false,"suffix":""},{"dropping-particle":"","family":"Holden","given":"Daniel","non-dropping-particle":"","parse-names":false,"suffix":""},{"dropping-particle":"","family":"Eden","given":"Edward G. B.","non-dropping-particle":"","parse-names":false,"suffix":""},{"dropping-particle":"","family":"Stephenson","given":"Andrew","non-dropping-particle":"","parse-names":false,"suffix":""},{"dropping-particle":"","family":"Yong","given":"Chin W.","non-dropping-particle":"","parse-names":false,"suffix":""},{"dropping-particle":"","family":"Bennison","given":"Michael J.","non-dropping-particle":"","parse-names":false,"suffix":""},{"dropping-particle":"","family":"Hasell","given":"Tom","non-dropping-particle":"","parse-names":false,"suffix":""},{"dropping-particle":"","family":"Briggs","given":"Michael E.","non-dropping-particle":"","parse-names":false,"suffix":""},{"dropping-particle":"","family":"James","given":"Stuart L.","non-dropping-particle":"","parse-names":false,"suffix":""},{"dropping-particle":"","family":"Cooper","given":"Andrew I.","non-dropping-particle":"","parse-names":false,"suffix":""}],"container-title":"Chem. Sci.","id":"ITEM-1","issued":{"date-parts":[["2017"]]},"page":"2640-2651","publisher":"Royal Society of Chemistry","title":"Understanding gas capacity, guest selectivity, and diffusion in porous liquids","type":"article-journal","volume":"8"},"uris":["http://www.mendeley.com/documents/?uuid=31466c2c-9def-4480-92ae-e32126da05e0"]}],"mendeley":{"formattedCitation":"&lt;sup&gt;[22]&lt;/sup&gt;","plainTextFormattedCitation":"[22]","previouslyFormattedCitation":"&lt;sup&gt;[22]&lt;/sup&gt;"},"properties":{"noteIndex":0},"schema":"https://github.com/citation-style-language/schema/raw/master/csl-citation.json"}</w:instrText>
      </w:r>
      <w:r w:rsidRPr="00532E38">
        <w:fldChar w:fldCharType="separate"/>
      </w:r>
      <w:r w:rsidRPr="008730E1">
        <w:rPr>
          <w:noProof/>
          <w:vertAlign w:val="superscript"/>
        </w:rPr>
        <w:t>[22]</w:t>
      </w:r>
      <w:r w:rsidRPr="00532E38">
        <w:fldChar w:fldCharType="end"/>
      </w:r>
      <w:r w:rsidRPr="00532E38">
        <w:t xml:space="preserve"> In all cases, the gas uptake was enhanced in the PLs compared to the neat solvent (Figure 2c). Because of the </w:t>
      </w:r>
      <w:r w:rsidRPr="00532E38">
        <w:t>significantly lower cage concentration in these two PLs, gas uptakes were reduced for all gases with respect to our previous 20% w/v scrambled PL; for example, the CH</w:t>
      </w:r>
      <w:r w:rsidRPr="00532E38">
        <w:rPr>
          <w:vertAlign w:val="subscript"/>
        </w:rPr>
        <w:t>4</w:t>
      </w:r>
      <w:r w:rsidRPr="00532E38">
        <w:t xml:space="preserve"> uptake in the </w:t>
      </w:r>
      <w:r w:rsidRPr="00532E38">
        <w:rPr>
          <w:b/>
        </w:rPr>
        <w:t>CC3</w:t>
      </w:r>
      <w:r w:rsidRPr="00532E38">
        <w:rPr>
          <w:b/>
          <w:vertAlign w:val="superscript"/>
        </w:rPr>
        <w:t>3</w:t>
      </w:r>
      <w:r w:rsidRPr="00532E38">
        <w:rPr>
          <w:b/>
        </w:rPr>
        <w:t>:13</w:t>
      </w:r>
      <w:r w:rsidRPr="00532E38">
        <w:rPr>
          <w:b/>
          <w:vertAlign w:val="superscript"/>
        </w:rPr>
        <w:t>3</w:t>
      </w:r>
      <w:r w:rsidRPr="00532E38">
        <w:rPr>
          <w:i/>
        </w:rPr>
        <w:t>-R</w:t>
      </w:r>
      <w:r w:rsidRPr="00532E38">
        <w:t xml:space="preserve"> scrambled PL was 45.8 µmol/</w:t>
      </w:r>
      <w:proofErr w:type="spellStart"/>
      <w:r w:rsidRPr="00532E38">
        <w:t>g</w:t>
      </w:r>
      <w:r w:rsidRPr="00532E38">
        <w:rPr>
          <w:vertAlign w:val="subscript"/>
        </w:rPr>
        <w:t>PL</w:t>
      </w:r>
      <w:proofErr w:type="spellEnd"/>
      <w:r w:rsidRPr="00532E38">
        <w:t xml:space="preserve"> at 20% w/v</w:t>
      </w:r>
      <w:bookmarkStart w:id="6" w:name="OLE_LINK15"/>
      <w:bookmarkStart w:id="7" w:name="OLE_LINK16"/>
      <w:r w:rsidRPr="00532E38">
        <w:fldChar w:fldCharType="begin" w:fldLock="1"/>
      </w:r>
      <w:r w:rsidR="00D8118A">
        <w:instrText>ADDIN CSL_CITATION {"citationItems":[{"id":"ITEM-1","itemData":{"DOI":"10.1039/C6SC05196K","ISSN":"2041-6520","author":[{"dropping-particle":"","family":"Greenaway","given":"Rebecca L.","non-dropping-particle":"","parse-names":false,"suffix":""},{"dropping-particle":"","family":"Holden","given":"Daniel","non-dropping-particle":"","parse-names":false,"suffix":""},{"dropping-particle":"","family":"Eden","given":"Edward G. B.","non-dropping-particle":"","parse-names":false,"suffix":""},{"dropping-particle":"","family":"Stephenson","given":"Andrew","non-dropping-particle":"","parse-names":false,"suffix":""},{"dropping-particle":"","family":"Yong","given":"Chin W.","non-dropping-particle":"","parse-names":false,"suffix":""},{"dropping-particle":"","family":"Bennison","given":"Michael J.","non-dropping-particle":"","parse-names":false,"suffix":""},{"dropping-particle":"","family":"Hasell","given":"Tom","non-dropping-particle":"","parse-names":false,"suffix":""},{"dropping-particle":"","family":"Briggs","given":"Michael E.","non-dropping-particle":"","parse-names":false,"suffix":""},{"dropping-particle":"","family":"James","given":"Stuart L.","non-dropping-particle":"","parse-names":false,"suffix":""},{"dropping-particle":"","family":"Cooper","given":"Andrew I.","non-dropping-particle":"","parse-names":false,"suffix":""}],"container-title":"Chem. Sci.","id":"ITEM-1","issued":{"date-parts":[["2017"]]},"page":"2640-2651","publisher":"Royal Society of Chemistry","title":"Understanding gas capacity, guest selectivity, and diffusion in porous liquids","type":"article-journal","volume":"8"},"uris":["http://www.mendeley.com/documents/?uuid=31466c2c-9def-4480-92ae-e32126da05e0"]}],"mendeley":{"formattedCitation":"&lt;sup&gt;[22]&lt;/sup&gt;","plainTextFormattedCitation":"[22]","previouslyFormattedCitation":"&lt;sup&gt;[22]&lt;/sup&gt;"},"properties":{"noteIndex":0},"schema":"https://github.com/citation-style-language/schema/raw/master/csl-citation.json"}</w:instrText>
      </w:r>
      <w:r w:rsidRPr="00532E38">
        <w:fldChar w:fldCharType="separate"/>
      </w:r>
      <w:r w:rsidRPr="008730E1">
        <w:rPr>
          <w:noProof/>
          <w:vertAlign w:val="superscript"/>
        </w:rPr>
        <w:t>[22]</w:t>
      </w:r>
      <w:r w:rsidRPr="00532E38">
        <w:fldChar w:fldCharType="end"/>
      </w:r>
      <w:bookmarkEnd w:id="6"/>
      <w:bookmarkEnd w:id="7"/>
      <w:r w:rsidRPr="00532E38">
        <w:t xml:space="preserve"> compared to 11.7 µmol/</w:t>
      </w:r>
      <w:proofErr w:type="spellStart"/>
      <w:r w:rsidRPr="00532E38">
        <w:t>g</w:t>
      </w:r>
      <w:r w:rsidRPr="00532E38">
        <w:rPr>
          <w:vertAlign w:val="subscript"/>
        </w:rPr>
        <w:t>PL</w:t>
      </w:r>
      <w:proofErr w:type="spellEnd"/>
      <w:r w:rsidRPr="00532E38">
        <w:t xml:space="preserve"> at 4% w/v here. In the case of N</w:t>
      </w:r>
      <w:r w:rsidRPr="00532E38">
        <w:rPr>
          <w:vertAlign w:val="subscript"/>
        </w:rPr>
        <w:t>2</w:t>
      </w:r>
      <w:r w:rsidRPr="00532E38">
        <w:t>, the improvement in uptake with respect to the neat solvent was low for both PLs compared to neat HCP (Fig</w:t>
      </w:r>
      <w:r w:rsidR="003408B4">
        <w:t>ure</w:t>
      </w:r>
      <w:r w:rsidRPr="00532E38">
        <w:t> 2c), reflecting our previous observations at higher cage concentrations.</w:t>
      </w:r>
      <w:r w:rsidRPr="00532E38">
        <w:fldChar w:fldCharType="begin" w:fldLock="1"/>
      </w:r>
      <w:r w:rsidR="00D8118A">
        <w:instrText>ADDIN CSL_CITATION {"citationItems":[{"id":"ITEM-1","itemData":{"DOI":"10.1039/C6SC05196K","ISSN":"2041-6520","author":[{"dropping-particle":"","family":"Greenaway","given":"Rebecca L.","non-dropping-particle":"","parse-names":false,"suffix":""},{"dropping-particle":"","family":"Holden","given":"Daniel","non-dropping-particle":"","parse-names":false,"suffix":""},{"dropping-particle":"","family":"Eden","given":"Edward G. B.","non-dropping-particle":"","parse-names":false,"suffix":""},{"dropping-particle":"","family":"Stephenson","given":"Andrew","non-dropping-particle":"","parse-names":false,"suffix":""},{"dropping-particle":"","family":"Yong","given":"Chin W.","non-dropping-particle":"","parse-names":false,"suffix":""},{"dropping-particle":"","family":"Bennison","given":"Michael J.","non-dropping-particle":"","parse-names":false,"suffix":""},{"dropping-particle":"","family":"Hasell","given":"Tom","non-dropping-particle":"","parse-names":false,"suffix":""},{"dropping-particle":"","family":"Briggs","given":"Michael E.","non-dropping-particle":"","parse-names":false,"suffix":""},{"dropping-particle":"","family":"James","given":"Stuart L.","non-dropping-particle":"","parse-names":false,"suffix":""},{"dropping-particle":"","family":"Cooper","given":"Andrew I.","non-dropping-particle":"","parse-names":false,"suffix":""}],"container-title":"Chem. Sci.","id":"ITEM-1","issued":{"date-parts":[["2017"]]},"page":"2640-2651","publisher":"Royal Society of Chemistry","title":"Understanding gas capacity, guest selectivity, and diffusion in porous liquids","type":"article-journal","volume":"8"},"uris":["http://www.mendeley.com/documents/?uuid=31466c2c-9def-4480-92ae-e32126da05e0"]}],"mendeley":{"formattedCitation":"&lt;sup&gt;[22]&lt;/sup&gt;","plainTextFormattedCitation":"[22]","previouslyFormattedCitation":"&lt;sup&gt;[22]&lt;/sup&gt;"},"properties":{"noteIndex":0},"schema":"https://github.com/citation-style-language/schema/raw/master/csl-citation.json"}</w:instrText>
      </w:r>
      <w:r w:rsidRPr="00532E38">
        <w:fldChar w:fldCharType="separate"/>
      </w:r>
      <w:r w:rsidRPr="008730E1">
        <w:rPr>
          <w:noProof/>
          <w:vertAlign w:val="superscript"/>
        </w:rPr>
        <w:t>[22]</w:t>
      </w:r>
      <w:r w:rsidRPr="00532E38">
        <w:fldChar w:fldCharType="end"/>
      </w:r>
      <w:r w:rsidRPr="00532E38">
        <w:t xml:space="preserve"> For other gases, the gas solubility improvements were more marked and there were large differences between the two </w:t>
      </w:r>
      <w:proofErr w:type="spellStart"/>
      <w:r w:rsidRPr="00532E38">
        <w:t>PLs.</w:t>
      </w:r>
      <w:proofErr w:type="spellEnd"/>
      <w:r w:rsidRPr="00532E38">
        <w:t xml:space="preserve"> The </w:t>
      </w:r>
      <w:proofErr w:type="spellStart"/>
      <w:r w:rsidRPr="00532E38">
        <w:t>Xe</w:t>
      </w:r>
      <w:proofErr w:type="spellEnd"/>
      <w:r w:rsidRPr="00532E38">
        <w:t xml:space="preserve"> uptake in </w:t>
      </w:r>
      <w:bookmarkStart w:id="8" w:name="OLE_LINK55"/>
      <w:bookmarkStart w:id="9" w:name="OLE_LINK56"/>
      <w:r w:rsidRPr="00532E38">
        <w:rPr>
          <w:b/>
        </w:rPr>
        <w:t>CC3</w:t>
      </w:r>
      <w:r w:rsidRPr="00532E38">
        <w:rPr>
          <w:b/>
          <w:vertAlign w:val="superscript"/>
        </w:rPr>
        <w:t>3</w:t>
      </w:r>
      <w:r w:rsidRPr="00532E38">
        <w:rPr>
          <w:b/>
        </w:rPr>
        <w:t>:13</w:t>
      </w:r>
      <w:r w:rsidRPr="00532E38">
        <w:rPr>
          <w:b/>
          <w:vertAlign w:val="superscript"/>
        </w:rPr>
        <w:t>3</w:t>
      </w:r>
      <w:r w:rsidRPr="00532E38">
        <w:rPr>
          <w:i/>
        </w:rPr>
        <w:t>-R</w:t>
      </w:r>
      <w:r w:rsidRPr="00532E38">
        <w:t xml:space="preserve"> </w:t>
      </w:r>
      <w:bookmarkEnd w:id="8"/>
      <w:bookmarkEnd w:id="9"/>
      <w:r w:rsidRPr="00532E38">
        <w:t>PL (16.</w:t>
      </w:r>
      <w:r w:rsidR="0075276A">
        <w:t>6</w:t>
      </w:r>
      <w:r w:rsidRPr="00532E38">
        <w:t xml:space="preserve"> µmol/</w:t>
      </w:r>
      <w:proofErr w:type="spellStart"/>
      <w:r w:rsidRPr="00532E38">
        <w:t>g</w:t>
      </w:r>
      <w:r w:rsidRPr="00532E38">
        <w:rPr>
          <w:vertAlign w:val="subscript"/>
        </w:rPr>
        <w:t>PL</w:t>
      </w:r>
      <w:proofErr w:type="spellEnd"/>
      <w:r w:rsidRPr="00532E38">
        <w:t xml:space="preserve">) was almost four times that measured for </w:t>
      </w:r>
      <w:r w:rsidRPr="00532E38">
        <w:rPr>
          <w:b/>
        </w:rPr>
        <w:t>CC15</w:t>
      </w:r>
      <w:r w:rsidRPr="00532E38">
        <w:t>-</w:t>
      </w:r>
      <w:r w:rsidRPr="00532E38">
        <w:rPr>
          <w:i/>
        </w:rPr>
        <w:t xml:space="preserve">R </w:t>
      </w:r>
      <w:r w:rsidRPr="00532E38">
        <w:t>PL (4.</w:t>
      </w:r>
      <w:r w:rsidR="0075276A">
        <w:t>3</w:t>
      </w:r>
      <w:r w:rsidRPr="00532E38">
        <w:t xml:space="preserve"> µmol/</w:t>
      </w:r>
      <w:proofErr w:type="spellStart"/>
      <w:r w:rsidRPr="00532E38">
        <w:t>g</w:t>
      </w:r>
      <w:r w:rsidRPr="00532E38">
        <w:rPr>
          <w:vertAlign w:val="subscript"/>
        </w:rPr>
        <w:t>PL</w:t>
      </w:r>
      <w:proofErr w:type="spellEnd"/>
      <w:r w:rsidRPr="00532E38">
        <w:t xml:space="preserve">) at the same pore concentration. </w:t>
      </w:r>
      <w:bookmarkStart w:id="10" w:name="OLE_LINK19"/>
      <w:bookmarkStart w:id="11" w:name="OLE_LINK20"/>
      <w:r w:rsidRPr="00532E38">
        <w:t xml:space="preserve">The </w:t>
      </w:r>
      <w:r w:rsidRPr="00532E38">
        <w:rPr>
          <w:b/>
        </w:rPr>
        <w:t>CC3</w:t>
      </w:r>
      <w:r w:rsidRPr="00532E38">
        <w:rPr>
          <w:b/>
          <w:vertAlign w:val="superscript"/>
        </w:rPr>
        <w:t>3</w:t>
      </w:r>
      <w:r w:rsidRPr="00532E38">
        <w:rPr>
          <w:b/>
        </w:rPr>
        <w:t>:13</w:t>
      </w:r>
      <w:r w:rsidRPr="00532E38">
        <w:rPr>
          <w:b/>
          <w:vertAlign w:val="superscript"/>
        </w:rPr>
        <w:t>3</w:t>
      </w:r>
      <w:r w:rsidRPr="00532E38">
        <w:rPr>
          <w:i/>
        </w:rPr>
        <w:t>-R</w:t>
      </w:r>
      <w:r w:rsidRPr="00532E38">
        <w:t xml:space="preserve"> PL </w:t>
      </w:r>
      <w:bookmarkEnd w:id="10"/>
      <w:bookmarkEnd w:id="11"/>
      <w:r w:rsidRPr="00532E38">
        <w:t xml:space="preserve">absorbs more </w:t>
      </w:r>
      <w:proofErr w:type="spellStart"/>
      <w:r w:rsidRPr="00532E38">
        <w:t>Xe</w:t>
      </w:r>
      <w:proofErr w:type="spellEnd"/>
      <w:r w:rsidRPr="00532E38">
        <w:t xml:space="preserve"> than the other gases tested, reflecting the thermodynamic preference for </w:t>
      </w:r>
      <w:proofErr w:type="spellStart"/>
      <w:r w:rsidRPr="00532E38">
        <w:t>Xe</w:t>
      </w:r>
      <w:proofErr w:type="spellEnd"/>
      <w:r w:rsidRPr="00532E38">
        <w:t xml:space="preserve"> observed previously in these imine POCs,</w:t>
      </w:r>
      <w:r w:rsidRPr="00532E38">
        <w:fldChar w:fldCharType="begin" w:fldLock="1"/>
      </w:r>
      <w:r w:rsidR="00403B8C">
        <w:instrText>ADDIN CSL_CITATION {"citationItems":[{"id":"ITEM-1","itemData":{"DOI":"10.1038/nmat4035","ISBN":"1476-1122 (Print)\\r1476-1122 (Linking)","ISSN":"1476-1122","PMID":"25038731","abstract":"The separation of molecules with similar size and shape is an important technological challenge. For example, rare gases can pose either an economic opportunity or an environmental hazard and there is a need to separate these spherical molecules selectively at low concentrations in air. Likewise, chiral molecules are important building blocks for pharmaceuticals, but chiral enantiomers, by definition, have identical size and shape, and their separation can be challenging. Here we show that a porous organic cage molecule has unprecedented performance in the solid state for the separation of rare gases, such as krypton and xenon. The selectivity arises from a precise size match between the rare gas and the organic cage cavity, as predicted by molecular simulations. Breakthrough experiments demonstrate real practical potential for the separation of krypton, xenon and radon from air at concentrations of only a few parts per million. We also demonstrate selective binding of chiral organic molecules such as 1-phenylethanol, suggesting applications in enantioselective separation.","author":[{"dropping-particle":"","family":"Chen","given":"L","non-dropping-particle":"","parse-names":false,"suffix":""},{"dropping-particle":"","family":"Reiss","given":"P S","non-dropping-particle":"","parse-names":false,"suffix":""},{"dropping-particle":"","family":"Chong","given":"S Y","non-dropping-particle":"","parse-names":false,"suffix":""},{"dropping-particle":"","family":"Holden","given":"D","non-dropping-particle":"","parse-names":false,"suffix":""},{"dropping-particle":"","family":"Jelfs","given":"K E","non-dropping-particle":"","parse-names":false,"suffix":""},{"dropping-particle":"","family":"Hasell","given":"T","non-dropping-particle":"","parse-names":false,"suffix":""},{"dropping-particle":"","family":"Little","given":"M A","non-dropping-particle":"","parse-names":false,"suffix":""},{"dropping-particle":"","family":"Kewley","given":"A","non-dropping-particle":"","parse-names":false,"suffix":""},{"dropping-particle":"","family":"Briggs","given":"M E","non-dropping-particle":"","parse-names":false,"suffix":""},{"dropping-particle":"","family":"Stephenson","given":"A","non-dropping-particle":"","parse-names":false,"suffix":""},{"dropping-particle":"","family":"Thomas","given":"K M","non-dropping-particle":"","parse-names":false,"suffix":""},{"dropping-particle":"","family":"Armstrong","given":"J A","non-dropping-particle":"","parse-names":false,"suffix":""},{"dropping-particle":"","family":"Bell","given":"J","non-dropping-particle":"","parse-names":false,"suffix":""},{"dropping-particle":"","family":"Busto","given":"J","non-dropping-particle":"","parse-names":false,"suffix":""},{"dropping-particle":"","family":"Noel","given":"R","non-dropping-particle":"","parse-names":false,"suffix":""},{"dropping-particle":"","family":"Liu","given":"J","non-dropping-particle":"","parse-names":false,"suffix":""},{"dropping-particle":"","family":"Strachan","given":"D M","non-dropping-particle":"","parse-names":false,"suffix":""},{"dropping-particle":"","family":"Thallapally","given":"P K","non-dropping-particle":"","parse-names":false,"suffix":""},{"dropping-particle":"","family":"Cooper","given":"A I","non-dropping-particle":"","parse-names":false,"suffix":""}],"container-title":"Nat Mater","id":"ITEM-1","issue":"10","issued":{"date-parts":[["2014"]]},"page":"954-960","title":"Separation of rare gases and chiral molecules by selective binding in porous organic cages","type":"article-journal","volume":"13"},"uris":["http://www.mendeley.com/documents/?uuid=c66c3f05-2d7a-4580-898f-b983c4f4f283"]}],"mendeley":{"formattedCitation":"&lt;sup&gt;[26]&lt;/sup&gt;","plainTextFormattedCitation":"[26]","previouslyFormattedCitation":"&lt;sup&gt;[25]&lt;/sup&gt;"},"properties":{"noteIndex":0},"schema":"https://github.com/citation-style-language/schema/raw/master/csl-citation.json"}</w:instrText>
      </w:r>
      <w:r w:rsidRPr="00532E38">
        <w:fldChar w:fldCharType="separate"/>
      </w:r>
      <w:r w:rsidR="00403B8C" w:rsidRPr="00403B8C">
        <w:rPr>
          <w:noProof/>
          <w:vertAlign w:val="superscript"/>
        </w:rPr>
        <w:t>[26]</w:t>
      </w:r>
      <w:r w:rsidRPr="00532E38">
        <w:fldChar w:fldCharType="end"/>
      </w:r>
      <w:r w:rsidRPr="00532E38">
        <w:t xml:space="preserve"> but this is totally lost in the PL derived from the methylated analogue, </w:t>
      </w:r>
      <w:r w:rsidRPr="00532E38">
        <w:rPr>
          <w:b/>
        </w:rPr>
        <w:t>CC15</w:t>
      </w:r>
      <w:r w:rsidRPr="00532E38">
        <w:t>-</w:t>
      </w:r>
      <w:r w:rsidRPr="00532E38">
        <w:rPr>
          <w:i/>
        </w:rPr>
        <w:t>R</w:t>
      </w:r>
      <w:r w:rsidRPr="00532E38">
        <w:t xml:space="preserve">. Furthermore, </w:t>
      </w:r>
      <w:bookmarkStart w:id="12" w:name="OLE_LINK17"/>
      <w:bookmarkStart w:id="13" w:name="OLE_LINK18"/>
      <w:r w:rsidRPr="00532E38">
        <w:t xml:space="preserve">the </w:t>
      </w:r>
      <w:r w:rsidRPr="00532E38">
        <w:rPr>
          <w:b/>
        </w:rPr>
        <w:t>CC15</w:t>
      </w:r>
      <w:r w:rsidRPr="00532E38">
        <w:t>-</w:t>
      </w:r>
      <w:r w:rsidRPr="00532E38">
        <w:rPr>
          <w:i/>
        </w:rPr>
        <w:t>R</w:t>
      </w:r>
      <w:r w:rsidRPr="00532E38">
        <w:t xml:space="preserve"> PL </w:t>
      </w:r>
      <w:bookmarkEnd w:id="12"/>
      <w:bookmarkEnd w:id="13"/>
      <w:r w:rsidRPr="00532E38">
        <w:t>absorbs CH</w:t>
      </w:r>
      <w:r w:rsidRPr="00532E38">
        <w:rPr>
          <w:vertAlign w:val="subscript"/>
        </w:rPr>
        <w:t>4</w:t>
      </w:r>
      <w:r w:rsidRPr="00532E38">
        <w:t xml:space="preserve"> most preferentially, and more effectively than </w:t>
      </w:r>
      <w:r w:rsidRPr="00532E38">
        <w:rPr>
          <w:b/>
        </w:rPr>
        <w:t>CC3</w:t>
      </w:r>
      <w:r w:rsidRPr="00532E38">
        <w:rPr>
          <w:b/>
          <w:vertAlign w:val="superscript"/>
        </w:rPr>
        <w:t>3</w:t>
      </w:r>
      <w:r w:rsidRPr="00532E38">
        <w:rPr>
          <w:b/>
        </w:rPr>
        <w:t>:13</w:t>
      </w:r>
      <w:r w:rsidRPr="00532E38">
        <w:rPr>
          <w:b/>
          <w:vertAlign w:val="superscript"/>
        </w:rPr>
        <w:t>3</w:t>
      </w:r>
      <w:r w:rsidRPr="00532E38">
        <w:rPr>
          <w:i/>
        </w:rPr>
        <w:t>-R</w:t>
      </w:r>
      <w:r w:rsidRPr="00532E38">
        <w:t xml:space="preserve">; that is, the </w:t>
      </w:r>
      <w:r w:rsidRPr="00532E38">
        <w:rPr>
          <w:b/>
        </w:rPr>
        <w:t>CC3</w:t>
      </w:r>
      <w:r w:rsidRPr="00532E38">
        <w:rPr>
          <w:b/>
          <w:vertAlign w:val="superscript"/>
        </w:rPr>
        <w:t>3</w:t>
      </w:r>
      <w:r w:rsidRPr="00532E38">
        <w:rPr>
          <w:b/>
        </w:rPr>
        <w:t>:13</w:t>
      </w:r>
      <w:r w:rsidRPr="00532E38">
        <w:rPr>
          <w:b/>
          <w:vertAlign w:val="superscript"/>
        </w:rPr>
        <w:t>3</w:t>
      </w:r>
      <w:r w:rsidRPr="00532E38">
        <w:rPr>
          <w:i/>
        </w:rPr>
        <w:t>-R</w:t>
      </w:r>
      <w:r w:rsidRPr="00532E38">
        <w:t xml:space="preserve"> PL is xenon selective, while the </w:t>
      </w:r>
      <w:r w:rsidRPr="00532E38">
        <w:rPr>
          <w:b/>
        </w:rPr>
        <w:t>CC15</w:t>
      </w:r>
      <w:r w:rsidRPr="00532E38">
        <w:t>-</w:t>
      </w:r>
      <w:r w:rsidRPr="00532E38">
        <w:rPr>
          <w:i/>
        </w:rPr>
        <w:t>R</w:t>
      </w:r>
      <w:r w:rsidRPr="00532E38">
        <w:t xml:space="preserve"> PL is CH</w:t>
      </w:r>
      <w:r w:rsidRPr="00532E38">
        <w:rPr>
          <w:vertAlign w:val="subscript"/>
        </w:rPr>
        <w:t>4</w:t>
      </w:r>
      <w:r w:rsidRPr="00532E38">
        <w:t xml:space="preserve"> selective.</w:t>
      </w:r>
    </w:p>
    <w:p w14:paraId="0CB628BA" w14:textId="77777777" w:rsidR="006B5521" w:rsidRPr="00532E38" w:rsidRDefault="006B5521" w:rsidP="006B5521">
      <w:pPr>
        <w:pStyle w:val="P1"/>
      </w:pPr>
    </w:p>
    <w:p w14:paraId="434518F3" w14:textId="06C6C8D9" w:rsidR="006B5521" w:rsidRDefault="006B5521" w:rsidP="006B5521">
      <w:pPr>
        <w:pStyle w:val="P1"/>
      </w:pPr>
      <w:r w:rsidRPr="00532E38">
        <w:t xml:space="preserve">The gas uptake in these two PLs can be compared directly to the gas uptake in the corresponding POC solids by subtracting the baseline solubility in HCP and normalizing to the mass of cage present (Figure 2d). Nitrogen was not included in these comparisons since the solid-state sorption measurements were </w:t>
      </w:r>
      <w:r w:rsidRPr="00532E38">
        <w:lastRenderedPageBreak/>
        <w:t>carried out at 77 K, not at 298 K. For CH</w:t>
      </w:r>
      <w:r w:rsidRPr="00532E38">
        <w:rPr>
          <w:vertAlign w:val="subscript"/>
        </w:rPr>
        <w:t>4</w:t>
      </w:r>
      <w:r w:rsidRPr="00532E38">
        <w:t xml:space="preserve">, the </w:t>
      </w:r>
      <w:bookmarkStart w:id="14" w:name="OLE_LINK21"/>
      <w:bookmarkStart w:id="15" w:name="OLE_LINK22"/>
      <w:r w:rsidRPr="00532E38">
        <w:t xml:space="preserve">mass-normalized </w:t>
      </w:r>
      <w:bookmarkEnd w:id="14"/>
      <w:bookmarkEnd w:id="15"/>
      <w:r w:rsidRPr="00532E38">
        <w:t>gas uptake in the cages in the PLs (0.409 mmol/</w:t>
      </w:r>
      <w:proofErr w:type="spellStart"/>
      <w:r w:rsidRPr="00532E38">
        <w:t>g</w:t>
      </w:r>
      <w:r w:rsidRPr="00532E38">
        <w:rPr>
          <w:vertAlign w:val="subscript"/>
        </w:rPr>
        <w:t>cage</w:t>
      </w:r>
      <w:proofErr w:type="spellEnd"/>
      <w:r w:rsidRPr="00532E38">
        <w:t xml:space="preserve"> for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rPr>
          <w:iCs/>
        </w:rPr>
        <w:t xml:space="preserve"> PL</w:t>
      </w:r>
      <w:r w:rsidRPr="00532E38">
        <w:t>, 0.386 mmol/</w:t>
      </w:r>
      <w:proofErr w:type="spellStart"/>
      <w:r w:rsidRPr="00532E38">
        <w:t>g</w:t>
      </w:r>
      <w:r w:rsidRPr="00532E38">
        <w:rPr>
          <w:vertAlign w:val="subscript"/>
        </w:rPr>
        <w:t>cage</w:t>
      </w:r>
      <w:proofErr w:type="spellEnd"/>
      <w:r w:rsidRPr="00532E38">
        <w:t xml:space="preserve"> for </w:t>
      </w:r>
      <w:r w:rsidRPr="00532E38">
        <w:rPr>
          <w:b/>
        </w:rPr>
        <w:t>CC15</w:t>
      </w:r>
      <w:r w:rsidRPr="00532E38">
        <w:t>-</w:t>
      </w:r>
      <w:r w:rsidRPr="00532E38">
        <w:rPr>
          <w:i/>
        </w:rPr>
        <w:t>R</w:t>
      </w:r>
      <w:r w:rsidRPr="00532E38">
        <w:rPr>
          <w:iCs/>
        </w:rPr>
        <w:t xml:space="preserve"> PL</w:t>
      </w:r>
      <w:r w:rsidRPr="00532E38">
        <w:t>) is broadly comparable to the uptake observed in the solid state (0.495 mmol/</w:t>
      </w:r>
      <w:proofErr w:type="spellStart"/>
      <w:r w:rsidRPr="00532E38">
        <w:t>g</w:t>
      </w:r>
      <w:r w:rsidRPr="00532E38">
        <w:rPr>
          <w:vertAlign w:val="subscript"/>
        </w:rPr>
        <w:t>cage</w:t>
      </w:r>
      <w:proofErr w:type="spellEnd"/>
      <w:r w:rsidRPr="00532E38">
        <w:t xml:space="preserve"> for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rPr>
          <w:iCs/>
        </w:rPr>
        <w:t xml:space="preserve"> solid</w:t>
      </w:r>
      <w:r w:rsidRPr="00532E38">
        <w:t>, 0.562 mmol/</w:t>
      </w:r>
      <w:proofErr w:type="spellStart"/>
      <w:r w:rsidRPr="00532E38">
        <w:t>g</w:t>
      </w:r>
      <w:r w:rsidRPr="00532E38">
        <w:rPr>
          <w:vertAlign w:val="subscript"/>
        </w:rPr>
        <w:t>cage</w:t>
      </w:r>
      <w:proofErr w:type="spellEnd"/>
      <w:r w:rsidRPr="00532E38">
        <w:t xml:space="preserve"> </w:t>
      </w:r>
      <w:r w:rsidRPr="00532E38">
        <w:rPr>
          <w:b/>
        </w:rPr>
        <w:t>CC15</w:t>
      </w:r>
      <w:r w:rsidRPr="00532E38">
        <w:t>-</w:t>
      </w:r>
      <w:r w:rsidRPr="00532E38">
        <w:rPr>
          <w:i/>
        </w:rPr>
        <w:t>R</w:t>
      </w:r>
      <w:r w:rsidRPr="00532E38">
        <w:rPr>
          <w:iCs/>
        </w:rPr>
        <w:t xml:space="preserve"> solid</w:t>
      </w:r>
      <w:r w:rsidRPr="00532E38">
        <w:t xml:space="preserve">). However, this does not hold for </w:t>
      </w:r>
      <w:proofErr w:type="spellStart"/>
      <w:r w:rsidRPr="00532E38">
        <w:t>Xe</w:t>
      </w:r>
      <w:proofErr w:type="spellEnd"/>
      <w:r w:rsidRPr="00532E38">
        <w:t xml:space="preserve"> and CO</w:t>
      </w:r>
      <w:r w:rsidRPr="00532E38">
        <w:rPr>
          <w:vertAlign w:val="subscript"/>
        </w:rPr>
        <w:t>2</w:t>
      </w:r>
      <w:r w:rsidRPr="00532E38">
        <w:t>. The solid state CO</w:t>
      </w:r>
      <w:r w:rsidRPr="00532E38">
        <w:rPr>
          <w:vertAlign w:val="subscript"/>
        </w:rPr>
        <w:t>2</w:t>
      </w:r>
      <w:r w:rsidRPr="00532E38">
        <w:t xml:space="preserve"> uptakes for the cages (1.407 mmol/</w:t>
      </w:r>
      <w:proofErr w:type="spellStart"/>
      <w:r w:rsidRPr="00532E38">
        <w:t>g</w:t>
      </w:r>
      <w:r w:rsidRPr="00532E38">
        <w:rPr>
          <w:vertAlign w:val="subscript"/>
        </w:rPr>
        <w:t>cage</w:t>
      </w:r>
      <w:proofErr w:type="spellEnd"/>
      <w:r w:rsidRPr="00532E38">
        <w:t xml:space="preserve"> for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rPr>
          <w:iCs/>
        </w:rPr>
        <w:t xml:space="preserve"> solid</w:t>
      </w:r>
      <w:r w:rsidRPr="00532E38">
        <w:t>, 1.304 mmol/</w:t>
      </w:r>
      <w:proofErr w:type="spellStart"/>
      <w:r w:rsidRPr="00532E38">
        <w:t>g</w:t>
      </w:r>
      <w:r w:rsidRPr="00532E38">
        <w:rPr>
          <w:vertAlign w:val="subscript"/>
        </w:rPr>
        <w:t>cage</w:t>
      </w:r>
      <w:proofErr w:type="spellEnd"/>
      <w:r w:rsidRPr="00532E38">
        <w:t xml:space="preserve"> for </w:t>
      </w:r>
      <w:r w:rsidRPr="00532E38">
        <w:rPr>
          <w:b/>
        </w:rPr>
        <w:t>CC15</w:t>
      </w:r>
      <w:r w:rsidRPr="00532E38">
        <w:t>-</w:t>
      </w:r>
      <w:r w:rsidRPr="00532E38">
        <w:rPr>
          <w:i/>
        </w:rPr>
        <w:t>R</w:t>
      </w:r>
      <w:r w:rsidRPr="00532E38">
        <w:t xml:space="preserve"> solid) are around one order of magnitude higher than the mass-normalized uptakes for the PLs (0.375 mmol/</w:t>
      </w:r>
      <w:proofErr w:type="spellStart"/>
      <w:r w:rsidRPr="00532E38">
        <w:t>g</w:t>
      </w:r>
      <w:r w:rsidRPr="00532E38">
        <w:rPr>
          <w:vertAlign w:val="subscript"/>
        </w:rPr>
        <w:t>cage</w:t>
      </w:r>
      <w:proofErr w:type="spellEnd"/>
      <w:r w:rsidRPr="00532E38">
        <w:t xml:space="preserve"> for</w:t>
      </w:r>
      <w:r w:rsidRPr="00532E38">
        <w:rPr>
          <w:b/>
        </w:rPr>
        <w:t xml:space="preserve"> CC3</w:t>
      </w:r>
      <w:r w:rsidRPr="00532E38">
        <w:rPr>
          <w:b/>
          <w:vertAlign w:val="superscript"/>
        </w:rPr>
        <w:t>3</w:t>
      </w:r>
      <w:r w:rsidR="005A49B9" w:rsidRPr="005A49B9">
        <w:rPr>
          <w:b/>
        </w:rPr>
        <w:t>:</w:t>
      </w:r>
      <w:r w:rsidRPr="00532E38">
        <w:rPr>
          <w:b/>
        </w:rPr>
        <w:t>13</w:t>
      </w:r>
      <w:r w:rsidRPr="00532E38">
        <w:rPr>
          <w:b/>
          <w:vertAlign w:val="superscript"/>
        </w:rPr>
        <w:t>3</w:t>
      </w:r>
      <w:r w:rsidRPr="00532E38">
        <w:t>-</w:t>
      </w:r>
      <w:r w:rsidRPr="00532E38">
        <w:rPr>
          <w:i/>
        </w:rPr>
        <w:t>R</w:t>
      </w:r>
      <w:r w:rsidRPr="00532E38">
        <w:t xml:space="preserve"> PL, 0.164 mmol/</w:t>
      </w:r>
      <w:proofErr w:type="spellStart"/>
      <w:r w:rsidRPr="00532E38">
        <w:t>g</w:t>
      </w:r>
      <w:r w:rsidRPr="00532E38">
        <w:rPr>
          <w:vertAlign w:val="subscript"/>
        </w:rPr>
        <w:t>cage</w:t>
      </w:r>
      <w:proofErr w:type="spellEnd"/>
      <w:r w:rsidRPr="00532E38">
        <w:t xml:space="preserve"> for </w:t>
      </w:r>
      <w:r w:rsidRPr="00532E38">
        <w:rPr>
          <w:b/>
        </w:rPr>
        <w:t>CC15</w:t>
      </w:r>
      <w:r w:rsidRPr="00532E38">
        <w:t>-</w:t>
      </w:r>
      <w:r w:rsidRPr="00532E38">
        <w:rPr>
          <w:i/>
        </w:rPr>
        <w:t>R</w:t>
      </w:r>
      <w:r w:rsidRPr="00532E38">
        <w:t xml:space="preserve"> PL). This difference can be attributed, at least in part, to the interconnected solid-state porosity that comprises both intrinsic pores (inside cages) and extrinsic pores (between cages), whereas these PLs only have intrinsic pores.</w:t>
      </w:r>
    </w:p>
    <w:p w14:paraId="4CDAF0A7" w14:textId="77777777" w:rsidR="006B5521" w:rsidRPr="00532E38" w:rsidRDefault="006B5521" w:rsidP="006B5521">
      <w:pPr>
        <w:pStyle w:val="P1"/>
      </w:pPr>
    </w:p>
    <w:p w14:paraId="064F105C" w14:textId="77777777" w:rsidR="006B5521" w:rsidRDefault="006B5521" w:rsidP="006B5521">
      <w:pPr>
        <w:pStyle w:val="P1"/>
      </w:pPr>
      <w:r w:rsidRPr="00532E38">
        <w:t xml:space="preserve">For </w:t>
      </w:r>
      <w:proofErr w:type="spellStart"/>
      <w:r w:rsidRPr="00532E38">
        <w:t>Xe</w:t>
      </w:r>
      <w:proofErr w:type="spellEnd"/>
      <w:r w:rsidRPr="00532E38">
        <w:t>, there is a much larger disparity in gas uptakes in these PLs (0.5</w:t>
      </w:r>
      <w:r w:rsidR="0075276A">
        <w:t>68</w:t>
      </w:r>
      <w:r w:rsidRPr="00532E38">
        <w:t xml:space="preserve"> mmol/</w:t>
      </w:r>
      <w:proofErr w:type="spellStart"/>
      <w:r w:rsidRPr="00532E38">
        <w:t>g</w:t>
      </w:r>
      <w:r w:rsidRPr="00532E38">
        <w:rPr>
          <w:vertAlign w:val="subscript"/>
        </w:rPr>
        <w:t>cage</w:t>
      </w:r>
      <w:proofErr w:type="spellEnd"/>
      <w:r w:rsidRPr="00532E38">
        <w:t xml:space="preserve"> for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 xml:space="preserve">R </w:t>
      </w:r>
      <w:r w:rsidRPr="00532E38">
        <w:t>PL, 0.027 mmol/</w:t>
      </w:r>
      <w:proofErr w:type="spellStart"/>
      <w:r w:rsidRPr="00532E38">
        <w:t>g</w:t>
      </w:r>
      <w:r w:rsidRPr="00532E38">
        <w:rPr>
          <w:vertAlign w:val="subscript"/>
        </w:rPr>
        <w:t>cage</w:t>
      </w:r>
      <w:proofErr w:type="spellEnd"/>
      <w:r w:rsidRPr="00532E38">
        <w:t xml:space="preserve"> for </w:t>
      </w:r>
      <w:bookmarkStart w:id="16" w:name="OLE_LINK61"/>
      <w:bookmarkStart w:id="17" w:name="OLE_LINK62"/>
      <w:r w:rsidRPr="00532E38">
        <w:rPr>
          <w:b/>
        </w:rPr>
        <w:t>CC15</w:t>
      </w:r>
      <w:r w:rsidRPr="00532E38">
        <w:t>-</w:t>
      </w:r>
      <w:r w:rsidRPr="00532E38">
        <w:rPr>
          <w:i/>
        </w:rPr>
        <w:t>R</w:t>
      </w:r>
      <w:r w:rsidRPr="00532E38">
        <w:t xml:space="preserve"> PL</w:t>
      </w:r>
      <w:bookmarkEnd w:id="16"/>
      <w:bookmarkEnd w:id="17"/>
      <w:r w:rsidRPr="00532E38">
        <w:t xml:space="preserve">); this does not reflect the solid state trend for these POCs, where both of the cage materials adsorb significant amounts of </w:t>
      </w:r>
      <w:proofErr w:type="spellStart"/>
      <w:r w:rsidRPr="00532E38">
        <w:t>Xe</w:t>
      </w:r>
      <w:proofErr w:type="spellEnd"/>
      <w:r w:rsidRPr="00532E38">
        <w:t xml:space="preserve"> (1.710 mmol/</w:t>
      </w:r>
      <w:proofErr w:type="spellStart"/>
      <w:r w:rsidRPr="00532E38">
        <w:t>g</w:t>
      </w:r>
      <w:r w:rsidRPr="00532E38">
        <w:rPr>
          <w:vertAlign w:val="subscript"/>
        </w:rPr>
        <w:t>cage</w:t>
      </w:r>
      <w:proofErr w:type="spellEnd"/>
      <w:r w:rsidRPr="00532E38">
        <w:t xml:space="preserve"> for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rPr>
          <w:iCs/>
        </w:rPr>
        <w:t xml:space="preserve"> solid</w:t>
      </w:r>
      <w:r w:rsidRPr="00532E38">
        <w:t>, 1.283 mmol/</w:t>
      </w:r>
      <w:proofErr w:type="spellStart"/>
      <w:r w:rsidRPr="00532E38">
        <w:t>g</w:t>
      </w:r>
      <w:r w:rsidRPr="00532E38">
        <w:rPr>
          <w:vertAlign w:val="subscript"/>
        </w:rPr>
        <w:t>cage</w:t>
      </w:r>
      <w:proofErr w:type="spellEnd"/>
      <w:r w:rsidRPr="00532E38">
        <w:t xml:space="preserve"> for </w:t>
      </w:r>
      <w:r w:rsidRPr="00532E38">
        <w:rPr>
          <w:b/>
        </w:rPr>
        <w:t>CC15</w:t>
      </w:r>
      <w:r w:rsidRPr="00532E38">
        <w:t>-</w:t>
      </w:r>
      <w:r w:rsidRPr="00532E38">
        <w:rPr>
          <w:i/>
        </w:rPr>
        <w:t>R</w:t>
      </w:r>
      <w:r w:rsidRPr="00532E38">
        <w:rPr>
          <w:iCs/>
        </w:rPr>
        <w:t xml:space="preserve"> solid</w:t>
      </w:r>
      <w:r w:rsidRPr="00532E38">
        <w:t xml:space="preserve">). Effectively, the </w:t>
      </w:r>
      <w:proofErr w:type="spellStart"/>
      <w:r w:rsidRPr="00532E38">
        <w:t>Xe</w:t>
      </w:r>
      <w:proofErr w:type="spellEnd"/>
      <w:r w:rsidRPr="00532E38">
        <w:t xml:space="preserve"> uptake has been ‘shut off’ for </w:t>
      </w:r>
      <w:r w:rsidRPr="00532E38">
        <w:rPr>
          <w:b/>
        </w:rPr>
        <w:t>CC15</w:t>
      </w:r>
      <w:r w:rsidRPr="00532E38">
        <w:t>-</w:t>
      </w:r>
      <w:r w:rsidRPr="00532E38">
        <w:rPr>
          <w:i/>
        </w:rPr>
        <w:t>R</w:t>
      </w:r>
      <w:r w:rsidRPr="00532E38">
        <w:t xml:space="preserve"> when it is translated into the PL state. This suggests that the </w:t>
      </w:r>
      <w:proofErr w:type="spellStart"/>
      <w:r w:rsidRPr="00532E38">
        <w:t>Xe</w:t>
      </w:r>
      <w:proofErr w:type="spellEnd"/>
      <w:r w:rsidRPr="00532E38">
        <w:t xml:space="preserve"> uptake in solid </w:t>
      </w:r>
      <w:r w:rsidRPr="00532E38">
        <w:rPr>
          <w:b/>
        </w:rPr>
        <w:t>CC15</w:t>
      </w:r>
      <w:r w:rsidRPr="00532E38">
        <w:t>-</w:t>
      </w:r>
      <w:r w:rsidRPr="00532E38">
        <w:rPr>
          <w:i/>
        </w:rPr>
        <w:t>R</w:t>
      </w:r>
      <w:r w:rsidRPr="00532E38">
        <w:t xml:space="preserve"> may be facilitated by extrinsic intermolecular pores that are accessible by slow diffusion through the cage cavities.</w:t>
      </w:r>
      <w:r w:rsidRPr="00532E38">
        <w:fldChar w:fldCharType="begin" w:fldLock="1"/>
      </w:r>
      <w:r w:rsidR="003A244A">
        <w:instrText>ADDIN CSL_CITATION {"citationItems":[{"id":"ITEM-1","itemData":{"DOI":"10.1021/acscentsci.7b00145","ISSN":"2374-7943","author":[{"dropping-particle":"","family":"Slater","given":"Anna G.","non-dropping-particle":"","parse-names":false,"suffix":""},{"dropping-particle":"","family":"Reiss","given":"Paul S.","non-dropping-particle":"","parse-names":false,"suffix":""},{"dropping-particle":"","family":"Pulido","given":"Angeles","non-dropping-particle":"","parse-names":false,"suffix":""},{"dropping-particle":"","family":"Little","given":"Marc A.","non-dropping-particle":"","parse-names":false,"suffix":""},{"dropping-particle":"","family":"Holden","given":"Daniel L.","non-dropping-particle":"","parse-names":false,"suffix":""},{"dropping-particle":"","family":"Chen","given":"Linjiang","non-dropping-particle":"","parse-names":false,"suffix":""},{"dropping-particle":"","family":"Chong","given":"Samantha Y.","non-dropping-particle":"","parse-names":false,"suffix":""},{"dropping-particle":"","family":"Alston","given":"Ben M.","non-dropping-particle":"","parse-names":false,"suffix":""},{"dropping-particle":"","family":"Clowes","given":"Rob","non-dropping-particle":"","parse-names":false,"suffix":""},{"dropping-particle":"","family":"Haranczyk","given":"Maciej","non-dropping-particle":"","parse-names":false,"suffix":""},{"dropping-particle":"","family":"Briggs","given":"Michael E.","non-dropping-particle":"","parse-names":false,"suffix":""},{"dropping-particle":"","family":"Hasell","given":"Tom","non-dropping-particle":"","parse-names":false,"suffix":""},{"dropping-particle":"","family":"Day","given":"Graeme M.","non-dropping-particle":"","parse-names":false,"suffix":""},{"dropping-particle":"","family":"Cooper","given":"Andrew I.","non-dropping-particle":"","parse-names":false,"suffix":""}],"container-title":"ACS Central Science","id":"ITEM-1","issue":"7","issued":{"date-parts":[["2017"]]},"page":"734-742","title":"Computationally-Guided Synthetic Control over Pore Size in Isostructural Porous Organic Cages","type":"article-journal","volume":"3"},"uris":["http://www.mendeley.com/documents/?uuid=1e6f4ed1-9f8b-439d-a0b1-52c09343baac"]}],"mendeley":{"formattedCitation":"&lt;sup&gt;[24]&lt;/sup&gt;","plainTextFormattedCitation":"[24]","previouslyFormattedCitation":"&lt;sup&gt;[24]&lt;/sup&gt;"},"properties":{"noteIndex":0},"schema":"https://github.com/citation-style-language/schema/raw/master/csl-citation.json"}</w:instrText>
      </w:r>
      <w:r w:rsidRPr="00532E38">
        <w:fldChar w:fldCharType="separate"/>
      </w:r>
      <w:r w:rsidRPr="008730E1">
        <w:rPr>
          <w:noProof/>
          <w:vertAlign w:val="superscript"/>
        </w:rPr>
        <w:t>[24]</w:t>
      </w:r>
      <w:r w:rsidRPr="00532E38">
        <w:fldChar w:fldCharType="end"/>
      </w:r>
    </w:p>
    <w:p w14:paraId="22335D29" w14:textId="77777777" w:rsidR="006B5521" w:rsidRPr="00532E38" w:rsidRDefault="006B5521" w:rsidP="006B5521">
      <w:pPr>
        <w:pStyle w:val="P1"/>
      </w:pPr>
    </w:p>
    <w:p w14:paraId="2789A92A" w14:textId="442FE168" w:rsidR="006B5521" w:rsidRPr="003B32F4" w:rsidRDefault="006B5521" w:rsidP="006B5521">
      <w:pPr>
        <w:pStyle w:val="P1"/>
      </w:pPr>
      <w:r w:rsidRPr="00532E38">
        <w:t xml:space="preserve">To investigate these differences, </w:t>
      </w:r>
      <w:r w:rsidRPr="00532E38">
        <w:rPr>
          <w:vertAlign w:val="superscript"/>
        </w:rPr>
        <w:t>1</w:t>
      </w:r>
      <w:r w:rsidRPr="00532E38">
        <w:t xml:space="preserve">H and </w:t>
      </w:r>
      <w:r w:rsidRPr="00532E38">
        <w:rPr>
          <w:vertAlign w:val="superscript"/>
        </w:rPr>
        <w:t>129</w:t>
      </w:r>
      <w:r w:rsidRPr="00532E38">
        <w:t xml:space="preserve">Xe NMR spectroscopy were used to characterize the chemical environment of the gases in both the PLs and in the neat solvent, HCP (Figure 3). This allowed us to probe the extent of gas binding in each PL, since the </w:t>
      </w:r>
      <w:r w:rsidRPr="00532E38">
        <w:rPr>
          <w:vertAlign w:val="superscript"/>
        </w:rPr>
        <w:t>1</w:t>
      </w:r>
      <w:r w:rsidRPr="00532E38">
        <w:t xml:space="preserve">H and </w:t>
      </w:r>
      <w:r w:rsidRPr="00532E38">
        <w:rPr>
          <w:vertAlign w:val="superscript"/>
        </w:rPr>
        <w:t>129</w:t>
      </w:r>
      <w:r w:rsidRPr="00532E38">
        <w:t xml:space="preserve">Xe </w:t>
      </w:r>
      <w:r w:rsidRPr="003B32F4">
        <w:t xml:space="preserve">nuclei are highly sensitive to their chemical environment, leading to </w:t>
      </w:r>
      <w:r w:rsidR="00CF0BD6" w:rsidRPr="003B32F4">
        <w:t xml:space="preserve">upfield shifts </w:t>
      </w:r>
      <w:r w:rsidRPr="003B32F4">
        <w:t xml:space="preserve">when the cage cavities are occupied. In the </w:t>
      </w:r>
      <w:r w:rsidRPr="003B32F4">
        <w:rPr>
          <w:vertAlign w:val="superscript"/>
        </w:rPr>
        <w:t>129</w:t>
      </w:r>
      <w:r w:rsidRPr="003B32F4">
        <w:t xml:space="preserve">Xe spectra, the </w:t>
      </w:r>
      <w:r w:rsidRPr="003B32F4">
        <w:rPr>
          <w:b/>
        </w:rPr>
        <w:t>CC3</w:t>
      </w:r>
      <w:r w:rsidRPr="003B32F4">
        <w:rPr>
          <w:b/>
          <w:vertAlign w:val="superscript"/>
        </w:rPr>
        <w:t>3</w:t>
      </w:r>
      <w:r w:rsidRPr="003B32F4">
        <w:rPr>
          <w:b/>
        </w:rPr>
        <w:t>:13</w:t>
      </w:r>
      <w:r w:rsidRPr="003B32F4">
        <w:rPr>
          <w:b/>
          <w:vertAlign w:val="superscript"/>
        </w:rPr>
        <w:t>3</w:t>
      </w:r>
      <w:r w:rsidRPr="003B32F4">
        <w:rPr>
          <w:i/>
        </w:rPr>
        <w:t>-R</w:t>
      </w:r>
      <w:r w:rsidRPr="003B32F4">
        <w:t xml:space="preserve"> PL exhibits a large </w:t>
      </w:r>
      <w:r w:rsidR="00613B2C" w:rsidRPr="003B32F4">
        <w:t>upfield</w:t>
      </w:r>
      <w:r w:rsidRPr="003B32F4">
        <w:t xml:space="preserve"> shift relative to HCP (</w:t>
      </w:r>
      <w:proofErr w:type="spellStart"/>
      <w:r w:rsidRPr="003B32F4">
        <w:t>Δδ</w:t>
      </w:r>
      <w:proofErr w:type="spellEnd"/>
      <w:r w:rsidRPr="003B32F4">
        <w:t xml:space="preserve"> = −38.6 ppm), whereas this shift is relatively small for the </w:t>
      </w:r>
      <w:r w:rsidRPr="003B32F4">
        <w:rPr>
          <w:b/>
        </w:rPr>
        <w:t>CC15</w:t>
      </w:r>
      <w:r w:rsidRPr="003B32F4">
        <w:t>-</w:t>
      </w:r>
      <w:r w:rsidRPr="003B32F4">
        <w:rPr>
          <w:i/>
        </w:rPr>
        <w:t xml:space="preserve">R </w:t>
      </w:r>
      <w:r w:rsidRPr="003B32F4">
        <w:t>PL (</w:t>
      </w:r>
      <w:proofErr w:type="spellStart"/>
      <w:r w:rsidRPr="003B32F4">
        <w:t>Δδ</w:t>
      </w:r>
      <w:proofErr w:type="spellEnd"/>
      <w:r w:rsidRPr="003B32F4">
        <w:t xml:space="preserve"> = −4.7 ppm), where the </w:t>
      </w:r>
      <w:proofErr w:type="spellStart"/>
      <w:r w:rsidRPr="003B32F4">
        <w:t>Xe</w:t>
      </w:r>
      <w:proofErr w:type="spellEnd"/>
      <w:r w:rsidRPr="003B32F4">
        <w:t xml:space="preserve"> signal is also weak. This shows that the </w:t>
      </w:r>
      <w:proofErr w:type="spellStart"/>
      <w:r w:rsidRPr="003B32F4">
        <w:t>Xe</w:t>
      </w:r>
      <w:proofErr w:type="spellEnd"/>
      <w:r w:rsidRPr="003B32F4">
        <w:t xml:space="preserve"> gas cannot easily occupy the pores </w:t>
      </w:r>
      <w:bookmarkStart w:id="18" w:name="OLE_LINK57"/>
      <w:bookmarkStart w:id="19" w:name="OLE_LINK58"/>
      <w:r w:rsidRPr="003B32F4">
        <w:t xml:space="preserve">in the </w:t>
      </w:r>
      <w:r w:rsidRPr="003B32F4">
        <w:rPr>
          <w:b/>
        </w:rPr>
        <w:t>CC15</w:t>
      </w:r>
      <w:r w:rsidRPr="003B32F4">
        <w:t>-</w:t>
      </w:r>
      <w:r w:rsidRPr="003B32F4">
        <w:rPr>
          <w:i/>
        </w:rPr>
        <w:t>R</w:t>
      </w:r>
      <w:r w:rsidRPr="003B32F4">
        <w:t xml:space="preserve"> PL</w:t>
      </w:r>
      <w:bookmarkEnd w:id="18"/>
      <w:bookmarkEnd w:id="19"/>
      <w:r w:rsidRPr="003B32F4">
        <w:t xml:space="preserve">, whereas in </w:t>
      </w:r>
      <w:r w:rsidRPr="003B32F4">
        <w:rPr>
          <w:b/>
        </w:rPr>
        <w:t>CC3</w:t>
      </w:r>
      <w:r w:rsidRPr="003B32F4">
        <w:rPr>
          <w:b/>
          <w:vertAlign w:val="superscript"/>
        </w:rPr>
        <w:t>3</w:t>
      </w:r>
      <w:r w:rsidRPr="003B32F4">
        <w:rPr>
          <w:b/>
        </w:rPr>
        <w:t>:13</w:t>
      </w:r>
      <w:r w:rsidRPr="003B32F4">
        <w:rPr>
          <w:b/>
          <w:vertAlign w:val="superscript"/>
        </w:rPr>
        <w:t>3</w:t>
      </w:r>
      <w:r w:rsidRPr="003B32F4">
        <w:rPr>
          <w:i/>
        </w:rPr>
        <w:t>-R</w:t>
      </w:r>
      <w:r w:rsidRPr="003B32F4">
        <w:t xml:space="preserve"> PL, the much larger downfield shift is due to the </w:t>
      </w:r>
      <w:proofErr w:type="spellStart"/>
      <w:r w:rsidRPr="003B32F4">
        <w:t>Xe</w:t>
      </w:r>
      <w:proofErr w:type="spellEnd"/>
      <w:r w:rsidRPr="003B32F4">
        <w:t xml:space="preserve"> gas readily occupying the cage cavities. This confirms that </w:t>
      </w:r>
      <w:proofErr w:type="spellStart"/>
      <w:r w:rsidRPr="003B32F4">
        <w:t>Xe</w:t>
      </w:r>
      <w:proofErr w:type="spellEnd"/>
      <w:r w:rsidRPr="003B32F4">
        <w:t xml:space="preserve"> uptake in the </w:t>
      </w:r>
      <w:r w:rsidRPr="003B32F4">
        <w:rPr>
          <w:b/>
        </w:rPr>
        <w:t>CC15</w:t>
      </w:r>
      <w:r w:rsidRPr="003B32F4">
        <w:t>-</w:t>
      </w:r>
      <w:r w:rsidRPr="003B32F4">
        <w:rPr>
          <w:i/>
        </w:rPr>
        <w:t>R</w:t>
      </w:r>
      <w:r w:rsidRPr="003B32F4">
        <w:t xml:space="preserve"> PL is switched off by reducing the cage window size.</w:t>
      </w:r>
    </w:p>
    <w:p w14:paraId="672B7DBB" w14:textId="77777777" w:rsidR="006B5521" w:rsidRPr="003B32F4" w:rsidRDefault="006B5521" w:rsidP="006B5521">
      <w:pPr>
        <w:pStyle w:val="P1"/>
      </w:pPr>
    </w:p>
    <w:p w14:paraId="0A836819" w14:textId="23BB40EC" w:rsidR="006B5521" w:rsidRDefault="006B5521" w:rsidP="00A81CB3">
      <w:pPr>
        <w:pStyle w:val="P1"/>
      </w:pPr>
      <w:r w:rsidRPr="003B32F4">
        <w:t>This relationship between gas uptake and downfield chemical shift also holds for CH</w:t>
      </w:r>
      <w:r w:rsidRPr="003B32F4">
        <w:rPr>
          <w:vertAlign w:val="subscript"/>
        </w:rPr>
        <w:t>4</w:t>
      </w:r>
      <w:r w:rsidRPr="003B32F4">
        <w:t xml:space="preserve">. In both PLs, there is a significant </w:t>
      </w:r>
      <w:r w:rsidR="00613B2C" w:rsidRPr="003B32F4">
        <w:t xml:space="preserve">upfield shift </w:t>
      </w:r>
      <w:r w:rsidRPr="003B32F4">
        <w:t>compared to HCP (</w:t>
      </w:r>
      <w:proofErr w:type="spellStart"/>
      <w:r w:rsidRPr="003B32F4">
        <w:t>Δδ</w:t>
      </w:r>
      <w:proofErr w:type="spellEnd"/>
      <w:r w:rsidRPr="003B32F4">
        <w:t xml:space="preserve"> = −1.50 ppm in </w:t>
      </w:r>
      <w:r w:rsidRPr="003B32F4">
        <w:rPr>
          <w:b/>
        </w:rPr>
        <w:t>CC3</w:t>
      </w:r>
      <w:r w:rsidRPr="003B32F4">
        <w:rPr>
          <w:b/>
          <w:vertAlign w:val="superscript"/>
        </w:rPr>
        <w:t>3</w:t>
      </w:r>
      <w:r w:rsidRPr="003B32F4">
        <w:rPr>
          <w:b/>
        </w:rPr>
        <w:t>:13</w:t>
      </w:r>
      <w:r w:rsidRPr="003B32F4">
        <w:rPr>
          <w:b/>
          <w:vertAlign w:val="superscript"/>
        </w:rPr>
        <w:t>3</w:t>
      </w:r>
      <w:r w:rsidRPr="003B32F4">
        <w:rPr>
          <w:i/>
        </w:rPr>
        <w:t>-R</w:t>
      </w:r>
      <w:r w:rsidRPr="003B32F4">
        <w:t xml:space="preserve"> PL, </w:t>
      </w:r>
      <w:proofErr w:type="spellStart"/>
      <w:r w:rsidRPr="003B32F4">
        <w:t>Δδ</w:t>
      </w:r>
      <w:proofErr w:type="spellEnd"/>
      <w:r w:rsidRPr="003B32F4">
        <w:t xml:space="preserve"> = −2.38 ppm in </w:t>
      </w:r>
      <w:r w:rsidRPr="003B32F4">
        <w:rPr>
          <w:b/>
        </w:rPr>
        <w:t>CC15</w:t>
      </w:r>
      <w:r w:rsidRPr="003B32F4">
        <w:t>-</w:t>
      </w:r>
      <w:r w:rsidRPr="003B32F4">
        <w:rPr>
          <w:i/>
        </w:rPr>
        <w:t>R</w:t>
      </w:r>
      <w:r w:rsidRPr="003B32F4">
        <w:t xml:space="preserve"> PL). The larger shift</w:t>
      </w:r>
      <w:r w:rsidRPr="00532E38">
        <w:t xml:space="preserve"> observed in the </w:t>
      </w:r>
      <w:r w:rsidRPr="00532E38">
        <w:rPr>
          <w:b/>
        </w:rPr>
        <w:t>CC15</w:t>
      </w:r>
      <w:r w:rsidRPr="00532E38">
        <w:t>-</w:t>
      </w:r>
      <w:r w:rsidRPr="00532E38">
        <w:rPr>
          <w:i/>
        </w:rPr>
        <w:t>R</w:t>
      </w:r>
      <w:r w:rsidRPr="00532E38">
        <w:t xml:space="preserve"> PL shows that CH</w:t>
      </w:r>
      <w:r w:rsidRPr="00532E38">
        <w:rPr>
          <w:vertAlign w:val="subscript"/>
        </w:rPr>
        <w:t>4</w:t>
      </w:r>
      <w:r w:rsidRPr="00532E38">
        <w:t xml:space="preserve"> is experiencing a larger shielding effect. </w:t>
      </w:r>
      <w:r w:rsidRPr="00532E38">
        <w:rPr>
          <w:vertAlign w:val="superscript"/>
        </w:rPr>
        <w:t>1</w:t>
      </w:r>
      <w:r w:rsidRPr="00532E38">
        <w:t>H NMR spectroscopy can be used to quantify the saturation concentrations of CH</w:t>
      </w:r>
      <w:r w:rsidRPr="00532E38">
        <w:rPr>
          <w:vertAlign w:val="subscript"/>
        </w:rPr>
        <w:t>4</w:t>
      </w:r>
      <w:r w:rsidRPr="00532E38">
        <w:t xml:space="preserve"> by using a sealed, calibrated d</w:t>
      </w:r>
      <w:r w:rsidRPr="00532E38">
        <w:rPr>
          <w:vertAlign w:val="subscript"/>
        </w:rPr>
        <w:t>2</w:t>
      </w:r>
      <w:r w:rsidRPr="00532E38">
        <w:t>-DCM/TMS capillary. The gas uptakes measured by NMR (1</w:t>
      </w:r>
      <w:r w:rsidR="00CD5E55">
        <w:t>7</w:t>
      </w:r>
      <w:r w:rsidRPr="00532E38">
        <w:t>.</w:t>
      </w:r>
      <w:r w:rsidR="00CD5E55">
        <w:t>5</w:t>
      </w:r>
      <w:r w:rsidRPr="00532E38">
        <w:t xml:space="preserve"> µmol/</w:t>
      </w:r>
      <w:proofErr w:type="spellStart"/>
      <w:r w:rsidRPr="00532E38">
        <w:t>g</w:t>
      </w:r>
      <w:r w:rsidRPr="00532E38">
        <w:rPr>
          <w:vertAlign w:val="subscript"/>
        </w:rPr>
        <w:t>PL</w:t>
      </w:r>
      <w:proofErr w:type="spellEnd"/>
      <w:r w:rsidRPr="00532E38">
        <w:t xml:space="preserve"> in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rPr>
          <w:iCs/>
        </w:rPr>
        <w:t xml:space="preserve"> PL</w:t>
      </w:r>
      <w:r w:rsidRPr="00532E38">
        <w:t xml:space="preserve">, </w:t>
      </w:r>
      <w:r w:rsidR="00CD5E55">
        <w:t>21.5</w:t>
      </w:r>
      <w:r w:rsidRPr="00532E38">
        <w:t xml:space="preserve"> µmol/</w:t>
      </w:r>
      <w:proofErr w:type="spellStart"/>
      <w:r w:rsidRPr="00532E38">
        <w:t>g</w:t>
      </w:r>
      <w:r w:rsidRPr="00532E38">
        <w:rPr>
          <w:vertAlign w:val="subscript"/>
        </w:rPr>
        <w:t>PL</w:t>
      </w:r>
      <w:proofErr w:type="spellEnd"/>
      <w:r w:rsidRPr="00532E38">
        <w:t xml:space="preserve"> in </w:t>
      </w:r>
      <w:r w:rsidRPr="00532E38">
        <w:rPr>
          <w:b/>
        </w:rPr>
        <w:t>CC15</w:t>
      </w:r>
      <w:r w:rsidRPr="00532E38">
        <w:t>-</w:t>
      </w:r>
      <w:r w:rsidRPr="00532E38">
        <w:rPr>
          <w:i/>
        </w:rPr>
        <w:t>R</w:t>
      </w:r>
      <w:r w:rsidRPr="00532E38">
        <w:rPr>
          <w:iCs/>
        </w:rPr>
        <w:t xml:space="preserve"> PL</w:t>
      </w:r>
      <w:r w:rsidRPr="00532E38">
        <w:t>) are higher than for the gas displacement measurements (11.6 µmol/</w:t>
      </w:r>
      <w:proofErr w:type="spellStart"/>
      <w:r w:rsidRPr="00532E38">
        <w:t>g</w:t>
      </w:r>
      <w:r w:rsidRPr="00532E38">
        <w:rPr>
          <w:vertAlign w:val="subscript"/>
        </w:rPr>
        <w:t>PL</w:t>
      </w:r>
      <w:proofErr w:type="spellEnd"/>
      <w:r w:rsidRPr="00532E38">
        <w:t xml:space="preserve"> in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rPr>
          <w:iCs/>
        </w:rPr>
        <w:t xml:space="preserve"> PL</w:t>
      </w:r>
      <w:r w:rsidRPr="00532E38">
        <w:t>, 13.3 µmol/</w:t>
      </w:r>
      <w:proofErr w:type="spellStart"/>
      <w:r w:rsidRPr="00532E38">
        <w:t>g</w:t>
      </w:r>
      <w:r w:rsidRPr="00532E38">
        <w:rPr>
          <w:vertAlign w:val="subscript"/>
        </w:rPr>
        <w:t>PL</w:t>
      </w:r>
      <w:proofErr w:type="spellEnd"/>
      <w:r w:rsidRPr="00532E38">
        <w:t xml:space="preserve"> in </w:t>
      </w:r>
      <w:r w:rsidRPr="00532E38">
        <w:rPr>
          <w:b/>
        </w:rPr>
        <w:t>CC15</w:t>
      </w:r>
      <w:r w:rsidRPr="00532E38">
        <w:t>-</w:t>
      </w:r>
      <w:r w:rsidRPr="00532E38">
        <w:rPr>
          <w:i/>
        </w:rPr>
        <w:t>R</w:t>
      </w:r>
      <w:r w:rsidRPr="00532E38">
        <w:t xml:space="preserve"> PL), reflecting trends in a previous study.</w:t>
      </w:r>
      <w:r w:rsidRPr="00532E38">
        <w:fldChar w:fldCharType="begin" w:fldLock="1"/>
      </w:r>
      <w:r w:rsidR="00D8118A">
        <w:instrText>ADDIN CSL_CITATION {"citationItems":[{"id":"ITEM-1","itemData":{"DOI":"10.1039/C6SC05196K","ISSN":"2041-6520","author":[{"dropping-particle":"","family":"Greenaway","given":"Rebecca L.","non-dropping-particle":"","parse-names":false,"suffix":""},{"dropping-particle":"","family":"Holden","given":"Daniel","non-dropping-particle":"","parse-names":false,"suffix":""},{"dropping-particle":"","family":"Eden","given":"Edward G. B.","non-dropping-particle":"","parse-names":false,"suffix":""},{"dropping-particle":"","family":"Stephenson","given":"Andrew","non-dropping-particle":"","parse-names":false,"suffix":""},{"dropping-particle":"","family":"Yong","given":"Chin W.","non-dropping-particle":"","parse-names":false,"suffix":""},{"dropping-particle":"","family":"Bennison","given":"Michael J.","non-dropping-particle":"","parse-names":false,"suffix":""},{"dropping-particle":"","family":"Hasell","given":"Tom","non-dropping-particle":"","parse-names":false,"suffix":""},{"dropping-particle":"","family":"Briggs","given":"Michael E.","non-dropping-particle":"","parse-names":false,"suffix":""},{"dropping-particle":"","family":"James","given":"Stuart L.","non-dropping-particle":"","parse-names":false,"suffix":""},{"dropping-particle":"","family":"Cooper","given":"Andrew I.","non-dropping-particle":"","parse-names":false,"suffix":""}],"container-title":"Chem. Sci.","id":"ITEM-1","issued":{"date-parts":[["2017"]]},"page":"2640-2651","publisher":"Royal Society of Chemistry","title":"Understanding gas capacity, guest selectivity, and diffusion in porous liquids","type":"article-journal","volume":"8"},"uris":["http://www.mendeley.com/documents/?uuid=31466c2c-9def-4480-92ae-e32126da05e0"]}],"mendeley":{"formattedCitation":"&lt;sup&gt;[22]&lt;/sup&gt;","plainTextFormattedCitation":"[22]","previouslyFormattedCitation":"&lt;sup&gt;[22]&lt;/sup&gt;"},"properties":{"noteIndex":0},"schema":"https://github.com/citation-style-language/schema/raw/master/csl-citation.json"}</w:instrText>
      </w:r>
      <w:r w:rsidRPr="00532E38">
        <w:fldChar w:fldCharType="separate"/>
      </w:r>
      <w:r w:rsidRPr="008730E1">
        <w:rPr>
          <w:noProof/>
          <w:vertAlign w:val="superscript"/>
        </w:rPr>
        <w:t>[22]</w:t>
      </w:r>
      <w:r w:rsidRPr="00532E38">
        <w:fldChar w:fldCharType="end"/>
      </w:r>
      <w:r w:rsidRPr="00532E38">
        <w:t xml:space="preserve"> This is because gas evolution experiments cannot release all of the gas dissolved in a PL because of the baseline gas solubility in both HCP and in the displacement solvent.</w:t>
      </w:r>
    </w:p>
    <w:p w14:paraId="6E3D2F8A" w14:textId="77777777" w:rsidR="006B5521" w:rsidRDefault="006B5521" w:rsidP="00A81CB3">
      <w:pPr>
        <w:pStyle w:val="P1"/>
      </w:pPr>
    </w:p>
    <w:p w14:paraId="3C55C4A2" w14:textId="63063A11" w:rsidR="006B5521" w:rsidRDefault="008669DE" w:rsidP="006B5521">
      <w:r>
        <w:rPr>
          <w:noProof/>
        </w:rPr>
        <w:drawing>
          <wp:inline distT="0" distB="0" distL="0" distR="0" wp14:anchorId="706592C0" wp14:editId="62BF6157">
            <wp:extent cx="3101340" cy="3870960"/>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1340" cy="3870960"/>
                    </a:xfrm>
                    <a:prstGeom prst="rect">
                      <a:avLst/>
                    </a:prstGeom>
                    <a:noFill/>
                    <a:ln>
                      <a:noFill/>
                    </a:ln>
                  </pic:spPr>
                </pic:pic>
              </a:graphicData>
            </a:graphic>
          </wp:inline>
        </w:drawing>
      </w:r>
    </w:p>
    <w:p w14:paraId="41654C4D" w14:textId="77777777" w:rsidR="00D8118A" w:rsidRPr="00532E38" w:rsidRDefault="006B5521" w:rsidP="003A244A">
      <w:pPr>
        <w:pStyle w:val="FigureCaption"/>
      </w:pPr>
      <w:r w:rsidRPr="00532E38">
        <w:rPr>
          <w:b/>
        </w:rPr>
        <w:t xml:space="preserve">Figure 3. </w:t>
      </w:r>
      <w:r w:rsidRPr="00532E38">
        <w:t>(a)</w:t>
      </w:r>
      <w:r w:rsidRPr="00532E38">
        <w:rPr>
          <w:b/>
        </w:rPr>
        <w:t xml:space="preserve"> </w:t>
      </w:r>
      <w:r w:rsidRPr="00532E38">
        <w:rPr>
          <w:vertAlign w:val="superscript"/>
        </w:rPr>
        <w:t>129</w:t>
      </w:r>
      <w:r w:rsidRPr="00532E38">
        <w:t xml:space="preserve">Xe and (b) </w:t>
      </w:r>
      <w:r w:rsidRPr="00532E38">
        <w:rPr>
          <w:vertAlign w:val="superscript"/>
        </w:rPr>
        <w:t>1</w:t>
      </w:r>
      <w:r w:rsidRPr="00532E38">
        <w:t xml:space="preserve">H NMR spectra for </w:t>
      </w:r>
      <w:proofErr w:type="spellStart"/>
      <w:r w:rsidRPr="00532E38">
        <w:t>Xe</w:t>
      </w:r>
      <w:proofErr w:type="spellEnd"/>
      <w:r w:rsidRPr="00532E38">
        <w:t xml:space="preserve"> and CH</w:t>
      </w:r>
      <w:r w:rsidRPr="00532E38">
        <w:rPr>
          <w:vertAlign w:val="subscript"/>
        </w:rPr>
        <w:t>4</w:t>
      </w:r>
      <w:r w:rsidRPr="00532E38">
        <w:t xml:space="preserve"> gas in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and </w:t>
      </w:r>
      <w:r w:rsidRPr="00532E38">
        <w:rPr>
          <w:b/>
        </w:rPr>
        <w:t>CC15</w:t>
      </w:r>
      <w:r w:rsidRPr="00532E38">
        <w:t>-</w:t>
      </w:r>
      <w:r w:rsidRPr="00532E38">
        <w:rPr>
          <w:i/>
        </w:rPr>
        <w:t>R</w:t>
      </w:r>
      <w:r w:rsidRPr="00532E38">
        <w:t xml:space="preserve"> PLs compared to in neat HCP. </w:t>
      </w:r>
      <w:r w:rsidRPr="00532E38">
        <w:rPr>
          <w:b/>
        </w:rPr>
        <w:t>CC3</w:t>
      </w:r>
      <w:r w:rsidRPr="00532E38">
        <w:rPr>
          <w:b/>
          <w:vertAlign w:val="superscript"/>
        </w:rPr>
        <w:t>3</w:t>
      </w:r>
      <w:r w:rsidRPr="00532E38">
        <w:rPr>
          <w:b/>
        </w:rPr>
        <w:t>:13</w:t>
      </w:r>
      <w:r w:rsidRPr="00532E38">
        <w:rPr>
          <w:b/>
          <w:vertAlign w:val="superscript"/>
        </w:rPr>
        <w:t>3</w:t>
      </w:r>
      <w:r w:rsidRPr="00532E38">
        <w:rPr>
          <w:i/>
        </w:rPr>
        <w:t>-R</w:t>
      </w:r>
      <w:r w:rsidRPr="00532E38">
        <w:t xml:space="preserve"> PL at 4% w/v and </w:t>
      </w:r>
      <w:r w:rsidRPr="00532E38">
        <w:rPr>
          <w:b/>
        </w:rPr>
        <w:t>CC15</w:t>
      </w:r>
      <w:r w:rsidRPr="00532E38">
        <w:t>-</w:t>
      </w:r>
      <w:r w:rsidRPr="00532E38">
        <w:rPr>
          <w:i/>
        </w:rPr>
        <w:t>R</w:t>
      </w:r>
      <w:r w:rsidRPr="00532E38">
        <w:t xml:space="preserve"> PL at 5% w/v.</w:t>
      </w:r>
    </w:p>
    <w:p w14:paraId="662CEA75" w14:textId="1E827F7D" w:rsidR="00D8118A" w:rsidRDefault="00D8118A" w:rsidP="00D8118A">
      <w:pPr>
        <w:pStyle w:val="P1"/>
      </w:pPr>
      <w:r w:rsidRPr="00532E38">
        <w:t>Next, pulsed-field gradient (PFG) NMR experiments were carried out to measure diffusion of CH</w:t>
      </w:r>
      <w:r w:rsidRPr="00532E38">
        <w:rPr>
          <w:vertAlign w:val="subscript"/>
        </w:rPr>
        <w:t>4</w:t>
      </w:r>
      <w:r w:rsidRPr="00532E38">
        <w:t xml:space="preserve"> in the two PL systems. The results of these experiments are related to the binding of CH</w:t>
      </w:r>
      <w:r w:rsidRPr="00532E38">
        <w:rPr>
          <w:vertAlign w:val="subscript"/>
        </w:rPr>
        <w:t>4</w:t>
      </w:r>
      <w:r w:rsidRPr="00532E38">
        <w:t xml:space="preserve"> in the </w:t>
      </w:r>
      <w:proofErr w:type="spellStart"/>
      <w:r w:rsidRPr="00532E38">
        <w:t>PLs.</w:t>
      </w:r>
      <w:proofErr w:type="spellEnd"/>
      <w:r w:rsidRPr="00532E38">
        <w:t xml:space="preserve"> The measured diffusion </w:t>
      </w:r>
      <w:r w:rsidR="001B4230">
        <w:t>co-</w:t>
      </w:r>
      <w:proofErr w:type="spellStart"/>
      <w:r w:rsidR="001B4230">
        <w:t>efficients</w:t>
      </w:r>
      <w:proofErr w:type="spellEnd"/>
      <w:r w:rsidR="001B4230" w:rsidRPr="00532E38">
        <w:t xml:space="preserve"> </w:t>
      </w:r>
      <w:r w:rsidRPr="00532E38">
        <w:t>for each POC (6.14 × 10</w:t>
      </w:r>
      <w:r w:rsidRPr="00532E38">
        <w:rPr>
          <w:vertAlign w:val="superscript"/>
        </w:rPr>
        <w:t>-11</w:t>
      </w:r>
      <w:r w:rsidRPr="00532E38">
        <w:t xml:space="preserve"> m</w:t>
      </w:r>
      <w:r w:rsidRPr="00532E38">
        <w:rPr>
          <w:vertAlign w:val="superscript"/>
        </w:rPr>
        <w:t>2</w:t>
      </w:r>
      <w:r w:rsidRPr="00532E38">
        <w:t xml:space="preserve">/s for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6.33 × 10</w:t>
      </w:r>
      <w:r w:rsidRPr="00532E38">
        <w:rPr>
          <w:vertAlign w:val="superscript"/>
        </w:rPr>
        <w:t>-11</w:t>
      </w:r>
      <w:r w:rsidRPr="00532E38">
        <w:t xml:space="preserve"> m</w:t>
      </w:r>
      <w:r w:rsidRPr="00532E38">
        <w:rPr>
          <w:vertAlign w:val="superscript"/>
        </w:rPr>
        <w:t>2</w:t>
      </w:r>
      <w:r w:rsidRPr="00532E38">
        <w:t xml:space="preserve">/s for </w:t>
      </w:r>
      <w:r w:rsidRPr="00532E38">
        <w:rPr>
          <w:b/>
        </w:rPr>
        <w:t>CC15</w:t>
      </w:r>
      <w:r w:rsidRPr="00532E38">
        <w:t>-</w:t>
      </w:r>
      <w:r w:rsidRPr="00532E38">
        <w:rPr>
          <w:i/>
        </w:rPr>
        <w:t>R</w:t>
      </w:r>
      <w:r w:rsidRPr="00532E38">
        <w:t>) and sample viscosities (Table S</w:t>
      </w:r>
      <w:r w:rsidR="00EF6329">
        <w:t>6)</w:t>
      </w:r>
      <w:r w:rsidRPr="00532E38">
        <w:t xml:space="preserve"> were used to calculate </w:t>
      </w:r>
      <w:proofErr w:type="spellStart"/>
      <w:r w:rsidRPr="00532E38">
        <w:t>solvodynamic</w:t>
      </w:r>
      <w:proofErr w:type="spellEnd"/>
      <w:r w:rsidRPr="00532E38">
        <w:t xml:space="preserve"> radii using the Stokes-Einstein equation for the two POCs in the PLs (8.2 Å for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8.3 Å for </w:t>
      </w:r>
      <w:r w:rsidRPr="00532E38">
        <w:rPr>
          <w:b/>
        </w:rPr>
        <w:t>CC15</w:t>
      </w:r>
      <w:r w:rsidRPr="00532E38">
        <w:t>-</w:t>
      </w:r>
      <w:r w:rsidRPr="00532E38">
        <w:rPr>
          <w:i/>
        </w:rPr>
        <w:t>R</w:t>
      </w:r>
      <w:r w:rsidRPr="00532E38">
        <w:t>); these values agree with the expected size of a [4+6] imine cage.</w:t>
      </w:r>
      <w:r w:rsidR="00CE5F8E">
        <w:fldChar w:fldCharType="begin" w:fldLock="1"/>
      </w:r>
      <w:r w:rsidR="00403B8C">
        <w:instrText>ADDIN CSL_CITATION {"citationItems":[{"id":"ITEM-1","itemData":{"DOI":"10.1038/s41467-018-05271-9","ISSN":"2041-1723","abstract":"Supramolecular synthesis is a powerful strategy for assembling complex molecules, but to do this by targeted design is challenging. This is because multicomponent assembly reactions have the potential to form a wide variety of products. High-throughput screening can explore a broad synthetic space, but this is inefficient and inelegant when applied blindly. Here we fuse computation with robotic synthesis to create a hybrid discovery workflow for discovering new organic cage molecules, and by extension, other supramolecular systems. A total of 78 precursor combinations were investigated by computation and experiment, leading to 33 cages that were formed cleanly in one-pot syntheses. Comparison of calculations with experimental outcomes across this broad library shows that computation has the power to focus experiments, for example by identifying linkers that are less likely to be reliable for cage formation. Screening also led to the unplanned discovery of a new cage topology—doubly bridged, triply interlocked cage catenanes.","author":[{"dropping-particle":"","family":"Greenaway","given":"R L","non-dropping-particle":"","parse-names":false,"suffix":""},{"dropping-particle":"","family":"Santolini","given":"V","non-dropping-particle":"","parse-names":false,"suffix":""},{"dropping-particle":"","family":"Bennison","given":"M J","non-dropping-particle":"","parse-names":false,"suffix":""},{"dropping-particle":"","family":"Alston","given":"B M","non-dropping-particle":"","parse-names":false,"suffix":""},{"dropping-particle":"","family":"Pugh","given":"C J","non-dropping-particle":"","parse-names":false,"suffix":""},{"dropping-particle":"","family":"Little","given":"M A","non-dropping-particle":"","parse-names":false,"suffix":""},{"dropping-particle":"","family":"Miklitz","given":"M","non-dropping-particle":"","parse-names":false,"suffix":""},{"dropping-particle":"","family":"Eden-Rump","given":"E G B","non-dropping-particle":"","parse-names":false,"suffix":""},{"dropping-particle":"","family":"Clowes","given":"R","non-dropping-particle":"","parse-names":false,"suffix":""},{"dropping-particle":"","family":"Shakil","given":"A","non-dropping-particle":"","parse-names":false,"suffix":""},{"dropping-particle":"","family":"Cuthbertson","given":"H J","non-dropping-particle":"","parse-names":false,"suffix":""},{"dropping-particle":"","family":"Armstrong","given":"H","non-dropping-particle":"","parse-names":false,"suffix":""},{"dropping-particle":"","family":"Briggs","given":"M E","non-dropping-particle":"","parse-names":false,"suffix":""},{"dropping-particle":"","family":"Jelfs","given":"K E","non-dropping-particle":"","parse-names":false,"suffix":""},{"dropping-particle":"","family":"Cooper","given":"A I","non-dropping-particle":"","parse-names":false,"suffix":""}],"container-title":"Nature Communications","id":"ITEM-1","issue":"1","issued":{"date-parts":[["2018"]]},"page":"2849","title":"High-throughput discovery of organic cages and catenanes using computational screening fused with robotic synthesis","type":"article-journal","volume":"9"},"uris":["http://www.mendeley.com/documents/?uuid=c78a919e-bd10-4c50-841f-94e32f21f243"]}],"mendeley":{"formattedCitation":"&lt;sup&gt;[27]&lt;/sup&gt;","plainTextFormattedCitation":"[27]","previouslyFormattedCitation":"&lt;sup&gt;[26]&lt;/sup&gt;"},"properties":{"noteIndex":0},"schema":"https://github.com/citation-style-language/schema/raw/master/csl-citation.json"}</w:instrText>
      </w:r>
      <w:r w:rsidR="00CE5F8E">
        <w:fldChar w:fldCharType="separate"/>
      </w:r>
      <w:r w:rsidR="00403B8C" w:rsidRPr="00403B8C">
        <w:rPr>
          <w:noProof/>
          <w:vertAlign w:val="superscript"/>
        </w:rPr>
        <w:t>[27]</w:t>
      </w:r>
      <w:r w:rsidR="00CE5F8E">
        <w:fldChar w:fldCharType="end"/>
      </w:r>
      <w:r w:rsidRPr="00532E38">
        <w:t xml:space="preserve"> The diffusion </w:t>
      </w:r>
      <w:r w:rsidR="009C20FC">
        <w:t>co-</w:t>
      </w:r>
      <w:proofErr w:type="spellStart"/>
      <w:r w:rsidR="009C20FC">
        <w:t>efficients</w:t>
      </w:r>
      <w:proofErr w:type="spellEnd"/>
      <w:r w:rsidR="009C20FC" w:rsidRPr="00532E38">
        <w:t xml:space="preserve"> </w:t>
      </w:r>
      <w:r w:rsidRPr="00532E38">
        <w:t>for CH</w:t>
      </w:r>
      <w:r w:rsidRPr="00532E38">
        <w:rPr>
          <w:vertAlign w:val="subscript"/>
        </w:rPr>
        <w:t>4</w:t>
      </w:r>
      <w:r w:rsidRPr="00532E38">
        <w:t xml:space="preserve"> in the two PLs (5.43 × 10</w:t>
      </w:r>
      <w:r w:rsidRPr="00532E38">
        <w:rPr>
          <w:vertAlign w:val="superscript"/>
        </w:rPr>
        <w:t>-10</w:t>
      </w:r>
      <w:r w:rsidRPr="00532E38">
        <w:t xml:space="preserve"> m</w:t>
      </w:r>
      <w:r w:rsidRPr="00532E38">
        <w:rPr>
          <w:vertAlign w:val="superscript"/>
        </w:rPr>
        <w:t>2</w:t>
      </w:r>
      <w:r w:rsidRPr="00532E38">
        <w:t xml:space="preserve">/s in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PL, 4.58 × 10</w:t>
      </w:r>
      <w:r w:rsidRPr="00532E38">
        <w:rPr>
          <w:vertAlign w:val="superscript"/>
        </w:rPr>
        <w:t>-10</w:t>
      </w:r>
      <w:r w:rsidRPr="00532E38">
        <w:t xml:space="preserve"> m</w:t>
      </w:r>
      <w:r w:rsidRPr="00532E38">
        <w:rPr>
          <w:vertAlign w:val="superscript"/>
        </w:rPr>
        <w:t>2</w:t>
      </w:r>
      <w:r w:rsidRPr="00532E38">
        <w:t xml:space="preserve">/s in </w:t>
      </w:r>
      <w:r w:rsidRPr="00532E38">
        <w:rPr>
          <w:b/>
        </w:rPr>
        <w:t>CC15</w:t>
      </w:r>
      <w:r w:rsidRPr="00532E38">
        <w:t>-</w:t>
      </w:r>
      <w:r w:rsidRPr="00532E38">
        <w:rPr>
          <w:i/>
        </w:rPr>
        <w:t>R</w:t>
      </w:r>
      <w:r w:rsidRPr="00532E38">
        <w:t xml:space="preserve"> PL) are significantly lower than in neat HCP (1.34 × 10</w:t>
      </w:r>
      <w:r w:rsidRPr="00532E38">
        <w:rPr>
          <w:vertAlign w:val="superscript"/>
        </w:rPr>
        <w:t>-9</w:t>
      </w:r>
      <w:r w:rsidRPr="00532E38">
        <w:t xml:space="preserve"> m</w:t>
      </w:r>
      <w:r w:rsidRPr="00532E38">
        <w:rPr>
          <w:vertAlign w:val="superscript"/>
        </w:rPr>
        <w:t>2</w:t>
      </w:r>
      <w:r w:rsidRPr="00532E38">
        <w:t>/s), indicating that association of the gas with the cage is occurring and that this is observable by PFG NMR. This information can be used to calculate the fraction of gas molecules occupying the cage cavities (</w:t>
      </w:r>
      <w:proofErr w:type="spellStart"/>
      <w:r w:rsidRPr="00532E38">
        <w:t>X</w:t>
      </w:r>
      <w:r w:rsidRPr="00532E38">
        <w:rPr>
          <w:vertAlign w:val="subscript"/>
        </w:rPr>
        <w:t>occ</w:t>
      </w:r>
      <w:proofErr w:type="spellEnd"/>
      <w:r w:rsidRPr="00532E38">
        <w:t>), as well as the association constant (K</w:t>
      </w:r>
      <w:r w:rsidRPr="00532E38">
        <w:rPr>
          <w:vertAlign w:val="subscript"/>
        </w:rPr>
        <w:t>a</w:t>
      </w:r>
      <w:r w:rsidRPr="00532E38">
        <w:t>) for each system.</w:t>
      </w:r>
      <w:r w:rsidRPr="00532E38">
        <w:fldChar w:fldCharType="begin" w:fldLock="1"/>
      </w:r>
      <w:r w:rsidR="00403B8C">
        <w:instrText>ADDIN CSL_CITATION {"citationItems":[{"id":"ITEM-1","itemData":{"DOI":"10.1021/jo010081x","ISBN":"0022-3263","ISSN":"00223263","PMID":"11597206","abstract":"The complexes of cyclohexylacetic acid and cholic acid with beta-cyclodextrin were studied by NMR diffusion coefficient measurements. The diffusion coefficient of the 1:1 cyclohexylacetic acid/beta-cyclodextrin complex, K(a) = 1800 +/- 100 M(-1), is slightly slower (3.23 +/- 0.07 x 10(-6) cm(2) s(-1)) than that of beta-cyclodextrin (3.29 +/- 0.07 x 10(-6) cm(2) s(-1)). The diffusion coefficient of the 1:1 cholic acid/beta-cyclodextrin complex, K(a) = 5900 +/- 800 M(-1), is significantly slower (2.93 +/- 0.07 x 10(-6) cm(2) s(-1)) than that of beta-cyclodextrin. The results indicate that caution should be exercised when studying host-guest complexation by the so-called 'single point' technique. A novel data treatment is introduced which takes into account the diffusion behavior of all of the species when determining K(a). Experimentally determined diffusion coefficients of complexes are also a useful probe of the size of host-guest complexes.","author":[{"dropping-particle":"","family":"Cameron","given":"K. S.","non-dropping-particle":"","parse-names":false,"suffix":""},{"dropping-particle":"","family":"Fielding","given":"L.","non-dropping-particle":"","parse-names":false,"suffix":""}],"container-title":"Journal of Organic Chemistry","id":"ITEM-1","issue":"21","issued":{"date-parts":[["2001"]]},"page":"6891-6895","title":"NMR diffusion spectroscopy as a measure of host-guest complex association constants and as a probe of complex size","type":"article-journal","volume":"66"},"uris":["http://www.mendeley.com/documents/?uuid=b081ce76-bf00-4b98-875d-02b5b659efd7"]}],"mendeley":{"formattedCitation":"&lt;sup&gt;[28]&lt;/sup&gt;","plainTextFormattedCitation":"[28]","previouslyFormattedCitation":"&lt;sup&gt;[27]&lt;/sup&gt;"},"properties":{"noteIndex":0},"schema":"https://github.com/citation-style-language/schema/raw/master/csl-citation.json"}</w:instrText>
      </w:r>
      <w:r w:rsidRPr="00532E38">
        <w:fldChar w:fldCharType="separate"/>
      </w:r>
      <w:r w:rsidR="00403B8C" w:rsidRPr="00403B8C">
        <w:rPr>
          <w:noProof/>
          <w:vertAlign w:val="superscript"/>
        </w:rPr>
        <w:t>[28]</w:t>
      </w:r>
      <w:r w:rsidRPr="00532E38">
        <w:fldChar w:fldCharType="end"/>
      </w:r>
      <w:r w:rsidRPr="00532E38">
        <w:t xml:space="preserve"> In the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PL, </w:t>
      </w:r>
      <w:proofErr w:type="spellStart"/>
      <w:r w:rsidRPr="00532E38">
        <w:t>X</w:t>
      </w:r>
      <w:r w:rsidRPr="00532E38">
        <w:rPr>
          <w:vertAlign w:val="subscript"/>
        </w:rPr>
        <w:t>occ</w:t>
      </w:r>
      <w:proofErr w:type="spellEnd"/>
      <w:r w:rsidRPr="00532E38">
        <w:t xml:space="preserve"> = 0.49, while for the</w:t>
      </w:r>
      <w:r w:rsidRPr="00532E38">
        <w:rPr>
          <w:b/>
        </w:rPr>
        <w:t xml:space="preserve"> CC15</w:t>
      </w:r>
      <w:r w:rsidRPr="00532E38">
        <w:t>-</w:t>
      </w:r>
      <w:r w:rsidRPr="00532E38">
        <w:rPr>
          <w:i/>
        </w:rPr>
        <w:t>R</w:t>
      </w:r>
      <w:r w:rsidRPr="00532E38">
        <w:t xml:space="preserve"> PL </w:t>
      </w:r>
      <w:proofErr w:type="spellStart"/>
      <w:r w:rsidRPr="00532E38">
        <w:t>X</w:t>
      </w:r>
      <w:r w:rsidRPr="00532E38">
        <w:rPr>
          <w:vertAlign w:val="subscript"/>
        </w:rPr>
        <w:t>occ</w:t>
      </w:r>
      <w:proofErr w:type="spellEnd"/>
      <w:r w:rsidRPr="00532E38">
        <w:t xml:space="preserve"> = 0.60. The corresponding association constants for CH</w:t>
      </w:r>
      <w:r w:rsidRPr="00532E38">
        <w:rPr>
          <w:vertAlign w:val="subscript"/>
        </w:rPr>
        <w:t>4</w:t>
      </w:r>
      <w:r w:rsidRPr="00532E38">
        <w:t xml:space="preserve"> in each PL can be calculated from </w:t>
      </w:r>
      <w:r w:rsidR="001B4230">
        <w:t xml:space="preserve">the </w:t>
      </w:r>
      <w:r w:rsidRPr="00532E38">
        <w:t xml:space="preserve">diffusion </w:t>
      </w:r>
      <w:r w:rsidR="009C20FC">
        <w:t>co-</w:t>
      </w:r>
      <w:proofErr w:type="spellStart"/>
      <w:r w:rsidR="009C20FC">
        <w:t>efficients</w:t>
      </w:r>
      <w:proofErr w:type="spellEnd"/>
      <w:r w:rsidR="009C20FC" w:rsidRPr="00532E38">
        <w:t xml:space="preserve"> </w:t>
      </w:r>
      <w:r w:rsidRPr="00532E38">
        <w:t>measured for CH</w:t>
      </w:r>
      <w:r w:rsidRPr="00532E38">
        <w:rPr>
          <w:vertAlign w:val="subscript"/>
        </w:rPr>
        <w:t>4</w:t>
      </w:r>
      <w:r w:rsidRPr="00532E38">
        <w:t xml:space="preserve"> in each PL (K</w:t>
      </w:r>
      <w:r w:rsidRPr="00532E38">
        <w:rPr>
          <w:vertAlign w:val="subscript"/>
        </w:rPr>
        <w:t>a</w:t>
      </w:r>
      <w:r w:rsidRPr="00532E38">
        <w:t xml:space="preserve"> = </w:t>
      </w:r>
      <w:r w:rsidR="003813F2">
        <w:t>2.71</w:t>
      </w:r>
      <w:r w:rsidRPr="00532E38">
        <w:t xml:space="preserve"> × 10</w:t>
      </w:r>
      <w:r w:rsidR="003813F2">
        <w:rPr>
          <w:vertAlign w:val="superscript"/>
        </w:rPr>
        <w:t>4</w:t>
      </w:r>
      <w:r w:rsidRPr="00532E38">
        <w:t xml:space="preserve"> mol</w:t>
      </w:r>
      <w:r w:rsidRPr="00532E38">
        <w:rPr>
          <w:vertAlign w:val="superscript"/>
        </w:rPr>
        <w:t>-1</w:t>
      </w:r>
      <w:r w:rsidRPr="00532E38">
        <w:t xml:space="preserve"> dm</w:t>
      </w:r>
      <w:r w:rsidRPr="00532E38">
        <w:rPr>
          <w:vertAlign w:val="superscript"/>
        </w:rPr>
        <w:t>3</w:t>
      </w:r>
      <w:r w:rsidRPr="00532E38">
        <w:t xml:space="preserve"> for CH</w:t>
      </w:r>
      <w:r w:rsidRPr="00532E38">
        <w:rPr>
          <w:vertAlign w:val="subscript"/>
        </w:rPr>
        <w:t>4</w:t>
      </w:r>
      <w:r w:rsidRPr="00532E38">
        <w:t xml:space="preserve"> in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PL, K</w:t>
      </w:r>
      <w:r w:rsidRPr="00532E38">
        <w:rPr>
          <w:vertAlign w:val="subscript"/>
        </w:rPr>
        <w:t>a</w:t>
      </w:r>
      <w:r w:rsidRPr="00532E38">
        <w:t xml:space="preserve"> = </w:t>
      </w:r>
      <w:r w:rsidR="003813F2">
        <w:t>4.36</w:t>
      </w:r>
      <w:r w:rsidRPr="00532E38">
        <w:t xml:space="preserve"> × 10</w:t>
      </w:r>
      <w:r w:rsidR="003813F2">
        <w:rPr>
          <w:vertAlign w:val="superscript"/>
        </w:rPr>
        <w:t>4</w:t>
      </w:r>
      <w:r w:rsidRPr="00532E38">
        <w:t xml:space="preserve"> mol</w:t>
      </w:r>
      <w:r w:rsidRPr="00532E38">
        <w:rPr>
          <w:vertAlign w:val="superscript"/>
        </w:rPr>
        <w:t>-1</w:t>
      </w:r>
      <w:r w:rsidRPr="00532E38">
        <w:t xml:space="preserve"> dm</w:t>
      </w:r>
      <w:r w:rsidRPr="00532E38">
        <w:rPr>
          <w:vertAlign w:val="superscript"/>
        </w:rPr>
        <w:t>3</w:t>
      </w:r>
      <w:r w:rsidRPr="00532E38">
        <w:t xml:space="preserve"> for CH</w:t>
      </w:r>
      <w:r w:rsidRPr="00532E38">
        <w:rPr>
          <w:vertAlign w:val="subscript"/>
        </w:rPr>
        <w:t>4</w:t>
      </w:r>
      <w:r w:rsidRPr="00532E38">
        <w:t xml:space="preserve"> in </w:t>
      </w:r>
      <w:r w:rsidRPr="00532E38">
        <w:rPr>
          <w:b/>
        </w:rPr>
        <w:t>CC15</w:t>
      </w:r>
      <w:r w:rsidRPr="00532E38">
        <w:t>-</w:t>
      </w:r>
      <w:r w:rsidRPr="00532E38">
        <w:rPr>
          <w:i/>
        </w:rPr>
        <w:t>R</w:t>
      </w:r>
      <w:r w:rsidRPr="00532E38">
        <w:t xml:space="preserve"> PL). These measurements confirm that CH</w:t>
      </w:r>
      <w:r w:rsidRPr="00532E38">
        <w:rPr>
          <w:vertAlign w:val="subscript"/>
        </w:rPr>
        <w:t>4</w:t>
      </w:r>
      <w:r w:rsidRPr="00532E38">
        <w:t xml:space="preserve"> more preferentially occupies the cavity in </w:t>
      </w:r>
      <w:bookmarkStart w:id="20" w:name="OLE_LINK59"/>
      <w:bookmarkStart w:id="21" w:name="OLE_LINK60"/>
      <w:r w:rsidRPr="00532E38">
        <w:t xml:space="preserve">the </w:t>
      </w:r>
      <w:r w:rsidRPr="00532E38">
        <w:rPr>
          <w:b/>
        </w:rPr>
        <w:t>CC15</w:t>
      </w:r>
      <w:r w:rsidRPr="00532E38">
        <w:t>-</w:t>
      </w:r>
      <w:r w:rsidRPr="00532E38">
        <w:rPr>
          <w:i/>
        </w:rPr>
        <w:t>R</w:t>
      </w:r>
      <w:r w:rsidRPr="00532E38">
        <w:t xml:space="preserve"> PL </w:t>
      </w:r>
      <w:bookmarkEnd w:id="20"/>
      <w:bookmarkEnd w:id="21"/>
      <w:r w:rsidRPr="00532E38">
        <w:t xml:space="preserve">than in the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PL, in keeping with the gas uptake measurements, where the </w:t>
      </w:r>
      <w:r w:rsidRPr="00532E38">
        <w:rPr>
          <w:b/>
        </w:rPr>
        <w:t>CC15</w:t>
      </w:r>
      <w:r w:rsidRPr="00532E38">
        <w:t>-</w:t>
      </w:r>
      <w:r w:rsidRPr="00532E38">
        <w:rPr>
          <w:i/>
        </w:rPr>
        <w:t>R</w:t>
      </w:r>
      <w:r w:rsidRPr="00532E38">
        <w:t xml:space="preserve"> PL absorbs more CH</w:t>
      </w:r>
      <w:r w:rsidRPr="00532E38">
        <w:rPr>
          <w:vertAlign w:val="subscript"/>
        </w:rPr>
        <w:t>4</w:t>
      </w:r>
      <w:r w:rsidRPr="00532E38">
        <w:t xml:space="preserve"> (Fig</w:t>
      </w:r>
      <w:r w:rsidR="003408B4">
        <w:t>ure</w:t>
      </w:r>
      <w:r w:rsidRPr="00532E38">
        <w:t xml:space="preserve"> 2c).</w:t>
      </w:r>
    </w:p>
    <w:p w14:paraId="642B6517" w14:textId="77777777" w:rsidR="00D8118A" w:rsidRPr="00532E38" w:rsidRDefault="00D8118A" w:rsidP="00D8118A">
      <w:pPr>
        <w:pStyle w:val="P1"/>
      </w:pPr>
    </w:p>
    <w:p w14:paraId="6FD21458" w14:textId="77777777" w:rsidR="00D8118A" w:rsidRPr="00D150FE" w:rsidRDefault="00D8118A" w:rsidP="00D8118A">
      <w:pPr>
        <w:pStyle w:val="P1"/>
        <w:rPr>
          <w:szCs w:val="17"/>
        </w:rPr>
      </w:pPr>
      <w:r w:rsidRPr="00532E38">
        <w:lastRenderedPageBreak/>
        <w:t>Retention of CH</w:t>
      </w:r>
      <w:r w:rsidRPr="00532E38">
        <w:rPr>
          <w:vertAlign w:val="subscript"/>
        </w:rPr>
        <w:t>4</w:t>
      </w:r>
      <w:r w:rsidRPr="00532E38">
        <w:t xml:space="preserve"> in these PLs was also examined by measuring the kinetics of gas loss using </w:t>
      </w:r>
      <w:r w:rsidRPr="00532E38">
        <w:rPr>
          <w:vertAlign w:val="superscript"/>
        </w:rPr>
        <w:t>1</w:t>
      </w:r>
      <w:r w:rsidRPr="00532E38">
        <w:t>H NMR spectroscopy. The CH</w:t>
      </w:r>
      <w:r w:rsidRPr="00532E38">
        <w:rPr>
          <w:vertAlign w:val="subscript"/>
        </w:rPr>
        <w:t>4</w:t>
      </w:r>
      <w:r w:rsidRPr="00532E38">
        <w:t xml:space="preserve"> concentration at a series of time intervals was recorded and the rate of loss of CH</w:t>
      </w:r>
      <w:r w:rsidRPr="00532E38">
        <w:rPr>
          <w:vertAlign w:val="subscript"/>
        </w:rPr>
        <w:t>4</w:t>
      </w:r>
      <w:r w:rsidRPr="00532E38">
        <w:t xml:space="preserve"> was compared after</w:t>
      </w:r>
      <w:r w:rsidRPr="00532E38">
        <w:rPr>
          <w:color w:val="FF0000"/>
        </w:rPr>
        <w:t xml:space="preserve"> </w:t>
      </w:r>
      <w:r w:rsidRPr="00532E38">
        <w:t>normalizing the curves to the saturation concentration for each porous liquid (Figure S</w:t>
      </w:r>
      <w:r w:rsidR="00EE4528">
        <w:t>13</w:t>
      </w:r>
      <w:r w:rsidRPr="00532E38">
        <w:t xml:space="preserve">). After 1 day, the </w:t>
      </w:r>
      <w:r w:rsidRPr="00532E38">
        <w:rPr>
          <w:b/>
        </w:rPr>
        <w:t>CC15</w:t>
      </w:r>
      <w:r w:rsidRPr="00532E38">
        <w:t>-</w:t>
      </w:r>
      <w:r w:rsidRPr="00532E38">
        <w:rPr>
          <w:i/>
        </w:rPr>
        <w:t>R</w:t>
      </w:r>
      <w:r w:rsidRPr="00532E38">
        <w:t xml:space="preserve"> PL retained 23% more of the initial CH</w:t>
      </w:r>
      <w:r w:rsidRPr="00532E38">
        <w:rPr>
          <w:vertAlign w:val="subscript"/>
        </w:rPr>
        <w:t>4</w:t>
      </w:r>
      <w:r w:rsidRPr="00532E38">
        <w:t xml:space="preserve"> concentration when compared with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PL, and over a period of </w:t>
      </w:r>
      <w:r w:rsidRPr="00532E38">
        <w:rPr>
          <w:i/>
        </w:rPr>
        <w:t>ca.</w:t>
      </w:r>
      <w:r w:rsidRPr="00532E38">
        <w:t xml:space="preserve"> 2 days, the CH</w:t>
      </w:r>
      <w:r w:rsidRPr="00532E38">
        <w:rPr>
          <w:vertAlign w:val="subscript"/>
        </w:rPr>
        <w:t>4</w:t>
      </w:r>
      <w:r w:rsidRPr="00532E38">
        <w:t xml:space="preserve"> was lost more slowly from the </w:t>
      </w:r>
      <w:r w:rsidRPr="00532E38">
        <w:rPr>
          <w:b/>
        </w:rPr>
        <w:t>CC15</w:t>
      </w:r>
      <w:r w:rsidRPr="00532E38">
        <w:t xml:space="preserve">-R PL than from the </w:t>
      </w:r>
      <w:r w:rsidRPr="00532E38">
        <w:rPr>
          <w:b/>
        </w:rPr>
        <w:t>CC3</w:t>
      </w:r>
      <w:r w:rsidRPr="00532E38">
        <w:rPr>
          <w:b/>
          <w:vertAlign w:val="superscript"/>
        </w:rPr>
        <w:t>3</w:t>
      </w:r>
      <w:r w:rsidRPr="00532E38">
        <w:rPr>
          <w:b/>
        </w:rPr>
        <w:t>:13</w:t>
      </w:r>
      <w:r w:rsidRPr="00532E38">
        <w:rPr>
          <w:b/>
          <w:vertAlign w:val="superscript"/>
        </w:rPr>
        <w:t>3</w:t>
      </w:r>
      <w:r w:rsidRPr="00532E38">
        <w:t>-</w:t>
      </w:r>
      <w:r w:rsidRPr="00532E38">
        <w:rPr>
          <w:i/>
        </w:rPr>
        <w:t>R</w:t>
      </w:r>
      <w:r w:rsidRPr="00532E38">
        <w:t xml:space="preserve"> PL. This shows that narrowing the pore diameter in the molecular cage component in a PL can also improve the retention of gases over time.</w:t>
      </w:r>
    </w:p>
    <w:p w14:paraId="696370DF" w14:textId="77777777" w:rsidR="00D150FE" w:rsidRPr="00D150FE" w:rsidRDefault="00D150FE" w:rsidP="00D8118A">
      <w:pPr>
        <w:pStyle w:val="P1"/>
        <w:rPr>
          <w:b/>
          <w:szCs w:val="17"/>
        </w:rPr>
      </w:pPr>
    </w:p>
    <w:p w14:paraId="26EE136C" w14:textId="2F91D354" w:rsidR="00D8118A" w:rsidRDefault="00D8118A" w:rsidP="00D8118A">
      <w:pPr>
        <w:pStyle w:val="P1"/>
      </w:pPr>
      <w:r w:rsidRPr="00532E38">
        <w:t xml:space="preserve">In summary, modification of the window size in POCs can modulate the gas selectivity in PLs, demonstrating that a key structure-function design principle in porous solids can be translated into these new materials: for example, we can shut off </w:t>
      </w:r>
      <w:proofErr w:type="spellStart"/>
      <w:r w:rsidRPr="00532E38">
        <w:t>Xe</w:t>
      </w:r>
      <w:proofErr w:type="spellEnd"/>
      <w:r w:rsidRPr="00532E38">
        <w:t xml:space="preserve"> absorption by narrowing the cage window in the </w:t>
      </w:r>
      <w:r w:rsidRPr="00532E38">
        <w:rPr>
          <w:b/>
        </w:rPr>
        <w:t>CC15</w:t>
      </w:r>
      <w:r w:rsidRPr="00532E38">
        <w:t>-</w:t>
      </w:r>
      <w:r w:rsidRPr="00532E38">
        <w:rPr>
          <w:i/>
        </w:rPr>
        <w:t>R</w:t>
      </w:r>
      <w:r w:rsidRPr="00532E38">
        <w:t xml:space="preserve"> PL (Fi</w:t>
      </w:r>
      <w:r w:rsidR="00856C61">
        <w:t>gure</w:t>
      </w:r>
      <w:r w:rsidRPr="00532E38">
        <w:t> 2d). There are also some differences between these two types of porous materials: for example, for CO</w:t>
      </w:r>
      <w:r w:rsidRPr="003A244A">
        <w:rPr>
          <w:vertAlign w:val="subscript"/>
        </w:rPr>
        <w:t>2</w:t>
      </w:r>
      <w:r w:rsidRPr="00532E38">
        <w:t xml:space="preserve"> (Fig</w:t>
      </w:r>
      <w:r w:rsidR="003408B4">
        <w:t>ure</w:t>
      </w:r>
      <w:r w:rsidRPr="00532E38">
        <w:t> 2d), the amount of gas per cage is significantly lower in the PLs, probably because the PLs, unlike the corresponding porous solids, lack intermolecular pores between cages that allow multilayer adsorption and pore filling as saturation is approached.</w:t>
      </w:r>
    </w:p>
    <w:p w14:paraId="166BEC1B" w14:textId="77777777" w:rsidR="00D8118A" w:rsidRPr="00532E38" w:rsidRDefault="00D8118A" w:rsidP="00D8118A">
      <w:pPr>
        <w:pStyle w:val="P1"/>
      </w:pPr>
    </w:p>
    <w:p w14:paraId="454D816E" w14:textId="77777777" w:rsidR="00D8118A" w:rsidRPr="00D8118A" w:rsidRDefault="00D8118A" w:rsidP="0070306E">
      <w:pPr>
        <w:pStyle w:val="P1"/>
        <w:rPr>
          <w:kern w:val="22"/>
        </w:rPr>
      </w:pPr>
      <w:r w:rsidRPr="00532E38">
        <w:t xml:space="preserve">In the longer term, this offers the potential of flowable, gas-selective liquids for separation processes; for example, where a gas-selective PL is cycled between a cold absorption zone and a hot desorption zone. The relatively modest viscosities of these PLs (up to 11.7 </w:t>
      </w:r>
      <w:proofErr w:type="spellStart"/>
      <w:r w:rsidRPr="00532E38">
        <w:t>cP</w:t>
      </w:r>
      <w:proofErr w:type="spellEnd"/>
      <w:r w:rsidRPr="00532E38">
        <w:t xml:space="preserve"> at 20% w/v</w:t>
      </w:r>
      <w:r w:rsidR="00954307">
        <w:t>)</w:t>
      </w:r>
      <w:r w:rsidRPr="00532E38">
        <w:fldChar w:fldCharType="begin" w:fldLock="1"/>
      </w:r>
      <w:r>
        <w:instrText>ADDIN CSL_CITATION {"citationItems":[{"id":"ITEM-1","itemData":{"DOI":"10.1039/C6SC05196K","ISSN":"2041-6520","author":[{"dropping-particle":"","family":"Greenaway","given":"Rebecca L.","non-dropping-particle":"","parse-names":false,"suffix":""},{"dropping-particle":"","family":"Holden","given":"Daniel","non-dropping-particle":"","parse-names":false,"suffix":""},{"dropping-particle":"","family":"Eden","given":"Edward G. B.","non-dropping-particle":"","parse-names":false,"suffix":""},{"dropping-particle":"","family":"Stephenson","given":"Andrew","non-dropping-particle":"","parse-names":false,"suffix":""},{"dropping-particle":"","family":"Yong","given":"Chin W.","non-dropping-particle":"","parse-names":false,"suffix":""},{"dropping-particle":"","family":"Bennison","given":"Michael J.","non-dropping-particle":"","parse-names":false,"suffix":""},{"dropping-particle":"","family":"Hasell","given":"Tom","non-dropping-particle":"","parse-names":false,"suffix":""},{"dropping-particle":"","family":"Briggs","given":"Michael E.","non-dropping-particle":"","parse-names":false,"suffix":""},{"dropping-particle":"","family":"James","given":"Stuart L.","non-dropping-particle":"","parse-names":false,"suffix":""},{"dropping-particle":"","family":"Cooper","given":"Andrew I.","non-dropping-particle":"","parse-names":false,"suffix":""}],"container-title":"Chem. Sci.","id":"ITEM-1","issued":{"date-parts":[["2017"]]},"page":"2640-2651","publisher":"Royal Society of Chemistry","title":"Understanding gas capacity, guest selectivity, and diffusion in porous liquids","type":"article-journal","volume":"8"},"uris":["http://www.mendeley.com/documents/?uuid=31466c2c-9def-4480-92ae-e32126da05e0"]}],"mendeley":{"formattedCitation":"&lt;sup&gt;[22]&lt;/sup&gt;","plainTextFormattedCitation":"[22]","previouslyFormattedCitation":"&lt;sup&gt;[22]&lt;/sup&gt;"},"properties":{"noteIndex":0},"schema":"https://github.com/citation-style-language/schema/raw/master/csl-citation.json"}</w:instrText>
      </w:r>
      <w:r w:rsidRPr="00532E38">
        <w:fldChar w:fldCharType="separate"/>
      </w:r>
      <w:r w:rsidRPr="008730E1">
        <w:rPr>
          <w:noProof/>
          <w:vertAlign w:val="superscript"/>
        </w:rPr>
        <w:t>[22]</w:t>
      </w:r>
      <w:r w:rsidRPr="00532E38">
        <w:fldChar w:fldCharType="end"/>
      </w:r>
      <w:r w:rsidRPr="00532E38">
        <w:t xml:space="preserve"> should allow such processes. The selectivity might be increased further by designing analogous cage materials with higher solubilities; likewise, eliminating the solvent altogether could enhance selectivity since the carrier solvent in these Type 2 PLs is relatively unselective, although in that case, liquid viscosity might be a major challenge.</w:t>
      </w:r>
    </w:p>
    <w:p w14:paraId="496B2696" w14:textId="77777777" w:rsidR="00E4350D" w:rsidRPr="00646F9F" w:rsidRDefault="00E4350D" w:rsidP="00E4350D">
      <w:pPr>
        <w:pStyle w:val="HAcknowledgements"/>
      </w:pPr>
      <w:r w:rsidRPr="00646F9F">
        <w:t>Acknowledgements</w:t>
      </w:r>
    </w:p>
    <w:p w14:paraId="2EB4293A" w14:textId="6D96FF3F" w:rsidR="00E4350D" w:rsidRDefault="00D8118A" w:rsidP="00EB27E9">
      <w:pPr>
        <w:pStyle w:val="Acknowledgements"/>
      </w:pPr>
      <w:proofErr w:type="spellStart"/>
      <w:r w:rsidRPr="00646F9F">
        <w:t>We</w:t>
      </w:r>
      <w:proofErr w:type="spellEnd"/>
      <w:r w:rsidRPr="00646F9F">
        <w:t xml:space="preserve"> </w:t>
      </w:r>
      <w:proofErr w:type="spellStart"/>
      <w:r w:rsidRPr="00646F9F">
        <w:t>thank</w:t>
      </w:r>
      <w:proofErr w:type="spellEnd"/>
      <w:r w:rsidRPr="00646F9F">
        <w:t xml:space="preserve"> </w:t>
      </w:r>
      <w:proofErr w:type="spellStart"/>
      <w:r w:rsidRPr="00646F9F">
        <w:t>the</w:t>
      </w:r>
      <w:proofErr w:type="spellEnd"/>
      <w:r w:rsidRPr="00646F9F">
        <w:t xml:space="preserve"> Engineering </w:t>
      </w:r>
      <w:proofErr w:type="spellStart"/>
      <w:r w:rsidRPr="00646F9F">
        <w:t>and</w:t>
      </w:r>
      <w:proofErr w:type="spellEnd"/>
      <w:r w:rsidRPr="00646F9F">
        <w:t xml:space="preserve"> </w:t>
      </w:r>
      <w:proofErr w:type="spellStart"/>
      <w:r w:rsidRPr="00646F9F">
        <w:t>Physical</w:t>
      </w:r>
      <w:proofErr w:type="spellEnd"/>
      <w:r w:rsidRPr="00646F9F">
        <w:t xml:space="preserve"> </w:t>
      </w:r>
      <w:proofErr w:type="spellStart"/>
      <w:r w:rsidRPr="00646F9F">
        <w:t>Sciences</w:t>
      </w:r>
      <w:proofErr w:type="spellEnd"/>
      <w:r w:rsidRPr="00646F9F">
        <w:t xml:space="preserve"> Research Council (EPSRC) </w:t>
      </w:r>
      <w:proofErr w:type="spellStart"/>
      <w:r w:rsidRPr="00646F9F">
        <w:t>under</w:t>
      </w:r>
      <w:proofErr w:type="spellEnd"/>
      <w:r w:rsidRPr="00646F9F">
        <w:t xml:space="preserve"> </w:t>
      </w:r>
      <w:proofErr w:type="spellStart"/>
      <w:r w:rsidRPr="00646F9F">
        <w:t>the</w:t>
      </w:r>
      <w:proofErr w:type="spellEnd"/>
      <w:r w:rsidRPr="00646F9F">
        <w:t xml:space="preserve"> </w:t>
      </w:r>
      <w:r w:rsidRPr="00532E38">
        <w:t xml:space="preserve">Grants EP/N004884/1 </w:t>
      </w:r>
      <w:proofErr w:type="spellStart"/>
      <w:r w:rsidRPr="00532E38">
        <w:t>and</w:t>
      </w:r>
      <w:proofErr w:type="spellEnd"/>
      <w:r w:rsidRPr="00532E38">
        <w:t xml:space="preserve"> EP/R005710/1</w:t>
      </w:r>
      <w:r w:rsidR="00856C61">
        <w:t>,</w:t>
      </w:r>
      <w:r w:rsidRPr="00532E38">
        <w:t xml:space="preserve"> </w:t>
      </w:r>
      <w:proofErr w:type="spellStart"/>
      <w:r w:rsidRPr="00532E38">
        <w:t>and</w:t>
      </w:r>
      <w:proofErr w:type="spellEnd"/>
      <w:r w:rsidRPr="00532E38">
        <w:t xml:space="preserve"> </w:t>
      </w:r>
      <w:proofErr w:type="spellStart"/>
      <w:r w:rsidRPr="00532E38">
        <w:t>the</w:t>
      </w:r>
      <w:proofErr w:type="spellEnd"/>
      <w:r w:rsidRPr="00532E38">
        <w:t xml:space="preserve"> European Research Council </w:t>
      </w:r>
      <w:proofErr w:type="spellStart"/>
      <w:r w:rsidRPr="00532E38">
        <w:t>under</w:t>
      </w:r>
      <w:proofErr w:type="spellEnd"/>
      <w:r w:rsidRPr="00532E38">
        <w:t xml:space="preserve"> FP7, </w:t>
      </w:r>
      <w:proofErr w:type="spellStart"/>
      <w:r w:rsidRPr="00532E38">
        <w:t>RobOT</w:t>
      </w:r>
      <w:proofErr w:type="spellEnd"/>
      <w:r w:rsidRPr="00532E38">
        <w:t xml:space="preserve">, ERC Grant Agreement </w:t>
      </w:r>
      <w:proofErr w:type="spellStart"/>
      <w:r w:rsidRPr="00532E38">
        <w:t>No</w:t>
      </w:r>
      <w:proofErr w:type="spellEnd"/>
      <w:r w:rsidRPr="00532E38">
        <w:t xml:space="preserve">. 321156, </w:t>
      </w:r>
      <w:proofErr w:type="spellStart"/>
      <w:r w:rsidRPr="00532E38">
        <w:t>for</w:t>
      </w:r>
      <w:proofErr w:type="spellEnd"/>
      <w:r w:rsidRPr="00532E38">
        <w:t xml:space="preserve"> </w:t>
      </w:r>
      <w:proofErr w:type="spellStart"/>
      <w:r w:rsidRPr="00532E38">
        <w:t>financial</w:t>
      </w:r>
      <w:proofErr w:type="spellEnd"/>
      <w:r w:rsidRPr="00532E38">
        <w:t xml:space="preserve"> </w:t>
      </w:r>
      <w:proofErr w:type="spellStart"/>
      <w:r w:rsidRPr="00532E38">
        <w:t>support</w:t>
      </w:r>
      <w:proofErr w:type="spellEnd"/>
      <w:r w:rsidRPr="00532E38">
        <w:t xml:space="preserve">. </w:t>
      </w:r>
      <w:r w:rsidR="000A2D96">
        <w:t xml:space="preserve">R.L.G. </w:t>
      </w:r>
      <w:proofErr w:type="spellStart"/>
      <w:r w:rsidR="000A2D96">
        <w:t>thanks</w:t>
      </w:r>
      <w:proofErr w:type="spellEnd"/>
      <w:r w:rsidR="000A2D96">
        <w:t xml:space="preserve"> </w:t>
      </w:r>
      <w:proofErr w:type="spellStart"/>
      <w:r w:rsidR="000A2D96">
        <w:t>the</w:t>
      </w:r>
      <w:proofErr w:type="spellEnd"/>
      <w:r w:rsidR="000A2D96">
        <w:t xml:space="preserve"> Royal Society </w:t>
      </w:r>
      <w:proofErr w:type="spellStart"/>
      <w:r w:rsidR="000A2D96">
        <w:t>for</w:t>
      </w:r>
      <w:proofErr w:type="spellEnd"/>
      <w:r w:rsidR="000A2D96">
        <w:t xml:space="preserve"> a University Research Fellowship. </w:t>
      </w:r>
      <w:proofErr w:type="spellStart"/>
      <w:r w:rsidRPr="00532E38">
        <w:t>We</w:t>
      </w:r>
      <w:proofErr w:type="spellEnd"/>
      <w:r w:rsidRPr="00532E38">
        <w:t xml:space="preserve"> </w:t>
      </w:r>
      <w:proofErr w:type="spellStart"/>
      <w:r w:rsidRPr="00532E38">
        <w:t>acknowledge</w:t>
      </w:r>
      <w:proofErr w:type="spellEnd"/>
      <w:r w:rsidRPr="00532E38">
        <w:t xml:space="preserve"> </w:t>
      </w:r>
      <w:proofErr w:type="spellStart"/>
      <w:r w:rsidRPr="00532E38">
        <w:t>the</w:t>
      </w:r>
      <w:proofErr w:type="spellEnd"/>
      <w:r w:rsidRPr="00532E38">
        <w:t xml:space="preserve"> </w:t>
      </w:r>
      <w:proofErr w:type="spellStart"/>
      <w:r w:rsidRPr="00532E38">
        <w:t>MicroBioRefinery</w:t>
      </w:r>
      <w:proofErr w:type="spellEnd"/>
      <w:r w:rsidRPr="00532E38">
        <w:t xml:space="preserve"> </w:t>
      </w:r>
      <w:proofErr w:type="spellStart"/>
      <w:r w:rsidRPr="00532E38">
        <w:t>for</w:t>
      </w:r>
      <w:proofErr w:type="spellEnd"/>
      <w:r w:rsidRPr="00532E38">
        <w:t xml:space="preserve"> </w:t>
      </w:r>
      <w:proofErr w:type="spellStart"/>
      <w:r w:rsidRPr="00532E38">
        <w:t>assistance</w:t>
      </w:r>
      <w:proofErr w:type="spellEnd"/>
      <w:r w:rsidRPr="00532E38">
        <w:t xml:space="preserve"> </w:t>
      </w:r>
      <w:proofErr w:type="spellStart"/>
      <w:r w:rsidRPr="00532E38">
        <w:t>with</w:t>
      </w:r>
      <w:proofErr w:type="spellEnd"/>
      <w:r w:rsidRPr="00532E38">
        <w:t xml:space="preserve"> QTOF-MS </w:t>
      </w:r>
      <w:proofErr w:type="spellStart"/>
      <w:r w:rsidRPr="00532E38">
        <w:t>measurements</w:t>
      </w:r>
      <w:proofErr w:type="spellEnd"/>
      <w:r w:rsidRPr="00532E38">
        <w:t xml:space="preserve">. </w:t>
      </w:r>
      <w:proofErr w:type="spellStart"/>
      <w:r w:rsidRPr="00532E38">
        <w:t>We</w:t>
      </w:r>
      <w:proofErr w:type="spellEnd"/>
      <w:r w:rsidRPr="00532E38">
        <w:t xml:space="preserve"> </w:t>
      </w:r>
      <w:proofErr w:type="spellStart"/>
      <w:r w:rsidRPr="00532E38">
        <w:t>thank</w:t>
      </w:r>
      <w:proofErr w:type="spellEnd"/>
      <w:r w:rsidR="001D081E">
        <w:t xml:space="preserve"> Dr. Tom </w:t>
      </w:r>
      <w:proofErr w:type="spellStart"/>
      <w:r w:rsidR="001D081E">
        <w:t>Hasell</w:t>
      </w:r>
      <w:proofErr w:type="spellEnd"/>
      <w:r w:rsidR="001D081E">
        <w:t xml:space="preserve"> (University </w:t>
      </w:r>
      <w:proofErr w:type="spellStart"/>
      <w:r w:rsidR="001D081E">
        <w:t>of</w:t>
      </w:r>
      <w:proofErr w:type="spellEnd"/>
      <w:r w:rsidR="001D081E">
        <w:t xml:space="preserve"> Liverpool) </w:t>
      </w:r>
      <w:proofErr w:type="spellStart"/>
      <w:r w:rsidR="001D081E">
        <w:t>and</w:t>
      </w:r>
      <w:proofErr w:type="spellEnd"/>
      <w:r w:rsidRPr="00532E38">
        <w:t xml:space="preserve"> Prof. Stuart James (</w:t>
      </w:r>
      <w:proofErr w:type="spellStart"/>
      <w:r w:rsidRPr="00532E38">
        <w:t>Queen’s</w:t>
      </w:r>
      <w:proofErr w:type="spellEnd"/>
      <w:r w:rsidRPr="00532E38">
        <w:t xml:space="preserve"> University Belfast) </w:t>
      </w:r>
      <w:proofErr w:type="spellStart"/>
      <w:r w:rsidRPr="00532E38">
        <w:t>for</w:t>
      </w:r>
      <w:proofErr w:type="spellEnd"/>
      <w:r w:rsidRPr="00532E38">
        <w:t xml:space="preserve"> </w:t>
      </w:r>
      <w:proofErr w:type="spellStart"/>
      <w:r w:rsidRPr="00532E38">
        <w:t>helpful</w:t>
      </w:r>
      <w:proofErr w:type="spellEnd"/>
      <w:r w:rsidRPr="00532E38">
        <w:t xml:space="preserve"> </w:t>
      </w:r>
      <w:proofErr w:type="spellStart"/>
      <w:r w:rsidRPr="00532E38">
        <w:t>discussions</w:t>
      </w:r>
      <w:proofErr w:type="spellEnd"/>
      <w:r w:rsidR="004556E1">
        <w:t>.</w:t>
      </w:r>
    </w:p>
    <w:p w14:paraId="509E5CA7" w14:textId="64618154" w:rsidR="004556E1" w:rsidRDefault="00F45722" w:rsidP="00F45722">
      <w:pPr>
        <w:pStyle w:val="Keywords"/>
      </w:pPr>
      <w:r w:rsidRPr="009B7AB7">
        <w:rPr>
          <w:b/>
        </w:rPr>
        <w:t>Keywords:</w:t>
      </w:r>
      <w:r w:rsidRPr="009B7AB7">
        <w:t xml:space="preserve"> </w:t>
      </w:r>
      <w:r w:rsidR="006D17E9">
        <w:t>adsorption selectivity</w:t>
      </w:r>
      <w:r w:rsidRPr="009B7AB7">
        <w:t xml:space="preserve"> </w:t>
      </w:r>
      <w:r>
        <w:t>•</w:t>
      </w:r>
      <w:r w:rsidRPr="009B7AB7">
        <w:t xml:space="preserve"> </w:t>
      </w:r>
      <w:r w:rsidR="006D17E9">
        <w:t>porous organic cages</w:t>
      </w:r>
      <w:r w:rsidRPr="009B7AB7">
        <w:t xml:space="preserve"> </w:t>
      </w:r>
      <w:r>
        <w:t>•</w:t>
      </w:r>
      <w:r w:rsidRPr="009B7AB7">
        <w:t xml:space="preserve"> </w:t>
      </w:r>
      <w:r w:rsidR="006D17E9">
        <w:t>porous liquids</w:t>
      </w:r>
    </w:p>
    <w:p w14:paraId="6655508D" w14:textId="77777777" w:rsidR="00707815" w:rsidRPr="00D23B4E" w:rsidRDefault="00707815" w:rsidP="00707815">
      <w:pPr>
        <w:pStyle w:val="References"/>
        <w:rPr>
          <w:noProof/>
        </w:rPr>
      </w:pPr>
      <w:r w:rsidRPr="00D23B4E">
        <w:rPr>
          <w:noProof/>
        </w:rPr>
        <w:t>[1]</w:t>
      </w:r>
      <w:r w:rsidRPr="00D23B4E">
        <w:rPr>
          <w:noProof/>
        </w:rPr>
        <w:tab/>
        <w:t xml:space="preserve">N. Giri, M. G. Del Pópolo, G. Melaugh, R. L. Greenaway, K. Rätzke, T. Koschine, L. Pison, M. F. C. Gomes, A. I. Cooper, S. L. James, </w:t>
      </w:r>
      <w:r w:rsidRPr="00D23B4E">
        <w:rPr>
          <w:i/>
          <w:iCs/>
          <w:noProof/>
        </w:rPr>
        <w:t>Nature</w:t>
      </w:r>
      <w:r w:rsidRPr="00D23B4E">
        <w:rPr>
          <w:noProof/>
        </w:rPr>
        <w:t xml:space="preserve"> </w:t>
      </w:r>
      <w:r w:rsidRPr="00D23B4E">
        <w:rPr>
          <w:b/>
          <w:bCs/>
          <w:noProof/>
        </w:rPr>
        <w:t>2015</w:t>
      </w:r>
      <w:r w:rsidRPr="00D23B4E">
        <w:rPr>
          <w:noProof/>
        </w:rPr>
        <w:t xml:space="preserve">, </w:t>
      </w:r>
      <w:r w:rsidRPr="00D23B4E">
        <w:rPr>
          <w:i/>
          <w:iCs/>
          <w:noProof/>
        </w:rPr>
        <w:t>527</w:t>
      </w:r>
      <w:r w:rsidRPr="00D23B4E">
        <w:rPr>
          <w:noProof/>
        </w:rPr>
        <w:t>, 216–220.</w:t>
      </w:r>
    </w:p>
    <w:p w14:paraId="720021E9" w14:textId="77777777" w:rsidR="00707815" w:rsidRPr="00D23B4E" w:rsidRDefault="00707815" w:rsidP="00707815">
      <w:pPr>
        <w:pStyle w:val="References"/>
        <w:rPr>
          <w:noProof/>
        </w:rPr>
      </w:pPr>
      <w:r w:rsidRPr="00D23B4E">
        <w:rPr>
          <w:noProof/>
        </w:rPr>
        <w:t>[2]</w:t>
      </w:r>
      <w:r w:rsidRPr="00D23B4E">
        <w:rPr>
          <w:noProof/>
        </w:rPr>
        <w:tab/>
        <w:t xml:space="preserve">S. L. James, </w:t>
      </w:r>
      <w:r w:rsidRPr="00D23B4E">
        <w:rPr>
          <w:i/>
          <w:iCs/>
          <w:noProof/>
        </w:rPr>
        <w:t>Adv. Mater.</w:t>
      </w:r>
      <w:r w:rsidRPr="00D23B4E">
        <w:rPr>
          <w:noProof/>
        </w:rPr>
        <w:t xml:space="preserve"> </w:t>
      </w:r>
      <w:r w:rsidRPr="00D23B4E">
        <w:rPr>
          <w:b/>
          <w:bCs/>
          <w:noProof/>
        </w:rPr>
        <w:t>2016</w:t>
      </w:r>
      <w:r w:rsidRPr="00D23B4E">
        <w:rPr>
          <w:noProof/>
        </w:rPr>
        <w:t xml:space="preserve">, </w:t>
      </w:r>
      <w:r w:rsidRPr="00D23B4E">
        <w:rPr>
          <w:i/>
          <w:iCs/>
          <w:noProof/>
        </w:rPr>
        <w:t>28</w:t>
      </w:r>
      <w:r w:rsidRPr="00D23B4E">
        <w:rPr>
          <w:noProof/>
        </w:rPr>
        <w:t>, 5712–5716.</w:t>
      </w:r>
    </w:p>
    <w:p w14:paraId="0A21EF0B" w14:textId="77777777" w:rsidR="00707815" w:rsidRPr="00D23B4E" w:rsidRDefault="00707815" w:rsidP="00707815">
      <w:pPr>
        <w:pStyle w:val="References"/>
        <w:rPr>
          <w:noProof/>
        </w:rPr>
      </w:pPr>
      <w:r w:rsidRPr="00D23B4E">
        <w:rPr>
          <w:noProof/>
        </w:rPr>
        <w:t>[3]</w:t>
      </w:r>
      <w:r w:rsidRPr="00D23B4E">
        <w:rPr>
          <w:noProof/>
        </w:rPr>
        <w:tab/>
        <w:t xml:space="preserve">A. I. Cooper, </w:t>
      </w:r>
      <w:r w:rsidRPr="00D23B4E">
        <w:rPr>
          <w:i/>
          <w:iCs/>
          <w:noProof/>
        </w:rPr>
        <w:t>ACS Cent. Sci.</w:t>
      </w:r>
      <w:r w:rsidRPr="00D23B4E">
        <w:rPr>
          <w:noProof/>
        </w:rPr>
        <w:t xml:space="preserve"> </w:t>
      </w:r>
      <w:r w:rsidRPr="00D23B4E">
        <w:rPr>
          <w:b/>
          <w:bCs/>
          <w:noProof/>
        </w:rPr>
        <w:t>2017</w:t>
      </w:r>
      <w:r w:rsidRPr="00D23B4E">
        <w:rPr>
          <w:noProof/>
        </w:rPr>
        <w:t xml:space="preserve">, </w:t>
      </w:r>
      <w:r w:rsidRPr="00D23B4E">
        <w:rPr>
          <w:i/>
          <w:iCs/>
          <w:noProof/>
        </w:rPr>
        <w:t>3</w:t>
      </w:r>
      <w:r w:rsidRPr="00D23B4E">
        <w:rPr>
          <w:noProof/>
        </w:rPr>
        <w:t>, 544–553.</w:t>
      </w:r>
    </w:p>
    <w:p w14:paraId="52DC352A" w14:textId="77777777" w:rsidR="00707815" w:rsidRPr="00D23B4E" w:rsidRDefault="00707815" w:rsidP="00707815">
      <w:pPr>
        <w:pStyle w:val="References"/>
        <w:rPr>
          <w:noProof/>
        </w:rPr>
      </w:pPr>
      <w:r w:rsidRPr="00D23B4E">
        <w:rPr>
          <w:noProof/>
        </w:rPr>
        <w:t>[4]</w:t>
      </w:r>
      <w:r w:rsidRPr="00D23B4E">
        <w:rPr>
          <w:noProof/>
        </w:rPr>
        <w:tab/>
        <w:t xml:space="preserve">N. O’Reilly, N. Giri, S. L. James, </w:t>
      </w:r>
      <w:r w:rsidRPr="00D23B4E">
        <w:rPr>
          <w:i/>
          <w:iCs/>
          <w:noProof/>
        </w:rPr>
        <w:t>Chem. - A Eur. J.</w:t>
      </w:r>
      <w:r w:rsidRPr="00D23B4E">
        <w:rPr>
          <w:noProof/>
        </w:rPr>
        <w:t xml:space="preserve"> </w:t>
      </w:r>
      <w:r w:rsidRPr="00D23B4E">
        <w:rPr>
          <w:b/>
          <w:bCs/>
          <w:noProof/>
        </w:rPr>
        <w:t>2007</w:t>
      </w:r>
      <w:r w:rsidRPr="00D23B4E">
        <w:rPr>
          <w:noProof/>
        </w:rPr>
        <w:t xml:space="preserve">, </w:t>
      </w:r>
      <w:r w:rsidRPr="00D23B4E">
        <w:rPr>
          <w:i/>
          <w:iCs/>
          <w:noProof/>
        </w:rPr>
        <w:t>13</w:t>
      </w:r>
      <w:r w:rsidRPr="00D23B4E">
        <w:rPr>
          <w:noProof/>
        </w:rPr>
        <w:t>, 3020–3025.</w:t>
      </w:r>
    </w:p>
    <w:p w14:paraId="64F060A0" w14:textId="77777777" w:rsidR="00707815" w:rsidRPr="00D23B4E" w:rsidRDefault="00707815" w:rsidP="00707815">
      <w:pPr>
        <w:pStyle w:val="References"/>
        <w:rPr>
          <w:noProof/>
        </w:rPr>
      </w:pPr>
      <w:r w:rsidRPr="00D23B4E">
        <w:rPr>
          <w:noProof/>
        </w:rPr>
        <w:t>[5]</w:t>
      </w:r>
      <w:r w:rsidRPr="00D23B4E">
        <w:rPr>
          <w:noProof/>
        </w:rPr>
        <w:tab/>
        <w:t xml:space="preserve">J. Zhang, S. H. Chai, Z. A. Qiao, S. M. Mahurin, J. Chen, Y. Fang, S. Wan, K. Nelson, P. Zhang, S. Dai, </w:t>
      </w:r>
      <w:r w:rsidRPr="00D23B4E">
        <w:rPr>
          <w:i/>
          <w:iCs/>
          <w:noProof/>
        </w:rPr>
        <w:t>Angew. Chemie - Int. Ed.</w:t>
      </w:r>
      <w:r w:rsidRPr="00D23B4E">
        <w:rPr>
          <w:noProof/>
        </w:rPr>
        <w:t xml:space="preserve"> </w:t>
      </w:r>
      <w:r w:rsidRPr="00D23B4E">
        <w:rPr>
          <w:b/>
          <w:bCs/>
          <w:noProof/>
        </w:rPr>
        <w:t>2015</w:t>
      </w:r>
      <w:r w:rsidRPr="00D23B4E">
        <w:rPr>
          <w:noProof/>
        </w:rPr>
        <w:t xml:space="preserve">, </w:t>
      </w:r>
      <w:r w:rsidRPr="00D23B4E">
        <w:rPr>
          <w:i/>
          <w:iCs/>
          <w:noProof/>
        </w:rPr>
        <w:t>54</w:t>
      </w:r>
      <w:r w:rsidRPr="00D23B4E">
        <w:rPr>
          <w:noProof/>
        </w:rPr>
        <w:t>, 932–936.</w:t>
      </w:r>
    </w:p>
    <w:p w14:paraId="74B7C831" w14:textId="77777777" w:rsidR="00707815" w:rsidRPr="00D23B4E" w:rsidRDefault="00707815" w:rsidP="00707815">
      <w:pPr>
        <w:pStyle w:val="References"/>
        <w:rPr>
          <w:noProof/>
        </w:rPr>
      </w:pPr>
      <w:r w:rsidRPr="00D23B4E">
        <w:rPr>
          <w:noProof/>
        </w:rPr>
        <w:t>[6]</w:t>
      </w:r>
      <w:r w:rsidRPr="00D23B4E">
        <w:rPr>
          <w:noProof/>
        </w:rPr>
        <w:tab/>
        <w:t xml:space="preserve">P. Li, J. A. Schott, J. Zhang, S. M. Mahurin, Y. Sheng, X. Hu, G. Cui, D. Yao, S. Brown, Y. Zheng, et al., </w:t>
      </w:r>
      <w:r w:rsidRPr="00D23B4E">
        <w:rPr>
          <w:i/>
          <w:iCs/>
          <w:noProof/>
        </w:rPr>
        <w:t>Angew. Chemie Int. Ed.</w:t>
      </w:r>
      <w:r w:rsidRPr="00D23B4E">
        <w:rPr>
          <w:noProof/>
        </w:rPr>
        <w:t xml:space="preserve"> </w:t>
      </w:r>
      <w:r w:rsidRPr="00D23B4E">
        <w:rPr>
          <w:b/>
          <w:bCs/>
          <w:noProof/>
        </w:rPr>
        <w:t>2017</w:t>
      </w:r>
      <w:r w:rsidRPr="00D23B4E">
        <w:rPr>
          <w:noProof/>
        </w:rPr>
        <w:t xml:space="preserve">, </w:t>
      </w:r>
      <w:r w:rsidRPr="00D23B4E">
        <w:rPr>
          <w:i/>
          <w:iCs/>
          <w:noProof/>
        </w:rPr>
        <w:t>56</w:t>
      </w:r>
      <w:r w:rsidRPr="00D23B4E">
        <w:rPr>
          <w:noProof/>
        </w:rPr>
        <w:t>, 14958.</w:t>
      </w:r>
    </w:p>
    <w:p w14:paraId="4987F97C" w14:textId="77777777" w:rsidR="00707815" w:rsidRPr="00D23B4E" w:rsidRDefault="00707815" w:rsidP="00707815">
      <w:pPr>
        <w:pStyle w:val="References"/>
        <w:rPr>
          <w:noProof/>
        </w:rPr>
      </w:pPr>
      <w:r w:rsidRPr="00D23B4E">
        <w:rPr>
          <w:noProof/>
        </w:rPr>
        <w:t>[7]</w:t>
      </w:r>
      <w:r w:rsidRPr="00D23B4E">
        <w:rPr>
          <w:noProof/>
        </w:rPr>
        <w:tab/>
        <w:t xml:space="preserve">S. Liu, J. Liu, X. Hou, T. Xu, J. Tong, J. Zhang, B. Ye, B. Liu, </w:t>
      </w:r>
      <w:r w:rsidRPr="00D23B4E">
        <w:rPr>
          <w:i/>
          <w:iCs/>
          <w:noProof/>
        </w:rPr>
        <w:t>Langmuir</w:t>
      </w:r>
      <w:r w:rsidRPr="00D23B4E">
        <w:rPr>
          <w:noProof/>
        </w:rPr>
        <w:t xml:space="preserve"> </w:t>
      </w:r>
      <w:r w:rsidRPr="00D23B4E">
        <w:rPr>
          <w:b/>
          <w:bCs/>
          <w:noProof/>
        </w:rPr>
        <w:t>2018</w:t>
      </w:r>
      <w:r w:rsidRPr="00D23B4E">
        <w:rPr>
          <w:noProof/>
        </w:rPr>
        <w:t xml:space="preserve">, </w:t>
      </w:r>
      <w:r w:rsidRPr="00D23B4E">
        <w:rPr>
          <w:i/>
          <w:iCs/>
          <w:noProof/>
        </w:rPr>
        <w:t>34</w:t>
      </w:r>
      <w:r w:rsidRPr="00D23B4E">
        <w:rPr>
          <w:noProof/>
        </w:rPr>
        <w:t>, 3654–3660.</w:t>
      </w:r>
    </w:p>
    <w:p w14:paraId="007AE34A" w14:textId="77777777" w:rsidR="00707815" w:rsidRPr="00D23B4E" w:rsidRDefault="00707815" w:rsidP="00707815">
      <w:pPr>
        <w:pStyle w:val="References"/>
        <w:rPr>
          <w:noProof/>
        </w:rPr>
      </w:pPr>
      <w:r w:rsidRPr="00D23B4E">
        <w:rPr>
          <w:noProof/>
        </w:rPr>
        <w:t>[8]</w:t>
      </w:r>
      <w:r w:rsidRPr="00D23B4E">
        <w:rPr>
          <w:noProof/>
        </w:rPr>
        <w:tab/>
        <w:t xml:space="preserve">X. Li, Y. Ding, L. Guo, Q. Liao, X. Zhu, </w:t>
      </w:r>
      <w:r w:rsidRPr="00D23B4E">
        <w:rPr>
          <w:i/>
          <w:iCs/>
          <w:noProof/>
        </w:rPr>
        <w:t>Energy</w:t>
      </w:r>
      <w:r w:rsidRPr="00D23B4E">
        <w:rPr>
          <w:noProof/>
        </w:rPr>
        <w:t xml:space="preserve"> </w:t>
      </w:r>
      <w:r w:rsidRPr="00D23B4E">
        <w:rPr>
          <w:b/>
          <w:bCs/>
          <w:noProof/>
        </w:rPr>
        <w:t>2019</w:t>
      </w:r>
      <w:r w:rsidRPr="00D23B4E">
        <w:rPr>
          <w:noProof/>
        </w:rPr>
        <w:t xml:space="preserve">, </w:t>
      </w:r>
      <w:r w:rsidRPr="00D23B4E">
        <w:rPr>
          <w:i/>
          <w:iCs/>
          <w:noProof/>
        </w:rPr>
        <w:t>171</w:t>
      </w:r>
      <w:r w:rsidRPr="00D23B4E">
        <w:rPr>
          <w:noProof/>
        </w:rPr>
        <w:t>, 109–119.</w:t>
      </w:r>
    </w:p>
    <w:p w14:paraId="056E4E2D" w14:textId="77777777" w:rsidR="00707815" w:rsidRPr="00D23B4E" w:rsidRDefault="00707815" w:rsidP="00707815">
      <w:pPr>
        <w:pStyle w:val="References"/>
        <w:rPr>
          <w:noProof/>
        </w:rPr>
      </w:pPr>
      <w:r w:rsidRPr="00D23B4E">
        <w:rPr>
          <w:noProof/>
        </w:rPr>
        <w:t>[9]</w:t>
      </w:r>
      <w:r w:rsidRPr="00D23B4E">
        <w:rPr>
          <w:noProof/>
        </w:rPr>
        <w:tab/>
        <w:t xml:space="preserve">P. Li, H. Chen, J. A. Schott, B. Li, Y. Zheng, </w:t>
      </w:r>
      <w:r w:rsidRPr="00D23B4E">
        <w:rPr>
          <w:b/>
          <w:bCs/>
          <w:noProof/>
        </w:rPr>
        <w:t>2019</w:t>
      </w:r>
      <w:r w:rsidRPr="00D23B4E">
        <w:rPr>
          <w:noProof/>
        </w:rPr>
        <w:t>, 1515–1519.</w:t>
      </w:r>
    </w:p>
    <w:p w14:paraId="73B9C1FA" w14:textId="77777777" w:rsidR="00707815" w:rsidRPr="00D23B4E" w:rsidRDefault="00707815" w:rsidP="00707815">
      <w:pPr>
        <w:pStyle w:val="References"/>
        <w:rPr>
          <w:noProof/>
        </w:rPr>
      </w:pPr>
      <w:r w:rsidRPr="00D23B4E">
        <w:rPr>
          <w:noProof/>
        </w:rPr>
        <w:t>[10]</w:t>
      </w:r>
      <w:r w:rsidRPr="00D23B4E">
        <w:rPr>
          <w:noProof/>
        </w:rPr>
        <w:tab/>
        <w:t xml:space="preserve">W. Shan, P. F. Fulvio, L. Kong, J. A. Schott, C. L. Do-Thanh, T. Tian, X. Hu, S. M. Mahurin, H. Xing, S. Dai, </w:t>
      </w:r>
      <w:r w:rsidRPr="00D23B4E">
        <w:rPr>
          <w:i/>
          <w:iCs/>
          <w:noProof/>
        </w:rPr>
        <w:t>ACS Appl. Mater. Interfaces</w:t>
      </w:r>
      <w:r w:rsidRPr="00D23B4E">
        <w:rPr>
          <w:noProof/>
        </w:rPr>
        <w:t xml:space="preserve"> </w:t>
      </w:r>
      <w:r w:rsidRPr="00D23B4E">
        <w:rPr>
          <w:b/>
          <w:bCs/>
          <w:noProof/>
        </w:rPr>
        <w:t>2018</w:t>
      </w:r>
      <w:r w:rsidRPr="00D23B4E">
        <w:rPr>
          <w:noProof/>
        </w:rPr>
        <w:t xml:space="preserve">, </w:t>
      </w:r>
      <w:r w:rsidRPr="00D23B4E">
        <w:rPr>
          <w:i/>
          <w:iCs/>
          <w:noProof/>
        </w:rPr>
        <w:t>10</w:t>
      </w:r>
      <w:r w:rsidRPr="00D23B4E">
        <w:rPr>
          <w:noProof/>
        </w:rPr>
        <w:t>, 32–36.</w:t>
      </w:r>
    </w:p>
    <w:p w14:paraId="385390E9" w14:textId="77777777" w:rsidR="00707815" w:rsidRPr="00D23B4E" w:rsidRDefault="00707815" w:rsidP="00707815">
      <w:pPr>
        <w:pStyle w:val="References"/>
        <w:rPr>
          <w:noProof/>
        </w:rPr>
      </w:pPr>
      <w:r w:rsidRPr="00D23B4E">
        <w:rPr>
          <w:noProof/>
        </w:rPr>
        <w:t>[11]</w:t>
      </w:r>
      <w:r w:rsidRPr="00D23B4E">
        <w:rPr>
          <w:noProof/>
        </w:rPr>
        <w:tab/>
        <w:t xml:space="preserve">T. Shi, Y. Zheng, T. Wang, P. Li, Y. Wang, D. Yao, </w:t>
      </w:r>
      <w:r w:rsidRPr="00D23B4E">
        <w:rPr>
          <w:i/>
          <w:iCs/>
          <w:noProof/>
        </w:rPr>
        <w:t>ChemPhysChem</w:t>
      </w:r>
      <w:r w:rsidRPr="00D23B4E">
        <w:rPr>
          <w:noProof/>
        </w:rPr>
        <w:t xml:space="preserve"> </w:t>
      </w:r>
      <w:r w:rsidRPr="00D23B4E">
        <w:rPr>
          <w:b/>
          <w:bCs/>
          <w:noProof/>
        </w:rPr>
        <w:t>2018</w:t>
      </w:r>
      <w:r w:rsidRPr="00D23B4E">
        <w:rPr>
          <w:noProof/>
        </w:rPr>
        <w:t xml:space="preserve">, </w:t>
      </w:r>
      <w:r w:rsidRPr="00D23B4E">
        <w:rPr>
          <w:i/>
          <w:iCs/>
          <w:noProof/>
        </w:rPr>
        <w:t>19</w:t>
      </w:r>
      <w:r w:rsidRPr="00D23B4E">
        <w:rPr>
          <w:noProof/>
        </w:rPr>
        <w:t>, 130–137.</w:t>
      </w:r>
    </w:p>
    <w:p w14:paraId="78EB033F" w14:textId="77777777" w:rsidR="00707815" w:rsidRPr="00D23B4E" w:rsidRDefault="00707815" w:rsidP="00707815">
      <w:pPr>
        <w:pStyle w:val="References"/>
        <w:rPr>
          <w:noProof/>
        </w:rPr>
      </w:pPr>
      <w:r w:rsidRPr="00D23B4E">
        <w:rPr>
          <w:noProof/>
        </w:rPr>
        <w:t>[12]</w:t>
      </w:r>
      <w:r w:rsidRPr="00D23B4E">
        <w:rPr>
          <w:noProof/>
        </w:rPr>
        <w:tab/>
        <w:t xml:space="preserve">X. Wang, D. Shang, S. Zeng, Y. Wang, X. Zhang, X. Zhang, J. Liu, </w:t>
      </w:r>
      <w:r w:rsidRPr="00D23B4E">
        <w:rPr>
          <w:i/>
          <w:iCs/>
          <w:noProof/>
        </w:rPr>
        <w:t>J. Chem. Thermodyn.</w:t>
      </w:r>
      <w:r w:rsidRPr="00D23B4E">
        <w:rPr>
          <w:noProof/>
        </w:rPr>
        <w:t xml:space="preserve"> </w:t>
      </w:r>
      <w:r w:rsidRPr="00D23B4E">
        <w:rPr>
          <w:b/>
          <w:bCs/>
          <w:noProof/>
        </w:rPr>
        <w:t>2019</w:t>
      </w:r>
      <w:r w:rsidRPr="00D23B4E">
        <w:rPr>
          <w:noProof/>
        </w:rPr>
        <w:t xml:space="preserve">, </w:t>
      </w:r>
      <w:r w:rsidRPr="00D23B4E">
        <w:rPr>
          <w:i/>
          <w:iCs/>
          <w:noProof/>
        </w:rPr>
        <w:t>128</w:t>
      </w:r>
      <w:r w:rsidRPr="00D23B4E">
        <w:rPr>
          <w:noProof/>
        </w:rPr>
        <w:t>, 415–423.</w:t>
      </w:r>
    </w:p>
    <w:p w14:paraId="6AE88876" w14:textId="77777777" w:rsidR="00707815" w:rsidRPr="00D23B4E" w:rsidRDefault="00707815" w:rsidP="00707815">
      <w:pPr>
        <w:pStyle w:val="References"/>
        <w:rPr>
          <w:noProof/>
        </w:rPr>
      </w:pPr>
      <w:r w:rsidRPr="00D23B4E">
        <w:rPr>
          <w:noProof/>
        </w:rPr>
        <w:t>[13]</w:t>
      </w:r>
      <w:r w:rsidRPr="00D23B4E">
        <w:rPr>
          <w:noProof/>
        </w:rPr>
        <w:tab/>
        <w:t xml:space="preserve">G. Melaugh, N. Giri, C. E. Davidson, S. L. James, M. G. Del Pópolo, </w:t>
      </w:r>
      <w:r w:rsidRPr="00D23B4E">
        <w:rPr>
          <w:i/>
          <w:iCs/>
          <w:noProof/>
        </w:rPr>
        <w:t>Phys. Chem. Chem. Phys.</w:t>
      </w:r>
      <w:r w:rsidRPr="00D23B4E">
        <w:rPr>
          <w:noProof/>
        </w:rPr>
        <w:t xml:space="preserve"> </w:t>
      </w:r>
      <w:r w:rsidRPr="00D23B4E">
        <w:rPr>
          <w:b/>
          <w:bCs/>
          <w:noProof/>
        </w:rPr>
        <w:t>2014</w:t>
      </w:r>
      <w:r w:rsidRPr="00D23B4E">
        <w:rPr>
          <w:noProof/>
        </w:rPr>
        <w:t xml:space="preserve">, </w:t>
      </w:r>
      <w:r w:rsidRPr="00D23B4E">
        <w:rPr>
          <w:i/>
          <w:iCs/>
          <w:noProof/>
        </w:rPr>
        <w:t>16</w:t>
      </w:r>
      <w:r w:rsidRPr="00D23B4E">
        <w:rPr>
          <w:noProof/>
        </w:rPr>
        <w:t>, 9422–31.</w:t>
      </w:r>
    </w:p>
    <w:p w14:paraId="75C80B61" w14:textId="77777777" w:rsidR="00707815" w:rsidRPr="00D23B4E" w:rsidRDefault="00707815" w:rsidP="00707815">
      <w:pPr>
        <w:pStyle w:val="References"/>
        <w:rPr>
          <w:noProof/>
        </w:rPr>
      </w:pPr>
      <w:r w:rsidRPr="00D23B4E">
        <w:rPr>
          <w:noProof/>
        </w:rPr>
        <w:t>[14]</w:t>
      </w:r>
      <w:r w:rsidRPr="00D23B4E">
        <w:rPr>
          <w:noProof/>
        </w:rPr>
        <w:tab/>
        <w:t xml:space="preserve">F. Zhang, F. Yang, J. Huang, B. G. Sumpter, R. Qiao, </w:t>
      </w:r>
      <w:r w:rsidRPr="00D23B4E">
        <w:rPr>
          <w:i/>
          <w:iCs/>
          <w:noProof/>
        </w:rPr>
        <w:t>J. Phys. Chem. B</w:t>
      </w:r>
      <w:r w:rsidRPr="00D23B4E">
        <w:rPr>
          <w:noProof/>
        </w:rPr>
        <w:t xml:space="preserve"> </w:t>
      </w:r>
      <w:r w:rsidRPr="00D23B4E">
        <w:rPr>
          <w:b/>
          <w:bCs/>
          <w:noProof/>
        </w:rPr>
        <w:t>2016</w:t>
      </w:r>
      <w:r w:rsidRPr="00D23B4E">
        <w:rPr>
          <w:noProof/>
        </w:rPr>
        <w:t xml:space="preserve">, </w:t>
      </w:r>
      <w:r w:rsidRPr="00D23B4E">
        <w:rPr>
          <w:i/>
          <w:iCs/>
          <w:noProof/>
        </w:rPr>
        <w:t>120</w:t>
      </w:r>
      <w:r w:rsidRPr="00D23B4E">
        <w:rPr>
          <w:noProof/>
        </w:rPr>
        <w:t>, 7195–7200.</w:t>
      </w:r>
    </w:p>
    <w:p w14:paraId="16697377" w14:textId="77777777" w:rsidR="00707815" w:rsidRPr="003B32F4" w:rsidRDefault="00707815" w:rsidP="00707815">
      <w:pPr>
        <w:pStyle w:val="References"/>
        <w:rPr>
          <w:noProof/>
          <w:lang w:val="pt-BR"/>
        </w:rPr>
      </w:pPr>
      <w:r w:rsidRPr="00D23B4E">
        <w:rPr>
          <w:noProof/>
        </w:rPr>
        <w:t>[15]</w:t>
      </w:r>
      <w:r w:rsidRPr="00D23B4E">
        <w:rPr>
          <w:noProof/>
        </w:rPr>
        <w:tab/>
        <w:t xml:space="preserve">F. Zhang, Y. He, J. Huang, B. G. Sumpter, R. Qiao, </w:t>
      </w:r>
      <w:r w:rsidRPr="00D23B4E">
        <w:rPr>
          <w:i/>
          <w:iCs/>
          <w:noProof/>
        </w:rPr>
        <w:t xml:space="preserve">J. Phys. </w:t>
      </w:r>
      <w:r w:rsidRPr="003B32F4">
        <w:rPr>
          <w:i/>
          <w:iCs/>
          <w:noProof/>
          <w:lang w:val="pt-BR"/>
        </w:rPr>
        <w:t>Chem. C</w:t>
      </w:r>
      <w:r w:rsidRPr="003B32F4">
        <w:rPr>
          <w:noProof/>
          <w:lang w:val="pt-BR"/>
        </w:rPr>
        <w:t xml:space="preserve"> </w:t>
      </w:r>
      <w:r w:rsidRPr="003B32F4">
        <w:rPr>
          <w:b/>
          <w:bCs/>
          <w:noProof/>
          <w:lang w:val="pt-BR"/>
        </w:rPr>
        <w:t>2017</w:t>
      </w:r>
      <w:r w:rsidRPr="003B32F4">
        <w:rPr>
          <w:noProof/>
          <w:lang w:val="pt-BR"/>
        </w:rPr>
        <w:t xml:space="preserve">, </w:t>
      </w:r>
      <w:r w:rsidRPr="003B32F4">
        <w:rPr>
          <w:i/>
          <w:iCs/>
          <w:noProof/>
          <w:lang w:val="pt-BR"/>
        </w:rPr>
        <w:t>121</w:t>
      </w:r>
      <w:r w:rsidRPr="003B32F4">
        <w:rPr>
          <w:noProof/>
          <w:lang w:val="pt-BR"/>
        </w:rPr>
        <w:t>, 12426.</w:t>
      </w:r>
    </w:p>
    <w:p w14:paraId="667F4D02" w14:textId="77777777" w:rsidR="00707815" w:rsidRPr="00D23B4E" w:rsidRDefault="00707815" w:rsidP="00707815">
      <w:pPr>
        <w:pStyle w:val="References"/>
        <w:rPr>
          <w:noProof/>
        </w:rPr>
      </w:pPr>
      <w:r w:rsidRPr="00613B2C">
        <w:rPr>
          <w:noProof/>
          <w:lang w:val="pt-PT"/>
        </w:rPr>
        <w:t>[16]</w:t>
      </w:r>
      <w:r w:rsidRPr="00613B2C">
        <w:rPr>
          <w:noProof/>
          <w:lang w:val="pt-PT"/>
        </w:rPr>
        <w:tab/>
        <w:t xml:space="preserve">M. Costa Gomes, L. Pison, C. Červinka, A. Padua, </w:t>
      </w:r>
      <w:r w:rsidRPr="00613B2C">
        <w:rPr>
          <w:i/>
          <w:iCs/>
          <w:noProof/>
          <w:lang w:val="pt-PT"/>
        </w:rPr>
        <w:t xml:space="preserve">Angew. </w:t>
      </w:r>
      <w:r w:rsidRPr="00D23B4E">
        <w:rPr>
          <w:i/>
          <w:iCs/>
          <w:noProof/>
        </w:rPr>
        <w:t>Chemie Int. Ed.</w:t>
      </w:r>
      <w:r w:rsidRPr="00D23B4E">
        <w:rPr>
          <w:noProof/>
        </w:rPr>
        <w:t xml:space="preserve"> </w:t>
      </w:r>
      <w:r w:rsidRPr="00D23B4E">
        <w:rPr>
          <w:b/>
          <w:bCs/>
          <w:noProof/>
        </w:rPr>
        <w:t>2018</w:t>
      </w:r>
      <w:r w:rsidRPr="00D23B4E">
        <w:rPr>
          <w:noProof/>
        </w:rPr>
        <w:t>,</w:t>
      </w:r>
      <w:r w:rsidR="00954307">
        <w:rPr>
          <w:noProof/>
        </w:rPr>
        <w:t xml:space="preserve"> </w:t>
      </w:r>
      <w:r w:rsidR="00954307">
        <w:rPr>
          <w:i/>
          <w:iCs/>
          <w:noProof/>
        </w:rPr>
        <w:t>54</w:t>
      </w:r>
      <w:r w:rsidR="00954307">
        <w:rPr>
          <w:noProof/>
        </w:rPr>
        <w:t>,</w:t>
      </w:r>
      <w:r w:rsidRPr="00D23B4E">
        <w:rPr>
          <w:noProof/>
        </w:rPr>
        <w:t xml:space="preserve"> </w:t>
      </w:r>
      <w:r w:rsidR="00954307">
        <w:rPr>
          <w:noProof/>
        </w:rPr>
        <w:t>932-936</w:t>
      </w:r>
      <w:r w:rsidRPr="00D23B4E">
        <w:rPr>
          <w:noProof/>
        </w:rPr>
        <w:t>.</w:t>
      </w:r>
    </w:p>
    <w:p w14:paraId="3CBA2915" w14:textId="77777777" w:rsidR="00707815" w:rsidRPr="00D23B4E" w:rsidRDefault="00707815" w:rsidP="00707815">
      <w:pPr>
        <w:pStyle w:val="References"/>
        <w:rPr>
          <w:noProof/>
        </w:rPr>
      </w:pPr>
      <w:r w:rsidRPr="00D23B4E">
        <w:rPr>
          <w:noProof/>
        </w:rPr>
        <w:t>[17]</w:t>
      </w:r>
      <w:r w:rsidRPr="00D23B4E">
        <w:rPr>
          <w:noProof/>
        </w:rPr>
        <w:tab/>
        <w:t xml:space="preserve">F. Beuerle, B. Gole, </w:t>
      </w:r>
      <w:r w:rsidRPr="00D23B4E">
        <w:rPr>
          <w:i/>
          <w:iCs/>
          <w:noProof/>
        </w:rPr>
        <w:t>Angew. Chemie - Int. Ed.</w:t>
      </w:r>
      <w:r w:rsidRPr="00D23B4E">
        <w:rPr>
          <w:noProof/>
        </w:rPr>
        <w:t xml:space="preserve"> </w:t>
      </w:r>
      <w:r w:rsidRPr="00D23B4E">
        <w:rPr>
          <w:b/>
          <w:bCs/>
          <w:noProof/>
        </w:rPr>
        <w:t>2018</w:t>
      </w:r>
      <w:r w:rsidRPr="00D23B4E">
        <w:rPr>
          <w:noProof/>
        </w:rPr>
        <w:t>, 2–31.</w:t>
      </w:r>
    </w:p>
    <w:p w14:paraId="4CC6DEEC" w14:textId="77777777" w:rsidR="00707815" w:rsidRPr="00D23B4E" w:rsidRDefault="00707815" w:rsidP="00707815">
      <w:pPr>
        <w:pStyle w:val="References"/>
        <w:rPr>
          <w:noProof/>
        </w:rPr>
      </w:pPr>
      <w:r w:rsidRPr="00D23B4E">
        <w:rPr>
          <w:noProof/>
        </w:rPr>
        <w:t>[18]</w:t>
      </w:r>
      <w:r w:rsidRPr="00D23B4E">
        <w:rPr>
          <w:noProof/>
        </w:rPr>
        <w:tab/>
        <w:t xml:space="preserve">P. S. Mukherjee, K. Acharyya, </w:t>
      </w:r>
      <w:r w:rsidRPr="00D23B4E">
        <w:rPr>
          <w:i/>
          <w:iCs/>
          <w:noProof/>
        </w:rPr>
        <w:t>Angew. Chemie Int. Ed.</w:t>
      </w:r>
      <w:r w:rsidRPr="00D23B4E">
        <w:rPr>
          <w:noProof/>
        </w:rPr>
        <w:t xml:space="preserve"> </w:t>
      </w:r>
      <w:r w:rsidRPr="00D23B4E">
        <w:rPr>
          <w:b/>
          <w:bCs/>
          <w:noProof/>
        </w:rPr>
        <w:t>2019</w:t>
      </w:r>
      <w:r w:rsidRPr="00D23B4E">
        <w:rPr>
          <w:noProof/>
        </w:rPr>
        <w:t>, DOI 10.1002/anie.201900163.</w:t>
      </w:r>
    </w:p>
    <w:p w14:paraId="0462EAD7" w14:textId="77777777" w:rsidR="00707815" w:rsidRPr="00D23B4E" w:rsidRDefault="00707815" w:rsidP="00707815">
      <w:pPr>
        <w:pStyle w:val="References"/>
        <w:rPr>
          <w:noProof/>
        </w:rPr>
      </w:pPr>
      <w:r w:rsidRPr="00D23B4E">
        <w:rPr>
          <w:noProof/>
        </w:rPr>
        <w:t>[19]</w:t>
      </w:r>
      <w:r w:rsidRPr="00D23B4E">
        <w:rPr>
          <w:noProof/>
        </w:rPr>
        <w:tab/>
        <w:t xml:space="preserve">M. Mastalerz, </w:t>
      </w:r>
      <w:r w:rsidRPr="00D23B4E">
        <w:rPr>
          <w:i/>
          <w:iCs/>
          <w:noProof/>
        </w:rPr>
        <w:t>Acc. Chem. Res.</w:t>
      </w:r>
      <w:r w:rsidRPr="00D23B4E">
        <w:rPr>
          <w:noProof/>
        </w:rPr>
        <w:t xml:space="preserve"> </w:t>
      </w:r>
      <w:r w:rsidRPr="00D23B4E">
        <w:rPr>
          <w:b/>
          <w:bCs/>
          <w:noProof/>
        </w:rPr>
        <w:t>2018</w:t>
      </w:r>
      <w:r w:rsidRPr="00D23B4E">
        <w:rPr>
          <w:noProof/>
        </w:rPr>
        <w:t xml:space="preserve">, </w:t>
      </w:r>
      <w:r w:rsidRPr="00D23B4E">
        <w:rPr>
          <w:i/>
          <w:iCs/>
          <w:noProof/>
        </w:rPr>
        <w:t>51</w:t>
      </w:r>
      <w:r w:rsidRPr="00D23B4E">
        <w:rPr>
          <w:noProof/>
        </w:rPr>
        <w:t>, 2411–2422.</w:t>
      </w:r>
    </w:p>
    <w:p w14:paraId="61D7EB2F" w14:textId="77777777" w:rsidR="00707815" w:rsidRPr="00D23B4E" w:rsidRDefault="00707815" w:rsidP="00707815">
      <w:pPr>
        <w:pStyle w:val="References"/>
        <w:rPr>
          <w:noProof/>
        </w:rPr>
      </w:pPr>
      <w:r w:rsidRPr="00D23B4E">
        <w:rPr>
          <w:noProof/>
        </w:rPr>
        <w:t>[20]</w:t>
      </w:r>
      <w:r w:rsidRPr="00D23B4E">
        <w:rPr>
          <w:noProof/>
        </w:rPr>
        <w:tab/>
        <w:t xml:space="preserve">T. Hasell, A. I. Cooper, </w:t>
      </w:r>
      <w:r w:rsidRPr="00D23B4E">
        <w:rPr>
          <w:i/>
          <w:iCs/>
          <w:noProof/>
        </w:rPr>
        <w:t>Nat. Rev. Mater.</w:t>
      </w:r>
      <w:r w:rsidRPr="00D23B4E">
        <w:rPr>
          <w:noProof/>
        </w:rPr>
        <w:t xml:space="preserve"> </w:t>
      </w:r>
      <w:r w:rsidRPr="00D23B4E">
        <w:rPr>
          <w:b/>
          <w:bCs/>
          <w:noProof/>
        </w:rPr>
        <w:t>2016</w:t>
      </w:r>
      <w:r w:rsidRPr="00D23B4E">
        <w:rPr>
          <w:noProof/>
        </w:rPr>
        <w:t xml:space="preserve">, </w:t>
      </w:r>
      <w:r w:rsidRPr="00D23B4E">
        <w:rPr>
          <w:i/>
          <w:iCs/>
          <w:noProof/>
        </w:rPr>
        <w:t>1</w:t>
      </w:r>
      <w:r w:rsidRPr="00D23B4E">
        <w:rPr>
          <w:noProof/>
        </w:rPr>
        <w:t>, 16053.</w:t>
      </w:r>
    </w:p>
    <w:p w14:paraId="336642F1" w14:textId="77777777" w:rsidR="00707815" w:rsidRPr="00D23B4E" w:rsidRDefault="00707815" w:rsidP="00707815">
      <w:pPr>
        <w:pStyle w:val="References"/>
        <w:rPr>
          <w:noProof/>
        </w:rPr>
      </w:pPr>
      <w:r w:rsidRPr="00D23B4E">
        <w:rPr>
          <w:noProof/>
        </w:rPr>
        <w:t>[21]</w:t>
      </w:r>
      <w:r w:rsidRPr="00D23B4E">
        <w:rPr>
          <w:noProof/>
        </w:rPr>
        <w:tab/>
        <w:t xml:space="preserve">N. Giri, C. E. Davidson, G. Melaugh, M. G. Del Pópolo, J. T. a. Jones, T. Hasell, A. I. Cooper, P. N. Horton, M. B. Hursthouse, S. L. James, </w:t>
      </w:r>
      <w:r w:rsidRPr="00D23B4E">
        <w:rPr>
          <w:i/>
          <w:iCs/>
          <w:noProof/>
        </w:rPr>
        <w:t>Chem. Sci.</w:t>
      </w:r>
      <w:r w:rsidRPr="00D23B4E">
        <w:rPr>
          <w:noProof/>
        </w:rPr>
        <w:t xml:space="preserve"> </w:t>
      </w:r>
      <w:r w:rsidRPr="00D23B4E">
        <w:rPr>
          <w:b/>
          <w:bCs/>
          <w:noProof/>
        </w:rPr>
        <w:t>2012</w:t>
      </w:r>
      <w:r w:rsidRPr="00D23B4E">
        <w:rPr>
          <w:noProof/>
        </w:rPr>
        <w:t xml:space="preserve">, </w:t>
      </w:r>
      <w:r w:rsidRPr="00D23B4E">
        <w:rPr>
          <w:i/>
          <w:iCs/>
          <w:noProof/>
        </w:rPr>
        <w:t>3</w:t>
      </w:r>
      <w:r w:rsidRPr="00D23B4E">
        <w:rPr>
          <w:noProof/>
        </w:rPr>
        <w:t>, 2153.</w:t>
      </w:r>
    </w:p>
    <w:p w14:paraId="7522DB5C" w14:textId="77777777" w:rsidR="00707815" w:rsidRPr="00D23B4E" w:rsidRDefault="00707815" w:rsidP="00707815">
      <w:pPr>
        <w:pStyle w:val="References"/>
        <w:rPr>
          <w:noProof/>
        </w:rPr>
      </w:pPr>
      <w:r w:rsidRPr="00D23B4E">
        <w:rPr>
          <w:noProof/>
        </w:rPr>
        <w:t>[22]</w:t>
      </w:r>
      <w:r w:rsidRPr="00D23B4E">
        <w:rPr>
          <w:noProof/>
        </w:rPr>
        <w:tab/>
        <w:t xml:space="preserve">R. L. Greenaway, D. Holden, E. G. B. Eden, A. Stephenson, C. W. Yong, M. J. Bennison, T. Hasell, M. E. Briggs, S. L. James, A. I. Cooper, </w:t>
      </w:r>
      <w:r w:rsidRPr="00D23B4E">
        <w:rPr>
          <w:i/>
          <w:iCs/>
          <w:noProof/>
        </w:rPr>
        <w:t>Chem. Sci.</w:t>
      </w:r>
      <w:r w:rsidRPr="00D23B4E">
        <w:rPr>
          <w:noProof/>
        </w:rPr>
        <w:t xml:space="preserve"> </w:t>
      </w:r>
      <w:r w:rsidRPr="00D23B4E">
        <w:rPr>
          <w:b/>
          <w:bCs/>
          <w:noProof/>
        </w:rPr>
        <w:t>2017</w:t>
      </w:r>
      <w:r w:rsidRPr="00D23B4E">
        <w:rPr>
          <w:noProof/>
        </w:rPr>
        <w:t xml:space="preserve">, </w:t>
      </w:r>
      <w:r w:rsidRPr="00D23B4E">
        <w:rPr>
          <w:i/>
          <w:iCs/>
          <w:noProof/>
        </w:rPr>
        <w:t>8</w:t>
      </w:r>
      <w:r w:rsidRPr="00D23B4E">
        <w:rPr>
          <w:noProof/>
        </w:rPr>
        <w:t>, 2640–2651.</w:t>
      </w:r>
    </w:p>
    <w:p w14:paraId="55464105" w14:textId="77777777" w:rsidR="00707815" w:rsidRPr="00D23B4E" w:rsidRDefault="00707815" w:rsidP="00707815">
      <w:pPr>
        <w:pStyle w:val="References"/>
        <w:rPr>
          <w:noProof/>
        </w:rPr>
      </w:pPr>
      <w:r w:rsidRPr="00D23B4E">
        <w:rPr>
          <w:noProof/>
        </w:rPr>
        <w:t>[23]</w:t>
      </w:r>
      <w:r w:rsidRPr="00D23B4E">
        <w:rPr>
          <w:noProof/>
        </w:rPr>
        <w:tab/>
        <w:t xml:space="preserve">S. Jiang, J. T. a Jones, T. Hasell, C. E. Blythe, D. J. Adams, A. Trewin, A. I. Cooper, </w:t>
      </w:r>
      <w:r w:rsidRPr="00D23B4E">
        <w:rPr>
          <w:i/>
          <w:iCs/>
          <w:noProof/>
        </w:rPr>
        <w:t>Nat. Commun.</w:t>
      </w:r>
      <w:r w:rsidRPr="00D23B4E">
        <w:rPr>
          <w:noProof/>
        </w:rPr>
        <w:t xml:space="preserve"> </w:t>
      </w:r>
      <w:r w:rsidRPr="00D23B4E">
        <w:rPr>
          <w:b/>
          <w:bCs/>
          <w:noProof/>
        </w:rPr>
        <w:t>2011</w:t>
      </w:r>
      <w:r w:rsidRPr="00D23B4E">
        <w:rPr>
          <w:noProof/>
        </w:rPr>
        <w:t xml:space="preserve">, </w:t>
      </w:r>
      <w:r w:rsidRPr="00D23B4E">
        <w:rPr>
          <w:i/>
          <w:iCs/>
          <w:noProof/>
        </w:rPr>
        <w:t>2</w:t>
      </w:r>
      <w:r w:rsidRPr="00D23B4E">
        <w:rPr>
          <w:noProof/>
        </w:rPr>
        <w:t>, 207.</w:t>
      </w:r>
    </w:p>
    <w:p w14:paraId="03394C8A" w14:textId="53841F66" w:rsidR="00707815" w:rsidRPr="00033091" w:rsidRDefault="00707815" w:rsidP="00707815">
      <w:pPr>
        <w:pStyle w:val="References"/>
        <w:rPr>
          <w:rFonts w:cs="Arial"/>
          <w:noProof/>
        </w:rPr>
      </w:pPr>
      <w:r w:rsidRPr="00D23B4E">
        <w:rPr>
          <w:noProof/>
        </w:rPr>
        <w:t>[24]</w:t>
      </w:r>
      <w:r w:rsidRPr="00D23B4E">
        <w:rPr>
          <w:noProof/>
        </w:rPr>
        <w:tab/>
        <w:t xml:space="preserve">A. G. Slater, P. S. Reiss, A. Pulido, M. A. Little, D. L. Holden, L. Chen, S. Y. Chong, B. M. Alston, R. Clowes, M. Haranczyk, et al., </w:t>
      </w:r>
      <w:r w:rsidRPr="00D23B4E">
        <w:rPr>
          <w:i/>
          <w:iCs/>
          <w:noProof/>
        </w:rPr>
        <w:t>ACS Cent. Sci.</w:t>
      </w:r>
      <w:r w:rsidRPr="00D23B4E">
        <w:rPr>
          <w:noProof/>
        </w:rPr>
        <w:t xml:space="preserve"> </w:t>
      </w:r>
      <w:r w:rsidRPr="00033091">
        <w:rPr>
          <w:rFonts w:cs="Arial"/>
          <w:b/>
          <w:bCs/>
          <w:noProof/>
        </w:rPr>
        <w:t>2017</w:t>
      </w:r>
      <w:r w:rsidRPr="00033091">
        <w:rPr>
          <w:rFonts w:cs="Arial"/>
          <w:noProof/>
        </w:rPr>
        <w:t xml:space="preserve">, </w:t>
      </w:r>
      <w:r w:rsidRPr="00033091">
        <w:rPr>
          <w:rFonts w:cs="Arial"/>
          <w:i/>
          <w:iCs/>
          <w:noProof/>
        </w:rPr>
        <w:t>3</w:t>
      </w:r>
      <w:r w:rsidRPr="00033091">
        <w:rPr>
          <w:rFonts w:cs="Arial"/>
          <w:noProof/>
        </w:rPr>
        <w:t>, 734–742.</w:t>
      </w:r>
    </w:p>
    <w:p w14:paraId="0EB55C28" w14:textId="04895FBB" w:rsidR="00033091" w:rsidRPr="00033091" w:rsidRDefault="00033091" w:rsidP="00707815">
      <w:pPr>
        <w:pStyle w:val="References"/>
        <w:rPr>
          <w:rFonts w:cs="Arial"/>
          <w:noProof/>
        </w:rPr>
      </w:pPr>
      <w:r w:rsidRPr="00033091">
        <w:rPr>
          <w:rFonts w:cs="Arial"/>
          <w:noProof/>
        </w:rPr>
        <w:t>[2</w:t>
      </w:r>
      <w:r>
        <w:rPr>
          <w:rFonts w:cs="Arial"/>
          <w:noProof/>
        </w:rPr>
        <w:t>5</w:t>
      </w:r>
      <w:r w:rsidRPr="00033091">
        <w:rPr>
          <w:rFonts w:cs="Arial"/>
          <w:noProof/>
        </w:rPr>
        <w:t>]</w:t>
      </w:r>
      <w:r w:rsidRPr="00033091">
        <w:rPr>
          <w:rFonts w:cs="Arial"/>
          <w:noProof/>
        </w:rPr>
        <w:tab/>
        <w:t xml:space="preserve">M. Miklitz, K. E. Jelfs, </w:t>
      </w:r>
      <w:r w:rsidRPr="00033091">
        <w:rPr>
          <w:rFonts w:cs="Arial"/>
          <w:i/>
          <w:iCs/>
          <w:noProof/>
        </w:rPr>
        <w:t>J. Chem. Inf. Model.</w:t>
      </w:r>
      <w:r w:rsidRPr="00033091">
        <w:rPr>
          <w:rFonts w:cs="Arial"/>
          <w:noProof/>
        </w:rPr>
        <w:t xml:space="preserve"> </w:t>
      </w:r>
      <w:r w:rsidRPr="00033091">
        <w:rPr>
          <w:rFonts w:cs="Arial"/>
          <w:b/>
          <w:bCs/>
          <w:noProof/>
        </w:rPr>
        <w:t>2018</w:t>
      </w:r>
      <w:r w:rsidRPr="00033091">
        <w:rPr>
          <w:rFonts w:cs="Arial"/>
          <w:noProof/>
        </w:rPr>
        <w:t xml:space="preserve">, </w:t>
      </w:r>
      <w:r w:rsidRPr="00033091">
        <w:rPr>
          <w:rFonts w:cs="Arial"/>
          <w:i/>
          <w:iCs/>
          <w:noProof/>
        </w:rPr>
        <w:t>58</w:t>
      </w:r>
      <w:r w:rsidRPr="00033091">
        <w:rPr>
          <w:rFonts w:cs="Arial"/>
          <w:noProof/>
        </w:rPr>
        <w:t>, 2387–2391.</w:t>
      </w:r>
    </w:p>
    <w:p w14:paraId="4839F6F1" w14:textId="5FA741F6" w:rsidR="00707815" w:rsidRPr="00D23B4E" w:rsidRDefault="00707815" w:rsidP="00707815">
      <w:pPr>
        <w:pStyle w:val="References"/>
        <w:rPr>
          <w:noProof/>
        </w:rPr>
      </w:pPr>
      <w:r w:rsidRPr="00033091">
        <w:rPr>
          <w:rFonts w:cs="Arial"/>
          <w:noProof/>
        </w:rPr>
        <w:t>[2</w:t>
      </w:r>
      <w:r w:rsidR="00033091">
        <w:rPr>
          <w:rFonts w:cs="Arial"/>
          <w:noProof/>
        </w:rPr>
        <w:t>6</w:t>
      </w:r>
      <w:r w:rsidRPr="00033091">
        <w:rPr>
          <w:rFonts w:cs="Arial"/>
          <w:noProof/>
        </w:rPr>
        <w:t>]</w:t>
      </w:r>
      <w:r w:rsidRPr="00033091">
        <w:rPr>
          <w:rFonts w:cs="Arial"/>
          <w:noProof/>
        </w:rPr>
        <w:tab/>
        <w:t>L. Chen, P. S. Reiss, S.</w:t>
      </w:r>
      <w:r w:rsidRPr="00D23B4E">
        <w:rPr>
          <w:noProof/>
        </w:rPr>
        <w:t xml:space="preserve"> Y. Chong, D. Holden, K. E. Jelfs, T. Hasell, M. A. Little, A. Kewley, M. E. Briggs, A. Stephenson, et al., </w:t>
      </w:r>
      <w:r w:rsidRPr="00D23B4E">
        <w:rPr>
          <w:i/>
          <w:iCs/>
          <w:noProof/>
        </w:rPr>
        <w:t>Nat Mater</w:t>
      </w:r>
      <w:r w:rsidRPr="00D23B4E">
        <w:rPr>
          <w:noProof/>
        </w:rPr>
        <w:t xml:space="preserve"> </w:t>
      </w:r>
      <w:r w:rsidRPr="00D23B4E">
        <w:rPr>
          <w:b/>
          <w:bCs/>
          <w:noProof/>
        </w:rPr>
        <w:t>2014</w:t>
      </w:r>
      <w:r w:rsidRPr="00D23B4E">
        <w:rPr>
          <w:noProof/>
        </w:rPr>
        <w:t xml:space="preserve">, </w:t>
      </w:r>
      <w:r w:rsidRPr="00D23B4E">
        <w:rPr>
          <w:i/>
          <w:iCs/>
          <w:noProof/>
        </w:rPr>
        <w:t>13</w:t>
      </w:r>
      <w:r w:rsidRPr="00D23B4E">
        <w:rPr>
          <w:noProof/>
        </w:rPr>
        <w:t>, 954–960.</w:t>
      </w:r>
    </w:p>
    <w:p w14:paraId="72C346DA" w14:textId="75F5B4E0" w:rsidR="00707815" w:rsidRPr="00CE5F8E" w:rsidRDefault="00707815" w:rsidP="00707815">
      <w:pPr>
        <w:pStyle w:val="References"/>
        <w:rPr>
          <w:noProof/>
        </w:rPr>
      </w:pPr>
      <w:r w:rsidRPr="00D23B4E">
        <w:rPr>
          <w:noProof/>
        </w:rPr>
        <w:t>[2</w:t>
      </w:r>
      <w:r w:rsidR="00033091">
        <w:rPr>
          <w:noProof/>
        </w:rPr>
        <w:t>7</w:t>
      </w:r>
      <w:r w:rsidRPr="00D23B4E">
        <w:rPr>
          <w:noProof/>
        </w:rPr>
        <w:t>]</w:t>
      </w:r>
      <w:r w:rsidRPr="00D23B4E">
        <w:rPr>
          <w:noProof/>
        </w:rPr>
        <w:tab/>
      </w:r>
      <w:r w:rsidR="00CE5F8E" w:rsidRPr="00CE5F8E">
        <w:rPr>
          <w:rFonts w:cs="Arial"/>
          <w:noProof/>
        </w:rPr>
        <w:t xml:space="preserve">R. L. Greenaway, V. Santolini, M. J. Bennison, B. M. Alston, C. J. Pugh, M. A. Little, M. Miklitz, E. G. B. Eden-Rump, R. Clowes, A. Shakil, et al., </w:t>
      </w:r>
      <w:r w:rsidR="00CE5F8E" w:rsidRPr="00CE5F8E">
        <w:rPr>
          <w:rFonts w:cs="Arial"/>
          <w:i/>
          <w:iCs/>
          <w:noProof/>
        </w:rPr>
        <w:t>Nat. Commun.</w:t>
      </w:r>
      <w:r w:rsidR="00CE5F8E" w:rsidRPr="00CE5F8E">
        <w:rPr>
          <w:rFonts w:cs="Arial"/>
          <w:noProof/>
        </w:rPr>
        <w:t xml:space="preserve"> </w:t>
      </w:r>
      <w:r w:rsidR="00CE5F8E" w:rsidRPr="00CE5F8E">
        <w:rPr>
          <w:rFonts w:cs="Arial"/>
          <w:b/>
          <w:bCs/>
          <w:noProof/>
        </w:rPr>
        <w:t>2018</w:t>
      </w:r>
      <w:r w:rsidR="00CE5F8E" w:rsidRPr="00CE5F8E">
        <w:rPr>
          <w:rFonts w:cs="Arial"/>
          <w:noProof/>
        </w:rPr>
        <w:t xml:space="preserve">, </w:t>
      </w:r>
      <w:r w:rsidR="00CE5F8E" w:rsidRPr="00CE5F8E">
        <w:rPr>
          <w:rFonts w:cs="Arial"/>
          <w:i/>
          <w:iCs/>
          <w:noProof/>
        </w:rPr>
        <w:t>9</w:t>
      </w:r>
      <w:r w:rsidR="00CE5F8E" w:rsidRPr="00CE5F8E">
        <w:rPr>
          <w:rFonts w:cs="Arial"/>
          <w:noProof/>
        </w:rPr>
        <w:t>, 2849.</w:t>
      </w:r>
    </w:p>
    <w:p w14:paraId="17FC3E6D" w14:textId="3106871B" w:rsidR="00CE5F8E" w:rsidRDefault="00CE5F8E" w:rsidP="00CE5F8E">
      <w:pPr>
        <w:pStyle w:val="References"/>
        <w:rPr>
          <w:noProof/>
        </w:rPr>
      </w:pPr>
      <w:r w:rsidRPr="00D23B4E">
        <w:rPr>
          <w:noProof/>
        </w:rPr>
        <w:t>[2</w:t>
      </w:r>
      <w:r w:rsidR="00033091">
        <w:rPr>
          <w:noProof/>
        </w:rPr>
        <w:t>8</w:t>
      </w:r>
      <w:r w:rsidRPr="00D23B4E">
        <w:rPr>
          <w:noProof/>
        </w:rPr>
        <w:t>]</w:t>
      </w:r>
      <w:r w:rsidRPr="00D23B4E">
        <w:rPr>
          <w:noProof/>
        </w:rPr>
        <w:tab/>
        <w:t xml:space="preserve">K. S. Cameron, L. Fielding, </w:t>
      </w:r>
      <w:r w:rsidRPr="00D23B4E">
        <w:rPr>
          <w:i/>
          <w:iCs/>
          <w:noProof/>
        </w:rPr>
        <w:t>J. Org. Chem.</w:t>
      </w:r>
      <w:r w:rsidRPr="00D23B4E">
        <w:rPr>
          <w:noProof/>
        </w:rPr>
        <w:t xml:space="preserve"> </w:t>
      </w:r>
      <w:r w:rsidRPr="00D23B4E">
        <w:rPr>
          <w:b/>
          <w:bCs/>
          <w:noProof/>
        </w:rPr>
        <w:t>2001</w:t>
      </w:r>
      <w:r w:rsidRPr="00D23B4E">
        <w:rPr>
          <w:noProof/>
        </w:rPr>
        <w:t xml:space="preserve">, </w:t>
      </w:r>
      <w:r w:rsidRPr="00D23B4E">
        <w:rPr>
          <w:i/>
          <w:iCs/>
          <w:noProof/>
        </w:rPr>
        <w:t>66</w:t>
      </w:r>
      <w:r w:rsidRPr="00D23B4E">
        <w:rPr>
          <w:noProof/>
        </w:rPr>
        <w:t>, 6891–6895.</w:t>
      </w:r>
    </w:p>
    <w:p w14:paraId="7E01D840" w14:textId="77777777" w:rsidR="00CE5F8E" w:rsidRPr="00D23B4E" w:rsidRDefault="00CE5F8E" w:rsidP="00707815">
      <w:pPr>
        <w:pStyle w:val="References"/>
        <w:rPr>
          <w:noProof/>
        </w:rPr>
      </w:pPr>
    </w:p>
    <w:p w14:paraId="48821F18" w14:textId="77777777" w:rsidR="00773C4B" w:rsidRPr="006722A0" w:rsidRDefault="00773C4B" w:rsidP="00773C4B">
      <w:pPr>
        <w:rPr>
          <w:lang w:val="en-GB"/>
        </w:rPr>
      </w:pPr>
    </w:p>
    <w:p w14:paraId="42EFA5F9" w14:textId="77777777" w:rsidR="00773C4B" w:rsidRPr="006722A0" w:rsidRDefault="00773C4B" w:rsidP="00773C4B">
      <w:pPr>
        <w:rPr>
          <w:lang w:val="en-GB"/>
        </w:rPr>
        <w:sectPr w:rsidR="00773C4B" w:rsidRPr="006722A0" w:rsidSect="00F62A54">
          <w:type w:val="continuous"/>
          <w:pgSz w:w="11906" w:h="16838" w:code="9"/>
          <w:pgMar w:top="1673" w:right="936" w:bottom="1134" w:left="936" w:header="709" w:footer="709" w:gutter="0"/>
          <w:cols w:num="2" w:space="284"/>
          <w:docGrid w:linePitch="360"/>
        </w:sectPr>
      </w:pPr>
    </w:p>
    <w:p w14:paraId="7EBF1B84" w14:textId="18E59CB3" w:rsidR="00A8458D" w:rsidRDefault="00A8458D" w:rsidP="00A8458D">
      <w:pPr>
        <w:spacing w:after="240"/>
        <w:rPr>
          <w:lang w:val="en-GB"/>
        </w:rPr>
      </w:pPr>
    </w:p>
    <w:p w14:paraId="29220E1C" w14:textId="77777777" w:rsidR="00E14173" w:rsidRDefault="00E14173" w:rsidP="00E14173">
      <w:pPr>
        <w:rPr>
          <w:lang w:val="en-GB"/>
        </w:rPr>
      </w:pPr>
    </w:p>
    <w:tbl>
      <w:tblPr>
        <w:tblW w:w="10093" w:type="dxa"/>
        <w:tblLook w:val="01E0" w:firstRow="1" w:lastRow="1" w:firstColumn="1" w:lastColumn="1" w:noHBand="0" w:noVBand="0"/>
      </w:tblPr>
      <w:tblGrid>
        <w:gridCol w:w="3118"/>
        <w:gridCol w:w="284"/>
        <w:gridCol w:w="3118"/>
        <w:gridCol w:w="284"/>
        <w:gridCol w:w="3289"/>
      </w:tblGrid>
      <w:tr w:rsidR="00E14173" w14:paraId="579B7B79" w14:textId="77777777" w:rsidTr="00AE6360">
        <w:trPr>
          <w:trHeight w:hRule="exact" w:val="340"/>
        </w:trPr>
        <w:tc>
          <w:tcPr>
            <w:tcW w:w="10093" w:type="dxa"/>
            <w:gridSpan w:val="5"/>
            <w:tcBorders>
              <w:bottom w:val="single" w:sz="36" w:space="0" w:color="BFBFBF"/>
            </w:tcBorders>
            <w:shd w:val="clear" w:color="auto" w:fill="auto"/>
          </w:tcPr>
          <w:p w14:paraId="1A841161" w14:textId="77777777" w:rsidR="00E14173" w:rsidRDefault="00E14173" w:rsidP="00AE6360">
            <w:pPr>
              <w:pStyle w:val="ColumnTitleTOC"/>
            </w:pPr>
            <w:r>
              <w:t>COMMUNICATION</w:t>
            </w:r>
          </w:p>
        </w:tc>
      </w:tr>
      <w:tr w:rsidR="00E14173" w14:paraId="424A6DBE" w14:textId="77777777" w:rsidTr="00AE6360">
        <w:trPr>
          <w:trHeight w:val="340"/>
        </w:trPr>
        <w:tc>
          <w:tcPr>
            <w:tcW w:w="3118" w:type="dxa"/>
            <w:vMerge w:val="restart"/>
            <w:tcBorders>
              <w:top w:val="single" w:sz="36" w:space="0" w:color="BFBFBF"/>
            </w:tcBorders>
            <w:shd w:val="clear" w:color="auto" w:fill="auto"/>
          </w:tcPr>
          <w:p w14:paraId="02DCA482" w14:textId="38D8EE5E" w:rsidR="00E14173" w:rsidRDefault="00B525A0" w:rsidP="00AE6360">
            <w:pPr>
              <w:pStyle w:val="TableOfContentText"/>
            </w:pPr>
            <w:r>
              <w:t>Narrowing the windows of the organic cage used to form molecular porous liquids leads to tuning of the gas selectivity.</w:t>
            </w:r>
          </w:p>
        </w:tc>
        <w:tc>
          <w:tcPr>
            <w:tcW w:w="284" w:type="dxa"/>
            <w:tcBorders>
              <w:top w:val="single" w:sz="36" w:space="0" w:color="BFBFBF"/>
            </w:tcBorders>
            <w:shd w:val="clear" w:color="auto" w:fill="auto"/>
          </w:tcPr>
          <w:p w14:paraId="659FB0A5" w14:textId="7DE5A461" w:rsidR="00E14173" w:rsidRDefault="008669DE" w:rsidP="00AE6360">
            <w:pPr>
              <w:rPr>
                <w:lang w:val="en-GB"/>
              </w:rPr>
            </w:pPr>
            <w:r>
              <w:rPr>
                <w:noProof/>
              </w:rPr>
              <w:drawing>
                <wp:anchor distT="0" distB="0" distL="114300" distR="114300" simplePos="0" relativeHeight="251658752" behindDoc="0" locked="0" layoutInCell="1" allowOverlap="1" wp14:anchorId="32D1617F" wp14:editId="6AA6039E">
                  <wp:simplePos x="0" y="0"/>
                  <wp:positionH relativeFrom="column">
                    <wp:posOffset>111760</wp:posOffset>
                  </wp:positionH>
                  <wp:positionV relativeFrom="paragraph">
                    <wp:posOffset>130810</wp:posOffset>
                  </wp:positionV>
                  <wp:extent cx="1981200" cy="1790700"/>
                  <wp:effectExtent l="0" t="0" r="0" b="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790700"/>
                          </a:xfrm>
                          <a:prstGeom prst="rect">
                            <a:avLst/>
                          </a:prstGeom>
                          <a:noFill/>
                        </pic:spPr>
                      </pic:pic>
                    </a:graphicData>
                  </a:graphic>
                  <wp14:sizeRelH relativeFrom="page">
                    <wp14:pctWidth>0</wp14:pctWidth>
                  </wp14:sizeRelH>
                  <wp14:sizeRelV relativeFrom="page">
                    <wp14:pctHeight>0</wp14:pctHeight>
                  </wp14:sizeRelV>
                </wp:anchor>
              </w:drawing>
            </w:r>
          </w:p>
        </w:tc>
        <w:tc>
          <w:tcPr>
            <w:tcW w:w="3118" w:type="dxa"/>
            <w:vMerge w:val="restart"/>
            <w:tcBorders>
              <w:top w:val="single" w:sz="36" w:space="0" w:color="BFBFBF"/>
            </w:tcBorders>
            <w:shd w:val="clear" w:color="auto" w:fill="auto"/>
          </w:tcPr>
          <w:p w14:paraId="3A48843C" w14:textId="47AA36D2" w:rsidR="00E14173" w:rsidRDefault="008669DE" w:rsidP="00AE6360">
            <w:pPr>
              <w:rPr>
                <w:lang w:val="en-GB"/>
              </w:rPr>
            </w:pPr>
            <w:r>
              <w:rPr>
                <w:noProof/>
              </w:rPr>
              <mc:AlternateContent>
                <mc:Choice Requires="wps">
                  <w:drawing>
                    <wp:anchor distT="0" distB="0" distL="114300" distR="114300" simplePos="0" relativeHeight="251657728" behindDoc="0" locked="0" layoutInCell="1" allowOverlap="1" wp14:anchorId="10CD90E8" wp14:editId="5AE6146B">
                      <wp:simplePos x="0" y="0"/>
                      <wp:positionH relativeFrom="column">
                        <wp:posOffset>-67310</wp:posOffset>
                      </wp:positionH>
                      <wp:positionV relativeFrom="paragraph">
                        <wp:posOffset>97790</wp:posOffset>
                      </wp:positionV>
                      <wp:extent cx="1988185" cy="1857375"/>
                      <wp:effectExtent l="1270" t="0" r="1270" b="381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24C9D" w14:textId="77777777" w:rsidR="00E14173" w:rsidRPr="006F5ABC" w:rsidRDefault="00E14173" w:rsidP="00E14173">
                                  <w:pPr>
                                    <w:spacing w:before="1200"/>
                                    <w:jc w:val="center"/>
                                    <w:rPr>
                                      <w:sz w:val="18"/>
                                    </w:rPr>
                                  </w:pPr>
                                  <w:r w:rsidRPr="006F5ABC">
                                    <w:rPr>
                                      <w:sz w:val="18"/>
                                    </w:rPr>
                                    <w:t xml:space="preserve">((Insert TOC </w:t>
                                  </w:r>
                                  <w:proofErr w:type="spellStart"/>
                                  <w:r w:rsidRPr="006F5ABC">
                                    <w:rPr>
                                      <w:sz w:val="18"/>
                                    </w:rPr>
                                    <w:t>Graphic</w:t>
                                  </w:r>
                                  <w:proofErr w:type="spellEnd"/>
                                  <w:r w:rsidRPr="006F5ABC">
                                    <w:rPr>
                                      <w:sz w:val="18"/>
                                    </w:rPr>
                                    <w:t xml:space="preserve"> </w:t>
                                  </w:r>
                                  <w:proofErr w:type="spellStart"/>
                                  <w:r w:rsidRPr="006F5ABC">
                                    <w:rPr>
                                      <w:sz w:val="18"/>
                                    </w:rPr>
                                    <w:t>here</w:t>
                                  </w:r>
                                  <w:proofErr w:type="spellEnd"/>
                                  <w:r w:rsidRPr="006F5ABC">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D90E8" id="Rectangle 2" o:spid="_x0000_s1027" style="position:absolute;margin-left:-5.3pt;margin-top:7.7pt;width:156.5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" fillcolor="#eaeaea" stroked="f">
                      <v:textbox>
                        <w:txbxContent>
                          <w:p w14:paraId="6F624C9D" w14:textId="77777777" w:rsidR="00E14173" w:rsidRPr="006F5ABC" w:rsidRDefault="00E14173" w:rsidP="00E14173">
                            <w:pPr>
                              <w:spacing w:before="1200"/>
                              <w:jc w:val="center"/>
                              <w:rPr>
                                <w:sz w:val="18"/>
                              </w:rPr>
                            </w:pPr>
                            <w:r w:rsidRPr="006F5ABC">
                              <w:rPr>
                                <w:sz w:val="18"/>
                              </w:rPr>
                              <w:t>((Insert TOC Graphic here))</w:t>
                            </w:r>
                          </w:p>
                        </w:txbxContent>
                      </v:textbox>
                    </v:rect>
                  </w:pict>
                </mc:Fallback>
              </mc:AlternateContent>
            </w:r>
          </w:p>
        </w:tc>
        <w:tc>
          <w:tcPr>
            <w:tcW w:w="284" w:type="dxa"/>
            <w:tcBorders>
              <w:top w:val="single" w:sz="36" w:space="0" w:color="BFBFBF"/>
            </w:tcBorders>
            <w:shd w:val="clear" w:color="auto" w:fill="auto"/>
          </w:tcPr>
          <w:p w14:paraId="0B05B78F" w14:textId="77777777" w:rsidR="00E14173" w:rsidRDefault="00E14173" w:rsidP="00AE6360">
            <w:pPr>
              <w:rPr>
                <w:lang w:val="en-GB"/>
              </w:rPr>
            </w:pPr>
          </w:p>
        </w:tc>
        <w:tc>
          <w:tcPr>
            <w:tcW w:w="3289" w:type="dxa"/>
            <w:vMerge w:val="restart"/>
            <w:tcBorders>
              <w:top w:val="single" w:sz="36" w:space="0" w:color="BFBFBF"/>
            </w:tcBorders>
            <w:shd w:val="clear" w:color="auto" w:fill="auto"/>
          </w:tcPr>
          <w:p w14:paraId="24605B9B" w14:textId="77777777" w:rsidR="00E14173" w:rsidRDefault="00E14173" w:rsidP="00E14173">
            <w:pPr>
              <w:pStyle w:val="AuthorsTOC"/>
            </w:pPr>
            <w:r w:rsidRPr="009B1F99">
              <w:t xml:space="preserve">Benjamin D. Egleston, Konstantin V. </w:t>
            </w:r>
            <w:proofErr w:type="spellStart"/>
            <w:r w:rsidRPr="009B1F99">
              <w:t>Luzyanin</w:t>
            </w:r>
            <w:proofErr w:type="spellEnd"/>
            <w:r w:rsidRPr="009B1F99">
              <w:t>, Michael C Brand, Rob Clowes, Michael E. Briggs, Rebecca L. Greenawa</w:t>
            </w:r>
            <w:r>
              <w:t>y</w:t>
            </w:r>
            <w:r w:rsidRPr="009B1F99">
              <w:t xml:space="preserve"> and Andrew I. Cooper</w:t>
            </w:r>
          </w:p>
          <w:p w14:paraId="1FA70FF8" w14:textId="77777777" w:rsidR="00E14173" w:rsidRPr="009E5C87" w:rsidRDefault="00E14173" w:rsidP="00E14173">
            <w:pPr>
              <w:pStyle w:val="PageNumbers"/>
              <w:rPr>
                <w:lang w:val="en-GB"/>
              </w:rPr>
            </w:pPr>
            <w:r w:rsidRPr="009E5C87">
              <w:rPr>
                <w:lang w:val="en-GB"/>
              </w:rPr>
              <w:t>Page No. – Page No.</w:t>
            </w:r>
          </w:p>
          <w:p w14:paraId="671C5B95" w14:textId="77777777" w:rsidR="00E14173" w:rsidRDefault="00E14173" w:rsidP="00E14173">
            <w:pPr>
              <w:pStyle w:val="TitleTOC"/>
              <w:framePr w:hSpace="141" w:wrap="around" w:vAnchor="page" w:hAnchor="margin" w:y="1504"/>
            </w:pPr>
            <w:r w:rsidRPr="008112F4">
              <w:t>Controlling gas selectivity in molecular porous liquids by tuning the cage window size</w:t>
            </w:r>
          </w:p>
          <w:p w14:paraId="127F8CD4" w14:textId="77777777" w:rsidR="00E14173" w:rsidRPr="00AE01EC" w:rsidRDefault="00E14173" w:rsidP="00AE6360">
            <w:pPr>
              <w:framePr w:hSpace="141" w:wrap="around" w:vAnchor="page" w:hAnchor="margin" w:y="1504"/>
              <w:rPr>
                <w:lang w:val="en-GB"/>
              </w:rPr>
            </w:pPr>
          </w:p>
        </w:tc>
      </w:tr>
      <w:tr w:rsidR="00E14173" w14:paraId="4BC9067E" w14:textId="77777777" w:rsidTr="00AE6360">
        <w:trPr>
          <w:trHeight w:hRule="exact" w:val="2796"/>
        </w:trPr>
        <w:tc>
          <w:tcPr>
            <w:tcW w:w="3118" w:type="dxa"/>
            <w:vMerge/>
            <w:shd w:val="clear" w:color="auto" w:fill="auto"/>
          </w:tcPr>
          <w:p w14:paraId="3C60EBDD" w14:textId="77777777" w:rsidR="00E14173" w:rsidRDefault="00E14173" w:rsidP="00AE6360">
            <w:pPr>
              <w:rPr>
                <w:lang w:val="en-GB"/>
              </w:rPr>
            </w:pPr>
          </w:p>
        </w:tc>
        <w:tc>
          <w:tcPr>
            <w:tcW w:w="284" w:type="dxa"/>
            <w:shd w:val="clear" w:color="auto" w:fill="auto"/>
          </w:tcPr>
          <w:p w14:paraId="6D454EF4" w14:textId="77777777" w:rsidR="00E14173" w:rsidRDefault="00E14173" w:rsidP="00AE6360">
            <w:pPr>
              <w:rPr>
                <w:lang w:val="en-GB"/>
              </w:rPr>
            </w:pPr>
          </w:p>
        </w:tc>
        <w:tc>
          <w:tcPr>
            <w:tcW w:w="3118" w:type="dxa"/>
            <w:vMerge/>
            <w:shd w:val="clear" w:color="auto" w:fill="auto"/>
          </w:tcPr>
          <w:p w14:paraId="16F2E665" w14:textId="77777777" w:rsidR="00E14173" w:rsidRDefault="00E14173" w:rsidP="00AE6360">
            <w:pPr>
              <w:rPr>
                <w:lang w:val="en-GB"/>
              </w:rPr>
            </w:pPr>
          </w:p>
        </w:tc>
        <w:tc>
          <w:tcPr>
            <w:tcW w:w="284" w:type="dxa"/>
            <w:shd w:val="clear" w:color="auto" w:fill="auto"/>
          </w:tcPr>
          <w:p w14:paraId="7F7D7EFD" w14:textId="77777777" w:rsidR="00E14173" w:rsidRDefault="00E14173" w:rsidP="00AE6360">
            <w:pPr>
              <w:rPr>
                <w:lang w:val="en-GB"/>
              </w:rPr>
            </w:pPr>
          </w:p>
        </w:tc>
        <w:tc>
          <w:tcPr>
            <w:tcW w:w="3289" w:type="dxa"/>
            <w:vMerge/>
            <w:shd w:val="clear" w:color="auto" w:fill="auto"/>
          </w:tcPr>
          <w:p w14:paraId="0C7DA8FF" w14:textId="77777777" w:rsidR="00E14173" w:rsidRDefault="00E14173" w:rsidP="00AE6360">
            <w:pPr>
              <w:rPr>
                <w:lang w:val="en-GB"/>
              </w:rPr>
            </w:pPr>
          </w:p>
        </w:tc>
      </w:tr>
    </w:tbl>
    <w:p w14:paraId="015090AD" w14:textId="6DF683D1" w:rsidR="00773C4B" w:rsidRPr="008F525A" w:rsidRDefault="00773C4B" w:rsidP="00403B8C">
      <w:pPr>
        <w:widowControl w:val="0"/>
        <w:autoSpaceDE w:val="0"/>
        <w:autoSpaceDN w:val="0"/>
        <w:adjustRightInd w:val="0"/>
        <w:ind w:left="640" w:hanging="640"/>
        <w:rPr>
          <w:bCs/>
          <w:lang w:val="en-GB"/>
        </w:rPr>
      </w:pPr>
    </w:p>
    <w:sectPr w:rsidR="00773C4B" w:rsidRPr="008F525A"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288B9" w14:textId="77777777" w:rsidR="002D1E5E" w:rsidRDefault="002D1E5E">
      <w:r>
        <w:separator/>
      </w:r>
    </w:p>
  </w:endnote>
  <w:endnote w:type="continuationSeparator" w:id="0">
    <w:p w14:paraId="7A938FE0" w14:textId="77777777" w:rsidR="002D1E5E" w:rsidRDefault="002D1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A0D5D" w14:textId="77777777" w:rsidR="00205632" w:rsidRDefault="00205632" w:rsidP="000C4579">
    <w:pPr>
      <w:pStyle w:val="Footer"/>
      <w:pBdr>
        <w:top w:val="single" w:sz="18" w:space="1" w:color="C0C0C0"/>
      </w:pBdr>
    </w:pPr>
  </w:p>
  <w:p w14:paraId="42BF6F85" w14:textId="77777777" w:rsidR="00205632" w:rsidRDefault="00205632" w:rsidP="000C4579">
    <w:pPr>
      <w:pStyle w:val="Footer"/>
    </w:pPr>
  </w:p>
  <w:p w14:paraId="452606C6" w14:textId="77777777" w:rsidR="00205632" w:rsidRDefault="00205632" w:rsidP="000C4579">
    <w:pPr>
      <w:pStyle w:val="Footer"/>
    </w:pPr>
  </w:p>
  <w:p w14:paraId="5EDEC261" w14:textId="77777777" w:rsidR="00205632" w:rsidRPr="00205632" w:rsidRDefault="00205632" w:rsidP="000C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7AFE4" w14:textId="77777777" w:rsidR="002D1E5E" w:rsidRDefault="002D1E5E">
      <w:r>
        <w:separator/>
      </w:r>
    </w:p>
  </w:footnote>
  <w:footnote w:type="continuationSeparator" w:id="0">
    <w:p w14:paraId="55170688" w14:textId="77777777" w:rsidR="002D1E5E" w:rsidRDefault="002D1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C176F" w14:textId="49740C3F" w:rsidR="00C8278A" w:rsidRPr="00C8278A" w:rsidRDefault="002D1E5E"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781F6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50" type="#_x0000_t75" alt="Wiley-VCH_gedreht" style="position:absolute;margin-left:0;margin-top:0;width:688.65pt;height:937.8pt;z-index:-251658240;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8669DE">
      <w:rPr>
        <w:rFonts w:ascii="Arial Narrow" w:hAnsi="Arial Narrow" w:cs="Arial"/>
        <w:b/>
        <w:bCs/>
        <w:noProof/>
        <w:color w:val="C0C0C0"/>
        <w:sz w:val="40"/>
        <w:szCs w:val="36"/>
      </w:rPr>
      <w:drawing>
        <wp:inline distT="0" distB="0" distL="0" distR="0" wp14:anchorId="690815E5" wp14:editId="56099A5F">
          <wp:extent cx="1463040" cy="365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3040" cy="365760"/>
                  </a:xfrm>
                  <a:prstGeom prst="rect">
                    <a:avLst/>
                  </a:prstGeom>
                  <a:noFill/>
                  <a:ln>
                    <a:noFill/>
                  </a:ln>
                </pic:spPr>
              </pic:pic>
            </a:graphicData>
          </a:graphic>
        </wp:inline>
      </w:drawing>
    </w:r>
    <w:r w:rsidR="00490E63">
      <w:rPr>
        <w:rFonts w:ascii="Arial Narrow" w:hAnsi="Arial Narrow" w:cs="Arial"/>
        <w:b/>
        <w:bCs/>
        <w:color w:val="C0C0C0"/>
        <w:sz w:val="40"/>
        <w:szCs w:val="36"/>
      </w:rPr>
      <w:tab/>
    </w:r>
    <w:r w:rsidR="00490E63">
      <w:rPr>
        <w:rFonts w:ascii="Arial Narrow" w:hAnsi="Arial Narrow" w:cs="Arial"/>
        <w:b/>
        <w:bCs/>
        <w:color w:val="C0C0C0"/>
        <w:sz w:val="40"/>
        <w:szCs w:val="36"/>
      </w:rPr>
      <w:tab/>
      <w:t xml:space="preserve">                            </w:t>
    </w:r>
    <w:r w:rsidR="00490E63"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07E6E" w14:textId="77777777" w:rsidR="003B32F4" w:rsidRDefault="003A244A" w:rsidP="000C4579">
    <w:pPr>
      <w:pStyle w:val="Header"/>
      <w:pBdr>
        <w:bottom w:val="single" w:sz="18" w:space="1" w:color="C0C0C0"/>
      </w:pBdr>
      <w:rPr>
        <w:rFonts w:ascii="Arial Narrow" w:hAnsi="Arial Narrow" w:cs="Arial"/>
        <w:sz w:val="32"/>
        <w:szCs w:val="36"/>
      </w:rPr>
    </w:pPr>
    <w:r>
      <w:rPr>
        <w:rFonts w:ascii="Arial Narrow" w:hAnsi="Arial Narrow" w:cs="Arial"/>
        <w:b/>
        <w:bCs/>
        <w:color w:val="C0C0C0"/>
        <w:sz w:val="32"/>
        <w:szCs w:val="36"/>
      </w:rPr>
      <w:t>COMMUNICATION</w:t>
    </w:r>
    <w:r w:rsidR="001D7ECC" w:rsidRPr="00971FC5">
      <w:rPr>
        <w:rFonts w:ascii="Arial Narrow" w:hAnsi="Arial Narrow" w:cs="Arial"/>
        <w:sz w:val="32"/>
        <w:szCs w:val="36"/>
      </w:rPr>
      <w:tab/>
    </w:r>
  </w:p>
  <w:p w14:paraId="1A47D471" w14:textId="499D1B63" w:rsidR="00BF14BC" w:rsidRPr="003A244A" w:rsidRDefault="001D7ECC" w:rsidP="000C4579">
    <w:pPr>
      <w:pStyle w:val="Header"/>
      <w:pBdr>
        <w:bottom w:val="single" w:sz="18" w:space="1" w:color="C0C0C0"/>
      </w:pBdr>
      <w:rPr>
        <w:rFonts w:ascii="Arial Narrow" w:hAnsi="Arial Narrow" w:cs="Arial"/>
        <w:b/>
        <w:bCs/>
        <w:color w:val="C0C0C0"/>
        <w:sz w:val="32"/>
        <w:szCs w:val="36"/>
      </w:rPr>
    </w:pPr>
    <w:r w:rsidRPr="00971FC5">
      <w:rPr>
        <w:rFonts w:ascii="Arial Narrow" w:hAnsi="Arial Narrow" w:cs="Arial"/>
        <w:sz w:val="32"/>
        <w:szCs w:val="36"/>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5CC3B" w14:textId="77777777" w:rsidR="00FE7F47" w:rsidRDefault="002D1E5E">
    <w:pPr>
      <w:pStyle w:val="Header"/>
    </w:pPr>
    <w:r>
      <w:rPr>
        <w:noProof/>
        <w:lang w:eastAsia="zh-CN"/>
      </w:rPr>
      <w:pict w14:anchorId="6812A2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49" type="#_x0000_t75" alt="Wiley-VCH_gedreht" style="position:absolute;margin-left:0;margin-top:0;width:688.65pt;height:937.8pt;z-index:-251659264;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9pt;height:15.25pt" o:bullet="t">
        <v:imagedata r:id="rId1" o:title=""/>
      </v:shape>
    </w:pict>
  </w:numPicBullet>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3B0"/>
    <w:rsid w:val="0000214A"/>
    <w:rsid w:val="00002DBC"/>
    <w:rsid w:val="00003927"/>
    <w:rsid w:val="0000457A"/>
    <w:rsid w:val="00010410"/>
    <w:rsid w:val="00011D51"/>
    <w:rsid w:val="00013DD7"/>
    <w:rsid w:val="00022DB4"/>
    <w:rsid w:val="00027F3A"/>
    <w:rsid w:val="00033091"/>
    <w:rsid w:val="00033C26"/>
    <w:rsid w:val="00033D1A"/>
    <w:rsid w:val="00033F43"/>
    <w:rsid w:val="00036490"/>
    <w:rsid w:val="0004091A"/>
    <w:rsid w:val="00042BF0"/>
    <w:rsid w:val="00045AB9"/>
    <w:rsid w:val="0005096E"/>
    <w:rsid w:val="0005140E"/>
    <w:rsid w:val="000522F4"/>
    <w:rsid w:val="00055485"/>
    <w:rsid w:val="0006281D"/>
    <w:rsid w:val="00063E0F"/>
    <w:rsid w:val="0006489B"/>
    <w:rsid w:val="000650AB"/>
    <w:rsid w:val="0006694D"/>
    <w:rsid w:val="000669E3"/>
    <w:rsid w:val="00066B8E"/>
    <w:rsid w:val="00070B55"/>
    <w:rsid w:val="00070E0D"/>
    <w:rsid w:val="0007315F"/>
    <w:rsid w:val="00077560"/>
    <w:rsid w:val="0008077D"/>
    <w:rsid w:val="00090CF0"/>
    <w:rsid w:val="0009539C"/>
    <w:rsid w:val="00095C2F"/>
    <w:rsid w:val="000A2D96"/>
    <w:rsid w:val="000A37F3"/>
    <w:rsid w:val="000A77DC"/>
    <w:rsid w:val="000B6DF3"/>
    <w:rsid w:val="000C1DBD"/>
    <w:rsid w:val="000C4579"/>
    <w:rsid w:val="000C53F1"/>
    <w:rsid w:val="000D37AC"/>
    <w:rsid w:val="000D70F8"/>
    <w:rsid w:val="000D75B7"/>
    <w:rsid w:val="000D7701"/>
    <w:rsid w:val="000E0815"/>
    <w:rsid w:val="000E0CEA"/>
    <w:rsid w:val="000E0EC4"/>
    <w:rsid w:val="000E1C81"/>
    <w:rsid w:val="000E2D17"/>
    <w:rsid w:val="000E517A"/>
    <w:rsid w:val="000E5FDC"/>
    <w:rsid w:val="000E718F"/>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322FF"/>
    <w:rsid w:val="0013316F"/>
    <w:rsid w:val="001332DF"/>
    <w:rsid w:val="001344F7"/>
    <w:rsid w:val="001348CD"/>
    <w:rsid w:val="0014043E"/>
    <w:rsid w:val="00141356"/>
    <w:rsid w:val="001432CD"/>
    <w:rsid w:val="00143551"/>
    <w:rsid w:val="0014374D"/>
    <w:rsid w:val="00143B89"/>
    <w:rsid w:val="00145042"/>
    <w:rsid w:val="001475BF"/>
    <w:rsid w:val="00152E6D"/>
    <w:rsid w:val="00155FB7"/>
    <w:rsid w:val="0015631F"/>
    <w:rsid w:val="00157C67"/>
    <w:rsid w:val="0016203E"/>
    <w:rsid w:val="001639AE"/>
    <w:rsid w:val="001654DF"/>
    <w:rsid w:val="00166BEB"/>
    <w:rsid w:val="00166D41"/>
    <w:rsid w:val="001678B6"/>
    <w:rsid w:val="0017048F"/>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3120"/>
    <w:rsid w:val="001A39AE"/>
    <w:rsid w:val="001A438D"/>
    <w:rsid w:val="001B0DFC"/>
    <w:rsid w:val="001B4230"/>
    <w:rsid w:val="001C1039"/>
    <w:rsid w:val="001C21E3"/>
    <w:rsid w:val="001C26A7"/>
    <w:rsid w:val="001D081E"/>
    <w:rsid w:val="001D1155"/>
    <w:rsid w:val="001D13EA"/>
    <w:rsid w:val="001D216B"/>
    <w:rsid w:val="001D29CA"/>
    <w:rsid w:val="001D54CA"/>
    <w:rsid w:val="001D7ECC"/>
    <w:rsid w:val="001E164A"/>
    <w:rsid w:val="001E2F1C"/>
    <w:rsid w:val="001F16EF"/>
    <w:rsid w:val="001F1A2D"/>
    <w:rsid w:val="001F252B"/>
    <w:rsid w:val="001F4235"/>
    <w:rsid w:val="001F4528"/>
    <w:rsid w:val="001F45C3"/>
    <w:rsid w:val="001F4EE4"/>
    <w:rsid w:val="00200C6E"/>
    <w:rsid w:val="0020306E"/>
    <w:rsid w:val="00205632"/>
    <w:rsid w:val="00212CDE"/>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553A"/>
    <w:rsid w:val="00265DCA"/>
    <w:rsid w:val="00267F8A"/>
    <w:rsid w:val="002702BC"/>
    <w:rsid w:val="0027068B"/>
    <w:rsid w:val="00287256"/>
    <w:rsid w:val="00287B32"/>
    <w:rsid w:val="00291C93"/>
    <w:rsid w:val="002A36FA"/>
    <w:rsid w:val="002A561E"/>
    <w:rsid w:val="002A69D1"/>
    <w:rsid w:val="002B16E2"/>
    <w:rsid w:val="002B22BA"/>
    <w:rsid w:val="002B25E2"/>
    <w:rsid w:val="002B453B"/>
    <w:rsid w:val="002B70DD"/>
    <w:rsid w:val="002B7CA9"/>
    <w:rsid w:val="002C17E1"/>
    <w:rsid w:val="002C36E0"/>
    <w:rsid w:val="002C6B86"/>
    <w:rsid w:val="002C6C30"/>
    <w:rsid w:val="002D0B17"/>
    <w:rsid w:val="002D1E5E"/>
    <w:rsid w:val="002D24CB"/>
    <w:rsid w:val="002D42FF"/>
    <w:rsid w:val="002D5148"/>
    <w:rsid w:val="002D5B99"/>
    <w:rsid w:val="002E066F"/>
    <w:rsid w:val="002E2CA8"/>
    <w:rsid w:val="002E54E6"/>
    <w:rsid w:val="002E773C"/>
    <w:rsid w:val="002F0269"/>
    <w:rsid w:val="002F1479"/>
    <w:rsid w:val="002F17FB"/>
    <w:rsid w:val="002F56D6"/>
    <w:rsid w:val="002F6A4C"/>
    <w:rsid w:val="002F73A5"/>
    <w:rsid w:val="003006A7"/>
    <w:rsid w:val="00301167"/>
    <w:rsid w:val="00301D1E"/>
    <w:rsid w:val="00303FBE"/>
    <w:rsid w:val="003040CB"/>
    <w:rsid w:val="003079D2"/>
    <w:rsid w:val="00307C5A"/>
    <w:rsid w:val="003113EB"/>
    <w:rsid w:val="003116F4"/>
    <w:rsid w:val="00312ED2"/>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8B4"/>
    <w:rsid w:val="00340A08"/>
    <w:rsid w:val="003447D7"/>
    <w:rsid w:val="0034496B"/>
    <w:rsid w:val="00354B57"/>
    <w:rsid w:val="00364753"/>
    <w:rsid w:val="00364A2A"/>
    <w:rsid w:val="003657B6"/>
    <w:rsid w:val="00366676"/>
    <w:rsid w:val="00375415"/>
    <w:rsid w:val="00376792"/>
    <w:rsid w:val="00376F37"/>
    <w:rsid w:val="003813F2"/>
    <w:rsid w:val="0038506F"/>
    <w:rsid w:val="00390DD7"/>
    <w:rsid w:val="00394050"/>
    <w:rsid w:val="00396BE2"/>
    <w:rsid w:val="003A244A"/>
    <w:rsid w:val="003B04BA"/>
    <w:rsid w:val="003B0FC4"/>
    <w:rsid w:val="003B32F4"/>
    <w:rsid w:val="003B5153"/>
    <w:rsid w:val="003B6C60"/>
    <w:rsid w:val="003B70C8"/>
    <w:rsid w:val="003B713A"/>
    <w:rsid w:val="003C134A"/>
    <w:rsid w:val="003C1CCA"/>
    <w:rsid w:val="003C2972"/>
    <w:rsid w:val="003C2C9C"/>
    <w:rsid w:val="003C6E1A"/>
    <w:rsid w:val="003D0F51"/>
    <w:rsid w:val="003D1C1A"/>
    <w:rsid w:val="003E1BC4"/>
    <w:rsid w:val="003E54CD"/>
    <w:rsid w:val="003E7319"/>
    <w:rsid w:val="003F1223"/>
    <w:rsid w:val="003F2556"/>
    <w:rsid w:val="003F50D4"/>
    <w:rsid w:val="0040080D"/>
    <w:rsid w:val="0040270E"/>
    <w:rsid w:val="00403876"/>
    <w:rsid w:val="00403B8C"/>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5D6F"/>
    <w:rsid w:val="00436338"/>
    <w:rsid w:val="00437B5A"/>
    <w:rsid w:val="004412CC"/>
    <w:rsid w:val="00444E3C"/>
    <w:rsid w:val="00445D5C"/>
    <w:rsid w:val="004465F9"/>
    <w:rsid w:val="004466B0"/>
    <w:rsid w:val="00454A2D"/>
    <w:rsid w:val="004556E1"/>
    <w:rsid w:val="004609E1"/>
    <w:rsid w:val="00460C28"/>
    <w:rsid w:val="00461BD2"/>
    <w:rsid w:val="00462A09"/>
    <w:rsid w:val="00463415"/>
    <w:rsid w:val="004644E1"/>
    <w:rsid w:val="0046574E"/>
    <w:rsid w:val="004657E8"/>
    <w:rsid w:val="00465C98"/>
    <w:rsid w:val="00467E99"/>
    <w:rsid w:val="00470790"/>
    <w:rsid w:val="00470FBB"/>
    <w:rsid w:val="004726E2"/>
    <w:rsid w:val="00473029"/>
    <w:rsid w:val="00473EE4"/>
    <w:rsid w:val="00477B4C"/>
    <w:rsid w:val="00477B99"/>
    <w:rsid w:val="004841CA"/>
    <w:rsid w:val="00485C84"/>
    <w:rsid w:val="00486215"/>
    <w:rsid w:val="0048630D"/>
    <w:rsid w:val="00490E63"/>
    <w:rsid w:val="004921CF"/>
    <w:rsid w:val="004930F0"/>
    <w:rsid w:val="004A0BA8"/>
    <w:rsid w:val="004A489D"/>
    <w:rsid w:val="004A4A2E"/>
    <w:rsid w:val="004A4CD0"/>
    <w:rsid w:val="004A73A8"/>
    <w:rsid w:val="004A75D5"/>
    <w:rsid w:val="004A771F"/>
    <w:rsid w:val="004A78AE"/>
    <w:rsid w:val="004B004E"/>
    <w:rsid w:val="004B0589"/>
    <w:rsid w:val="004B0B74"/>
    <w:rsid w:val="004B1783"/>
    <w:rsid w:val="004B449C"/>
    <w:rsid w:val="004B5349"/>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740"/>
    <w:rsid w:val="004D6DB8"/>
    <w:rsid w:val="004D7376"/>
    <w:rsid w:val="004E3F83"/>
    <w:rsid w:val="004E4A53"/>
    <w:rsid w:val="004E4DFF"/>
    <w:rsid w:val="004E5278"/>
    <w:rsid w:val="004E74F4"/>
    <w:rsid w:val="004F0129"/>
    <w:rsid w:val="004F257F"/>
    <w:rsid w:val="004F35CD"/>
    <w:rsid w:val="00501639"/>
    <w:rsid w:val="00501EFF"/>
    <w:rsid w:val="0050277D"/>
    <w:rsid w:val="005035EB"/>
    <w:rsid w:val="0050689B"/>
    <w:rsid w:val="005068AA"/>
    <w:rsid w:val="00506EDB"/>
    <w:rsid w:val="00511093"/>
    <w:rsid w:val="00512A8E"/>
    <w:rsid w:val="00520422"/>
    <w:rsid w:val="0052085F"/>
    <w:rsid w:val="0052404D"/>
    <w:rsid w:val="00527D68"/>
    <w:rsid w:val="00530284"/>
    <w:rsid w:val="005321B0"/>
    <w:rsid w:val="0053418A"/>
    <w:rsid w:val="005349D6"/>
    <w:rsid w:val="005352D1"/>
    <w:rsid w:val="00536BC1"/>
    <w:rsid w:val="0053716A"/>
    <w:rsid w:val="00537F36"/>
    <w:rsid w:val="00541205"/>
    <w:rsid w:val="005433DE"/>
    <w:rsid w:val="00543744"/>
    <w:rsid w:val="0054420E"/>
    <w:rsid w:val="005472E5"/>
    <w:rsid w:val="0055057E"/>
    <w:rsid w:val="00550B0C"/>
    <w:rsid w:val="0055113D"/>
    <w:rsid w:val="005551F3"/>
    <w:rsid w:val="00556A65"/>
    <w:rsid w:val="0055756D"/>
    <w:rsid w:val="00561C0E"/>
    <w:rsid w:val="005662EA"/>
    <w:rsid w:val="00567B5A"/>
    <w:rsid w:val="00567C18"/>
    <w:rsid w:val="0057009B"/>
    <w:rsid w:val="005735B3"/>
    <w:rsid w:val="005801F0"/>
    <w:rsid w:val="005826CC"/>
    <w:rsid w:val="005839B9"/>
    <w:rsid w:val="00586DF8"/>
    <w:rsid w:val="00591AB8"/>
    <w:rsid w:val="00597954"/>
    <w:rsid w:val="005A49B9"/>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74E7"/>
    <w:rsid w:val="006011C8"/>
    <w:rsid w:val="006024FD"/>
    <w:rsid w:val="0060310C"/>
    <w:rsid w:val="00605777"/>
    <w:rsid w:val="00605FAC"/>
    <w:rsid w:val="00612811"/>
    <w:rsid w:val="00613B2C"/>
    <w:rsid w:val="006150DB"/>
    <w:rsid w:val="006200AB"/>
    <w:rsid w:val="00620450"/>
    <w:rsid w:val="00620753"/>
    <w:rsid w:val="00620911"/>
    <w:rsid w:val="00620C61"/>
    <w:rsid w:val="00627F57"/>
    <w:rsid w:val="00633E9E"/>
    <w:rsid w:val="00644209"/>
    <w:rsid w:val="00646F9F"/>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521"/>
    <w:rsid w:val="006B5DE9"/>
    <w:rsid w:val="006B6806"/>
    <w:rsid w:val="006B72C2"/>
    <w:rsid w:val="006B7C3F"/>
    <w:rsid w:val="006C1123"/>
    <w:rsid w:val="006C2DBE"/>
    <w:rsid w:val="006C5C46"/>
    <w:rsid w:val="006C5F03"/>
    <w:rsid w:val="006C643D"/>
    <w:rsid w:val="006C6BFE"/>
    <w:rsid w:val="006C6D39"/>
    <w:rsid w:val="006C7F18"/>
    <w:rsid w:val="006D02C0"/>
    <w:rsid w:val="006D17E9"/>
    <w:rsid w:val="006D184F"/>
    <w:rsid w:val="006D2D7B"/>
    <w:rsid w:val="006D31D6"/>
    <w:rsid w:val="006D3595"/>
    <w:rsid w:val="006D4F77"/>
    <w:rsid w:val="006D6793"/>
    <w:rsid w:val="006E041E"/>
    <w:rsid w:val="006E3E71"/>
    <w:rsid w:val="006E5BEA"/>
    <w:rsid w:val="006E7083"/>
    <w:rsid w:val="006F0EB7"/>
    <w:rsid w:val="006F6671"/>
    <w:rsid w:val="006F77BC"/>
    <w:rsid w:val="00700F72"/>
    <w:rsid w:val="007013DE"/>
    <w:rsid w:val="00701830"/>
    <w:rsid w:val="00702F63"/>
    <w:rsid w:val="0070306E"/>
    <w:rsid w:val="00707815"/>
    <w:rsid w:val="00710812"/>
    <w:rsid w:val="00711E9D"/>
    <w:rsid w:val="007130CE"/>
    <w:rsid w:val="00713548"/>
    <w:rsid w:val="00713B1C"/>
    <w:rsid w:val="00714DB9"/>
    <w:rsid w:val="00714DC9"/>
    <w:rsid w:val="0071700B"/>
    <w:rsid w:val="00717BD5"/>
    <w:rsid w:val="00720FED"/>
    <w:rsid w:val="007249D7"/>
    <w:rsid w:val="007252DA"/>
    <w:rsid w:val="00732798"/>
    <w:rsid w:val="00737264"/>
    <w:rsid w:val="007406C2"/>
    <w:rsid w:val="007407AE"/>
    <w:rsid w:val="00740CE1"/>
    <w:rsid w:val="0074126C"/>
    <w:rsid w:val="00741B47"/>
    <w:rsid w:val="00742A55"/>
    <w:rsid w:val="00745DE7"/>
    <w:rsid w:val="00746C0D"/>
    <w:rsid w:val="00750326"/>
    <w:rsid w:val="0075276A"/>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47C1"/>
    <w:rsid w:val="0078628B"/>
    <w:rsid w:val="0078784C"/>
    <w:rsid w:val="007958BF"/>
    <w:rsid w:val="007A6D99"/>
    <w:rsid w:val="007A7E01"/>
    <w:rsid w:val="007B05F5"/>
    <w:rsid w:val="007B6A97"/>
    <w:rsid w:val="007C2805"/>
    <w:rsid w:val="007C3D60"/>
    <w:rsid w:val="007C53B7"/>
    <w:rsid w:val="007C5712"/>
    <w:rsid w:val="007C672F"/>
    <w:rsid w:val="007D0337"/>
    <w:rsid w:val="007D0701"/>
    <w:rsid w:val="007D2ED9"/>
    <w:rsid w:val="007E1DC5"/>
    <w:rsid w:val="007E2CB8"/>
    <w:rsid w:val="007E3A49"/>
    <w:rsid w:val="007E52D5"/>
    <w:rsid w:val="007E6725"/>
    <w:rsid w:val="007E7187"/>
    <w:rsid w:val="007F00BA"/>
    <w:rsid w:val="007F202F"/>
    <w:rsid w:val="007F20D9"/>
    <w:rsid w:val="007F46F6"/>
    <w:rsid w:val="007F664A"/>
    <w:rsid w:val="007F66E6"/>
    <w:rsid w:val="007F68CC"/>
    <w:rsid w:val="00804822"/>
    <w:rsid w:val="00813005"/>
    <w:rsid w:val="00813FEF"/>
    <w:rsid w:val="00817ACD"/>
    <w:rsid w:val="00823310"/>
    <w:rsid w:val="008249B7"/>
    <w:rsid w:val="00826879"/>
    <w:rsid w:val="008272FD"/>
    <w:rsid w:val="00827A4E"/>
    <w:rsid w:val="008302B2"/>
    <w:rsid w:val="00832891"/>
    <w:rsid w:val="008339A8"/>
    <w:rsid w:val="00836959"/>
    <w:rsid w:val="00843A60"/>
    <w:rsid w:val="00847D4E"/>
    <w:rsid w:val="00851D03"/>
    <w:rsid w:val="008536CE"/>
    <w:rsid w:val="00854C3B"/>
    <w:rsid w:val="00855988"/>
    <w:rsid w:val="00856C61"/>
    <w:rsid w:val="00856D80"/>
    <w:rsid w:val="00860C40"/>
    <w:rsid w:val="00862A5B"/>
    <w:rsid w:val="00862D4C"/>
    <w:rsid w:val="0086441B"/>
    <w:rsid w:val="00865C7C"/>
    <w:rsid w:val="008669DE"/>
    <w:rsid w:val="00870558"/>
    <w:rsid w:val="00873E64"/>
    <w:rsid w:val="00874EBC"/>
    <w:rsid w:val="00875FFC"/>
    <w:rsid w:val="008773A8"/>
    <w:rsid w:val="00880861"/>
    <w:rsid w:val="00884733"/>
    <w:rsid w:val="00886901"/>
    <w:rsid w:val="008935DC"/>
    <w:rsid w:val="00896252"/>
    <w:rsid w:val="0089651C"/>
    <w:rsid w:val="00896608"/>
    <w:rsid w:val="008A5DEB"/>
    <w:rsid w:val="008A75A2"/>
    <w:rsid w:val="008B52D3"/>
    <w:rsid w:val="008C0905"/>
    <w:rsid w:val="008C26A3"/>
    <w:rsid w:val="008C4A56"/>
    <w:rsid w:val="008C642F"/>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64DF"/>
    <w:rsid w:val="009273BC"/>
    <w:rsid w:val="009317ED"/>
    <w:rsid w:val="0093355D"/>
    <w:rsid w:val="00933AA8"/>
    <w:rsid w:val="00935D92"/>
    <w:rsid w:val="009361EB"/>
    <w:rsid w:val="00941003"/>
    <w:rsid w:val="009425B3"/>
    <w:rsid w:val="00945BF2"/>
    <w:rsid w:val="0094711E"/>
    <w:rsid w:val="0094724E"/>
    <w:rsid w:val="00952951"/>
    <w:rsid w:val="00953A07"/>
    <w:rsid w:val="00954307"/>
    <w:rsid w:val="00954442"/>
    <w:rsid w:val="00955B6D"/>
    <w:rsid w:val="009570F0"/>
    <w:rsid w:val="00957398"/>
    <w:rsid w:val="0096219B"/>
    <w:rsid w:val="00963289"/>
    <w:rsid w:val="00963607"/>
    <w:rsid w:val="009658DA"/>
    <w:rsid w:val="0096675F"/>
    <w:rsid w:val="00966884"/>
    <w:rsid w:val="00971D8C"/>
    <w:rsid w:val="00971FC5"/>
    <w:rsid w:val="00972425"/>
    <w:rsid w:val="009733F5"/>
    <w:rsid w:val="0098401D"/>
    <w:rsid w:val="009849E5"/>
    <w:rsid w:val="0098683C"/>
    <w:rsid w:val="0098753E"/>
    <w:rsid w:val="009923A9"/>
    <w:rsid w:val="00996071"/>
    <w:rsid w:val="009964CD"/>
    <w:rsid w:val="00997637"/>
    <w:rsid w:val="009A27D2"/>
    <w:rsid w:val="009A3E4B"/>
    <w:rsid w:val="009A53C8"/>
    <w:rsid w:val="009A6414"/>
    <w:rsid w:val="009B3D65"/>
    <w:rsid w:val="009B426B"/>
    <w:rsid w:val="009B5513"/>
    <w:rsid w:val="009B626F"/>
    <w:rsid w:val="009B7251"/>
    <w:rsid w:val="009C0ABF"/>
    <w:rsid w:val="009C20FC"/>
    <w:rsid w:val="009C2264"/>
    <w:rsid w:val="009C43E7"/>
    <w:rsid w:val="009D14CA"/>
    <w:rsid w:val="009D5757"/>
    <w:rsid w:val="009D7DB0"/>
    <w:rsid w:val="009E1D78"/>
    <w:rsid w:val="009E20AB"/>
    <w:rsid w:val="009E295D"/>
    <w:rsid w:val="009E5B17"/>
    <w:rsid w:val="009E78B5"/>
    <w:rsid w:val="009E7925"/>
    <w:rsid w:val="009E798E"/>
    <w:rsid w:val="009F1127"/>
    <w:rsid w:val="009F6FBF"/>
    <w:rsid w:val="009F70DC"/>
    <w:rsid w:val="00A001C3"/>
    <w:rsid w:val="00A02C15"/>
    <w:rsid w:val="00A0349A"/>
    <w:rsid w:val="00A04427"/>
    <w:rsid w:val="00A04B91"/>
    <w:rsid w:val="00A04D83"/>
    <w:rsid w:val="00A05421"/>
    <w:rsid w:val="00A054B0"/>
    <w:rsid w:val="00A069E1"/>
    <w:rsid w:val="00A1019C"/>
    <w:rsid w:val="00A11648"/>
    <w:rsid w:val="00A2029A"/>
    <w:rsid w:val="00A2403B"/>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1CB3"/>
    <w:rsid w:val="00A82E1A"/>
    <w:rsid w:val="00A842F8"/>
    <w:rsid w:val="00A8458D"/>
    <w:rsid w:val="00A87B0A"/>
    <w:rsid w:val="00A93198"/>
    <w:rsid w:val="00A9668D"/>
    <w:rsid w:val="00A968D0"/>
    <w:rsid w:val="00A97137"/>
    <w:rsid w:val="00AA1BF0"/>
    <w:rsid w:val="00AA4441"/>
    <w:rsid w:val="00AA5045"/>
    <w:rsid w:val="00AA73FE"/>
    <w:rsid w:val="00AA7D8F"/>
    <w:rsid w:val="00AB14AF"/>
    <w:rsid w:val="00AC390C"/>
    <w:rsid w:val="00AC51F3"/>
    <w:rsid w:val="00AC532F"/>
    <w:rsid w:val="00AC710B"/>
    <w:rsid w:val="00AC768E"/>
    <w:rsid w:val="00AC7B67"/>
    <w:rsid w:val="00AD0B89"/>
    <w:rsid w:val="00AD47D4"/>
    <w:rsid w:val="00AD62D8"/>
    <w:rsid w:val="00AE1546"/>
    <w:rsid w:val="00AE33D9"/>
    <w:rsid w:val="00AE7A63"/>
    <w:rsid w:val="00AF267E"/>
    <w:rsid w:val="00AF63C3"/>
    <w:rsid w:val="00AF7CE1"/>
    <w:rsid w:val="00B00E7C"/>
    <w:rsid w:val="00B011E3"/>
    <w:rsid w:val="00B0301F"/>
    <w:rsid w:val="00B0351C"/>
    <w:rsid w:val="00B03934"/>
    <w:rsid w:val="00B048B1"/>
    <w:rsid w:val="00B113B0"/>
    <w:rsid w:val="00B11686"/>
    <w:rsid w:val="00B12C6B"/>
    <w:rsid w:val="00B13276"/>
    <w:rsid w:val="00B139D9"/>
    <w:rsid w:val="00B22DD8"/>
    <w:rsid w:val="00B26826"/>
    <w:rsid w:val="00B31D15"/>
    <w:rsid w:val="00B31D8E"/>
    <w:rsid w:val="00B32E81"/>
    <w:rsid w:val="00B34146"/>
    <w:rsid w:val="00B351C5"/>
    <w:rsid w:val="00B437D7"/>
    <w:rsid w:val="00B43C10"/>
    <w:rsid w:val="00B46744"/>
    <w:rsid w:val="00B477DB"/>
    <w:rsid w:val="00B50307"/>
    <w:rsid w:val="00B5050B"/>
    <w:rsid w:val="00B50EBF"/>
    <w:rsid w:val="00B525A0"/>
    <w:rsid w:val="00B53ED3"/>
    <w:rsid w:val="00B54E3D"/>
    <w:rsid w:val="00B55214"/>
    <w:rsid w:val="00B55FAF"/>
    <w:rsid w:val="00B64AEB"/>
    <w:rsid w:val="00B64CA9"/>
    <w:rsid w:val="00B64D08"/>
    <w:rsid w:val="00B70A39"/>
    <w:rsid w:val="00B70AB2"/>
    <w:rsid w:val="00B72EEE"/>
    <w:rsid w:val="00B76F72"/>
    <w:rsid w:val="00B802CC"/>
    <w:rsid w:val="00B809B1"/>
    <w:rsid w:val="00B824F1"/>
    <w:rsid w:val="00B87183"/>
    <w:rsid w:val="00B92AD4"/>
    <w:rsid w:val="00BA0FC3"/>
    <w:rsid w:val="00BA1684"/>
    <w:rsid w:val="00BB1819"/>
    <w:rsid w:val="00BB42DF"/>
    <w:rsid w:val="00BB4C91"/>
    <w:rsid w:val="00BB4EBA"/>
    <w:rsid w:val="00BB5DA9"/>
    <w:rsid w:val="00BC014F"/>
    <w:rsid w:val="00BC0164"/>
    <w:rsid w:val="00BC28D4"/>
    <w:rsid w:val="00BC5B54"/>
    <w:rsid w:val="00BC78A2"/>
    <w:rsid w:val="00BD142D"/>
    <w:rsid w:val="00BD505D"/>
    <w:rsid w:val="00BD5852"/>
    <w:rsid w:val="00BD61A7"/>
    <w:rsid w:val="00BE09CA"/>
    <w:rsid w:val="00BE114C"/>
    <w:rsid w:val="00BE7761"/>
    <w:rsid w:val="00BF03A9"/>
    <w:rsid w:val="00BF0F57"/>
    <w:rsid w:val="00BF14BC"/>
    <w:rsid w:val="00BF7292"/>
    <w:rsid w:val="00C00948"/>
    <w:rsid w:val="00C047F9"/>
    <w:rsid w:val="00C06CDB"/>
    <w:rsid w:val="00C06D0F"/>
    <w:rsid w:val="00C070FB"/>
    <w:rsid w:val="00C13799"/>
    <w:rsid w:val="00C2460C"/>
    <w:rsid w:val="00C2552A"/>
    <w:rsid w:val="00C308BE"/>
    <w:rsid w:val="00C31F5F"/>
    <w:rsid w:val="00C32053"/>
    <w:rsid w:val="00C36154"/>
    <w:rsid w:val="00C40FD8"/>
    <w:rsid w:val="00C41733"/>
    <w:rsid w:val="00C42719"/>
    <w:rsid w:val="00C43D44"/>
    <w:rsid w:val="00C462C4"/>
    <w:rsid w:val="00C55A65"/>
    <w:rsid w:val="00C60C71"/>
    <w:rsid w:val="00C632B3"/>
    <w:rsid w:val="00C63B7C"/>
    <w:rsid w:val="00C67943"/>
    <w:rsid w:val="00C70D48"/>
    <w:rsid w:val="00C71038"/>
    <w:rsid w:val="00C7592C"/>
    <w:rsid w:val="00C77158"/>
    <w:rsid w:val="00C77DFE"/>
    <w:rsid w:val="00C80D4B"/>
    <w:rsid w:val="00C8278A"/>
    <w:rsid w:val="00C8558C"/>
    <w:rsid w:val="00C85ABE"/>
    <w:rsid w:val="00C87571"/>
    <w:rsid w:val="00C90A57"/>
    <w:rsid w:val="00C91F07"/>
    <w:rsid w:val="00C92120"/>
    <w:rsid w:val="00C942FC"/>
    <w:rsid w:val="00C966DA"/>
    <w:rsid w:val="00C976B2"/>
    <w:rsid w:val="00CA1213"/>
    <w:rsid w:val="00CA2E29"/>
    <w:rsid w:val="00CA3607"/>
    <w:rsid w:val="00CA72F1"/>
    <w:rsid w:val="00CB0CF2"/>
    <w:rsid w:val="00CB2DCB"/>
    <w:rsid w:val="00CB4591"/>
    <w:rsid w:val="00CB6F85"/>
    <w:rsid w:val="00CB70FE"/>
    <w:rsid w:val="00CB74C4"/>
    <w:rsid w:val="00CC0473"/>
    <w:rsid w:val="00CC1794"/>
    <w:rsid w:val="00CC1E8D"/>
    <w:rsid w:val="00CC3970"/>
    <w:rsid w:val="00CC3ED1"/>
    <w:rsid w:val="00CC4988"/>
    <w:rsid w:val="00CD5E55"/>
    <w:rsid w:val="00CD66D5"/>
    <w:rsid w:val="00CE0A40"/>
    <w:rsid w:val="00CE1852"/>
    <w:rsid w:val="00CE2946"/>
    <w:rsid w:val="00CE4329"/>
    <w:rsid w:val="00CE5F8E"/>
    <w:rsid w:val="00CF0BD6"/>
    <w:rsid w:val="00CF1014"/>
    <w:rsid w:val="00CF7619"/>
    <w:rsid w:val="00D00EA0"/>
    <w:rsid w:val="00D01999"/>
    <w:rsid w:val="00D01A50"/>
    <w:rsid w:val="00D02AFB"/>
    <w:rsid w:val="00D05D33"/>
    <w:rsid w:val="00D150FE"/>
    <w:rsid w:val="00D160F3"/>
    <w:rsid w:val="00D17B72"/>
    <w:rsid w:val="00D17E86"/>
    <w:rsid w:val="00D201E6"/>
    <w:rsid w:val="00D20FFB"/>
    <w:rsid w:val="00D23118"/>
    <w:rsid w:val="00D2517E"/>
    <w:rsid w:val="00D25CD7"/>
    <w:rsid w:val="00D3261D"/>
    <w:rsid w:val="00D33A08"/>
    <w:rsid w:val="00D35F06"/>
    <w:rsid w:val="00D36226"/>
    <w:rsid w:val="00D455D4"/>
    <w:rsid w:val="00D45E62"/>
    <w:rsid w:val="00D46A88"/>
    <w:rsid w:val="00D46DC4"/>
    <w:rsid w:val="00D5062B"/>
    <w:rsid w:val="00D53541"/>
    <w:rsid w:val="00D55E39"/>
    <w:rsid w:val="00D60633"/>
    <w:rsid w:val="00D620FF"/>
    <w:rsid w:val="00D63E1C"/>
    <w:rsid w:val="00D65A90"/>
    <w:rsid w:val="00D65BF3"/>
    <w:rsid w:val="00D73D35"/>
    <w:rsid w:val="00D74C34"/>
    <w:rsid w:val="00D761E4"/>
    <w:rsid w:val="00D7679A"/>
    <w:rsid w:val="00D76A3B"/>
    <w:rsid w:val="00D8118A"/>
    <w:rsid w:val="00D83505"/>
    <w:rsid w:val="00D872B1"/>
    <w:rsid w:val="00D91D07"/>
    <w:rsid w:val="00DA55F6"/>
    <w:rsid w:val="00DC1CC0"/>
    <w:rsid w:val="00DC273F"/>
    <w:rsid w:val="00DC38B8"/>
    <w:rsid w:val="00DC4475"/>
    <w:rsid w:val="00DC58C0"/>
    <w:rsid w:val="00DD3A2B"/>
    <w:rsid w:val="00DD61DE"/>
    <w:rsid w:val="00DD7094"/>
    <w:rsid w:val="00DE11A5"/>
    <w:rsid w:val="00DE25A0"/>
    <w:rsid w:val="00DE4E91"/>
    <w:rsid w:val="00DF0B35"/>
    <w:rsid w:val="00DF39D2"/>
    <w:rsid w:val="00DF56A7"/>
    <w:rsid w:val="00DF6BBB"/>
    <w:rsid w:val="00DF7125"/>
    <w:rsid w:val="00E017F3"/>
    <w:rsid w:val="00E01912"/>
    <w:rsid w:val="00E02FD6"/>
    <w:rsid w:val="00E04749"/>
    <w:rsid w:val="00E07A22"/>
    <w:rsid w:val="00E10161"/>
    <w:rsid w:val="00E14173"/>
    <w:rsid w:val="00E16674"/>
    <w:rsid w:val="00E21911"/>
    <w:rsid w:val="00E2417A"/>
    <w:rsid w:val="00E25B4B"/>
    <w:rsid w:val="00E26437"/>
    <w:rsid w:val="00E37F4B"/>
    <w:rsid w:val="00E411A9"/>
    <w:rsid w:val="00E4350D"/>
    <w:rsid w:val="00E4387D"/>
    <w:rsid w:val="00E43A22"/>
    <w:rsid w:val="00E47842"/>
    <w:rsid w:val="00E519A0"/>
    <w:rsid w:val="00E5325E"/>
    <w:rsid w:val="00E54CEB"/>
    <w:rsid w:val="00E557D7"/>
    <w:rsid w:val="00E55E85"/>
    <w:rsid w:val="00E55EED"/>
    <w:rsid w:val="00E560EA"/>
    <w:rsid w:val="00E62588"/>
    <w:rsid w:val="00E6313E"/>
    <w:rsid w:val="00E7396A"/>
    <w:rsid w:val="00E73FD6"/>
    <w:rsid w:val="00E74EFA"/>
    <w:rsid w:val="00E75850"/>
    <w:rsid w:val="00E76CD4"/>
    <w:rsid w:val="00E83F72"/>
    <w:rsid w:val="00E86CF4"/>
    <w:rsid w:val="00E90586"/>
    <w:rsid w:val="00E9183E"/>
    <w:rsid w:val="00E91C1D"/>
    <w:rsid w:val="00E936B6"/>
    <w:rsid w:val="00E94476"/>
    <w:rsid w:val="00E948E4"/>
    <w:rsid w:val="00E960BA"/>
    <w:rsid w:val="00E96C90"/>
    <w:rsid w:val="00E9768D"/>
    <w:rsid w:val="00E97ECD"/>
    <w:rsid w:val="00EA067A"/>
    <w:rsid w:val="00EA1A26"/>
    <w:rsid w:val="00EA2F92"/>
    <w:rsid w:val="00EA5A23"/>
    <w:rsid w:val="00EA7141"/>
    <w:rsid w:val="00EB27E9"/>
    <w:rsid w:val="00EB5774"/>
    <w:rsid w:val="00EB6169"/>
    <w:rsid w:val="00EB64CF"/>
    <w:rsid w:val="00EB74A3"/>
    <w:rsid w:val="00EC1F3E"/>
    <w:rsid w:val="00EC65CA"/>
    <w:rsid w:val="00ED2C01"/>
    <w:rsid w:val="00ED7B9C"/>
    <w:rsid w:val="00EE2467"/>
    <w:rsid w:val="00EE3131"/>
    <w:rsid w:val="00EE4528"/>
    <w:rsid w:val="00EE6D9A"/>
    <w:rsid w:val="00EE7426"/>
    <w:rsid w:val="00EF0027"/>
    <w:rsid w:val="00EF0F49"/>
    <w:rsid w:val="00EF26EB"/>
    <w:rsid w:val="00EF291C"/>
    <w:rsid w:val="00EF584E"/>
    <w:rsid w:val="00EF6329"/>
    <w:rsid w:val="00F007F5"/>
    <w:rsid w:val="00F01D4C"/>
    <w:rsid w:val="00F02277"/>
    <w:rsid w:val="00F02583"/>
    <w:rsid w:val="00F04C12"/>
    <w:rsid w:val="00F052B6"/>
    <w:rsid w:val="00F07ED4"/>
    <w:rsid w:val="00F115D4"/>
    <w:rsid w:val="00F14219"/>
    <w:rsid w:val="00F14A3D"/>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7A5E"/>
    <w:rsid w:val="00F62599"/>
    <w:rsid w:val="00F62A54"/>
    <w:rsid w:val="00F62C3C"/>
    <w:rsid w:val="00F63B47"/>
    <w:rsid w:val="00F64602"/>
    <w:rsid w:val="00F65701"/>
    <w:rsid w:val="00F7230C"/>
    <w:rsid w:val="00F74C22"/>
    <w:rsid w:val="00F80B2F"/>
    <w:rsid w:val="00F81D1A"/>
    <w:rsid w:val="00F81D6D"/>
    <w:rsid w:val="00F84389"/>
    <w:rsid w:val="00F851EC"/>
    <w:rsid w:val="00F854CA"/>
    <w:rsid w:val="00F855A7"/>
    <w:rsid w:val="00F85B52"/>
    <w:rsid w:val="00F86B1F"/>
    <w:rsid w:val="00F87AF0"/>
    <w:rsid w:val="00F94259"/>
    <w:rsid w:val="00F96F1F"/>
    <w:rsid w:val="00FA0025"/>
    <w:rsid w:val="00FA0E7F"/>
    <w:rsid w:val="00FA24B0"/>
    <w:rsid w:val="00FA4314"/>
    <w:rsid w:val="00FA45BB"/>
    <w:rsid w:val="00FA5099"/>
    <w:rsid w:val="00FA72FD"/>
    <w:rsid w:val="00FB04B7"/>
    <w:rsid w:val="00FB698B"/>
    <w:rsid w:val="00FC2F44"/>
    <w:rsid w:val="00FC62BC"/>
    <w:rsid w:val="00FC63D2"/>
    <w:rsid w:val="00FD1481"/>
    <w:rsid w:val="00FD30D6"/>
    <w:rsid w:val="00FD6378"/>
    <w:rsid w:val="00FE2612"/>
    <w:rsid w:val="00FE2DE8"/>
    <w:rsid w:val="00FE7F47"/>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655DA56"/>
  <w15:chartTrackingRefBased/>
  <w15:docId w15:val="{A4CD81B3-0C90-5049-935F-90106FACF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70306E"/>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customStyle="1" w:styleId="fig">
    <w:name w:val="fig"/>
    <w:basedOn w:val="Normal"/>
    <w:qFormat/>
    <w:rsid w:val="00A81CB3"/>
    <w:pPr>
      <w:spacing w:before="120" w:after="120"/>
    </w:pPr>
  </w:style>
  <w:style w:type="character" w:styleId="CommentReference">
    <w:name w:val="annotation reference"/>
    <w:uiPriority w:val="99"/>
    <w:semiHidden/>
    <w:unhideWhenUsed/>
    <w:rsid w:val="00A81CB3"/>
    <w:rPr>
      <w:sz w:val="16"/>
      <w:szCs w:val="16"/>
    </w:rPr>
  </w:style>
  <w:style w:type="character" w:styleId="Hyperlink">
    <w:name w:val="Hyperlink"/>
    <w:uiPriority w:val="99"/>
    <w:unhideWhenUsed/>
    <w:rsid w:val="006B5521"/>
    <w:rPr>
      <w:color w:val="0563C1"/>
      <w:u w:val="single"/>
    </w:rPr>
  </w:style>
  <w:style w:type="character" w:customStyle="1" w:styleId="UnresolvedMention1">
    <w:name w:val="Unresolved Mention1"/>
    <w:uiPriority w:val="99"/>
    <w:semiHidden/>
    <w:unhideWhenUsed/>
    <w:rsid w:val="006B5521"/>
    <w:rPr>
      <w:color w:val="605E5C"/>
      <w:shd w:val="clear" w:color="auto" w:fill="E1DFDD"/>
    </w:rPr>
  </w:style>
  <w:style w:type="paragraph" w:styleId="CommentText">
    <w:name w:val="annotation text"/>
    <w:basedOn w:val="Normal"/>
    <w:link w:val="CommentTextChar"/>
    <w:uiPriority w:val="99"/>
    <w:semiHidden/>
    <w:unhideWhenUsed/>
    <w:rsid w:val="006B5521"/>
    <w:pPr>
      <w:spacing w:after="200"/>
    </w:pPr>
    <w:rPr>
      <w:rFonts w:ascii="Cambria" w:hAnsi="Cambria"/>
      <w:sz w:val="20"/>
      <w:szCs w:val="20"/>
      <w:lang w:val="en-GB" w:eastAsia="en-US"/>
    </w:rPr>
  </w:style>
  <w:style w:type="character" w:customStyle="1" w:styleId="CommentTextChar">
    <w:name w:val="Comment Text Char"/>
    <w:link w:val="CommentText"/>
    <w:uiPriority w:val="99"/>
    <w:semiHidden/>
    <w:rsid w:val="006B5521"/>
    <w:rPr>
      <w:rFonts w:ascii="Cambria" w:hAnsi="Cambria"/>
    </w:rPr>
  </w:style>
  <w:style w:type="paragraph" w:styleId="CommentSubject">
    <w:name w:val="annotation subject"/>
    <w:basedOn w:val="CommentText"/>
    <w:next w:val="CommentText"/>
    <w:link w:val="CommentSubjectChar"/>
    <w:uiPriority w:val="99"/>
    <w:semiHidden/>
    <w:unhideWhenUsed/>
    <w:rsid w:val="00465C98"/>
    <w:pPr>
      <w:spacing w:after="0"/>
    </w:pPr>
    <w:rPr>
      <w:rFonts w:ascii="Times New Roman" w:hAnsi="Times New Roman"/>
      <w:b/>
      <w:bCs/>
      <w:lang w:val="de-DE" w:eastAsia="ja-JP"/>
    </w:rPr>
  </w:style>
  <w:style w:type="character" w:customStyle="1" w:styleId="CommentSubjectChar">
    <w:name w:val="Comment Subject Char"/>
    <w:link w:val="CommentSubject"/>
    <w:uiPriority w:val="99"/>
    <w:semiHidden/>
    <w:rsid w:val="00465C98"/>
    <w:rPr>
      <w:rFonts w:ascii="Cambria" w:hAnsi="Cambria"/>
      <w:b/>
      <w:bCs/>
      <w:lang w:val="de-DE" w:eastAsia="ja-JP"/>
    </w:rPr>
  </w:style>
  <w:style w:type="paragraph" w:styleId="Revision">
    <w:name w:val="Revision"/>
    <w:hidden/>
    <w:uiPriority w:val="99"/>
    <w:semiHidden/>
    <w:rsid w:val="002C6C30"/>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927010">
      <w:bodyDiv w:val="1"/>
      <w:marLeft w:val="0"/>
      <w:marRight w:val="0"/>
      <w:marTop w:val="0"/>
      <w:marBottom w:val="0"/>
      <w:divBdr>
        <w:top w:val="none" w:sz="0" w:space="0" w:color="auto"/>
        <w:left w:val="none" w:sz="0" w:space="0" w:color="auto"/>
        <w:bottom w:val="none" w:sz="0" w:space="0" w:color="auto"/>
        <w:right w:val="none" w:sz="0" w:space="0" w:color="auto"/>
      </w:divBdr>
      <w:divsChild>
        <w:div w:id="1937516617">
          <w:marLeft w:val="0"/>
          <w:marRight w:val="0"/>
          <w:marTop w:val="0"/>
          <w:marBottom w:val="0"/>
          <w:divBdr>
            <w:top w:val="none" w:sz="0" w:space="0" w:color="auto"/>
            <w:left w:val="none" w:sz="0" w:space="0" w:color="auto"/>
            <w:bottom w:val="none" w:sz="0" w:space="0" w:color="auto"/>
            <w:right w:val="none" w:sz="0" w:space="0" w:color="auto"/>
          </w:divBdr>
        </w:div>
        <w:div w:id="2115588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BE%20T2%20PL%20Paper\research_artic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4BD40-FA3F-4547-9914-2100F0A5A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D:\Dropbox\BE T2 PL Paper\research_article.dot</Template>
  <TotalTime>8</TotalTime>
  <Pages>5</Pages>
  <Words>15268</Words>
  <Characters>87032</Characters>
  <Application>Microsoft Office Word</Application>
  <DocSecurity>0</DocSecurity>
  <Lines>725</Lines>
  <Paragraphs>204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102096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Egleston, Benjamin</dc:creator>
  <cp:keywords/>
  <cp:lastModifiedBy>Luzyanin, Konstantin</cp:lastModifiedBy>
  <cp:revision>5</cp:revision>
  <cp:lastPrinted>2014-03-21T14:01:00Z</cp:lastPrinted>
  <dcterms:created xsi:type="dcterms:W3CDTF">2019-10-31T14:15:00Z</dcterms:created>
  <dcterms:modified xsi:type="dcterms:W3CDTF">2020-06-11T08:35:00Z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http://www.zotero.org/styles/angewandte-chemie</vt:lpwstr>
  </property>
  <property fmtid="{D5CDD505-2E9C-101B-9397-08002B2CF9AE}" pid="11" name="Mendeley Recent Style Name 4_1">
    <vt:lpwstr>Angewandte Chemie International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http://www.zotero.org/styles/university-of-york-apa</vt:lpwstr>
  </property>
  <property fmtid="{D5CDD505-2E9C-101B-9397-08002B2CF9AE}" pid="21" name="Mendeley Recent Style Name 9_1">
    <vt:lpwstr>University of York - American Psychological Association 6th edition</vt:lpwstr>
  </property>
  <property fmtid="{D5CDD505-2E9C-101B-9397-08002B2CF9AE}" pid="22" name="Mendeley Document_1">
    <vt:lpwstr>True</vt:lpwstr>
  </property>
  <property fmtid="{D5CDD505-2E9C-101B-9397-08002B2CF9AE}" pid="23" name="Mendeley Unique User Id_1">
    <vt:lpwstr>9bbb1de1-14d6-3b00-afdb-53b14f680758</vt:lpwstr>
  </property>
  <property fmtid="{D5CDD505-2E9C-101B-9397-08002B2CF9AE}" pid="24" name="Mendeley Citation Style_1">
    <vt:lpwstr>http://www.zotero.org/styles/angewandte-chemie</vt:lpwstr>
  </property>
</Properties>
</file>