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5A15" w14:textId="77777777" w:rsidR="00AC2AA1" w:rsidRPr="0091111D" w:rsidRDefault="00AC2AA1" w:rsidP="00AC2AA1">
      <w:pPr>
        <w:jc w:val="center"/>
        <w:rPr>
          <w:rFonts w:ascii="Arial" w:hAnsi="Arial" w:cs="Arial"/>
          <w:b/>
          <w:sz w:val="28"/>
        </w:rPr>
      </w:pPr>
      <w:r>
        <w:rPr>
          <w:rFonts w:ascii="Arial" w:hAnsi="Arial" w:cs="Arial"/>
          <w:b/>
          <w:sz w:val="28"/>
        </w:rPr>
        <w:t>Does social support affect older adults’ General Practitioner attendance rates? Findings from the North West Coast Household Health Survey</w:t>
      </w:r>
    </w:p>
    <w:p w14:paraId="76D893CB" w14:textId="77777777" w:rsidR="00AC2AA1" w:rsidRPr="0091111D" w:rsidRDefault="00AC2AA1" w:rsidP="00AC2AA1">
      <w:pPr>
        <w:jc w:val="center"/>
        <w:rPr>
          <w:rFonts w:ascii="Arial" w:hAnsi="Arial" w:cs="Arial"/>
          <w:b/>
        </w:rPr>
      </w:pPr>
      <w:r w:rsidRPr="0091111D">
        <w:rPr>
          <w:rFonts w:ascii="Arial" w:hAnsi="Arial" w:cs="Arial"/>
          <w:b/>
        </w:rPr>
        <w:t>Clarissa Giebel</w:t>
      </w:r>
      <w:r>
        <w:rPr>
          <w:rFonts w:ascii="Arial" w:hAnsi="Arial" w:cs="Arial"/>
          <w:b/>
        </w:rPr>
        <w:t>, PhD</w:t>
      </w:r>
      <w:r w:rsidRPr="0091111D">
        <w:rPr>
          <w:rFonts w:ascii="Arial" w:hAnsi="Arial" w:cs="Arial"/>
          <w:b/>
          <w:vertAlign w:val="superscript"/>
        </w:rPr>
        <w:t>1,</w:t>
      </w:r>
      <w:proofErr w:type="gramStart"/>
      <w:r w:rsidRPr="0091111D">
        <w:rPr>
          <w:rFonts w:ascii="Arial" w:hAnsi="Arial" w:cs="Arial"/>
          <w:b/>
          <w:vertAlign w:val="superscript"/>
        </w:rPr>
        <w:t>2,*</w:t>
      </w:r>
      <w:proofErr w:type="gramEnd"/>
      <w:r w:rsidRPr="0091111D">
        <w:rPr>
          <w:rFonts w:ascii="Arial" w:hAnsi="Arial" w:cs="Arial"/>
          <w:b/>
        </w:rPr>
        <w:t xml:space="preserve">, </w:t>
      </w:r>
      <w:r>
        <w:rPr>
          <w:rFonts w:ascii="Arial" w:hAnsi="Arial" w:cs="Arial"/>
          <w:b/>
        </w:rPr>
        <w:t>Sarah Rodgers, PhD</w:t>
      </w:r>
      <w:r>
        <w:rPr>
          <w:rFonts w:ascii="Arial" w:hAnsi="Arial" w:cs="Arial"/>
          <w:b/>
          <w:vertAlign w:val="superscript"/>
        </w:rPr>
        <w:t>1,2</w:t>
      </w:r>
      <w:r>
        <w:rPr>
          <w:rFonts w:ascii="Arial" w:hAnsi="Arial" w:cs="Arial"/>
          <w:b/>
        </w:rPr>
        <w:t xml:space="preserve">, </w:t>
      </w:r>
      <w:r w:rsidRPr="0091111D">
        <w:rPr>
          <w:rFonts w:ascii="Arial" w:hAnsi="Arial" w:cs="Arial"/>
          <w:b/>
        </w:rPr>
        <w:t>Ben Barr</w:t>
      </w:r>
      <w:r>
        <w:rPr>
          <w:rFonts w:ascii="Arial" w:hAnsi="Arial" w:cs="Arial"/>
          <w:b/>
        </w:rPr>
        <w:t>, PhD</w:t>
      </w:r>
      <w:r>
        <w:rPr>
          <w:rFonts w:ascii="Arial" w:hAnsi="Arial" w:cs="Arial"/>
          <w:b/>
          <w:vertAlign w:val="superscript"/>
        </w:rPr>
        <w:t>1</w:t>
      </w:r>
      <w:r w:rsidRPr="0091111D">
        <w:rPr>
          <w:rFonts w:ascii="Arial" w:hAnsi="Arial" w:cs="Arial"/>
          <w:b/>
          <w:vertAlign w:val="superscript"/>
        </w:rPr>
        <w:t>,</w:t>
      </w:r>
      <w:r>
        <w:rPr>
          <w:rFonts w:ascii="Arial" w:hAnsi="Arial" w:cs="Arial"/>
          <w:b/>
          <w:vertAlign w:val="superscript"/>
        </w:rPr>
        <w:t>2</w:t>
      </w:r>
      <w:r w:rsidRPr="0091111D">
        <w:rPr>
          <w:rFonts w:ascii="Arial" w:hAnsi="Arial" w:cs="Arial"/>
          <w:b/>
        </w:rPr>
        <w:t xml:space="preserve">, </w:t>
      </w:r>
      <w:r>
        <w:rPr>
          <w:rFonts w:ascii="Arial" w:hAnsi="Arial" w:cs="Arial"/>
          <w:b/>
        </w:rPr>
        <w:t>Brendan Collins, PhD</w:t>
      </w:r>
      <w:r>
        <w:rPr>
          <w:rFonts w:ascii="Arial" w:hAnsi="Arial" w:cs="Arial"/>
          <w:b/>
          <w:vertAlign w:val="superscript"/>
        </w:rPr>
        <w:t>1</w:t>
      </w:r>
      <w:r>
        <w:rPr>
          <w:rFonts w:ascii="Arial" w:hAnsi="Arial" w:cs="Arial"/>
          <w:b/>
        </w:rPr>
        <w:t xml:space="preserve">, </w:t>
      </w:r>
      <w:proofErr w:type="spellStart"/>
      <w:r w:rsidRPr="0091111D">
        <w:rPr>
          <w:rFonts w:ascii="Arial" w:hAnsi="Arial" w:cs="Arial"/>
          <w:b/>
        </w:rPr>
        <w:t>Asan</w:t>
      </w:r>
      <w:proofErr w:type="spellEnd"/>
      <w:r w:rsidRPr="0091111D">
        <w:rPr>
          <w:rFonts w:ascii="Arial" w:hAnsi="Arial" w:cs="Arial"/>
          <w:b/>
        </w:rPr>
        <w:t xml:space="preserve"> Akpan</w:t>
      </w:r>
      <w:r>
        <w:rPr>
          <w:rFonts w:ascii="Arial" w:hAnsi="Arial" w:cs="Arial"/>
          <w:b/>
        </w:rPr>
        <w:t>, PhD</w:t>
      </w:r>
      <w:r>
        <w:rPr>
          <w:rFonts w:ascii="Arial" w:hAnsi="Arial" w:cs="Arial"/>
          <w:b/>
          <w:vertAlign w:val="superscript"/>
        </w:rPr>
        <w:t>3,4,5</w:t>
      </w:r>
      <w:r w:rsidRPr="0091111D">
        <w:rPr>
          <w:rFonts w:ascii="Arial" w:hAnsi="Arial" w:cs="Arial"/>
          <w:b/>
        </w:rPr>
        <w:t xml:space="preserve">, </w:t>
      </w:r>
      <w:r>
        <w:rPr>
          <w:rFonts w:ascii="Arial" w:hAnsi="Arial" w:cs="Arial"/>
          <w:b/>
        </w:rPr>
        <w:t>Justine Shenton</w:t>
      </w:r>
      <w:r>
        <w:rPr>
          <w:rFonts w:ascii="Arial" w:hAnsi="Arial" w:cs="Arial"/>
          <w:b/>
          <w:vertAlign w:val="superscript"/>
        </w:rPr>
        <w:t>2</w:t>
      </w:r>
      <w:r>
        <w:rPr>
          <w:rFonts w:ascii="Arial" w:hAnsi="Arial" w:cs="Arial"/>
          <w:b/>
        </w:rPr>
        <w:t>, Elizabeth Fuller</w:t>
      </w:r>
      <w:r>
        <w:rPr>
          <w:rFonts w:ascii="Arial" w:hAnsi="Arial" w:cs="Arial"/>
          <w:b/>
          <w:vertAlign w:val="superscript"/>
        </w:rPr>
        <w:t>2</w:t>
      </w:r>
      <w:r>
        <w:rPr>
          <w:rFonts w:ascii="Arial" w:hAnsi="Arial" w:cs="Arial"/>
          <w:b/>
        </w:rPr>
        <w:t xml:space="preserve">, </w:t>
      </w:r>
      <w:r w:rsidRPr="0091111D">
        <w:rPr>
          <w:rFonts w:ascii="Arial" w:hAnsi="Arial" w:cs="Arial"/>
          <w:b/>
        </w:rPr>
        <w:t>Mark Gabbay</w:t>
      </w:r>
      <w:r>
        <w:rPr>
          <w:rFonts w:ascii="Arial" w:hAnsi="Arial" w:cs="Arial"/>
          <w:b/>
        </w:rPr>
        <w:t>, MD</w:t>
      </w:r>
      <w:r w:rsidRPr="0091111D">
        <w:rPr>
          <w:rFonts w:ascii="Arial" w:hAnsi="Arial" w:cs="Arial"/>
          <w:b/>
          <w:vertAlign w:val="superscript"/>
        </w:rPr>
        <w:t>1,2</w:t>
      </w:r>
    </w:p>
    <w:p w14:paraId="6DAACD7A" w14:textId="77777777" w:rsidR="00AC2AA1" w:rsidRDefault="00AC2AA1" w:rsidP="00AC2AA1">
      <w:pPr>
        <w:spacing w:after="0"/>
        <w:jc w:val="center"/>
        <w:rPr>
          <w:rFonts w:ascii="Arial" w:hAnsi="Arial" w:cs="Arial"/>
        </w:rPr>
      </w:pPr>
      <w:r>
        <w:rPr>
          <w:rFonts w:ascii="Arial" w:hAnsi="Arial" w:cs="Arial"/>
          <w:vertAlign w:val="superscript"/>
        </w:rPr>
        <w:t xml:space="preserve">1 </w:t>
      </w:r>
      <w:r>
        <w:rPr>
          <w:rFonts w:ascii="Arial" w:hAnsi="Arial" w:cs="Arial"/>
        </w:rPr>
        <w:t>Institute of Population Health Sciences, University of Liverpool, UK</w:t>
      </w:r>
    </w:p>
    <w:p w14:paraId="4C99AF8A" w14:textId="77777777" w:rsidR="00AC2AA1" w:rsidRDefault="00AC2AA1" w:rsidP="00AC2AA1">
      <w:pPr>
        <w:spacing w:after="0"/>
        <w:jc w:val="center"/>
        <w:rPr>
          <w:rFonts w:ascii="Arial" w:hAnsi="Arial" w:cs="Arial"/>
        </w:rPr>
      </w:pPr>
      <w:r>
        <w:rPr>
          <w:rFonts w:ascii="Arial" w:hAnsi="Arial" w:cs="Arial"/>
          <w:vertAlign w:val="superscript"/>
        </w:rPr>
        <w:t xml:space="preserve">2 </w:t>
      </w:r>
      <w:r>
        <w:rPr>
          <w:rFonts w:ascii="Arial" w:hAnsi="Arial" w:cs="Arial"/>
        </w:rPr>
        <w:t>NIHR ARC NWC, UK</w:t>
      </w:r>
    </w:p>
    <w:p w14:paraId="3EF02277" w14:textId="77777777" w:rsidR="00AC2AA1" w:rsidRDefault="00AC2AA1" w:rsidP="00AC2AA1">
      <w:pPr>
        <w:spacing w:after="0"/>
        <w:jc w:val="center"/>
        <w:rPr>
          <w:rFonts w:ascii="Arial" w:hAnsi="Arial" w:cs="Arial"/>
        </w:rPr>
      </w:pPr>
      <w:r>
        <w:rPr>
          <w:rFonts w:ascii="Arial" w:hAnsi="Arial" w:cs="Arial"/>
          <w:vertAlign w:val="superscript"/>
        </w:rPr>
        <w:t>3</w:t>
      </w:r>
      <w:r>
        <w:rPr>
          <w:rFonts w:ascii="Arial" w:hAnsi="Arial" w:cs="Arial"/>
        </w:rPr>
        <w:t xml:space="preserve">Institute of Ageing &amp; Chronic Disease, University of Liverpool &amp; </w:t>
      </w:r>
    </w:p>
    <w:p w14:paraId="1D670733" w14:textId="77777777" w:rsidR="00AC2AA1" w:rsidRDefault="00AC2AA1" w:rsidP="00AC2AA1">
      <w:pPr>
        <w:spacing w:after="0"/>
        <w:jc w:val="center"/>
        <w:rPr>
          <w:rFonts w:ascii="Arial" w:hAnsi="Arial" w:cs="Arial"/>
        </w:rPr>
      </w:pPr>
      <w:r>
        <w:rPr>
          <w:rFonts w:ascii="Arial" w:hAnsi="Arial" w:cs="Arial"/>
          <w:vertAlign w:val="superscript"/>
        </w:rPr>
        <w:t>4</w:t>
      </w:r>
      <w:r>
        <w:rPr>
          <w:rFonts w:ascii="Arial" w:hAnsi="Arial" w:cs="Arial"/>
        </w:rPr>
        <w:t>Aintree University Hospital, Liverpool, UK</w:t>
      </w:r>
    </w:p>
    <w:p w14:paraId="148BEC72" w14:textId="77777777" w:rsidR="00AC2AA1" w:rsidRPr="00935B12" w:rsidRDefault="00AC2AA1" w:rsidP="00AC2AA1">
      <w:pPr>
        <w:spacing w:after="0"/>
        <w:jc w:val="center"/>
        <w:rPr>
          <w:rFonts w:ascii="Arial" w:hAnsi="Arial" w:cs="Arial"/>
        </w:rPr>
      </w:pPr>
      <w:r>
        <w:rPr>
          <w:rFonts w:ascii="Arial" w:hAnsi="Arial" w:cs="Arial"/>
          <w:vertAlign w:val="superscript"/>
        </w:rPr>
        <w:t xml:space="preserve">5 </w:t>
      </w:r>
      <w:r>
        <w:rPr>
          <w:rFonts w:ascii="Arial" w:hAnsi="Arial" w:cs="Arial"/>
        </w:rPr>
        <w:t xml:space="preserve">NIHR CRN </w:t>
      </w:r>
      <w:proofErr w:type="gramStart"/>
      <w:r>
        <w:rPr>
          <w:rFonts w:ascii="Arial" w:hAnsi="Arial" w:cs="Arial"/>
        </w:rPr>
        <w:t>NWC,UK</w:t>
      </w:r>
      <w:proofErr w:type="gramEnd"/>
    </w:p>
    <w:p w14:paraId="56FA9EBD" w14:textId="77777777" w:rsidR="00AC2AA1" w:rsidRPr="00225016" w:rsidRDefault="00AC2AA1" w:rsidP="00AC2AA1">
      <w:pPr>
        <w:spacing w:after="0"/>
        <w:jc w:val="center"/>
        <w:rPr>
          <w:rFonts w:ascii="Arial" w:hAnsi="Arial" w:cs="Arial"/>
        </w:rPr>
      </w:pPr>
    </w:p>
    <w:p w14:paraId="67A8A3E1" w14:textId="77777777" w:rsidR="00AC2AA1" w:rsidRDefault="00AC2AA1" w:rsidP="00AC2AA1">
      <w:pPr>
        <w:jc w:val="center"/>
        <w:rPr>
          <w:rFonts w:ascii="Arial" w:hAnsi="Arial" w:cs="Arial"/>
        </w:rPr>
      </w:pPr>
    </w:p>
    <w:p w14:paraId="4BA3EC2B" w14:textId="77777777" w:rsidR="00AC2AA1" w:rsidRPr="0077509C" w:rsidRDefault="00AC2AA1" w:rsidP="00AC2AA1">
      <w:pPr>
        <w:rPr>
          <w:rFonts w:ascii="Arial" w:hAnsi="Arial" w:cs="Arial"/>
          <w:sz w:val="20"/>
        </w:rPr>
      </w:pPr>
      <w:r w:rsidRPr="0077509C">
        <w:rPr>
          <w:rFonts w:ascii="Arial" w:hAnsi="Arial" w:cs="Arial"/>
          <w:i/>
          <w:sz w:val="20"/>
        </w:rPr>
        <w:t>*Correspondence should be addressed to:</w:t>
      </w:r>
      <w:r>
        <w:rPr>
          <w:rFonts w:ascii="Arial" w:hAnsi="Arial" w:cs="Arial"/>
          <w:sz w:val="20"/>
        </w:rPr>
        <w:t xml:space="preserve"> Clarissa Giebel, Waterhouse Building B Block, University of Liverpool, Brownlow Street, Liverpool, L69 3GL. Email: </w:t>
      </w:r>
      <w:hyperlink r:id="rId8" w:history="1">
        <w:r w:rsidRPr="00F7651B">
          <w:rPr>
            <w:rStyle w:val="Hyperlink"/>
            <w:rFonts w:ascii="Arial" w:hAnsi="Arial" w:cs="Arial"/>
            <w:sz w:val="20"/>
          </w:rPr>
          <w:t>Clarissa.Giebel@liverpool.ac.uk</w:t>
        </w:r>
      </w:hyperlink>
      <w:r>
        <w:rPr>
          <w:rFonts w:ascii="Arial" w:hAnsi="Arial" w:cs="Arial"/>
          <w:sz w:val="20"/>
        </w:rPr>
        <w:t>, Tel.: +44 151 794 9966</w:t>
      </w:r>
    </w:p>
    <w:p w14:paraId="6AA80A01" w14:textId="77777777" w:rsidR="00AC2AA1" w:rsidRDefault="00AC2AA1" w:rsidP="00AC2AA1">
      <w:pPr>
        <w:jc w:val="center"/>
        <w:rPr>
          <w:rFonts w:ascii="Arial" w:hAnsi="Arial" w:cs="Arial"/>
        </w:rPr>
      </w:pPr>
    </w:p>
    <w:p w14:paraId="4B94C724" w14:textId="25A896CF" w:rsidR="00AC2AA1" w:rsidRDefault="00AC2AA1" w:rsidP="00AC2AA1"/>
    <w:p w14:paraId="4FAE37CC" w14:textId="699F7A94" w:rsidR="00AC2AA1" w:rsidRDefault="00AC2AA1" w:rsidP="00AC2AA1"/>
    <w:p w14:paraId="262E6811" w14:textId="5D5B2805" w:rsidR="00AC2AA1" w:rsidRDefault="00AC2AA1" w:rsidP="00AC2AA1"/>
    <w:p w14:paraId="0D1B2B79" w14:textId="665F8AC2" w:rsidR="00AC2AA1" w:rsidRDefault="00AC2AA1" w:rsidP="00AC2AA1"/>
    <w:p w14:paraId="7A5B3174" w14:textId="17852E72" w:rsidR="00AC2AA1" w:rsidRDefault="00AC2AA1" w:rsidP="00AC2AA1"/>
    <w:p w14:paraId="6B539644" w14:textId="00B89A28" w:rsidR="00AC2AA1" w:rsidRDefault="00AC2AA1" w:rsidP="00AC2AA1"/>
    <w:p w14:paraId="44FE8FED" w14:textId="74E4550E" w:rsidR="00AC2AA1" w:rsidRDefault="00AC2AA1" w:rsidP="00AC2AA1"/>
    <w:p w14:paraId="769FFD35" w14:textId="72C1D5A8" w:rsidR="00AC2AA1" w:rsidRDefault="00AC2AA1" w:rsidP="00AC2AA1"/>
    <w:p w14:paraId="112E9488" w14:textId="4304DAAE" w:rsidR="00AC2AA1" w:rsidRDefault="00AC2AA1" w:rsidP="00AC2AA1"/>
    <w:p w14:paraId="2C4624AC" w14:textId="19F99DB3" w:rsidR="00AC2AA1" w:rsidRDefault="00AC2AA1" w:rsidP="00AC2AA1"/>
    <w:p w14:paraId="18238CE2" w14:textId="26E07E10" w:rsidR="00AC2AA1" w:rsidRDefault="00AC2AA1" w:rsidP="00AC2AA1"/>
    <w:p w14:paraId="0D50FBFD" w14:textId="76DFDA05" w:rsidR="00AC2AA1" w:rsidRDefault="00AC2AA1" w:rsidP="00AC2AA1"/>
    <w:p w14:paraId="04BBEC1A" w14:textId="385D65B5" w:rsidR="00AC2AA1" w:rsidRDefault="00AC2AA1" w:rsidP="00AC2AA1"/>
    <w:p w14:paraId="7213966F" w14:textId="747F1DAD" w:rsidR="00AC2AA1" w:rsidRDefault="00AC2AA1" w:rsidP="00AC2AA1"/>
    <w:p w14:paraId="4BA271B4" w14:textId="31F0E9F9" w:rsidR="00AC2AA1" w:rsidRDefault="00AC2AA1" w:rsidP="00AC2AA1"/>
    <w:p w14:paraId="024CB84C" w14:textId="5446EFFC" w:rsidR="00AC2AA1" w:rsidRDefault="00AC2AA1" w:rsidP="00AC2AA1"/>
    <w:p w14:paraId="40716F1D" w14:textId="5AC090D6" w:rsidR="00AC2AA1" w:rsidRDefault="00AC2AA1" w:rsidP="00AC2AA1"/>
    <w:p w14:paraId="288151C3" w14:textId="042A6E86" w:rsidR="00AC2AA1" w:rsidRDefault="00AC2AA1" w:rsidP="00AC2AA1"/>
    <w:p w14:paraId="6ADEC57F" w14:textId="77777777" w:rsidR="00AC2AA1" w:rsidRDefault="00AC2AA1" w:rsidP="00AC2AA1"/>
    <w:p w14:paraId="2C8729E7" w14:textId="4855E89A" w:rsidR="007F3E19" w:rsidRDefault="007F3E19" w:rsidP="007F3E19">
      <w:pPr>
        <w:rPr>
          <w:rFonts w:ascii="Arial" w:hAnsi="Arial" w:cs="Arial"/>
          <w:b/>
          <w:sz w:val="24"/>
        </w:rPr>
      </w:pPr>
      <w:r>
        <w:rPr>
          <w:rFonts w:ascii="Arial" w:hAnsi="Arial" w:cs="Arial"/>
          <w:b/>
          <w:sz w:val="24"/>
        </w:rPr>
        <w:lastRenderedPageBreak/>
        <w:t>Abstract</w:t>
      </w:r>
      <w:r w:rsidR="0030636C">
        <w:rPr>
          <w:rFonts w:ascii="Arial" w:hAnsi="Arial" w:cs="Arial"/>
          <w:b/>
          <w:sz w:val="24"/>
        </w:rPr>
        <w:t xml:space="preserve"> </w:t>
      </w:r>
    </w:p>
    <w:p w14:paraId="19202B8E" w14:textId="334C6BC6" w:rsidR="008F6307" w:rsidRDefault="009B3A48" w:rsidP="00011654">
      <w:pPr>
        <w:jc w:val="both"/>
        <w:rPr>
          <w:rFonts w:ascii="Arial" w:hAnsi="Arial" w:cs="Arial"/>
        </w:rPr>
      </w:pPr>
      <w:r>
        <w:rPr>
          <w:rFonts w:ascii="Arial" w:hAnsi="Arial" w:cs="Arial"/>
          <w:b/>
        </w:rPr>
        <w:t>Objective</w:t>
      </w:r>
      <w:r w:rsidR="00011654" w:rsidRPr="00E94B5A">
        <w:rPr>
          <w:rFonts w:ascii="Arial" w:hAnsi="Arial" w:cs="Arial"/>
          <w:b/>
        </w:rPr>
        <w:t xml:space="preserve"> </w:t>
      </w:r>
      <w:r w:rsidR="00885B96">
        <w:rPr>
          <w:rFonts w:ascii="Arial" w:hAnsi="Arial" w:cs="Arial"/>
        </w:rPr>
        <w:t>The aim of this study was t</w:t>
      </w:r>
      <w:r w:rsidR="003A2711" w:rsidRPr="003A2711">
        <w:rPr>
          <w:rFonts w:ascii="Arial" w:hAnsi="Arial" w:cs="Arial"/>
        </w:rPr>
        <w:t xml:space="preserve">o </w:t>
      </w:r>
      <w:r w:rsidR="007A14F1" w:rsidRPr="003A2711">
        <w:rPr>
          <w:rFonts w:ascii="Arial" w:hAnsi="Arial" w:cs="Arial"/>
        </w:rPr>
        <w:t>explore</w:t>
      </w:r>
      <w:r w:rsidR="008F6307">
        <w:rPr>
          <w:rFonts w:ascii="Arial" w:hAnsi="Arial" w:cs="Arial"/>
        </w:rPr>
        <w:t xml:space="preserve"> whether social </w:t>
      </w:r>
      <w:r w:rsidR="00184633">
        <w:rPr>
          <w:rFonts w:ascii="Arial" w:hAnsi="Arial" w:cs="Arial"/>
        </w:rPr>
        <w:t>support</w:t>
      </w:r>
      <w:r w:rsidR="008F6307">
        <w:rPr>
          <w:rFonts w:ascii="Arial" w:hAnsi="Arial" w:cs="Arial"/>
        </w:rPr>
        <w:t xml:space="preserve"> </w:t>
      </w:r>
      <w:r w:rsidR="005F0E1F">
        <w:rPr>
          <w:rFonts w:ascii="Arial" w:hAnsi="Arial" w:cs="Arial"/>
        </w:rPr>
        <w:t xml:space="preserve">and socio-economic status have an </w:t>
      </w:r>
      <w:r w:rsidR="0098496D">
        <w:rPr>
          <w:rFonts w:ascii="Arial" w:hAnsi="Arial" w:cs="Arial"/>
        </w:rPr>
        <w:t>effect on</w:t>
      </w:r>
      <w:r w:rsidR="005F0E1F">
        <w:rPr>
          <w:rFonts w:ascii="Arial" w:hAnsi="Arial" w:cs="Arial"/>
        </w:rPr>
        <w:t xml:space="preserve"> </w:t>
      </w:r>
      <w:r w:rsidR="00E86F93">
        <w:rPr>
          <w:rFonts w:ascii="Arial" w:hAnsi="Arial" w:cs="Arial"/>
        </w:rPr>
        <w:t>primary care</w:t>
      </w:r>
      <w:r w:rsidR="005F0E1F">
        <w:rPr>
          <w:rFonts w:ascii="Arial" w:hAnsi="Arial" w:cs="Arial"/>
        </w:rPr>
        <w:t xml:space="preserve"> attendance</w:t>
      </w:r>
      <w:r w:rsidR="008F6307">
        <w:rPr>
          <w:rFonts w:ascii="Arial" w:hAnsi="Arial" w:cs="Arial"/>
        </w:rPr>
        <w:t xml:space="preserve"> in older adults</w:t>
      </w:r>
      <w:r w:rsidR="009463FD">
        <w:rPr>
          <w:rFonts w:ascii="Arial" w:hAnsi="Arial" w:cs="Arial"/>
        </w:rPr>
        <w:t xml:space="preserve"> (aged 65+)</w:t>
      </w:r>
      <w:r w:rsidR="007A14F1">
        <w:rPr>
          <w:rFonts w:ascii="Arial" w:hAnsi="Arial" w:cs="Arial"/>
        </w:rPr>
        <w:t>.</w:t>
      </w:r>
    </w:p>
    <w:p w14:paraId="5CEC565B" w14:textId="583C5B6E" w:rsidR="00441A4C" w:rsidRPr="00E30282" w:rsidRDefault="007A14F1" w:rsidP="006C5519">
      <w:pPr>
        <w:jc w:val="both"/>
        <w:rPr>
          <w:rFonts w:ascii="Arial" w:hAnsi="Arial" w:cs="Arial"/>
          <w:b/>
        </w:rPr>
      </w:pPr>
      <w:r>
        <w:rPr>
          <w:rFonts w:ascii="Arial" w:hAnsi="Arial" w:cs="Arial"/>
          <w:b/>
        </w:rPr>
        <w:t>Methods</w:t>
      </w:r>
      <w:r w:rsidR="00E30282">
        <w:rPr>
          <w:rFonts w:ascii="Arial" w:hAnsi="Arial" w:cs="Arial"/>
          <w:b/>
        </w:rPr>
        <w:t xml:space="preserve"> </w:t>
      </w:r>
      <w:r w:rsidR="00885B96" w:rsidRPr="007A14F1">
        <w:rPr>
          <w:rFonts w:ascii="Arial" w:hAnsi="Arial" w:cs="Arial"/>
        </w:rPr>
        <w:t xml:space="preserve">This study used data from the longitudinal </w:t>
      </w:r>
      <w:r w:rsidR="00885B96" w:rsidRPr="00E94B5A">
        <w:rPr>
          <w:rFonts w:ascii="Arial" w:hAnsi="Arial" w:cs="Arial"/>
        </w:rPr>
        <w:t>North West Coas</w:t>
      </w:r>
      <w:r w:rsidR="00885B96">
        <w:rPr>
          <w:rFonts w:ascii="Arial" w:hAnsi="Arial" w:cs="Arial"/>
        </w:rPr>
        <w:t>t (NWC) Household Health Survey (HHS) from</w:t>
      </w:r>
      <w:r w:rsidR="00885B96" w:rsidRPr="007A14F1">
        <w:rPr>
          <w:rFonts w:ascii="Arial" w:hAnsi="Arial" w:cs="Arial"/>
        </w:rPr>
        <w:t xml:space="preserve"> across 20 disadvantaged and 8 </w:t>
      </w:r>
      <w:r w:rsidR="00885B96">
        <w:rPr>
          <w:rFonts w:ascii="Arial" w:hAnsi="Arial" w:cs="Arial"/>
        </w:rPr>
        <w:t>less disadvantaged neighbourhoods.</w:t>
      </w:r>
      <w:r w:rsidR="00885B96">
        <w:rPr>
          <w:rFonts w:ascii="Arial" w:hAnsi="Arial" w:cs="Arial"/>
          <w:b/>
        </w:rPr>
        <w:t xml:space="preserve"> </w:t>
      </w:r>
      <w:r w:rsidR="00885B96">
        <w:rPr>
          <w:rFonts w:ascii="Arial" w:hAnsi="Arial" w:cs="Arial"/>
        </w:rPr>
        <w:t>D</w:t>
      </w:r>
      <w:r w:rsidR="00F44FB4">
        <w:rPr>
          <w:rFonts w:ascii="Arial" w:hAnsi="Arial" w:cs="Arial"/>
        </w:rPr>
        <w:t xml:space="preserve">ata </w:t>
      </w:r>
      <w:r w:rsidR="006C5519">
        <w:rPr>
          <w:rFonts w:ascii="Arial" w:hAnsi="Arial" w:cs="Arial"/>
        </w:rPr>
        <w:t xml:space="preserve">included the EQ-5D, social </w:t>
      </w:r>
      <w:r w:rsidR="00184633">
        <w:rPr>
          <w:rFonts w:ascii="Arial" w:hAnsi="Arial" w:cs="Arial"/>
        </w:rPr>
        <w:t>support</w:t>
      </w:r>
      <w:r w:rsidR="006C5519">
        <w:rPr>
          <w:rFonts w:ascii="Arial" w:hAnsi="Arial" w:cs="Arial"/>
        </w:rPr>
        <w:t xml:space="preserve">, frailty-related measures, healthcare utilisation, </w:t>
      </w:r>
      <w:r w:rsidR="00501C0A">
        <w:rPr>
          <w:rFonts w:ascii="Arial" w:hAnsi="Arial" w:cs="Arial"/>
        </w:rPr>
        <w:t>and</w:t>
      </w:r>
      <w:r w:rsidR="006C5519">
        <w:rPr>
          <w:rFonts w:ascii="Arial" w:hAnsi="Arial" w:cs="Arial"/>
        </w:rPr>
        <w:t xml:space="preserve"> th</w:t>
      </w:r>
      <w:r w:rsidR="00F520C9">
        <w:rPr>
          <w:rFonts w:ascii="Arial" w:hAnsi="Arial" w:cs="Arial"/>
        </w:rPr>
        <w:t>e Index of Multiple Deprivation (IMD)</w:t>
      </w:r>
      <w:r w:rsidR="006C5519">
        <w:rPr>
          <w:rFonts w:ascii="Arial" w:hAnsi="Arial" w:cs="Arial"/>
        </w:rPr>
        <w:t xml:space="preserve">. </w:t>
      </w:r>
      <w:r w:rsidR="00994D6F">
        <w:rPr>
          <w:rFonts w:ascii="Arial" w:hAnsi="Arial" w:cs="Arial"/>
        </w:rPr>
        <w:t>Principal component analysis was used to deri</w:t>
      </w:r>
      <w:r w:rsidR="005F0E1F">
        <w:rPr>
          <w:rFonts w:ascii="Arial" w:hAnsi="Arial" w:cs="Arial"/>
        </w:rPr>
        <w:t xml:space="preserve">ve a factor for social </w:t>
      </w:r>
      <w:r w:rsidR="00184633">
        <w:rPr>
          <w:rFonts w:ascii="Arial" w:hAnsi="Arial" w:cs="Arial"/>
        </w:rPr>
        <w:t>support</w:t>
      </w:r>
      <w:r w:rsidR="005F0E1F">
        <w:rPr>
          <w:rFonts w:ascii="Arial" w:hAnsi="Arial" w:cs="Arial"/>
        </w:rPr>
        <w:t>.</w:t>
      </w:r>
      <w:r w:rsidR="00D01D94">
        <w:rPr>
          <w:rFonts w:ascii="Arial" w:hAnsi="Arial" w:cs="Arial"/>
        </w:rPr>
        <w:t xml:space="preserve"> </w:t>
      </w:r>
      <w:r w:rsidR="00EF444C">
        <w:rPr>
          <w:rFonts w:ascii="Arial" w:hAnsi="Arial" w:cs="Arial"/>
        </w:rPr>
        <w:t>Poisson regression analysis</w:t>
      </w:r>
      <w:r w:rsidR="00D01D94">
        <w:rPr>
          <w:rFonts w:ascii="Arial" w:hAnsi="Arial" w:cs="Arial"/>
        </w:rPr>
        <w:t xml:space="preserve"> </w:t>
      </w:r>
      <w:r w:rsidR="00EF444C">
        <w:rPr>
          <w:rFonts w:ascii="Arial" w:hAnsi="Arial" w:cs="Arial"/>
        </w:rPr>
        <w:t>was employed</w:t>
      </w:r>
      <w:r w:rsidR="00994D6F">
        <w:rPr>
          <w:rFonts w:ascii="Arial" w:hAnsi="Arial" w:cs="Arial"/>
        </w:rPr>
        <w:t xml:space="preserve"> </w:t>
      </w:r>
      <w:r w:rsidR="00741B94">
        <w:rPr>
          <w:rFonts w:ascii="Arial" w:hAnsi="Arial" w:cs="Arial"/>
        </w:rPr>
        <w:t xml:space="preserve">to explore the effects of </w:t>
      </w:r>
      <w:r w:rsidR="001E3D91">
        <w:rPr>
          <w:rFonts w:ascii="Arial" w:hAnsi="Arial" w:cs="Arial"/>
        </w:rPr>
        <w:t xml:space="preserve">frailty, </w:t>
      </w:r>
      <w:r w:rsidR="00D01D94">
        <w:rPr>
          <w:rFonts w:ascii="Arial" w:hAnsi="Arial" w:cs="Arial"/>
        </w:rPr>
        <w:t>soci</w:t>
      </w:r>
      <w:r w:rsidR="00741B94">
        <w:rPr>
          <w:rFonts w:ascii="Arial" w:hAnsi="Arial" w:cs="Arial"/>
        </w:rPr>
        <w:t xml:space="preserve">al </w:t>
      </w:r>
      <w:r w:rsidR="00184633">
        <w:rPr>
          <w:rFonts w:ascii="Arial" w:hAnsi="Arial" w:cs="Arial"/>
        </w:rPr>
        <w:t>support</w:t>
      </w:r>
      <w:r w:rsidR="00741B94">
        <w:rPr>
          <w:rFonts w:ascii="Arial" w:hAnsi="Arial" w:cs="Arial"/>
        </w:rPr>
        <w:t>,</w:t>
      </w:r>
      <w:r w:rsidR="00D80E0A">
        <w:rPr>
          <w:rFonts w:ascii="Arial" w:hAnsi="Arial" w:cs="Arial"/>
        </w:rPr>
        <w:t xml:space="preserve"> </w:t>
      </w:r>
      <w:r w:rsidR="00E86F93">
        <w:rPr>
          <w:rFonts w:ascii="Arial" w:hAnsi="Arial" w:cs="Arial"/>
        </w:rPr>
        <w:t>General Practitioner (</w:t>
      </w:r>
      <w:r w:rsidR="00D80E0A">
        <w:rPr>
          <w:rFonts w:ascii="Arial" w:hAnsi="Arial" w:cs="Arial"/>
        </w:rPr>
        <w:t>GP</w:t>
      </w:r>
      <w:r w:rsidR="00E86F93">
        <w:rPr>
          <w:rFonts w:ascii="Arial" w:hAnsi="Arial" w:cs="Arial"/>
        </w:rPr>
        <w:t>)</w:t>
      </w:r>
      <w:r w:rsidR="00D01D94">
        <w:rPr>
          <w:rFonts w:ascii="Arial" w:hAnsi="Arial" w:cs="Arial"/>
        </w:rPr>
        <w:t xml:space="preserve"> distance, education</w:t>
      </w:r>
      <w:r w:rsidR="00994D6F">
        <w:rPr>
          <w:rFonts w:ascii="Arial" w:hAnsi="Arial" w:cs="Arial"/>
        </w:rPr>
        <w:t>,</w:t>
      </w:r>
      <w:r w:rsidR="00741B94">
        <w:rPr>
          <w:rFonts w:ascii="Arial" w:hAnsi="Arial" w:cs="Arial"/>
        </w:rPr>
        <w:t xml:space="preserve"> IMD,</w:t>
      </w:r>
      <w:r w:rsidR="00994D6F">
        <w:rPr>
          <w:rFonts w:ascii="Arial" w:hAnsi="Arial" w:cs="Arial"/>
        </w:rPr>
        <w:t xml:space="preserve"> living situation, </w:t>
      </w:r>
      <w:r w:rsidR="00D80E0A">
        <w:rPr>
          <w:rFonts w:ascii="Arial" w:hAnsi="Arial" w:cs="Arial"/>
        </w:rPr>
        <w:t>and depression</w:t>
      </w:r>
      <w:r w:rsidR="00EF444C">
        <w:rPr>
          <w:rFonts w:ascii="Arial" w:hAnsi="Arial" w:cs="Arial"/>
        </w:rPr>
        <w:t xml:space="preserve"> </w:t>
      </w:r>
      <w:r w:rsidR="00741B94">
        <w:rPr>
          <w:rFonts w:ascii="Arial" w:hAnsi="Arial" w:cs="Arial"/>
        </w:rPr>
        <w:t xml:space="preserve">on </w:t>
      </w:r>
      <w:r w:rsidR="001E2641">
        <w:rPr>
          <w:rFonts w:ascii="Arial" w:hAnsi="Arial" w:cs="Arial"/>
        </w:rPr>
        <w:t xml:space="preserve">the </w:t>
      </w:r>
      <w:r w:rsidR="00741B94">
        <w:rPr>
          <w:rFonts w:ascii="Arial" w:hAnsi="Arial" w:cs="Arial"/>
        </w:rPr>
        <w:t>number of GP attendances in the past 12 months</w:t>
      </w:r>
      <w:r w:rsidR="001E3D91">
        <w:rPr>
          <w:rFonts w:ascii="Arial" w:hAnsi="Arial" w:cs="Arial"/>
        </w:rPr>
        <w:t xml:space="preserve">. </w:t>
      </w:r>
    </w:p>
    <w:p w14:paraId="71B9C071" w14:textId="636D69A2" w:rsidR="00441A4C" w:rsidRPr="002E62C6" w:rsidRDefault="65037FF6" w:rsidP="65037FF6">
      <w:pPr>
        <w:jc w:val="both"/>
        <w:rPr>
          <w:rFonts w:ascii="Arial" w:hAnsi="Arial" w:cs="Arial"/>
        </w:rPr>
      </w:pPr>
      <w:r w:rsidRPr="65037FF6">
        <w:rPr>
          <w:rFonts w:ascii="Arial" w:hAnsi="Arial" w:cs="Arial"/>
          <w:b/>
          <w:bCs/>
        </w:rPr>
        <w:t xml:space="preserve">Results </w:t>
      </w:r>
      <w:r w:rsidRPr="65037FF6">
        <w:rPr>
          <w:rFonts w:ascii="Arial" w:hAnsi="Arial" w:cs="Arial"/>
        </w:rPr>
        <w:t xml:space="preserve">1,685 older adults were included in this analysis. </w:t>
      </w:r>
      <w:r w:rsidR="007A03E7">
        <w:rPr>
          <w:rFonts w:ascii="Arial" w:hAnsi="Arial" w:cs="Arial"/>
        </w:rPr>
        <w:t>Of</w:t>
      </w:r>
      <w:r w:rsidR="007908B8">
        <w:rPr>
          <w:rFonts w:ascii="Arial" w:hAnsi="Arial" w:cs="Arial"/>
        </w:rPr>
        <w:t xml:space="preserve"> those</w:t>
      </w:r>
      <w:r w:rsidR="0001714C">
        <w:rPr>
          <w:rFonts w:ascii="Arial" w:hAnsi="Arial" w:cs="Arial"/>
        </w:rPr>
        <w:t xml:space="preserve"> o</w:t>
      </w:r>
      <w:r w:rsidRPr="65037FF6">
        <w:rPr>
          <w:rFonts w:ascii="Arial" w:hAnsi="Arial" w:cs="Arial"/>
        </w:rPr>
        <w:t xml:space="preserve">lder adults </w:t>
      </w:r>
      <w:r w:rsidR="007908B8">
        <w:rPr>
          <w:rFonts w:ascii="Arial" w:hAnsi="Arial" w:cs="Arial"/>
        </w:rPr>
        <w:t>who</w:t>
      </w:r>
      <w:r w:rsidR="0001714C">
        <w:rPr>
          <w:rFonts w:ascii="Arial" w:hAnsi="Arial" w:cs="Arial"/>
        </w:rPr>
        <w:t xml:space="preserve"> </w:t>
      </w:r>
      <w:r w:rsidRPr="65037FF6">
        <w:rPr>
          <w:rFonts w:ascii="Arial" w:hAnsi="Arial" w:cs="Arial"/>
        </w:rPr>
        <w:t>visited their GP</w:t>
      </w:r>
      <w:r w:rsidR="0001714C">
        <w:rPr>
          <w:rFonts w:ascii="Arial" w:hAnsi="Arial" w:cs="Arial"/>
        </w:rPr>
        <w:t xml:space="preserve"> (</w:t>
      </w:r>
      <w:r w:rsidR="00301ECD">
        <w:rPr>
          <w:rFonts w:ascii="Arial" w:hAnsi="Arial" w:cs="Arial"/>
        </w:rPr>
        <w:t>87.4</w:t>
      </w:r>
      <w:r w:rsidR="007A03E7">
        <w:rPr>
          <w:rFonts w:ascii="Arial" w:hAnsi="Arial" w:cs="Arial"/>
        </w:rPr>
        <w:t xml:space="preserve">%), most had </w:t>
      </w:r>
      <w:r w:rsidR="0001714C">
        <w:rPr>
          <w:rFonts w:ascii="Arial" w:hAnsi="Arial" w:cs="Arial"/>
        </w:rPr>
        <w:t>visit</w:t>
      </w:r>
      <w:r w:rsidR="007A03E7">
        <w:rPr>
          <w:rFonts w:ascii="Arial" w:hAnsi="Arial" w:cs="Arial"/>
        </w:rPr>
        <w:t>ed</w:t>
      </w:r>
      <w:r w:rsidR="0001714C">
        <w:rPr>
          <w:rFonts w:ascii="Arial" w:hAnsi="Arial" w:cs="Arial"/>
        </w:rPr>
        <w:t xml:space="preserve"> </w:t>
      </w:r>
      <w:r w:rsidR="007A03E7">
        <w:rPr>
          <w:rFonts w:ascii="Arial" w:hAnsi="Arial" w:cs="Arial"/>
        </w:rPr>
        <w:t>their GP twice</w:t>
      </w:r>
      <w:r w:rsidRPr="65037FF6">
        <w:rPr>
          <w:rFonts w:ascii="Arial" w:hAnsi="Arial" w:cs="Arial"/>
        </w:rPr>
        <w:t xml:space="preserve"> in the past 12 months.</w:t>
      </w:r>
      <w:r w:rsidR="007A03E7">
        <w:rPr>
          <w:rFonts w:ascii="Arial" w:hAnsi="Arial" w:cs="Arial"/>
        </w:rPr>
        <w:t xml:space="preserve"> Having</w:t>
      </w:r>
      <w:r w:rsidRPr="65037FF6">
        <w:rPr>
          <w:rFonts w:ascii="Arial" w:hAnsi="Arial" w:cs="Arial"/>
        </w:rPr>
        <w:t xml:space="preserve"> an educational qualification, higher levels of social support, and being physic</w:t>
      </w:r>
      <w:r w:rsidR="007A03E7">
        <w:rPr>
          <w:rFonts w:ascii="Arial" w:hAnsi="Arial" w:cs="Arial"/>
        </w:rPr>
        <w:t>ally fit reduced GP utilisation</w:t>
      </w:r>
      <w:r w:rsidRPr="65037FF6">
        <w:rPr>
          <w:rFonts w:ascii="Arial" w:hAnsi="Arial" w:cs="Arial"/>
        </w:rPr>
        <w:t xml:space="preserve">. Being moderately frail, depressed, and living further away from the nearest GP increased </w:t>
      </w:r>
      <w:r w:rsidR="007A03E7">
        <w:rPr>
          <w:rFonts w:ascii="Arial" w:hAnsi="Arial" w:cs="Arial"/>
        </w:rPr>
        <w:t>attendance</w:t>
      </w:r>
      <w:r w:rsidRPr="65037FF6">
        <w:rPr>
          <w:rFonts w:ascii="Arial" w:hAnsi="Arial" w:cs="Arial"/>
        </w:rPr>
        <w:t xml:space="preserve">. </w:t>
      </w:r>
      <w:r w:rsidRPr="007A03E7">
        <w:rPr>
          <w:rFonts w:ascii="Arial" w:hAnsi="Arial" w:cs="Arial"/>
        </w:rPr>
        <w:t>Older adults living in the most disadvantaged neighbourhoods were more likely to visit their GP.</w:t>
      </w:r>
      <w:r w:rsidRPr="65037FF6">
        <w:rPr>
          <w:rFonts w:ascii="Arial" w:hAnsi="Arial" w:cs="Arial"/>
        </w:rPr>
        <w:t xml:space="preserve"> </w:t>
      </w:r>
    </w:p>
    <w:p w14:paraId="7E1891A7" w14:textId="02D2C4CB" w:rsidR="00441A4C" w:rsidRDefault="00441A4C" w:rsidP="00AE107F">
      <w:pPr>
        <w:jc w:val="both"/>
        <w:rPr>
          <w:rFonts w:ascii="Arial" w:hAnsi="Arial" w:cs="Arial"/>
        </w:rPr>
      </w:pPr>
      <w:r>
        <w:rPr>
          <w:rFonts w:ascii="Arial" w:hAnsi="Arial" w:cs="Arial"/>
          <w:b/>
        </w:rPr>
        <w:t>Conclusions</w:t>
      </w:r>
      <w:r w:rsidR="00AE107F">
        <w:rPr>
          <w:rFonts w:ascii="Arial" w:hAnsi="Arial" w:cs="Arial"/>
          <w:b/>
        </w:rPr>
        <w:t xml:space="preserve"> </w:t>
      </w:r>
      <w:r w:rsidR="00B72844">
        <w:rPr>
          <w:rFonts w:ascii="Arial" w:hAnsi="Arial" w:cs="Arial"/>
        </w:rPr>
        <w:t>Increasing social support</w:t>
      </w:r>
      <w:r w:rsidR="009463FD">
        <w:rPr>
          <w:rFonts w:ascii="Arial" w:hAnsi="Arial" w:cs="Arial"/>
        </w:rPr>
        <w:t xml:space="preserve"> </w:t>
      </w:r>
      <w:r w:rsidR="00B72844">
        <w:rPr>
          <w:rFonts w:ascii="Arial" w:hAnsi="Arial" w:cs="Arial"/>
        </w:rPr>
        <w:t>impact</w:t>
      </w:r>
      <w:r w:rsidR="00967830">
        <w:rPr>
          <w:rFonts w:ascii="Arial" w:hAnsi="Arial" w:cs="Arial"/>
        </w:rPr>
        <w:t>s</w:t>
      </w:r>
      <w:r w:rsidR="00B72844">
        <w:rPr>
          <w:rFonts w:ascii="Arial" w:hAnsi="Arial" w:cs="Arial"/>
        </w:rPr>
        <w:t xml:space="preserve"> to a small</w:t>
      </w:r>
      <w:r w:rsidR="00967830">
        <w:rPr>
          <w:rFonts w:ascii="Arial" w:hAnsi="Arial" w:cs="Arial"/>
        </w:rPr>
        <w:t>, but important,</w:t>
      </w:r>
      <w:r w:rsidR="00B72844">
        <w:rPr>
          <w:rFonts w:ascii="Arial" w:hAnsi="Arial" w:cs="Arial"/>
        </w:rPr>
        <w:t xml:space="preserve"> extent on reducing GP attendance in older adults. Future research needs to explore whether improving social support in </w:t>
      </w:r>
      <w:r w:rsidR="00A85802">
        <w:rPr>
          <w:rFonts w:ascii="Arial" w:hAnsi="Arial" w:cs="Arial"/>
        </w:rPr>
        <w:t>old</w:t>
      </w:r>
      <w:r w:rsidR="00B72844">
        <w:rPr>
          <w:rFonts w:ascii="Arial" w:hAnsi="Arial" w:cs="Arial"/>
        </w:rPr>
        <w:t xml:space="preserve"> age can </w:t>
      </w:r>
      <w:r w:rsidR="00501C0A">
        <w:rPr>
          <w:rFonts w:ascii="Arial" w:hAnsi="Arial" w:cs="Arial"/>
        </w:rPr>
        <w:t xml:space="preserve">reduce </w:t>
      </w:r>
      <w:r w:rsidR="00B72844">
        <w:rPr>
          <w:rFonts w:ascii="Arial" w:hAnsi="Arial" w:cs="Arial"/>
        </w:rPr>
        <w:t>GP utilisation.</w:t>
      </w:r>
    </w:p>
    <w:p w14:paraId="607DE486" w14:textId="0448DBC6" w:rsidR="002066C1" w:rsidRPr="002066C1" w:rsidRDefault="002066C1" w:rsidP="00AE107F">
      <w:pPr>
        <w:jc w:val="both"/>
        <w:rPr>
          <w:rFonts w:ascii="Arial" w:hAnsi="Arial" w:cs="Arial"/>
        </w:rPr>
      </w:pPr>
      <w:r>
        <w:rPr>
          <w:rFonts w:ascii="Arial" w:hAnsi="Arial" w:cs="Arial"/>
          <w:b/>
        </w:rPr>
        <w:t xml:space="preserve">Clinical Implications: </w:t>
      </w:r>
      <w:r>
        <w:rPr>
          <w:rFonts w:ascii="Arial" w:hAnsi="Arial" w:cs="Arial"/>
        </w:rPr>
        <w:t>Findings suggest a need for improving social prescribing in older adults to reduce some GP visits which could be avoided and might not be necessary.</w:t>
      </w:r>
    </w:p>
    <w:p w14:paraId="0F98B55F" w14:textId="77777777" w:rsidR="00F44FB4" w:rsidRDefault="00F44FB4" w:rsidP="007F3E19">
      <w:pPr>
        <w:rPr>
          <w:rFonts w:ascii="Arial" w:hAnsi="Arial" w:cs="Arial"/>
          <w:b/>
        </w:rPr>
      </w:pPr>
    </w:p>
    <w:p w14:paraId="7072C12B" w14:textId="7C400F13" w:rsidR="00F44FB4" w:rsidRPr="00F44FB4" w:rsidRDefault="00F44FB4" w:rsidP="007F3E19">
      <w:pPr>
        <w:rPr>
          <w:rFonts w:ascii="Arial" w:hAnsi="Arial" w:cs="Arial"/>
        </w:rPr>
      </w:pPr>
      <w:r>
        <w:rPr>
          <w:rFonts w:ascii="Arial" w:hAnsi="Arial" w:cs="Arial"/>
          <w:b/>
        </w:rPr>
        <w:t xml:space="preserve">Keywords: </w:t>
      </w:r>
      <w:r>
        <w:rPr>
          <w:rFonts w:ascii="Arial" w:hAnsi="Arial" w:cs="Arial"/>
        </w:rPr>
        <w:t xml:space="preserve">older adults; healthcare utilisation; health inequalities; </w:t>
      </w:r>
      <w:r w:rsidR="003D4E71">
        <w:rPr>
          <w:rFonts w:ascii="Arial" w:hAnsi="Arial" w:cs="Arial"/>
        </w:rPr>
        <w:t xml:space="preserve">social </w:t>
      </w:r>
      <w:r w:rsidR="00184633">
        <w:rPr>
          <w:rFonts w:ascii="Arial" w:hAnsi="Arial" w:cs="Arial"/>
        </w:rPr>
        <w:t>support</w:t>
      </w:r>
      <w:r w:rsidR="008261CB">
        <w:rPr>
          <w:rFonts w:ascii="Arial" w:hAnsi="Arial" w:cs="Arial"/>
        </w:rPr>
        <w:t>; frailty; health economics</w:t>
      </w:r>
    </w:p>
    <w:p w14:paraId="7D698FA5" w14:textId="77777777" w:rsidR="007F3E19" w:rsidRDefault="007F3E19" w:rsidP="007F3E19">
      <w:pPr>
        <w:rPr>
          <w:rFonts w:ascii="Arial" w:hAnsi="Arial" w:cs="Arial"/>
          <w:b/>
          <w:sz w:val="24"/>
        </w:rPr>
      </w:pPr>
    </w:p>
    <w:p w14:paraId="55B8A50D" w14:textId="77777777" w:rsidR="007F3E19" w:rsidRDefault="007F3E19" w:rsidP="007F3E19">
      <w:pPr>
        <w:rPr>
          <w:rFonts w:ascii="Arial" w:hAnsi="Arial" w:cs="Arial"/>
          <w:b/>
          <w:sz w:val="24"/>
        </w:rPr>
      </w:pPr>
    </w:p>
    <w:p w14:paraId="27A0C428" w14:textId="77777777" w:rsidR="007F3E19" w:rsidRDefault="007F3E19" w:rsidP="007F3E19">
      <w:pPr>
        <w:rPr>
          <w:rFonts w:ascii="Arial" w:hAnsi="Arial" w:cs="Arial"/>
          <w:b/>
          <w:sz w:val="24"/>
        </w:rPr>
      </w:pPr>
    </w:p>
    <w:p w14:paraId="50550141" w14:textId="06DED67C" w:rsidR="007F3E19" w:rsidRDefault="007F3E19" w:rsidP="007F3E19">
      <w:pPr>
        <w:rPr>
          <w:rFonts w:ascii="Arial" w:hAnsi="Arial" w:cs="Arial"/>
          <w:b/>
          <w:sz w:val="24"/>
        </w:rPr>
      </w:pPr>
    </w:p>
    <w:p w14:paraId="2DD708B2" w14:textId="03E52BF5" w:rsidR="007A03E7" w:rsidRDefault="007A03E7" w:rsidP="007F3E19">
      <w:pPr>
        <w:rPr>
          <w:rFonts w:ascii="Arial" w:hAnsi="Arial" w:cs="Arial"/>
          <w:b/>
          <w:sz w:val="24"/>
        </w:rPr>
      </w:pPr>
    </w:p>
    <w:p w14:paraId="09D41B3E" w14:textId="77777777" w:rsidR="007A03E7" w:rsidRDefault="007A03E7" w:rsidP="007F3E19">
      <w:pPr>
        <w:rPr>
          <w:rFonts w:ascii="Arial" w:hAnsi="Arial" w:cs="Arial"/>
          <w:b/>
          <w:sz w:val="24"/>
        </w:rPr>
      </w:pPr>
    </w:p>
    <w:p w14:paraId="681E09BB" w14:textId="77777777" w:rsidR="007F3E19" w:rsidRDefault="007F3E19" w:rsidP="007F3E19">
      <w:pPr>
        <w:rPr>
          <w:rFonts w:ascii="Arial" w:hAnsi="Arial" w:cs="Arial"/>
          <w:b/>
          <w:sz w:val="24"/>
        </w:rPr>
      </w:pPr>
    </w:p>
    <w:p w14:paraId="7AB7427D" w14:textId="74CF7C96" w:rsidR="00341FCC" w:rsidRDefault="00341FCC" w:rsidP="007F3E19">
      <w:pPr>
        <w:rPr>
          <w:rFonts w:ascii="Arial" w:hAnsi="Arial" w:cs="Arial"/>
          <w:b/>
          <w:sz w:val="24"/>
        </w:rPr>
      </w:pPr>
    </w:p>
    <w:p w14:paraId="56EB7E00" w14:textId="77777777" w:rsidR="009463FD" w:rsidRDefault="009463FD" w:rsidP="007F3E19">
      <w:pPr>
        <w:rPr>
          <w:rFonts w:ascii="Arial" w:hAnsi="Arial" w:cs="Arial"/>
          <w:b/>
          <w:sz w:val="24"/>
        </w:rPr>
      </w:pPr>
    </w:p>
    <w:p w14:paraId="637EA4D4" w14:textId="77777777" w:rsidR="00341FCC" w:rsidRDefault="00341FCC" w:rsidP="007F3E19">
      <w:pPr>
        <w:rPr>
          <w:rFonts w:ascii="Arial" w:hAnsi="Arial" w:cs="Arial"/>
          <w:b/>
          <w:sz w:val="24"/>
        </w:rPr>
      </w:pPr>
    </w:p>
    <w:p w14:paraId="205FB9D3" w14:textId="159F69C6" w:rsidR="00D01D94" w:rsidRDefault="00D01D94" w:rsidP="007F3E19">
      <w:pPr>
        <w:rPr>
          <w:rFonts w:ascii="Arial" w:hAnsi="Arial" w:cs="Arial"/>
          <w:b/>
          <w:sz w:val="24"/>
        </w:rPr>
      </w:pPr>
    </w:p>
    <w:p w14:paraId="1FA9A00E" w14:textId="77777777" w:rsidR="00F520C9" w:rsidRDefault="00F520C9" w:rsidP="007F3E19">
      <w:pPr>
        <w:rPr>
          <w:rFonts w:ascii="Arial" w:hAnsi="Arial" w:cs="Arial"/>
          <w:b/>
          <w:sz w:val="24"/>
        </w:rPr>
      </w:pPr>
    </w:p>
    <w:p w14:paraId="63683315" w14:textId="4351C666" w:rsidR="007F3E19" w:rsidRDefault="007F3E19" w:rsidP="007F3E19">
      <w:pPr>
        <w:rPr>
          <w:rFonts w:ascii="Arial" w:hAnsi="Arial" w:cs="Arial"/>
          <w:b/>
          <w:sz w:val="24"/>
        </w:rPr>
      </w:pPr>
    </w:p>
    <w:p w14:paraId="5E674EBE" w14:textId="686D28FB" w:rsidR="007F3E19" w:rsidRDefault="00C238C2" w:rsidP="007F3E19">
      <w:pPr>
        <w:rPr>
          <w:rFonts w:ascii="Arial" w:hAnsi="Arial" w:cs="Arial"/>
          <w:b/>
          <w:sz w:val="24"/>
        </w:rPr>
      </w:pPr>
      <w:r>
        <w:rPr>
          <w:rFonts w:ascii="Arial" w:hAnsi="Arial" w:cs="Arial"/>
          <w:b/>
          <w:sz w:val="24"/>
        </w:rPr>
        <w:lastRenderedPageBreak/>
        <w:t>Introduction</w:t>
      </w:r>
    </w:p>
    <w:p w14:paraId="3C44AB69" w14:textId="33375A78" w:rsidR="00011654" w:rsidRDefault="006F2E5F" w:rsidP="00011654">
      <w:pPr>
        <w:spacing w:after="0" w:line="360" w:lineRule="auto"/>
        <w:jc w:val="both"/>
        <w:rPr>
          <w:rFonts w:ascii="Arial" w:hAnsi="Arial" w:cs="Arial"/>
        </w:rPr>
      </w:pPr>
      <w:r>
        <w:rPr>
          <w:rFonts w:ascii="Arial" w:hAnsi="Arial" w:cs="Arial"/>
        </w:rPr>
        <w:t xml:space="preserve">With an ageing population, and over </w:t>
      </w:r>
      <w:r w:rsidR="0089715E">
        <w:rPr>
          <w:rFonts w:ascii="Arial" w:hAnsi="Arial" w:cs="Arial"/>
        </w:rPr>
        <w:t>12</w:t>
      </w:r>
      <w:r>
        <w:rPr>
          <w:rFonts w:ascii="Arial" w:hAnsi="Arial" w:cs="Arial"/>
        </w:rPr>
        <w:t xml:space="preserve"> million older adults living in </w:t>
      </w:r>
      <w:r w:rsidR="0089715E">
        <w:rPr>
          <w:rFonts w:ascii="Arial" w:hAnsi="Arial" w:cs="Arial"/>
        </w:rPr>
        <w:t>the UK</w:t>
      </w:r>
      <w:r>
        <w:rPr>
          <w:rFonts w:ascii="Arial" w:hAnsi="Arial" w:cs="Arial"/>
        </w:rPr>
        <w:t xml:space="preserve"> in 201</w:t>
      </w:r>
      <w:r w:rsidR="00072054">
        <w:rPr>
          <w:rFonts w:ascii="Arial" w:hAnsi="Arial" w:cs="Arial"/>
        </w:rPr>
        <w:t>8</w:t>
      </w:r>
      <w:r>
        <w:rPr>
          <w:rFonts w:ascii="Arial" w:hAnsi="Arial" w:cs="Arial"/>
        </w:rPr>
        <w:t xml:space="preserve"> (</w:t>
      </w:r>
      <w:r w:rsidR="00842A01">
        <w:rPr>
          <w:rFonts w:ascii="Arial" w:hAnsi="Arial" w:cs="Arial"/>
        </w:rPr>
        <w:t>1</w:t>
      </w:r>
      <w:r w:rsidR="00072054">
        <w:rPr>
          <w:rFonts w:ascii="Arial" w:hAnsi="Arial" w:cs="Arial"/>
        </w:rPr>
        <w:t>8</w:t>
      </w:r>
      <w:r w:rsidR="00842A01">
        <w:rPr>
          <w:rFonts w:ascii="Arial" w:hAnsi="Arial" w:cs="Arial"/>
        </w:rPr>
        <w:t>% of the general population)</w:t>
      </w:r>
      <w:r w:rsidR="00E65DE4">
        <w:rPr>
          <w:rFonts w:ascii="Arial" w:hAnsi="Arial" w:cs="Arial"/>
        </w:rPr>
        <w:t xml:space="preserve"> </w:t>
      </w:r>
      <w:r w:rsidR="0044030D">
        <w:rPr>
          <w:rFonts w:ascii="Arial" w:hAnsi="Arial" w:cs="Arial"/>
        </w:rPr>
        <w:t>(ONS, 201</w:t>
      </w:r>
      <w:r w:rsidR="0089715E">
        <w:rPr>
          <w:rFonts w:ascii="Arial" w:hAnsi="Arial" w:cs="Arial"/>
        </w:rPr>
        <w:t>9</w:t>
      </w:r>
      <w:r w:rsidR="0044030D">
        <w:rPr>
          <w:rFonts w:ascii="Arial" w:hAnsi="Arial" w:cs="Arial"/>
        </w:rPr>
        <w:t>)</w:t>
      </w:r>
      <w:r>
        <w:rPr>
          <w:rFonts w:ascii="Arial" w:hAnsi="Arial" w:cs="Arial"/>
        </w:rPr>
        <w:t xml:space="preserve">, </w:t>
      </w:r>
      <w:r w:rsidR="00D7082E">
        <w:rPr>
          <w:rFonts w:ascii="Arial" w:hAnsi="Arial" w:cs="Arial"/>
        </w:rPr>
        <w:t xml:space="preserve">age-related causes of </w:t>
      </w:r>
      <w:r>
        <w:rPr>
          <w:rFonts w:ascii="Arial" w:hAnsi="Arial" w:cs="Arial"/>
        </w:rPr>
        <w:t>healthcare service</w:t>
      </w:r>
      <w:r w:rsidR="00540ADE">
        <w:rPr>
          <w:rFonts w:ascii="Arial" w:hAnsi="Arial" w:cs="Arial"/>
        </w:rPr>
        <w:t>s</w:t>
      </w:r>
      <w:r>
        <w:rPr>
          <w:rFonts w:ascii="Arial" w:hAnsi="Arial" w:cs="Arial"/>
        </w:rPr>
        <w:t xml:space="preserve"> attendance</w:t>
      </w:r>
      <w:r w:rsidR="00B45914">
        <w:rPr>
          <w:rFonts w:ascii="Arial" w:hAnsi="Arial" w:cs="Arial"/>
        </w:rPr>
        <w:t xml:space="preserve"> </w:t>
      </w:r>
      <w:r w:rsidR="00D7082E">
        <w:rPr>
          <w:rFonts w:ascii="Arial" w:hAnsi="Arial" w:cs="Arial"/>
        </w:rPr>
        <w:t xml:space="preserve">are increasing </w:t>
      </w:r>
      <w:r w:rsidR="0044030D">
        <w:rPr>
          <w:rFonts w:ascii="Arial" w:hAnsi="Arial" w:cs="Arial"/>
        </w:rPr>
        <w:t>(Reeves et al., 2018)</w:t>
      </w:r>
      <w:r>
        <w:rPr>
          <w:rFonts w:ascii="Arial" w:hAnsi="Arial" w:cs="Arial"/>
        </w:rPr>
        <w:t xml:space="preserve">. In particular, only half of older adults in England and Wales have reported very good or good health, compared to 88 percent of people aged under 65 </w:t>
      </w:r>
      <w:r w:rsidR="0044030D">
        <w:rPr>
          <w:rFonts w:ascii="Arial" w:hAnsi="Arial" w:cs="Arial"/>
        </w:rPr>
        <w:t>(ONS, 2011)</w:t>
      </w:r>
      <w:r>
        <w:rPr>
          <w:rFonts w:ascii="Arial" w:hAnsi="Arial" w:cs="Arial"/>
        </w:rPr>
        <w:t xml:space="preserve">. </w:t>
      </w:r>
    </w:p>
    <w:p w14:paraId="3170B390" w14:textId="138284FA" w:rsidR="007F3E19" w:rsidRPr="00F14F6B" w:rsidRDefault="00985A73" w:rsidP="00B972ED">
      <w:pPr>
        <w:spacing w:after="0" w:line="360" w:lineRule="auto"/>
        <w:ind w:firstLine="720"/>
        <w:jc w:val="both"/>
        <w:rPr>
          <w:rFonts w:ascii="Arial" w:hAnsi="Arial" w:cs="Arial"/>
        </w:rPr>
      </w:pPr>
      <w:r>
        <w:rPr>
          <w:rFonts w:ascii="Arial" w:hAnsi="Arial" w:cs="Arial"/>
        </w:rPr>
        <w:t xml:space="preserve">Older adults </w:t>
      </w:r>
      <w:r w:rsidR="005B05FF">
        <w:rPr>
          <w:rFonts w:ascii="Arial" w:hAnsi="Arial" w:cs="Arial"/>
        </w:rPr>
        <w:t xml:space="preserve">(OAs) </w:t>
      </w:r>
      <w:r w:rsidR="00AA7481">
        <w:rPr>
          <w:rFonts w:ascii="Arial" w:hAnsi="Arial" w:cs="Arial"/>
        </w:rPr>
        <w:t>frequently experience a number of mental and physical health problems</w:t>
      </w:r>
      <w:r w:rsidR="00E65DE4">
        <w:rPr>
          <w:rFonts w:ascii="Arial" w:hAnsi="Arial" w:cs="Arial"/>
        </w:rPr>
        <w:t xml:space="preserve"> </w:t>
      </w:r>
      <w:r w:rsidR="00F359E7">
        <w:rPr>
          <w:rFonts w:ascii="Arial" w:hAnsi="Arial" w:cs="Arial"/>
        </w:rPr>
        <w:t>(</w:t>
      </w:r>
      <w:proofErr w:type="spellStart"/>
      <w:r w:rsidR="00F359E7">
        <w:rPr>
          <w:rFonts w:ascii="Arial" w:hAnsi="Arial" w:cs="Arial"/>
        </w:rPr>
        <w:t>Legramante</w:t>
      </w:r>
      <w:proofErr w:type="spellEnd"/>
      <w:r w:rsidR="00F359E7">
        <w:rPr>
          <w:rFonts w:ascii="Arial" w:hAnsi="Arial" w:cs="Arial"/>
        </w:rPr>
        <w:t xml:space="preserve"> et al., 2016)</w:t>
      </w:r>
      <w:r>
        <w:rPr>
          <w:rFonts w:ascii="Arial" w:hAnsi="Arial" w:cs="Arial"/>
        </w:rPr>
        <w:t xml:space="preserve">, </w:t>
      </w:r>
      <w:r w:rsidR="00975FF5">
        <w:rPr>
          <w:rFonts w:ascii="Arial" w:hAnsi="Arial" w:cs="Arial"/>
        </w:rPr>
        <w:t>which result</w:t>
      </w:r>
      <w:r w:rsidR="00C638F8">
        <w:rPr>
          <w:rFonts w:ascii="Arial" w:hAnsi="Arial" w:cs="Arial"/>
        </w:rPr>
        <w:t xml:space="preserve"> in </w:t>
      </w:r>
      <w:r w:rsidR="003A5F91">
        <w:rPr>
          <w:rFonts w:ascii="Arial" w:hAnsi="Arial" w:cs="Arial"/>
        </w:rPr>
        <w:t>higher</w:t>
      </w:r>
      <w:r w:rsidR="00C638F8">
        <w:rPr>
          <w:rFonts w:ascii="Arial" w:hAnsi="Arial" w:cs="Arial"/>
        </w:rPr>
        <w:t xml:space="preserve"> healthcare service usage. F</w:t>
      </w:r>
      <w:r w:rsidR="000A0A3D">
        <w:rPr>
          <w:rFonts w:ascii="Arial" w:hAnsi="Arial" w:cs="Arial"/>
        </w:rPr>
        <w:t xml:space="preserve">railty is a </w:t>
      </w:r>
      <w:r>
        <w:rPr>
          <w:rFonts w:ascii="Arial" w:hAnsi="Arial" w:cs="Arial"/>
        </w:rPr>
        <w:t xml:space="preserve">particularly </w:t>
      </w:r>
      <w:r w:rsidR="000A0A3D">
        <w:rPr>
          <w:rFonts w:ascii="Arial" w:hAnsi="Arial" w:cs="Arial"/>
        </w:rPr>
        <w:t xml:space="preserve">common health issue </w:t>
      </w:r>
      <w:r w:rsidR="00520492">
        <w:rPr>
          <w:rFonts w:ascii="Arial" w:hAnsi="Arial" w:cs="Arial"/>
        </w:rPr>
        <w:t>(</w:t>
      </w:r>
      <w:proofErr w:type="spellStart"/>
      <w:r w:rsidR="00520492">
        <w:rPr>
          <w:rFonts w:ascii="Arial" w:hAnsi="Arial" w:cs="Arial"/>
        </w:rPr>
        <w:t>Bandeen</w:t>
      </w:r>
      <w:proofErr w:type="spellEnd"/>
      <w:r w:rsidR="00520492">
        <w:rPr>
          <w:rFonts w:ascii="Arial" w:hAnsi="Arial" w:cs="Arial"/>
        </w:rPr>
        <w:t>-Roche et al., 2015; Santos-</w:t>
      </w:r>
      <w:proofErr w:type="spellStart"/>
      <w:r w:rsidR="00520492">
        <w:rPr>
          <w:rFonts w:ascii="Arial" w:hAnsi="Arial" w:cs="Arial"/>
        </w:rPr>
        <w:t>Eggimann</w:t>
      </w:r>
      <w:proofErr w:type="spellEnd"/>
      <w:r w:rsidR="00520492">
        <w:rPr>
          <w:rFonts w:ascii="Arial" w:hAnsi="Arial" w:cs="Arial"/>
        </w:rPr>
        <w:t xml:space="preserve"> et al., 2009)</w:t>
      </w:r>
      <w:r w:rsidR="00975FF5">
        <w:rPr>
          <w:rFonts w:ascii="Arial" w:hAnsi="Arial" w:cs="Arial"/>
        </w:rPr>
        <w:t xml:space="preserve"> </w:t>
      </w:r>
      <w:r w:rsidR="009A1BF7">
        <w:rPr>
          <w:rFonts w:ascii="Arial" w:hAnsi="Arial" w:cs="Arial"/>
        </w:rPr>
        <w:t>among</w:t>
      </w:r>
      <w:r w:rsidR="00A031DF">
        <w:rPr>
          <w:rFonts w:ascii="Arial" w:hAnsi="Arial" w:cs="Arial"/>
        </w:rPr>
        <w:t xml:space="preserve"> people with high levels of social deprivation </w:t>
      </w:r>
      <w:r w:rsidR="00520492">
        <w:rPr>
          <w:rFonts w:ascii="Arial" w:hAnsi="Arial" w:cs="Arial"/>
        </w:rPr>
        <w:t>(Herr et al., 2015)</w:t>
      </w:r>
      <w:r w:rsidR="000F250E">
        <w:rPr>
          <w:rFonts w:ascii="Arial" w:hAnsi="Arial" w:cs="Arial"/>
        </w:rPr>
        <w:t xml:space="preserve"> </w:t>
      </w:r>
      <w:r w:rsidR="00A031DF">
        <w:rPr>
          <w:rFonts w:ascii="Arial" w:hAnsi="Arial" w:cs="Arial"/>
        </w:rPr>
        <w:t>and is related to</w:t>
      </w:r>
      <w:r w:rsidR="00FC66DD">
        <w:rPr>
          <w:rFonts w:ascii="Arial" w:hAnsi="Arial" w:cs="Arial"/>
        </w:rPr>
        <w:t xml:space="preserve"> a higher risk of health service utilisation and institutionalisation </w:t>
      </w:r>
      <w:r w:rsidR="00A031DF">
        <w:rPr>
          <w:rFonts w:ascii="Arial" w:hAnsi="Arial" w:cs="Arial"/>
        </w:rPr>
        <w:t xml:space="preserve">overall </w:t>
      </w:r>
      <w:r w:rsidR="00520492">
        <w:rPr>
          <w:rFonts w:ascii="Arial" w:hAnsi="Arial" w:cs="Arial"/>
        </w:rPr>
        <w:t>(Bottle et al., 2019; McIsaac et al., 2016)</w:t>
      </w:r>
      <w:r>
        <w:rPr>
          <w:rFonts w:ascii="Arial" w:hAnsi="Arial" w:cs="Arial"/>
        </w:rPr>
        <w:t xml:space="preserve">. </w:t>
      </w:r>
      <w:r w:rsidR="009A1BF7">
        <w:rPr>
          <w:rFonts w:ascii="Arial" w:hAnsi="Arial" w:cs="Arial"/>
        </w:rPr>
        <w:t>F</w:t>
      </w:r>
      <w:r w:rsidR="00A031DF">
        <w:rPr>
          <w:rFonts w:ascii="Arial" w:hAnsi="Arial" w:cs="Arial"/>
        </w:rPr>
        <w:t xml:space="preserve">rail </w:t>
      </w:r>
      <w:r w:rsidR="003A5F91">
        <w:rPr>
          <w:rFonts w:ascii="Arial" w:hAnsi="Arial" w:cs="Arial"/>
        </w:rPr>
        <w:t>OAs</w:t>
      </w:r>
      <w:r w:rsidR="00A031DF">
        <w:rPr>
          <w:rFonts w:ascii="Arial" w:hAnsi="Arial" w:cs="Arial"/>
        </w:rPr>
        <w:t xml:space="preserve"> experience</w:t>
      </w:r>
      <w:r>
        <w:rPr>
          <w:rFonts w:ascii="Arial" w:hAnsi="Arial" w:cs="Arial"/>
        </w:rPr>
        <w:t xml:space="preserve"> difficulties in caring for themselves and performing everyda</w:t>
      </w:r>
      <w:r w:rsidR="00B23188">
        <w:rPr>
          <w:rFonts w:ascii="Arial" w:hAnsi="Arial" w:cs="Arial"/>
        </w:rPr>
        <w:t>y activities, such as shopping and managing finances</w:t>
      </w:r>
      <w:r w:rsidR="007855D4">
        <w:rPr>
          <w:rFonts w:ascii="Arial" w:hAnsi="Arial" w:cs="Arial"/>
        </w:rPr>
        <w:t xml:space="preserve"> </w:t>
      </w:r>
      <w:r w:rsidR="00520492">
        <w:rPr>
          <w:rFonts w:ascii="Arial" w:hAnsi="Arial" w:cs="Arial"/>
        </w:rPr>
        <w:t>(Shimada et al., 2016)</w:t>
      </w:r>
      <w:r w:rsidR="00B972ED">
        <w:rPr>
          <w:rFonts w:ascii="Arial" w:hAnsi="Arial" w:cs="Arial"/>
        </w:rPr>
        <w:t xml:space="preserve">, which </w:t>
      </w:r>
      <w:r w:rsidR="009A1BF7">
        <w:rPr>
          <w:rFonts w:ascii="Arial" w:hAnsi="Arial" w:cs="Arial"/>
        </w:rPr>
        <w:t>are exacerbated among</w:t>
      </w:r>
      <w:r w:rsidR="00B972ED">
        <w:rPr>
          <w:rFonts w:ascii="Arial" w:hAnsi="Arial" w:cs="Arial"/>
        </w:rPr>
        <w:t xml:space="preserve"> </w:t>
      </w:r>
      <w:r w:rsidR="003A5F91">
        <w:rPr>
          <w:rFonts w:ascii="Arial" w:hAnsi="Arial" w:cs="Arial"/>
        </w:rPr>
        <w:t>OAs</w:t>
      </w:r>
      <w:r w:rsidR="007855D4">
        <w:rPr>
          <w:rFonts w:ascii="Arial" w:hAnsi="Arial" w:cs="Arial"/>
        </w:rPr>
        <w:t xml:space="preserve"> living with dementia </w:t>
      </w:r>
      <w:r w:rsidR="00520492">
        <w:rPr>
          <w:rFonts w:ascii="Arial" w:hAnsi="Arial" w:cs="Arial"/>
        </w:rPr>
        <w:t>(Giebel et al., 2017)</w:t>
      </w:r>
      <w:r>
        <w:rPr>
          <w:rFonts w:ascii="Arial" w:hAnsi="Arial" w:cs="Arial"/>
        </w:rPr>
        <w:t xml:space="preserve">. </w:t>
      </w:r>
      <w:r w:rsidR="00A031DF">
        <w:rPr>
          <w:rFonts w:ascii="Arial" w:hAnsi="Arial" w:cs="Arial"/>
        </w:rPr>
        <w:t xml:space="preserve">Recent evidence </w:t>
      </w:r>
      <w:r w:rsidR="00ED434B">
        <w:rPr>
          <w:rFonts w:ascii="Arial" w:hAnsi="Arial" w:cs="Arial"/>
        </w:rPr>
        <w:t xml:space="preserve">from Australia suggests </w:t>
      </w:r>
      <w:r w:rsidR="00A031DF">
        <w:rPr>
          <w:rFonts w:ascii="Arial" w:hAnsi="Arial" w:cs="Arial"/>
        </w:rPr>
        <w:t xml:space="preserve">that there is a high risk of everyday functioning abilities </w:t>
      </w:r>
      <w:r w:rsidR="0071647D">
        <w:rPr>
          <w:rFonts w:ascii="Arial" w:hAnsi="Arial" w:cs="Arial"/>
        </w:rPr>
        <w:t>declining</w:t>
      </w:r>
      <w:r w:rsidR="00A031DF">
        <w:rPr>
          <w:rFonts w:ascii="Arial" w:hAnsi="Arial" w:cs="Arial"/>
        </w:rPr>
        <w:t xml:space="preserve"> further </w:t>
      </w:r>
      <w:r w:rsidR="0071647D">
        <w:rPr>
          <w:rFonts w:ascii="Arial" w:hAnsi="Arial" w:cs="Arial"/>
        </w:rPr>
        <w:t xml:space="preserve">in the first </w:t>
      </w:r>
      <w:r w:rsidR="00A031DF">
        <w:rPr>
          <w:rFonts w:ascii="Arial" w:hAnsi="Arial" w:cs="Arial"/>
        </w:rPr>
        <w:t xml:space="preserve">30 days after having </w:t>
      </w:r>
      <w:r w:rsidR="00A102DD">
        <w:rPr>
          <w:rFonts w:ascii="Arial" w:hAnsi="Arial" w:cs="Arial"/>
        </w:rPr>
        <w:t>attended</w:t>
      </w:r>
      <w:r w:rsidR="00C638F8">
        <w:rPr>
          <w:rFonts w:ascii="Arial" w:hAnsi="Arial" w:cs="Arial"/>
        </w:rPr>
        <w:t xml:space="preserve"> an </w:t>
      </w:r>
      <w:r w:rsidR="00ED434B">
        <w:rPr>
          <w:rFonts w:ascii="Arial" w:hAnsi="Arial" w:cs="Arial"/>
        </w:rPr>
        <w:t>Emergency Department</w:t>
      </w:r>
      <w:r w:rsidR="00A031DF">
        <w:rPr>
          <w:rFonts w:ascii="Arial" w:hAnsi="Arial" w:cs="Arial"/>
        </w:rPr>
        <w:t xml:space="preserve">, if older adults had experienced difficulties with </w:t>
      </w:r>
      <w:r w:rsidR="007855D4">
        <w:rPr>
          <w:rFonts w:ascii="Arial" w:hAnsi="Arial" w:cs="Arial"/>
        </w:rPr>
        <w:t xml:space="preserve">activities prior to attendance </w:t>
      </w:r>
      <w:r w:rsidR="00520492">
        <w:rPr>
          <w:rFonts w:ascii="Arial" w:hAnsi="Arial" w:cs="Arial"/>
        </w:rPr>
        <w:t>(</w:t>
      </w:r>
      <w:proofErr w:type="spellStart"/>
      <w:r w:rsidR="00520492">
        <w:rPr>
          <w:rFonts w:ascii="Arial" w:hAnsi="Arial" w:cs="Arial"/>
        </w:rPr>
        <w:t>Lowthian</w:t>
      </w:r>
      <w:proofErr w:type="spellEnd"/>
      <w:r w:rsidR="00520492">
        <w:rPr>
          <w:rFonts w:ascii="Arial" w:hAnsi="Arial" w:cs="Arial"/>
        </w:rPr>
        <w:t xml:space="preserve"> et al., 2017)</w:t>
      </w:r>
      <w:r w:rsidR="00A031DF">
        <w:rPr>
          <w:rFonts w:ascii="Arial" w:hAnsi="Arial" w:cs="Arial"/>
        </w:rPr>
        <w:t xml:space="preserve">. </w:t>
      </w:r>
    </w:p>
    <w:p w14:paraId="4BA55BAD" w14:textId="7EDCD64A" w:rsidR="00075F40" w:rsidRPr="00075F40" w:rsidRDefault="00075F40" w:rsidP="006C2C85">
      <w:pPr>
        <w:spacing w:after="0" w:line="360" w:lineRule="auto"/>
        <w:ind w:firstLine="720"/>
        <w:jc w:val="both"/>
        <w:rPr>
          <w:rFonts w:ascii="Arial" w:hAnsi="Arial" w:cs="Arial"/>
        </w:rPr>
      </w:pPr>
      <w:r w:rsidRPr="00075F40">
        <w:rPr>
          <w:rFonts w:ascii="Arial" w:hAnsi="Arial" w:cs="Arial"/>
        </w:rPr>
        <w:t>Due to the high pr</w:t>
      </w:r>
      <w:r w:rsidR="00A102DD">
        <w:rPr>
          <w:rFonts w:ascii="Arial" w:hAnsi="Arial" w:cs="Arial"/>
        </w:rPr>
        <w:t>evalence</w:t>
      </w:r>
      <w:r w:rsidRPr="00075F40">
        <w:rPr>
          <w:rFonts w:ascii="Arial" w:hAnsi="Arial" w:cs="Arial"/>
        </w:rPr>
        <w:t xml:space="preserve"> of comorbidities and frailty</w:t>
      </w:r>
      <w:r w:rsidR="003A5F91">
        <w:rPr>
          <w:rFonts w:ascii="Arial" w:hAnsi="Arial" w:cs="Arial"/>
        </w:rPr>
        <w:t xml:space="preserve"> in OAs</w:t>
      </w:r>
      <w:r w:rsidRPr="00075F40">
        <w:rPr>
          <w:rFonts w:ascii="Arial" w:hAnsi="Arial" w:cs="Arial"/>
        </w:rPr>
        <w:t>, this population group needs more support to enable them living well in their own home and community</w:t>
      </w:r>
      <w:r w:rsidR="00B972ED">
        <w:rPr>
          <w:rFonts w:ascii="Arial" w:hAnsi="Arial" w:cs="Arial"/>
        </w:rPr>
        <w:t xml:space="preserve"> for longer</w:t>
      </w:r>
      <w:r w:rsidRPr="00075F40">
        <w:rPr>
          <w:rFonts w:ascii="Arial" w:hAnsi="Arial" w:cs="Arial"/>
        </w:rPr>
        <w:t xml:space="preserve">. However, many </w:t>
      </w:r>
      <w:r w:rsidR="003A5F91">
        <w:rPr>
          <w:rFonts w:ascii="Arial" w:hAnsi="Arial" w:cs="Arial"/>
        </w:rPr>
        <w:t>OAs</w:t>
      </w:r>
      <w:r w:rsidRPr="00075F40">
        <w:rPr>
          <w:rFonts w:ascii="Arial" w:hAnsi="Arial" w:cs="Arial"/>
        </w:rPr>
        <w:t xml:space="preserve"> </w:t>
      </w:r>
      <w:r w:rsidR="0071647D">
        <w:rPr>
          <w:rFonts w:ascii="Arial" w:hAnsi="Arial" w:cs="Arial"/>
        </w:rPr>
        <w:t xml:space="preserve">in the UK </w:t>
      </w:r>
      <w:r w:rsidRPr="00075F40">
        <w:rPr>
          <w:rFonts w:ascii="Arial" w:hAnsi="Arial" w:cs="Arial"/>
        </w:rPr>
        <w:t>living alone</w:t>
      </w:r>
      <w:r w:rsidR="00B972ED">
        <w:rPr>
          <w:rFonts w:ascii="Arial" w:hAnsi="Arial" w:cs="Arial"/>
        </w:rPr>
        <w:t xml:space="preserve"> (approximately 32%)</w:t>
      </w:r>
      <w:r w:rsidRPr="00075F40">
        <w:rPr>
          <w:rFonts w:ascii="Arial" w:hAnsi="Arial" w:cs="Arial"/>
        </w:rPr>
        <w:t>,</w:t>
      </w:r>
      <w:r w:rsidR="00B972ED">
        <w:rPr>
          <w:rFonts w:ascii="Arial" w:hAnsi="Arial" w:cs="Arial"/>
        </w:rPr>
        <w:t xml:space="preserve"> </w:t>
      </w:r>
      <w:r w:rsidR="00B972ED">
        <w:rPr>
          <w:rFonts w:ascii="Arial" w:hAnsi="Arial" w:cs="Arial"/>
          <w:szCs w:val="24"/>
        </w:rPr>
        <w:t xml:space="preserve">most of </w:t>
      </w:r>
      <w:r w:rsidR="0071647D">
        <w:rPr>
          <w:rFonts w:ascii="Arial" w:hAnsi="Arial" w:cs="Arial"/>
          <w:szCs w:val="24"/>
        </w:rPr>
        <w:t xml:space="preserve">whom </w:t>
      </w:r>
      <w:r w:rsidR="007855D4">
        <w:rPr>
          <w:rFonts w:ascii="Arial" w:hAnsi="Arial" w:cs="Arial"/>
          <w:szCs w:val="24"/>
        </w:rPr>
        <w:t xml:space="preserve">are female (66.5%) </w:t>
      </w:r>
      <w:r w:rsidR="00520492">
        <w:rPr>
          <w:rFonts w:ascii="Arial" w:hAnsi="Arial" w:cs="Arial"/>
          <w:szCs w:val="24"/>
        </w:rPr>
        <w:t>(ONS, 2018)</w:t>
      </w:r>
      <w:r w:rsidR="009F3EC6">
        <w:rPr>
          <w:rFonts w:ascii="Arial" w:hAnsi="Arial" w:cs="Arial"/>
          <w:szCs w:val="24"/>
        </w:rPr>
        <w:t>.</w:t>
      </w:r>
      <w:r w:rsidRPr="00075F40">
        <w:rPr>
          <w:rFonts w:ascii="Arial" w:hAnsi="Arial" w:cs="Arial"/>
        </w:rPr>
        <w:t xml:space="preserve"> </w:t>
      </w:r>
      <w:r w:rsidR="009F3EC6">
        <w:rPr>
          <w:rFonts w:ascii="Arial" w:hAnsi="Arial" w:cs="Arial"/>
        </w:rPr>
        <w:t>M</w:t>
      </w:r>
      <w:r>
        <w:rPr>
          <w:rFonts w:ascii="Arial" w:hAnsi="Arial" w:cs="Arial"/>
        </w:rPr>
        <w:t xml:space="preserve">any </w:t>
      </w:r>
      <w:r w:rsidR="003A5F91">
        <w:rPr>
          <w:rFonts w:ascii="Arial" w:hAnsi="Arial" w:cs="Arial"/>
        </w:rPr>
        <w:t>OAs</w:t>
      </w:r>
      <w:r>
        <w:rPr>
          <w:rFonts w:ascii="Arial" w:hAnsi="Arial" w:cs="Arial"/>
        </w:rPr>
        <w:t xml:space="preserve"> experienc</w:t>
      </w:r>
      <w:r w:rsidR="007855D4">
        <w:rPr>
          <w:rFonts w:ascii="Arial" w:hAnsi="Arial" w:cs="Arial"/>
        </w:rPr>
        <w:t xml:space="preserve">e high levels of loneliness </w:t>
      </w:r>
      <w:r w:rsidR="00520492">
        <w:rPr>
          <w:rFonts w:ascii="Arial" w:hAnsi="Arial" w:cs="Arial"/>
        </w:rPr>
        <w:t>(Donovan et al., 2016)</w:t>
      </w:r>
      <w:r>
        <w:rPr>
          <w:rFonts w:ascii="Arial" w:hAnsi="Arial" w:cs="Arial"/>
        </w:rPr>
        <w:t xml:space="preserve">, and are often not </w:t>
      </w:r>
      <w:r w:rsidR="007855D4">
        <w:rPr>
          <w:rFonts w:ascii="Arial" w:hAnsi="Arial" w:cs="Arial"/>
        </w:rPr>
        <w:t xml:space="preserve">well socially connected </w:t>
      </w:r>
      <w:r w:rsidR="00520492">
        <w:rPr>
          <w:rFonts w:ascii="Arial" w:hAnsi="Arial" w:cs="Arial"/>
        </w:rPr>
        <w:t xml:space="preserve">(Grande &amp; </w:t>
      </w:r>
      <w:proofErr w:type="spellStart"/>
      <w:r w:rsidR="00520492">
        <w:rPr>
          <w:rFonts w:ascii="Arial" w:hAnsi="Arial" w:cs="Arial"/>
        </w:rPr>
        <w:t>Boldy</w:t>
      </w:r>
      <w:proofErr w:type="spellEnd"/>
      <w:r w:rsidR="00520492">
        <w:rPr>
          <w:rFonts w:ascii="Arial" w:hAnsi="Arial" w:cs="Arial"/>
        </w:rPr>
        <w:t>, 2008)</w:t>
      </w:r>
      <w:r>
        <w:rPr>
          <w:rFonts w:ascii="Arial" w:hAnsi="Arial" w:cs="Arial"/>
        </w:rPr>
        <w:t xml:space="preserve">. This can lead to </w:t>
      </w:r>
      <w:r w:rsidR="007855D4">
        <w:rPr>
          <w:rFonts w:ascii="Arial" w:hAnsi="Arial" w:cs="Arial"/>
        </w:rPr>
        <w:t xml:space="preserve">depression </w:t>
      </w:r>
      <w:r w:rsidR="00520492">
        <w:rPr>
          <w:rFonts w:ascii="Arial" w:hAnsi="Arial" w:cs="Arial"/>
        </w:rPr>
        <w:t>(Holt-</w:t>
      </w:r>
      <w:proofErr w:type="spellStart"/>
      <w:r w:rsidR="00520492">
        <w:rPr>
          <w:rFonts w:ascii="Arial" w:hAnsi="Arial" w:cs="Arial"/>
        </w:rPr>
        <w:t>Lunstad</w:t>
      </w:r>
      <w:proofErr w:type="spellEnd"/>
      <w:r w:rsidR="00520492">
        <w:rPr>
          <w:rFonts w:ascii="Arial" w:hAnsi="Arial" w:cs="Arial"/>
        </w:rPr>
        <w:t xml:space="preserve"> et al., 2015)</w:t>
      </w:r>
      <w:r w:rsidR="00B339A0">
        <w:rPr>
          <w:rFonts w:ascii="Arial" w:hAnsi="Arial" w:cs="Arial"/>
        </w:rPr>
        <w:t xml:space="preserve"> and has also been linked to in</w:t>
      </w:r>
      <w:r w:rsidR="007855D4">
        <w:rPr>
          <w:rFonts w:ascii="Arial" w:hAnsi="Arial" w:cs="Arial"/>
        </w:rPr>
        <w:t xml:space="preserve">creased healthcare utilisation </w:t>
      </w:r>
      <w:r w:rsidR="00520492">
        <w:rPr>
          <w:rFonts w:ascii="Arial" w:hAnsi="Arial" w:cs="Arial"/>
        </w:rPr>
        <w:t>(</w:t>
      </w:r>
      <w:proofErr w:type="spellStart"/>
      <w:r w:rsidR="00520492">
        <w:rPr>
          <w:rFonts w:ascii="Arial" w:hAnsi="Arial" w:cs="Arial"/>
        </w:rPr>
        <w:t>Valtorta</w:t>
      </w:r>
      <w:proofErr w:type="spellEnd"/>
      <w:r w:rsidR="00520492">
        <w:rPr>
          <w:rFonts w:ascii="Arial" w:hAnsi="Arial" w:cs="Arial"/>
        </w:rPr>
        <w:t xml:space="preserve"> et al., 2018)</w:t>
      </w:r>
      <w:r w:rsidR="00B339A0">
        <w:rPr>
          <w:rFonts w:ascii="Arial" w:hAnsi="Arial" w:cs="Arial"/>
        </w:rPr>
        <w:t xml:space="preserve">. </w:t>
      </w:r>
      <w:r w:rsidR="00A05FF2">
        <w:rPr>
          <w:rFonts w:ascii="Arial" w:hAnsi="Arial" w:cs="Arial"/>
        </w:rPr>
        <w:t>In particular, reduced en</w:t>
      </w:r>
      <w:r w:rsidR="009A1BF7">
        <w:rPr>
          <w:rFonts w:ascii="Arial" w:hAnsi="Arial" w:cs="Arial"/>
        </w:rPr>
        <w:t>gagement in social activities among</w:t>
      </w:r>
      <w:r w:rsidR="00A05FF2">
        <w:rPr>
          <w:rFonts w:ascii="Arial" w:hAnsi="Arial" w:cs="Arial"/>
        </w:rPr>
        <w:t xml:space="preserve"> </w:t>
      </w:r>
      <w:r w:rsidR="003A5F91">
        <w:rPr>
          <w:rFonts w:ascii="Arial" w:hAnsi="Arial" w:cs="Arial"/>
        </w:rPr>
        <w:t>OAs</w:t>
      </w:r>
      <w:r w:rsidR="00A05FF2">
        <w:rPr>
          <w:rFonts w:ascii="Arial" w:hAnsi="Arial" w:cs="Arial"/>
        </w:rPr>
        <w:t xml:space="preserve"> has been link</w:t>
      </w:r>
      <w:r w:rsidR="007855D4">
        <w:rPr>
          <w:rFonts w:ascii="Arial" w:hAnsi="Arial" w:cs="Arial"/>
        </w:rPr>
        <w:t xml:space="preserve">ed to greater mobility decline </w:t>
      </w:r>
      <w:r w:rsidR="00520492">
        <w:rPr>
          <w:rFonts w:ascii="Arial" w:hAnsi="Arial" w:cs="Arial"/>
        </w:rPr>
        <w:t>(Buchman et al., 2009)</w:t>
      </w:r>
      <w:r w:rsidR="00A05FF2">
        <w:rPr>
          <w:rFonts w:ascii="Arial" w:hAnsi="Arial" w:cs="Arial"/>
        </w:rPr>
        <w:t xml:space="preserve">. </w:t>
      </w:r>
      <w:r w:rsidR="007953E6" w:rsidRPr="0098496D">
        <w:rPr>
          <w:rFonts w:ascii="Arial" w:hAnsi="Arial" w:cs="Arial"/>
        </w:rPr>
        <w:t>However,</w:t>
      </w:r>
      <w:r w:rsidR="007953E6">
        <w:rPr>
          <w:rFonts w:ascii="Arial" w:hAnsi="Arial" w:cs="Arial"/>
          <w:b/>
        </w:rPr>
        <w:t xml:space="preserve"> </w:t>
      </w:r>
      <w:r w:rsidR="007953E6">
        <w:rPr>
          <w:rFonts w:ascii="Arial" w:hAnsi="Arial" w:cs="Arial"/>
        </w:rPr>
        <w:t xml:space="preserve">recent research indicates that poor neighbourhood and </w:t>
      </w:r>
      <w:r w:rsidR="00341FCC">
        <w:rPr>
          <w:rFonts w:ascii="Arial" w:hAnsi="Arial" w:cs="Arial"/>
        </w:rPr>
        <w:t>social support</w:t>
      </w:r>
      <w:r w:rsidR="007953E6">
        <w:rPr>
          <w:rFonts w:ascii="Arial" w:hAnsi="Arial" w:cs="Arial"/>
        </w:rPr>
        <w:t xml:space="preserve"> are associated with </w:t>
      </w:r>
      <w:r w:rsidR="007855D4">
        <w:rPr>
          <w:rFonts w:ascii="Arial" w:hAnsi="Arial" w:cs="Arial"/>
        </w:rPr>
        <w:t>lower health-seeking behaviour</w:t>
      </w:r>
      <w:r w:rsidR="00341FCC">
        <w:rPr>
          <w:rFonts w:ascii="Arial" w:hAnsi="Arial" w:cs="Arial"/>
        </w:rPr>
        <w:t xml:space="preserve"> for medical care</w:t>
      </w:r>
      <w:r w:rsidR="007855D4">
        <w:rPr>
          <w:rFonts w:ascii="Arial" w:hAnsi="Arial" w:cs="Arial"/>
        </w:rPr>
        <w:t xml:space="preserve"> </w:t>
      </w:r>
      <w:r w:rsidR="00520492">
        <w:rPr>
          <w:rFonts w:ascii="Arial" w:hAnsi="Arial" w:cs="Arial"/>
        </w:rPr>
        <w:t>(Berglund et al., 2019)</w:t>
      </w:r>
      <w:r w:rsidR="007953E6">
        <w:rPr>
          <w:rFonts w:ascii="Arial" w:hAnsi="Arial" w:cs="Arial"/>
        </w:rPr>
        <w:t xml:space="preserve">. </w:t>
      </w:r>
      <w:r w:rsidR="00B339A0">
        <w:rPr>
          <w:rFonts w:ascii="Arial" w:hAnsi="Arial" w:cs="Arial"/>
        </w:rPr>
        <w:t xml:space="preserve">Therefore, </w:t>
      </w:r>
      <w:r w:rsidR="00A05FF2">
        <w:rPr>
          <w:rFonts w:ascii="Arial" w:hAnsi="Arial" w:cs="Arial"/>
        </w:rPr>
        <w:t xml:space="preserve">raising social </w:t>
      </w:r>
      <w:r w:rsidR="00184633">
        <w:rPr>
          <w:rFonts w:ascii="Arial" w:hAnsi="Arial" w:cs="Arial"/>
        </w:rPr>
        <w:t>support</w:t>
      </w:r>
      <w:r w:rsidR="00A05FF2">
        <w:rPr>
          <w:rFonts w:ascii="Arial" w:hAnsi="Arial" w:cs="Arial"/>
        </w:rPr>
        <w:t xml:space="preserve"> </w:t>
      </w:r>
      <w:r w:rsidR="003D4E71">
        <w:rPr>
          <w:rFonts w:ascii="Arial" w:hAnsi="Arial" w:cs="Arial"/>
        </w:rPr>
        <w:t xml:space="preserve">appears to be an important avenue to pursue to improve health and reduce </w:t>
      </w:r>
      <w:r w:rsidR="008C5E44">
        <w:rPr>
          <w:rFonts w:ascii="Arial" w:hAnsi="Arial" w:cs="Arial"/>
        </w:rPr>
        <w:t xml:space="preserve">avoidable </w:t>
      </w:r>
      <w:r w:rsidR="003D4E71">
        <w:rPr>
          <w:rFonts w:ascii="Arial" w:hAnsi="Arial" w:cs="Arial"/>
        </w:rPr>
        <w:t xml:space="preserve">healthcare utilisation in </w:t>
      </w:r>
      <w:r w:rsidR="00493591">
        <w:rPr>
          <w:rFonts w:ascii="Arial" w:hAnsi="Arial" w:cs="Arial"/>
        </w:rPr>
        <w:t>OAs</w:t>
      </w:r>
      <w:r w:rsidR="003D4E71">
        <w:rPr>
          <w:rFonts w:ascii="Arial" w:hAnsi="Arial" w:cs="Arial"/>
        </w:rPr>
        <w:t>.</w:t>
      </w:r>
      <w:r w:rsidR="00A05FF2">
        <w:rPr>
          <w:rFonts w:ascii="Arial" w:hAnsi="Arial" w:cs="Arial"/>
        </w:rPr>
        <w:t xml:space="preserve"> </w:t>
      </w:r>
      <w:r w:rsidR="00011654">
        <w:rPr>
          <w:rFonts w:ascii="Arial" w:hAnsi="Arial" w:cs="Arial"/>
        </w:rPr>
        <w:t xml:space="preserve"> </w:t>
      </w:r>
    </w:p>
    <w:p w14:paraId="21BAD6D0" w14:textId="057B49C3" w:rsidR="001F0AB2" w:rsidRDefault="008C5E44" w:rsidP="00F857FF">
      <w:pPr>
        <w:spacing w:after="0" w:line="360" w:lineRule="auto"/>
        <w:ind w:firstLine="720"/>
        <w:jc w:val="both"/>
        <w:rPr>
          <w:rFonts w:ascii="Arial" w:hAnsi="Arial" w:cs="Arial"/>
        </w:rPr>
      </w:pPr>
      <w:r>
        <w:rPr>
          <w:rFonts w:ascii="Arial" w:hAnsi="Arial" w:cs="Arial"/>
        </w:rPr>
        <w:t>When o</w:t>
      </w:r>
      <w:r w:rsidR="007A14F1" w:rsidRPr="007A14F1">
        <w:rPr>
          <w:rFonts w:ascii="Arial" w:hAnsi="Arial" w:cs="Arial"/>
        </w:rPr>
        <w:t xml:space="preserve">lder people </w:t>
      </w:r>
      <w:r>
        <w:rPr>
          <w:rFonts w:ascii="Arial" w:hAnsi="Arial" w:cs="Arial"/>
        </w:rPr>
        <w:t xml:space="preserve">do need to access their GP or hospitals however, they </w:t>
      </w:r>
      <w:r w:rsidR="007A14F1" w:rsidRPr="007A14F1">
        <w:rPr>
          <w:rFonts w:ascii="Arial" w:hAnsi="Arial" w:cs="Arial"/>
        </w:rPr>
        <w:t>can face socio-economic barriers in accessing health care services.</w:t>
      </w:r>
      <w:r w:rsidR="007855D4">
        <w:rPr>
          <w:rFonts w:ascii="Arial" w:hAnsi="Arial" w:cs="Arial"/>
        </w:rPr>
        <w:t xml:space="preserve"> Nieman and colleagues </w:t>
      </w:r>
      <w:r w:rsidR="00520492">
        <w:rPr>
          <w:rFonts w:ascii="Arial" w:hAnsi="Arial" w:cs="Arial"/>
        </w:rPr>
        <w:t>(Nieman et al., 2015)</w:t>
      </w:r>
      <w:r w:rsidR="00B04F04">
        <w:rPr>
          <w:rFonts w:ascii="Arial" w:hAnsi="Arial" w:cs="Arial"/>
        </w:rPr>
        <w:t xml:space="preserve"> for example reported that there are socio</w:t>
      </w:r>
      <w:r w:rsidR="006C2C85">
        <w:rPr>
          <w:rFonts w:ascii="Arial" w:hAnsi="Arial" w:cs="Arial"/>
        </w:rPr>
        <w:t>-</w:t>
      </w:r>
      <w:r w:rsidR="00B04F04">
        <w:rPr>
          <w:rFonts w:ascii="Arial" w:hAnsi="Arial" w:cs="Arial"/>
        </w:rPr>
        <w:t xml:space="preserve">economic disparities in accessing hearing healthcare. Variations in healthcare access due to social deprivation are not restricted to </w:t>
      </w:r>
      <w:r w:rsidR="003A5F91">
        <w:rPr>
          <w:rFonts w:ascii="Arial" w:hAnsi="Arial" w:cs="Arial"/>
        </w:rPr>
        <w:t>OAs</w:t>
      </w:r>
      <w:r w:rsidR="00B04F04">
        <w:rPr>
          <w:rFonts w:ascii="Arial" w:hAnsi="Arial" w:cs="Arial"/>
        </w:rPr>
        <w:t xml:space="preserve">, but </w:t>
      </w:r>
      <w:r w:rsidR="007855D4">
        <w:rPr>
          <w:rFonts w:ascii="Arial" w:hAnsi="Arial" w:cs="Arial"/>
        </w:rPr>
        <w:t xml:space="preserve">affect the population at large </w:t>
      </w:r>
      <w:r w:rsidR="00520492">
        <w:rPr>
          <w:rFonts w:ascii="Arial" w:hAnsi="Arial" w:cs="Arial"/>
        </w:rPr>
        <w:t xml:space="preserve">(Giebel et al., 2019; </w:t>
      </w:r>
      <w:proofErr w:type="spellStart"/>
      <w:r w:rsidR="00520492">
        <w:rPr>
          <w:rFonts w:ascii="Arial" w:hAnsi="Arial" w:cs="Arial"/>
        </w:rPr>
        <w:t>Scantlebury</w:t>
      </w:r>
      <w:proofErr w:type="spellEnd"/>
      <w:r w:rsidR="00520492">
        <w:rPr>
          <w:rFonts w:ascii="Arial" w:hAnsi="Arial" w:cs="Arial"/>
        </w:rPr>
        <w:t xml:space="preserve"> et al., 2015)</w:t>
      </w:r>
      <w:r w:rsidR="00B04F04">
        <w:rPr>
          <w:rFonts w:ascii="Arial" w:hAnsi="Arial" w:cs="Arial"/>
        </w:rPr>
        <w:t xml:space="preserve">. This is often linked to poor levels of health literacy, so that people are unaware </w:t>
      </w:r>
      <w:r w:rsidR="006136DA">
        <w:rPr>
          <w:rFonts w:ascii="Arial" w:hAnsi="Arial" w:cs="Arial"/>
        </w:rPr>
        <w:t xml:space="preserve">of </w:t>
      </w:r>
      <w:r w:rsidR="00B04F04">
        <w:rPr>
          <w:rFonts w:ascii="Arial" w:hAnsi="Arial" w:cs="Arial"/>
        </w:rPr>
        <w:t xml:space="preserve">where to seek help for healthcare </w:t>
      </w:r>
      <w:r w:rsidR="009A1BF7">
        <w:rPr>
          <w:rFonts w:ascii="Arial" w:hAnsi="Arial" w:cs="Arial"/>
        </w:rPr>
        <w:t>issues</w:t>
      </w:r>
      <w:r w:rsidR="007855D4">
        <w:rPr>
          <w:rFonts w:ascii="Arial" w:hAnsi="Arial" w:cs="Arial"/>
        </w:rPr>
        <w:t xml:space="preserve"> </w:t>
      </w:r>
      <w:r w:rsidR="00520492">
        <w:rPr>
          <w:rFonts w:ascii="Arial" w:hAnsi="Arial" w:cs="Arial"/>
        </w:rPr>
        <w:t>(</w:t>
      </w:r>
      <w:proofErr w:type="spellStart"/>
      <w:r w:rsidR="00520492">
        <w:rPr>
          <w:rFonts w:ascii="Arial" w:hAnsi="Arial" w:cs="Arial"/>
        </w:rPr>
        <w:t>Sudore</w:t>
      </w:r>
      <w:proofErr w:type="spellEnd"/>
      <w:r w:rsidR="00520492">
        <w:rPr>
          <w:rFonts w:ascii="Arial" w:hAnsi="Arial" w:cs="Arial"/>
        </w:rPr>
        <w:t xml:space="preserve"> et al., 2006)</w:t>
      </w:r>
      <w:r w:rsidR="00B04F04">
        <w:rPr>
          <w:rFonts w:ascii="Arial" w:hAnsi="Arial" w:cs="Arial"/>
        </w:rPr>
        <w:t>.</w:t>
      </w:r>
      <w:r w:rsidR="00044966">
        <w:rPr>
          <w:rFonts w:ascii="Arial" w:hAnsi="Arial" w:cs="Arial"/>
        </w:rPr>
        <w:t xml:space="preserve"> </w:t>
      </w:r>
      <w:r w:rsidR="00B23188">
        <w:rPr>
          <w:rFonts w:ascii="Arial" w:hAnsi="Arial" w:cs="Arial"/>
        </w:rPr>
        <w:t>Although r</w:t>
      </w:r>
      <w:r w:rsidR="00386DDD">
        <w:rPr>
          <w:rFonts w:ascii="Arial" w:hAnsi="Arial" w:cs="Arial"/>
        </w:rPr>
        <w:t xml:space="preserve">esearch has explored how </w:t>
      </w:r>
      <w:r w:rsidR="00715262">
        <w:rPr>
          <w:rFonts w:ascii="Arial" w:hAnsi="Arial" w:cs="Arial"/>
        </w:rPr>
        <w:t xml:space="preserve">demographic and </w:t>
      </w:r>
      <w:r w:rsidR="00386DDD">
        <w:rPr>
          <w:rFonts w:ascii="Arial" w:hAnsi="Arial" w:cs="Arial"/>
        </w:rPr>
        <w:lastRenderedPageBreak/>
        <w:t>socio-economic factors</w:t>
      </w:r>
      <w:r w:rsidR="006136DA">
        <w:rPr>
          <w:rFonts w:ascii="Arial" w:hAnsi="Arial" w:cs="Arial"/>
        </w:rPr>
        <w:t xml:space="preserve"> (</w:t>
      </w:r>
      <w:r w:rsidR="00386DDD">
        <w:rPr>
          <w:rFonts w:ascii="Arial" w:hAnsi="Arial" w:cs="Arial"/>
        </w:rPr>
        <w:t>education, income</w:t>
      </w:r>
      <w:r w:rsidR="006136DA">
        <w:rPr>
          <w:rFonts w:ascii="Arial" w:hAnsi="Arial" w:cs="Arial"/>
        </w:rPr>
        <w:t>, gender, ethnicity,</w:t>
      </w:r>
      <w:r w:rsidR="00386DDD">
        <w:rPr>
          <w:rFonts w:ascii="Arial" w:hAnsi="Arial" w:cs="Arial"/>
        </w:rPr>
        <w:t xml:space="preserve"> housing</w:t>
      </w:r>
      <w:r w:rsidR="006136DA">
        <w:rPr>
          <w:rFonts w:ascii="Arial" w:hAnsi="Arial" w:cs="Arial"/>
        </w:rPr>
        <w:t>)</w:t>
      </w:r>
      <w:r w:rsidR="00386DDD">
        <w:rPr>
          <w:rFonts w:ascii="Arial" w:hAnsi="Arial" w:cs="Arial"/>
        </w:rPr>
        <w:t xml:space="preserve"> predict healthcare utilisation, particularly e</w:t>
      </w:r>
      <w:r w:rsidR="007855D4">
        <w:rPr>
          <w:rFonts w:ascii="Arial" w:hAnsi="Arial" w:cs="Arial"/>
        </w:rPr>
        <w:t xml:space="preserve">mergency department attendance </w:t>
      </w:r>
      <w:r w:rsidR="00520492">
        <w:rPr>
          <w:rFonts w:ascii="Arial" w:hAnsi="Arial" w:cs="Arial"/>
        </w:rPr>
        <w:t>(</w:t>
      </w:r>
      <w:proofErr w:type="spellStart"/>
      <w:r w:rsidR="00520492">
        <w:rPr>
          <w:rFonts w:ascii="Arial" w:hAnsi="Arial" w:cs="Arial"/>
        </w:rPr>
        <w:t>Scantlebury</w:t>
      </w:r>
      <w:proofErr w:type="spellEnd"/>
      <w:r w:rsidR="00520492">
        <w:rPr>
          <w:rFonts w:ascii="Arial" w:hAnsi="Arial" w:cs="Arial"/>
        </w:rPr>
        <w:t xml:space="preserve"> et al., 2015; Saini et al., 2020)</w:t>
      </w:r>
      <w:r w:rsidR="00386DDD">
        <w:rPr>
          <w:rFonts w:ascii="Arial" w:hAnsi="Arial" w:cs="Arial"/>
        </w:rPr>
        <w:t xml:space="preserve">, it appears that there is a paucity in the literature as to how socio-economic factors influence </w:t>
      </w:r>
      <w:r w:rsidR="003A5F91">
        <w:rPr>
          <w:rFonts w:ascii="Arial" w:hAnsi="Arial" w:cs="Arial"/>
        </w:rPr>
        <w:t>OAs</w:t>
      </w:r>
      <w:r w:rsidR="00386DDD">
        <w:rPr>
          <w:rFonts w:ascii="Arial" w:hAnsi="Arial" w:cs="Arial"/>
        </w:rPr>
        <w:t xml:space="preserve"> attendance of </w:t>
      </w:r>
      <w:r w:rsidR="003A5F91">
        <w:rPr>
          <w:rFonts w:ascii="Arial" w:hAnsi="Arial" w:cs="Arial"/>
        </w:rPr>
        <w:t>primary care</w:t>
      </w:r>
      <w:r w:rsidR="00386DDD">
        <w:rPr>
          <w:rFonts w:ascii="Arial" w:hAnsi="Arial" w:cs="Arial"/>
        </w:rPr>
        <w:t xml:space="preserve"> appointments and emergency departments.</w:t>
      </w:r>
      <w:r w:rsidR="00F87067">
        <w:rPr>
          <w:rFonts w:ascii="Arial" w:hAnsi="Arial" w:cs="Arial"/>
        </w:rPr>
        <w:t xml:space="preserve"> Considering the fact that over 1 million OAs in the UK are reported to be malnourished (Age UK, 2012), which might be down to financial restraints or educational reasons for example, socio-economic factors linked to health care utilisation are an important area which needs to receive further attention.</w:t>
      </w:r>
    </w:p>
    <w:p w14:paraId="15B9786D" w14:textId="11A06198" w:rsidR="007F3E19" w:rsidRPr="00F14F6B" w:rsidRDefault="00031A1F" w:rsidP="00E65DE4">
      <w:pPr>
        <w:spacing w:after="0" w:line="360" w:lineRule="auto"/>
        <w:jc w:val="both"/>
        <w:rPr>
          <w:rFonts w:ascii="Arial" w:hAnsi="Arial" w:cs="Arial"/>
        </w:rPr>
      </w:pPr>
      <w:r>
        <w:rPr>
          <w:rFonts w:ascii="Arial" w:hAnsi="Arial" w:cs="Arial"/>
        </w:rPr>
        <w:tab/>
      </w:r>
      <w:r w:rsidR="00B339A0">
        <w:rPr>
          <w:rFonts w:ascii="Arial" w:hAnsi="Arial" w:cs="Arial"/>
        </w:rPr>
        <w:t xml:space="preserve">Whilst literature has explored the effects of social relationships on healthcare utilisation in </w:t>
      </w:r>
      <w:r w:rsidR="001B2423">
        <w:rPr>
          <w:rFonts w:ascii="Arial" w:hAnsi="Arial" w:cs="Arial"/>
        </w:rPr>
        <w:t>OAs</w:t>
      </w:r>
      <w:r w:rsidR="007855D4">
        <w:rPr>
          <w:rFonts w:ascii="Arial" w:hAnsi="Arial" w:cs="Arial"/>
        </w:rPr>
        <w:t xml:space="preserve"> </w:t>
      </w:r>
      <w:r w:rsidR="00520492">
        <w:rPr>
          <w:rFonts w:ascii="Arial" w:hAnsi="Arial" w:cs="Arial"/>
        </w:rPr>
        <w:t>(Dickens et al., 2011)</w:t>
      </w:r>
      <w:r w:rsidR="00B339A0">
        <w:rPr>
          <w:rFonts w:ascii="Arial" w:hAnsi="Arial" w:cs="Arial"/>
        </w:rPr>
        <w:t>, t</w:t>
      </w:r>
      <w:r w:rsidR="007A14F1">
        <w:rPr>
          <w:rFonts w:ascii="Arial" w:hAnsi="Arial" w:cs="Arial"/>
        </w:rPr>
        <w:t>o date</w:t>
      </w:r>
      <w:r w:rsidR="00E2607B">
        <w:rPr>
          <w:rFonts w:ascii="Arial" w:hAnsi="Arial" w:cs="Arial"/>
        </w:rPr>
        <w:t xml:space="preserve"> </w:t>
      </w:r>
      <w:r w:rsidR="00E2607B" w:rsidRPr="00703648">
        <w:rPr>
          <w:rFonts w:ascii="Arial" w:hAnsi="Arial" w:cs="Arial"/>
        </w:rPr>
        <w:t xml:space="preserve">it appears that </w:t>
      </w:r>
      <w:r w:rsidR="006603B5" w:rsidRPr="00703648">
        <w:rPr>
          <w:rFonts w:ascii="Arial" w:hAnsi="Arial" w:cs="Arial"/>
        </w:rPr>
        <w:t xml:space="preserve">no research has explored whether social </w:t>
      </w:r>
      <w:r w:rsidR="00184633">
        <w:rPr>
          <w:rFonts w:ascii="Arial" w:hAnsi="Arial" w:cs="Arial"/>
        </w:rPr>
        <w:t>support</w:t>
      </w:r>
      <w:r w:rsidR="006603B5" w:rsidRPr="00703648">
        <w:rPr>
          <w:rFonts w:ascii="Arial" w:hAnsi="Arial" w:cs="Arial"/>
        </w:rPr>
        <w:t xml:space="preserve"> </w:t>
      </w:r>
      <w:r w:rsidR="006E7507">
        <w:rPr>
          <w:rFonts w:ascii="Arial" w:hAnsi="Arial" w:cs="Arial"/>
        </w:rPr>
        <w:t>affects</w:t>
      </w:r>
      <w:r w:rsidR="006603B5" w:rsidRPr="00703648">
        <w:rPr>
          <w:rFonts w:ascii="Arial" w:hAnsi="Arial" w:cs="Arial"/>
        </w:rPr>
        <w:t xml:space="preserve"> </w:t>
      </w:r>
      <w:r w:rsidR="006E7507">
        <w:rPr>
          <w:rFonts w:ascii="Arial" w:hAnsi="Arial" w:cs="Arial"/>
        </w:rPr>
        <w:t>GP</w:t>
      </w:r>
      <w:r w:rsidR="00FE7486">
        <w:rPr>
          <w:rFonts w:ascii="Arial" w:hAnsi="Arial" w:cs="Arial"/>
        </w:rPr>
        <w:t xml:space="preserve"> utilisation and how this</w:t>
      </w:r>
      <w:r w:rsidR="006603B5" w:rsidRPr="00703648">
        <w:rPr>
          <w:rFonts w:ascii="Arial" w:hAnsi="Arial" w:cs="Arial"/>
        </w:rPr>
        <w:t xml:space="preserve"> may vary between people from different socio-economic backgrounds.</w:t>
      </w:r>
      <w:r w:rsidR="00E2607B">
        <w:rPr>
          <w:rFonts w:ascii="Arial" w:hAnsi="Arial" w:cs="Arial"/>
        </w:rPr>
        <w:t xml:space="preserve"> </w:t>
      </w:r>
      <w:r w:rsidR="008E05F9">
        <w:rPr>
          <w:rFonts w:ascii="Arial" w:hAnsi="Arial" w:cs="Arial"/>
        </w:rPr>
        <w:t xml:space="preserve">Based on existing literature on the benefits of increased social </w:t>
      </w:r>
      <w:r w:rsidR="00184633">
        <w:rPr>
          <w:rFonts w:ascii="Arial" w:hAnsi="Arial" w:cs="Arial"/>
        </w:rPr>
        <w:t>support</w:t>
      </w:r>
      <w:r w:rsidR="008E05F9">
        <w:rPr>
          <w:rFonts w:ascii="Arial" w:hAnsi="Arial" w:cs="Arial"/>
        </w:rPr>
        <w:t xml:space="preserve"> on mental and phy</w:t>
      </w:r>
      <w:r w:rsidR="00703648">
        <w:rPr>
          <w:rFonts w:ascii="Arial" w:hAnsi="Arial" w:cs="Arial"/>
        </w:rPr>
        <w:t>sical well-being</w:t>
      </w:r>
      <w:r w:rsidR="001B2423">
        <w:rPr>
          <w:rFonts w:ascii="Arial" w:hAnsi="Arial" w:cs="Arial"/>
        </w:rPr>
        <w:t>,</w:t>
      </w:r>
      <w:r w:rsidR="00703648">
        <w:rPr>
          <w:rFonts w:ascii="Arial" w:hAnsi="Arial" w:cs="Arial"/>
        </w:rPr>
        <w:t xml:space="preserve"> </w:t>
      </w:r>
      <w:r w:rsidR="00075A36">
        <w:rPr>
          <w:rFonts w:ascii="Arial" w:hAnsi="Arial" w:cs="Arial"/>
        </w:rPr>
        <w:t>we</w:t>
      </w:r>
      <w:r w:rsidR="008E05F9">
        <w:rPr>
          <w:rFonts w:ascii="Arial" w:hAnsi="Arial" w:cs="Arial"/>
        </w:rPr>
        <w:t xml:space="preserve"> hypothesised that improved social </w:t>
      </w:r>
      <w:r w:rsidR="00184633">
        <w:rPr>
          <w:rFonts w:ascii="Arial" w:hAnsi="Arial" w:cs="Arial"/>
        </w:rPr>
        <w:t>support</w:t>
      </w:r>
      <w:r w:rsidR="008E05F9">
        <w:rPr>
          <w:rFonts w:ascii="Arial" w:hAnsi="Arial" w:cs="Arial"/>
        </w:rPr>
        <w:t xml:space="preserve"> in </w:t>
      </w:r>
      <w:r w:rsidR="003A5F91">
        <w:rPr>
          <w:rFonts w:ascii="Arial" w:hAnsi="Arial" w:cs="Arial"/>
        </w:rPr>
        <w:t>OAs</w:t>
      </w:r>
      <w:r w:rsidR="008E05F9">
        <w:rPr>
          <w:rFonts w:ascii="Arial" w:hAnsi="Arial" w:cs="Arial"/>
        </w:rPr>
        <w:t xml:space="preserve"> </w:t>
      </w:r>
      <w:r w:rsidR="00703648" w:rsidRPr="006136DA">
        <w:rPr>
          <w:rFonts w:ascii="Arial" w:hAnsi="Arial" w:cs="Arial"/>
        </w:rPr>
        <w:t xml:space="preserve">would </w:t>
      </w:r>
      <w:r w:rsidR="004A6961">
        <w:rPr>
          <w:rFonts w:ascii="Arial" w:hAnsi="Arial" w:cs="Arial"/>
        </w:rPr>
        <w:t>reduce GP attendance</w:t>
      </w:r>
      <w:r w:rsidR="001B3310" w:rsidRPr="006136DA">
        <w:rPr>
          <w:rFonts w:ascii="Arial" w:hAnsi="Arial" w:cs="Arial"/>
        </w:rPr>
        <w:t>.</w:t>
      </w:r>
      <w:r w:rsidR="001B3310">
        <w:rPr>
          <w:rFonts w:ascii="Arial" w:hAnsi="Arial" w:cs="Arial"/>
        </w:rPr>
        <w:t xml:space="preserve"> </w:t>
      </w:r>
      <w:r w:rsidR="00976EC6">
        <w:rPr>
          <w:rFonts w:ascii="Arial" w:hAnsi="Arial" w:cs="Arial"/>
        </w:rPr>
        <w:t>Understanding the predict</w:t>
      </w:r>
      <w:r w:rsidR="003A5F91">
        <w:rPr>
          <w:rFonts w:ascii="Arial" w:hAnsi="Arial" w:cs="Arial"/>
        </w:rPr>
        <w:t>ors of healthcare utilisation in OAs, depending on the</w:t>
      </w:r>
      <w:r w:rsidR="00E2607B">
        <w:rPr>
          <w:rFonts w:ascii="Arial" w:hAnsi="Arial" w:cs="Arial"/>
        </w:rPr>
        <w:t xml:space="preserve"> SES,</w:t>
      </w:r>
      <w:r w:rsidR="006603B5">
        <w:rPr>
          <w:rFonts w:ascii="Arial" w:hAnsi="Arial" w:cs="Arial"/>
        </w:rPr>
        <w:t xml:space="preserve"> and how social </w:t>
      </w:r>
      <w:r w:rsidR="00184633">
        <w:rPr>
          <w:rFonts w:ascii="Arial" w:hAnsi="Arial" w:cs="Arial"/>
        </w:rPr>
        <w:t>support</w:t>
      </w:r>
      <w:r w:rsidR="006603B5">
        <w:rPr>
          <w:rFonts w:ascii="Arial" w:hAnsi="Arial" w:cs="Arial"/>
        </w:rPr>
        <w:t xml:space="preserve"> can potentially reduce age-related risk factors, </w:t>
      </w:r>
      <w:r w:rsidR="00B8338F">
        <w:rPr>
          <w:rFonts w:ascii="Arial" w:hAnsi="Arial" w:cs="Arial"/>
        </w:rPr>
        <w:t xml:space="preserve">is important </w:t>
      </w:r>
      <w:r w:rsidR="00653D8B">
        <w:rPr>
          <w:rFonts w:ascii="Arial" w:hAnsi="Arial" w:cs="Arial"/>
        </w:rPr>
        <w:t xml:space="preserve">to address health inequalities in </w:t>
      </w:r>
      <w:r w:rsidR="003A5F91">
        <w:rPr>
          <w:rFonts w:ascii="Arial" w:hAnsi="Arial" w:cs="Arial"/>
        </w:rPr>
        <w:t xml:space="preserve">OAs </w:t>
      </w:r>
      <w:r w:rsidR="00653D8B">
        <w:rPr>
          <w:rFonts w:ascii="Arial" w:hAnsi="Arial" w:cs="Arial"/>
        </w:rPr>
        <w:t xml:space="preserve">and supporting them to age better and avoid hospital stays, </w:t>
      </w:r>
      <w:r w:rsidR="009A1BF7">
        <w:rPr>
          <w:rFonts w:ascii="Arial" w:hAnsi="Arial" w:cs="Arial"/>
        </w:rPr>
        <w:t>key priorities in</w:t>
      </w:r>
      <w:r w:rsidR="00653D8B">
        <w:rPr>
          <w:rFonts w:ascii="Arial" w:hAnsi="Arial" w:cs="Arial"/>
        </w:rPr>
        <w:t xml:space="preserve"> the recentl</w:t>
      </w:r>
      <w:r w:rsidR="007855D4">
        <w:rPr>
          <w:rFonts w:ascii="Arial" w:hAnsi="Arial" w:cs="Arial"/>
        </w:rPr>
        <w:t xml:space="preserve">y published NHS Long Term Plan </w:t>
      </w:r>
      <w:r w:rsidR="00520492">
        <w:rPr>
          <w:rFonts w:ascii="Arial" w:hAnsi="Arial" w:cs="Arial"/>
        </w:rPr>
        <w:t>(2019)</w:t>
      </w:r>
      <w:r w:rsidR="00B8338F">
        <w:rPr>
          <w:rFonts w:ascii="Arial" w:hAnsi="Arial" w:cs="Arial"/>
        </w:rPr>
        <w:t>.</w:t>
      </w:r>
    </w:p>
    <w:p w14:paraId="63D21DE5" w14:textId="77777777" w:rsidR="004A6961" w:rsidRDefault="004A6961" w:rsidP="00044966">
      <w:pPr>
        <w:spacing w:line="360" w:lineRule="auto"/>
        <w:jc w:val="both"/>
        <w:rPr>
          <w:rFonts w:ascii="Arial" w:hAnsi="Arial" w:cs="Arial"/>
          <w:b/>
          <w:sz w:val="24"/>
        </w:rPr>
      </w:pPr>
    </w:p>
    <w:p w14:paraId="474331EC" w14:textId="77777777" w:rsidR="007F3E19" w:rsidRDefault="007F3E19" w:rsidP="00044966">
      <w:pPr>
        <w:spacing w:line="360" w:lineRule="auto"/>
        <w:jc w:val="both"/>
        <w:rPr>
          <w:rFonts w:ascii="Arial" w:hAnsi="Arial" w:cs="Arial"/>
          <w:b/>
          <w:sz w:val="24"/>
        </w:rPr>
      </w:pPr>
      <w:r w:rsidRPr="007F3E19">
        <w:rPr>
          <w:rFonts w:ascii="Arial" w:hAnsi="Arial" w:cs="Arial"/>
          <w:b/>
          <w:sz w:val="24"/>
        </w:rPr>
        <w:t>Methods</w:t>
      </w:r>
    </w:p>
    <w:p w14:paraId="77DEF489" w14:textId="77777777" w:rsidR="007F3E19" w:rsidRDefault="00441A4C" w:rsidP="00DD29A3">
      <w:pPr>
        <w:spacing w:after="0" w:line="360" w:lineRule="auto"/>
        <w:jc w:val="both"/>
        <w:rPr>
          <w:rFonts w:ascii="Arial" w:hAnsi="Arial" w:cs="Arial"/>
          <w:b/>
        </w:rPr>
      </w:pPr>
      <w:r w:rsidRPr="00441A4C">
        <w:rPr>
          <w:rFonts w:ascii="Arial" w:hAnsi="Arial" w:cs="Arial"/>
          <w:b/>
        </w:rPr>
        <w:t xml:space="preserve">The </w:t>
      </w:r>
      <w:r w:rsidR="00295BE8">
        <w:rPr>
          <w:rFonts w:ascii="Arial" w:hAnsi="Arial" w:cs="Arial"/>
          <w:b/>
        </w:rPr>
        <w:t xml:space="preserve">North West Coast </w:t>
      </w:r>
      <w:r w:rsidRPr="00441A4C">
        <w:rPr>
          <w:rFonts w:ascii="Arial" w:hAnsi="Arial" w:cs="Arial"/>
          <w:b/>
        </w:rPr>
        <w:t xml:space="preserve">Household Health Survey </w:t>
      </w:r>
    </w:p>
    <w:p w14:paraId="342026B1" w14:textId="4316CBC7" w:rsidR="00FC6D5A" w:rsidRDefault="009A1BF7" w:rsidP="626198C6">
      <w:pPr>
        <w:spacing w:line="360" w:lineRule="auto"/>
        <w:jc w:val="both"/>
        <w:rPr>
          <w:rFonts w:ascii="Arial" w:hAnsi="Arial" w:cs="Arial"/>
          <w:b/>
          <w:bCs/>
        </w:rPr>
      </w:pPr>
      <w:r>
        <w:rPr>
          <w:rFonts w:ascii="Arial" w:hAnsi="Arial" w:cs="Arial"/>
        </w:rPr>
        <w:t xml:space="preserve">The NWC HHS </w:t>
      </w:r>
      <w:r w:rsidR="00D7082E">
        <w:rPr>
          <w:rFonts w:ascii="Arial" w:hAnsi="Arial" w:cs="Arial"/>
        </w:rPr>
        <w:t xml:space="preserve">(Giebel, Mcintyre, et al., under review) </w:t>
      </w:r>
      <w:r>
        <w:rPr>
          <w:rFonts w:ascii="Arial" w:hAnsi="Arial" w:cs="Arial"/>
        </w:rPr>
        <w:t>collected</w:t>
      </w:r>
      <w:r w:rsidR="626198C6" w:rsidRPr="626198C6">
        <w:rPr>
          <w:rFonts w:ascii="Arial" w:hAnsi="Arial" w:cs="Arial"/>
        </w:rPr>
        <w:t xml:space="preserve"> data on the socio-economic factors related to healthcare utilisation, with Wave 1 and 2 implemented in 2015 and 2018, respectively. In Wave 1, the survey collected data from residents of 20 disadvantaged and eight relatively advantaged neighbourhoods across the NWC, with Wave 2 only having collected data from residents living in disadvantaged neighbourhoods. An organisation was employed to conduct the survey, BMG Research, which took place during the daytime hours. Only one member per household could participate in the survey, and residents had to be aged 18 or over. Residents completed the survey, which lasted approximately 45 minutes, together with the BMG researcher on an </w:t>
      </w:r>
      <w:proofErr w:type="spellStart"/>
      <w:r w:rsidR="626198C6" w:rsidRPr="626198C6">
        <w:rPr>
          <w:rFonts w:ascii="Arial" w:hAnsi="Arial" w:cs="Arial"/>
        </w:rPr>
        <w:t>IPad</w:t>
      </w:r>
      <w:proofErr w:type="spellEnd"/>
      <w:r w:rsidR="626198C6" w:rsidRPr="626198C6">
        <w:rPr>
          <w:rFonts w:ascii="Arial" w:hAnsi="Arial" w:cs="Arial"/>
        </w:rPr>
        <w:t>. Ethical approval prior to the study was obtained from the University of Liverpool (Ref: RETH000836).</w:t>
      </w:r>
    </w:p>
    <w:p w14:paraId="4F85D9B6" w14:textId="5CFE0643" w:rsidR="00C31DE4" w:rsidRPr="00C31DE4" w:rsidRDefault="00C31DE4" w:rsidP="001B1939">
      <w:pPr>
        <w:spacing w:after="0" w:line="360" w:lineRule="auto"/>
        <w:jc w:val="both"/>
        <w:rPr>
          <w:rFonts w:ascii="Arial" w:hAnsi="Arial" w:cs="Arial"/>
          <w:b/>
        </w:rPr>
      </w:pPr>
      <w:r>
        <w:rPr>
          <w:rFonts w:ascii="Arial" w:hAnsi="Arial" w:cs="Arial"/>
          <w:b/>
        </w:rPr>
        <w:t>Variables</w:t>
      </w:r>
    </w:p>
    <w:p w14:paraId="170A5CEC" w14:textId="7AB60213" w:rsidR="00ED6793" w:rsidRPr="00ED6793" w:rsidRDefault="005C6AD3" w:rsidP="001B1939">
      <w:pPr>
        <w:spacing w:after="0" w:line="360" w:lineRule="auto"/>
        <w:jc w:val="both"/>
        <w:rPr>
          <w:rFonts w:ascii="Arial" w:hAnsi="Arial" w:cs="Arial"/>
        </w:rPr>
      </w:pPr>
      <w:r>
        <w:rPr>
          <w:rFonts w:ascii="Arial" w:hAnsi="Arial" w:cs="Arial"/>
        </w:rPr>
        <w:t xml:space="preserve">For the purpose of this </w:t>
      </w:r>
      <w:r w:rsidR="00D7082E">
        <w:rPr>
          <w:rFonts w:ascii="Arial" w:hAnsi="Arial" w:cs="Arial"/>
        </w:rPr>
        <w:t xml:space="preserve">primary data </w:t>
      </w:r>
      <w:r>
        <w:rPr>
          <w:rFonts w:ascii="Arial" w:hAnsi="Arial" w:cs="Arial"/>
        </w:rPr>
        <w:t xml:space="preserve">analysis, a subset of variables from the HHS was analysed, including age, gender, ethnicity, </w:t>
      </w:r>
      <w:r w:rsidR="000704B9">
        <w:rPr>
          <w:rFonts w:ascii="Arial" w:hAnsi="Arial" w:cs="Arial"/>
        </w:rPr>
        <w:t xml:space="preserve">living situation, </w:t>
      </w:r>
      <w:r>
        <w:rPr>
          <w:rFonts w:ascii="Arial" w:hAnsi="Arial" w:cs="Arial"/>
        </w:rPr>
        <w:t xml:space="preserve">healthcare utilisation </w:t>
      </w:r>
      <w:r w:rsidR="009D62FA">
        <w:rPr>
          <w:rFonts w:ascii="Arial" w:hAnsi="Arial" w:cs="Arial"/>
        </w:rPr>
        <w:t xml:space="preserve">in the past 12 months </w:t>
      </w:r>
      <w:r>
        <w:rPr>
          <w:rFonts w:ascii="Arial" w:hAnsi="Arial" w:cs="Arial"/>
        </w:rPr>
        <w:t xml:space="preserve">(GP and A&amp;E attendance), </w:t>
      </w:r>
      <w:r w:rsidR="000704B9">
        <w:rPr>
          <w:rFonts w:ascii="Arial" w:hAnsi="Arial" w:cs="Arial"/>
        </w:rPr>
        <w:t>comorbidities</w:t>
      </w:r>
      <w:r w:rsidR="00224C12">
        <w:rPr>
          <w:rFonts w:ascii="Arial" w:hAnsi="Arial" w:cs="Arial"/>
        </w:rPr>
        <w:t xml:space="preserve"> (including dementia)</w:t>
      </w:r>
      <w:r w:rsidR="000704B9">
        <w:rPr>
          <w:rFonts w:ascii="Arial" w:hAnsi="Arial" w:cs="Arial"/>
        </w:rPr>
        <w:t xml:space="preserve">, </w:t>
      </w:r>
      <w:r w:rsidR="009D62FA" w:rsidRPr="000B324C">
        <w:rPr>
          <w:rFonts w:ascii="Arial" w:hAnsi="Arial" w:cs="Arial"/>
        </w:rPr>
        <w:t xml:space="preserve">depression </w:t>
      </w:r>
      <w:r w:rsidR="000704B9" w:rsidRPr="000B324C">
        <w:rPr>
          <w:rFonts w:ascii="Arial" w:hAnsi="Arial" w:cs="Arial"/>
        </w:rPr>
        <w:t>(</w:t>
      </w:r>
      <w:r w:rsidR="000B324C">
        <w:rPr>
          <w:rFonts w:ascii="Arial" w:hAnsi="Arial" w:cs="Arial"/>
        </w:rPr>
        <w:t>PHQ-9</w:t>
      </w:r>
      <w:r w:rsidR="000704B9" w:rsidRPr="000B324C">
        <w:rPr>
          <w:rFonts w:ascii="Arial" w:hAnsi="Arial" w:cs="Arial"/>
        </w:rPr>
        <w:t>)</w:t>
      </w:r>
      <w:r w:rsidR="00F34048" w:rsidRPr="000B324C">
        <w:rPr>
          <w:rFonts w:ascii="Arial" w:hAnsi="Arial" w:cs="Arial"/>
        </w:rPr>
        <w:t>,</w:t>
      </w:r>
      <w:r w:rsidR="00F34048" w:rsidRPr="00F34048">
        <w:rPr>
          <w:rFonts w:ascii="Arial" w:hAnsi="Arial" w:cs="Arial"/>
        </w:rPr>
        <w:t xml:space="preserve"> </w:t>
      </w:r>
      <w:r w:rsidR="000B324C">
        <w:rPr>
          <w:rFonts w:ascii="Arial" w:hAnsi="Arial" w:cs="Arial"/>
        </w:rPr>
        <w:t xml:space="preserve">number of groups/clubs (Q36) engaged in, </w:t>
      </w:r>
      <w:r w:rsidR="00F34048" w:rsidRPr="00F34048">
        <w:rPr>
          <w:rFonts w:ascii="Arial" w:hAnsi="Arial" w:cs="Arial"/>
        </w:rPr>
        <w:t>and physical activities from the Phy</w:t>
      </w:r>
      <w:r w:rsidR="005A6749">
        <w:rPr>
          <w:rFonts w:ascii="Arial" w:hAnsi="Arial" w:cs="Arial"/>
        </w:rPr>
        <w:t xml:space="preserve">sical Activities </w:t>
      </w:r>
      <w:r w:rsidR="005A6749">
        <w:rPr>
          <w:rFonts w:ascii="Arial" w:hAnsi="Arial" w:cs="Arial"/>
        </w:rPr>
        <w:lastRenderedPageBreak/>
        <w:t xml:space="preserve">Questionnaire </w:t>
      </w:r>
      <w:r w:rsidR="00520492">
        <w:rPr>
          <w:rFonts w:ascii="Arial" w:hAnsi="Arial" w:cs="Arial"/>
        </w:rPr>
        <w:t>(Booth, 2000)</w:t>
      </w:r>
      <w:r w:rsidR="001B1939" w:rsidRPr="00F34048">
        <w:rPr>
          <w:rFonts w:ascii="Arial" w:hAnsi="Arial" w:cs="Arial"/>
        </w:rPr>
        <w:t>.</w:t>
      </w:r>
      <w:r w:rsidR="000704B9" w:rsidRPr="00F34048">
        <w:rPr>
          <w:rFonts w:ascii="Arial" w:hAnsi="Arial" w:cs="Arial"/>
        </w:rPr>
        <w:t xml:space="preserve"> </w:t>
      </w:r>
      <w:r w:rsidR="0038102C">
        <w:rPr>
          <w:rFonts w:ascii="Arial" w:hAnsi="Arial" w:cs="Arial"/>
        </w:rPr>
        <w:t xml:space="preserve">Index of Multiple Deprivation (IMD) </w:t>
      </w:r>
      <w:r w:rsidR="00F724D0">
        <w:rPr>
          <w:rFonts w:ascii="Arial" w:hAnsi="Arial" w:cs="Arial"/>
        </w:rPr>
        <w:t xml:space="preserve">Quintiles </w:t>
      </w:r>
      <w:r w:rsidR="0038102C">
        <w:rPr>
          <w:rFonts w:ascii="Arial" w:hAnsi="Arial" w:cs="Arial"/>
        </w:rPr>
        <w:t xml:space="preserve">were used to establish each resident’s neighbourhood level of disadvantage, with </w:t>
      </w:r>
      <w:r w:rsidR="00E559F9">
        <w:rPr>
          <w:rFonts w:ascii="Arial" w:hAnsi="Arial" w:cs="Arial"/>
        </w:rPr>
        <w:t>‘</w:t>
      </w:r>
      <w:r w:rsidR="0038102C">
        <w:rPr>
          <w:rFonts w:ascii="Arial" w:hAnsi="Arial" w:cs="Arial"/>
        </w:rPr>
        <w:t>1</w:t>
      </w:r>
      <w:r w:rsidR="00E559F9">
        <w:rPr>
          <w:rFonts w:ascii="Arial" w:hAnsi="Arial" w:cs="Arial"/>
        </w:rPr>
        <w:t>’</w:t>
      </w:r>
      <w:r w:rsidR="0038102C">
        <w:rPr>
          <w:rFonts w:ascii="Arial" w:hAnsi="Arial" w:cs="Arial"/>
        </w:rPr>
        <w:t xml:space="preserve"> indicating the</w:t>
      </w:r>
      <w:r w:rsidR="00F724D0">
        <w:rPr>
          <w:rFonts w:ascii="Arial" w:hAnsi="Arial" w:cs="Arial"/>
        </w:rPr>
        <w:t xml:space="preserve"> 20%</w:t>
      </w:r>
      <w:r w:rsidR="0038102C">
        <w:rPr>
          <w:rFonts w:ascii="Arial" w:hAnsi="Arial" w:cs="Arial"/>
        </w:rPr>
        <w:t xml:space="preserve"> </w:t>
      </w:r>
      <w:r w:rsidR="00115BA4">
        <w:rPr>
          <w:rFonts w:ascii="Arial" w:hAnsi="Arial" w:cs="Arial"/>
        </w:rPr>
        <w:t>least disadvantaged neighbourhoods</w:t>
      </w:r>
      <w:r w:rsidR="00F724D0">
        <w:rPr>
          <w:rFonts w:ascii="Arial" w:hAnsi="Arial" w:cs="Arial"/>
        </w:rPr>
        <w:t xml:space="preserve"> in England</w:t>
      </w:r>
      <w:r w:rsidR="00115BA4">
        <w:rPr>
          <w:rFonts w:ascii="Arial" w:hAnsi="Arial" w:cs="Arial"/>
        </w:rPr>
        <w:t xml:space="preserve">, and ‘5’ indicating the most disadvantaged neighbourhoods. </w:t>
      </w:r>
      <w:r w:rsidR="001B1939">
        <w:rPr>
          <w:rFonts w:ascii="Arial" w:hAnsi="Arial" w:cs="Arial"/>
        </w:rPr>
        <w:t>The EQ-5D</w:t>
      </w:r>
      <w:r w:rsidR="00F724D0">
        <w:rPr>
          <w:rFonts w:ascii="Arial" w:hAnsi="Arial" w:cs="Arial"/>
        </w:rPr>
        <w:t>-3L</w:t>
      </w:r>
      <w:r w:rsidR="00913FB8">
        <w:rPr>
          <w:rFonts w:ascii="Arial" w:hAnsi="Arial" w:cs="Arial"/>
        </w:rPr>
        <w:t xml:space="preserve"> </w:t>
      </w:r>
      <w:r w:rsidR="00520492">
        <w:rPr>
          <w:rFonts w:ascii="Arial" w:hAnsi="Arial" w:cs="Arial"/>
        </w:rPr>
        <w:t>(</w:t>
      </w:r>
      <w:proofErr w:type="spellStart"/>
      <w:r w:rsidR="00520492">
        <w:rPr>
          <w:rFonts w:ascii="Arial" w:hAnsi="Arial" w:cs="Arial"/>
        </w:rPr>
        <w:t>EuroQoL</w:t>
      </w:r>
      <w:proofErr w:type="spellEnd"/>
      <w:r w:rsidR="00520492">
        <w:rPr>
          <w:rFonts w:ascii="Arial" w:hAnsi="Arial" w:cs="Arial"/>
        </w:rPr>
        <w:t>, 1990)</w:t>
      </w:r>
      <w:r w:rsidR="001B1939">
        <w:rPr>
          <w:rFonts w:ascii="Arial" w:hAnsi="Arial" w:cs="Arial"/>
        </w:rPr>
        <w:t xml:space="preserve"> was employed to collect data on a person’s self-care abilities, ability to do usual activities, and mobility. Sco</w:t>
      </w:r>
      <w:r w:rsidR="00E65DE4">
        <w:rPr>
          <w:rFonts w:ascii="Arial" w:hAnsi="Arial" w:cs="Arial"/>
        </w:rPr>
        <w:t>res from these three variables</w:t>
      </w:r>
      <w:r w:rsidR="001B1939">
        <w:rPr>
          <w:rFonts w:ascii="Arial" w:hAnsi="Arial" w:cs="Arial"/>
        </w:rPr>
        <w:t>, which were rated as either ‘no problems’, ‘some problems’, or ‘unable to perform/walk’, were coded to align with the Clinical Frailty Scale</w:t>
      </w:r>
      <w:r w:rsidR="00134D3D">
        <w:rPr>
          <w:rFonts w:ascii="Arial" w:hAnsi="Arial" w:cs="Arial"/>
        </w:rPr>
        <w:t xml:space="preserve"> (CFS)</w:t>
      </w:r>
      <w:r w:rsidR="00913FB8">
        <w:rPr>
          <w:rFonts w:ascii="Arial" w:hAnsi="Arial" w:cs="Arial"/>
        </w:rPr>
        <w:t xml:space="preserve"> </w:t>
      </w:r>
      <w:r w:rsidR="00520492">
        <w:rPr>
          <w:rFonts w:ascii="Arial" w:hAnsi="Arial" w:cs="Arial"/>
        </w:rPr>
        <w:t>(Rockwood et al., 2005)</w:t>
      </w:r>
      <w:r w:rsidR="001B1939">
        <w:rPr>
          <w:rFonts w:ascii="Arial" w:hAnsi="Arial" w:cs="Arial"/>
        </w:rPr>
        <w:t xml:space="preserve"> and categorised into ‘no frailty’, ‘moderate frailty’, and ‘severe frailty’. Where </w:t>
      </w:r>
      <w:r w:rsidR="002523A9">
        <w:rPr>
          <w:rFonts w:ascii="Arial" w:hAnsi="Arial" w:cs="Arial"/>
        </w:rPr>
        <w:t>participants</w:t>
      </w:r>
      <w:r w:rsidR="001B1939">
        <w:rPr>
          <w:rFonts w:ascii="Arial" w:hAnsi="Arial" w:cs="Arial"/>
        </w:rPr>
        <w:t xml:space="preserve"> rated ‘no problems’ across all three variables or </w:t>
      </w:r>
      <w:r w:rsidR="00E559F9">
        <w:rPr>
          <w:rFonts w:ascii="Arial" w:hAnsi="Arial" w:cs="Arial"/>
        </w:rPr>
        <w:t>up to two</w:t>
      </w:r>
      <w:r w:rsidR="002523A9">
        <w:rPr>
          <w:rFonts w:ascii="Arial" w:hAnsi="Arial" w:cs="Arial"/>
        </w:rPr>
        <w:t xml:space="preserve"> with ‘some problems’</w:t>
      </w:r>
      <w:r w:rsidR="001B1939">
        <w:rPr>
          <w:rFonts w:ascii="Arial" w:hAnsi="Arial" w:cs="Arial"/>
        </w:rPr>
        <w:t>, p</w:t>
      </w:r>
      <w:r w:rsidR="002523A9">
        <w:rPr>
          <w:rFonts w:ascii="Arial" w:hAnsi="Arial" w:cs="Arial"/>
        </w:rPr>
        <w:t>articipants</w:t>
      </w:r>
      <w:r w:rsidR="001B1939">
        <w:rPr>
          <w:rFonts w:ascii="Arial" w:hAnsi="Arial" w:cs="Arial"/>
        </w:rPr>
        <w:t xml:space="preserve"> were categorised as </w:t>
      </w:r>
      <w:r w:rsidR="001B1939" w:rsidRPr="002523A9">
        <w:rPr>
          <w:rFonts w:ascii="Arial" w:hAnsi="Arial" w:cs="Arial"/>
          <w:i/>
        </w:rPr>
        <w:t>not frail</w:t>
      </w:r>
      <w:r w:rsidR="001B1939">
        <w:rPr>
          <w:rFonts w:ascii="Arial" w:hAnsi="Arial" w:cs="Arial"/>
        </w:rPr>
        <w:t xml:space="preserve">. </w:t>
      </w:r>
      <w:r w:rsidR="002523A9">
        <w:rPr>
          <w:rFonts w:ascii="Arial" w:hAnsi="Arial" w:cs="Arial"/>
        </w:rPr>
        <w:t xml:space="preserve">Participants rating all three with ‘some problems’ were categorised as </w:t>
      </w:r>
      <w:r w:rsidR="002523A9">
        <w:rPr>
          <w:rFonts w:ascii="Arial" w:hAnsi="Arial" w:cs="Arial"/>
          <w:i/>
        </w:rPr>
        <w:t xml:space="preserve">moderately </w:t>
      </w:r>
      <w:r w:rsidR="002523A9" w:rsidRPr="002523A9">
        <w:rPr>
          <w:rFonts w:ascii="Arial" w:hAnsi="Arial" w:cs="Arial"/>
          <w:i/>
        </w:rPr>
        <w:t>frail,</w:t>
      </w:r>
      <w:r w:rsidR="002523A9">
        <w:rPr>
          <w:rFonts w:ascii="Arial" w:hAnsi="Arial" w:cs="Arial"/>
        </w:rPr>
        <w:t xml:space="preserve"> and those rating at least one as ‘unable to do’ were categorised as </w:t>
      </w:r>
      <w:r w:rsidR="002523A9" w:rsidRPr="002523A9">
        <w:rPr>
          <w:rFonts w:ascii="Arial" w:hAnsi="Arial" w:cs="Arial"/>
          <w:i/>
        </w:rPr>
        <w:t>severely frail</w:t>
      </w:r>
      <w:r w:rsidR="002523A9">
        <w:rPr>
          <w:rFonts w:ascii="Arial" w:hAnsi="Arial" w:cs="Arial"/>
        </w:rPr>
        <w:t xml:space="preserve">. </w:t>
      </w:r>
      <w:r w:rsidR="00086190">
        <w:rPr>
          <w:rFonts w:ascii="Arial" w:hAnsi="Arial" w:cs="Arial"/>
        </w:rPr>
        <w:t>These codes were generated</w:t>
      </w:r>
      <w:r w:rsidR="001B1939">
        <w:rPr>
          <w:rFonts w:ascii="Arial" w:hAnsi="Arial" w:cs="Arial"/>
        </w:rPr>
        <w:t xml:space="preserve"> jointly with a consultant geriatrician</w:t>
      </w:r>
      <w:r w:rsidR="00086190">
        <w:rPr>
          <w:rFonts w:ascii="Arial" w:hAnsi="Arial" w:cs="Arial"/>
        </w:rPr>
        <w:t xml:space="preserve"> and a </w:t>
      </w:r>
      <w:r w:rsidR="009A1BF7">
        <w:rPr>
          <w:rFonts w:ascii="Arial" w:hAnsi="Arial" w:cs="Arial"/>
        </w:rPr>
        <w:t>senior</w:t>
      </w:r>
      <w:r w:rsidR="00086190">
        <w:rPr>
          <w:rFonts w:ascii="Arial" w:hAnsi="Arial" w:cs="Arial"/>
        </w:rPr>
        <w:t xml:space="preserve"> </w:t>
      </w:r>
      <w:r w:rsidR="008D1AB9">
        <w:rPr>
          <w:rFonts w:ascii="Arial" w:hAnsi="Arial" w:cs="Arial"/>
        </w:rPr>
        <w:t>GP</w:t>
      </w:r>
      <w:r w:rsidR="001B1939">
        <w:rPr>
          <w:rFonts w:ascii="Arial" w:hAnsi="Arial" w:cs="Arial"/>
        </w:rPr>
        <w:t xml:space="preserve">. </w:t>
      </w:r>
    </w:p>
    <w:p w14:paraId="60FBC2CA" w14:textId="7FAF6D08" w:rsidR="001A1DAF" w:rsidRDefault="00D742E6" w:rsidP="00B23188">
      <w:pPr>
        <w:spacing w:after="0" w:line="360" w:lineRule="auto"/>
        <w:ind w:firstLine="720"/>
        <w:jc w:val="both"/>
        <w:rPr>
          <w:rFonts w:ascii="Arial" w:hAnsi="Arial" w:cs="Arial"/>
        </w:rPr>
      </w:pPr>
      <w:r w:rsidRPr="00ED6793">
        <w:rPr>
          <w:rFonts w:ascii="Arial" w:hAnsi="Arial" w:cs="Arial"/>
        </w:rPr>
        <w:t>So</w:t>
      </w:r>
      <w:r w:rsidR="00AE107F">
        <w:rPr>
          <w:rFonts w:ascii="Arial" w:hAnsi="Arial" w:cs="Arial"/>
        </w:rPr>
        <w:t>ci</w:t>
      </w:r>
      <w:r w:rsidR="00E559F9">
        <w:rPr>
          <w:rFonts w:ascii="Arial" w:hAnsi="Arial" w:cs="Arial"/>
        </w:rPr>
        <w:t xml:space="preserve">al </w:t>
      </w:r>
      <w:r w:rsidR="00184633">
        <w:rPr>
          <w:rFonts w:ascii="Arial" w:hAnsi="Arial" w:cs="Arial"/>
        </w:rPr>
        <w:t>support</w:t>
      </w:r>
      <w:r w:rsidR="00E559F9">
        <w:rPr>
          <w:rFonts w:ascii="Arial" w:hAnsi="Arial" w:cs="Arial"/>
        </w:rPr>
        <w:t xml:space="preserve"> was measured using eight</w:t>
      </w:r>
      <w:r w:rsidR="00AE107F">
        <w:rPr>
          <w:rFonts w:ascii="Arial" w:hAnsi="Arial" w:cs="Arial"/>
        </w:rPr>
        <w:t xml:space="preserve"> separate variables</w:t>
      </w:r>
      <w:r w:rsidR="00B23188">
        <w:rPr>
          <w:rFonts w:ascii="Arial" w:hAnsi="Arial" w:cs="Arial"/>
        </w:rPr>
        <w:t xml:space="preserve">, which are listed in Table 1. </w:t>
      </w:r>
      <w:r w:rsidR="001A1DAF">
        <w:rPr>
          <w:rFonts w:ascii="Arial" w:hAnsi="Arial" w:cs="Arial"/>
        </w:rPr>
        <w:t>Distance to nearest GP was measured in</w:t>
      </w:r>
      <w:r w:rsidR="001E2641">
        <w:rPr>
          <w:rFonts w:ascii="Arial" w:hAnsi="Arial" w:cs="Arial"/>
        </w:rPr>
        <w:t xml:space="preserve"> kilometres, with </w:t>
      </w:r>
      <w:r w:rsidR="00F54038">
        <w:rPr>
          <w:rFonts w:ascii="Arial" w:hAnsi="Arial" w:cs="Arial"/>
        </w:rPr>
        <w:t>Lower Layer Super Output Area (LSOA)</w:t>
      </w:r>
      <w:r w:rsidR="001A1DAF">
        <w:rPr>
          <w:rFonts w:ascii="Arial" w:hAnsi="Arial" w:cs="Arial"/>
        </w:rPr>
        <w:t xml:space="preserve"> codes used to match each participant.</w:t>
      </w:r>
      <w:r w:rsidR="00F54038">
        <w:rPr>
          <w:rFonts w:ascii="Arial" w:hAnsi="Arial" w:cs="Arial"/>
        </w:rPr>
        <w:t xml:space="preserve"> LSOAs refer to small geographic areas across England and Wales to help with statistical reporting of the population.  </w:t>
      </w:r>
    </w:p>
    <w:p w14:paraId="2566F8CD" w14:textId="7649541C" w:rsidR="00B23188" w:rsidRPr="00A24E0E" w:rsidRDefault="008D1AB9" w:rsidP="008D1AB9">
      <w:pPr>
        <w:spacing w:after="0" w:line="360" w:lineRule="auto"/>
        <w:jc w:val="both"/>
        <w:rPr>
          <w:rFonts w:ascii="Arial" w:hAnsi="Arial" w:cs="Arial"/>
          <w:b/>
          <w:i/>
        </w:rPr>
      </w:pPr>
      <w:r w:rsidRPr="00A24E0E">
        <w:rPr>
          <w:rFonts w:ascii="Arial" w:hAnsi="Arial" w:cs="Arial"/>
          <w:b/>
          <w:i/>
        </w:rPr>
        <w:t>[Table 1]</w:t>
      </w:r>
    </w:p>
    <w:p w14:paraId="2EEB6A61" w14:textId="77777777" w:rsidR="008D1AB9" w:rsidRPr="008D1AB9" w:rsidRDefault="008D1AB9" w:rsidP="008D1AB9">
      <w:pPr>
        <w:spacing w:after="0" w:line="360" w:lineRule="auto"/>
        <w:jc w:val="both"/>
        <w:rPr>
          <w:rFonts w:ascii="Arial" w:hAnsi="Arial" w:cs="Arial"/>
          <w:b/>
        </w:rPr>
      </w:pPr>
    </w:p>
    <w:p w14:paraId="3FCF4CD1" w14:textId="77777777" w:rsidR="00441A4C" w:rsidRPr="00441A4C" w:rsidRDefault="00441A4C" w:rsidP="00D01D94">
      <w:pPr>
        <w:spacing w:after="0" w:line="360" w:lineRule="auto"/>
        <w:jc w:val="both"/>
        <w:rPr>
          <w:rFonts w:ascii="Arial" w:hAnsi="Arial" w:cs="Arial"/>
          <w:b/>
        </w:rPr>
      </w:pPr>
      <w:r w:rsidRPr="00441A4C">
        <w:rPr>
          <w:rFonts w:ascii="Arial" w:hAnsi="Arial" w:cs="Arial"/>
          <w:b/>
        </w:rPr>
        <w:t>Data analysis</w:t>
      </w:r>
    </w:p>
    <w:p w14:paraId="63DA9B68" w14:textId="23ECA9E2" w:rsidR="006B2EF0" w:rsidRDefault="00341FCC" w:rsidP="00D01D94">
      <w:pPr>
        <w:spacing w:after="0" w:line="360" w:lineRule="auto"/>
        <w:jc w:val="both"/>
        <w:rPr>
          <w:rFonts w:ascii="Arial" w:hAnsi="Arial" w:cs="Arial"/>
        </w:rPr>
      </w:pPr>
      <w:r>
        <w:rPr>
          <w:rFonts w:ascii="Arial" w:hAnsi="Arial" w:cs="Arial"/>
        </w:rPr>
        <w:t xml:space="preserve">This analysis solely focused </w:t>
      </w:r>
      <w:r w:rsidR="008F1482">
        <w:rPr>
          <w:rFonts w:ascii="Arial" w:hAnsi="Arial" w:cs="Arial"/>
        </w:rPr>
        <w:t xml:space="preserve">one data collection of </w:t>
      </w:r>
      <w:r>
        <w:rPr>
          <w:rFonts w:ascii="Arial" w:hAnsi="Arial" w:cs="Arial"/>
        </w:rPr>
        <w:t>older adults (aged 65 and above)</w:t>
      </w:r>
      <w:r w:rsidR="008F1482">
        <w:rPr>
          <w:rFonts w:ascii="Arial" w:hAnsi="Arial" w:cs="Arial"/>
        </w:rPr>
        <w:t xml:space="preserve">. Participants had either participated in both Wave 1 and Wave </w:t>
      </w:r>
      <w:proofErr w:type="gramStart"/>
      <w:r w:rsidR="008F1482">
        <w:rPr>
          <w:rFonts w:ascii="Arial" w:hAnsi="Arial" w:cs="Arial"/>
        </w:rPr>
        <w:t xml:space="preserve">2, </w:t>
      </w:r>
      <w:r>
        <w:rPr>
          <w:rFonts w:ascii="Arial" w:hAnsi="Arial" w:cs="Arial"/>
        </w:rPr>
        <w:t xml:space="preserve"> </w:t>
      </w:r>
      <w:r w:rsidR="008F1482">
        <w:rPr>
          <w:rFonts w:ascii="Arial" w:hAnsi="Arial" w:cs="Arial"/>
        </w:rPr>
        <w:t>or</w:t>
      </w:r>
      <w:proofErr w:type="gramEnd"/>
      <w:r w:rsidR="008F1482">
        <w:rPr>
          <w:rFonts w:ascii="Arial" w:hAnsi="Arial" w:cs="Arial"/>
        </w:rPr>
        <w:t xml:space="preserve"> only in Wave 1 or Wave 2. Where participants had taken part in both waves, only data from Wave 1 was included. Considering that data between both waves were only three years apart, Wave 1 data were selected where participants had taken part in both waves. </w:t>
      </w:r>
      <w:r w:rsidR="00295BE8">
        <w:rPr>
          <w:rFonts w:ascii="Arial" w:hAnsi="Arial" w:cs="Arial"/>
        </w:rPr>
        <w:t>Data were analysed using SPSS 25</w:t>
      </w:r>
      <w:r w:rsidR="005C07E2">
        <w:rPr>
          <w:rFonts w:ascii="Arial" w:hAnsi="Arial" w:cs="Arial"/>
        </w:rPr>
        <w:t xml:space="preserve">. Demographic data were analysed using frequency analysis. </w:t>
      </w:r>
      <w:r w:rsidR="006B2EF0">
        <w:rPr>
          <w:rFonts w:ascii="Arial" w:hAnsi="Arial" w:cs="Arial"/>
        </w:rPr>
        <w:t xml:space="preserve">Principal components analysis </w:t>
      </w:r>
      <w:r w:rsidR="00391041">
        <w:rPr>
          <w:rFonts w:ascii="Arial" w:hAnsi="Arial" w:cs="Arial"/>
        </w:rPr>
        <w:t xml:space="preserve">(PCA) </w:t>
      </w:r>
      <w:r w:rsidR="006B2EF0">
        <w:rPr>
          <w:rFonts w:ascii="Arial" w:hAnsi="Arial" w:cs="Arial"/>
        </w:rPr>
        <w:t>was used to derive a factor of</w:t>
      </w:r>
      <w:r w:rsidR="00E559F9">
        <w:rPr>
          <w:rFonts w:ascii="Arial" w:hAnsi="Arial" w:cs="Arial"/>
        </w:rPr>
        <w:t xml:space="preserve"> social </w:t>
      </w:r>
      <w:r w:rsidR="00184633">
        <w:rPr>
          <w:rFonts w:ascii="Arial" w:hAnsi="Arial" w:cs="Arial"/>
        </w:rPr>
        <w:t>support</w:t>
      </w:r>
      <w:r w:rsidR="00E559F9">
        <w:rPr>
          <w:rFonts w:ascii="Arial" w:hAnsi="Arial" w:cs="Arial"/>
        </w:rPr>
        <w:t xml:space="preserve">, by entering all questions on social </w:t>
      </w:r>
      <w:r w:rsidR="00184633">
        <w:rPr>
          <w:rFonts w:ascii="Arial" w:hAnsi="Arial" w:cs="Arial"/>
        </w:rPr>
        <w:t>support</w:t>
      </w:r>
      <w:r w:rsidR="00E559F9">
        <w:rPr>
          <w:rFonts w:ascii="Arial" w:hAnsi="Arial" w:cs="Arial"/>
        </w:rPr>
        <w:t xml:space="preserve"> </w:t>
      </w:r>
      <w:r w:rsidR="006B2EF0">
        <w:rPr>
          <w:rFonts w:ascii="Arial" w:hAnsi="Arial" w:cs="Arial"/>
        </w:rPr>
        <w:t>in</w:t>
      </w:r>
      <w:r w:rsidR="00E559F9">
        <w:rPr>
          <w:rFonts w:ascii="Arial" w:hAnsi="Arial" w:cs="Arial"/>
        </w:rPr>
        <w:t xml:space="preserve">to a PCA with rotation varimax. </w:t>
      </w:r>
      <w:r w:rsidR="00911D58">
        <w:rPr>
          <w:rFonts w:ascii="Arial" w:hAnsi="Arial" w:cs="Arial"/>
        </w:rPr>
        <w:t xml:space="preserve">This generated three factors with an Eigenvalue </w:t>
      </w:r>
      <w:r w:rsidR="00911D58" w:rsidRPr="00E559F9">
        <w:rPr>
          <w:rFonts w:ascii="Arial" w:hAnsi="Arial" w:cs="Arial"/>
        </w:rPr>
        <w:t xml:space="preserve">greater than 1, two of which were populated to a greater degree: One focusing on three variables of </w:t>
      </w:r>
      <w:r w:rsidR="00911D58" w:rsidRPr="00E559F9">
        <w:rPr>
          <w:rFonts w:ascii="Arial" w:hAnsi="Arial" w:cs="Arial"/>
          <w:i/>
        </w:rPr>
        <w:t xml:space="preserve">personal social </w:t>
      </w:r>
      <w:r w:rsidR="00184633">
        <w:rPr>
          <w:rFonts w:ascii="Arial" w:hAnsi="Arial" w:cs="Arial"/>
          <w:i/>
        </w:rPr>
        <w:t>support</w:t>
      </w:r>
      <w:r w:rsidR="00E559F9" w:rsidRPr="00E559F9">
        <w:rPr>
          <w:rFonts w:ascii="Arial" w:hAnsi="Arial" w:cs="Arial"/>
        </w:rPr>
        <w:t>,</w:t>
      </w:r>
      <w:r w:rsidR="00911D58" w:rsidRPr="00E559F9">
        <w:rPr>
          <w:rFonts w:ascii="Arial" w:hAnsi="Arial" w:cs="Arial"/>
        </w:rPr>
        <w:t xml:space="preserve"> and one focusing on three variables of </w:t>
      </w:r>
      <w:r w:rsidR="00E559F9" w:rsidRPr="00E559F9">
        <w:rPr>
          <w:rFonts w:ascii="Arial" w:hAnsi="Arial" w:cs="Arial"/>
          <w:i/>
        </w:rPr>
        <w:t xml:space="preserve">neighbourhood social </w:t>
      </w:r>
      <w:r w:rsidR="00184633">
        <w:rPr>
          <w:rFonts w:ascii="Arial" w:hAnsi="Arial" w:cs="Arial"/>
          <w:i/>
        </w:rPr>
        <w:t>support</w:t>
      </w:r>
      <w:r w:rsidR="00911D58" w:rsidRPr="00E559F9">
        <w:rPr>
          <w:rFonts w:ascii="Arial" w:hAnsi="Arial" w:cs="Arial"/>
        </w:rPr>
        <w:t>.</w:t>
      </w:r>
      <w:r w:rsidR="00911D58">
        <w:rPr>
          <w:rFonts w:ascii="Arial" w:hAnsi="Arial" w:cs="Arial"/>
        </w:rPr>
        <w:t xml:space="preserve"> </w:t>
      </w:r>
      <w:r w:rsidR="00E559F9">
        <w:rPr>
          <w:rFonts w:ascii="Arial" w:hAnsi="Arial" w:cs="Arial"/>
        </w:rPr>
        <w:t xml:space="preserve">For the purpose of this analysis, we employed the personal social </w:t>
      </w:r>
      <w:r w:rsidR="00184633">
        <w:rPr>
          <w:rFonts w:ascii="Arial" w:hAnsi="Arial" w:cs="Arial"/>
        </w:rPr>
        <w:t>support</w:t>
      </w:r>
      <w:r w:rsidR="00E559F9">
        <w:rPr>
          <w:rFonts w:ascii="Arial" w:hAnsi="Arial" w:cs="Arial"/>
        </w:rPr>
        <w:t xml:space="preserve"> variable</w:t>
      </w:r>
      <w:r>
        <w:rPr>
          <w:rFonts w:ascii="Arial" w:hAnsi="Arial" w:cs="Arial"/>
        </w:rPr>
        <w:t>, because we were interested in personal social relationships and networks and how they affect GP attendance</w:t>
      </w:r>
      <w:r w:rsidR="00E559F9">
        <w:rPr>
          <w:rFonts w:ascii="Arial" w:hAnsi="Arial" w:cs="Arial"/>
        </w:rPr>
        <w:t>.</w:t>
      </w:r>
      <w:r>
        <w:rPr>
          <w:rFonts w:ascii="Arial" w:hAnsi="Arial" w:cs="Arial"/>
        </w:rPr>
        <w:t xml:space="preserve"> The following survey questions formed part of the personal social support variable: </w:t>
      </w:r>
      <w:r w:rsidR="006448CE">
        <w:rPr>
          <w:rFonts w:ascii="Arial" w:hAnsi="Arial" w:cs="Arial"/>
        </w:rPr>
        <w:t xml:space="preserve">“How often do you meet up with family members or friends?”; “If I need help, there are people who would be there for me.”; and “If I wanted company or to socialise, there are people I can call on.” </w:t>
      </w:r>
      <w:r w:rsidR="00391041">
        <w:rPr>
          <w:rFonts w:ascii="Arial" w:hAnsi="Arial" w:cs="Arial"/>
        </w:rPr>
        <w:t xml:space="preserve">Independent t-tests were used to compare healthcare utilisation by high and low social </w:t>
      </w:r>
      <w:r w:rsidR="00184633">
        <w:rPr>
          <w:rFonts w:ascii="Arial" w:hAnsi="Arial" w:cs="Arial"/>
        </w:rPr>
        <w:t>support</w:t>
      </w:r>
      <w:r w:rsidR="00391041">
        <w:rPr>
          <w:rFonts w:ascii="Arial" w:hAnsi="Arial" w:cs="Arial"/>
        </w:rPr>
        <w:t>.</w:t>
      </w:r>
    </w:p>
    <w:p w14:paraId="6D8B74B8" w14:textId="1BC4B48D" w:rsidR="000423C1" w:rsidRDefault="000423C1" w:rsidP="00CE72E3">
      <w:pPr>
        <w:spacing w:after="0" w:line="360" w:lineRule="auto"/>
        <w:ind w:firstLine="720"/>
        <w:jc w:val="both"/>
        <w:rPr>
          <w:rFonts w:ascii="Arial" w:hAnsi="Arial" w:cs="Arial"/>
        </w:rPr>
      </w:pPr>
      <w:r>
        <w:rPr>
          <w:rFonts w:ascii="Arial" w:hAnsi="Arial" w:cs="Arial"/>
        </w:rPr>
        <w:t>Outliers for the number of GP visits and number of hospital visits were identified and ex</w:t>
      </w:r>
      <w:r w:rsidR="00CF2E2A">
        <w:rPr>
          <w:rFonts w:ascii="Arial" w:hAnsi="Arial" w:cs="Arial"/>
        </w:rPr>
        <w:t>cluded via inter quartile range (IQR)</w:t>
      </w:r>
      <w:r>
        <w:rPr>
          <w:rFonts w:ascii="Arial" w:hAnsi="Arial" w:cs="Arial"/>
        </w:rPr>
        <w:t xml:space="preserve"> analysis.</w:t>
      </w:r>
    </w:p>
    <w:p w14:paraId="51C197B3" w14:textId="4E6F0578" w:rsidR="00CE72E3" w:rsidRDefault="0025666E" w:rsidP="0025666E">
      <w:pPr>
        <w:spacing w:after="0" w:line="360" w:lineRule="auto"/>
        <w:ind w:firstLine="720"/>
        <w:jc w:val="both"/>
        <w:rPr>
          <w:rFonts w:ascii="Arial" w:hAnsi="Arial" w:cs="Arial"/>
        </w:rPr>
      </w:pPr>
      <w:r>
        <w:rPr>
          <w:rFonts w:ascii="Arial" w:hAnsi="Arial" w:cs="Arial"/>
        </w:rPr>
        <w:lastRenderedPageBreak/>
        <w:t>Poisson re</w:t>
      </w:r>
      <w:r w:rsidR="00D01D94">
        <w:rPr>
          <w:rFonts w:ascii="Arial" w:hAnsi="Arial" w:cs="Arial"/>
        </w:rPr>
        <w:t xml:space="preserve">gression </w:t>
      </w:r>
      <w:r w:rsidR="00741B94">
        <w:rPr>
          <w:rFonts w:ascii="Arial" w:hAnsi="Arial" w:cs="Arial"/>
        </w:rPr>
        <w:t>analysis was performed</w:t>
      </w:r>
      <w:r w:rsidR="00D01D94">
        <w:rPr>
          <w:rFonts w:ascii="Arial" w:hAnsi="Arial" w:cs="Arial"/>
        </w:rPr>
        <w:t xml:space="preserve"> with GP attendance as the outcome variable. </w:t>
      </w:r>
      <w:r w:rsidR="00741B94">
        <w:rPr>
          <w:rFonts w:ascii="Arial" w:hAnsi="Arial" w:cs="Arial"/>
        </w:rPr>
        <w:t>Independent variables included</w:t>
      </w:r>
      <w:r>
        <w:rPr>
          <w:rFonts w:ascii="Arial" w:hAnsi="Arial" w:cs="Arial"/>
        </w:rPr>
        <w:t xml:space="preserve"> </w:t>
      </w:r>
      <w:r w:rsidR="00DD3FB5">
        <w:rPr>
          <w:rFonts w:ascii="Arial" w:hAnsi="Arial" w:cs="Arial"/>
        </w:rPr>
        <w:t xml:space="preserve">frailty, </w:t>
      </w:r>
      <w:r>
        <w:rPr>
          <w:rFonts w:ascii="Arial" w:hAnsi="Arial" w:cs="Arial"/>
        </w:rPr>
        <w:t xml:space="preserve">social </w:t>
      </w:r>
      <w:r w:rsidR="00184633">
        <w:rPr>
          <w:rFonts w:ascii="Arial" w:hAnsi="Arial" w:cs="Arial"/>
        </w:rPr>
        <w:t>support</w:t>
      </w:r>
      <w:r>
        <w:rPr>
          <w:rFonts w:ascii="Arial" w:hAnsi="Arial" w:cs="Arial"/>
        </w:rPr>
        <w:t xml:space="preserve">, </w:t>
      </w:r>
      <w:r w:rsidR="00F228D1">
        <w:rPr>
          <w:rFonts w:ascii="Arial" w:hAnsi="Arial" w:cs="Arial"/>
        </w:rPr>
        <w:t xml:space="preserve">IMD </w:t>
      </w:r>
      <w:r w:rsidR="00741B94">
        <w:rPr>
          <w:rFonts w:ascii="Arial" w:hAnsi="Arial" w:cs="Arial"/>
        </w:rPr>
        <w:t>Quintile</w:t>
      </w:r>
      <w:r w:rsidR="00F228D1">
        <w:rPr>
          <w:rFonts w:ascii="Arial" w:hAnsi="Arial" w:cs="Arial"/>
        </w:rPr>
        <w:t xml:space="preserve">, </w:t>
      </w:r>
      <w:r>
        <w:rPr>
          <w:rFonts w:ascii="Arial" w:hAnsi="Arial" w:cs="Arial"/>
        </w:rPr>
        <w:t xml:space="preserve">education, distance to nearest GP, </w:t>
      </w:r>
      <w:r w:rsidR="00DD3FB5">
        <w:rPr>
          <w:rFonts w:ascii="Arial" w:hAnsi="Arial" w:cs="Arial"/>
        </w:rPr>
        <w:t>li</w:t>
      </w:r>
      <w:r>
        <w:rPr>
          <w:rFonts w:ascii="Arial" w:hAnsi="Arial" w:cs="Arial"/>
        </w:rPr>
        <w:t xml:space="preserve">ving situation, </w:t>
      </w:r>
      <w:r w:rsidR="00363263">
        <w:rPr>
          <w:rFonts w:ascii="Arial" w:hAnsi="Arial" w:cs="Arial"/>
        </w:rPr>
        <w:t xml:space="preserve">depression, </w:t>
      </w:r>
      <w:r>
        <w:rPr>
          <w:rFonts w:ascii="Arial" w:hAnsi="Arial" w:cs="Arial"/>
        </w:rPr>
        <w:t>age, gender, and</w:t>
      </w:r>
      <w:r w:rsidR="00DD3FB5">
        <w:rPr>
          <w:rFonts w:ascii="Arial" w:hAnsi="Arial" w:cs="Arial"/>
        </w:rPr>
        <w:t xml:space="preserve"> ethnicity</w:t>
      </w:r>
      <w:r w:rsidR="00741B94">
        <w:rPr>
          <w:rFonts w:ascii="Arial" w:hAnsi="Arial" w:cs="Arial"/>
        </w:rPr>
        <w:t>.</w:t>
      </w:r>
    </w:p>
    <w:p w14:paraId="50917870" w14:textId="55C3061C" w:rsidR="00741B94" w:rsidRPr="00741B94" w:rsidRDefault="00741B94" w:rsidP="00E55522">
      <w:pPr>
        <w:shd w:val="clear" w:color="auto" w:fill="FFFFFF"/>
        <w:spacing w:after="0" w:line="360" w:lineRule="auto"/>
        <w:ind w:firstLine="720"/>
        <w:jc w:val="both"/>
        <w:rPr>
          <w:rFonts w:ascii="Segoe UI" w:eastAsia="Times New Roman" w:hAnsi="Segoe UI" w:cs="Segoe UI"/>
          <w:color w:val="212121"/>
          <w:sz w:val="23"/>
          <w:szCs w:val="23"/>
          <w:lang w:eastAsia="en-GB"/>
        </w:rPr>
      </w:pPr>
      <w:r w:rsidRPr="00741B94">
        <w:rPr>
          <w:rFonts w:ascii="Arial" w:eastAsia="Times New Roman" w:hAnsi="Arial" w:cs="Arial"/>
          <w:color w:val="000000"/>
          <w:lang w:eastAsia="en-GB"/>
        </w:rPr>
        <w:t xml:space="preserve">Costs were searched for from standard sources such as the NHS England reference cost website, and the annual Personal Social Services Research Unit (PSSRU) health and social care reference cost publications, where most recent relevant costs as of 2018 were used. Total GP costs included GP appointments (£39 per </w:t>
      </w:r>
      <w:proofErr w:type="gramStart"/>
      <w:r w:rsidRPr="00741B94">
        <w:rPr>
          <w:rFonts w:ascii="Arial" w:eastAsia="Times New Roman" w:hAnsi="Arial" w:cs="Arial"/>
          <w:color w:val="000000"/>
          <w:lang w:eastAsia="en-GB"/>
        </w:rPr>
        <w:t>9.22 minute</w:t>
      </w:r>
      <w:proofErr w:type="gramEnd"/>
      <w:r w:rsidRPr="00741B94">
        <w:rPr>
          <w:rFonts w:ascii="Arial" w:eastAsia="Times New Roman" w:hAnsi="Arial" w:cs="Arial"/>
          <w:color w:val="000000"/>
          <w:lang w:eastAsia="en-GB"/>
        </w:rPr>
        <w:t xml:space="preserve"> appointment) and home visits (£129 per 23.4 minute visit, including travel time). Nurse costs included practice nurse appointments (£16 per </w:t>
      </w:r>
      <w:proofErr w:type="gramStart"/>
      <w:r w:rsidRPr="00741B94">
        <w:rPr>
          <w:rFonts w:ascii="Arial" w:eastAsia="Times New Roman" w:hAnsi="Arial" w:cs="Arial"/>
          <w:color w:val="000000"/>
          <w:lang w:eastAsia="en-GB"/>
        </w:rPr>
        <w:t>15.5 minute</w:t>
      </w:r>
      <w:proofErr w:type="gramEnd"/>
      <w:r w:rsidRPr="00741B94">
        <w:rPr>
          <w:rFonts w:ascii="Arial" w:eastAsia="Times New Roman" w:hAnsi="Arial" w:cs="Arial"/>
          <w:color w:val="000000"/>
          <w:lang w:eastAsia="en-GB"/>
        </w:rPr>
        <w:t xml:space="preserve"> appointment) and any nurse home visits (£32 per visit). </w:t>
      </w:r>
      <w:r w:rsidR="0034451D">
        <w:rPr>
          <w:rFonts w:ascii="Arial" w:eastAsia="Times New Roman" w:hAnsi="Arial" w:cs="Arial"/>
          <w:color w:val="000000"/>
          <w:lang w:eastAsia="en-GB"/>
        </w:rPr>
        <w:t>Accident &amp; Emergency (</w:t>
      </w:r>
      <w:r w:rsidRPr="00741B94">
        <w:rPr>
          <w:rFonts w:ascii="Arial" w:eastAsia="Times New Roman" w:hAnsi="Arial" w:cs="Arial"/>
          <w:color w:val="000000"/>
          <w:lang w:eastAsia="en-GB"/>
        </w:rPr>
        <w:t>A&amp;E</w:t>
      </w:r>
      <w:r w:rsidR="0034451D">
        <w:rPr>
          <w:rFonts w:ascii="Arial" w:eastAsia="Times New Roman" w:hAnsi="Arial" w:cs="Arial"/>
          <w:color w:val="000000"/>
          <w:lang w:eastAsia="en-GB"/>
        </w:rPr>
        <w:t>)</w:t>
      </w:r>
      <w:r w:rsidRPr="00741B94">
        <w:rPr>
          <w:rFonts w:ascii="Arial" w:eastAsia="Times New Roman" w:hAnsi="Arial" w:cs="Arial"/>
          <w:color w:val="000000"/>
          <w:lang w:eastAsia="en-GB"/>
        </w:rPr>
        <w:t xml:space="preserve"> costs (£157 per attendance) were a weighted average of majors and minors. Costs were inflated to 2019 prices using UK Treasury GDP Deflator and multiplied by the number of occasions reported by survey participants to calculate total costs.</w:t>
      </w:r>
    </w:p>
    <w:p w14:paraId="615239BF" w14:textId="77777777" w:rsidR="00B23188" w:rsidRDefault="00B23188" w:rsidP="00D01D94">
      <w:pPr>
        <w:spacing w:after="0" w:line="360" w:lineRule="auto"/>
        <w:jc w:val="both"/>
        <w:rPr>
          <w:rFonts w:ascii="Arial" w:hAnsi="Arial" w:cs="Arial"/>
          <w:b/>
        </w:rPr>
      </w:pPr>
    </w:p>
    <w:p w14:paraId="6F9BA0A1" w14:textId="77777777" w:rsidR="007F3E19" w:rsidRDefault="007F3E19" w:rsidP="00044966">
      <w:pPr>
        <w:spacing w:line="360" w:lineRule="auto"/>
        <w:jc w:val="both"/>
        <w:rPr>
          <w:rFonts w:ascii="Arial" w:hAnsi="Arial" w:cs="Arial"/>
          <w:b/>
          <w:sz w:val="24"/>
        </w:rPr>
      </w:pPr>
      <w:r>
        <w:rPr>
          <w:rFonts w:ascii="Arial" w:hAnsi="Arial" w:cs="Arial"/>
          <w:b/>
          <w:sz w:val="24"/>
        </w:rPr>
        <w:t>Results</w:t>
      </w:r>
    </w:p>
    <w:p w14:paraId="406E3AC6" w14:textId="77777777" w:rsidR="00441A4C" w:rsidRPr="00441A4C" w:rsidRDefault="00441A4C" w:rsidP="004A6961">
      <w:pPr>
        <w:spacing w:after="0" w:line="360" w:lineRule="auto"/>
        <w:jc w:val="both"/>
        <w:rPr>
          <w:rFonts w:ascii="Arial" w:hAnsi="Arial" w:cs="Arial"/>
          <w:b/>
        </w:rPr>
      </w:pPr>
      <w:r>
        <w:rPr>
          <w:rFonts w:ascii="Arial" w:hAnsi="Arial" w:cs="Arial"/>
          <w:b/>
        </w:rPr>
        <w:t>Demographics</w:t>
      </w:r>
    </w:p>
    <w:p w14:paraId="5FD18230" w14:textId="037028EC" w:rsidR="007F3E19" w:rsidRPr="00F84793" w:rsidRDefault="007A3286" w:rsidP="00616D3D">
      <w:pPr>
        <w:spacing w:after="0" w:line="360" w:lineRule="auto"/>
        <w:jc w:val="both"/>
        <w:rPr>
          <w:rFonts w:ascii="Arial" w:hAnsi="Arial" w:cs="Arial"/>
          <w:color w:val="FF0000"/>
        </w:rPr>
      </w:pPr>
      <w:r w:rsidRPr="00F34048">
        <w:rPr>
          <w:rFonts w:ascii="Arial" w:hAnsi="Arial" w:cs="Arial"/>
        </w:rPr>
        <w:t>Of 7,731</w:t>
      </w:r>
      <w:r w:rsidR="00563D86" w:rsidRPr="00F34048">
        <w:rPr>
          <w:rFonts w:ascii="Arial" w:hAnsi="Arial" w:cs="Arial"/>
        </w:rPr>
        <w:t xml:space="preserve"> survey participants aged 18 years or older</w:t>
      </w:r>
      <w:r w:rsidR="005C6AD3" w:rsidRPr="00363B16">
        <w:rPr>
          <w:rFonts w:ascii="Arial" w:hAnsi="Arial" w:cs="Arial"/>
        </w:rPr>
        <w:t xml:space="preserve">, </w:t>
      </w:r>
      <w:r w:rsidR="00E22802" w:rsidRPr="00363B16">
        <w:rPr>
          <w:rFonts w:ascii="Arial" w:hAnsi="Arial" w:cs="Arial"/>
        </w:rPr>
        <w:t>2</w:t>
      </w:r>
      <w:r w:rsidR="00E22802" w:rsidRPr="00616D3D">
        <w:rPr>
          <w:rFonts w:ascii="Arial" w:hAnsi="Arial" w:cs="Arial"/>
        </w:rPr>
        <w:t>,000 people were aged 65 or above according to the age band (Wave 1=1,129</w:t>
      </w:r>
      <w:r w:rsidR="00DB53EC" w:rsidRPr="00616D3D">
        <w:rPr>
          <w:rFonts w:ascii="Arial" w:hAnsi="Arial" w:cs="Arial"/>
        </w:rPr>
        <w:t>; Wave 2</w:t>
      </w:r>
      <w:r w:rsidR="00E22802" w:rsidRPr="00616D3D">
        <w:rPr>
          <w:rFonts w:ascii="Arial" w:hAnsi="Arial" w:cs="Arial"/>
        </w:rPr>
        <w:t>=871)</w:t>
      </w:r>
      <w:r w:rsidR="00781D41" w:rsidRPr="00616D3D">
        <w:rPr>
          <w:rFonts w:ascii="Arial" w:hAnsi="Arial" w:cs="Arial"/>
        </w:rPr>
        <w:t xml:space="preserve"> </w:t>
      </w:r>
      <w:r w:rsidR="00E22802" w:rsidRPr="00616D3D">
        <w:rPr>
          <w:rFonts w:ascii="Arial" w:hAnsi="Arial" w:cs="Arial"/>
        </w:rPr>
        <w:t>(25.9</w:t>
      </w:r>
      <w:r w:rsidR="00781D41" w:rsidRPr="00616D3D">
        <w:rPr>
          <w:rFonts w:ascii="Arial" w:hAnsi="Arial" w:cs="Arial"/>
        </w:rPr>
        <w:t>%)</w:t>
      </w:r>
      <w:r w:rsidR="00563D86" w:rsidRPr="00616D3D">
        <w:rPr>
          <w:rFonts w:ascii="Arial" w:hAnsi="Arial" w:cs="Arial"/>
        </w:rPr>
        <w:t xml:space="preserve">. </w:t>
      </w:r>
      <w:r w:rsidR="00563D86" w:rsidRPr="00363B16">
        <w:rPr>
          <w:rFonts w:ascii="Arial" w:hAnsi="Arial" w:cs="Arial"/>
        </w:rPr>
        <w:t xml:space="preserve">More participants </w:t>
      </w:r>
      <w:r w:rsidR="007B34AE">
        <w:rPr>
          <w:rFonts w:ascii="Arial" w:hAnsi="Arial" w:cs="Arial"/>
        </w:rPr>
        <w:t xml:space="preserve">provided </w:t>
      </w:r>
      <w:r w:rsidR="00563D86" w:rsidRPr="00363B16">
        <w:rPr>
          <w:rFonts w:ascii="Arial" w:hAnsi="Arial" w:cs="Arial"/>
        </w:rPr>
        <w:t>the age band than their actual age.</w:t>
      </w:r>
      <w:r w:rsidR="000550D0" w:rsidRPr="00363B16">
        <w:rPr>
          <w:rFonts w:ascii="Arial" w:hAnsi="Arial" w:cs="Arial"/>
        </w:rPr>
        <w:t xml:space="preserve"> </w:t>
      </w:r>
      <w:r w:rsidR="00F34048" w:rsidRPr="00363B16">
        <w:rPr>
          <w:rFonts w:ascii="Arial" w:hAnsi="Arial" w:cs="Arial"/>
        </w:rPr>
        <w:t xml:space="preserve">Where </w:t>
      </w:r>
      <w:r w:rsidR="00BD5497">
        <w:rPr>
          <w:rFonts w:ascii="Arial" w:hAnsi="Arial" w:cs="Arial"/>
        </w:rPr>
        <w:t>a household completed the surv</w:t>
      </w:r>
      <w:r w:rsidR="000967D6">
        <w:rPr>
          <w:rFonts w:ascii="Arial" w:hAnsi="Arial" w:cs="Arial"/>
        </w:rPr>
        <w:t xml:space="preserve">ey in both waves, only the first wave data were included, </w:t>
      </w:r>
      <w:r w:rsidR="00295BE8" w:rsidRPr="00363B16">
        <w:rPr>
          <w:rFonts w:ascii="Arial" w:hAnsi="Arial" w:cs="Arial"/>
        </w:rPr>
        <w:t xml:space="preserve">resulting in </w:t>
      </w:r>
      <w:r w:rsidR="00694225" w:rsidRPr="00363B16">
        <w:rPr>
          <w:rFonts w:ascii="Arial" w:hAnsi="Arial" w:cs="Arial"/>
        </w:rPr>
        <w:t>1,771</w:t>
      </w:r>
      <w:r w:rsidR="00295BE8" w:rsidRPr="00363B16">
        <w:rPr>
          <w:rFonts w:ascii="Arial" w:hAnsi="Arial" w:cs="Arial"/>
        </w:rPr>
        <w:t xml:space="preserve"> </w:t>
      </w:r>
      <w:r w:rsidR="00563D86" w:rsidRPr="00363B16">
        <w:rPr>
          <w:rFonts w:ascii="Arial" w:hAnsi="Arial" w:cs="Arial"/>
        </w:rPr>
        <w:t>OAs</w:t>
      </w:r>
      <w:r w:rsidR="00295BE8" w:rsidRPr="00363B16">
        <w:rPr>
          <w:rFonts w:ascii="Arial" w:hAnsi="Arial" w:cs="Arial"/>
        </w:rPr>
        <w:t xml:space="preserve">. </w:t>
      </w:r>
      <w:r w:rsidR="00616D3D" w:rsidRPr="00616D3D">
        <w:rPr>
          <w:rFonts w:ascii="Arial" w:hAnsi="Arial" w:cs="Arial"/>
        </w:rPr>
        <w:t xml:space="preserve">Using IQR analysis, 84 </w:t>
      </w:r>
      <w:r w:rsidR="005B05FF">
        <w:rPr>
          <w:rFonts w:ascii="Arial" w:hAnsi="Arial" w:cs="Arial"/>
        </w:rPr>
        <w:t>OAs</w:t>
      </w:r>
      <w:r w:rsidR="00616D3D" w:rsidRPr="00616D3D">
        <w:rPr>
          <w:rFonts w:ascii="Arial" w:hAnsi="Arial" w:cs="Arial"/>
        </w:rPr>
        <w:t xml:space="preserve"> were removed for having had 26+ GP visits and/or 7+ A&amp;E attendances in the past 12 months</w:t>
      </w:r>
      <w:r w:rsidR="00743C37">
        <w:rPr>
          <w:rFonts w:ascii="Arial" w:hAnsi="Arial" w:cs="Arial"/>
        </w:rPr>
        <w:t>, resulting in a total of 1,685</w:t>
      </w:r>
      <w:r w:rsidR="00616D3D" w:rsidRPr="00616D3D">
        <w:rPr>
          <w:rFonts w:ascii="Arial" w:hAnsi="Arial" w:cs="Arial"/>
        </w:rPr>
        <w:t xml:space="preserve"> </w:t>
      </w:r>
      <w:r w:rsidR="005B05FF">
        <w:rPr>
          <w:rFonts w:ascii="Arial" w:hAnsi="Arial" w:cs="Arial"/>
        </w:rPr>
        <w:t xml:space="preserve">people </w:t>
      </w:r>
      <w:r w:rsidR="00616D3D" w:rsidRPr="00616D3D">
        <w:rPr>
          <w:rFonts w:ascii="Arial" w:hAnsi="Arial" w:cs="Arial"/>
        </w:rPr>
        <w:t xml:space="preserve">included </w:t>
      </w:r>
      <w:r w:rsidR="00616D3D">
        <w:rPr>
          <w:rFonts w:ascii="Arial" w:hAnsi="Arial" w:cs="Arial"/>
        </w:rPr>
        <w:t>in this analysis</w:t>
      </w:r>
      <w:r w:rsidR="00743C37">
        <w:rPr>
          <w:rFonts w:ascii="Arial" w:hAnsi="Arial" w:cs="Arial"/>
        </w:rPr>
        <w:t xml:space="preserve"> (Wave 1= 983</w:t>
      </w:r>
      <w:r w:rsidR="00616D3D">
        <w:rPr>
          <w:rFonts w:ascii="Arial" w:hAnsi="Arial" w:cs="Arial"/>
        </w:rPr>
        <w:t xml:space="preserve">; Wave 2= </w:t>
      </w:r>
      <w:r w:rsidR="00743C37">
        <w:rPr>
          <w:rFonts w:ascii="Arial" w:hAnsi="Arial" w:cs="Arial"/>
        </w:rPr>
        <w:t>702</w:t>
      </w:r>
      <w:r w:rsidR="00616D3D">
        <w:rPr>
          <w:rFonts w:ascii="Arial" w:hAnsi="Arial" w:cs="Arial"/>
        </w:rPr>
        <w:t>)</w:t>
      </w:r>
      <w:r w:rsidR="00616D3D" w:rsidRPr="00616D3D">
        <w:rPr>
          <w:rFonts w:ascii="Arial" w:hAnsi="Arial" w:cs="Arial"/>
        </w:rPr>
        <w:t>.</w:t>
      </w:r>
      <w:r w:rsidR="00616D3D">
        <w:rPr>
          <w:rFonts w:ascii="Arial" w:hAnsi="Arial" w:cs="Arial"/>
        </w:rPr>
        <w:t xml:space="preserve"> </w:t>
      </w:r>
      <w:r w:rsidRPr="00363B16">
        <w:rPr>
          <w:rFonts w:ascii="Arial" w:hAnsi="Arial" w:cs="Arial"/>
        </w:rPr>
        <w:t>Further details</w:t>
      </w:r>
      <w:r w:rsidRPr="00F34048">
        <w:rPr>
          <w:rFonts w:ascii="Arial" w:hAnsi="Arial" w:cs="Arial"/>
        </w:rPr>
        <w:t xml:space="preserve"> of the sample selection are </w:t>
      </w:r>
      <w:r w:rsidRPr="00F84793">
        <w:rPr>
          <w:rFonts w:ascii="Arial" w:hAnsi="Arial" w:cs="Arial"/>
        </w:rPr>
        <w:t>detailed in Figure 1.</w:t>
      </w:r>
    </w:p>
    <w:p w14:paraId="037C577D" w14:textId="6492E2B0" w:rsidR="00DB53EC" w:rsidRPr="00743C37" w:rsidRDefault="00694225" w:rsidP="008B2430">
      <w:pPr>
        <w:spacing w:after="0" w:line="360" w:lineRule="auto"/>
        <w:ind w:firstLine="720"/>
        <w:jc w:val="both"/>
        <w:rPr>
          <w:rFonts w:ascii="Arial" w:hAnsi="Arial" w:cs="Arial"/>
        </w:rPr>
      </w:pPr>
      <w:r w:rsidRPr="00F84793">
        <w:rPr>
          <w:rFonts w:ascii="Arial" w:hAnsi="Arial" w:cs="Arial"/>
        </w:rPr>
        <w:t>Of the 1,</w:t>
      </w:r>
      <w:r w:rsidR="00743C37" w:rsidRPr="00F84793">
        <w:rPr>
          <w:rFonts w:ascii="Arial" w:hAnsi="Arial" w:cs="Arial"/>
        </w:rPr>
        <w:t>685</w:t>
      </w:r>
      <w:r w:rsidR="00563D86" w:rsidRPr="00F84793">
        <w:rPr>
          <w:rFonts w:ascii="Arial" w:hAnsi="Arial" w:cs="Arial"/>
        </w:rPr>
        <w:t xml:space="preserve"> included OAs, </w:t>
      </w:r>
      <w:r w:rsidR="008B2430" w:rsidRPr="00F84793">
        <w:rPr>
          <w:rFonts w:ascii="Arial" w:hAnsi="Arial" w:cs="Arial"/>
        </w:rPr>
        <w:t xml:space="preserve">people were </w:t>
      </w:r>
      <w:r w:rsidR="00406A81">
        <w:rPr>
          <w:rFonts w:ascii="Arial" w:hAnsi="Arial" w:cs="Arial"/>
        </w:rPr>
        <w:t xml:space="preserve">on average </w:t>
      </w:r>
      <w:r w:rsidR="008B2430" w:rsidRPr="00F84793">
        <w:rPr>
          <w:rFonts w:ascii="Arial" w:hAnsi="Arial" w:cs="Arial"/>
        </w:rPr>
        <w:t>aged 75</w:t>
      </w:r>
      <w:r w:rsidR="006F28A7" w:rsidRPr="00F84793">
        <w:rPr>
          <w:rFonts w:ascii="Arial" w:hAnsi="Arial" w:cs="Arial"/>
        </w:rPr>
        <w:t xml:space="preserve"> years (+/- 7</w:t>
      </w:r>
      <w:r w:rsidR="00B23FD7" w:rsidRPr="00F84793">
        <w:rPr>
          <w:rFonts w:ascii="Arial" w:hAnsi="Arial" w:cs="Arial"/>
        </w:rPr>
        <w:t>) and</w:t>
      </w:r>
      <w:r w:rsidR="008B2430" w:rsidRPr="00F84793">
        <w:rPr>
          <w:rFonts w:ascii="Arial" w:hAnsi="Arial" w:cs="Arial"/>
        </w:rPr>
        <w:t xml:space="preserve"> primarily </w:t>
      </w:r>
      <w:r w:rsidR="008B2430" w:rsidRPr="00743C37">
        <w:rPr>
          <w:rFonts w:ascii="Arial" w:hAnsi="Arial" w:cs="Arial"/>
        </w:rPr>
        <w:t>female (</w:t>
      </w:r>
      <w:r w:rsidR="00752F91" w:rsidRPr="00743C37">
        <w:rPr>
          <w:rFonts w:ascii="Arial" w:hAnsi="Arial" w:cs="Arial"/>
        </w:rPr>
        <w:t>56.6%) and White British (95.</w:t>
      </w:r>
      <w:r w:rsidR="00743C37" w:rsidRPr="00743C37">
        <w:rPr>
          <w:rFonts w:ascii="Arial" w:hAnsi="Arial" w:cs="Arial"/>
        </w:rPr>
        <w:t>4</w:t>
      </w:r>
      <w:r w:rsidR="008B2430" w:rsidRPr="00743C37">
        <w:rPr>
          <w:rFonts w:ascii="Arial" w:hAnsi="Arial" w:cs="Arial"/>
        </w:rPr>
        <w:t>%</w:t>
      </w:r>
      <w:r w:rsidR="00B23FD7" w:rsidRPr="00743C37">
        <w:rPr>
          <w:rFonts w:ascii="Arial" w:hAnsi="Arial" w:cs="Arial"/>
        </w:rPr>
        <w:t>)</w:t>
      </w:r>
      <w:r w:rsidR="00D11E2D">
        <w:rPr>
          <w:rFonts w:ascii="Arial" w:hAnsi="Arial" w:cs="Arial"/>
        </w:rPr>
        <w:t xml:space="preserve"> (see Table 2</w:t>
      </w:r>
      <w:r w:rsidR="008B2430" w:rsidRPr="00743C37">
        <w:rPr>
          <w:rFonts w:ascii="Arial" w:hAnsi="Arial" w:cs="Arial"/>
        </w:rPr>
        <w:t>)</w:t>
      </w:r>
      <w:r w:rsidR="00B23FD7" w:rsidRPr="00743C37">
        <w:rPr>
          <w:rFonts w:ascii="Arial" w:hAnsi="Arial" w:cs="Arial"/>
        </w:rPr>
        <w:t>.</w:t>
      </w:r>
      <w:r w:rsidR="008B2430" w:rsidRPr="00743C37">
        <w:rPr>
          <w:rFonts w:ascii="Arial" w:hAnsi="Arial" w:cs="Arial"/>
        </w:rPr>
        <w:t xml:space="preserve"> </w:t>
      </w:r>
      <w:r w:rsidR="00743C37" w:rsidRPr="00743C37">
        <w:rPr>
          <w:rFonts w:ascii="Arial" w:hAnsi="Arial" w:cs="Arial"/>
        </w:rPr>
        <w:t>Most OAs were living alone (55.4</w:t>
      </w:r>
      <w:r w:rsidR="008B2430" w:rsidRPr="00743C37">
        <w:rPr>
          <w:rFonts w:ascii="Arial" w:hAnsi="Arial" w:cs="Arial"/>
        </w:rPr>
        <w:t>%</w:t>
      </w:r>
      <w:r w:rsidR="006F28A7" w:rsidRPr="00743C37">
        <w:rPr>
          <w:rFonts w:ascii="Arial" w:hAnsi="Arial" w:cs="Arial"/>
        </w:rPr>
        <w:t>)</w:t>
      </w:r>
      <w:r w:rsidR="008B2430" w:rsidRPr="00743C37">
        <w:rPr>
          <w:rFonts w:ascii="Arial" w:hAnsi="Arial" w:cs="Arial"/>
        </w:rPr>
        <w:t xml:space="preserve">. </w:t>
      </w:r>
      <w:r w:rsidR="00E22362" w:rsidRPr="00743C37">
        <w:rPr>
          <w:rFonts w:ascii="Arial" w:hAnsi="Arial" w:cs="Arial"/>
        </w:rPr>
        <w:t xml:space="preserve">OAs lived in some of the most disadvantaged neighbourhoods of the country, based on the IMD </w:t>
      </w:r>
      <w:r w:rsidR="005B05FF">
        <w:rPr>
          <w:rFonts w:ascii="Arial" w:hAnsi="Arial" w:cs="Arial"/>
        </w:rPr>
        <w:t>quintile of residence</w:t>
      </w:r>
      <w:r w:rsidR="00E22362" w:rsidRPr="00743C37">
        <w:rPr>
          <w:rFonts w:ascii="Arial" w:hAnsi="Arial" w:cs="Arial"/>
        </w:rPr>
        <w:t>.</w:t>
      </w:r>
      <w:r w:rsidR="008B2430" w:rsidRPr="00743C37">
        <w:rPr>
          <w:rFonts w:ascii="Arial" w:hAnsi="Arial" w:cs="Arial"/>
        </w:rPr>
        <w:t xml:space="preserve"> </w:t>
      </w:r>
      <w:r w:rsidR="005B05FF">
        <w:rPr>
          <w:rFonts w:ascii="Arial" w:hAnsi="Arial" w:cs="Arial"/>
        </w:rPr>
        <w:t>Just under</w:t>
      </w:r>
      <w:r w:rsidR="00E22362" w:rsidRPr="00743C37">
        <w:rPr>
          <w:rFonts w:ascii="Arial" w:hAnsi="Arial" w:cs="Arial"/>
        </w:rPr>
        <w:t xml:space="preserve"> half of </w:t>
      </w:r>
      <w:r w:rsidR="005B05FF">
        <w:rPr>
          <w:rFonts w:ascii="Arial" w:hAnsi="Arial" w:cs="Arial"/>
        </w:rPr>
        <w:t xml:space="preserve">the </w:t>
      </w:r>
      <w:r w:rsidR="00E22362" w:rsidRPr="00743C37">
        <w:rPr>
          <w:rFonts w:ascii="Arial" w:hAnsi="Arial" w:cs="Arial"/>
        </w:rPr>
        <w:t xml:space="preserve">OAs experienced some problems with their </w:t>
      </w:r>
      <w:r w:rsidR="00E22362" w:rsidRPr="00780FC6">
        <w:rPr>
          <w:rFonts w:ascii="Arial" w:hAnsi="Arial" w:cs="Arial"/>
        </w:rPr>
        <w:t xml:space="preserve">mobility or were unable to walk. </w:t>
      </w:r>
      <w:r w:rsidR="009827A7">
        <w:rPr>
          <w:rFonts w:ascii="Arial" w:hAnsi="Arial" w:cs="Arial"/>
        </w:rPr>
        <w:t xml:space="preserve">One quarter of OAs had an educational qualification </w:t>
      </w:r>
      <w:r w:rsidR="005B05FF">
        <w:rPr>
          <w:rFonts w:ascii="Arial" w:hAnsi="Arial" w:cs="Arial"/>
        </w:rPr>
        <w:t>with a certificate (26.1%), and a small proportion of OAs</w:t>
      </w:r>
      <w:r w:rsidR="009827A7">
        <w:rPr>
          <w:rFonts w:ascii="Arial" w:hAnsi="Arial" w:cs="Arial"/>
        </w:rPr>
        <w:t xml:space="preserve"> had a degree (7.7%). </w:t>
      </w:r>
      <w:r w:rsidR="00E22362" w:rsidRPr="00780FC6">
        <w:rPr>
          <w:rFonts w:ascii="Arial" w:hAnsi="Arial" w:cs="Arial"/>
        </w:rPr>
        <w:t xml:space="preserve">More than one third reported difficulties with performing their usual activities, and a </w:t>
      </w:r>
      <w:proofErr w:type="gramStart"/>
      <w:r w:rsidR="00E22362" w:rsidRPr="00780FC6">
        <w:rPr>
          <w:rFonts w:ascii="Arial" w:hAnsi="Arial" w:cs="Arial"/>
        </w:rPr>
        <w:t>minority experienced problems</w:t>
      </w:r>
      <w:proofErr w:type="gramEnd"/>
      <w:r w:rsidR="00E22362" w:rsidRPr="00780FC6">
        <w:rPr>
          <w:rFonts w:ascii="Arial" w:hAnsi="Arial" w:cs="Arial"/>
        </w:rPr>
        <w:t xml:space="preserve"> with washing </w:t>
      </w:r>
      <w:r w:rsidR="00780FC6" w:rsidRPr="00780FC6">
        <w:rPr>
          <w:rFonts w:ascii="Arial" w:hAnsi="Arial" w:cs="Arial"/>
        </w:rPr>
        <w:t>and/or dressing themselves (17.0</w:t>
      </w:r>
      <w:r w:rsidR="00E22362" w:rsidRPr="00780FC6">
        <w:rPr>
          <w:rFonts w:ascii="Arial" w:hAnsi="Arial" w:cs="Arial"/>
        </w:rPr>
        <w:t xml:space="preserve">%). </w:t>
      </w:r>
      <w:r w:rsidR="00C65903" w:rsidRPr="00780FC6">
        <w:rPr>
          <w:rFonts w:ascii="Arial" w:hAnsi="Arial" w:cs="Arial"/>
        </w:rPr>
        <w:t xml:space="preserve">This resulted in frailty scores based on the CFS, whereby the majority of </w:t>
      </w:r>
      <w:r w:rsidR="00743C37" w:rsidRPr="00780FC6">
        <w:rPr>
          <w:rFonts w:ascii="Arial" w:hAnsi="Arial" w:cs="Arial"/>
        </w:rPr>
        <w:t>OAs was considered</w:t>
      </w:r>
      <w:r w:rsidR="00743C37" w:rsidRPr="00743C37">
        <w:rPr>
          <w:rFonts w:ascii="Arial" w:hAnsi="Arial" w:cs="Arial"/>
        </w:rPr>
        <w:t xml:space="preserve"> not frail (83</w:t>
      </w:r>
      <w:r w:rsidR="00C65903" w:rsidRPr="00743C37">
        <w:rPr>
          <w:rFonts w:ascii="Arial" w:hAnsi="Arial" w:cs="Arial"/>
        </w:rPr>
        <w:t>.</w:t>
      </w:r>
      <w:r w:rsidR="00743C37" w:rsidRPr="00743C37">
        <w:rPr>
          <w:rFonts w:ascii="Arial" w:hAnsi="Arial" w:cs="Arial"/>
        </w:rPr>
        <w:t>8%), with 11.3% being moderately frail and 4.9</w:t>
      </w:r>
      <w:r w:rsidR="00C65903" w:rsidRPr="00743C37">
        <w:rPr>
          <w:rFonts w:ascii="Arial" w:hAnsi="Arial" w:cs="Arial"/>
        </w:rPr>
        <w:t xml:space="preserve">% severely frail. </w:t>
      </w:r>
      <w:r w:rsidR="00E22362" w:rsidRPr="00743C37">
        <w:rPr>
          <w:rFonts w:ascii="Arial" w:hAnsi="Arial" w:cs="Arial"/>
        </w:rPr>
        <w:t xml:space="preserve">Regarding social </w:t>
      </w:r>
      <w:r w:rsidR="00184633">
        <w:rPr>
          <w:rFonts w:ascii="Arial" w:hAnsi="Arial" w:cs="Arial"/>
        </w:rPr>
        <w:t>support</w:t>
      </w:r>
      <w:r w:rsidR="00E22362" w:rsidRPr="00743C37">
        <w:rPr>
          <w:rFonts w:ascii="Arial" w:hAnsi="Arial" w:cs="Arial"/>
        </w:rPr>
        <w:t>, the majority of OAs reported a strong social support network, by having people who would sup</w:t>
      </w:r>
      <w:r w:rsidR="00743C37" w:rsidRPr="00743C37">
        <w:rPr>
          <w:rFonts w:ascii="Arial" w:hAnsi="Arial" w:cs="Arial"/>
        </w:rPr>
        <w:t>port them when needed help (95.5</w:t>
      </w:r>
      <w:r w:rsidR="00E22362" w:rsidRPr="00743C37">
        <w:rPr>
          <w:rFonts w:ascii="Arial" w:hAnsi="Arial" w:cs="Arial"/>
        </w:rPr>
        <w:t>%) and by having people to call on if they wanted to socialis</w:t>
      </w:r>
      <w:r w:rsidR="00743C37" w:rsidRPr="00743C37">
        <w:rPr>
          <w:rFonts w:ascii="Arial" w:hAnsi="Arial" w:cs="Arial"/>
        </w:rPr>
        <w:t>e (93.5</w:t>
      </w:r>
      <w:r w:rsidR="00E22362" w:rsidRPr="00743C37">
        <w:rPr>
          <w:rFonts w:ascii="Arial" w:hAnsi="Arial" w:cs="Arial"/>
        </w:rPr>
        <w:t>%).</w:t>
      </w:r>
      <w:r w:rsidR="00206D00" w:rsidRPr="00743C37">
        <w:rPr>
          <w:rFonts w:ascii="Arial" w:hAnsi="Arial" w:cs="Arial"/>
        </w:rPr>
        <w:t xml:space="preserve"> </w:t>
      </w:r>
      <w:r w:rsidR="00743C37" w:rsidRPr="00743C37">
        <w:rPr>
          <w:rFonts w:ascii="Arial" w:hAnsi="Arial" w:cs="Arial"/>
        </w:rPr>
        <w:t>26.1</w:t>
      </w:r>
      <w:r w:rsidR="006F28A7" w:rsidRPr="00743C37">
        <w:rPr>
          <w:rFonts w:ascii="Arial" w:hAnsi="Arial" w:cs="Arial"/>
        </w:rPr>
        <w:t>% of</w:t>
      </w:r>
      <w:r w:rsidR="00206D00" w:rsidRPr="00743C37">
        <w:rPr>
          <w:rFonts w:ascii="Arial" w:hAnsi="Arial" w:cs="Arial"/>
        </w:rPr>
        <w:t xml:space="preserve"> OAs have taken part in </w:t>
      </w:r>
      <w:r w:rsidR="005D3C9B" w:rsidRPr="00743C37">
        <w:rPr>
          <w:rFonts w:ascii="Arial" w:hAnsi="Arial" w:cs="Arial"/>
        </w:rPr>
        <w:t xml:space="preserve">groups, clubs, or organisations in the past 12 months. </w:t>
      </w:r>
    </w:p>
    <w:p w14:paraId="5435070A" w14:textId="4A5CABC1" w:rsidR="0001302A" w:rsidRDefault="00743C37" w:rsidP="00B23FD7">
      <w:pPr>
        <w:spacing w:line="360" w:lineRule="auto"/>
        <w:ind w:firstLine="720"/>
        <w:jc w:val="both"/>
        <w:rPr>
          <w:rFonts w:ascii="Arial" w:hAnsi="Arial" w:cs="Arial"/>
        </w:rPr>
      </w:pPr>
      <w:r w:rsidRPr="00743C37">
        <w:rPr>
          <w:rFonts w:ascii="Arial" w:hAnsi="Arial" w:cs="Arial"/>
        </w:rPr>
        <w:lastRenderedPageBreak/>
        <w:t>In the past 12 months, 25</w:t>
      </w:r>
      <w:r w:rsidR="001B4F63" w:rsidRPr="00743C37">
        <w:rPr>
          <w:rFonts w:ascii="Arial" w:hAnsi="Arial" w:cs="Arial"/>
        </w:rPr>
        <w:t>% of OAs had attended an A&amp;E department (</w:t>
      </w:r>
      <w:r w:rsidRPr="00743C37">
        <w:rPr>
          <w:rFonts w:ascii="Arial" w:hAnsi="Arial" w:cs="Arial"/>
        </w:rPr>
        <w:t>n=419</w:t>
      </w:r>
      <w:r w:rsidR="001E3D91" w:rsidRPr="00743C37">
        <w:rPr>
          <w:rFonts w:ascii="Arial" w:hAnsi="Arial" w:cs="Arial"/>
        </w:rPr>
        <w:t>)</w:t>
      </w:r>
      <w:r w:rsidR="00984C19" w:rsidRPr="00743C37">
        <w:rPr>
          <w:rFonts w:ascii="Arial" w:hAnsi="Arial" w:cs="Arial"/>
        </w:rPr>
        <w:t xml:space="preserve"> </w:t>
      </w:r>
      <w:r w:rsidR="001B4F63" w:rsidRPr="00743C37">
        <w:rPr>
          <w:rFonts w:ascii="Arial" w:hAnsi="Arial" w:cs="Arial"/>
        </w:rPr>
        <w:t xml:space="preserve">and </w:t>
      </w:r>
      <w:r w:rsidRPr="00743C37">
        <w:rPr>
          <w:rFonts w:ascii="Arial" w:hAnsi="Arial" w:cs="Arial"/>
        </w:rPr>
        <w:t>87.4</w:t>
      </w:r>
      <w:r w:rsidR="001B4F63" w:rsidRPr="00743C37">
        <w:rPr>
          <w:rFonts w:ascii="Arial" w:hAnsi="Arial" w:cs="Arial"/>
        </w:rPr>
        <w:t>% of OAs had either been to their GP surgery or have been visited by their GP or practice nurse in their own home (</w:t>
      </w:r>
      <w:r w:rsidRPr="00743C37">
        <w:rPr>
          <w:rFonts w:ascii="Arial" w:hAnsi="Arial" w:cs="Arial"/>
        </w:rPr>
        <w:t>n=1,473</w:t>
      </w:r>
      <w:r w:rsidR="001B4F63" w:rsidRPr="00743C37">
        <w:rPr>
          <w:rFonts w:ascii="Arial" w:hAnsi="Arial" w:cs="Arial"/>
        </w:rPr>
        <w:t>).</w:t>
      </w:r>
      <w:r w:rsidR="001B4F63">
        <w:rPr>
          <w:rFonts w:ascii="Arial" w:hAnsi="Arial" w:cs="Arial"/>
        </w:rPr>
        <w:t xml:space="preserve"> </w:t>
      </w:r>
    </w:p>
    <w:p w14:paraId="115BE00E" w14:textId="4818B0F4" w:rsidR="005C07E2" w:rsidRPr="00A24E0E" w:rsidRDefault="007A3286" w:rsidP="00044966">
      <w:pPr>
        <w:spacing w:line="360" w:lineRule="auto"/>
        <w:jc w:val="both"/>
        <w:rPr>
          <w:rFonts w:ascii="Arial" w:hAnsi="Arial" w:cs="Arial"/>
          <w:b/>
          <w:i/>
        </w:rPr>
      </w:pPr>
      <w:r w:rsidRPr="00A24E0E">
        <w:rPr>
          <w:rFonts w:ascii="Arial" w:hAnsi="Arial" w:cs="Arial"/>
          <w:b/>
          <w:i/>
        </w:rPr>
        <w:t>[Figure 1</w:t>
      </w:r>
      <w:r w:rsidR="00B23188" w:rsidRPr="00A24E0E">
        <w:rPr>
          <w:rFonts w:ascii="Arial" w:hAnsi="Arial" w:cs="Arial"/>
          <w:b/>
          <w:i/>
        </w:rPr>
        <w:t xml:space="preserve"> and Table 2</w:t>
      </w:r>
      <w:r w:rsidRPr="00A24E0E">
        <w:rPr>
          <w:rFonts w:ascii="Arial" w:hAnsi="Arial" w:cs="Arial"/>
          <w:b/>
          <w:i/>
        </w:rPr>
        <w:t>]</w:t>
      </w:r>
    </w:p>
    <w:p w14:paraId="62F8EAEF" w14:textId="594CBA4B" w:rsidR="00E559F9" w:rsidRDefault="00E559F9" w:rsidP="00673283">
      <w:pPr>
        <w:spacing w:after="0" w:line="360" w:lineRule="auto"/>
        <w:jc w:val="both"/>
        <w:rPr>
          <w:rFonts w:ascii="Arial" w:hAnsi="Arial" w:cs="Arial"/>
          <w:b/>
        </w:rPr>
      </w:pPr>
      <w:r>
        <w:rPr>
          <w:rFonts w:ascii="Arial" w:hAnsi="Arial" w:cs="Arial"/>
          <w:b/>
        </w:rPr>
        <w:t xml:space="preserve">Variations in GP and A&amp;E attendance by social </w:t>
      </w:r>
      <w:r w:rsidR="00184633">
        <w:rPr>
          <w:rFonts w:ascii="Arial" w:hAnsi="Arial" w:cs="Arial"/>
          <w:b/>
        </w:rPr>
        <w:t>support</w:t>
      </w:r>
    </w:p>
    <w:p w14:paraId="0259CE89" w14:textId="08816CE8" w:rsidR="00E559F9" w:rsidRDefault="00E559F9" w:rsidP="00044966">
      <w:pPr>
        <w:spacing w:line="360" w:lineRule="auto"/>
        <w:jc w:val="both"/>
        <w:rPr>
          <w:rFonts w:ascii="Arial" w:hAnsi="Arial" w:cs="Arial"/>
        </w:rPr>
      </w:pPr>
      <w:r>
        <w:rPr>
          <w:rFonts w:ascii="Arial" w:hAnsi="Arial" w:cs="Arial"/>
        </w:rPr>
        <w:t xml:space="preserve">Figure 2 shows GP and A&amp;E attendance by social </w:t>
      </w:r>
      <w:r w:rsidR="00184633">
        <w:rPr>
          <w:rFonts w:ascii="Arial" w:hAnsi="Arial" w:cs="Arial"/>
        </w:rPr>
        <w:t>support</w:t>
      </w:r>
      <w:r>
        <w:rPr>
          <w:rFonts w:ascii="Arial" w:hAnsi="Arial" w:cs="Arial"/>
        </w:rPr>
        <w:t>. Indepen</w:t>
      </w:r>
      <w:r w:rsidR="00391041">
        <w:rPr>
          <w:rFonts w:ascii="Arial" w:hAnsi="Arial" w:cs="Arial"/>
        </w:rPr>
        <w:t>dent t-tests showed</w:t>
      </w:r>
      <w:r>
        <w:rPr>
          <w:rFonts w:ascii="Arial" w:hAnsi="Arial" w:cs="Arial"/>
        </w:rPr>
        <w:t xml:space="preserve"> that there were no significant differences in healthcare utilisation between older adults wi</w:t>
      </w:r>
      <w:r w:rsidR="00980DBA">
        <w:rPr>
          <w:rFonts w:ascii="Arial" w:hAnsi="Arial" w:cs="Arial"/>
        </w:rPr>
        <w:t xml:space="preserve">th high and low social </w:t>
      </w:r>
      <w:r w:rsidR="00184633">
        <w:rPr>
          <w:rFonts w:ascii="Arial" w:hAnsi="Arial" w:cs="Arial"/>
        </w:rPr>
        <w:t>support</w:t>
      </w:r>
      <w:r w:rsidR="00980DBA">
        <w:rPr>
          <w:rFonts w:ascii="Arial" w:hAnsi="Arial" w:cs="Arial"/>
        </w:rPr>
        <w:t xml:space="preserve"> [</w:t>
      </w:r>
      <w:proofErr w:type="spellStart"/>
      <w:proofErr w:type="gramStart"/>
      <w:r w:rsidR="00980DBA">
        <w:rPr>
          <w:rFonts w:ascii="Arial" w:hAnsi="Arial" w:cs="Arial"/>
        </w:rPr>
        <w:t>t</w:t>
      </w:r>
      <w:r w:rsidR="00980DBA">
        <w:rPr>
          <w:rFonts w:ascii="Arial" w:hAnsi="Arial" w:cs="Arial"/>
          <w:vertAlign w:val="subscript"/>
        </w:rPr>
        <w:t>GP</w:t>
      </w:r>
      <w:proofErr w:type="spellEnd"/>
      <w:r w:rsidR="00980DBA">
        <w:rPr>
          <w:rFonts w:ascii="Arial" w:hAnsi="Arial" w:cs="Arial"/>
        </w:rPr>
        <w:t>(</w:t>
      </w:r>
      <w:proofErr w:type="gramEnd"/>
      <w:r w:rsidR="00980DBA">
        <w:rPr>
          <w:rFonts w:ascii="Arial" w:hAnsi="Arial" w:cs="Arial"/>
        </w:rPr>
        <w:t xml:space="preserve">1683)=.343, p=.732; </w:t>
      </w:r>
      <w:proofErr w:type="spellStart"/>
      <w:r w:rsidR="00980DBA">
        <w:rPr>
          <w:rFonts w:ascii="Arial" w:hAnsi="Arial" w:cs="Arial"/>
        </w:rPr>
        <w:t>t</w:t>
      </w:r>
      <w:r w:rsidR="00980DBA">
        <w:rPr>
          <w:rFonts w:ascii="Arial" w:hAnsi="Arial" w:cs="Arial"/>
          <w:vertAlign w:val="subscript"/>
        </w:rPr>
        <w:t>A&amp;E</w:t>
      </w:r>
      <w:proofErr w:type="spellEnd"/>
      <w:r w:rsidR="00980DBA">
        <w:rPr>
          <w:rFonts w:ascii="Arial" w:hAnsi="Arial" w:cs="Arial"/>
        </w:rPr>
        <w:t>(416)=.291, p=.772]</w:t>
      </w:r>
      <w:r>
        <w:rPr>
          <w:rFonts w:ascii="Arial" w:hAnsi="Arial" w:cs="Arial"/>
        </w:rPr>
        <w:t>.</w:t>
      </w:r>
    </w:p>
    <w:p w14:paraId="7DB8C487" w14:textId="18747E29" w:rsidR="00E559F9" w:rsidRPr="00A24E0E" w:rsidRDefault="00E559F9" w:rsidP="00044966">
      <w:pPr>
        <w:spacing w:line="360" w:lineRule="auto"/>
        <w:jc w:val="both"/>
        <w:rPr>
          <w:rFonts w:ascii="Arial" w:hAnsi="Arial" w:cs="Arial"/>
          <w:b/>
          <w:i/>
        </w:rPr>
      </w:pPr>
      <w:r w:rsidRPr="00A24E0E">
        <w:rPr>
          <w:rFonts w:ascii="Arial" w:hAnsi="Arial" w:cs="Arial"/>
          <w:b/>
          <w:i/>
        </w:rPr>
        <w:t>[Figure 2]</w:t>
      </w:r>
    </w:p>
    <w:p w14:paraId="0CAF2F43" w14:textId="749A566E" w:rsidR="005C07E2" w:rsidRDefault="00CB2E42" w:rsidP="00673283">
      <w:pPr>
        <w:spacing w:after="0" w:line="360" w:lineRule="auto"/>
        <w:jc w:val="both"/>
        <w:rPr>
          <w:rFonts w:ascii="Arial" w:hAnsi="Arial" w:cs="Arial"/>
          <w:b/>
        </w:rPr>
      </w:pPr>
      <w:r w:rsidRPr="0087794C">
        <w:rPr>
          <w:rFonts w:ascii="Arial" w:hAnsi="Arial" w:cs="Arial"/>
          <w:b/>
        </w:rPr>
        <w:t>Poisson regression models</w:t>
      </w:r>
      <w:r>
        <w:rPr>
          <w:rFonts w:ascii="Arial" w:hAnsi="Arial" w:cs="Arial"/>
          <w:b/>
        </w:rPr>
        <w:t xml:space="preserve"> on</w:t>
      </w:r>
      <w:r w:rsidR="00B04F04">
        <w:rPr>
          <w:rFonts w:ascii="Arial" w:hAnsi="Arial" w:cs="Arial"/>
          <w:b/>
        </w:rPr>
        <w:t xml:space="preserve"> GP </w:t>
      </w:r>
      <w:r w:rsidR="005C07E2" w:rsidRPr="009B1CF7">
        <w:rPr>
          <w:rFonts w:ascii="Arial" w:hAnsi="Arial" w:cs="Arial"/>
          <w:b/>
        </w:rPr>
        <w:t>attendance</w:t>
      </w:r>
      <w:r w:rsidR="000C50C7" w:rsidRPr="009B1CF7">
        <w:rPr>
          <w:rFonts w:ascii="Arial" w:hAnsi="Arial" w:cs="Arial"/>
          <w:b/>
        </w:rPr>
        <w:t xml:space="preserve"> </w:t>
      </w:r>
    </w:p>
    <w:p w14:paraId="1A7BAAAD" w14:textId="5BC39298" w:rsidR="000C50C7" w:rsidRDefault="00E559F9" w:rsidP="00385CDB">
      <w:pPr>
        <w:spacing w:after="0" w:line="360" w:lineRule="auto"/>
        <w:jc w:val="both"/>
        <w:rPr>
          <w:rFonts w:ascii="Arial" w:hAnsi="Arial" w:cs="Arial"/>
        </w:rPr>
      </w:pPr>
      <w:r>
        <w:rPr>
          <w:rFonts w:ascii="Arial" w:hAnsi="Arial" w:cs="Arial"/>
        </w:rPr>
        <w:t xml:space="preserve">Due to the non-normally distributed GP </w:t>
      </w:r>
      <w:r w:rsidR="009B1CF7">
        <w:rPr>
          <w:rFonts w:ascii="Arial" w:hAnsi="Arial" w:cs="Arial"/>
        </w:rPr>
        <w:t xml:space="preserve">attendance </w:t>
      </w:r>
      <w:r w:rsidR="00D0482B">
        <w:rPr>
          <w:rFonts w:ascii="Arial" w:hAnsi="Arial" w:cs="Arial"/>
        </w:rPr>
        <w:t xml:space="preserve">count </w:t>
      </w:r>
      <w:r>
        <w:rPr>
          <w:rFonts w:ascii="Arial" w:hAnsi="Arial" w:cs="Arial"/>
        </w:rPr>
        <w:t>data, Poisson regression was used to explore the effect</w:t>
      </w:r>
      <w:r w:rsidR="00753D2E">
        <w:rPr>
          <w:rFonts w:ascii="Arial" w:hAnsi="Arial" w:cs="Arial"/>
        </w:rPr>
        <w:t>s</w:t>
      </w:r>
      <w:r>
        <w:rPr>
          <w:rFonts w:ascii="Arial" w:hAnsi="Arial" w:cs="Arial"/>
        </w:rPr>
        <w:t xml:space="preserve"> o</w:t>
      </w:r>
      <w:r w:rsidR="00753D2E">
        <w:rPr>
          <w:rFonts w:ascii="Arial" w:hAnsi="Arial" w:cs="Arial"/>
        </w:rPr>
        <w:t xml:space="preserve">f social </w:t>
      </w:r>
      <w:r w:rsidR="00184633">
        <w:rPr>
          <w:rFonts w:ascii="Arial" w:hAnsi="Arial" w:cs="Arial"/>
        </w:rPr>
        <w:t>support</w:t>
      </w:r>
      <w:r w:rsidR="00753D2E">
        <w:rPr>
          <w:rFonts w:ascii="Arial" w:hAnsi="Arial" w:cs="Arial"/>
        </w:rPr>
        <w:t>, education,</w:t>
      </w:r>
      <w:r>
        <w:rPr>
          <w:rFonts w:ascii="Arial" w:hAnsi="Arial" w:cs="Arial"/>
        </w:rPr>
        <w:t xml:space="preserve"> </w:t>
      </w:r>
      <w:r w:rsidR="009B1CF7">
        <w:rPr>
          <w:rFonts w:ascii="Arial" w:hAnsi="Arial" w:cs="Arial"/>
        </w:rPr>
        <w:t xml:space="preserve">IMD quintile, </w:t>
      </w:r>
      <w:r>
        <w:rPr>
          <w:rFonts w:ascii="Arial" w:hAnsi="Arial" w:cs="Arial"/>
        </w:rPr>
        <w:t>frailty,</w:t>
      </w:r>
      <w:r w:rsidR="00753D2E">
        <w:rPr>
          <w:rFonts w:ascii="Arial" w:hAnsi="Arial" w:cs="Arial"/>
        </w:rPr>
        <w:t xml:space="preserve"> depression, living situation, and distance to GP,</w:t>
      </w:r>
      <w:r>
        <w:rPr>
          <w:rFonts w:ascii="Arial" w:hAnsi="Arial" w:cs="Arial"/>
        </w:rPr>
        <w:t xml:space="preserve"> whilst </w:t>
      </w:r>
      <w:r w:rsidR="00753D2E">
        <w:rPr>
          <w:rFonts w:ascii="Arial" w:hAnsi="Arial" w:cs="Arial"/>
        </w:rPr>
        <w:t xml:space="preserve">accounting for </w:t>
      </w:r>
      <w:r w:rsidR="0070602E">
        <w:rPr>
          <w:rFonts w:ascii="Arial" w:hAnsi="Arial" w:cs="Arial"/>
        </w:rPr>
        <w:t>gender</w:t>
      </w:r>
      <w:r w:rsidR="00753D2E">
        <w:rPr>
          <w:rFonts w:ascii="Arial" w:hAnsi="Arial" w:cs="Arial"/>
        </w:rPr>
        <w:t xml:space="preserve"> and ethnicity</w:t>
      </w:r>
      <w:r w:rsidR="00673283">
        <w:rPr>
          <w:rFonts w:ascii="Arial" w:hAnsi="Arial" w:cs="Arial"/>
        </w:rPr>
        <w:t xml:space="preserve">. </w:t>
      </w:r>
      <w:r w:rsidR="009B1CF7">
        <w:rPr>
          <w:rFonts w:ascii="Arial" w:hAnsi="Arial" w:cs="Arial"/>
        </w:rPr>
        <w:t>T</w:t>
      </w:r>
      <w:r w:rsidR="0070602E">
        <w:rPr>
          <w:rFonts w:ascii="Arial" w:hAnsi="Arial" w:cs="Arial"/>
        </w:rPr>
        <w:t>he Omnibus test showed that the model as a whole was signi</w:t>
      </w:r>
      <w:r w:rsidR="003D04BA">
        <w:rPr>
          <w:rFonts w:ascii="Arial" w:hAnsi="Arial" w:cs="Arial"/>
        </w:rPr>
        <w:t>ficant (p=.000</w:t>
      </w:r>
      <w:r w:rsidR="0070602E">
        <w:rPr>
          <w:rFonts w:ascii="Arial" w:hAnsi="Arial" w:cs="Arial"/>
        </w:rPr>
        <w:t>).</w:t>
      </w:r>
      <w:r w:rsidR="0087794C">
        <w:rPr>
          <w:rFonts w:ascii="Arial" w:hAnsi="Arial" w:cs="Arial"/>
        </w:rPr>
        <w:t xml:space="preserve"> Education, </w:t>
      </w:r>
      <w:r w:rsidR="00385CDB">
        <w:rPr>
          <w:rFonts w:ascii="Arial" w:hAnsi="Arial" w:cs="Arial"/>
        </w:rPr>
        <w:t xml:space="preserve">personal social </w:t>
      </w:r>
      <w:r w:rsidR="00184633">
        <w:rPr>
          <w:rFonts w:ascii="Arial" w:hAnsi="Arial" w:cs="Arial"/>
        </w:rPr>
        <w:t>support</w:t>
      </w:r>
      <w:r w:rsidR="00385CDB">
        <w:rPr>
          <w:rFonts w:ascii="Arial" w:hAnsi="Arial" w:cs="Arial"/>
        </w:rPr>
        <w:t xml:space="preserve">, </w:t>
      </w:r>
      <w:r w:rsidR="009B1CF7">
        <w:rPr>
          <w:rFonts w:ascii="Arial" w:hAnsi="Arial" w:cs="Arial"/>
        </w:rPr>
        <w:t xml:space="preserve">IMD quintile, </w:t>
      </w:r>
      <w:r w:rsidR="00385CDB">
        <w:rPr>
          <w:rFonts w:ascii="Arial" w:hAnsi="Arial" w:cs="Arial"/>
        </w:rPr>
        <w:t>frailty, distance to the nearest GP service, and depression were all significant parameters. OAs with an educational qualification were 7% less likely to attend their GP</w:t>
      </w:r>
      <w:r w:rsidR="005135B7">
        <w:rPr>
          <w:rFonts w:ascii="Arial" w:hAnsi="Arial" w:cs="Arial"/>
        </w:rPr>
        <w:t xml:space="preserve"> (p=.007)</w:t>
      </w:r>
      <w:r w:rsidR="00385CDB">
        <w:rPr>
          <w:rFonts w:ascii="Arial" w:hAnsi="Arial" w:cs="Arial"/>
        </w:rPr>
        <w:t xml:space="preserve">, and those with higher levels of personal social </w:t>
      </w:r>
      <w:r w:rsidR="00184633">
        <w:rPr>
          <w:rFonts w:ascii="Arial" w:hAnsi="Arial" w:cs="Arial"/>
        </w:rPr>
        <w:t>support</w:t>
      </w:r>
      <w:r w:rsidR="00385CDB">
        <w:rPr>
          <w:rFonts w:ascii="Arial" w:hAnsi="Arial" w:cs="Arial"/>
        </w:rPr>
        <w:t xml:space="preserve"> were 6% less likely to</w:t>
      </w:r>
      <w:r w:rsidR="00B93057">
        <w:rPr>
          <w:rFonts w:ascii="Arial" w:hAnsi="Arial" w:cs="Arial"/>
        </w:rPr>
        <w:t xml:space="preserve"> attend their GP (p=.008</w:t>
      </w:r>
      <w:r w:rsidR="00385CDB">
        <w:rPr>
          <w:rFonts w:ascii="Arial" w:hAnsi="Arial" w:cs="Arial"/>
        </w:rPr>
        <w:t xml:space="preserve">). OAs who were </w:t>
      </w:r>
      <w:r w:rsidR="00D54253">
        <w:rPr>
          <w:rFonts w:ascii="Arial" w:hAnsi="Arial" w:cs="Arial"/>
        </w:rPr>
        <w:t>moderately frail were 69% mo</w:t>
      </w:r>
      <w:r w:rsidR="00B93057">
        <w:rPr>
          <w:rFonts w:ascii="Arial" w:hAnsi="Arial" w:cs="Arial"/>
        </w:rPr>
        <w:t>re likely to attend their GP (p=</w:t>
      </w:r>
      <w:r w:rsidR="00D54253">
        <w:rPr>
          <w:rFonts w:ascii="Arial" w:hAnsi="Arial" w:cs="Arial"/>
        </w:rPr>
        <w:t>.00</w:t>
      </w:r>
      <w:r w:rsidR="00B93057">
        <w:rPr>
          <w:rFonts w:ascii="Arial" w:hAnsi="Arial" w:cs="Arial"/>
        </w:rPr>
        <w:t>0</w:t>
      </w:r>
      <w:r w:rsidR="00D54253">
        <w:rPr>
          <w:rFonts w:ascii="Arial" w:hAnsi="Arial" w:cs="Arial"/>
        </w:rPr>
        <w:t>), whilst severely frail OAs were 44% more likely to attend their GP than those wh</w:t>
      </w:r>
      <w:r w:rsidR="00B93057">
        <w:rPr>
          <w:rFonts w:ascii="Arial" w:hAnsi="Arial" w:cs="Arial"/>
        </w:rPr>
        <w:t>o were not frail (p=</w:t>
      </w:r>
      <w:r w:rsidR="00D54253">
        <w:rPr>
          <w:rFonts w:ascii="Arial" w:hAnsi="Arial" w:cs="Arial"/>
        </w:rPr>
        <w:t>.00</w:t>
      </w:r>
      <w:r w:rsidR="00B93057">
        <w:rPr>
          <w:rFonts w:ascii="Arial" w:hAnsi="Arial" w:cs="Arial"/>
        </w:rPr>
        <w:t>0</w:t>
      </w:r>
      <w:r w:rsidR="00D54253">
        <w:rPr>
          <w:rFonts w:ascii="Arial" w:hAnsi="Arial" w:cs="Arial"/>
        </w:rPr>
        <w:t xml:space="preserve">). </w:t>
      </w:r>
      <w:r w:rsidR="00385CDB">
        <w:rPr>
          <w:rFonts w:ascii="Arial" w:hAnsi="Arial" w:cs="Arial"/>
        </w:rPr>
        <w:t>Depression was linked to a 3% increase in likelihood of attending the GP</w:t>
      </w:r>
      <w:r w:rsidR="00B93057">
        <w:rPr>
          <w:rFonts w:ascii="Arial" w:hAnsi="Arial" w:cs="Arial"/>
        </w:rPr>
        <w:t xml:space="preserve"> (p=.000</w:t>
      </w:r>
      <w:r w:rsidR="00385CDB">
        <w:rPr>
          <w:rFonts w:ascii="Arial" w:hAnsi="Arial" w:cs="Arial"/>
        </w:rPr>
        <w:t>)</w:t>
      </w:r>
      <w:r w:rsidR="00F724D0">
        <w:rPr>
          <w:rFonts w:ascii="Arial" w:hAnsi="Arial" w:cs="Arial"/>
        </w:rPr>
        <w:t>. For every</w:t>
      </w:r>
      <w:r w:rsidR="00B2785B">
        <w:rPr>
          <w:rFonts w:ascii="Arial" w:hAnsi="Arial" w:cs="Arial"/>
        </w:rPr>
        <w:t xml:space="preserve"> 1 km increase</w:t>
      </w:r>
      <w:r w:rsidR="001E2641">
        <w:rPr>
          <w:rFonts w:ascii="Arial" w:hAnsi="Arial" w:cs="Arial"/>
        </w:rPr>
        <w:t xml:space="preserve"> in distance to the nearest GP</w:t>
      </w:r>
      <w:r w:rsidR="00F724D0">
        <w:rPr>
          <w:rFonts w:ascii="Arial" w:hAnsi="Arial" w:cs="Arial"/>
        </w:rPr>
        <w:t>,</w:t>
      </w:r>
      <w:r w:rsidR="001E2641">
        <w:rPr>
          <w:rFonts w:ascii="Arial" w:hAnsi="Arial" w:cs="Arial"/>
        </w:rPr>
        <w:t xml:space="preserve"> </w:t>
      </w:r>
      <w:r w:rsidR="00B2785B">
        <w:rPr>
          <w:rFonts w:ascii="Arial" w:hAnsi="Arial" w:cs="Arial"/>
        </w:rPr>
        <w:t>the likelihood/incidence rate of GP attendance</w:t>
      </w:r>
      <w:r w:rsidR="001E2641">
        <w:rPr>
          <w:rFonts w:ascii="Arial" w:hAnsi="Arial" w:cs="Arial"/>
        </w:rPr>
        <w:t xml:space="preserve"> increased</w:t>
      </w:r>
      <w:r w:rsidR="00B2785B">
        <w:rPr>
          <w:rFonts w:ascii="Arial" w:hAnsi="Arial" w:cs="Arial"/>
        </w:rPr>
        <w:t xml:space="preserve"> by 7%</w:t>
      </w:r>
      <w:r w:rsidR="00385CDB">
        <w:rPr>
          <w:rFonts w:ascii="Arial" w:hAnsi="Arial" w:cs="Arial"/>
        </w:rPr>
        <w:t xml:space="preserve"> </w:t>
      </w:r>
      <w:r w:rsidR="00B93057">
        <w:rPr>
          <w:rFonts w:ascii="Arial" w:hAnsi="Arial" w:cs="Arial"/>
        </w:rPr>
        <w:t>(p=.000</w:t>
      </w:r>
      <w:r w:rsidR="001E2641">
        <w:rPr>
          <w:rFonts w:ascii="Arial" w:hAnsi="Arial" w:cs="Arial"/>
        </w:rPr>
        <w:t xml:space="preserve">). </w:t>
      </w:r>
      <w:r w:rsidR="009828EB">
        <w:rPr>
          <w:rFonts w:ascii="Arial" w:hAnsi="Arial" w:cs="Arial"/>
        </w:rPr>
        <w:t>OAs from</w:t>
      </w:r>
      <w:r w:rsidR="009B1CF7">
        <w:rPr>
          <w:rFonts w:ascii="Arial" w:hAnsi="Arial" w:cs="Arial"/>
        </w:rPr>
        <w:t xml:space="preserve"> </w:t>
      </w:r>
      <w:r w:rsidR="0037686D">
        <w:rPr>
          <w:rFonts w:ascii="Arial" w:hAnsi="Arial" w:cs="Arial"/>
        </w:rPr>
        <w:t>less disadvantaged</w:t>
      </w:r>
      <w:r w:rsidR="009B1CF7">
        <w:rPr>
          <w:rFonts w:ascii="Arial" w:hAnsi="Arial" w:cs="Arial"/>
        </w:rPr>
        <w:t xml:space="preserve"> </w:t>
      </w:r>
      <w:r w:rsidR="003D04BA">
        <w:rPr>
          <w:rFonts w:ascii="Arial" w:hAnsi="Arial" w:cs="Arial"/>
        </w:rPr>
        <w:t xml:space="preserve">neighbourhoods (quintile 2) </w:t>
      </w:r>
      <w:r w:rsidR="009828EB">
        <w:rPr>
          <w:rFonts w:ascii="Arial" w:hAnsi="Arial" w:cs="Arial"/>
        </w:rPr>
        <w:t xml:space="preserve">were 13.1% less likely </w:t>
      </w:r>
      <w:r w:rsidR="009B1CF7">
        <w:rPr>
          <w:rFonts w:ascii="Arial" w:hAnsi="Arial" w:cs="Arial"/>
        </w:rPr>
        <w:t xml:space="preserve">than those from the </w:t>
      </w:r>
      <w:r w:rsidR="0037686D">
        <w:rPr>
          <w:rFonts w:ascii="Arial" w:hAnsi="Arial" w:cs="Arial"/>
        </w:rPr>
        <w:t>most</w:t>
      </w:r>
      <w:r w:rsidR="009B1CF7">
        <w:rPr>
          <w:rFonts w:ascii="Arial" w:hAnsi="Arial" w:cs="Arial"/>
        </w:rPr>
        <w:t xml:space="preserve"> disadvantaged neighbourhoods (quintile 5)</w:t>
      </w:r>
      <w:r w:rsidR="003D04BA">
        <w:rPr>
          <w:rFonts w:ascii="Arial" w:hAnsi="Arial" w:cs="Arial"/>
        </w:rPr>
        <w:t xml:space="preserve"> to attend their GP (p=.023)</w:t>
      </w:r>
      <w:r w:rsidR="009B1CF7">
        <w:rPr>
          <w:rFonts w:ascii="Arial" w:hAnsi="Arial" w:cs="Arial"/>
        </w:rPr>
        <w:t>.</w:t>
      </w:r>
      <w:r w:rsidR="0039679D">
        <w:rPr>
          <w:rFonts w:ascii="Arial" w:hAnsi="Arial" w:cs="Arial"/>
        </w:rPr>
        <w:t xml:space="preserve"> Living in q</w:t>
      </w:r>
      <w:r w:rsidR="003D04BA">
        <w:rPr>
          <w:rFonts w:ascii="Arial" w:hAnsi="Arial" w:cs="Arial"/>
        </w:rPr>
        <w:t>uintiles 1 and 4 were not significant (p=.095;</w:t>
      </w:r>
      <w:r w:rsidR="0039679D">
        <w:rPr>
          <w:rFonts w:ascii="Arial" w:hAnsi="Arial" w:cs="Arial"/>
        </w:rPr>
        <w:t xml:space="preserve"> p=.967), with q</w:t>
      </w:r>
      <w:r w:rsidR="003D04BA">
        <w:rPr>
          <w:rFonts w:ascii="Arial" w:hAnsi="Arial" w:cs="Arial"/>
        </w:rPr>
        <w:t>uintile 3 approaching significance (p=.053).</w:t>
      </w:r>
      <w:r w:rsidR="009B1CF7">
        <w:rPr>
          <w:rFonts w:ascii="Arial" w:hAnsi="Arial" w:cs="Arial"/>
        </w:rPr>
        <w:t xml:space="preserve"> </w:t>
      </w:r>
      <w:r w:rsidR="00CB2743">
        <w:rPr>
          <w:rFonts w:ascii="Arial" w:hAnsi="Arial" w:cs="Arial"/>
        </w:rPr>
        <w:t>Living situation, ethnicity, and gender were not found to be significant predictors</w:t>
      </w:r>
      <w:r w:rsidR="00CA570E">
        <w:rPr>
          <w:rFonts w:ascii="Arial" w:hAnsi="Arial" w:cs="Arial"/>
        </w:rPr>
        <w:t xml:space="preserve"> (p=</w:t>
      </w:r>
      <w:r w:rsidR="005135B7">
        <w:rPr>
          <w:rFonts w:ascii="Arial" w:hAnsi="Arial" w:cs="Arial"/>
        </w:rPr>
        <w:t>.589</w:t>
      </w:r>
      <w:r w:rsidR="00CA570E">
        <w:rPr>
          <w:rFonts w:ascii="Arial" w:hAnsi="Arial" w:cs="Arial"/>
        </w:rPr>
        <w:t>, p=</w:t>
      </w:r>
      <w:r w:rsidR="005135B7">
        <w:rPr>
          <w:rFonts w:ascii="Arial" w:hAnsi="Arial" w:cs="Arial"/>
        </w:rPr>
        <w:t>.228, p=.073</w:t>
      </w:r>
      <w:r w:rsidR="00CA570E">
        <w:rPr>
          <w:rFonts w:ascii="Arial" w:hAnsi="Arial" w:cs="Arial"/>
        </w:rPr>
        <w:t>)</w:t>
      </w:r>
      <w:r w:rsidR="00CB2743">
        <w:rPr>
          <w:rFonts w:ascii="Arial" w:hAnsi="Arial" w:cs="Arial"/>
        </w:rPr>
        <w:t xml:space="preserve">. </w:t>
      </w:r>
      <w:r w:rsidR="001775FF">
        <w:rPr>
          <w:rFonts w:ascii="Arial" w:hAnsi="Arial" w:cs="Arial"/>
        </w:rPr>
        <w:t>Table 2 reports detailed findings of the Poisson regression analysis.</w:t>
      </w:r>
      <w:r w:rsidR="00C42F47">
        <w:rPr>
          <w:rFonts w:ascii="Arial" w:hAnsi="Arial" w:cs="Arial"/>
        </w:rPr>
        <w:t xml:space="preserve"> Figure 3 shows the variation in mean</w:t>
      </w:r>
      <w:r w:rsidR="00B23878">
        <w:rPr>
          <w:rFonts w:ascii="Arial" w:hAnsi="Arial" w:cs="Arial"/>
        </w:rPr>
        <w:t xml:space="preserve"> number</w:t>
      </w:r>
      <w:r w:rsidR="00C42F47">
        <w:rPr>
          <w:rFonts w:ascii="Arial" w:hAnsi="Arial" w:cs="Arial"/>
        </w:rPr>
        <w:t xml:space="preserve"> of GP visits by IMD Quintile.</w:t>
      </w:r>
    </w:p>
    <w:p w14:paraId="58F313B2" w14:textId="77777777" w:rsidR="004538AB" w:rsidRDefault="004538AB" w:rsidP="00385CDB">
      <w:pPr>
        <w:spacing w:after="0" w:line="360" w:lineRule="auto"/>
        <w:jc w:val="both"/>
        <w:rPr>
          <w:rFonts w:ascii="Arial" w:hAnsi="Arial" w:cs="Arial"/>
        </w:rPr>
      </w:pPr>
    </w:p>
    <w:p w14:paraId="6FF82B33" w14:textId="019E5D4F" w:rsidR="004538AB" w:rsidRPr="004538AB" w:rsidRDefault="004538AB" w:rsidP="004538AB">
      <w:pPr>
        <w:spacing w:after="0" w:line="360" w:lineRule="auto"/>
        <w:jc w:val="both"/>
        <w:rPr>
          <w:rFonts w:ascii="Arial" w:hAnsi="Arial" w:cs="Arial"/>
          <w:b/>
        </w:rPr>
      </w:pPr>
      <w:r>
        <w:rPr>
          <w:rFonts w:ascii="Arial" w:hAnsi="Arial" w:cs="Arial"/>
          <w:b/>
        </w:rPr>
        <w:t>Poisson regression model on Accident &amp; Emergency attendance</w:t>
      </w:r>
    </w:p>
    <w:p w14:paraId="3837180D" w14:textId="0214D7D2" w:rsidR="001E3D91" w:rsidRDefault="00391041" w:rsidP="004538AB">
      <w:pPr>
        <w:spacing w:line="360" w:lineRule="auto"/>
        <w:jc w:val="both"/>
        <w:rPr>
          <w:rFonts w:ascii="Arial" w:hAnsi="Arial" w:cs="Arial"/>
        </w:rPr>
      </w:pPr>
      <w:r>
        <w:rPr>
          <w:rFonts w:ascii="Arial" w:hAnsi="Arial" w:cs="Arial"/>
        </w:rPr>
        <w:t xml:space="preserve">For A&amp;E attendance, </w:t>
      </w:r>
      <w:r w:rsidR="007B4DA9">
        <w:rPr>
          <w:rFonts w:ascii="Arial" w:hAnsi="Arial" w:cs="Arial"/>
        </w:rPr>
        <w:t>the Omnibus test showed that the model was not significant (p=.863)</w:t>
      </w:r>
      <w:r>
        <w:rPr>
          <w:rFonts w:ascii="Arial" w:hAnsi="Arial" w:cs="Arial"/>
        </w:rPr>
        <w:t>.</w:t>
      </w:r>
      <w:r w:rsidR="004538AB">
        <w:rPr>
          <w:rFonts w:ascii="Arial" w:hAnsi="Arial" w:cs="Arial"/>
        </w:rPr>
        <w:t xml:space="preserve"> Therefore, no further tests were pursued.</w:t>
      </w:r>
    </w:p>
    <w:p w14:paraId="0D64325F" w14:textId="34B82BC9" w:rsidR="001775FF" w:rsidRPr="00A24E0E" w:rsidRDefault="00B23188" w:rsidP="001775FF">
      <w:pPr>
        <w:spacing w:line="360" w:lineRule="auto"/>
        <w:jc w:val="both"/>
        <w:rPr>
          <w:rFonts w:ascii="Arial" w:hAnsi="Arial" w:cs="Arial"/>
          <w:b/>
          <w:i/>
        </w:rPr>
      </w:pPr>
      <w:r w:rsidRPr="00A24E0E">
        <w:rPr>
          <w:rFonts w:ascii="Arial" w:hAnsi="Arial" w:cs="Arial"/>
          <w:b/>
          <w:i/>
        </w:rPr>
        <w:t>[Table 3</w:t>
      </w:r>
      <w:r w:rsidR="00C42F47" w:rsidRPr="00A24E0E">
        <w:rPr>
          <w:rFonts w:ascii="Arial" w:hAnsi="Arial" w:cs="Arial"/>
          <w:b/>
          <w:i/>
        </w:rPr>
        <w:t xml:space="preserve"> and Figure 3</w:t>
      </w:r>
      <w:r w:rsidR="001775FF" w:rsidRPr="00A24E0E">
        <w:rPr>
          <w:rFonts w:ascii="Arial" w:hAnsi="Arial" w:cs="Arial"/>
          <w:b/>
          <w:i/>
        </w:rPr>
        <w:t>]</w:t>
      </w:r>
    </w:p>
    <w:p w14:paraId="1E8F8DD7" w14:textId="36CB729D" w:rsidR="00CF144E" w:rsidRDefault="00CF144E" w:rsidP="00345280">
      <w:pPr>
        <w:spacing w:after="0" w:line="360" w:lineRule="auto"/>
        <w:jc w:val="both"/>
        <w:rPr>
          <w:rFonts w:ascii="Arial" w:hAnsi="Arial" w:cs="Arial"/>
          <w:b/>
        </w:rPr>
      </w:pPr>
      <w:r w:rsidRPr="003619E9">
        <w:rPr>
          <w:rFonts w:ascii="Arial" w:hAnsi="Arial" w:cs="Arial"/>
          <w:b/>
        </w:rPr>
        <w:t>Costs of GP visits</w:t>
      </w:r>
    </w:p>
    <w:p w14:paraId="35F8CD0C" w14:textId="2C103AB1" w:rsidR="003619E9" w:rsidRPr="003619E9" w:rsidRDefault="003619E9" w:rsidP="001775FF">
      <w:pPr>
        <w:spacing w:line="360" w:lineRule="auto"/>
        <w:jc w:val="both"/>
        <w:rPr>
          <w:rFonts w:ascii="Arial" w:hAnsi="Arial" w:cs="Arial"/>
        </w:rPr>
      </w:pPr>
      <w:r>
        <w:rPr>
          <w:rFonts w:ascii="Arial" w:hAnsi="Arial" w:cs="Arial"/>
        </w:rPr>
        <w:lastRenderedPageBreak/>
        <w:t>On average</w:t>
      </w:r>
      <w:r w:rsidR="0055114C">
        <w:rPr>
          <w:rFonts w:ascii="Arial" w:hAnsi="Arial" w:cs="Arial"/>
        </w:rPr>
        <w:t xml:space="preserve"> over the last 12 months recorded</w:t>
      </w:r>
      <w:r>
        <w:rPr>
          <w:rFonts w:ascii="Arial" w:hAnsi="Arial" w:cs="Arial"/>
        </w:rPr>
        <w:t xml:space="preserve">, GP visits </w:t>
      </w:r>
      <w:r w:rsidR="005B05FF">
        <w:rPr>
          <w:rFonts w:ascii="Arial" w:hAnsi="Arial" w:cs="Arial"/>
        </w:rPr>
        <w:t xml:space="preserve">per person </w:t>
      </w:r>
      <w:r>
        <w:rPr>
          <w:rFonts w:ascii="Arial" w:hAnsi="Arial" w:cs="Arial"/>
        </w:rPr>
        <w:t>were costed at £195.80 (+/-197.28) [Range £16-£1,932]. This included costs for visiting a nurse at the GP surgery (£47.44 +/- £41.47)</w:t>
      </w:r>
      <w:r w:rsidR="00345280">
        <w:rPr>
          <w:rFonts w:ascii="Arial" w:hAnsi="Arial" w:cs="Arial"/>
        </w:rPr>
        <w:t xml:space="preserve">, visiting a GP at the surgery (£140.13 +/- £116.04), as well as receiving a nurse visit at home (£141.81 +/-£126.27) and a GP visit at home (£328.90 +/- £240.65). </w:t>
      </w:r>
    </w:p>
    <w:p w14:paraId="4D9A6396" w14:textId="77777777" w:rsidR="007F3E19" w:rsidRDefault="007F3E19" w:rsidP="00044966">
      <w:pPr>
        <w:spacing w:line="360" w:lineRule="auto"/>
        <w:jc w:val="both"/>
        <w:rPr>
          <w:rFonts w:ascii="Arial" w:hAnsi="Arial" w:cs="Arial"/>
          <w:b/>
          <w:sz w:val="24"/>
        </w:rPr>
      </w:pPr>
      <w:r>
        <w:rPr>
          <w:rFonts w:ascii="Arial" w:hAnsi="Arial" w:cs="Arial"/>
          <w:b/>
          <w:sz w:val="24"/>
        </w:rPr>
        <w:t>Discussion</w:t>
      </w:r>
    </w:p>
    <w:p w14:paraId="459BA8CE" w14:textId="6383E1D9" w:rsidR="00184633" w:rsidRDefault="00184633" w:rsidP="006873D1">
      <w:pPr>
        <w:spacing w:after="0" w:line="360" w:lineRule="auto"/>
        <w:jc w:val="both"/>
        <w:rPr>
          <w:rFonts w:ascii="Arial" w:hAnsi="Arial" w:cs="Arial"/>
        </w:rPr>
      </w:pPr>
      <w:r>
        <w:rPr>
          <w:rFonts w:ascii="Arial" w:hAnsi="Arial" w:cs="Arial"/>
        </w:rPr>
        <w:t xml:space="preserve">Findings from this longitudinal public health survey show that whilst higher levels of social support </w:t>
      </w:r>
      <w:r w:rsidR="00715262">
        <w:rPr>
          <w:rFonts w:ascii="Arial" w:hAnsi="Arial" w:cs="Arial"/>
        </w:rPr>
        <w:t xml:space="preserve">are associated with a </w:t>
      </w:r>
      <w:r>
        <w:rPr>
          <w:rFonts w:ascii="Arial" w:hAnsi="Arial" w:cs="Arial"/>
        </w:rPr>
        <w:t>reduce</w:t>
      </w:r>
      <w:r w:rsidR="00715262">
        <w:rPr>
          <w:rFonts w:ascii="Arial" w:hAnsi="Arial" w:cs="Arial"/>
        </w:rPr>
        <w:t>d</w:t>
      </w:r>
      <w:r>
        <w:rPr>
          <w:rFonts w:ascii="Arial" w:hAnsi="Arial" w:cs="Arial"/>
        </w:rPr>
        <w:t xml:space="preserve"> n</w:t>
      </w:r>
      <w:r w:rsidR="00406A81">
        <w:rPr>
          <w:rFonts w:ascii="Arial" w:hAnsi="Arial" w:cs="Arial"/>
        </w:rPr>
        <w:t xml:space="preserve">umber of GP visits, there are various </w:t>
      </w:r>
      <w:r>
        <w:rPr>
          <w:rFonts w:ascii="Arial" w:hAnsi="Arial" w:cs="Arial"/>
        </w:rPr>
        <w:t xml:space="preserve">other factors that similarly contribute to </w:t>
      </w:r>
      <w:r w:rsidR="00D0482B">
        <w:rPr>
          <w:rFonts w:ascii="Arial" w:hAnsi="Arial" w:cs="Arial"/>
        </w:rPr>
        <w:t xml:space="preserve">the </w:t>
      </w:r>
      <w:r>
        <w:rPr>
          <w:rFonts w:ascii="Arial" w:hAnsi="Arial" w:cs="Arial"/>
        </w:rPr>
        <w:t>rate of GP visits. High</w:t>
      </w:r>
      <w:r w:rsidR="000967D6">
        <w:rPr>
          <w:rFonts w:ascii="Arial" w:hAnsi="Arial" w:cs="Arial"/>
        </w:rPr>
        <w:t>er</w:t>
      </w:r>
      <w:r>
        <w:rPr>
          <w:rFonts w:ascii="Arial" w:hAnsi="Arial" w:cs="Arial"/>
        </w:rPr>
        <w:t xml:space="preserve"> </w:t>
      </w:r>
      <w:r w:rsidR="00FE7486">
        <w:rPr>
          <w:rFonts w:ascii="Arial" w:hAnsi="Arial" w:cs="Arial"/>
        </w:rPr>
        <w:t>leve</w:t>
      </w:r>
      <w:r w:rsidR="00406A81">
        <w:rPr>
          <w:rFonts w:ascii="Arial" w:hAnsi="Arial" w:cs="Arial"/>
        </w:rPr>
        <w:t xml:space="preserve">ls of social support </w:t>
      </w:r>
      <w:r w:rsidR="00715262">
        <w:rPr>
          <w:rFonts w:ascii="Arial" w:hAnsi="Arial" w:cs="Arial"/>
        </w:rPr>
        <w:t xml:space="preserve">were associated with </w:t>
      </w:r>
      <w:r w:rsidR="00406A81">
        <w:rPr>
          <w:rFonts w:ascii="Arial" w:hAnsi="Arial" w:cs="Arial"/>
        </w:rPr>
        <w:t>reduced</w:t>
      </w:r>
      <w:r w:rsidR="00FE7486">
        <w:rPr>
          <w:rFonts w:ascii="Arial" w:hAnsi="Arial" w:cs="Arial"/>
        </w:rPr>
        <w:t xml:space="preserve"> GP attendance rates by 7%, which in terms of economic costings can have an effect of an average of a £13.71 cost reduction per OA. To </w:t>
      </w:r>
      <w:r w:rsidR="00AA34DF">
        <w:rPr>
          <w:rFonts w:ascii="Arial" w:hAnsi="Arial" w:cs="Arial"/>
        </w:rPr>
        <w:t xml:space="preserve">our </w:t>
      </w:r>
      <w:r w:rsidR="00FE7486">
        <w:rPr>
          <w:rFonts w:ascii="Arial" w:hAnsi="Arial" w:cs="Arial"/>
        </w:rPr>
        <w:t xml:space="preserve">existing knowledge, this is the first study to show that social support </w:t>
      </w:r>
      <w:r w:rsidR="00341FCC">
        <w:rPr>
          <w:rFonts w:ascii="Arial" w:hAnsi="Arial" w:cs="Arial"/>
        </w:rPr>
        <w:t>is associated with reduced</w:t>
      </w:r>
      <w:r w:rsidR="00FE7486">
        <w:rPr>
          <w:rFonts w:ascii="Arial" w:hAnsi="Arial" w:cs="Arial"/>
        </w:rPr>
        <w:t xml:space="preserve"> likelihood of </w:t>
      </w:r>
      <w:r w:rsidR="00341FCC">
        <w:rPr>
          <w:rFonts w:ascii="Arial" w:hAnsi="Arial" w:cs="Arial"/>
        </w:rPr>
        <w:t>GP attendance</w:t>
      </w:r>
      <w:r w:rsidR="00FE7486">
        <w:rPr>
          <w:rFonts w:ascii="Arial" w:hAnsi="Arial" w:cs="Arial"/>
        </w:rPr>
        <w:t>, whilst also accounting for the effects of socio-e</w:t>
      </w:r>
      <w:r w:rsidR="00B23878">
        <w:rPr>
          <w:rFonts w:ascii="Arial" w:hAnsi="Arial" w:cs="Arial"/>
        </w:rPr>
        <w:t>conomic</w:t>
      </w:r>
      <w:r w:rsidR="0039679D">
        <w:rPr>
          <w:rFonts w:ascii="Arial" w:hAnsi="Arial" w:cs="Arial"/>
        </w:rPr>
        <w:t xml:space="preserve"> status, with OAs from the less</w:t>
      </w:r>
      <w:r w:rsidR="00B23878">
        <w:rPr>
          <w:rFonts w:ascii="Arial" w:hAnsi="Arial" w:cs="Arial"/>
        </w:rPr>
        <w:t xml:space="preserve"> disadvantaged neighbourhoods being </w:t>
      </w:r>
      <w:r w:rsidR="0039679D">
        <w:rPr>
          <w:rFonts w:ascii="Arial" w:hAnsi="Arial" w:cs="Arial"/>
        </w:rPr>
        <w:t xml:space="preserve">0.869 as likely </w:t>
      </w:r>
      <w:r w:rsidR="00B23878">
        <w:rPr>
          <w:rFonts w:ascii="Arial" w:hAnsi="Arial" w:cs="Arial"/>
        </w:rPr>
        <w:t>to attend their GP than those from the most disadvantaged neighbourhoods.</w:t>
      </w:r>
      <w:r w:rsidR="00FE7486">
        <w:rPr>
          <w:rFonts w:ascii="Arial" w:hAnsi="Arial" w:cs="Arial"/>
        </w:rPr>
        <w:t xml:space="preserve"> </w:t>
      </w:r>
    </w:p>
    <w:p w14:paraId="172BD6EA" w14:textId="454D06AD" w:rsidR="00735B29" w:rsidRDefault="002764F0" w:rsidP="006873D1">
      <w:pPr>
        <w:spacing w:after="0" w:line="360" w:lineRule="auto"/>
        <w:ind w:firstLine="720"/>
        <w:jc w:val="both"/>
        <w:rPr>
          <w:rFonts w:ascii="Arial" w:hAnsi="Arial" w:cs="Arial"/>
        </w:rPr>
      </w:pPr>
      <w:r>
        <w:rPr>
          <w:rFonts w:ascii="Arial" w:hAnsi="Arial" w:cs="Arial"/>
        </w:rPr>
        <w:t xml:space="preserve">There has been a lot of attention around </w:t>
      </w:r>
      <w:r w:rsidR="00895204">
        <w:rPr>
          <w:rFonts w:ascii="Arial" w:hAnsi="Arial" w:cs="Arial"/>
        </w:rPr>
        <w:t xml:space="preserve">social prescribing </w:t>
      </w:r>
      <w:r>
        <w:rPr>
          <w:rFonts w:ascii="Arial" w:hAnsi="Arial" w:cs="Arial"/>
        </w:rPr>
        <w:t>in the last three years, with it being</w:t>
      </w:r>
      <w:r w:rsidR="00895204">
        <w:rPr>
          <w:rFonts w:ascii="Arial" w:hAnsi="Arial" w:cs="Arial"/>
        </w:rPr>
        <w:t xml:space="preserve"> recommended in governmental policies </w:t>
      </w:r>
      <w:r w:rsidR="00DC4937">
        <w:rPr>
          <w:rFonts w:ascii="Arial" w:hAnsi="Arial" w:cs="Arial"/>
        </w:rPr>
        <w:t>(</w:t>
      </w:r>
      <w:r w:rsidR="00520492">
        <w:rPr>
          <w:rFonts w:ascii="Arial" w:hAnsi="Arial" w:cs="Arial"/>
        </w:rPr>
        <w:t>Rockwood et al., 2005</w:t>
      </w:r>
      <w:r w:rsidR="00DC4937">
        <w:rPr>
          <w:rFonts w:ascii="Arial" w:hAnsi="Arial" w:cs="Arial"/>
        </w:rPr>
        <w:t>)</w:t>
      </w:r>
      <w:r w:rsidR="00643945">
        <w:rPr>
          <w:rFonts w:ascii="Arial" w:hAnsi="Arial" w:cs="Arial"/>
        </w:rPr>
        <w:t>.</w:t>
      </w:r>
      <w:r>
        <w:rPr>
          <w:rFonts w:ascii="Arial" w:hAnsi="Arial" w:cs="Arial"/>
        </w:rPr>
        <w:t xml:space="preserve"> </w:t>
      </w:r>
      <w:r w:rsidR="00DC4937">
        <w:rPr>
          <w:rFonts w:ascii="Arial" w:hAnsi="Arial" w:cs="Arial"/>
        </w:rPr>
        <w:t>Social prescribing is utilised by clinicians to prescribe engagement in community-based social activities. This is to try and increase social connectivity of potentially isolated individuals, with the aim of reducing loneliness and improving well-being – a</w:t>
      </w:r>
      <w:r w:rsidR="00D709D6">
        <w:rPr>
          <w:rFonts w:ascii="Arial" w:hAnsi="Arial" w:cs="Arial"/>
        </w:rPr>
        <w:t>n alternative or addition to prescribing</w:t>
      </w:r>
      <w:r w:rsidR="00DC4937">
        <w:rPr>
          <w:rFonts w:ascii="Arial" w:hAnsi="Arial" w:cs="Arial"/>
        </w:rPr>
        <w:t xml:space="preserve"> medication. </w:t>
      </w:r>
      <w:r w:rsidR="000217E8">
        <w:rPr>
          <w:rFonts w:ascii="Arial" w:hAnsi="Arial" w:cs="Arial"/>
        </w:rPr>
        <w:t xml:space="preserve">With social prescribing ranking high on the UK governmental agenda, and being further facilitated by Primary Care Networks, GPs are asked to strongly utilise social prescribing particularly with OAs who are deeply socially isolated. </w:t>
      </w:r>
      <w:r>
        <w:rPr>
          <w:rFonts w:ascii="Arial" w:hAnsi="Arial" w:cs="Arial"/>
        </w:rPr>
        <w:t xml:space="preserve">However, </w:t>
      </w:r>
      <w:r w:rsidR="00895204">
        <w:rPr>
          <w:rFonts w:ascii="Arial" w:hAnsi="Arial" w:cs="Arial"/>
        </w:rPr>
        <w:t xml:space="preserve">there is a clear gap in the evidence </w:t>
      </w:r>
      <w:r>
        <w:rPr>
          <w:rFonts w:ascii="Arial" w:hAnsi="Arial" w:cs="Arial"/>
        </w:rPr>
        <w:t xml:space="preserve">around </w:t>
      </w:r>
      <w:r w:rsidR="00895204">
        <w:rPr>
          <w:rFonts w:ascii="Arial" w:hAnsi="Arial" w:cs="Arial"/>
        </w:rPr>
        <w:t xml:space="preserve">the </w:t>
      </w:r>
      <w:r>
        <w:rPr>
          <w:rFonts w:ascii="Arial" w:hAnsi="Arial" w:cs="Arial"/>
        </w:rPr>
        <w:t xml:space="preserve">potential </w:t>
      </w:r>
      <w:r w:rsidR="00895204">
        <w:rPr>
          <w:rFonts w:ascii="Arial" w:hAnsi="Arial" w:cs="Arial"/>
        </w:rPr>
        <w:t xml:space="preserve">effects of improved social support on healthcare utilisation. Higher levels of social support are linked to reduced rates of depression and loneliness and higher quality of life </w:t>
      </w:r>
      <w:r w:rsidR="00520492">
        <w:rPr>
          <w:rFonts w:ascii="Arial" w:hAnsi="Arial" w:cs="Arial"/>
        </w:rPr>
        <w:t>(Holt-</w:t>
      </w:r>
      <w:proofErr w:type="spellStart"/>
      <w:r w:rsidR="00520492">
        <w:rPr>
          <w:rFonts w:ascii="Arial" w:hAnsi="Arial" w:cs="Arial"/>
        </w:rPr>
        <w:t>Lunstad</w:t>
      </w:r>
      <w:proofErr w:type="spellEnd"/>
      <w:r w:rsidR="00520492">
        <w:rPr>
          <w:rFonts w:ascii="Arial" w:hAnsi="Arial" w:cs="Arial"/>
        </w:rPr>
        <w:t xml:space="preserve"> et al., 2015; </w:t>
      </w:r>
      <w:proofErr w:type="spellStart"/>
      <w:r w:rsidR="00520492">
        <w:rPr>
          <w:rFonts w:ascii="Arial" w:hAnsi="Arial" w:cs="Arial"/>
        </w:rPr>
        <w:t>Wedgeworth</w:t>
      </w:r>
      <w:proofErr w:type="spellEnd"/>
      <w:r w:rsidR="00520492">
        <w:rPr>
          <w:rFonts w:ascii="Arial" w:hAnsi="Arial" w:cs="Arial"/>
        </w:rPr>
        <w:t xml:space="preserve"> et al., 2017)</w:t>
      </w:r>
      <w:r w:rsidR="00895204">
        <w:rPr>
          <w:rFonts w:ascii="Arial" w:hAnsi="Arial" w:cs="Arial"/>
        </w:rPr>
        <w:t xml:space="preserve">. A recent study by </w:t>
      </w:r>
      <w:proofErr w:type="spellStart"/>
      <w:r w:rsidR="00895204">
        <w:rPr>
          <w:rFonts w:ascii="Arial" w:hAnsi="Arial" w:cs="Arial"/>
        </w:rPr>
        <w:t>Sommerlad</w:t>
      </w:r>
      <w:proofErr w:type="spellEnd"/>
      <w:r w:rsidR="00895204">
        <w:rPr>
          <w:rFonts w:ascii="Arial" w:hAnsi="Arial" w:cs="Arial"/>
        </w:rPr>
        <w:t xml:space="preserve"> et al. </w:t>
      </w:r>
      <w:r w:rsidR="00520492">
        <w:rPr>
          <w:rFonts w:ascii="Arial" w:hAnsi="Arial" w:cs="Arial"/>
        </w:rPr>
        <w:t>(2019)</w:t>
      </w:r>
      <w:r w:rsidR="00895204">
        <w:rPr>
          <w:rFonts w:ascii="Arial" w:hAnsi="Arial" w:cs="Arial"/>
        </w:rPr>
        <w:t xml:space="preserve"> based on longitudinal data on ageing also showed that increased social contact at age 60 was linked to reduced dementia risk for example</w:t>
      </w:r>
      <w:r w:rsidR="001D0985">
        <w:rPr>
          <w:rFonts w:ascii="Arial" w:hAnsi="Arial" w:cs="Arial"/>
        </w:rPr>
        <w:t xml:space="preserve"> (a 12% reduction per standard deviation of social contact)</w:t>
      </w:r>
      <w:r w:rsidR="00895204">
        <w:rPr>
          <w:rFonts w:ascii="Arial" w:hAnsi="Arial" w:cs="Arial"/>
        </w:rPr>
        <w:t>, thereby supporting the implications of social support on healthcare</w:t>
      </w:r>
      <w:r w:rsidR="00D81AC2">
        <w:rPr>
          <w:rFonts w:ascii="Arial" w:hAnsi="Arial" w:cs="Arial"/>
        </w:rPr>
        <w:t>.</w:t>
      </w:r>
      <w:r w:rsidR="005F39B3">
        <w:rPr>
          <w:rFonts w:ascii="Arial" w:hAnsi="Arial" w:cs="Arial"/>
        </w:rPr>
        <w:t xml:space="preserve"> Walker et al. </w:t>
      </w:r>
      <w:r w:rsidR="00520492">
        <w:rPr>
          <w:rFonts w:ascii="Arial" w:hAnsi="Arial" w:cs="Arial"/>
        </w:rPr>
        <w:t>(2019)</w:t>
      </w:r>
      <w:r w:rsidR="005F39B3">
        <w:rPr>
          <w:rFonts w:ascii="Arial" w:hAnsi="Arial" w:cs="Arial"/>
        </w:rPr>
        <w:t xml:space="preserve"> </w:t>
      </w:r>
      <w:r w:rsidR="00D81AC2">
        <w:rPr>
          <w:rFonts w:ascii="Arial" w:hAnsi="Arial" w:cs="Arial"/>
        </w:rPr>
        <w:t xml:space="preserve">also </w:t>
      </w:r>
      <w:r w:rsidR="001D0985">
        <w:rPr>
          <w:rFonts w:ascii="Arial" w:hAnsi="Arial" w:cs="Arial"/>
        </w:rPr>
        <w:t xml:space="preserve">utilised </w:t>
      </w:r>
      <w:r w:rsidR="005F39B3">
        <w:rPr>
          <w:rFonts w:ascii="Arial" w:hAnsi="Arial" w:cs="Arial"/>
        </w:rPr>
        <w:t xml:space="preserve">the English Longitudinal Study of Ageing to show improved health in socially </w:t>
      </w:r>
      <w:proofErr w:type="gramStart"/>
      <w:r w:rsidR="005F39B3">
        <w:rPr>
          <w:rFonts w:ascii="Arial" w:hAnsi="Arial" w:cs="Arial"/>
        </w:rPr>
        <w:t>well connected</w:t>
      </w:r>
      <w:proofErr w:type="gramEnd"/>
      <w:r w:rsidR="005F39B3">
        <w:rPr>
          <w:rFonts w:ascii="Arial" w:hAnsi="Arial" w:cs="Arial"/>
        </w:rPr>
        <w:t xml:space="preserve"> OAs</w:t>
      </w:r>
      <w:r w:rsidR="00895204">
        <w:rPr>
          <w:rFonts w:ascii="Arial" w:hAnsi="Arial" w:cs="Arial"/>
        </w:rPr>
        <w:t>. However, only a couple of studies have explored how higher levels of social support have a modifying effect on healthcare u</w:t>
      </w:r>
      <w:r w:rsidR="005F39B3">
        <w:rPr>
          <w:rFonts w:ascii="Arial" w:hAnsi="Arial" w:cs="Arial"/>
        </w:rPr>
        <w:t xml:space="preserve">tilisation </w:t>
      </w:r>
      <w:r w:rsidR="00520492">
        <w:rPr>
          <w:rFonts w:ascii="Arial" w:hAnsi="Arial" w:cs="Arial"/>
        </w:rPr>
        <w:t>(Prang et al., 2016)</w:t>
      </w:r>
      <w:r w:rsidR="00895204">
        <w:rPr>
          <w:rFonts w:ascii="Arial" w:hAnsi="Arial" w:cs="Arial"/>
        </w:rPr>
        <w:t xml:space="preserve">. Importantly, none have explored the effects that social support can have specifically on GP utilisation and in OAs, the population group which has the highest level of GP attendance rates </w:t>
      </w:r>
      <w:r w:rsidR="00520492">
        <w:rPr>
          <w:rFonts w:ascii="Arial" w:hAnsi="Arial" w:cs="Arial"/>
        </w:rPr>
        <w:t>(Information Centre for Health and Social Care Trends, 2009)</w:t>
      </w:r>
      <w:r w:rsidR="00895204">
        <w:rPr>
          <w:rFonts w:ascii="Arial" w:hAnsi="Arial" w:cs="Arial"/>
        </w:rPr>
        <w:t xml:space="preserve">. </w:t>
      </w:r>
      <w:r w:rsidR="00611722">
        <w:rPr>
          <w:rFonts w:ascii="Arial" w:hAnsi="Arial" w:cs="Arial"/>
        </w:rPr>
        <w:t xml:space="preserve">The present study is </w:t>
      </w:r>
      <w:r w:rsidR="00895204">
        <w:rPr>
          <w:rFonts w:ascii="Arial" w:hAnsi="Arial" w:cs="Arial"/>
        </w:rPr>
        <w:t xml:space="preserve">therefore </w:t>
      </w:r>
      <w:r w:rsidR="00611722">
        <w:rPr>
          <w:rFonts w:ascii="Arial" w:hAnsi="Arial" w:cs="Arial"/>
        </w:rPr>
        <w:t xml:space="preserve">one </w:t>
      </w:r>
      <w:r w:rsidR="00895204">
        <w:rPr>
          <w:rFonts w:ascii="Arial" w:hAnsi="Arial" w:cs="Arial"/>
        </w:rPr>
        <w:t xml:space="preserve">of the first to suggest that whilst increasing social support in OAs contributes to health care utilisation, there are </w:t>
      </w:r>
      <w:r w:rsidR="00895204">
        <w:rPr>
          <w:rFonts w:ascii="Arial" w:hAnsi="Arial" w:cs="Arial"/>
        </w:rPr>
        <w:lastRenderedPageBreak/>
        <w:t>several other independent factors at play which equally need to be addressed in order to reduce the high levels of GP visits.</w:t>
      </w:r>
    </w:p>
    <w:p w14:paraId="67A2501F" w14:textId="72260655" w:rsidR="00895204" w:rsidRDefault="00895204" w:rsidP="00895204">
      <w:pPr>
        <w:spacing w:after="0" w:line="360" w:lineRule="auto"/>
        <w:jc w:val="both"/>
        <w:rPr>
          <w:rFonts w:ascii="Arial" w:hAnsi="Arial" w:cs="Arial"/>
          <w:highlight w:val="yellow"/>
        </w:rPr>
      </w:pPr>
      <w:r>
        <w:rPr>
          <w:rFonts w:ascii="Arial" w:hAnsi="Arial" w:cs="Arial"/>
        </w:rPr>
        <w:tab/>
        <w:t>Socio-economic background was also found to be linked to attendance rates, with</w:t>
      </w:r>
      <w:r w:rsidR="00FB6534">
        <w:rPr>
          <w:rFonts w:ascii="Arial" w:hAnsi="Arial" w:cs="Arial"/>
        </w:rPr>
        <w:t xml:space="preserve"> people from the least disadvantaged neighbourhoods being more likely to consult their GP than those from the most disadvantaged neighbourhoods. </w:t>
      </w:r>
      <w:r>
        <w:rPr>
          <w:rFonts w:ascii="Arial" w:hAnsi="Arial" w:cs="Arial"/>
        </w:rPr>
        <w:t xml:space="preserve">This </w:t>
      </w:r>
      <w:r w:rsidR="00E5219E">
        <w:rPr>
          <w:rFonts w:ascii="Arial" w:hAnsi="Arial" w:cs="Arial"/>
        </w:rPr>
        <w:t>corroborates</w:t>
      </w:r>
      <w:r>
        <w:rPr>
          <w:rFonts w:ascii="Arial" w:hAnsi="Arial" w:cs="Arial"/>
        </w:rPr>
        <w:t xml:space="preserve"> previous research </w:t>
      </w:r>
      <w:r w:rsidR="00E5219E">
        <w:rPr>
          <w:rFonts w:ascii="Arial" w:hAnsi="Arial" w:cs="Arial"/>
        </w:rPr>
        <w:t xml:space="preserve">reporting a negative association between deprivation and primary care utilisation in Germany </w:t>
      </w:r>
      <w:r w:rsidR="00520492">
        <w:rPr>
          <w:rFonts w:ascii="Arial" w:hAnsi="Arial" w:cs="Arial"/>
        </w:rPr>
        <w:t>(Greiner et al., 2018)</w:t>
      </w:r>
      <w:r w:rsidR="00913FB8">
        <w:rPr>
          <w:rFonts w:ascii="Arial" w:hAnsi="Arial" w:cs="Arial"/>
        </w:rPr>
        <w:t xml:space="preserve"> </w:t>
      </w:r>
      <w:r w:rsidR="00904EFD">
        <w:rPr>
          <w:rFonts w:ascii="Arial" w:hAnsi="Arial" w:cs="Arial"/>
        </w:rPr>
        <w:t xml:space="preserve">and is in line with the inverse care law, stating that the availability of healthcare services varies inversely with the need of the population in the area </w:t>
      </w:r>
      <w:r w:rsidR="00D33690">
        <w:rPr>
          <w:rFonts w:ascii="Arial" w:hAnsi="Arial" w:cs="Arial"/>
        </w:rPr>
        <w:t>(Hart, 1971)</w:t>
      </w:r>
      <w:r w:rsidR="00904EFD">
        <w:rPr>
          <w:rFonts w:ascii="Arial" w:hAnsi="Arial" w:cs="Arial"/>
        </w:rPr>
        <w:t>.</w:t>
      </w:r>
      <w:r w:rsidR="00E5219E">
        <w:rPr>
          <w:rFonts w:ascii="Arial" w:hAnsi="Arial" w:cs="Arial"/>
        </w:rPr>
        <w:t xml:space="preserve"> </w:t>
      </w:r>
      <w:r w:rsidR="00904EFD">
        <w:rPr>
          <w:rFonts w:ascii="Arial" w:hAnsi="Arial" w:cs="Arial"/>
        </w:rPr>
        <w:t xml:space="preserve">In this study, </w:t>
      </w:r>
      <w:r w:rsidR="00E5219E">
        <w:rPr>
          <w:rFonts w:ascii="Arial" w:hAnsi="Arial" w:cs="Arial"/>
        </w:rPr>
        <w:t xml:space="preserve">OAs living in quintiles 2 and 3 (less disadvantaged than quintile 5) had reduced likelihood of attending their GP, therefore indicating a slightly mixed picture of the effects of deprivation on primary care usage. One potential reason for higher levels of GP visits in less disadvantaged areas may be the </w:t>
      </w:r>
      <w:r w:rsidR="003128B2">
        <w:rPr>
          <w:rFonts w:ascii="Arial" w:hAnsi="Arial" w:cs="Arial"/>
        </w:rPr>
        <w:t>closer proximity</w:t>
      </w:r>
      <w:r w:rsidR="00E5219E">
        <w:rPr>
          <w:rFonts w:ascii="Arial" w:hAnsi="Arial" w:cs="Arial"/>
        </w:rPr>
        <w:t xml:space="preserve"> of GP surgeries, as these are less likely to be built in more disadvantaged areas </w:t>
      </w:r>
      <w:r w:rsidR="00D33690">
        <w:rPr>
          <w:rFonts w:ascii="Arial" w:hAnsi="Arial" w:cs="Arial"/>
        </w:rPr>
        <w:t>(</w:t>
      </w:r>
      <w:r w:rsidR="006239E5">
        <w:rPr>
          <w:rFonts w:ascii="Arial" w:hAnsi="Arial" w:cs="Arial"/>
        </w:rPr>
        <w:t>Greiner et al., 2018)</w:t>
      </w:r>
      <w:r w:rsidR="00E5219E">
        <w:rPr>
          <w:rFonts w:ascii="Arial" w:hAnsi="Arial" w:cs="Arial"/>
        </w:rPr>
        <w:t xml:space="preserve">.  </w:t>
      </w:r>
      <w:r w:rsidR="002F38A4">
        <w:rPr>
          <w:rFonts w:ascii="Arial" w:hAnsi="Arial" w:cs="Arial"/>
        </w:rPr>
        <w:t xml:space="preserve">It is unclear why those from the most affluent neighbourhoods (Quintile 1) were not found to have significantly higher GP usage, but may be explained by </w:t>
      </w:r>
      <w:r w:rsidR="00BB7A9D">
        <w:rPr>
          <w:rFonts w:ascii="Arial" w:hAnsi="Arial" w:cs="Arial"/>
        </w:rPr>
        <w:t>the relatively small sample size compared to those in the purposefully sampled most disadvantaged neighbourhoods (Quintile 5). Future research needs to collect similar samples across the IMD quintiles therefore to make a more representative comparison.</w:t>
      </w:r>
    </w:p>
    <w:p w14:paraId="4816ED13" w14:textId="3A46A0F7" w:rsidR="00CD4D77" w:rsidRDefault="00CD4D77" w:rsidP="00895204">
      <w:pPr>
        <w:spacing w:after="0" w:line="360" w:lineRule="auto"/>
        <w:jc w:val="both"/>
        <w:rPr>
          <w:rFonts w:ascii="Arial" w:hAnsi="Arial" w:cs="Arial"/>
        </w:rPr>
      </w:pPr>
      <w:r>
        <w:rPr>
          <w:rFonts w:ascii="Arial" w:hAnsi="Arial" w:cs="Arial"/>
        </w:rPr>
        <w:tab/>
        <w:t xml:space="preserve">In contrast, </w:t>
      </w:r>
      <w:r w:rsidR="00D9546E">
        <w:rPr>
          <w:rFonts w:ascii="Arial" w:hAnsi="Arial" w:cs="Arial"/>
        </w:rPr>
        <w:t>OAs</w:t>
      </w:r>
      <w:r>
        <w:rPr>
          <w:rFonts w:ascii="Arial" w:hAnsi="Arial" w:cs="Arial"/>
        </w:rPr>
        <w:t xml:space="preserve"> with higher levels of education were less likely to consult their GP. </w:t>
      </w:r>
      <w:r w:rsidR="00D9546E">
        <w:rPr>
          <w:rFonts w:ascii="Arial" w:hAnsi="Arial" w:cs="Arial"/>
        </w:rPr>
        <w:t xml:space="preserve">This might be because they had fewer health problems, as also evidenced by Palladino and colleagues (2016), showing that people across Europe with higher levels of education had lower risk of multimorbidity. </w:t>
      </w:r>
      <w:r w:rsidR="00090107">
        <w:rPr>
          <w:rFonts w:ascii="Arial" w:hAnsi="Arial" w:cs="Arial"/>
        </w:rPr>
        <w:t xml:space="preserve">However, it is also possible that those OAs with higher levels of education were able to find other sources of receiving support instead of consulting their GP. For example, they might have better access to social support services and are better able to access these. </w:t>
      </w:r>
      <w:r w:rsidR="005E7340">
        <w:rPr>
          <w:rFonts w:ascii="Arial" w:hAnsi="Arial" w:cs="Arial"/>
        </w:rPr>
        <w:t>It is important to highlight that the</w:t>
      </w:r>
      <w:r w:rsidR="005E5344">
        <w:rPr>
          <w:rFonts w:ascii="Arial" w:hAnsi="Arial" w:cs="Arial"/>
        </w:rPr>
        <w:t xml:space="preserve"> yearly </w:t>
      </w:r>
      <w:r w:rsidR="005E7340">
        <w:rPr>
          <w:rFonts w:ascii="Arial" w:hAnsi="Arial" w:cs="Arial"/>
        </w:rPr>
        <w:t xml:space="preserve">average of GP visits was </w:t>
      </w:r>
      <w:r w:rsidR="005E5344">
        <w:rPr>
          <w:rFonts w:ascii="Arial" w:hAnsi="Arial" w:cs="Arial"/>
        </w:rPr>
        <w:t xml:space="preserve">307 million </w:t>
      </w:r>
      <w:r w:rsidR="00486004">
        <w:rPr>
          <w:rFonts w:ascii="Arial" w:hAnsi="Arial" w:cs="Arial"/>
        </w:rPr>
        <w:t>between 2017 and 2018 in England across the population (NHS Digital, 2018)</w:t>
      </w:r>
      <w:r w:rsidR="005E7340">
        <w:rPr>
          <w:rFonts w:ascii="Arial" w:hAnsi="Arial" w:cs="Arial"/>
        </w:rPr>
        <w:t>. This</w:t>
      </w:r>
      <w:r w:rsidR="00486004">
        <w:rPr>
          <w:rFonts w:ascii="Arial" w:hAnsi="Arial" w:cs="Arial"/>
        </w:rPr>
        <w:t xml:space="preserve"> equates to approximately 5.5 visits per person, </w:t>
      </w:r>
      <w:r w:rsidR="005E7340">
        <w:rPr>
          <w:rFonts w:ascii="Arial" w:hAnsi="Arial" w:cs="Arial"/>
        </w:rPr>
        <w:t>the average of 5 visits per OA in this survey is close to the national average and thus the sample is representative of the general population.</w:t>
      </w:r>
    </w:p>
    <w:p w14:paraId="2D7CE2C9" w14:textId="12D283FA" w:rsidR="00735B29" w:rsidRDefault="00895204" w:rsidP="002B4873">
      <w:pPr>
        <w:spacing w:after="0" w:line="360" w:lineRule="auto"/>
        <w:jc w:val="both"/>
        <w:rPr>
          <w:rFonts w:ascii="Arial" w:hAnsi="Arial" w:cs="Arial"/>
        </w:rPr>
      </w:pPr>
      <w:r>
        <w:rPr>
          <w:rFonts w:ascii="Arial" w:hAnsi="Arial" w:cs="Arial"/>
        </w:rPr>
        <w:tab/>
        <w:t>Living further away f</w:t>
      </w:r>
      <w:r w:rsidR="00BB6350">
        <w:rPr>
          <w:rFonts w:ascii="Arial" w:hAnsi="Arial" w:cs="Arial"/>
        </w:rPr>
        <w:t xml:space="preserve">rom the nearest GP surgery was </w:t>
      </w:r>
      <w:r w:rsidR="00715262">
        <w:rPr>
          <w:rFonts w:ascii="Arial" w:hAnsi="Arial" w:cs="Arial"/>
        </w:rPr>
        <w:t xml:space="preserve">also </w:t>
      </w:r>
      <w:r w:rsidR="00BB6350">
        <w:rPr>
          <w:rFonts w:ascii="Arial" w:hAnsi="Arial" w:cs="Arial"/>
        </w:rPr>
        <w:t xml:space="preserve">found to </w:t>
      </w:r>
      <w:r w:rsidR="00715262">
        <w:rPr>
          <w:rFonts w:ascii="Arial" w:hAnsi="Arial" w:cs="Arial"/>
        </w:rPr>
        <w:t xml:space="preserve">be associated with </w:t>
      </w:r>
      <w:r w:rsidR="00BB6350">
        <w:rPr>
          <w:rFonts w:ascii="Arial" w:hAnsi="Arial" w:cs="Arial"/>
        </w:rPr>
        <w:t>increase</w:t>
      </w:r>
      <w:r w:rsidR="00715262">
        <w:rPr>
          <w:rFonts w:ascii="Arial" w:hAnsi="Arial" w:cs="Arial"/>
        </w:rPr>
        <w:t>d</w:t>
      </w:r>
      <w:r w:rsidR="00BB6350">
        <w:rPr>
          <w:rFonts w:ascii="Arial" w:hAnsi="Arial" w:cs="Arial"/>
        </w:rPr>
        <w:t xml:space="preserve"> attendance rates by </w:t>
      </w:r>
      <w:r w:rsidR="00E5219E">
        <w:rPr>
          <w:rFonts w:ascii="Arial" w:hAnsi="Arial" w:cs="Arial"/>
        </w:rPr>
        <w:t>7</w:t>
      </w:r>
      <w:r w:rsidR="00BB6350">
        <w:rPr>
          <w:rFonts w:ascii="Arial" w:hAnsi="Arial" w:cs="Arial"/>
        </w:rPr>
        <w:t>%. This may be explained by the fact that in England, people with chronic conditions and long-term illnesses, which are particularly common in the older population, remain registered w</w:t>
      </w:r>
      <w:r w:rsidR="00F21413">
        <w:rPr>
          <w:rFonts w:ascii="Arial" w:hAnsi="Arial" w:cs="Arial"/>
        </w:rPr>
        <w:t xml:space="preserve">ith their GPs even when moving. Thus, </w:t>
      </w:r>
      <w:r w:rsidR="00BB6350">
        <w:rPr>
          <w:rFonts w:ascii="Arial" w:hAnsi="Arial" w:cs="Arial"/>
        </w:rPr>
        <w:t>OAs may move f</w:t>
      </w:r>
      <w:r w:rsidR="00F21413">
        <w:rPr>
          <w:rFonts w:ascii="Arial" w:hAnsi="Arial" w:cs="Arial"/>
        </w:rPr>
        <w:t>urther away from the surgery but</w:t>
      </w:r>
      <w:r w:rsidR="00BB6350">
        <w:rPr>
          <w:rFonts w:ascii="Arial" w:hAnsi="Arial" w:cs="Arial"/>
        </w:rPr>
        <w:t xml:space="preserve"> due to higher levels of frailty or other conditions may require to see their GP or practice nurse more frequently. Previous findings on the effects of GP distance have been mixed, with Turnbull and colleagues </w:t>
      </w:r>
      <w:r w:rsidR="006239E5">
        <w:rPr>
          <w:rFonts w:ascii="Arial" w:hAnsi="Arial" w:cs="Arial"/>
        </w:rPr>
        <w:t>(Turnbull et al., 2008)</w:t>
      </w:r>
      <w:r w:rsidR="00BB6350">
        <w:rPr>
          <w:rFonts w:ascii="Arial" w:hAnsi="Arial" w:cs="Arial"/>
        </w:rPr>
        <w:t xml:space="preserve"> reporting reductions in GP out-of-hours service use with increased distance across all ages, and </w:t>
      </w:r>
      <w:r w:rsidR="00851081">
        <w:rPr>
          <w:rFonts w:ascii="Arial" w:hAnsi="Arial" w:cs="Arial"/>
        </w:rPr>
        <w:t xml:space="preserve">Mohan et al. </w:t>
      </w:r>
      <w:r w:rsidR="006239E5">
        <w:rPr>
          <w:rFonts w:ascii="Arial" w:hAnsi="Arial" w:cs="Arial"/>
        </w:rPr>
        <w:t>(2019)</w:t>
      </w:r>
      <w:r w:rsidR="00851081">
        <w:rPr>
          <w:rFonts w:ascii="Arial" w:hAnsi="Arial" w:cs="Arial"/>
        </w:rPr>
        <w:t xml:space="preserve"> reporting no effects of distance to the nearest GP service in adults aged 50 and above in Ireland, but instead only the number of local GPs. </w:t>
      </w:r>
      <w:r w:rsidR="00E5219E">
        <w:rPr>
          <w:rFonts w:ascii="Arial" w:hAnsi="Arial" w:cs="Arial"/>
        </w:rPr>
        <w:t xml:space="preserve">The latter has been corroborated by Greiner et al. </w:t>
      </w:r>
      <w:r w:rsidR="00CD4D77">
        <w:rPr>
          <w:rFonts w:ascii="Arial" w:hAnsi="Arial" w:cs="Arial"/>
        </w:rPr>
        <w:t>(</w:t>
      </w:r>
      <w:r w:rsidR="006239E5">
        <w:rPr>
          <w:rFonts w:ascii="Arial" w:hAnsi="Arial" w:cs="Arial"/>
        </w:rPr>
        <w:t>2018)</w:t>
      </w:r>
      <w:r w:rsidR="00E5219E">
        <w:rPr>
          <w:rFonts w:ascii="Arial" w:hAnsi="Arial" w:cs="Arial"/>
        </w:rPr>
        <w:t xml:space="preserve">. </w:t>
      </w:r>
    </w:p>
    <w:p w14:paraId="27CCB1BB" w14:textId="77777777" w:rsidR="006873D1" w:rsidRDefault="006873D1" w:rsidP="00715262">
      <w:pPr>
        <w:spacing w:after="0" w:line="360" w:lineRule="auto"/>
        <w:ind w:firstLine="720"/>
        <w:jc w:val="both"/>
        <w:rPr>
          <w:rFonts w:ascii="Arial" w:hAnsi="Arial" w:cs="Arial"/>
        </w:rPr>
      </w:pPr>
      <w:r>
        <w:rPr>
          <w:rFonts w:ascii="Arial" w:hAnsi="Arial" w:cs="Arial"/>
        </w:rPr>
        <w:lastRenderedPageBreak/>
        <w:t>One of the strengths of this study is the recruitment of the study cohort from disadvantaged groups. Therefore, this study is primarily based on people living in disadvantaged circumstances, and is thus ideally placed to investigate variations in health care utilisation by socio-economic background.</w:t>
      </w:r>
    </w:p>
    <w:p w14:paraId="7506362E" w14:textId="7D838E93" w:rsidR="006873D1" w:rsidRDefault="006873D1" w:rsidP="00715262">
      <w:pPr>
        <w:spacing w:after="0" w:line="360" w:lineRule="auto"/>
        <w:ind w:firstLine="720"/>
        <w:jc w:val="both"/>
        <w:rPr>
          <w:rFonts w:ascii="Arial" w:hAnsi="Arial" w:cs="Arial"/>
        </w:rPr>
      </w:pPr>
      <w:r>
        <w:rPr>
          <w:rFonts w:ascii="Arial" w:hAnsi="Arial" w:cs="Arial"/>
        </w:rPr>
        <w:t xml:space="preserve">Some of the limitations of this study include that the collected data are cross sectional, and therefore causation cannot be explained by the data. Furthermore, the HHS did not explore reasons of GP attendance, and collected no follow-up data after the GP visits. Having this contextual information would help understand the different effects on GP visits better. In line with this missing information as part of the survey design, healthcare usage in the survey was based on responses provided by participants, and they may have forgotten some visits, particularly OAs with memory problems, including dementia. Regarding the measurement of frailty in this analysis, the survey did not collect full CFS data, but instead used data from the </w:t>
      </w:r>
      <w:proofErr w:type="spellStart"/>
      <w:r>
        <w:rPr>
          <w:rFonts w:ascii="Arial" w:hAnsi="Arial" w:cs="Arial"/>
        </w:rPr>
        <w:t>EuroQoL</w:t>
      </w:r>
      <w:proofErr w:type="spellEnd"/>
      <w:r>
        <w:rPr>
          <w:rFonts w:ascii="Arial" w:hAnsi="Arial" w:cs="Arial"/>
        </w:rPr>
        <w:t xml:space="preserve"> to align with the CFS frailty levels, which were drawn up in consultation with practising clinicians (AA, MG).</w:t>
      </w:r>
    </w:p>
    <w:p w14:paraId="3B01954A" w14:textId="77777777" w:rsidR="00715262" w:rsidRDefault="00715262" w:rsidP="00715262">
      <w:pPr>
        <w:spacing w:after="0" w:line="360" w:lineRule="auto"/>
        <w:ind w:firstLine="720"/>
        <w:jc w:val="both"/>
        <w:rPr>
          <w:rFonts w:ascii="Arial" w:hAnsi="Arial" w:cs="Arial"/>
        </w:rPr>
      </w:pPr>
    </w:p>
    <w:p w14:paraId="1D2933CE" w14:textId="25736E9A" w:rsidR="009B1CF7" w:rsidRPr="006873D1" w:rsidRDefault="006873D1" w:rsidP="002B4873">
      <w:pPr>
        <w:spacing w:after="0" w:line="360" w:lineRule="auto"/>
        <w:jc w:val="both"/>
        <w:rPr>
          <w:rFonts w:ascii="Arial" w:hAnsi="Arial" w:cs="Arial"/>
          <w:b/>
          <w:sz w:val="24"/>
        </w:rPr>
      </w:pPr>
      <w:r w:rsidRPr="006873D1">
        <w:rPr>
          <w:rFonts w:ascii="Arial" w:hAnsi="Arial" w:cs="Arial"/>
          <w:b/>
          <w:sz w:val="24"/>
        </w:rPr>
        <w:t>Conclusions</w:t>
      </w:r>
    </w:p>
    <w:p w14:paraId="44B09DC6" w14:textId="53668F50" w:rsidR="002B4873" w:rsidRDefault="002B4873" w:rsidP="00044966">
      <w:pPr>
        <w:spacing w:line="360" w:lineRule="auto"/>
        <w:jc w:val="both"/>
        <w:rPr>
          <w:rFonts w:ascii="Arial" w:hAnsi="Arial" w:cs="Arial"/>
        </w:rPr>
      </w:pPr>
      <w:r>
        <w:rPr>
          <w:rFonts w:ascii="Arial" w:hAnsi="Arial" w:cs="Arial"/>
        </w:rPr>
        <w:t xml:space="preserve">Findings from this study suggest that increasing social support, via social prescribing for example, can be an avenue to reduce a proportion of GP visits in OAs. However, with high social support </w:t>
      </w:r>
      <w:r w:rsidR="00715262">
        <w:rPr>
          <w:rFonts w:ascii="Arial" w:hAnsi="Arial" w:cs="Arial"/>
        </w:rPr>
        <w:t xml:space="preserve">associated with </w:t>
      </w:r>
      <w:r>
        <w:rPr>
          <w:rFonts w:ascii="Arial" w:hAnsi="Arial" w:cs="Arial"/>
        </w:rPr>
        <w:t xml:space="preserve">reducing the likelihood of GP visits by 7% only, </w:t>
      </w:r>
      <w:r w:rsidR="00795090">
        <w:rPr>
          <w:rFonts w:ascii="Arial" w:hAnsi="Arial" w:cs="Arial"/>
        </w:rPr>
        <w:t xml:space="preserve">social prescribing </w:t>
      </w:r>
      <w:r w:rsidR="005A6749">
        <w:rPr>
          <w:rFonts w:ascii="Arial" w:hAnsi="Arial" w:cs="Arial"/>
        </w:rPr>
        <w:t xml:space="preserve">as one option </w:t>
      </w:r>
      <w:r w:rsidR="00795090">
        <w:rPr>
          <w:rFonts w:ascii="Arial" w:hAnsi="Arial" w:cs="Arial"/>
        </w:rPr>
        <w:t>needs to be supported</w:t>
      </w:r>
      <w:r w:rsidR="005A6749">
        <w:rPr>
          <w:rFonts w:ascii="Arial" w:hAnsi="Arial" w:cs="Arial"/>
        </w:rPr>
        <w:t xml:space="preserve"> by other </w:t>
      </w:r>
      <w:r w:rsidR="0031439B">
        <w:rPr>
          <w:rFonts w:ascii="Arial" w:hAnsi="Arial" w:cs="Arial"/>
        </w:rPr>
        <w:t xml:space="preserve">policy and clinical </w:t>
      </w:r>
      <w:r w:rsidR="005A6749">
        <w:rPr>
          <w:rFonts w:ascii="Arial" w:hAnsi="Arial" w:cs="Arial"/>
        </w:rPr>
        <w:t>strategies to reduce</w:t>
      </w:r>
      <w:r w:rsidR="00795090">
        <w:rPr>
          <w:rFonts w:ascii="Arial" w:hAnsi="Arial" w:cs="Arial"/>
        </w:rPr>
        <w:t xml:space="preserve"> GP visits and thus reduce the burden on the healthcare system. </w:t>
      </w:r>
    </w:p>
    <w:p w14:paraId="62CA5F97" w14:textId="70B9BF8B" w:rsidR="00643945" w:rsidRPr="00C238C2" w:rsidRDefault="00C238C2" w:rsidP="00044966">
      <w:pPr>
        <w:spacing w:line="360" w:lineRule="auto"/>
        <w:jc w:val="both"/>
        <w:rPr>
          <w:rFonts w:ascii="Arial" w:hAnsi="Arial" w:cs="Arial"/>
          <w:b/>
          <w:sz w:val="24"/>
        </w:rPr>
      </w:pPr>
      <w:r w:rsidRPr="00C238C2">
        <w:rPr>
          <w:rFonts w:ascii="Arial" w:hAnsi="Arial" w:cs="Arial"/>
          <w:b/>
          <w:sz w:val="24"/>
        </w:rPr>
        <w:t>Clinical Implications</w:t>
      </w:r>
      <w:r w:rsidR="00967830">
        <w:rPr>
          <w:rFonts w:ascii="Arial" w:hAnsi="Arial" w:cs="Arial"/>
          <w:b/>
          <w:sz w:val="24"/>
        </w:rPr>
        <w:t xml:space="preserve"> </w:t>
      </w:r>
    </w:p>
    <w:p w14:paraId="170F54C1" w14:textId="75BDC775" w:rsidR="00BC0515" w:rsidRPr="00AC2AA1" w:rsidRDefault="00C238C2" w:rsidP="00AC2AA1">
      <w:pPr>
        <w:spacing w:line="360" w:lineRule="auto"/>
        <w:jc w:val="both"/>
        <w:rPr>
          <w:rFonts w:ascii="Arial" w:hAnsi="Arial" w:cs="Arial"/>
        </w:rPr>
      </w:pPr>
      <w:r w:rsidRPr="00AC2AA1">
        <w:rPr>
          <w:rFonts w:ascii="Arial" w:hAnsi="Arial" w:cs="Arial"/>
        </w:rPr>
        <w:t>Findings suggest higher levels of social support is linked to fewer GP visits.</w:t>
      </w:r>
    </w:p>
    <w:p w14:paraId="0C99C074" w14:textId="5C0943BD" w:rsidR="00C238C2" w:rsidRPr="00AC2AA1" w:rsidRDefault="00C238C2" w:rsidP="00AC2AA1">
      <w:pPr>
        <w:spacing w:line="360" w:lineRule="auto"/>
        <w:jc w:val="both"/>
        <w:rPr>
          <w:rFonts w:ascii="Arial" w:hAnsi="Arial" w:cs="Arial"/>
        </w:rPr>
      </w:pPr>
      <w:r w:rsidRPr="00AC2AA1">
        <w:rPr>
          <w:rFonts w:ascii="Arial" w:hAnsi="Arial" w:cs="Arial"/>
        </w:rPr>
        <w:t xml:space="preserve">Social support can be raised via social prescribing, with this study providing </w:t>
      </w:r>
      <w:r w:rsidR="00E10F5B">
        <w:rPr>
          <w:rFonts w:ascii="Arial" w:hAnsi="Arial" w:cs="Arial"/>
        </w:rPr>
        <w:t>support</w:t>
      </w:r>
      <w:r w:rsidRPr="00AC2AA1">
        <w:rPr>
          <w:rFonts w:ascii="Arial" w:hAnsi="Arial" w:cs="Arial"/>
        </w:rPr>
        <w:t xml:space="preserve"> to increase social prescribing.</w:t>
      </w:r>
    </w:p>
    <w:p w14:paraId="57A2CAED" w14:textId="14FBDFE4" w:rsidR="000C65FF" w:rsidRPr="00AC2AA1" w:rsidRDefault="000C65FF" w:rsidP="00AC2AA1">
      <w:pPr>
        <w:spacing w:line="360" w:lineRule="auto"/>
        <w:jc w:val="both"/>
        <w:rPr>
          <w:rFonts w:ascii="Arial" w:hAnsi="Arial" w:cs="Arial"/>
        </w:rPr>
      </w:pPr>
      <w:r w:rsidRPr="00AC2AA1">
        <w:rPr>
          <w:rFonts w:ascii="Arial" w:hAnsi="Arial" w:cs="Arial"/>
        </w:rPr>
        <w:t xml:space="preserve">GPs need to encourage activities to improve and raise social support </w:t>
      </w:r>
      <w:r w:rsidR="006E1BCB" w:rsidRPr="00AC2AA1">
        <w:rPr>
          <w:rFonts w:ascii="Arial" w:hAnsi="Arial" w:cs="Arial"/>
        </w:rPr>
        <w:t>as part of their</w:t>
      </w:r>
      <w:r w:rsidRPr="00AC2AA1">
        <w:rPr>
          <w:rFonts w:ascii="Arial" w:hAnsi="Arial" w:cs="Arial"/>
        </w:rPr>
        <w:t xml:space="preserve"> clinical treatment.</w:t>
      </w:r>
    </w:p>
    <w:p w14:paraId="062B0C27" w14:textId="77777777" w:rsidR="00C238C2" w:rsidRPr="00C238C2" w:rsidRDefault="00C238C2" w:rsidP="008F1C33">
      <w:pPr>
        <w:pStyle w:val="ListParagraph"/>
        <w:spacing w:line="360" w:lineRule="auto"/>
        <w:jc w:val="both"/>
        <w:rPr>
          <w:rFonts w:ascii="Arial" w:hAnsi="Arial" w:cs="Arial"/>
        </w:rPr>
      </w:pPr>
    </w:p>
    <w:p w14:paraId="693A12D6" w14:textId="492A6067" w:rsidR="00BC0515" w:rsidRDefault="00BC0515" w:rsidP="00044966">
      <w:pPr>
        <w:spacing w:line="360" w:lineRule="auto"/>
        <w:jc w:val="both"/>
        <w:rPr>
          <w:rFonts w:ascii="Arial" w:hAnsi="Arial" w:cs="Arial"/>
          <w:b/>
        </w:rPr>
      </w:pPr>
    </w:p>
    <w:p w14:paraId="79C124FC" w14:textId="01B4C206" w:rsidR="00F87067" w:rsidRDefault="00F87067" w:rsidP="00044966">
      <w:pPr>
        <w:spacing w:line="360" w:lineRule="auto"/>
        <w:jc w:val="both"/>
        <w:rPr>
          <w:rFonts w:ascii="Arial" w:hAnsi="Arial" w:cs="Arial"/>
          <w:b/>
        </w:rPr>
      </w:pPr>
    </w:p>
    <w:p w14:paraId="0E841801" w14:textId="77777777" w:rsidR="00F87067" w:rsidRDefault="00F87067" w:rsidP="00044966">
      <w:pPr>
        <w:spacing w:line="360" w:lineRule="auto"/>
        <w:jc w:val="both"/>
        <w:rPr>
          <w:rFonts w:ascii="Arial" w:hAnsi="Arial" w:cs="Arial"/>
          <w:b/>
        </w:rPr>
      </w:pPr>
    </w:p>
    <w:p w14:paraId="37005581" w14:textId="48695855" w:rsidR="00BC0515" w:rsidRDefault="00BC0515" w:rsidP="00044966">
      <w:pPr>
        <w:spacing w:line="360" w:lineRule="auto"/>
        <w:jc w:val="both"/>
        <w:rPr>
          <w:rFonts w:ascii="Arial" w:hAnsi="Arial" w:cs="Arial"/>
          <w:b/>
        </w:rPr>
      </w:pPr>
    </w:p>
    <w:p w14:paraId="2064567D" w14:textId="66A50758" w:rsidR="000550D0" w:rsidRPr="005E4674" w:rsidRDefault="0031439B" w:rsidP="00EF444C">
      <w:pPr>
        <w:spacing w:after="0" w:line="360" w:lineRule="auto"/>
        <w:jc w:val="both"/>
        <w:rPr>
          <w:rFonts w:ascii="Arial" w:hAnsi="Arial" w:cs="Arial"/>
          <w:b/>
        </w:rPr>
      </w:pPr>
      <w:r>
        <w:rPr>
          <w:rFonts w:ascii="Arial" w:hAnsi="Arial" w:cs="Arial"/>
          <w:b/>
        </w:rPr>
        <w:lastRenderedPageBreak/>
        <w:t>F</w:t>
      </w:r>
      <w:r w:rsidR="000550D0" w:rsidRPr="005E4674">
        <w:rPr>
          <w:rFonts w:ascii="Arial" w:hAnsi="Arial" w:cs="Arial"/>
          <w:b/>
        </w:rPr>
        <w:t>unding</w:t>
      </w:r>
    </w:p>
    <w:p w14:paraId="4456BF65" w14:textId="16BC2B0D" w:rsidR="006432F0" w:rsidRPr="005E4674" w:rsidRDefault="006432F0" w:rsidP="00044966">
      <w:pPr>
        <w:spacing w:line="360" w:lineRule="auto"/>
        <w:jc w:val="both"/>
        <w:rPr>
          <w:rStyle w:val="Emphasis"/>
          <w:rFonts w:ascii="Arial" w:hAnsi="Arial" w:cs="Arial"/>
          <w:i w:val="0"/>
          <w:shd w:val="clear" w:color="auto" w:fill="FFFFFF"/>
        </w:rPr>
      </w:pPr>
      <w:r w:rsidRPr="005E4674">
        <w:rPr>
          <w:rStyle w:val="Emphasis"/>
          <w:rFonts w:ascii="Arial" w:hAnsi="Arial" w:cs="Arial"/>
          <w:i w:val="0"/>
          <w:shd w:val="clear" w:color="auto" w:fill="FFFFFF"/>
        </w:rPr>
        <w:t xml:space="preserve">This project is funded by The National Institute for Health Research </w:t>
      </w:r>
      <w:r w:rsidR="00F21413" w:rsidRPr="005E4674">
        <w:rPr>
          <w:rStyle w:val="Emphasis"/>
          <w:rFonts w:ascii="Arial" w:hAnsi="Arial" w:cs="Arial"/>
          <w:i w:val="0"/>
          <w:shd w:val="clear" w:color="auto" w:fill="FFFFFF"/>
        </w:rPr>
        <w:t>Applied</w:t>
      </w:r>
      <w:r w:rsidRPr="005E4674">
        <w:rPr>
          <w:rStyle w:val="Emphasis"/>
          <w:rFonts w:ascii="Arial" w:hAnsi="Arial" w:cs="Arial"/>
          <w:i w:val="0"/>
          <w:shd w:val="clear" w:color="auto" w:fill="FFFFFF"/>
        </w:rPr>
        <w:t xml:space="preserve"> Research </w:t>
      </w:r>
      <w:r w:rsidR="00F21413" w:rsidRPr="005E4674">
        <w:rPr>
          <w:rStyle w:val="Emphasis"/>
          <w:rFonts w:ascii="Arial" w:hAnsi="Arial" w:cs="Arial"/>
          <w:i w:val="0"/>
          <w:shd w:val="clear" w:color="auto" w:fill="FFFFFF"/>
        </w:rPr>
        <w:t>Collaboration North West Coast (NIHR A</w:t>
      </w:r>
      <w:r w:rsidRPr="005E4674">
        <w:rPr>
          <w:rStyle w:val="Emphasis"/>
          <w:rFonts w:ascii="Arial" w:hAnsi="Arial" w:cs="Arial"/>
          <w:i w:val="0"/>
          <w:shd w:val="clear" w:color="auto" w:fill="FFFFFF"/>
        </w:rPr>
        <w:t>RC NWC). </w:t>
      </w:r>
      <w:r w:rsidRPr="005E4674">
        <w:rPr>
          <w:rFonts w:ascii="Arial" w:hAnsi="Arial" w:cs="Arial"/>
          <w:i/>
        </w:rPr>
        <w:br/>
      </w:r>
      <w:r w:rsidRPr="005E4674">
        <w:rPr>
          <w:rStyle w:val="Emphasis"/>
          <w:rFonts w:ascii="Arial" w:hAnsi="Arial" w:cs="Arial"/>
          <w:i w:val="0"/>
          <w:shd w:val="clear" w:color="auto" w:fill="FFFFFF"/>
        </w:rPr>
        <w:t>The views expressed here are those of the author(s) and not necessarily those of the NHS, the NIHR, or the Department of Health and Social Care.</w:t>
      </w:r>
    </w:p>
    <w:p w14:paraId="4DD30D19" w14:textId="77777777" w:rsidR="006432F0" w:rsidRPr="005E4674" w:rsidRDefault="006432F0" w:rsidP="00735B29">
      <w:pPr>
        <w:spacing w:after="0" w:line="360" w:lineRule="auto"/>
        <w:jc w:val="both"/>
        <w:rPr>
          <w:rStyle w:val="Emphasis"/>
          <w:rFonts w:ascii="Arial" w:hAnsi="Arial" w:cs="Arial"/>
          <w:b/>
          <w:i w:val="0"/>
          <w:shd w:val="clear" w:color="auto" w:fill="FFFFFF"/>
        </w:rPr>
      </w:pPr>
      <w:r w:rsidRPr="005E4674">
        <w:rPr>
          <w:rStyle w:val="Emphasis"/>
          <w:rFonts w:ascii="Arial" w:hAnsi="Arial" w:cs="Arial"/>
          <w:b/>
          <w:i w:val="0"/>
          <w:shd w:val="clear" w:color="auto" w:fill="FFFFFF"/>
        </w:rPr>
        <w:t>Conflicts of interest</w:t>
      </w:r>
    </w:p>
    <w:p w14:paraId="34AA561E" w14:textId="18D157A6" w:rsidR="003E15E8" w:rsidRPr="005E4674" w:rsidRDefault="00735B29" w:rsidP="00044966">
      <w:pPr>
        <w:spacing w:line="360" w:lineRule="auto"/>
        <w:jc w:val="both"/>
        <w:rPr>
          <w:rStyle w:val="Emphasis"/>
          <w:rFonts w:ascii="Arial" w:hAnsi="Arial" w:cs="Arial"/>
          <w:i w:val="0"/>
          <w:shd w:val="clear" w:color="auto" w:fill="FFFFFF"/>
        </w:rPr>
      </w:pPr>
      <w:r w:rsidRPr="005E4674">
        <w:rPr>
          <w:rStyle w:val="Emphasis"/>
          <w:rFonts w:ascii="Arial" w:hAnsi="Arial" w:cs="Arial"/>
          <w:i w:val="0"/>
          <w:shd w:val="clear" w:color="auto" w:fill="FFFFFF"/>
        </w:rPr>
        <w:t>None.</w:t>
      </w:r>
    </w:p>
    <w:p w14:paraId="321C2A49" w14:textId="2A139EF0" w:rsidR="004F08C9" w:rsidRDefault="004F08C9" w:rsidP="00044966">
      <w:pPr>
        <w:spacing w:line="360" w:lineRule="auto"/>
        <w:jc w:val="both"/>
        <w:rPr>
          <w:rStyle w:val="Emphasis"/>
          <w:rFonts w:ascii="Arial" w:hAnsi="Arial" w:cs="Arial"/>
          <w:i w:val="0"/>
          <w:color w:val="202020"/>
          <w:shd w:val="clear" w:color="auto" w:fill="FFFFFF"/>
        </w:rPr>
      </w:pPr>
    </w:p>
    <w:p w14:paraId="4DC5371A" w14:textId="3D62D2C8" w:rsidR="004F08C9" w:rsidRDefault="004F08C9" w:rsidP="00044966">
      <w:pPr>
        <w:spacing w:line="360" w:lineRule="auto"/>
        <w:jc w:val="both"/>
        <w:rPr>
          <w:rStyle w:val="Emphasis"/>
          <w:rFonts w:ascii="Arial" w:hAnsi="Arial" w:cs="Arial"/>
          <w:i w:val="0"/>
          <w:color w:val="202020"/>
          <w:shd w:val="clear" w:color="auto" w:fill="FFFFFF"/>
        </w:rPr>
      </w:pPr>
    </w:p>
    <w:p w14:paraId="133D2869" w14:textId="0E5B5505" w:rsidR="004F08C9" w:rsidRDefault="004F08C9" w:rsidP="00044966">
      <w:pPr>
        <w:spacing w:line="360" w:lineRule="auto"/>
        <w:jc w:val="both"/>
        <w:rPr>
          <w:rStyle w:val="Emphasis"/>
          <w:rFonts w:ascii="Arial" w:hAnsi="Arial" w:cs="Arial"/>
          <w:i w:val="0"/>
          <w:color w:val="202020"/>
          <w:shd w:val="clear" w:color="auto" w:fill="FFFFFF"/>
        </w:rPr>
      </w:pPr>
    </w:p>
    <w:p w14:paraId="60D955B7" w14:textId="778C70E3" w:rsidR="004F08C9" w:rsidRDefault="004F08C9" w:rsidP="00044966">
      <w:pPr>
        <w:spacing w:line="360" w:lineRule="auto"/>
        <w:jc w:val="both"/>
        <w:rPr>
          <w:rStyle w:val="Emphasis"/>
          <w:rFonts w:ascii="Arial" w:hAnsi="Arial" w:cs="Arial"/>
          <w:i w:val="0"/>
          <w:color w:val="202020"/>
          <w:shd w:val="clear" w:color="auto" w:fill="FFFFFF"/>
        </w:rPr>
      </w:pPr>
    </w:p>
    <w:p w14:paraId="61D3B065" w14:textId="20114056" w:rsidR="004F08C9" w:rsidRDefault="004F08C9" w:rsidP="00044966">
      <w:pPr>
        <w:spacing w:line="360" w:lineRule="auto"/>
        <w:jc w:val="both"/>
        <w:rPr>
          <w:rStyle w:val="Emphasis"/>
          <w:rFonts w:ascii="Arial" w:hAnsi="Arial" w:cs="Arial"/>
          <w:i w:val="0"/>
          <w:color w:val="202020"/>
          <w:shd w:val="clear" w:color="auto" w:fill="FFFFFF"/>
        </w:rPr>
      </w:pPr>
    </w:p>
    <w:p w14:paraId="50DDE0C2" w14:textId="033634F1" w:rsidR="004F08C9" w:rsidRDefault="004F08C9" w:rsidP="00044966">
      <w:pPr>
        <w:spacing w:line="360" w:lineRule="auto"/>
        <w:jc w:val="both"/>
        <w:rPr>
          <w:rStyle w:val="Emphasis"/>
          <w:rFonts w:ascii="Arial" w:hAnsi="Arial" w:cs="Arial"/>
          <w:i w:val="0"/>
          <w:color w:val="202020"/>
          <w:shd w:val="clear" w:color="auto" w:fill="FFFFFF"/>
        </w:rPr>
      </w:pPr>
    </w:p>
    <w:p w14:paraId="5199C0B7" w14:textId="7C999E33" w:rsidR="004F08C9" w:rsidRDefault="004F08C9" w:rsidP="00044966">
      <w:pPr>
        <w:spacing w:line="360" w:lineRule="auto"/>
        <w:jc w:val="both"/>
        <w:rPr>
          <w:rStyle w:val="Emphasis"/>
          <w:rFonts w:ascii="Arial" w:hAnsi="Arial" w:cs="Arial"/>
          <w:i w:val="0"/>
          <w:color w:val="202020"/>
          <w:shd w:val="clear" w:color="auto" w:fill="FFFFFF"/>
        </w:rPr>
      </w:pPr>
    </w:p>
    <w:p w14:paraId="2C571871" w14:textId="24518217" w:rsidR="00F87067" w:rsidRDefault="00F87067" w:rsidP="00044966">
      <w:pPr>
        <w:spacing w:line="360" w:lineRule="auto"/>
        <w:jc w:val="both"/>
        <w:rPr>
          <w:rStyle w:val="Emphasis"/>
          <w:rFonts w:ascii="Arial" w:hAnsi="Arial" w:cs="Arial"/>
          <w:i w:val="0"/>
          <w:color w:val="202020"/>
          <w:shd w:val="clear" w:color="auto" w:fill="FFFFFF"/>
        </w:rPr>
      </w:pPr>
    </w:p>
    <w:p w14:paraId="65F87A6E" w14:textId="087DB225" w:rsidR="00F87067" w:rsidRDefault="00F87067" w:rsidP="00044966">
      <w:pPr>
        <w:spacing w:line="360" w:lineRule="auto"/>
        <w:jc w:val="both"/>
        <w:rPr>
          <w:rStyle w:val="Emphasis"/>
          <w:rFonts w:ascii="Arial" w:hAnsi="Arial" w:cs="Arial"/>
          <w:i w:val="0"/>
          <w:color w:val="202020"/>
          <w:shd w:val="clear" w:color="auto" w:fill="FFFFFF"/>
        </w:rPr>
      </w:pPr>
    </w:p>
    <w:p w14:paraId="5927E34C" w14:textId="6A47BABD" w:rsidR="00F87067" w:rsidRDefault="00F87067" w:rsidP="00044966">
      <w:pPr>
        <w:spacing w:line="360" w:lineRule="auto"/>
        <w:jc w:val="both"/>
        <w:rPr>
          <w:rStyle w:val="Emphasis"/>
          <w:rFonts w:ascii="Arial" w:hAnsi="Arial" w:cs="Arial"/>
          <w:i w:val="0"/>
          <w:color w:val="202020"/>
          <w:shd w:val="clear" w:color="auto" w:fill="FFFFFF"/>
        </w:rPr>
      </w:pPr>
    </w:p>
    <w:p w14:paraId="5CD3E696" w14:textId="4841E0FB" w:rsidR="00F87067" w:rsidRDefault="00F87067" w:rsidP="00044966">
      <w:pPr>
        <w:spacing w:line="360" w:lineRule="auto"/>
        <w:jc w:val="both"/>
        <w:rPr>
          <w:rStyle w:val="Emphasis"/>
          <w:rFonts w:ascii="Arial" w:hAnsi="Arial" w:cs="Arial"/>
          <w:i w:val="0"/>
          <w:color w:val="202020"/>
          <w:shd w:val="clear" w:color="auto" w:fill="FFFFFF"/>
        </w:rPr>
      </w:pPr>
    </w:p>
    <w:p w14:paraId="2260EAE1" w14:textId="7B1F9094" w:rsidR="00F87067" w:rsidRDefault="00F87067" w:rsidP="00044966">
      <w:pPr>
        <w:spacing w:line="360" w:lineRule="auto"/>
        <w:jc w:val="both"/>
        <w:rPr>
          <w:rStyle w:val="Emphasis"/>
          <w:rFonts w:ascii="Arial" w:hAnsi="Arial" w:cs="Arial"/>
          <w:i w:val="0"/>
          <w:color w:val="202020"/>
          <w:shd w:val="clear" w:color="auto" w:fill="FFFFFF"/>
        </w:rPr>
      </w:pPr>
    </w:p>
    <w:p w14:paraId="04FA6B9D" w14:textId="15FF249A" w:rsidR="00F87067" w:rsidRDefault="00F87067" w:rsidP="00044966">
      <w:pPr>
        <w:spacing w:line="360" w:lineRule="auto"/>
        <w:jc w:val="both"/>
        <w:rPr>
          <w:rStyle w:val="Emphasis"/>
          <w:rFonts w:ascii="Arial" w:hAnsi="Arial" w:cs="Arial"/>
          <w:i w:val="0"/>
          <w:color w:val="202020"/>
          <w:shd w:val="clear" w:color="auto" w:fill="FFFFFF"/>
        </w:rPr>
      </w:pPr>
    </w:p>
    <w:p w14:paraId="782BF51E" w14:textId="4967838C" w:rsidR="00F87067" w:rsidRDefault="00F87067" w:rsidP="00044966">
      <w:pPr>
        <w:spacing w:line="360" w:lineRule="auto"/>
        <w:jc w:val="both"/>
        <w:rPr>
          <w:rStyle w:val="Emphasis"/>
          <w:rFonts w:ascii="Arial" w:hAnsi="Arial" w:cs="Arial"/>
          <w:i w:val="0"/>
          <w:color w:val="202020"/>
          <w:shd w:val="clear" w:color="auto" w:fill="FFFFFF"/>
        </w:rPr>
      </w:pPr>
    </w:p>
    <w:p w14:paraId="232E713F" w14:textId="47BB3A21" w:rsidR="00F87067" w:rsidRDefault="00F87067" w:rsidP="00044966">
      <w:pPr>
        <w:spacing w:line="360" w:lineRule="auto"/>
        <w:jc w:val="both"/>
        <w:rPr>
          <w:rStyle w:val="Emphasis"/>
          <w:rFonts w:ascii="Arial" w:hAnsi="Arial" w:cs="Arial"/>
          <w:i w:val="0"/>
          <w:color w:val="202020"/>
          <w:shd w:val="clear" w:color="auto" w:fill="FFFFFF"/>
        </w:rPr>
      </w:pPr>
    </w:p>
    <w:p w14:paraId="74B1DF53" w14:textId="66D15D19" w:rsidR="00F87067" w:rsidRDefault="00F87067" w:rsidP="00044966">
      <w:pPr>
        <w:spacing w:line="360" w:lineRule="auto"/>
        <w:jc w:val="both"/>
        <w:rPr>
          <w:rStyle w:val="Emphasis"/>
          <w:rFonts w:ascii="Arial" w:hAnsi="Arial" w:cs="Arial"/>
          <w:i w:val="0"/>
          <w:color w:val="202020"/>
          <w:shd w:val="clear" w:color="auto" w:fill="FFFFFF"/>
        </w:rPr>
      </w:pPr>
    </w:p>
    <w:p w14:paraId="08ED824B" w14:textId="1AAC348A" w:rsidR="00F87067" w:rsidRDefault="00F87067" w:rsidP="00044966">
      <w:pPr>
        <w:spacing w:line="360" w:lineRule="auto"/>
        <w:jc w:val="both"/>
        <w:rPr>
          <w:rStyle w:val="Emphasis"/>
          <w:rFonts w:ascii="Arial" w:hAnsi="Arial" w:cs="Arial"/>
          <w:i w:val="0"/>
          <w:color w:val="202020"/>
          <w:shd w:val="clear" w:color="auto" w:fill="FFFFFF"/>
        </w:rPr>
      </w:pPr>
    </w:p>
    <w:p w14:paraId="5B685BF0" w14:textId="4D9BDCCE" w:rsidR="00F87067" w:rsidRDefault="00F87067" w:rsidP="00044966">
      <w:pPr>
        <w:spacing w:line="360" w:lineRule="auto"/>
        <w:jc w:val="both"/>
        <w:rPr>
          <w:rStyle w:val="Emphasis"/>
          <w:rFonts w:ascii="Arial" w:hAnsi="Arial" w:cs="Arial"/>
          <w:i w:val="0"/>
          <w:color w:val="202020"/>
          <w:shd w:val="clear" w:color="auto" w:fill="FFFFFF"/>
        </w:rPr>
      </w:pPr>
    </w:p>
    <w:p w14:paraId="6F72A3C6" w14:textId="1C01D413" w:rsidR="00F87067" w:rsidRDefault="00F87067" w:rsidP="00044966">
      <w:pPr>
        <w:spacing w:line="360" w:lineRule="auto"/>
        <w:jc w:val="both"/>
        <w:rPr>
          <w:rStyle w:val="Emphasis"/>
          <w:rFonts w:ascii="Arial" w:hAnsi="Arial" w:cs="Arial"/>
          <w:i w:val="0"/>
          <w:color w:val="202020"/>
          <w:shd w:val="clear" w:color="auto" w:fill="FFFFFF"/>
        </w:rPr>
      </w:pPr>
    </w:p>
    <w:p w14:paraId="0D319B2C" w14:textId="77777777" w:rsidR="00F87067" w:rsidRDefault="00F87067" w:rsidP="00044966">
      <w:pPr>
        <w:spacing w:line="360" w:lineRule="auto"/>
        <w:jc w:val="both"/>
        <w:rPr>
          <w:rStyle w:val="Emphasis"/>
          <w:rFonts w:ascii="Arial" w:hAnsi="Arial" w:cs="Arial"/>
          <w:i w:val="0"/>
          <w:color w:val="202020"/>
          <w:shd w:val="clear" w:color="auto" w:fill="FFFFFF"/>
        </w:rPr>
      </w:pPr>
    </w:p>
    <w:p w14:paraId="029FB7D5" w14:textId="6A78964E" w:rsidR="007F3E19" w:rsidRPr="000C48D2" w:rsidRDefault="005E7340" w:rsidP="000C48D2">
      <w:pPr>
        <w:spacing w:line="360" w:lineRule="auto"/>
        <w:jc w:val="both"/>
        <w:rPr>
          <w:rFonts w:ascii="Arial" w:hAnsi="Arial" w:cs="Arial"/>
          <w:b/>
          <w:i/>
        </w:rPr>
      </w:pPr>
      <w:r>
        <w:rPr>
          <w:rFonts w:ascii="Arial" w:hAnsi="Arial" w:cs="Arial"/>
          <w:b/>
          <w:sz w:val="24"/>
        </w:rPr>
        <w:lastRenderedPageBreak/>
        <w:t>R</w:t>
      </w:r>
      <w:r w:rsidR="007F3E19">
        <w:rPr>
          <w:rFonts w:ascii="Arial" w:hAnsi="Arial" w:cs="Arial"/>
          <w:b/>
          <w:sz w:val="24"/>
        </w:rPr>
        <w:t>eferences</w:t>
      </w:r>
    </w:p>
    <w:p w14:paraId="6E511649" w14:textId="415A022C" w:rsidR="00F87067" w:rsidRPr="002E645A" w:rsidRDefault="00F87067" w:rsidP="00D077B0">
      <w:pPr>
        <w:spacing w:after="0"/>
        <w:ind w:left="720" w:hanging="720"/>
        <w:jc w:val="both"/>
        <w:rPr>
          <w:rFonts w:ascii="Arial" w:hAnsi="Arial" w:cs="Arial"/>
          <w:lang w:val="nl-NL"/>
        </w:rPr>
      </w:pPr>
      <w:r>
        <w:rPr>
          <w:rFonts w:ascii="Arial" w:hAnsi="Arial" w:cs="Arial"/>
          <w:lang w:val="nl-NL"/>
        </w:rPr>
        <w:t xml:space="preserve">Age UK. </w:t>
      </w:r>
      <w:r>
        <w:rPr>
          <w:rFonts w:ascii="Arial" w:hAnsi="Arial" w:cs="Arial"/>
          <w:i/>
          <w:lang w:val="nl-NL"/>
        </w:rPr>
        <w:t xml:space="preserve">The Malnutrition Task Force. </w:t>
      </w:r>
      <w:r w:rsidR="002E645A">
        <w:rPr>
          <w:rFonts w:ascii="Arial" w:hAnsi="Arial" w:cs="Arial"/>
          <w:lang w:val="nl-NL"/>
        </w:rPr>
        <w:t>London, England (2018)</w:t>
      </w:r>
      <w:r w:rsidR="004D51DF">
        <w:rPr>
          <w:rFonts w:ascii="Arial" w:hAnsi="Arial" w:cs="Arial"/>
          <w:lang w:val="nl-NL"/>
        </w:rPr>
        <w:t>.</w:t>
      </w:r>
      <w:r w:rsidR="002E645A">
        <w:rPr>
          <w:rFonts w:ascii="Arial" w:hAnsi="Arial" w:cs="Arial"/>
          <w:lang w:val="nl-NL"/>
        </w:rPr>
        <w:t xml:space="preserve"> Last accessed 07/06/2020: </w:t>
      </w:r>
      <w:hyperlink r:id="rId9" w:anchor=":~:text=It%20is%20estimated%20that%20around,all%20too%20often%2C%20hidden%20problem." w:history="1">
        <w:r w:rsidR="002E645A">
          <w:rPr>
            <w:rStyle w:val="Hyperlink"/>
          </w:rPr>
          <w:t>https://www.ageuk.org.uk/our-impact/programmes/malnutrition-task-force/#:~:text=It%20is%20estimated%20that%20around,all%20too%20often%2C%20hidden%20problem.</w:t>
        </w:r>
      </w:hyperlink>
    </w:p>
    <w:p w14:paraId="1899F5CD" w14:textId="2F2B16B6" w:rsidR="00D077B0" w:rsidRDefault="00D077B0" w:rsidP="00D077B0">
      <w:pPr>
        <w:spacing w:after="0"/>
        <w:ind w:left="720" w:hanging="720"/>
        <w:jc w:val="both"/>
        <w:rPr>
          <w:rFonts w:ascii="Arial" w:hAnsi="Arial" w:cs="Arial"/>
        </w:rPr>
      </w:pPr>
      <w:r w:rsidRPr="00643945">
        <w:rPr>
          <w:rFonts w:ascii="Arial" w:hAnsi="Arial" w:cs="Arial"/>
          <w:lang w:val="nl-NL"/>
        </w:rPr>
        <w:t xml:space="preserve">Bandeen-Roche K, Seplaki CL, Huang J, et al. </w:t>
      </w:r>
      <w:r>
        <w:rPr>
          <w:rFonts w:ascii="Arial" w:hAnsi="Arial" w:cs="Arial"/>
        </w:rPr>
        <w:t xml:space="preserve">Frailty in older adults: A nationally representative profile in the United States. J </w:t>
      </w:r>
      <w:proofErr w:type="spellStart"/>
      <w:r>
        <w:rPr>
          <w:rFonts w:ascii="Arial" w:hAnsi="Arial" w:cs="Arial"/>
        </w:rPr>
        <w:t>Gerontol</w:t>
      </w:r>
      <w:proofErr w:type="spellEnd"/>
      <w:r>
        <w:rPr>
          <w:rFonts w:ascii="Arial" w:hAnsi="Arial" w:cs="Arial"/>
        </w:rPr>
        <w:t xml:space="preserve"> Series A 2015;70(11):1427-1434.</w:t>
      </w:r>
    </w:p>
    <w:p w14:paraId="23E282D2" w14:textId="77777777" w:rsidR="00D077B0" w:rsidRDefault="00D077B0" w:rsidP="00D077B0">
      <w:pPr>
        <w:spacing w:after="0"/>
        <w:ind w:left="720" w:hanging="720"/>
        <w:jc w:val="both"/>
        <w:rPr>
          <w:rFonts w:ascii="Arial" w:hAnsi="Arial" w:cs="Arial"/>
        </w:rPr>
      </w:pPr>
      <w:r>
        <w:rPr>
          <w:rFonts w:ascii="Arial" w:hAnsi="Arial" w:cs="Arial"/>
        </w:rPr>
        <w:t xml:space="preserve">Berglund E, </w:t>
      </w:r>
      <w:proofErr w:type="spellStart"/>
      <w:r>
        <w:rPr>
          <w:rFonts w:ascii="Arial" w:hAnsi="Arial" w:cs="Arial"/>
        </w:rPr>
        <w:t>Lytsy</w:t>
      </w:r>
      <w:proofErr w:type="spellEnd"/>
      <w:r>
        <w:rPr>
          <w:rFonts w:ascii="Arial" w:hAnsi="Arial" w:cs="Arial"/>
        </w:rPr>
        <w:t xml:space="preserve"> P, </w:t>
      </w:r>
      <w:proofErr w:type="spellStart"/>
      <w:r>
        <w:rPr>
          <w:rFonts w:ascii="Arial" w:hAnsi="Arial" w:cs="Arial"/>
        </w:rPr>
        <w:t>Westerling</w:t>
      </w:r>
      <w:proofErr w:type="spellEnd"/>
      <w:r>
        <w:rPr>
          <w:rFonts w:ascii="Arial" w:hAnsi="Arial" w:cs="Arial"/>
        </w:rPr>
        <w:t xml:space="preserve"> R. Living environment, social support, and informal caregiving are associated with healthcare seeking behaviour and adherence to medication treatment: A cross-sectional population study. Health and Social Care in the Community 2019; </w:t>
      </w:r>
      <w:proofErr w:type="spellStart"/>
      <w:r>
        <w:rPr>
          <w:rFonts w:ascii="Arial" w:hAnsi="Arial" w:cs="Arial"/>
        </w:rPr>
        <w:t>doi</w:t>
      </w:r>
      <w:proofErr w:type="spellEnd"/>
      <w:r>
        <w:rPr>
          <w:rFonts w:ascii="Arial" w:hAnsi="Arial" w:cs="Arial"/>
        </w:rPr>
        <w:t>: 10.1111/hsc.12758</w:t>
      </w:r>
    </w:p>
    <w:p w14:paraId="424B2D7E" w14:textId="23131EEF" w:rsidR="00D077B0" w:rsidRPr="001B2423" w:rsidRDefault="00D077B0" w:rsidP="00D077B0">
      <w:pPr>
        <w:shd w:val="clear" w:color="auto" w:fill="FFFFFF"/>
        <w:spacing w:after="0" w:line="240" w:lineRule="auto"/>
        <w:ind w:left="720" w:hanging="720"/>
        <w:jc w:val="both"/>
        <w:rPr>
          <w:rFonts w:ascii="Arial" w:eastAsia="Times New Roman" w:hAnsi="Arial" w:cs="Arial"/>
          <w:lang w:val="nl-NL" w:eastAsia="en-GB"/>
        </w:rPr>
      </w:pPr>
      <w:r>
        <w:rPr>
          <w:rFonts w:ascii="Arial" w:hAnsi="Arial" w:cs="Arial"/>
        </w:rPr>
        <w:t>Booth, M</w:t>
      </w:r>
      <w:r w:rsidRPr="005A6749">
        <w:rPr>
          <w:rFonts w:ascii="Arial" w:hAnsi="Arial" w:cs="Arial"/>
        </w:rPr>
        <w:t>L. Assessment of Physical Activity: An International Perspective. Research Quarterly for Exercise and Sport</w:t>
      </w:r>
      <w:r>
        <w:rPr>
          <w:rFonts w:ascii="Arial" w:hAnsi="Arial" w:cs="Arial"/>
        </w:rPr>
        <w:t xml:space="preserve"> 2000;</w:t>
      </w:r>
      <w:r w:rsidRPr="005A6749">
        <w:rPr>
          <w:rFonts w:ascii="Arial" w:hAnsi="Arial" w:cs="Arial"/>
        </w:rPr>
        <w:t>71(2):114-20.</w:t>
      </w:r>
    </w:p>
    <w:p w14:paraId="7982BEC6" w14:textId="2F966FFF" w:rsidR="00D077B0" w:rsidRDefault="00D077B0" w:rsidP="00D077B0">
      <w:pPr>
        <w:spacing w:after="0"/>
        <w:ind w:left="720" w:hanging="720"/>
        <w:jc w:val="both"/>
        <w:rPr>
          <w:rFonts w:ascii="Arial" w:hAnsi="Arial" w:cs="Arial"/>
        </w:rPr>
      </w:pPr>
      <w:r>
        <w:rPr>
          <w:rFonts w:ascii="Arial" w:hAnsi="Arial" w:cs="Arial"/>
        </w:rPr>
        <w:t xml:space="preserve">Bottle A, Kim D, </w:t>
      </w:r>
      <w:proofErr w:type="spellStart"/>
      <w:r>
        <w:rPr>
          <w:rFonts w:ascii="Arial" w:hAnsi="Arial" w:cs="Arial"/>
        </w:rPr>
        <w:t>Hayhoe</w:t>
      </w:r>
      <w:proofErr w:type="spellEnd"/>
      <w:r>
        <w:rPr>
          <w:rFonts w:ascii="Arial" w:hAnsi="Arial" w:cs="Arial"/>
        </w:rPr>
        <w:t xml:space="preserve"> B, Majeed A, Aylin P, Clegg A, Cowie MR. Frailty and comorbidity predict first hospitalisation after heart failure diagnosis in primary care: population-based observational study in England. Age &amp; Ageing 2019; </w:t>
      </w:r>
      <w:proofErr w:type="spellStart"/>
      <w:r>
        <w:rPr>
          <w:rFonts w:ascii="Arial" w:hAnsi="Arial" w:cs="Arial"/>
        </w:rPr>
        <w:t>doi</w:t>
      </w:r>
      <w:proofErr w:type="spellEnd"/>
      <w:r>
        <w:rPr>
          <w:rFonts w:ascii="Arial" w:hAnsi="Arial" w:cs="Arial"/>
        </w:rPr>
        <w:t xml:space="preserve">: </w:t>
      </w:r>
      <w:r w:rsidRPr="006432F0">
        <w:rPr>
          <w:rFonts w:ascii="Arial" w:hAnsi="Arial" w:cs="Arial"/>
        </w:rPr>
        <w:t>10.1093/ageing/afy194</w:t>
      </w:r>
    </w:p>
    <w:p w14:paraId="7D37F8A9" w14:textId="395353D1" w:rsidR="00D077B0" w:rsidRDefault="00D077B0" w:rsidP="00D077B0">
      <w:pPr>
        <w:spacing w:after="0"/>
        <w:ind w:left="709" w:hanging="709"/>
        <w:jc w:val="both"/>
        <w:rPr>
          <w:rFonts w:ascii="Arial" w:hAnsi="Arial" w:cs="Arial"/>
        </w:rPr>
      </w:pPr>
      <w:r>
        <w:rPr>
          <w:rFonts w:ascii="Arial" w:hAnsi="Arial" w:cs="Arial"/>
        </w:rPr>
        <w:t>Buchman AS, Boyle PA, Wilson RS, et al. Association between late-life social activity and motor decline in older adults. JAMA Internal Medicine 2009;169(12):1139-1146.</w:t>
      </w:r>
    </w:p>
    <w:p w14:paraId="1B6DCA8C" w14:textId="4CC34C05" w:rsidR="00D077B0" w:rsidRPr="00703648" w:rsidRDefault="00D077B0" w:rsidP="00D077B0">
      <w:pPr>
        <w:spacing w:after="0"/>
        <w:ind w:left="720" w:hanging="720"/>
        <w:jc w:val="both"/>
        <w:rPr>
          <w:rFonts w:ascii="Arial" w:hAnsi="Arial" w:cs="Arial"/>
          <w:sz w:val="24"/>
        </w:rPr>
      </w:pPr>
      <w:r w:rsidRPr="00703648">
        <w:rPr>
          <w:rFonts w:ascii="Arial" w:hAnsi="Arial" w:cs="Arial"/>
          <w:szCs w:val="21"/>
        </w:rPr>
        <w:t>Dickens AP, Richards SH, Greaves CJ, et al. Interventions targeting social isolation in older people: a syste</w:t>
      </w:r>
      <w:r>
        <w:rPr>
          <w:rFonts w:ascii="Arial" w:hAnsi="Arial" w:cs="Arial"/>
          <w:szCs w:val="21"/>
        </w:rPr>
        <w:t>matic review. BMC Public Health</w:t>
      </w:r>
      <w:r w:rsidRPr="00703648">
        <w:rPr>
          <w:rFonts w:ascii="Arial" w:hAnsi="Arial" w:cs="Arial"/>
          <w:szCs w:val="21"/>
        </w:rPr>
        <w:t xml:space="preserve"> </w:t>
      </w:r>
      <w:proofErr w:type="gramStart"/>
      <w:r w:rsidRPr="00703648">
        <w:rPr>
          <w:rFonts w:ascii="Arial" w:hAnsi="Arial" w:cs="Arial"/>
          <w:szCs w:val="21"/>
        </w:rPr>
        <w:t>2011;11:647</w:t>
      </w:r>
      <w:proofErr w:type="gramEnd"/>
      <w:r w:rsidRPr="00703648">
        <w:rPr>
          <w:rFonts w:ascii="Arial" w:hAnsi="Arial" w:cs="Arial"/>
          <w:szCs w:val="21"/>
        </w:rPr>
        <w:t>.</w:t>
      </w:r>
    </w:p>
    <w:p w14:paraId="6BAB5813" w14:textId="7B484683" w:rsidR="00D077B0" w:rsidRDefault="00D077B0" w:rsidP="00D077B0">
      <w:pPr>
        <w:spacing w:after="0"/>
        <w:ind w:left="720" w:hanging="720"/>
        <w:jc w:val="both"/>
        <w:rPr>
          <w:rFonts w:ascii="Arial" w:hAnsi="Arial" w:cs="Arial"/>
        </w:rPr>
      </w:pPr>
      <w:r>
        <w:rPr>
          <w:rFonts w:ascii="Arial" w:hAnsi="Arial" w:cs="Arial"/>
        </w:rPr>
        <w:t xml:space="preserve">Donovan NJ, Wu Q, </w:t>
      </w:r>
      <w:proofErr w:type="spellStart"/>
      <w:r>
        <w:rPr>
          <w:rFonts w:ascii="Arial" w:hAnsi="Arial" w:cs="Arial"/>
        </w:rPr>
        <w:t>Rentz</w:t>
      </w:r>
      <w:proofErr w:type="spellEnd"/>
      <w:r>
        <w:rPr>
          <w:rFonts w:ascii="Arial" w:hAnsi="Arial" w:cs="Arial"/>
        </w:rPr>
        <w:t xml:space="preserve"> DM, Sperling RA, Marshall GA, </w:t>
      </w:r>
      <w:proofErr w:type="spellStart"/>
      <w:r>
        <w:rPr>
          <w:rFonts w:ascii="Arial" w:hAnsi="Arial" w:cs="Arial"/>
        </w:rPr>
        <w:t>Glymour</w:t>
      </w:r>
      <w:proofErr w:type="spellEnd"/>
      <w:r>
        <w:rPr>
          <w:rFonts w:ascii="Arial" w:hAnsi="Arial" w:cs="Arial"/>
        </w:rPr>
        <w:t xml:space="preserve"> MM. Loneliness, depression and cognitive function in older U.S. adults. International Journal of Geriatric Psychiatrics 2016;32(5):564-573.</w:t>
      </w:r>
    </w:p>
    <w:p w14:paraId="47E713D5" w14:textId="1EC6029B" w:rsidR="00D077B0" w:rsidRDefault="00D077B0" w:rsidP="00D077B0">
      <w:pPr>
        <w:spacing w:after="0"/>
        <w:ind w:left="720" w:hanging="720"/>
        <w:jc w:val="both"/>
        <w:rPr>
          <w:rFonts w:ascii="Arial" w:hAnsi="Arial" w:cs="Arial"/>
        </w:rPr>
      </w:pPr>
      <w:proofErr w:type="spellStart"/>
      <w:r>
        <w:rPr>
          <w:rFonts w:ascii="Arial" w:hAnsi="Arial" w:cs="Arial"/>
        </w:rPr>
        <w:t>EuroQoL</w:t>
      </w:r>
      <w:proofErr w:type="spellEnd"/>
      <w:r>
        <w:rPr>
          <w:rFonts w:ascii="Arial" w:hAnsi="Arial" w:cs="Arial"/>
        </w:rPr>
        <w:t xml:space="preserve"> Group. </w:t>
      </w:r>
      <w:proofErr w:type="spellStart"/>
      <w:r>
        <w:rPr>
          <w:rFonts w:ascii="Arial" w:hAnsi="Arial" w:cs="Arial"/>
        </w:rPr>
        <w:t>EuroQol</w:t>
      </w:r>
      <w:proofErr w:type="spellEnd"/>
      <w:r>
        <w:rPr>
          <w:rFonts w:ascii="Arial" w:hAnsi="Arial" w:cs="Arial"/>
        </w:rPr>
        <w:t xml:space="preserve"> – a new facility for the measurement of health-related quality of life. Health Policy 1990;16(3):199-208.</w:t>
      </w:r>
    </w:p>
    <w:p w14:paraId="7F9D255D" w14:textId="2D5EC741" w:rsidR="00D077B0" w:rsidRPr="00EC12BF" w:rsidRDefault="00D077B0" w:rsidP="00D077B0">
      <w:pPr>
        <w:spacing w:after="0"/>
        <w:ind w:left="720" w:hanging="720"/>
        <w:jc w:val="both"/>
        <w:rPr>
          <w:rFonts w:ascii="Arial" w:hAnsi="Arial" w:cs="Arial"/>
          <w:sz w:val="24"/>
          <w:szCs w:val="20"/>
          <w:shd w:val="clear" w:color="auto" w:fill="FFFFFF"/>
        </w:rPr>
      </w:pPr>
      <w:r>
        <w:rPr>
          <w:rFonts w:ascii="Arial" w:hAnsi="Arial" w:cs="Arial"/>
          <w:szCs w:val="20"/>
        </w:rPr>
        <w:t>Giebel</w:t>
      </w:r>
      <w:r w:rsidRPr="00EC12BF">
        <w:rPr>
          <w:rFonts w:ascii="Arial" w:hAnsi="Arial" w:cs="Arial"/>
          <w:szCs w:val="20"/>
        </w:rPr>
        <w:t xml:space="preserve"> C, McIntyre JC, Daras K, Pirmohamed M, Gabbay</w:t>
      </w:r>
      <w:r>
        <w:rPr>
          <w:rFonts w:ascii="Arial" w:hAnsi="Arial" w:cs="Arial"/>
          <w:szCs w:val="20"/>
        </w:rPr>
        <w:t xml:space="preserve"> M</w:t>
      </w:r>
      <w:r w:rsidRPr="00EC12BF">
        <w:rPr>
          <w:rFonts w:ascii="Arial" w:hAnsi="Arial" w:cs="Arial"/>
          <w:szCs w:val="20"/>
        </w:rPr>
        <w:t>, Downing J, Dixon P, Walker F, Marson T, Campbell N</w:t>
      </w:r>
      <w:r>
        <w:rPr>
          <w:rFonts w:ascii="Arial" w:hAnsi="Arial" w:cs="Arial"/>
          <w:szCs w:val="20"/>
        </w:rPr>
        <w:t>, Alfirevic</w:t>
      </w:r>
      <w:r w:rsidRPr="00EC12BF">
        <w:rPr>
          <w:rFonts w:ascii="Arial" w:hAnsi="Arial" w:cs="Arial"/>
          <w:szCs w:val="20"/>
        </w:rPr>
        <w:t xml:space="preserve"> A, Barr</w:t>
      </w:r>
      <w:r>
        <w:rPr>
          <w:rFonts w:ascii="Arial" w:hAnsi="Arial" w:cs="Arial"/>
          <w:szCs w:val="20"/>
        </w:rPr>
        <w:t xml:space="preserve"> B. </w:t>
      </w:r>
      <w:r w:rsidRPr="00EC12BF">
        <w:rPr>
          <w:rFonts w:ascii="Arial" w:hAnsi="Arial" w:cs="Arial"/>
          <w:szCs w:val="20"/>
        </w:rPr>
        <w:t xml:space="preserve">What are the predictors of A&amp;E attendance in deprived neighbourhoods? Results from a cross-sectional household health survey in the North West of England. </w:t>
      </w:r>
      <w:r w:rsidRPr="00504D17">
        <w:rPr>
          <w:rFonts w:ascii="Arial" w:hAnsi="Arial" w:cs="Arial"/>
          <w:szCs w:val="20"/>
        </w:rPr>
        <w:t xml:space="preserve">BMJ Open 2019, </w:t>
      </w:r>
      <w:proofErr w:type="spellStart"/>
      <w:r w:rsidRPr="00504D17">
        <w:rPr>
          <w:rFonts w:ascii="Arial" w:hAnsi="Arial" w:cs="Arial"/>
          <w:szCs w:val="20"/>
        </w:rPr>
        <w:t>doi</w:t>
      </w:r>
      <w:proofErr w:type="spellEnd"/>
      <w:r w:rsidRPr="00504D17">
        <w:rPr>
          <w:rFonts w:ascii="Arial" w:hAnsi="Arial" w:cs="Arial"/>
          <w:szCs w:val="20"/>
        </w:rPr>
        <w:t xml:space="preserve">: </w:t>
      </w:r>
      <w:r w:rsidRPr="00504D17">
        <w:rPr>
          <w:rFonts w:ascii="Arial" w:hAnsi="Arial" w:cs="Arial"/>
          <w:szCs w:val="26"/>
          <w:shd w:val="clear" w:color="auto" w:fill="FFFFFF"/>
        </w:rPr>
        <w:t>10.1136/bmjopen-2018-022820</w:t>
      </w:r>
    </w:p>
    <w:p w14:paraId="535E8FDB" w14:textId="2E8D3B12" w:rsidR="00D077B0" w:rsidRDefault="00D077B0" w:rsidP="00D077B0">
      <w:pPr>
        <w:shd w:val="clear" w:color="auto" w:fill="FFFFFF"/>
        <w:spacing w:after="0" w:line="240" w:lineRule="auto"/>
        <w:ind w:left="720" w:hanging="720"/>
        <w:jc w:val="both"/>
        <w:rPr>
          <w:rFonts w:ascii="Arial" w:hAnsi="Arial" w:cs="Arial"/>
        </w:rPr>
      </w:pPr>
      <w:r>
        <w:rPr>
          <w:rFonts w:ascii="Arial" w:hAnsi="Arial" w:cs="Arial"/>
        </w:rPr>
        <w:t>Giebel C, McIntyre J, Alfirevic A, et al. The longitudinal NIHR ARC North West Coast Household Health Survey: Exploring health inequalities in disadvantaged communities. BMC Public Health, under review.</w:t>
      </w:r>
    </w:p>
    <w:p w14:paraId="39EE73D3" w14:textId="280EE560" w:rsidR="00D077B0" w:rsidRDefault="00D077B0" w:rsidP="00D077B0">
      <w:pPr>
        <w:spacing w:after="0"/>
        <w:ind w:left="720" w:hanging="720"/>
        <w:jc w:val="both"/>
        <w:rPr>
          <w:rFonts w:ascii="Arial" w:hAnsi="Arial" w:cs="Arial"/>
          <w:szCs w:val="20"/>
          <w:shd w:val="clear" w:color="auto" w:fill="FFFFFF"/>
        </w:rPr>
      </w:pPr>
      <w:r>
        <w:rPr>
          <w:rFonts w:ascii="Arial" w:hAnsi="Arial" w:cs="Arial"/>
          <w:szCs w:val="20"/>
          <w:shd w:val="clear" w:color="auto" w:fill="FFFFFF"/>
        </w:rPr>
        <w:t xml:space="preserve">Giebel CM, Sutcliffe C, Challis D. </w:t>
      </w:r>
      <w:r w:rsidRPr="00441A4C">
        <w:rPr>
          <w:rFonts w:ascii="Arial" w:hAnsi="Arial" w:cs="Arial"/>
          <w:szCs w:val="20"/>
          <w:shd w:val="clear" w:color="auto" w:fill="FFFFFF"/>
        </w:rPr>
        <w:t xml:space="preserve">Hierarchical decline of the initiative and performance of complex activities of daily living in dementia. </w:t>
      </w:r>
      <w:r w:rsidRPr="00504D17">
        <w:rPr>
          <w:rFonts w:ascii="Arial" w:hAnsi="Arial" w:cs="Arial"/>
          <w:szCs w:val="20"/>
          <w:shd w:val="clear" w:color="auto" w:fill="FFFFFF"/>
        </w:rPr>
        <w:t xml:space="preserve">Journal of Geriatric Psychiatry and Neurology </w:t>
      </w:r>
      <w:r>
        <w:rPr>
          <w:rFonts w:ascii="Arial" w:hAnsi="Arial" w:cs="Arial"/>
          <w:szCs w:val="20"/>
          <w:shd w:val="clear" w:color="auto" w:fill="FFFFFF"/>
        </w:rPr>
        <w:t>2017;30(2):</w:t>
      </w:r>
      <w:r w:rsidRPr="00441A4C">
        <w:rPr>
          <w:rFonts w:ascii="Arial" w:hAnsi="Arial" w:cs="Arial"/>
          <w:szCs w:val="20"/>
          <w:shd w:val="clear" w:color="auto" w:fill="FFFFFF"/>
        </w:rPr>
        <w:t>96-103.</w:t>
      </w:r>
    </w:p>
    <w:p w14:paraId="7A481D72" w14:textId="5E8268C4" w:rsidR="00D077B0" w:rsidRDefault="00D077B0" w:rsidP="00D077B0">
      <w:pPr>
        <w:spacing w:after="0"/>
        <w:ind w:left="720" w:hanging="720"/>
        <w:jc w:val="both"/>
        <w:rPr>
          <w:rFonts w:ascii="Arial" w:hAnsi="Arial" w:cs="Arial"/>
          <w:szCs w:val="20"/>
          <w:shd w:val="clear" w:color="auto" w:fill="FFFFFF"/>
        </w:rPr>
      </w:pPr>
      <w:bookmarkStart w:id="0" w:name="_Hlk41287412"/>
      <w:r w:rsidRPr="00CE601C">
        <w:rPr>
          <w:rStyle w:val="cit-name-surname"/>
          <w:rFonts w:ascii="Arial" w:hAnsi="Arial" w:cs="Arial"/>
        </w:rPr>
        <w:t>Grenade</w:t>
      </w:r>
      <w:r w:rsidRPr="00CE601C">
        <w:rPr>
          <w:rStyle w:val="cit-auth"/>
          <w:rFonts w:ascii="Arial" w:hAnsi="Arial" w:cs="Arial"/>
        </w:rPr>
        <w:t> </w:t>
      </w:r>
      <w:r w:rsidRPr="00CE601C">
        <w:rPr>
          <w:rStyle w:val="cit-name-given-names"/>
          <w:rFonts w:ascii="Arial" w:hAnsi="Arial" w:cs="Arial"/>
        </w:rPr>
        <w:t>L</w:t>
      </w:r>
      <w:r w:rsidRPr="00CE601C">
        <w:rPr>
          <w:rStyle w:val="cit-auth"/>
          <w:rFonts w:ascii="Arial" w:hAnsi="Arial" w:cs="Arial"/>
        </w:rPr>
        <w:t xml:space="preserve">, </w:t>
      </w:r>
      <w:proofErr w:type="spellStart"/>
      <w:r w:rsidRPr="00CE601C">
        <w:rPr>
          <w:rStyle w:val="cit-auth"/>
          <w:rFonts w:ascii="Arial" w:hAnsi="Arial" w:cs="Arial"/>
        </w:rPr>
        <w:t>B</w:t>
      </w:r>
      <w:r w:rsidRPr="00CE601C">
        <w:rPr>
          <w:rStyle w:val="cit-name-surname"/>
          <w:rFonts w:ascii="Arial" w:hAnsi="Arial" w:cs="Arial"/>
        </w:rPr>
        <w:t>oldy</w:t>
      </w:r>
      <w:proofErr w:type="spellEnd"/>
      <w:r w:rsidRPr="00CE601C">
        <w:rPr>
          <w:rStyle w:val="cit-auth"/>
          <w:rFonts w:ascii="Arial" w:hAnsi="Arial" w:cs="Arial"/>
        </w:rPr>
        <w:t> </w:t>
      </w:r>
      <w:r w:rsidRPr="00CE601C">
        <w:rPr>
          <w:rStyle w:val="cit-name-given-names"/>
          <w:rFonts w:ascii="Arial" w:hAnsi="Arial" w:cs="Arial"/>
        </w:rPr>
        <w:t xml:space="preserve">D. </w:t>
      </w:r>
      <w:r w:rsidRPr="00CE601C">
        <w:rPr>
          <w:rStyle w:val="cit-article-title"/>
          <w:rFonts w:ascii="Arial" w:hAnsi="Arial" w:cs="Arial"/>
          <w:shd w:val="clear" w:color="auto" w:fill="FFFFFF"/>
        </w:rPr>
        <w:t>Social isolation and loneliness among older people: issues and future challenges in community and residential settings</w:t>
      </w:r>
      <w:r w:rsidRPr="00CE601C">
        <w:rPr>
          <w:rStyle w:val="HTMLCite"/>
          <w:rFonts w:ascii="Arial" w:hAnsi="Arial" w:cs="Arial"/>
          <w:shd w:val="clear" w:color="auto" w:fill="FFFFFF"/>
        </w:rPr>
        <w:t>. </w:t>
      </w:r>
      <w:proofErr w:type="spellStart"/>
      <w:r w:rsidRPr="004D7191">
        <w:rPr>
          <w:rStyle w:val="HTMLCite"/>
          <w:rFonts w:ascii="Arial" w:hAnsi="Arial" w:cs="Arial"/>
          <w:i w:val="0"/>
          <w:shd w:val="clear" w:color="auto" w:fill="FFFFFF"/>
        </w:rPr>
        <w:t>Aust</w:t>
      </w:r>
      <w:proofErr w:type="spellEnd"/>
      <w:r w:rsidRPr="004D7191">
        <w:rPr>
          <w:rStyle w:val="HTMLCite"/>
          <w:rFonts w:ascii="Arial" w:hAnsi="Arial" w:cs="Arial"/>
          <w:i w:val="0"/>
          <w:shd w:val="clear" w:color="auto" w:fill="FFFFFF"/>
        </w:rPr>
        <w:t xml:space="preserve"> Health Rev </w:t>
      </w:r>
      <w:proofErr w:type="gramStart"/>
      <w:r w:rsidRPr="00CE601C">
        <w:rPr>
          <w:rStyle w:val="cit-pub-date"/>
          <w:rFonts w:ascii="Arial" w:hAnsi="Arial" w:cs="Arial"/>
          <w:shd w:val="clear" w:color="auto" w:fill="FFFFFF"/>
        </w:rPr>
        <w:t>2008</w:t>
      </w:r>
      <w:r w:rsidRPr="00CE601C">
        <w:rPr>
          <w:rStyle w:val="HTMLCite"/>
          <w:rFonts w:ascii="Arial" w:hAnsi="Arial" w:cs="Arial"/>
          <w:shd w:val="clear" w:color="auto" w:fill="FFFFFF"/>
        </w:rPr>
        <w:t>;</w:t>
      </w:r>
      <w:r w:rsidRPr="00CE601C">
        <w:rPr>
          <w:rStyle w:val="cit-vol"/>
          <w:rFonts w:ascii="Arial" w:hAnsi="Arial" w:cs="Arial"/>
          <w:bCs/>
          <w:shd w:val="clear" w:color="auto" w:fill="FFFFFF"/>
        </w:rPr>
        <w:t>32</w:t>
      </w:r>
      <w:r w:rsidRPr="00CE601C">
        <w:rPr>
          <w:rStyle w:val="HTMLCite"/>
          <w:rFonts w:ascii="Arial" w:hAnsi="Arial" w:cs="Arial"/>
          <w:shd w:val="clear" w:color="auto" w:fill="FFFFFF"/>
        </w:rPr>
        <w:t>:</w:t>
      </w:r>
      <w:r w:rsidRPr="00CE601C">
        <w:rPr>
          <w:rStyle w:val="cit-fpage"/>
          <w:rFonts w:ascii="Arial" w:hAnsi="Arial" w:cs="Arial"/>
          <w:shd w:val="clear" w:color="auto" w:fill="FFFFFF"/>
        </w:rPr>
        <w:t>468</w:t>
      </w:r>
      <w:proofErr w:type="gramEnd"/>
      <w:r w:rsidRPr="00CE601C">
        <w:rPr>
          <w:rStyle w:val="HTMLCite"/>
          <w:rFonts w:ascii="Arial" w:hAnsi="Arial" w:cs="Arial"/>
          <w:shd w:val="clear" w:color="auto" w:fill="FFFFFF"/>
        </w:rPr>
        <w:t>–</w:t>
      </w:r>
      <w:r w:rsidRPr="00CE601C">
        <w:rPr>
          <w:rStyle w:val="cit-lpage"/>
          <w:rFonts w:ascii="Arial" w:hAnsi="Arial" w:cs="Arial"/>
          <w:shd w:val="clear" w:color="auto" w:fill="FFFFFF"/>
        </w:rPr>
        <w:t>78</w:t>
      </w:r>
      <w:r w:rsidRPr="00CE601C">
        <w:rPr>
          <w:rStyle w:val="HTMLCite"/>
          <w:rFonts w:ascii="Arial" w:hAnsi="Arial" w:cs="Arial"/>
          <w:shd w:val="clear" w:color="auto" w:fill="FFFFFF"/>
        </w:rPr>
        <w:t>.</w:t>
      </w:r>
    </w:p>
    <w:p w14:paraId="4E3006EE" w14:textId="4BFA1FB0" w:rsidR="00D077B0" w:rsidRPr="00FB6534" w:rsidRDefault="00D077B0" w:rsidP="00D077B0">
      <w:pPr>
        <w:shd w:val="clear" w:color="auto" w:fill="FFFFFF"/>
        <w:spacing w:after="0" w:line="240" w:lineRule="auto"/>
        <w:ind w:left="720" w:hanging="720"/>
        <w:jc w:val="both"/>
        <w:rPr>
          <w:rFonts w:ascii="Arial" w:eastAsia="Times New Roman" w:hAnsi="Arial" w:cs="Arial"/>
          <w:szCs w:val="26"/>
          <w:lang w:eastAsia="en-GB"/>
        </w:rPr>
      </w:pPr>
      <w:r>
        <w:rPr>
          <w:rFonts w:ascii="Arial" w:eastAsia="Times New Roman" w:hAnsi="Arial" w:cs="Arial"/>
          <w:szCs w:val="26"/>
          <w:lang w:val="nl-NL" w:eastAsia="en-GB"/>
        </w:rPr>
        <w:t>G</w:t>
      </w:r>
      <w:r w:rsidRPr="00643945">
        <w:rPr>
          <w:rFonts w:ascii="Arial" w:eastAsia="Times New Roman" w:hAnsi="Arial" w:cs="Arial"/>
          <w:szCs w:val="26"/>
          <w:lang w:val="nl-NL" w:eastAsia="en-GB"/>
        </w:rPr>
        <w:t>reiner GG, Schwettmann L, Goebel J</w:t>
      </w:r>
      <w:r w:rsidRPr="00643945">
        <w:rPr>
          <w:rFonts w:ascii="Arial" w:eastAsia="Times New Roman" w:hAnsi="Arial" w:cs="Arial"/>
          <w:i/>
          <w:iCs/>
          <w:szCs w:val="26"/>
          <w:lang w:val="nl-NL" w:eastAsia="en-GB"/>
        </w:rPr>
        <w:t xml:space="preserve">, </w:t>
      </w:r>
      <w:r w:rsidRPr="00643945">
        <w:rPr>
          <w:rFonts w:ascii="Arial" w:eastAsia="Times New Roman" w:hAnsi="Arial" w:cs="Arial"/>
          <w:iCs/>
          <w:szCs w:val="26"/>
          <w:lang w:val="nl-NL" w:eastAsia="en-GB"/>
        </w:rPr>
        <w:t xml:space="preserve">et al. </w:t>
      </w:r>
      <w:r w:rsidRPr="00FB6534">
        <w:rPr>
          <w:rFonts w:ascii="Arial" w:eastAsia="Times New Roman" w:hAnsi="Arial" w:cs="Arial"/>
          <w:szCs w:val="26"/>
          <w:lang w:eastAsia="en-GB"/>
        </w:rPr>
        <w:t xml:space="preserve">Primary care in Germany: access and utilisation—a cross-sectional study with data from the German Socio-Economic Panel (SOEP). </w:t>
      </w:r>
      <w:r w:rsidRPr="00FB6534">
        <w:rPr>
          <w:rFonts w:ascii="Arial" w:eastAsia="Times New Roman" w:hAnsi="Arial" w:cs="Arial"/>
          <w:i/>
          <w:iCs/>
          <w:szCs w:val="26"/>
          <w:lang w:eastAsia="en-GB"/>
        </w:rPr>
        <w:t>BMJ Open </w:t>
      </w:r>
      <w:r w:rsidRPr="00FB6534">
        <w:rPr>
          <w:rFonts w:ascii="Arial" w:eastAsia="Times New Roman" w:hAnsi="Arial" w:cs="Arial"/>
          <w:szCs w:val="26"/>
          <w:lang w:eastAsia="en-GB"/>
        </w:rPr>
        <w:t>2018;</w:t>
      </w:r>
      <w:proofErr w:type="gramStart"/>
      <w:r w:rsidRPr="00F17906">
        <w:rPr>
          <w:rFonts w:ascii="Arial" w:eastAsia="Times New Roman" w:hAnsi="Arial" w:cs="Arial"/>
          <w:bCs/>
          <w:szCs w:val="26"/>
          <w:lang w:eastAsia="en-GB"/>
        </w:rPr>
        <w:t>8:</w:t>
      </w:r>
      <w:r w:rsidRPr="00FB6534">
        <w:rPr>
          <w:rFonts w:ascii="Arial" w:eastAsia="Times New Roman" w:hAnsi="Arial" w:cs="Arial"/>
          <w:szCs w:val="26"/>
          <w:lang w:eastAsia="en-GB"/>
        </w:rPr>
        <w:t>e</w:t>
      </w:r>
      <w:proofErr w:type="gramEnd"/>
      <w:r w:rsidRPr="00FB6534">
        <w:rPr>
          <w:rFonts w:ascii="Arial" w:eastAsia="Times New Roman" w:hAnsi="Arial" w:cs="Arial"/>
          <w:szCs w:val="26"/>
          <w:lang w:eastAsia="en-GB"/>
        </w:rPr>
        <w:t>021036. doi:10.1136/bmjopen-2017-021036</w:t>
      </w:r>
    </w:p>
    <w:p w14:paraId="2386BF90" w14:textId="559E7FC6" w:rsidR="00D077B0" w:rsidRPr="00904EFD" w:rsidRDefault="00D077B0" w:rsidP="00D077B0">
      <w:pPr>
        <w:spacing w:after="0"/>
        <w:jc w:val="both"/>
        <w:rPr>
          <w:rFonts w:ascii="Arial" w:hAnsi="Arial" w:cs="Arial"/>
        </w:rPr>
      </w:pPr>
      <w:r w:rsidRPr="00904EFD">
        <w:rPr>
          <w:rFonts w:ascii="Arial" w:hAnsi="Arial" w:cs="Arial"/>
          <w:shd w:val="clear" w:color="auto" w:fill="FFFFFF"/>
        </w:rPr>
        <w:t>Hart JT. Th</w:t>
      </w:r>
      <w:r>
        <w:rPr>
          <w:rFonts w:ascii="Arial" w:hAnsi="Arial" w:cs="Arial"/>
          <w:shd w:val="clear" w:color="auto" w:fill="FFFFFF"/>
        </w:rPr>
        <w:t xml:space="preserve">e inverse care </w:t>
      </w:r>
      <w:proofErr w:type="gramStart"/>
      <w:r>
        <w:rPr>
          <w:rFonts w:ascii="Arial" w:hAnsi="Arial" w:cs="Arial"/>
          <w:shd w:val="clear" w:color="auto" w:fill="FFFFFF"/>
        </w:rPr>
        <w:t>law</w:t>
      </w:r>
      <w:proofErr w:type="gramEnd"/>
      <w:r>
        <w:rPr>
          <w:rFonts w:ascii="Arial" w:hAnsi="Arial" w:cs="Arial"/>
          <w:shd w:val="clear" w:color="auto" w:fill="FFFFFF"/>
        </w:rPr>
        <w:t>. The Lancet 1971</w:t>
      </w:r>
      <w:r w:rsidRPr="00904EFD">
        <w:rPr>
          <w:rFonts w:ascii="Arial" w:hAnsi="Arial" w:cs="Arial"/>
          <w:shd w:val="clear" w:color="auto" w:fill="FFFFFF"/>
        </w:rPr>
        <w:t>;297(7696):405-12.</w:t>
      </w:r>
    </w:p>
    <w:p w14:paraId="17D1CAA2" w14:textId="47DCFBBF" w:rsidR="00D077B0" w:rsidRDefault="00D077B0" w:rsidP="00D077B0">
      <w:pPr>
        <w:spacing w:after="0"/>
        <w:ind w:left="720" w:hanging="720"/>
        <w:jc w:val="both"/>
        <w:rPr>
          <w:rFonts w:ascii="Arial" w:hAnsi="Arial" w:cs="Arial"/>
        </w:rPr>
      </w:pPr>
      <w:r>
        <w:rPr>
          <w:rFonts w:ascii="Arial" w:hAnsi="Arial" w:cs="Arial"/>
        </w:rPr>
        <w:t xml:space="preserve">Herr M, </w:t>
      </w:r>
      <w:proofErr w:type="spellStart"/>
      <w:r>
        <w:rPr>
          <w:rFonts w:ascii="Arial" w:hAnsi="Arial" w:cs="Arial"/>
        </w:rPr>
        <w:t>Robine</w:t>
      </w:r>
      <w:proofErr w:type="spellEnd"/>
      <w:r>
        <w:rPr>
          <w:rFonts w:ascii="Arial" w:hAnsi="Arial" w:cs="Arial"/>
        </w:rPr>
        <w:t xml:space="preserve">, J-M, </w:t>
      </w:r>
      <w:proofErr w:type="spellStart"/>
      <w:r>
        <w:rPr>
          <w:rFonts w:ascii="Arial" w:hAnsi="Arial" w:cs="Arial"/>
        </w:rPr>
        <w:t>Aegerter</w:t>
      </w:r>
      <w:proofErr w:type="spellEnd"/>
      <w:r>
        <w:rPr>
          <w:rFonts w:ascii="Arial" w:hAnsi="Arial" w:cs="Arial"/>
        </w:rPr>
        <w:t xml:space="preserve"> P, </w:t>
      </w:r>
      <w:proofErr w:type="spellStart"/>
      <w:r>
        <w:rPr>
          <w:rFonts w:ascii="Arial" w:hAnsi="Arial" w:cs="Arial"/>
        </w:rPr>
        <w:t>Arvieu</w:t>
      </w:r>
      <w:proofErr w:type="spellEnd"/>
      <w:r>
        <w:rPr>
          <w:rFonts w:ascii="Arial" w:hAnsi="Arial" w:cs="Arial"/>
        </w:rPr>
        <w:t xml:space="preserve"> J-J, </w:t>
      </w:r>
      <w:proofErr w:type="spellStart"/>
      <w:r>
        <w:rPr>
          <w:rFonts w:ascii="Arial" w:hAnsi="Arial" w:cs="Arial"/>
        </w:rPr>
        <w:t>Ankri</w:t>
      </w:r>
      <w:proofErr w:type="spellEnd"/>
      <w:r>
        <w:rPr>
          <w:rFonts w:ascii="Arial" w:hAnsi="Arial" w:cs="Arial"/>
        </w:rPr>
        <w:t xml:space="preserve"> J. Contribution of socioeconomic position over life to frailty differences in old age: comparison of life-course models in a French sample of 2350 old people. Annals of Epidemiology 2015; 25(9):674-680.</w:t>
      </w:r>
    </w:p>
    <w:p w14:paraId="3B9E99D2" w14:textId="03B2AB9A" w:rsidR="00D077B0" w:rsidRDefault="00D077B0" w:rsidP="00D077B0">
      <w:pPr>
        <w:spacing w:after="0" w:line="100" w:lineRule="atLeast"/>
        <w:ind w:left="720" w:hanging="720"/>
        <w:jc w:val="both"/>
        <w:rPr>
          <w:rFonts w:ascii="Arial" w:hAnsi="Arial" w:cs="Arial"/>
          <w:lang w:val="fr-FR"/>
        </w:rPr>
      </w:pPr>
      <w:r>
        <w:rPr>
          <w:rFonts w:ascii="Arial" w:hAnsi="Arial" w:cs="Arial"/>
        </w:rPr>
        <w:t>Holt-</w:t>
      </w:r>
      <w:proofErr w:type="spellStart"/>
      <w:r>
        <w:rPr>
          <w:rFonts w:ascii="Arial" w:hAnsi="Arial" w:cs="Arial"/>
        </w:rPr>
        <w:t>Lunstad</w:t>
      </w:r>
      <w:proofErr w:type="spellEnd"/>
      <w:r>
        <w:rPr>
          <w:rFonts w:ascii="Arial" w:hAnsi="Arial" w:cs="Arial"/>
        </w:rPr>
        <w:t xml:space="preserve"> J, Smith TB, Baker M, et al. Loneliness and social isolation as risk factors for mortality: A meta-analytic review. </w:t>
      </w:r>
      <w:r w:rsidRPr="006E36B2">
        <w:rPr>
          <w:rFonts w:ascii="Arial" w:hAnsi="Arial" w:cs="Arial"/>
          <w:lang w:val="fr-FR"/>
        </w:rPr>
        <w:t>Persp</w:t>
      </w:r>
      <w:r>
        <w:rPr>
          <w:rFonts w:ascii="Arial" w:hAnsi="Arial" w:cs="Arial"/>
          <w:lang w:val="fr-FR"/>
        </w:rPr>
        <w:t xml:space="preserve">ectives </w:t>
      </w:r>
      <w:proofErr w:type="spellStart"/>
      <w:r>
        <w:rPr>
          <w:rFonts w:ascii="Arial" w:hAnsi="Arial" w:cs="Arial"/>
          <w:lang w:val="fr-FR"/>
        </w:rPr>
        <w:t>Psychol</w:t>
      </w:r>
      <w:proofErr w:type="spellEnd"/>
      <w:r>
        <w:rPr>
          <w:rFonts w:ascii="Arial" w:hAnsi="Arial" w:cs="Arial"/>
          <w:lang w:val="fr-FR"/>
        </w:rPr>
        <w:t xml:space="preserve"> </w:t>
      </w:r>
      <w:proofErr w:type="spellStart"/>
      <w:r>
        <w:rPr>
          <w:rFonts w:ascii="Arial" w:hAnsi="Arial" w:cs="Arial"/>
          <w:lang w:val="fr-FR"/>
        </w:rPr>
        <w:t>Sci</w:t>
      </w:r>
      <w:proofErr w:type="spellEnd"/>
      <w:r>
        <w:rPr>
          <w:rFonts w:ascii="Arial" w:hAnsi="Arial" w:cs="Arial"/>
          <w:lang w:val="fr-FR"/>
        </w:rPr>
        <w:t xml:space="preserve">. </w:t>
      </w:r>
      <w:proofErr w:type="gramStart"/>
      <w:r>
        <w:rPr>
          <w:rFonts w:ascii="Arial" w:hAnsi="Arial" w:cs="Arial"/>
          <w:lang w:val="fr-FR"/>
        </w:rPr>
        <w:t>2015;</w:t>
      </w:r>
      <w:proofErr w:type="gramEnd"/>
      <w:r w:rsidRPr="006E36B2">
        <w:rPr>
          <w:rFonts w:ascii="Arial" w:hAnsi="Arial" w:cs="Arial"/>
          <w:lang w:val="fr-FR"/>
        </w:rPr>
        <w:t>1</w:t>
      </w:r>
      <w:r>
        <w:rPr>
          <w:rFonts w:ascii="Arial" w:hAnsi="Arial" w:cs="Arial"/>
          <w:lang w:val="fr-FR"/>
        </w:rPr>
        <w:t>0(2) :</w:t>
      </w:r>
      <w:r w:rsidRPr="006E36B2">
        <w:rPr>
          <w:rFonts w:ascii="Arial" w:hAnsi="Arial" w:cs="Arial"/>
          <w:lang w:val="fr-FR"/>
        </w:rPr>
        <w:t>227-237.</w:t>
      </w:r>
    </w:p>
    <w:bookmarkEnd w:id="0"/>
    <w:p w14:paraId="3041160C" w14:textId="704FEE01" w:rsidR="00D077B0" w:rsidRPr="003362F2" w:rsidRDefault="00D077B0" w:rsidP="00D077B0">
      <w:pPr>
        <w:shd w:val="clear" w:color="auto" w:fill="FFFFFF"/>
        <w:spacing w:after="0" w:line="240" w:lineRule="auto"/>
        <w:ind w:left="720" w:hanging="720"/>
        <w:jc w:val="both"/>
        <w:rPr>
          <w:rFonts w:ascii="Arial" w:eastAsia="Times New Roman" w:hAnsi="Arial" w:cs="Arial"/>
          <w:lang w:val="nl-NL" w:eastAsia="en-GB"/>
        </w:rPr>
      </w:pPr>
      <w:r w:rsidRPr="001B2423">
        <w:rPr>
          <w:rFonts w:ascii="Arial" w:eastAsia="Times New Roman" w:hAnsi="Arial" w:cs="Arial"/>
          <w:lang w:val="nl-NL" w:eastAsia="en-GB"/>
        </w:rPr>
        <w:t xml:space="preserve">Legramante JM, Morciano L, Lucaroni F, et al. </w:t>
      </w:r>
      <w:r>
        <w:rPr>
          <w:rFonts w:ascii="Arial" w:eastAsia="Times New Roman" w:hAnsi="Arial" w:cs="Arial"/>
          <w:lang w:eastAsia="en-GB"/>
        </w:rPr>
        <w:t xml:space="preserve">Frequent use of emergency department by the elderly population when continuing care is not well established. </w:t>
      </w:r>
      <w:r w:rsidRPr="003362F2">
        <w:rPr>
          <w:rFonts w:ascii="Arial" w:eastAsia="Times New Roman" w:hAnsi="Arial" w:cs="Arial"/>
          <w:lang w:val="nl-NL" w:eastAsia="en-GB"/>
        </w:rPr>
        <w:t>PLoS One 2016; doi: 10.1371/journal.pone.0165939</w:t>
      </w:r>
    </w:p>
    <w:p w14:paraId="103D7642" w14:textId="456A9765" w:rsidR="00D077B0" w:rsidRDefault="00D077B0" w:rsidP="00D077B0">
      <w:pPr>
        <w:shd w:val="clear" w:color="auto" w:fill="FFFFFF"/>
        <w:spacing w:after="0" w:line="240" w:lineRule="auto"/>
        <w:ind w:left="720" w:hanging="720"/>
        <w:jc w:val="both"/>
        <w:rPr>
          <w:rFonts w:ascii="Arial" w:eastAsia="Times New Roman" w:hAnsi="Arial" w:cs="Arial"/>
          <w:lang w:eastAsia="en-GB"/>
        </w:rPr>
      </w:pPr>
      <w:proofErr w:type="spellStart"/>
      <w:r>
        <w:rPr>
          <w:rFonts w:ascii="Arial" w:eastAsia="Times New Roman" w:hAnsi="Arial" w:cs="Arial"/>
          <w:lang w:eastAsia="en-GB"/>
        </w:rPr>
        <w:lastRenderedPageBreak/>
        <w:t>Lowthian</w:t>
      </w:r>
      <w:proofErr w:type="spellEnd"/>
      <w:r>
        <w:rPr>
          <w:rFonts w:ascii="Arial" w:eastAsia="Times New Roman" w:hAnsi="Arial" w:cs="Arial"/>
          <w:lang w:eastAsia="en-GB"/>
        </w:rPr>
        <w:t xml:space="preserve"> JA, </w:t>
      </w:r>
      <w:proofErr w:type="spellStart"/>
      <w:r>
        <w:rPr>
          <w:rFonts w:ascii="Arial" w:eastAsia="Times New Roman" w:hAnsi="Arial" w:cs="Arial"/>
          <w:lang w:eastAsia="en-GB"/>
        </w:rPr>
        <w:t>Straney</w:t>
      </w:r>
      <w:proofErr w:type="spellEnd"/>
      <w:r>
        <w:rPr>
          <w:rFonts w:ascii="Arial" w:eastAsia="Times New Roman" w:hAnsi="Arial" w:cs="Arial"/>
          <w:lang w:eastAsia="en-GB"/>
        </w:rPr>
        <w:t xml:space="preserve"> LD, Brand CA, Barker A, de Villiers Smit P, Newnham H, Hunter P, Smith C, Cameron PA. Predicting functional decline in older emergency patients – the Safe Elderly Emergency Discharge (SEED) project. Age and Ageing 2017;46(2): 219-225.</w:t>
      </w:r>
    </w:p>
    <w:p w14:paraId="36B2E59D" w14:textId="253EE16C" w:rsidR="00D077B0" w:rsidRDefault="00D077B0" w:rsidP="00D077B0">
      <w:pPr>
        <w:shd w:val="clear" w:color="auto" w:fill="FFFFFF"/>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 xml:space="preserve">McIsaac DI, </w:t>
      </w:r>
      <w:proofErr w:type="spellStart"/>
      <w:r>
        <w:rPr>
          <w:rFonts w:ascii="Arial" w:eastAsia="Times New Roman" w:hAnsi="Arial" w:cs="Arial"/>
          <w:lang w:eastAsia="en-GB"/>
        </w:rPr>
        <w:t>Beaule</w:t>
      </w:r>
      <w:proofErr w:type="spellEnd"/>
      <w:r>
        <w:rPr>
          <w:rFonts w:ascii="Arial" w:eastAsia="Times New Roman" w:hAnsi="Arial" w:cs="Arial"/>
          <w:lang w:eastAsia="en-GB"/>
        </w:rPr>
        <w:t xml:space="preserve"> PE, Bryson GL, Van </w:t>
      </w:r>
      <w:proofErr w:type="spellStart"/>
      <w:r>
        <w:rPr>
          <w:rFonts w:ascii="Arial" w:eastAsia="Times New Roman" w:hAnsi="Arial" w:cs="Arial"/>
          <w:lang w:eastAsia="en-GB"/>
        </w:rPr>
        <w:t>Walraven</w:t>
      </w:r>
      <w:proofErr w:type="spellEnd"/>
      <w:r>
        <w:rPr>
          <w:rFonts w:ascii="Arial" w:eastAsia="Times New Roman" w:hAnsi="Arial" w:cs="Arial"/>
          <w:lang w:eastAsia="en-GB"/>
        </w:rPr>
        <w:t xml:space="preserve"> C. The impact of frailty on outcomes and healthcare resource usage after total joint arthroplasty. Bone &amp; Joint Journal 2016;98-B: 799-805.</w:t>
      </w:r>
    </w:p>
    <w:p w14:paraId="4B3ADCE8" w14:textId="785ABD01" w:rsidR="00D077B0" w:rsidRDefault="00D077B0" w:rsidP="00D077B0">
      <w:pPr>
        <w:shd w:val="clear" w:color="auto" w:fill="FFFFFF"/>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 xml:space="preserve">Mohan G, Nolan A, Lyons S. An investigation of the effect of accessibility to General Practitioner services on healthcare utilisation among older people. Social Science &amp; Medicine </w:t>
      </w:r>
      <w:proofErr w:type="gramStart"/>
      <w:r>
        <w:rPr>
          <w:rFonts w:ascii="Arial" w:eastAsia="Times New Roman" w:hAnsi="Arial" w:cs="Arial"/>
          <w:lang w:eastAsia="en-GB"/>
        </w:rPr>
        <w:t>2019;220:254</w:t>
      </w:r>
      <w:proofErr w:type="gramEnd"/>
      <w:r>
        <w:rPr>
          <w:rFonts w:ascii="Arial" w:eastAsia="Times New Roman" w:hAnsi="Arial" w:cs="Arial"/>
          <w:lang w:eastAsia="en-GB"/>
        </w:rPr>
        <w:t>-263.</w:t>
      </w:r>
    </w:p>
    <w:p w14:paraId="47366E4C" w14:textId="4C11C839" w:rsidR="00D077B0" w:rsidRDefault="00D077B0" w:rsidP="00D077B0">
      <w:pPr>
        <w:shd w:val="clear" w:color="auto" w:fill="FFFFFF"/>
        <w:spacing w:after="0" w:line="240" w:lineRule="auto"/>
        <w:jc w:val="both"/>
        <w:rPr>
          <w:rFonts w:ascii="Arial" w:eastAsia="Times New Roman" w:hAnsi="Arial" w:cs="Arial"/>
          <w:lang w:val="nl-NL" w:eastAsia="en-GB"/>
        </w:rPr>
      </w:pPr>
      <w:r>
        <w:rPr>
          <w:rFonts w:ascii="Arial" w:eastAsia="Times New Roman" w:hAnsi="Arial" w:cs="Arial"/>
          <w:lang w:eastAsia="en-GB"/>
        </w:rPr>
        <w:t xml:space="preserve">National Health Service. </w:t>
      </w:r>
      <w:r w:rsidRPr="00F17906">
        <w:rPr>
          <w:rFonts w:ascii="Arial" w:eastAsia="Times New Roman" w:hAnsi="Arial" w:cs="Arial"/>
          <w:i/>
          <w:lang w:eastAsia="en-GB"/>
        </w:rPr>
        <w:t>The NHS Long Term Plan.</w:t>
      </w:r>
      <w:r>
        <w:rPr>
          <w:rFonts w:ascii="Arial" w:eastAsia="Times New Roman" w:hAnsi="Arial" w:cs="Arial"/>
          <w:lang w:eastAsia="en-GB"/>
        </w:rPr>
        <w:t xml:space="preserve"> </w:t>
      </w:r>
      <w:r w:rsidRPr="001B2423">
        <w:rPr>
          <w:rFonts w:ascii="Arial" w:eastAsia="Times New Roman" w:hAnsi="Arial" w:cs="Arial"/>
          <w:lang w:val="nl-NL" w:eastAsia="en-GB"/>
        </w:rPr>
        <w:t>England: NHS, 2019.</w:t>
      </w:r>
    </w:p>
    <w:p w14:paraId="5693BE14" w14:textId="5B1089E6" w:rsidR="00486004" w:rsidRPr="001B2423" w:rsidRDefault="00486004" w:rsidP="00AC2AA1">
      <w:pPr>
        <w:shd w:val="clear" w:color="auto" w:fill="FFFFFF"/>
        <w:spacing w:after="0" w:line="240" w:lineRule="auto"/>
        <w:ind w:left="709" w:hanging="709"/>
        <w:jc w:val="both"/>
        <w:rPr>
          <w:rFonts w:ascii="Arial" w:eastAsia="Times New Roman" w:hAnsi="Arial" w:cs="Arial"/>
          <w:lang w:val="nl-NL" w:eastAsia="en-GB"/>
        </w:rPr>
      </w:pPr>
      <w:r>
        <w:rPr>
          <w:rFonts w:ascii="Arial" w:eastAsia="Times New Roman" w:hAnsi="Arial" w:cs="Arial"/>
          <w:lang w:val="nl-NL" w:eastAsia="en-GB"/>
        </w:rPr>
        <w:t xml:space="preserve">NHS Digital. </w:t>
      </w:r>
      <w:r w:rsidRPr="00AC2AA1">
        <w:rPr>
          <w:rFonts w:ascii="Arial" w:eastAsia="Times New Roman" w:hAnsi="Arial" w:cs="Arial"/>
          <w:i/>
          <w:lang w:val="nl-NL" w:eastAsia="en-GB"/>
        </w:rPr>
        <w:t>Appointments in General Practice, October 2018.</w:t>
      </w:r>
      <w:r>
        <w:rPr>
          <w:rFonts w:ascii="Arial" w:eastAsia="Times New Roman" w:hAnsi="Arial" w:cs="Arial"/>
          <w:lang w:val="nl-NL" w:eastAsia="en-GB"/>
        </w:rPr>
        <w:t xml:space="preserve"> England: 2018. Last accessed 07/06/2020: </w:t>
      </w:r>
      <w:hyperlink r:id="rId10" w:history="1">
        <w:r>
          <w:rPr>
            <w:rStyle w:val="Hyperlink"/>
          </w:rPr>
          <w:t>https://digital.nhs.uk/data-and-information/publications/statistical/appointments-in-general-practice/oct-2018</w:t>
        </w:r>
      </w:hyperlink>
    </w:p>
    <w:p w14:paraId="780A81C9" w14:textId="613B0C18" w:rsidR="00D077B0" w:rsidRDefault="00D077B0" w:rsidP="00D077B0">
      <w:pPr>
        <w:shd w:val="clear" w:color="auto" w:fill="FFFFFF"/>
        <w:spacing w:after="0" w:line="240" w:lineRule="auto"/>
        <w:ind w:left="720" w:hanging="720"/>
        <w:jc w:val="both"/>
        <w:rPr>
          <w:rFonts w:ascii="Arial" w:eastAsia="Times New Roman" w:hAnsi="Arial" w:cs="Arial"/>
          <w:lang w:eastAsia="en-GB"/>
        </w:rPr>
      </w:pPr>
      <w:r w:rsidRPr="001B2423">
        <w:rPr>
          <w:rFonts w:ascii="Arial" w:eastAsia="Times New Roman" w:hAnsi="Arial" w:cs="Arial"/>
          <w:lang w:val="nl-NL" w:eastAsia="en-GB"/>
        </w:rPr>
        <w:t xml:space="preserve">Nieman CL, Marrone N, Szanton S, et al. </w:t>
      </w:r>
      <w:r>
        <w:rPr>
          <w:rFonts w:ascii="Arial" w:eastAsia="Times New Roman" w:hAnsi="Arial" w:cs="Arial"/>
          <w:lang w:eastAsia="en-GB"/>
        </w:rPr>
        <w:t>Racial/ethnic and socioeconomic disparities in hearing health care among older Americans. Journal of Aging and Health 2015;28(1): 68-94.</w:t>
      </w:r>
    </w:p>
    <w:p w14:paraId="3D4395D6" w14:textId="314BE94F" w:rsidR="00230ECD" w:rsidRDefault="00230ECD" w:rsidP="00D077B0">
      <w:pPr>
        <w:shd w:val="clear" w:color="auto" w:fill="FFFFFF"/>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 xml:space="preserve">Office for National Statistics. </w:t>
      </w:r>
      <w:r w:rsidRPr="00230ECD">
        <w:rPr>
          <w:rFonts w:ascii="Arial" w:eastAsia="Times New Roman" w:hAnsi="Arial" w:cs="Arial"/>
          <w:i/>
          <w:lang w:eastAsia="en-GB"/>
        </w:rPr>
        <w:t xml:space="preserve">What does the 2011 Census tell us about older </w:t>
      </w:r>
      <w:proofErr w:type="gramStart"/>
      <w:r w:rsidRPr="00230ECD">
        <w:rPr>
          <w:rFonts w:ascii="Arial" w:eastAsia="Times New Roman" w:hAnsi="Arial" w:cs="Arial"/>
          <w:i/>
          <w:lang w:eastAsia="en-GB"/>
        </w:rPr>
        <w:t>people</w:t>
      </w:r>
      <w:r>
        <w:rPr>
          <w:rFonts w:ascii="Arial" w:eastAsia="Times New Roman" w:hAnsi="Arial" w:cs="Arial"/>
          <w:lang w:eastAsia="en-GB"/>
        </w:rPr>
        <w:t>.</w:t>
      </w:r>
      <w:proofErr w:type="gramEnd"/>
      <w:r>
        <w:rPr>
          <w:rFonts w:ascii="Arial" w:eastAsia="Times New Roman" w:hAnsi="Arial" w:cs="Arial"/>
          <w:lang w:eastAsia="en-GB"/>
        </w:rPr>
        <w:t xml:space="preserve"> England: Office for National Statistics, 2013. </w:t>
      </w:r>
    </w:p>
    <w:p w14:paraId="68E1EF65" w14:textId="77FFF315" w:rsidR="0089715E" w:rsidRPr="00AE5910" w:rsidRDefault="0089715E" w:rsidP="00634A0E">
      <w:pPr>
        <w:spacing w:after="0"/>
        <w:ind w:left="720" w:hanging="720"/>
        <w:jc w:val="both"/>
        <w:rPr>
          <w:rFonts w:ascii="Arial" w:hAnsi="Arial" w:cs="Arial"/>
          <w:lang w:val="en-US"/>
        </w:rPr>
      </w:pPr>
      <w:r>
        <w:rPr>
          <w:rFonts w:ascii="Arial" w:hAnsi="Arial" w:cs="Arial"/>
          <w:lang w:val="en-US"/>
        </w:rPr>
        <w:t xml:space="preserve">Office for National Statistics. </w:t>
      </w:r>
      <w:r w:rsidR="00AE5910">
        <w:rPr>
          <w:rFonts w:ascii="Arial" w:hAnsi="Arial" w:cs="Arial"/>
          <w:i/>
          <w:lang w:val="en-US"/>
        </w:rPr>
        <w:t xml:space="preserve">Overview of the UK population: August 2019. </w:t>
      </w:r>
      <w:r w:rsidR="00AE5910">
        <w:rPr>
          <w:rFonts w:ascii="Arial" w:hAnsi="Arial" w:cs="Arial"/>
          <w:lang w:val="en-US"/>
        </w:rPr>
        <w:t>UK: Office for National Statistics, 2019.</w:t>
      </w:r>
    </w:p>
    <w:p w14:paraId="01EBCCBC" w14:textId="31BBF91E" w:rsidR="00D077B0" w:rsidRDefault="00D077B0" w:rsidP="00D077B0">
      <w:pPr>
        <w:shd w:val="clear" w:color="auto" w:fill="FFFFFF"/>
        <w:spacing w:after="0" w:line="240" w:lineRule="auto"/>
        <w:ind w:left="720" w:hanging="720"/>
        <w:jc w:val="both"/>
        <w:rPr>
          <w:rFonts w:ascii="Arial" w:eastAsia="Times New Roman" w:hAnsi="Arial" w:cs="Arial"/>
          <w:lang w:eastAsia="en-GB"/>
        </w:rPr>
      </w:pPr>
      <w:bookmarkStart w:id="1" w:name="_Hlk41287463"/>
      <w:r>
        <w:rPr>
          <w:rFonts w:ascii="Arial" w:hAnsi="Arial" w:cs="Arial"/>
        </w:rPr>
        <w:t xml:space="preserve">Office for National Statistics. </w:t>
      </w:r>
      <w:r w:rsidRPr="00402DBF">
        <w:rPr>
          <w:rFonts w:ascii="Arial" w:hAnsi="Arial" w:cs="Arial"/>
          <w:i/>
        </w:rPr>
        <w:t>Overview of the UK population: November 2018</w:t>
      </w:r>
      <w:r>
        <w:rPr>
          <w:rFonts w:ascii="Arial" w:hAnsi="Arial" w:cs="Arial"/>
        </w:rPr>
        <w:t>. London, England 2018: Office for National Statistics.</w:t>
      </w:r>
      <w:bookmarkEnd w:id="1"/>
    </w:p>
    <w:p w14:paraId="29CA83C0" w14:textId="1CF67F0E" w:rsidR="00D9546E" w:rsidRDefault="00D9546E" w:rsidP="00D077B0">
      <w:pPr>
        <w:spacing w:after="0"/>
        <w:ind w:left="720" w:hanging="720"/>
        <w:jc w:val="both"/>
        <w:rPr>
          <w:rFonts w:ascii="Arial" w:eastAsia="Times New Roman" w:hAnsi="Arial" w:cs="Arial"/>
          <w:lang w:eastAsia="en-GB"/>
        </w:rPr>
      </w:pPr>
      <w:r>
        <w:rPr>
          <w:rFonts w:ascii="Arial" w:eastAsia="Times New Roman" w:hAnsi="Arial" w:cs="Arial"/>
          <w:lang w:eastAsia="en-GB"/>
        </w:rPr>
        <w:t xml:space="preserve">Palladino R, Lee JT, </w:t>
      </w:r>
      <w:proofErr w:type="spellStart"/>
      <w:r>
        <w:rPr>
          <w:rFonts w:ascii="Arial" w:eastAsia="Times New Roman" w:hAnsi="Arial" w:cs="Arial"/>
          <w:lang w:eastAsia="en-GB"/>
        </w:rPr>
        <w:t>Ashowrth</w:t>
      </w:r>
      <w:proofErr w:type="spellEnd"/>
      <w:r>
        <w:rPr>
          <w:rFonts w:ascii="Arial" w:eastAsia="Times New Roman" w:hAnsi="Arial" w:cs="Arial"/>
          <w:lang w:eastAsia="en-GB"/>
        </w:rPr>
        <w:t xml:space="preserve"> M, </w:t>
      </w:r>
      <w:proofErr w:type="spellStart"/>
      <w:r>
        <w:rPr>
          <w:rFonts w:ascii="Arial" w:eastAsia="Times New Roman" w:hAnsi="Arial" w:cs="Arial"/>
          <w:lang w:eastAsia="en-GB"/>
        </w:rPr>
        <w:t>Triassi</w:t>
      </w:r>
      <w:proofErr w:type="spellEnd"/>
      <w:r>
        <w:rPr>
          <w:rFonts w:ascii="Arial" w:eastAsia="Times New Roman" w:hAnsi="Arial" w:cs="Arial"/>
          <w:lang w:eastAsia="en-GB"/>
        </w:rPr>
        <w:t xml:space="preserve"> M, Millett C. Associations between multimorbidity, healthcare utilisation and health status: evidence from 16 European countries. Age &amp; Ageing 2016;45(3):431-435.</w:t>
      </w:r>
    </w:p>
    <w:p w14:paraId="4E1A0A29" w14:textId="254265B0" w:rsidR="00D077B0" w:rsidRDefault="00D077B0" w:rsidP="00D077B0">
      <w:pPr>
        <w:spacing w:after="0"/>
        <w:ind w:left="720" w:hanging="720"/>
        <w:jc w:val="both"/>
        <w:rPr>
          <w:rFonts w:ascii="Arial" w:hAnsi="Arial" w:cs="Arial"/>
        </w:rPr>
      </w:pPr>
      <w:r>
        <w:rPr>
          <w:rFonts w:ascii="Arial" w:eastAsia="Times New Roman" w:hAnsi="Arial" w:cs="Arial"/>
          <w:lang w:eastAsia="en-GB"/>
        </w:rPr>
        <w:t xml:space="preserve">Prang K-H, </w:t>
      </w:r>
      <w:proofErr w:type="spellStart"/>
      <w:r>
        <w:rPr>
          <w:rFonts w:ascii="Arial" w:eastAsia="Times New Roman" w:hAnsi="Arial" w:cs="Arial"/>
          <w:lang w:eastAsia="en-GB"/>
        </w:rPr>
        <w:t>Berecki-Gisolf</w:t>
      </w:r>
      <w:proofErr w:type="spellEnd"/>
      <w:r>
        <w:rPr>
          <w:rFonts w:ascii="Arial" w:eastAsia="Times New Roman" w:hAnsi="Arial" w:cs="Arial"/>
          <w:lang w:eastAsia="en-GB"/>
        </w:rPr>
        <w:t xml:space="preserve"> J, </w:t>
      </w:r>
      <w:proofErr w:type="spellStart"/>
      <w:r>
        <w:rPr>
          <w:rFonts w:ascii="Arial" w:eastAsia="Times New Roman" w:hAnsi="Arial" w:cs="Arial"/>
          <w:lang w:eastAsia="en-GB"/>
        </w:rPr>
        <w:t>Newnam</w:t>
      </w:r>
      <w:proofErr w:type="spellEnd"/>
      <w:r>
        <w:rPr>
          <w:rFonts w:ascii="Arial" w:eastAsia="Times New Roman" w:hAnsi="Arial" w:cs="Arial"/>
          <w:lang w:eastAsia="en-GB"/>
        </w:rPr>
        <w:t xml:space="preserve"> S. The influence of social support on healthcare service use following transport-related musculoskeletal injury. BMC Health Services Research </w:t>
      </w:r>
      <w:proofErr w:type="gramStart"/>
      <w:r>
        <w:rPr>
          <w:rFonts w:ascii="Arial" w:eastAsia="Times New Roman" w:hAnsi="Arial" w:cs="Arial"/>
          <w:lang w:eastAsia="en-GB"/>
        </w:rPr>
        <w:t>2016;16:310</w:t>
      </w:r>
      <w:proofErr w:type="gramEnd"/>
      <w:r>
        <w:rPr>
          <w:rFonts w:ascii="Arial" w:eastAsia="Times New Roman" w:hAnsi="Arial" w:cs="Arial"/>
          <w:lang w:eastAsia="en-GB"/>
        </w:rPr>
        <w:t>.</w:t>
      </w:r>
      <w:r w:rsidDel="002D0BE8">
        <w:rPr>
          <w:rFonts w:ascii="Arial" w:hAnsi="Arial" w:cs="Arial"/>
          <w:szCs w:val="24"/>
        </w:rPr>
        <w:t xml:space="preserve"> </w:t>
      </w:r>
      <w:proofErr w:type="spellStart"/>
      <w:r>
        <w:rPr>
          <w:rFonts w:ascii="Arial" w:hAnsi="Arial" w:cs="Arial"/>
          <w:szCs w:val="24"/>
        </w:rPr>
        <w:t>Valtorta</w:t>
      </w:r>
      <w:proofErr w:type="spellEnd"/>
      <w:r>
        <w:rPr>
          <w:rFonts w:ascii="Arial" w:hAnsi="Arial" w:cs="Arial"/>
          <w:szCs w:val="24"/>
        </w:rPr>
        <w:t xml:space="preserve"> NK, </w:t>
      </w:r>
      <w:proofErr w:type="spellStart"/>
      <w:r>
        <w:rPr>
          <w:rFonts w:ascii="Arial" w:hAnsi="Arial" w:cs="Arial"/>
          <w:szCs w:val="24"/>
        </w:rPr>
        <w:t>Collingridge</w:t>
      </w:r>
      <w:proofErr w:type="spellEnd"/>
      <w:r>
        <w:rPr>
          <w:rFonts w:ascii="Arial" w:hAnsi="Arial" w:cs="Arial"/>
          <w:szCs w:val="24"/>
        </w:rPr>
        <w:t xml:space="preserve"> Moore D, Barron L, Stow D, Hanratty B. Older adults’ social relationships and health care utilization: a systematic review. American Journal of Public Health 2018;108(4</w:t>
      </w:r>
      <w:proofErr w:type="gramStart"/>
      <w:r>
        <w:rPr>
          <w:rFonts w:ascii="Arial" w:hAnsi="Arial" w:cs="Arial"/>
          <w:szCs w:val="24"/>
        </w:rPr>
        <w:t>):e</w:t>
      </w:r>
      <w:proofErr w:type="gramEnd"/>
      <w:r>
        <w:rPr>
          <w:rFonts w:ascii="Arial" w:hAnsi="Arial" w:cs="Arial"/>
          <w:szCs w:val="24"/>
        </w:rPr>
        <w:t>1-e10.</w:t>
      </w:r>
      <w:r>
        <w:rPr>
          <w:rFonts w:ascii="Arial" w:hAnsi="Arial" w:cs="Arial"/>
        </w:rPr>
        <w:t xml:space="preserve"> </w:t>
      </w:r>
    </w:p>
    <w:p w14:paraId="120749FF" w14:textId="7F43CA41" w:rsidR="00634A0E" w:rsidRPr="003362F2" w:rsidRDefault="00634A0E" w:rsidP="00D077B0">
      <w:pPr>
        <w:spacing w:after="0"/>
        <w:ind w:left="720" w:hanging="720"/>
        <w:jc w:val="both"/>
        <w:rPr>
          <w:rFonts w:ascii="Arial" w:hAnsi="Arial" w:cs="Arial"/>
          <w:lang w:val="nl-NL"/>
        </w:rPr>
      </w:pPr>
      <w:r w:rsidRPr="00B45914">
        <w:rPr>
          <w:rFonts w:ascii="Arial" w:hAnsi="Arial" w:cs="Arial"/>
          <w:lang w:val="en-US"/>
        </w:rPr>
        <w:t xml:space="preserve">Reeves D, </w:t>
      </w:r>
      <w:proofErr w:type="spellStart"/>
      <w:r w:rsidRPr="00B45914">
        <w:rPr>
          <w:rFonts w:ascii="Arial" w:hAnsi="Arial" w:cs="Arial"/>
          <w:lang w:val="en-US"/>
        </w:rPr>
        <w:t>Pye</w:t>
      </w:r>
      <w:proofErr w:type="spellEnd"/>
      <w:r w:rsidRPr="00B45914">
        <w:rPr>
          <w:rFonts w:ascii="Arial" w:hAnsi="Arial" w:cs="Arial"/>
          <w:lang w:val="en-US"/>
        </w:rPr>
        <w:t xml:space="preserve"> S, Ashcroft DM, Clegg A, </w:t>
      </w:r>
      <w:proofErr w:type="spellStart"/>
      <w:r w:rsidRPr="00B45914">
        <w:rPr>
          <w:rFonts w:ascii="Arial" w:hAnsi="Arial" w:cs="Arial"/>
          <w:lang w:val="en-US"/>
        </w:rPr>
        <w:t>Kontopantelis</w:t>
      </w:r>
      <w:proofErr w:type="spellEnd"/>
      <w:r w:rsidRPr="00B45914">
        <w:rPr>
          <w:rFonts w:ascii="Arial" w:hAnsi="Arial" w:cs="Arial"/>
          <w:lang w:val="en-US"/>
        </w:rPr>
        <w:t xml:space="preserve"> E, Blakeman T, van </w:t>
      </w:r>
      <w:proofErr w:type="spellStart"/>
      <w:r w:rsidRPr="00B45914">
        <w:rPr>
          <w:rFonts w:ascii="Arial" w:hAnsi="Arial" w:cs="Arial"/>
          <w:lang w:val="en-US"/>
        </w:rPr>
        <w:t>Marwijk</w:t>
      </w:r>
      <w:proofErr w:type="spellEnd"/>
      <w:r w:rsidRPr="00B45914">
        <w:rPr>
          <w:rFonts w:ascii="Arial" w:hAnsi="Arial" w:cs="Arial"/>
          <w:lang w:val="en-US"/>
        </w:rPr>
        <w:t xml:space="preserve"> H. The challenge of ageing populations and patient frailty: can primary care adapt? </w:t>
      </w:r>
      <w:r w:rsidRPr="003362F2">
        <w:rPr>
          <w:rFonts w:ascii="Arial" w:hAnsi="Arial" w:cs="Arial"/>
          <w:lang w:val="nl-NL"/>
        </w:rPr>
        <w:t>BMJ 2018;362:k3349.</w:t>
      </w:r>
    </w:p>
    <w:p w14:paraId="057BA3C1" w14:textId="66B31E17" w:rsidR="00634A0E" w:rsidRDefault="00634A0E" w:rsidP="00634A0E">
      <w:pPr>
        <w:spacing w:after="0"/>
        <w:ind w:left="720" w:hanging="720"/>
        <w:jc w:val="both"/>
        <w:rPr>
          <w:rFonts w:ascii="Arial" w:hAnsi="Arial" w:cs="Arial"/>
        </w:rPr>
      </w:pPr>
      <w:r>
        <w:rPr>
          <w:rFonts w:ascii="Arial" w:hAnsi="Arial" w:cs="Arial"/>
        </w:rPr>
        <w:t>Santos-</w:t>
      </w:r>
      <w:proofErr w:type="spellStart"/>
      <w:r>
        <w:rPr>
          <w:rFonts w:ascii="Arial" w:hAnsi="Arial" w:cs="Arial"/>
        </w:rPr>
        <w:t>Eggimann</w:t>
      </w:r>
      <w:proofErr w:type="spellEnd"/>
      <w:r>
        <w:rPr>
          <w:rFonts w:ascii="Arial" w:hAnsi="Arial" w:cs="Arial"/>
        </w:rPr>
        <w:t xml:space="preserve"> B, </w:t>
      </w:r>
      <w:proofErr w:type="spellStart"/>
      <w:r>
        <w:rPr>
          <w:rFonts w:ascii="Arial" w:hAnsi="Arial" w:cs="Arial"/>
        </w:rPr>
        <w:t>Cuenod</w:t>
      </w:r>
      <w:proofErr w:type="spellEnd"/>
      <w:r>
        <w:rPr>
          <w:rFonts w:ascii="Arial" w:hAnsi="Arial" w:cs="Arial"/>
        </w:rPr>
        <w:t xml:space="preserve"> P, </w:t>
      </w:r>
      <w:proofErr w:type="spellStart"/>
      <w:r>
        <w:rPr>
          <w:rFonts w:ascii="Arial" w:hAnsi="Arial" w:cs="Arial"/>
        </w:rPr>
        <w:t>Spagnoli</w:t>
      </w:r>
      <w:proofErr w:type="spellEnd"/>
      <w:r>
        <w:rPr>
          <w:rFonts w:ascii="Arial" w:hAnsi="Arial" w:cs="Arial"/>
        </w:rPr>
        <w:t xml:space="preserve"> J, </w:t>
      </w:r>
      <w:proofErr w:type="spellStart"/>
      <w:r>
        <w:rPr>
          <w:rFonts w:ascii="Arial" w:hAnsi="Arial" w:cs="Arial"/>
        </w:rPr>
        <w:t>Junod</w:t>
      </w:r>
      <w:proofErr w:type="spellEnd"/>
      <w:r>
        <w:rPr>
          <w:rFonts w:ascii="Arial" w:hAnsi="Arial" w:cs="Arial"/>
        </w:rPr>
        <w:t xml:space="preserve"> J. Prevalence of frailty in middle-aged and older community-dwelling Europeans living in 10 countries. Journal of Gerontology: Medical Sciences 2009; 64</w:t>
      </w:r>
      <w:proofErr w:type="gramStart"/>
      <w:r>
        <w:rPr>
          <w:rFonts w:ascii="Arial" w:hAnsi="Arial" w:cs="Arial"/>
        </w:rPr>
        <w:t>A(</w:t>
      </w:r>
      <w:proofErr w:type="gramEnd"/>
      <w:r>
        <w:rPr>
          <w:rFonts w:ascii="Arial" w:hAnsi="Arial" w:cs="Arial"/>
        </w:rPr>
        <w:t>6): 675-681.</w:t>
      </w:r>
    </w:p>
    <w:p w14:paraId="0BA343C7" w14:textId="00964994" w:rsidR="00D077B0" w:rsidRPr="001B2423" w:rsidRDefault="00D077B0" w:rsidP="00D077B0">
      <w:pPr>
        <w:spacing w:after="0"/>
        <w:ind w:left="720" w:hanging="720"/>
        <w:jc w:val="both"/>
        <w:rPr>
          <w:rFonts w:ascii="Arial" w:hAnsi="Arial" w:cs="Arial"/>
          <w:szCs w:val="24"/>
          <w:lang w:val="nl-NL"/>
        </w:rPr>
      </w:pPr>
      <w:proofErr w:type="spellStart"/>
      <w:r w:rsidRPr="00A554CC">
        <w:rPr>
          <w:rFonts w:ascii="Arial" w:hAnsi="Arial" w:cs="Arial"/>
          <w:szCs w:val="24"/>
        </w:rPr>
        <w:t>Scantlebury</w:t>
      </w:r>
      <w:proofErr w:type="spellEnd"/>
      <w:r w:rsidRPr="00A554CC">
        <w:rPr>
          <w:rFonts w:ascii="Arial" w:hAnsi="Arial" w:cs="Arial"/>
          <w:szCs w:val="24"/>
        </w:rPr>
        <w:t xml:space="preserve"> R, Rowlands G, </w:t>
      </w:r>
      <w:proofErr w:type="spellStart"/>
      <w:r w:rsidRPr="00A554CC">
        <w:rPr>
          <w:rFonts w:ascii="Arial" w:hAnsi="Arial" w:cs="Arial"/>
          <w:szCs w:val="24"/>
        </w:rPr>
        <w:t>Durbaba</w:t>
      </w:r>
      <w:proofErr w:type="spellEnd"/>
      <w:r w:rsidRPr="00A554CC">
        <w:rPr>
          <w:rFonts w:ascii="Arial" w:hAnsi="Arial" w:cs="Arial"/>
          <w:szCs w:val="24"/>
        </w:rPr>
        <w:t xml:space="preserve"> S, Schofield P, Sidhu K, Ashworth M. Socioeconomic deprivation and accident and emergency attendances: cross-sectional analysis of general practice in England. </w:t>
      </w:r>
      <w:r w:rsidRPr="001B2423">
        <w:rPr>
          <w:rFonts w:ascii="Arial" w:hAnsi="Arial" w:cs="Arial"/>
          <w:szCs w:val="24"/>
          <w:lang w:val="nl-NL"/>
        </w:rPr>
        <w:t>Br J Gen Pract 2015;65(639):e649-e654.</w:t>
      </w:r>
    </w:p>
    <w:p w14:paraId="6C56F883" w14:textId="77777777" w:rsidR="00BD2EB8" w:rsidRPr="00BD2EB8" w:rsidRDefault="00BD2EB8" w:rsidP="00BD2EB8">
      <w:pPr>
        <w:spacing w:after="0" w:line="100" w:lineRule="atLeast"/>
        <w:ind w:left="709" w:hanging="709"/>
        <w:jc w:val="both"/>
        <w:rPr>
          <w:rFonts w:ascii="Arial" w:hAnsi="Arial" w:cs="Arial"/>
          <w:i/>
          <w:szCs w:val="20"/>
        </w:rPr>
      </w:pPr>
      <w:r w:rsidRPr="00BD2EB8">
        <w:rPr>
          <w:rFonts w:ascii="Arial" w:hAnsi="Arial" w:cs="Arial"/>
          <w:szCs w:val="20"/>
        </w:rPr>
        <w:t xml:space="preserve">Saini, P., McIntyre, J., Corcoran, R., Daras, K., Giebel, C., Fuller, E., Shelton, J., Wilson, T., Comerford, T., Nathan, R., &amp; Gabbay, M. (2020). Social and Mental Health Predictors of Emergency Department and General Practitioner Usage. </w:t>
      </w:r>
      <w:r w:rsidRPr="00BD2EB8">
        <w:rPr>
          <w:rFonts w:ascii="Arial" w:hAnsi="Arial" w:cs="Arial"/>
          <w:i/>
          <w:szCs w:val="20"/>
        </w:rPr>
        <w:t xml:space="preserve">British Journal of General Practice, </w:t>
      </w:r>
      <w:r w:rsidRPr="00BD2EB8">
        <w:rPr>
          <w:rFonts w:ascii="Arial" w:hAnsi="Arial" w:cs="Arial"/>
          <w:szCs w:val="20"/>
        </w:rPr>
        <w:t>70(690),</w:t>
      </w:r>
      <w:r w:rsidRPr="00BD2EB8">
        <w:rPr>
          <w:rFonts w:ascii="Arial" w:hAnsi="Arial" w:cs="Arial"/>
          <w:i/>
          <w:szCs w:val="20"/>
        </w:rPr>
        <w:t xml:space="preserve"> </w:t>
      </w:r>
      <w:r w:rsidRPr="00BD2EB8">
        <w:rPr>
          <w:rFonts w:ascii="Arial" w:hAnsi="Arial" w:cs="Arial"/>
          <w:szCs w:val="20"/>
        </w:rPr>
        <w:t xml:space="preserve">e1-e8. </w:t>
      </w:r>
      <w:proofErr w:type="spellStart"/>
      <w:r w:rsidRPr="00BD2EB8">
        <w:rPr>
          <w:rFonts w:ascii="Arial" w:hAnsi="Arial" w:cs="Arial"/>
          <w:szCs w:val="20"/>
        </w:rPr>
        <w:t>doi</w:t>
      </w:r>
      <w:proofErr w:type="spellEnd"/>
      <w:r w:rsidRPr="00BD2EB8">
        <w:rPr>
          <w:rFonts w:ascii="Arial" w:hAnsi="Arial" w:cs="Arial"/>
          <w:szCs w:val="20"/>
        </w:rPr>
        <w:t>:</w:t>
      </w:r>
      <w:r w:rsidRPr="00BD2EB8">
        <w:rPr>
          <w:rFonts w:ascii="Arial" w:hAnsi="Arial" w:cs="Arial"/>
          <w:i/>
          <w:szCs w:val="20"/>
        </w:rPr>
        <w:t xml:space="preserve"> </w:t>
      </w:r>
      <w:r w:rsidRPr="00BD2EB8">
        <w:rPr>
          <w:rFonts w:ascii="Arial" w:hAnsi="Arial" w:cs="Arial"/>
          <w:szCs w:val="18"/>
          <w:shd w:val="clear" w:color="auto" w:fill="FFFFFF"/>
        </w:rPr>
        <w:t>10.3399/bjgp19X707093</w:t>
      </w:r>
    </w:p>
    <w:p w14:paraId="1B8C898F" w14:textId="2091517D" w:rsidR="00634A0E" w:rsidRDefault="00634A0E" w:rsidP="00BD2EB8">
      <w:pPr>
        <w:spacing w:after="0"/>
        <w:ind w:left="720" w:hanging="720"/>
        <w:jc w:val="both"/>
        <w:rPr>
          <w:rFonts w:ascii="Arial" w:hAnsi="Arial" w:cs="Arial"/>
          <w:szCs w:val="20"/>
          <w:shd w:val="clear" w:color="auto" w:fill="FFFFFF"/>
        </w:rPr>
      </w:pPr>
      <w:r>
        <w:rPr>
          <w:rFonts w:ascii="Arial" w:hAnsi="Arial" w:cs="Arial"/>
          <w:szCs w:val="24"/>
        </w:rPr>
        <w:t xml:space="preserve">Shimada H, </w:t>
      </w:r>
      <w:proofErr w:type="spellStart"/>
      <w:r>
        <w:rPr>
          <w:rFonts w:ascii="Arial" w:hAnsi="Arial" w:cs="Arial"/>
          <w:szCs w:val="24"/>
        </w:rPr>
        <w:t>Makizako</w:t>
      </w:r>
      <w:proofErr w:type="spellEnd"/>
      <w:r>
        <w:rPr>
          <w:rFonts w:ascii="Arial" w:hAnsi="Arial" w:cs="Arial"/>
          <w:szCs w:val="24"/>
        </w:rPr>
        <w:t xml:space="preserve"> H, Lee S, et al. Impact of cognitive frailty on daily activities in older adults. The Journal of Nutrition, Health &amp; Aging 2016;20(7): 729-735.</w:t>
      </w:r>
      <w:r>
        <w:rPr>
          <w:rFonts w:ascii="Arial" w:hAnsi="Arial" w:cs="Arial"/>
          <w:szCs w:val="20"/>
          <w:shd w:val="clear" w:color="auto" w:fill="FFFFFF"/>
        </w:rPr>
        <w:t xml:space="preserve"> </w:t>
      </w:r>
    </w:p>
    <w:p w14:paraId="1573C490" w14:textId="01EFEE06" w:rsidR="00D077B0" w:rsidRDefault="00D077B0" w:rsidP="00D077B0">
      <w:pPr>
        <w:spacing w:after="0"/>
        <w:ind w:left="720" w:hanging="720"/>
        <w:jc w:val="both"/>
        <w:rPr>
          <w:rFonts w:ascii="Arial" w:hAnsi="Arial" w:cs="Arial"/>
          <w:szCs w:val="24"/>
        </w:rPr>
      </w:pPr>
      <w:proofErr w:type="spellStart"/>
      <w:r>
        <w:rPr>
          <w:rFonts w:ascii="Arial" w:hAnsi="Arial" w:cs="Arial"/>
          <w:szCs w:val="24"/>
        </w:rPr>
        <w:t>Sommerlad</w:t>
      </w:r>
      <w:proofErr w:type="spellEnd"/>
      <w:r>
        <w:rPr>
          <w:rFonts w:ascii="Arial" w:hAnsi="Arial" w:cs="Arial"/>
          <w:szCs w:val="24"/>
        </w:rPr>
        <w:t xml:space="preserve"> A, Sabia S, Singh-</w:t>
      </w:r>
      <w:proofErr w:type="spellStart"/>
      <w:r>
        <w:rPr>
          <w:rFonts w:ascii="Arial" w:hAnsi="Arial" w:cs="Arial"/>
          <w:szCs w:val="24"/>
        </w:rPr>
        <w:t>Manoux</w:t>
      </w:r>
      <w:proofErr w:type="spellEnd"/>
      <w:r>
        <w:rPr>
          <w:rFonts w:ascii="Arial" w:hAnsi="Arial" w:cs="Arial"/>
          <w:szCs w:val="24"/>
        </w:rPr>
        <w:t xml:space="preserve"> A, Lewis G, Livingston G. Association of social contact with dementia and cognition: 28-year follow-up of the Whitehall II cohort study. PLOS Medicine, </w:t>
      </w:r>
      <w:proofErr w:type="spellStart"/>
      <w:r>
        <w:rPr>
          <w:rFonts w:ascii="Arial" w:hAnsi="Arial" w:cs="Arial"/>
          <w:szCs w:val="24"/>
        </w:rPr>
        <w:t>doi</w:t>
      </w:r>
      <w:proofErr w:type="spellEnd"/>
      <w:r>
        <w:rPr>
          <w:rFonts w:ascii="Arial" w:hAnsi="Arial" w:cs="Arial"/>
          <w:szCs w:val="24"/>
        </w:rPr>
        <w:t>:</w:t>
      </w:r>
      <w:r w:rsidRPr="003B13FB">
        <w:rPr>
          <w:rFonts w:ascii="Arial" w:hAnsi="Arial" w:cs="Arial"/>
        </w:rPr>
        <w:t xml:space="preserve"> </w:t>
      </w:r>
      <w:r w:rsidRPr="003B13FB">
        <w:rPr>
          <w:rFonts w:ascii="Arial" w:hAnsi="Arial" w:cs="Arial"/>
          <w:shd w:val="clear" w:color="auto" w:fill="FFFFFF"/>
        </w:rPr>
        <w:t>10.1371/journal.pmed.1002862</w:t>
      </w:r>
    </w:p>
    <w:p w14:paraId="58EBA2F0" w14:textId="6C8B1157" w:rsidR="00D077B0" w:rsidRDefault="00D077B0" w:rsidP="00D077B0">
      <w:pPr>
        <w:shd w:val="clear" w:color="auto" w:fill="FFFFFF"/>
        <w:spacing w:after="0" w:line="240" w:lineRule="auto"/>
        <w:ind w:left="720" w:hanging="720"/>
        <w:jc w:val="both"/>
        <w:rPr>
          <w:rFonts w:ascii="Arial" w:hAnsi="Arial" w:cs="Arial"/>
          <w:szCs w:val="24"/>
        </w:rPr>
      </w:pPr>
      <w:proofErr w:type="spellStart"/>
      <w:r>
        <w:rPr>
          <w:rFonts w:ascii="Arial" w:hAnsi="Arial" w:cs="Arial"/>
          <w:szCs w:val="24"/>
        </w:rPr>
        <w:t>Sudore</w:t>
      </w:r>
      <w:proofErr w:type="spellEnd"/>
      <w:r>
        <w:rPr>
          <w:rFonts w:ascii="Arial" w:hAnsi="Arial" w:cs="Arial"/>
          <w:szCs w:val="24"/>
        </w:rPr>
        <w:t xml:space="preserve"> RL, Mehta KM, </w:t>
      </w:r>
      <w:proofErr w:type="spellStart"/>
      <w:r>
        <w:rPr>
          <w:rFonts w:ascii="Arial" w:hAnsi="Arial" w:cs="Arial"/>
          <w:szCs w:val="24"/>
        </w:rPr>
        <w:t>Simonsick</w:t>
      </w:r>
      <w:proofErr w:type="spellEnd"/>
      <w:r>
        <w:rPr>
          <w:rFonts w:ascii="Arial" w:hAnsi="Arial" w:cs="Arial"/>
          <w:szCs w:val="24"/>
        </w:rPr>
        <w:t xml:space="preserve"> EM, et al. Limited literacy in older people and disparities in health and healthcare access. Journal of the American Geriatrics Society 2006;54(5):770-776. </w:t>
      </w:r>
    </w:p>
    <w:p w14:paraId="437E7974" w14:textId="2E251ECC" w:rsidR="00BD2EB8" w:rsidRDefault="00BD2EB8" w:rsidP="00BD2EB8">
      <w:pPr>
        <w:spacing w:after="0"/>
        <w:ind w:left="720" w:hanging="720"/>
        <w:jc w:val="both"/>
        <w:rPr>
          <w:rFonts w:ascii="Arial" w:hAnsi="Arial" w:cs="Arial"/>
          <w:szCs w:val="24"/>
        </w:rPr>
      </w:pPr>
      <w:r>
        <w:rPr>
          <w:rFonts w:ascii="Arial" w:hAnsi="Arial" w:cs="Arial"/>
          <w:szCs w:val="24"/>
        </w:rPr>
        <w:t xml:space="preserve">The Information Centre for Health and Social Care. </w:t>
      </w:r>
      <w:r w:rsidRPr="00F17906">
        <w:rPr>
          <w:rFonts w:ascii="Arial" w:hAnsi="Arial" w:cs="Arial"/>
          <w:i/>
          <w:szCs w:val="24"/>
        </w:rPr>
        <w:t xml:space="preserve">Trends in consultation rates in general practice 1995 to 2008: Analysis of the </w:t>
      </w:r>
      <w:proofErr w:type="spellStart"/>
      <w:r w:rsidRPr="00F17906">
        <w:rPr>
          <w:rFonts w:ascii="Arial" w:hAnsi="Arial" w:cs="Arial"/>
          <w:i/>
          <w:szCs w:val="24"/>
        </w:rPr>
        <w:t>QResearch</w:t>
      </w:r>
      <w:proofErr w:type="spellEnd"/>
      <w:r w:rsidRPr="00F17906">
        <w:rPr>
          <w:rFonts w:ascii="Arial" w:hAnsi="Arial" w:cs="Arial"/>
          <w:i/>
          <w:szCs w:val="24"/>
        </w:rPr>
        <w:t xml:space="preserve"> database. </w:t>
      </w:r>
      <w:r>
        <w:rPr>
          <w:rFonts w:ascii="Arial" w:hAnsi="Arial" w:cs="Arial"/>
          <w:szCs w:val="24"/>
        </w:rPr>
        <w:t>England: 2009.</w:t>
      </w:r>
    </w:p>
    <w:p w14:paraId="660636BF" w14:textId="611B455C" w:rsidR="00BD2EB8" w:rsidRDefault="00BD2EB8" w:rsidP="00BD2EB8">
      <w:pPr>
        <w:spacing w:after="0"/>
        <w:ind w:left="720" w:hanging="720"/>
        <w:jc w:val="both"/>
        <w:rPr>
          <w:rFonts w:ascii="Arial" w:hAnsi="Arial" w:cs="Arial"/>
          <w:szCs w:val="24"/>
        </w:rPr>
      </w:pPr>
      <w:r>
        <w:rPr>
          <w:rFonts w:ascii="Arial" w:hAnsi="Arial" w:cs="Arial"/>
          <w:szCs w:val="24"/>
        </w:rPr>
        <w:lastRenderedPageBreak/>
        <w:t xml:space="preserve">Turnbull J, Martin D, </w:t>
      </w:r>
      <w:proofErr w:type="spellStart"/>
      <w:r>
        <w:rPr>
          <w:rFonts w:ascii="Arial" w:hAnsi="Arial" w:cs="Arial"/>
          <w:szCs w:val="24"/>
        </w:rPr>
        <w:t>Lattimer</w:t>
      </w:r>
      <w:proofErr w:type="spellEnd"/>
      <w:r>
        <w:rPr>
          <w:rFonts w:ascii="Arial" w:hAnsi="Arial" w:cs="Arial"/>
          <w:szCs w:val="24"/>
        </w:rPr>
        <w:t xml:space="preserve"> V, Pope C, </w:t>
      </w:r>
      <w:proofErr w:type="spellStart"/>
      <w:r>
        <w:rPr>
          <w:rFonts w:ascii="Arial" w:hAnsi="Arial" w:cs="Arial"/>
          <w:szCs w:val="24"/>
        </w:rPr>
        <w:t>Culliford</w:t>
      </w:r>
      <w:proofErr w:type="spellEnd"/>
      <w:r>
        <w:rPr>
          <w:rFonts w:ascii="Arial" w:hAnsi="Arial" w:cs="Arial"/>
          <w:szCs w:val="24"/>
        </w:rPr>
        <w:t xml:space="preserve"> D. Does distance matter? Geographical variation in GP out-of-hours service use: an observational study. British Journal of General Practice 2008;58(552):471-477.</w:t>
      </w:r>
    </w:p>
    <w:p w14:paraId="73B82D25" w14:textId="44DFCE09" w:rsidR="00634A0E" w:rsidRDefault="005A6749" w:rsidP="00BD2EB8">
      <w:pPr>
        <w:spacing w:after="0"/>
        <w:ind w:left="720" w:hanging="720"/>
        <w:jc w:val="both"/>
        <w:rPr>
          <w:rFonts w:ascii="Arial" w:hAnsi="Arial" w:cs="Arial"/>
        </w:rPr>
      </w:pPr>
      <w:r>
        <w:rPr>
          <w:rFonts w:ascii="Arial" w:hAnsi="Arial" w:cs="Arial"/>
        </w:rPr>
        <w:t xml:space="preserve">Rockwood K, Song X, </w:t>
      </w:r>
      <w:proofErr w:type="spellStart"/>
      <w:r>
        <w:rPr>
          <w:rFonts w:ascii="Arial" w:hAnsi="Arial" w:cs="Arial"/>
        </w:rPr>
        <w:t>MacKnight</w:t>
      </w:r>
      <w:proofErr w:type="spellEnd"/>
      <w:r>
        <w:rPr>
          <w:rFonts w:ascii="Arial" w:hAnsi="Arial" w:cs="Arial"/>
        </w:rPr>
        <w:t xml:space="preserve"> C, et al. A global clinical measure of fitness and frailty in elderly people. CMAJ 2005;173(5):489-495.</w:t>
      </w:r>
    </w:p>
    <w:p w14:paraId="15073341" w14:textId="58F00B5B" w:rsidR="00D077B0" w:rsidRDefault="00D077B0" w:rsidP="00D077B0">
      <w:pPr>
        <w:spacing w:after="0"/>
        <w:ind w:left="720" w:hanging="720"/>
        <w:jc w:val="both"/>
        <w:rPr>
          <w:rFonts w:ascii="Arial" w:hAnsi="Arial" w:cs="Arial"/>
        </w:rPr>
      </w:pPr>
      <w:r>
        <w:rPr>
          <w:rFonts w:ascii="Arial" w:hAnsi="Arial" w:cs="Arial"/>
        </w:rPr>
        <w:t xml:space="preserve">Walker E, </w:t>
      </w:r>
      <w:proofErr w:type="spellStart"/>
      <w:r>
        <w:rPr>
          <w:rFonts w:ascii="Arial" w:hAnsi="Arial" w:cs="Arial"/>
        </w:rPr>
        <w:t>Ploubidis</w:t>
      </w:r>
      <w:proofErr w:type="spellEnd"/>
      <w:r>
        <w:rPr>
          <w:rFonts w:ascii="Arial" w:hAnsi="Arial" w:cs="Arial"/>
        </w:rPr>
        <w:t xml:space="preserve"> G, </w:t>
      </w:r>
      <w:proofErr w:type="spellStart"/>
      <w:r>
        <w:rPr>
          <w:rFonts w:ascii="Arial" w:hAnsi="Arial" w:cs="Arial"/>
        </w:rPr>
        <w:t>Fancourt</w:t>
      </w:r>
      <w:proofErr w:type="spellEnd"/>
      <w:r>
        <w:rPr>
          <w:rFonts w:ascii="Arial" w:hAnsi="Arial" w:cs="Arial"/>
        </w:rPr>
        <w:t xml:space="preserve"> D. Social engagement and loneliness are differentially associated with neuro-immune markers in older age: time-varying associations from the English Longitudinal Study of Ageing. Brain, </w:t>
      </w:r>
      <w:proofErr w:type="spellStart"/>
      <w:r>
        <w:rPr>
          <w:rFonts w:ascii="Arial" w:hAnsi="Arial" w:cs="Arial"/>
        </w:rPr>
        <w:t>Behavior</w:t>
      </w:r>
      <w:proofErr w:type="spellEnd"/>
      <w:r>
        <w:rPr>
          <w:rFonts w:ascii="Arial" w:hAnsi="Arial" w:cs="Arial"/>
        </w:rPr>
        <w:t xml:space="preserve">, and Immunity, 2019; </w:t>
      </w:r>
      <w:proofErr w:type="spellStart"/>
      <w:r>
        <w:rPr>
          <w:rFonts w:ascii="Arial" w:hAnsi="Arial" w:cs="Arial"/>
        </w:rPr>
        <w:t>doi</w:t>
      </w:r>
      <w:proofErr w:type="spellEnd"/>
      <w:r>
        <w:rPr>
          <w:rFonts w:ascii="Arial" w:hAnsi="Arial" w:cs="Arial"/>
        </w:rPr>
        <w:t xml:space="preserve">: </w:t>
      </w:r>
      <w:r w:rsidRPr="005F39B3">
        <w:rPr>
          <w:rFonts w:ascii="Arial" w:hAnsi="Arial" w:cs="Arial"/>
        </w:rPr>
        <w:t>https://doi.org/10.1016/j.bbi.2019.08.189</w:t>
      </w:r>
    </w:p>
    <w:p w14:paraId="20C77B97" w14:textId="2529C894" w:rsidR="00F17906" w:rsidRDefault="00F17906" w:rsidP="00D077B0">
      <w:pPr>
        <w:spacing w:after="0"/>
        <w:ind w:left="720" w:hanging="720"/>
        <w:jc w:val="both"/>
        <w:rPr>
          <w:rFonts w:ascii="Arial" w:hAnsi="Arial" w:cs="Arial"/>
        </w:rPr>
      </w:pPr>
      <w:bookmarkStart w:id="2" w:name="_Hlk41287374"/>
      <w:proofErr w:type="spellStart"/>
      <w:r>
        <w:rPr>
          <w:rFonts w:ascii="Arial" w:hAnsi="Arial" w:cs="Arial"/>
        </w:rPr>
        <w:t>Wedgeworth</w:t>
      </w:r>
      <w:proofErr w:type="spellEnd"/>
      <w:r>
        <w:rPr>
          <w:rFonts w:ascii="Arial" w:hAnsi="Arial" w:cs="Arial"/>
        </w:rPr>
        <w:t xml:space="preserve"> M, LaRocca MA, Chaplin WF, </w:t>
      </w:r>
      <w:proofErr w:type="spellStart"/>
      <w:r>
        <w:rPr>
          <w:rFonts w:ascii="Arial" w:hAnsi="Arial" w:cs="Arial"/>
        </w:rPr>
        <w:t>Scogin</w:t>
      </w:r>
      <w:proofErr w:type="spellEnd"/>
      <w:r>
        <w:rPr>
          <w:rFonts w:ascii="Arial" w:hAnsi="Arial" w:cs="Arial"/>
        </w:rPr>
        <w:t xml:space="preserve"> F. The role of interpersonal sensitivity, social support, and quality of life in rural older adults. Geriatric Nursing 2017;38(1):22-26.</w:t>
      </w:r>
      <w:bookmarkEnd w:id="2"/>
    </w:p>
    <w:p w14:paraId="4D9C3C2F" w14:textId="7F4B8987" w:rsidR="00D077B0" w:rsidRDefault="00D077B0">
      <w:pPr>
        <w:shd w:val="clear" w:color="auto" w:fill="FFFFFF"/>
        <w:spacing w:after="0" w:line="240" w:lineRule="auto"/>
        <w:ind w:left="720" w:hanging="720"/>
        <w:jc w:val="both"/>
        <w:rPr>
          <w:rFonts w:ascii="Arial" w:hAnsi="Arial" w:cs="Arial"/>
        </w:rPr>
      </w:pPr>
    </w:p>
    <w:p w14:paraId="0FE7EB91" w14:textId="4F44E654" w:rsidR="00AC2AA1" w:rsidRDefault="00AC2AA1">
      <w:pPr>
        <w:shd w:val="clear" w:color="auto" w:fill="FFFFFF"/>
        <w:spacing w:after="0" w:line="240" w:lineRule="auto"/>
        <w:ind w:left="720" w:hanging="720"/>
        <w:jc w:val="both"/>
        <w:rPr>
          <w:rFonts w:ascii="Arial" w:hAnsi="Arial" w:cs="Arial"/>
        </w:rPr>
      </w:pPr>
    </w:p>
    <w:p w14:paraId="2144F763" w14:textId="6DD366C1" w:rsidR="00AC2AA1" w:rsidRDefault="00AC2AA1">
      <w:pPr>
        <w:shd w:val="clear" w:color="auto" w:fill="FFFFFF"/>
        <w:spacing w:after="0" w:line="240" w:lineRule="auto"/>
        <w:ind w:left="720" w:hanging="720"/>
        <w:jc w:val="both"/>
        <w:rPr>
          <w:rFonts w:ascii="Arial" w:hAnsi="Arial" w:cs="Arial"/>
        </w:rPr>
      </w:pPr>
    </w:p>
    <w:p w14:paraId="6219F97D" w14:textId="19852886" w:rsidR="00AC2AA1" w:rsidRDefault="00AC2AA1">
      <w:pPr>
        <w:shd w:val="clear" w:color="auto" w:fill="FFFFFF"/>
        <w:spacing w:after="0" w:line="240" w:lineRule="auto"/>
        <w:ind w:left="720" w:hanging="720"/>
        <w:jc w:val="both"/>
        <w:rPr>
          <w:rFonts w:ascii="Arial" w:hAnsi="Arial" w:cs="Arial"/>
        </w:rPr>
      </w:pPr>
    </w:p>
    <w:p w14:paraId="247056AD" w14:textId="04B9F4F5" w:rsidR="00AC2AA1" w:rsidRDefault="00AC2AA1">
      <w:pPr>
        <w:shd w:val="clear" w:color="auto" w:fill="FFFFFF"/>
        <w:spacing w:after="0" w:line="240" w:lineRule="auto"/>
        <w:ind w:left="720" w:hanging="720"/>
        <w:jc w:val="both"/>
        <w:rPr>
          <w:rFonts w:ascii="Arial" w:hAnsi="Arial" w:cs="Arial"/>
        </w:rPr>
      </w:pPr>
    </w:p>
    <w:p w14:paraId="6CF700C4" w14:textId="5AE54E05" w:rsidR="00AC2AA1" w:rsidRDefault="00AC2AA1">
      <w:pPr>
        <w:shd w:val="clear" w:color="auto" w:fill="FFFFFF"/>
        <w:spacing w:after="0" w:line="240" w:lineRule="auto"/>
        <w:ind w:left="720" w:hanging="720"/>
        <w:jc w:val="both"/>
        <w:rPr>
          <w:rFonts w:ascii="Arial" w:hAnsi="Arial" w:cs="Arial"/>
        </w:rPr>
      </w:pPr>
    </w:p>
    <w:p w14:paraId="29EF0889" w14:textId="522726C4" w:rsidR="00AC2AA1" w:rsidRDefault="00AC2AA1">
      <w:pPr>
        <w:shd w:val="clear" w:color="auto" w:fill="FFFFFF"/>
        <w:spacing w:after="0" w:line="240" w:lineRule="auto"/>
        <w:ind w:left="720" w:hanging="720"/>
        <w:jc w:val="both"/>
        <w:rPr>
          <w:rFonts w:ascii="Arial" w:hAnsi="Arial" w:cs="Arial"/>
        </w:rPr>
      </w:pPr>
    </w:p>
    <w:p w14:paraId="4307137B" w14:textId="01832D34" w:rsidR="00AC2AA1" w:rsidRDefault="00AC2AA1">
      <w:pPr>
        <w:shd w:val="clear" w:color="auto" w:fill="FFFFFF"/>
        <w:spacing w:after="0" w:line="240" w:lineRule="auto"/>
        <w:ind w:left="720" w:hanging="720"/>
        <w:jc w:val="both"/>
        <w:rPr>
          <w:rFonts w:ascii="Arial" w:hAnsi="Arial" w:cs="Arial"/>
        </w:rPr>
      </w:pPr>
    </w:p>
    <w:p w14:paraId="2069DD5D" w14:textId="185DF87A" w:rsidR="00AC2AA1" w:rsidRDefault="00AC2AA1">
      <w:pPr>
        <w:shd w:val="clear" w:color="auto" w:fill="FFFFFF"/>
        <w:spacing w:after="0" w:line="240" w:lineRule="auto"/>
        <w:ind w:left="720" w:hanging="720"/>
        <w:jc w:val="both"/>
        <w:rPr>
          <w:rFonts w:ascii="Arial" w:hAnsi="Arial" w:cs="Arial"/>
        </w:rPr>
      </w:pPr>
    </w:p>
    <w:p w14:paraId="68122E6E" w14:textId="1C8C2CCF" w:rsidR="00AC2AA1" w:rsidRDefault="00AC2AA1">
      <w:pPr>
        <w:shd w:val="clear" w:color="auto" w:fill="FFFFFF"/>
        <w:spacing w:after="0" w:line="240" w:lineRule="auto"/>
        <w:ind w:left="720" w:hanging="720"/>
        <w:jc w:val="both"/>
        <w:rPr>
          <w:rFonts w:ascii="Arial" w:hAnsi="Arial" w:cs="Arial"/>
        </w:rPr>
      </w:pPr>
    </w:p>
    <w:p w14:paraId="489FC024" w14:textId="339AEEBC" w:rsidR="00AC2AA1" w:rsidRDefault="00AC2AA1">
      <w:pPr>
        <w:shd w:val="clear" w:color="auto" w:fill="FFFFFF"/>
        <w:spacing w:after="0" w:line="240" w:lineRule="auto"/>
        <w:ind w:left="720" w:hanging="720"/>
        <w:jc w:val="both"/>
        <w:rPr>
          <w:rFonts w:ascii="Arial" w:hAnsi="Arial" w:cs="Arial"/>
        </w:rPr>
      </w:pPr>
    </w:p>
    <w:p w14:paraId="59C56AFA" w14:textId="05A5DA02" w:rsidR="00AC2AA1" w:rsidRDefault="00AC2AA1">
      <w:pPr>
        <w:shd w:val="clear" w:color="auto" w:fill="FFFFFF"/>
        <w:spacing w:after="0" w:line="240" w:lineRule="auto"/>
        <w:ind w:left="720" w:hanging="720"/>
        <w:jc w:val="both"/>
        <w:rPr>
          <w:rFonts w:ascii="Arial" w:hAnsi="Arial" w:cs="Arial"/>
        </w:rPr>
      </w:pPr>
    </w:p>
    <w:p w14:paraId="46A92264" w14:textId="619941D9" w:rsidR="00AC2AA1" w:rsidRDefault="00AC2AA1">
      <w:pPr>
        <w:shd w:val="clear" w:color="auto" w:fill="FFFFFF"/>
        <w:spacing w:after="0" w:line="240" w:lineRule="auto"/>
        <w:ind w:left="720" w:hanging="720"/>
        <w:jc w:val="both"/>
        <w:rPr>
          <w:rFonts w:ascii="Arial" w:hAnsi="Arial" w:cs="Arial"/>
        </w:rPr>
      </w:pPr>
    </w:p>
    <w:p w14:paraId="4F8014C5" w14:textId="7FA9BBD4" w:rsidR="00AC2AA1" w:rsidRDefault="00AC2AA1">
      <w:pPr>
        <w:shd w:val="clear" w:color="auto" w:fill="FFFFFF"/>
        <w:spacing w:after="0" w:line="240" w:lineRule="auto"/>
        <w:ind w:left="720" w:hanging="720"/>
        <w:jc w:val="both"/>
        <w:rPr>
          <w:rFonts w:ascii="Arial" w:hAnsi="Arial" w:cs="Arial"/>
        </w:rPr>
      </w:pPr>
    </w:p>
    <w:p w14:paraId="2D97B44B" w14:textId="2FEC79E3" w:rsidR="00AC2AA1" w:rsidRDefault="00AC2AA1">
      <w:pPr>
        <w:shd w:val="clear" w:color="auto" w:fill="FFFFFF"/>
        <w:spacing w:after="0" w:line="240" w:lineRule="auto"/>
        <w:ind w:left="720" w:hanging="720"/>
        <w:jc w:val="both"/>
        <w:rPr>
          <w:rFonts w:ascii="Arial" w:hAnsi="Arial" w:cs="Arial"/>
        </w:rPr>
      </w:pPr>
    </w:p>
    <w:p w14:paraId="1E0CCEBC" w14:textId="6C63D0E5" w:rsidR="00AC2AA1" w:rsidRDefault="00AC2AA1">
      <w:pPr>
        <w:shd w:val="clear" w:color="auto" w:fill="FFFFFF"/>
        <w:spacing w:after="0" w:line="240" w:lineRule="auto"/>
        <w:ind w:left="720" w:hanging="720"/>
        <w:jc w:val="both"/>
        <w:rPr>
          <w:rFonts w:ascii="Arial" w:hAnsi="Arial" w:cs="Arial"/>
        </w:rPr>
      </w:pPr>
    </w:p>
    <w:p w14:paraId="4C51CFC9" w14:textId="799D2FC0" w:rsidR="00AC2AA1" w:rsidRDefault="00AC2AA1">
      <w:pPr>
        <w:shd w:val="clear" w:color="auto" w:fill="FFFFFF"/>
        <w:spacing w:after="0" w:line="240" w:lineRule="auto"/>
        <w:ind w:left="720" w:hanging="720"/>
        <w:jc w:val="both"/>
        <w:rPr>
          <w:rFonts w:ascii="Arial" w:hAnsi="Arial" w:cs="Arial"/>
        </w:rPr>
      </w:pPr>
    </w:p>
    <w:p w14:paraId="1E3DE1DF" w14:textId="470EEB13" w:rsidR="00AC2AA1" w:rsidRDefault="00AC2AA1">
      <w:pPr>
        <w:shd w:val="clear" w:color="auto" w:fill="FFFFFF"/>
        <w:spacing w:after="0" w:line="240" w:lineRule="auto"/>
        <w:ind w:left="720" w:hanging="720"/>
        <w:jc w:val="both"/>
        <w:rPr>
          <w:rFonts w:ascii="Arial" w:hAnsi="Arial" w:cs="Arial"/>
        </w:rPr>
      </w:pPr>
    </w:p>
    <w:p w14:paraId="225D012F" w14:textId="65033446" w:rsidR="00AC2AA1" w:rsidRDefault="00AC2AA1">
      <w:pPr>
        <w:shd w:val="clear" w:color="auto" w:fill="FFFFFF"/>
        <w:spacing w:after="0" w:line="240" w:lineRule="auto"/>
        <w:ind w:left="720" w:hanging="720"/>
        <w:jc w:val="both"/>
        <w:rPr>
          <w:rFonts w:ascii="Arial" w:hAnsi="Arial" w:cs="Arial"/>
        </w:rPr>
      </w:pPr>
    </w:p>
    <w:p w14:paraId="46F95738" w14:textId="6693C77F" w:rsidR="00AC2AA1" w:rsidRDefault="00AC2AA1">
      <w:pPr>
        <w:shd w:val="clear" w:color="auto" w:fill="FFFFFF"/>
        <w:spacing w:after="0" w:line="240" w:lineRule="auto"/>
        <w:ind w:left="720" w:hanging="720"/>
        <w:jc w:val="both"/>
        <w:rPr>
          <w:rFonts w:ascii="Arial" w:hAnsi="Arial" w:cs="Arial"/>
        </w:rPr>
      </w:pPr>
    </w:p>
    <w:p w14:paraId="4E595044" w14:textId="53692794" w:rsidR="00AC2AA1" w:rsidRDefault="00AC2AA1">
      <w:pPr>
        <w:shd w:val="clear" w:color="auto" w:fill="FFFFFF"/>
        <w:spacing w:after="0" w:line="240" w:lineRule="auto"/>
        <w:ind w:left="720" w:hanging="720"/>
        <w:jc w:val="both"/>
        <w:rPr>
          <w:rFonts w:ascii="Arial" w:hAnsi="Arial" w:cs="Arial"/>
        </w:rPr>
      </w:pPr>
    </w:p>
    <w:p w14:paraId="042041AB" w14:textId="6483FBFC" w:rsidR="00AC2AA1" w:rsidRDefault="00AC2AA1">
      <w:pPr>
        <w:shd w:val="clear" w:color="auto" w:fill="FFFFFF"/>
        <w:spacing w:after="0" w:line="240" w:lineRule="auto"/>
        <w:ind w:left="720" w:hanging="720"/>
        <w:jc w:val="both"/>
        <w:rPr>
          <w:rFonts w:ascii="Arial" w:hAnsi="Arial" w:cs="Arial"/>
        </w:rPr>
      </w:pPr>
    </w:p>
    <w:p w14:paraId="3666DB99" w14:textId="23034963" w:rsidR="00AC2AA1" w:rsidRDefault="00AC2AA1">
      <w:pPr>
        <w:shd w:val="clear" w:color="auto" w:fill="FFFFFF"/>
        <w:spacing w:after="0" w:line="240" w:lineRule="auto"/>
        <w:ind w:left="720" w:hanging="720"/>
        <w:jc w:val="both"/>
        <w:rPr>
          <w:rFonts w:ascii="Arial" w:hAnsi="Arial" w:cs="Arial"/>
        </w:rPr>
      </w:pPr>
    </w:p>
    <w:p w14:paraId="50231569" w14:textId="6CF92AB1" w:rsidR="00AC2AA1" w:rsidRDefault="00AC2AA1">
      <w:pPr>
        <w:shd w:val="clear" w:color="auto" w:fill="FFFFFF"/>
        <w:spacing w:after="0" w:line="240" w:lineRule="auto"/>
        <w:ind w:left="720" w:hanging="720"/>
        <w:jc w:val="both"/>
        <w:rPr>
          <w:rFonts w:ascii="Arial" w:hAnsi="Arial" w:cs="Arial"/>
        </w:rPr>
      </w:pPr>
    </w:p>
    <w:p w14:paraId="2DE7C86E" w14:textId="3000EED1" w:rsidR="00AC2AA1" w:rsidRDefault="00AC2AA1">
      <w:pPr>
        <w:shd w:val="clear" w:color="auto" w:fill="FFFFFF"/>
        <w:spacing w:after="0" w:line="240" w:lineRule="auto"/>
        <w:ind w:left="720" w:hanging="720"/>
        <w:jc w:val="both"/>
        <w:rPr>
          <w:rFonts w:ascii="Arial" w:hAnsi="Arial" w:cs="Arial"/>
        </w:rPr>
      </w:pPr>
    </w:p>
    <w:p w14:paraId="2ED68D03" w14:textId="77EC71B2" w:rsidR="00AC2AA1" w:rsidRDefault="00AC2AA1">
      <w:pPr>
        <w:shd w:val="clear" w:color="auto" w:fill="FFFFFF"/>
        <w:spacing w:after="0" w:line="240" w:lineRule="auto"/>
        <w:ind w:left="720" w:hanging="720"/>
        <w:jc w:val="both"/>
        <w:rPr>
          <w:rFonts w:ascii="Arial" w:hAnsi="Arial" w:cs="Arial"/>
        </w:rPr>
      </w:pPr>
    </w:p>
    <w:p w14:paraId="44D2B00D" w14:textId="61B8BC43" w:rsidR="00AC2AA1" w:rsidRDefault="00AC2AA1">
      <w:pPr>
        <w:shd w:val="clear" w:color="auto" w:fill="FFFFFF"/>
        <w:spacing w:after="0" w:line="240" w:lineRule="auto"/>
        <w:ind w:left="720" w:hanging="720"/>
        <w:jc w:val="both"/>
        <w:rPr>
          <w:rFonts w:ascii="Arial" w:hAnsi="Arial" w:cs="Arial"/>
        </w:rPr>
      </w:pPr>
    </w:p>
    <w:p w14:paraId="071B3281" w14:textId="396D4260" w:rsidR="00AC2AA1" w:rsidRDefault="00AC2AA1">
      <w:pPr>
        <w:shd w:val="clear" w:color="auto" w:fill="FFFFFF"/>
        <w:spacing w:after="0" w:line="240" w:lineRule="auto"/>
        <w:ind w:left="720" w:hanging="720"/>
        <w:jc w:val="both"/>
        <w:rPr>
          <w:rFonts w:ascii="Arial" w:hAnsi="Arial" w:cs="Arial"/>
        </w:rPr>
      </w:pPr>
    </w:p>
    <w:p w14:paraId="2F98299A" w14:textId="7B80D2C8" w:rsidR="00AC2AA1" w:rsidRDefault="00AC2AA1">
      <w:pPr>
        <w:shd w:val="clear" w:color="auto" w:fill="FFFFFF"/>
        <w:spacing w:after="0" w:line="240" w:lineRule="auto"/>
        <w:ind w:left="720" w:hanging="720"/>
        <w:jc w:val="both"/>
        <w:rPr>
          <w:rFonts w:ascii="Arial" w:hAnsi="Arial" w:cs="Arial"/>
        </w:rPr>
      </w:pPr>
    </w:p>
    <w:p w14:paraId="18233AB2" w14:textId="1A8F71D8" w:rsidR="00AC2AA1" w:rsidRDefault="00AC2AA1">
      <w:pPr>
        <w:shd w:val="clear" w:color="auto" w:fill="FFFFFF"/>
        <w:spacing w:after="0" w:line="240" w:lineRule="auto"/>
        <w:ind w:left="720" w:hanging="720"/>
        <w:jc w:val="both"/>
        <w:rPr>
          <w:rFonts w:ascii="Arial" w:hAnsi="Arial" w:cs="Arial"/>
        </w:rPr>
      </w:pPr>
    </w:p>
    <w:p w14:paraId="0C0F2145" w14:textId="3B7C1794" w:rsidR="00AC2AA1" w:rsidRDefault="00AC2AA1">
      <w:pPr>
        <w:shd w:val="clear" w:color="auto" w:fill="FFFFFF"/>
        <w:spacing w:after="0" w:line="240" w:lineRule="auto"/>
        <w:ind w:left="720" w:hanging="720"/>
        <w:jc w:val="both"/>
        <w:rPr>
          <w:rFonts w:ascii="Arial" w:hAnsi="Arial" w:cs="Arial"/>
        </w:rPr>
      </w:pPr>
    </w:p>
    <w:p w14:paraId="22A1557F" w14:textId="22599C9D" w:rsidR="00AC2AA1" w:rsidRDefault="00AC2AA1">
      <w:pPr>
        <w:shd w:val="clear" w:color="auto" w:fill="FFFFFF"/>
        <w:spacing w:after="0" w:line="240" w:lineRule="auto"/>
        <w:ind w:left="720" w:hanging="720"/>
        <w:jc w:val="both"/>
        <w:rPr>
          <w:rFonts w:ascii="Arial" w:hAnsi="Arial" w:cs="Arial"/>
        </w:rPr>
      </w:pPr>
    </w:p>
    <w:p w14:paraId="62DA04B5" w14:textId="60F36D24" w:rsidR="00AC2AA1" w:rsidRDefault="00AC2AA1">
      <w:pPr>
        <w:shd w:val="clear" w:color="auto" w:fill="FFFFFF"/>
        <w:spacing w:after="0" w:line="240" w:lineRule="auto"/>
        <w:ind w:left="720" w:hanging="720"/>
        <w:jc w:val="both"/>
        <w:rPr>
          <w:rFonts w:ascii="Arial" w:hAnsi="Arial" w:cs="Arial"/>
        </w:rPr>
      </w:pPr>
    </w:p>
    <w:p w14:paraId="75AEF2AA" w14:textId="53A055DF" w:rsidR="00AC2AA1" w:rsidRDefault="00AC2AA1">
      <w:pPr>
        <w:shd w:val="clear" w:color="auto" w:fill="FFFFFF"/>
        <w:spacing w:after="0" w:line="240" w:lineRule="auto"/>
        <w:ind w:left="720" w:hanging="720"/>
        <w:jc w:val="both"/>
        <w:rPr>
          <w:rFonts w:ascii="Arial" w:hAnsi="Arial" w:cs="Arial"/>
        </w:rPr>
      </w:pPr>
    </w:p>
    <w:p w14:paraId="490B3E6D" w14:textId="4F66C373" w:rsidR="00AC2AA1" w:rsidRDefault="00AC2AA1">
      <w:pPr>
        <w:shd w:val="clear" w:color="auto" w:fill="FFFFFF"/>
        <w:spacing w:after="0" w:line="240" w:lineRule="auto"/>
        <w:ind w:left="720" w:hanging="720"/>
        <w:jc w:val="both"/>
        <w:rPr>
          <w:rFonts w:ascii="Arial" w:hAnsi="Arial" w:cs="Arial"/>
        </w:rPr>
      </w:pPr>
    </w:p>
    <w:p w14:paraId="3464E32D" w14:textId="1D6C0B5E" w:rsidR="00AC2AA1" w:rsidRDefault="00AC2AA1">
      <w:pPr>
        <w:shd w:val="clear" w:color="auto" w:fill="FFFFFF"/>
        <w:spacing w:after="0" w:line="240" w:lineRule="auto"/>
        <w:ind w:left="720" w:hanging="720"/>
        <w:jc w:val="both"/>
        <w:rPr>
          <w:rFonts w:ascii="Arial" w:hAnsi="Arial" w:cs="Arial"/>
        </w:rPr>
      </w:pPr>
    </w:p>
    <w:p w14:paraId="54FCDCB4" w14:textId="03ABD124" w:rsidR="00AC2AA1" w:rsidRDefault="00AC2AA1">
      <w:pPr>
        <w:shd w:val="clear" w:color="auto" w:fill="FFFFFF"/>
        <w:spacing w:after="0" w:line="240" w:lineRule="auto"/>
        <w:ind w:left="720" w:hanging="720"/>
        <w:jc w:val="both"/>
        <w:rPr>
          <w:rFonts w:ascii="Arial" w:hAnsi="Arial" w:cs="Arial"/>
        </w:rPr>
      </w:pPr>
    </w:p>
    <w:p w14:paraId="71830D32" w14:textId="4B9E1D11" w:rsidR="00AC2AA1" w:rsidRDefault="00AC2AA1">
      <w:pPr>
        <w:shd w:val="clear" w:color="auto" w:fill="FFFFFF"/>
        <w:spacing w:after="0" w:line="240" w:lineRule="auto"/>
        <w:ind w:left="720" w:hanging="720"/>
        <w:jc w:val="both"/>
        <w:rPr>
          <w:rFonts w:ascii="Arial" w:hAnsi="Arial" w:cs="Arial"/>
        </w:rPr>
      </w:pPr>
    </w:p>
    <w:p w14:paraId="0BCDF038" w14:textId="76853C0E" w:rsidR="00AC2AA1" w:rsidRDefault="00AC2AA1">
      <w:pPr>
        <w:shd w:val="clear" w:color="auto" w:fill="FFFFFF"/>
        <w:spacing w:after="0" w:line="240" w:lineRule="auto"/>
        <w:ind w:left="720" w:hanging="720"/>
        <w:jc w:val="both"/>
        <w:rPr>
          <w:rFonts w:ascii="Arial" w:hAnsi="Arial" w:cs="Arial"/>
        </w:rPr>
      </w:pPr>
    </w:p>
    <w:p w14:paraId="705DC943" w14:textId="58FF09FF" w:rsidR="00AC2AA1" w:rsidRDefault="00AC2AA1">
      <w:pPr>
        <w:shd w:val="clear" w:color="auto" w:fill="FFFFFF"/>
        <w:spacing w:after="0" w:line="240" w:lineRule="auto"/>
        <w:ind w:left="720" w:hanging="720"/>
        <w:jc w:val="both"/>
        <w:rPr>
          <w:rFonts w:ascii="Arial" w:hAnsi="Arial" w:cs="Arial"/>
        </w:rPr>
      </w:pPr>
    </w:p>
    <w:p w14:paraId="4B2F62D0" w14:textId="73EEA3F8" w:rsidR="00AC2AA1" w:rsidRDefault="00AC2AA1">
      <w:pPr>
        <w:shd w:val="clear" w:color="auto" w:fill="FFFFFF"/>
        <w:spacing w:after="0" w:line="240" w:lineRule="auto"/>
        <w:ind w:left="720" w:hanging="720"/>
        <w:jc w:val="both"/>
        <w:rPr>
          <w:rFonts w:ascii="Arial" w:hAnsi="Arial" w:cs="Arial"/>
        </w:rPr>
      </w:pPr>
    </w:p>
    <w:p w14:paraId="25155C34" w14:textId="3F7EFB27" w:rsidR="00AC2AA1" w:rsidRDefault="00AC2AA1">
      <w:pPr>
        <w:shd w:val="clear" w:color="auto" w:fill="FFFFFF"/>
        <w:spacing w:after="0" w:line="240" w:lineRule="auto"/>
        <w:ind w:left="720" w:hanging="720"/>
        <w:jc w:val="both"/>
        <w:rPr>
          <w:rFonts w:ascii="Arial" w:hAnsi="Arial" w:cs="Arial"/>
        </w:rPr>
      </w:pPr>
    </w:p>
    <w:p w14:paraId="0575CCDB" w14:textId="13409E31" w:rsidR="00AC2AA1" w:rsidRDefault="00AC2AA1">
      <w:pPr>
        <w:shd w:val="clear" w:color="auto" w:fill="FFFFFF"/>
        <w:spacing w:after="0" w:line="240" w:lineRule="auto"/>
        <w:ind w:left="720" w:hanging="720"/>
        <w:jc w:val="both"/>
        <w:rPr>
          <w:rFonts w:ascii="Arial" w:hAnsi="Arial" w:cs="Arial"/>
        </w:rPr>
      </w:pPr>
    </w:p>
    <w:p w14:paraId="57BC4F19" w14:textId="77777777" w:rsidR="00AC2AA1" w:rsidRDefault="00AC2AA1" w:rsidP="00AC2AA1">
      <w:pPr>
        <w:jc w:val="both"/>
        <w:rPr>
          <w:rFonts w:ascii="Arial" w:hAnsi="Arial" w:cs="Arial"/>
          <w:b/>
        </w:rPr>
      </w:pPr>
      <w:r>
        <w:rPr>
          <w:rFonts w:ascii="Arial" w:hAnsi="Arial" w:cs="Arial"/>
          <w:b/>
        </w:rPr>
        <w:lastRenderedPageBreak/>
        <w:t>Table 1. Questions on social support in the Household Health Survey</w:t>
      </w:r>
    </w:p>
    <w:tbl>
      <w:tblPr>
        <w:tblStyle w:val="TableGrid"/>
        <w:tblW w:w="83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3"/>
        <w:gridCol w:w="5108"/>
        <w:gridCol w:w="1843"/>
      </w:tblGrid>
      <w:tr w:rsidR="00AC2AA1" w14:paraId="4597BF3F" w14:textId="77777777" w:rsidTr="00332BFC">
        <w:tc>
          <w:tcPr>
            <w:tcW w:w="1413" w:type="dxa"/>
            <w:shd w:val="clear" w:color="auto" w:fill="D9D9D9" w:themeFill="background1" w:themeFillShade="D9"/>
          </w:tcPr>
          <w:p w14:paraId="6E3360AC" w14:textId="77777777" w:rsidR="00AC2AA1" w:rsidRPr="00B23188" w:rsidRDefault="00AC2AA1" w:rsidP="00332BFC">
            <w:pPr>
              <w:jc w:val="both"/>
              <w:rPr>
                <w:rFonts w:ascii="Arial" w:hAnsi="Arial" w:cs="Arial"/>
                <w:b/>
              </w:rPr>
            </w:pPr>
            <w:r>
              <w:rPr>
                <w:rFonts w:ascii="Arial" w:hAnsi="Arial" w:cs="Arial"/>
                <w:b/>
              </w:rPr>
              <w:t>Question number</w:t>
            </w:r>
          </w:p>
        </w:tc>
        <w:tc>
          <w:tcPr>
            <w:tcW w:w="5108" w:type="dxa"/>
          </w:tcPr>
          <w:p w14:paraId="4410AA95" w14:textId="77777777" w:rsidR="00AC2AA1" w:rsidRPr="00BA534B" w:rsidRDefault="00AC2AA1" w:rsidP="00332BFC">
            <w:pPr>
              <w:jc w:val="both"/>
              <w:rPr>
                <w:rFonts w:ascii="Arial" w:hAnsi="Arial" w:cs="Arial"/>
                <w:b/>
              </w:rPr>
            </w:pPr>
            <w:r w:rsidRPr="00BA534B">
              <w:rPr>
                <w:rFonts w:ascii="Arial" w:hAnsi="Arial" w:cs="Arial"/>
                <w:b/>
              </w:rPr>
              <w:t>Question</w:t>
            </w:r>
          </w:p>
        </w:tc>
        <w:tc>
          <w:tcPr>
            <w:tcW w:w="1843" w:type="dxa"/>
          </w:tcPr>
          <w:p w14:paraId="4E6CF8F5" w14:textId="77777777" w:rsidR="00AC2AA1" w:rsidRPr="00BA534B" w:rsidRDefault="00AC2AA1" w:rsidP="00332BFC">
            <w:pPr>
              <w:jc w:val="both"/>
              <w:rPr>
                <w:rFonts w:ascii="Arial" w:hAnsi="Arial" w:cs="Arial"/>
                <w:b/>
              </w:rPr>
            </w:pPr>
            <w:r w:rsidRPr="00BA534B">
              <w:rPr>
                <w:rFonts w:ascii="Arial" w:hAnsi="Arial" w:cs="Arial"/>
                <w:b/>
              </w:rPr>
              <w:t>Possible answers</w:t>
            </w:r>
          </w:p>
        </w:tc>
      </w:tr>
      <w:tr w:rsidR="00AC2AA1" w14:paraId="7AEF9A71" w14:textId="77777777" w:rsidTr="00332BFC">
        <w:tc>
          <w:tcPr>
            <w:tcW w:w="1413" w:type="dxa"/>
            <w:shd w:val="clear" w:color="auto" w:fill="D9D9D9" w:themeFill="background1" w:themeFillShade="D9"/>
          </w:tcPr>
          <w:p w14:paraId="6990B178" w14:textId="77777777" w:rsidR="00AC2AA1" w:rsidRPr="00B23188" w:rsidRDefault="00AC2AA1" w:rsidP="00332BFC">
            <w:pPr>
              <w:jc w:val="both"/>
              <w:rPr>
                <w:rFonts w:ascii="Arial" w:hAnsi="Arial" w:cs="Arial"/>
                <w:b/>
              </w:rPr>
            </w:pPr>
            <w:r w:rsidRPr="00B23188">
              <w:rPr>
                <w:rFonts w:ascii="Arial" w:hAnsi="Arial" w:cs="Arial"/>
                <w:b/>
              </w:rPr>
              <w:t>Question 1</w:t>
            </w:r>
          </w:p>
        </w:tc>
        <w:tc>
          <w:tcPr>
            <w:tcW w:w="5108" w:type="dxa"/>
          </w:tcPr>
          <w:p w14:paraId="6EF543C6" w14:textId="77777777" w:rsidR="00AC2AA1" w:rsidRPr="00B23188" w:rsidRDefault="00AC2AA1" w:rsidP="00332BFC">
            <w:pPr>
              <w:jc w:val="both"/>
              <w:rPr>
                <w:rFonts w:ascii="Arial" w:hAnsi="Arial" w:cs="Arial"/>
                <w:sz w:val="20"/>
              </w:rPr>
            </w:pPr>
            <w:r w:rsidRPr="00B23188">
              <w:rPr>
                <w:rFonts w:ascii="Arial" w:hAnsi="Arial" w:cs="Arial"/>
              </w:rPr>
              <w:t>“How often do you meet up with family members or friends?”</w:t>
            </w:r>
          </w:p>
        </w:tc>
        <w:tc>
          <w:tcPr>
            <w:tcW w:w="1843" w:type="dxa"/>
          </w:tcPr>
          <w:p w14:paraId="5235F472" w14:textId="77777777" w:rsidR="00AC2AA1" w:rsidRPr="00B23188" w:rsidRDefault="00AC2AA1" w:rsidP="00332BFC">
            <w:pPr>
              <w:jc w:val="both"/>
              <w:rPr>
                <w:rFonts w:ascii="Arial" w:hAnsi="Arial" w:cs="Arial"/>
              </w:rPr>
            </w:pPr>
            <w:r>
              <w:rPr>
                <w:rFonts w:ascii="Arial" w:hAnsi="Arial" w:cs="Arial"/>
              </w:rPr>
              <w:t>Likert scale from 1-9, ranging from ‘more than once a day’ to ‘never’</w:t>
            </w:r>
          </w:p>
        </w:tc>
      </w:tr>
      <w:tr w:rsidR="00AC2AA1" w14:paraId="5BA844F8" w14:textId="77777777" w:rsidTr="00332BFC">
        <w:tc>
          <w:tcPr>
            <w:tcW w:w="1413" w:type="dxa"/>
            <w:shd w:val="clear" w:color="auto" w:fill="D9D9D9" w:themeFill="background1" w:themeFillShade="D9"/>
          </w:tcPr>
          <w:p w14:paraId="5504E9DE" w14:textId="77777777" w:rsidR="00AC2AA1" w:rsidRPr="00B23188" w:rsidRDefault="00AC2AA1" w:rsidP="00332BFC">
            <w:pPr>
              <w:jc w:val="both"/>
              <w:rPr>
                <w:rFonts w:ascii="Arial" w:hAnsi="Arial" w:cs="Arial"/>
                <w:b/>
              </w:rPr>
            </w:pPr>
            <w:r w:rsidRPr="00B23188">
              <w:rPr>
                <w:rFonts w:ascii="Arial" w:hAnsi="Arial" w:cs="Arial"/>
                <w:b/>
              </w:rPr>
              <w:t>Question 2</w:t>
            </w:r>
          </w:p>
        </w:tc>
        <w:tc>
          <w:tcPr>
            <w:tcW w:w="5108" w:type="dxa"/>
          </w:tcPr>
          <w:p w14:paraId="388CDD90" w14:textId="77777777" w:rsidR="00AC2AA1" w:rsidRPr="00B23188" w:rsidRDefault="00AC2AA1" w:rsidP="00332BFC">
            <w:pPr>
              <w:jc w:val="both"/>
              <w:rPr>
                <w:rFonts w:ascii="Arial" w:hAnsi="Arial" w:cs="Arial"/>
                <w:sz w:val="20"/>
              </w:rPr>
            </w:pPr>
            <w:r w:rsidRPr="00B23188">
              <w:rPr>
                <w:rFonts w:ascii="Arial" w:hAnsi="Arial" w:cs="Arial"/>
              </w:rPr>
              <w:t>“If I need help, there are people who would be there for me.”</w:t>
            </w:r>
          </w:p>
        </w:tc>
        <w:tc>
          <w:tcPr>
            <w:tcW w:w="1843" w:type="dxa"/>
          </w:tcPr>
          <w:p w14:paraId="0F1CB714" w14:textId="77777777" w:rsidR="00AC2AA1" w:rsidRPr="00B23188" w:rsidRDefault="00AC2AA1" w:rsidP="00332BFC">
            <w:pPr>
              <w:jc w:val="both"/>
              <w:rPr>
                <w:rFonts w:ascii="Arial" w:hAnsi="Arial" w:cs="Arial"/>
              </w:rPr>
            </w:pPr>
            <w:r>
              <w:rPr>
                <w:rFonts w:ascii="Arial" w:hAnsi="Arial" w:cs="Arial"/>
              </w:rPr>
              <w:t>Likert scale from 1-5, ranging from ‘definitely agree’ to ‘Don’t know’</w:t>
            </w:r>
          </w:p>
        </w:tc>
      </w:tr>
      <w:tr w:rsidR="00AC2AA1" w14:paraId="0C8DE535" w14:textId="77777777" w:rsidTr="00332BFC">
        <w:tc>
          <w:tcPr>
            <w:tcW w:w="1413" w:type="dxa"/>
            <w:shd w:val="clear" w:color="auto" w:fill="D9D9D9" w:themeFill="background1" w:themeFillShade="D9"/>
          </w:tcPr>
          <w:p w14:paraId="616ABB9A" w14:textId="77777777" w:rsidR="00AC2AA1" w:rsidRPr="00B23188" w:rsidRDefault="00AC2AA1" w:rsidP="00332BFC">
            <w:pPr>
              <w:jc w:val="both"/>
              <w:rPr>
                <w:rFonts w:ascii="Arial" w:hAnsi="Arial" w:cs="Arial"/>
                <w:b/>
              </w:rPr>
            </w:pPr>
            <w:r w:rsidRPr="00B23188">
              <w:rPr>
                <w:rFonts w:ascii="Arial" w:hAnsi="Arial" w:cs="Arial"/>
                <w:b/>
              </w:rPr>
              <w:t>Question 3</w:t>
            </w:r>
          </w:p>
        </w:tc>
        <w:tc>
          <w:tcPr>
            <w:tcW w:w="5108" w:type="dxa"/>
          </w:tcPr>
          <w:p w14:paraId="56ABF728" w14:textId="77777777" w:rsidR="00AC2AA1" w:rsidRPr="00B23188" w:rsidRDefault="00AC2AA1" w:rsidP="00332BFC">
            <w:pPr>
              <w:jc w:val="both"/>
              <w:rPr>
                <w:rFonts w:ascii="Arial" w:hAnsi="Arial" w:cs="Arial"/>
                <w:sz w:val="20"/>
              </w:rPr>
            </w:pPr>
            <w:r w:rsidRPr="00B23188">
              <w:rPr>
                <w:rFonts w:ascii="Arial" w:hAnsi="Arial" w:cs="Arial"/>
              </w:rPr>
              <w:t>“If I wanted company or to socialise, there are people I can call on.”</w:t>
            </w:r>
          </w:p>
        </w:tc>
        <w:tc>
          <w:tcPr>
            <w:tcW w:w="1843" w:type="dxa"/>
          </w:tcPr>
          <w:p w14:paraId="1E35AF2C" w14:textId="77777777" w:rsidR="00AC2AA1" w:rsidRPr="00B23188" w:rsidRDefault="00AC2AA1" w:rsidP="00332BFC">
            <w:pPr>
              <w:jc w:val="both"/>
              <w:rPr>
                <w:rFonts w:ascii="Arial" w:hAnsi="Arial" w:cs="Arial"/>
              </w:rPr>
            </w:pPr>
            <w:r>
              <w:rPr>
                <w:rFonts w:ascii="Arial" w:hAnsi="Arial" w:cs="Arial"/>
              </w:rPr>
              <w:t>Likert scale from 1-5, ranging from ‘definitely agree’ to ‘Don’t know’</w:t>
            </w:r>
          </w:p>
        </w:tc>
      </w:tr>
      <w:tr w:rsidR="00AC2AA1" w14:paraId="62F41E64" w14:textId="77777777" w:rsidTr="00332BFC">
        <w:tc>
          <w:tcPr>
            <w:tcW w:w="1413" w:type="dxa"/>
            <w:shd w:val="clear" w:color="auto" w:fill="D9D9D9" w:themeFill="background1" w:themeFillShade="D9"/>
          </w:tcPr>
          <w:p w14:paraId="3A9EDAE6" w14:textId="77777777" w:rsidR="00AC2AA1" w:rsidRPr="00B23188" w:rsidRDefault="00AC2AA1" w:rsidP="00332BFC">
            <w:pPr>
              <w:jc w:val="both"/>
              <w:rPr>
                <w:rFonts w:ascii="Arial" w:hAnsi="Arial" w:cs="Arial"/>
                <w:b/>
              </w:rPr>
            </w:pPr>
            <w:r w:rsidRPr="00B23188">
              <w:rPr>
                <w:rFonts w:ascii="Arial" w:hAnsi="Arial" w:cs="Arial"/>
                <w:b/>
              </w:rPr>
              <w:t>Question 4</w:t>
            </w:r>
          </w:p>
        </w:tc>
        <w:tc>
          <w:tcPr>
            <w:tcW w:w="5108" w:type="dxa"/>
          </w:tcPr>
          <w:p w14:paraId="7B408FAE" w14:textId="77777777" w:rsidR="00AC2AA1" w:rsidRPr="00B23188" w:rsidRDefault="00AC2AA1" w:rsidP="00332BFC">
            <w:pPr>
              <w:jc w:val="both"/>
              <w:rPr>
                <w:rFonts w:ascii="Arial" w:hAnsi="Arial" w:cs="Arial"/>
                <w:sz w:val="20"/>
              </w:rPr>
            </w:pPr>
            <w:r w:rsidRPr="00B23188">
              <w:rPr>
                <w:rFonts w:ascii="Arial" w:hAnsi="Arial" w:cs="Arial"/>
              </w:rPr>
              <w:t>Neighbourhood belonging</w:t>
            </w:r>
          </w:p>
        </w:tc>
        <w:tc>
          <w:tcPr>
            <w:tcW w:w="1843" w:type="dxa"/>
          </w:tcPr>
          <w:p w14:paraId="76D4F627" w14:textId="77777777" w:rsidR="00AC2AA1" w:rsidRPr="00B23188" w:rsidRDefault="00AC2AA1" w:rsidP="00332BFC">
            <w:pPr>
              <w:jc w:val="both"/>
              <w:rPr>
                <w:rFonts w:ascii="Arial" w:hAnsi="Arial" w:cs="Arial"/>
              </w:rPr>
            </w:pPr>
            <w:r>
              <w:rPr>
                <w:rFonts w:ascii="Arial" w:hAnsi="Arial" w:cs="Arial"/>
              </w:rPr>
              <w:t>Likert scale from 1-5, ranging from ‘Very strongly’ to ‘Don’t know’</w:t>
            </w:r>
          </w:p>
        </w:tc>
      </w:tr>
      <w:tr w:rsidR="00AC2AA1" w14:paraId="49340561" w14:textId="77777777" w:rsidTr="00332BFC">
        <w:tc>
          <w:tcPr>
            <w:tcW w:w="1413" w:type="dxa"/>
            <w:shd w:val="clear" w:color="auto" w:fill="D9D9D9" w:themeFill="background1" w:themeFillShade="D9"/>
          </w:tcPr>
          <w:p w14:paraId="4A3ED5A4" w14:textId="77777777" w:rsidR="00AC2AA1" w:rsidRPr="00B23188" w:rsidRDefault="00AC2AA1" w:rsidP="00332BFC">
            <w:pPr>
              <w:jc w:val="both"/>
              <w:rPr>
                <w:rFonts w:ascii="Arial" w:hAnsi="Arial" w:cs="Arial"/>
                <w:b/>
              </w:rPr>
            </w:pPr>
            <w:r w:rsidRPr="00B23188">
              <w:rPr>
                <w:rFonts w:ascii="Arial" w:hAnsi="Arial" w:cs="Arial"/>
                <w:b/>
              </w:rPr>
              <w:t>Question 5</w:t>
            </w:r>
          </w:p>
        </w:tc>
        <w:tc>
          <w:tcPr>
            <w:tcW w:w="5108" w:type="dxa"/>
          </w:tcPr>
          <w:p w14:paraId="6796E352" w14:textId="77777777" w:rsidR="00AC2AA1" w:rsidRPr="00B23188" w:rsidRDefault="00AC2AA1" w:rsidP="00332BFC">
            <w:pPr>
              <w:jc w:val="both"/>
              <w:rPr>
                <w:rFonts w:ascii="Arial" w:hAnsi="Arial" w:cs="Arial"/>
                <w:sz w:val="20"/>
              </w:rPr>
            </w:pPr>
            <w:r w:rsidRPr="00B23188">
              <w:rPr>
                <w:rFonts w:ascii="Arial" w:hAnsi="Arial" w:cs="Arial"/>
              </w:rPr>
              <w:t>“How comfortable would you be asking a neighbour to keep a set of keys to your home for emergencies, for example if you were locked out?”</w:t>
            </w:r>
          </w:p>
        </w:tc>
        <w:tc>
          <w:tcPr>
            <w:tcW w:w="1843" w:type="dxa"/>
          </w:tcPr>
          <w:p w14:paraId="229BAC77" w14:textId="77777777" w:rsidR="00AC2AA1" w:rsidRPr="00B23188" w:rsidRDefault="00AC2AA1" w:rsidP="00332BFC">
            <w:pPr>
              <w:jc w:val="both"/>
              <w:rPr>
                <w:rFonts w:ascii="Arial" w:hAnsi="Arial" w:cs="Arial"/>
              </w:rPr>
            </w:pPr>
            <w:r>
              <w:rPr>
                <w:rFonts w:ascii="Arial" w:hAnsi="Arial" w:cs="Arial"/>
              </w:rPr>
              <w:t>Likert scale from 1-4, ranging from ‘Very comfortable’ to ‘Very uncomfortable’</w:t>
            </w:r>
          </w:p>
        </w:tc>
      </w:tr>
      <w:tr w:rsidR="00AC2AA1" w14:paraId="767E4B87" w14:textId="77777777" w:rsidTr="00332BFC">
        <w:tc>
          <w:tcPr>
            <w:tcW w:w="1413" w:type="dxa"/>
            <w:shd w:val="clear" w:color="auto" w:fill="D9D9D9" w:themeFill="background1" w:themeFillShade="D9"/>
          </w:tcPr>
          <w:p w14:paraId="6BBF4442" w14:textId="77777777" w:rsidR="00AC2AA1" w:rsidRPr="00B23188" w:rsidRDefault="00AC2AA1" w:rsidP="00332BFC">
            <w:pPr>
              <w:jc w:val="both"/>
              <w:rPr>
                <w:rFonts w:ascii="Arial" w:hAnsi="Arial" w:cs="Arial"/>
                <w:b/>
              </w:rPr>
            </w:pPr>
            <w:r w:rsidRPr="00B23188">
              <w:rPr>
                <w:rFonts w:ascii="Arial" w:hAnsi="Arial" w:cs="Arial"/>
                <w:b/>
              </w:rPr>
              <w:t>Question 6</w:t>
            </w:r>
          </w:p>
        </w:tc>
        <w:tc>
          <w:tcPr>
            <w:tcW w:w="5108" w:type="dxa"/>
          </w:tcPr>
          <w:p w14:paraId="23AA9901" w14:textId="77777777" w:rsidR="00AC2AA1" w:rsidRPr="00B23188" w:rsidRDefault="00AC2AA1" w:rsidP="00332BFC">
            <w:pPr>
              <w:jc w:val="both"/>
              <w:rPr>
                <w:rFonts w:ascii="Arial" w:hAnsi="Arial" w:cs="Arial"/>
                <w:sz w:val="20"/>
              </w:rPr>
            </w:pPr>
            <w:r w:rsidRPr="00B23188">
              <w:rPr>
                <w:rFonts w:ascii="Arial" w:hAnsi="Arial" w:cs="Arial"/>
              </w:rPr>
              <w:t>“How comfortable would you be if you were ill and at home on your own and needed someone to collect a few shopping essentials, asking a neighbour to do this for you?”</w:t>
            </w:r>
          </w:p>
        </w:tc>
        <w:tc>
          <w:tcPr>
            <w:tcW w:w="1843" w:type="dxa"/>
          </w:tcPr>
          <w:p w14:paraId="62BC8D1C" w14:textId="77777777" w:rsidR="00AC2AA1" w:rsidRPr="00B23188" w:rsidRDefault="00AC2AA1" w:rsidP="00332BFC">
            <w:pPr>
              <w:jc w:val="both"/>
              <w:rPr>
                <w:rFonts w:ascii="Arial" w:hAnsi="Arial" w:cs="Arial"/>
              </w:rPr>
            </w:pPr>
            <w:r>
              <w:rPr>
                <w:rFonts w:ascii="Arial" w:hAnsi="Arial" w:cs="Arial"/>
              </w:rPr>
              <w:t>Likert scale from 1-4, ranging from ‘Very comfortable’ to ‘Very uncomfortable’</w:t>
            </w:r>
          </w:p>
        </w:tc>
      </w:tr>
      <w:tr w:rsidR="00AC2AA1" w14:paraId="43FE7624" w14:textId="77777777" w:rsidTr="00332BFC">
        <w:tc>
          <w:tcPr>
            <w:tcW w:w="1413" w:type="dxa"/>
            <w:shd w:val="clear" w:color="auto" w:fill="D9D9D9" w:themeFill="background1" w:themeFillShade="D9"/>
          </w:tcPr>
          <w:p w14:paraId="66246A82" w14:textId="77777777" w:rsidR="00AC2AA1" w:rsidRPr="00B23188" w:rsidRDefault="00AC2AA1" w:rsidP="00332BFC">
            <w:pPr>
              <w:jc w:val="both"/>
              <w:rPr>
                <w:rFonts w:ascii="Arial" w:hAnsi="Arial" w:cs="Arial"/>
                <w:b/>
              </w:rPr>
            </w:pPr>
            <w:r w:rsidRPr="00B23188">
              <w:rPr>
                <w:rFonts w:ascii="Arial" w:hAnsi="Arial" w:cs="Arial"/>
                <w:b/>
              </w:rPr>
              <w:t>Question 7</w:t>
            </w:r>
          </w:p>
        </w:tc>
        <w:tc>
          <w:tcPr>
            <w:tcW w:w="5108" w:type="dxa"/>
          </w:tcPr>
          <w:p w14:paraId="1E16EFCB" w14:textId="77777777" w:rsidR="00AC2AA1" w:rsidRPr="00B23188" w:rsidRDefault="00AC2AA1" w:rsidP="00332BFC">
            <w:pPr>
              <w:jc w:val="both"/>
              <w:rPr>
                <w:rFonts w:ascii="Arial" w:hAnsi="Arial" w:cs="Arial"/>
                <w:sz w:val="20"/>
              </w:rPr>
            </w:pPr>
            <w:r w:rsidRPr="00B23188">
              <w:rPr>
                <w:rFonts w:ascii="Arial" w:hAnsi="Arial" w:cs="Arial"/>
              </w:rPr>
              <w:t>“Suppose you lost your wallet containing your address details, and it was found in the street by someone living in the neighbourhood. How likely is it that it would be returned to you with nothing missing?”</w:t>
            </w:r>
          </w:p>
        </w:tc>
        <w:tc>
          <w:tcPr>
            <w:tcW w:w="1843" w:type="dxa"/>
          </w:tcPr>
          <w:p w14:paraId="70FA0E2B" w14:textId="77777777" w:rsidR="00AC2AA1" w:rsidRPr="00B23188" w:rsidRDefault="00AC2AA1" w:rsidP="00332BFC">
            <w:pPr>
              <w:jc w:val="both"/>
              <w:rPr>
                <w:rFonts w:ascii="Arial" w:hAnsi="Arial" w:cs="Arial"/>
              </w:rPr>
            </w:pPr>
            <w:r>
              <w:rPr>
                <w:rFonts w:ascii="Arial" w:hAnsi="Arial" w:cs="Arial"/>
              </w:rPr>
              <w:t>Likert scale from 1-5, ranging from ‘Very likely’ to ‘Don’t know’</w:t>
            </w:r>
          </w:p>
        </w:tc>
      </w:tr>
      <w:tr w:rsidR="00AC2AA1" w14:paraId="1EACDC28" w14:textId="77777777" w:rsidTr="00332BFC">
        <w:tc>
          <w:tcPr>
            <w:tcW w:w="1413" w:type="dxa"/>
            <w:shd w:val="clear" w:color="auto" w:fill="D9D9D9" w:themeFill="background1" w:themeFillShade="D9"/>
          </w:tcPr>
          <w:p w14:paraId="140719EC" w14:textId="77777777" w:rsidR="00AC2AA1" w:rsidRPr="00B23188" w:rsidRDefault="00AC2AA1" w:rsidP="00332BFC">
            <w:pPr>
              <w:jc w:val="both"/>
              <w:rPr>
                <w:rFonts w:ascii="Arial" w:hAnsi="Arial" w:cs="Arial"/>
                <w:b/>
              </w:rPr>
            </w:pPr>
            <w:r w:rsidRPr="00B23188">
              <w:rPr>
                <w:rFonts w:ascii="Arial" w:hAnsi="Arial" w:cs="Arial"/>
                <w:b/>
              </w:rPr>
              <w:t>Question 8</w:t>
            </w:r>
          </w:p>
        </w:tc>
        <w:tc>
          <w:tcPr>
            <w:tcW w:w="5108" w:type="dxa"/>
          </w:tcPr>
          <w:p w14:paraId="6F7A3A37" w14:textId="77777777" w:rsidR="00AC2AA1" w:rsidRPr="00B23188" w:rsidRDefault="00AC2AA1" w:rsidP="00332BFC">
            <w:pPr>
              <w:jc w:val="both"/>
              <w:rPr>
                <w:rFonts w:ascii="Arial" w:hAnsi="Arial" w:cs="Arial"/>
                <w:sz w:val="20"/>
              </w:rPr>
            </w:pPr>
            <w:r w:rsidRPr="00B23188">
              <w:rPr>
                <w:rFonts w:ascii="Arial" w:hAnsi="Arial" w:cs="Arial"/>
              </w:rPr>
              <w:t>Engagement in clubs/organisations in the past 12 months.</w:t>
            </w:r>
          </w:p>
        </w:tc>
        <w:tc>
          <w:tcPr>
            <w:tcW w:w="1843" w:type="dxa"/>
          </w:tcPr>
          <w:p w14:paraId="3F1834C2" w14:textId="77777777" w:rsidR="00AC2AA1" w:rsidRPr="00B23188" w:rsidRDefault="00AC2AA1" w:rsidP="00332BFC">
            <w:pPr>
              <w:jc w:val="both"/>
              <w:rPr>
                <w:rFonts w:ascii="Arial" w:hAnsi="Arial" w:cs="Arial"/>
              </w:rPr>
            </w:pPr>
            <w:r>
              <w:rPr>
                <w:rFonts w:ascii="Arial" w:hAnsi="Arial" w:cs="Arial"/>
              </w:rPr>
              <w:t>Engagement in 17 different types of social activities, including education for adults, The elderly, safety and first aid, local community and neighbourhood groups, and hobbies</w:t>
            </w:r>
          </w:p>
        </w:tc>
      </w:tr>
    </w:tbl>
    <w:p w14:paraId="18E0CD28" w14:textId="77777777" w:rsidR="00AC2AA1" w:rsidRDefault="00AC2AA1" w:rsidP="00AC2AA1">
      <w:pPr>
        <w:jc w:val="both"/>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8480" behindDoc="0" locked="0" layoutInCell="1" allowOverlap="1" wp14:anchorId="252321DD" wp14:editId="4FD6E577">
                <wp:simplePos x="0" y="0"/>
                <wp:positionH relativeFrom="column">
                  <wp:posOffset>4714875</wp:posOffset>
                </wp:positionH>
                <wp:positionV relativeFrom="paragraph">
                  <wp:posOffset>208915</wp:posOffset>
                </wp:positionV>
                <wp:extent cx="1114425" cy="8382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114425" cy="838200"/>
                        </a:xfrm>
                        <a:prstGeom prst="round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5B24CB" w14:textId="77777777" w:rsidR="00AC2AA1" w:rsidRPr="00747EED" w:rsidRDefault="00AC2AA1" w:rsidP="00AC2AA1">
                            <w:pPr>
                              <w:jc w:val="center"/>
                              <w:rPr>
                                <w:rFonts w:ascii="Arial" w:hAnsi="Arial" w:cs="Arial"/>
                                <w:sz w:val="20"/>
                              </w:rPr>
                            </w:pPr>
                            <w:r>
                              <w:rPr>
                                <w:rFonts w:ascii="Arial" w:hAnsi="Arial" w:cs="Arial"/>
                                <w:sz w:val="20"/>
                              </w:rPr>
                              <w:t>1,685</w:t>
                            </w:r>
                            <w:r w:rsidRPr="00747EED">
                              <w:rPr>
                                <w:rFonts w:ascii="Arial" w:hAnsi="Arial" w:cs="Arial"/>
                                <w:sz w:val="20"/>
                              </w:rPr>
                              <w:t xml:space="preserve"> cases</w:t>
                            </w:r>
                            <w:r>
                              <w:rPr>
                                <w:rFonts w:ascii="Arial" w:hAnsi="Arial" w:cs="Arial"/>
                                <w:sz w:val="20"/>
                              </w:rPr>
                              <w:t xml:space="preserv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321DD" id="Rounded Rectangle 16" o:spid="_x0000_s1026" style="position:absolute;left:0;text-align:left;margin-left:371.25pt;margin-top:16.45pt;width:87.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" fillcolor="#aeaaaa [2414]" strokecolor="black [3213]" strokeweight="1pt">
                <v:stroke joinstyle="miter"/>
                <v:textbox>
                  <w:txbxContent>
                    <w:p w14:paraId="555B24CB" w14:textId="77777777" w:rsidR="00AC2AA1" w:rsidRPr="00747EED" w:rsidRDefault="00AC2AA1" w:rsidP="00AC2AA1">
                      <w:pPr>
                        <w:jc w:val="center"/>
                        <w:rPr>
                          <w:rFonts w:ascii="Arial" w:hAnsi="Arial" w:cs="Arial"/>
                          <w:sz w:val="20"/>
                        </w:rPr>
                      </w:pPr>
                      <w:r>
                        <w:rPr>
                          <w:rFonts w:ascii="Arial" w:hAnsi="Arial" w:cs="Arial"/>
                          <w:sz w:val="20"/>
                        </w:rPr>
                        <w:t>1,685</w:t>
                      </w:r>
                      <w:r w:rsidRPr="00747EED">
                        <w:rPr>
                          <w:rFonts w:ascii="Arial" w:hAnsi="Arial" w:cs="Arial"/>
                          <w:sz w:val="20"/>
                        </w:rPr>
                        <w:t xml:space="preserve"> cases</w:t>
                      </w:r>
                      <w:r>
                        <w:rPr>
                          <w:rFonts w:ascii="Arial" w:hAnsi="Arial" w:cs="Arial"/>
                          <w:sz w:val="20"/>
                        </w:rPr>
                        <w:t xml:space="preserve"> included</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2336" behindDoc="0" locked="0" layoutInCell="1" allowOverlap="1" wp14:anchorId="022DD954" wp14:editId="33F72FDA">
                <wp:simplePos x="0" y="0"/>
                <wp:positionH relativeFrom="column">
                  <wp:posOffset>3171825</wp:posOffset>
                </wp:positionH>
                <wp:positionV relativeFrom="paragraph">
                  <wp:posOffset>193040</wp:posOffset>
                </wp:positionV>
                <wp:extent cx="1114425" cy="838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114425" cy="8382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4209E3" w14:textId="77777777" w:rsidR="00AC2AA1" w:rsidRPr="00747EED" w:rsidRDefault="00AC2AA1" w:rsidP="00AC2AA1">
                            <w:pPr>
                              <w:jc w:val="center"/>
                              <w:rPr>
                                <w:rFonts w:ascii="Arial" w:hAnsi="Arial" w:cs="Arial"/>
                                <w:sz w:val="20"/>
                              </w:rPr>
                            </w:pPr>
                            <w:r>
                              <w:rPr>
                                <w:rFonts w:ascii="Arial" w:hAnsi="Arial" w:cs="Arial"/>
                                <w:sz w:val="20"/>
                              </w:rPr>
                              <w:t>1,771</w:t>
                            </w:r>
                            <w:r w:rsidRPr="00747EED">
                              <w:rPr>
                                <w:rFonts w:ascii="Arial" w:hAnsi="Arial" w:cs="Arial"/>
                                <w:sz w:val="20"/>
                              </w:rPr>
                              <w:t xml:space="preserve"> cases</w:t>
                            </w:r>
                            <w:r>
                              <w:rPr>
                                <w:rFonts w:ascii="Arial" w:hAnsi="Arial" w:cs="Arial"/>
                                <w:sz w:val="20"/>
                              </w:rPr>
                              <w:t xml:space="preserve"> </w:t>
                            </w:r>
                            <w:r w:rsidRPr="00747EED">
                              <w:rPr>
                                <w:rFonts w:ascii="Arial" w:hAnsi="Arial" w:cs="Arial"/>
                                <w:sz w:val="20"/>
                              </w:rPr>
                              <w:t xml:space="preserve">aged </w:t>
                            </w:r>
                            <w:r>
                              <w:rPr>
                                <w:rFonts w:ascii="Arial" w:hAnsi="Arial" w:cs="Arial"/>
                                <w:sz w:val="20"/>
                              </w:rPr>
                              <w:t>65+ only interviewed once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DD954" id="Rounded Rectangle 3" o:spid="_x0000_s1027" style="position:absolute;left:0;text-align:left;margin-left:249.75pt;margin-top:15.2pt;width:87.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" filled="f" strokecolor="black [3213]" strokeweight="1pt">
                <v:stroke joinstyle="miter"/>
                <v:textbox>
                  <w:txbxContent>
                    <w:p w14:paraId="124209E3" w14:textId="77777777" w:rsidR="00AC2AA1" w:rsidRPr="00747EED" w:rsidRDefault="00AC2AA1" w:rsidP="00AC2AA1">
                      <w:pPr>
                        <w:jc w:val="center"/>
                        <w:rPr>
                          <w:rFonts w:ascii="Arial" w:hAnsi="Arial" w:cs="Arial"/>
                          <w:sz w:val="20"/>
                        </w:rPr>
                      </w:pPr>
                      <w:r>
                        <w:rPr>
                          <w:rFonts w:ascii="Arial" w:hAnsi="Arial" w:cs="Arial"/>
                          <w:sz w:val="20"/>
                        </w:rPr>
                        <w:t>1,771</w:t>
                      </w:r>
                      <w:r w:rsidRPr="00747EED">
                        <w:rPr>
                          <w:rFonts w:ascii="Arial" w:hAnsi="Arial" w:cs="Arial"/>
                          <w:sz w:val="20"/>
                        </w:rPr>
                        <w:t xml:space="preserve"> cases</w:t>
                      </w:r>
                      <w:r>
                        <w:rPr>
                          <w:rFonts w:ascii="Arial" w:hAnsi="Arial" w:cs="Arial"/>
                          <w:sz w:val="20"/>
                        </w:rPr>
                        <w:t xml:space="preserve"> </w:t>
                      </w:r>
                      <w:r w:rsidRPr="00747EED">
                        <w:rPr>
                          <w:rFonts w:ascii="Arial" w:hAnsi="Arial" w:cs="Arial"/>
                          <w:sz w:val="20"/>
                        </w:rPr>
                        <w:t xml:space="preserve">aged </w:t>
                      </w:r>
                      <w:r>
                        <w:rPr>
                          <w:rFonts w:ascii="Arial" w:hAnsi="Arial" w:cs="Arial"/>
                          <w:sz w:val="20"/>
                        </w:rPr>
                        <w:t>65+ only interviewed once</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14:anchorId="2CF38ADA" wp14:editId="162290B5">
                <wp:simplePos x="0" y="0"/>
                <wp:positionH relativeFrom="column">
                  <wp:posOffset>1615440</wp:posOffset>
                </wp:positionH>
                <wp:positionV relativeFrom="paragraph">
                  <wp:posOffset>209550</wp:posOffset>
                </wp:positionV>
                <wp:extent cx="1114425" cy="8001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11442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919007" w14:textId="77777777" w:rsidR="00AC2AA1" w:rsidRPr="00747EED" w:rsidRDefault="00AC2AA1" w:rsidP="00AC2AA1">
                            <w:pPr>
                              <w:jc w:val="center"/>
                              <w:rPr>
                                <w:rFonts w:ascii="Arial" w:hAnsi="Arial" w:cs="Arial"/>
                                <w:sz w:val="20"/>
                              </w:rPr>
                            </w:pPr>
                            <w:r w:rsidRPr="00363B16">
                              <w:rPr>
                                <w:rFonts w:ascii="Arial" w:hAnsi="Arial" w:cs="Arial"/>
                                <w:sz w:val="20"/>
                              </w:rPr>
                              <w:t>2,000 cases</w:t>
                            </w:r>
                            <w:r>
                              <w:rPr>
                                <w:rFonts w:ascii="Arial" w:hAnsi="Arial" w:cs="Arial"/>
                                <w:sz w:val="20"/>
                              </w:rPr>
                              <w:t xml:space="preserve"> </w:t>
                            </w:r>
                            <w:r w:rsidRPr="00747EED">
                              <w:rPr>
                                <w:rFonts w:ascii="Arial" w:hAnsi="Arial" w:cs="Arial"/>
                                <w:sz w:val="20"/>
                              </w:rPr>
                              <w:t xml:space="preserve">aged </w:t>
                            </w:r>
                            <w:r>
                              <w:rPr>
                                <w:rFonts w:ascii="Arial" w:hAnsi="Arial" w:cs="Arial"/>
                                <w:sz w:val="20"/>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38ADA" id="Rounded Rectangle 2" o:spid="_x0000_s1028" style="position:absolute;left:0;text-align:left;margin-left:127.2pt;margin-top:16.5pt;width:8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" fillcolor="white [3201]" strokecolor="black [3213]" strokeweight="1pt">
                <v:stroke joinstyle="miter"/>
                <v:textbox>
                  <w:txbxContent>
                    <w:p w14:paraId="3B919007" w14:textId="77777777" w:rsidR="00AC2AA1" w:rsidRPr="00747EED" w:rsidRDefault="00AC2AA1" w:rsidP="00AC2AA1">
                      <w:pPr>
                        <w:jc w:val="center"/>
                        <w:rPr>
                          <w:rFonts w:ascii="Arial" w:hAnsi="Arial" w:cs="Arial"/>
                          <w:sz w:val="20"/>
                        </w:rPr>
                      </w:pPr>
                      <w:r w:rsidRPr="00363B16">
                        <w:rPr>
                          <w:rFonts w:ascii="Arial" w:hAnsi="Arial" w:cs="Arial"/>
                          <w:sz w:val="20"/>
                        </w:rPr>
                        <w:t>2,000 cases</w:t>
                      </w:r>
                      <w:r>
                        <w:rPr>
                          <w:rFonts w:ascii="Arial" w:hAnsi="Arial" w:cs="Arial"/>
                          <w:sz w:val="20"/>
                        </w:rPr>
                        <w:t xml:space="preserve"> </w:t>
                      </w:r>
                      <w:r w:rsidRPr="00747EED">
                        <w:rPr>
                          <w:rFonts w:ascii="Arial" w:hAnsi="Arial" w:cs="Arial"/>
                          <w:sz w:val="20"/>
                        </w:rPr>
                        <w:t xml:space="preserve">aged </w:t>
                      </w:r>
                      <w:r>
                        <w:rPr>
                          <w:rFonts w:ascii="Arial" w:hAnsi="Arial" w:cs="Arial"/>
                          <w:sz w:val="20"/>
                        </w:rPr>
                        <w:t>65+</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47163C7B" wp14:editId="3B1B1486">
                <wp:simplePos x="0" y="0"/>
                <wp:positionH relativeFrom="column">
                  <wp:posOffset>-635</wp:posOffset>
                </wp:positionH>
                <wp:positionV relativeFrom="paragraph">
                  <wp:posOffset>212090</wp:posOffset>
                </wp:positionV>
                <wp:extent cx="1114425" cy="800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11442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871808" w14:textId="77777777" w:rsidR="00AC2AA1" w:rsidRPr="00747EED" w:rsidRDefault="00AC2AA1" w:rsidP="00AC2AA1">
                            <w:pPr>
                              <w:jc w:val="center"/>
                              <w:rPr>
                                <w:rFonts w:ascii="Arial" w:hAnsi="Arial" w:cs="Arial"/>
                                <w:sz w:val="20"/>
                              </w:rPr>
                            </w:pPr>
                            <w:r w:rsidRPr="003E15E8">
                              <w:rPr>
                                <w:rFonts w:ascii="Arial" w:hAnsi="Arial" w:cs="Arial"/>
                                <w:sz w:val="20"/>
                              </w:rPr>
                              <w:t>7,731</w:t>
                            </w:r>
                            <w:r w:rsidRPr="00747EED">
                              <w:rPr>
                                <w:rFonts w:ascii="Arial" w:hAnsi="Arial" w:cs="Arial"/>
                                <w:sz w:val="20"/>
                              </w:rPr>
                              <w:t xml:space="preserve"> cases in Wave 1 and Wave 2 aged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63C7B" id="Rounded Rectangle 1" o:spid="_x0000_s1029" style="position:absolute;left:0;text-align:left;margin-left:-.05pt;margin-top:16.7pt;width:8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" fillcolor="white [3201]" strokecolor="black [3213]" strokeweight="1pt">
                <v:stroke joinstyle="miter"/>
                <v:textbox>
                  <w:txbxContent>
                    <w:p w14:paraId="2C871808" w14:textId="77777777" w:rsidR="00AC2AA1" w:rsidRPr="00747EED" w:rsidRDefault="00AC2AA1" w:rsidP="00AC2AA1">
                      <w:pPr>
                        <w:jc w:val="center"/>
                        <w:rPr>
                          <w:rFonts w:ascii="Arial" w:hAnsi="Arial" w:cs="Arial"/>
                          <w:sz w:val="20"/>
                        </w:rPr>
                      </w:pPr>
                      <w:r w:rsidRPr="003E15E8">
                        <w:rPr>
                          <w:rFonts w:ascii="Arial" w:hAnsi="Arial" w:cs="Arial"/>
                          <w:sz w:val="20"/>
                        </w:rPr>
                        <w:t>7,731</w:t>
                      </w:r>
                      <w:r w:rsidRPr="00747EED">
                        <w:rPr>
                          <w:rFonts w:ascii="Arial" w:hAnsi="Arial" w:cs="Arial"/>
                          <w:sz w:val="20"/>
                        </w:rPr>
                        <w:t xml:space="preserve"> cases in Wave 1 and Wave 2 aged 18+</w:t>
                      </w:r>
                    </w:p>
                  </w:txbxContent>
                </v:textbox>
              </v:roundrect>
            </w:pict>
          </mc:Fallback>
        </mc:AlternateContent>
      </w:r>
    </w:p>
    <w:p w14:paraId="032B2E62" w14:textId="77777777" w:rsidR="00AC2AA1" w:rsidRDefault="00AC2AA1" w:rsidP="00AC2AA1">
      <w:pPr>
        <w:jc w:val="both"/>
        <w:rPr>
          <w:rFonts w:ascii="Arial" w:hAnsi="Arial" w:cs="Arial"/>
          <w:b/>
        </w:rPr>
      </w:pPr>
    </w:p>
    <w:p w14:paraId="2A9F1795" w14:textId="77777777" w:rsidR="00AC2AA1" w:rsidRDefault="00AC2AA1" w:rsidP="00AC2AA1">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70528" behindDoc="0" locked="0" layoutInCell="1" allowOverlap="1" wp14:anchorId="18EF2A5B" wp14:editId="2A389816">
                <wp:simplePos x="0" y="0"/>
                <wp:positionH relativeFrom="column">
                  <wp:posOffset>4286250</wp:posOffset>
                </wp:positionH>
                <wp:positionV relativeFrom="paragraph">
                  <wp:posOffset>9525</wp:posOffset>
                </wp:positionV>
                <wp:extent cx="333375" cy="76200"/>
                <wp:effectExtent l="0" t="19050" r="47625" b="38100"/>
                <wp:wrapNone/>
                <wp:docPr id="18" name="Right Arrow 18"/>
                <wp:cNvGraphicFramePr/>
                <a:graphic xmlns:a="http://schemas.openxmlformats.org/drawingml/2006/main">
                  <a:graphicData uri="http://schemas.microsoft.com/office/word/2010/wordprocessingShape">
                    <wps:wsp>
                      <wps:cNvSpPr/>
                      <wps:spPr>
                        <a:xfrm>
                          <a:off x="0" y="0"/>
                          <a:ext cx="33337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6D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37.5pt;margin-top:.75pt;width:26.2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" adj="19131" fillcolor="black [3200]" strokecolor="black [1600]" strokeweight="1pt"/>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14:anchorId="582F5237" wp14:editId="2A71FA19">
                <wp:simplePos x="0" y="0"/>
                <wp:positionH relativeFrom="column">
                  <wp:posOffset>2781300</wp:posOffset>
                </wp:positionH>
                <wp:positionV relativeFrom="paragraph">
                  <wp:posOffset>27305</wp:posOffset>
                </wp:positionV>
                <wp:extent cx="333375" cy="7620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33337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22F1" id="Right Arrow 15" o:spid="_x0000_s1026" type="#_x0000_t13" style="position:absolute;margin-left:219pt;margin-top:2.15pt;width:26.2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" adj="19131" fillcolor="black [3200]" strokecolor="black [1600]" strokeweight="1pt"/>
            </w:pict>
          </mc:Fallback>
        </mc:AlternateContent>
      </w:r>
      <w:r>
        <w:rPr>
          <w:rFonts w:ascii="Arial" w:hAnsi="Arial" w:cs="Arial"/>
          <w:b/>
          <w:noProof/>
          <w:lang w:eastAsia="en-GB"/>
        </w:rPr>
        <mc:AlternateContent>
          <mc:Choice Requires="wps">
            <w:drawing>
              <wp:anchor distT="0" distB="0" distL="114300" distR="114300" simplePos="0" relativeHeight="251666432" behindDoc="0" locked="0" layoutInCell="1" allowOverlap="1" wp14:anchorId="71945D0E" wp14:editId="63C2E954">
                <wp:simplePos x="0" y="0"/>
                <wp:positionH relativeFrom="column">
                  <wp:posOffset>1162050</wp:posOffset>
                </wp:positionH>
                <wp:positionV relativeFrom="paragraph">
                  <wp:posOffset>8255</wp:posOffset>
                </wp:positionV>
                <wp:extent cx="386787" cy="85725"/>
                <wp:effectExtent l="0" t="19050" r="32385" b="47625"/>
                <wp:wrapNone/>
                <wp:docPr id="14" name="Right Arrow 14"/>
                <wp:cNvGraphicFramePr/>
                <a:graphic xmlns:a="http://schemas.openxmlformats.org/drawingml/2006/main">
                  <a:graphicData uri="http://schemas.microsoft.com/office/word/2010/wordprocessingShape">
                    <wps:wsp>
                      <wps:cNvSpPr/>
                      <wps:spPr>
                        <a:xfrm>
                          <a:off x="0" y="0"/>
                          <a:ext cx="386787"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FF1E" id="Right Arrow 14" o:spid="_x0000_s1026" type="#_x0000_t13" style="position:absolute;margin-left:91.5pt;margin-top:.65pt;width:30.4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" adj="19206" fillcolor="black [3200]" strokecolor="black [1600]" strokeweight="1pt"/>
            </w:pict>
          </mc:Fallback>
        </mc:AlternateContent>
      </w:r>
    </w:p>
    <w:p w14:paraId="34586887" w14:textId="77777777" w:rsidR="00AC2AA1" w:rsidRDefault="00AC2AA1" w:rsidP="00AC2AA1">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477E3679" wp14:editId="4FFC9C91">
                <wp:simplePos x="0" y="0"/>
                <wp:positionH relativeFrom="column">
                  <wp:posOffset>4324350</wp:posOffset>
                </wp:positionH>
                <wp:positionV relativeFrom="paragraph">
                  <wp:posOffset>203200</wp:posOffset>
                </wp:positionV>
                <wp:extent cx="390525" cy="266700"/>
                <wp:effectExtent l="0" t="0" r="66675" b="57150"/>
                <wp:wrapNone/>
                <wp:docPr id="20" name="Straight Arrow Connector 20"/>
                <wp:cNvGraphicFramePr/>
                <a:graphic xmlns:a="http://schemas.openxmlformats.org/drawingml/2006/main">
                  <a:graphicData uri="http://schemas.microsoft.com/office/word/2010/wordprocessingShape">
                    <wps:wsp>
                      <wps:cNvCnPr/>
                      <wps:spPr>
                        <a:xfrm>
                          <a:off x="0" y="0"/>
                          <a:ext cx="39052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8B5C7E" id="_x0000_t32" coordsize="21600,21600" o:spt="32" o:oned="t" path="m,l21600,21600e" filled="f">
                <v:path arrowok="t" fillok="f" o:connecttype="none"/>
                <o:lock v:ext="edit" shapetype="t"/>
              </v:shapetype>
              <v:shape id="Straight Arrow Connector 20" o:spid="_x0000_s1026" type="#_x0000_t32" style="position:absolute;margin-left:340.5pt;margin-top:16pt;width:30.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" strokecolor="black [3213]" strokeweight=".5pt">
                <v:stroke endarrow="block" joinstyle="miter"/>
              </v:shape>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14:anchorId="290F53FF" wp14:editId="4C163800">
                <wp:simplePos x="0" y="0"/>
                <wp:positionH relativeFrom="column">
                  <wp:posOffset>2781300</wp:posOffset>
                </wp:positionH>
                <wp:positionV relativeFrom="paragraph">
                  <wp:posOffset>107950</wp:posOffset>
                </wp:positionV>
                <wp:extent cx="390525" cy="26670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39052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7B881" id="Straight Arrow Connector 8" o:spid="_x0000_s1026" type="#_x0000_t32" style="position:absolute;margin-left:219pt;margin-top:8.5pt;width:3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" strokecolor="black [3213]" strokeweight=".5pt">
                <v:stroke endarrow="block" joinstyle="miter"/>
              </v:shape>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0B6F3417" wp14:editId="442E12E6">
                <wp:simplePos x="0" y="0"/>
                <wp:positionH relativeFrom="column">
                  <wp:posOffset>1148715</wp:posOffset>
                </wp:positionH>
                <wp:positionV relativeFrom="paragraph">
                  <wp:posOffset>199617</wp:posOffset>
                </wp:positionV>
                <wp:extent cx="419100" cy="2667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4191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CB056" id="Straight Arrow Connector 7" o:spid="_x0000_s1026" type="#_x0000_t32" style="position:absolute;margin-left:90.45pt;margin-top:15.7pt;width:3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" strokecolor="black [3213]" strokeweight=".5pt">
                <v:stroke endarrow="block" joinstyle="miter"/>
              </v:shape>
            </w:pict>
          </mc:Fallback>
        </mc:AlternateContent>
      </w:r>
    </w:p>
    <w:p w14:paraId="3EAED2C4" w14:textId="77777777" w:rsidR="00AC2AA1" w:rsidRDefault="00AC2AA1" w:rsidP="00AC2AA1">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3697D267" wp14:editId="796F92E1">
                <wp:simplePos x="0" y="0"/>
                <wp:positionH relativeFrom="column">
                  <wp:posOffset>3171190</wp:posOffset>
                </wp:positionH>
                <wp:positionV relativeFrom="paragraph">
                  <wp:posOffset>188595</wp:posOffset>
                </wp:positionV>
                <wp:extent cx="1114425" cy="8001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11442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D66DF" w14:textId="77777777" w:rsidR="00AC2AA1" w:rsidRPr="00747EED" w:rsidRDefault="00AC2AA1" w:rsidP="00AC2AA1">
                            <w:pPr>
                              <w:jc w:val="center"/>
                              <w:rPr>
                                <w:rFonts w:ascii="Arial" w:hAnsi="Arial" w:cs="Arial"/>
                                <w:sz w:val="20"/>
                              </w:rPr>
                            </w:pPr>
                            <w:r w:rsidRPr="00363B16">
                              <w:rPr>
                                <w:rFonts w:ascii="Arial" w:hAnsi="Arial" w:cs="Arial"/>
                                <w:sz w:val="20"/>
                              </w:rPr>
                              <w:t>229</w:t>
                            </w:r>
                            <w:r w:rsidRPr="00747EED">
                              <w:rPr>
                                <w:rFonts w:ascii="Arial" w:hAnsi="Arial" w:cs="Arial"/>
                                <w:sz w:val="20"/>
                              </w:rPr>
                              <w:t xml:space="preserve"> cases </w:t>
                            </w:r>
                            <w:r>
                              <w:rPr>
                                <w:rFonts w:ascii="Arial" w:hAnsi="Arial" w:cs="Arial"/>
                                <w:sz w:val="20"/>
                              </w:rPr>
                              <w:t>interviewed for the 2</w:t>
                            </w:r>
                            <w:r w:rsidRPr="00747EED">
                              <w:rPr>
                                <w:rFonts w:ascii="Arial" w:hAnsi="Arial" w:cs="Arial"/>
                                <w:sz w:val="20"/>
                                <w:vertAlign w:val="superscript"/>
                              </w:rPr>
                              <w:t>nd</w:t>
                            </w:r>
                            <w:r>
                              <w:rPr>
                                <w:rFonts w:ascii="Arial" w:hAnsi="Arial" w:cs="Arial"/>
                                <w:sz w:val="20"/>
                              </w:rPr>
                              <w:t xml:space="preserv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7D267" id="Rounded Rectangle 6" o:spid="_x0000_s1030" style="position:absolute;left:0;text-align:left;margin-left:249.7pt;margin-top:14.85pt;width:87.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" fillcolor="white [3201]" strokecolor="black [3213]" strokeweight="1pt">
                <v:stroke joinstyle="miter"/>
                <v:textbox>
                  <w:txbxContent>
                    <w:p w14:paraId="1FAD66DF" w14:textId="77777777" w:rsidR="00AC2AA1" w:rsidRPr="00747EED" w:rsidRDefault="00AC2AA1" w:rsidP="00AC2AA1">
                      <w:pPr>
                        <w:jc w:val="center"/>
                        <w:rPr>
                          <w:rFonts w:ascii="Arial" w:hAnsi="Arial" w:cs="Arial"/>
                          <w:sz w:val="20"/>
                        </w:rPr>
                      </w:pPr>
                      <w:r w:rsidRPr="00363B16">
                        <w:rPr>
                          <w:rFonts w:ascii="Arial" w:hAnsi="Arial" w:cs="Arial"/>
                          <w:sz w:val="20"/>
                        </w:rPr>
                        <w:t>229</w:t>
                      </w:r>
                      <w:r w:rsidRPr="00747EED">
                        <w:rPr>
                          <w:rFonts w:ascii="Arial" w:hAnsi="Arial" w:cs="Arial"/>
                          <w:sz w:val="20"/>
                        </w:rPr>
                        <w:t xml:space="preserve"> cases </w:t>
                      </w:r>
                      <w:r>
                        <w:rPr>
                          <w:rFonts w:ascii="Arial" w:hAnsi="Arial" w:cs="Arial"/>
                          <w:sz w:val="20"/>
                        </w:rPr>
                        <w:t>interviewed for the 2</w:t>
                      </w:r>
                      <w:r w:rsidRPr="00747EED">
                        <w:rPr>
                          <w:rFonts w:ascii="Arial" w:hAnsi="Arial" w:cs="Arial"/>
                          <w:sz w:val="20"/>
                          <w:vertAlign w:val="superscript"/>
                        </w:rPr>
                        <w:t>nd</w:t>
                      </w:r>
                      <w:r>
                        <w:rPr>
                          <w:rFonts w:ascii="Arial" w:hAnsi="Arial" w:cs="Arial"/>
                          <w:sz w:val="20"/>
                        </w:rPr>
                        <w:t xml:space="preserve"> time</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9504" behindDoc="0" locked="0" layoutInCell="1" allowOverlap="1" wp14:anchorId="4862BD4B" wp14:editId="0F04D452">
                <wp:simplePos x="0" y="0"/>
                <wp:positionH relativeFrom="column">
                  <wp:posOffset>4762500</wp:posOffset>
                </wp:positionH>
                <wp:positionV relativeFrom="paragraph">
                  <wp:posOffset>194945</wp:posOffset>
                </wp:positionV>
                <wp:extent cx="1114425" cy="8001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11442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9BE87E" w14:textId="77777777" w:rsidR="00AC2AA1" w:rsidRPr="00747EED" w:rsidRDefault="00AC2AA1" w:rsidP="00AC2AA1">
                            <w:pPr>
                              <w:jc w:val="center"/>
                              <w:rPr>
                                <w:rFonts w:ascii="Arial" w:hAnsi="Arial" w:cs="Arial"/>
                                <w:sz w:val="20"/>
                              </w:rPr>
                            </w:pPr>
                            <w:r>
                              <w:rPr>
                                <w:rFonts w:ascii="Arial" w:hAnsi="Arial" w:cs="Arial"/>
                                <w:sz w:val="20"/>
                              </w:rPr>
                              <w:t>86 cases with very high GP and/or A&amp;E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2BD4B" id="Rounded Rectangle 17" o:spid="_x0000_s1031" style="position:absolute;left:0;text-align:left;margin-left:375pt;margin-top:15.35pt;width:87.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" fillcolor="white [3201]" strokecolor="black [3213]" strokeweight="1pt">
                <v:stroke joinstyle="miter"/>
                <v:textbox>
                  <w:txbxContent>
                    <w:p w14:paraId="539BE87E" w14:textId="77777777" w:rsidR="00AC2AA1" w:rsidRPr="00747EED" w:rsidRDefault="00AC2AA1" w:rsidP="00AC2AA1">
                      <w:pPr>
                        <w:jc w:val="center"/>
                        <w:rPr>
                          <w:rFonts w:ascii="Arial" w:hAnsi="Arial" w:cs="Arial"/>
                          <w:sz w:val="20"/>
                        </w:rPr>
                      </w:pPr>
                      <w:r>
                        <w:rPr>
                          <w:rFonts w:ascii="Arial" w:hAnsi="Arial" w:cs="Arial"/>
                          <w:sz w:val="20"/>
                        </w:rPr>
                        <w:t>86 cases with very high GP and/or A&amp;E attendance</w:t>
                      </w:r>
                    </w:p>
                  </w:txbxContent>
                </v:textbox>
              </v:roundrect>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4751FABF" wp14:editId="2F0D4AA1">
                <wp:simplePos x="0" y="0"/>
                <wp:positionH relativeFrom="column">
                  <wp:posOffset>1619250</wp:posOffset>
                </wp:positionH>
                <wp:positionV relativeFrom="paragraph">
                  <wp:posOffset>182245</wp:posOffset>
                </wp:positionV>
                <wp:extent cx="1114425" cy="7620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114425" cy="762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A5B525" w14:textId="77777777" w:rsidR="00AC2AA1" w:rsidRPr="00747EED" w:rsidRDefault="00AC2AA1" w:rsidP="00AC2AA1">
                            <w:pPr>
                              <w:jc w:val="center"/>
                              <w:rPr>
                                <w:rFonts w:ascii="Arial" w:hAnsi="Arial" w:cs="Arial"/>
                                <w:sz w:val="20"/>
                              </w:rPr>
                            </w:pPr>
                            <w:r w:rsidRPr="00363B16">
                              <w:rPr>
                                <w:rFonts w:ascii="Arial" w:hAnsi="Arial" w:cs="Arial"/>
                                <w:sz w:val="20"/>
                              </w:rPr>
                              <w:t>5,731</w:t>
                            </w:r>
                            <w:r w:rsidRPr="00747EED">
                              <w:rPr>
                                <w:rFonts w:ascii="Arial" w:hAnsi="Arial" w:cs="Arial"/>
                                <w:sz w:val="20"/>
                              </w:rPr>
                              <w:t xml:space="preserve"> cases </w:t>
                            </w:r>
                            <w:r>
                              <w:rPr>
                                <w:rFonts w:ascii="Arial" w:hAnsi="Arial" w:cs="Arial"/>
                                <w:sz w:val="20"/>
                              </w:rPr>
                              <w:t>aged 18-64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1FABF" id="Rounded Rectangle 5" o:spid="_x0000_s1032" style="position:absolute;left:0;text-align:left;margin-left:127.5pt;margin-top:14.35pt;width:87.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" fillcolor="white [3201]" strokecolor="black [3213]" strokeweight="1pt">
                <v:stroke joinstyle="miter"/>
                <v:textbox>
                  <w:txbxContent>
                    <w:p w14:paraId="02A5B525" w14:textId="77777777" w:rsidR="00AC2AA1" w:rsidRPr="00747EED" w:rsidRDefault="00AC2AA1" w:rsidP="00AC2AA1">
                      <w:pPr>
                        <w:jc w:val="center"/>
                        <w:rPr>
                          <w:rFonts w:ascii="Arial" w:hAnsi="Arial" w:cs="Arial"/>
                          <w:sz w:val="20"/>
                        </w:rPr>
                      </w:pPr>
                      <w:r w:rsidRPr="00363B16">
                        <w:rPr>
                          <w:rFonts w:ascii="Arial" w:hAnsi="Arial" w:cs="Arial"/>
                          <w:sz w:val="20"/>
                        </w:rPr>
                        <w:t>5,731</w:t>
                      </w:r>
                      <w:r w:rsidRPr="00747EED">
                        <w:rPr>
                          <w:rFonts w:ascii="Arial" w:hAnsi="Arial" w:cs="Arial"/>
                          <w:sz w:val="20"/>
                        </w:rPr>
                        <w:t xml:space="preserve"> cases </w:t>
                      </w:r>
                      <w:r>
                        <w:rPr>
                          <w:rFonts w:ascii="Arial" w:hAnsi="Arial" w:cs="Arial"/>
                          <w:sz w:val="20"/>
                        </w:rPr>
                        <w:t>aged 18-64</w:t>
                      </w:r>
                    </w:p>
                  </w:txbxContent>
                </v:textbox>
              </v:roundrect>
            </w:pict>
          </mc:Fallback>
        </mc:AlternateContent>
      </w:r>
    </w:p>
    <w:p w14:paraId="53D88D3B" w14:textId="77777777" w:rsidR="00AC2AA1" w:rsidRDefault="00AC2AA1" w:rsidP="00AC2AA1">
      <w:pPr>
        <w:jc w:val="both"/>
        <w:rPr>
          <w:rFonts w:ascii="Arial" w:hAnsi="Arial" w:cs="Arial"/>
          <w:b/>
        </w:rPr>
      </w:pPr>
    </w:p>
    <w:p w14:paraId="35AEFD15" w14:textId="77777777" w:rsidR="00AC2AA1" w:rsidRDefault="00AC2AA1" w:rsidP="00AC2AA1">
      <w:pPr>
        <w:jc w:val="both"/>
        <w:rPr>
          <w:rFonts w:ascii="Arial" w:hAnsi="Arial" w:cs="Arial"/>
          <w:b/>
        </w:rPr>
      </w:pPr>
    </w:p>
    <w:p w14:paraId="152FD0A5" w14:textId="77777777" w:rsidR="00AC2AA1" w:rsidRDefault="00AC2AA1" w:rsidP="00AC2AA1">
      <w:pPr>
        <w:jc w:val="both"/>
        <w:rPr>
          <w:rFonts w:ascii="Arial" w:hAnsi="Arial" w:cs="Arial"/>
          <w:b/>
        </w:rPr>
      </w:pPr>
    </w:p>
    <w:p w14:paraId="6663FE64" w14:textId="77777777" w:rsidR="00AC2AA1" w:rsidRDefault="00AC2AA1" w:rsidP="00AC2AA1">
      <w:pPr>
        <w:jc w:val="both"/>
        <w:rPr>
          <w:rFonts w:ascii="Arial" w:hAnsi="Arial" w:cs="Arial"/>
          <w:b/>
        </w:rPr>
      </w:pPr>
      <w:r>
        <w:rPr>
          <w:rFonts w:ascii="Arial" w:hAnsi="Arial" w:cs="Arial"/>
          <w:b/>
        </w:rPr>
        <w:t>Figure 1. Sample selection for analysis</w:t>
      </w:r>
    </w:p>
    <w:p w14:paraId="6886B0A9" w14:textId="67E12049" w:rsidR="00AC2AA1" w:rsidRDefault="00AC2AA1" w:rsidP="00AC2AA1">
      <w:pPr>
        <w:jc w:val="both"/>
        <w:rPr>
          <w:rFonts w:ascii="Arial" w:hAnsi="Arial" w:cs="Arial"/>
          <w:sz w:val="20"/>
        </w:rPr>
      </w:pPr>
    </w:p>
    <w:p w14:paraId="42A0821C" w14:textId="22AC5419" w:rsidR="00AC2AA1" w:rsidRDefault="00AC2AA1" w:rsidP="00AC2AA1">
      <w:pPr>
        <w:jc w:val="both"/>
        <w:rPr>
          <w:rFonts w:ascii="Arial" w:hAnsi="Arial" w:cs="Arial"/>
          <w:sz w:val="20"/>
        </w:rPr>
      </w:pPr>
    </w:p>
    <w:p w14:paraId="48231A73" w14:textId="05BA7FAE" w:rsidR="00AC2AA1" w:rsidRDefault="00AC2AA1" w:rsidP="00AC2AA1">
      <w:pPr>
        <w:jc w:val="both"/>
        <w:rPr>
          <w:rFonts w:ascii="Arial" w:hAnsi="Arial" w:cs="Arial"/>
          <w:sz w:val="20"/>
        </w:rPr>
      </w:pPr>
    </w:p>
    <w:p w14:paraId="5EC0D7C7" w14:textId="2722D585" w:rsidR="00AC2AA1" w:rsidRDefault="00AC2AA1" w:rsidP="00AC2AA1">
      <w:pPr>
        <w:jc w:val="both"/>
        <w:rPr>
          <w:rFonts w:ascii="Arial" w:hAnsi="Arial" w:cs="Arial"/>
          <w:sz w:val="20"/>
        </w:rPr>
      </w:pPr>
    </w:p>
    <w:p w14:paraId="7E661C30" w14:textId="2E546B94" w:rsidR="00AC2AA1" w:rsidRDefault="00AC2AA1" w:rsidP="00AC2AA1">
      <w:pPr>
        <w:jc w:val="both"/>
        <w:rPr>
          <w:rFonts w:ascii="Arial" w:hAnsi="Arial" w:cs="Arial"/>
          <w:sz w:val="20"/>
        </w:rPr>
      </w:pPr>
    </w:p>
    <w:p w14:paraId="77AFD644" w14:textId="2FBBF62D" w:rsidR="00AC2AA1" w:rsidRDefault="00AC2AA1" w:rsidP="00AC2AA1">
      <w:pPr>
        <w:jc w:val="both"/>
        <w:rPr>
          <w:rFonts w:ascii="Arial" w:hAnsi="Arial" w:cs="Arial"/>
          <w:sz w:val="20"/>
        </w:rPr>
      </w:pPr>
    </w:p>
    <w:p w14:paraId="58DFDF68" w14:textId="1F8A886D" w:rsidR="00AC2AA1" w:rsidRDefault="00AC2AA1" w:rsidP="00AC2AA1">
      <w:pPr>
        <w:jc w:val="both"/>
        <w:rPr>
          <w:rFonts w:ascii="Arial" w:hAnsi="Arial" w:cs="Arial"/>
          <w:sz w:val="20"/>
        </w:rPr>
      </w:pPr>
    </w:p>
    <w:p w14:paraId="20A089CD" w14:textId="49D34CE5" w:rsidR="00AC2AA1" w:rsidRDefault="00AC2AA1" w:rsidP="00AC2AA1">
      <w:pPr>
        <w:jc w:val="both"/>
        <w:rPr>
          <w:rFonts w:ascii="Arial" w:hAnsi="Arial" w:cs="Arial"/>
          <w:sz w:val="20"/>
        </w:rPr>
      </w:pPr>
    </w:p>
    <w:p w14:paraId="4A39DBB6" w14:textId="28AEABE3" w:rsidR="00AC2AA1" w:rsidRDefault="00AC2AA1" w:rsidP="00AC2AA1">
      <w:pPr>
        <w:jc w:val="both"/>
        <w:rPr>
          <w:rFonts w:ascii="Arial" w:hAnsi="Arial" w:cs="Arial"/>
          <w:sz w:val="20"/>
        </w:rPr>
      </w:pPr>
    </w:p>
    <w:p w14:paraId="5004E3FA" w14:textId="66AAD6B8" w:rsidR="00AC2AA1" w:rsidRDefault="00AC2AA1" w:rsidP="00AC2AA1">
      <w:pPr>
        <w:jc w:val="both"/>
        <w:rPr>
          <w:rFonts w:ascii="Arial" w:hAnsi="Arial" w:cs="Arial"/>
          <w:sz w:val="20"/>
        </w:rPr>
      </w:pPr>
    </w:p>
    <w:p w14:paraId="42FC3612" w14:textId="60B33996" w:rsidR="00AC2AA1" w:rsidRDefault="00AC2AA1" w:rsidP="00AC2AA1">
      <w:pPr>
        <w:jc w:val="both"/>
        <w:rPr>
          <w:rFonts w:ascii="Arial" w:hAnsi="Arial" w:cs="Arial"/>
          <w:sz w:val="20"/>
        </w:rPr>
      </w:pPr>
    </w:p>
    <w:p w14:paraId="56B522A8" w14:textId="7DFF67D6" w:rsidR="00AC2AA1" w:rsidRDefault="00AC2AA1" w:rsidP="00AC2AA1">
      <w:pPr>
        <w:jc w:val="both"/>
        <w:rPr>
          <w:rFonts w:ascii="Arial" w:hAnsi="Arial" w:cs="Arial"/>
          <w:sz w:val="20"/>
        </w:rPr>
      </w:pPr>
    </w:p>
    <w:p w14:paraId="4A3F70A8" w14:textId="7ED1B6DE" w:rsidR="00AC2AA1" w:rsidRDefault="00AC2AA1" w:rsidP="00AC2AA1">
      <w:pPr>
        <w:jc w:val="both"/>
        <w:rPr>
          <w:rFonts w:ascii="Arial" w:hAnsi="Arial" w:cs="Arial"/>
          <w:sz w:val="20"/>
        </w:rPr>
      </w:pPr>
    </w:p>
    <w:p w14:paraId="4E615AAF" w14:textId="07E0C51E" w:rsidR="00AC2AA1" w:rsidRDefault="00AC2AA1" w:rsidP="00AC2AA1">
      <w:pPr>
        <w:jc w:val="both"/>
        <w:rPr>
          <w:rFonts w:ascii="Arial" w:hAnsi="Arial" w:cs="Arial"/>
          <w:sz w:val="20"/>
        </w:rPr>
      </w:pPr>
    </w:p>
    <w:p w14:paraId="54F6C5B2" w14:textId="1A0B278A" w:rsidR="00AC2AA1" w:rsidRDefault="00AC2AA1" w:rsidP="00AC2AA1">
      <w:pPr>
        <w:jc w:val="both"/>
        <w:rPr>
          <w:rFonts w:ascii="Arial" w:hAnsi="Arial" w:cs="Arial"/>
          <w:sz w:val="20"/>
        </w:rPr>
      </w:pPr>
    </w:p>
    <w:p w14:paraId="38F8A5DC" w14:textId="35FFC2C3" w:rsidR="00AC2AA1" w:rsidRDefault="00AC2AA1" w:rsidP="00AC2AA1">
      <w:pPr>
        <w:jc w:val="both"/>
        <w:rPr>
          <w:rFonts w:ascii="Arial" w:hAnsi="Arial" w:cs="Arial"/>
          <w:sz w:val="20"/>
        </w:rPr>
      </w:pPr>
    </w:p>
    <w:p w14:paraId="2FDF8483" w14:textId="2CEB6EFB" w:rsidR="00AC2AA1" w:rsidRDefault="00AC2AA1" w:rsidP="00AC2AA1">
      <w:pPr>
        <w:jc w:val="both"/>
        <w:rPr>
          <w:rFonts w:ascii="Arial" w:hAnsi="Arial" w:cs="Arial"/>
          <w:sz w:val="20"/>
        </w:rPr>
      </w:pPr>
    </w:p>
    <w:p w14:paraId="5F0D6168" w14:textId="1F5EC4E6" w:rsidR="00AC2AA1" w:rsidRDefault="00AC2AA1" w:rsidP="00AC2AA1">
      <w:pPr>
        <w:jc w:val="both"/>
        <w:rPr>
          <w:rFonts w:ascii="Arial" w:hAnsi="Arial" w:cs="Arial"/>
          <w:sz w:val="20"/>
        </w:rPr>
      </w:pPr>
    </w:p>
    <w:p w14:paraId="11B47789" w14:textId="535A7D4A" w:rsidR="00AC2AA1" w:rsidRDefault="00AC2AA1" w:rsidP="00AC2AA1">
      <w:pPr>
        <w:jc w:val="both"/>
        <w:rPr>
          <w:rFonts w:ascii="Arial" w:hAnsi="Arial" w:cs="Arial"/>
          <w:sz w:val="20"/>
        </w:rPr>
      </w:pPr>
    </w:p>
    <w:p w14:paraId="51855467" w14:textId="0303C911" w:rsidR="00AC2AA1" w:rsidRDefault="00AC2AA1" w:rsidP="00AC2AA1">
      <w:pPr>
        <w:jc w:val="both"/>
        <w:rPr>
          <w:rFonts w:ascii="Arial" w:hAnsi="Arial" w:cs="Arial"/>
          <w:sz w:val="20"/>
        </w:rPr>
      </w:pPr>
    </w:p>
    <w:p w14:paraId="434535E4" w14:textId="513145D2" w:rsidR="00AC2AA1" w:rsidRDefault="00AC2AA1" w:rsidP="00AC2AA1">
      <w:pPr>
        <w:jc w:val="both"/>
        <w:rPr>
          <w:rFonts w:ascii="Arial" w:hAnsi="Arial" w:cs="Arial"/>
          <w:sz w:val="20"/>
        </w:rPr>
      </w:pPr>
    </w:p>
    <w:p w14:paraId="6A505989" w14:textId="2787CB37" w:rsidR="00AC2AA1" w:rsidRDefault="00AC2AA1" w:rsidP="00AC2AA1">
      <w:pPr>
        <w:jc w:val="both"/>
        <w:rPr>
          <w:rFonts w:ascii="Arial" w:hAnsi="Arial" w:cs="Arial"/>
          <w:sz w:val="20"/>
        </w:rPr>
      </w:pPr>
    </w:p>
    <w:p w14:paraId="1F8BCCC8" w14:textId="513BD94A" w:rsidR="00AC2AA1" w:rsidRDefault="00AC2AA1" w:rsidP="00AC2AA1">
      <w:pPr>
        <w:jc w:val="both"/>
        <w:rPr>
          <w:rFonts w:ascii="Arial" w:hAnsi="Arial" w:cs="Arial"/>
          <w:sz w:val="20"/>
        </w:rPr>
      </w:pPr>
    </w:p>
    <w:p w14:paraId="000BD469" w14:textId="60E08288" w:rsidR="00AC2AA1" w:rsidRDefault="00AC2AA1" w:rsidP="00AC2AA1">
      <w:pPr>
        <w:jc w:val="both"/>
        <w:rPr>
          <w:rFonts w:ascii="Arial" w:hAnsi="Arial" w:cs="Arial"/>
          <w:sz w:val="20"/>
        </w:rPr>
      </w:pPr>
    </w:p>
    <w:p w14:paraId="1FFC72B4" w14:textId="32C91598" w:rsidR="00AC2AA1" w:rsidRDefault="00AC2AA1" w:rsidP="00AC2AA1">
      <w:pPr>
        <w:jc w:val="both"/>
        <w:rPr>
          <w:rFonts w:ascii="Arial" w:hAnsi="Arial" w:cs="Arial"/>
          <w:sz w:val="20"/>
        </w:rPr>
      </w:pPr>
    </w:p>
    <w:p w14:paraId="0AB178B9" w14:textId="77777777" w:rsidR="00AC2AA1" w:rsidRDefault="00AC2AA1" w:rsidP="00AC2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7ACBA42D" wp14:editId="71665279">
            <wp:extent cx="5972175" cy="4781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557113E4" w14:textId="77777777" w:rsidR="00AC2AA1" w:rsidRDefault="00AC2AA1" w:rsidP="00AC2AA1">
      <w:pPr>
        <w:autoSpaceDE w:val="0"/>
        <w:autoSpaceDN w:val="0"/>
        <w:adjustRightInd w:val="0"/>
        <w:spacing w:after="0" w:line="240" w:lineRule="auto"/>
        <w:rPr>
          <w:rFonts w:ascii="Times New Roman" w:hAnsi="Times New Roman" w:cs="Times New Roman"/>
          <w:sz w:val="24"/>
          <w:szCs w:val="24"/>
        </w:rPr>
      </w:pPr>
    </w:p>
    <w:p w14:paraId="6E1504FE" w14:textId="77777777" w:rsidR="00AC2AA1" w:rsidRPr="00AC2AA1" w:rsidRDefault="00AC2AA1" w:rsidP="00AC2AA1">
      <w:pPr>
        <w:autoSpaceDE w:val="0"/>
        <w:autoSpaceDN w:val="0"/>
        <w:adjustRightInd w:val="0"/>
        <w:spacing w:after="0" w:line="240" w:lineRule="auto"/>
        <w:rPr>
          <w:rFonts w:ascii="Arial" w:hAnsi="Arial" w:cs="Arial"/>
          <w:b/>
          <w:szCs w:val="24"/>
        </w:rPr>
      </w:pPr>
      <w:r w:rsidRPr="00AC2AA1">
        <w:rPr>
          <w:rFonts w:ascii="Arial" w:hAnsi="Arial" w:cs="Arial"/>
          <w:b/>
          <w:szCs w:val="24"/>
        </w:rPr>
        <w:t>Figure 2. Healthcare utilisation by social support</w:t>
      </w:r>
    </w:p>
    <w:p w14:paraId="376D6515" w14:textId="77777777" w:rsidR="00AC2AA1" w:rsidRPr="00AC2AA1" w:rsidRDefault="00AC2AA1" w:rsidP="00AC2AA1">
      <w:pPr>
        <w:autoSpaceDE w:val="0"/>
        <w:autoSpaceDN w:val="0"/>
        <w:adjustRightInd w:val="0"/>
        <w:spacing w:after="0" w:line="240" w:lineRule="auto"/>
        <w:rPr>
          <w:rFonts w:ascii="Arial" w:hAnsi="Arial" w:cs="Arial"/>
          <w:sz w:val="20"/>
          <w:szCs w:val="24"/>
        </w:rPr>
      </w:pPr>
      <w:r w:rsidRPr="00AC2AA1">
        <w:rPr>
          <w:rFonts w:ascii="Arial" w:hAnsi="Arial" w:cs="Arial"/>
          <w:b/>
          <w:sz w:val="20"/>
          <w:szCs w:val="24"/>
        </w:rPr>
        <w:t xml:space="preserve">Legend. </w:t>
      </w:r>
      <w:r w:rsidRPr="00AC2AA1">
        <w:rPr>
          <w:rFonts w:ascii="Arial" w:hAnsi="Arial" w:cs="Arial"/>
          <w:sz w:val="20"/>
          <w:szCs w:val="24"/>
        </w:rPr>
        <w:t>Y-axis shows the mean of the number of GP and A&amp;E attendances by personal social capital, split into high social capital (SC) and low SC. Dark grey bars represent GP attendance, and lined bar represent A&amp;E attendance.</w:t>
      </w:r>
    </w:p>
    <w:p w14:paraId="674E3684" w14:textId="7D76DD2C" w:rsidR="00AC2AA1" w:rsidRDefault="00AC2AA1" w:rsidP="00AC2AA1">
      <w:pPr>
        <w:jc w:val="both"/>
        <w:rPr>
          <w:rFonts w:ascii="Arial" w:hAnsi="Arial" w:cs="Arial"/>
          <w:sz w:val="20"/>
        </w:rPr>
      </w:pPr>
    </w:p>
    <w:p w14:paraId="540FCC81" w14:textId="7D2563E0" w:rsidR="00AC2AA1" w:rsidRDefault="00AC2AA1" w:rsidP="00AC2AA1">
      <w:pPr>
        <w:jc w:val="both"/>
        <w:rPr>
          <w:rFonts w:ascii="Arial" w:hAnsi="Arial" w:cs="Arial"/>
          <w:sz w:val="20"/>
        </w:rPr>
      </w:pPr>
    </w:p>
    <w:p w14:paraId="1E75819D" w14:textId="1CFA139E" w:rsidR="00AC2AA1" w:rsidRDefault="00AC2AA1" w:rsidP="00AC2AA1">
      <w:pPr>
        <w:jc w:val="both"/>
        <w:rPr>
          <w:rFonts w:ascii="Arial" w:hAnsi="Arial" w:cs="Arial"/>
          <w:sz w:val="20"/>
        </w:rPr>
      </w:pPr>
    </w:p>
    <w:p w14:paraId="40CF54FD" w14:textId="6CFC376A" w:rsidR="00AC2AA1" w:rsidRDefault="00AC2AA1" w:rsidP="00AC2AA1">
      <w:pPr>
        <w:jc w:val="both"/>
        <w:rPr>
          <w:rFonts w:ascii="Arial" w:hAnsi="Arial" w:cs="Arial"/>
          <w:sz w:val="20"/>
        </w:rPr>
      </w:pPr>
    </w:p>
    <w:p w14:paraId="22E6BE9E" w14:textId="092B7677" w:rsidR="00AC2AA1" w:rsidRDefault="00AC2AA1" w:rsidP="00AC2AA1">
      <w:pPr>
        <w:jc w:val="both"/>
        <w:rPr>
          <w:rFonts w:ascii="Arial" w:hAnsi="Arial" w:cs="Arial"/>
          <w:sz w:val="20"/>
        </w:rPr>
      </w:pPr>
    </w:p>
    <w:p w14:paraId="636C5625" w14:textId="4E31BC02" w:rsidR="00AC2AA1" w:rsidRDefault="00AC2AA1" w:rsidP="00AC2AA1">
      <w:pPr>
        <w:jc w:val="both"/>
        <w:rPr>
          <w:rFonts w:ascii="Arial" w:hAnsi="Arial" w:cs="Arial"/>
          <w:sz w:val="20"/>
        </w:rPr>
      </w:pPr>
    </w:p>
    <w:p w14:paraId="65066826" w14:textId="41D66853" w:rsidR="00AC2AA1" w:rsidRDefault="00AC2AA1" w:rsidP="00AC2AA1">
      <w:pPr>
        <w:jc w:val="both"/>
        <w:rPr>
          <w:rFonts w:ascii="Arial" w:hAnsi="Arial" w:cs="Arial"/>
          <w:sz w:val="20"/>
        </w:rPr>
      </w:pPr>
    </w:p>
    <w:p w14:paraId="596D0EEB" w14:textId="47E2343F" w:rsidR="00AC2AA1" w:rsidRDefault="00AC2AA1" w:rsidP="00AC2AA1">
      <w:pPr>
        <w:jc w:val="both"/>
        <w:rPr>
          <w:rFonts w:ascii="Arial" w:hAnsi="Arial" w:cs="Arial"/>
          <w:sz w:val="20"/>
        </w:rPr>
      </w:pPr>
    </w:p>
    <w:p w14:paraId="4BFB3DC9" w14:textId="007E2D40" w:rsidR="00AC2AA1" w:rsidRDefault="00AC2AA1" w:rsidP="00AC2AA1">
      <w:pPr>
        <w:jc w:val="both"/>
        <w:rPr>
          <w:rFonts w:ascii="Arial" w:hAnsi="Arial" w:cs="Arial"/>
          <w:sz w:val="20"/>
        </w:rPr>
      </w:pPr>
    </w:p>
    <w:p w14:paraId="039AB2F1" w14:textId="60CF6DFD" w:rsidR="00AC2AA1" w:rsidRDefault="00AC2AA1" w:rsidP="00AC2AA1">
      <w:pPr>
        <w:jc w:val="both"/>
        <w:rPr>
          <w:rFonts w:ascii="Arial" w:hAnsi="Arial" w:cs="Arial"/>
          <w:sz w:val="20"/>
        </w:rPr>
      </w:pPr>
    </w:p>
    <w:p w14:paraId="10BB6F38" w14:textId="01A66594" w:rsidR="00AC2AA1" w:rsidRDefault="00AC2AA1" w:rsidP="00AC2AA1">
      <w:pPr>
        <w:jc w:val="both"/>
        <w:rPr>
          <w:rFonts w:ascii="Arial" w:hAnsi="Arial" w:cs="Arial"/>
          <w:sz w:val="20"/>
        </w:rPr>
      </w:pPr>
    </w:p>
    <w:p w14:paraId="67939503" w14:textId="23C8816A" w:rsidR="00AC2AA1" w:rsidRDefault="00AC2AA1" w:rsidP="00AC2AA1">
      <w:pPr>
        <w:jc w:val="both"/>
        <w:rPr>
          <w:rFonts w:ascii="Arial" w:hAnsi="Arial" w:cs="Arial"/>
          <w:sz w:val="20"/>
        </w:rPr>
      </w:pPr>
    </w:p>
    <w:p w14:paraId="5E197EF8" w14:textId="1328EA88" w:rsidR="00AC2AA1" w:rsidRDefault="00AC2AA1" w:rsidP="00AC2AA1">
      <w:pPr>
        <w:jc w:val="both"/>
        <w:rPr>
          <w:rFonts w:ascii="Arial" w:hAnsi="Arial" w:cs="Arial"/>
          <w:sz w:val="20"/>
        </w:rPr>
      </w:pPr>
    </w:p>
    <w:p w14:paraId="15971EAC" w14:textId="77777777" w:rsidR="00AC2AA1" w:rsidRPr="00F676E1" w:rsidRDefault="00AC2AA1" w:rsidP="00AC2AA1">
      <w:pPr>
        <w:jc w:val="both"/>
        <w:rPr>
          <w:rFonts w:ascii="Arial" w:hAnsi="Arial" w:cs="Arial"/>
          <w:b/>
        </w:rPr>
      </w:pPr>
      <w:r>
        <w:rPr>
          <w:rFonts w:ascii="Arial" w:hAnsi="Arial" w:cs="Arial"/>
          <w:b/>
        </w:rPr>
        <w:lastRenderedPageBreak/>
        <w:t>Table 2</w:t>
      </w:r>
      <w:r w:rsidRPr="004A7F1E">
        <w:rPr>
          <w:rFonts w:ascii="Arial" w:hAnsi="Arial" w:cs="Arial"/>
          <w:b/>
        </w:rPr>
        <w:t>. Demographic characteristics</w:t>
      </w:r>
      <w:r>
        <w:rPr>
          <w:rFonts w:ascii="Arial" w:hAnsi="Arial" w:cs="Arial"/>
        </w:rPr>
        <w:t xml:space="preserve"> </w:t>
      </w:r>
      <w:r w:rsidRPr="00F676E1">
        <w:rPr>
          <w:rFonts w:ascii="Arial" w:hAnsi="Arial" w:cs="Arial"/>
          <w:b/>
        </w:rPr>
        <w:t>and healthcare utilisation</w:t>
      </w:r>
      <w:r>
        <w:rPr>
          <w:rFonts w:ascii="Arial" w:hAnsi="Arial" w:cs="Arial"/>
          <w: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4"/>
        <w:gridCol w:w="3118"/>
      </w:tblGrid>
      <w:tr w:rsidR="00AC2AA1" w:rsidRPr="00580318" w14:paraId="3BF22264" w14:textId="77777777" w:rsidTr="00332BFC">
        <w:tc>
          <w:tcPr>
            <w:tcW w:w="3964" w:type="dxa"/>
            <w:shd w:val="clear" w:color="auto" w:fill="E7E6E6" w:themeFill="background2"/>
          </w:tcPr>
          <w:p w14:paraId="61806F78" w14:textId="77777777" w:rsidR="00AC2AA1" w:rsidRPr="00580318" w:rsidRDefault="00AC2AA1" w:rsidP="00332BFC">
            <w:pPr>
              <w:jc w:val="both"/>
              <w:rPr>
                <w:rFonts w:ascii="Arial" w:hAnsi="Arial" w:cs="Arial"/>
                <w:b/>
                <w:sz w:val="20"/>
              </w:rPr>
            </w:pPr>
            <w:r w:rsidRPr="00580318">
              <w:rPr>
                <w:rFonts w:ascii="Arial" w:hAnsi="Arial" w:cs="Arial"/>
                <w:b/>
                <w:sz w:val="20"/>
              </w:rPr>
              <w:t>Characteristics</w:t>
            </w:r>
          </w:p>
        </w:tc>
        <w:tc>
          <w:tcPr>
            <w:tcW w:w="3118" w:type="dxa"/>
            <w:shd w:val="clear" w:color="auto" w:fill="E7E6E6" w:themeFill="background2"/>
          </w:tcPr>
          <w:p w14:paraId="17413745" w14:textId="77777777" w:rsidR="00AC2AA1" w:rsidRPr="00580318" w:rsidRDefault="00AC2AA1" w:rsidP="00332BFC">
            <w:pPr>
              <w:jc w:val="center"/>
              <w:rPr>
                <w:rFonts w:ascii="Arial" w:hAnsi="Arial" w:cs="Arial"/>
                <w:b/>
                <w:sz w:val="20"/>
              </w:rPr>
            </w:pPr>
            <w:r w:rsidRPr="00580318">
              <w:rPr>
                <w:rFonts w:ascii="Arial" w:hAnsi="Arial" w:cs="Arial"/>
                <w:b/>
                <w:sz w:val="20"/>
              </w:rPr>
              <w:t>Total sample (n=</w:t>
            </w:r>
            <w:r>
              <w:rPr>
                <w:rFonts w:ascii="Arial" w:hAnsi="Arial" w:cs="Arial"/>
                <w:b/>
                <w:sz w:val="20"/>
              </w:rPr>
              <w:t>1,685)</w:t>
            </w:r>
          </w:p>
        </w:tc>
      </w:tr>
      <w:tr w:rsidR="00AC2AA1" w:rsidRPr="00580318" w14:paraId="468CC5EA" w14:textId="77777777" w:rsidTr="00332BFC">
        <w:tc>
          <w:tcPr>
            <w:tcW w:w="7082" w:type="dxa"/>
            <w:gridSpan w:val="2"/>
            <w:shd w:val="clear" w:color="auto" w:fill="E7E6E6" w:themeFill="background2"/>
          </w:tcPr>
          <w:p w14:paraId="531E2560" w14:textId="77777777" w:rsidR="00AC2AA1" w:rsidRPr="00580318" w:rsidRDefault="00AC2AA1" w:rsidP="00332BFC">
            <w:pPr>
              <w:rPr>
                <w:rFonts w:ascii="Arial" w:hAnsi="Arial" w:cs="Arial"/>
                <w:b/>
                <w:sz w:val="20"/>
              </w:rPr>
            </w:pPr>
            <w:r>
              <w:rPr>
                <w:rFonts w:ascii="Arial" w:hAnsi="Arial" w:cs="Arial"/>
                <w:b/>
                <w:sz w:val="20"/>
              </w:rPr>
              <w:t>N (%)</w:t>
            </w:r>
          </w:p>
        </w:tc>
      </w:tr>
      <w:tr w:rsidR="00AC2AA1" w:rsidRPr="00650E59" w14:paraId="6C5D1494" w14:textId="77777777" w:rsidTr="00332BFC">
        <w:tc>
          <w:tcPr>
            <w:tcW w:w="3964" w:type="dxa"/>
          </w:tcPr>
          <w:p w14:paraId="21918D62" w14:textId="77777777" w:rsidR="00AC2AA1" w:rsidRDefault="00AC2AA1" w:rsidP="00332BFC">
            <w:pPr>
              <w:jc w:val="both"/>
              <w:rPr>
                <w:rFonts w:ascii="Arial" w:hAnsi="Arial" w:cs="Arial"/>
                <w:sz w:val="20"/>
              </w:rPr>
            </w:pPr>
            <w:r>
              <w:rPr>
                <w:rFonts w:ascii="Arial" w:hAnsi="Arial" w:cs="Arial"/>
                <w:sz w:val="20"/>
              </w:rPr>
              <w:t>Gender</w:t>
            </w:r>
          </w:p>
          <w:p w14:paraId="67E9A73D" w14:textId="77777777" w:rsidR="00AC2AA1" w:rsidRDefault="00AC2AA1" w:rsidP="00332BFC">
            <w:pPr>
              <w:jc w:val="both"/>
              <w:rPr>
                <w:rFonts w:ascii="Arial" w:hAnsi="Arial" w:cs="Arial"/>
                <w:sz w:val="20"/>
              </w:rPr>
            </w:pPr>
            <w:r>
              <w:rPr>
                <w:rFonts w:ascii="Arial" w:hAnsi="Arial" w:cs="Arial"/>
                <w:sz w:val="20"/>
              </w:rPr>
              <w:t xml:space="preserve">  Female </w:t>
            </w:r>
          </w:p>
          <w:p w14:paraId="09C1C9AC" w14:textId="77777777" w:rsidR="00AC2AA1" w:rsidRPr="00650E59" w:rsidRDefault="00AC2AA1" w:rsidP="00332BFC">
            <w:pPr>
              <w:jc w:val="both"/>
              <w:rPr>
                <w:rFonts w:ascii="Arial" w:hAnsi="Arial" w:cs="Arial"/>
                <w:sz w:val="20"/>
              </w:rPr>
            </w:pPr>
            <w:r>
              <w:rPr>
                <w:rFonts w:ascii="Arial" w:hAnsi="Arial" w:cs="Arial"/>
                <w:sz w:val="20"/>
              </w:rPr>
              <w:t xml:space="preserve">  Male</w:t>
            </w:r>
          </w:p>
        </w:tc>
        <w:tc>
          <w:tcPr>
            <w:tcW w:w="3118" w:type="dxa"/>
          </w:tcPr>
          <w:p w14:paraId="6A627E49" w14:textId="77777777" w:rsidR="00AC2AA1" w:rsidRDefault="00AC2AA1" w:rsidP="00332BFC">
            <w:pPr>
              <w:jc w:val="center"/>
              <w:rPr>
                <w:rFonts w:ascii="Arial" w:hAnsi="Arial" w:cs="Arial"/>
                <w:sz w:val="20"/>
              </w:rPr>
            </w:pPr>
          </w:p>
          <w:p w14:paraId="5F939634" w14:textId="77777777" w:rsidR="00AC2AA1" w:rsidRDefault="00AC2AA1" w:rsidP="00332BFC">
            <w:pPr>
              <w:jc w:val="center"/>
              <w:rPr>
                <w:rFonts w:ascii="Arial" w:hAnsi="Arial" w:cs="Arial"/>
                <w:sz w:val="20"/>
              </w:rPr>
            </w:pPr>
            <w:r>
              <w:rPr>
                <w:rFonts w:ascii="Arial" w:hAnsi="Arial" w:cs="Arial"/>
                <w:sz w:val="20"/>
              </w:rPr>
              <w:t>953 (56.6%)</w:t>
            </w:r>
          </w:p>
          <w:p w14:paraId="3BF62102" w14:textId="77777777" w:rsidR="00AC2AA1" w:rsidRPr="00650E59" w:rsidRDefault="00AC2AA1" w:rsidP="00332BFC">
            <w:pPr>
              <w:jc w:val="center"/>
              <w:rPr>
                <w:rFonts w:ascii="Arial" w:hAnsi="Arial" w:cs="Arial"/>
                <w:sz w:val="20"/>
              </w:rPr>
            </w:pPr>
            <w:r>
              <w:rPr>
                <w:rFonts w:ascii="Arial" w:hAnsi="Arial" w:cs="Arial"/>
                <w:sz w:val="20"/>
              </w:rPr>
              <w:t>732 (43.4%)</w:t>
            </w:r>
          </w:p>
        </w:tc>
      </w:tr>
      <w:tr w:rsidR="00AC2AA1" w:rsidRPr="00650E59" w14:paraId="699B447E" w14:textId="77777777" w:rsidTr="00332BFC">
        <w:tc>
          <w:tcPr>
            <w:tcW w:w="3964" w:type="dxa"/>
          </w:tcPr>
          <w:p w14:paraId="49EB5D36" w14:textId="77777777" w:rsidR="00AC2AA1" w:rsidRDefault="00AC2AA1" w:rsidP="00332BFC">
            <w:pPr>
              <w:jc w:val="both"/>
              <w:rPr>
                <w:rFonts w:ascii="Arial" w:hAnsi="Arial" w:cs="Arial"/>
                <w:sz w:val="20"/>
              </w:rPr>
            </w:pPr>
            <w:r>
              <w:rPr>
                <w:rFonts w:ascii="Arial" w:hAnsi="Arial" w:cs="Arial"/>
                <w:sz w:val="20"/>
              </w:rPr>
              <w:t>Ethnicity</w:t>
            </w:r>
          </w:p>
          <w:p w14:paraId="6563CCBD" w14:textId="77777777" w:rsidR="00AC2AA1" w:rsidRDefault="00AC2AA1" w:rsidP="00332BFC">
            <w:pPr>
              <w:jc w:val="both"/>
              <w:rPr>
                <w:rFonts w:ascii="Arial" w:hAnsi="Arial" w:cs="Arial"/>
                <w:sz w:val="20"/>
              </w:rPr>
            </w:pPr>
            <w:r>
              <w:rPr>
                <w:rFonts w:ascii="Arial" w:hAnsi="Arial" w:cs="Arial"/>
                <w:sz w:val="20"/>
              </w:rPr>
              <w:t xml:space="preserve">  White British </w:t>
            </w:r>
          </w:p>
          <w:p w14:paraId="40B24C9F" w14:textId="77777777" w:rsidR="00AC2AA1" w:rsidRPr="00650E59" w:rsidRDefault="00AC2AA1" w:rsidP="00332BFC">
            <w:pPr>
              <w:jc w:val="both"/>
              <w:rPr>
                <w:rFonts w:ascii="Arial" w:hAnsi="Arial" w:cs="Arial"/>
                <w:sz w:val="20"/>
              </w:rPr>
            </w:pPr>
            <w:r>
              <w:rPr>
                <w:rFonts w:ascii="Arial" w:hAnsi="Arial" w:cs="Arial"/>
                <w:sz w:val="20"/>
              </w:rPr>
              <w:t xml:space="preserve">  Other</w:t>
            </w:r>
          </w:p>
        </w:tc>
        <w:tc>
          <w:tcPr>
            <w:tcW w:w="3118" w:type="dxa"/>
          </w:tcPr>
          <w:p w14:paraId="13324110" w14:textId="77777777" w:rsidR="00AC2AA1" w:rsidRDefault="00AC2AA1" w:rsidP="00332BFC">
            <w:pPr>
              <w:jc w:val="center"/>
              <w:rPr>
                <w:rFonts w:ascii="Arial" w:hAnsi="Arial" w:cs="Arial"/>
                <w:sz w:val="20"/>
              </w:rPr>
            </w:pPr>
          </w:p>
          <w:p w14:paraId="09F6B95D" w14:textId="77777777" w:rsidR="00AC2AA1" w:rsidRDefault="00AC2AA1" w:rsidP="00332BFC">
            <w:pPr>
              <w:jc w:val="center"/>
              <w:rPr>
                <w:rFonts w:ascii="Arial" w:hAnsi="Arial" w:cs="Arial"/>
                <w:sz w:val="20"/>
              </w:rPr>
            </w:pPr>
            <w:r>
              <w:rPr>
                <w:rFonts w:ascii="Arial" w:hAnsi="Arial" w:cs="Arial"/>
                <w:sz w:val="20"/>
              </w:rPr>
              <w:t>1,606 (95.4%)</w:t>
            </w:r>
          </w:p>
          <w:p w14:paraId="5931E140" w14:textId="77777777" w:rsidR="00AC2AA1" w:rsidRPr="00650E59" w:rsidRDefault="00AC2AA1" w:rsidP="00332BFC">
            <w:pPr>
              <w:jc w:val="center"/>
              <w:rPr>
                <w:rFonts w:ascii="Arial" w:hAnsi="Arial" w:cs="Arial"/>
                <w:sz w:val="20"/>
              </w:rPr>
            </w:pPr>
            <w:r>
              <w:rPr>
                <w:rFonts w:ascii="Arial" w:hAnsi="Arial" w:cs="Arial"/>
                <w:sz w:val="20"/>
              </w:rPr>
              <w:t>77 (4.6%)</w:t>
            </w:r>
          </w:p>
        </w:tc>
      </w:tr>
      <w:tr w:rsidR="00AC2AA1" w:rsidRPr="00650E59" w14:paraId="5005163E" w14:textId="77777777" w:rsidTr="00332BFC">
        <w:tc>
          <w:tcPr>
            <w:tcW w:w="3964" w:type="dxa"/>
          </w:tcPr>
          <w:p w14:paraId="049F735D" w14:textId="77777777" w:rsidR="00AC2AA1" w:rsidRDefault="00AC2AA1" w:rsidP="00332BFC">
            <w:pPr>
              <w:jc w:val="both"/>
              <w:rPr>
                <w:rFonts w:ascii="Arial" w:hAnsi="Arial" w:cs="Arial"/>
                <w:sz w:val="20"/>
              </w:rPr>
            </w:pPr>
            <w:r>
              <w:rPr>
                <w:rFonts w:ascii="Arial" w:hAnsi="Arial" w:cs="Arial"/>
                <w:sz w:val="20"/>
              </w:rPr>
              <w:t>Education Level</w:t>
            </w:r>
          </w:p>
          <w:p w14:paraId="7419653D" w14:textId="77777777" w:rsidR="00AC2AA1" w:rsidRDefault="00AC2AA1" w:rsidP="00332BFC">
            <w:pPr>
              <w:jc w:val="both"/>
              <w:rPr>
                <w:rFonts w:ascii="Arial" w:hAnsi="Arial" w:cs="Arial"/>
                <w:sz w:val="20"/>
              </w:rPr>
            </w:pPr>
            <w:r>
              <w:rPr>
                <w:rFonts w:ascii="Arial" w:hAnsi="Arial" w:cs="Arial"/>
                <w:sz w:val="20"/>
              </w:rPr>
              <w:t xml:space="preserve">  Educational qualification</w:t>
            </w:r>
          </w:p>
          <w:p w14:paraId="0D4DC6AE" w14:textId="77777777" w:rsidR="00AC2AA1" w:rsidRDefault="00AC2AA1" w:rsidP="00332BFC">
            <w:pPr>
              <w:jc w:val="both"/>
              <w:rPr>
                <w:rFonts w:ascii="Arial" w:hAnsi="Arial" w:cs="Arial"/>
                <w:sz w:val="20"/>
              </w:rPr>
            </w:pPr>
            <w:r>
              <w:rPr>
                <w:rFonts w:ascii="Arial" w:hAnsi="Arial" w:cs="Arial"/>
                <w:sz w:val="20"/>
              </w:rPr>
              <w:t xml:space="preserve">  Of those, degree level</w:t>
            </w:r>
          </w:p>
        </w:tc>
        <w:tc>
          <w:tcPr>
            <w:tcW w:w="3118" w:type="dxa"/>
          </w:tcPr>
          <w:p w14:paraId="7BCBBBE0" w14:textId="77777777" w:rsidR="00AC2AA1" w:rsidRDefault="00AC2AA1" w:rsidP="00332BFC">
            <w:pPr>
              <w:jc w:val="center"/>
              <w:rPr>
                <w:rFonts w:ascii="Arial" w:hAnsi="Arial" w:cs="Arial"/>
                <w:sz w:val="20"/>
              </w:rPr>
            </w:pPr>
          </w:p>
          <w:p w14:paraId="51F38931" w14:textId="77777777" w:rsidR="00AC2AA1" w:rsidRDefault="00AC2AA1" w:rsidP="00332BFC">
            <w:pPr>
              <w:jc w:val="center"/>
              <w:rPr>
                <w:rFonts w:ascii="Arial" w:hAnsi="Arial" w:cs="Arial"/>
                <w:sz w:val="20"/>
              </w:rPr>
            </w:pPr>
            <w:r>
              <w:rPr>
                <w:rFonts w:ascii="Arial" w:hAnsi="Arial" w:cs="Arial"/>
                <w:sz w:val="20"/>
              </w:rPr>
              <w:t>438 (26.1%)</w:t>
            </w:r>
          </w:p>
          <w:p w14:paraId="06E310B8" w14:textId="77777777" w:rsidR="00AC2AA1" w:rsidRDefault="00AC2AA1" w:rsidP="00332BFC">
            <w:pPr>
              <w:jc w:val="center"/>
              <w:rPr>
                <w:rFonts w:ascii="Arial" w:hAnsi="Arial" w:cs="Arial"/>
                <w:sz w:val="20"/>
              </w:rPr>
            </w:pPr>
            <w:r>
              <w:rPr>
                <w:rFonts w:ascii="Arial" w:hAnsi="Arial" w:cs="Arial"/>
                <w:sz w:val="20"/>
              </w:rPr>
              <w:t>126 (7.7%)</w:t>
            </w:r>
          </w:p>
        </w:tc>
      </w:tr>
      <w:tr w:rsidR="00AC2AA1" w:rsidRPr="00650E59" w14:paraId="63CB9403" w14:textId="77777777" w:rsidTr="00332BFC">
        <w:tc>
          <w:tcPr>
            <w:tcW w:w="3964" w:type="dxa"/>
          </w:tcPr>
          <w:p w14:paraId="6E333996" w14:textId="77777777" w:rsidR="00AC2AA1" w:rsidRDefault="00AC2AA1" w:rsidP="00332BFC">
            <w:pPr>
              <w:jc w:val="both"/>
              <w:rPr>
                <w:rFonts w:ascii="Arial" w:hAnsi="Arial" w:cs="Arial"/>
                <w:sz w:val="20"/>
              </w:rPr>
            </w:pPr>
            <w:r>
              <w:rPr>
                <w:rFonts w:ascii="Arial" w:hAnsi="Arial" w:cs="Arial"/>
                <w:sz w:val="20"/>
              </w:rPr>
              <w:t>Living situation</w:t>
            </w:r>
          </w:p>
          <w:p w14:paraId="3E35335E" w14:textId="77777777" w:rsidR="00AC2AA1" w:rsidRPr="00650E59" w:rsidRDefault="00AC2AA1" w:rsidP="00332BFC">
            <w:pPr>
              <w:jc w:val="both"/>
              <w:rPr>
                <w:rFonts w:ascii="Arial" w:hAnsi="Arial" w:cs="Arial"/>
                <w:sz w:val="20"/>
              </w:rPr>
            </w:pPr>
            <w:r>
              <w:rPr>
                <w:rFonts w:ascii="Arial" w:hAnsi="Arial" w:cs="Arial"/>
                <w:sz w:val="20"/>
              </w:rPr>
              <w:t xml:space="preserve">  Alone</w:t>
            </w:r>
          </w:p>
        </w:tc>
        <w:tc>
          <w:tcPr>
            <w:tcW w:w="3118" w:type="dxa"/>
          </w:tcPr>
          <w:p w14:paraId="1A006B00" w14:textId="77777777" w:rsidR="00AC2AA1" w:rsidRDefault="00AC2AA1" w:rsidP="00332BFC">
            <w:pPr>
              <w:jc w:val="center"/>
              <w:rPr>
                <w:rFonts w:ascii="Arial" w:hAnsi="Arial" w:cs="Arial"/>
                <w:sz w:val="20"/>
              </w:rPr>
            </w:pPr>
          </w:p>
          <w:p w14:paraId="1D15AE47" w14:textId="77777777" w:rsidR="00AC2AA1" w:rsidRPr="00650E59" w:rsidRDefault="00AC2AA1" w:rsidP="00332BFC">
            <w:pPr>
              <w:jc w:val="center"/>
              <w:rPr>
                <w:rFonts w:ascii="Arial" w:hAnsi="Arial" w:cs="Arial"/>
                <w:sz w:val="20"/>
              </w:rPr>
            </w:pPr>
            <w:r>
              <w:rPr>
                <w:rFonts w:ascii="Arial" w:hAnsi="Arial" w:cs="Arial"/>
                <w:sz w:val="20"/>
              </w:rPr>
              <w:t>933 (55.4%)</w:t>
            </w:r>
          </w:p>
        </w:tc>
      </w:tr>
      <w:tr w:rsidR="00AC2AA1" w:rsidRPr="00650E59" w14:paraId="425FCFAF" w14:textId="77777777" w:rsidTr="00332BFC">
        <w:tc>
          <w:tcPr>
            <w:tcW w:w="3964" w:type="dxa"/>
          </w:tcPr>
          <w:p w14:paraId="13FA161A" w14:textId="77777777" w:rsidR="00AC2AA1" w:rsidRDefault="00AC2AA1" w:rsidP="00332BFC">
            <w:pPr>
              <w:jc w:val="both"/>
              <w:rPr>
                <w:rFonts w:ascii="Arial" w:hAnsi="Arial" w:cs="Arial"/>
                <w:sz w:val="20"/>
              </w:rPr>
            </w:pPr>
            <w:r>
              <w:rPr>
                <w:rFonts w:ascii="Arial" w:hAnsi="Arial" w:cs="Arial"/>
                <w:sz w:val="20"/>
              </w:rPr>
              <w:t>IMD Quintile</w:t>
            </w:r>
          </w:p>
          <w:p w14:paraId="7C2EA335" w14:textId="77777777" w:rsidR="00AC2AA1" w:rsidRDefault="00AC2AA1" w:rsidP="00332BFC">
            <w:pPr>
              <w:jc w:val="both"/>
              <w:rPr>
                <w:rFonts w:ascii="Arial" w:hAnsi="Arial" w:cs="Arial"/>
                <w:sz w:val="20"/>
              </w:rPr>
            </w:pPr>
            <w:r>
              <w:rPr>
                <w:rFonts w:ascii="Arial" w:hAnsi="Arial" w:cs="Arial"/>
                <w:sz w:val="20"/>
              </w:rPr>
              <w:t xml:space="preserve">  1 (least disadvantaged)</w:t>
            </w:r>
          </w:p>
          <w:p w14:paraId="24381833" w14:textId="77777777" w:rsidR="00AC2AA1" w:rsidRDefault="00AC2AA1" w:rsidP="00332BFC">
            <w:pPr>
              <w:jc w:val="both"/>
              <w:rPr>
                <w:rFonts w:ascii="Arial" w:hAnsi="Arial" w:cs="Arial"/>
                <w:sz w:val="20"/>
              </w:rPr>
            </w:pPr>
            <w:r>
              <w:rPr>
                <w:rFonts w:ascii="Arial" w:hAnsi="Arial" w:cs="Arial"/>
                <w:sz w:val="20"/>
              </w:rPr>
              <w:t xml:space="preserve">  2</w:t>
            </w:r>
          </w:p>
          <w:p w14:paraId="17051E64" w14:textId="77777777" w:rsidR="00AC2AA1" w:rsidRDefault="00AC2AA1" w:rsidP="00332BFC">
            <w:pPr>
              <w:jc w:val="both"/>
              <w:rPr>
                <w:rFonts w:ascii="Arial" w:hAnsi="Arial" w:cs="Arial"/>
                <w:sz w:val="20"/>
              </w:rPr>
            </w:pPr>
            <w:r>
              <w:rPr>
                <w:rFonts w:ascii="Arial" w:hAnsi="Arial" w:cs="Arial"/>
                <w:sz w:val="20"/>
              </w:rPr>
              <w:t xml:space="preserve">  3</w:t>
            </w:r>
          </w:p>
          <w:p w14:paraId="3A6BAF35" w14:textId="77777777" w:rsidR="00AC2AA1" w:rsidRDefault="00AC2AA1" w:rsidP="00332BFC">
            <w:pPr>
              <w:jc w:val="both"/>
              <w:rPr>
                <w:rFonts w:ascii="Arial" w:hAnsi="Arial" w:cs="Arial"/>
                <w:sz w:val="20"/>
              </w:rPr>
            </w:pPr>
            <w:r>
              <w:rPr>
                <w:rFonts w:ascii="Arial" w:hAnsi="Arial" w:cs="Arial"/>
                <w:sz w:val="20"/>
              </w:rPr>
              <w:t xml:space="preserve">  4</w:t>
            </w:r>
          </w:p>
          <w:p w14:paraId="502D45AA" w14:textId="77777777" w:rsidR="00AC2AA1" w:rsidRPr="00650E59" w:rsidRDefault="00AC2AA1" w:rsidP="00332BFC">
            <w:pPr>
              <w:jc w:val="both"/>
              <w:rPr>
                <w:rFonts w:ascii="Arial" w:hAnsi="Arial" w:cs="Arial"/>
                <w:sz w:val="20"/>
              </w:rPr>
            </w:pPr>
            <w:r>
              <w:rPr>
                <w:rFonts w:ascii="Arial" w:hAnsi="Arial" w:cs="Arial"/>
                <w:sz w:val="20"/>
              </w:rPr>
              <w:t xml:space="preserve">  5 (most disadvantaged)</w:t>
            </w:r>
          </w:p>
        </w:tc>
        <w:tc>
          <w:tcPr>
            <w:tcW w:w="3118" w:type="dxa"/>
          </w:tcPr>
          <w:p w14:paraId="73D67A8C" w14:textId="77777777" w:rsidR="00AC2AA1" w:rsidRDefault="00AC2AA1" w:rsidP="00332BFC">
            <w:pPr>
              <w:jc w:val="center"/>
              <w:rPr>
                <w:rFonts w:ascii="Arial" w:hAnsi="Arial" w:cs="Arial"/>
                <w:sz w:val="20"/>
              </w:rPr>
            </w:pPr>
          </w:p>
          <w:p w14:paraId="06284D5E" w14:textId="77777777" w:rsidR="00AC2AA1" w:rsidRDefault="00AC2AA1" w:rsidP="00332BFC">
            <w:pPr>
              <w:jc w:val="center"/>
              <w:rPr>
                <w:rFonts w:ascii="Arial" w:hAnsi="Arial" w:cs="Arial"/>
                <w:sz w:val="20"/>
              </w:rPr>
            </w:pPr>
            <w:r>
              <w:rPr>
                <w:rFonts w:ascii="Arial" w:hAnsi="Arial" w:cs="Arial"/>
                <w:sz w:val="20"/>
              </w:rPr>
              <w:t>122 (7.2%)</w:t>
            </w:r>
          </w:p>
          <w:p w14:paraId="532CB00B" w14:textId="77777777" w:rsidR="00AC2AA1" w:rsidRDefault="00AC2AA1" w:rsidP="00332BFC">
            <w:pPr>
              <w:jc w:val="center"/>
              <w:rPr>
                <w:rFonts w:ascii="Arial" w:hAnsi="Arial" w:cs="Arial"/>
                <w:sz w:val="20"/>
              </w:rPr>
            </w:pPr>
            <w:r>
              <w:rPr>
                <w:rFonts w:ascii="Arial" w:hAnsi="Arial" w:cs="Arial"/>
                <w:sz w:val="20"/>
              </w:rPr>
              <w:t>71 (4.2%)</w:t>
            </w:r>
          </w:p>
          <w:p w14:paraId="746A65DE" w14:textId="77777777" w:rsidR="00AC2AA1" w:rsidRDefault="00AC2AA1" w:rsidP="00332BFC">
            <w:pPr>
              <w:jc w:val="center"/>
              <w:rPr>
                <w:rFonts w:ascii="Arial" w:hAnsi="Arial" w:cs="Arial"/>
                <w:sz w:val="20"/>
              </w:rPr>
            </w:pPr>
            <w:r>
              <w:rPr>
                <w:rFonts w:ascii="Arial" w:hAnsi="Arial" w:cs="Arial"/>
                <w:sz w:val="20"/>
              </w:rPr>
              <w:t>116 (6.9%)</w:t>
            </w:r>
          </w:p>
          <w:p w14:paraId="30D2E79E" w14:textId="77777777" w:rsidR="00AC2AA1" w:rsidRDefault="00AC2AA1" w:rsidP="00332BFC">
            <w:pPr>
              <w:jc w:val="center"/>
              <w:rPr>
                <w:rFonts w:ascii="Arial" w:hAnsi="Arial" w:cs="Arial"/>
                <w:sz w:val="20"/>
              </w:rPr>
            </w:pPr>
            <w:r>
              <w:rPr>
                <w:rFonts w:ascii="Arial" w:hAnsi="Arial" w:cs="Arial"/>
                <w:sz w:val="20"/>
              </w:rPr>
              <w:t>258 (15.3%)</w:t>
            </w:r>
          </w:p>
          <w:p w14:paraId="260C5684" w14:textId="77777777" w:rsidR="00AC2AA1" w:rsidRPr="00650E59" w:rsidRDefault="00AC2AA1" w:rsidP="00332BFC">
            <w:pPr>
              <w:jc w:val="center"/>
              <w:rPr>
                <w:rFonts w:ascii="Arial" w:hAnsi="Arial" w:cs="Arial"/>
                <w:sz w:val="20"/>
              </w:rPr>
            </w:pPr>
            <w:r>
              <w:rPr>
                <w:rFonts w:ascii="Arial" w:hAnsi="Arial" w:cs="Arial"/>
                <w:sz w:val="20"/>
              </w:rPr>
              <w:t>1,118 (66.4%)</w:t>
            </w:r>
          </w:p>
        </w:tc>
      </w:tr>
      <w:tr w:rsidR="00AC2AA1" w:rsidRPr="00650E59" w14:paraId="0558E8E5" w14:textId="77777777" w:rsidTr="00332BFC">
        <w:tc>
          <w:tcPr>
            <w:tcW w:w="3964" w:type="dxa"/>
          </w:tcPr>
          <w:p w14:paraId="70AF3C38" w14:textId="77777777" w:rsidR="00AC2AA1" w:rsidRDefault="00AC2AA1" w:rsidP="00332BFC">
            <w:pPr>
              <w:jc w:val="both"/>
              <w:rPr>
                <w:rFonts w:ascii="Arial" w:hAnsi="Arial" w:cs="Arial"/>
                <w:sz w:val="20"/>
              </w:rPr>
            </w:pPr>
            <w:r>
              <w:rPr>
                <w:rFonts w:ascii="Arial" w:hAnsi="Arial" w:cs="Arial"/>
                <w:sz w:val="20"/>
              </w:rPr>
              <w:t>EQ-5D Mobility</w:t>
            </w:r>
          </w:p>
          <w:p w14:paraId="0DA633C5" w14:textId="77777777" w:rsidR="00AC2AA1" w:rsidRDefault="00AC2AA1" w:rsidP="00332BFC">
            <w:pPr>
              <w:jc w:val="both"/>
              <w:rPr>
                <w:rFonts w:ascii="Arial" w:hAnsi="Arial" w:cs="Arial"/>
                <w:sz w:val="20"/>
              </w:rPr>
            </w:pPr>
            <w:r>
              <w:rPr>
                <w:rFonts w:ascii="Arial" w:hAnsi="Arial" w:cs="Arial"/>
                <w:sz w:val="20"/>
              </w:rPr>
              <w:t xml:space="preserve">  No problems walking</w:t>
            </w:r>
          </w:p>
          <w:p w14:paraId="3C1CD71F" w14:textId="77777777" w:rsidR="00AC2AA1" w:rsidRDefault="00AC2AA1" w:rsidP="00332BFC">
            <w:pPr>
              <w:jc w:val="both"/>
              <w:rPr>
                <w:rFonts w:ascii="Arial" w:hAnsi="Arial" w:cs="Arial"/>
                <w:sz w:val="20"/>
              </w:rPr>
            </w:pPr>
            <w:r>
              <w:rPr>
                <w:rFonts w:ascii="Arial" w:hAnsi="Arial" w:cs="Arial"/>
                <w:sz w:val="20"/>
              </w:rPr>
              <w:t xml:space="preserve">  Some problems walking</w:t>
            </w:r>
          </w:p>
          <w:p w14:paraId="39758FD6" w14:textId="77777777" w:rsidR="00AC2AA1" w:rsidRDefault="00AC2AA1" w:rsidP="00332BFC">
            <w:pPr>
              <w:jc w:val="both"/>
              <w:rPr>
                <w:rFonts w:ascii="Arial" w:hAnsi="Arial" w:cs="Arial"/>
                <w:sz w:val="20"/>
              </w:rPr>
            </w:pPr>
            <w:r>
              <w:rPr>
                <w:rFonts w:ascii="Arial" w:hAnsi="Arial" w:cs="Arial"/>
                <w:sz w:val="20"/>
              </w:rPr>
              <w:t xml:space="preserve">  Confined to bed</w:t>
            </w:r>
          </w:p>
        </w:tc>
        <w:tc>
          <w:tcPr>
            <w:tcW w:w="3118" w:type="dxa"/>
          </w:tcPr>
          <w:p w14:paraId="6E1BDAD5" w14:textId="77777777" w:rsidR="00AC2AA1" w:rsidRDefault="00AC2AA1" w:rsidP="00332BFC">
            <w:pPr>
              <w:jc w:val="center"/>
              <w:rPr>
                <w:rFonts w:ascii="Arial" w:hAnsi="Arial" w:cs="Arial"/>
                <w:sz w:val="20"/>
              </w:rPr>
            </w:pPr>
          </w:p>
          <w:p w14:paraId="3DA71244" w14:textId="77777777" w:rsidR="00AC2AA1" w:rsidRDefault="00AC2AA1" w:rsidP="00332BFC">
            <w:pPr>
              <w:jc w:val="center"/>
              <w:rPr>
                <w:rFonts w:ascii="Arial" w:hAnsi="Arial" w:cs="Arial"/>
                <w:sz w:val="20"/>
              </w:rPr>
            </w:pPr>
            <w:r>
              <w:rPr>
                <w:rFonts w:ascii="Arial" w:hAnsi="Arial" w:cs="Arial"/>
                <w:sz w:val="20"/>
              </w:rPr>
              <w:t>939 (55.7%)</w:t>
            </w:r>
          </w:p>
          <w:p w14:paraId="4D74A254" w14:textId="77777777" w:rsidR="00AC2AA1" w:rsidRDefault="00AC2AA1" w:rsidP="00332BFC">
            <w:pPr>
              <w:jc w:val="center"/>
              <w:rPr>
                <w:rFonts w:ascii="Arial" w:hAnsi="Arial" w:cs="Arial"/>
                <w:sz w:val="20"/>
              </w:rPr>
            </w:pPr>
            <w:r>
              <w:rPr>
                <w:rFonts w:ascii="Arial" w:hAnsi="Arial" w:cs="Arial"/>
                <w:sz w:val="20"/>
              </w:rPr>
              <w:t>729 (43.3%)</w:t>
            </w:r>
          </w:p>
          <w:p w14:paraId="0E845260" w14:textId="77777777" w:rsidR="00AC2AA1" w:rsidRDefault="00AC2AA1" w:rsidP="00332BFC">
            <w:pPr>
              <w:jc w:val="center"/>
              <w:rPr>
                <w:rFonts w:ascii="Arial" w:hAnsi="Arial" w:cs="Arial"/>
                <w:sz w:val="20"/>
              </w:rPr>
            </w:pPr>
            <w:r>
              <w:rPr>
                <w:rFonts w:ascii="Arial" w:hAnsi="Arial" w:cs="Arial"/>
                <w:sz w:val="20"/>
              </w:rPr>
              <w:t>16 (0.9%)</w:t>
            </w:r>
          </w:p>
        </w:tc>
      </w:tr>
      <w:tr w:rsidR="00AC2AA1" w:rsidRPr="00650E59" w14:paraId="7F9C160E" w14:textId="77777777" w:rsidTr="00332BFC">
        <w:tc>
          <w:tcPr>
            <w:tcW w:w="3964" w:type="dxa"/>
          </w:tcPr>
          <w:p w14:paraId="3EEB5FA0" w14:textId="77777777" w:rsidR="00AC2AA1" w:rsidRDefault="00AC2AA1" w:rsidP="00332BFC">
            <w:pPr>
              <w:jc w:val="both"/>
              <w:rPr>
                <w:rFonts w:ascii="Arial" w:hAnsi="Arial" w:cs="Arial"/>
                <w:sz w:val="20"/>
              </w:rPr>
            </w:pPr>
            <w:r>
              <w:rPr>
                <w:rFonts w:ascii="Arial" w:hAnsi="Arial" w:cs="Arial"/>
                <w:sz w:val="20"/>
              </w:rPr>
              <w:t>EQ-5D Self-care</w:t>
            </w:r>
          </w:p>
          <w:p w14:paraId="66C04D12" w14:textId="77777777" w:rsidR="00AC2AA1" w:rsidRDefault="00AC2AA1" w:rsidP="00332BFC">
            <w:pPr>
              <w:jc w:val="both"/>
              <w:rPr>
                <w:rFonts w:ascii="Arial" w:hAnsi="Arial" w:cs="Arial"/>
                <w:sz w:val="20"/>
              </w:rPr>
            </w:pPr>
            <w:r>
              <w:rPr>
                <w:rFonts w:ascii="Arial" w:hAnsi="Arial" w:cs="Arial"/>
                <w:sz w:val="20"/>
              </w:rPr>
              <w:t xml:space="preserve">  No problems</w:t>
            </w:r>
          </w:p>
          <w:p w14:paraId="7A59A478" w14:textId="77777777" w:rsidR="00AC2AA1" w:rsidRDefault="00AC2AA1" w:rsidP="00332BFC">
            <w:pPr>
              <w:jc w:val="both"/>
              <w:rPr>
                <w:rFonts w:ascii="Arial" w:hAnsi="Arial" w:cs="Arial"/>
                <w:sz w:val="20"/>
              </w:rPr>
            </w:pPr>
            <w:r>
              <w:rPr>
                <w:rFonts w:ascii="Arial" w:hAnsi="Arial" w:cs="Arial"/>
                <w:sz w:val="20"/>
              </w:rPr>
              <w:t xml:space="preserve">  Some problems with washing/dressing</w:t>
            </w:r>
          </w:p>
          <w:p w14:paraId="5C07963D" w14:textId="77777777" w:rsidR="00AC2AA1" w:rsidRDefault="00AC2AA1" w:rsidP="00332BFC">
            <w:pPr>
              <w:jc w:val="both"/>
              <w:rPr>
                <w:rFonts w:ascii="Arial" w:hAnsi="Arial" w:cs="Arial"/>
                <w:sz w:val="20"/>
              </w:rPr>
            </w:pPr>
            <w:r>
              <w:rPr>
                <w:rFonts w:ascii="Arial" w:hAnsi="Arial" w:cs="Arial"/>
                <w:sz w:val="20"/>
              </w:rPr>
              <w:t xml:space="preserve">  Unable to wash or dress</w:t>
            </w:r>
          </w:p>
        </w:tc>
        <w:tc>
          <w:tcPr>
            <w:tcW w:w="3118" w:type="dxa"/>
          </w:tcPr>
          <w:p w14:paraId="2A1B8BBC" w14:textId="77777777" w:rsidR="00AC2AA1" w:rsidRDefault="00AC2AA1" w:rsidP="00332BFC">
            <w:pPr>
              <w:jc w:val="center"/>
              <w:rPr>
                <w:rFonts w:ascii="Arial" w:hAnsi="Arial" w:cs="Arial"/>
                <w:sz w:val="20"/>
              </w:rPr>
            </w:pPr>
          </w:p>
          <w:p w14:paraId="7DCC8283" w14:textId="77777777" w:rsidR="00AC2AA1" w:rsidRDefault="00AC2AA1" w:rsidP="00332BFC">
            <w:pPr>
              <w:jc w:val="center"/>
              <w:rPr>
                <w:rFonts w:ascii="Arial" w:hAnsi="Arial" w:cs="Arial"/>
                <w:sz w:val="20"/>
              </w:rPr>
            </w:pPr>
            <w:r>
              <w:rPr>
                <w:rFonts w:ascii="Arial" w:hAnsi="Arial" w:cs="Arial"/>
                <w:sz w:val="20"/>
              </w:rPr>
              <w:t>1,398 (83.0%)</w:t>
            </w:r>
          </w:p>
          <w:p w14:paraId="29B7C5EA" w14:textId="77777777" w:rsidR="00AC2AA1" w:rsidRDefault="00AC2AA1" w:rsidP="00332BFC">
            <w:pPr>
              <w:jc w:val="center"/>
              <w:rPr>
                <w:rFonts w:ascii="Arial" w:hAnsi="Arial" w:cs="Arial"/>
                <w:sz w:val="20"/>
              </w:rPr>
            </w:pPr>
            <w:r>
              <w:rPr>
                <w:rFonts w:ascii="Arial" w:hAnsi="Arial" w:cs="Arial"/>
                <w:sz w:val="20"/>
              </w:rPr>
              <w:t>268 (15.9%)</w:t>
            </w:r>
          </w:p>
          <w:p w14:paraId="0A307242" w14:textId="77777777" w:rsidR="00AC2AA1" w:rsidRPr="00650E59" w:rsidRDefault="00AC2AA1" w:rsidP="00332BFC">
            <w:pPr>
              <w:jc w:val="center"/>
              <w:rPr>
                <w:rFonts w:ascii="Arial" w:hAnsi="Arial" w:cs="Arial"/>
                <w:sz w:val="20"/>
              </w:rPr>
            </w:pPr>
            <w:r>
              <w:rPr>
                <w:rFonts w:ascii="Arial" w:hAnsi="Arial" w:cs="Arial"/>
                <w:sz w:val="20"/>
              </w:rPr>
              <w:t>19 (1.1%)</w:t>
            </w:r>
          </w:p>
        </w:tc>
      </w:tr>
      <w:tr w:rsidR="00AC2AA1" w:rsidRPr="00650E59" w14:paraId="69503DFA" w14:textId="77777777" w:rsidTr="00332BFC">
        <w:tc>
          <w:tcPr>
            <w:tcW w:w="3964" w:type="dxa"/>
          </w:tcPr>
          <w:p w14:paraId="22070D40" w14:textId="77777777" w:rsidR="00AC2AA1" w:rsidRDefault="00AC2AA1" w:rsidP="00332BFC">
            <w:pPr>
              <w:jc w:val="both"/>
              <w:rPr>
                <w:rFonts w:ascii="Arial" w:hAnsi="Arial" w:cs="Arial"/>
                <w:sz w:val="20"/>
              </w:rPr>
            </w:pPr>
            <w:r>
              <w:rPr>
                <w:rFonts w:ascii="Arial" w:hAnsi="Arial" w:cs="Arial"/>
                <w:sz w:val="20"/>
              </w:rPr>
              <w:t>EQ-5D Usual activities</w:t>
            </w:r>
          </w:p>
          <w:p w14:paraId="039414F7" w14:textId="77777777" w:rsidR="00AC2AA1" w:rsidRDefault="00AC2AA1" w:rsidP="00332BFC">
            <w:pPr>
              <w:jc w:val="both"/>
              <w:rPr>
                <w:rFonts w:ascii="Arial" w:hAnsi="Arial" w:cs="Arial"/>
                <w:sz w:val="20"/>
              </w:rPr>
            </w:pPr>
            <w:r>
              <w:rPr>
                <w:rFonts w:ascii="Arial" w:hAnsi="Arial" w:cs="Arial"/>
                <w:sz w:val="20"/>
              </w:rPr>
              <w:t xml:space="preserve">  No problems</w:t>
            </w:r>
          </w:p>
          <w:p w14:paraId="62F4EA7F" w14:textId="77777777" w:rsidR="00AC2AA1" w:rsidRDefault="00AC2AA1" w:rsidP="00332BFC">
            <w:pPr>
              <w:jc w:val="both"/>
              <w:rPr>
                <w:rFonts w:ascii="Arial" w:hAnsi="Arial" w:cs="Arial"/>
                <w:sz w:val="20"/>
              </w:rPr>
            </w:pPr>
            <w:r>
              <w:rPr>
                <w:rFonts w:ascii="Arial" w:hAnsi="Arial" w:cs="Arial"/>
                <w:sz w:val="20"/>
              </w:rPr>
              <w:t xml:space="preserve">  Some problems</w:t>
            </w:r>
          </w:p>
          <w:p w14:paraId="68D4EEC3" w14:textId="77777777" w:rsidR="00AC2AA1" w:rsidRDefault="00AC2AA1" w:rsidP="00332BFC">
            <w:pPr>
              <w:jc w:val="both"/>
              <w:rPr>
                <w:rFonts w:ascii="Arial" w:hAnsi="Arial" w:cs="Arial"/>
                <w:sz w:val="20"/>
              </w:rPr>
            </w:pPr>
            <w:r>
              <w:rPr>
                <w:rFonts w:ascii="Arial" w:hAnsi="Arial" w:cs="Arial"/>
                <w:sz w:val="20"/>
              </w:rPr>
              <w:t xml:space="preserve">  Unable to perform</w:t>
            </w:r>
          </w:p>
        </w:tc>
        <w:tc>
          <w:tcPr>
            <w:tcW w:w="3118" w:type="dxa"/>
          </w:tcPr>
          <w:p w14:paraId="4BD8ACDE" w14:textId="77777777" w:rsidR="00AC2AA1" w:rsidRDefault="00AC2AA1" w:rsidP="00332BFC">
            <w:pPr>
              <w:jc w:val="center"/>
              <w:rPr>
                <w:rFonts w:ascii="Arial" w:hAnsi="Arial" w:cs="Arial"/>
                <w:sz w:val="20"/>
              </w:rPr>
            </w:pPr>
          </w:p>
          <w:p w14:paraId="526CAE6B" w14:textId="77777777" w:rsidR="00AC2AA1" w:rsidRDefault="00AC2AA1" w:rsidP="00332BFC">
            <w:pPr>
              <w:jc w:val="center"/>
              <w:rPr>
                <w:rFonts w:ascii="Arial" w:hAnsi="Arial" w:cs="Arial"/>
                <w:sz w:val="20"/>
              </w:rPr>
            </w:pPr>
            <w:r>
              <w:rPr>
                <w:rFonts w:ascii="Arial" w:hAnsi="Arial" w:cs="Arial"/>
                <w:sz w:val="20"/>
              </w:rPr>
              <w:t>1,072 (63.6%)</w:t>
            </w:r>
          </w:p>
          <w:p w14:paraId="2E6C1CAF" w14:textId="77777777" w:rsidR="00AC2AA1" w:rsidRDefault="00AC2AA1" w:rsidP="00332BFC">
            <w:pPr>
              <w:jc w:val="center"/>
              <w:rPr>
                <w:rFonts w:ascii="Arial" w:hAnsi="Arial" w:cs="Arial"/>
                <w:sz w:val="20"/>
              </w:rPr>
            </w:pPr>
            <w:r>
              <w:rPr>
                <w:rFonts w:ascii="Arial" w:hAnsi="Arial" w:cs="Arial"/>
                <w:sz w:val="20"/>
              </w:rPr>
              <w:t>541 (32.1%)</w:t>
            </w:r>
          </w:p>
          <w:p w14:paraId="049528F0" w14:textId="77777777" w:rsidR="00AC2AA1" w:rsidRPr="00650E59" w:rsidRDefault="00AC2AA1" w:rsidP="00332BFC">
            <w:pPr>
              <w:jc w:val="center"/>
              <w:rPr>
                <w:rFonts w:ascii="Arial" w:hAnsi="Arial" w:cs="Arial"/>
                <w:sz w:val="20"/>
              </w:rPr>
            </w:pPr>
            <w:r>
              <w:rPr>
                <w:rFonts w:ascii="Arial" w:hAnsi="Arial" w:cs="Arial"/>
                <w:sz w:val="20"/>
              </w:rPr>
              <w:t>72 (4.3%)</w:t>
            </w:r>
          </w:p>
        </w:tc>
      </w:tr>
      <w:tr w:rsidR="00AC2AA1" w:rsidRPr="00650E59" w14:paraId="65CFA8F8" w14:textId="77777777" w:rsidTr="00332BFC">
        <w:tc>
          <w:tcPr>
            <w:tcW w:w="3964" w:type="dxa"/>
          </w:tcPr>
          <w:p w14:paraId="466681E7" w14:textId="77777777" w:rsidR="00AC2AA1" w:rsidRDefault="00AC2AA1" w:rsidP="00332BFC">
            <w:pPr>
              <w:jc w:val="both"/>
              <w:rPr>
                <w:rFonts w:ascii="Arial" w:hAnsi="Arial" w:cs="Arial"/>
                <w:sz w:val="20"/>
              </w:rPr>
            </w:pPr>
            <w:r>
              <w:rPr>
                <w:rFonts w:ascii="Arial" w:hAnsi="Arial" w:cs="Arial"/>
                <w:sz w:val="20"/>
              </w:rPr>
              <w:t>Frailty</w:t>
            </w:r>
          </w:p>
          <w:p w14:paraId="65924BD7" w14:textId="77777777" w:rsidR="00AC2AA1" w:rsidRDefault="00AC2AA1" w:rsidP="00332BFC">
            <w:pPr>
              <w:jc w:val="both"/>
              <w:rPr>
                <w:rFonts w:ascii="Arial" w:hAnsi="Arial" w:cs="Arial"/>
                <w:sz w:val="20"/>
              </w:rPr>
            </w:pPr>
            <w:r>
              <w:rPr>
                <w:rFonts w:ascii="Arial" w:hAnsi="Arial" w:cs="Arial"/>
                <w:sz w:val="20"/>
              </w:rPr>
              <w:t xml:space="preserve">  Not frail</w:t>
            </w:r>
          </w:p>
          <w:p w14:paraId="3874578A" w14:textId="77777777" w:rsidR="00AC2AA1" w:rsidRDefault="00AC2AA1" w:rsidP="00332BFC">
            <w:pPr>
              <w:jc w:val="both"/>
              <w:rPr>
                <w:rFonts w:ascii="Arial" w:hAnsi="Arial" w:cs="Arial"/>
                <w:sz w:val="20"/>
              </w:rPr>
            </w:pPr>
            <w:r>
              <w:rPr>
                <w:rFonts w:ascii="Arial" w:hAnsi="Arial" w:cs="Arial"/>
                <w:sz w:val="20"/>
              </w:rPr>
              <w:t xml:space="preserve">  Moderately frail</w:t>
            </w:r>
          </w:p>
          <w:p w14:paraId="624F1A34" w14:textId="77777777" w:rsidR="00AC2AA1" w:rsidRDefault="00AC2AA1" w:rsidP="00332BFC">
            <w:pPr>
              <w:jc w:val="both"/>
              <w:rPr>
                <w:rFonts w:ascii="Arial" w:hAnsi="Arial" w:cs="Arial"/>
                <w:sz w:val="20"/>
              </w:rPr>
            </w:pPr>
            <w:r>
              <w:rPr>
                <w:rFonts w:ascii="Arial" w:hAnsi="Arial" w:cs="Arial"/>
                <w:sz w:val="20"/>
              </w:rPr>
              <w:t xml:space="preserve">  Severely frail</w:t>
            </w:r>
          </w:p>
        </w:tc>
        <w:tc>
          <w:tcPr>
            <w:tcW w:w="3118" w:type="dxa"/>
          </w:tcPr>
          <w:p w14:paraId="0FAD2B43" w14:textId="77777777" w:rsidR="00AC2AA1" w:rsidRDefault="00AC2AA1" w:rsidP="00332BFC">
            <w:pPr>
              <w:jc w:val="center"/>
              <w:rPr>
                <w:rFonts w:ascii="Arial" w:hAnsi="Arial" w:cs="Arial"/>
                <w:sz w:val="20"/>
              </w:rPr>
            </w:pPr>
          </w:p>
          <w:p w14:paraId="0161722D" w14:textId="77777777" w:rsidR="00AC2AA1" w:rsidRDefault="00AC2AA1" w:rsidP="00332BFC">
            <w:pPr>
              <w:jc w:val="center"/>
              <w:rPr>
                <w:rFonts w:ascii="Arial" w:hAnsi="Arial" w:cs="Arial"/>
                <w:sz w:val="20"/>
              </w:rPr>
            </w:pPr>
            <w:r>
              <w:rPr>
                <w:rFonts w:ascii="Arial" w:hAnsi="Arial" w:cs="Arial"/>
                <w:sz w:val="20"/>
              </w:rPr>
              <w:t>1,411 (83.8%)</w:t>
            </w:r>
          </w:p>
          <w:p w14:paraId="1265CABE" w14:textId="77777777" w:rsidR="00AC2AA1" w:rsidRDefault="00AC2AA1" w:rsidP="00332BFC">
            <w:pPr>
              <w:jc w:val="center"/>
              <w:rPr>
                <w:rFonts w:ascii="Arial" w:hAnsi="Arial" w:cs="Arial"/>
                <w:sz w:val="20"/>
              </w:rPr>
            </w:pPr>
            <w:r>
              <w:rPr>
                <w:rFonts w:ascii="Arial" w:hAnsi="Arial" w:cs="Arial"/>
                <w:sz w:val="20"/>
              </w:rPr>
              <w:t>190 (11.3%)</w:t>
            </w:r>
          </w:p>
          <w:p w14:paraId="661F9CCF" w14:textId="77777777" w:rsidR="00AC2AA1" w:rsidRDefault="00AC2AA1" w:rsidP="00332BFC">
            <w:pPr>
              <w:jc w:val="center"/>
              <w:rPr>
                <w:rFonts w:ascii="Arial" w:hAnsi="Arial" w:cs="Arial"/>
                <w:sz w:val="20"/>
              </w:rPr>
            </w:pPr>
            <w:r>
              <w:rPr>
                <w:rFonts w:ascii="Arial" w:hAnsi="Arial" w:cs="Arial"/>
                <w:sz w:val="20"/>
              </w:rPr>
              <w:t>83 (4.9%)</w:t>
            </w:r>
          </w:p>
        </w:tc>
      </w:tr>
      <w:tr w:rsidR="00AC2AA1" w:rsidRPr="00650E59" w14:paraId="25D320BF" w14:textId="77777777" w:rsidTr="00332BFC">
        <w:tc>
          <w:tcPr>
            <w:tcW w:w="3964" w:type="dxa"/>
          </w:tcPr>
          <w:p w14:paraId="6A922CAD" w14:textId="77777777" w:rsidR="00AC2AA1" w:rsidRDefault="00AC2AA1" w:rsidP="00332BFC">
            <w:pPr>
              <w:jc w:val="both"/>
              <w:rPr>
                <w:rFonts w:ascii="Arial" w:hAnsi="Arial" w:cs="Arial"/>
                <w:sz w:val="20"/>
              </w:rPr>
            </w:pPr>
            <w:r>
              <w:rPr>
                <w:rFonts w:ascii="Arial" w:hAnsi="Arial" w:cs="Arial"/>
                <w:sz w:val="20"/>
              </w:rPr>
              <w:t>Engaged with clubs/groups in past 12 months</w:t>
            </w:r>
          </w:p>
        </w:tc>
        <w:tc>
          <w:tcPr>
            <w:tcW w:w="3118" w:type="dxa"/>
          </w:tcPr>
          <w:p w14:paraId="04C8C8FC" w14:textId="77777777" w:rsidR="00AC2AA1" w:rsidRDefault="00AC2AA1" w:rsidP="00332BFC">
            <w:pPr>
              <w:jc w:val="center"/>
              <w:rPr>
                <w:rFonts w:ascii="Arial" w:hAnsi="Arial" w:cs="Arial"/>
                <w:sz w:val="20"/>
              </w:rPr>
            </w:pPr>
            <w:r>
              <w:rPr>
                <w:rFonts w:ascii="Arial" w:hAnsi="Arial" w:cs="Arial"/>
                <w:sz w:val="20"/>
              </w:rPr>
              <w:t>439 (26.1%)</w:t>
            </w:r>
          </w:p>
        </w:tc>
      </w:tr>
      <w:tr w:rsidR="00AC2AA1" w:rsidRPr="00650E59" w14:paraId="2956BB62" w14:textId="77777777" w:rsidTr="00332BFC">
        <w:tc>
          <w:tcPr>
            <w:tcW w:w="3964" w:type="dxa"/>
          </w:tcPr>
          <w:p w14:paraId="2F9C17E1" w14:textId="77777777" w:rsidR="00AC2AA1" w:rsidRDefault="00AC2AA1" w:rsidP="00332BFC">
            <w:pPr>
              <w:jc w:val="both"/>
              <w:rPr>
                <w:rFonts w:ascii="Arial" w:hAnsi="Arial" w:cs="Arial"/>
                <w:sz w:val="20"/>
              </w:rPr>
            </w:pPr>
            <w:r>
              <w:rPr>
                <w:rFonts w:ascii="Arial" w:hAnsi="Arial" w:cs="Arial"/>
                <w:sz w:val="20"/>
              </w:rPr>
              <w:t>GP attendance in past 12 months</w:t>
            </w:r>
          </w:p>
        </w:tc>
        <w:tc>
          <w:tcPr>
            <w:tcW w:w="3118" w:type="dxa"/>
          </w:tcPr>
          <w:p w14:paraId="124CDA13" w14:textId="77777777" w:rsidR="00AC2AA1" w:rsidRDefault="00AC2AA1" w:rsidP="00332BFC">
            <w:pPr>
              <w:jc w:val="center"/>
              <w:rPr>
                <w:rFonts w:ascii="Arial" w:hAnsi="Arial" w:cs="Arial"/>
                <w:sz w:val="20"/>
              </w:rPr>
            </w:pPr>
            <w:r>
              <w:rPr>
                <w:rFonts w:ascii="Arial" w:hAnsi="Arial" w:cs="Arial"/>
                <w:sz w:val="20"/>
              </w:rPr>
              <w:t>1,473 (87.4%)</w:t>
            </w:r>
          </w:p>
        </w:tc>
      </w:tr>
      <w:tr w:rsidR="00AC2AA1" w:rsidRPr="00650E59" w14:paraId="5BA13375" w14:textId="77777777" w:rsidTr="00332BFC">
        <w:tc>
          <w:tcPr>
            <w:tcW w:w="3964" w:type="dxa"/>
          </w:tcPr>
          <w:p w14:paraId="7F5F6614" w14:textId="77777777" w:rsidR="00AC2AA1" w:rsidRDefault="00AC2AA1" w:rsidP="00332BFC">
            <w:pPr>
              <w:jc w:val="both"/>
              <w:rPr>
                <w:rFonts w:ascii="Arial" w:hAnsi="Arial" w:cs="Arial"/>
                <w:sz w:val="20"/>
              </w:rPr>
            </w:pPr>
            <w:r>
              <w:rPr>
                <w:rFonts w:ascii="Arial" w:hAnsi="Arial" w:cs="Arial"/>
                <w:sz w:val="20"/>
              </w:rPr>
              <w:t>Hospital attendance in past 12 months</w:t>
            </w:r>
          </w:p>
        </w:tc>
        <w:tc>
          <w:tcPr>
            <w:tcW w:w="3118" w:type="dxa"/>
          </w:tcPr>
          <w:p w14:paraId="09DC1869" w14:textId="77777777" w:rsidR="00AC2AA1" w:rsidRDefault="00AC2AA1" w:rsidP="00332BFC">
            <w:pPr>
              <w:jc w:val="center"/>
              <w:rPr>
                <w:rFonts w:ascii="Arial" w:hAnsi="Arial" w:cs="Arial"/>
                <w:sz w:val="20"/>
              </w:rPr>
            </w:pPr>
            <w:r>
              <w:rPr>
                <w:rFonts w:ascii="Arial" w:hAnsi="Arial" w:cs="Arial"/>
                <w:sz w:val="20"/>
              </w:rPr>
              <w:t>419 (25.0%)</w:t>
            </w:r>
          </w:p>
        </w:tc>
      </w:tr>
      <w:tr w:rsidR="00AC2AA1" w:rsidRPr="00650E59" w14:paraId="7BB3666F" w14:textId="77777777" w:rsidTr="00332BFC">
        <w:tc>
          <w:tcPr>
            <w:tcW w:w="7082" w:type="dxa"/>
            <w:gridSpan w:val="2"/>
            <w:shd w:val="clear" w:color="auto" w:fill="E7E6E6" w:themeFill="background2"/>
          </w:tcPr>
          <w:p w14:paraId="523FFC00" w14:textId="77777777" w:rsidR="00AC2AA1" w:rsidRPr="00161C60" w:rsidRDefault="00AC2AA1" w:rsidP="00332BFC">
            <w:pPr>
              <w:rPr>
                <w:rFonts w:ascii="Arial" w:hAnsi="Arial" w:cs="Arial"/>
                <w:b/>
                <w:sz w:val="20"/>
              </w:rPr>
            </w:pPr>
            <w:r w:rsidRPr="00161C60">
              <w:rPr>
                <w:rFonts w:ascii="Arial" w:hAnsi="Arial" w:cs="Arial"/>
                <w:b/>
                <w:sz w:val="20"/>
              </w:rPr>
              <w:t>Mean (SD) [Range]</w:t>
            </w:r>
          </w:p>
        </w:tc>
      </w:tr>
      <w:tr w:rsidR="00AC2AA1" w:rsidRPr="00650E59" w14:paraId="06DB722B" w14:textId="77777777" w:rsidTr="00332BFC">
        <w:tc>
          <w:tcPr>
            <w:tcW w:w="3964" w:type="dxa"/>
          </w:tcPr>
          <w:p w14:paraId="2C6DB9BF" w14:textId="77777777" w:rsidR="00AC2AA1" w:rsidRDefault="00AC2AA1" w:rsidP="00332BFC">
            <w:pPr>
              <w:jc w:val="both"/>
              <w:rPr>
                <w:rFonts w:ascii="Arial" w:hAnsi="Arial" w:cs="Arial"/>
                <w:sz w:val="20"/>
              </w:rPr>
            </w:pPr>
            <w:r w:rsidRPr="00650E59">
              <w:rPr>
                <w:rFonts w:ascii="Arial" w:hAnsi="Arial" w:cs="Arial"/>
                <w:sz w:val="20"/>
              </w:rPr>
              <w:t>Age, Mean (SD)</w:t>
            </w:r>
          </w:p>
        </w:tc>
        <w:tc>
          <w:tcPr>
            <w:tcW w:w="3118" w:type="dxa"/>
          </w:tcPr>
          <w:p w14:paraId="087B8CF6" w14:textId="77777777" w:rsidR="00AC2AA1" w:rsidRDefault="00AC2AA1" w:rsidP="00332BFC">
            <w:pPr>
              <w:jc w:val="center"/>
              <w:rPr>
                <w:rFonts w:ascii="Arial" w:hAnsi="Arial" w:cs="Arial"/>
                <w:sz w:val="20"/>
              </w:rPr>
            </w:pPr>
            <w:r>
              <w:rPr>
                <w:rFonts w:ascii="Arial" w:hAnsi="Arial" w:cs="Arial"/>
                <w:sz w:val="20"/>
              </w:rPr>
              <w:t>74 (+/-7)</w:t>
            </w:r>
          </w:p>
        </w:tc>
      </w:tr>
      <w:tr w:rsidR="00AC2AA1" w:rsidRPr="00650E59" w14:paraId="25B15A38" w14:textId="77777777" w:rsidTr="00332BFC">
        <w:tc>
          <w:tcPr>
            <w:tcW w:w="3964" w:type="dxa"/>
          </w:tcPr>
          <w:p w14:paraId="2BB782F6" w14:textId="77777777" w:rsidR="00AC2AA1" w:rsidRDefault="00AC2AA1" w:rsidP="00332BFC">
            <w:pPr>
              <w:jc w:val="both"/>
              <w:rPr>
                <w:rFonts w:ascii="Arial" w:hAnsi="Arial" w:cs="Arial"/>
                <w:sz w:val="20"/>
              </w:rPr>
            </w:pPr>
            <w:r>
              <w:rPr>
                <w:rFonts w:ascii="Arial" w:hAnsi="Arial" w:cs="Arial"/>
                <w:sz w:val="20"/>
              </w:rPr>
              <w:t>PHQ-9 Score, Mean (SD)</w:t>
            </w:r>
          </w:p>
        </w:tc>
        <w:tc>
          <w:tcPr>
            <w:tcW w:w="3118" w:type="dxa"/>
          </w:tcPr>
          <w:p w14:paraId="3A27D8B5" w14:textId="77777777" w:rsidR="00AC2AA1" w:rsidRDefault="00AC2AA1" w:rsidP="00332BFC">
            <w:pPr>
              <w:jc w:val="center"/>
              <w:rPr>
                <w:rFonts w:ascii="Arial" w:hAnsi="Arial" w:cs="Arial"/>
                <w:sz w:val="20"/>
              </w:rPr>
            </w:pPr>
            <w:r>
              <w:rPr>
                <w:rFonts w:ascii="Arial" w:hAnsi="Arial" w:cs="Arial"/>
                <w:sz w:val="20"/>
              </w:rPr>
              <w:t>12.9 (+/-5.2)</w:t>
            </w:r>
          </w:p>
        </w:tc>
      </w:tr>
      <w:tr w:rsidR="00AC2AA1" w:rsidRPr="00650E59" w14:paraId="6EA9744E" w14:textId="77777777" w:rsidTr="00332BFC">
        <w:tc>
          <w:tcPr>
            <w:tcW w:w="3964" w:type="dxa"/>
          </w:tcPr>
          <w:p w14:paraId="1FDECE3E" w14:textId="77777777" w:rsidR="00AC2AA1" w:rsidRDefault="00AC2AA1" w:rsidP="00332BFC">
            <w:pPr>
              <w:jc w:val="both"/>
              <w:rPr>
                <w:rFonts w:ascii="Arial" w:hAnsi="Arial" w:cs="Arial"/>
                <w:sz w:val="20"/>
              </w:rPr>
            </w:pPr>
            <w:r>
              <w:rPr>
                <w:rFonts w:ascii="Arial" w:hAnsi="Arial" w:cs="Arial"/>
                <w:sz w:val="20"/>
              </w:rPr>
              <w:t>Number of medications</w:t>
            </w:r>
          </w:p>
        </w:tc>
        <w:tc>
          <w:tcPr>
            <w:tcW w:w="3118" w:type="dxa"/>
          </w:tcPr>
          <w:p w14:paraId="419AE755" w14:textId="77777777" w:rsidR="00AC2AA1" w:rsidRDefault="00AC2AA1" w:rsidP="00332BFC">
            <w:pPr>
              <w:jc w:val="center"/>
              <w:rPr>
                <w:rFonts w:ascii="Arial" w:hAnsi="Arial" w:cs="Arial"/>
                <w:sz w:val="20"/>
              </w:rPr>
            </w:pPr>
            <w:r>
              <w:rPr>
                <w:rFonts w:ascii="Arial" w:hAnsi="Arial" w:cs="Arial"/>
                <w:sz w:val="20"/>
              </w:rPr>
              <w:t>5 (+/-5), [1-50]</w:t>
            </w:r>
          </w:p>
        </w:tc>
      </w:tr>
      <w:tr w:rsidR="00AC2AA1" w:rsidRPr="00650E59" w14:paraId="29234FD9" w14:textId="77777777" w:rsidTr="00332BFC">
        <w:tc>
          <w:tcPr>
            <w:tcW w:w="3964" w:type="dxa"/>
          </w:tcPr>
          <w:p w14:paraId="75DFB8A9" w14:textId="77777777" w:rsidR="00AC2AA1" w:rsidRPr="00650E59" w:rsidRDefault="00AC2AA1" w:rsidP="00332BFC">
            <w:pPr>
              <w:jc w:val="both"/>
              <w:rPr>
                <w:rFonts w:ascii="Arial" w:hAnsi="Arial" w:cs="Arial"/>
                <w:sz w:val="20"/>
              </w:rPr>
            </w:pPr>
            <w:r>
              <w:rPr>
                <w:rFonts w:ascii="Arial" w:hAnsi="Arial" w:cs="Arial"/>
                <w:sz w:val="20"/>
              </w:rPr>
              <w:t>Number of GP visits</w:t>
            </w:r>
          </w:p>
        </w:tc>
        <w:tc>
          <w:tcPr>
            <w:tcW w:w="3118" w:type="dxa"/>
          </w:tcPr>
          <w:p w14:paraId="22BC33FE" w14:textId="77777777" w:rsidR="00AC2AA1" w:rsidRPr="00650E59" w:rsidRDefault="00AC2AA1" w:rsidP="00332BFC">
            <w:pPr>
              <w:jc w:val="center"/>
              <w:rPr>
                <w:rFonts w:ascii="Arial" w:hAnsi="Arial" w:cs="Arial"/>
                <w:sz w:val="20"/>
              </w:rPr>
            </w:pPr>
            <w:r w:rsidRPr="00780FC6">
              <w:rPr>
                <w:rFonts w:ascii="Arial" w:hAnsi="Arial" w:cs="Arial"/>
                <w:sz w:val="20"/>
              </w:rPr>
              <w:t>5 (+/-5) [0-26]</w:t>
            </w:r>
          </w:p>
        </w:tc>
      </w:tr>
      <w:tr w:rsidR="00AC2AA1" w:rsidRPr="00650E59" w14:paraId="32C8FF24" w14:textId="77777777" w:rsidTr="00332BFC">
        <w:tc>
          <w:tcPr>
            <w:tcW w:w="3964" w:type="dxa"/>
          </w:tcPr>
          <w:p w14:paraId="4ABAF0A1" w14:textId="77777777" w:rsidR="00AC2AA1" w:rsidRPr="00650E59" w:rsidRDefault="00AC2AA1" w:rsidP="00332BFC">
            <w:pPr>
              <w:jc w:val="both"/>
              <w:rPr>
                <w:rFonts w:ascii="Arial" w:hAnsi="Arial" w:cs="Arial"/>
                <w:sz w:val="20"/>
              </w:rPr>
            </w:pPr>
            <w:r>
              <w:rPr>
                <w:rFonts w:ascii="Arial" w:hAnsi="Arial" w:cs="Arial"/>
                <w:sz w:val="20"/>
              </w:rPr>
              <w:t>Number of hospital attendances</w:t>
            </w:r>
          </w:p>
        </w:tc>
        <w:tc>
          <w:tcPr>
            <w:tcW w:w="3118" w:type="dxa"/>
          </w:tcPr>
          <w:p w14:paraId="00AE1E31" w14:textId="77777777" w:rsidR="00AC2AA1" w:rsidRPr="00650E59" w:rsidRDefault="00AC2AA1" w:rsidP="00332BFC">
            <w:pPr>
              <w:jc w:val="center"/>
              <w:rPr>
                <w:rFonts w:ascii="Arial" w:hAnsi="Arial" w:cs="Arial"/>
                <w:sz w:val="20"/>
              </w:rPr>
            </w:pPr>
            <w:r>
              <w:rPr>
                <w:rFonts w:ascii="Arial" w:hAnsi="Arial" w:cs="Arial"/>
                <w:sz w:val="20"/>
              </w:rPr>
              <w:t>2 (+/-0.5) [1-6]</w:t>
            </w:r>
          </w:p>
        </w:tc>
      </w:tr>
    </w:tbl>
    <w:p w14:paraId="63F0CA8A" w14:textId="77777777" w:rsidR="00AC2AA1" w:rsidRPr="00BE326A" w:rsidRDefault="00AC2AA1" w:rsidP="00AC2AA1">
      <w:pPr>
        <w:ind w:right="2104"/>
        <w:jc w:val="both"/>
        <w:rPr>
          <w:rFonts w:ascii="Arial" w:hAnsi="Arial" w:cs="Arial"/>
          <w:sz w:val="18"/>
        </w:rPr>
      </w:pPr>
      <w:r>
        <w:rPr>
          <w:rFonts w:ascii="Arial" w:hAnsi="Arial" w:cs="Arial"/>
          <w:b/>
          <w:sz w:val="18"/>
        </w:rPr>
        <w:t xml:space="preserve">NOTE: </w:t>
      </w:r>
      <w:r w:rsidRPr="00BE326A">
        <w:rPr>
          <w:rFonts w:ascii="Arial" w:hAnsi="Arial" w:cs="Arial"/>
          <w:sz w:val="18"/>
        </w:rPr>
        <w:t>GP = General Practitioner;</w:t>
      </w:r>
      <w:r>
        <w:rPr>
          <w:rFonts w:ascii="Arial" w:hAnsi="Arial" w:cs="Arial"/>
          <w:b/>
          <w:sz w:val="18"/>
        </w:rPr>
        <w:t xml:space="preserve"> </w:t>
      </w:r>
      <w:r>
        <w:rPr>
          <w:rFonts w:ascii="Arial" w:hAnsi="Arial" w:cs="Arial"/>
          <w:sz w:val="18"/>
        </w:rPr>
        <w:t>IMD = Index of Multiple Deprivation;</w:t>
      </w:r>
      <w:r w:rsidRPr="00BE326A">
        <w:rPr>
          <w:rFonts w:ascii="Arial" w:hAnsi="Arial" w:cs="Arial"/>
          <w:sz w:val="18"/>
        </w:rPr>
        <w:t xml:space="preserve"> </w:t>
      </w:r>
      <w:r>
        <w:rPr>
          <w:rFonts w:ascii="Arial" w:hAnsi="Arial" w:cs="Arial"/>
          <w:sz w:val="18"/>
        </w:rPr>
        <w:t>PHQ-9 = Personal Health Questionnaire 9; SD = Standard deviation</w:t>
      </w:r>
    </w:p>
    <w:p w14:paraId="2796F9E5" w14:textId="77777777" w:rsidR="00AC2AA1" w:rsidRDefault="00AC2AA1" w:rsidP="00AC2AA1">
      <w:pPr>
        <w:jc w:val="both"/>
        <w:rPr>
          <w:rFonts w:ascii="Arial" w:hAnsi="Arial" w:cs="Arial"/>
          <w:b/>
        </w:rPr>
      </w:pPr>
    </w:p>
    <w:p w14:paraId="65FD9B9C" w14:textId="77777777" w:rsidR="00AC2AA1" w:rsidRDefault="00AC2AA1" w:rsidP="00AC2AA1">
      <w:pPr>
        <w:jc w:val="both"/>
        <w:rPr>
          <w:rFonts w:ascii="Arial" w:hAnsi="Arial" w:cs="Arial"/>
          <w:b/>
        </w:rPr>
      </w:pPr>
    </w:p>
    <w:p w14:paraId="4D478C35" w14:textId="77777777" w:rsidR="00AC2AA1" w:rsidRDefault="00AC2AA1" w:rsidP="00AC2AA1"/>
    <w:p w14:paraId="23BA0F3E" w14:textId="4CDAB39B" w:rsidR="00AC2AA1" w:rsidRDefault="00AC2AA1" w:rsidP="00AC2AA1">
      <w:pPr>
        <w:jc w:val="both"/>
        <w:rPr>
          <w:rFonts w:ascii="Arial" w:hAnsi="Arial" w:cs="Arial"/>
          <w:sz w:val="20"/>
        </w:rPr>
      </w:pPr>
    </w:p>
    <w:p w14:paraId="7D291FCA" w14:textId="2DB58A76" w:rsidR="00AC2AA1" w:rsidRDefault="00AC2AA1" w:rsidP="00AC2AA1">
      <w:pPr>
        <w:jc w:val="both"/>
        <w:rPr>
          <w:rFonts w:ascii="Arial" w:hAnsi="Arial" w:cs="Arial"/>
          <w:sz w:val="20"/>
        </w:rPr>
      </w:pPr>
    </w:p>
    <w:p w14:paraId="307AA472" w14:textId="77777777" w:rsidR="00AC2AA1" w:rsidRDefault="00AC2AA1" w:rsidP="00AC2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18DF1F1D" wp14:editId="42B95A07">
            <wp:extent cx="5086350" cy="407232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1555" cy="4076492"/>
                    </a:xfrm>
                    <a:prstGeom prst="rect">
                      <a:avLst/>
                    </a:prstGeom>
                    <a:noFill/>
                    <a:ln>
                      <a:noFill/>
                    </a:ln>
                  </pic:spPr>
                </pic:pic>
              </a:graphicData>
            </a:graphic>
          </wp:inline>
        </w:drawing>
      </w:r>
    </w:p>
    <w:p w14:paraId="6C036DF9" w14:textId="77777777" w:rsidR="00AC2AA1" w:rsidRDefault="00AC2AA1" w:rsidP="00AC2AA1">
      <w:pPr>
        <w:autoSpaceDE w:val="0"/>
        <w:autoSpaceDN w:val="0"/>
        <w:adjustRightInd w:val="0"/>
        <w:spacing w:after="0" w:line="240" w:lineRule="auto"/>
        <w:rPr>
          <w:rFonts w:ascii="Arial" w:hAnsi="Arial" w:cs="Arial"/>
          <w:b/>
          <w:szCs w:val="24"/>
        </w:rPr>
      </w:pPr>
      <w:r>
        <w:rPr>
          <w:rFonts w:ascii="Arial" w:hAnsi="Arial" w:cs="Arial"/>
          <w:b/>
          <w:szCs w:val="24"/>
        </w:rPr>
        <w:t>Figure 3. Variation in number of GP visits by IMD Quintile</w:t>
      </w:r>
    </w:p>
    <w:p w14:paraId="5A9ECB03" w14:textId="77777777" w:rsidR="00AC2AA1" w:rsidRPr="00C42F47" w:rsidRDefault="00AC2AA1" w:rsidP="00AC2AA1">
      <w:pPr>
        <w:autoSpaceDE w:val="0"/>
        <w:autoSpaceDN w:val="0"/>
        <w:adjustRightInd w:val="0"/>
        <w:spacing w:after="0" w:line="240" w:lineRule="auto"/>
        <w:rPr>
          <w:rFonts w:ascii="Arial" w:hAnsi="Arial" w:cs="Arial"/>
          <w:sz w:val="18"/>
          <w:szCs w:val="24"/>
        </w:rPr>
      </w:pPr>
      <w:r w:rsidRPr="00BE326A">
        <w:rPr>
          <w:rFonts w:ascii="Arial" w:hAnsi="Arial" w:cs="Arial"/>
          <w:b/>
          <w:sz w:val="18"/>
          <w:szCs w:val="24"/>
        </w:rPr>
        <w:t>Note:</w:t>
      </w:r>
      <w:r>
        <w:rPr>
          <w:rFonts w:ascii="Arial" w:hAnsi="Arial" w:cs="Arial"/>
          <w:sz w:val="18"/>
          <w:szCs w:val="24"/>
        </w:rPr>
        <w:t xml:space="preserve"> Graph shows the mean (SD) number of GP visits by IMD Quintile (1 – least disadvantaged; 5- most disadvantaged), with error bars showing a 95% confidence interval. </w:t>
      </w:r>
    </w:p>
    <w:p w14:paraId="288D90EF" w14:textId="5BBF84C0" w:rsidR="00AC2AA1" w:rsidRDefault="00AC2AA1" w:rsidP="00AC2AA1">
      <w:pPr>
        <w:jc w:val="both"/>
        <w:rPr>
          <w:rFonts w:ascii="Arial" w:hAnsi="Arial" w:cs="Arial"/>
          <w:sz w:val="20"/>
        </w:rPr>
      </w:pPr>
    </w:p>
    <w:p w14:paraId="5D549B28" w14:textId="11D12C78" w:rsidR="00AC2AA1" w:rsidRDefault="00AC2AA1" w:rsidP="00AC2AA1">
      <w:pPr>
        <w:jc w:val="both"/>
        <w:rPr>
          <w:rFonts w:ascii="Arial" w:hAnsi="Arial" w:cs="Arial"/>
          <w:sz w:val="20"/>
        </w:rPr>
      </w:pPr>
    </w:p>
    <w:p w14:paraId="20A3B064" w14:textId="42B2BA07" w:rsidR="00AC2AA1" w:rsidRDefault="00AC2AA1" w:rsidP="00AC2AA1">
      <w:pPr>
        <w:jc w:val="both"/>
        <w:rPr>
          <w:rFonts w:ascii="Arial" w:hAnsi="Arial" w:cs="Arial"/>
          <w:sz w:val="20"/>
        </w:rPr>
      </w:pPr>
    </w:p>
    <w:p w14:paraId="5D97863E" w14:textId="1905E15A" w:rsidR="00AC2AA1" w:rsidRDefault="00AC2AA1" w:rsidP="00AC2AA1">
      <w:pPr>
        <w:jc w:val="both"/>
        <w:rPr>
          <w:rFonts w:ascii="Arial" w:hAnsi="Arial" w:cs="Arial"/>
          <w:sz w:val="20"/>
        </w:rPr>
      </w:pPr>
    </w:p>
    <w:p w14:paraId="11A2F198" w14:textId="331B1B07" w:rsidR="00AC2AA1" w:rsidRDefault="00AC2AA1" w:rsidP="00AC2AA1">
      <w:pPr>
        <w:jc w:val="both"/>
        <w:rPr>
          <w:rFonts w:ascii="Arial" w:hAnsi="Arial" w:cs="Arial"/>
          <w:sz w:val="20"/>
        </w:rPr>
      </w:pPr>
    </w:p>
    <w:p w14:paraId="31E8A7F9" w14:textId="4580B96C" w:rsidR="00AC2AA1" w:rsidRDefault="00AC2AA1" w:rsidP="00AC2AA1">
      <w:pPr>
        <w:jc w:val="both"/>
        <w:rPr>
          <w:rFonts w:ascii="Arial" w:hAnsi="Arial" w:cs="Arial"/>
          <w:sz w:val="20"/>
        </w:rPr>
      </w:pPr>
    </w:p>
    <w:p w14:paraId="76564663" w14:textId="66D74238" w:rsidR="00AC2AA1" w:rsidRDefault="00AC2AA1" w:rsidP="00AC2AA1">
      <w:pPr>
        <w:jc w:val="both"/>
        <w:rPr>
          <w:rFonts w:ascii="Arial" w:hAnsi="Arial" w:cs="Arial"/>
          <w:sz w:val="20"/>
        </w:rPr>
      </w:pPr>
    </w:p>
    <w:p w14:paraId="6B143ABA" w14:textId="021DF05A" w:rsidR="00AC2AA1" w:rsidRDefault="00AC2AA1" w:rsidP="00AC2AA1">
      <w:pPr>
        <w:jc w:val="both"/>
        <w:rPr>
          <w:rFonts w:ascii="Arial" w:hAnsi="Arial" w:cs="Arial"/>
          <w:sz w:val="20"/>
        </w:rPr>
      </w:pPr>
    </w:p>
    <w:p w14:paraId="519A6D0F" w14:textId="2C56B36B" w:rsidR="00AC2AA1" w:rsidRDefault="00AC2AA1" w:rsidP="00AC2AA1">
      <w:pPr>
        <w:jc w:val="both"/>
        <w:rPr>
          <w:rFonts w:ascii="Arial" w:hAnsi="Arial" w:cs="Arial"/>
          <w:sz w:val="20"/>
        </w:rPr>
      </w:pPr>
    </w:p>
    <w:p w14:paraId="152DC79F" w14:textId="184FD7A3" w:rsidR="00AC2AA1" w:rsidRDefault="00AC2AA1" w:rsidP="00AC2AA1">
      <w:pPr>
        <w:jc w:val="both"/>
        <w:rPr>
          <w:rFonts w:ascii="Arial" w:hAnsi="Arial" w:cs="Arial"/>
          <w:sz w:val="20"/>
        </w:rPr>
      </w:pPr>
    </w:p>
    <w:p w14:paraId="4A103685" w14:textId="6B086FE5" w:rsidR="00AC2AA1" w:rsidRDefault="00AC2AA1" w:rsidP="00AC2AA1">
      <w:pPr>
        <w:jc w:val="both"/>
        <w:rPr>
          <w:rFonts w:ascii="Arial" w:hAnsi="Arial" w:cs="Arial"/>
          <w:sz w:val="20"/>
        </w:rPr>
      </w:pPr>
    </w:p>
    <w:p w14:paraId="3DB98D64" w14:textId="12721012" w:rsidR="00AC2AA1" w:rsidRDefault="00AC2AA1" w:rsidP="00AC2AA1">
      <w:pPr>
        <w:jc w:val="both"/>
        <w:rPr>
          <w:rFonts w:ascii="Arial" w:hAnsi="Arial" w:cs="Arial"/>
          <w:sz w:val="20"/>
        </w:rPr>
      </w:pPr>
    </w:p>
    <w:p w14:paraId="3CDF34BE" w14:textId="59F72B52" w:rsidR="00AC2AA1" w:rsidRDefault="00AC2AA1" w:rsidP="00AC2AA1">
      <w:pPr>
        <w:jc w:val="both"/>
        <w:rPr>
          <w:rFonts w:ascii="Arial" w:hAnsi="Arial" w:cs="Arial"/>
          <w:sz w:val="20"/>
        </w:rPr>
      </w:pPr>
    </w:p>
    <w:p w14:paraId="7A45E1DF" w14:textId="65F7163B" w:rsidR="00AC2AA1" w:rsidRDefault="00AC2AA1" w:rsidP="00AC2AA1">
      <w:pPr>
        <w:jc w:val="both"/>
        <w:rPr>
          <w:rFonts w:ascii="Arial" w:hAnsi="Arial" w:cs="Arial"/>
          <w:sz w:val="20"/>
        </w:rPr>
      </w:pPr>
    </w:p>
    <w:p w14:paraId="531CB6C4" w14:textId="0F9C552C" w:rsidR="00AC2AA1" w:rsidRDefault="00AC2AA1" w:rsidP="00AC2AA1">
      <w:pPr>
        <w:jc w:val="both"/>
        <w:rPr>
          <w:rFonts w:ascii="Arial" w:hAnsi="Arial" w:cs="Arial"/>
          <w:sz w:val="20"/>
        </w:rPr>
      </w:pPr>
    </w:p>
    <w:p w14:paraId="7B7C35E6" w14:textId="672CAC3E" w:rsidR="00AC2AA1" w:rsidRDefault="00AC2AA1" w:rsidP="00AC2AA1">
      <w:pPr>
        <w:jc w:val="both"/>
        <w:rPr>
          <w:rFonts w:ascii="Arial" w:hAnsi="Arial" w:cs="Arial"/>
          <w:sz w:val="20"/>
        </w:rPr>
      </w:pPr>
    </w:p>
    <w:p w14:paraId="37D8B1BF" w14:textId="0F27C375" w:rsidR="00AC2AA1" w:rsidRDefault="00AC2AA1" w:rsidP="00AC2AA1">
      <w:pPr>
        <w:jc w:val="both"/>
        <w:rPr>
          <w:rFonts w:ascii="Arial" w:hAnsi="Arial" w:cs="Arial"/>
          <w:sz w:val="20"/>
        </w:rPr>
      </w:pPr>
    </w:p>
    <w:p w14:paraId="1CD6CF67" w14:textId="77777777" w:rsidR="00AC2AA1" w:rsidRDefault="00AC2AA1" w:rsidP="00AC2AA1">
      <w:pPr>
        <w:autoSpaceDE w:val="0"/>
        <w:autoSpaceDN w:val="0"/>
        <w:adjustRightInd w:val="0"/>
        <w:spacing w:after="0" w:line="400" w:lineRule="atLeast"/>
        <w:rPr>
          <w:rFonts w:ascii="Arial" w:hAnsi="Arial" w:cs="Arial"/>
          <w:b/>
          <w:szCs w:val="24"/>
        </w:rPr>
        <w:sectPr w:rsidR="00AC2AA1" w:rsidSect="00CD4D77">
          <w:footerReference w:type="default" r:id="rId13"/>
          <w:footerReference w:type="first" r:id="rId14"/>
          <w:pgSz w:w="11906" w:h="16838"/>
          <w:pgMar w:top="1440" w:right="1274" w:bottom="1440" w:left="1440" w:header="708" w:footer="708" w:gutter="0"/>
          <w:pgNumType w:start="1"/>
          <w:cols w:space="708"/>
          <w:docGrid w:linePitch="360"/>
        </w:sectPr>
      </w:pPr>
    </w:p>
    <w:p w14:paraId="70BB19B4" w14:textId="282B3682" w:rsidR="00AC2AA1" w:rsidRDefault="00AC2AA1" w:rsidP="00AC2AA1">
      <w:pPr>
        <w:autoSpaceDE w:val="0"/>
        <w:autoSpaceDN w:val="0"/>
        <w:adjustRightInd w:val="0"/>
        <w:spacing w:after="0" w:line="400" w:lineRule="atLeast"/>
        <w:rPr>
          <w:rFonts w:ascii="Arial" w:hAnsi="Arial" w:cs="Arial"/>
          <w:b/>
          <w:szCs w:val="24"/>
        </w:rPr>
      </w:pPr>
      <w:bookmarkStart w:id="3" w:name="_GoBack"/>
      <w:r>
        <w:rPr>
          <w:rFonts w:ascii="Arial" w:hAnsi="Arial" w:cs="Arial"/>
          <w:b/>
          <w:szCs w:val="24"/>
        </w:rPr>
        <w:lastRenderedPageBreak/>
        <w:t>Table 3</w:t>
      </w:r>
      <w:r w:rsidRPr="0070602E">
        <w:rPr>
          <w:rFonts w:ascii="Arial" w:hAnsi="Arial" w:cs="Arial"/>
          <w:b/>
          <w:szCs w:val="24"/>
        </w:rPr>
        <w:t xml:space="preserve">. </w:t>
      </w:r>
      <w:r>
        <w:rPr>
          <w:rFonts w:ascii="Arial" w:hAnsi="Arial" w:cs="Arial"/>
          <w:b/>
          <w:szCs w:val="24"/>
        </w:rPr>
        <w:t>Poisson regression model on GP attendance</w:t>
      </w:r>
    </w:p>
    <w:p w14:paraId="54D6023B" w14:textId="77777777" w:rsidR="00AC2AA1" w:rsidRDefault="00AC2AA1" w:rsidP="00AC2AA1">
      <w:pPr>
        <w:autoSpaceDE w:val="0"/>
        <w:autoSpaceDN w:val="0"/>
        <w:adjustRightInd w:val="0"/>
        <w:spacing w:after="0" w:line="400" w:lineRule="atLeast"/>
        <w:rPr>
          <w:rFonts w:ascii="Arial" w:hAnsi="Arial" w:cs="Arial"/>
          <w:b/>
          <w:szCs w:val="24"/>
        </w:rPr>
      </w:pPr>
    </w:p>
    <w:tbl>
      <w:tblPr>
        <w:tblStyle w:val="TableGrid"/>
        <w:tblW w:w="117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9"/>
        <w:gridCol w:w="799"/>
        <w:gridCol w:w="1098"/>
        <w:gridCol w:w="22"/>
        <w:gridCol w:w="913"/>
        <w:gridCol w:w="22"/>
        <w:gridCol w:w="989"/>
        <w:gridCol w:w="11"/>
        <w:gridCol w:w="982"/>
        <w:gridCol w:w="905"/>
        <w:gridCol w:w="728"/>
        <w:gridCol w:w="866"/>
        <w:gridCol w:w="1048"/>
        <w:gridCol w:w="7"/>
        <w:gridCol w:w="795"/>
        <w:gridCol w:w="17"/>
      </w:tblGrid>
      <w:tr w:rsidR="00AC2AA1" w:rsidRPr="0070602E" w14:paraId="163E1364" w14:textId="77777777" w:rsidTr="00332BFC">
        <w:tc>
          <w:tcPr>
            <w:tcW w:w="2552" w:type="dxa"/>
          </w:tcPr>
          <w:p w14:paraId="31206461"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Parameter</w:t>
            </w:r>
          </w:p>
        </w:tc>
        <w:tc>
          <w:tcPr>
            <w:tcW w:w="799" w:type="dxa"/>
          </w:tcPr>
          <w:p w14:paraId="42B7BA00"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B</w:t>
            </w:r>
          </w:p>
        </w:tc>
        <w:tc>
          <w:tcPr>
            <w:tcW w:w="1099" w:type="dxa"/>
          </w:tcPr>
          <w:p w14:paraId="1D6766E5"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Std Error</w:t>
            </w:r>
          </w:p>
        </w:tc>
        <w:tc>
          <w:tcPr>
            <w:tcW w:w="1946" w:type="dxa"/>
            <w:gridSpan w:val="4"/>
          </w:tcPr>
          <w:p w14:paraId="22E33151"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95% Wald Confidence Interval</w:t>
            </w:r>
          </w:p>
        </w:tc>
        <w:tc>
          <w:tcPr>
            <w:tcW w:w="993" w:type="dxa"/>
            <w:gridSpan w:val="2"/>
          </w:tcPr>
          <w:p w14:paraId="00E7A6E7"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Wald Chi</w:t>
            </w:r>
            <w:r w:rsidRPr="0070602E">
              <w:rPr>
                <w:rFonts w:ascii="Arial" w:hAnsi="Arial" w:cs="Arial"/>
                <w:b/>
                <w:sz w:val="20"/>
                <w:szCs w:val="20"/>
                <w:vertAlign w:val="superscript"/>
              </w:rPr>
              <w:t>2</w:t>
            </w:r>
            <w:r w:rsidRPr="0070602E">
              <w:rPr>
                <w:rFonts w:ascii="Arial" w:hAnsi="Arial" w:cs="Arial"/>
                <w:b/>
                <w:sz w:val="20"/>
                <w:szCs w:val="20"/>
              </w:rPr>
              <w:t>-test</w:t>
            </w:r>
          </w:p>
        </w:tc>
        <w:tc>
          <w:tcPr>
            <w:tcW w:w="906" w:type="dxa"/>
          </w:tcPr>
          <w:p w14:paraId="51FAA16A"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df</w:t>
            </w:r>
          </w:p>
        </w:tc>
        <w:tc>
          <w:tcPr>
            <w:tcW w:w="728" w:type="dxa"/>
          </w:tcPr>
          <w:p w14:paraId="170F53E0"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p-value</w:t>
            </w:r>
          </w:p>
        </w:tc>
        <w:tc>
          <w:tcPr>
            <w:tcW w:w="861" w:type="dxa"/>
          </w:tcPr>
          <w:p w14:paraId="42117AB0" w14:textId="77777777" w:rsidR="00AC2AA1" w:rsidRPr="0070602E" w:rsidRDefault="00AC2AA1" w:rsidP="00332BFC">
            <w:pPr>
              <w:autoSpaceDE w:val="0"/>
              <w:autoSpaceDN w:val="0"/>
              <w:adjustRightInd w:val="0"/>
              <w:rPr>
                <w:rFonts w:ascii="Arial" w:hAnsi="Arial" w:cs="Arial"/>
                <w:b/>
                <w:sz w:val="20"/>
                <w:szCs w:val="20"/>
              </w:rPr>
            </w:pPr>
            <w:r>
              <w:rPr>
                <w:rFonts w:ascii="Arial" w:hAnsi="Arial" w:cs="Arial"/>
                <w:b/>
                <w:sz w:val="20"/>
                <w:szCs w:val="20"/>
              </w:rPr>
              <w:t>Exp(B)</w:t>
            </w:r>
          </w:p>
        </w:tc>
        <w:tc>
          <w:tcPr>
            <w:tcW w:w="1867" w:type="dxa"/>
            <w:gridSpan w:val="4"/>
          </w:tcPr>
          <w:p w14:paraId="339C8243" w14:textId="77777777" w:rsidR="00AC2AA1"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95% Wald Confidence Interval</w:t>
            </w:r>
            <w:r>
              <w:rPr>
                <w:rFonts w:ascii="Arial" w:hAnsi="Arial" w:cs="Arial"/>
                <w:b/>
                <w:sz w:val="20"/>
                <w:szCs w:val="20"/>
              </w:rPr>
              <w:t xml:space="preserve"> for Exp(B)</w:t>
            </w:r>
          </w:p>
        </w:tc>
      </w:tr>
      <w:tr w:rsidR="00AC2AA1" w:rsidRPr="0070602E" w14:paraId="02CDFE26" w14:textId="77777777" w:rsidTr="00332BFC">
        <w:trPr>
          <w:gridAfter w:val="1"/>
          <w:wAfter w:w="12" w:type="dxa"/>
        </w:trPr>
        <w:tc>
          <w:tcPr>
            <w:tcW w:w="4472" w:type="dxa"/>
            <w:gridSpan w:val="4"/>
          </w:tcPr>
          <w:p w14:paraId="667AAF01" w14:textId="77777777" w:rsidR="00AC2AA1" w:rsidRPr="0070602E" w:rsidRDefault="00AC2AA1" w:rsidP="00332BFC">
            <w:pPr>
              <w:autoSpaceDE w:val="0"/>
              <w:autoSpaceDN w:val="0"/>
              <w:adjustRightInd w:val="0"/>
              <w:rPr>
                <w:rFonts w:ascii="Arial" w:hAnsi="Arial" w:cs="Arial"/>
                <w:sz w:val="20"/>
                <w:szCs w:val="20"/>
              </w:rPr>
            </w:pPr>
          </w:p>
        </w:tc>
        <w:tc>
          <w:tcPr>
            <w:tcW w:w="935" w:type="dxa"/>
            <w:gridSpan w:val="2"/>
          </w:tcPr>
          <w:p w14:paraId="0B98A4BD"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Lower</w:t>
            </w:r>
          </w:p>
        </w:tc>
        <w:tc>
          <w:tcPr>
            <w:tcW w:w="1000" w:type="dxa"/>
            <w:gridSpan w:val="2"/>
          </w:tcPr>
          <w:p w14:paraId="79F4A54C" w14:textId="77777777" w:rsidR="00AC2AA1" w:rsidRPr="0070602E" w:rsidRDefault="00AC2AA1" w:rsidP="00332BFC">
            <w:pPr>
              <w:autoSpaceDE w:val="0"/>
              <w:autoSpaceDN w:val="0"/>
              <w:adjustRightInd w:val="0"/>
              <w:rPr>
                <w:rFonts w:ascii="Arial" w:hAnsi="Arial" w:cs="Arial"/>
                <w:b/>
                <w:sz w:val="20"/>
                <w:szCs w:val="20"/>
              </w:rPr>
            </w:pPr>
            <w:r w:rsidRPr="0070602E">
              <w:rPr>
                <w:rFonts w:ascii="Arial" w:hAnsi="Arial" w:cs="Arial"/>
                <w:b/>
                <w:sz w:val="20"/>
                <w:szCs w:val="20"/>
              </w:rPr>
              <w:t>Upper</w:t>
            </w:r>
          </w:p>
        </w:tc>
        <w:tc>
          <w:tcPr>
            <w:tcW w:w="3482" w:type="dxa"/>
            <w:gridSpan w:val="4"/>
          </w:tcPr>
          <w:p w14:paraId="39764F1E" w14:textId="77777777" w:rsidR="00AC2AA1" w:rsidRPr="0070602E" w:rsidRDefault="00AC2AA1" w:rsidP="00332BFC">
            <w:pPr>
              <w:autoSpaceDE w:val="0"/>
              <w:autoSpaceDN w:val="0"/>
              <w:adjustRightInd w:val="0"/>
              <w:rPr>
                <w:rFonts w:ascii="Arial" w:hAnsi="Arial" w:cs="Arial"/>
                <w:sz w:val="20"/>
                <w:szCs w:val="20"/>
              </w:rPr>
            </w:pPr>
          </w:p>
        </w:tc>
        <w:tc>
          <w:tcPr>
            <w:tcW w:w="1055" w:type="dxa"/>
            <w:gridSpan w:val="2"/>
          </w:tcPr>
          <w:p w14:paraId="0AC60B24" w14:textId="77777777" w:rsidR="00AC2AA1" w:rsidRPr="00A650FE" w:rsidRDefault="00AC2AA1" w:rsidP="00332BFC">
            <w:pPr>
              <w:autoSpaceDE w:val="0"/>
              <w:autoSpaceDN w:val="0"/>
              <w:adjustRightInd w:val="0"/>
              <w:rPr>
                <w:rFonts w:ascii="Arial" w:hAnsi="Arial" w:cs="Arial"/>
                <w:b/>
                <w:sz w:val="20"/>
                <w:szCs w:val="20"/>
              </w:rPr>
            </w:pPr>
            <w:r w:rsidRPr="00A650FE">
              <w:rPr>
                <w:rFonts w:ascii="Arial" w:hAnsi="Arial" w:cs="Arial"/>
                <w:b/>
                <w:sz w:val="20"/>
                <w:szCs w:val="20"/>
              </w:rPr>
              <w:t>Lower</w:t>
            </w:r>
          </w:p>
        </w:tc>
        <w:tc>
          <w:tcPr>
            <w:tcW w:w="795" w:type="dxa"/>
          </w:tcPr>
          <w:p w14:paraId="6AA6245D" w14:textId="77777777" w:rsidR="00AC2AA1" w:rsidRPr="00A650FE" w:rsidRDefault="00AC2AA1" w:rsidP="00332BFC">
            <w:pPr>
              <w:autoSpaceDE w:val="0"/>
              <w:autoSpaceDN w:val="0"/>
              <w:adjustRightInd w:val="0"/>
              <w:rPr>
                <w:rFonts w:ascii="Arial" w:hAnsi="Arial" w:cs="Arial"/>
                <w:b/>
                <w:sz w:val="20"/>
                <w:szCs w:val="20"/>
              </w:rPr>
            </w:pPr>
            <w:r w:rsidRPr="00A650FE">
              <w:rPr>
                <w:rFonts w:ascii="Arial" w:hAnsi="Arial" w:cs="Arial"/>
                <w:b/>
                <w:sz w:val="20"/>
                <w:szCs w:val="20"/>
              </w:rPr>
              <w:t>Upper</w:t>
            </w:r>
          </w:p>
        </w:tc>
      </w:tr>
      <w:tr w:rsidR="00AC2AA1" w:rsidRPr="0070602E" w14:paraId="09EBC0D8" w14:textId="77777777" w:rsidTr="00332BFC">
        <w:trPr>
          <w:gridAfter w:val="1"/>
          <w:wAfter w:w="17" w:type="dxa"/>
        </w:trPr>
        <w:tc>
          <w:tcPr>
            <w:tcW w:w="2552" w:type="dxa"/>
          </w:tcPr>
          <w:p w14:paraId="339B9CA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Ethnicity</w:t>
            </w:r>
          </w:p>
        </w:tc>
        <w:tc>
          <w:tcPr>
            <w:tcW w:w="799" w:type="dxa"/>
          </w:tcPr>
          <w:p w14:paraId="73D6340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.078</w:t>
            </w:r>
          </w:p>
        </w:tc>
        <w:tc>
          <w:tcPr>
            <w:tcW w:w="1099" w:type="dxa"/>
          </w:tcPr>
          <w:p w14:paraId="7B979EBA"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.0644</w:t>
            </w:r>
          </w:p>
        </w:tc>
        <w:tc>
          <w:tcPr>
            <w:tcW w:w="935" w:type="dxa"/>
            <w:gridSpan w:val="2"/>
          </w:tcPr>
          <w:p w14:paraId="02B134D8"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-.049</w:t>
            </w:r>
          </w:p>
        </w:tc>
        <w:tc>
          <w:tcPr>
            <w:tcW w:w="1011" w:type="dxa"/>
            <w:gridSpan w:val="2"/>
          </w:tcPr>
          <w:p w14:paraId="6344EBE7"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.204</w:t>
            </w:r>
          </w:p>
        </w:tc>
        <w:tc>
          <w:tcPr>
            <w:tcW w:w="993" w:type="dxa"/>
            <w:gridSpan w:val="2"/>
          </w:tcPr>
          <w:p w14:paraId="661AE7EA"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1.456</w:t>
            </w:r>
          </w:p>
        </w:tc>
        <w:tc>
          <w:tcPr>
            <w:tcW w:w="906" w:type="dxa"/>
          </w:tcPr>
          <w:p w14:paraId="313FFB8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7EA19673"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.228</w:t>
            </w:r>
          </w:p>
        </w:tc>
        <w:tc>
          <w:tcPr>
            <w:tcW w:w="861" w:type="dxa"/>
          </w:tcPr>
          <w:p w14:paraId="1815B842"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1.081</w:t>
            </w:r>
          </w:p>
        </w:tc>
        <w:tc>
          <w:tcPr>
            <w:tcW w:w="1048" w:type="dxa"/>
          </w:tcPr>
          <w:p w14:paraId="144A86D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.953</w:t>
            </w:r>
          </w:p>
        </w:tc>
        <w:tc>
          <w:tcPr>
            <w:tcW w:w="802" w:type="dxa"/>
            <w:gridSpan w:val="2"/>
          </w:tcPr>
          <w:p w14:paraId="0A235E77"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1.226</w:t>
            </w:r>
          </w:p>
        </w:tc>
      </w:tr>
      <w:tr w:rsidR="00AC2AA1" w:rsidRPr="0070602E" w14:paraId="72E85380" w14:textId="77777777" w:rsidTr="00332BFC">
        <w:trPr>
          <w:gridAfter w:val="1"/>
          <w:wAfter w:w="17" w:type="dxa"/>
        </w:trPr>
        <w:tc>
          <w:tcPr>
            <w:tcW w:w="2552" w:type="dxa"/>
          </w:tcPr>
          <w:p w14:paraId="3451C821"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Education</w:t>
            </w:r>
          </w:p>
        </w:tc>
        <w:tc>
          <w:tcPr>
            <w:tcW w:w="799" w:type="dxa"/>
          </w:tcPr>
          <w:p w14:paraId="40777387"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-.071</w:t>
            </w:r>
          </w:p>
        </w:tc>
        <w:tc>
          <w:tcPr>
            <w:tcW w:w="1099" w:type="dxa"/>
          </w:tcPr>
          <w:p w14:paraId="4197DE34"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.0260</w:t>
            </w:r>
          </w:p>
        </w:tc>
        <w:tc>
          <w:tcPr>
            <w:tcW w:w="935" w:type="dxa"/>
            <w:gridSpan w:val="2"/>
          </w:tcPr>
          <w:p w14:paraId="7A345AC3"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-.122</w:t>
            </w:r>
          </w:p>
        </w:tc>
        <w:tc>
          <w:tcPr>
            <w:tcW w:w="1011" w:type="dxa"/>
            <w:gridSpan w:val="2"/>
          </w:tcPr>
          <w:p w14:paraId="458ADDEE"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-.020</w:t>
            </w:r>
          </w:p>
        </w:tc>
        <w:tc>
          <w:tcPr>
            <w:tcW w:w="993" w:type="dxa"/>
            <w:gridSpan w:val="2"/>
          </w:tcPr>
          <w:p w14:paraId="7B70CD4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7.369</w:t>
            </w:r>
          </w:p>
        </w:tc>
        <w:tc>
          <w:tcPr>
            <w:tcW w:w="906" w:type="dxa"/>
          </w:tcPr>
          <w:p w14:paraId="3180D4A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366A977B"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.007</w:t>
            </w:r>
          </w:p>
        </w:tc>
        <w:tc>
          <w:tcPr>
            <w:tcW w:w="861" w:type="dxa"/>
          </w:tcPr>
          <w:p w14:paraId="324225D9"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.932</w:t>
            </w:r>
          </w:p>
        </w:tc>
        <w:tc>
          <w:tcPr>
            <w:tcW w:w="1048" w:type="dxa"/>
          </w:tcPr>
          <w:p w14:paraId="2EB2B958"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.886</w:t>
            </w:r>
          </w:p>
        </w:tc>
        <w:tc>
          <w:tcPr>
            <w:tcW w:w="802" w:type="dxa"/>
            <w:gridSpan w:val="2"/>
          </w:tcPr>
          <w:p w14:paraId="197D31B3"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.981</w:t>
            </w:r>
          </w:p>
        </w:tc>
      </w:tr>
      <w:tr w:rsidR="00AC2AA1" w:rsidRPr="0070602E" w14:paraId="4F07D1B8" w14:textId="77777777" w:rsidTr="00332BFC">
        <w:trPr>
          <w:gridAfter w:val="1"/>
          <w:wAfter w:w="17" w:type="dxa"/>
        </w:trPr>
        <w:tc>
          <w:tcPr>
            <w:tcW w:w="2552" w:type="dxa"/>
          </w:tcPr>
          <w:p w14:paraId="55D84D8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Living alone</w:t>
            </w:r>
          </w:p>
        </w:tc>
        <w:tc>
          <w:tcPr>
            <w:tcW w:w="799" w:type="dxa"/>
          </w:tcPr>
          <w:p w14:paraId="66235A4F"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.012</w:t>
            </w:r>
          </w:p>
        </w:tc>
        <w:tc>
          <w:tcPr>
            <w:tcW w:w="1099" w:type="dxa"/>
          </w:tcPr>
          <w:p w14:paraId="754C64D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.0226</w:t>
            </w:r>
          </w:p>
        </w:tc>
        <w:tc>
          <w:tcPr>
            <w:tcW w:w="935" w:type="dxa"/>
            <w:gridSpan w:val="2"/>
          </w:tcPr>
          <w:p w14:paraId="0EC635CD"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-.032</w:t>
            </w:r>
          </w:p>
        </w:tc>
        <w:tc>
          <w:tcPr>
            <w:tcW w:w="1011" w:type="dxa"/>
            <w:gridSpan w:val="2"/>
          </w:tcPr>
          <w:p w14:paraId="650A9FE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.056</w:t>
            </w:r>
          </w:p>
        </w:tc>
        <w:tc>
          <w:tcPr>
            <w:tcW w:w="993" w:type="dxa"/>
            <w:gridSpan w:val="2"/>
          </w:tcPr>
          <w:p w14:paraId="63A58E73"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.292</w:t>
            </w:r>
          </w:p>
        </w:tc>
        <w:tc>
          <w:tcPr>
            <w:tcW w:w="906" w:type="dxa"/>
          </w:tcPr>
          <w:p w14:paraId="6156C5B1"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58EAF110"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.589</w:t>
            </w:r>
          </w:p>
        </w:tc>
        <w:tc>
          <w:tcPr>
            <w:tcW w:w="861" w:type="dxa"/>
          </w:tcPr>
          <w:p w14:paraId="482EE3E1"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1.012</w:t>
            </w:r>
          </w:p>
        </w:tc>
        <w:tc>
          <w:tcPr>
            <w:tcW w:w="1048" w:type="dxa"/>
          </w:tcPr>
          <w:p w14:paraId="49E90C40"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.968</w:t>
            </w:r>
          </w:p>
        </w:tc>
        <w:tc>
          <w:tcPr>
            <w:tcW w:w="802" w:type="dxa"/>
            <w:gridSpan w:val="2"/>
          </w:tcPr>
          <w:p w14:paraId="0C87C11B"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1.058</w:t>
            </w:r>
          </w:p>
        </w:tc>
      </w:tr>
      <w:tr w:rsidR="00AC2AA1" w:rsidRPr="0070602E" w14:paraId="6DE0ED32" w14:textId="77777777" w:rsidTr="00332BFC">
        <w:trPr>
          <w:gridAfter w:val="1"/>
          <w:wAfter w:w="17" w:type="dxa"/>
        </w:trPr>
        <w:tc>
          <w:tcPr>
            <w:tcW w:w="2552" w:type="dxa"/>
          </w:tcPr>
          <w:p w14:paraId="7A05606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Gender</w:t>
            </w:r>
          </w:p>
        </w:tc>
        <w:tc>
          <w:tcPr>
            <w:tcW w:w="799" w:type="dxa"/>
          </w:tcPr>
          <w:p w14:paraId="3B51149B"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-.040</w:t>
            </w:r>
          </w:p>
        </w:tc>
        <w:tc>
          <w:tcPr>
            <w:tcW w:w="1099" w:type="dxa"/>
          </w:tcPr>
          <w:p w14:paraId="30906470"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.0222</w:t>
            </w:r>
          </w:p>
        </w:tc>
        <w:tc>
          <w:tcPr>
            <w:tcW w:w="935" w:type="dxa"/>
            <w:gridSpan w:val="2"/>
          </w:tcPr>
          <w:p w14:paraId="2E69E64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-.083</w:t>
            </w:r>
          </w:p>
        </w:tc>
        <w:tc>
          <w:tcPr>
            <w:tcW w:w="1011" w:type="dxa"/>
            <w:gridSpan w:val="2"/>
          </w:tcPr>
          <w:p w14:paraId="2FB3A6C8"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.004</w:t>
            </w:r>
          </w:p>
        </w:tc>
        <w:tc>
          <w:tcPr>
            <w:tcW w:w="993" w:type="dxa"/>
            <w:gridSpan w:val="2"/>
          </w:tcPr>
          <w:p w14:paraId="1A120599" w14:textId="77777777" w:rsidR="00AC2AA1" w:rsidRPr="00FC5646" w:rsidRDefault="00AC2AA1" w:rsidP="00332BFC">
            <w:pPr>
              <w:autoSpaceDE w:val="0"/>
              <w:autoSpaceDN w:val="0"/>
              <w:adjustRightInd w:val="0"/>
              <w:rPr>
                <w:rFonts w:ascii="Arial" w:hAnsi="Arial" w:cs="Arial"/>
                <w:sz w:val="20"/>
                <w:szCs w:val="20"/>
              </w:rPr>
            </w:pPr>
            <w:r>
              <w:rPr>
                <w:rFonts w:ascii="Arial" w:hAnsi="Arial" w:cs="Arial"/>
                <w:sz w:val="20"/>
              </w:rPr>
              <w:t>3.220</w:t>
            </w:r>
          </w:p>
        </w:tc>
        <w:tc>
          <w:tcPr>
            <w:tcW w:w="906" w:type="dxa"/>
          </w:tcPr>
          <w:p w14:paraId="406D883D" w14:textId="77777777" w:rsidR="00AC2AA1" w:rsidRPr="00FC5646" w:rsidRDefault="00AC2AA1" w:rsidP="00332BFC">
            <w:pPr>
              <w:autoSpaceDE w:val="0"/>
              <w:autoSpaceDN w:val="0"/>
              <w:adjustRightInd w:val="0"/>
              <w:rPr>
                <w:rFonts w:ascii="Arial" w:hAnsi="Arial" w:cs="Arial"/>
                <w:sz w:val="20"/>
                <w:szCs w:val="20"/>
              </w:rPr>
            </w:pPr>
            <w:r w:rsidRPr="00FC5646">
              <w:rPr>
                <w:rFonts w:ascii="Arial" w:hAnsi="Arial" w:cs="Arial"/>
                <w:sz w:val="20"/>
              </w:rPr>
              <w:t>1</w:t>
            </w:r>
          </w:p>
        </w:tc>
        <w:tc>
          <w:tcPr>
            <w:tcW w:w="728" w:type="dxa"/>
          </w:tcPr>
          <w:p w14:paraId="451054D7" w14:textId="77777777" w:rsidR="00AC2AA1" w:rsidRPr="00FC5646" w:rsidRDefault="00AC2AA1" w:rsidP="00332BFC">
            <w:pPr>
              <w:autoSpaceDE w:val="0"/>
              <w:autoSpaceDN w:val="0"/>
              <w:adjustRightInd w:val="0"/>
              <w:rPr>
                <w:rFonts w:ascii="Arial" w:hAnsi="Arial" w:cs="Arial"/>
                <w:sz w:val="20"/>
                <w:szCs w:val="20"/>
              </w:rPr>
            </w:pPr>
            <w:r>
              <w:rPr>
                <w:rFonts w:ascii="Arial" w:hAnsi="Arial" w:cs="Arial"/>
                <w:sz w:val="20"/>
              </w:rPr>
              <w:t>.073</w:t>
            </w:r>
          </w:p>
        </w:tc>
        <w:tc>
          <w:tcPr>
            <w:tcW w:w="861" w:type="dxa"/>
          </w:tcPr>
          <w:p w14:paraId="1E939D4A" w14:textId="77777777" w:rsidR="00AC2AA1" w:rsidRPr="00FC5646" w:rsidRDefault="00AC2AA1" w:rsidP="00332BFC">
            <w:pPr>
              <w:autoSpaceDE w:val="0"/>
              <w:autoSpaceDN w:val="0"/>
              <w:adjustRightInd w:val="0"/>
              <w:rPr>
                <w:rFonts w:ascii="Arial" w:hAnsi="Arial" w:cs="Arial"/>
                <w:sz w:val="20"/>
              </w:rPr>
            </w:pPr>
            <w:r>
              <w:rPr>
                <w:rFonts w:ascii="Arial" w:hAnsi="Arial" w:cs="Arial"/>
                <w:sz w:val="20"/>
              </w:rPr>
              <w:t>.961</w:t>
            </w:r>
          </w:p>
        </w:tc>
        <w:tc>
          <w:tcPr>
            <w:tcW w:w="1048" w:type="dxa"/>
          </w:tcPr>
          <w:p w14:paraId="2005E9EA" w14:textId="77777777" w:rsidR="00AC2AA1" w:rsidRDefault="00AC2AA1" w:rsidP="00332BFC">
            <w:pPr>
              <w:autoSpaceDE w:val="0"/>
              <w:autoSpaceDN w:val="0"/>
              <w:adjustRightInd w:val="0"/>
              <w:rPr>
                <w:rFonts w:ascii="Arial" w:hAnsi="Arial" w:cs="Arial"/>
                <w:sz w:val="20"/>
              </w:rPr>
            </w:pPr>
            <w:r>
              <w:rPr>
                <w:rFonts w:ascii="Arial" w:hAnsi="Arial" w:cs="Arial"/>
                <w:sz w:val="20"/>
              </w:rPr>
              <w:t>.920</w:t>
            </w:r>
          </w:p>
        </w:tc>
        <w:tc>
          <w:tcPr>
            <w:tcW w:w="802" w:type="dxa"/>
            <w:gridSpan w:val="2"/>
          </w:tcPr>
          <w:p w14:paraId="1DEB7B2B" w14:textId="77777777" w:rsidR="00AC2AA1" w:rsidRDefault="00AC2AA1" w:rsidP="00332BFC">
            <w:pPr>
              <w:autoSpaceDE w:val="0"/>
              <w:autoSpaceDN w:val="0"/>
              <w:adjustRightInd w:val="0"/>
              <w:rPr>
                <w:rFonts w:ascii="Arial" w:hAnsi="Arial" w:cs="Arial"/>
                <w:sz w:val="20"/>
              </w:rPr>
            </w:pPr>
            <w:r>
              <w:rPr>
                <w:rFonts w:ascii="Arial" w:hAnsi="Arial" w:cs="Arial"/>
                <w:sz w:val="20"/>
              </w:rPr>
              <w:t>1.004</w:t>
            </w:r>
          </w:p>
        </w:tc>
      </w:tr>
      <w:tr w:rsidR="00AC2AA1" w:rsidRPr="0070602E" w14:paraId="529EC4AB" w14:textId="77777777" w:rsidTr="00332BFC">
        <w:trPr>
          <w:gridAfter w:val="1"/>
          <w:wAfter w:w="17" w:type="dxa"/>
        </w:trPr>
        <w:tc>
          <w:tcPr>
            <w:tcW w:w="2552" w:type="dxa"/>
          </w:tcPr>
          <w:p w14:paraId="68F8896D"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Personal Social Support</w:t>
            </w:r>
          </w:p>
        </w:tc>
        <w:tc>
          <w:tcPr>
            <w:tcW w:w="799" w:type="dxa"/>
          </w:tcPr>
          <w:p w14:paraId="21BD1AF4"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-.059</w:t>
            </w:r>
          </w:p>
        </w:tc>
        <w:tc>
          <w:tcPr>
            <w:tcW w:w="1099" w:type="dxa"/>
          </w:tcPr>
          <w:p w14:paraId="6EBFBBE2"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.0224</w:t>
            </w:r>
          </w:p>
        </w:tc>
        <w:tc>
          <w:tcPr>
            <w:tcW w:w="935" w:type="dxa"/>
            <w:gridSpan w:val="2"/>
          </w:tcPr>
          <w:p w14:paraId="4C97C49D"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-.103</w:t>
            </w:r>
          </w:p>
        </w:tc>
        <w:tc>
          <w:tcPr>
            <w:tcW w:w="1011" w:type="dxa"/>
            <w:gridSpan w:val="2"/>
          </w:tcPr>
          <w:p w14:paraId="755E8A1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-.016</w:t>
            </w:r>
          </w:p>
        </w:tc>
        <w:tc>
          <w:tcPr>
            <w:tcW w:w="993" w:type="dxa"/>
            <w:gridSpan w:val="2"/>
          </w:tcPr>
          <w:p w14:paraId="46E439AB"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7.073</w:t>
            </w:r>
          </w:p>
        </w:tc>
        <w:tc>
          <w:tcPr>
            <w:tcW w:w="906" w:type="dxa"/>
          </w:tcPr>
          <w:p w14:paraId="3C8540A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5F0DC684"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.008</w:t>
            </w:r>
          </w:p>
        </w:tc>
        <w:tc>
          <w:tcPr>
            <w:tcW w:w="861" w:type="dxa"/>
          </w:tcPr>
          <w:p w14:paraId="2E85A838"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.942</w:t>
            </w:r>
          </w:p>
        </w:tc>
        <w:tc>
          <w:tcPr>
            <w:tcW w:w="1048" w:type="dxa"/>
          </w:tcPr>
          <w:p w14:paraId="58934642"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.902</w:t>
            </w:r>
          </w:p>
        </w:tc>
        <w:tc>
          <w:tcPr>
            <w:tcW w:w="802" w:type="dxa"/>
            <w:gridSpan w:val="2"/>
          </w:tcPr>
          <w:p w14:paraId="24FB2A9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.984</w:t>
            </w:r>
          </w:p>
        </w:tc>
      </w:tr>
      <w:tr w:rsidR="00AC2AA1" w:rsidRPr="0070602E" w14:paraId="214D36BE" w14:textId="77777777" w:rsidTr="00332BFC">
        <w:trPr>
          <w:gridAfter w:val="1"/>
          <w:wAfter w:w="17" w:type="dxa"/>
        </w:trPr>
        <w:tc>
          <w:tcPr>
            <w:tcW w:w="2552" w:type="dxa"/>
          </w:tcPr>
          <w:p w14:paraId="2FEBA2B9" w14:textId="77777777" w:rsidR="00AC2AA1" w:rsidRPr="00225C5B"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Moderately frail</w:t>
            </w:r>
            <w:r>
              <w:rPr>
                <w:rFonts w:ascii="Arial" w:hAnsi="Arial" w:cs="Arial"/>
                <w:sz w:val="20"/>
                <w:szCs w:val="20"/>
                <w:vertAlign w:val="superscript"/>
              </w:rPr>
              <w:t>1</w:t>
            </w:r>
          </w:p>
        </w:tc>
        <w:tc>
          <w:tcPr>
            <w:tcW w:w="799" w:type="dxa"/>
          </w:tcPr>
          <w:p w14:paraId="7DCE5B6F"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.526</w:t>
            </w:r>
          </w:p>
        </w:tc>
        <w:tc>
          <w:tcPr>
            <w:tcW w:w="1099" w:type="dxa"/>
          </w:tcPr>
          <w:p w14:paraId="7096B56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.0293</w:t>
            </w:r>
          </w:p>
        </w:tc>
        <w:tc>
          <w:tcPr>
            <w:tcW w:w="935" w:type="dxa"/>
            <w:gridSpan w:val="2"/>
          </w:tcPr>
          <w:p w14:paraId="60BAD310"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.469</w:t>
            </w:r>
          </w:p>
        </w:tc>
        <w:tc>
          <w:tcPr>
            <w:tcW w:w="1011" w:type="dxa"/>
            <w:gridSpan w:val="2"/>
          </w:tcPr>
          <w:p w14:paraId="7A3FFD20"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.584</w:t>
            </w:r>
          </w:p>
        </w:tc>
        <w:tc>
          <w:tcPr>
            <w:tcW w:w="993" w:type="dxa"/>
            <w:gridSpan w:val="2"/>
          </w:tcPr>
          <w:p w14:paraId="03DEBF8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321.864</w:t>
            </w:r>
          </w:p>
        </w:tc>
        <w:tc>
          <w:tcPr>
            <w:tcW w:w="906" w:type="dxa"/>
          </w:tcPr>
          <w:p w14:paraId="1367085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72B7F16E"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.000</w:t>
            </w:r>
          </w:p>
        </w:tc>
        <w:tc>
          <w:tcPr>
            <w:tcW w:w="861" w:type="dxa"/>
          </w:tcPr>
          <w:p w14:paraId="15B6048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1.692</w:t>
            </w:r>
          </w:p>
        </w:tc>
        <w:tc>
          <w:tcPr>
            <w:tcW w:w="1048" w:type="dxa"/>
          </w:tcPr>
          <w:p w14:paraId="02D82A07"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1.598</w:t>
            </w:r>
          </w:p>
        </w:tc>
        <w:tc>
          <w:tcPr>
            <w:tcW w:w="802" w:type="dxa"/>
            <w:gridSpan w:val="2"/>
          </w:tcPr>
          <w:p w14:paraId="39D0FB80"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1.792</w:t>
            </w:r>
          </w:p>
        </w:tc>
      </w:tr>
      <w:tr w:rsidR="00AC2AA1" w:rsidRPr="0070602E" w14:paraId="79E9ED80" w14:textId="77777777" w:rsidTr="00332BFC">
        <w:trPr>
          <w:gridAfter w:val="1"/>
          <w:wAfter w:w="17" w:type="dxa"/>
        </w:trPr>
        <w:tc>
          <w:tcPr>
            <w:tcW w:w="2552" w:type="dxa"/>
          </w:tcPr>
          <w:p w14:paraId="2A39EE51" w14:textId="77777777" w:rsidR="00AC2AA1" w:rsidRPr="00225C5B"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Severely frail</w:t>
            </w:r>
            <w:r>
              <w:rPr>
                <w:rFonts w:ascii="Arial" w:hAnsi="Arial" w:cs="Arial"/>
                <w:sz w:val="20"/>
                <w:szCs w:val="20"/>
                <w:vertAlign w:val="superscript"/>
              </w:rPr>
              <w:t>1</w:t>
            </w:r>
          </w:p>
        </w:tc>
        <w:tc>
          <w:tcPr>
            <w:tcW w:w="799" w:type="dxa"/>
          </w:tcPr>
          <w:p w14:paraId="0B78645C"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.366</w:t>
            </w:r>
          </w:p>
        </w:tc>
        <w:tc>
          <w:tcPr>
            <w:tcW w:w="1099" w:type="dxa"/>
          </w:tcPr>
          <w:p w14:paraId="24AEC31D"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.0439</w:t>
            </w:r>
          </w:p>
        </w:tc>
        <w:tc>
          <w:tcPr>
            <w:tcW w:w="935" w:type="dxa"/>
            <w:gridSpan w:val="2"/>
          </w:tcPr>
          <w:p w14:paraId="5F7FF10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.280</w:t>
            </w:r>
          </w:p>
        </w:tc>
        <w:tc>
          <w:tcPr>
            <w:tcW w:w="1011" w:type="dxa"/>
            <w:gridSpan w:val="2"/>
          </w:tcPr>
          <w:p w14:paraId="4A4E4394"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.452</w:t>
            </w:r>
          </w:p>
        </w:tc>
        <w:tc>
          <w:tcPr>
            <w:tcW w:w="993" w:type="dxa"/>
            <w:gridSpan w:val="2"/>
          </w:tcPr>
          <w:p w14:paraId="37835AC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69.558</w:t>
            </w:r>
          </w:p>
        </w:tc>
        <w:tc>
          <w:tcPr>
            <w:tcW w:w="906" w:type="dxa"/>
          </w:tcPr>
          <w:p w14:paraId="453E9893"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0D702B27"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.000</w:t>
            </w:r>
          </w:p>
        </w:tc>
        <w:tc>
          <w:tcPr>
            <w:tcW w:w="861" w:type="dxa"/>
          </w:tcPr>
          <w:p w14:paraId="2334324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1.442</w:t>
            </w:r>
          </w:p>
        </w:tc>
        <w:tc>
          <w:tcPr>
            <w:tcW w:w="1048" w:type="dxa"/>
          </w:tcPr>
          <w:p w14:paraId="247A006D"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1.323</w:t>
            </w:r>
          </w:p>
        </w:tc>
        <w:tc>
          <w:tcPr>
            <w:tcW w:w="802" w:type="dxa"/>
            <w:gridSpan w:val="2"/>
          </w:tcPr>
          <w:p w14:paraId="776F0A4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1.571</w:t>
            </w:r>
          </w:p>
        </w:tc>
      </w:tr>
      <w:tr w:rsidR="00AC2AA1" w:rsidRPr="0070602E" w14:paraId="699FB9E5" w14:textId="77777777" w:rsidTr="00332BFC">
        <w:trPr>
          <w:gridAfter w:val="1"/>
          <w:wAfter w:w="17" w:type="dxa"/>
        </w:trPr>
        <w:tc>
          <w:tcPr>
            <w:tcW w:w="2552" w:type="dxa"/>
          </w:tcPr>
          <w:p w14:paraId="1E495232" w14:textId="77777777" w:rsidR="00AC2AA1" w:rsidRPr="00C03398"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IMD Quintile 1</w:t>
            </w:r>
            <w:r>
              <w:rPr>
                <w:rFonts w:ascii="Arial" w:hAnsi="Arial" w:cs="Arial"/>
                <w:sz w:val="20"/>
                <w:szCs w:val="20"/>
                <w:vertAlign w:val="superscript"/>
              </w:rPr>
              <w:t>2</w:t>
            </w:r>
          </w:p>
        </w:tc>
        <w:tc>
          <w:tcPr>
            <w:tcW w:w="799" w:type="dxa"/>
          </w:tcPr>
          <w:p w14:paraId="7DE30407"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.072</w:t>
            </w:r>
          </w:p>
        </w:tc>
        <w:tc>
          <w:tcPr>
            <w:tcW w:w="1099" w:type="dxa"/>
          </w:tcPr>
          <w:p w14:paraId="091E85C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.043</w:t>
            </w:r>
          </w:p>
        </w:tc>
        <w:tc>
          <w:tcPr>
            <w:tcW w:w="935" w:type="dxa"/>
            <w:gridSpan w:val="2"/>
          </w:tcPr>
          <w:p w14:paraId="72FE888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-.012</w:t>
            </w:r>
          </w:p>
        </w:tc>
        <w:tc>
          <w:tcPr>
            <w:tcW w:w="1011" w:type="dxa"/>
            <w:gridSpan w:val="2"/>
          </w:tcPr>
          <w:p w14:paraId="29C91C42"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.156</w:t>
            </w:r>
          </w:p>
        </w:tc>
        <w:tc>
          <w:tcPr>
            <w:tcW w:w="993" w:type="dxa"/>
            <w:gridSpan w:val="2"/>
          </w:tcPr>
          <w:p w14:paraId="234DC8D9"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2.790</w:t>
            </w:r>
          </w:p>
        </w:tc>
        <w:tc>
          <w:tcPr>
            <w:tcW w:w="906" w:type="dxa"/>
          </w:tcPr>
          <w:p w14:paraId="7A1F017F"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12896F1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.095</w:t>
            </w:r>
          </w:p>
        </w:tc>
        <w:tc>
          <w:tcPr>
            <w:tcW w:w="861" w:type="dxa"/>
          </w:tcPr>
          <w:p w14:paraId="3D773B8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1.075</w:t>
            </w:r>
          </w:p>
        </w:tc>
        <w:tc>
          <w:tcPr>
            <w:tcW w:w="1048" w:type="dxa"/>
          </w:tcPr>
          <w:p w14:paraId="2233FED7"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.988</w:t>
            </w:r>
          </w:p>
        </w:tc>
        <w:tc>
          <w:tcPr>
            <w:tcW w:w="802" w:type="dxa"/>
            <w:gridSpan w:val="2"/>
          </w:tcPr>
          <w:p w14:paraId="3FC4528D"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1.169</w:t>
            </w:r>
          </w:p>
        </w:tc>
      </w:tr>
      <w:tr w:rsidR="00AC2AA1" w:rsidRPr="0070602E" w14:paraId="245FEDE6" w14:textId="77777777" w:rsidTr="00332BFC">
        <w:trPr>
          <w:gridAfter w:val="1"/>
          <w:wAfter w:w="17" w:type="dxa"/>
        </w:trPr>
        <w:tc>
          <w:tcPr>
            <w:tcW w:w="2552" w:type="dxa"/>
          </w:tcPr>
          <w:p w14:paraId="2FAB7BC1" w14:textId="77777777" w:rsidR="00AC2AA1" w:rsidRPr="00C03398"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IMD Quintile 2</w:t>
            </w:r>
            <w:r>
              <w:rPr>
                <w:rFonts w:ascii="Arial" w:hAnsi="Arial" w:cs="Arial"/>
                <w:sz w:val="20"/>
                <w:szCs w:val="20"/>
                <w:vertAlign w:val="superscript"/>
              </w:rPr>
              <w:t>2</w:t>
            </w:r>
          </w:p>
        </w:tc>
        <w:tc>
          <w:tcPr>
            <w:tcW w:w="799" w:type="dxa"/>
          </w:tcPr>
          <w:p w14:paraId="60B774B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-.141</w:t>
            </w:r>
          </w:p>
        </w:tc>
        <w:tc>
          <w:tcPr>
            <w:tcW w:w="1099" w:type="dxa"/>
          </w:tcPr>
          <w:p w14:paraId="7905E6B3"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.0621</w:t>
            </w:r>
          </w:p>
        </w:tc>
        <w:tc>
          <w:tcPr>
            <w:tcW w:w="935" w:type="dxa"/>
            <w:gridSpan w:val="2"/>
          </w:tcPr>
          <w:p w14:paraId="727046C7"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-.263</w:t>
            </w:r>
          </w:p>
        </w:tc>
        <w:tc>
          <w:tcPr>
            <w:tcW w:w="1011" w:type="dxa"/>
            <w:gridSpan w:val="2"/>
          </w:tcPr>
          <w:p w14:paraId="585833E8"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-.019</w:t>
            </w:r>
          </w:p>
        </w:tc>
        <w:tc>
          <w:tcPr>
            <w:tcW w:w="993" w:type="dxa"/>
            <w:gridSpan w:val="2"/>
          </w:tcPr>
          <w:p w14:paraId="4ACC2F9C"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5.148</w:t>
            </w:r>
          </w:p>
        </w:tc>
        <w:tc>
          <w:tcPr>
            <w:tcW w:w="906" w:type="dxa"/>
          </w:tcPr>
          <w:p w14:paraId="164B55D5"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63287DE8"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.023</w:t>
            </w:r>
          </w:p>
        </w:tc>
        <w:tc>
          <w:tcPr>
            <w:tcW w:w="861" w:type="dxa"/>
          </w:tcPr>
          <w:p w14:paraId="23730998"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.869</w:t>
            </w:r>
          </w:p>
        </w:tc>
        <w:tc>
          <w:tcPr>
            <w:tcW w:w="1048" w:type="dxa"/>
          </w:tcPr>
          <w:p w14:paraId="0F43DDAB"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.769</w:t>
            </w:r>
          </w:p>
        </w:tc>
        <w:tc>
          <w:tcPr>
            <w:tcW w:w="802" w:type="dxa"/>
            <w:gridSpan w:val="2"/>
          </w:tcPr>
          <w:p w14:paraId="399BAD9B"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.981</w:t>
            </w:r>
          </w:p>
        </w:tc>
      </w:tr>
      <w:tr w:rsidR="00AC2AA1" w:rsidRPr="0070602E" w14:paraId="7760D647" w14:textId="77777777" w:rsidTr="00332BFC">
        <w:trPr>
          <w:gridAfter w:val="1"/>
          <w:wAfter w:w="17" w:type="dxa"/>
        </w:trPr>
        <w:tc>
          <w:tcPr>
            <w:tcW w:w="2552" w:type="dxa"/>
          </w:tcPr>
          <w:p w14:paraId="0F365B30" w14:textId="77777777" w:rsidR="00AC2AA1" w:rsidRPr="00C03398"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IMD Quintile 3</w:t>
            </w:r>
            <w:r>
              <w:rPr>
                <w:rFonts w:ascii="Arial" w:hAnsi="Arial" w:cs="Arial"/>
                <w:sz w:val="20"/>
                <w:szCs w:val="20"/>
                <w:vertAlign w:val="superscript"/>
              </w:rPr>
              <w:t>2</w:t>
            </w:r>
          </w:p>
        </w:tc>
        <w:tc>
          <w:tcPr>
            <w:tcW w:w="799" w:type="dxa"/>
          </w:tcPr>
          <w:p w14:paraId="3354F09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-.090</w:t>
            </w:r>
          </w:p>
        </w:tc>
        <w:tc>
          <w:tcPr>
            <w:tcW w:w="1099" w:type="dxa"/>
          </w:tcPr>
          <w:p w14:paraId="5C9FAF5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.0464</w:t>
            </w:r>
          </w:p>
        </w:tc>
        <w:tc>
          <w:tcPr>
            <w:tcW w:w="935" w:type="dxa"/>
            <w:gridSpan w:val="2"/>
          </w:tcPr>
          <w:p w14:paraId="75179E69"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-.181</w:t>
            </w:r>
          </w:p>
        </w:tc>
        <w:tc>
          <w:tcPr>
            <w:tcW w:w="1011" w:type="dxa"/>
            <w:gridSpan w:val="2"/>
          </w:tcPr>
          <w:p w14:paraId="26250640"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.001</w:t>
            </w:r>
          </w:p>
        </w:tc>
        <w:tc>
          <w:tcPr>
            <w:tcW w:w="993" w:type="dxa"/>
            <w:gridSpan w:val="2"/>
          </w:tcPr>
          <w:p w14:paraId="756D9280"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3.740</w:t>
            </w:r>
          </w:p>
        </w:tc>
        <w:tc>
          <w:tcPr>
            <w:tcW w:w="906" w:type="dxa"/>
          </w:tcPr>
          <w:p w14:paraId="079A1CC2"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3E4DF374"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.053</w:t>
            </w:r>
          </w:p>
        </w:tc>
        <w:tc>
          <w:tcPr>
            <w:tcW w:w="861" w:type="dxa"/>
          </w:tcPr>
          <w:p w14:paraId="4F816CB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.914</w:t>
            </w:r>
          </w:p>
        </w:tc>
        <w:tc>
          <w:tcPr>
            <w:tcW w:w="1048" w:type="dxa"/>
          </w:tcPr>
          <w:p w14:paraId="3334EF44"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.835</w:t>
            </w:r>
          </w:p>
        </w:tc>
        <w:tc>
          <w:tcPr>
            <w:tcW w:w="802" w:type="dxa"/>
            <w:gridSpan w:val="2"/>
          </w:tcPr>
          <w:p w14:paraId="10CBD96D"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1.001</w:t>
            </w:r>
          </w:p>
        </w:tc>
      </w:tr>
      <w:tr w:rsidR="00AC2AA1" w:rsidRPr="0070602E" w14:paraId="16E14354" w14:textId="77777777" w:rsidTr="00332BFC">
        <w:trPr>
          <w:gridAfter w:val="1"/>
          <w:wAfter w:w="17" w:type="dxa"/>
        </w:trPr>
        <w:tc>
          <w:tcPr>
            <w:tcW w:w="2552" w:type="dxa"/>
          </w:tcPr>
          <w:p w14:paraId="59095E06" w14:textId="77777777" w:rsidR="00AC2AA1" w:rsidRPr="00C03398" w:rsidRDefault="00AC2AA1" w:rsidP="00332BFC">
            <w:pPr>
              <w:autoSpaceDE w:val="0"/>
              <w:autoSpaceDN w:val="0"/>
              <w:adjustRightInd w:val="0"/>
              <w:rPr>
                <w:rFonts w:ascii="Arial" w:hAnsi="Arial" w:cs="Arial"/>
                <w:sz w:val="20"/>
                <w:szCs w:val="20"/>
                <w:vertAlign w:val="superscript"/>
              </w:rPr>
            </w:pPr>
            <w:r>
              <w:rPr>
                <w:rFonts w:ascii="Arial" w:hAnsi="Arial" w:cs="Arial"/>
                <w:sz w:val="20"/>
                <w:szCs w:val="20"/>
              </w:rPr>
              <w:t>IMD Quintile 4</w:t>
            </w:r>
            <w:r>
              <w:rPr>
                <w:rFonts w:ascii="Arial" w:hAnsi="Arial" w:cs="Arial"/>
                <w:sz w:val="20"/>
                <w:szCs w:val="20"/>
                <w:vertAlign w:val="superscript"/>
              </w:rPr>
              <w:t>2</w:t>
            </w:r>
          </w:p>
        </w:tc>
        <w:tc>
          <w:tcPr>
            <w:tcW w:w="799" w:type="dxa"/>
          </w:tcPr>
          <w:p w14:paraId="5768EC50"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.001</w:t>
            </w:r>
          </w:p>
        </w:tc>
        <w:tc>
          <w:tcPr>
            <w:tcW w:w="1099" w:type="dxa"/>
          </w:tcPr>
          <w:p w14:paraId="6F3E949F"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.0315</w:t>
            </w:r>
          </w:p>
        </w:tc>
        <w:tc>
          <w:tcPr>
            <w:tcW w:w="935" w:type="dxa"/>
            <w:gridSpan w:val="2"/>
          </w:tcPr>
          <w:p w14:paraId="4ED8969D"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-.061</w:t>
            </w:r>
          </w:p>
        </w:tc>
        <w:tc>
          <w:tcPr>
            <w:tcW w:w="1011" w:type="dxa"/>
            <w:gridSpan w:val="2"/>
          </w:tcPr>
          <w:p w14:paraId="6616F2C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.063</w:t>
            </w:r>
          </w:p>
        </w:tc>
        <w:tc>
          <w:tcPr>
            <w:tcW w:w="993" w:type="dxa"/>
            <w:gridSpan w:val="2"/>
          </w:tcPr>
          <w:p w14:paraId="196DA6A6"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.002</w:t>
            </w:r>
          </w:p>
        </w:tc>
        <w:tc>
          <w:tcPr>
            <w:tcW w:w="906" w:type="dxa"/>
          </w:tcPr>
          <w:p w14:paraId="1E9EF1AB"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52A9EBE9"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.967</w:t>
            </w:r>
          </w:p>
        </w:tc>
        <w:tc>
          <w:tcPr>
            <w:tcW w:w="861" w:type="dxa"/>
          </w:tcPr>
          <w:p w14:paraId="5BCC2BB9"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1.001</w:t>
            </w:r>
          </w:p>
        </w:tc>
        <w:tc>
          <w:tcPr>
            <w:tcW w:w="1048" w:type="dxa"/>
          </w:tcPr>
          <w:p w14:paraId="42B64F7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.941</w:t>
            </w:r>
          </w:p>
        </w:tc>
        <w:tc>
          <w:tcPr>
            <w:tcW w:w="802" w:type="dxa"/>
            <w:gridSpan w:val="2"/>
          </w:tcPr>
          <w:p w14:paraId="67147534"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1.065</w:t>
            </w:r>
          </w:p>
        </w:tc>
      </w:tr>
      <w:tr w:rsidR="00AC2AA1" w:rsidRPr="0070602E" w14:paraId="65F380CA" w14:textId="77777777" w:rsidTr="00332BFC">
        <w:trPr>
          <w:gridAfter w:val="1"/>
          <w:wAfter w:w="17" w:type="dxa"/>
        </w:trPr>
        <w:tc>
          <w:tcPr>
            <w:tcW w:w="2552" w:type="dxa"/>
          </w:tcPr>
          <w:p w14:paraId="5AE0B58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GP Distance</w:t>
            </w:r>
          </w:p>
        </w:tc>
        <w:tc>
          <w:tcPr>
            <w:tcW w:w="799" w:type="dxa"/>
          </w:tcPr>
          <w:p w14:paraId="79A09E82"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.066</w:t>
            </w:r>
          </w:p>
        </w:tc>
        <w:tc>
          <w:tcPr>
            <w:tcW w:w="1099" w:type="dxa"/>
          </w:tcPr>
          <w:p w14:paraId="21EDD05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.0158</w:t>
            </w:r>
          </w:p>
        </w:tc>
        <w:tc>
          <w:tcPr>
            <w:tcW w:w="935" w:type="dxa"/>
            <w:gridSpan w:val="2"/>
          </w:tcPr>
          <w:p w14:paraId="3B5EA832"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.035</w:t>
            </w:r>
          </w:p>
        </w:tc>
        <w:tc>
          <w:tcPr>
            <w:tcW w:w="1011" w:type="dxa"/>
            <w:gridSpan w:val="2"/>
          </w:tcPr>
          <w:p w14:paraId="3967530B"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.097</w:t>
            </w:r>
          </w:p>
        </w:tc>
        <w:tc>
          <w:tcPr>
            <w:tcW w:w="993" w:type="dxa"/>
            <w:gridSpan w:val="2"/>
          </w:tcPr>
          <w:p w14:paraId="4BE98E68"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17.583</w:t>
            </w:r>
          </w:p>
        </w:tc>
        <w:tc>
          <w:tcPr>
            <w:tcW w:w="906" w:type="dxa"/>
          </w:tcPr>
          <w:p w14:paraId="5A091B93"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2A73B08B"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.000</w:t>
            </w:r>
          </w:p>
        </w:tc>
        <w:tc>
          <w:tcPr>
            <w:tcW w:w="861" w:type="dxa"/>
          </w:tcPr>
          <w:p w14:paraId="33488BAE"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1.068</w:t>
            </w:r>
          </w:p>
        </w:tc>
        <w:tc>
          <w:tcPr>
            <w:tcW w:w="1048" w:type="dxa"/>
          </w:tcPr>
          <w:p w14:paraId="01235B1F"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1.036</w:t>
            </w:r>
          </w:p>
        </w:tc>
        <w:tc>
          <w:tcPr>
            <w:tcW w:w="802" w:type="dxa"/>
            <w:gridSpan w:val="2"/>
          </w:tcPr>
          <w:p w14:paraId="446B5D9F"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1.102</w:t>
            </w:r>
          </w:p>
        </w:tc>
      </w:tr>
      <w:tr w:rsidR="00AC2AA1" w:rsidRPr="0070602E" w14:paraId="057E8D15" w14:textId="77777777" w:rsidTr="00332BFC">
        <w:trPr>
          <w:gridAfter w:val="1"/>
          <w:wAfter w:w="17" w:type="dxa"/>
        </w:trPr>
        <w:tc>
          <w:tcPr>
            <w:tcW w:w="2552" w:type="dxa"/>
          </w:tcPr>
          <w:p w14:paraId="49A0BD7E"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PHQ9</w:t>
            </w:r>
          </w:p>
        </w:tc>
        <w:tc>
          <w:tcPr>
            <w:tcW w:w="799" w:type="dxa"/>
          </w:tcPr>
          <w:p w14:paraId="36926B22"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.025</w:t>
            </w:r>
          </w:p>
        </w:tc>
        <w:tc>
          <w:tcPr>
            <w:tcW w:w="1099" w:type="dxa"/>
          </w:tcPr>
          <w:p w14:paraId="2A24C175"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.0019</w:t>
            </w:r>
          </w:p>
        </w:tc>
        <w:tc>
          <w:tcPr>
            <w:tcW w:w="935" w:type="dxa"/>
            <w:gridSpan w:val="2"/>
          </w:tcPr>
          <w:p w14:paraId="5F1E71A1"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.021</w:t>
            </w:r>
          </w:p>
        </w:tc>
        <w:tc>
          <w:tcPr>
            <w:tcW w:w="1011" w:type="dxa"/>
            <w:gridSpan w:val="2"/>
          </w:tcPr>
          <w:p w14:paraId="2DFA1C4F"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.028</w:t>
            </w:r>
          </w:p>
        </w:tc>
        <w:tc>
          <w:tcPr>
            <w:tcW w:w="993" w:type="dxa"/>
            <w:gridSpan w:val="2"/>
          </w:tcPr>
          <w:p w14:paraId="6F1CCEF9"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175.552</w:t>
            </w:r>
          </w:p>
        </w:tc>
        <w:tc>
          <w:tcPr>
            <w:tcW w:w="906" w:type="dxa"/>
          </w:tcPr>
          <w:p w14:paraId="3F3D2337"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1</w:t>
            </w:r>
          </w:p>
        </w:tc>
        <w:tc>
          <w:tcPr>
            <w:tcW w:w="728" w:type="dxa"/>
          </w:tcPr>
          <w:p w14:paraId="277CB918" w14:textId="77777777" w:rsidR="00AC2AA1" w:rsidRPr="0070602E" w:rsidRDefault="00AC2AA1" w:rsidP="00332BFC">
            <w:pPr>
              <w:autoSpaceDE w:val="0"/>
              <w:autoSpaceDN w:val="0"/>
              <w:adjustRightInd w:val="0"/>
              <w:rPr>
                <w:rFonts w:ascii="Arial" w:hAnsi="Arial" w:cs="Arial"/>
                <w:sz w:val="20"/>
                <w:szCs w:val="20"/>
              </w:rPr>
            </w:pPr>
            <w:r>
              <w:rPr>
                <w:rFonts w:ascii="Arial" w:hAnsi="Arial" w:cs="Arial"/>
                <w:sz w:val="20"/>
                <w:szCs w:val="20"/>
              </w:rPr>
              <w:t>.000</w:t>
            </w:r>
          </w:p>
        </w:tc>
        <w:tc>
          <w:tcPr>
            <w:tcW w:w="861" w:type="dxa"/>
          </w:tcPr>
          <w:p w14:paraId="76D58576"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1.025</w:t>
            </w:r>
          </w:p>
        </w:tc>
        <w:tc>
          <w:tcPr>
            <w:tcW w:w="1048" w:type="dxa"/>
          </w:tcPr>
          <w:p w14:paraId="786E0576"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1.021</w:t>
            </w:r>
          </w:p>
        </w:tc>
        <w:tc>
          <w:tcPr>
            <w:tcW w:w="802" w:type="dxa"/>
            <w:gridSpan w:val="2"/>
          </w:tcPr>
          <w:p w14:paraId="2FD47AFA" w14:textId="77777777" w:rsidR="00AC2AA1" w:rsidRDefault="00AC2AA1" w:rsidP="00332BFC">
            <w:pPr>
              <w:autoSpaceDE w:val="0"/>
              <w:autoSpaceDN w:val="0"/>
              <w:adjustRightInd w:val="0"/>
              <w:rPr>
                <w:rFonts w:ascii="Arial" w:hAnsi="Arial" w:cs="Arial"/>
                <w:sz w:val="20"/>
                <w:szCs w:val="20"/>
              </w:rPr>
            </w:pPr>
            <w:r>
              <w:rPr>
                <w:rFonts w:ascii="Arial" w:hAnsi="Arial" w:cs="Arial"/>
                <w:sz w:val="20"/>
                <w:szCs w:val="20"/>
              </w:rPr>
              <w:t>1.029</w:t>
            </w:r>
          </w:p>
        </w:tc>
      </w:tr>
    </w:tbl>
    <w:p w14:paraId="62F7244F" w14:textId="77777777" w:rsidR="00AC2AA1" w:rsidRPr="00C03398" w:rsidRDefault="00AC2AA1" w:rsidP="00AC2AA1">
      <w:pPr>
        <w:autoSpaceDE w:val="0"/>
        <w:autoSpaceDN w:val="0"/>
        <w:adjustRightInd w:val="0"/>
        <w:spacing w:after="0" w:line="240" w:lineRule="auto"/>
        <w:rPr>
          <w:rFonts w:ascii="Arial" w:hAnsi="Arial" w:cs="Arial"/>
          <w:sz w:val="18"/>
          <w:szCs w:val="24"/>
        </w:rPr>
      </w:pPr>
      <w:r w:rsidRPr="00C03398">
        <w:rPr>
          <w:rFonts w:ascii="Arial" w:hAnsi="Arial" w:cs="Arial"/>
          <w:sz w:val="18"/>
          <w:szCs w:val="24"/>
          <w:vertAlign w:val="superscript"/>
        </w:rPr>
        <w:t>1</w:t>
      </w:r>
      <w:r>
        <w:rPr>
          <w:rFonts w:ascii="Arial" w:hAnsi="Arial" w:cs="Arial"/>
          <w:sz w:val="18"/>
          <w:szCs w:val="24"/>
        </w:rPr>
        <w:t xml:space="preserve"> in reference to those being fit and not frail</w:t>
      </w:r>
      <w:r w:rsidRPr="00C03398">
        <w:rPr>
          <w:rFonts w:ascii="Arial" w:hAnsi="Arial" w:cs="Arial"/>
          <w:sz w:val="18"/>
          <w:szCs w:val="24"/>
        </w:rPr>
        <w:t xml:space="preserve">; </w:t>
      </w:r>
      <w:r w:rsidRPr="00C03398">
        <w:rPr>
          <w:rFonts w:ascii="Arial" w:hAnsi="Arial" w:cs="Arial"/>
          <w:sz w:val="18"/>
          <w:szCs w:val="24"/>
          <w:vertAlign w:val="superscript"/>
        </w:rPr>
        <w:t>2</w:t>
      </w:r>
      <w:r w:rsidRPr="00C03398">
        <w:rPr>
          <w:rFonts w:ascii="Arial" w:hAnsi="Arial" w:cs="Arial"/>
          <w:sz w:val="18"/>
          <w:szCs w:val="24"/>
        </w:rPr>
        <w:t xml:space="preserve"> In re</w:t>
      </w:r>
      <w:r>
        <w:rPr>
          <w:rFonts w:ascii="Arial" w:hAnsi="Arial" w:cs="Arial"/>
          <w:sz w:val="18"/>
          <w:szCs w:val="24"/>
        </w:rPr>
        <w:t>ference to IMD Quintile 5 (most</w:t>
      </w:r>
      <w:r w:rsidRPr="00C03398">
        <w:rPr>
          <w:rFonts w:ascii="Arial" w:hAnsi="Arial" w:cs="Arial"/>
          <w:sz w:val="18"/>
          <w:szCs w:val="24"/>
        </w:rPr>
        <w:t xml:space="preserve"> disadvantaged)</w:t>
      </w:r>
    </w:p>
    <w:p w14:paraId="03821588" w14:textId="3080B476" w:rsidR="00AC2AA1" w:rsidRDefault="00AC2AA1" w:rsidP="00AC2AA1">
      <w:pPr>
        <w:jc w:val="both"/>
        <w:rPr>
          <w:rFonts w:ascii="Arial" w:hAnsi="Arial" w:cs="Arial"/>
          <w:sz w:val="20"/>
        </w:rPr>
      </w:pPr>
    </w:p>
    <w:p w14:paraId="5497D33B" w14:textId="5F8F5965" w:rsidR="00AC2AA1" w:rsidRDefault="00AC2AA1" w:rsidP="00AC2AA1">
      <w:pPr>
        <w:jc w:val="both"/>
        <w:rPr>
          <w:rFonts w:ascii="Arial" w:hAnsi="Arial" w:cs="Arial"/>
          <w:sz w:val="20"/>
        </w:rPr>
      </w:pPr>
    </w:p>
    <w:p w14:paraId="1965652A" w14:textId="61E6BE31" w:rsidR="00AC2AA1" w:rsidRDefault="00AC2AA1" w:rsidP="00AC2AA1">
      <w:pPr>
        <w:jc w:val="both"/>
        <w:rPr>
          <w:rFonts w:ascii="Arial" w:hAnsi="Arial" w:cs="Arial"/>
          <w:sz w:val="20"/>
        </w:rPr>
      </w:pPr>
    </w:p>
    <w:p w14:paraId="6C1B5802" w14:textId="77777777" w:rsidR="00AC2AA1" w:rsidRDefault="00AC2AA1" w:rsidP="00AC2AA1">
      <w:pPr>
        <w:jc w:val="both"/>
        <w:rPr>
          <w:rFonts w:ascii="Arial" w:hAnsi="Arial" w:cs="Arial"/>
          <w:sz w:val="20"/>
        </w:rPr>
      </w:pPr>
    </w:p>
    <w:bookmarkEnd w:id="3"/>
    <w:p w14:paraId="4FCF0E44" w14:textId="77777777" w:rsidR="00AC2AA1" w:rsidRDefault="00AC2AA1" w:rsidP="00AC2AA1">
      <w:pPr>
        <w:jc w:val="both"/>
        <w:rPr>
          <w:rFonts w:ascii="Arial" w:hAnsi="Arial" w:cs="Arial"/>
          <w:sz w:val="20"/>
        </w:rPr>
        <w:sectPr w:rsidR="00AC2AA1" w:rsidSect="00AC2AA1">
          <w:pgSz w:w="16838" w:h="11906" w:orient="landscape"/>
          <w:pgMar w:top="1440" w:right="1440" w:bottom="1276" w:left="1440" w:header="709" w:footer="709" w:gutter="0"/>
          <w:pgNumType w:start="1"/>
          <w:cols w:space="708"/>
          <w:docGrid w:linePitch="360"/>
        </w:sectPr>
      </w:pPr>
    </w:p>
    <w:p w14:paraId="52652D78" w14:textId="77DF6267" w:rsidR="00AC2AA1" w:rsidRDefault="00AC2AA1" w:rsidP="00AC2AA1">
      <w:pPr>
        <w:jc w:val="both"/>
        <w:rPr>
          <w:rFonts w:ascii="Arial" w:hAnsi="Arial" w:cs="Arial"/>
          <w:sz w:val="20"/>
        </w:rPr>
      </w:pPr>
    </w:p>
    <w:p w14:paraId="03A01B92" w14:textId="304E73C7" w:rsidR="00AC2AA1" w:rsidRDefault="00AC2AA1" w:rsidP="00AC2AA1">
      <w:pPr>
        <w:jc w:val="both"/>
        <w:rPr>
          <w:rFonts w:ascii="Arial" w:hAnsi="Arial" w:cs="Arial"/>
          <w:sz w:val="20"/>
        </w:rPr>
      </w:pPr>
    </w:p>
    <w:p w14:paraId="4CBC5490" w14:textId="7004E5C9" w:rsidR="00AC2AA1" w:rsidRDefault="00AC2AA1" w:rsidP="00AC2AA1">
      <w:pPr>
        <w:jc w:val="both"/>
        <w:rPr>
          <w:rFonts w:ascii="Arial" w:hAnsi="Arial" w:cs="Arial"/>
          <w:sz w:val="20"/>
        </w:rPr>
      </w:pPr>
    </w:p>
    <w:p w14:paraId="06F0492F" w14:textId="4B34389C" w:rsidR="00AC2AA1" w:rsidRDefault="00AC2AA1" w:rsidP="00AC2AA1">
      <w:pPr>
        <w:jc w:val="both"/>
        <w:rPr>
          <w:rFonts w:ascii="Arial" w:hAnsi="Arial" w:cs="Arial"/>
          <w:sz w:val="20"/>
        </w:rPr>
      </w:pPr>
    </w:p>
    <w:p w14:paraId="2D6C9CC7" w14:textId="3AC74B8B" w:rsidR="00AC2AA1" w:rsidRDefault="00AC2AA1" w:rsidP="00AC2AA1">
      <w:pPr>
        <w:jc w:val="both"/>
        <w:rPr>
          <w:rFonts w:ascii="Arial" w:hAnsi="Arial" w:cs="Arial"/>
          <w:sz w:val="20"/>
        </w:rPr>
      </w:pPr>
    </w:p>
    <w:p w14:paraId="0AA9F7C1" w14:textId="35925BF0" w:rsidR="00AC2AA1" w:rsidRDefault="00AC2AA1" w:rsidP="00AC2AA1">
      <w:pPr>
        <w:jc w:val="both"/>
        <w:rPr>
          <w:rFonts w:ascii="Arial" w:hAnsi="Arial" w:cs="Arial"/>
          <w:sz w:val="20"/>
        </w:rPr>
      </w:pPr>
    </w:p>
    <w:p w14:paraId="4ADDE233" w14:textId="77777777" w:rsidR="00AC2AA1" w:rsidRDefault="00AC2AA1" w:rsidP="00AC2AA1">
      <w:pPr>
        <w:jc w:val="both"/>
        <w:rPr>
          <w:rFonts w:ascii="Arial" w:hAnsi="Arial" w:cs="Arial"/>
          <w:sz w:val="20"/>
        </w:rPr>
      </w:pPr>
    </w:p>
    <w:p w14:paraId="76E0CA7C" w14:textId="77777777" w:rsidR="00AC2AA1" w:rsidRPr="00B23188" w:rsidRDefault="00AC2AA1" w:rsidP="00AC2AA1">
      <w:pPr>
        <w:jc w:val="both"/>
        <w:rPr>
          <w:rFonts w:ascii="Arial" w:hAnsi="Arial" w:cs="Arial"/>
          <w:sz w:val="20"/>
        </w:rPr>
      </w:pPr>
    </w:p>
    <w:p w14:paraId="12344433" w14:textId="77777777" w:rsidR="00AC2AA1" w:rsidRDefault="00AC2AA1" w:rsidP="00AC2AA1">
      <w:pPr>
        <w:jc w:val="both"/>
        <w:rPr>
          <w:rFonts w:ascii="Arial" w:hAnsi="Arial" w:cs="Arial"/>
          <w:b/>
        </w:rPr>
      </w:pPr>
    </w:p>
    <w:p w14:paraId="7A291537" w14:textId="77777777" w:rsidR="00AC2AA1" w:rsidRDefault="00AC2AA1" w:rsidP="00AC2AA1">
      <w:pPr>
        <w:jc w:val="both"/>
        <w:rPr>
          <w:rFonts w:ascii="Arial" w:hAnsi="Arial" w:cs="Arial"/>
          <w:b/>
        </w:rPr>
      </w:pPr>
    </w:p>
    <w:p w14:paraId="151FE422" w14:textId="77777777" w:rsidR="00AC2AA1" w:rsidRDefault="00AC2AA1" w:rsidP="00AC2AA1">
      <w:pPr>
        <w:jc w:val="both"/>
        <w:rPr>
          <w:rFonts w:ascii="Arial" w:hAnsi="Arial" w:cs="Arial"/>
          <w:b/>
        </w:rPr>
      </w:pPr>
    </w:p>
    <w:p w14:paraId="037F974A" w14:textId="77777777" w:rsidR="00AC2AA1" w:rsidRDefault="00AC2AA1" w:rsidP="00AC2AA1">
      <w:pPr>
        <w:jc w:val="both"/>
        <w:rPr>
          <w:rFonts w:ascii="Arial" w:hAnsi="Arial" w:cs="Arial"/>
          <w:b/>
        </w:rPr>
      </w:pPr>
    </w:p>
    <w:p w14:paraId="50DBA86E" w14:textId="77777777" w:rsidR="00AC2AA1" w:rsidRDefault="00AC2AA1" w:rsidP="00AC2AA1"/>
    <w:p w14:paraId="31016CDB" w14:textId="77777777" w:rsidR="00AC2AA1" w:rsidRDefault="00AC2AA1">
      <w:pPr>
        <w:shd w:val="clear" w:color="auto" w:fill="FFFFFF"/>
        <w:spacing w:after="0" w:line="240" w:lineRule="auto"/>
        <w:ind w:left="720" w:hanging="720"/>
        <w:jc w:val="both"/>
        <w:rPr>
          <w:rFonts w:ascii="Arial" w:hAnsi="Arial" w:cs="Arial"/>
        </w:rPr>
      </w:pPr>
    </w:p>
    <w:sectPr w:rsidR="00AC2AA1" w:rsidSect="00CD4D77">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EF36" w14:textId="77777777" w:rsidR="008F79E3" w:rsidRDefault="008F79E3" w:rsidP="007F3E19">
      <w:pPr>
        <w:spacing w:after="0" w:line="240" w:lineRule="auto"/>
      </w:pPr>
      <w:r>
        <w:separator/>
      </w:r>
    </w:p>
  </w:endnote>
  <w:endnote w:type="continuationSeparator" w:id="0">
    <w:p w14:paraId="76DC9250" w14:textId="77777777" w:rsidR="008F79E3" w:rsidRDefault="008F79E3" w:rsidP="007F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523369"/>
      <w:docPartObj>
        <w:docPartGallery w:val="Page Numbers (Bottom of Page)"/>
        <w:docPartUnique/>
      </w:docPartObj>
    </w:sdtPr>
    <w:sdtEndPr>
      <w:rPr>
        <w:noProof/>
      </w:rPr>
    </w:sdtEndPr>
    <w:sdtContent>
      <w:p w14:paraId="12AAD206" w14:textId="68DE1FB7" w:rsidR="009463FD" w:rsidRDefault="00946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19C18" w14:textId="77777777" w:rsidR="009463FD" w:rsidRDefault="0094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105441"/>
      <w:docPartObj>
        <w:docPartGallery w:val="Page Numbers (Bottom of Page)"/>
        <w:docPartUnique/>
      </w:docPartObj>
    </w:sdtPr>
    <w:sdtEndPr>
      <w:rPr>
        <w:noProof/>
      </w:rPr>
    </w:sdtEndPr>
    <w:sdtContent>
      <w:p w14:paraId="5B755FF6" w14:textId="38DA43E9" w:rsidR="009463FD" w:rsidRDefault="00946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9354F" w14:textId="77777777" w:rsidR="00BE326A" w:rsidRDefault="00BE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A9D6" w14:textId="77777777" w:rsidR="008F79E3" w:rsidRDefault="008F79E3" w:rsidP="007F3E19">
      <w:pPr>
        <w:spacing w:after="0" w:line="240" w:lineRule="auto"/>
      </w:pPr>
      <w:r>
        <w:separator/>
      </w:r>
    </w:p>
  </w:footnote>
  <w:footnote w:type="continuationSeparator" w:id="0">
    <w:p w14:paraId="639CBA74" w14:textId="77777777" w:rsidR="008F79E3" w:rsidRDefault="008F79E3" w:rsidP="007F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13B"/>
    <w:multiLevelType w:val="hybridMultilevel"/>
    <w:tmpl w:val="F3B4F898"/>
    <w:lvl w:ilvl="0" w:tplc="1C52C00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751"/>
    <w:multiLevelType w:val="hybridMultilevel"/>
    <w:tmpl w:val="866C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B5263"/>
    <w:multiLevelType w:val="hybridMultilevel"/>
    <w:tmpl w:val="D31E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FA0"/>
    <w:multiLevelType w:val="hybridMultilevel"/>
    <w:tmpl w:val="012671D6"/>
    <w:lvl w:ilvl="0" w:tplc="79E020A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83FB9"/>
    <w:multiLevelType w:val="hybridMultilevel"/>
    <w:tmpl w:val="BE72A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nl-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D7"/>
    <w:rsid w:val="00011654"/>
    <w:rsid w:val="0001302A"/>
    <w:rsid w:val="000134B9"/>
    <w:rsid w:val="0001714C"/>
    <w:rsid w:val="00020617"/>
    <w:rsid w:val="000217E8"/>
    <w:rsid w:val="000258BA"/>
    <w:rsid w:val="00027492"/>
    <w:rsid w:val="00031A1F"/>
    <w:rsid w:val="00031E7E"/>
    <w:rsid w:val="000355AE"/>
    <w:rsid w:val="000423C1"/>
    <w:rsid w:val="00044966"/>
    <w:rsid w:val="000477CA"/>
    <w:rsid w:val="00050449"/>
    <w:rsid w:val="000550D0"/>
    <w:rsid w:val="000704B9"/>
    <w:rsid w:val="00071B4E"/>
    <w:rsid w:val="00072054"/>
    <w:rsid w:val="0007499D"/>
    <w:rsid w:val="00075A36"/>
    <w:rsid w:val="00075F40"/>
    <w:rsid w:val="00077E35"/>
    <w:rsid w:val="000805A5"/>
    <w:rsid w:val="00086190"/>
    <w:rsid w:val="000875F5"/>
    <w:rsid w:val="00090107"/>
    <w:rsid w:val="000944B5"/>
    <w:rsid w:val="00094EAE"/>
    <w:rsid w:val="00095782"/>
    <w:rsid w:val="000967D6"/>
    <w:rsid w:val="000A0A3D"/>
    <w:rsid w:val="000A0F0D"/>
    <w:rsid w:val="000B324C"/>
    <w:rsid w:val="000C23C9"/>
    <w:rsid w:val="000C48D2"/>
    <w:rsid w:val="000C50C7"/>
    <w:rsid w:val="000C65FF"/>
    <w:rsid w:val="000D7EE8"/>
    <w:rsid w:val="000E2C9A"/>
    <w:rsid w:val="000E542A"/>
    <w:rsid w:val="000E6EDC"/>
    <w:rsid w:val="000F250E"/>
    <w:rsid w:val="000F348B"/>
    <w:rsid w:val="000F3822"/>
    <w:rsid w:val="00100656"/>
    <w:rsid w:val="00110A93"/>
    <w:rsid w:val="00113344"/>
    <w:rsid w:val="00113BCF"/>
    <w:rsid w:val="00115BA4"/>
    <w:rsid w:val="00131643"/>
    <w:rsid w:val="00134D3D"/>
    <w:rsid w:val="0013656F"/>
    <w:rsid w:val="00147996"/>
    <w:rsid w:val="00150BAF"/>
    <w:rsid w:val="00157787"/>
    <w:rsid w:val="00161C60"/>
    <w:rsid w:val="001775FF"/>
    <w:rsid w:val="00184633"/>
    <w:rsid w:val="00194B37"/>
    <w:rsid w:val="001A1DAF"/>
    <w:rsid w:val="001B1939"/>
    <w:rsid w:val="001B2423"/>
    <w:rsid w:val="001B3310"/>
    <w:rsid w:val="001B4F63"/>
    <w:rsid w:val="001B6AF5"/>
    <w:rsid w:val="001C0A3E"/>
    <w:rsid w:val="001D0985"/>
    <w:rsid w:val="001D1826"/>
    <w:rsid w:val="001E0CE2"/>
    <w:rsid w:val="001E2641"/>
    <w:rsid w:val="001E2B9F"/>
    <w:rsid w:val="001E3D91"/>
    <w:rsid w:val="001F0AB2"/>
    <w:rsid w:val="001F4ADB"/>
    <w:rsid w:val="002013D7"/>
    <w:rsid w:val="002066C1"/>
    <w:rsid w:val="00206D00"/>
    <w:rsid w:val="00207B80"/>
    <w:rsid w:val="00210030"/>
    <w:rsid w:val="002137FB"/>
    <w:rsid w:val="002145A0"/>
    <w:rsid w:val="00224C12"/>
    <w:rsid w:val="00225016"/>
    <w:rsid w:val="00225C5B"/>
    <w:rsid w:val="002260EE"/>
    <w:rsid w:val="00230ECD"/>
    <w:rsid w:val="00241A9F"/>
    <w:rsid w:val="002455D7"/>
    <w:rsid w:val="002460E3"/>
    <w:rsid w:val="00246ADF"/>
    <w:rsid w:val="002523A9"/>
    <w:rsid w:val="00253082"/>
    <w:rsid w:val="0025666E"/>
    <w:rsid w:val="00257DF2"/>
    <w:rsid w:val="002736EC"/>
    <w:rsid w:val="00275D86"/>
    <w:rsid w:val="002764F0"/>
    <w:rsid w:val="00284D74"/>
    <w:rsid w:val="002850E7"/>
    <w:rsid w:val="00290778"/>
    <w:rsid w:val="00295BE8"/>
    <w:rsid w:val="002B4873"/>
    <w:rsid w:val="002B5F3B"/>
    <w:rsid w:val="002C4508"/>
    <w:rsid w:val="002D0BE8"/>
    <w:rsid w:val="002D61B8"/>
    <w:rsid w:val="002E4CB1"/>
    <w:rsid w:val="002E62C6"/>
    <w:rsid w:val="002E645A"/>
    <w:rsid w:val="002F38A4"/>
    <w:rsid w:val="00301ECD"/>
    <w:rsid w:val="0030636C"/>
    <w:rsid w:val="0031243F"/>
    <w:rsid w:val="003128B2"/>
    <w:rsid w:val="0031439B"/>
    <w:rsid w:val="0031449F"/>
    <w:rsid w:val="00315A53"/>
    <w:rsid w:val="00317757"/>
    <w:rsid w:val="00327448"/>
    <w:rsid w:val="00327FDF"/>
    <w:rsid w:val="003324A5"/>
    <w:rsid w:val="003362F2"/>
    <w:rsid w:val="00341FCC"/>
    <w:rsid w:val="00343B69"/>
    <w:rsid w:val="00343CB5"/>
    <w:rsid w:val="0034451D"/>
    <w:rsid w:val="00345280"/>
    <w:rsid w:val="00352613"/>
    <w:rsid w:val="00357687"/>
    <w:rsid w:val="003619E9"/>
    <w:rsid w:val="00363263"/>
    <w:rsid w:val="00363B16"/>
    <w:rsid w:val="00366223"/>
    <w:rsid w:val="00373AE0"/>
    <w:rsid w:val="0037686D"/>
    <w:rsid w:val="00380B02"/>
    <w:rsid w:val="0038102C"/>
    <w:rsid w:val="00385CDB"/>
    <w:rsid w:val="00386AED"/>
    <w:rsid w:val="00386DDD"/>
    <w:rsid w:val="003877F9"/>
    <w:rsid w:val="00391041"/>
    <w:rsid w:val="00391FC5"/>
    <w:rsid w:val="0039679D"/>
    <w:rsid w:val="00397CC7"/>
    <w:rsid w:val="003A2711"/>
    <w:rsid w:val="003A3C60"/>
    <w:rsid w:val="003A5F91"/>
    <w:rsid w:val="003A72AE"/>
    <w:rsid w:val="003B0906"/>
    <w:rsid w:val="003B13FB"/>
    <w:rsid w:val="003B3F37"/>
    <w:rsid w:val="003C0457"/>
    <w:rsid w:val="003D0449"/>
    <w:rsid w:val="003D04BA"/>
    <w:rsid w:val="003D4E71"/>
    <w:rsid w:val="003E15E8"/>
    <w:rsid w:val="003E5E96"/>
    <w:rsid w:val="003F4010"/>
    <w:rsid w:val="003F41D0"/>
    <w:rsid w:val="003F5275"/>
    <w:rsid w:val="00401787"/>
    <w:rsid w:val="00403213"/>
    <w:rsid w:val="00404D81"/>
    <w:rsid w:val="00405E00"/>
    <w:rsid w:val="00406A81"/>
    <w:rsid w:val="00414B69"/>
    <w:rsid w:val="00433D22"/>
    <w:rsid w:val="0044030D"/>
    <w:rsid w:val="00441A4C"/>
    <w:rsid w:val="004473D2"/>
    <w:rsid w:val="004538AB"/>
    <w:rsid w:val="00456571"/>
    <w:rsid w:val="004646EF"/>
    <w:rsid w:val="00464ECF"/>
    <w:rsid w:val="00467BC5"/>
    <w:rsid w:val="0047074B"/>
    <w:rsid w:val="00471255"/>
    <w:rsid w:val="00486004"/>
    <w:rsid w:val="00493591"/>
    <w:rsid w:val="004A0FEC"/>
    <w:rsid w:val="004A22DF"/>
    <w:rsid w:val="004A6961"/>
    <w:rsid w:val="004A7EC1"/>
    <w:rsid w:val="004A7F1E"/>
    <w:rsid w:val="004B2C42"/>
    <w:rsid w:val="004B2E03"/>
    <w:rsid w:val="004B2F27"/>
    <w:rsid w:val="004C295F"/>
    <w:rsid w:val="004D4444"/>
    <w:rsid w:val="004D51DF"/>
    <w:rsid w:val="004D7191"/>
    <w:rsid w:val="004F08C9"/>
    <w:rsid w:val="004F254A"/>
    <w:rsid w:val="00501C0A"/>
    <w:rsid w:val="00501E04"/>
    <w:rsid w:val="00504D17"/>
    <w:rsid w:val="005103A6"/>
    <w:rsid w:val="00510A61"/>
    <w:rsid w:val="005135B7"/>
    <w:rsid w:val="00520492"/>
    <w:rsid w:val="00521622"/>
    <w:rsid w:val="00522837"/>
    <w:rsid w:val="0052284C"/>
    <w:rsid w:val="0052371C"/>
    <w:rsid w:val="00534F81"/>
    <w:rsid w:val="00537490"/>
    <w:rsid w:val="005376E2"/>
    <w:rsid w:val="00540ADE"/>
    <w:rsid w:val="005410C8"/>
    <w:rsid w:val="005449B0"/>
    <w:rsid w:val="00547CE4"/>
    <w:rsid w:val="005500E8"/>
    <w:rsid w:val="0055114C"/>
    <w:rsid w:val="0055534A"/>
    <w:rsid w:val="00563D86"/>
    <w:rsid w:val="0056714E"/>
    <w:rsid w:val="0057041E"/>
    <w:rsid w:val="005742A0"/>
    <w:rsid w:val="00574B71"/>
    <w:rsid w:val="00576175"/>
    <w:rsid w:val="00580318"/>
    <w:rsid w:val="00583E96"/>
    <w:rsid w:val="005910AF"/>
    <w:rsid w:val="0059681C"/>
    <w:rsid w:val="00597401"/>
    <w:rsid w:val="005A3DA8"/>
    <w:rsid w:val="005A5564"/>
    <w:rsid w:val="005A6749"/>
    <w:rsid w:val="005B05FF"/>
    <w:rsid w:val="005B4F7C"/>
    <w:rsid w:val="005C07E2"/>
    <w:rsid w:val="005C5C99"/>
    <w:rsid w:val="005C6AD3"/>
    <w:rsid w:val="005C6F58"/>
    <w:rsid w:val="005D3C9B"/>
    <w:rsid w:val="005E4674"/>
    <w:rsid w:val="005E5344"/>
    <w:rsid w:val="005E5D09"/>
    <w:rsid w:val="005E7340"/>
    <w:rsid w:val="005F0E1F"/>
    <w:rsid w:val="005F1AE3"/>
    <w:rsid w:val="005F39B3"/>
    <w:rsid w:val="006026F8"/>
    <w:rsid w:val="00610129"/>
    <w:rsid w:val="00611722"/>
    <w:rsid w:val="006136DA"/>
    <w:rsid w:val="00614FE3"/>
    <w:rsid w:val="006159F6"/>
    <w:rsid w:val="00616D3D"/>
    <w:rsid w:val="006239E5"/>
    <w:rsid w:val="006307C4"/>
    <w:rsid w:val="00634A0E"/>
    <w:rsid w:val="006432F0"/>
    <w:rsid w:val="00643945"/>
    <w:rsid w:val="006448CE"/>
    <w:rsid w:val="00650E59"/>
    <w:rsid w:val="006512E8"/>
    <w:rsid w:val="00653D8B"/>
    <w:rsid w:val="006557FE"/>
    <w:rsid w:val="006603B5"/>
    <w:rsid w:val="00660468"/>
    <w:rsid w:val="006621D5"/>
    <w:rsid w:val="00673283"/>
    <w:rsid w:val="00673799"/>
    <w:rsid w:val="00684879"/>
    <w:rsid w:val="006873D1"/>
    <w:rsid w:val="006926F8"/>
    <w:rsid w:val="00694225"/>
    <w:rsid w:val="006A668D"/>
    <w:rsid w:val="006B1D25"/>
    <w:rsid w:val="006B2EF0"/>
    <w:rsid w:val="006C08B2"/>
    <w:rsid w:val="006C2C85"/>
    <w:rsid w:val="006C5519"/>
    <w:rsid w:val="006D47DB"/>
    <w:rsid w:val="006E1BCB"/>
    <w:rsid w:val="006E7507"/>
    <w:rsid w:val="006F28A7"/>
    <w:rsid w:val="006F29BF"/>
    <w:rsid w:val="006F2E5F"/>
    <w:rsid w:val="00702581"/>
    <w:rsid w:val="007026CE"/>
    <w:rsid w:val="00703648"/>
    <w:rsid w:val="0070602E"/>
    <w:rsid w:val="00715262"/>
    <w:rsid w:val="0071647D"/>
    <w:rsid w:val="00721D7C"/>
    <w:rsid w:val="00730B03"/>
    <w:rsid w:val="00735B29"/>
    <w:rsid w:val="00741B94"/>
    <w:rsid w:val="00743C37"/>
    <w:rsid w:val="00747EED"/>
    <w:rsid w:val="00751953"/>
    <w:rsid w:val="00752F91"/>
    <w:rsid w:val="00753D2E"/>
    <w:rsid w:val="0077509C"/>
    <w:rsid w:val="00775DF4"/>
    <w:rsid w:val="00780FC6"/>
    <w:rsid w:val="00781D41"/>
    <w:rsid w:val="007855D4"/>
    <w:rsid w:val="00786825"/>
    <w:rsid w:val="007908B8"/>
    <w:rsid w:val="00795090"/>
    <w:rsid w:val="007953E6"/>
    <w:rsid w:val="007A03E7"/>
    <w:rsid w:val="007A14F1"/>
    <w:rsid w:val="007A3286"/>
    <w:rsid w:val="007B34AE"/>
    <w:rsid w:val="007B4DA9"/>
    <w:rsid w:val="007B6627"/>
    <w:rsid w:val="007B7488"/>
    <w:rsid w:val="007C0BFD"/>
    <w:rsid w:val="007C0C70"/>
    <w:rsid w:val="007D75FA"/>
    <w:rsid w:val="007E419B"/>
    <w:rsid w:val="007F2557"/>
    <w:rsid w:val="007F3E19"/>
    <w:rsid w:val="007F58A2"/>
    <w:rsid w:val="007F6424"/>
    <w:rsid w:val="0080022E"/>
    <w:rsid w:val="00801BE3"/>
    <w:rsid w:val="008075B2"/>
    <w:rsid w:val="008233D2"/>
    <w:rsid w:val="008261CB"/>
    <w:rsid w:val="00830461"/>
    <w:rsid w:val="008308B0"/>
    <w:rsid w:val="00842A01"/>
    <w:rsid w:val="00843E59"/>
    <w:rsid w:val="00850841"/>
    <w:rsid w:val="00851081"/>
    <w:rsid w:val="00854377"/>
    <w:rsid w:val="00854C02"/>
    <w:rsid w:val="00864C1F"/>
    <w:rsid w:val="008675CB"/>
    <w:rsid w:val="0087772D"/>
    <w:rsid w:val="008778B8"/>
    <w:rsid w:val="0087794C"/>
    <w:rsid w:val="0088001D"/>
    <w:rsid w:val="00885B96"/>
    <w:rsid w:val="008877B5"/>
    <w:rsid w:val="00895204"/>
    <w:rsid w:val="0089715E"/>
    <w:rsid w:val="008A237B"/>
    <w:rsid w:val="008A346E"/>
    <w:rsid w:val="008B2430"/>
    <w:rsid w:val="008B742B"/>
    <w:rsid w:val="008C1537"/>
    <w:rsid w:val="008C5E44"/>
    <w:rsid w:val="008C6AF0"/>
    <w:rsid w:val="008D1AB9"/>
    <w:rsid w:val="008D324A"/>
    <w:rsid w:val="008D3256"/>
    <w:rsid w:val="008D3319"/>
    <w:rsid w:val="008D6690"/>
    <w:rsid w:val="008E05F9"/>
    <w:rsid w:val="008E11E4"/>
    <w:rsid w:val="008F1482"/>
    <w:rsid w:val="008F1C33"/>
    <w:rsid w:val="008F5186"/>
    <w:rsid w:val="008F6307"/>
    <w:rsid w:val="008F79E3"/>
    <w:rsid w:val="00904EFD"/>
    <w:rsid w:val="00910321"/>
    <w:rsid w:val="00910DF1"/>
    <w:rsid w:val="0091111D"/>
    <w:rsid w:val="00911D58"/>
    <w:rsid w:val="00913FB8"/>
    <w:rsid w:val="00920B8C"/>
    <w:rsid w:val="0093140D"/>
    <w:rsid w:val="009463FD"/>
    <w:rsid w:val="00946EC5"/>
    <w:rsid w:val="00967830"/>
    <w:rsid w:val="00975FF5"/>
    <w:rsid w:val="00976EC6"/>
    <w:rsid w:val="00980DBA"/>
    <w:rsid w:val="009827A7"/>
    <w:rsid w:val="009828EB"/>
    <w:rsid w:val="009840F7"/>
    <w:rsid w:val="0098496D"/>
    <w:rsid w:val="00984C19"/>
    <w:rsid w:val="00985A73"/>
    <w:rsid w:val="00986E88"/>
    <w:rsid w:val="0099288B"/>
    <w:rsid w:val="00994D6F"/>
    <w:rsid w:val="009A1040"/>
    <w:rsid w:val="009A1BF7"/>
    <w:rsid w:val="009B16AF"/>
    <w:rsid w:val="009B1CF7"/>
    <w:rsid w:val="009B3A48"/>
    <w:rsid w:val="009C6F70"/>
    <w:rsid w:val="009C7C4A"/>
    <w:rsid w:val="009D0CB3"/>
    <w:rsid w:val="009D2951"/>
    <w:rsid w:val="009D62FA"/>
    <w:rsid w:val="009F3EC6"/>
    <w:rsid w:val="009F5EE1"/>
    <w:rsid w:val="00A031DF"/>
    <w:rsid w:val="00A05FF2"/>
    <w:rsid w:val="00A102DD"/>
    <w:rsid w:val="00A114B6"/>
    <w:rsid w:val="00A24E0E"/>
    <w:rsid w:val="00A42DAE"/>
    <w:rsid w:val="00A5071B"/>
    <w:rsid w:val="00A559B6"/>
    <w:rsid w:val="00A650FE"/>
    <w:rsid w:val="00A66171"/>
    <w:rsid w:val="00A7061F"/>
    <w:rsid w:val="00A73F49"/>
    <w:rsid w:val="00A749BE"/>
    <w:rsid w:val="00A76D5D"/>
    <w:rsid w:val="00A773D6"/>
    <w:rsid w:val="00A83EF4"/>
    <w:rsid w:val="00A85802"/>
    <w:rsid w:val="00A95ABF"/>
    <w:rsid w:val="00AA01EC"/>
    <w:rsid w:val="00AA34DF"/>
    <w:rsid w:val="00AA7481"/>
    <w:rsid w:val="00AB1BEC"/>
    <w:rsid w:val="00AC2AA1"/>
    <w:rsid w:val="00AD5699"/>
    <w:rsid w:val="00AD714F"/>
    <w:rsid w:val="00AE107F"/>
    <w:rsid w:val="00AE24C0"/>
    <w:rsid w:val="00AE5910"/>
    <w:rsid w:val="00AF3071"/>
    <w:rsid w:val="00B02844"/>
    <w:rsid w:val="00B04F04"/>
    <w:rsid w:val="00B23188"/>
    <w:rsid w:val="00B23878"/>
    <w:rsid w:val="00B23FD7"/>
    <w:rsid w:val="00B24772"/>
    <w:rsid w:val="00B2785B"/>
    <w:rsid w:val="00B3317B"/>
    <w:rsid w:val="00B339A0"/>
    <w:rsid w:val="00B40376"/>
    <w:rsid w:val="00B416AC"/>
    <w:rsid w:val="00B45914"/>
    <w:rsid w:val="00B501D9"/>
    <w:rsid w:val="00B63E87"/>
    <w:rsid w:val="00B65287"/>
    <w:rsid w:val="00B72844"/>
    <w:rsid w:val="00B81374"/>
    <w:rsid w:val="00B818B6"/>
    <w:rsid w:val="00B8338F"/>
    <w:rsid w:val="00B865B5"/>
    <w:rsid w:val="00B90898"/>
    <w:rsid w:val="00B93057"/>
    <w:rsid w:val="00B972ED"/>
    <w:rsid w:val="00BA0B32"/>
    <w:rsid w:val="00BA0E89"/>
    <w:rsid w:val="00BA646F"/>
    <w:rsid w:val="00BB42C5"/>
    <w:rsid w:val="00BB46B8"/>
    <w:rsid w:val="00BB6350"/>
    <w:rsid w:val="00BB7A9D"/>
    <w:rsid w:val="00BB7BE3"/>
    <w:rsid w:val="00BC0515"/>
    <w:rsid w:val="00BD146B"/>
    <w:rsid w:val="00BD2EB8"/>
    <w:rsid w:val="00BD403C"/>
    <w:rsid w:val="00BD5497"/>
    <w:rsid w:val="00BE326A"/>
    <w:rsid w:val="00BE6724"/>
    <w:rsid w:val="00C03398"/>
    <w:rsid w:val="00C07557"/>
    <w:rsid w:val="00C23344"/>
    <w:rsid w:val="00C238C2"/>
    <w:rsid w:val="00C31DE4"/>
    <w:rsid w:val="00C34FAB"/>
    <w:rsid w:val="00C42F47"/>
    <w:rsid w:val="00C507D8"/>
    <w:rsid w:val="00C52E30"/>
    <w:rsid w:val="00C638F8"/>
    <w:rsid w:val="00C64BE4"/>
    <w:rsid w:val="00C65903"/>
    <w:rsid w:val="00C701AB"/>
    <w:rsid w:val="00C71328"/>
    <w:rsid w:val="00C75683"/>
    <w:rsid w:val="00C80124"/>
    <w:rsid w:val="00C8036C"/>
    <w:rsid w:val="00C917F6"/>
    <w:rsid w:val="00C94DE1"/>
    <w:rsid w:val="00CA2DFA"/>
    <w:rsid w:val="00CA570E"/>
    <w:rsid w:val="00CB2743"/>
    <w:rsid w:val="00CB2E42"/>
    <w:rsid w:val="00CB5ED0"/>
    <w:rsid w:val="00CC15D7"/>
    <w:rsid w:val="00CC418A"/>
    <w:rsid w:val="00CD4D77"/>
    <w:rsid w:val="00CE69FE"/>
    <w:rsid w:val="00CE72E3"/>
    <w:rsid w:val="00CF12FD"/>
    <w:rsid w:val="00CF144E"/>
    <w:rsid w:val="00CF2E2A"/>
    <w:rsid w:val="00CF67C9"/>
    <w:rsid w:val="00D01D94"/>
    <w:rsid w:val="00D02346"/>
    <w:rsid w:val="00D02406"/>
    <w:rsid w:val="00D0482B"/>
    <w:rsid w:val="00D077B0"/>
    <w:rsid w:val="00D11AF8"/>
    <w:rsid w:val="00D11E2D"/>
    <w:rsid w:val="00D20E3D"/>
    <w:rsid w:val="00D33690"/>
    <w:rsid w:val="00D50D34"/>
    <w:rsid w:val="00D54253"/>
    <w:rsid w:val="00D5687F"/>
    <w:rsid w:val="00D6513A"/>
    <w:rsid w:val="00D7082E"/>
    <w:rsid w:val="00D709D6"/>
    <w:rsid w:val="00D742A2"/>
    <w:rsid w:val="00D742E6"/>
    <w:rsid w:val="00D80E0A"/>
    <w:rsid w:val="00D81AC2"/>
    <w:rsid w:val="00D81B9F"/>
    <w:rsid w:val="00D87BBD"/>
    <w:rsid w:val="00D902EC"/>
    <w:rsid w:val="00D94273"/>
    <w:rsid w:val="00D9546E"/>
    <w:rsid w:val="00DA2267"/>
    <w:rsid w:val="00DB19CD"/>
    <w:rsid w:val="00DB53EC"/>
    <w:rsid w:val="00DC4937"/>
    <w:rsid w:val="00DC7461"/>
    <w:rsid w:val="00DD29A3"/>
    <w:rsid w:val="00DD3FB5"/>
    <w:rsid w:val="00DD44D9"/>
    <w:rsid w:val="00DD7BCB"/>
    <w:rsid w:val="00DE5154"/>
    <w:rsid w:val="00DF5752"/>
    <w:rsid w:val="00E10F5B"/>
    <w:rsid w:val="00E21257"/>
    <w:rsid w:val="00E21821"/>
    <w:rsid w:val="00E22362"/>
    <w:rsid w:val="00E22802"/>
    <w:rsid w:val="00E25987"/>
    <w:rsid w:val="00E2607B"/>
    <w:rsid w:val="00E30282"/>
    <w:rsid w:val="00E32B84"/>
    <w:rsid w:val="00E35DE1"/>
    <w:rsid w:val="00E37E12"/>
    <w:rsid w:val="00E420E6"/>
    <w:rsid w:val="00E5219E"/>
    <w:rsid w:val="00E55522"/>
    <w:rsid w:val="00E559F9"/>
    <w:rsid w:val="00E63914"/>
    <w:rsid w:val="00E64A3A"/>
    <w:rsid w:val="00E65DE4"/>
    <w:rsid w:val="00E729F4"/>
    <w:rsid w:val="00E74D03"/>
    <w:rsid w:val="00E86F93"/>
    <w:rsid w:val="00E9066B"/>
    <w:rsid w:val="00E92939"/>
    <w:rsid w:val="00E94B5A"/>
    <w:rsid w:val="00E97133"/>
    <w:rsid w:val="00E97DD9"/>
    <w:rsid w:val="00EB2CFA"/>
    <w:rsid w:val="00EB31C3"/>
    <w:rsid w:val="00EB4E5B"/>
    <w:rsid w:val="00EC12BF"/>
    <w:rsid w:val="00ED434B"/>
    <w:rsid w:val="00ED678D"/>
    <w:rsid w:val="00ED6793"/>
    <w:rsid w:val="00EF2849"/>
    <w:rsid w:val="00EF444C"/>
    <w:rsid w:val="00F06887"/>
    <w:rsid w:val="00F14F6B"/>
    <w:rsid w:val="00F168F3"/>
    <w:rsid w:val="00F17906"/>
    <w:rsid w:val="00F21413"/>
    <w:rsid w:val="00F228D1"/>
    <w:rsid w:val="00F23DB3"/>
    <w:rsid w:val="00F34048"/>
    <w:rsid w:val="00F359E7"/>
    <w:rsid w:val="00F35C99"/>
    <w:rsid w:val="00F44FB4"/>
    <w:rsid w:val="00F520C9"/>
    <w:rsid w:val="00F54038"/>
    <w:rsid w:val="00F5736A"/>
    <w:rsid w:val="00F676E1"/>
    <w:rsid w:val="00F704C2"/>
    <w:rsid w:val="00F724D0"/>
    <w:rsid w:val="00F74858"/>
    <w:rsid w:val="00F84793"/>
    <w:rsid w:val="00F857FF"/>
    <w:rsid w:val="00F86CFF"/>
    <w:rsid w:val="00F87067"/>
    <w:rsid w:val="00F94AC9"/>
    <w:rsid w:val="00FB6534"/>
    <w:rsid w:val="00FC0696"/>
    <w:rsid w:val="00FC340A"/>
    <w:rsid w:val="00FC5646"/>
    <w:rsid w:val="00FC66DD"/>
    <w:rsid w:val="00FC6D5A"/>
    <w:rsid w:val="00FE4DA3"/>
    <w:rsid w:val="00FE7486"/>
    <w:rsid w:val="626198C6"/>
    <w:rsid w:val="6503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7445"/>
  <w15:chartTrackingRefBased/>
  <w15:docId w15:val="{006A4221-4E70-485C-9DB4-A3C449C7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3A"/>
    <w:pPr>
      <w:ind w:left="720"/>
      <w:contextualSpacing/>
    </w:pPr>
  </w:style>
  <w:style w:type="character" w:styleId="Hyperlink">
    <w:name w:val="Hyperlink"/>
    <w:basedOn w:val="DefaultParagraphFont"/>
    <w:uiPriority w:val="99"/>
    <w:unhideWhenUsed/>
    <w:rsid w:val="007F3E19"/>
    <w:rPr>
      <w:color w:val="0563C1" w:themeColor="hyperlink"/>
      <w:u w:val="single"/>
    </w:rPr>
  </w:style>
  <w:style w:type="paragraph" w:styleId="Header">
    <w:name w:val="header"/>
    <w:basedOn w:val="Normal"/>
    <w:link w:val="HeaderChar"/>
    <w:uiPriority w:val="99"/>
    <w:unhideWhenUsed/>
    <w:rsid w:val="007F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19"/>
  </w:style>
  <w:style w:type="paragraph" w:styleId="Footer">
    <w:name w:val="footer"/>
    <w:basedOn w:val="Normal"/>
    <w:link w:val="FooterChar"/>
    <w:uiPriority w:val="99"/>
    <w:unhideWhenUsed/>
    <w:rsid w:val="007F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19"/>
  </w:style>
  <w:style w:type="character" w:customStyle="1" w:styleId="highwire-citation-authors">
    <w:name w:val="highwire-citation-authors"/>
    <w:basedOn w:val="DefaultParagraphFont"/>
    <w:rsid w:val="002013D7"/>
  </w:style>
  <w:style w:type="character" w:customStyle="1" w:styleId="highwire-citation-author">
    <w:name w:val="highwire-citation-author"/>
    <w:basedOn w:val="DefaultParagraphFont"/>
    <w:rsid w:val="002013D7"/>
  </w:style>
  <w:style w:type="character" w:customStyle="1" w:styleId="nlm-surname">
    <w:name w:val="nlm-surname"/>
    <w:basedOn w:val="DefaultParagraphFont"/>
    <w:rsid w:val="002013D7"/>
  </w:style>
  <w:style w:type="character" w:customStyle="1" w:styleId="citation-et">
    <w:name w:val="citation-et"/>
    <w:basedOn w:val="DefaultParagraphFont"/>
    <w:rsid w:val="002013D7"/>
  </w:style>
  <w:style w:type="character" w:customStyle="1" w:styleId="highwire-cite-metadata-journal">
    <w:name w:val="highwire-cite-metadata-journal"/>
    <w:basedOn w:val="DefaultParagraphFont"/>
    <w:rsid w:val="002013D7"/>
  </w:style>
  <w:style w:type="character" w:customStyle="1" w:styleId="highwire-cite-metadata-year">
    <w:name w:val="highwire-cite-metadata-year"/>
    <w:basedOn w:val="DefaultParagraphFont"/>
    <w:rsid w:val="002013D7"/>
  </w:style>
  <w:style w:type="character" w:customStyle="1" w:styleId="highwire-cite-metadata-volume">
    <w:name w:val="highwire-cite-metadata-volume"/>
    <w:basedOn w:val="DefaultParagraphFont"/>
    <w:rsid w:val="002013D7"/>
  </w:style>
  <w:style w:type="character" w:customStyle="1" w:styleId="highwire-cite-metadata-pages">
    <w:name w:val="highwire-cite-metadata-pages"/>
    <w:basedOn w:val="DefaultParagraphFont"/>
    <w:rsid w:val="002013D7"/>
  </w:style>
  <w:style w:type="character" w:styleId="Emphasis">
    <w:name w:val="Emphasis"/>
    <w:basedOn w:val="DefaultParagraphFont"/>
    <w:uiPriority w:val="20"/>
    <w:qFormat/>
    <w:rsid w:val="006432F0"/>
    <w:rPr>
      <w:i/>
      <w:iCs/>
    </w:rPr>
  </w:style>
  <w:style w:type="table" w:styleId="TableGrid">
    <w:name w:val="Table Grid"/>
    <w:basedOn w:val="TableNormal"/>
    <w:uiPriority w:val="39"/>
    <w:rsid w:val="0065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25"/>
    <w:rPr>
      <w:rFonts w:ascii="Segoe UI" w:hAnsi="Segoe UI" w:cs="Segoe UI"/>
      <w:sz w:val="18"/>
      <w:szCs w:val="18"/>
    </w:rPr>
  </w:style>
  <w:style w:type="character" w:styleId="CommentReference">
    <w:name w:val="annotation reference"/>
    <w:basedOn w:val="DefaultParagraphFont"/>
    <w:uiPriority w:val="99"/>
    <w:semiHidden/>
    <w:unhideWhenUsed/>
    <w:rsid w:val="004B2C42"/>
    <w:rPr>
      <w:sz w:val="16"/>
      <w:szCs w:val="16"/>
    </w:rPr>
  </w:style>
  <w:style w:type="paragraph" w:styleId="CommentText">
    <w:name w:val="annotation text"/>
    <w:basedOn w:val="Normal"/>
    <w:link w:val="CommentTextChar"/>
    <w:uiPriority w:val="99"/>
    <w:semiHidden/>
    <w:unhideWhenUsed/>
    <w:rsid w:val="004B2C42"/>
    <w:pPr>
      <w:spacing w:line="240" w:lineRule="auto"/>
    </w:pPr>
    <w:rPr>
      <w:sz w:val="20"/>
      <w:szCs w:val="20"/>
    </w:rPr>
  </w:style>
  <w:style w:type="character" w:customStyle="1" w:styleId="CommentTextChar">
    <w:name w:val="Comment Text Char"/>
    <w:basedOn w:val="DefaultParagraphFont"/>
    <w:link w:val="CommentText"/>
    <w:uiPriority w:val="99"/>
    <w:semiHidden/>
    <w:rsid w:val="004B2C42"/>
    <w:rPr>
      <w:sz w:val="20"/>
      <w:szCs w:val="20"/>
    </w:rPr>
  </w:style>
  <w:style w:type="paragraph" w:styleId="CommentSubject">
    <w:name w:val="annotation subject"/>
    <w:basedOn w:val="CommentText"/>
    <w:next w:val="CommentText"/>
    <w:link w:val="CommentSubjectChar"/>
    <w:uiPriority w:val="99"/>
    <w:semiHidden/>
    <w:unhideWhenUsed/>
    <w:rsid w:val="004B2C42"/>
    <w:rPr>
      <w:b/>
      <w:bCs/>
    </w:rPr>
  </w:style>
  <w:style w:type="character" w:customStyle="1" w:styleId="CommentSubjectChar">
    <w:name w:val="Comment Subject Char"/>
    <w:basedOn w:val="CommentTextChar"/>
    <w:link w:val="CommentSubject"/>
    <w:uiPriority w:val="99"/>
    <w:semiHidden/>
    <w:rsid w:val="004B2C42"/>
    <w:rPr>
      <w:b/>
      <w:bCs/>
      <w:sz w:val="20"/>
      <w:szCs w:val="20"/>
    </w:rPr>
  </w:style>
  <w:style w:type="character" w:customStyle="1" w:styleId="cit-auth">
    <w:name w:val="cit-auth"/>
    <w:basedOn w:val="DefaultParagraphFont"/>
    <w:rsid w:val="003D4E71"/>
  </w:style>
  <w:style w:type="character" w:customStyle="1" w:styleId="cit-name-surname">
    <w:name w:val="cit-name-surname"/>
    <w:basedOn w:val="DefaultParagraphFont"/>
    <w:rsid w:val="003D4E71"/>
  </w:style>
  <w:style w:type="character" w:customStyle="1" w:styleId="cit-name-given-names">
    <w:name w:val="cit-name-given-names"/>
    <w:basedOn w:val="DefaultParagraphFont"/>
    <w:rsid w:val="003D4E71"/>
  </w:style>
  <w:style w:type="character" w:styleId="HTMLCite">
    <w:name w:val="HTML Cite"/>
    <w:basedOn w:val="DefaultParagraphFont"/>
    <w:uiPriority w:val="99"/>
    <w:semiHidden/>
    <w:unhideWhenUsed/>
    <w:rsid w:val="003D4E71"/>
    <w:rPr>
      <w:i/>
      <w:iCs/>
    </w:rPr>
  </w:style>
  <w:style w:type="character" w:customStyle="1" w:styleId="cit-article-title">
    <w:name w:val="cit-article-title"/>
    <w:basedOn w:val="DefaultParagraphFont"/>
    <w:rsid w:val="003D4E71"/>
  </w:style>
  <w:style w:type="character" w:customStyle="1" w:styleId="cit-pub-date">
    <w:name w:val="cit-pub-date"/>
    <w:basedOn w:val="DefaultParagraphFont"/>
    <w:rsid w:val="003D4E71"/>
  </w:style>
  <w:style w:type="character" w:customStyle="1" w:styleId="cit-vol">
    <w:name w:val="cit-vol"/>
    <w:basedOn w:val="DefaultParagraphFont"/>
    <w:rsid w:val="003D4E71"/>
  </w:style>
  <w:style w:type="character" w:customStyle="1" w:styleId="cit-fpage">
    <w:name w:val="cit-fpage"/>
    <w:basedOn w:val="DefaultParagraphFont"/>
    <w:rsid w:val="003D4E71"/>
  </w:style>
  <w:style w:type="character" w:customStyle="1" w:styleId="cit-lpage">
    <w:name w:val="cit-lpage"/>
    <w:basedOn w:val="DefaultParagraphFont"/>
    <w:rsid w:val="003D4E71"/>
  </w:style>
  <w:style w:type="character" w:customStyle="1" w:styleId="highwire-cite-metadata-elocation-id">
    <w:name w:val="highwire-cite-metadata-elocation-id"/>
    <w:basedOn w:val="DefaultParagraphFont"/>
    <w:rsid w:val="00851081"/>
  </w:style>
  <w:style w:type="character" w:customStyle="1" w:styleId="highwire-cite-metadata-doi">
    <w:name w:val="highwire-cite-metadata-doi"/>
    <w:basedOn w:val="DefaultParagraphFont"/>
    <w:rsid w:val="00851081"/>
  </w:style>
  <w:style w:type="character" w:customStyle="1" w:styleId="label">
    <w:name w:val="label"/>
    <w:basedOn w:val="DefaultParagraphFont"/>
    <w:rsid w:val="00851081"/>
  </w:style>
  <w:style w:type="character" w:customStyle="1" w:styleId="UnresolvedMention1">
    <w:name w:val="Unresolved Mention1"/>
    <w:basedOn w:val="DefaultParagraphFont"/>
    <w:uiPriority w:val="99"/>
    <w:semiHidden/>
    <w:unhideWhenUsed/>
    <w:rsid w:val="00343CB5"/>
    <w:rPr>
      <w:color w:val="605E5C"/>
      <w:shd w:val="clear" w:color="auto" w:fill="E1DFDD"/>
    </w:rPr>
  </w:style>
  <w:style w:type="character" w:styleId="FollowedHyperlink">
    <w:name w:val="FollowedHyperlink"/>
    <w:basedOn w:val="DefaultParagraphFont"/>
    <w:uiPriority w:val="99"/>
    <w:semiHidden/>
    <w:unhideWhenUsed/>
    <w:rsid w:val="00B45914"/>
    <w:rPr>
      <w:color w:val="954F72" w:themeColor="followedHyperlink"/>
      <w:u w:val="single"/>
    </w:rPr>
  </w:style>
  <w:style w:type="character" w:styleId="LineNumber">
    <w:name w:val="line number"/>
    <w:basedOn w:val="DefaultParagraphFont"/>
    <w:uiPriority w:val="99"/>
    <w:semiHidden/>
    <w:unhideWhenUsed/>
    <w:rsid w:val="00D8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098">
      <w:bodyDiv w:val="1"/>
      <w:marLeft w:val="0"/>
      <w:marRight w:val="0"/>
      <w:marTop w:val="0"/>
      <w:marBottom w:val="0"/>
      <w:divBdr>
        <w:top w:val="none" w:sz="0" w:space="0" w:color="auto"/>
        <w:left w:val="none" w:sz="0" w:space="0" w:color="auto"/>
        <w:bottom w:val="none" w:sz="0" w:space="0" w:color="auto"/>
        <w:right w:val="none" w:sz="0" w:space="0" w:color="auto"/>
      </w:divBdr>
    </w:div>
    <w:div w:id="323820700">
      <w:bodyDiv w:val="1"/>
      <w:marLeft w:val="0"/>
      <w:marRight w:val="0"/>
      <w:marTop w:val="0"/>
      <w:marBottom w:val="0"/>
      <w:divBdr>
        <w:top w:val="none" w:sz="0" w:space="0" w:color="auto"/>
        <w:left w:val="none" w:sz="0" w:space="0" w:color="auto"/>
        <w:bottom w:val="none" w:sz="0" w:space="0" w:color="auto"/>
        <w:right w:val="none" w:sz="0" w:space="0" w:color="auto"/>
      </w:divBdr>
      <w:divsChild>
        <w:div w:id="2085487592">
          <w:marLeft w:val="0"/>
          <w:marRight w:val="0"/>
          <w:marTop w:val="0"/>
          <w:marBottom w:val="0"/>
          <w:divBdr>
            <w:top w:val="none" w:sz="0" w:space="0" w:color="auto"/>
            <w:left w:val="none" w:sz="0" w:space="0" w:color="auto"/>
            <w:bottom w:val="none" w:sz="0" w:space="0" w:color="auto"/>
            <w:right w:val="none" w:sz="0" w:space="0" w:color="auto"/>
          </w:divBdr>
        </w:div>
        <w:div w:id="1428110267">
          <w:marLeft w:val="0"/>
          <w:marRight w:val="0"/>
          <w:marTop w:val="0"/>
          <w:marBottom w:val="0"/>
          <w:divBdr>
            <w:top w:val="none" w:sz="0" w:space="0" w:color="auto"/>
            <w:left w:val="none" w:sz="0" w:space="0" w:color="auto"/>
            <w:bottom w:val="none" w:sz="0" w:space="0" w:color="auto"/>
            <w:right w:val="none" w:sz="0" w:space="0" w:color="auto"/>
          </w:divBdr>
        </w:div>
      </w:divsChild>
    </w:div>
    <w:div w:id="444694317">
      <w:bodyDiv w:val="1"/>
      <w:marLeft w:val="0"/>
      <w:marRight w:val="0"/>
      <w:marTop w:val="0"/>
      <w:marBottom w:val="0"/>
      <w:divBdr>
        <w:top w:val="none" w:sz="0" w:space="0" w:color="auto"/>
        <w:left w:val="none" w:sz="0" w:space="0" w:color="auto"/>
        <w:bottom w:val="none" w:sz="0" w:space="0" w:color="auto"/>
        <w:right w:val="none" w:sz="0" w:space="0" w:color="auto"/>
      </w:divBdr>
    </w:div>
    <w:div w:id="1071544203">
      <w:bodyDiv w:val="1"/>
      <w:marLeft w:val="0"/>
      <w:marRight w:val="0"/>
      <w:marTop w:val="0"/>
      <w:marBottom w:val="0"/>
      <w:divBdr>
        <w:top w:val="none" w:sz="0" w:space="0" w:color="auto"/>
        <w:left w:val="none" w:sz="0" w:space="0" w:color="auto"/>
        <w:bottom w:val="none" w:sz="0" w:space="0" w:color="auto"/>
        <w:right w:val="none" w:sz="0" w:space="0" w:color="auto"/>
      </w:divBdr>
      <w:divsChild>
        <w:div w:id="551190035">
          <w:marLeft w:val="0"/>
          <w:marRight w:val="0"/>
          <w:marTop w:val="0"/>
          <w:marBottom w:val="0"/>
          <w:divBdr>
            <w:top w:val="none" w:sz="0" w:space="0" w:color="auto"/>
            <w:left w:val="none" w:sz="0" w:space="0" w:color="auto"/>
            <w:bottom w:val="none" w:sz="0" w:space="0" w:color="auto"/>
            <w:right w:val="none" w:sz="0" w:space="0" w:color="auto"/>
          </w:divBdr>
        </w:div>
        <w:div w:id="1149437534">
          <w:marLeft w:val="0"/>
          <w:marRight w:val="0"/>
          <w:marTop w:val="0"/>
          <w:marBottom w:val="0"/>
          <w:divBdr>
            <w:top w:val="none" w:sz="0" w:space="0" w:color="auto"/>
            <w:left w:val="none" w:sz="0" w:space="0" w:color="auto"/>
            <w:bottom w:val="none" w:sz="0" w:space="0" w:color="auto"/>
            <w:right w:val="none" w:sz="0" w:space="0" w:color="auto"/>
          </w:divBdr>
        </w:div>
        <w:div w:id="1529951230">
          <w:marLeft w:val="0"/>
          <w:marRight w:val="0"/>
          <w:marTop w:val="0"/>
          <w:marBottom w:val="0"/>
          <w:divBdr>
            <w:top w:val="none" w:sz="0" w:space="0" w:color="auto"/>
            <w:left w:val="none" w:sz="0" w:space="0" w:color="auto"/>
            <w:bottom w:val="none" w:sz="0" w:space="0" w:color="auto"/>
            <w:right w:val="none" w:sz="0" w:space="0" w:color="auto"/>
          </w:divBdr>
        </w:div>
      </w:divsChild>
    </w:div>
    <w:div w:id="1237401349">
      <w:bodyDiv w:val="1"/>
      <w:marLeft w:val="0"/>
      <w:marRight w:val="0"/>
      <w:marTop w:val="0"/>
      <w:marBottom w:val="0"/>
      <w:divBdr>
        <w:top w:val="none" w:sz="0" w:space="0" w:color="auto"/>
        <w:left w:val="none" w:sz="0" w:space="0" w:color="auto"/>
        <w:bottom w:val="none" w:sz="0" w:space="0" w:color="auto"/>
        <w:right w:val="none" w:sz="0" w:space="0" w:color="auto"/>
      </w:divBdr>
      <w:divsChild>
        <w:div w:id="2114281548">
          <w:marLeft w:val="0"/>
          <w:marRight w:val="0"/>
          <w:marTop w:val="0"/>
          <w:marBottom w:val="0"/>
          <w:divBdr>
            <w:top w:val="none" w:sz="0" w:space="0" w:color="auto"/>
            <w:left w:val="none" w:sz="0" w:space="0" w:color="auto"/>
            <w:bottom w:val="none" w:sz="0" w:space="0" w:color="auto"/>
            <w:right w:val="none" w:sz="0" w:space="0" w:color="auto"/>
          </w:divBdr>
        </w:div>
        <w:div w:id="1729188211">
          <w:marLeft w:val="0"/>
          <w:marRight w:val="0"/>
          <w:marTop w:val="0"/>
          <w:marBottom w:val="0"/>
          <w:divBdr>
            <w:top w:val="none" w:sz="0" w:space="0" w:color="auto"/>
            <w:left w:val="none" w:sz="0" w:space="0" w:color="auto"/>
            <w:bottom w:val="none" w:sz="0" w:space="0" w:color="auto"/>
            <w:right w:val="none" w:sz="0" w:space="0" w:color="auto"/>
          </w:divBdr>
        </w:div>
        <w:div w:id="141238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Giebel@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publications/statistical/appointments-in-general-practice/oct-2018" TargetMode="External"/><Relationship Id="rId4" Type="http://schemas.openxmlformats.org/officeDocument/2006/relationships/settings" Target="settings.xml"/><Relationship Id="rId9" Type="http://schemas.openxmlformats.org/officeDocument/2006/relationships/hyperlink" Target="https://www.ageuk.org.uk/our-impact/programmes/malnutrition-task-for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6EDD-0494-4D5D-B9C2-608DAE42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21</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Giebel</dc:creator>
  <cp:keywords/>
  <dc:description/>
  <cp:lastModifiedBy>Giebel, Clarissa</cp:lastModifiedBy>
  <cp:revision>47</cp:revision>
  <cp:lastPrinted>2019-06-05T11:30:00Z</cp:lastPrinted>
  <dcterms:created xsi:type="dcterms:W3CDTF">2019-10-18T17:04:00Z</dcterms:created>
  <dcterms:modified xsi:type="dcterms:W3CDTF">2020-06-12T06:25:00Z</dcterms:modified>
</cp:coreProperties>
</file>