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D5C8" w14:textId="77777777" w:rsidR="00494A44" w:rsidRPr="00C47E86" w:rsidRDefault="000346C4" w:rsidP="000346C4">
      <w:pPr>
        <w:pStyle w:val="NoSpacing"/>
        <w:rPr>
          <w:bCs/>
        </w:rPr>
      </w:pPr>
      <w:r w:rsidRPr="00C47E86">
        <w:rPr>
          <w:bCs/>
        </w:rPr>
        <w:t>Interrogation of transcriptome data in Rheumatoid Arthritis for identifying disease susceptibility loci</w:t>
      </w:r>
      <w:r w:rsidR="00F611A5" w:rsidRPr="00C47E86">
        <w:rPr>
          <w:bCs/>
        </w:rPr>
        <w:t xml:space="preserve"> and predictors of treatment response  </w:t>
      </w:r>
    </w:p>
    <w:p w14:paraId="518E17C5" w14:textId="77777777" w:rsidR="000346C4" w:rsidRDefault="000346C4" w:rsidP="000346C4">
      <w:pPr>
        <w:pStyle w:val="NoSpacing"/>
      </w:pPr>
    </w:p>
    <w:p w14:paraId="5332D0A9" w14:textId="4F311529" w:rsidR="000346C4" w:rsidRDefault="000346C4" w:rsidP="000346C4">
      <w:pPr>
        <w:pStyle w:val="NoSpacing"/>
      </w:pPr>
      <w:r>
        <w:t>Rhodri Smith</w:t>
      </w:r>
      <w:r w:rsidR="00454A63" w:rsidRPr="006665D4">
        <w:rPr>
          <w:vertAlign w:val="superscript"/>
        </w:rPr>
        <w:t>1</w:t>
      </w:r>
      <w:r w:rsidR="002F34C5">
        <w:rPr>
          <w:vertAlign w:val="superscript"/>
        </w:rPr>
        <w:t>,2</w:t>
      </w:r>
      <w:r>
        <w:t>, Nicola Goodson</w:t>
      </w:r>
      <w:r w:rsidR="002F34C5">
        <w:rPr>
          <w:vertAlign w:val="superscript"/>
        </w:rPr>
        <w:t>1,2</w:t>
      </w:r>
      <w:r>
        <w:t>, Robert Moots</w:t>
      </w:r>
      <w:r w:rsidR="002F34C5">
        <w:rPr>
          <w:vertAlign w:val="superscript"/>
        </w:rPr>
        <w:t>1,2</w:t>
      </w:r>
      <w:r>
        <w:t xml:space="preserve">, Helen </w:t>
      </w:r>
      <w:r w:rsidR="002F34C5">
        <w:t xml:space="preserve">L </w:t>
      </w:r>
      <w:r>
        <w:t>Wright</w:t>
      </w:r>
      <w:r w:rsidR="002F34C5">
        <w:rPr>
          <w:vertAlign w:val="superscript"/>
        </w:rPr>
        <w:t>1</w:t>
      </w:r>
      <w:r>
        <w:t xml:space="preserve"> </w:t>
      </w:r>
    </w:p>
    <w:p w14:paraId="5F7BB30B" w14:textId="2ABD143F" w:rsidR="000346C4" w:rsidRDefault="006665D4" w:rsidP="000346C4">
      <w:pPr>
        <w:pStyle w:val="NoSpacing"/>
      </w:pPr>
      <w:r>
        <w:t xml:space="preserve">(1) </w:t>
      </w:r>
      <w:r w:rsidRPr="006665D4">
        <w:t xml:space="preserve">Institute of Ageing and Chronic Disease, </w:t>
      </w:r>
      <w:r w:rsidR="002F34C5">
        <w:t>University of Liverpool,</w:t>
      </w:r>
      <w:r w:rsidR="00B9715E">
        <w:t xml:space="preserve"> Liverpool UK</w:t>
      </w:r>
      <w:r w:rsidR="002F34C5">
        <w:t xml:space="preserve"> (2) </w:t>
      </w:r>
      <w:r w:rsidRPr="006665D4">
        <w:t>University Hospital A</w:t>
      </w:r>
      <w:r>
        <w:t>intree</w:t>
      </w:r>
      <w:r w:rsidR="00B9715E">
        <w:t>, Liverpool, UK.</w:t>
      </w:r>
    </w:p>
    <w:p w14:paraId="27908A0F" w14:textId="77777777" w:rsidR="006665D4" w:rsidRDefault="006665D4" w:rsidP="000346C4">
      <w:pPr>
        <w:pStyle w:val="NoSpacing"/>
      </w:pPr>
    </w:p>
    <w:p w14:paraId="3D8A8680" w14:textId="1F5E1EEA" w:rsidR="000346C4" w:rsidRPr="00871287" w:rsidRDefault="00122A81" w:rsidP="00871287">
      <w:pPr>
        <w:pStyle w:val="NoSpacing"/>
      </w:pPr>
      <w:r w:rsidRPr="00122A81">
        <w:rPr>
          <w:b/>
        </w:rPr>
        <w:t xml:space="preserve">Background: </w:t>
      </w:r>
      <w:r w:rsidR="000346C4" w:rsidRPr="00871287">
        <w:t>Rheumatoid arthritis</w:t>
      </w:r>
      <w:r w:rsidR="00021B19">
        <w:t xml:space="preserve"> (RA)</w:t>
      </w:r>
      <w:r w:rsidR="000346C4" w:rsidRPr="00871287">
        <w:t xml:space="preserve"> is a c</w:t>
      </w:r>
      <w:r w:rsidR="00BE0E73" w:rsidRPr="00871287">
        <w:t>hronic autoimmune disease</w:t>
      </w:r>
      <w:r w:rsidR="000346C4" w:rsidRPr="00871287">
        <w:t xml:space="preserve"> affecting approximately </w:t>
      </w:r>
      <w:r w:rsidR="00BE0E73" w:rsidRPr="00871287">
        <w:t>1% of</w:t>
      </w:r>
      <w:r w:rsidR="000346C4" w:rsidRPr="00871287">
        <w:t xml:space="preserve"> the </w:t>
      </w:r>
      <w:r w:rsidR="00BE0E73" w:rsidRPr="00871287">
        <w:t>Caucasian population worldwide</w:t>
      </w:r>
      <w:r w:rsidR="000346C4" w:rsidRPr="00871287">
        <w:t xml:space="preserve"> causing significant morbidity. </w:t>
      </w:r>
      <w:r w:rsidR="00164D03">
        <w:t>The genetics of</w:t>
      </w:r>
      <w:r w:rsidR="006A602F">
        <w:t xml:space="preserve"> disease pathogenesis remains poorly understood despite r</w:t>
      </w:r>
      <w:r w:rsidR="006A602F" w:rsidRPr="00871287">
        <w:t>ecent advances in</w:t>
      </w:r>
      <w:r w:rsidR="006A602F">
        <w:t xml:space="preserve"> high throughput genotyping and s</w:t>
      </w:r>
      <w:r w:rsidR="006A602F" w:rsidRPr="00871287">
        <w:t>equencing</w:t>
      </w:r>
      <w:r w:rsidR="006A602F">
        <w:t xml:space="preserve">. </w:t>
      </w:r>
      <w:r w:rsidR="00BE0E73" w:rsidRPr="00871287">
        <w:t>Biologic</w:t>
      </w:r>
      <w:r w:rsidR="006A602F">
        <w:t xml:space="preserve">al agents </w:t>
      </w:r>
      <w:r w:rsidR="002F34C5">
        <w:t xml:space="preserve">(e.g. TNF inhibitors, TNFi) </w:t>
      </w:r>
      <w:r w:rsidR="000346C4" w:rsidRPr="00871287">
        <w:t>ha</w:t>
      </w:r>
      <w:r w:rsidR="006A602F">
        <w:t>ve</w:t>
      </w:r>
      <w:r w:rsidR="000346C4" w:rsidRPr="00871287">
        <w:t xml:space="preserve"> </w:t>
      </w:r>
      <w:r w:rsidR="00BE0E73">
        <w:t xml:space="preserve">significantly </w:t>
      </w:r>
      <w:r w:rsidR="000346C4" w:rsidRPr="00871287">
        <w:t xml:space="preserve">impacted on disease </w:t>
      </w:r>
      <w:r w:rsidR="00BE0E73" w:rsidRPr="00871287">
        <w:t>management</w:t>
      </w:r>
      <w:r w:rsidR="00BE0E73">
        <w:t xml:space="preserve">, </w:t>
      </w:r>
      <w:r w:rsidR="006A602F">
        <w:t>h</w:t>
      </w:r>
      <w:r w:rsidR="000346C4" w:rsidRPr="00871287">
        <w:t xml:space="preserve">owever </w:t>
      </w:r>
      <w:r w:rsidR="00BE0E73" w:rsidRPr="00871287">
        <w:t xml:space="preserve">30–40% </w:t>
      </w:r>
      <w:r w:rsidR="000346C4" w:rsidRPr="00871287">
        <w:t xml:space="preserve">of </w:t>
      </w:r>
      <w:r w:rsidR="00103C2A">
        <w:t xml:space="preserve">RA </w:t>
      </w:r>
      <w:r w:rsidR="00871287" w:rsidRPr="00871287">
        <w:t>patients</w:t>
      </w:r>
      <w:r w:rsidR="000346C4" w:rsidRPr="00871287">
        <w:t xml:space="preserve"> </w:t>
      </w:r>
      <w:r w:rsidR="006A602F">
        <w:t>do not respond to this therapy</w:t>
      </w:r>
      <w:r w:rsidR="00871287">
        <w:t xml:space="preserve">. </w:t>
      </w:r>
      <w:r w:rsidR="000346C4" w:rsidRPr="00871287">
        <w:t xml:space="preserve">The aim of this study was to use </w:t>
      </w:r>
      <w:r w:rsidR="00BE0E73">
        <w:t>transcriptome sequencing</w:t>
      </w:r>
      <w:r w:rsidR="007E2001">
        <w:t xml:space="preserve"> (RNA sequencing)</w:t>
      </w:r>
      <w:r w:rsidR="000346C4" w:rsidRPr="00871287">
        <w:t xml:space="preserve"> data</w:t>
      </w:r>
      <w:r w:rsidR="007E2001">
        <w:t xml:space="preserve"> </w:t>
      </w:r>
      <w:r w:rsidR="002F34C5">
        <w:t xml:space="preserve">from human neutrophils </w:t>
      </w:r>
      <w:r w:rsidR="000346C4" w:rsidRPr="00871287">
        <w:t>to identify</w:t>
      </w:r>
      <w:r w:rsidR="00021B19">
        <w:t xml:space="preserve"> variants</w:t>
      </w:r>
      <w:r w:rsidR="000346C4" w:rsidRPr="00871287">
        <w:t xml:space="preserve"> in </w:t>
      </w:r>
      <w:r w:rsidR="00021B19">
        <w:t xml:space="preserve">RA </w:t>
      </w:r>
      <w:r w:rsidR="000346C4" w:rsidRPr="00871287">
        <w:t xml:space="preserve">that may </w:t>
      </w:r>
      <w:r w:rsidR="00021B19">
        <w:t>underpin</w:t>
      </w:r>
      <w:r w:rsidR="00103C2A">
        <w:t xml:space="preserve"> disease</w:t>
      </w:r>
      <w:r w:rsidR="00021B19">
        <w:t xml:space="preserve"> pathogenesis and </w:t>
      </w:r>
      <w:r w:rsidR="000346C4" w:rsidRPr="00871287">
        <w:t>predict response to biologic therapy</w:t>
      </w:r>
      <w:r w:rsidR="002F34C5">
        <w:t>.</w:t>
      </w:r>
    </w:p>
    <w:p w14:paraId="0656AA48" w14:textId="77777777" w:rsidR="000346C4" w:rsidRPr="00871287" w:rsidRDefault="000346C4" w:rsidP="00871287">
      <w:pPr>
        <w:pStyle w:val="NoSpacing"/>
      </w:pPr>
      <w:r w:rsidRPr="00871287">
        <w:t xml:space="preserve"> </w:t>
      </w:r>
    </w:p>
    <w:p w14:paraId="7F0952A7" w14:textId="496FB084" w:rsidR="00441676" w:rsidRDefault="000346C4" w:rsidP="00871287">
      <w:pPr>
        <w:pStyle w:val="NoSpacing"/>
      </w:pPr>
      <w:r w:rsidRPr="00122A81">
        <w:rPr>
          <w:b/>
        </w:rPr>
        <w:t>Methods</w:t>
      </w:r>
      <w:r w:rsidRPr="00871287">
        <w:t xml:space="preserve">: </w:t>
      </w:r>
      <w:r w:rsidR="00122A81">
        <w:t xml:space="preserve"> </w:t>
      </w:r>
      <w:r w:rsidRPr="00871287">
        <w:t>RNA</w:t>
      </w:r>
      <w:r w:rsidR="00454A63">
        <w:t xml:space="preserve"> </w:t>
      </w:r>
      <w:r w:rsidRPr="00871287">
        <w:t>seq</w:t>
      </w:r>
      <w:r w:rsidR="00454A63">
        <w:t xml:space="preserve">uencing </w:t>
      </w:r>
      <w:r w:rsidR="00727033">
        <w:t>(RNA-</w:t>
      </w:r>
      <w:proofErr w:type="spellStart"/>
      <w:r w:rsidR="00727033">
        <w:t>seq</w:t>
      </w:r>
      <w:proofErr w:type="spellEnd"/>
      <w:r w:rsidR="00727033">
        <w:t>)</w:t>
      </w:r>
      <w:r w:rsidRPr="00871287">
        <w:t xml:space="preserve"> data</w:t>
      </w:r>
      <w:r w:rsidR="005A62E7">
        <w:t xml:space="preserve"> from </w:t>
      </w:r>
      <w:r w:rsidR="002F34C5">
        <w:t xml:space="preserve">peripheral blood </w:t>
      </w:r>
      <w:r w:rsidR="005A62E7">
        <w:t xml:space="preserve">neutrophils </w:t>
      </w:r>
      <w:r w:rsidR="002F34C5">
        <w:t xml:space="preserve">isolated </w:t>
      </w:r>
      <w:r w:rsidR="00103C2A">
        <w:t>pre-</w:t>
      </w:r>
      <w:r w:rsidR="005A62E7" w:rsidRPr="00871287">
        <w:t>TNFi treatment was</w:t>
      </w:r>
      <w:r w:rsidR="005A62E7">
        <w:t xml:space="preserve"> </w:t>
      </w:r>
      <w:r w:rsidR="002F34C5">
        <w:t>analysed from</w:t>
      </w:r>
      <w:r w:rsidR="005A62E7" w:rsidRPr="00871287">
        <w:t xml:space="preserve"> 27 </w:t>
      </w:r>
      <w:r w:rsidR="005A62E7">
        <w:t>RA</w:t>
      </w:r>
      <w:r w:rsidR="005A62E7" w:rsidRPr="00871287">
        <w:t xml:space="preserve"> patients and 6 </w:t>
      </w:r>
      <w:r w:rsidR="002F34C5">
        <w:t xml:space="preserve">healthy </w:t>
      </w:r>
      <w:r w:rsidR="005A62E7" w:rsidRPr="00871287">
        <w:t>controls</w:t>
      </w:r>
      <w:r w:rsidR="002F34C5">
        <w:t xml:space="preserve">. </w:t>
      </w:r>
      <w:r w:rsidRPr="00871287">
        <w:t xml:space="preserve">21 </w:t>
      </w:r>
      <w:r w:rsidR="00103C2A">
        <w:t xml:space="preserve">RA patients </w:t>
      </w:r>
      <w:r w:rsidR="00727033">
        <w:t>subsequently</w:t>
      </w:r>
      <w:r w:rsidRPr="00871287">
        <w:t xml:space="preserve"> respond</w:t>
      </w:r>
      <w:r w:rsidR="002F34C5">
        <w:t>ed</w:t>
      </w:r>
      <w:r w:rsidR="00727033">
        <w:t xml:space="preserve"> </w:t>
      </w:r>
      <w:r w:rsidRPr="00871287">
        <w:t xml:space="preserve">to </w:t>
      </w:r>
      <w:r w:rsidR="002F34C5">
        <w:t>TNFi</w:t>
      </w:r>
      <w:r w:rsidR="002F34C5" w:rsidRPr="00871287">
        <w:t xml:space="preserve"> </w:t>
      </w:r>
      <w:r w:rsidRPr="00871287">
        <w:t xml:space="preserve">therapy </w:t>
      </w:r>
      <w:r w:rsidR="002F34C5">
        <w:t>(change in DAS28 &gt;1.2)</w:t>
      </w:r>
      <w:r w:rsidR="00BE0E73" w:rsidRPr="00871287">
        <w:t xml:space="preserve">. </w:t>
      </w:r>
      <w:r w:rsidR="005A62E7">
        <w:t>RNA-</w:t>
      </w:r>
      <w:proofErr w:type="spellStart"/>
      <w:r w:rsidR="005A62E7">
        <w:t>seq</w:t>
      </w:r>
      <w:proofErr w:type="spellEnd"/>
      <w:r w:rsidR="005A62E7">
        <w:t xml:space="preserve"> reads were </w:t>
      </w:r>
      <w:r w:rsidR="002F34C5">
        <w:t>mapped</w:t>
      </w:r>
      <w:r w:rsidR="002F34C5" w:rsidRPr="00871287">
        <w:t xml:space="preserve"> </w:t>
      </w:r>
      <w:r w:rsidR="002F34C5">
        <w:t xml:space="preserve">to the human genome (hg19) </w:t>
      </w:r>
      <w:r w:rsidRPr="00871287">
        <w:t xml:space="preserve">using TopHat2 </w:t>
      </w:r>
      <w:r w:rsidR="002F34C5">
        <w:t>and annotated using Cufflinks</w:t>
      </w:r>
      <w:r w:rsidR="00BE0E73">
        <w:t>. Data was</w:t>
      </w:r>
      <w:r w:rsidR="000B536C">
        <w:t xml:space="preserve"> combined,</w:t>
      </w:r>
      <w:r w:rsidR="00BE0E73">
        <w:t xml:space="preserve"> </w:t>
      </w:r>
      <w:r w:rsidR="000B536C">
        <w:t>calibrated and filtered</w:t>
      </w:r>
      <w:r w:rsidR="00292817">
        <w:t xml:space="preserve"> </w:t>
      </w:r>
      <w:r w:rsidR="00BE0E73">
        <w:t xml:space="preserve">using the </w:t>
      </w:r>
      <w:r w:rsidR="00021B19">
        <w:t>G</w:t>
      </w:r>
      <w:r w:rsidR="00BE0E73">
        <w:t xml:space="preserve">enome </w:t>
      </w:r>
      <w:r w:rsidR="00021B19">
        <w:t>Analysis</w:t>
      </w:r>
      <w:r w:rsidR="00BE0E73">
        <w:t xml:space="preserve"> </w:t>
      </w:r>
      <w:r w:rsidR="00021B19">
        <w:t>T</w:t>
      </w:r>
      <w:r w:rsidR="00BE0E73">
        <w:t xml:space="preserve">ool </w:t>
      </w:r>
      <w:r w:rsidR="00021B19">
        <w:t>K</w:t>
      </w:r>
      <w:r w:rsidR="00BE0E73">
        <w:t xml:space="preserve">it </w:t>
      </w:r>
      <w:r w:rsidR="00021B19">
        <w:t xml:space="preserve">(GATK) to </w:t>
      </w:r>
      <w:r w:rsidR="00BE0E73">
        <w:t xml:space="preserve">create </w:t>
      </w:r>
      <w:r w:rsidR="00021B19">
        <w:t>a</w:t>
      </w:r>
      <w:r w:rsidR="00BE0E73">
        <w:t xml:space="preserve"> file</w:t>
      </w:r>
      <w:r w:rsidR="00021B19">
        <w:t xml:space="preserve"> of </w:t>
      </w:r>
      <w:r w:rsidR="005A62E7">
        <w:t xml:space="preserve">identified </w:t>
      </w:r>
      <w:r w:rsidR="007E2001">
        <w:t>variants</w:t>
      </w:r>
      <w:r w:rsidR="00021B19">
        <w:t xml:space="preserve">. </w:t>
      </w:r>
      <w:r w:rsidR="000B536C">
        <w:t xml:space="preserve">These variants were </w:t>
      </w:r>
      <w:r w:rsidR="007E2001">
        <w:t>subsequently</w:t>
      </w:r>
      <w:r w:rsidR="000B536C">
        <w:t xml:space="preserve"> interrogated using the </w:t>
      </w:r>
      <w:proofErr w:type="spellStart"/>
      <w:r w:rsidR="000B536C">
        <w:t>VCFtools</w:t>
      </w:r>
      <w:proofErr w:type="spellEnd"/>
      <w:r w:rsidR="000B536C">
        <w:t xml:space="preserve"> program package. </w:t>
      </w:r>
      <w:r w:rsidR="00021B19">
        <w:t xml:space="preserve">Quality control parameters were applied in accordance with guidance and available literature, </w:t>
      </w:r>
      <w:r w:rsidR="00BE0E73">
        <w:t>excl</w:t>
      </w:r>
      <w:r w:rsidR="00021B19">
        <w:t>uding</w:t>
      </w:r>
      <w:r w:rsidR="00BE0E73">
        <w:t xml:space="preserve"> </w:t>
      </w:r>
      <w:r w:rsidR="00021B19">
        <w:t>v</w:t>
      </w:r>
      <w:r w:rsidR="00BE0E73">
        <w:t>ariants that were:  PHRED &lt; 30, Minimum read depth &lt; 4 and a loci sequencing success rate &lt; 80%, with SNP clusters</w:t>
      </w:r>
      <w:r w:rsidR="00021B19">
        <w:t xml:space="preserve"> and indels also removed.</w:t>
      </w:r>
      <w:r w:rsidR="000B536C">
        <w:t xml:space="preserve"> </w:t>
      </w:r>
      <w:r w:rsidR="00F611A5" w:rsidRPr="00871287">
        <w:t xml:space="preserve">Tajima D was used as a statistic for identifying regions of interest within the </w:t>
      </w:r>
      <w:r w:rsidR="007E2001">
        <w:t>RNA-</w:t>
      </w:r>
      <w:proofErr w:type="spellStart"/>
      <w:r w:rsidR="005A62E7">
        <w:t>seq</w:t>
      </w:r>
      <w:proofErr w:type="spellEnd"/>
      <w:r w:rsidR="005A62E7">
        <w:t xml:space="preserve"> data</w:t>
      </w:r>
      <w:r w:rsidR="000B536C">
        <w:t xml:space="preserve">. </w:t>
      </w:r>
      <w:r w:rsidR="00292817">
        <w:t>Identified variants were annotated</w:t>
      </w:r>
      <w:r w:rsidR="00BE0E73">
        <w:t xml:space="preserve"> </w:t>
      </w:r>
      <w:r w:rsidR="00292817">
        <w:t xml:space="preserve">and interrogated </w:t>
      </w:r>
      <w:r w:rsidR="00BE0E73">
        <w:t xml:space="preserve">using the UCSC bioinformatics </w:t>
      </w:r>
      <w:r w:rsidR="00292817">
        <w:t>platform and pathway analysis of identified genes predicted through</w:t>
      </w:r>
      <w:r w:rsidR="00441676">
        <w:t xml:space="preserve"> </w:t>
      </w:r>
      <w:r w:rsidR="00441676" w:rsidRPr="00441676">
        <w:t>I</w:t>
      </w:r>
      <w:r w:rsidR="00441676">
        <w:t>ngenuity Pathway</w:t>
      </w:r>
      <w:r w:rsidR="00441676" w:rsidRPr="00441676">
        <w:t xml:space="preserve"> </w:t>
      </w:r>
      <w:r w:rsidR="00441676">
        <w:t>Analysis (IPA)</w:t>
      </w:r>
      <w:r w:rsidR="00441676" w:rsidRPr="00441676">
        <w:t>.</w:t>
      </w:r>
    </w:p>
    <w:p w14:paraId="23B4BA52" w14:textId="77777777" w:rsidR="00BE0E73" w:rsidRPr="00871287" w:rsidRDefault="00BE0E73" w:rsidP="00871287">
      <w:pPr>
        <w:pStyle w:val="NoSpacing"/>
      </w:pPr>
    </w:p>
    <w:p w14:paraId="675C93C2" w14:textId="5D7EBC35" w:rsidR="008918B9" w:rsidRPr="00871287" w:rsidRDefault="00F611A5" w:rsidP="00871287">
      <w:pPr>
        <w:pStyle w:val="NoSpacing"/>
      </w:pPr>
      <w:r w:rsidRPr="00122A81">
        <w:rPr>
          <w:b/>
        </w:rPr>
        <w:t>Results</w:t>
      </w:r>
      <w:r w:rsidRPr="00871287">
        <w:t>:</w:t>
      </w:r>
      <w:r w:rsidR="00122A81">
        <w:t xml:space="preserve"> </w:t>
      </w:r>
      <w:r w:rsidR="00BE0E73">
        <w:t xml:space="preserve">GATK </w:t>
      </w:r>
      <w:r w:rsidR="00B37888">
        <w:t xml:space="preserve">analysis </w:t>
      </w:r>
      <w:r w:rsidR="00BE0E73">
        <w:t>identified 536,668 variants, which w</w:t>
      </w:r>
      <w:r w:rsidR="00103C2A">
        <w:t>ere</w:t>
      </w:r>
      <w:r w:rsidR="00BE0E73">
        <w:t xml:space="preserve"> refined to 5230 variants following </w:t>
      </w:r>
      <w:r w:rsidR="00B37888">
        <w:t xml:space="preserve">application of </w:t>
      </w:r>
      <w:r w:rsidR="00BE0E73">
        <w:t>QC parameters</w:t>
      </w:r>
      <w:r w:rsidR="00B37888">
        <w:t xml:space="preserve"> as specified with over 99% of variants excluded.</w:t>
      </w:r>
      <w:r w:rsidR="00122A81">
        <w:t xml:space="preserve"> RA patients</w:t>
      </w:r>
      <w:r w:rsidRPr="00871287">
        <w:t xml:space="preserve"> had a mean Tajima-D score of 0.51 </w:t>
      </w:r>
      <w:r w:rsidR="00122A81">
        <w:t>vs</w:t>
      </w:r>
      <w:r w:rsidRPr="00871287">
        <w:t xml:space="preserve"> -0.19 in the controls (p&lt;0.0001) and furthermore had significantly more regions of </w:t>
      </w:r>
      <w:r w:rsidR="00454A63" w:rsidRPr="00871287">
        <w:t>transcriptome</w:t>
      </w:r>
      <w:r w:rsidRPr="00871287">
        <w:t xml:space="preserve"> with</w:t>
      </w:r>
      <w:r w:rsidR="00103C2A">
        <w:t xml:space="preserve"> extreme</w:t>
      </w:r>
      <w:r w:rsidRPr="00871287">
        <w:t xml:space="preserve"> </w:t>
      </w:r>
      <w:r w:rsidR="00103C2A">
        <w:t xml:space="preserve">positive </w:t>
      </w:r>
      <w:r w:rsidRPr="00871287">
        <w:t xml:space="preserve">Taj D </w:t>
      </w:r>
      <w:r w:rsidR="00103C2A">
        <w:t xml:space="preserve">values </w:t>
      </w:r>
      <w:r w:rsidRPr="00871287">
        <w:t>(p&lt;0.0001)</w:t>
      </w:r>
      <w:r w:rsidR="00122A81">
        <w:t xml:space="preserve">. </w:t>
      </w:r>
      <w:r w:rsidR="007E2001">
        <w:t>Bioinformatics</w:t>
      </w:r>
      <w:r w:rsidR="008918B9" w:rsidRPr="00871287">
        <w:t xml:space="preserve"> </w:t>
      </w:r>
      <w:r w:rsidR="00BE0E73">
        <w:t xml:space="preserve">analysis </w:t>
      </w:r>
      <w:r w:rsidR="007E2001">
        <w:t>i</w:t>
      </w:r>
      <w:r w:rsidR="00454A63" w:rsidRPr="00871287">
        <w:t>dentified</w:t>
      </w:r>
      <w:r w:rsidR="008918B9" w:rsidRPr="00871287">
        <w:t xml:space="preserve"> </w:t>
      </w:r>
      <w:r w:rsidR="007E2001">
        <w:t xml:space="preserve">the </w:t>
      </w:r>
      <w:r w:rsidR="008918B9" w:rsidRPr="00871287">
        <w:t>variants</w:t>
      </w:r>
      <w:r w:rsidR="007E2001">
        <w:t xml:space="preserve"> with high Tajima D scores to be within</w:t>
      </w:r>
      <w:r w:rsidR="008918B9" w:rsidRPr="00871287">
        <w:t xml:space="preserve"> a number of </w:t>
      </w:r>
      <w:r w:rsidR="004B7EC1">
        <w:t>biologically relevant</w:t>
      </w:r>
      <w:r w:rsidR="004B7EC1" w:rsidRPr="00871287">
        <w:t xml:space="preserve"> </w:t>
      </w:r>
      <w:r w:rsidR="00103C2A">
        <w:t>loci</w:t>
      </w:r>
      <w:r w:rsidR="008918B9" w:rsidRPr="00871287">
        <w:t>, including NCF1</w:t>
      </w:r>
      <w:r w:rsidR="005A6DC3">
        <w:t>, which has been associated with autoimmune diseases</w:t>
      </w:r>
      <w:r w:rsidR="00B9715E">
        <w:t xml:space="preserve"> including</w:t>
      </w:r>
      <w:r w:rsidR="005A6DC3">
        <w:t xml:space="preserve"> SLE and </w:t>
      </w:r>
      <w:r w:rsidR="00B9715E">
        <w:t xml:space="preserve">is </w:t>
      </w:r>
      <w:r w:rsidR="005A6DC3">
        <w:t>predictor of RA severity in rat models.</w:t>
      </w:r>
      <w:r w:rsidR="000B536C">
        <w:t xml:space="preserve"> </w:t>
      </w:r>
      <w:r w:rsidR="004B7EC1">
        <w:t>IPA</w:t>
      </w:r>
      <w:r w:rsidR="006A602F">
        <w:t xml:space="preserve"> revealed that a number of the </w:t>
      </w:r>
      <w:r w:rsidR="000D21E2">
        <w:t xml:space="preserve">highest scoring </w:t>
      </w:r>
      <w:r w:rsidR="006A602F">
        <w:t>variants wer</w:t>
      </w:r>
      <w:r w:rsidR="000D21E2">
        <w:t>e within loci</w:t>
      </w:r>
      <w:r w:rsidR="006A602F">
        <w:t xml:space="preserve"> that were linked via </w:t>
      </w:r>
      <w:r w:rsidR="004B7EC1">
        <w:t xml:space="preserve">a gene network regulated by activation of </w:t>
      </w:r>
      <w:proofErr w:type="spellStart"/>
      <w:r w:rsidR="004B7EC1">
        <w:t>Fcgamma</w:t>
      </w:r>
      <w:proofErr w:type="spellEnd"/>
      <w:r w:rsidR="004B7EC1">
        <w:t xml:space="preserve"> receptors </w:t>
      </w:r>
      <w:r w:rsidR="00B9715E">
        <w:t>(FCGR1A</w:t>
      </w:r>
      <w:r w:rsidR="00C47E86">
        <w:t>/B/C</w:t>
      </w:r>
      <w:r w:rsidR="00B9715E">
        <w:t>, FCGR2A</w:t>
      </w:r>
      <w:r w:rsidR="00C47E86">
        <w:t>/B</w:t>
      </w:r>
      <w:r w:rsidR="00B9715E">
        <w:t xml:space="preserve">, FCGR3B) </w:t>
      </w:r>
      <w:r w:rsidR="004B7EC1">
        <w:t>and p38 MAPK.</w:t>
      </w:r>
      <w:r w:rsidR="006A602F">
        <w:t xml:space="preserve"> </w:t>
      </w:r>
    </w:p>
    <w:p w14:paraId="659D6D9D" w14:textId="77777777" w:rsidR="00F611A5" w:rsidRPr="00871287" w:rsidRDefault="00F611A5" w:rsidP="00871287">
      <w:pPr>
        <w:pStyle w:val="NoSpacing"/>
      </w:pPr>
    </w:p>
    <w:p w14:paraId="63830EB4" w14:textId="77777777" w:rsidR="008918B9" w:rsidRPr="00871287" w:rsidRDefault="000B536C" w:rsidP="00316BD2">
      <w:pPr>
        <w:pStyle w:val="NoSpacing"/>
      </w:pPr>
      <w:r w:rsidRPr="00122A81">
        <w:rPr>
          <w:b/>
        </w:rPr>
        <w:t>Discuss</w:t>
      </w:r>
      <w:r w:rsidR="00F611A5" w:rsidRPr="00122A81">
        <w:rPr>
          <w:b/>
        </w:rPr>
        <w:t>ion</w:t>
      </w:r>
      <w:r w:rsidR="00F611A5" w:rsidRPr="00871287">
        <w:t>:</w:t>
      </w:r>
      <w:r w:rsidR="00122A81">
        <w:t xml:space="preserve"> </w:t>
      </w:r>
      <w:bookmarkStart w:id="0" w:name="_GoBack"/>
      <w:r w:rsidR="00F611A5" w:rsidRPr="00871287">
        <w:t xml:space="preserve">This </w:t>
      </w:r>
      <w:r w:rsidR="007C5604">
        <w:t>study</w:t>
      </w:r>
      <w:r>
        <w:t xml:space="preserve"> suggests </w:t>
      </w:r>
      <w:r w:rsidR="00216D17">
        <w:t>that</w:t>
      </w:r>
      <w:r w:rsidR="00122A81">
        <w:t xml:space="preserve"> </w:t>
      </w:r>
      <w:r w:rsidR="007C5604">
        <w:t xml:space="preserve">interrogation of </w:t>
      </w:r>
      <w:r w:rsidR="00122A81">
        <w:t xml:space="preserve">transcriptome data has </w:t>
      </w:r>
      <w:r>
        <w:t xml:space="preserve">a role </w:t>
      </w:r>
      <w:r w:rsidR="00122A81">
        <w:t xml:space="preserve">in elucidating the components </w:t>
      </w:r>
      <w:r w:rsidR="007C5604">
        <w:t>underpinning</w:t>
      </w:r>
      <w:r w:rsidR="00122A81">
        <w:t xml:space="preserve"> RA pathogenesis</w:t>
      </w:r>
      <w:r w:rsidR="007C5604">
        <w:t xml:space="preserve">, </w:t>
      </w:r>
      <w:r w:rsidR="00122A81">
        <w:t>identif</w:t>
      </w:r>
      <w:r w:rsidR="007C5604">
        <w:t>ying</w:t>
      </w:r>
      <w:r w:rsidR="00122A81">
        <w:t xml:space="preserve"> a number o</w:t>
      </w:r>
      <w:r w:rsidR="007C5604">
        <w:t>f</w:t>
      </w:r>
      <w:r w:rsidR="00122A81">
        <w:t xml:space="preserve"> </w:t>
      </w:r>
      <w:r w:rsidR="007C5604">
        <w:t>interesting loci</w:t>
      </w:r>
      <w:r w:rsidR="00122A81">
        <w:t xml:space="preserve"> that </w:t>
      </w:r>
      <w:r w:rsidR="007C5604">
        <w:t>may contribute</w:t>
      </w:r>
      <w:r w:rsidR="00316BD2">
        <w:t xml:space="preserve"> towards </w:t>
      </w:r>
      <w:r w:rsidR="000909D0">
        <w:t>its</w:t>
      </w:r>
      <w:r w:rsidR="00316BD2">
        <w:t xml:space="preserve"> missing heritability. However such preliminary data </w:t>
      </w:r>
      <w:r w:rsidR="00122A81">
        <w:t xml:space="preserve">will require </w:t>
      </w:r>
      <w:r w:rsidR="007C5604">
        <w:t xml:space="preserve">validation </w:t>
      </w:r>
      <w:r w:rsidR="00316BD2">
        <w:t>through direct sequencing of variants and investigation in independent data sets</w:t>
      </w:r>
      <w:r w:rsidR="000909D0">
        <w:t xml:space="preserve"> as well sub-group analysis of treatment response to biological therapy.</w:t>
      </w:r>
      <w:bookmarkEnd w:id="0"/>
      <w:r w:rsidR="000909D0">
        <w:t xml:space="preserve"> </w:t>
      </w:r>
    </w:p>
    <w:p w14:paraId="35D7F418" w14:textId="77777777" w:rsidR="00F611A5" w:rsidRPr="00871287" w:rsidRDefault="00F611A5" w:rsidP="00871287">
      <w:pPr>
        <w:pStyle w:val="NoSpacing"/>
      </w:pPr>
    </w:p>
    <w:sectPr w:rsidR="00F611A5" w:rsidRPr="00871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E5B"/>
    <w:multiLevelType w:val="hybridMultilevel"/>
    <w:tmpl w:val="80FCC304"/>
    <w:lvl w:ilvl="0" w:tplc="1612F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6C016">
      <w:start w:val="9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EC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AA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C9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C7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6D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E6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2A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6C4"/>
    <w:rsid w:val="00021B19"/>
    <w:rsid w:val="000346C4"/>
    <w:rsid w:val="000909D0"/>
    <w:rsid w:val="000B536C"/>
    <w:rsid w:val="000D21E2"/>
    <w:rsid w:val="00103C2A"/>
    <w:rsid w:val="00122A81"/>
    <w:rsid w:val="00164D03"/>
    <w:rsid w:val="00216D17"/>
    <w:rsid w:val="00223BC1"/>
    <w:rsid w:val="00292817"/>
    <w:rsid w:val="002F34C5"/>
    <w:rsid w:val="00316BD2"/>
    <w:rsid w:val="00441676"/>
    <w:rsid w:val="00454A63"/>
    <w:rsid w:val="00472480"/>
    <w:rsid w:val="00494A44"/>
    <w:rsid w:val="004B7EC1"/>
    <w:rsid w:val="005A62E7"/>
    <w:rsid w:val="005A6DC3"/>
    <w:rsid w:val="006665D4"/>
    <w:rsid w:val="006A602F"/>
    <w:rsid w:val="00727033"/>
    <w:rsid w:val="007C5604"/>
    <w:rsid w:val="007E2001"/>
    <w:rsid w:val="00871287"/>
    <w:rsid w:val="008918B9"/>
    <w:rsid w:val="00997D67"/>
    <w:rsid w:val="00B37888"/>
    <w:rsid w:val="00B9715E"/>
    <w:rsid w:val="00BE0E73"/>
    <w:rsid w:val="00C47E86"/>
    <w:rsid w:val="00F6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3559"/>
  <w15:docId w15:val="{32D52229-A807-5B41-A517-3CB55E19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6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4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RHODRI SMITH</dc:creator>
  <cp:lastModifiedBy>Wright, Helen</cp:lastModifiedBy>
  <cp:revision>9</cp:revision>
  <dcterms:created xsi:type="dcterms:W3CDTF">2019-10-14T21:16:00Z</dcterms:created>
  <dcterms:modified xsi:type="dcterms:W3CDTF">2019-10-18T09:30:00Z</dcterms:modified>
</cp:coreProperties>
</file>