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DCDB9" w14:textId="1433231A" w:rsidR="00125722" w:rsidRPr="006A31FC" w:rsidRDefault="00125722" w:rsidP="00005ED6">
      <w:pPr>
        <w:pStyle w:val="NormalWeb"/>
        <w:spacing w:line="480" w:lineRule="auto"/>
        <w:jc w:val="center"/>
        <w:rPr>
          <w:color w:val="000000"/>
        </w:rPr>
      </w:pPr>
      <w:r w:rsidRPr="006A31FC">
        <w:rPr>
          <w:color w:val="000000"/>
        </w:rPr>
        <w:t>INTRODUCTION</w:t>
      </w:r>
    </w:p>
    <w:p w14:paraId="5B5A35DB" w14:textId="77777777" w:rsidR="00125722" w:rsidRPr="006A31FC" w:rsidRDefault="00125722" w:rsidP="00005ED6">
      <w:pPr>
        <w:pStyle w:val="NormalWeb"/>
        <w:spacing w:line="480" w:lineRule="auto"/>
        <w:jc w:val="center"/>
        <w:rPr>
          <w:smallCaps/>
          <w:color w:val="000000"/>
        </w:rPr>
      </w:pPr>
      <w:r w:rsidRPr="006A31FC">
        <w:rPr>
          <w:smallCaps/>
          <w:color w:val="000000"/>
        </w:rPr>
        <w:t>Anna Saunders (University of Liverpool)</w:t>
      </w:r>
    </w:p>
    <w:p w14:paraId="2ED0F1F2" w14:textId="77777777" w:rsidR="00125722" w:rsidRPr="006A31FC" w:rsidRDefault="00125722" w:rsidP="00005ED6">
      <w:pPr>
        <w:pStyle w:val="NormalWeb"/>
        <w:spacing w:line="480" w:lineRule="auto"/>
        <w:jc w:val="both"/>
        <w:rPr>
          <w:color w:val="000000"/>
        </w:rPr>
      </w:pPr>
    </w:p>
    <w:p w14:paraId="3CBC31F7" w14:textId="72CFBBFD" w:rsidR="00BC3CBE" w:rsidRDefault="00184B1B" w:rsidP="00BC3CBE">
      <w:pPr>
        <w:pStyle w:val="NormalWeb"/>
        <w:spacing w:line="480" w:lineRule="auto"/>
        <w:jc w:val="both"/>
        <w:rPr>
          <w:rFonts w:eastAsia="Times New Roman"/>
          <w:color w:val="000000"/>
        </w:rPr>
      </w:pPr>
      <w:r>
        <w:rPr>
          <w:color w:val="000000"/>
        </w:rPr>
        <w:t>Th</w:t>
      </w:r>
      <w:r w:rsidR="00125722" w:rsidRPr="006A31FC">
        <w:rPr>
          <w:color w:val="000000"/>
        </w:rPr>
        <w:t xml:space="preserve">e emotional resonance of </w:t>
      </w:r>
      <w:r w:rsidR="0006441D">
        <w:rPr>
          <w:color w:val="000000"/>
        </w:rPr>
        <w:t>history</w:t>
      </w:r>
      <w:r w:rsidR="00125722" w:rsidRPr="006A31FC">
        <w:rPr>
          <w:color w:val="000000"/>
        </w:rPr>
        <w:t xml:space="preserve"> is burgeoning</w:t>
      </w:r>
      <w:r>
        <w:rPr>
          <w:color w:val="000000"/>
        </w:rPr>
        <w:t xml:space="preserve"> today</w:t>
      </w:r>
      <w:r w:rsidR="00125722" w:rsidRPr="006A31FC">
        <w:rPr>
          <w:color w:val="000000"/>
        </w:rPr>
        <w:t xml:space="preserve">: national and international commemorative calendars crystallise the past around iconic events and personalities, in order to provide emotional – but also political, social and economic – capital for contemporary society. </w:t>
      </w:r>
      <w:r w:rsidR="00125722" w:rsidRPr="006A31FC">
        <w:rPr>
          <w:rFonts w:eastAsia="Times New Roman"/>
          <w:color w:val="000000"/>
        </w:rPr>
        <w:t xml:space="preserve">The </w:t>
      </w:r>
      <w:r w:rsidR="00BC7023">
        <w:rPr>
          <w:rFonts w:eastAsia="Times New Roman"/>
          <w:color w:val="000000"/>
        </w:rPr>
        <w:t>oft-cited</w:t>
      </w:r>
      <w:r w:rsidR="00125722" w:rsidRPr="006A31FC">
        <w:rPr>
          <w:rFonts w:eastAsia="Times New Roman"/>
          <w:color w:val="000000"/>
        </w:rPr>
        <w:t xml:space="preserve"> ‘memory boom’ </w:t>
      </w:r>
      <w:r w:rsidR="00BC7023">
        <w:rPr>
          <w:rFonts w:eastAsia="Times New Roman"/>
          <w:color w:val="000000"/>
        </w:rPr>
        <w:t xml:space="preserve">of recent decades – which references </w:t>
      </w:r>
      <w:r w:rsidR="00CF5864">
        <w:rPr>
          <w:rFonts w:eastAsia="Times New Roman"/>
          <w:color w:val="000000"/>
        </w:rPr>
        <w:t>a global growth of controversies over</w:t>
      </w:r>
      <w:r w:rsidR="00BC7023">
        <w:rPr>
          <w:rFonts w:eastAsia="Times New Roman"/>
          <w:color w:val="000000"/>
        </w:rPr>
        <w:t xml:space="preserve"> historical legacies </w:t>
      </w:r>
      <w:r w:rsidR="00CF5864">
        <w:rPr>
          <w:rFonts w:eastAsia="Times New Roman"/>
          <w:color w:val="000000"/>
        </w:rPr>
        <w:t>as well as</w:t>
      </w:r>
      <w:r w:rsidR="00BC7023">
        <w:rPr>
          <w:rFonts w:eastAsia="Times New Roman"/>
          <w:color w:val="000000"/>
        </w:rPr>
        <w:t xml:space="preserve"> scholarly interest in </w:t>
      </w:r>
      <w:r w:rsidR="00CF5864">
        <w:rPr>
          <w:rFonts w:eastAsia="Times New Roman"/>
          <w:color w:val="000000"/>
        </w:rPr>
        <w:t xml:space="preserve">the social and cultural phenomenon of </w:t>
      </w:r>
      <w:r w:rsidR="00BC7023">
        <w:rPr>
          <w:rFonts w:eastAsia="Times New Roman"/>
          <w:color w:val="000000"/>
        </w:rPr>
        <w:t>memory</w:t>
      </w:r>
      <w:r w:rsidR="00B62C94">
        <w:rPr>
          <w:rStyle w:val="EndnoteReference"/>
          <w:rFonts w:eastAsia="Times New Roman"/>
          <w:color w:val="000000"/>
        </w:rPr>
        <w:endnoteReference w:id="1"/>
      </w:r>
      <w:r w:rsidR="00BC7023">
        <w:rPr>
          <w:rFonts w:eastAsia="Times New Roman"/>
          <w:color w:val="000000"/>
        </w:rPr>
        <w:t xml:space="preserve"> – </w:t>
      </w:r>
      <w:r w:rsidR="00F748E8">
        <w:rPr>
          <w:rFonts w:eastAsia="Times New Roman"/>
          <w:color w:val="000000"/>
        </w:rPr>
        <w:t>is</w:t>
      </w:r>
      <w:r w:rsidR="00125722" w:rsidRPr="006A31FC">
        <w:rPr>
          <w:rFonts w:eastAsia="Times New Roman"/>
          <w:color w:val="000000"/>
        </w:rPr>
        <w:t xml:space="preserve"> </w:t>
      </w:r>
      <w:r w:rsidR="00F748E8">
        <w:rPr>
          <w:rFonts w:eastAsia="Times New Roman"/>
          <w:color w:val="000000"/>
        </w:rPr>
        <w:t>perpetuated</w:t>
      </w:r>
      <w:r w:rsidR="00125722" w:rsidRPr="006A31FC">
        <w:rPr>
          <w:rFonts w:eastAsia="Times New Roman"/>
          <w:color w:val="000000"/>
        </w:rPr>
        <w:t xml:space="preserve"> </w:t>
      </w:r>
      <w:r w:rsidR="00565BDF">
        <w:rPr>
          <w:rFonts w:eastAsia="Times New Roman"/>
          <w:color w:val="000000"/>
        </w:rPr>
        <w:t xml:space="preserve">significantly </w:t>
      </w:r>
      <w:r w:rsidR="00125722" w:rsidRPr="006A31FC">
        <w:rPr>
          <w:rFonts w:eastAsia="Times New Roman"/>
          <w:color w:val="000000"/>
        </w:rPr>
        <w:t>by anniversary activity</w:t>
      </w:r>
      <w:r w:rsidR="00565BDF">
        <w:rPr>
          <w:rFonts w:eastAsia="Times New Roman"/>
          <w:color w:val="000000"/>
        </w:rPr>
        <w:t xml:space="preserve">. </w:t>
      </w:r>
      <w:r w:rsidR="00F748E8">
        <w:rPr>
          <w:rFonts w:eastAsia="Times New Roman"/>
          <w:color w:val="000000"/>
        </w:rPr>
        <w:t>Despite speculation that this boom could soon be fading,</w:t>
      </w:r>
      <w:r w:rsidR="00F748E8">
        <w:rPr>
          <w:rStyle w:val="EndnoteReference"/>
          <w:rFonts w:eastAsia="Times New Roman"/>
          <w:color w:val="000000"/>
        </w:rPr>
        <w:endnoteReference w:id="2"/>
      </w:r>
      <w:r w:rsidR="00F748E8">
        <w:rPr>
          <w:rFonts w:eastAsia="Times New Roman"/>
          <w:color w:val="000000"/>
        </w:rPr>
        <w:t xml:space="preserve"> r</w:t>
      </w:r>
      <w:r w:rsidR="00565BDF">
        <w:rPr>
          <w:rFonts w:eastAsia="Times New Roman"/>
          <w:color w:val="000000"/>
        </w:rPr>
        <w:t xml:space="preserve">ecent years have demonstrated an unabated interest in marking </w:t>
      </w:r>
      <w:r w:rsidR="00125722" w:rsidRPr="006A31FC">
        <w:rPr>
          <w:rFonts w:eastAsia="Times New Roman"/>
          <w:color w:val="000000"/>
        </w:rPr>
        <w:t>historical milestones</w:t>
      </w:r>
      <w:r w:rsidR="00F748E8">
        <w:rPr>
          <w:rFonts w:eastAsia="Times New Roman"/>
          <w:color w:val="000000"/>
        </w:rPr>
        <w:t>, as seen with</w:t>
      </w:r>
      <w:r w:rsidR="00125722" w:rsidRPr="006A31FC">
        <w:rPr>
          <w:rFonts w:eastAsia="Times New Roman"/>
          <w:color w:val="000000"/>
        </w:rPr>
        <w:t xml:space="preserve"> the centenary of the First World War, 100 years of female suffrage, 200 years of Marx’s birth, 500 years of the Reformation and the fiftieth anniversary of 1968, to name but a few. </w:t>
      </w:r>
      <w:r w:rsidR="00726C95">
        <w:rPr>
          <w:rFonts w:eastAsia="Times New Roman"/>
          <w:color w:val="000000"/>
        </w:rPr>
        <w:t>Such occasions have seen</w:t>
      </w:r>
      <w:r w:rsidR="003155B2">
        <w:rPr>
          <w:rFonts w:eastAsia="Times New Roman"/>
          <w:color w:val="000000"/>
        </w:rPr>
        <w:t xml:space="preserve"> a deluge of new publications, </w:t>
      </w:r>
      <w:r w:rsidR="00726C95">
        <w:rPr>
          <w:rFonts w:eastAsia="Times New Roman"/>
          <w:color w:val="000000"/>
        </w:rPr>
        <w:t>documentaries</w:t>
      </w:r>
      <w:r w:rsidR="003155B2">
        <w:rPr>
          <w:rFonts w:eastAsia="Times New Roman"/>
          <w:color w:val="000000"/>
        </w:rPr>
        <w:t xml:space="preserve"> and exhibitions</w:t>
      </w:r>
      <w:r w:rsidR="00726C95">
        <w:rPr>
          <w:rFonts w:eastAsia="Times New Roman"/>
          <w:color w:val="000000"/>
        </w:rPr>
        <w:t xml:space="preserve">, the digitisation of </w:t>
      </w:r>
      <w:r w:rsidR="003155B2">
        <w:rPr>
          <w:rFonts w:eastAsia="Times New Roman"/>
          <w:color w:val="000000"/>
        </w:rPr>
        <w:t>historical documents and memorabilia, the inauguration of monuments and renovation of heritage sites, not to speak of commemorative tourist packages</w:t>
      </w:r>
      <w:r w:rsidR="00B62C94">
        <w:rPr>
          <w:rFonts w:eastAsia="Times New Roman"/>
          <w:color w:val="000000"/>
        </w:rPr>
        <w:t xml:space="preserve">, such as centenary battlefield tours </w:t>
      </w:r>
      <w:r w:rsidR="001C5C16">
        <w:rPr>
          <w:rFonts w:eastAsia="Times New Roman"/>
          <w:color w:val="000000"/>
        </w:rPr>
        <w:t>or anniversary Berlin Wall tourist trips</w:t>
      </w:r>
      <w:r w:rsidR="003155B2">
        <w:rPr>
          <w:rFonts w:eastAsia="Times New Roman"/>
          <w:color w:val="000000"/>
        </w:rPr>
        <w:t>.</w:t>
      </w:r>
      <w:r w:rsidR="001C5C16">
        <w:rPr>
          <w:rStyle w:val="EndnoteReference"/>
          <w:rFonts w:eastAsia="Times New Roman"/>
          <w:color w:val="000000"/>
        </w:rPr>
        <w:endnoteReference w:id="3"/>
      </w:r>
      <w:r w:rsidR="003155B2">
        <w:rPr>
          <w:rFonts w:eastAsia="Times New Roman"/>
          <w:color w:val="000000"/>
        </w:rPr>
        <w:t xml:space="preserve"> </w:t>
      </w:r>
      <w:r w:rsidR="00F906D5">
        <w:rPr>
          <w:rFonts w:eastAsia="Times New Roman"/>
          <w:color w:val="000000"/>
        </w:rPr>
        <w:t>Some anniversary products have taken more unusual form:</w:t>
      </w:r>
      <w:r w:rsidR="003155B2">
        <w:rPr>
          <w:rFonts w:eastAsia="Times New Roman"/>
          <w:color w:val="000000"/>
        </w:rPr>
        <w:t xml:space="preserve"> </w:t>
      </w:r>
      <w:r w:rsidR="001C54CB">
        <w:rPr>
          <w:rFonts w:eastAsia="Times New Roman"/>
          <w:color w:val="000000"/>
        </w:rPr>
        <w:t>in the run up to 2017</w:t>
      </w:r>
      <w:r w:rsidR="00F906D5">
        <w:rPr>
          <w:rFonts w:eastAsia="Times New Roman"/>
          <w:color w:val="000000"/>
        </w:rPr>
        <w:t>, for instance,</w:t>
      </w:r>
      <w:r w:rsidR="003155B2">
        <w:rPr>
          <w:rFonts w:eastAsia="Times New Roman"/>
          <w:color w:val="000000"/>
        </w:rPr>
        <w:t xml:space="preserve"> the </w:t>
      </w:r>
      <w:r w:rsidR="001C54CB">
        <w:rPr>
          <w:rFonts w:eastAsia="Times New Roman"/>
          <w:color w:val="000000"/>
        </w:rPr>
        <w:t xml:space="preserve">new </w:t>
      </w:r>
      <w:r w:rsidR="003155B2">
        <w:rPr>
          <w:rFonts w:eastAsia="Times New Roman"/>
          <w:color w:val="000000"/>
        </w:rPr>
        <w:t>Luther Playmobil figure</w:t>
      </w:r>
      <w:r w:rsidR="001C54CB">
        <w:rPr>
          <w:rFonts w:eastAsia="Times New Roman"/>
          <w:color w:val="000000"/>
        </w:rPr>
        <w:t xml:space="preserve"> made record sales (32,000 figurines sold in the first 72 hours</w:t>
      </w:r>
      <w:r w:rsidR="003155B2">
        <w:rPr>
          <w:rFonts w:eastAsia="Times New Roman"/>
          <w:color w:val="000000"/>
        </w:rPr>
        <w:t xml:space="preserve">, </w:t>
      </w:r>
      <w:r>
        <w:rPr>
          <w:rFonts w:eastAsia="Times New Roman"/>
          <w:color w:val="000000"/>
        </w:rPr>
        <w:t xml:space="preserve">over a million by June 2017 </w:t>
      </w:r>
      <w:r w:rsidR="001C54CB">
        <w:rPr>
          <w:rFonts w:eastAsia="Times New Roman"/>
          <w:color w:val="000000"/>
        </w:rPr>
        <w:t xml:space="preserve">– </w:t>
      </w:r>
      <w:r>
        <w:rPr>
          <w:rFonts w:eastAsia="Times New Roman"/>
          <w:color w:val="000000"/>
        </w:rPr>
        <w:t xml:space="preserve">see Williams’ </w:t>
      </w:r>
      <w:r w:rsidR="00C73BEC">
        <w:rPr>
          <w:rFonts w:eastAsia="Times New Roman"/>
          <w:color w:val="000000"/>
        </w:rPr>
        <w:t>article</w:t>
      </w:r>
      <w:r>
        <w:rPr>
          <w:rFonts w:eastAsia="Times New Roman"/>
          <w:color w:val="000000"/>
        </w:rPr>
        <w:t xml:space="preserve">), </w:t>
      </w:r>
      <w:r w:rsidR="00F906D5">
        <w:rPr>
          <w:rFonts w:eastAsia="Times New Roman"/>
          <w:color w:val="000000"/>
        </w:rPr>
        <w:t xml:space="preserve">while </w:t>
      </w:r>
      <w:r w:rsidR="003155B2">
        <w:rPr>
          <w:rFonts w:eastAsia="Times New Roman"/>
          <w:color w:val="000000"/>
        </w:rPr>
        <w:t>2018 witnessed</w:t>
      </w:r>
      <w:r w:rsidR="00C7371D">
        <w:rPr>
          <w:rFonts w:eastAsia="Times New Roman"/>
          <w:color w:val="000000"/>
        </w:rPr>
        <w:t xml:space="preserve"> the installation of Karl Marx pedestrian traffic lights in the philosopher’s home to</w:t>
      </w:r>
      <w:r w:rsidR="00852DAB">
        <w:rPr>
          <w:rFonts w:eastAsia="Times New Roman"/>
          <w:color w:val="000000"/>
        </w:rPr>
        <w:t xml:space="preserve">wn of Trier. </w:t>
      </w:r>
      <w:r w:rsidR="00BC3CBE">
        <w:rPr>
          <w:rFonts w:eastAsia="Times New Roman"/>
          <w:color w:val="000000"/>
        </w:rPr>
        <w:t>Anniversary practices appear to be as varied as</w:t>
      </w:r>
      <w:r w:rsidR="00906EC8">
        <w:rPr>
          <w:rFonts w:eastAsia="Times New Roman"/>
          <w:color w:val="000000"/>
        </w:rPr>
        <w:t xml:space="preserve"> </w:t>
      </w:r>
      <w:r w:rsidR="00BC3CBE">
        <w:rPr>
          <w:rFonts w:eastAsia="Times New Roman"/>
          <w:color w:val="000000"/>
        </w:rPr>
        <w:t>the</w:t>
      </w:r>
      <w:r w:rsidR="00906EC8">
        <w:rPr>
          <w:rFonts w:eastAsia="Times New Roman"/>
          <w:color w:val="000000"/>
        </w:rPr>
        <w:t>ir subjects, yet what is their value? What, in the terms of this special number, is their ‘capital’, and how has this evolved in recent decades?</w:t>
      </w:r>
    </w:p>
    <w:p w14:paraId="71C811D3" w14:textId="0CEF6BB6" w:rsidR="005110BA" w:rsidRDefault="00104BAF" w:rsidP="00BC38C5">
      <w:pPr>
        <w:pStyle w:val="NormalWeb"/>
        <w:spacing w:line="480" w:lineRule="auto"/>
        <w:ind w:firstLine="720"/>
        <w:jc w:val="both"/>
        <w:rPr>
          <w:rFonts w:eastAsia="Times New Roman"/>
          <w:color w:val="000000"/>
        </w:rPr>
      </w:pPr>
      <w:r>
        <w:rPr>
          <w:rFonts w:eastAsia="Times New Roman"/>
          <w:color w:val="000000"/>
        </w:rPr>
        <w:lastRenderedPageBreak/>
        <w:t>In contrast to</w:t>
      </w:r>
      <w:r w:rsidR="00A5156E">
        <w:rPr>
          <w:rFonts w:eastAsia="Times New Roman"/>
          <w:color w:val="000000"/>
        </w:rPr>
        <w:t xml:space="preserve"> numerous</w:t>
      </w:r>
      <w:r>
        <w:rPr>
          <w:rFonts w:eastAsia="Times New Roman"/>
          <w:color w:val="000000"/>
        </w:rPr>
        <w:t xml:space="preserve"> </w:t>
      </w:r>
      <w:r w:rsidR="00CC3C3D">
        <w:rPr>
          <w:rFonts w:eastAsia="Times New Roman"/>
          <w:color w:val="000000"/>
        </w:rPr>
        <w:t xml:space="preserve">contemporary </w:t>
      </w:r>
      <w:r>
        <w:rPr>
          <w:rFonts w:eastAsia="Times New Roman"/>
          <w:color w:val="000000"/>
        </w:rPr>
        <w:t xml:space="preserve">studies </w:t>
      </w:r>
      <w:r w:rsidR="00A5156E">
        <w:rPr>
          <w:rFonts w:eastAsia="Times New Roman"/>
          <w:color w:val="000000"/>
        </w:rPr>
        <w:t xml:space="preserve">that have used anniversaries as prisms through which to interrogate the </w:t>
      </w:r>
      <w:r w:rsidR="006B4228">
        <w:rPr>
          <w:rFonts w:eastAsia="Times New Roman"/>
          <w:color w:val="000000"/>
        </w:rPr>
        <w:t>political and cultural memory</w:t>
      </w:r>
      <w:r>
        <w:rPr>
          <w:rFonts w:eastAsia="Times New Roman"/>
          <w:color w:val="000000"/>
        </w:rPr>
        <w:t xml:space="preserve"> </w:t>
      </w:r>
      <w:r w:rsidR="00A5156E">
        <w:rPr>
          <w:rFonts w:eastAsia="Times New Roman"/>
          <w:color w:val="000000"/>
        </w:rPr>
        <w:t>of specific events</w:t>
      </w:r>
      <w:r>
        <w:rPr>
          <w:rFonts w:eastAsia="Times New Roman"/>
          <w:color w:val="000000"/>
        </w:rPr>
        <w:t>,</w:t>
      </w:r>
      <w:r w:rsidR="00CC3C3D">
        <w:rPr>
          <w:rStyle w:val="EndnoteReference"/>
          <w:rFonts w:eastAsia="Times New Roman"/>
          <w:color w:val="000000"/>
        </w:rPr>
        <w:endnoteReference w:id="4"/>
      </w:r>
      <w:r>
        <w:rPr>
          <w:rFonts w:eastAsia="Times New Roman"/>
          <w:color w:val="000000"/>
        </w:rPr>
        <w:t xml:space="preserve"> t</w:t>
      </w:r>
      <w:r w:rsidRPr="006A31FC">
        <w:rPr>
          <w:rFonts w:eastAsia="Times New Roman"/>
          <w:color w:val="000000"/>
        </w:rPr>
        <w:t xml:space="preserve">his special </w:t>
      </w:r>
      <w:r>
        <w:rPr>
          <w:rFonts w:eastAsia="Times New Roman"/>
          <w:color w:val="000000"/>
        </w:rPr>
        <w:t>number</w:t>
      </w:r>
      <w:r w:rsidRPr="006A31FC">
        <w:rPr>
          <w:rFonts w:eastAsia="Times New Roman"/>
          <w:color w:val="000000"/>
        </w:rPr>
        <w:t xml:space="preserve"> of </w:t>
      </w:r>
      <w:r w:rsidRPr="006A31FC">
        <w:rPr>
          <w:rFonts w:eastAsia="Times New Roman"/>
          <w:i/>
          <w:color w:val="000000"/>
        </w:rPr>
        <w:t xml:space="preserve">German Life and Letters </w:t>
      </w:r>
      <w:r>
        <w:rPr>
          <w:rFonts w:eastAsia="Times New Roman"/>
          <w:color w:val="000000"/>
        </w:rPr>
        <w:t>examines the value of anniversaries by bringing</w:t>
      </w:r>
      <w:r w:rsidRPr="006A31FC">
        <w:rPr>
          <w:rFonts w:eastAsia="Times New Roman"/>
          <w:color w:val="000000"/>
        </w:rPr>
        <w:t xml:space="preserve"> together </w:t>
      </w:r>
      <w:r w:rsidR="006B4228">
        <w:rPr>
          <w:rFonts w:eastAsia="Times New Roman"/>
          <w:color w:val="000000"/>
        </w:rPr>
        <w:t xml:space="preserve">a variety of </w:t>
      </w:r>
      <w:r w:rsidR="00B130C1">
        <w:rPr>
          <w:rFonts w:eastAsia="Times New Roman"/>
          <w:color w:val="000000"/>
        </w:rPr>
        <w:t>historical</w:t>
      </w:r>
      <w:r w:rsidR="006B4228">
        <w:rPr>
          <w:rFonts w:eastAsia="Times New Roman"/>
          <w:color w:val="000000"/>
        </w:rPr>
        <w:t xml:space="preserve"> subjects and methodological approaches. Through </w:t>
      </w:r>
      <w:r w:rsidRPr="006A31FC">
        <w:rPr>
          <w:rFonts w:eastAsia="Times New Roman"/>
          <w:color w:val="000000"/>
        </w:rPr>
        <w:t xml:space="preserve">six </w:t>
      </w:r>
      <w:r w:rsidR="006B4228">
        <w:rPr>
          <w:rFonts w:eastAsia="Times New Roman"/>
          <w:color w:val="000000"/>
        </w:rPr>
        <w:t>research-led</w:t>
      </w:r>
      <w:r w:rsidRPr="006A31FC">
        <w:rPr>
          <w:rFonts w:eastAsia="Times New Roman"/>
          <w:color w:val="000000"/>
        </w:rPr>
        <w:t xml:space="preserve"> articles, one practice-based article and one creative piece</w:t>
      </w:r>
      <w:r w:rsidR="006B4228">
        <w:rPr>
          <w:rFonts w:eastAsia="Times New Roman"/>
          <w:color w:val="000000"/>
        </w:rPr>
        <w:t xml:space="preserve">, the aim is to </w:t>
      </w:r>
      <w:r w:rsidRPr="006A31FC">
        <w:rPr>
          <w:rFonts w:eastAsia="Times New Roman"/>
          <w:color w:val="000000"/>
        </w:rPr>
        <w:t xml:space="preserve">reflect </w:t>
      </w:r>
      <w:r w:rsidR="006B4228">
        <w:rPr>
          <w:rFonts w:eastAsia="Times New Roman"/>
          <w:color w:val="000000"/>
        </w:rPr>
        <w:t xml:space="preserve">more broadly </w:t>
      </w:r>
      <w:r w:rsidRPr="006A31FC">
        <w:rPr>
          <w:rFonts w:eastAsia="Times New Roman"/>
          <w:color w:val="000000"/>
        </w:rPr>
        <w:t xml:space="preserve">on the </w:t>
      </w:r>
      <w:r w:rsidR="00C03540" w:rsidRPr="005542F5">
        <w:rPr>
          <w:rFonts w:eastAsia="Times New Roman"/>
          <w:color w:val="000000"/>
        </w:rPr>
        <w:t>value</w:t>
      </w:r>
      <w:r w:rsidRPr="005542F5">
        <w:rPr>
          <w:rFonts w:eastAsia="Times New Roman"/>
          <w:color w:val="000000"/>
        </w:rPr>
        <w:t xml:space="preserve"> </w:t>
      </w:r>
      <w:r w:rsidRPr="006A31FC">
        <w:rPr>
          <w:rFonts w:eastAsia="Times New Roman"/>
          <w:color w:val="000000"/>
        </w:rPr>
        <w:t>– as well as the challenges and deficits – of anniversary activity in recent German history.</w:t>
      </w:r>
      <w:r>
        <w:rPr>
          <w:rFonts w:eastAsia="Times New Roman"/>
          <w:color w:val="000000"/>
        </w:rPr>
        <w:t xml:space="preserve"> </w:t>
      </w:r>
      <w:r w:rsidR="00C03540">
        <w:rPr>
          <w:rFonts w:eastAsia="Times New Roman"/>
          <w:color w:val="000000"/>
        </w:rPr>
        <w:t>By</w:t>
      </w:r>
      <w:r w:rsidR="006B4228">
        <w:rPr>
          <w:rFonts w:eastAsia="Times New Roman"/>
          <w:color w:val="000000"/>
        </w:rPr>
        <w:t xml:space="preserve"> employing the notion of ‘anniversary capital’, </w:t>
      </w:r>
      <w:r w:rsidR="00C03540">
        <w:rPr>
          <w:rFonts w:eastAsia="Times New Roman"/>
          <w:color w:val="000000"/>
        </w:rPr>
        <w:t>this collection suggests that investment in anniversaries</w:t>
      </w:r>
      <w:r w:rsidR="00993BE5">
        <w:rPr>
          <w:rFonts w:eastAsia="Times New Roman"/>
          <w:color w:val="000000"/>
        </w:rPr>
        <w:t xml:space="preserve"> has the potential </w:t>
      </w:r>
      <w:r w:rsidR="00A5156E">
        <w:rPr>
          <w:rFonts w:eastAsia="Times New Roman"/>
          <w:color w:val="000000"/>
        </w:rPr>
        <w:t xml:space="preserve">– if successful – </w:t>
      </w:r>
      <w:r w:rsidR="00993BE5">
        <w:rPr>
          <w:rFonts w:eastAsia="Times New Roman"/>
          <w:color w:val="000000"/>
        </w:rPr>
        <w:t>to</w:t>
      </w:r>
      <w:r w:rsidR="00A5156E">
        <w:rPr>
          <w:rFonts w:eastAsia="Times New Roman"/>
          <w:color w:val="000000"/>
        </w:rPr>
        <w:t xml:space="preserve"> </w:t>
      </w:r>
      <w:r w:rsidR="00C03540">
        <w:rPr>
          <w:rFonts w:eastAsia="Times New Roman"/>
          <w:color w:val="000000"/>
        </w:rPr>
        <w:t>reap multiple returns</w:t>
      </w:r>
      <w:r w:rsidR="00993BE5">
        <w:rPr>
          <w:rFonts w:eastAsia="Times New Roman"/>
          <w:color w:val="000000"/>
        </w:rPr>
        <w:t xml:space="preserve"> in contemporary times. While the potential for economic return has long been observed</w:t>
      </w:r>
      <w:r w:rsidR="00025FC2">
        <w:rPr>
          <w:rFonts w:eastAsia="Times New Roman"/>
          <w:color w:val="000000"/>
        </w:rPr>
        <w:t>,</w:t>
      </w:r>
      <w:r w:rsidR="00A9530E">
        <w:rPr>
          <w:rStyle w:val="EndnoteReference"/>
          <w:rFonts w:eastAsia="Times New Roman"/>
          <w:color w:val="000000"/>
        </w:rPr>
        <w:endnoteReference w:id="5"/>
      </w:r>
      <w:r w:rsidR="00025FC2">
        <w:rPr>
          <w:rFonts w:eastAsia="Times New Roman"/>
          <w:color w:val="000000"/>
        </w:rPr>
        <w:t xml:space="preserve"> </w:t>
      </w:r>
      <w:r w:rsidR="00993BE5">
        <w:rPr>
          <w:rFonts w:eastAsia="Times New Roman"/>
          <w:color w:val="000000"/>
        </w:rPr>
        <w:t>t</w:t>
      </w:r>
      <w:r w:rsidR="009F38E3">
        <w:rPr>
          <w:rFonts w:eastAsia="Times New Roman"/>
          <w:color w:val="000000"/>
        </w:rPr>
        <w:t>he capital of anniversaries</w:t>
      </w:r>
      <w:r w:rsidR="00993BE5">
        <w:rPr>
          <w:rFonts w:eastAsia="Times New Roman"/>
          <w:color w:val="000000"/>
        </w:rPr>
        <w:t xml:space="preserve"> is clearly</w:t>
      </w:r>
      <w:r w:rsidR="009F38E3">
        <w:rPr>
          <w:rFonts w:eastAsia="Times New Roman"/>
          <w:color w:val="000000"/>
        </w:rPr>
        <w:t xml:space="preserve"> also highly symbolic</w:t>
      </w:r>
      <w:r w:rsidR="00BF1E56">
        <w:rPr>
          <w:rFonts w:eastAsia="Times New Roman"/>
          <w:color w:val="000000"/>
        </w:rPr>
        <w:t>.</w:t>
      </w:r>
      <w:r w:rsidR="009F38E3">
        <w:rPr>
          <w:rFonts w:eastAsia="Times New Roman"/>
          <w:color w:val="000000"/>
        </w:rPr>
        <w:t xml:space="preserve"> </w:t>
      </w:r>
      <w:r w:rsidR="00BF1E56">
        <w:rPr>
          <w:rFonts w:eastAsia="Times New Roman"/>
          <w:color w:val="000000"/>
        </w:rPr>
        <w:t>Drawing on</w:t>
      </w:r>
      <w:r w:rsidR="009F38E3">
        <w:rPr>
          <w:rFonts w:eastAsia="Times New Roman"/>
          <w:color w:val="000000"/>
        </w:rPr>
        <w:t xml:space="preserve"> Bourdieu</w:t>
      </w:r>
      <w:r w:rsidR="00BF1E56">
        <w:rPr>
          <w:rFonts w:eastAsia="Times New Roman"/>
          <w:color w:val="000000"/>
        </w:rPr>
        <w:t>’s notions of cultural and social capital</w:t>
      </w:r>
      <w:r w:rsidR="009F38E3">
        <w:rPr>
          <w:rFonts w:eastAsia="Times New Roman"/>
          <w:color w:val="000000"/>
        </w:rPr>
        <w:t>,</w:t>
      </w:r>
      <w:r w:rsidR="00BF1E56">
        <w:rPr>
          <w:rFonts w:eastAsia="Times New Roman"/>
          <w:color w:val="000000"/>
        </w:rPr>
        <w:t xml:space="preserve"> it is </w:t>
      </w:r>
      <w:r w:rsidR="00D97BBE">
        <w:rPr>
          <w:rFonts w:eastAsia="Times New Roman"/>
          <w:color w:val="000000"/>
        </w:rPr>
        <w:t xml:space="preserve">thus </w:t>
      </w:r>
      <w:r w:rsidR="008B3AB0">
        <w:rPr>
          <w:rFonts w:eastAsia="Times New Roman"/>
          <w:color w:val="000000"/>
        </w:rPr>
        <w:t>helpful</w:t>
      </w:r>
      <w:r w:rsidR="00BF1E56">
        <w:rPr>
          <w:rFonts w:eastAsia="Times New Roman"/>
          <w:color w:val="000000"/>
        </w:rPr>
        <w:t xml:space="preserve"> to understand </w:t>
      </w:r>
      <w:r w:rsidR="00371507">
        <w:rPr>
          <w:rFonts w:eastAsia="Times New Roman"/>
          <w:color w:val="000000"/>
        </w:rPr>
        <w:t xml:space="preserve">the mnemonic activities that constitute </w:t>
      </w:r>
      <w:r w:rsidR="00BF1E56">
        <w:rPr>
          <w:rFonts w:eastAsia="Times New Roman"/>
          <w:color w:val="000000"/>
        </w:rPr>
        <w:t>anniversary practices</w:t>
      </w:r>
      <w:r w:rsidR="005542F5">
        <w:rPr>
          <w:rFonts w:eastAsia="Times New Roman"/>
          <w:color w:val="000000"/>
        </w:rPr>
        <w:t xml:space="preserve"> </w:t>
      </w:r>
      <w:r w:rsidR="00BF1E56">
        <w:rPr>
          <w:rFonts w:eastAsia="Times New Roman"/>
          <w:color w:val="000000"/>
        </w:rPr>
        <w:t>as</w:t>
      </w:r>
      <w:r w:rsidR="005542F5">
        <w:rPr>
          <w:rFonts w:eastAsia="Times New Roman"/>
          <w:color w:val="000000"/>
        </w:rPr>
        <w:t xml:space="preserve"> </w:t>
      </w:r>
      <w:r w:rsidR="00692DA6">
        <w:rPr>
          <w:rFonts w:eastAsia="Times New Roman"/>
          <w:color w:val="000000"/>
        </w:rPr>
        <w:t xml:space="preserve">symbolic </w:t>
      </w:r>
      <w:r w:rsidR="00BF1E56">
        <w:rPr>
          <w:rFonts w:eastAsia="Times New Roman"/>
          <w:color w:val="000000"/>
        </w:rPr>
        <w:t>investment in</w:t>
      </w:r>
      <w:r w:rsidR="00E43DF5">
        <w:rPr>
          <w:rFonts w:eastAsia="Times New Roman"/>
          <w:color w:val="000000"/>
        </w:rPr>
        <w:t xml:space="preserve"> </w:t>
      </w:r>
      <w:r w:rsidR="008B3AB0">
        <w:rPr>
          <w:rFonts w:eastAsia="Times New Roman"/>
          <w:color w:val="000000"/>
        </w:rPr>
        <w:t>community</w:t>
      </w:r>
      <w:r w:rsidR="00E43DF5">
        <w:rPr>
          <w:rFonts w:eastAsia="Times New Roman"/>
          <w:color w:val="000000"/>
        </w:rPr>
        <w:t xml:space="preserve"> </w:t>
      </w:r>
      <w:r w:rsidR="00BF1E56">
        <w:rPr>
          <w:rFonts w:eastAsia="Times New Roman"/>
          <w:color w:val="000000"/>
        </w:rPr>
        <w:t xml:space="preserve">education, </w:t>
      </w:r>
      <w:r w:rsidR="00E43DF5">
        <w:rPr>
          <w:rFonts w:eastAsia="Times New Roman"/>
          <w:color w:val="000000"/>
        </w:rPr>
        <w:t>civic relations</w:t>
      </w:r>
      <w:r w:rsidR="00013F16">
        <w:rPr>
          <w:rFonts w:eastAsia="Times New Roman"/>
          <w:color w:val="000000"/>
        </w:rPr>
        <w:t xml:space="preserve">, </w:t>
      </w:r>
      <w:r w:rsidR="00E43DF5">
        <w:rPr>
          <w:rFonts w:eastAsia="Times New Roman"/>
          <w:color w:val="000000"/>
        </w:rPr>
        <w:t xml:space="preserve">institutional </w:t>
      </w:r>
      <w:r w:rsidR="008B3AB0">
        <w:rPr>
          <w:rFonts w:eastAsia="Times New Roman"/>
          <w:color w:val="000000"/>
        </w:rPr>
        <w:t>reputation</w:t>
      </w:r>
      <w:r w:rsidR="00013F16">
        <w:rPr>
          <w:rFonts w:eastAsia="Times New Roman"/>
          <w:color w:val="000000"/>
        </w:rPr>
        <w:t xml:space="preserve"> and political influence. </w:t>
      </w:r>
      <w:r w:rsidR="00692DA6">
        <w:rPr>
          <w:rFonts w:eastAsia="Times New Roman"/>
          <w:color w:val="000000"/>
        </w:rPr>
        <w:t>The political capital for those investing in anniversaries is</w:t>
      </w:r>
      <w:r w:rsidR="00D97BBE">
        <w:rPr>
          <w:rFonts w:eastAsia="Times New Roman"/>
          <w:color w:val="000000"/>
        </w:rPr>
        <w:t xml:space="preserve"> </w:t>
      </w:r>
      <w:r w:rsidR="00692DA6">
        <w:rPr>
          <w:rFonts w:eastAsia="Times New Roman"/>
          <w:color w:val="000000"/>
        </w:rPr>
        <w:t xml:space="preserve">likely to be particularly </w:t>
      </w:r>
      <w:r w:rsidR="00B130C1">
        <w:rPr>
          <w:rFonts w:eastAsia="Times New Roman"/>
          <w:color w:val="000000"/>
        </w:rPr>
        <w:t>strong</w:t>
      </w:r>
      <w:r w:rsidR="00692DA6">
        <w:rPr>
          <w:rFonts w:eastAsia="Times New Roman"/>
          <w:color w:val="000000"/>
        </w:rPr>
        <w:t>, as</w:t>
      </w:r>
      <w:r w:rsidR="00013F16">
        <w:rPr>
          <w:rFonts w:eastAsia="Times New Roman"/>
          <w:color w:val="000000"/>
        </w:rPr>
        <w:t xml:space="preserve"> the individuals or groups </w:t>
      </w:r>
      <w:r w:rsidR="00D97BBE">
        <w:rPr>
          <w:rFonts w:eastAsia="Times New Roman"/>
          <w:color w:val="000000"/>
        </w:rPr>
        <w:t xml:space="preserve">investing relevant time, energy and resource </w:t>
      </w:r>
      <w:r w:rsidR="00692DA6">
        <w:rPr>
          <w:rFonts w:eastAsia="Times New Roman"/>
          <w:color w:val="000000"/>
        </w:rPr>
        <w:t>aim to achieve greater influence</w:t>
      </w:r>
      <w:r w:rsidR="00D97BBE">
        <w:rPr>
          <w:rFonts w:eastAsia="Times New Roman"/>
          <w:color w:val="000000"/>
        </w:rPr>
        <w:t xml:space="preserve"> (for themselves or their cause)</w:t>
      </w:r>
      <w:r w:rsidR="00692DA6">
        <w:rPr>
          <w:rFonts w:eastAsia="Times New Roman"/>
          <w:color w:val="000000"/>
        </w:rPr>
        <w:t xml:space="preserve"> within their community</w:t>
      </w:r>
      <w:r w:rsidR="00BC38C5">
        <w:rPr>
          <w:rFonts w:eastAsia="Times New Roman"/>
          <w:color w:val="000000"/>
        </w:rPr>
        <w:t xml:space="preserve"> – accumulating a form of credit which can then be used to further other goals. If </w:t>
      </w:r>
      <w:r w:rsidR="00101309">
        <w:rPr>
          <w:rFonts w:eastAsia="Times New Roman"/>
          <w:color w:val="000000"/>
        </w:rPr>
        <w:t>such</w:t>
      </w:r>
      <w:r w:rsidR="00BC38C5">
        <w:rPr>
          <w:rFonts w:eastAsia="Times New Roman"/>
          <w:color w:val="000000"/>
        </w:rPr>
        <w:t xml:space="preserve"> investment does not result in attention, however, there is little likelihood of success. </w:t>
      </w:r>
      <w:r w:rsidR="00692DA6">
        <w:rPr>
          <w:rFonts w:eastAsia="Times New Roman"/>
          <w:color w:val="000000"/>
        </w:rPr>
        <w:t>Indeed,</w:t>
      </w:r>
      <w:r w:rsidR="00101309">
        <w:rPr>
          <w:rFonts w:eastAsia="Times New Roman"/>
          <w:color w:val="000000"/>
        </w:rPr>
        <w:t xml:space="preserve"> attention capital is another </w:t>
      </w:r>
      <w:r w:rsidR="00B130C1">
        <w:rPr>
          <w:rFonts w:eastAsia="Times New Roman"/>
          <w:color w:val="000000"/>
        </w:rPr>
        <w:t xml:space="preserve">key </w:t>
      </w:r>
      <w:r w:rsidR="00101309">
        <w:rPr>
          <w:rFonts w:eastAsia="Times New Roman"/>
          <w:color w:val="000000"/>
        </w:rPr>
        <w:t xml:space="preserve">form of capital </w:t>
      </w:r>
      <w:r w:rsidR="00371507">
        <w:rPr>
          <w:rFonts w:eastAsia="Times New Roman"/>
          <w:color w:val="000000"/>
        </w:rPr>
        <w:t>relevant to</w:t>
      </w:r>
      <w:r w:rsidR="00101309">
        <w:rPr>
          <w:rFonts w:eastAsia="Times New Roman"/>
          <w:color w:val="000000"/>
        </w:rPr>
        <w:t xml:space="preserve"> contemporary anniversary activity, for</w:t>
      </w:r>
      <w:r w:rsidR="00692DA6">
        <w:rPr>
          <w:rFonts w:eastAsia="Times New Roman"/>
          <w:color w:val="000000"/>
        </w:rPr>
        <w:t xml:space="preserve"> in </w:t>
      </w:r>
      <w:r w:rsidR="00B130C1">
        <w:rPr>
          <w:rFonts w:eastAsia="Times New Roman"/>
          <w:color w:val="000000"/>
        </w:rPr>
        <w:t>a</w:t>
      </w:r>
      <w:r w:rsidR="00BC38C5">
        <w:rPr>
          <w:rFonts w:eastAsia="Times New Roman"/>
          <w:color w:val="000000"/>
        </w:rPr>
        <w:t xml:space="preserve"> </w:t>
      </w:r>
      <w:r w:rsidR="00692DA6">
        <w:rPr>
          <w:rFonts w:eastAsia="Times New Roman"/>
          <w:color w:val="000000"/>
        </w:rPr>
        <w:t xml:space="preserve">world </w:t>
      </w:r>
      <w:r w:rsidR="00B130C1">
        <w:rPr>
          <w:rFonts w:eastAsia="Times New Roman"/>
          <w:color w:val="000000"/>
        </w:rPr>
        <w:t>of</w:t>
      </w:r>
      <w:r w:rsidR="00692DA6">
        <w:rPr>
          <w:rFonts w:eastAsia="Times New Roman"/>
          <w:color w:val="000000"/>
        </w:rPr>
        <w:t xml:space="preserve"> social media</w:t>
      </w:r>
      <w:r w:rsidR="00BC38C5">
        <w:rPr>
          <w:rFonts w:eastAsia="Times New Roman"/>
          <w:color w:val="000000"/>
        </w:rPr>
        <w:t xml:space="preserve">, which </w:t>
      </w:r>
      <w:r w:rsidR="00692DA6">
        <w:rPr>
          <w:rFonts w:eastAsia="Times New Roman"/>
          <w:color w:val="000000"/>
        </w:rPr>
        <w:t xml:space="preserve">fosters an abundance of information yet a scarcity of attention, anniversaries </w:t>
      </w:r>
      <w:r w:rsidR="00101309">
        <w:rPr>
          <w:rFonts w:eastAsia="Times New Roman"/>
          <w:color w:val="000000"/>
        </w:rPr>
        <w:t>aim</w:t>
      </w:r>
      <w:r w:rsidR="00692DA6">
        <w:rPr>
          <w:rFonts w:eastAsia="Times New Roman"/>
          <w:color w:val="000000"/>
        </w:rPr>
        <w:t xml:space="preserve"> above all to focus public attention</w:t>
      </w:r>
      <w:r w:rsidR="00101309">
        <w:rPr>
          <w:rFonts w:eastAsia="Times New Roman"/>
          <w:color w:val="000000"/>
        </w:rPr>
        <w:t xml:space="preserve">. </w:t>
      </w:r>
    </w:p>
    <w:p w14:paraId="687C4041" w14:textId="23FAF783" w:rsidR="00692DA6" w:rsidRDefault="005110BA" w:rsidP="00BC38C5">
      <w:pPr>
        <w:pStyle w:val="NormalWeb"/>
        <w:spacing w:line="480" w:lineRule="auto"/>
        <w:ind w:firstLine="720"/>
        <w:jc w:val="both"/>
        <w:rPr>
          <w:rFonts w:eastAsia="Times New Roman"/>
          <w:color w:val="000000"/>
        </w:rPr>
      </w:pPr>
      <w:r>
        <w:rPr>
          <w:rFonts w:eastAsia="Times New Roman"/>
          <w:color w:val="000000"/>
        </w:rPr>
        <w:t>As th</w:t>
      </w:r>
      <w:r w:rsidR="007A0A06">
        <w:rPr>
          <w:rFonts w:eastAsia="Times New Roman"/>
          <w:color w:val="000000"/>
        </w:rPr>
        <w:t>e above</w:t>
      </w:r>
      <w:r>
        <w:rPr>
          <w:rFonts w:eastAsia="Times New Roman"/>
          <w:color w:val="000000"/>
        </w:rPr>
        <w:t xml:space="preserve"> discussion demonstrates, the observance of anniversaries necessitates symbolic investment in numerous different types of capital: cultural, social, political and attention – alongside, of course, monetary investment. As the </w:t>
      </w:r>
      <w:r>
        <w:rPr>
          <w:rFonts w:eastAsia="Times New Roman"/>
          <w:color w:val="000000"/>
        </w:rPr>
        <w:lastRenderedPageBreak/>
        <w:t>contributions in this special number suggest, ‘anniversary capital’ embodies elements of all of these – to varying degrees</w:t>
      </w:r>
      <w:r w:rsidR="001D7E05">
        <w:rPr>
          <w:rFonts w:eastAsia="Times New Roman"/>
          <w:color w:val="000000"/>
        </w:rPr>
        <w:t xml:space="preserve"> – </w:t>
      </w:r>
      <w:r w:rsidR="007A0A06">
        <w:rPr>
          <w:rFonts w:eastAsia="Times New Roman"/>
          <w:color w:val="000000"/>
        </w:rPr>
        <w:t>which</w:t>
      </w:r>
      <w:r w:rsidR="001D7E05">
        <w:rPr>
          <w:rFonts w:eastAsia="Times New Roman"/>
          <w:color w:val="000000"/>
        </w:rPr>
        <w:t xml:space="preserve"> is leveraged by agents (whether governments, political parties, educational establishments, specific interest groups or even individuals) to accumulate social and political influence, respect and </w:t>
      </w:r>
      <w:r w:rsidR="00371507">
        <w:rPr>
          <w:rFonts w:eastAsia="Times New Roman"/>
          <w:color w:val="000000"/>
        </w:rPr>
        <w:t xml:space="preserve">– </w:t>
      </w:r>
      <w:r w:rsidR="001D7E05">
        <w:rPr>
          <w:rFonts w:eastAsia="Times New Roman"/>
          <w:color w:val="000000"/>
        </w:rPr>
        <w:t>ultimately</w:t>
      </w:r>
      <w:r w:rsidR="00371507">
        <w:rPr>
          <w:rFonts w:eastAsia="Times New Roman"/>
          <w:color w:val="000000"/>
        </w:rPr>
        <w:t xml:space="preserve"> –</w:t>
      </w:r>
      <w:r w:rsidR="001D7E05">
        <w:rPr>
          <w:rFonts w:eastAsia="Times New Roman"/>
          <w:color w:val="000000"/>
        </w:rPr>
        <w:t xml:space="preserve"> power. </w:t>
      </w:r>
      <w:r w:rsidR="00167D25">
        <w:rPr>
          <w:rFonts w:eastAsia="Times New Roman"/>
          <w:color w:val="000000"/>
        </w:rPr>
        <w:t>The hallmark of anniversary capital is, of course, its time</w:t>
      </w:r>
      <w:r w:rsidR="00B130C1">
        <w:rPr>
          <w:rFonts w:eastAsia="Times New Roman"/>
          <w:color w:val="000000"/>
        </w:rPr>
        <w:t>-</w:t>
      </w:r>
      <w:r w:rsidR="00167D25">
        <w:rPr>
          <w:rFonts w:eastAsia="Times New Roman"/>
          <w:color w:val="000000"/>
        </w:rPr>
        <w:t xml:space="preserve">sensitive nature, </w:t>
      </w:r>
      <w:r w:rsidR="00B130C1">
        <w:rPr>
          <w:rFonts w:eastAsia="Times New Roman"/>
          <w:color w:val="000000"/>
        </w:rPr>
        <w:t xml:space="preserve">as </w:t>
      </w:r>
      <w:r w:rsidR="00167D25">
        <w:rPr>
          <w:rFonts w:eastAsia="Times New Roman"/>
          <w:color w:val="000000"/>
        </w:rPr>
        <w:t>it can only be accumulated at specific points in the annual or decennial calendar</w:t>
      </w:r>
      <w:r w:rsidR="006F63A5">
        <w:rPr>
          <w:rFonts w:eastAsia="Times New Roman"/>
          <w:color w:val="000000"/>
        </w:rPr>
        <w:t xml:space="preserve">, thus making it a </w:t>
      </w:r>
      <w:r w:rsidR="00D010DF">
        <w:rPr>
          <w:rFonts w:eastAsia="Times New Roman"/>
          <w:color w:val="000000"/>
        </w:rPr>
        <w:t xml:space="preserve">relatively scarce </w:t>
      </w:r>
      <w:r w:rsidR="00371507">
        <w:rPr>
          <w:rFonts w:eastAsia="Times New Roman"/>
          <w:color w:val="000000"/>
        </w:rPr>
        <w:t>– yet potentially powerful –</w:t>
      </w:r>
      <w:r w:rsidR="006F63A5">
        <w:rPr>
          <w:rFonts w:eastAsia="Times New Roman"/>
          <w:color w:val="000000"/>
        </w:rPr>
        <w:t xml:space="preserve"> type of currency.</w:t>
      </w:r>
      <w:r w:rsidR="00167D25">
        <w:rPr>
          <w:rFonts w:eastAsia="Times New Roman"/>
          <w:color w:val="000000"/>
        </w:rPr>
        <w:t xml:space="preserve"> </w:t>
      </w:r>
      <w:r w:rsidR="006F63A5">
        <w:rPr>
          <w:rFonts w:eastAsia="Times New Roman"/>
          <w:color w:val="000000"/>
        </w:rPr>
        <w:t>As this collection demonstrates – and as is typical of all economies – the success of mnemonic activities one year may not bring returns in another</w:t>
      </w:r>
      <w:r w:rsidR="00371507">
        <w:rPr>
          <w:rFonts w:eastAsia="Times New Roman"/>
          <w:color w:val="000000"/>
        </w:rPr>
        <w:t xml:space="preserve">; they are highly contingent upon </w:t>
      </w:r>
      <w:r w:rsidR="00F84D04">
        <w:rPr>
          <w:rFonts w:eastAsia="Times New Roman"/>
          <w:color w:val="000000"/>
        </w:rPr>
        <w:t>numerous external influences</w:t>
      </w:r>
      <w:r w:rsidR="00371507">
        <w:rPr>
          <w:rFonts w:eastAsia="Times New Roman"/>
          <w:color w:val="000000"/>
        </w:rPr>
        <w:t xml:space="preserve">. </w:t>
      </w:r>
    </w:p>
    <w:p w14:paraId="40EE18BC" w14:textId="5FC69EA7" w:rsidR="005410AA" w:rsidRDefault="005410AA" w:rsidP="00005ED6">
      <w:pPr>
        <w:pStyle w:val="gmail-p1"/>
        <w:spacing w:before="0" w:beforeAutospacing="0" w:after="0" w:afterAutospacing="0" w:line="480" w:lineRule="auto"/>
        <w:jc w:val="both"/>
        <w:rPr>
          <w:rStyle w:val="gmail-s1"/>
        </w:rPr>
      </w:pPr>
      <w:r>
        <w:rPr>
          <w:rStyle w:val="gmail-s1"/>
        </w:rPr>
        <w:tab/>
      </w:r>
      <w:r w:rsidR="004A0F29">
        <w:rPr>
          <w:rStyle w:val="gmail-s1"/>
        </w:rPr>
        <w:t xml:space="preserve">While this </w:t>
      </w:r>
      <w:r w:rsidR="00F84D04">
        <w:rPr>
          <w:rStyle w:val="gmail-s1"/>
        </w:rPr>
        <w:t>special number</w:t>
      </w:r>
      <w:r w:rsidR="004A0F29">
        <w:rPr>
          <w:rStyle w:val="gmail-s1"/>
        </w:rPr>
        <w:t xml:space="preserve"> focuses on </w:t>
      </w:r>
      <w:r w:rsidR="00F84D04">
        <w:rPr>
          <w:rStyle w:val="gmail-s1"/>
        </w:rPr>
        <w:t xml:space="preserve">anniversary capital in </w:t>
      </w:r>
      <w:r w:rsidR="004A0F29">
        <w:rPr>
          <w:rStyle w:val="gmail-s1"/>
        </w:rPr>
        <w:t>the twentieth and twenty-firs</w:t>
      </w:r>
      <w:r>
        <w:rPr>
          <w:rStyle w:val="gmail-s1"/>
        </w:rPr>
        <w:t>t</w:t>
      </w:r>
      <w:r w:rsidR="004A0F29">
        <w:rPr>
          <w:rStyle w:val="gmail-s1"/>
        </w:rPr>
        <w:t xml:space="preserve"> century, it is worth remembering</w:t>
      </w:r>
      <w:r>
        <w:rPr>
          <w:rStyle w:val="gmail-s1"/>
        </w:rPr>
        <w:t xml:space="preserve"> that the observance of </w:t>
      </w:r>
      <w:r w:rsidR="00D168A5">
        <w:rPr>
          <w:rStyle w:val="gmail-s1"/>
        </w:rPr>
        <w:t xml:space="preserve">anniversaries is nothing new. </w:t>
      </w:r>
      <w:r w:rsidR="00B43679">
        <w:rPr>
          <w:rStyle w:val="gmail-s1"/>
        </w:rPr>
        <w:t>R</w:t>
      </w:r>
      <w:r>
        <w:rPr>
          <w:rStyle w:val="gmail-s1"/>
        </w:rPr>
        <w:t>oland Quinault</w:t>
      </w:r>
      <w:r w:rsidR="00D168A5">
        <w:rPr>
          <w:rStyle w:val="gmail-s1"/>
        </w:rPr>
        <w:t xml:space="preserve"> </w:t>
      </w:r>
      <w:r w:rsidR="00B43679">
        <w:rPr>
          <w:rStyle w:val="gmail-s1"/>
        </w:rPr>
        <w:t xml:space="preserve">and </w:t>
      </w:r>
      <w:r w:rsidR="009D177E">
        <w:rPr>
          <w:rStyle w:val="gmail-s1"/>
        </w:rPr>
        <w:t xml:space="preserve">William </w:t>
      </w:r>
      <w:r w:rsidR="00B43679">
        <w:rPr>
          <w:rStyle w:val="gmail-s1"/>
        </w:rPr>
        <w:t xml:space="preserve">Johnston </w:t>
      </w:r>
      <w:r w:rsidR="009D177E">
        <w:rPr>
          <w:rStyle w:val="gmail-s1"/>
        </w:rPr>
        <w:t xml:space="preserve">both </w:t>
      </w:r>
      <w:r w:rsidR="00B43679">
        <w:rPr>
          <w:rStyle w:val="gmail-s1"/>
        </w:rPr>
        <w:t>date the</w:t>
      </w:r>
      <w:r w:rsidR="00D168A5">
        <w:rPr>
          <w:rStyle w:val="gmail-s1"/>
        </w:rPr>
        <w:t xml:space="preserve"> </w:t>
      </w:r>
      <w:r w:rsidR="00B43679">
        <w:rPr>
          <w:rStyle w:val="gmail-s1"/>
        </w:rPr>
        <w:t xml:space="preserve">European </w:t>
      </w:r>
      <w:r w:rsidR="00D168A5">
        <w:rPr>
          <w:rStyle w:val="gmail-s1"/>
        </w:rPr>
        <w:t xml:space="preserve">‘cult of the centenary’ </w:t>
      </w:r>
      <w:r w:rsidR="00B43679">
        <w:rPr>
          <w:rStyle w:val="gmail-s1"/>
        </w:rPr>
        <w:t xml:space="preserve">and the ‘cult of anniversaries’ </w:t>
      </w:r>
      <w:r w:rsidR="00F906D5">
        <w:rPr>
          <w:rStyle w:val="gmail-s1"/>
        </w:rPr>
        <w:t xml:space="preserve">back to the nineteenth </w:t>
      </w:r>
      <w:r w:rsidR="00B43679">
        <w:rPr>
          <w:rStyle w:val="gmail-s1"/>
        </w:rPr>
        <w:t>century</w:t>
      </w:r>
      <w:r w:rsidR="00D168A5">
        <w:rPr>
          <w:rStyle w:val="gmail-s1"/>
        </w:rPr>
        <w:t>,</w:t>
      </w:r>
      <w:r w:rsidR="00B43679">
        <w:rPr>
          <w:rStyle w:val="gmail-s1"/>
        </w:rPr>
        <w:t xml:space="preserve"> </w:t>
      </w:r>
      <w:r w:rsidR="00566EB4">
        <w:rPr>
          <w:rStyle w:val="gmail-s1"/>
        </w:rPr>
        <w:t xml:space="preserve">yet </w:t>
      </w:r>
      <w:r w:rsidR="00B43679">
        <w:rPr>
          <w:rStyle w:val="gmail-s1"/>
        </w:rPr>
        <w:t xml:space="preserve">Johnston also points towards the longer evolution of </w:t>
      </w:r>
      <w:r w:rsidR="00566EB4">
        <w:rPr>
          <w:rStyle w:val="gmail-s1"/>
        </w:rPr>
        <w:t xml:space="preserve">anniversary </w:t>
      </w:r>
      <w:r w:rsidR="00B43679">
        <w:rPr>
          <w:rStyle w:val="gmail-s1"/>
        </w:rPr>
        <w:t>traditions</w:t>
      </w:r>
      <w:r w:rsidR="009D177E">
        <w:rPr>
          <w:rStyle w:val="gmail-s1"/>
        </w:rPr>
        <w:t>,</w:t>
      </w:r>
      <w:r w:rsidR="00B43679">
        <w:rPr>
          <w:rStyle w:val="gmail-s1"/>
        </w:rPr>
        <w:t xml:space="preserve"> originating </w:t>
      </w:r>
      <w:r w:rsidR="00F906D5">
        <w:rPr>
          <w:rStyle w:val="gmail-s1"/>
        </w:rPr>
        <w:t xml:space="preserve">first </w:t>
      </w:r>
      <w:r w:rsidR="00B43679">
        <w:rPr>
          <w:rStyle w:val="gmail-s1"/>
        </w:rPr>
        <w:t xml:space="preserve">with the French Revolution and second </w:t>
      </w:r>
      <w:r w:rsidR="00F906D5">
        <w:rPr>
          <w:rStyle w:val="gmail-s1"/>
        </w:rPr>
        <w:t xml:space="preserve">with </w:t>
      </w:r>
      <w:r w:rsidR="00B43679">
        <w:rPr>
          <w:rStyle w:val="gmail-s1"/>
        </w:rPr>
        <w:t>courtly traditions.</w:t>
      </w:r>
      <w:r w:rsidR="00A9530E">
        <w:rPr>
          <w:rStyle w:val="EndnoteReference"/>
        </w:rPr>
        <w:endnoteReference w:id="6"/>
      </w:r>
      <w:r w:rsidR="00A9530E">
        <w:rPr>
          <w:rStyle w:val="gmail-s1"/>
        </w:rPr>
        <w:t xml:space="preserve"> Others observe a much more fundamental human need associated with the phenomenon of the anniversary. Thomas Schmidt, for instance, traces its origins right back to early humanity, where the rhythm of the seasons provided a regular cycle around which rituals were built: ‘[d]as Leben </w:t>
      </w:r>
      <w:proofErr w:type="spellStart"/>
      <w:r w:rsidR="00A9530E">
        <w:rPr>
          <w:rStyle w:val="gmail-s1"/>
        </w:rPr>
        <w:t>wurde</w:t>
      </w:r>
      <w:proofErr w:type="spellEnd"/>
      <w:r w:rsidR="00A9530E">
        <w:rPr>
          <w:rStyle w:val="gmail-s1"/>
        </w:rPr>
        <w:t xml:space="preserve"> </w:t>
      </w:r>
      <w:proofErr w:type="spellStart"/>
      <w:r w:rsidR="00A9530E">
        <w:rPr>
          <w:rStyle w:val="gmail-s1"/>
        </w:rPr>
        <w:t>zkylisch</w:t>
      </w:r>
      <w:proofErr w:type="spellEnd"/>
      <w:r w:rsidR="00A9530E">
        <w:rPr>
          <w:rStyle w:val="gmail-s1"/>
        </w:rPr>
        <w:t xml:space="preserve"> </w:t>
      </w:r>
      <w:proofErr w:type="spellStart"/>
      <w:r w:rsidR="00A9530E">
        <w:rPr>
          <w:rStyle w:val="gmail-s1"/>
        </w:rPr>
        <w:t>erfahren</w:t>
      </w:r>
      <w:proofErr w:type="spellEnd"/>
      <w:r w:rsidR="00A9530E">
        <w:rPr>
          <w:rStyle w:val="gmail-s1"/>
        </w:rPr>
        <w:t>’.</w:t>
      </w:r>
      <w:r w:rsidR="00A9530E">
        <w:rPr>
          <w:rStyle w:val="EndnoteReference"/>
        </w:rPr>
        <w:endnoteReference w:id="7"/>
      </w:r>
      <w:r w:rsidR="00A9530E">
        <w:rPr>
          <w:rStyle w:val="gmail-s1"/>
        </w:rPr>
        <w:t xml:space="preserve"> </w:t>
      </w:r>
      <w:proofErr w:type="spellStart"/>
      <w:r w:rsidR="00A9530E">
        <w:rPr>
          <w:rStyle w:val="gmail-s1"/>
        </w:rPr>
        <w:t>Eviatar</w:t>
      </w:r>
      <w:proofErr w:type="spellEnd"/>
      <w:r w:rsidR="00A9530E">
        <w:rPr>
          <w:rStyle w:val="gmail-s1"/>
        </w:rPr>
        <w:t xml:space="preserve"> </w:t>
      </w:r>
      <w:proofErr w:type="spellStart"/>
      <w:r w:rsidR="00A9530E">
        <w:rPr>
          <w:rStyle w:val="gmail-s1"/>
        </w:rPr>
        <w:t>Zerubavel</w:t>
      </w:r>
      <w:proofErr w:type="spellEnd"/>
      <w:r w:rsidR="00A9530E">
        <w:rPr>
          <w:rStyle w:val="gmail-s1"/>
        </w:rPr>
        <w:t xml:space="preserve"> also highlights the human need for regularity, with ‘homo </w:t>
      </w:r>
      <w:proofErr w:type="spellStart"/>
      <w:r w:rsidR="00A9530E">
        <w:rPr>
          <w:rStyle w:val="gmail-s1"/>
        </w:rPr>
        <w:t>rhythmicus</w:t>
      </w:r>
      <w:proofErr w:type="spellEnd"/>
      <w:r w:rsidR="00A9530E">
        <w:rPr>
          <w:rStyle w:val="gmail-s1"/>
        </w:rPr>
        <w:t>’ being the creator of the weekly cycle.</w:t>
      </w:r>
      <w:r w:rsidR="00A9530E">
        <w:rPr>
          <w:rStyle w:val="EndnoteReference"/>
        </w:rPr>
        <w:endnoteReference w:id="8"/>
      </w:r>
      <w:r w:rsidR="00A9530E">
        <w:rPr>
          <w:rStyle w:val="gmail-s1"/>
        </w:rPr>
        <w:t xml:space="preserve"> </w:t>
      </w:r>
      <w:r w:rsidR="009D177E">
        <w:rPr>
          <w:rStyle w:val="gmail-s1"/>
        </w:rPr>
        <w:t>T</w:t>
      </w:r>
      <w:r w:rsidR="00A9530E">
        <w:rPr>
          <w:rStyle w:val="gmail-s1"/>
        </w:rPr>
        <w:t xml:space="preserve">he calendar thus ‘plays a major role in our mnemonic socialization’, </w:t>
      </w:r>
      <w:r w:rsidR="009D177E">
        <w:rPr>
          <w:rStyle w:val="gmail-s1"/>
        </w:rPr>
        <w:t xml:space="preserve">with anniversaries </w:t>
      </w:r>
      <w:r w:rsidR="00A9530E">
        <w:rPr>
          <w:rStyle w:val="gmail-s1"/>
        </w:rPr>
        <w:t>ensuring that we ‘periodically “revisit” our collective past’.</w:t>
      </w:r>
      <w:r w:rsidR="00A9530E">
        <w:rPr>
          <w:rStyle w:val="EndnoteReference"/>
        </w:rPr>
        <w:endnoteReference w:id="9"/>
      </w:r>
      <w:r w:rsidR="00A9530E">
        <w:rPr>
          <w:rStyle w:val="gmail-s1"/>
        </w:rPr>
        <w:t xml:space="preserve"> While such regularity is reassuring, </w:t>
      </w:r>
      <w:r w:rsidR="009D177E">
        <w:rPr>
          <w:rStyle w:val="gmail-s1"/>
        </w:rPr>
        <w:t>and offers</w:t>
      </w:r>
      <w:r w:rsidR="00A9530E">
        <w:rPr>
          <w:rStyle w:val="gmail-s1"/>
        </w:rPr>
        <w:t xml:space="preserve"> a sense of continuity and tradition, it is also highly constructed; as </w:t>
      </w:r>
      <w:proofErr w:type="spellStart"/>
      <w:r w:rsidR="00A9530E">
        <w:rPr>
          <w:rStyle w:val="gmail-s1"/>
        </w:rPr>
        <w:t>Zerubavel</w:t>
      </w:r>
      <w:proofErr w:type="spellEnd"/>
      <w:r w:rsidR="00A9530E">
        <w:rPr>
          <w:rStyle w:val="gmail-s1"/>
        </w:rPr>
        <w:t xml:space="preserve"> claims, ‘[t]here is absolutely nothing natural </w:t>
      </w:r>
      <w:r w:rsidR="00A9530E">
        <w:rPr>
          <w:rStyle w:val="gmail-s1"/>
        </w:rPr>
        <w:lastRenderedPageBreak/>
        <w:t>[…] about annual anniversaries’; indeed, some cultures use other cycles to mark significant moments, and it is simply social convention that ties us to the annual revolution.</w:t>
      </w:r>
      <w:r w:rsidR="00A9530E">
        <w:rPr>
          <w:rStyle w:val="EndnoteReference"/>
        </w:rPr>
        <w:endnoteReference w:id="10"/>
      </w:r>
      <w:r w:rsidR="00A9530E">
        <w:rPr>
          <w:rStyle w:val="gmail-s1"/>
        </w:rPr>
        <w:t xml:space="preserve"> </w:t>
      </w:r>
      <w:r w:rsidR="00566EB4">
        <w:rPr>
          <w:rStyle w:val="gmail-s1"/>
        </w:rPr>
        <w:t>H</w:t>
      </w:r>
      <w:r w:rsidR="009C41D3">
        <w:rPr>
          <w:rStyle w:val="gmail-s1"/>
        </w:rPr>
        <w:t>istorical studies</w:t>
      </w:r>
      <w:r w:rsidR="0099765A">
        <w:rPr>
          <w:rStyle w:val="gmail-s1"/>
        </w:rPr>
        <w:t xml:space="preserve"> </w:t>
      </w:r>
      <w:r w:rsidR="00F906D5">
        <w:rPr>
          <w:rStyle w:val="gmail-s1"/>
        </w:rPr>
        <w:t xml:space="preserve">of anniversaries thus </w:t>
      </w:r>
      <w:r w:rsidR="00566EB4">
        <w:rPr>
          <w:rStyle w:val="gmail-s1"/>
        </w:rPr>
        <w:t xml:space="preserve">foreground </w:t>
      </w:r>
      <w:r w:rsidR="0099765A">
        <w:rPr>
          <w:rStyle w:val="gmail-s1"/>
        </w:rPr>
        <w:t xml:space="preserve">two central notions: </w:t>
      </w:r>
      <w:r w:rsidR="00F906D5">
        <w:rPr>
          <w:rStyle w:val="gmail-s1"/>
        </w:rPr>
        <w:t xml:space="preserve">first, that </w:t>
      </w:r>
      <w:r w:rsidR="0099765A">
        <w:rPr>
          <w:rStyle w:val="gmail-s1"/>
        </w:rPr>
        <w:t>anniv</w:t>
      </w:r>
      <w:r w:rsidR="009D177E">
        <w:rPr>
          <w:rStyle w:val="gmail-s1"/>
        </w:rPr>
        <w:t>ersaries are highly constructed</w:t>
      </w:r>
      <w:r w:rsidR="0099765A">
        <w:rPr>
          <w:rStyle w:val="gmail-s1"/>
        </w:rPr>
        <w:t xml:space="preserve"> and </w:t>
      </w:r>
      <w:r w:rsidR="00F906D5">
        <w:rPr>
          <w:rStyle w:val="gmail-s1"/>
        </w:rPr>
        <w:t>second</w:t>
      </w:r>
      <w:r w:rsidR="009D177E">
        <w:rPr>
          <w:rStyle w:val="gmail-s1"/>
        </w:rPr>
        <w:t>,</w:t>
      </w:r>
      <w:r w:rsidR="00F906D5">
        <w:rPr>
          <w:rStyle w:val="gmail-s1"/>
        </w:rPr>
        <w:t xml:space="preserve"> that they </w:t>
      </w:r>
      <w:r w:rsidR="0099765A">
        <w:rPr>
          <w:rStyle w:val="gmail-s1"/>
        </w:rPr>
        <w:t xml:space="preserve">have become an organising principle in western society. </w:t>
      </w:r>
    </w:p>
    <w:p w14:paraId="7FC66136" w14:textId="471A2044" w:rsidR="00A9530E" w:rsidRDefault="00852DAB" w:rsidP="00005ED6">
      <w:pPr>
        <w:pStyle w:val="gmail-p1"/>
        <w:spacing w:before="0" w:beforeAutospacing="0" w:after="0" w:afterAutospacing="0" w:line="480" w:lineRule="auto"/>
        <w:jc w:val="both"/>
        <w:rPr>
          <w:rStyle w:val="gmail-s1"/>
        </w:rPr>
      </w:pPr>
      <w:r>
        <w:rPr>
          <w:rStyle w:val="gmail-s1"/>
        </w:rPr>
        <w:tab/>
        <w:t>As structural pillars around which the ‘</w:t>
      </w:r>
      <w:proofErr w:type="spellStart"/>
      <w:r>
        <w:rPr>
          <w:rStyle w:val="gmail-s1"/>
        </w:rPr>
        <w:t>sociomental</w:t>
      </w:r>
      <w:proofErr w:type="spellEnd"/>
      <w:r>
        <w:rPr>
          <w:rStyle w:val="gmail-s1"/>
        </w:rPr>
        <w:t xml:space="preserve"> topography of the past’ is organised,</w:t>
      </w:r>
      <w:r w:rsidR="00A9530E">
        <w:rPr>
          <w:rStyle w:val="EndnoteReference"/>
        </w:rPr>
        <w:endnoteReference w:id="11"/>
      </w:r>
      <w:r w:rsidR="00A9530E">
        <w:rPr>
          <w:rStyle w:val="gmail-s1"/>
        </w:rPr>
        <w:t xml:space="preserve"> it logically follows that anniversaries can be employed as powerful tools. As Schmidt claims, ‘[d]</w:t>
      </w:r>
      <w:proofErr w:type="spellStart"/>
      <w:r w:rsidR="00A9530E">
        <w:rPr>
          <w:rStyle w:val="gmail-s1"/>
        </w:rPr>
        <w:t>ie</w:t>
      </w:r>
      <w:proofErr w:type="spellEnd"/>
      <w:r w:rsidR="00A9530E">
        <w:rPr>
          <w:rStyle w:val="gmail-s1"/>
        </w:rPr>
        <w:t xml:space="preserve"> </w:t>
      </w:r>
      <w:proofErr w:type="spellStart"/>
      <w:r w:rsidR="00A9530E">
        <w:rPr>
          <w:rStyle w:val="gmail-s1"/>
        </w:rPr>
        <w:t>Geschichte</w:t>
      </w:r>
      <w:proofErr w:type="spellEnd"/>
      <w:r w:rsidR="00A9530E">
        <w:rPr>
          <w:rStyle w:val="gmail-s1"/>
        </w:rPr>
        <w:t xml:space="preserve"> des </w:t>
      </w:r>
      <w:proofErr w:type="spellStart"/>
      <w:r w:rsidR="00A9530E">
        <w:rPr>
          <w:rStyle w:val="gmail-s1"/>
        </w:rPr>
        <w:t>Kalenders</w:t>
      </w:r>
      <w:proofErr w:type="spellEnd"/>
      <w:r w:rsidR="00A9530E">
        <w:rPr>
          <w:rStyle w:val="gmail-s1"/>
        </w:rPr>
        <w:t xml:space="preserve"> </w:t>
      </w:r>
      <w:proofErr w:type="spellStart"/>
      <w:r w:rsidR="00A9530E">
        <w:rPr>
          <w:rStyle w:val="gmail-s1"/>
        </w:rPr>
        <w:t>ist</w:t>
      </w:r>
      <w:proofErr w:type="spellEnd"/>
      <w:r w:rsidR="00A9530E">
        <w:rPr>
          <w:rStyle w:val="gmail-s1"/>
        </w:rPr>
        <w:t xml:space="preserve"> </w:t>
      </w:r>
      <w:proofErr w:type="spellStart"/>
      <w:r w:rsidR="00A9530E">
        <w:rPr>
          <w:rStyle w:val="gmail-s1"/>
        </w:rPr>
        <w:t>eine</w:t>
      </w:r>
      <w:proofErr w:type="spellEnd"/>
      <w:r w:rsidR="00A9530E">
        <w:rPr>
          <w:rStyle w:val="gmail-s1"/>
        </w:rPr>
        <w:t xml:space="preserve"> </w:t>
      </w:r>
      <w:proofErr w:type="spellStart"/>
      <w:r w:rsidR="00A9530E">
        <w:rPr>
          <w:rStyle w:val="gmail-s1"/>
        </w:rPr>
        <w:t>Geschichte</w:t>
      </w:r>
      <w:proofErr w:type="spellEnd"/>
      <w:r w:rsidR="00A9530E">
        <w:rPr>
          <w:rStyle w:val="gmail-s1"/>
        </w:rPr>
        <w:t xml:space="preserve"> der </w:t>
      </w:r>
      <w:proofErr w:type="spellStart"/>
      <w:r w:rsidR="00A9530E">
        <w:rPr>
          <w:rStyle w:val="gmail-s1"/>
        </w:rPr>
        <w:t>Macht</w:t>
      </w:r>
      <w:proofErr w:type="spellEnd"/>
      <w:r w:rsidR="00A9530E">
        <w:rPr>
          <w:rStyle w:val="gmail-s1"/>
        </w:rPr>
        <w:t>’.</w:t>
      </w:r>
      <w:r w:rsidR="00A9530E">
        <w:rPr>
          <w:rStyle w:val="EndnoteReference"/>
        </w:rPr>
        <w:endnoteReference w:id="12"/>
      </w:r>
      <w:r w:rsidR="00A9530E">
        <w:rPr>
          <w:rStyle w:val="gmail-s1"/>
        </w:rPr>
        <w:t xml:space="preserve"> </w:t>
      </w:r>
      <w:r w:rsidR="00EA2F5B">
        <w:rPr>
          <w:rStyle w:val="gmail-s1"/>
        </w:rPr>
        <w:t>Traditionally this meant the legitimising of power through the memory of historic</w:t>
      </w:r>
      <w:r w:rsidR="005D4448">
        <w:rPr>
          <w:rStyle w:val="gmail-s1"/>
        </w:rPr>
        <w:t>al grandeur, milita</w:t>
      </w:r>
      <w:r w:rsidR="005663F0">
        <w:rPr>
          <w:rStyle w:val="gmail-s1"/>
        </w:rPr>
        <w:t xml:space="preserve">ry might or cultural dominance, and while the cause of anniversary celebration today is </w:t>
      </w:r>
      <w:r w:rsidR="00F906D5">
        <w:rPr>
          <w:rStyle w:val="gmail-s1"/>
        </w:rPr>
        <w:t xml:space="preserve">significantly </w:t>
      </w:r>
      <w:r w:rsidR="005663F0">
        <w:rPr>
          <w:rStyle w:val="gmail-s1"/>
        </w:rPr>
        <w:t xml:space="preserve">more diverse, it is </w:t>
      </w:r>
      <w:r w:rsidR="009D177E">
        <w:rPr>
          <w:rStyle w:val="gmail-s1"/>
        </w:rPr>
        <w:t xml:space="preserve">still </w:t>
      </w:r>
      <w:r w:rsidR="005663F0">
        <w:rPr>
          <w:rStyle w:val="gmail-s1"/>
        </w:rPr>
        <w:t>a</w:t>
      </w:r>
      <w:r w:rsidR="00F906D5">
        <w:rPr>
          <w:rStyle w:val="gmail-s1"/>
        </w:rPr>
        <w:t xml:space="preserve"> </w:t>
      </w:r>
      <w:r w:rsidR="005663F0">
        <w:rPr>
          <w:rStyle w:val="gmail-s1"/>
        </w:rPr>
        <w:t>device empl</w:t>
      </w:r>
      <w:r w:rsidR="00F906D5">
        <w:rPr>
          <w:rStyle w:val="gmail-s1"/>
        </w:rPr>
        <w:t xml:space="preserve">oyed in the service of nations and </w:t>
      </w:r>
      <w:r w:rsidR="005663F0">
        <w:rPr>
          <w:rStyle w:val="gmail-s1"/>
        </w:rPr>
        <w:t>states</w:t>
      </w:r>
      <w:r w:rsidR="00F906D5">
        <w:rPr>
          <w:rStyle w:val="gmail-s1"/>
        </w:rPr>
        <w:t>, as well as</w:t>
      </w:r>
      <w:r w:rsidR="00566EB4">
        <w:rPr>
          <w:rStyle w:val="gmail-s1"/>
        </w:rPr>
        <w:t xml:space="preserve"> related</w:t>
      </w:r>
      <w:r w:rsidR="00F906D5">
        <w:rPr>
          <w:rStyle w:val="gmail-s1"/>
        </w:rPr>
        <w:t xml:space="preserve"> political, cultural or religious organisations</w:t>
      </w:r>
      <w:r w:rsidR="005663F0">
        <w:rPr>
          <w:rStyle w:val="gmail-s1"/>
        </w:rPr>
        <w:t xml:space="preserve">. </w:t>
      </w:r>
      <w:r w:rsidR="00566EB4">
        <w:rPr>
          <w:rStyle w:val="gmail-s1"/>
        </w:rPr>
        <w:t>Yet we have experienced significant change</w:t>
      </w:r>
      <w:r w:rsidR="009D177E">
        <w:rPr>
          <w:rStyle w:val="gmail-s1"/>
        </w:rPr>
        <w:t xml:space="preserve"> in recent decades</w:t>
      </w:r>
      <w:r w:rsidR="00566EB4">
        <w:rPr>
          <w:rStyle w:val="gmail-s1"/>
        </w:rPr>
        <w:t xml:space="preserve">, and it is difficult to </w:t>
      </w:r>
      <w:r w:rsidR="009D177E">
        <w:rPr>
          <w:rStyle w:val="gmail-s1"/>
        </w:rPr>
        <w:t>support</w:t>
      </w:r>
      <w:r w:rsidR="00566EB4">
        <w:rPr>
          <w:rStyle w:val="gmail-s1"/>
        </w:rPr>
        <w:t xml:space="preserve"> </w:t>
      </w:r>
      <w:r w:rsidR="00F84D04">
        <w:rPr>
          <w:rStyle w:val="gmail-s1"/>
        </w:rPr>
        <w:t xml:space="preserve">William </w:t>
      </w:r>
      <w:r w:rsidR="00566EB4">
        <w:rPr>
          <w:rStyle w:val="gmail-s1"/>
        </w:rPr>
        <w:t xml:space="preserve">Johnston’s claim in 1991, for instance, </w:t>
      </w:r>
      <w:r w:rsidR="005663F0">
        <w:rPr>
          <w:rStyle w:val="gmail-s1"/>
        </w:rPr>
        <w:t xml:space="preserve">that </w:t>
      </w:r>
      <w:r w:rsidR="00605358">
        <w:rPr>
          <w:rStyle w:val="gmail-s1"/>
        </w:rPr>
        <w:t>anniversary commemorations</w:t>
      </w:r>
      <w:r w:rsidR="005663F0">
        <w:rPr>
          <w:rStyle w:val="gmail-s1"/>
        </w:rPr>
        <w:t xml:space="preserve"> </w:t>
      </w:r>
      <w:r w:rsidR="00605358">
        <w:rPr>
          <w:rStyle w:val="gmail-s1"/>
        </w:rPr>
        <w:t>provide ‘the most convenient and least controversial device to coordinate such identity-building endeavours’</w:t>
      </w:r>
      <w:r w:rsidR="00566EB4">
        <w:rPr>
          <w:rStyle w:val="gmail-s1"/>
        </w:rPr>
        <w:t>.</w:t>
      </w:r>
      <w:r w:rsidR="00A9530E">
        <w:rPr>
          <w:rStyle w:val="EndnoteReference"/>
        </w:rPr>
        <w:endnoteReference w:id="13"/>
      </w:r>
      <w:r w:rsidR="00A9530E">
        <w:rPr>
          <w:rStyle w:val="gmail-s1"/>
        </w:rPr>
        <w:t xml:space="preserve"> Recent years have cast an increasingly critical shadow on such activity and, as demonstrated in a number of the contributions in this </w:t>
      </w:r>
      <w:r w:rsidR="008E48CB">
        <w:rPr>
          <w:rStyle w:val="gmail-s1"/>
        </w:rPr>
        <w:t>special number</w:t>
      </w:r>
      <w:r w:rsidR="00A9530E">
        <w:rPr>
          <w:rStyle w:val="gmail-s1"/>
        </w:rPr>
        <w:t xml:space="preserve">, anniversaries have become fiercely contested social and political spaces. In this way, traditional ‘master narratives’ are often contested through counter-narratives, or re-appropriated by populist groups seeking to frame narratives for their own agenda. </w:t>
      </w:r>
      <w:r w:rsidR="009D177E">
        <w:rPr>
          <w:rStyle w:val="gmail-s1"/>
        </w:rPr>
        <w:t>In contrast, critics</w:t>
      </w:r>
      <w:r w:rsidR="00A9530E">
        <w:rPr>
          <w:rStyle w:val="gmail-s1"/>
        </w:rPr>
        <w:t xml:space="preserve"> view the commodification of identity through anniversaries as little more than gimmicky opportunism, with the ‘</w:t>
      </w:r>
      <w:proofErr w:type="spellStart"/>
      <w:r w:rsidR="00A9530E">
        <w:rPr>
          <w:rStyle w:val="gmail-s1"/>
        </w:rPr>
        <w:t>disneyfication</w:t>
      </w:r>
      <w:proofErr w:type="spellEnd"/>
      <w:r w:rsidR="00A9530E">
        <w:rPr>
          <w:rStyle w:val="gmail-s1"/>
        </w:rPr>
        <w:t xml:space="preserve">’ of history teaching us little about the meaning and relevance of past narratives. </w:t>
      </w:r>
    </w:p>
    <w:p w14:paraId="55D07E1C" w14:textId="167C2DD5" w:rsidR="00852DAB" w:rsidRPr="00F06626" w:rsidRDefault="00A9530E" w:rsidP="00005ED6">
      <w:pPr>
        <w:pStyle w:val="gmail-p1"/>
        <w:spacing w:before="0" w:beforeAutospacing="0" w:after="0" w:afterAutospacing="0" w:line="480" w:lineRule="auto"/>
        <w:ind w:firstLine="720"/>
        <w:jc w:val="both"/>
        <w:rPr>
          <w:rStyle w:val="gmail-s1"/>
        </w:rPr>
      </w:pPr>
      <w:r>
        <w:rPr>
          <w:rStyle w:val="gmail-s1"/>
        </w:rPr>
        <w:t xml:space="preserve">In many ways, it is the contested nature of anniversaries that raises their profile and potentially provokes deeper engagement with the past in question. Following </w:t>
      </w:r>
      <w:r>
        <w:rPr>
          <w:rStyle w:val="gmail-s1"/>
        </w:rPr>
        <w:lastRenderedPageBreak/>
        <w:t xml:space="preserve">Chantal </w:t>
      </w:r>
      <w:proofErr w:type="spellStart"/>
      <w:r>
        <w:rPr>
          <w:rStyle w:val="gmail-s1"/>
        </w:rPr>
        <w:t>Mouffe’s</w:t>
      </w:r>
      <w:proofErr w:type="spellEnd"/>
      <w:r>
        <w:rPr>
          <w:rStyle w:val="gmail-s1"/>
        </w:rPr>
        <w:t xml:space="preserve"> concept of ‘agonistic public spaces’, in which ‘the public space is the battleground where different hegemonic projects are confronted, without any possibility of final reconciliation’,</w:t>
      </w:r>
      <w:r>
        <w:rPr>
          <w:rStyle w:val="EndnoteReference"/>
        </w:rPr>
        <w:endnoteReference w:id="14"/>
      </w:r>
      <w:r>
        <w:rPr>
          <w:rStyle w:val="gmail-s1"/>
        </w:rPr>
        <w:t xml:space="preserve"> one could argue that an entirely uncontroversial anniversary today fails to expand the democratic arena. Indeed, as </w:t>
      </w:r>
      <w:r w:rsidRPr="00F06626">
        <w:t>Rosalyn Deutsche</w:t>
      </w:r>
      <w:r>
        <w:t xml:space="preserve"> states</w:t>
      </w:r>
      <w:r w:rsidRPr="00F06626">
        <w:t>, ‘conflict, far from the ruin of democratic public space, is the condition of its existence’.</w:t>
      </w:r>
      <w:r>
        <w:rPr>
          <w:rStyle w:val="EndnoteReference"/>
        </w:rPr>
        <w:endnoteReference w:id="15"/>
      </w:r>
      <w:r>
        <w:t xml:space="preserve"> </w:t>
      </w:r>
      <w:r w:rsidR="00D812CD">
        <w:t>As several articles in this collection demonstrate, the contemporary capital of anniversaries may, thus, lie prec</w:t>
      </w:r>
      <w:r w:rsidR="00F906D5">
        <w:t>isely in their contested nature</w:t>
      </w:r>
      <w:r w:rsidR="00D812CD">
        <w:t xml:space="preserve">.  </w:t>
      </w:r>
      <w:r w:rsidR="009C41D3">
        <w:t xml:space="preserve"> </w:t>
      </w:r>
    </w:p>
    <w:p w14:paraId="42D9701E" w14:textId="57DB32F8" w:rsidR="00A9530E" w:rsidRPr="001E7B2E" w:rsidRDefault="00A86B8B" w:rsidP="00005ED6">
      <w:pPr>
        <w:pStyle w:val="gmail-p1"/>
        <w:spacing w:before="0" w:beforeAutospacing="0" w:after="0" w:afterAutospacing="0" w:line="480" w:lineRule="auto"/>
        <w:jc w:val="both"/>
        <w:rPr>
          <w:rStyle w:val="gmail-s1"/>
        </w:rPr>
      </w:pPr>
      <w:r>
        <w:rPr>
          <w:rStyle w:val="gmail-s1"/>
        </w:rPr>
        <w:tab/>
        <w:t>Contemporary anniversaries are also shaped by the rapid technological advances of recent</w:t>
      </w:r>
      <w:r w:rsidR="00F906D5">
        <w:rPr>
          <w:rStyle w:val="gmail-s1"/>
        </w:rPr>
        <w:t xml:space="preserve"> times, which further complicate and diversify</w:t>
      </w:r>
      <w:r>
        <w:rPr>
          <w:rStyle w:val="gmail-s1"/>
        </w:rPr>
        <w:t xml:space="preserve"> narratives. </w:t>
      </w:r>
      <w:r w:rsidR="00566EB4">
        <w:rPr>
          <w:rStyle w:val="gmail-s1"/>
        </w:rPr>
        <w:t>I</w:t>
      </w:r>
      <w:r w:rsidR="001E7B2E">
        <w:rPr>
          <w:rStyle w:val="gmail-s1"/>
        </w:rPr>
        <w:t xml:space="preserve">n a </w:t>
      </w:r>
      <w:r w:rsidR="00A54521">
        <w:rPr>
          <w:rStyle w:val="gmail-s1"/>
        </w:rPr>
        <w:t>s</w:t>
      </w:r>
      <w:r w:rsidR="001E7B2E">
        <w:rPr>
          <w:rStyle w:val="gmail-s1"/>
        </w:rPr>
        <w:t xml:space="preserve">pecial </w:t>
      </w:r>
      <w:r w:rsidR="00A54521">
        <w:rPr>
          <w:rStyle w:val="gmail-s1"/>
        </w:rPr>
        <w:t>i</w:t>
      </w:r>
      <w:r w:rsidR="001E7B2E">
        <w:rPr>
          <w:rStyle w:val="gmail-s1"/>
        </w:rPr>
        <w:t xml:space="preserve">ssue of </w:t>
      </w:r>
      <w:r w:rsidR="001E7B2E">
        <w:rPr>
          <w:rStyle w:val="gmail-s1"/>
          <w:i/>
        </w:rPr>
        <w:t>War and Society</w:t>
      </w:r>
      <w:r w:rsidR="001E7B2E">
        <w:rPr>
          <w:rStyle w:val="gmail-s1"/>
        </w:rPr>
        <w:t xml:space="preserve"> focused on the centenary of the First World War,</w:t>
      </w:r>
      <w:r w:rsidR="00566EB4">
        <w:rPr>
          <w:rStyle w:val="gmail-s1"/>
        </w:rPr>
        <w:t xml:space="preserve"> for example,</w:t>
      </w:r>
      <w:r w:rsidR="001E7B2E">
        <w:rPr>
          <w:rStyle w:val="gmail-s1"/>
        </w:rPr>
        <w:t xml:space="preserve"> the editors highlight the emergence of democratisation and decentralisation as key themes across different remembering nations.</w:t>
      </w:r>
      <w:r w:rsidR="00A9530E">
        <w:rPr>
          <w:rStyle w:val="EndnoteReference"/>
        </w:rPr>
        <w:endnoteReference w:id="16"/>
      </w:r>
      <w:r w:rsidR="00A9530E">
        <w:rPr>
          <w:rStyle w:val="gmail-s1"/>
        </w:rPr>
        <w:t xml:space="preserve"> This has resulted from the growth of local and family histories, as well as the use of social media and the web for commemorative purposes; as Jay Winter states in his contribution with reference to the quantity of centenary activity, ‘the commemorative period since 2014 has been marked by the work of those who believe that small is beautiful’.</w:t>
      </w:r>
      <w:r w:rsidR="00A9530E">
        <w:rPr>
          <w:rStyle w:val="EndnoteReference"/>
        </w:rPr>
        <w:endnoteReference w:id="17"/>
      </w:r>
      <w:r w:rsidR="009D177E">
        <w:rPr>
          <w:rStyle w:val="gmail-s1"/>
        </w:rPr>
        <w:t xml:space="preserve"> Several contributions in the current </w:t>
      </w:r>
      <w:r w:rsidR="00A54521">
        <w:rPr>
          <w:rStyle w:val="gmail-s1"/>
        </w:rPr>
        <w:t>special number</w:t>
      </w:r>
      <w:r w:rsidR="00A9530E">
        <w:rPr>
          <w:rStyle w:val="gmail-s1"/>
        </w:rPr>
        <w:t xml:space="preserve"> also highlight the decentralisation of commemorative activity, in which diversity is promoted. This diversity may relate to physical locations, historical narratives, commemorative practices and forms, or indeed types of audiences. The oft-noted democratisation of memory has thus had a tangible impact on anniversary activity, which appears set to continue. However, as Winter reminds us, ‘commemoration is a very pliable art’; we cannot predict with any certainty how this will develop in generations to come.</w:t>
      </w:r>
      <w:r w:rsidR="00A9530E">
        <w:rPr>
          <w:rStyle w:val="EndnoteReference"/>
        </w:rPr>
        <w:endnoteReference w:id="18"/>
      </w:r>
      <w:r w:rsidR="00A9530E">
        <w:rPr>
          <w:rStyle w:val="gmail-s1"/>
        </w:rPr>
        <w:t xml:space="preserve">   </w:t>
      </w:r>
    </w:p>
    <w:p w14:paraId="3E06AD25" w14:textId="33FB846C" w:rsidR="00F906D5" w:rsidRDefault="00A9530E" w:rsidP="00005ED6">
      <w:pPr>
        <w:pStyle w:val="gmail-p1"/>
        <w:spacing w:before="0" w:beforeAutospacing="0" w:after="0" w:afterAutospacing="0" w:line="480" w:lineRule="auto"/>
        <w:ind w:firstLine="720"/>
        <w:jc w:val="both"/>
        <w:rPr>
          <w:rStyle w:val="gmail-s1"/>
        </w:rPr>
      </w:pPr>
      <w:r>
        <w:rPr>
          <w:rStyle w:val="gmail-s1"/>
        </w:rPr>
        <w:t xml:space="preserve">Although the future cannot be predicted, the contributions in this </w:t>
      </w:r>
      <w:r w:rsidR="00E920B0">
        <w:rPr>
          <w:rStyle w:val="gmail-s1"/>
        </w:rPr>
        <w:t>special number</w:t>
      </w:r>
      <w:r>
        <w:rPr>
          <w:rStyle w:val="gmail-s1"/>
        </w:rPr>
        <w:t xml:space="preserve"> all point towards ways in which past and present </w:t>
      </w:r>
      <w:r w:rsidR="00E920B0">
        <w:rPr>
          <w:rStyle w:val="gmail-s1"/>
        </w:rPr>
        <w:t>anniversary</w:t>
      </w:r>
      <w:r>
        <w:rPr>
          <w:rStyle w:val="gmail-s1"/>
        </w:rPr>
        <w:t xml:space="preserve"> practices contribute to </w:t>
      </w:r>
      <w:r>
        <w:rPr>
          <w:rStyle w:val="gmail-s1"/>
        </w:rPr>
        <w:lastRenderedPageBreak/>
        <w:t>shaping those of the future. Building on Jeffrey Olick’s notion of ‘genre memory’, which highlights that ‘commemorative processes […] are always fundamentally dialogical’ and exist in part as path-dependent products of earlier commemorations,</w:t>
      </w:r>
      <w:r>
        <w:rPr>
          <w:rStyle w:val="EndnoteReference"/>
        </w:rPr>
        <w:endnoteReference w:id="19"/>
      </w:r>
      <w:r>
        <w:rPr>
          <w:rStyle w:val="gmail-s1"/>
        </w:rPr>
        <w:t xml:space="preserve"> </w:t>
      </w:r>
      <w:r w:rsidR="00C55FD3">
        <w:rPr>
          <w:rStyle w:val="gmail-s1"/>
        </w:rPr>
        <w:t>they show how t</w:t>
      </w:r>
      <w:r w:rsidR="0078444C">
        <w:rPr>
          <w:rStyle w:val="gmail-s1"/>
        </w:rPr>
        <w:t xml:space="preserve">he passage of time leads to new and different layers in </w:t>
      </w:r>
      <w:r w:rsidR="00D64F84">
        <w:rPr>
          <w:rStyle w:val="gmail-s1"/>
        </w:rPr>
        <w:t>a complex palimpsest of intersecting practices</w:t>
      </w:r>
      <w:r w:rsidR="00C55FD3">
        <w:rPr>
          <w:rStyle w:val="gmail-s1"/>
        </w:rPr>
        <w:t>.</w:t>
      </w:r>
      <w:r w:rsidR="00D64F84">
        <w:rPr>
          <w:rStyle w:val="gmail-s1"/>
        </w:rPr>
        <w:t xml:space="preserve"> </w:t>
      </w:r>
      <w:r w:rsidR="00C55FD3">
        <w:rPr>
          <w:rStyle w:val="gmail-s1"/>
        </w:rPr>
        <w:t xml:space="preserve">As the constantly evolving narratives attached to anniversaries </w:t>
      </w:r>
      <w:r w:rsidR="00B67CDE">
        <w:rPr>
          <w:rStyle w:val="gmail-s1"/>
        </w:rPr>
        <w:t>confirm, contest, modify or repurpose</w:t>
      </w:r>
      <w:r w:rsidR="00C55FD3">
        <w:rPr>
          <w:rStyle w:val="gmail-s1"/>
        </w:rPr>
        <w:t xml:space="preserve"> past </w:t>
      </w:r>
      <w:r w:rsidR="00B67CDE">
        <w:rPr>
          <w:rStyle w:val="gmail-s1"/>
        </w:rPr>
        <w:t>iterations</w:t>
      </w:r>
      <w:r w:rsidR="00C55FD3">
        <w:rPr>
          <w:rStyle w:val="gmail-s1"/>
        </w:rPr>
        <w:t xml:space="preserve">, they also pre-empt </w:t>
      </w:r>
      <w:r w:rsidR="00B67CDE">
        <w:rPr>
          <w:rStyle w:val="gmail-s1"/>
        </w:rPr>
        <w:t xml:space="preserve">and influence future narratives. </w:t>
      </w:r>
      <w:r w:rsidR="00F906D5">
        <w:rPr>
          <w:rStyle w:val="gmail-s1"/>
        </w:rPr>
        <w:t>I</w:t>
      </w:r>
      <w:r w:rsidR="00303CE7">
        <w:rPr>
          <w:rStyle w:val="gmail-s1"/>
        </w:rPr>
        <w:t xml:space="preserve">n the context of </w:t>
      </w:r>
      <w:r w:rsidR="00F906D5">
        <w:rPr>
          <w:rStyle w:val="gmail-s1"/>
        </w:rPr>
        <w:t>contemporary</w:t>
      </w:r>
      <w:r w:rsidR="00303CE7">
        <w:rPr>
          <w:rStyle w:val="gmail-s1"/>
        </w:rPr>
        <w:t xml:space="preserve"> </w:t>
      </w:r>
      <w:r w:rsidR="00F906D5">
        <w:rPr>
          <w:rStyle w:val="gmail-s1"/>
        </w:rPr>
        <w:t xml:space="preserve">right-wing </w:t>
      </w:r>
      <w:r w:rsidR="00303CE7">
        <w:rPr>
          <w:rStyle w:val="gmail-s1"/>
        </w:rPr>
        <w:t xml:space="preserve">populism, </w:t>
      </w:r>
      <w:r w:rsidR="00566EB4">
        <w:rPr>
          <w:rStyle w:val="gmail-s1"/>
        </w:rPr>
        <w:t xml:space="preserve">for instance, </w:t>
      </w:r>
      <w:r w:rsidR="00303CE7">
        <w:rPr>
          <w:rStyle w:val="gmail-s1"/>
        </w:rPr>
        <w:t>Hilary Potter’s contribution</w:t>
      </w:r>
      <w:r w:rsidR="006F530E">
        <w:rPr>
          <w:rStyle w:val="gmail-s1"/>
        </w:rPr>
        <w:t xml:space="preserve"> </w:t>
      </w:r>
      <w:r w:rsidR="00F906D5">
        <w:rPr>
          <w:rStyle w:val="gmail-s1"/>
        </w:rPr>
        <w:t xml:space="preserve">in this </w:t>
      </w:r>
      <w:r w:rsidR="00E920B0">
        <w:rPr>
          <w:rStyle w:val="gmail-s1"/>
        </w:rPr>
        <w:t>special number</w:t>
      </w:r>
      <w:r w:rsidR="00F906D5">
        <w:rPr>
          <w:rStyle w:val="gmail-s1"/>
        </w:rPr>
        <w:t xml:space="preserve"> </w:t>
      </w:r>
      <w:r w:rsidR="006F530E">
        <w:rPr>
          <w:rStyle w:val="gmail-s1"/>
        </w:rPr>
        <w:t>address</w:t>
      </w:r>
      <w:r w:rsidR="00303CE7">
        <w:rPr>
          <w:rStyle w:val="gmail-s1"/>
        </w:rPr>
        <w:t>es</w:t>
      </w:r>
      <w:r w:rsidR="006F530E">
        <w:rPr>
          <w:rStyle w:val="gmail-s1"/>
        </w:rPr>
        <w:t xml:space="preserve"> the notion of </w:t>
      </w:r>
      <w:r w:rsidR="006F530E" w:rsidRPr="00303CE7">
        <w:rPr>
          <w:rStyle w:val="gmail-s1"/>
        </w:rPr>
        <w:t xml:space="preserve">‘future </w:t>
      </w:r>
      <w:r w:rsidR="00303CE7">
        <w:rPr>
          <w:rStyle w:val="gmail-s1"/>
        </w:rPr>
        <w:t>foreboding’ through the appropriation of memories of Weimar Germany and National Socialism</w:t>
      </w:r>
      <w:r w:rsidR="00566EB4">
        <w:rPr>
          <w:rStyle w:val="gmail-s1"/>
        </w:rPr>
        <w:t xml:space="preserve"> in</w:t>
      </w:r>
      <w:r w:rsidR="00F906D5">
        <w:rPr>
          <w:rStyle w:val="gmail-s1"/>
        </w:rPr>
        <w:t xml:space="preserve"> commemorative speeches </w:t>
      </w:r>
      <w:r w:rsidR="00566EB4">
        <w:rPr>
          <w:rStyle w:val="gmail-s1"/>
        </w:rPr>
        <w:t>marking</w:t>
      </w:r>
      <w:r w:rsidR="00F906D5">
        <w:rPr>
          <w:rStyle w:val="gmail-s1"/>
        </w:rPr>
        <w:t xml:space="preserve"> the </w:t>
      </w:r>
      <w:proofErr w:type="spellStart"/>
      <w:r w:rsidR="00F906D5">
        <w:rPr>
          <w:rStyle w:val="gmail-s1"/>
        </w:rPr>
        <w:t>Rosenstraße</w:t>
      </w:r>
      <w:proofErr w:type="spellEnd"/>
      <w:r w:rsidR="00F906D5">
        <w:rPr>
          <w:rStyle w:val="gmail-s1"/>
        </w:rPr>
        <w:t xml:space="preserve"> protest of 1943</w:t>
      </w:r>
      <w:r w:rsidR="00566EB4">
        <w:rPr>
          <w:rStyle w:val="gmail-s1"/>
        </w:rPr>
        <w:t>.</w:t>
      </w:r>
      <w:r w:rsidR="00F906D5">
        <w:rPr>
          <w:rStyle w:val="gmail-s1"/>
        </w:rPr>
        <w:t xml:space="preserve"> </w:t>
      </w:r>
      <w:r w:rsidR="00566EB4">
        <w:rPr>
          <w:rStyle w:val="gmail-s1"/>
        </w:rPr>
        <w:t xml:space="preserve">As she argues, the populist right has been shaping memory culture for a number of years in Germany, yet this has often gone unrecognised, thus presenting an unseen danger in contemporary times. </w:t>
      </w:r>
      <w:r w:rsidR="00F906D5">
        <w:rPr>
          <w:rStyle w:val="gmail-s1"/>
        </w:rPr>
        <w:t xml:space="preserve">In contrast, Catherine </w:t>
      </w:r>
      <w:proofErr w:type="spellStart"/>
      <w:r w:rsidR="00F906D5">
        <w:rPr>
          <w:rStyle w:val="gmail-s1"/>
        </w:rPr>
        <w:t>Smale’s</w:t>
      </w:r>
      <w:proofErr w:type="spellEnd"/>
      <w:r w:rsidR="00F906D5">
        <w:rPr>
          <w:rStyle w:val="gmail-s1"/>
        </w:rPr>
        <w:t xml:space="preserve"> reading of Berta </w:t>
      </w:r>
      <w:proofErr w:type="spellStart"/>
      <w:r w:rsidR="00F906D5">
        <w:rPr>
          <w:rStyle w:val="gmail-s1"/>
        </w:rPr>
        <w:t>Lask’s</w:t>
      </w:r>
      <w:proofErr w:type="spellEnd"/>
      <w:r w:rsidR="00F906D5">
        <w:rPr>
          <w:rStyle w:val="gmail-s1"/>
        </w:rPr>
        <w:t xml:space="preserve"> 1925 drama </w:t>
      </w:r>
      <w:r w:rsidR="00F906D5">
        <w:rPr>
          <w:rStyle w:val="gmail-s1"/>
          <w:i/>
        </w:rPr>
        <w:t xml:space="preserve">Thomas </w:t>
      </w:r>
      <w:proofErr w:type="spellStart"/>
      <w:r w:rsidR="00F906D5">
        <w:rPr>
          <w:rStyle w:val="gmail-s1"/>
          <w:i/>
        </w:rPr>
        <w:t>Münzer</w:t>
      </w:r>
      <w:proofErr w:type="spellEnd"/>
      <w:r w:rsidR="00F906D5">
        <w:rPr>
          <w:rStyle w:val="gmail-s1"/>
        </w:rPr>
        <w:t xml:space="preserve"> (staged as part of the 400</w:t>
      </w:r>
      <w:r w:rsidR="00F906D5" w:rsidRPr="00F906D5">
        <w:rPr>
          <w:rStyle w:val="gmail-s1"/>
          <w:vertAlign w:val="superscript"/>
        </w:rPr>
        <w:t>th</w:t>
      </w:r>
      <w:r w:rsidR="002D6865">
        <w:rPr>
          <w:rStyle w:val="gmail-s1"/>
        </w:rPr>
        <w:t xml:space="preserve"> anniversary of the German Peasants’ War</w:t>
      </w:r>
      <w:r w:rsidR="00F906D5">
        <w:rPr>
          <w:rStyle w:val="gmail-s1"/>
        </w:rPr>
        <w:t xml:space="preserve">) shows how the latent revolutionary potential of the </w:t>
      </w:r>
      <w:r w:rsidR="002D6865">
        <w:rPr>
          <w:rStyle w:val="gmail-s1"/>
        </w:rPr>
        <w:t>Peasants’ War</w:t>
      </w:r>
      <w:r w:rsidR="00F906D5">
        <w:rPr>
          <w:rStyle w:val="gmail-s1"/>
        </w:rPr>
        <w:t xml:space="preserve"> was called on in the 1920s</w:t>
      </w:r>
      <w:r w:rsidR="00566EB4">
        <w:rPr>
          <w:rStyle w:val="gmail-s1"/>
        </w:rPr>
        <w:t xml:space="preserve"> to </w:t>
      </w:r>
      <w:r w:rsidR="002D6865">
        <w:rPr>
          <w:rStyle w:val="gmail-s1"/>
        </w:rPr>
        <w:t>construct a vision of revolutionary heritage and thus political legitimacy for</w:t>
      </w:r>
      <w:r w:rsidR="00566EB4">
        <w:rPr>
          <w:rStyle w:val="gmail-s1"/>
        </w:rPr>
        <w:t xml:space="preserve"> the KPD. </w:t>
      </w:r>
      <w:proofErr w:type="spellStart"/>
      <w:r w:rsidR="00566EB4">
        <w:rPr>
          <w:rStyle w:val="gmail-s1"/>
        </w:rPr>
        <w:t>Lask</w:t>
      </w:r>
      <w:proofErr w:type="spellEnd"/>
      <w:r w:rsidR="00566EB4">
        <w:rPr>
          <w:rStyle w:val="gmail-s1"/>
        </w:rPr>
        <w:t xml:space="preserve"> did so, however, by exposing the failures of the </w:t>
      </w:r>
      <w:r w:rsidR="002D6865">
        <w:rPr>
          <w:rStyle w:val="gmail-s1"/>
        </w:rPr>
        <w:t>Peasants’ War</w:t>
      </w:r>
      <w:r w:rsidR="00566EB4">
        <w:rPr>
          <w:rStyle w:val="gmail-s1"/>
        </w:rPr>
        <w:t xml:space="preserve"> in order to foreground the shortcomings of present and future revolutionary activity. In both cases, we </w:t>
      </w:r>
      <w:r w:rsidR="009D177E">
        <w:rPr>
          <w:rStyle w:val="gmail-s1"/>
        </w:rPr>
        <w:t xml:space="preserve">thus </w:t>
      </w:r>
      <w:r w:rsidR="00566EB4">
        <w:rPr>
          <w:rStyle w:val="gmail-s1"/>
        </w:rPr>
        <w:t>se</w:t>
      </w:r>
      <w:r w:rsidR="009D177E">
        <w:rPr>
          <w:rStyle w:val="gmail-s1"/>
        </w:rPr>
        <w:t>e</w:t>
      </w:r>
      <w:r w:rsidR="00566EB4">
        <w:rPr>
          <w:rStyle w:val="gmail-s1"/>
        </w:rPr>
        <w:t xml:space="preserve"> how anniversaries can be strategically employed to influence future political narratives. </w:t>
      </w:r>
    </w:p>
    <w:p w14:paraId="23450E83" w14:textId="14DF6F70" w:rsidR="00125722" w:rsidRDefault="00B67CDE" w:rsidP="00005ED6">
      <w:pPr>
        <w:pStyle w:val="gmail-p1"/>
        <w:spacing w:before="0" w:beforeAutospacing="0" w:after="0" w:afterAutospacing="0" w:line="480" w:lineRule="auto"/>
        <w:ind w:firstLine="720"/>
        <w:jc w:val="both"/>
        <w:rPr>
          <w:rStyle w:val="gmail-s1"/>
        </w:rPr>
      </w:pPr>
      <w:r>
        <w:rPr>
          <w:rStyle w:val="gmail-s1"/>
        </w:rPr>
        <w:t xml:space="preserve">Given the increasingly multi-vocal landscape in which </w:t>
      </w:r>
      <w:r w:rsidR="00566EB4">
        <w:rPr>
          <w:rStyle w:val="gmail-s1"/>
        </w:rPr>
        <w:t>anniversary activity</w:t>
      </w:r>
      <w:r>
        <w:rPr>
          <w:rStyle w:val="gmail-s1"/>
        </w:rPr>
        <w:t xml:space="preserve"> is now taking place, </w:t>
      </w:r>
      <w:r w:rsidR="00184960">
        <w:rPr>
          <w:rStyle w:val="gmail-s1"/>
        </w:rPr>
        <w:t>complex negotia</w:t>
      </w:r>
      <w:r w:rsidR="00EF1940">
        <w:rPr>
          <w:rStyle w:val="gmail-s1"/>
        </w:rPr>
        <w:t xml:space="preserve">tions between multiple agents, </w:t>
      </w:r>
      <w:r w:rsidR="00DB2F1A">
        <w:rPr>
          <w:rStyle w:val="gmail-s1"/>
        </w:rPr>
        <w:t xml:space="preserve">instances of counter-commemoration </w:t>
      </w:r>
      <w:r w:rsidR="00844B84">
        <w:rPr>
          <w:rStyle w:val="gmail-s1"/>
        </w:rPr>
        <w:t xml:space="preserve">and the re-appropriation of forgotten memories become increasingly common. Such interventions may challenge notions of the ‘canon’ and ‘archive’ in commemorative terms, with some dates </w:t>
      </w:r>
      <w:r w:rsidR="00FA4A00">
        <w:rPr>
          <w:rStyle w:val="gmail-s1"/>
        </w:rPr>
        <w:t>or figures emerging from the shadows</w:t>
      </w:r>
      <w:r w:rsidR="0090384B">
        <w:rPr>
          <w:rStyle w:val="gmail-s1"/>
        </w:rPr>
        <w:t xml:space="preserve">, while </w:t>
      </w:r>
      <w:r w:rsidR="0090384B">
        <w:rPr>
          <w:rStyle w:val="gmail-s1"/>
        </w:rPr>
        <w:lastRenderedPageBreak/>
        <w:t xml:space="preserve">others </w:t>
      </w:r>
      <w:r w:rsidR="009D177E">
        <w:rPr>
          <w:rStyle w:val="gmail-s1"/>
        </w:rPr>
        <w:t xml:space="preserve">disappear or </w:t>
      </w:r>
      <w:r w:rsidR="0090384B">
        <w:rPr>
          <w:rStyle w:val="gmail-s1"/>
        </w:rPr>
        <w:t>remain ‘archived’ for possible future excavation</w:t>
      </w:r>
      <w:r w:rsidR="00FA4A00">
        <w:rPr>
          <w:rStyle w:val="gmail-s1"/>
        </w:rPr>
        <w:t>.</w:t>
      </w:r>
      <w:r w:rsidR="00566EB4">
        <w:rPr>
          <w:rStyle w:val="gmail-s1"/>
        </w:rPr>
        <w:t xml:space="preserve"> This is particularly apparent in two contributions in this </w:t>
      </w:r>
      <w:r w:rsidR="00E920B0">
        <w:rPr>
          <w:rStyle w:val="gmail-s1"/>
        </w:rPr>
        <w:t>special number</w:t>
      </w:r>
      <w:r w:rsidR="00566EB4">
        <w:rPr>
          <w:rStyle w:val="gmail-s1"/>
        </w:rPr>
        <w:t xml:space="preserve">. First, </w:t>
      </w:r>
      <w:r w:rsidR="00FA4A00">
        <w:rPr>
          <w:rStyle w:val="gmail-s1"/>
        </w:rPr>
        <w:t xml:space="preserve">David Zell shows </w:t>
      </w:r>
      <w:r w:rsidR="00566EB4">
        <w:rPr>
          <w:rStyle w:val="gmail-s1"/>
        </w:rPr>
        <w:t>how</w:t>
      </w:r>
      <w:r w:rsidR="00FA4A00">
        <w:rPr>
          <w:rStyle w:val="gmail-s1"/>
        </w:rPr>
        <w:t xml:space="preserve"> the </w:t>
      </w:r>
      <w:r w:rsidR="0090384B">
        <w:rPr>
          <w:rStyle w:val="gmail-s1"/>
        </w:rPr>
        <w:t xml:space="preserve">figure of </w:t>
      </w:r>
      <w:r w:rsidR="008E48CB">
        <w:rPr>
          <w:rStyle w:val="gmail-s1"/>
        </w:rPr>
        <w:t xml:space="preserve">artist </w:t>
      </w:r>
      <w:proofErr w:type="spellStart"/>
      <w:r w:rsidR="0090384B">
        <w:rPr>
          <w:rStyle w:val="gmail-s1"/>
        </w:rPr>
        <w:t>Käthe</w:t>
      </w:r>
      <w:proofErr w:type="spellEnd"/>
      <w:r w:rsidR="0090384B">
        <w:rPr>
          <w:rStyle w:val="gmail-s1"/>
        </w:rPr>
        <w:t xml:space="preserve"> Kollwitz was variously used in the GDR to suit the political trajectory of the state, at times overlooking some </w:t>
      </w:r>
      <w:r w:rsidR="009D177E">
        <w:rPr>
          <w:rStyle w:val="gmail-s1"/>
        </w:rPr>
        <w:t xml:space="preserve">significant </w:t>
      </w:r>
      <w:r w:rsidR="0090384B">
        <w:rPr>
          <w:rStyle w:val="gmail-s1"/>
        </w:rPr>
        <w:t>elements of her life and work</w:t>
      </w:r>
      <w:r w:rsidR="00FA4A00">
        <w:rPr>
          <w:rStyle w:val="gmail-s1"/>
        </w:rPr>
        <w:t xml:space="preserve">. </w:t>
      </w:r>
      <w:r w:rsidR="00F906D5">
        <w:rPr>
          <w:rStyle w:val="gmail-s1"/>
        </w:rPr>
        <w:t>While she became a much-lauded figure in the GDR,</w:t>
      </w:r>
      <w:r w:rsidR="00566EB4">
        <w:rPr>
          <w:rStyle w:val="gmail-s1"/>
        </w:rPr>
        <w:t xml:space="preserve"> adopting the role of ‘</w:t>
      </w:r>
      <w:proofErr w:type="spellStart"/>
      <w:r w:rsidR="00566EB4">
        <w:rPr>
          <w:rStyle w:val="gmail-s1"/>
        </w:rPr>
        <w:t>Kämpferin</w:t>
      </w:r>
      <w:proofErr w:type="spellEnd"/>
      <w:r w:rsidR="00566EB4">
        <w:rPr>
          <w:rStyle w:val="gmail-s1"/>
        </w:rPr>
        <w:t xml:space="preserve"> </w:t>
      </w:r>
      <w:proofErr w:type="spellStart"/>
      <w:r w:rsidR="00566EB4">
        <w:rPr>
          <w:rStyle w:val="gmail-s1"/>
        </w:rPr>
        <w:t>für</w:t>
      </w:r>
      <w:proofErr w:type="spellEnd"/>
      <w:r w:rsidR="00566EB4">
        <w:rPr>
          <w:rStyle w:val="gmail-s1"/>
        </w:rPr>
        <w:t xml:space="preserve"> das Proletariat’,</w:t>
      </w:r>
      <w:r w:rsidR="00F906D5">
        <w:rPr>
          <w:rStyle w:val="gmail-s1"/>
        </w:rPr>
        <w:t xml:space="preserve"> it is </w:t>
      </w:r>
      <w:r w:rsidR="00566EB4">
        <w:rPr>
          <w:rStyle w:val="gmail-s1"/>
        </w:rPr>
        <w:t>notable</w:t>
      </w:r>
      <w:r w:rsidR="00F906D5">
        <w:rPr>
          <w:rStyle w:val="gmail-s1"/>
        </w:rPr>
        <w:t xml:space="preserve"> that she was </w:t>
      </w:r>
      <w:r w:rsidR="00566EB4">
        <w:rPr>
          <w:rStyle w:val="gmail-s1"/>
        </w:rPr>
        <w:t>targeted</w:t>
      </w:r>
      <w:r w:rsidR="00F906D5">
        <w:rPr>
          <w:rStyle w:val="gmail-s1"/>
        </w:rPr>
        <w:t xml:space="preserve"> </w:t>
      </w:r>
      <w:r w:rsidR="00566EB4">
        <w:rPr>
          <w:rStyle w:val="gmail-s1"/>
        </w:rPr>
        <w:t xml:space="preserve">by an official campaign in </w:t>
      </w:r>
      <w:r w:rsidR="00566EB4" w:rsidRPr="00566EB4">
        <w:rPr>
          <w:rStyle w:val="gmail-s1"/>
        </w:rPr>
        <w:t xml:space="preserve">1951 that </w:t>
      </w:r>
      <w:r w:rsidR="00566EB4">
        <w:rPr>
          <w:rStyle w:val="gmail-s1"/>
        </w:rPr>
        <w:t>sought to counter formalism in art and literature</w:t>
      </w:r>
      <w:r w:rsidR="009D177E">
        <w:rPr>
          <w:rStyle w:val="gmail-s1"/>
        </w:rPr>
        <w:t xml:space="preserve"> – and was thus initially excluded from the ‘canon’</w:t>
      </w:r>
      <w:r w:rsidR="00566EB4">
        <w:rPr>
          <w:rStyle w:val="gmail-s1"/>
        </w:rPr>
        <w:t>. Second,</w:t>
      </w:r>
      <w:r w:rsidR="00F906D5">
        <w:rPr>
          <w:rStyle w:val="gmail-s1"/>
        </w:rPr>
        <w:t xml:space="preserve"> Richard Millington</w:t>
      </w:r>
      <w:r w:rsidR="0066357D">
        <w:rPr>
          <w:rStyle w:val="gmail-s1"/>
        </w:rPr>
        <w:t xml:space="preserve"> demonstrates how commemoration of the uprisings of 17 June 1953 ha</w:t>
      </w:r>
      <w:r w:rsidR="00585313">
        <w:rPr>
          <w:rStyle w:val="gmail-s1"/>
        </w:rPr>
        <w:t>s</w:t>
      </w:r>
      <w:r w:rsidR="0066357D">
        <w:rPr>
          <w:rStyle w:val="gmail-s1"/>
        </w:rPr>
        <w:t xml:space="preserve"> moved in and out of favour during the history of West Germany and in post-unification years, depending on the political exigencies of the time and the parties in power. </w:t>
      </w:r>
      <w:r w:rsidR="00566EB4">
        <w:rPr>
          <w:rStyle w:val="gmail-s1"/>
        </w:rPr>
        <w:t>Significantly in recent years, however, he shows how the technology-led ubiquity of the media has drive</w:t>
      </w:r>
      <w:r w:rsidR="00CB6989">
        <w:rPr>
          <w:rStyle w:val="gmail-s1"/>
        </w:rPr>
        <w:t>n</w:t>
      </w:r>
      <w:r w:rsidR="00566EB4">
        <w:rPr>
          <w:rStyle w:val="gmail-s1"/>
        </w:rPr>
        <w:t xml:space="preserve"> narratives and commemorations of 17 June. </w:t>
      </w:r>
      <w:r w:rsidR="0066357D">
        <w:rPr>
          <w:rStyle w:val="gmail-s1"/>
        </w:rPr>
        <w:t xml:space="preserve">As both these articles highlight, anniversary </w:t>
      </w:r>
      <w:r w:rsidR="008E48CB">
        <w:rPr>
          <w:rStyle w:val="gmail-s1"/>
        </w:rPr>
        <w:t>practices</w:t>
      </w:r>
      <w:r w:rsidR="0066357D">
        <w:rPr>
          <w:rStyle w:val="gmail-s1"/>
        </w:rPr>
        <w:t xml:space="preserve"> </w:t>
      </w:r>
      <w:r w:rsidR="008E48CB">
        <w:rPr>
          <w:rStyle w:val="gmail-s1"/>
        </w:rPr>
        <w:t>are</w:t>
      </w:r>
      <w:r w:rsidR="0066357D">
        <w:rPr>
          <w:rStyle w:val="gmail-s1"/>
        </w:rPr>
        <w:t xml:space="preserve"> shaped by the needs of the present; past moments may offer convenient messages, but also uncomfortable truths, leading to their suppression or celebration at different moments in time. </w:t>
      </w:r>
      <w:r w:rsidR="00CB6989">
        <w:rPr>
          <w:rStyle w:val="gmail-s1"/>
        </w:rPr>
        <w:t>Just as anniversaries are cyclical, so too may be their subjects.</w:t>
      </w:r>
    </w:p>
    <w:p w14:paraId="405F737B" w14:textId="4F72C28D" w:rsidR="00DE25FB" w:rsidRDefault="00FA4A00" w:rsidP="00005ED6">
      <w:pPr>
        <w:pStyle w:val="gmail-p1"/>
        <w:spacing w:before="0" w:beforeAutospacing="0" w:after="0" w:afterAutospacing="0" w:line="480" w:lineRule="auto"/>
        <w:jc w:val="both"/>
        <w:rPr>
          <w:rStyle w:val="gmail-s1"/>
        </w:rPr>
      </w:pPr>
      <w:r>
        <w:rPr>
          <w:rStyle w:val="gmail-s1"/>
        </w:rPr>
        <w:tab/>
      </w:r>
      <w:r w:rsidR="00566EB4">
        <w:rPr>
          <w:rStyle w:val="gmail-s1"/>
        </w:rPr>
        <w:t>Another significant theme</w:t>
      </w:r>
      <w:r>
        <w:rPr>
          <w:rStyle w:val="gmail-s1"/>
        </w:rPr>
        <w:t xml:space="preserve"> to emerge in this </w:t>
      </w:r>
      <w:r w:rsidR="00E920B0">
        <w:rPr>
          <w:rStyle w:val="gmail-s1"/>
        </w:rPr>
        <w:t>special number</w:t>
      </w:r>
      <w:r>
        <w:rPr>
          <w:rStyle w:val="gmail-s1"/>
        </w:rPr>
        <w:t xml:space="preserve"> relate</w:t>
      </w:r>
      <w:r w:rsidR="00566EB4">
        <w:rPr>
          <w:rStyle w:val="gmail-s1"/>
        </w:rPr>
        <w:t>s</w:t>
      </w:r>
      <w:r>
        <w:rPr>
          <w:rStyle w:val="gmail-s1"/>
        </w:rPr>
        <w:t xml:space="preserve"> to the </w:t>
      </w:r>
      <w:r w:rsidR="00566EB4">
        <w:rPr>
          <w:rStyle w:val="gmail-s1"/>
        </w:rPr>
        <w:t>capital</w:t>
      </w:r>
      <w:r w:rsidR="0090384B">
        <w:rPr>
          <w:rStyle w:val="gmail-s1"/>
        </w:rPr>
        <w:t xml:space="preserve"> of place</w:t>
      </w:r>
      <w:r w:rsidR="00566EB4">
        <w:rPr>
          <w:rStyle w:val="gmail-s1"/>
        </w:rPr>
        <w:t>-based memories in anniversary activity</w:t>
      </w:r>
      <w:r w:rsidR="0090384B">
        <w:rPr>
          <w:rStyle w:val="gmail-s1"/>
        </w:rPr>
        <w:t xml:space="preserve">. </w:t>
      </w:r>
      <w:r w:rsidR="00CF33A5">
        <w:rPr>
          <w:rStyle w:val="gmail-s1"/>
        </w:rPr>
        <w:t xml:space="preserve">While the digital age offers multiple opportunities to remember past events and personalities via online platforms, social media, virtual worlds and even holograms, it seems that the rootedness and tangibility of place remains a constant in many anniversary events. Not only this, but place </w:t>
      </w:r>
      <w:r w:rsidR="008E48CB">
        <w:rPr>
          <w:rStyle w:val="gmail-s1"/>
        </w:rPr>
        <w:t>can</w:t>
      </w:r>
      <w:r w:rsidR="00CF33A5">
        <w:rPr>
          <w:rStyle w:val="gmail-s1"/>
        </w:rPr>
        <w:t xml:space="preserve"> </w:t>
      </w:r>
      <w:r w:rsidR="008E48CB">
        <w:rPr>
          <w:rStyle w:val="gmail-s1"/>
        </w:rPr>
        <w:t xml:space="preserve">also </w:t>
      </w:r>
      <w:r w:rsidR="00CF33A5">
        <w:rPr>
          <w:rStyle w:val="gmail-s1"/>
        </w:rPr>
        <w:t>become an essential element in the recovery of collective memories and, potentially, in</w:t>
      </w:r>
      <w:r w:rsidR="00DB579B">
        <w:rPr>
          <w:rStyle w:val="gmail-s1"/>
        </w:rPr>
        <w:t xml:space="preserve"> the remaking of communities. As Stephan </w:t>
      </w:r>
      <w:proofErr w:type="spellStart"/>
      <w:r w:rsidR="00DB579B">
        <w:rPr>
          <w:rStyle w:val="gmail-s1"/>
        </w:rPr>
        <w:t>Petzold</w:t>
      </w:r>
      <w:proofErr w:type="spellEnd"/>
      <w:r w:rsidR="00DB579B">
        <w:rPr>
          <w:rStyle w:val="gmail-s1"/>
        </w:rPr>
        <w:t xml:space="preserve"> </w:t>
      </w:r>
      <w:r w:rsidR="0066357D">
        <w:rPr>
          <w:rStyle w:val="gmail-s1"/>
        </w:rPr>
        <w:t>shows with reference to the bombing of Dresden in February 1945</w:t>
      </w:r>
      <w:r w:rsidR="00DB579B">
        <w:rPr>
          <w:rStyle w:val="gmail-s1"/>
        </w:rPr>
        <w:t xml:space="preserve">, for instance, </w:t>
      </w:r>
      <w:r w:rsidR="0066357D">
        <w:rPr>
          <w:rStyle w:val="gmail-s1"/>
        </w:rPr>
        <w:t>the development of a ritual of ‘</w:t>
      </w:r>
      <w:proofErr w:type="spellStart"/>
      <w:r w:rsidR="0066357D">
        <w:rPr>
          <w:rStyle w:val="gmail-s1"/>
        </w:rPr>
        <w:t>stilles</w:t>
      </w:r>
      <w:proofErr w:type="spellEnd"/>
      <w:r w:rsidR="0066357D">
        <w:rPr>
          <w:rStyle w:val="gmail-s1"/>
        </w:rPr>
        <w:t xml:space="preserve"> </w:t>
      </w:r>
      <w:proofErr w:type="spellStart"/>
      <w:r w:rsidR="0066357D">
        <w:rPr>
          <w:rStyle w:val="gmail-s1"/>
        </w:rPr>
        <w:t>Gedenken</w:t>
      </w:r>
      <w:proofErr w:type="spellEnd"/>
      <w:r w:rsidR="0066357D">
        <w:rPr>
          <w:rStyle w:val="gmail-s1"/>
        </w:rPr>
        <w:t xml:space="preserve">’ </w:t>
      </w:r>
      <w:r w:rsidR="00566EB4">
        <w:rPr>
          <w:rStyle w:val="gmail-s1"/>
        </w:rPr>
        <w:t xml:space="preserve">in the city </w:t>
      </w:r>
      <w:r w:rsidR="0066357D">
        <w:rPr>
          <w:rStyle w:val="gmail-s1"/>
        </w:rPr>
        <w:t xml:space="preserve">became unexpectedly controversial once it also </w:t>
      </w:r>
      <w:r w:rsidR="0066357D">
        <w:rPr>
          <w:rStyle w:val="gmail-s1"/>
        </w:rPr>
        <w:lastRenderedPageBreak/>
        <w:t xml:space="preserve">attracted right-wing extremists. In consequence, local civil </w:t>
      </w:r>
      <w:r w:rsidR="00DB579B">
        <w:rPr>
          <w:rStyle w:val="gmail-s1"/>
        </w:rPr>
        <w:t>society activists in Dresden have been active in resurrecting ‘forgotten’ memories in the city, often via localised practices of remembrance</w:t>
      </w:r>
      <w:r w:rsidR="00566EB4">
        <w:rPr>
          <w:rStyle w:val="gmail-s1"/>
        </w:rPr>
        <w:t xml:space="preserve"> across diverse commemorative spaces</w:t>
      </w:r>
      <w:r w:rsidR="00DB579B">
        <w:rPr>
          <w:rStyle w:val="gmail-s1"/>
        </w:rPr>
        <w:t>. In contrast, Anna Saunders shows how the development of different physica</w:t>
      </w:r>
      <w:r w:rsidR="00566EB4">
        <w:rPr>
          <w:rStyle w:val="gmail-s1"/>
        </w:rPr>
        <w:t>l sites of memory in Berlin has</w:t>
      </w:r>
      <w:r w:rsidR="00DB579B">
        <w:rPr>
          <w:rStyle w:val="gmail-s1"/>
        </w:rPr>
        <w:t xml:space="preserve"> helped to shape a more decentralised memory narrative relating to the fall of the Berlin Wall</w:t>
      </w:r>
      <w:r w:rsidR="00566EB4">
        <w:rPr>
          <w:rStyle w:val="gmail-s1"/>
        </w:rPr>
        <w:t xml:space="preserve"> and the peaceful revolution</w:t>
      </w:r>
      <w:r w:rsidR="00DB579B">
        <w:rPr>
          <w:rStyle w:val="gmail-s1"/>
        </w:rPr>
        <w:t xml:space="preserve">. The focus on the </w:t>
      </w:r>
      <w:r w:rsidR="00566EB4">
        <w:rPr>
          <w:rStyle w:val="gmail-s1"/>
        </w:rPr>
        <w:t>regional here has</w:t>
      </w:r>
      <w:r w:rsidR="00DB579B">
        <w:rPr>
          <w:rStyle w:val="gmail-s1"/>
        </w:rPr>
        <w:t xml:space="preserve">, however, </w:t>
      </w:r>
      <w:r w:rsidR="0066357D">
        <w:rPr>
          <w:rStyle w:val="gmail-s1"/>
        </w:rPr>
        <w:t>also been</w:t>
      </w:r>
      <w:r w:rsidR="00DB579B">
        <w:rPr>
          <w:rStyle w:val="gmail-s1"/>
        </w:rPr>
        <w:t xml:space="preserve"> accompanied by </w:t>
      </w:r>
      <w:r w:rsidR="006F530E">
        <w:rPr>
          <w:rStyle w:val="gmail-s1"/>
        </w:rPr>
        <w:t xml:space="preserve">a growing internationalisation of narratives, in which local and national concerns are </w:t>
      </w:r>
      <w:r w:rsidR="00DE25FB">
        <w:rPr>
          <w:rStyle w:val="gmail-s1"/>
        </w:rPr>
        <w:t>influenced by global trends and uni</w:t>
      </w:r>
      <w:r w:rsidR="00566EB4">
        <w:rPr>
          <w:rStyle w:val="gmail-s1"/>
        </w:rPr>
        <w:t>versal values; at a time when</w:t>
      </w:r>
      <w:r w:rsidR="0066357D">
        <w:rPr>
          <w:rStyle w:val="gmail-s1"/>
        </w:rPr>
        <w:t xml:space="preserve"> right-wing populism and concerns over growing nationalist tendencies</w:t>
      </w:r>
      <w:r w:rsidR="00566EB4">
        <w:rPr>
          <w:rStyle w:val="gmail-s1"/>
        </w:rPr>
        <w:t xml:space="preserve"> abound</w:t>
      </w:r>
      <w:r w:rsidR="0066357D">
        <w:rPr>
          <w:rStyle w:val="gmail-s1"/>
        </w:rPr>
        <w:t xml:space="preserve">, the focus on the local and the global is perhaps no surprise. </w:t>
      </w:r>
    </w:p>
    <w:p w14:paraId="63FC3E20" w14:textId="4D73AF78" w:rsidR="00550790" w:rsidRDefault="004A0F29" w:rsidP="00005ED6">
      <w:pPr>
        <w:pStyle w:val="gmail-p1"/>
        <w:spacing w:before="0" w:beforeAutospacing="0" w:after="0" w:afterAutospacing="0" w:line="480" w:lineRule="auto"/>
        <w:jc w:val="both"/>
        <w:rPr>
          <w:rFonts w:eastAsia="Times New Roman"/>
          <w:color w:val="000000"/>
        </w:rPr>
      </w:pPr>
      <w:r>
        <w:rPr>
          <w:rStyle w:val="gmail-s1"/>
        </w:rPr>
        <w:tab/>
        <w:t xml:space="preserve">Criss-crossing all </w:t>
      </w:r>
      <w:r w:rsidR="00CB6989">
        <w:rPr>
          <w:rStyle w:val="gmail-s1"/>
        </w:rPr>
        <w:t xml:space="preserve">of </w:t>
      </w:r>
      <w:r>
        <w:rPr>
          <w:rStyle w:val="gmail-s1"/>
        </w:rPr>
        <w:t xml:space="preserve">the above themes is the notion that remembrance is, of course, performative. </w:t>
      </w:r>
      <w:r w:rsidR="00673D4B">
        <w:rPr>
          <w:rStyle w:val="gmail-s1"/>
        </w:rPr>
        <w:t>As Winter states, ‘the performance of memory is both a mnemonic device and a way in which individual memories are relived, revived, and refashioned’.</w:t>
      </w:r>
      <w:r w:rsidR="00A9530E">
        <w:rPr>
          <w:rStyle w:val="EndnoteReference"/>
        </w:rPr>
        <w:endnoteReference w:id="20"/>
      </w:r>
      <w:r w:rsidR="00A9530E">
        <w:rPr>
          <w:rStyle w:val="gmail-s1"/>
        </w:rPr>
        <w:t xml:space="preserve"> </w:t>
      </w:r>
      <w:r w:rsidR="00673D4B">
        <w:rPr>
          <w:rStyle w:val="gmail-s1"/>
        </w:rPr>
        <w:t xml:space="preserve">Anniversary activities thus both </w:t>
      </w:r>
      <w:r w:rsidR="001C54CB">
        <w:rPr>
          <w:rStyle w:val="gmail-s1"/>
        </w:rPr>
        <w:t xml:space="preserve">inscribe </w:t>
      </w:r>
      <w:r w:rsidR="00673D4B">
        <w:rPr>
          <w:rStyle w:val="gmail-s1"/>
        </w:rPr>
        <w:t xml:space="preserve">the past as well as </w:t>
      </w:r>
      <w:r w:rsidR="001C54CB">
        <w:rPr>
          <w:rStyle w:val="gmail-s1"/>
        </w:rPr>
        <w:t>describe</w:t>
      </w:r>
      <w:r w:rsidR="00673D4B">
        <w:rPr>
          <w:rStyle w:val="gmail-s1"/>
        </w:rPr>
        <w:t xml:space="preserve"> it. </w:t>
      </w:r>
      <w:r w:rsidR="003C483C">
        <w:rPr>
          <w:rStyle w:val="gmail-s1"/>
        </w:rPr>
        <w:t xml:space="preserve">This inscription </w:t>
      </w:r>
      <w:r w:rsidR="00566EB4">
        <w:rPr>
          <w:rStyle w:val="gmail-s1"/>
        </w:rPr>
        <w:t xml:space="preserve">takes </w:t>
      </w:r>
      <w:r w:rsidR="00673D4B">
        <w:rPr>
          <w:rStyle w:val="gmail-s1"/>
        </w:rPr>
        <w:t xml:space="preserve">multiple forms: </w:t>
      </w:r>
      <w:r w:rsidR="003C483C">
        <w:rPr>
          <w:rStyle w:val="gmail-s1"/>
        </w:rPr>
        <w:t>written</w:t>
      </w:r>
      <w:r w:rsidR="0050751E">
        <w:rPr>
          <w:rStyle w:val="gmail-s1"/>
        </w:rPr>
        <w:t xml:space="preserve">, </w:t>
      </w:r>
      <w:r w:rsidR="003C483C">
        <w:rPr>
          <w:rStyle w:val="gmail-s1"/>
        </w:rPr>
        <w:t>spoken</w:t>
      </w:r>
      <w:r w:rsidR="0050751E">
        <w:rPr>
          <w:rStyle w:val="gmail-s1"/>
        </w:rPr>
        <w:t xml:space="preserve">, </w:t>
      </w:r>
      <w:r w:rsidR="003C483C">
        <w:rPr>
          <w:rStyle w:val="gmail-s1"/>
        </w:rPr>
        <w:t>graphic</w:t>
      </w:r>
      <w:r w:rsidR="0050751E">
        <w:rPr>
          <w:rStyle w:val="gmail-s1"/>
        </w:rPr>
        <w:t xml:space="preserve">, </w:t>
      </w:r>
      <w:r w:rsidR="003C483C">
        <w:rPr>
          <w:rStyle w:val="gmail-s1"/>
        </w:rPr>
        <w:t>corporeal</w:t>
      </w:r>
      <w:r w:rsidR="0050751E">
        <w:rPr>
          <w:rStyle w:val="gmail-s1"/>
        </w:rPr>
        <w:t xml:space="preserve">, to name but a few. The </w:t>
      </w:r>
      <w:r w:rsidR="0066357D">
        <w:rPr>
          <w:rStyle w:val="gmail-s1"/>
        </w:rPr>
        <w:t xml:space="preserve">six </w:t>
      </w:r>
      <w:r w:rsidR="001C54CB">
        <w:rPr>
          <w:rStyle w:val="gmail-s1"/>
        </w:rPr>
        <w:t>research-led</w:t>
      </w:r>
      <w:r w:rsidR="0066357D">
        <w:rPr>
          <w:rStyle w:val="gmail-s1"/>
        </w:rPr>
        <w:t xml:space="preserve"> studies </w:t>
      </w:r>
      <w:r w:rsidR="0050751E">
        <w:rPr>
          <w:rStyle w:val="gmail-s1"/>
        </w:rPr>
        <w:t xml:space="preserve">in this </w:t>
      </w:r>
      <w:r w:rsidR="00E920B0">
        <w:rPr>
          <w:rStyle w:val="gmail-s1"/>
        </w:rPr>
        <w:t>special number</w:t>
      </w:r>
      <w:r w:rsidR="0050751E">
        <w:rPr>
          <w:rStyle w:val="gmail-s1"/>
        </w:rPr>
        <w:t xml:space="preserve"> </w:t>
      </w:r>
      <w:r w:rsidR="003C483C">
        <w:rPr>
          <w:rStyle w:val="gmail-s1"/>
        </w:rPr>
        <w:t>draw on a</w:t>
      </w:r>
      <w:r w:rsidR="0050751E">
        <w:rPr>
          <w:rStyle w:val="gmail-s1"/>
        </w:rPr>
        <w:t xml:space="preserve"> </w:t>
      </w:r>
      <w:r w:rsidR="006A31FC" w:rsidRPr="006A31FC">
        <w:rPr>
          <w:rFonts w:eastAsia="Times New Roman"/>
          <w:color w:val="000000"/>
        </w:rPr>
        <w:t xml:space="preserve">variety of </w:t>
      </w:r>
      <w:r w:rsidR="00E920B0">
        <w:rPr>
          <w:rFonts w:eastAsia="Times New Roman"/>
          <w:color w:val="000000"/>
        </w:rPr>
        <w:t>ways in which the past is performed</w:t>
      </w:r>
      <w:r w:rsidR="0050751E">
        <w:rPr>
          <w:rFonts w:eastAsia="Times New Roman"/>
          <w:color w:val="000000"/>
        </w:rPr>
        <w:t>, and analyse</w:t>
      </w:r>
      <w:r w:rsidR="006A31FC" w:rsidRPr="006A31FC">
        <w:rPr>
          <w:rFonts w:eastAsia="Times New Roman"/>
          <w:color w:val="000000"/>
        </w:rPr>
        <w:t xml:space="preserve"> commemorative speeches, political performances, national and regional rituals, literary and filmic engagement with anniversaries, </w:t>
      </w:r>
      <w:r w:rsidR="0066357D">
        <w:rPr>
          <w:rFonts w:eastAsia="Times New Roman"/>
          <w:color w:val="000000"/>
        </w:rPr>
        <w:t>as well as</w:t>
      </w:r>
      <w:r w:rsidR="006A31FC" w:rsidRPr="006A31FC">
        <w:rPr>
          <w:rFonts w:eastAsia="Times New Roman"/>
          <w:color w:val="000000"/>
        </w:rPr>
        <w:t xml:space="preserve"> re-enactment. </w:t>
      </w:r>
      <w:r w:rsidR="00566EB4">
        <w:rPr>
          <w:rFonts w:eastAsia="Times New Roman"/>
          <w:color w:val="000000"/>
        </w:rPr>
        <w:t xml:space="preserve">Despite their methodological and thematic diversity, however, it is notable that the performance of memory across these examples </w:t>
      </w:r>
      <w:r w:rsidR="00CB6989">
        <w:rPr>
          <w:rFonts w:eastAsia="Times New Roman"/>
          <w:color w:val="000000"/>
        </w:rPr>
        <w:t>is strongly bound by two tropes.</w:t>
      </w:r>
      <w:r w:rsidR="00566EB4">
        <w:rPr>
          <w:rFonts w:eastAsia="Times New Roman"/>
          <w:color w:val="000000"/>
        </w:rPr>
        <w:t xml:space="preserve"> </w:t>
      </w:r>
      <w:r w:rsidR="0066357D">
        <w:rPr>
          <w:rFonts w:eastAsia="Times New Roman"/>
          <w:color w:val="000000"/>
        </w:rPr>
        <w:t>First, it is evi</w:t>
      </w:r>
      <w:r w:rsidR="00566EB4">
        <w:rPr>
          <w:rFonts w:eastAsia="Times New Roman"/>
          <w:color w:val="000000"/>
        </w:rPr>
        <w:t>d</w:t>
      </w:r>
      <w:r w:rsidR="0066357D">
        <w:rPr>
          <w:rFonts w:eastAsia="Times New Roman"/>
          <w:color w:val="000000"/>
        </w:rPr>
        <w:t xml:space="preserve">ent across all six studies that extremism and revolutionary activity </w:t>
      </w:r>
      <w:r w:rsidR="00566EB4">
        <w:rPr>
          <w:rFonts w:eastAsia="Times New Roman"/>
          <w:color w:val="000000"/>
        </w:rPr>
        <w:t xml:space="preserve">prove to be recurrent themes in the German anniversary calendar. While anniversary activity is clearly always likely to mark the exceptional moments in history, it is notable that, </w:t>
      </w:r>
      <w:r w:rsidR="00493A4A">
        <w:rPr>
          <w:rFonts w:eastAsia="Times New Roman"/>
          <w:color w:val="000000"/>
        </w:rPr>
        <w:t>f</w:t>
      </w:r>
      <w:r w:rsidR="0066357D">
        <w:rPr>
          <w:rFonts w:eastAsia="Times New Roman"/>
          <w:color w:val="000000"/>
        </w:rPr>
        <w:t>rom the 1920s to the present-day</w:t>
      </w:r>
      <w:r w:rsidR="00493A4A">
        <w:rPr>
          <w:rFonts w:eastAsia="Times New Roman"/>
          <w:color w:val="000000"/>
        </w:rPr>
        <w:t xml:space="preserve">, moments of instability puncture the regularity of the calendar. This serves, perhaps, as a stark </w:t>
      </w:r>
      <w:r w:rsidR="00493A4A">
        <w:rPr>
          <w:rFonts w:eastAsia="Times New Roman"/>
          <w:color w:val="000000"/>
        </w:rPr>
        <w:lastRenderedPageBreak/>
        <w:t>reminder of the very reason why society invests considerable time and resource</w:t>
      </w:r>
      <w:r w:rsidR="00CB6989">
        <w:rPr>
          <w:rFonts w:eastAsia="Times New Roman"/>
          <w:color w:val="000000"/>
        </w:rPr>
        <w:t>s</w:t>
      </w:r>
      <w:r w:rsidR="00493A4A">
        <w:rPr>
          <w:rFonts w:eastAsia="Times New Roman"/>
          <w:color w:val="000000"/>
        </w:rPr>
        <w:t xml:space="preserve"> in the commemoration</w:t>
      </w:r>
      <w:r w:rsidR="00CB6989">
        <w:rPr>
          <w:rFonts w:eastAsia="Times New Roman"/>
          <w:color w:val="000000"/>
        </w:rPr>
        <w:t xml:space="preserve"> of such moments: to invest in the utopia of a</w:t>
      </w:r>
      <w:r w:rsidR="00493A4A">
        <w:rPr>
          <w:rFonts w:eastAsia="Times New Roman"/>
          <w:color w:val="000000"/>
        </w:rPr>
        <w:t xml:space="preserve"> stable future</w:t>
      </w:r>
      <w:r w:rsidR="00EC4364">
        <w:rPr>
          <w:rFonts w:eastAsia="Times New Roman"/>
          <w:color w:val="000000"/>
        </w:rPr>
        <w:t xml:space="preserve"> through</w:t>
      </w:r>
      <w:r w:rsidR="00D010DF">
        <w:rPr>
          <w:rFonts w:eastAsia="Times New Roman"/>
          <w:color w:val="000000"/>
        </w:rPr>
        <w:t xml:space="preserve"> </w:t>
      </w:r>
      <w:r w:rsidR="001B0B94">
        <w:rPr>
          <w:rFonts w:eastAsia="Times New Roman"/>
          <w:color w:val="000000"/>
        </w:rPr>
        <w:t>learning from the past</w:t>
      </w:r>
      <w:r w:rsidR="00493A4A">
        <w:rPr>
          <w:rFonts w:eastAsia="Times New Roman"/>
          <w:color w:val="000000"/>
        </w:rPr>
        <w:t xml:space="preserve">. </w:t>
      </w:r>
      <w:r w:rsidR="0066357D">
        <w:rPr>
          <w:rFonts w:eastAsia="Times New Roman"/>
          <w:color w:val="000000"/>
        </w:rPr>
        <w:t xml:space="preserve">Second, it is notable that all </w:t>
      </w:r>
      <w:r w:rsidR="00493A4A">
        <w:rPr>
          <w:rFonts w:eastAsia="Times New Roman"/>
          <w:color w:val="000000"/>
        </w:rPr>
        <w:t xml:space="preserve">contributions </w:t>
      </w:r>
      <w:r w:rsidR="0066357D">
        <w:rPr>
          <w:rFonts w:eastAsia="Times New Roman"/>
          <w:color w:val="000000"/>
        </w:rPr>
        <w:t xml:space="preserve">highlight – in some shape or form – the </w:t>
      </w:r>
      <w:r w:rsidR="00493A4A">
        <w:rPr>
          <w:rFonts w:eastAsia="Times New Roman"/>
          <w:color w:val="000000"/>
        </w:rPr>
        <w:t>significance</w:t>
      </w:r>
      <w:r w:rsidR="00550790">
        <w:rPr>
          <w:rFonts w:eastAsia="Times New Roman"/>
          <w:color w:val="000000"/>
        </w:rPr>
        <w:t xml:space="preserve"> of Germany’s </w:t>
      </w:r>
      <w:r w:rsidR="00493A4A">
        <w:rPr>
          <w:rFonts w:eastAsia="Times New Roman"/>
          <w:color w:val="000000"/>
        </w:rPr>
        <w:t>communist and socialist legacies</w:t>
      </w:r>
      <w:r w:rsidR="00550790">
        <w:rPr>
          <w:rFonts w:eastAsia="Times New Roman"/>
          <w:color w:val="000000"/>
        </w:rPr>
        <w:t xml:space="preserve">. </w:t>
      </w:r>
      <w:r w:rsidR="00493A4A">
        <w:rPr>
          <w:rFonts w:eastAsia="Times New Roman"/>
          <w:color w:val="000000"/>
        </w:rPr>
        <w:t xml:space="preserve">While </w:t>
      </w:r>
      <w:proofErr w:type="spellStart"/>
      <w:r w:rsidR="00493A4A">
        <w:rPr>
          <w:rFonts w:eastAsia="Times New Roman"/>
          <w:color w:val="000000"/>
        </w:rPr>
        <w:t>Smale’s</w:t>
      </w:r>
      <w:proofErr w:type="spellEnd"/>
      <w:r w:rsidR="00493A4A">
        <w:rPr>
          <w:rFonts w:eastAsia="Times New Roman"/>
          <w:color w:val="000000"/>
        </w:rPr>
        <w:t xml:space="preserve"> evaluation of a 1925 drama commissioned by the KPD and Zell’s analysis of </w:t>
      </w:r>
      <w:proofErr w:type="spellStart"/>
      <w:r w:rsidR="00493A4A">
        <w:rPr>
          <w:rFonts w:eastAsia="Times New Roman"/>
          <w:color w:val="000000"/>
        </w:rPr>
        <w:t>Käthe</w:t>
      </w:r>
      <w:proofErr w:type="spellEnd"/>
      <w:r w:rsidR="00493A4A">
        <w:rPr>
          <w:rFonts w:eastAsia="Times New Roman"/>
          <w:color w:val="000000"/>
        </w:rPr>
        <w:t xml:space="preserve"> Kollwitz in the GDR both underline the cultural heritage of left-wing activity, the other four contributions explore commemorative rituals </w:t>
      </w:r>
      <w:r w:rsidR="008E48CB">
        <w:rPr>
          <w:rFonts w:eastAsia="Times New Roman"/>
          <w:color w:val="000000"/>
        </w:rPr>
        <w:t>that</w:t>
      </w:r>
      <w:r w:rsidR="00493A4A">
        <w:rPr>
          <w:rFonts w:eastAsia="Times New Roman"/>
          <w:color w:val="000000"/>
        </w:rPr>
        <w:t xml:space="preserve"> continue today, but which all have their </w:t>
      </w:r>
      <w:r w:rsidR="00CB6989">
        <w:rPr>
          <w:rFonts w:eastAsia="Times New Roman"/>
          <w:color w:val="000000"/>
        </w:rPr>
        <w:t xml:space="preserve">(historical or commemorative) </w:t>
      </w:r>
      <w:r w:rsidR="00493A4A">
        <w:rPr>
          <w:rFonts w:eastAsia="Times New Roman"/>
          <w:color w:val="000000"/>
        </w:rPr>
        <w:t>roots in the GDR. Contrary to assumptions that the GDR would become little more than a ‘footnote in history’,</w:t>
      </w:r>
      <w:r w:rsidR="00CB6989">
        <w:rPr>
          <w:rStyle w:val="EndnoteReference"/>
          <w:rFonts w:eastAsia="Times New Roman"/>
          <w:color w:val="000000"/>
        </w:rPr>
        <w:endnoteReference w:id="21"/>
      </w:r>
      <w:r w:rsidR="00493A4A">
        <w:rPr>
          <w:rFonts w:eastAsia="Times New Roman"/>
          <w:color w:val="000000"/>
        </w:rPr>
        <w:t xml:space="preserve"> the curren</w:t>
      </w:r>
      <w:r w:rsidR="00CB6989">
        <w:rPr>
          <w:rFonts w:eastAsia="Times New Roman"/>
          <w:color w:val="000000"/>
        </w:rPr>
        <w:t>t collection demonstrates how the former East German state</w:t>
      </w:r>
      <w:r w:rsidR="00493A4A">
        <w:rPr>
          <w:rFonts w:eastAsia="Times New Roman"/>
          <w:color w:val="000000"/>
        </w:rPr>
        <w:t xml:space="preserve"> continues to influence anniversary activity in contemporary Germany, whether through significant historical events (e.g. 17 June 1953 and 9 November 1989) or the shaping of anniversary narratives (e.g. the rituals associated with the bombing of Dresden or the </w:t>
      </w:r>
      <w:proofErr w:type="spellStart"/>
      <w:r w:rsidR="00493A4A">
        <w:rPr>
          <w:rFonts w:eastAsia="Times New Roman"/>
          <w:color w:val="000000"/>
        </w:rPr>
        <w:t>Rosenstraße</w:t>
      </w:r>
      <w:proofErr w:type="spellEnd"/>
      <w:r w:rsidR="00493A4A">
        <w:rPr>
          <w:rFonts w:eastAsia="Times New Roman"/>
          <w:color w:val="000000"/>
        </w:rPr>
        <w:t xml:space="preserve"> protest). </w:t>
      </w:r>
      <w:r w:rsidR="00550790">
        <w:rPr>
          <w:rFonts w:eastAsia="Times New Roman"/>
          <w:color w:val="000000"/>
        </w:rPr>
        <w:t xml:space="preserve"> </w:t>
      </w:r>
    </w:p>
    <w:p w14:paraId="5BA2D609" w14:textId="47C70582" w:rsidR="00DE25FB" w:rsidRPr="00B82166" w:rsidRDefault="006A31FC" w:rsidP="00005ED6">
      <w:pPr>
        <w:pStyle w:val="gmail-p1"/>
        <w:spacing w:before="0" w:beforeAutospacing="0" w:after="0" w:afterAutospacing="0" w:line="480" w:lineRule="auto"/>
        <w:ind w:firstLine="720"/>
        <w:jc w:val="both"/>
        <w:rPr>
          <w:rFonts w:eastAsia="Times New Roman"/>
          <w:color w:val="000000"/>
        </w:rPr>
      </w:pPr>
      <w:r w:rsidRPr="006A31FC">
        <w:rPr>
          <w:rFonts w:eastAsia="Times New Roman"/>
          <w:color w:val="000000"/>
        </w:rPr>
        <w:t xml:space="preserve">The </w:t>
      </w:r>
      <w:r w:rsidR="00DB115A">
        <w:rPr>
          <w:rFonts w:eastAsia="Times New Roman"/>
          <w:color w:val="000000"/>
        </w:rPr>
        <w:t>special number</w:t>
      </w:r>
      <w:r w:rsidR="00550790">
        <w:rPr>
          <w:rFonts w:eastAsia="Times New Roman"/>
          <w:color w:val="000000"/>
        </w:rPr>
        <w:t xml:space="preserve"> concludes with </w:t>
      </w:r>
      <w:r w:rsidRPr="006A31FC">
        <w:rPr>
          <w:rFonts w:eastAsia="Times New Roman"/>
          <w:color w:val="000000"/>
        </w:rPr>
        <w:t xml:space="preserve">two contributions </w:t>
      </w:r>
      <w:r w:rsidR="00550790">
        <w:rPr>
          <w:rFonts w:eastAsia="Times New Roman"/>
          <w:color w:val="000000"/>
        </w:rPr>
        <w:t xml:space="preserve">that </w:t>
      </w:r>
      <w:r w:rsidRPr="006A31FC">
        <w:rPr>
          <w:rFonts w:eastAsia="Times New Roman"/>
          <w:color w:val="000000"/>
        </w:rPr>
        <w:t xml:space="preserve">reflect on </w:t>
      </w:r>
      <w:r w:rsidR="003237EB">
        <w:rPr>
          <w:rFonts w:eastAsia="Times New Roman"/>
          <w:color w:val="000000"/>
        </w:rPr>
        <w:t>the question of anniversary capital</w:t>
      </w:r>
      <w:r w:rsidRPr="006A31FC">
        <w:rPr>
          <w:rFonts w:eastAsia="Times New Roman"/>
          <w:color w:val="000000"/>
        </w:rPr>
        <w:t xml:space="preserve"> from a pract</w:t>
      </w:r>
      <w:r w:rsidR="00493A4A">
        <w:rPr>
          <w:rFonts w:eastAsia="Times New Roman"/>
          <w:color w:val="000000"/>
        </w:rPr>
        <w:t>ice-based perspective. A</w:t>
      </w:r>
      <w:r w:rsidR="00550790">
        <w:rPr>
          <w:rFonts w:eastAsia="Times New Roman"/>
          <w:color w:val="000000"/>
        </w:rPr>
        <w:t xml:space="preserve">t the same time, </w:t>
      </w:r>
      <w:r w:rsidR="00493A4A">
        <w:rPr>
          <w:rFonts w:eastAsia="Times New Roman"/>
          <w:color w:val="000000"/>
        </w:rPr>
        <w:t xml:space="preserve">however, </w:t>
      </w:r>
      <w:r w:rsidR="00550790">
        <w:rPr>
          <w:rFonts w:eastAsia="Times New Roman"/>
          <w:color w:val="000000"/>
        </w:rPr>
        <w:t>they highlight a</w:t>
      </w:r>
      <w:r w:rsidR="003237EB">
        <w:rPr>
          <w:rFonts w:eastAsia="Times New Roman"/>
          <w:color w:val="000000"/>
        </w:rPr>
        <w:t xml:space="preserve"> number of tropes</w:t>
      </w:r>
      <w:r w:rsidR="00550790">
        <w:rPr>
          <w:rFonts w:eastAsia="Times New Roman"/>
          <w:color w:val="000000"/>
        </w:rPr>
        <w:t xml:space="preserve"> discussed above, from the democratisation of memory to the notion of </w:t>
      </w:r>
      <w:r w:rsidR="00CB6989">
        <w:rPr>
          <w:rFonts w:eastAsia="Times New Roman"/>
          <w:color w:val="000000"/>
        </w:rPr>
        <w:t>‘</w:t>
      </w:r>
      <w:r w:rsidR="00550790">
        <w:rPr>
          <w:rFonts w:eastAsia="Times New Roman"/>
          <w:color w:val="000000"/>
        </w:rPr>
        <w:t>canon</w:t>
      </w:r>
      <w:r w:rsidR="00CB6989">
        <w:rPr>
          <w:rFonts w:eastAsia="Times New Roman"/>
          <w:color w:val="000000"/>
        </w:rPr>
        <w:t>’</w:t>
      </w:r>
      <w:r w:rsidR="00550790">
        <w:rPr>
          <w:rFonts w:eastAsia="Times New Roman"/>
          <w:color w:val="000000"/>
        </w:rPr>
        <w:t xml:space="preserve"> and </w:t>
      </w:r>
      <w:r w:rsidR="00CB6989">
        <w:rPr>
          <w:rFonts w:eastAsia="Times New Roman"/>
          <w:color w:val="000000"/>
        </w:rPr>
        <w:t>‘</w:t>
      </w:r>
      <w:r w:rsidR="00550790">
        <w:rPr>
          <w:rFonts w:eastAsia="Times New Roman"/>
          <w:color w:val="000000"/>
        </w:rPr>
        <w:t>archive</w:t>
      </w:r>
      <w:r w:rsidR="00CB6989">
        <w:rPr>
          <w:rFonts w:eastAsia="Times New Roman"/>
          <w:color w:val="000000"/>
        </w:rPr>
        <w:t>’</w:t>
      </w:r>
      <w:r w:rsidR="003237EB">
        <w:rPr>
          <w:rFonts w:eastAsia="Times New Roman"/>
          <w:color w:val="000000"/>
        </w:rPr>
        <w:t>. First, in a</w:t>
      </w:r>
      <w:r w:rsidRPr="006A31FC">
        <w:rPr>
          <w:rFonts w:eastAsia="Times New Roman"/>
          <w:color w:val="000000"/>
        </w:rPr>
        <w:t xml:space="preserve"> joint-authored article, </w:t>
      </w:r>
      <w:proofErr w:type="spellStart"/>
      <w:r w:rsidR="00493A4A">
        <w:rPr>
          <w:rFonts w:eastAsia="Times New Roman"/>
          <w:color w:val="000000"/>
        </w:rPr>
        <w:t>Seán</w:t>
      </w:r>
      <w:proofErr w:type="spellEnd"/>
      <w:r w:rsidR="00493A4A">
        <w:rPr>
          <w:rFonts w:eastAsia="Times New Roman"/>
          <w:color w:val="000000"/>
        </w:rPr>
        <w:t xml:space="preserve"> </w:t>
      </w:r>
      <w:r w:rsidRPr="006A31FC">
        <w:rPr>
          <w:rFonts w:eastAsia="Times New Roman"/>
          <w:color w:val="000000"/>
        </w:rPr>
        <w:t xml:space="preserve">Williams, </w:t>
      </w:r>
      <w:r w:rsidR="00493A4A">
        <w:rPr>
          <w:rFonts w:eastAsia="Times New Roman"/>
          <w:color w:val="000000"/>
        </w:rPr>
        <w:t xml:space="preserve">Stefan </w:t>
      </w:r>
      <w:proofErr w:type="spellStart"/>
      <w:r w:rsidRPr="006A31FC">
        <w:rPr>
          <w:rFonts w:eastAsia="Times New Roman"/>
          <w:color w:val="000000"/>
        </w:rPr>
        <w:t>Manz</w:t>
      </w:r>
      <w:proofErr w:type="spellEnd"/>
      <w:r w:rsidRPr="006A31FC">
        <w:rPr>
          <w:rFonts w:eastAsia="Times New Roman"/>
          <w:color w:val="000000"/>
        </w:rPr>
        <w:t xml:space="preserve"> and </w:t>
      </w:r>
      <w:proofErr w:type="spellStart"/>
      <w:r w:rsidR="00493A4A">
        <w:rPr>
          <w:rFonts w:eastAsia="Times New Roman"/>
          <w:color w:val="000000"/>
        </w:rPr>
        <w:t>Henrike</w:t>
      </w:r>
      <w:proofErr w:type="spellEnd"/>
      <w:r w:rsidR="00493A4A">
        <w:rPr>
          <w:rFonts w:eastAsia="Times New Roman"/>
          <w:color w:val="000000"/>
        </w:rPr>
        <w:t xml:space="preserve"> </w:t>
      </w:r>
      <w:proofErr w:type="spellStart"/>
      <w:r w:rsidRPr="006A31FC">
        <w:rPr>
          <w:rFonts w:eastAsia="Times New Roman"/>
          <w:color w:val="000000"/>
        </w:rPr>
        <w:t>Lähnemann</w:t>
      </w:r>
      <w:proofErr w:type="spellEnd"/>
      <w:r w:rsidRPr="006A31FC">
        <w:rPr>
          <w:rFonts w:eastAsia="Times New Roman"/>
          <w:color w:val="000000"/>
        </w:rPr>
        <w:t xml:space="preserve"> discuss the relationship between anniversaries and </w:t>
      </w:r>
      <w:r w:rsidR="00B214CC">
        <w:rPr>
          <w:rFonts w:eastAsia="Times New Roman"/>
          <w:color w:val="000000"/>
        </w:rPr>
        <w:t>‘</w:t>
      </w:r>
      <w:r w:rsidRPr="006A31FC">
        <w:rPr>
          <w:rFonts w:eastAsia="Times New Roman"/>
          <w:color w:val="000000"/>
        </w:rPr>
        <w:t>impact capital</w:t>
      </w:r>
      <w:r w:rsidR="00B214CC">
        <w:rPr>
          <w:rFonts w:eastAsia="Times New Roman"/>
          <w:color w:val="000000"/>
        </w:rPr>
        <w:t>’</w:t>
      </w:r>
      <w:r w:rsidR="00493A4A">
        <w:rPr>
          <w:rFonts w:eastAsia="Times New Roman"/>
          <w:color w:val="000000"/>
        </w:rPr>
        <w:t xml:space="preserve"> from the perspective of </w:t>
      </w:r>
      <w:r w:rsidR="0006441D">
        <w:rPr>
          <w:rFonts w:eastAsia="Times New Roman"/>
          <w:color w:val="000000"/>
        </w:rPr>
        <w:t>researchers</w:t>
      </w:r>
      <w:r w:rsidR="00493A4A">
        <w:rPr>
          <w:rFonts w:eastAsia="Times New Roman"/>
          <w:color w:val="000000"/>
        </w:rPr>
        <w:t xml:space="preserve"> who have instigated successful public engagement activities. They thus reflect</w:t>
      </w:r>
      <w:r w:rsidR="003237EB">
        <w:rPr>
          <w:rFonts w:eastAsia="Times New Roman"/>
          <w:color w:val="000000"/>
        </w:rPr>
        <w:t xml:space="preserve"> on the practical benefits and pitfalls of using anniversaries as a hook for </w:t>
      </w:r>
      <w:r w:rsidR="00DB115A">
        <w:rPr>
          <w:rFonts w:eastAsia="Times New Roman"/>
          <w:color w:val="000000"/>
        </w:rPr>
        <w:t>research</w:t>
      </w:r>
      <w:r w:rsidR="003237EB">
        <w:rPr>
          <w:rFonts w:eastAsia="Times New Roman"/>
          <w:color w:val="000000"/>
        </w:rPr>
        <w:t xml:space="preserve"> activity</w:t>
      </w:r>
      <w:r w:rsidR="00493A4A">
        <w:rPr>
          <w:rFonts w:eastAsia="Times New Roman"/>
          <w:color w:val="000000"/>
        </w:rPr>
        <w:t>, highlighting the significance of cross-collaboration and the importance</w:t>
      </w:r>
      <w:r w:rsidR="005A2DD8">
        <w:rPr>
          <w:rFonts w:eastAsia="Times New Roman"/>
          <w:color w:val="000000"/>
        </w:rPr>
        <w:t xml:space="preserve"> of adapting to non-academic contexts.</w:t>
      </w:r>
      <w:r w:rsidRPr="006A31FC">
        <w:rPr>
          <w:rFonts w:eastAsia="Times New Roman"/>
          <w:color w:val="000000"/>
        </w:rPr>
        <w:t xml:space="preserve"> The final contribution by </w:t>
      </w:r>
      <w:r w:rsidR="00CB6989">
        <w:rPr>
          <w:rFonts w:eastAsia="Times New Roman"/>
          <w:color w:val="000000"/>
        </w:rPr>
        <w:t>acclaimed</w:t>
      </w:r>
      <w:r w:rsidR="005A2DD8">
        <w:rPr>
          <w:rFonts w:eastAsia="Times New Roman"/>
          <w:color w:val="000000"/>
        </w:rPr>
        <w:t xml:space="preserve"> </w:t>
      </w:r>
      <w:r w:rsidR="00A81F30">
        <w:rPr>
          <w:rFonts w:eastAsia="Times New Roman"/>
          <w:color w:val="000000"/>
        </w:rPr>
        <w:t xml:space="preserve">author and film director </w:t>
      </w:r>
      <w:r w:rsidR="003237EB">
        <w:rPr>
          <w:rFonts w:eastAsia="Times New Roman"/>
          <w:color w:val="000000"/>
        </w:rPr>
        <w:t xml:space="preserve">Alexander </w:t>
      </w:r>
      <w:r w:rsidRPr="006A31FC">
        <w:rPr>
          <w:rFonts w:eastAsia="Times New Roman"/>
          <w:color w:val="000000"/>
        </w:rPr>
        <w:t xml:space="preserve">Kluge draws together many of the strands </w:t>
      </w:r>
      <w:r w:rsidR="00A81F30">
        <w:rPr>
          <w:rFonts w:eastAsia="Times New Roman"/>
          <w:color w:val="000000"/>
        </w:rPr>
        <w:t>in the volume in a creative piece</w:t>
      </w:r>
      <w:r w:rsidRPr="006A31FC">
        <w:rPr>
          <w:rFonts w:eastAsia="Times New Roman"/>
          <w:color w:val="000000"/>
        </w:rPr>
        <w:t xml:space="preserve">, </w:t>
      </w:r>
      <w:r w:rsidR="00A81F30">
        <w:rPr>
          <w:rFonts w:eastAsia="Times New Roman"/>
          <w:color w:val="000000"/>
        </w:rPr>
        <w:t>selected</w:t>
      </w:r>
      <w:r w:rsidRPr="006A31FC">
        <w:rPr>
          <w:rFonts w:eastAsia="Times New Roman"/>
          <w:color w:val="000000"/>
        </w:rPr>
        <w:t xml:space="preserve"> and </w:t>
      </w:r>
      <w:r w:rsidRPr="006A31FC">
        <w:rPr>
          <w:rFonts w:eastAsia="Times New Roman"/>
          <w:color w:val="000000"/>
        </w:rPr>
        <w:lastRenderedPageBreak/>
        <w:t xml:space="preserve">recorded specifically for the </w:t>
      </w:r>
      <w:r w:rsidR="00CB6989">
        <w:rPr>
          <w:rFonts w:eastAsia="Times New Roman"/>
          <w:color w:val="000000"/>
        </w:rPr>
        <w:t xml:space="preserve">annual conference of the </w:t>
      </w:r>
      <w:r w:rsidR="00A81F30">
        <w:rPr>
          <w:rFonts w:eastAsia="Times New Roman"/>
          <w:color w:val="000000"/>
        </w:rPr>
        <w:t xml:space="preserve">Association for German Studies in Great Britain and Ireland (AGS) </w:t>
      </w:r>
      <w:r w:rsidR="00CB6989">
        <w:rPr>
          <w:rFonts w:eastAsia="Times New Roman"/>
          <w:color w:val="000000"/>
        </w:rPr>
        <w:t>in 2018, the</w:t>
      </w:r>
      <w:r w:rsidRPr="006A31FC">
        <w:rPr>
          <w:rFonts w:eastAsia="Times New Roman"/>
          <w:color w:val="000000"/>
        </w:rPr>
        <w:t xml:space="preserve"> theme of</w:t>
      </w:r>
      <w:r w:rsidR="00CB6989">
        <w:rPr>
          <w:rFonts w:eastAsia="Times New Roman"/>
          <w:color w:val="000000"/>
        </w:rPr>
        <w:t xml:space="preserve"> which was</w:t>
      </w:r>
      <w:r w:rsidRPr="006A31FC">
        <w:rPr>
          <w:rFonts w:eastAsia="Times New Roman"/>
          <w:color w:val="000000"/>
        </w:rPr>
        <w:t xml:space="preserve"> ‘anniversary capital’ </w:t>
      </w:r>
      <w:r w:rsidR="00CB6989">
        <w:rPr>
          <w:rFonts w:eastAsia="Times New Roman"/>
          <w:color w:val="000000"/>
        </w:rPr>
        <w:t xml:space="preserve">(and which provided inspiration for this </w:t>
      </w:r>
      <w:r w:rsidR="00DB115A">
        <w:rPr>
          <w:rFonts w:eastAsia="Times New Roman"/>
          <w:color w:val="000000"/>
        </w:rPr>
        <w:t>special number</w:t>
      </w:r>
      <w:r w:rsidR="00CB6989">
        <w:rPr>
          <w:rFonts w:eastAsia="Times New Roman"/>
          <w:color w:val="000000"/>
        </w:rPr>
        <w:t>)</w:t>
      </w:r>
      <w:r w:rsidRPr="006A31FC">
        <w:rPr>
          <w:rFonts w:eastAsia="Times New Roman"/>
          <w:color w:val="000000"/>
        </w:rPr>
        <w:t>.</w:t>
      </w:r>
      <w:r w:rsidR="00A81F30">
        <w:rPr>
          <w:rFonts w:eastAsia="Times New Roman"/>
          <w:color w:val="000000"/>
        </w:rPr>
        <w:t xml:space="preserve"> </w:t>
      </w:r>
      <w:r w:rsidR="00CB6989">
        <w:rPr>
          <w:rFonts w:eastAsia="Times New Roman"/>
          <w:color w:val="000000"/>
        </w:rPr>
        <w:t xml:space="preserve">In </w:t>
      </w:r>
      <w:r w:rsidR="00B82166">
        <w:rPr>
          <w:rFonts w:eastAsia="Times New Roman"/>
          <w:color w:val="000000"/>
        </w:rPr>
        <w:t xml:space="preserve">his contribution, Kluge reflects </w:t>
      </w:r>
      <w:r w:rsidR="00A81F30">
        <w:rPr>
          <w:rFonts w:eastAsia="Times New Roman"/>
          <w:color w:val="000000"/>
        </w:rPr>
        <w:t xml:space="preserve">on </w:t>
      </w:r>
      <w:r w:rsidR="00B82166">
        <w:rPr>
          <w:rFonts w:eastAsia="Times New Roman"/>
          <w:color w:val="000000"/>
        </w:rPr>
        <w:t xml:space="preserve">the unknown events of 31 December 1799, </w:t>
      </w:r>
      <w:r w:rsidR="005A2DD8">
        <w:rPr>
          <w:rFonts w:eastAsia="Times New Roman"/>
          <w:color w:val="000000"/>
        </w:rPr>
        <w:t xml:space="preserve">and interrogates the ethics of poetry, asking whether a poet should report on the moments about which he knows nothing. In linking 1799 to the eve of the millennium, Kluge also draws our attention towards the capricious nature of anniversary activity. This narrative is accompanied by an interview with Kluge, conducted </w:t>
      </w:r>
      <w:r w:rsidR="00B82166">
        <w:rPr>
          <w:rFonts w:eastAsia="Times New Roman"/>
          <w:color w:val="000000"/>
        </w:rPr>
        <w:t xml:space="preserve">by Sarah </w:t>
      </w:r>
      <w:proofErr w:type="spellStart"/>
      <w:r w:rsidR="00B82166">
        <w:rPr>
          <w:rFonts w:eastAsia="Times New Roman"/>
          <w:color w:val="000000"/>
        </w:rPr>
        <w:t>Pogoda</w:t>
      </w:r>
      <w:proofErr w:type="spellEnd"/>
      <w:r w:rsidR="00B82166">
        <w:rPr>
          <w:rFonts w:eastAsia="Times New Roman"/>
          <w:color w:val="000000"/>
        </w:rPr>
        <w:t xml:space="preserve"> </w:t>
      </w:r>
      <w:r w:rsidR="005A2DD8">
        <w:rPr>
          <w:rFonts w:eastAsia="Times New Roman"/>
          <w:color w:val="000000"/>
        </w:rPr>
        <w:t>in the summer of 2018,</w:t>
      </w:r>
      <w:r w:rsidR="00B82166">
        <w:rPr>
          <w:rFonts w:eastAsia="Times New Roman"/>
          <w:color w:val="000000"/>
        </w:rPr>
        <w:t xml:space="preserve"> on the topic of anniversaries</w:t>
      </w:r>
      <w:r w:rsidR="005A2DD8">
        <w:rPr>
          <w:rFonts w:eastAsia="Times New Roman"/>
          <w:color w:val="000000"/>
        </w:rPr>
        <w:t>,</w:t>
      </w:r>
      <w:r w:rsidR="00B82166">
        <w:rPr>
          <w:rFonts w:eastAsia="Times New Roman"/>
          <w:color w:val="000000"/>
        </w:rPr>
        <w:t xml:space="preserve"> </w:t>
      </w:r>
      <w:r w:rsidR="005A2DD8">
        <w:rPr>
          <w:rFonts w:eastAsia="Times New Roman"/>
          <w:color w:val="000000"/>
        </w:rPr>
        <w:t>and which</w:t>
      </w:r>
      <w:r w:rsidR="00A81F30">
        <w:rPr>
          <w:rFonts w:eastAsia="Times New Roman"/>
          <w:color w:val="000000"/>
        </w:rPr>
        <w:t xml:space="preserve"> can be viewed on the AGS website.</w:t>
      </w:r>
      <w:r w:rsidR="00A9530E">
        <w:rPr>
          <w:rStyle w:val="EndnoteReference"/>
          <w:rFonts w:eastAsia="Times New Roman"/>
          <w:color w:val="000000"/>
        </w:rPr>
        <w:endnoteReference w:id="22"/>
      </w:r>
      <w:r w:rsidR="00A81F30">
        <w:rPr>
          <w:rFonts w:eastAsia="Times New Roman"/>
          <w:color w:val="000000"/>
        </w:rPr>
        <w:t xml:space="preserve"> </w:t>
      </w:r>
      <w:r w:rsidR="00B82166">
        <w:tab/>
      </w:r>
    </w:p>
    <w:p w14:paraId="12A2F962" w14:textId="2A3D6803" w:rsidR="005542F5" w:rsidRDefault="00B82166" w:rsidP="00005ED6">
      <w:pPr>
        <w:pStyle w:val="gmail-p1"/>
        <w:spacing w:before="0" w:beforeAutospacing="0" w:after="0" w:afterAutospacing="0" w:line="480" w:lineRule="auto"/>
        <w:jc w:val="both"/>
      </w:pPr>
      <w:r>
        <w:rPr>
          <w:rStyle w:val="gmail-s1"/>
        </w:rPr>
        <w:tab/>
      </w:r>
      <w:r w:rsidR="005A2DD8">
        <w:rPr>
          <w:rStyle w:val="gmail-s1"/>
        </w:rPr>
        <w:t>Together</w:t>
      </w:r>
      <w:r w:rsidR="00CB6989">
        <w:rPr>
          <w:rStyle w:val="gmail-s1"/>
        </w:rPr>
        <w:t>,</w:t>
      </w:r>
      <w:r w:rsidR="005A2DD8">
        <w:rPr>
          <w:rStyle w:val="gmail-s1"/>
        </w:rPr>
        <w:t xml:space="preserve"> the</w:t>
      </w:r>
      <w:r w:rsidR="006778E6">
        <w:rPr>
          <w:rStyle w:val="gmail-s1"/>
        </w:rPr>
        <w:t xml:space="preserve"> contributions </w:t>
      </w:r>
      <w:r w:rsidR="005A2DD8">
        <w:rPr>
          <w:rStyle w:val="gmail-s1"/>
        </w:rPr>
        <w:t xml:space="preserve">in this </w:t>
      </w:r>
      <w:r w:rsidR="00DB115A">
        <w:rPr>
          <w:rStyle w:val="gmail-s1"/>
        </w:rPr>
        <w:t>special number</w:t>
      </w:r>
      <w:r w:rsidR="00550790">
        <w:rPr>
          <w:rStyle w:val="gmail-s1"/>
        </w:rPr>
        <w:t xml:space="preserve"> </w:t>
      </w:r>
      <w:r w:rsidR="006778E6">
        <w:rPr>
          <w:rStyle w:val="gmail-s1"/>
        </w:rPr>
        <w:t>demonstrate the challenges of anniversary practices, yet also the significant</w:t>
      </w:r>
      <w:r w:rsidR="00B214CC">
        <w:rPr>
          <w:rStyle w:val="gmail-s1"/>
        </w:rPr>
        <w:t xml:space="preserve"> </w:t>
      </w:r>
      <w:r>
        <w:rPr>
          <w:rStyle w:val="gmail-s1"/>
        </w:rPr>
        <w:t xml:space="preserve">capital of anniversaries </w:t>
      </w:r>
      <w:r w:rsidR="006778E6">
        <w:rPr>
          <w:rStyle w:val="gmail-s1"/>
        </w:rPr>
        <w:t>today</w:t>
      </w:r>
      <w:r>
        <w:rPr>
          <w:rStyle w:val="gmail-s1"/>
        </w:rPr>
        <w:t xml:space="preserve">. While much may have changed </w:t>
      </w:r>
      <w:r w:rsidR="00190342">
        <w:rPr>
          <w:rStyle w:val="gmail-s1"/>
        </w:rPr>
        <w:t>over the past century</w:t>
      </w:r>
      <w:r>
        <w:rPr>
          <w:rStyle w:val="gmail-s1"/>
        </w:rPr>
        <w:t xml:space="preserve">, one element </w:t>
      </w:r>
      <w:r w:rsidR="00B214CC">
        <w:rPr>
          <w:rStyle w:val="gmail-s1"/>
        </w:rPr>
        <w:t xml:space="preserve">highlighted by the notion of capital </w:t>
      </w:r>
      <w:r>
        <w:rPr>
          <w:rStyle w:val="gmail-s1"/>
        </w:rPr>
        <w:t xml:space="preserve">remains constant: </w:t>
      </w:r>
      <w:r w:rsidR="00550790">
        <w:rPr>
          <w:rStyle w:val="gmail-s1"/>
        </w:rPr>
        <w:t xml:space="preserve">that </w:t>
      </w:r>
      <w:r>
        <w:rPr>
          <w:rStyle w:val="gmail-s1"/>
        </w:rPr>
        <w:t xml:space="preserve">anniversary activity </w:t>
      </w:r>
      <w:r w:rsidR="00190342">
        <w:rPr>
          <w:rStyle w:val="gmail-s1"/>
        </w:rPr>
        <w:t>remains allied to power – whether economic, po</w:t>
      </w:r>
      <w:r w:rsidR="00113986">
        <w:rPr>
          <w:rStyle w:val="gmail-s1"/>
        </w:rPr>
        <w:t>litical, social,</w:t>
      </w:r>
      <w:r w:rsidR="00190342">
        <w:rPr>
          <w:rStyle w:val="gmail-s1"/>
        </w:rPr>
        <w:t xml:space="preserve"> cultural </w:t>
      </w:r>
      <w:r w:rsidR="00113986">
        <w:rPr>
          <w:rStyle w:val="gmail-s1"/>
        </w:rPr>
        <w:t xml:space="preserve">or emotional </w:t>
      </w:r>
      <w:r w:rsidR="00190342">
        <w:rPr>
          <w:rStyle w:val="gmail-s1"/>
        </w:rPr>
        <w:t xml:space="preserve">(or, most likely, a </w:t>
      </w:r>
      <w:r w:rsidR="00113986">
        <w:rPr>
          <w:rStyle w:val="gmail-s1"/>
        </w:rPr>
        <w:t>combination</w:t>
      </w:r>
      <w:r w:rsidR="00190342">
        <w:rPr>
          <w:rStyle w:val="gmail-s1"/>
        </w:rPr>
        <w:t xml:space="preserve"> of these). T</w:t>
      </w:r>
      <w:r>
        <w:rPr>
          <w:rStyle w:val="gmail-s1"/>
        </w:rPr>
        <w:t>he diversification</w:t>
      </w:r>
      <w:r w:rsidR="00113986">
        <w:rPr>
          <w:rStyle w:val="gmail-s1"/>
        </w:rPr>
        <w:t>, democratisation</w:t>
      </w:r>
      <w:r>
        <w:rPr>
          <w:rStyle w:val="gmail-s1"/>
        </w:rPr>
        <w:t xml:space="preserve"> and decentralisation </w:t>
      </w:r>
      <w:r w:rsidR="00113986">
        <w:rPr>
          <w:rStyle w:val="gmail-s1"/>
        </w:rPr>
        <w:t xml:space="preserve">of memory </w:t>
      </w:r>
      <w:r w:rsidR="005A2DD8">
        <w:rPr>
          <w:rStyle w:val="gmail-s1"/>
        </w:rPr>
        <w:t xml:space="preserve">noted by several contributors </w:t>
      </w:r>
      <w:r w:rsidR="00113986">
        <w:rPr>
          <w:rStyle w:val="gmail-s1"/>
        </w:rPr>
        <w:t xml:space="preserve">is, </w:t>
      </w:r>
      <w:r w:rsidR="005A2DD8">
        <w:rPr>
          <w:rStyle w:val="gmail-s1"/>
        </w:rPr>
        <w:t>of course</w:t>
      </w:r>
      <w:r w:rsidR="00113986">
        <w:rPr>
          <w:rStyle w:val="gmail-s1"/>
        </w:rPr>
        <w:t xml:space="preserve">, </w:t>
      </w:r>
      <w:r w:rsidR="005A2DD8">
        <w:rPr>
          <w:rStyle w:val="gmail-s1"/>
        </w:rPr>
        <w:t>a</w:t>
      </w:r>
      <w:r w:rsidR="00550790">
        <w:rPr>
          <w:rStyle w:val="gmail-s1"/>
        </w:rPr>
        <w:t xml:space="preserve"> direct result of</w:t>
      </w:r>
      <w:r w:rsidR="00113986">
        <w:rPr>
          <w:rStyle w:val="gmail-s1"/>
        </w:rPr>
        <w:t xml:space="preserve"> centralised narratives – and associated narratives of power –</w:t>
      </w:r>
      <w:r w:rsidR="00550790">
        <w:rPr>
          <w:rStyle w:val="gmail-s1"/>
        </w:rPr>
        <w:t xml:space="preserve"> </w:t>
      </w:r>
      <w:r w:rsidR="00113986">
        <w:rPr>
          <w:rStyle w:val="gmail-s1"/>
        </w:rPr>
        <w:t>being</w:t>
      </w:r>
      <w:r w:rsidR="00550790">
        <w:rPr>
          <w:rStyle w:val="gmail-s1"/>
        </w:rPr>
        <w:t xml:space="preserve"> increasingly</w:t>
      </w:r>
      <w:r w:rsidR="00113986">
        <w:rPr>
          <w:rStyle w:val="gmail-s1"/>
        </w:rPr>
        <w:t xml:space="preserve"> challenged.</w:t>
      </w:r>
      <w:r>
        <w:rPr>
          <w:rStyle w:val="gmail-s1"/>
        </w:rPr>
        <w:t xml:space="preserve"> </w:t>
      </w:r>
      <w:r w:rsidR="00113986">
        <w:rPr>
          <w:rStyle w:val="gmail-s1"/>
        </w:rPr>
        <w:t>As</w:t>
      </w:r>
      <w:r w:rsidR="00CB6989">
        <w:rPr>
          <w:rStyle w:val="gmail-s1"/>
        </w:rPr>
        <w:t xml:space="preserve"> also</w:t>
      </w:r>
      <w:r w:rsidR="00113986">
        <w:rPr>
          <w:rStyle w:val="gmail-s1"/>
        </w:rPr>
        <w:t xml:space="preserve"> </w:t>
      </w:r>
      <w:r w:rsidR="005A2DD8">
        <w:rPr>
          <w:rStyle w:val="gmail-s1"/>
        </w:rPr>
        <w:t>highlighted</w:t>
      </w:r>
      <w:r w:rsidR="00CB6989">
        <w:rPr>
          <w:rStyle w:val="gmail-s1"/>
        </w:rPr>
        <w:t>,</w:t>
      </w:r>
      <w:r w:rsidR="005A2DD8">
        <w:rPr>
          <w:rStyle w:val="gmail-s1"/>
        </w:rPr>
        <w:t xml:space="preserve"> </w:t>
      </w:r>
      <w:r w:rsidR="00113986">
        <w:rPr>
          <w:rStyle w:val="gmail-s1"/>
        </w:rPr>
        <w:t xml:space="preserve">however, </w:t>
      </w:r>
      <w:r w:rsidR="002A44FD">
        <w:rPr>
          <w:rStyle w:val="gmail-s1"/>
        </w:rPr>
        <w:t xml:space="preserve">such challenges come from across the political spectrum, and the </w:t>
      </w:r>
      <w:r w:rsidR="005542F5" w:rsidRPr="005542F5">
        <w:rPr>
          <w:rStyle w:val="gmail-s1"/>
        </w:rPr>
        <w:t>anniversary</w:t>
      </w:r>
      <w:r w:rsidR="002A44FD" w:rsidRPr="005542F5">
        <w:rPr>
          <w:rStyle w:val="gmail-s1"/>
        </w:rPr>
        <w:t xml:space="preserve"> capital</w:t>
      </w:r>
      <w:r w:rsidR="002A44FD">
        <w:rPr>
          <w:rStyle w:val="gmail-s1"/>
        </w:rPr>
        <w:t xml:space="preserve"> of the past is </w:t>
      </w:r>
      <w:r w:rsidR="00CB6989">
        <w:rPr>
          <w:rStyle w:val="gmail-s1"/>
        </w:rPr>
        <w:t xml:space="preserve">being </w:t>
      </w:r>
      <w:r w:rsidR="00550790">
        <w:rPr>
          <w:rStyle w:val="gmail-s1"/>
        </w:rPr>
        <w:t xml:space="preserve">increasingly </w:t>
      </w:r>
      <w:r w:rsidR="002A44FD">
        <w:rPr>
          <w:rStyle w:val="gmail-s1"/>
        </w:rPr>
        <w:t>harnessed by</w:t>
      </w:r>
      <w:r w:rsidR="00113986">
        <w:rPr>
          <w:rStyle w:val="gmail-s1"/>
        </w:rPr>
        <w:t xml:space="preserve"> </w:t>
      </w:r>
      <w:r w:rsidR="003565DC">
        <w:rPr>
          <w:rStyle w:val="gmail-s1"/>
        </w:rPr>
        <w:t>right-wing populist</w:t>
      </w:r>
      <w:r w:rsidR="00113986">
        <w:rPr>
          <w:rStyle w:val="gmail-s1"/>
        </w:rPr>
        <w:t xml:space="preserve"> and nationalist movements</w:t>
      </w:r>
      <w:r w:rsidR="002A44FD">
        <w:rPr>
          <w:rStyle w:val="gmail-s1"/>
        </w:rPr>
        <w:t xml:space="preserve">. </w:t>
      </w:r>
      <w:r w:rsidR="003565DC">
        <w:rPr>
          <w:rStyle w:val="gmail-s1"/>
        </w:rPr>
        <w:t>How</w:t>
      </w:r>
      <w:r w:rsidR="005A2DD8">
        <w:rPr>
          <w:rStyle w:val="gmail-s1"/>
        </w:rPr>
        <w:t xml:space="preserve"> exactly</w:t>
      </w:r>
      <w:r w:rsidR="003565DC">
        <w:rPr>
          <w:rStyle w:val="gmail-s1"/>
        </w:rPr>
        <w:t xml:space="preserve"> the future capital of anniversaries will be </w:t>
      </w:r>
      <w:r w:rsidR="00CB6989">
        <w:rPr>
          <w:rStyle w:val="gmail-s1"/>
        </w:rPr>
        <w:t>appropriated</w:t>
      </w:r>
      <w:r w:rsidR="003565DC">
        <w:rPr>
          <w:rStyle w:val="gmail-s1"/>
        </w:rPr>
        <w:t xml:space="preserve"> remains to be seen, but </w:t>
      </w:r>
      <w:r w:rsidR="005A2DD8">
        <w:rPr>
          <w:rStyle w:val="gmail-s1"/>
        </w:rPr>
        <w:t xml:space="preserve">they </w:t>
      </w:r>
      <w:r w:rsidR="00CB6989">
        <w:rPr>
          <w:rStyle w:val="gmail-s1"/>
        </w:rPr>
        <w:t>will doubtless continue to function as</w:t>
      </w:r>
      <w:r w:rsidR="005A2DD8">
        <w:rPr>
          <w:rStyle w:val="gmail-s1"/>
        </w:rPr>
        <w:t xml:space="preserve"> significant drivers in society. </w:t>
      </w:r>
      <w:r w:rsidR="00CB6989">
        <w:rPr>
          <w:rStyle w:val="gmail-s1"/>
        </w:rPr>
        <w:t>Above all</w:t>
      </w:r>
      <w:r w:rsidR="005A2DD8">
        <w:rPr>
          <w:rStyle w:val="gmail-s1"/>
        </w:rPr>
        <w:t>, as</w:t>
      </w:r>
      <w:r w:rsidR="00190342">
        <w:rPr>
          <w:rStyle w:val="gmail-s1"/>
        </w:rPr>
        <w:t xml:space="preserve"> this collection attests</w:t>
      </w:r>
      <w:r w:rsidR="00B9577F">
        <w:rPr>
          <w:rStyle w:val="gmail-s1"/>
        </w:rPr>
        <w:t xml:space="preserve">, the </w:t>
      </w:r>
      <w:r w:rsidR="005A2DD8">
        <w:rPr>
          <w:rStyle w:val="gmail-s1"/>
        </w:rPr>
        <w:t xml:space="preserve">study of </w:t>
      </w:r>
      <w:r w:rsidR="00B214CC">
        <w:rPr>
          <w:rStyle w:val="gmail-s1"/>
        </w:rPr>
        <w:t>anniversary</w:t>
      </w:r>
      <w:r w:rsidR="005A2DD8">
        <w:rPr>
          <w:rStyle w:val="gmail-s1"/>
        </w:rPr>
        <w:t xml:space="preserve"> activity remains valuable</w:t>
      </w:r>
      <w:r w:rsidR="00550790">
        <w:rPr>
          <w:rStyle w:val="gmail-s1"/>
        </w:rPr>
        <w:t>, for</w:t>
      </w:r>
      <w:r w:rsidR="00190342">
        <w:rPr>
          <w:rStyle w:val="gmail-s1"/>
        </w:rPr>
        <w:t xml:space="preserve"> </w:t>
      </w:r>
      <w:r w:rsidR="00B214CC" w:rsidRPr="00B214CC">
        <w:rPr>
          <w:rStyle w:val="gmail-s1"/>
        </w:rPr>
        <w:t>commemorative</w:t>
      </w:r>
      <w:r w:rsidR="00190342" w:rsidRPr="00B214CC">
        <w:rPr>
          <w:rStyle w:val="gmail-s1"/>
        </w:rPr>
        <w:t xml:space="preserve"> practices</w:t>
      </w:r>
      <w:r w:rsidR="00190342">
        <w:rPr>
          <w:rStyle w:val="gmail-s1"/>
        </w:rPr>
        <w:t xml:space="preserve"> themselves shape anniversary narratives </w:t>
      </w:r>
      <w:r w:rsidR="003565DC">
        <w:rPr>
          <w:rStyle w:val="gmail-s1"/>
        </w:rPr>
        <w:t xml:space="preserve">and their subsequent iterations. </w:t>
      </w:r>
      <w:bookmarkStart w:id="0" w:name="_GoBack"/>
      <w:bookmarkEnd w:id="0"/>
    </w:p>
    <w:p w14:paraId="3E48D6E8" w14:textId="77777777" w:rsidR="005542F5" w:rsidRPr="006A31FC" w:rsidRDefault="005542F5" w:rsidP="00005ED6">
      <w:pPr>
        <w:pStyle w:val="gmail-p1"/>
        <w:spacing w:before="0" w:beforeAutospacing="0" w:after="0" w:afterAutospacing="0" w:line="480" w:lineRule="auto"/>
        <w:jc w:val="both"/>
      </w:pPr>
    </w:p>
    <w:sectPr w:rsidR="005542F5" w:rsidRPr="006A31FC" w:rsidSect="0063465D">
      <w:footerReference w:type="even" r:id="rId7"/>
      <w:footerReference w:type="default" r:id="rId8"/>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0868A" w14:textId="77777777" w:rsidR="006E0724" w:rsidRDefault="006E0724" w:rsidP="00C7371D">
      <w:r>
        <w:separator/>
      </w:r>
    </w:p>
  </w:endnote>
  <w:endnote w:type="continuationSeparator" w:id="0">
    <w:p w14:paraId="4B886218" w14:textId="77777777" w:rsidR="006E0724" w:rsidRDefault="006E0724" w:rsidP="00C7371D">
      <w:r>
        <w:continuationSeparator/>
      </w:r>
    </w:p>
  </w:endnote>
  <w:endnote w:id="1">
    <w:p w14:paraId="6214A3BB" w14:textId="77777777" w:rsidR="00B62C94" w:rsidRPr="00B62C94" w:rsidRDefault="00B62C94" w:rsidP="00B62C94">
      <w:pPr>
        <w:pStyle w:val="EndnoteText"/>
        <w:spacing w:line="480" w:lineRule="auto"/>
        <w:rPr>
          <w:rFonts w:ascii="Times New Roman" w:hAnsi="Times New Roman" w:cs="Times New Roman"/>
        </w:rPr>
      </w:pPr>
      <w:r w:rsidRPr="004525CC">
        <w:rPr>
          <w:rStyle w:val="EndnoteReference"/>
          <w:rFonts w:ascii="Times New Roman" w:hAnsi="Times New Roman" w:cs="Times New Roman"/>
          <w:vertAlign w:val="baseline"/>
        </w:rPr>
        <w:endnoteRef/>
      </w:r>
      <w:r w:rsidRPr="004525CC">
        <w:rPr>
          <w:rFonts w:ascii="Times New Roman" w:hAnsi="Times New Roman" w:cs="Times New Roman"/>
        </w:rPr>
        <w:t xml:space="preserve"> See </w:t>
      </w:r>
      <w:r>
        <w:rPr>
          <w:rFonts w:ascii="Times New Roman" w:hAnsi="Times New Roman" w:cs="Times New Roman"/>
        </w:rPr>
        <w:t xml:space="preserve">David Berliner, ‘The Abuses of Memory: Reflections on the Memory Boom in Anthropology’, </w:t>
      </w:r>
      <w:r>
        <w:rPr>
          <w:rFonts w:ascii="Times New Roman" w:hAnsi="Times New Roman" w:cs="Times New Roman"/>
          <w:i/>
          <w:iCs/>
        </w:rPr>
        <w:t>Anthropology Quarterly</w:t>
      </w:r>
      <w:r>
        <w:rPr>
          <w:rFonts w:ascii="Times New Roman" w:hAnsi="Times New Roman" w:cs="Times New Roman"/>
        </w:rPr>
        <w:t xml:space="preserve"> 78/1 (2005), 197-211; </w:t>
      </w:r>
      <w:proofErr w:type="spellStart"/>
      <w:r>
        <w:rPr>
          <w:rFonts w:ascii="Times New Roman" w:hAnsi="Times New Roman" w:cs="Times New Roman"/>
        </w:rPr>
        <w:t>Kerwin</w:t>
      </w:r>
      <w:proofErr w:type="spellEnd"/>
      <w:r>
        <w:rPr>
          <w:rFonts w:ascii="Times New Roman" w:hAnsi="Times New Roman" w:cs="Times New Roman"/>
        </w:rPr>
        <w:t xml:space="preserve"> Lee Klein, ‘On the Emergence of Memory in Historical Discourse’, </w:t>
      </w:r>
      <w:r>
        <w:rPr>
          <w:rFonts w:ascii="Times New Roman" w:hAnsi="Times New Roman" w:cs="Times New Roman"/>
          <w:i/>
          <w:iCs/>
        </w:rPr>
        <w:t>Representations</w:t>
      </w:r>
      <w:r>
        <w:rPr>
          <w:rFonts w:ascii="Times New Roman" w:hAnsi="Times New Roman" w:cs="Times New Roman"/>
        </w:rPr>
        <w:t xml:space="preserve">, 69 (2000), 127-50; Jay Winter, ‘The Generation of Memory: Reflections on the “Memory Boom” in Contemporary Historical Studies’ </w:t>
      </w:r>
      <w:r>
        <w:rPr>
          <w:rFonts w:ascii="Times New Roman" w:hAnsi="Times New Roman" w:cs="Times New Roman"/>
          <w:i/>
          <w:iCs/>
        </w:rPr>
        <w:t>Bulletin of the German Historical Institute</w:t>
      </w:r>
      <w:r>
        <w:rPr>
          <w:rFonts w:ascii="Times New Roman" w:hAnsi="Times New Roman" w:cs="Times New Roman"/>
        </w:rPr>
        <w:t xml:space="preserve">, 27/3 (2000), 69-92; David W. Blight, ‘The Memory Boom: Why and Why Now?’, in </w:t>
      </w:r>
      <w:r w:rsidRPr="00B62C94">
        <w:rPr>
          <w:rFonts w:ascii="Times New Roman" w:hAnsi="Times New Roman" w:cs="Times New Roman"/>
          <w:i/>
          <w:iCs/>
        </w:rPr>
        <w:t>Memory in Mind and Culture</w:t>
      </w:r>
      <w:r>
        <w:rPr>
          <w:rFonts w:ascii="Times New Roman" w:hAnsi="Times New Roman" w:cs="Times New Roman"/>
        </w:rPr>
        <w:t>,</w:t>
      </w:r>
      <w:r>
        <w:rPr>
          <w:rFonts w:ascii="Times New Roman" w:hAnsi="Times New Roman" w:cs="Times New Roman"/>
          <w:i/>
          <w:iCs/>
        </w:rPr>
        <w:t xml:space="preserve"> </w:t>
      </w:r>
      <w:r>
        <w:rPr>
          <w:rFonts w:ascii="Times New Roman" w:hAnsi="Times New Roman" w:cs="Times New Roman"/>
        </w:rPr>
        <w:t xml:space="preserve">ed. Pascal Boyer and James V. </w:t>
      </w:r>
      <w:proofErr w:type="spellStart"/>
      <w:r>
        <w:rPr>
          <w:rFonts w:ascii="Times New Roman" w:hAnsi="Times New Roman" w:cs="Times New Roman"/>
        </w:rPr>
        <w:t>Wertsch</w:t>
      </w:r>
      <w:proofErr w:type="spellEnd"/>
      <w:r>
        <w:rPr>
          <w:rFonts w:ascii="Times New Roman" w:hAnsi="Times New Roman" w:cs="Times New Roman"/>
        </w:rPr>
        <w:t>, Cambridge 2012, pp. 238-51.</w:t>
      </w:r>
    </w:p>
  </w:endnote>
  <w:endnote w:id="2">
    <w:p w14:paraId="11F1FE39" w14:textId="211E23D9" w:rsidR="00F748E8" w:rsidRPr="001C5C16" w:rsidRDefault="00F748E8" w:rsidP="001C5C16">
      <w:pPr>
        <w:pStyle w:val="EndnoteText"/>
        <w:spacing w:line="480" w:lineRule="auto"/>
        <w:rPr>
          <w:rFonts w:ascii="Times New Roman" w:hAnsi="Times New Roman" w:cs="Times New Roman"/>
        </w:rPr>
      </w:pPr>
      <w:r w:rsidRPr="004525CC">
        <w:rPr>
          <w:rStyle w:val="EndnoteReference"/>
          <w:rFonts w:ascii="Times New Roman" w:hAnsi="Times New Roman" w:cs="Times New Roman"/>
          <w:vertAlign w:val="baseline"/>
        </w:rPr>
        <w:endnoteRef/>
      </w:r>
      <w:r w:rsidRPr="004525CC">
        <w:rPr>
          <w:rFonts w:ascii="Times New Roman" w:hAnsi="Times New Roman" w:cs="Times New Roman"/>
        </w:rPr>
        <w:t xml:space="preserve"> See, for example, </w:t>
      </w:r>
      <w:proofErr w:type="spellStart"/>
      <w:r w:rsidRPr="004525CC">
        <w:rPr>
          <w:rFonts w:ascii="Times New Roman" w:hAnsi="Times New Roman" w:cs="Times New Roman"/>
        </w:rPr>
        <w:t>Gavriel</w:t>
      </w:r>
      <w:proofErr w:type="spellEnd"/>
      <w:r w:rsidRPr="004525CC">
        <w:rPr>
          <w:rFonts w:ascii="Times New Roman" w:hAnsi="Times New Roman" w:cs="Times New Roman"/>
        </w:rPr>
        <w:t xml:space="preserve"> D. Rosenfeld, ‘A Looming Crash or a Soft Landing? Forecasting the Future of the Memory “Industry”’</w:t>
      </w:r>
      <w:r w:rsidR="004525CC" w:rsidRPr="004525CC">
        <w:rPr>
          <w:rFonts w:ascii="Times New Roman" w:hAnsi="Times New Roman" w:cs="Times New Roman"/>
        </w:rPr>
        <w:t xml:space="preserve">, </w:t>
      </w:r>
      <w:r w:rsidR="004525CC" w:rsidRPr="004525CC">
        <w:rPr>
          <w:rFonts w:ascii="Times New Roman" w:hAnsi="Times New Roman" w:cs="Times New Roman"/>
          <w:i/>
          <w:iCs/>
        </w:rPr>
        <w:t>Journal of Modern History</w:t>
      </w:r>
      <w:r w:rsidR="004525CC" w:rsidRPr="004525CC">
        <w:rPr>
          <w:rFonts w:ascii="Times New Roman" w:hAnsi="Times New Roman" w:cs="Times New Roman"/>
        </w:rPr>
        <w:t xml:space="preserve">, 81 </w:t>
      </w:r>
      <w:r w:rsidR="004525CC" w:rsidRPr="001C5C16">
        <w:rPr>
          <w:rFonts w:ascii="Times New Roman" w:hAnsi="Times New Roman" w:cs="Times New Roman"/>
        </w:rPr>
        <w:t>(2009), 122-58.</w:t>
      </w:r>
    </w:p>
  </w:endnote>
  <w:endnote w:id="3">
    <w:p w14:paraId="0691E96D" w14:textId="4FF92DAE" w:rsidR="001C5C16" w:rsidRPr="00CC3C3D" w:rsidRDefault="001C5C16" w:rsidP="00CC3C3D">
      <w:pPr>
        <w:spacing w:line="480" w:lineRule="auto"/>
        <w:rPr>
          <w:rFonts w:ascii="Times New Roman" w:hAnsi="Times New Roman" w:cs="Times New Roman"/>
        </w:rPr>
      </w:pPr>
      <w:r w:rsidRPr="001C5C16">
        <w:rPr>
          <w:rStyle w:val="EndnoteReference"/>
          <w:rFonts w:ascii="Times New Roman" w:hAnsi="Times New Roman" w:cs="Times New Roman"/>
          <w:vertAlign w:val="baseline"/>
        </w:rPr>
        <w:endnoteRef/>
      </w:r>
      <w:r w:rsidRPr="001C5C16">
        <w:rPr>
          <w:rFonts w:ascii="Times New Roman" w:hAnsi="Times New Roman" w:cs="Times New Roman"/>
        </w:rPr>
        <w:t xml:space="preserve"> E.g. Trisha Andres, ‘The 10 best First World War battlefield tours’, </w:t>
      </w:r>
      <w:r w:rsidRPr="001C5C16">
        <w:rPr>
          <w:rFonts w:ascii="Times New Roman" w:hAnsi="Times New Roman" w:cs="Times New Roman"/>
          <w:i/>
          <w:iCs/>
        </w:rPr>
        <w:t>The Telegraph</w:t>
      </w:r>
      <w:r w:rsidRPr="001C5C16">
        <w:rPr>
          <w:rFonts w:ascii="Times New Roman" w:hAnsi="Times New Roman" w:cs="Times New Roman"/>
        </w:rPr>
        <w:t xml:space="preserve">, 31 July 2017, </w:t>
      </w:r>
      <w:hyperlink r:id="rId1" w:history="1">
        <w:r w:rsidRPr="001C5C16">
          <w:rPr>
            <w:rStyle w:val="Hyperlink"/>
            <w:rFonts w:ascii="Times New Roman" w:hAnsi="Times New Roman" w:cs="Times New Roman"/>
          </w:rPr>
          <w:t>https://www.telegraph.co.uk/travel/tours/best-first-world-war-battlefield-tours/</w:t>
        </w:r>
      </w:hyperlink>
      <w:r w:rsidRPr="001C5C16">
        <w:rPr>
          <w:rFonts w:ascii="Times New Roman" w:hAnsi="Times New Roman" w:cs="Times New Roman"/>
        </w:rPr>
        <w:t xml:space="preserve">; Context </w:t>
      </w:r>
      <w:r w:rsidR="00FB6F48">
        <w:rPr>
          <w:rFonts w:ascii="Times New Roman" w:hAnsi="Times New Roman" w:cs="Times New Roman"/>
        </w:rPr>
        <w:t>t</w:t>
      </w:r>
      <w:r w:rsidRPr="001C5C16">
        <w:rPr>
          <w:rFonts w:ascii="Times New Roman" w:hAnsi="Times New Roman" w:cs="Times New Roman"/>
        </w:rPr>
        <w:t xml:space="preserve">ravel, ‘Berlin Wall 30-Year Anniversary Package’, </w:t>
      </w:r>
      <w:hyperlink r:id="rId2" w:history="1">
        <w:r w:rsidRPr="001C5C16">
          <w:rPr>
            <w:rStyle w:val="Hyperlink"/>
            <w:rFonts w:ascii="Times New Roman" w:hAnsi="Times New Roman" w:cs="Times New Roman"/>
          </w:rPr>
          <w:t>https://www.contexttravel.com/cities/berlin/tours/fall-of-the-berlin-wall-30-year-anniversary-tour</w:t>
        </w:r>
      </w:hyperlink>
      <w:r w:rsidRPr="001C5C16">
        <w:rPr>
          <w:rFonts w:ascii="Times New Roman" w:hAnsi="Times New Roman" w:cs="Times New Roman"/>
        </w:rPr>
        <w:t>; Leger holidays, ‘The Fall of the Berlin Wall – 30</w:t>
      </w:r>
      <w:r w:rsidRPr="001C5C16">
        <w:rPr>
          <w:rFonts w:ascii="Times New Roman" w:hAnsi="Times New Roman" w:cs="Times New Roman"/>
          <w:vertAlign w:val="superscript"/>
        </w:rPr>
        <w:t>th</w:t>
      </w:r>
      <w:r w:rsidRPr="001C5C16">
        <w:rPr>
          <w:rFonts w:ascii="Times New Roman" w:hAnsi="Times New Roman" w:cs="Times New Roman"/>
        </w:rPr>
        <w:t xml:space="preserve"> Anniversary’, </w:t>
      </w:r>
      <w:hyperlink r:id="rId3" w:history="1">
        <w:r w:rsidRPr="001C5C16">
          <w:rPr>
            <w:rStyle w:val="Hyperlink"/>
            <w:rFonts w:ascii="Times New Roman" w:hAnsi="Times New Roman" w:cs="Times New Roman"/>
          </w:rPr>
          <w:t>https://www.leger.co.uk/battlefields/tours/the-fall-of-the-berlin-wall-30th-anniversary</w:t>
        </w:r>
      </w:hyperlink>
      <w:r>
        <w:rPr>
          <w:rFonts w:ascii="Times New Roman" w:hAnsi="Times New Roman" w:cs="Times New Roman"/>
        </w:rPr>
        <w:t xml:space="preserve"> </w:t>
      </w:r>
      <w:r w:rsidRPr="00CC3C3D">
        <w:rPr>
          <w:rFonts w:ascii="Times New Roman" w:hAnsi="Times New Roman" w:cs="Times New Roman"/>
        </w:rPr>
        <w:t>(all three links accessed 7 January 2020).</w:t>
      </w:r>
    </w:p>
  </w:endnote>
  <w:endnote w:id="4">
    <w:p w14:paraId="73711954" w14:textId="74BBB34D" w:rsidR="00CC3C3D" w:rsidRPr="0045643C" w:rsidRDefault="00CC3C3D" w:rsidP="00CC3C3D">
      <w:pPr>
        <w:pStyle w:val="EndnoteText"/>
        <w:spacing w:line="480" w:lineRule="auto"/>
        <w:rPr>
          <w:rFonts w:ascii="Times New Roman" w:hAnsi="Times New Roman" w:cs="Times New Roman"/>
        </w:rPr>
      </w:pPr>
      <w:r w:rsidRPr="00CC3C3D">
        <w:rPr>
          <w:rStyle w:val="EndnoteReference"/>
          <w:rFonts w:ascii="Times New Roman" w:hAnsi="Times New Roman" w:cs="Times New Roman"/>
          <w:vertAlign w:val="baseline"/>
        </w:rPr>
        <w:endnoteRef/>
      </w:r>
      <w:r w:rsidRPr="00CC3C3D">
        <w:rPr>
          <w:rFonts w:ascii="Times New Roman" w:hAnsi="Times New Roman" w:cs="Times New Roman"/>
        </w:rPr>
        <w:t xml:space="preserve"> </w:t>
      </w:r>
      <w:r w:rsidR="00106CBE">
        <w:rPr>
          <w:rFonts w:ascii="Times New Roman" w:hAnsi="Times New Roman" w:cs="Times New Roman"/>
        </w:rPr>
        <w:t>Demonstrated most recently, for example, by the wealth of scholarship on the First World War centenary,</w:t>
      </w:r>
      <w:r w:rsidR="00885D0E">
        <w:rPr>
          <w:rFonts w:ascii="Times New Roman" w:hAnsi="Times New Roman" w:cs="Times New Roman"/>
        </w:rPr>
        <w:t xml:space="preserve"> </w:t>
      </w:r>
      <w:r w:rsidR="00D10A8F">
        <w:rPr>
          <w:rFonts w:ascii="Times New Roman" w:hAnsi="Times New Roman" w:cs="Times New Roman"/>
        </w:rPr>
        <w:t>including (amongst many others)</w:t>
      </w:r>
      <w:r w:rsidR="00106CBE">
        <w:rPr>
          <w:rFonts w:ascii="Times New Roman" w:hAnsi="Times New Roman" w:cs="Times New Roman"/>
        </w:rPr>
        <w:t xml:space="preserve"> </w:t>
      </w:r>
      <w:r w:rsidR="00662485">
        <w:rPr>
          <w:rFonts w:ascii="Times New Roman" w:hAnsi="Times New Roman" w:cs="Times New Roman"/>
        </w:rPr>
        <w:t xml:space="preserve">Shanti </w:t>
      </w:r>
      <w:proofErr w:type="spellStart"/>
      <w:r w:rsidR="00662485">
        <w:rPr>
          <w:rFonts w:ascii="Times New Roman" w:hAnsi="Times New Roman" w:cs="Times New Roman"/>
        </w:rPr>
        <w:t>Sumartojo</w:t>
      </w:r>
      <w:proofErr w:type="spellEnd"/>
      <w:r w:rsidR="00662485">
        <w:rPr>
          <w:rFonts w:ascii="Times New Roman" w:hAnsi="Times New Roman" w:cs="Times New Roman"/>
        </w:rPr>
        <w:t xml:space="preserve"> and Benn </w:t>
      </w:r>
      <w:proofErr w:type="spellStart"/>
      <w:r w:rsidR="00662485">
        <w:rPr>
          <w:rFonts w:ascii="Times New Roman" w:hAnsi="Times New Roman" w:cs="Times New Roman"/>
        </w:rPr>
        <w:t>Wellings</w:t>
      </w:r>
      <w:proofErr w:type="spellEnd"/>
      <w:r w:rsidR="00662485">
        <w:rPr>
          <w:rFonts w:ascii="Times New Roman" w:hAnsi="Times New Roman" w:cs="Times New Roman"/>
        </w:rPr>
        <w:t xml:space="preserve"> (ed</w:t>
      </w:r>
      <w:r w:rsidR="00885D0E">
        <w:rPr>
          <w:rFonts w:ascii="Times New Roman" w:hAnsi="Times New Roman" w:cs="Times New Roman"/>
        </w:rPr>
        <w:t>s</w:t>
      </w:r>
      <w:r w:rsidR="00662485">
        <w:rPr>
          <w:rFonts w:ascii="Times New Roman" w:hAnsi="Times New Roman" w:cs="Times New Roman"/>
        </w:rPr>
        <w:t xml:space="preserve">), </w:t>
      </w:r>
      <w:r w:rsidR="00662485">
        <w:rPr>
          <w:rFonts w:ascii="Times New Roman" w:hAnsi="Times New Roman" w:cs="Times New Roman"/>
          <w:i/>
          <w:iCs/>
        </w:rPr>
        <w:t>Nation, Memory and Great War Commemoration. Mobilizing the Past in Europe, Australia and New Zealand</w:t>
      </w:r>
      <w:r w:rsidR="00D10A8F">
        <w:rPr>
          <w:rFonts w:ascii="Times New Roman" w:hAnsi="Times New Roman" w:cs="Times New Roman"/>
        </w:rPr>
        <w:t>,</w:t>
      </w:r>
      <w:r w:rsidR="00662485">
        <w:rPr>
          <w:rFonts w:ascii="Times New Roman" w:hAnsi="Times New Roman" w:cs="Times New Roman"/>
          <w:i/>
          <w:iCs/>
        </w:rPr>
        <w:t xml:space="preserve"> </w:t>
      </w:r>
      <w:r w:rsidR="00662485">
        <w:rPr>
          <w:rFonts w:ascii="Times New Roman" w:hAnsi="Times New Roman" w:cs="Times New Roman"/>
        </w:rPr>
        <w:t>Bern 2014</w:t>
      </w:r>
      <w:r w:rsidR="00885D0E">
        <w:rPr>
          <w:rFonts w:ascii="Times New Roman" w:hAnsi="Times New Roman" w:cs="Times New Roman"/>
        </w:rPr>
        <w:t xml:space="preserve">; Bart </w:t>
      </w:r>
      <w:proofErr w:type="spellStart"/>
      <w:r w:rsidR="00885D0E">
        <w:rPr>
          <w:rFonts w:ascii="Times New Roman" w:hAnsi="Times New Roman" w:cs="Times New Roman"/>
        </w:rPr>
        <w:t>Ziino</w:t>
      </w:r>
      <w:proofErr w:type="spellEnd"/>
      <w:r w:rsidR="00885D0E">
        <w:rPr>
          <w:rFonts w:ascii="Times New Roman" w:hAnsi="Times New Roman" w:cs="Times New Roman"/>
        </w:rPr>
        <w:t xml:space="preserve">, </w:t>
      </w:r>
      <w:r w:rsidR="00885D0E">
        <w:rPr>
          <w:rFonts w:ascii="Times New Roman" w:hAnsi="Times New Roman" w:cs="Times New Roman"/>
          <w:i/>
          <w:iCs/>
        </w:rPr>
        <w:t>Remembering the First World War</w:t>
      </w:r>
      <w:r w:rsidR="00885D0E">
        <w:rPr>
          <w:rFonts w:ascii="Times New Roman" w:hAnsi="Times New Roman" w:cs="Times New Roman"/>
        </w:rPr>
        <w:t xml:space="preserve">, London; New York 2015; </w:t>
      </w:r>
      <w:r w:rsidR="00D10A8F">
        <w:rPr>
          <w:rFonts w:ascii="Times New Roman" w:hAnsi="Times New Roman" w:cs="Times New Roman"/>
        </w:rPr>
        <w:t xml:space="preserve">Laura Clouting, </w:t>
      </w:r>
      <w:r w:rsidR="00D10A8F">
        <w:rPr>
          <w:rFonts w:ascii="Times New Roman" w:hAnsi="Times New Roman" w:cs="Times New Roman"/>
          <w:i/>
          <w:iCs/>
        </w:rPr>
        <w:t>A Century of Remembrance</w:t>
      </w:r>
      <w:r w:rsidR="00D10A8F">
        <w:rPr>
          <w:rFonts w:ascii="Times New Roman" w:hAnsi="Times New Roman" w:cs="Times New Roman"/>
        </w:rPr>
        <w:t xml:space="preserve">, London 2018; </w:t>
      </w:r>
      <w:r w:rsidR="003A1331">
        <w:rPr>
          <w:rFonts w:ascii="Times New Roman" w:hAnsi="Times New Roman" w:cs="Times New Roman"/>
        </w:rPr>
        <w:t>Helen B. McCartney and David G. Morgan-Owen</w:t>
      </w:r>
      <w:r w:rsidR="00D10A8F">
        <w:rPr>
          <w:rFonts w:ascii="Times New Roman" w:hAnsi="Times New Roman" w:cs="Times New Roman"/>
        </w:rPr>
        <w:t xml:space="preserve"> (eds)</w:t>
      </w:r>
      <w:r w:rsidR="003A1331">
        <w:rPr>
          <w:rFonts w:ascii="Times New Roman" w:hAnsi="Times New Roman" w:cs="Times New Roman"/>
        </w:rPr>
        <w:t xml:space="preserve">, </w:t>
      </w:r>
      <w:r w:rsidR="00D10A8F">
        <w:rPr>
          <w:rFonts w:ascii="Times New Roman" w:hAnsi="Times New Roman" w:cs="Times New Roman"/>
        </w:rPr>
        <w:t xml:space="preserve">Special Issue of </w:t>
      </w:r>
      <w:r w:rsidR="00D10A8F">
        <w:rPr>
          <w:rFonts w:ascii="Times New Roman" w:hAnsi="Times New Roman" w:cs="Times New Roman"/>
          <w:i/>
          <w:iCs/>
        </w:rPr>
        <w:t>War &amp; Society</w:t>
      </w:r>
      <w:r w:rsidR="00D10A8F">
        <w:rPr>
          <w:rFonts w:ascii="Times New Roman" w:hAnsi="Times New Roman" w:cs="Times New Roman"/>
        </w:rPr>
        <w:t>, ‘</w:t>
      </w:r>
      <w:r w:rsidR="003A1331">
        <w:rPr>
          <w:rFonts w:ascii="Times New Roman" w:hAnsi="Times New Roman" w:cs="Times New Roman"/>
        </w:rPr>
        <w:t xml:space="preserve">Commemorating the Centenary of the First World War: National and Trans-National Perspectives’, 36/4 (2017); </w:t>
      </w:r>
      <w:proofErr w:type="spellStart"/>
      <w:r w:rsidR="003A1331">
        <w:rPr>
          <w:rFonts w:ascii="Times New Roman" w:hAnsi="Times New Roman" w:cs="Times New Roman"/>
        </w:rPr>
        <w:t>Larabee</w:t>
      </w:r>
      <w:proofErr w:type="spellEnd"/>
      <w:r w:rsidR="003A1331">
        <w:rPr>
          <w:rFonts w:ascii="Times New Roman" w:hAnsi="Times New Roman" w:cs="Times New Roman"/>
        </w:rPr>
        <w:t>, Mark D.</w:t>
      </w:r>
      <w:r w:rsidR="0045643C">
        <w:rPr>
          <w:rFonts w:ascii="Times New Roman" w:hAnsi="Times New Roman" w:cs="Times New Roman"/>
        </w:rPr>
        <w:t xml:space="preserve"> (ed.)</w:t>
      </w:r>
      <w:r w:rsidR="003A1331">
        <w:rPr>
          <w:rFonts w:ascii="Times New Roman" w:hAnsi="Times New Roman" w:cs="Times New Roman"/>
        </w:rPr>
        <w:t xml:space="preserve">, ‘The Great War: Centenary Perspectives’ </w:t>
      </w:r>
      <w:r w:rsidR="0045643C">
        <w:rPr>
          <w:rFonts w:ascii="Times New Roman" w:hAnsi="Times New Roman" w:cs="Times New Roman"/>
        </w:rPr>
        <w:t>Special Issue</w:t>
      </w:r>
      <w:r w:rsidR="00D10A8F">
        <w:rPr>
          <w:rFonts w:ascii="Times New Roman" w:hAnsi="Times New Roman" w:cs="Times New Roman"/>
        </w:rPr>
        <w:t xml:space="preserve"> of</w:t>
      </w:r>
      <w:r w:rsidR="0045643C">
        <w:rPr>
          <w:rFonts w:ascii="Times New Roman" w:hAnsi="Times New Roman" w:cs="Times New Roman"/>
        </w:rPr>
        <w:t xml:space="preserve"> </w:t>
      </w:r>
      <w:r w:rsidR="0045643C">
        <w:rPr>
          <w:rFonts w:ascii="Times New Roman" w:hAnsi="Times New Roman" w:cs="Times New Roman"/>
          <w:i/>
          <w:iCs/>
        </w:rPr>
        <w:t>Space Between: Literature and Culture, 1914-1945</w:t>
      </w:r>
      <w:r w:rsidR="00D10A8F">
        <w:rPr>
          <w:rFonts w:ascii="Times New Roman" w:hAnsi="Times New Roman" w:cs="Times New Roman"/>
        </w:rPr>
        <w:t>,</w:t>
      </w:r>
      <w:r w:rsidR="0045643C">
        <w:rPr>
          <w:rFonts w:ascii="Times New Roman" w:hAnsi="Times New Roman" w:cs="Times New Roman"/>
        </w:rPr>
        <w:t xml:space="preserve"> 10 (2014); Special Issue of </w:t>
      </w:r>
      <w:r w:rsidR="0045643C">
        <w:rPr>
          <w:rFonts w:ascii="Times New Roman" w:hAnsi="Times New Roman" w:cs="Times New Roman"/>
          <w:i/>
          <w:iCs/>
        </w:rPr>
        <w:t>Cultural Trends</w:t>
      </w:r>
      <w:r w:rsidR="00D10A8F">
        <w:rPr>
          <w:rFonts w:ascii="Times New Roman" w:hAnsi="Times New Roman" w:cs="Times New Roman"/>
        </w:rPr>
        <w:t>, 27/2 (2018).</w:t>
      </w:r>
    </w:p>
  </w:endnote>
  <w:endnote w:id="5">
    <w:p w14:paraId="5F42B44B" w14:textId="2DEB6864" w:rsidR="00CB6989" w:rsidRPr="005B3C4C" w:rsidRDefault="00CB6989" w:rsidP="00CC3C3D">
      <w:pPr>
        <w:pStyle w:val="EndnoteText"/>
        <w:spacing w:line="480" w:lineRule="auto"/>
        <w:rPr>
          <w:rFonts w:ascii="Times New Roman" w:hAnsi="Times New Roman" w:cs="Times New Roman"/>
          <w:lang w:val="en-US"/>
        </w:rPr>
      </w:pPr>
      <w:r w:rsidRPr="00CC3C3D">
        <w:rPr>
          <w:rStyle w:val="EndnoteReference"/>
          <w:rFonts w:ascii="Times New Roman" w:hAnsi="Times New Roman" w:cs="Times New Roman"/>
          <w:vertAlign w:val="baseline"/>
        </w:rPr>
        <w:endnoteRef/>
      </w:r>
      <w:r w:rsidRPr="00CC3C3D">
        <w:rPr>
          <w:rFonts w:ascii="Times New Roman" w:hAnsi="Times New Roman" w:cs="Times New Roman"/>
        </w:rPr>
        <w:t xml:space="preserve"> </w:t>
      </w:r>
      <w:r w:rsidR="00993BE5" w:rsidRPr="00CC3C3D">
        <w:rPr>
          <w:rFonts w:ascii="Times New Roman" w:eastAsia="Times New Roman" w:hAnsi="Times New Roman" w:cs="Times New Roman"/>
          <w:color w:val="000000"/>
        </w:rPr>
        <w:t>William Johnston observed already in 1991 that ‘the observance of cultural</w:t>
      </w:r>
      <w:r w:rsidR="00993BE5" w:rsidRPr="00993BE5">
        <w:rPr>
          <w:rFonts w:ascii="Times New Roman" w:eastAsia="Times New Roman" w:hAnsi="Times New Roman" w:cs="Times New Roman"/>
          <w:color w:val="000000"/>
        </w:rPr>
        <w:t xml:space="preserve"> anniversaries has become both a cult and an industry’. </w:t>
      </w:r>
      <w:r w:rsidRPr="00993BE5">
        <w:rPr>
          <w:rFonts w:ascii="Times New Roman" w:hAnsi="Times New Roman" w:cs="Times New Roman"/>
          <w:lang w:val="en-US"/>
        </w:rPr>
        <w:t xml:space="preserve">William M. Johnston, </w:t>
      </w:r>
      <w:r w:rsidRPr="00993BE5">
        <w:rPr>
          <w:rFonts w:ascii="Times New Roman" w:hAnsi="Times New Roman" w:cs="Times New Roman"/>
          <w:i/>
          <w:lang w:val="en-US"/>
        </w:rPr>
        <w:t>Celebrations. The Cult of Anniversaries in Europe and the United States Today</w:t>
      </w:r>
      <w:r w:rsidRPr="00993BE5">
        <w:rPr>
          <w:rFonts w:ascii="Times New Roman" w:hAnsi="Times New Roman" w:cs="Times New Roman"/>
          <w:lang w:val="en-US"/>
        </w:rPr>
        <w:t>, New</w:t>
      </w:r>
      <w:r w:rsidRPr="005B3C4C">
        <w:rPr>
          <w:rFonts w:ascii="Times New Roman" w:hAnsi="Times New Roman" w:cs="Times New Roman"/>
          <w:lang w:val="en-US"/>
        </w:rPr>
        <w:t xml:space="preserve"> Brunswick 1991, p. 4 </w:t>
      </w:r>
    </w:p>
  </w:endnote>
  <w:endnote w:id="6">
    <w:p w14:paraId="22D49ADF" w14:textId="740AC0B9" w:rsidR="00CB6989" w:rsidRPr="005B3C4C" w:rsidRDefault="00CB6989" w:rsidP="005B3C4C">
      <w:pPr>
        <w:pStyle w:val="EndnoteText"/>
        <w:spacing w:line="480" w:lineRule="auto"/>
        <w:rPr>
          <w:rFonts w:ascii="Times New Roman" w:hAnsi="Times New Roman" w:cs="Times New Roman"/>
          <w:lang w:val="en-US"/>
        </w:rPr>
      </w:pPr>
      <w:r w:rsidRPr="005B3C4C">
        <w:rPr>
          <w:rStyle w:val="EndnoteReference"/>
          <w:rFonts w:ascii="Times New Roman" w:hAnsi="Times New Roman" w:cs="Times New Roman"/>
          <w:vertAlign w:val="baseline"/>
        </w:rPr>
        <w:endnoteRef/>
      </w:r>
      <w:r w:rsidRPr="005B3C4C">
        <w:rPr>
          <w:rFonts w:ascii="Times New Roman" w:hAnsi="Times New Roman" w:cs="Times New Roman"/>
        </w:rPr>
        <w:t xml:space="preserve"> </w:t>
      </w:r>
      <w:r w:rsidRPr="005B3C4C">
        <w:rPr>
          <w:rFonts w:ascii="Times New Roman" w:hAnsi="Times New Roman" w:cs="Times New Roman"/>
          <w:lang w:val="en-US"/>
        </w:rPr>
        <w:t xml:space="preserve">Ronald Quinault, ‘The Cult of the Centenary, c. 1784-1914’, </w:t>
      </w:r>
      <w:r w:rsidRPr="005B3C4C">
        <w:rPr>
          <w:rFonts w:ascii="Times New Roman" w:hAnsi="Times New Roman" w:cs="Times New Roman"/>
          <w:i/>
          <w:lang w:val="en-US"/>
        </w:rPr>
        <w:t>Historical Research</w:t>
      </w:r>
      <w:r w:rsidRPr="005B3C4C">
        <w:rPr>
          <w:rFonts w:ascii="Times New Roman" w:hAnsi="Times New Roman" w:cs="Times New Roman"/>
          <w:lang w:val="en-US"/>
        </w:rPr>
        <w:t>, 71</w:t>
      </w:r>
      <w:r w:rsidR="00925CF8">
        <w:rPr>
          <w:rFonts w:ascii="Times New Roman" w:hAnsi="Times New Roman" w:cs="Times New Roman"/>
          <w:lang w:val="en-US"/>
        </w:rPr>
        <w:t>/</w:t>
      </w:r>
      <w:r w:rsidRPr="005B3C4C">
        <w:rPr>
          <w:rFonts w:ascii="Times New Roman" w:hAnsi="Times New Roman" w:cs="Times New Roman"/>
          <w:lang w:val="en-US"/>
        </w:rPr>
        <w:t xml:space="preserve">176 (1998), 303-23 (303); Johnston, </w:t>
      </w:r>
      <w:r w:rsidRPr="005B3C4C">
        <w:rPr>
          <w:rFonts w:ascii="Times New Roman" w:hAnsi="Times New Roman" w:cs="Times New Roman"/>
          <w:i/>
          <w:lang w:val="en-US"/>
        </w:rPr>
        <w:t xml:space="preserve">Celebrations </w:t>
      </w:r>
      <w:r w:rsidRPr="005B3C4C">
        <w:rPr>
          <w:rFonts w:ascii="Times New Roman" w:hAnsi="Times New Roman" w:cs="Times New Roman"/>
          <w:lang w:val="en-US"/>
        </w:rPr>
        <w:t xml:space="preserve">(note </w:t>
      </w:r>
      <w:r w:rsidR="00925CF8">
        <w:rPr>
          <w:rFonts w:ascii="Times New Roman" w:hAnsi="Times New Roman" w:cs="Times New Roman"/>
          <w:lang w:val="en-US"/>
        </w:rPr>
        <w:t>5</w:t>
      </w:r>
      <w:r w:rsidRPr="005B3C4C">
        <w:rPr>
          <w:rFonts w:ascii="Times New Roman" w:hAnsi="Times New Roman" w:cs="Times New Roman"/>
          <w:lang w:val="en-US"/>
        </w:rPr>
        <w:t>), p. 75.</w:t>
      </w:r>
    </w:p>
  </w:endnote>
  <w:endnote w:id="7">
    <w:p w14:paraId="02AF06D2" w14:textId="4F282ECE" w:rsidR="00CB6989" w:rsidRPr="005B3C4C" w:rsidRDefault="00CB6989" w:rsidP="005B3C4C">
      <w:pPr>
        <w:pStyle w:val="EndnoteText"/>
        <w:spacing w:line="480" w:lineRule="auto"/>
        <w:rPr>
          <w:rFonts w:ascii="Times New Roman" w:hAnsi="Times New Roman" w:cs="Times New Roman"/>
          <w:lang w:val="en-US"/>
        </w:rPr>
      </w:pPr>
      <w:r w:rsidRPr="005B3C4C">
        <w:rPr>
          <w:rStyle w:val="EndnoteReference"/>
          <w:rFonts w:ascii="Times New Roman" w:hAnsi="Times New Roman" w:cs="Times New Roman"/>
          <w:vertAlign w:val="baseline"/>
        </w:rPr>
        <w:endnoteRef/>
      </w:r>
      <w:r w:rsidRPr="005B3C4C">
        <w:rPr>
          <w:rFonts w:ascii="Times New Roman" w:hAnsi="Times New Roman" w:cs="Times New Roman"/>
        </w:rPr>
        <w:t xml:space="preserve"> </w:t>
      </w:r>
      <w:r w:rsidRPr="005B3C4C">
        <w:rPr>
          <w:rFonts w:ascii="Times New Roman" w:hAnsi="Times New Roman" w:cs="Times New Roman"/>
          <w:lang w:val="en-US"/>
        </w:rPr>
        <w:t xml:space="preserve">Thomas Schmidt, </w:t>
      </w:r>
      <w:proofErr w:type="spellStart"/>
      <w:r w:rsidRPr="005B3C4C">
        <w:rPr>
          <w:rFonts w:ascii="Times New Roman" w:hAnsi="Times New Roman" w:cs="Times New Roman"/>
          <w:i/>
          <w:lang w:val="en-US"/>
        </w:rPr>
        <w:t>Kalender</w:t>
      </w:r>
      <w:proofErr w:type="spellEnd"/>
      <w:r w:rsidRPr="005B3C4C">
        <w:rPr>
          <w:rFonts w:ascii="Times New Roman" w:hAnsi="Times New Roman" w:cs="Times New Roman"/>
          <w:i/>
          <w:lang w:val="en-US"/>
        </w:rPr>
        <w:t xml:space="preserve"> und </w:t>
      </w:r>
      <w:proofErr w:type="spellStart"/>
      <w:r w:rsidRPr="005B3C4C">
        <w:rPr>
          <w:rFonts w:ascii="Times New Roman" w:hAnsi="Times New Roman" w:cs="Times New Roman"/>
          <w:i/>
          <w:lang w:val="en-US"/>
        </w:rPr>
        <w:t>Gedächtnis</w:t>
      </w:r>
      <w:proofErr w:type="spellEnd"/>
      <w:r w:rsidRPr="005B3C4C">
        <w:rPr>
          <w:rFonts w:ascii="Times New Roman" w:hAnsi="Times New Roman" w:cs="Times New Roman"/>
          <w:i/>
          <w:lang w:val="en-US"/>
        </w:rPr>
        <w:t xml:space="preserve">. </w:t>
      </w:r>
      <w:proofErr w:type="spellStart"/>
      <w:r w:rsidRPr="005B3C4C">
        <w:rPr>
          <w:rFonts w:ascii="Times New Roman" w:hAnsi="Times New Roman" w:cs="Times New Roman"/>
          <w:i/>
          <w:lang w:val="en-US"/>
        </w:rPr>
        <w:t>Erinnern</w:t>
      </w:r>
      <w:proofErr w:type="spellEnd"/>
      <w:r w:rsidRPr="005B3C4C">
        <w:rPr>
          <w:rFonts w:ascii="Times New Roman" w:hAnsi="Times New Roman" w:cs="Times New Roman"/>
          <w:i/>
          <w:lang w:val="en-US"/>
        </w:rPr>
        <w:t xml:space="preserve"> </w:t>
      </w:r>
      <w:proofErr w:type="spellStart"/>
      <w:r w:rsidRPr="005B3C4C">
        <w:rPr>
          <w:rFonts w:ascii="Times New Roman" w:hAnsi="Times New Roman" w:cs="Times New Roman"/>
          <w:i/>
          <w:lang w:val="en-US"/>
        </w:rPr>
        <w:t>im</w:t>
      </w:r>
      <w:proofErr w:type="spellEnd"/>
      <w:r w:rsidRPr="005B3C4C">
        <w:rPr>
          <w:rFonts w:ascii="Times New Roman" w:hAnsi="Times New Roman" w:cs="Times New Roman"/>
          <w:i/>
          <w:lang w:val="en-US"/>
        </w:rPr>
        <w:t xml:space="preserve"> </w:t>
      </w:r>
      <w:proofErr w:type="spellStart"/>
      <w:r w:rsidRPr="005B3C4C">
        <w:rPr>
          <w:rFonts w:ascii="Times New Roman" w:hAnsi="Times New Roman" w:cs="Times New Roman"/>
          <w:i/>
          <w:lang w:val="en-US"/>
        </w:rPr>
        <w:t>Rhythmus</w:t>
      </w:r>
      <w:proofErr w:type="spellEnd"/>
      <w:r w:rsidRPr="005B3C4C">
        <w:rPr>
          <w:rFonts w:ascii="Times New Roman" w:hAnsi="Times New Roman" w:cs="Times New Roman"/>
          <w:i/>
          <w:lang w:val="en-US"/>
        </w:rPr>
        <w:t xml:space="preserve"> der Zeit</w:t>
      </w:r>
      <w:r w:rsidRPr="005B3C4C">
        <w:rPr>
          <w:rFonts w:ascii="Times New Roman" w:hAnsi="Times New Roman" w:cs="Times New Roman"/>
          <w:lang w:val="en-US"/>
        </w:rPr>
        <w:t>, Göttingen 2000, p. 11.</w:t>
      </w:r>
    </w:p>
  </w:endnote>
  <w:endnote w:id="8">
    <w:p w14:paraId="5AF325ED" w14:textId="4E167E75" w:rsidR="00CB6989" w:rsidRPr="005B3C4C" w:rsidRDefault="00CB6989" w:rsidP="005B3C4C">
      <w:pPr>
        <w:pStyle w:val="EndnoteText"/>
        <w:spacing w:line="480" w:lineRule="auto"/>
        <w:rPr>
          <w:rFonts w:ascii="Times New Roman" w:hAnsi="Times New Roman" w:cs="Times New Roman"/>
          <w:lang w:val="en-US"/>
        </w:rPr>
      </w:pPr>
      <w:r w:rsidRPr="005B3C4C">
        <w:rPr>
          <w:rStyle w:val="EndnoteReference"/>
          <w:rFonts w:ascii="Times New Roman" w:hAnsi="Times New Roman" w:cs="Times New Roman"/>
          <w:vertAlign w:val="baseline"/>
        </w:rPr>
        <w:endnoteRef/>
      </w:r>
      <w:r w:rsidRPr="005B3C4C">
        <w:rPr>
          <w:rFonts w:ascii="Times New Roman" w:hAnsi="Times New Roman" w:cs="Times New Roman"/>
        </w:rPr>
        <w:t xml:space="preserve"> </w:t>
      </w:r>
      <w:proofErr w:type="spellStart"/>
      <w:r w:rsidRPr="005B3C4C">
        <w:rPr>
          <w:rFonts w:ascii="Times New Roman" w:hAnsi="Times New Roman" w:cs="Times New Roman"/>
          <w:lang w:val="en-US"/>
        </w:rPr>
        <w:t>Eviatar</w:t>
      </w:r>
      <w:proofErr w:type="spellEnd"/>
      <w:r w:rsidRPr="005B3C4C">
        <w:rPr>
          <w:rFonts w:ascii="Times New Roman" w:hAnsi="Times New Roman" w:cs="Times New Roman"/>
          <w:lang w:val="en-US"/>
        </w:rPr>
        <w:t xml:space="preserve"> </w:t>
      </w:r>
      <w:proofErr w:type="spellStart"/>
      <w:r w:rsidRPr="005B3C4C">
        <w:rPr>
          <w:rFonts w:ascii="Times New Roman" w:hAnsi="Times New Roman" w:cs="Times New Roman"/>
          <w:lang w:val="en-US"/>
        </w:rPr>
        <w:t>Zerubavel</w:t>
      </w:r>
      <w:proofErr w:type="spellEnd"/>
      <w:r w:rsidRPr="005B3C4C">
        <w:rPr>
          <w:rFonts w:ascii="Times New Roman" w:hAnsi="Times New Roman" w:cs="Times New Roman"/>
          <w:lang w:val="en-US"/>
        </w:rPr>
        <w:t xml:space="preserve">, </w:t>
      </w:r>
      <w:r w:rsidRPr="005B3C4C">
        <w:rPr>
          <w:rFonts w:ascii="Times New Roman" w:hAnsi="Times New Roman" w:cs="Times New Roman"/>
          <w:i/>
          <w:lang w:val="en-US"/>
        </w:rPr>
        <w:t>The Seven Day Circle. The History and Meaning of the Week</w:t>
      </w:r>
      <w:r w:rsidRPr="005B3C4C">
        <w:rPr>
          <w:rFonts w:ascii="Times New Roman" w:hAnsi="Times New Roman" w:cs="Times New Roman"/>
          <w:lang w:val="en-US"/>
        </w:rPr>
        <w:t>, Chicago 1985, p. 86.</w:t>
      </w:r>
    </w:p>
  </w:endnote>
  <w:endnote w:id="9">
    <w:p w14:paraId="3100B77D" w14:textId="01780784" w:rsidR="00CB6989" w:rsidRPr="005B3C4C" w:rsidRDefault="00CB6989" w:rsidP="005B3C4C">
      <w:pPr>
        <w:pStyle w:val="EndnoteText"/>
        <w:spacing w:line="480" w:lineRule="auto"/>
        <w:rPr>
          <w:rFonts w:ascii="Times New Roman" w:hAnsi="Times New Roman" w:cs="Times New Roman"/>
          <w:lang w:val="en-US"/>
        </w:rPr>
      </w:pPr>
      <w:r w:rsidRPr="005B3C4C">
        <w:rPr>
          <w:rStyle w:val="EndnoteReference"/>
          <w:rFonts w:ascii="Times New Roman" w:hAnsi="Times New Roman" w:cs="Times New Roman"/>
          <w:vertAlign w:val="baseline"/>
        </w:rPr>
        <w:endnoteRef/>
      </w:r>
      <w:r w:rsidRPr="005B3C4C">
        <w:rPr>
          <w:rFonts w:ascii="Times New Roman" w:hAnsi="Times New Roman" w:cs="Times New Roman"/>
        </w:rPr>
        <w:t xml:space="preserve"> </w:t>
      </w:r>
      <w:proofErr w:type="spellStart"/>
      <w:r w:rsidRPr="005B3C4C">
        <w:rPr>
          <w:rFonts w:ascii="Times New Roman" w:hAnsi="Times New Roman" w:cs="Times New Roman"/>
          <w:lang w:val="en-US"/>
        </w:rPr>
        <w:t>Eviatar</w:t>
      </w:r>
      <w:proofErr w:type="spellEnd"/>
      <w:r w:rsidRPr="005B3C4C">
        <w:rPr>
          <w:rFonts w:ascii="Times New Roman" w:hAnsi="Times New Roman" w:cs="Times New Roman"/>
          <w:lang w:val="en-US"/>
        </w:rPr>
        <w:t xml:space="preserve"> </w:t>
      </w:r>
      <w:proofErr w:type="spellStart"/>
      <w:r w:rsidRPr="005B3C4C">
        <w:rPr>
          <w:rFonts w:ascii="Times New Roman" w:hAnsi="Times New Roman" w:cs="Times New Roman"/>
          <w:lang w:val="en-US"/>
        </w:rPr>
        <w:t>Zerubavel</w:t>
      </w:r>
      <w:proofErr w:type="spellEnd"/>
      <w:r w:rsidRPr="005B3C4C">
        <w:rPr>
          <w:rFonts w:ascii="Times New Roman" w:hAnsi="Times New Roman" w:cs="Times New Roman"/>
          <w:lang w:val="en-US"/>
        </w:rPr>
        <w:t xml:space="preserve">, </w:t>
      </w:r>
      <w:r w:rsidRPr="005B3C4C">
        <w:rPr>
          <w:rFonts w:ascii="Times New Roman" w:hAnsi="Times New Roman" w:cs="Times New Roman"/>
          <w:i/>
          <w:lang w:val="en-US"/>
        </w:rPr>
        <w:t>Time Maps. Collective Memory and the Social Shape of the Past</w:t>
      </w:r>
      <w:r w:rsidRPr="005B3C4C">
        <w:rPr>
          <w:rFonts w:ascii="Times New Roman" w:hAnsi="Times New Roman" w:cs="Times New Roman"/>
          <w:lang w:val="en-US"/>
        </w:rPr>
        <w:t>,</w:t>
      </w:r>
      <w:r w:rsidRPr="005B3C4C">
        <w:rPr>
          <w:rFonts w:ascii="Times New Roman" w:hAnsi="Times New Roman" w:cs="Times New Roman"/>
          <w:i/>
          <w:lang w:val="en-US"/>
        </w:rPr>
        <w:t xml:space="preserve"> </w:t>
      </w:r>
      <w:r w:rsidRPr="005B3C4C">
        <w:rPr>
          <w:rFonts w:ascii="Times New Roman" w:hAnsi="Times New Roman" w:cs="Times New Roman"/>
          <w:lang w:val="en-US"/>
        </w:rPr>
        <w:t xml:space="preserve">Chicago 2003, p. 47. </w:t>
      </w:r>
    </w:p>
  </w:endnote>
  <w:endnote w:id="10">
    <w:p w14:paraId="200F8369" w14:textId="700936E9" w:rsidR="00CB6989" w:rsidRPr="005B3C4C" w:rsidRDefault="00CB6989" w:rsidP="005B3C4C">
      <w:pPr>
        <w:pStyle w:val="EndnoteText"/>
        <w:spacing w:line="480" w:lineRule="auto"/>
        <w:rPr>
          <w:rFonts w:ascii="Times New Roman" w:hAnsi="Times New Roman" w:cs="Times New Roman"/>
          <w:lang w:val="en-US"/>
        </w:rPr>
      </w:pPr>
      <w:r w:rsidRPr="005B3C4C">
        <w:rPr>
          <w:rStyle w:val="EndnoteReference"/>
          <w:rFonts w:ascii="Times New Roman" w:hAnsi="Times New Roman" w:cs="Times New Roman"/>
          <w:vertAlign w:val="baseline"/>
        </w:rPr>
        <w:endnoteRef/>
      </w:r>
      <w:r w:rsidRPr="005B3C4C">
        <w:rPr>
          <w:rFonts w:ascii="Times New Roman" w:hAnsi="Times New Roman" w:cs="Times New Roman"/>
        </w:rPr>
        <w:t xml:space="preserve"> </w:t>
      </w:r>
      <w:r w:rsidRPr="005B3C4C">
        <w:rPr>
          <w:rFonts w:ascii="Times New Roman" w:hAnsi="Times New Roman" w:cs="Times New Roman"/>
          <w:i/>
          <w:lang w:val="en-US"/>
        </w:rPr>
        <w:t>Ibid.</w:t>
      </w:r>
      <w:r w:rsidRPr="005B3C4C">
        <w:rPr>
          <w:rFonts w:ascii="Times New Roman" w:hAnsi="Times New Roman" w:cs="Times New Roman"/>
          <w:lang w:val="en-US"/>
        </w:rPr>
        <w:t>, pp. 47-8.</w:t>
      </w:r>
    </w:p>
  </w:endnote>
  <w:endnote w:id="11">
    <w:p w14:paraId="176B856B" w14:textId="3A6D0ABE" w:rsidR="00CB6989" w:rsidRPr="005B3C4C" w:rsidRDefault="00CB6989" w:rsidP="005B3C4C">
      <w:pPr>
        <w:pStyle w:val="EndnoteText"/>
        <w:spacing w:line="480" w:lineRule="auto"/>
        <w:rPr>
          <w:rFonts w:ascii="Times New Roman" w:hAnsi="Times New Roman" w:cs="Times New Roman"/>
          <w:lang w:val="en-US"/>
        </w:rPr>
      </w:pPr>
      <w:r w:rsidRPr="005B3C4C">
        <w:rPr>
          <w:rStyle w:val="EndnoteReference"/>
          <w:rFonts w:ascii="Times New Roman" w:hAnsi="Times New Roman" w:cs="Times New Roman"/>
          <w:vertAlign w:val="baseline"/>
        </w:rPr>
        <w:endnoteRef/>
      </w:r>
      <w:r w:rsidRPr="005B3C4C">
        <w:rPr>
          <w:rFonts w:ascii="Times New Roman" w:hAnsi="Times New Roman" w:cs="Times New Roman"/>
        </w:rPr>
        <w:t xml:space="preserve"> </w:t>
      </w:r>
      <w:r w:rsidRPr="005B3C4C">
        <w:rPr>
          <w:rFonts w:ascii="Times New Roman" w:hAnsi="Times New Roman" w:cs="Times New Roman"/>
          <w:i/>
          <w:lang w:val="en-US"/>
        </w:rPr>
        <w:t>Ibid</w:t>
      </w:r>
      <w:r w:rsidRPr="005B3C4C">
        <w:rPr>
          <w:rFonts w:ascii="Times New Roman" w:hAnsi="Times New Roman" w:cs="Times New Roman"/>
          <w:lang w:val="en-US"/>
        </w:rPr>
        <w:t>., p. 7.</w:t>
      </w:r>
    </w:p>
  </w:endnote>
  <w:endnote w:id="12">
    <w:p w14:paraId="0D953831" w14:textId="4D69A71A" w:rsidR="00CB6989" w:rsidRPr="005B3C4C" w:rsidRDefault="00CB6989" w:rsidP="005B3C4C">
      <w:pPr>
        <w:pStyle w:val="EndnoteText"/>
        <w:spacing w:line="480" w:lineRule="auto"/>
        <w:rPr>
          <w:rFonts w:ascii="Times New Roman" w:hAnsi="Times New Roman" w:cs="Times New Roman"/>
          <w:lang w:val="en-US"/>
        </w:rPr>
      </w:pPr>
      <w:r w:rsidRPr="005B3C4C">
        <w:rPr>
          <w:rStyle w:val="EndnoteReference"/>
          <w:rFonts w:ascii="Times New Roman" w:hAnsi="Times New Roman" w:cs="Times New Roman"/>
          <w:vertAlign w:val="baseline"/>
        </w:rPr>
        <w:endnoteRef/>
      </w:r>
      <w:r w:rsidRPr="005B3C4C">
        <w:rPr>
          <w:rFonts w:ascii="Times New Roman" w:hAnsi="Times New Roman" w:cs="Times New Roman"/>
        </w:rPr>
        <w:t xml:space="preserve"> </w:t>
      </w:r>
      <w:r w:rsidRPr="005B3C4C">
        <w:rPr>
          <w:rFonts w:ascii="Times New Roman" w:hAnsi="Times New Roman" w:cs="Times New Roman"/>
          <w:lang w:val="en-US"/>
        </w:rPr>
        <w:t xml:space="preserve">Schmidt, </w:t>
      </w:r>
      <w:proofErr w:type="spellStart"/>
      <w:r w:rsidRPr="005B3C4C">
        <w:rPr>
          <w:rFonts w:ascii="Times New Roman" w:hAnsi="Times New Roman" w:cs="Times New Roman"/>
          <w:i/>
          <w:lang w:val="en-US"/>
        </w:rPr>
        <w:t>Kalender</w:t>
      </w:r>
      <w:proofErr w:type="spellEnd"/>
      <w:r w:rsidRPr="005B3C4C">
        <w:rPr>
          <w:rFonts w:ascii="Times New Roman" w:hAnsi="Times New Roman" w:cs="Times New Roman"/>
          <w:i/>
          <w:lang w:val="en-US"/>
        </w:rPr>
        <w:t xml:space="preserve"> und </w:t>
      </w:r>
      <w:proofErr w:type="spellStart"/>
      <w:r w:rsidRPr="005B3C4C">
        <w:rPr>
          <w:rFonts w:ascii="Times New Roman" w:hAnsi="Times New Roman" w:cs="Times New Roman"/>
          <w:i/>
          <w:lang w:val="en-US"/>
        </w:rPr>
        <w:t>Gedächtnis</w:t>
      </w:r>
      <w:proofErr w:type="spellEnd"/>
      <w:r w:rsidRPr="005B3C4C">
        <w:rPr>
          <w:rFonts w:ascii="Times New Roman" w:hAnsi="Times New Roman" w:cs="Times New Roman"/>
          <w:lang w:val="en-US"/>
        </w:rPr>
        <w:t xml:space="preserve"> (note </w:t>
      </w:r>
      <w:r w:rsidR="00925CF8">
        <w:rPr>
          <w:rFonts w:ascii="Times New Roman" w:hAnsi="Times New Roman" w:cs="Times New Roman"/>
          <w:lang w:val="en-US"/>
        </w:rPr>
        <w:t>7</w:t>
      </w:r>
      <w:r w:rsidRPr="005B3C4C">
        <w:rPr>
          <w:rFonts w:ascii="Times New Roman" w:hAnsi="Times New Roman" w:cs="Times New Roman"/>
          <w:lang w:val="en-US"/>
        </w:rPr>
        <w:t>),</w:t>
      </w:r>
      <w:r w:rsidRPr="005B3C4C">
        <w:rPr>
          <w:rFonts w:ascii="Times New Roman" w:hAnsi="Times New Roman" w:cs="Times New Roman"/>
          <w:i/>
          <w:lang w:val="en-US"/>
        </w:rPr>
        <w:t xml:space="preserve"> </w:t>
      </w:r>
      <w:r w:rsidRPr="005B3C4C">
        <w:rPr>
          <w:rFonts w:ascii="Times New Roman" w:hAnsi="Times New Roman" w:cs="Times New Roman"/>
          <w:lang w:val="en-US"/>
        </w:rPr>
        <w:t>p. 36.</w:t>
      </w:r>
    </w:p>
  </w:endnote>
  <w:endnote w:id="13">
    <w:p w14:paraId="644CBA6E" w14:textId="406B20C7" w:rsidR="00CB6989" w:rsidRPr="005B3C4C" w:rsidRDefault="00CB6989" w:rsidP="005B3C4C">
      <w:pPr>
        <w:pStyle w:val="EndnoteText"/>
        <w:spacing w:line="480" w:lineRule="auto"/>
        <w:rPr>
          <w:rFonts w:ascii="Times New Roman" w:hAnsi="Times New Roman" w:cs="Times New Roman"/>
          <w:lang w:val="en-US"/>
        </w:rPr>
      </w:pPr>
      <w:r w:rsidRPr="005B3C4C">
        <w:rPr>
          <w:rStyle w:val="EndnoteReference"/>
          <w:rFonts w:ascii="Times New Roman" w:hAnsi="Times New Roman" w:cs="Times New Roman"/>
          <w:vertAlign w:val="baseline"/>
        </w:rPr>
        <w:endnoteRef/>
      </w:r>
      <w:r w:rsidRPr="005B3C4C">
        <w:rPr>
          <w:rFonts w:ascii="Times New Roman" w:hAnsi="Times New Roman" w:cs="Times New Roman"/>
        </w:rPr>
        <w:t xml:space="preserve"> </w:t>
      </w:r>
      <w:r w:rsidRPr="005B3C4C">
        <w:rPr>
          <w:rFonts w:ascii="Times New Roman" w:hAnsi="Times New Roman" w:cs="Times New Roman"/>
          <w:lang w:val="en-US"/>
        </w:rPr>
        <w:t xml:space="preserve">Johnston, </w:t>
      </w:r>
      <w:r w:rsidRPr="005B3C4C">
        <w:rPr>
          <w:rFonts w:ascii="Times New Roman" w:hAnsi="Times New Roman" w:cs="Times New Roman"/>
          <w:i/>
          <w:lang w:val="en-US"/>
        </w:rPr>
        <w:t>Celebrations</w:t>
      </w:r>
      <w:r w:rsidRPr="005B3C4C">
        <w:rPr>
          <w:rFonts w:ascii="Times New Roman" w:hAnsi="Times New Roman" w:cs="Times New Roman"/>
          <w:lang w:val="en-US"/>
        </w:rPr>
        <w:t xml:space="preserve"> (note </w:t>
      </w:r>
      <w:r w:rsidR="00925CF8">
        <w:rPr>
          <w:rFonts w:ascii="Times New Roman" w:hAnsi="Times New Roman" w:cs="Times New Roman"/>
          <w:lang w:val="en-US"/>
        </w:rPr>
        <w:t>5</w:t>
      </w:r>
      <w:r w:rsidRPr="005B3C4C">
        <w:rPr>
          <w:rFonts w:ascii="Times New Roman" w:hAnsi="Times New Roman" w:cs="Times New Roman"/>
          <w:lang w:val="en-US"/>
        </w:rPr>
        <w:t>), p. 73.</w:t>
      </w:r>
    </w:p>
  </w:endnote>
  <w:endnote w:id="14">
    <w:p w14:paraId="6B58DE74" w14:textId="4E4E6972" w:rsidR="00CB6989" w:rsidRPr="005B3C4C" w:rsidRDefault="00CB6989" w:rsidP="005B3C4C">
      <w:pPr>
        <w:pStyle w:val="EndnoteText"/>
        <w:spacing w:line="480" w:lineRule="auto"/>
        <w:rPr>
          <w:rFonts w:ascii="Times New Roman" w:hAnsi="Times New Roman" w:cs="Times New Roman"/>
          <w:lang w:val="en-US"/>
        </w:rPr>
      </w:pPr>
      <w:r w:rsidRPr="005B3C4C">
        <w:rPr>
          <w:rStyle w:val="EndnoteReference"/>
          <w:rFonts w:ascii="Times New Roman" w:hAnsi="Times New Roman" w:cs="Times New Roman"/>
          <w:vertAlign w:val="baseline"/>
        </w:rPr>
        <w:endnoteRef/>
      </w:r>
      <w:r w:rsidRPr="005B3C4C">
        <w:rPr>
          <w:rFonts w:ascii="Times New Roman" w:hAnsi="Times New Roman" w:cs="Times New Roman"/>
        </w:rPr>
        <w:t xml:space="preserve"> </w:t>
      </w:r>
      <w:r w:rsidRPr="005B3C4C">
        <w:rPr>
          <w:rFonts w:ascii="Times New Roman" w:hAnsi="Times New Roman" w:cs="Times New Roman"/>
          <w:lang w:val="en-US"/>
        </w:rPr>
        <w:t xml:space="preserve">Chantal </w:t>
      </w:r>
      <w:proofErr w:type="spellStart"/>
      <w:r w:rsidRPr="005B3C4C">
        <w:rPr>
          <w:rFonts w:ascii="Times New Roman" w:hAnsi="Times New Roman" w:cs="Times New Roman"/>
          <w:lang w:val="en-US"/>
        </w:rPr>
        <w:t>Mouffe</w:t>
      </w:r>
      <w:proofErr w:type="spellEnd"/>
      <w:r w:rsidRPr="005B3C4C">
        <w:rPr>
          <w:rFonts w:ascii="Times New Roman" w:hAnsi="Times New Roman" w:cs="Times New Roman"/>
          <w:lang w:val="en-US"/>
        </w:rPr>
        <w:t xml:space="preserve">, ‘Artistic Activism and Agonistic Spaces’, </w:t>
      </w:r>
      <w:r w:rsidRPr="005B3C4C">
        <w:rPr>
          <w:rFonts w:ascii="Times New Roman" w:hAnsi="Times New Roman" w:cs="Times New Roman"/>
          <w:i/>
          <w:lang w:val="en-US"/>
        </w:rPr>
        <w:t>Art &amp; Research</w:t>
      </w:r>
      <w:r w:rsidRPr="005B3C4C">
        <w:rPr>
          <w:rFonts w:ascii="Times New Roman" w:hAnsi="Times New Roman" w:cs="Times New Roman"/>
          <w:lang w:val="en-US"/>
        </w:rPr>
        <w:t>, 1</w:t>
      </w:r>
      <w:r w:rsidR="00925CF8">
        <w:rPr>
          <w:rFonts w:ascii="Times New Roman" w:hAnsi="Times New Roman" w:cs="Times New Roman"/>
          <w:lang w:val="en-US"/>
        </w:rPr>
        <w:t>/2</w:t>
      </w:r>
      <w:r w:rsidRPr="005B3C4C">
        <w:rPr>
          <w:rFonts w:ascii="Times New Roman" w:hAnsi="Times New Roman" w:cs="Times New Roman"/>
          <w:lang w:val="en-US"/>
        </w:rPr>
        <w:t xml:space="preserve"> (2007), 1-5 (3). </w:t>
      </w:r>
    </w:p>
  </w:endnote>
  <w:endnote w:id="15">
    <w:p w14:paraId="39FAD5D8" w14:textId="7F292B5F" w:rsidR="00CB6989" w:rsidRPr="005B3C4C" w:rsidRDefault="00CB6989" w:rsidP="005B3C4C">
      <w:pPr>
        <w:pStyle w:val="EndnoteText"/>
        <w:spacing w:line="480" w:lineRule="auto"/>
        <w:rPr>
          <w:rFonts w:ascii="Times New Roman" w:hAnsi="Times New Roman" w:cs="Times New Roman"/>
          <w:lang w:val="en-US"/>
        </w:rPr>
      </w:pPr>
      <w:r w:rsidRPr="005B3C4C">
        <w:rPr>
          <w:rStyle w:val="EndnoteReference"/>
          <w:rFonts w:ascii="Times New Roman" w:hAnsi="Times New Roman" w:cs="Times New Roman"/>
          <w:vertAlign w:val="baseline"/>
        </w:rPr>
        <w:endnoteRef/>
      </w:r>
      <w:r w:rsidRPr="005B3C4C">
        <w:rPr>
          <w:rFonts w:ascii="Times New Roman" w:hAnsi="Times New Roman" w:cs="Times New Roman"/>
        </w:rPr>
        <w:t xml:space="preserve"> </w:t>
      </w:r>
      <w:r w:rsidRPr="005B3C4C">
        <w:rPr>
          <w:rFonts w:ascii="Times New Roman" w:hAnsi="Times New Roman" w:cs="Times New Roman"/>
          <w:lang w:val="en-US"/>
        </w:rPr>
        <w:t xml:space="preserve">Rosalyn Deutsche, </w:t>
      </w:r>
      <w:r w:rsidRPr="005B3C4C">
        <w:rPr>
          <w:rFonts w:ascii="Times New Roman" w:hAnsi="Times New Roman" w:cs="Times New Roman"/>
          <w:i/>
          <w:lang w:val="en-US"/>
        </w:rPr>
        <w:t>Evictions. Art and Spatial Politics</w:t>
      </w:r>
      <w:r w:rsidRPr="005B3C4C">
        <w:rPr>
          <w:rFonts w:ascii="Times New Roman" w:hAnsi="Times New Roman" w:cs="Times New Roman"/>
          <w:lang w:val="en-US"/>
        </w:rPr>
        <w:t>, Cambridge MA 1996, p. xiii.</w:t>
      </w:r>
    </w:p>
  </w:endnote>
  <w:endnote w:id="16">
    <w:p w14:paraId="69E3E48B" w14:textId="5C0CCD5B" w:rsidR="00CB6989" w:rsidRPr="005B3C4C" w:rsidRDefault="00CB6989" w:rsidP="005B3C4C">
      <w:pPr>
        <w:pStyle w:val="EndnoteText"/>
        <w:spacing w:line="480" w:lineRule="auto"/>
        <w:rPr>
          <w:rFonts w:ascii="Times New Roman" w:hAnsi="Times New Roman" w:cs="Times New Roman"/>
          <w:lang w:val="en-US"/>
        </w:rPr>
      </w:pPr>
      <w:r w:rsidRPr="005B3C4C">
        <w:rPr>
          <w:rStyle w:val="EndnoteReference"/>
          <w:rFonts w:ascii="Times New Roman" w:hAnsi="Times New Roman" w:cs="Times New Roman"/>
          <w:vertAlign w:val="baseline"/>
        </w:rPr>
        <w:endnoteRef/>
      </w:r>
      <w:r w:rsidRPr="005B3C4C">
        <w:rPr>
          <w:rFonts w:ascii="Times New Roman" w:hAnsi="Times New Roman" w:cs="Times New Roman"/>
        </w:rPr>
        <w:t xml:space="preserve"> </w:t>
      </w:r>
      <w:r w:rsidRPr="005B3C4C">
        <w:rPr>
          <w:rFonts w:ascii="Times New Roman" w:hAnsi="Times New Roman" w:cs="Times New Roman"/>
          <w:lang w:val="en-US"/>
        </w:rPr>
        <w:t>Helen B. McCartney and David G. M</w:t>
      </w:r>
      <w:r>
        <w:rPr>
          <w:rFonts w:ascii="Times New Roman" w:hAnsi="Times New Roman" w:cs="Times New Roman"/>
          <w:lang w:val="en-US"/>
        </w:rPr>
        <w:t>organ-Owen, ‘Commemorating the C</w:t>
      </w:r>
      <w:r w:rsidRPr="005B3C4C">
        <w:rPr>
          <w:rFonts w:ascii="Times New Roman" w:hAnsi="Times New Roman" w:cs="Times New Roman"/>
          <w:lang w:val="en-US"/>
        </w:rPr>
        <w:t>en</w:t>
      </w:r>
      <w:r>
        <w:rPr>
          <w:rFonts w:ascii="Times New Roman" w:hAnsi="Times New Roman" w:cs="Times New Roman"/>
          <w:lang w:val="en-US"/>
        </w:rPr>
        <w:t>tenary of the First World War: National and Trans-National P</w:t>
      </w:r>
      <w:r w:rsidRPr="005B3C4C">
        <w:rPr>
          <w:rFonts w:ascii="Times New Roman" w:hAnsi="Times New Roman" w:cs="Times New Roman"/>
          <w:lang w:val="en-US"/>
        </w:rPr>
        <w:t xml:space="preserve">erspectives’, </w:t>
      </w:r>
      <w:r w:rsidRPr="005B3C4C">
        <w:rPr>
          <w:rFonts w:ascii="Times New Roman" w:hAnsi="Times New Roman" w:cs="Times New Roman"/>
          <w:i/>
          <w:lang w:val="en-US"/>
        </w:rPr>
        <w:t>War &amp; Society</w:t>
      </w:r>
      <w:r w:rsidRPr="005B3C4C">
        <w:rPr>
          <w:rFonts w:ascii="Times New Roman" w:hAnsi="Times New Roman" w:cs="Times New Roman"/>
          <w:lang w:val="en-US"/>
        </w:rPr>
        <w:t xml:space="preserve">, 36 (2017) 235-38 (236). </w:t>
      </w:r>
    </w:p>
  </w:endnote>
  <w:endnote w:id="17">
    <w:p w14:paraId="5331654D" w14:textId="2D4B1437" w:rsidR="00CB6989" w:rsidRPr="005B3C4C" w:rsidRDefault="00CB6989" w:rsidP="005B3C4C">
      <w:pPr>
        <w:pStyle w:val="EndnoteText"/>
        <w:spacing w:line="480" w:lineRule="auto"/>
        <w:rPr>
          <w:rFonts w:ascii="Times New Roman" w:hAnsi="Times New Roman" w:cs="Times New Roman"/>
          <w:lang w:val="en-US"/>
        </w:rPr>
      </w:pPr>
      <w:r w:rsidRPr="005B3C4C">
        <w:rPr>
          <w:rStyle w:val="EndnoteReference"/>
          <w:rFonts w:ascii="Times New Roman" w:hAnsi="Times New Roman" w:cs="Times New Roman"/>
          <w:vertAlign w:val="baseline"/>
        </w:rPr>
        <w:endnoteRef/>
      </w:r>
      <w:r w:rsidRPr="005B3C4C">
        <w:rPr>
          <w:rFonts w:ascii="Times New Roman" w:hAnsi="Times New Roman" w:cs="Times New Roman"/>
        </w:rPr>
        <w:t xml:space="preserve"> </w:t>
      </w:r>
      <w:r>
        <w:rPr>
          <w:rFonts w:ascii="Times New Roman" w:hAnsi="Times New Roman" w:cs="Times New Roman"/>
          <w:lang w:val="en-US"/>
        </w:rPr>
        <w:t>Jay Winter, ‘Commemorating Catastrophe: 100 Years O</w:t>
      </w:r>
      <w:r w:rsidRPr="005B3C4C">
        <w:rPr>
          <w:rFonts w:ascii="Times New Roman" w:hAnsi="Times New Roman" w:cs="Times New Roman"/>
          <w:lang w:val="en-US"/>
        </w:rPr>
        <w:t xml:space="preserve">n’, </w:t>
      </w:r>
      <w:r w:rsidRPr="005B3C4C">
        <w:rPr>
          <w:rFonts w:ascii="Times New Roman" w:hAnsi="Times New Roman" w:cs="Times New Roman"/>
          <w:i/>
          <w:lang w:val="en-US"/>
        </w:rPr>
        <w:t>War &amp; Society</w:t>
      </w:r>
      <w:r w:rsidRPr="005B3C4C">
        <w:rPr>
          <w:rFonts w:ascii="Times New Roman" w:hAnsi="Times New Roman" w:cs="Times New Roman"/>
          <w:lang w:val="en-US"/>
        </w:rPr>
        <w:t>, 36 (2017) 239-55 (242).</w:t>
      </w:r>
    </w:p>
  </w:endnote>
  <w:endnote w:id="18">
    <w:p w14:paraId="2B48AC3B" w14:textId="2990CDEE" w:rsidR="00CB6989" w:rsidRPr="005B3C4C" w:rsidRDefault="00CB6989" w:rsidP="005B3C4C">
      <w:pPr>
        <w:pStyle w:val="EndnoteText"/>
        <w:spacing w:line="480" w:lineRule="auto"/>
        <w:rPr>
          <w:rFonts w:ascii="Times New Roman" w:hAnsi="Times New Roman" w:cs="Times New Roman"/>
          <w:lang w:val="en-US"/>
        </w:rPr>
      </w:pPr>
      <w:r w:rsidRPr="005B3C4C">
        <w:rPr>
          <w:rStyle w:val="EndnoteReference"/>
          <w:rFonts w:ascii="Times New Roman" w:hAnsi="Times New Roman" w:cs="Times New Roman"/>
          <w:vertAlign w:val="baseline"/>
        </w:rPr>
        <w:endnoteRef/>
      </w:r>
      <w:r w:rsidRPr="005B3C4C">
        <w:rPr>
          <w:rFonts w:ascii="Times New Roman" w:hAnsi="Times New Roman" w:cs="Times New Roman"/>
        </w:rPr>
        <w:t xml:space="preserve"> </w:t>
      </w:r>
      <w:r w:rsidRPr="005B3C4C">
        <w:rPr>
          <w:rFonts w:ascii="Times New Roman" w:hAnsi="Times New Roman" w:cs="Times New Roman"/>
          <w:i/>
          <w:lang w:val="en-US"/>
        </w:rPr>
        <w:t>Ibid.</w:t>
      </w:r>
      <w:r w:rsidRPr="005B3C4C">
        <w:rPr>
          <w:rFonts w:ascii="Times New Roman" w:hAnsi="Times New Roman" w:cs="Times New Roman"/>
          <w:lang w:val="en-US"/>
        </w:rPr>
        <w:t>, 253.</w:t>
      </w:r>
    </w:p>
  </w:endnote>
  <w:endnote w:id="19">
    <w:p w14:paraId="777B114C" w14:textId="77777777" w:rsidR="00CB6989" w:rsidRPr="005B3C4C" w:rsidRDefault="00CB6989" w:rsidP="005B3C4C">
      <w:pPr>
        <w:pStyle w:val="EndnoteText"/>
        <w:spacing w:line="480" w:lineRule="auto"/>
        <w:rPr>
          <w:rFonts w:ascii="Times New Roman" w:hAnsi="Times New Roman" w:cs="Times New Roman"/>
          <w:lang w:val="en-US"/>
        </w:rPr>
      </w:pPr>
      <w:r w:rsidRPr="005B3C4C">
        <w:rPr>
          <w:rStyle w:val="EndnoteReference"/>
          <w:rFonts w:ascii="Times New Roman" w:hAnsi="Times New Roman" w:cs="Times New Roman"/>
          <w:vertAlign w:val="baseline"/>
        </w:rPr>
        <w:endnoteRef/>
      </w:r>
      <w:r w:rsidRPr="005B3C4C">
        <w:rPr>
          <w:rFonts w:ascii="Times New Roman" w:hAnsi="Times New Roman" w:cs="Times New Roman"/>
        </w:rPr>
        <w:t xml:space="preserve"> </w:t>
      </w:r>
      <w:r w:rsidRPr="005B3C4C">
        <w:rPr>
          <w:rFonts w:ascii="Times New Roman" w:hAnsi="Times New Roman" w:cs="Times New Roman"/>
          <w:lang w:val="en-US"/>
        </w:rPr>
        <w:t xml:space="preserve">Jeffrey K. Olick, ‘Genre Memories and Memory Genres: A Dialogical Analysis of May 8, 1945 Commemorations in the Federal Republic of Germany’, </w:t>
      </w:r>
      <w:r w:rsidRPr="005B3C4C">
        <w:rPr>
          <w:rFonts w:ascii="Times New Roman" w:hAnsi="Times New Roman" w:cs="Times New Roman"/>
          <w:i/>
          <w:lang w:val="en-US"/>
        </w:rPr>
        <w:t>American Sociological Review</w:t>
      </w:r>
      <w:r w:rsidRPr="005B3C4C">
        <w:rPr>
          <w:rFonts w:ascii="Times New Roman" w:hAnsi="Times New Roman" w:cs="Times New Roman"/>
          <w:lang w:val="en-US"/>
        </w:rPr>
        <w:t xml:space="preserve">, 64 (1999), 381-402 (400). </w:t>
      </w:r>
    </w:p>
  </w:endnote>
  <w:endnote w:id="20">
    <w:p w14:paraId="61F2FCAE" w14:textId="3338ECE4" w:rsidR="00CB6989" w:rsidRPr="00527CB6" w:rsidRDefault="00CB6989" w:rsidP="00527CB6">
      <w:pPr>
        <w:pStyle w:val="EndnoteText"/>
        <w:spacing w:line="480" w:lineRule="auto"/>
        <w:rPr>
          <w:rFonts w:ascii="Times New Roman" w:hAnsi="Times New Roman" w:cs="Times New Roman"/>
          <w:lang w:val="en-US"/>
        </w:rPr>
      </w:pPr>
      <w:r w:rsidRPr="005B3C4C">
        <w:rPr>
          <w:rStyle w:val="EndnoteReference"/>
          <w:rFonts w:ascii="Times New Roman" w:hAnsi="Times New Roman" w:cs="Times New Roman"/>
          <w:vertAlign w:val="baseline"/>
        </w:rPr>
        <w:endnoteRef/>
      </w:r>
      <w:r w:rsidRPr="005B3C4C">
        <w:rPr>
          <w:rFonts w:ascii="Times New Roman" w:hAnsi="Times New Roman" w:cs="Times New Roman"/>
        </w:rPr>
        <w:t xml:space="preserve"> </w:t>
      </w:r>
      <w:r w:rsidRPr="005B3C4C">
        <w:rPr>
          <w:rFonts w:ascii="Times New Roman" w:hAnsi="Times New Roman" w:cs="Times New Roman"/>
          <w:lang w:val="en-US"/>
        </w:rPr>
        <w:t xml:space="preserve">Jay Winter, ‘The Performance of the Past: Memory, History, Identity’, in </w:t>
      </w:r>
      <w:r w:rsidRPr="00527CB6">
        <w:rPr>
          <w:rFonts w:ascii="Times New Roman" w:hAnsi="Times New Roman" w:cs="Times New Roman"/>
          <w:i/>
          <w:lang w:val="en-US"/>
        </w:rPr>
        <w:t>Performing the Past. Memory, History, and Identity in Modern Europe</w:t>
      </w:r>
      <w:r w:rsidRPr="00527CB6">
        <w:rPr>
          <w:rFonts w:ascii="Times New Roman" w:hAnsi="Times New Roman" w:cs="Times New Roman"/>
          <w:lang w:val="en-US"/>
        </w:rPr>
        <w:t xml:space="preserve">, ed. Karin </w:t>
      </w:r>
      <w:proofErr w:type="spellStart"/>
      <w:r w:rsidRPr="00527CB6">
        <w:rPr>
          <w:rFonts w:ascii="Times New Roman" w:hAnsi="Times New Roman" w:cs="Times New Roman"/>
          <w:lang w:val="en-US"/>
        </w:rPr>
        <w:t>Tilmans</w:t>
      </w:r>
      <w:proofErr w:type="spellEnd"/>
      <w:r w:rsidRPr="00527CB6">
        <w:rPr>
          <w:rFonts w:ascii="Times New Roman" w:hAnsi="Times New Roman" w:cs="Times New Roman"/>
          <w:lang w:val="en-US"/>
        </w:rPr>
        <w:t xml:space="preserve">, Frank van </w:t>
      </w:r>
      <w:proofErr w:type="spellStart"/>
      <w:r w:rsidRPr="00527CB6">
        <w:rPr>
          <w:rFonts w:ascii="Times New Roman" w:hAnsi="Times New Roman" w:cs="Times New Roman"/>
          <w:lang w:val="en-US"/>
        </w:rPr>
        <w:t>Vree</w:t>
      </w:r>
      <w:proofErr w:type="spellEnd"/>
      <w:r w:rsidRPr="00527CB6">
        <w:rPr>
          <w:rFonts w:ascii="Times New Roman" w:hAnsi="Times New Roman" w:cs="Times New Roman"/>
          <w:lang w:val="en-US"/>
        </w:rPr>
        <w:t xml:space="preserve"> and Jay Winter, Amsterdam 2010, pp. 11-23 (p. 12).</w:t>
      </w:r>
    </w:p>
  </w:endnote>
  <w:endnote w:id="21">
    <w:p w14:paraId="6C8058A7" w14:textId="660714DF" w:rsidR="00CB6989" w:rsidRPr="00527CB6" w:rsidRDefault="00CB6989" w:rsidP="00527CB6">
      <w:pPr>
        <w:pStyle w:val="EndnoteText"/>
        <w:spacing w:line="480" w:lineRule="auto"/>
        <w:rPr>
          <w:rFonts w:ascii="Times New Roman" w:hAnsi="Times New Roman" w:cs="Times New Roman"/>
          <w:lang w:val="en-US"/>
        </w:rPr>
      </w:pPr>
      <w:r w:rsidRPr="00527CB6">
        <w:rPr>
          <w:rStyle w:val="EndnoteReference"/>
          <w:rFonts w:ascii="Times New Roman" w:hAnsi="Times New Roman" w:cs="Times New Roman"/>
          <w:vertAlign w:val="baseline"/>
        </w:rPr>
        <w:endnoteRef/>
      </w:r>
      <w:r w:rsidRPr="00527CB6">
        <w:rPr>
          <w:rFonts w:ascii="Times New Roman" w:hAnsi="Times New Roman" w:cs="Times New Roman"/>
        </w:rPr>
        <w:t xml:space="preserve"> </w:t>
      </w:r>
      <w:r w:rsidRPr="00527CB6">
        <w:rPr>
          <w:rFonts w:ascii="Times New Roman" w:hAnsi="Times New Roman" w:cs="Times New Roman"/>
          <w:lang w:val="en-US"/>
        </w:rPr>
        <w:t xml:space="preserve">As famously </w:t>
      </w:r>
      <w:r w:rsidR="00527CB6" w:rsidRPr="00527CB6">
        <w:rPr>
          <w:rFonts w:ascii="Times New Roman" w:hAnsi="Times New Roman" w:cs="Times New Roman"/>
          <w:lang w:val="en-US"/>
        </w:rPr>
        <w:t>claimed</w:t>
      </w:r>
      <w:r w:rsidR="00527CB6">
        <w:rPr>
          <w:rFonts w:ascii="Times New Roman" w:hAnsi="Times New Roman" w:cs="Times New Roman"/>
          <w:lang w:val="en-US"/>
        </w:rPr>
        <w:t xml:space="preserve"> by Stefan </w:t>
      </w:r>
      <w:proofErr w:type="spellStart"/>
      <w:r w:rsidR="00527CB6">
        <w:rPr>
          <w:rFonts w:ascii="Times New Roman" w:hAnsi="Times New Roman" w:cs="Times New Roman"/>
          <w:lang w:val="en-US"/>
        </w:rPr>
        <w:t>Heym</w:t>
      </w:r>
      <w:proofErr w:type="spellEnd"/>
      <w:r w:rsidRPr="00527CB6">
        <w:rPr>
          <w:rFonts w:ascii="Times New Roman" w:hAnsi="Times New Roman" w:cs="Times New Roman"/>
          <w:lang w:val="en-US"/>
        </w:rPr>
        <w:t xml:space="preserve"> in </w:t>
      </w:r>
      <w:r w:rsidR="00527CB6" w:rsidRPr="00527CB6">
        <w:rPr>
          <w:rFonts w:ascii="Times New Roman" w:hAnsi="Times New Roman" w:cs="Times New Roman"/>
          <w:lang w:val="en-US"/>
        </w:rPr>
        <w:t>March 1990.</w:t>
      </w:r>
      <w:r w:rsidR="00527CB6">
        <w:rPr>
          <w:rFonts w:ascii="Times New Roman" w:hAnsi="Times New Roman" w:cs="Times New Roman"/>
          <w:highlight w:val="yellow"/>
          <w:lang w:val="en-US"/>
        </w:rPr>
        <w:t xml:space="preserve"> </w:t>
      </w:r>
      <w:r w:rsidRPr="00527CB6">
        <w:rPr>
          <w:rFonts w:ascii="Times New Roman" w:hAnsi="Times New Roman" w:cs="Times New Roman"/>
          <w:lang w:val="en-US"/>
        </w:rPr>
        <w:t xml:space="preserve"> </w:t>
      </w:r>
    </w:p>
  </w:endnote>
  <w:endnote w:id="22">
    <w:p w14:paraId="5370BC27" w14:textId="3110E7DB" w:rsidR="00CB6989" w:rsidRPr="005B3C4C" w:rsidRDefault="00CB6989" w:rsidP="00527CB6">
      <w:pPr>
        <w:pStyle w:val="EndnoteText"/>
        <w:spacing w:line="480" w:lineRule="auto"/>
        <w:rPr>
          <w:lang w:val="en-US"/>
        </w:rPr>
      </w:pPr>
      <w:r w:rsidRPr="00527CB6">
        <w:rPr>
          <w:rStyle w:val="EndnoteReference"/>
          <w:rFonts w:ascii="Times New Roman" w:hAnsi="Times New Roman" w:cs="Times New Roman"/>
          <w:vertAlign w:val="baseline"/>
        </w:rPr>
        <w:endnoteRef/>
      </w:r>
      <w:r w:rsidRPr="00527CB6">
        <w:rPr>
          <w:rFonts w:ascii="Times New Roman" w:hAnsi="Times New Roman" w:cs="Times New Roman"/>
        </w:rPr>
        <w:t xml:space="preserve"> ‘</w:t>
      </w:r>
      <w:r w:rsidRPr="00527CB6">
        <w:rPr>
          <w:rFonts w:ascii="Times New Roman" w:hAnsi="Times New Roman" w:cs="Times New Roman"/>
          <w:lang w:val="en-US"/>
        </w:rPr>
        <w:t xml:space="preserve">AGS keynote address’, </w:t>
      </w:r>
      <w:hyperlink r:id="rId4" w:history="1">
        <w:r w:rsidRPr="00527CB6">
          <w:rPr>
            <w:rStyle w:val="Hyperlink"/>
            <w:rFonts w:ascii="Times New Roman" w:hAnsi="Times New Roman" w:cs="Times New Roman"/>
            <w:lang w:val="en-US"/>
          </w:rPr>
          <w:t>http://www.ags.ac.uk/?page_id=76</w:t>
        </w:r>
      </w:hyperlink>
      <w:r w:rsidR="00527CB6" w:rsidRPr="00527CB6">
        <w:rPr>
          <w:rFonts w:ascii="Times New Roman" w:hAnsi="Times New Roman" w:cs="Times New Roman"/>
          <w:lang w:val="en-US"/>
        </w:rPr>
        <w:t xml:space="preserve"> (accessed 12 August</w:t>
      </w:r>
      <w:r w:rsidR="00527CB6">
        <w:rPr>
          <w:rFonts w:ascii="Times New Roman" w:hAnsi="Times New Roman" w:cs="Times New Roman"/>
          <w:lang w:val="en-US"/>
        </w:rPr>
        <w:t xml:space="preserve"> 2019). In particular, m</w:t>
      </w:r>
      <w:r w:rsidRPr="005B3C4C">
        <w:rPr>
          <w:rFonts w:ascii="Times New Roman" w:hAnsi="Times New Roman" w:cs="Times New Roman"/>
          <w:lang w:val="en-US"/>
        </w:rPr>
        <w:t xml:space="preserve">y thanks go to Sarah </w:t>
      </w:r>
      <w:proofErr w:type="spellStart"/>
      <w:r w:rsidRPr="005B3C4C">
        <w:rPr>
          <w:rFonts w:ascii="Times New Roman" w:hAnsi="Times New Roman" w:cs="Times New Roman"/>
          <w:lang w:val="en-US"/>
        </w:rPr>
        <w:t>Pogoda</w:t>
      </w:r>
      <w:proofErr w:type="spellEnd"/>
      <w:r w:rsidRPr="005B3C4C">
        <w:rPr>
          <w:rFonts w:ascii="Times New Roman" w:hAnsi="Times New Roman" w:cs="Times New Roman"/>
          <w:lang w:val="en-US"/>
        </w:rPr>
        <w:t xml:space="preserve"> for suggesting Alexander Kluge as President’s Guest, for recording the interview</w:t>
      </w:r>
      <w:r w:rsidR="00527CB6">
        <w:rPr>
          <w:rFonts w:ascii="Times New Roman" w:hAnsi="Times New Roman" w:cs="Times New Roman"/>
          <w:lang w:val="en-US"/>
        </w:rPr>
        <w:t>,</w:t>
      </w:r>
      <w:r w:rsidRPr="005B3C4C">
        <w:rPr>
          <w:rFonts w:ascii="Times New Roman" w:hAnsi="Times New Roman" w:cs="Times New Roman"/>
          <w:lang w:val="en-US"/>
        </w:rPr>
        <w:t xml:space="preserve"> and </w:t>
      </w:r>
      <w:proofErr w:type="spellStart"/>
      <w:r w:rsidRPr="005B3C4C">
        <w:rPr>
          <w:rFonts w:ascii="Times New Roman" w:hAnsi="Times New Roman" w:cs="Times New Roman"/>
          <w:lang w:val="en-US"/>
        </w:rPr>
        <w:t>organising</w:t>
      </w:r>
      <w:proofErr w:type="spellEnd"/>
      <w:r w:rsidRPr="005B3C4C">
        <w:rPr>
          <w:rFonts w:ascii="Times New Roman" w:hAnsi="Times New Roman" w:cs="Times New Roman"/>
          <w:lang w:val="en-US"/>
        </w:rPr>
        <w:t xml:space="preserve"> a memorable keynote address.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8E59F" w14:textId="77777777" w:rsidR="00CB6989" w:rsidRDefault="00CB6989" w:rsidP="005B6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05F01A" w14:textId="77777777" w:rsidR="00CB6989" w:rsidRDefault="00CB69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185DE" w14:textId="6DEAE75E" w:rsidR="00CB6989" w:rsidRPr="009D177E" w:rsidRDefault="00CB6989" w:rsidP="005B6209">
    <w:pPr>
      <w:pStyle w:val="Footer"/>
      <w:framePr w:wrap="around" w:vAnchor="text" w:hAnchor="margin" w:xAlign="center" w:y="1"/>
      <w:rPr>
        <w:rStyle w:val="PageNumber"/>
        <w:rFonts w:ascii="Times New Roman" w:hAnsi="Times New Roman" w:cs="Times New Roman"/>
      </w:rPr>
    </w:pPr>
    <w:r w:rsidRPr="009D177E">
      <w:rPr>
        <w:rStyle w:val="PageNumber"/>
        <w:rFonts w:ascii="Times New Roman" w:hAnsi="Times New Roman" w:cs="Times New Roman"/>
      </w:rPr>
      <w:fldChar w:fldCharType="begin"/>
    </w:r>
    <w:r w:rsidRPr="009D177E">
      <w:rPr>
        <w:rStyle w:val="PageNumber"/>
        <w:rFonts w:ascii="Times New Roman" w:hAnsi="Times New Roman" w:cs="Times New Roman"/>
      </w:rPr>
      <w:instrText xml:space="preserve">PAGE  </w:instrText>
    </w:r>
    <w:r w:rsidRPr="009D177E">
      <w:rPr>
        <w:rStyle w:val="PageNumber"/>
        <w:rFonts w:ascii="Times New Roman" w:hAnsi="Times New Roman" w:cs="Times New Roman"/>
      </w:rPr>
      <w:fldChar w:fldCharType="separate"/>
    </w:r>
    <w:r w:rsidR="00EC4364">
      <w:rPr>
        <w:rStyle w:val="PageNumber"/>
        <w:rFonts w:ascii="Times New Roman" w:hAnsi="Times New Roman" w:cs="Times New Roman"/>
        <w:noProof/>
      </w:rPr>
      <w:t>13</w:t>
    </w:r>
    <w:r w:rsidRPr="009D177E">
      <w:rPr>
        <w:rStyle w:val="PageNumber"/>
        <w:rFonts w:ascii="Times New Roman" w:hAnsi="Times New Roman" w:cs="Times New Roman"/>
      </w:rPr>
      <w:fldChar w:fldCharType="end"/>
    </w:r>
  </w:p>
  <w:p w14:paraId="28CCF64C" w14:textId="77777777" w:rsidR="00CB6989" w:rsidRDefault="00CB6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773F1" w14:textId="77777777" w:rsidR="006E0724" w:rsidRDefault="006E0724" w:rsidP="00C7371D">
      <w:r>
        <w:separator/>
      </w:r>
    </w:p>
  </w:footnote>
  <w:footnote w:type="continuationSeparator" w:id="0">
    <w:p w14:paraId="0F81B0B7" w14:textId="77777777" w:rsidR="006E0724" w:rsidRDefault="006E0724" w:rsidP="00C73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450AB7"/>
    <w:multiLevelType w:val="hybridMultilevel"/>
    <w:tmpl w:val="D85608B2"/>
    <w:lvl w:ilvl="0" w:tplc="DFEACF0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722"/>
    <w:rsid w:val="00004945"/>
    <w:rsid w:val="00005ED6"/>
    <w:rsid w:val="00013F16"/>
    <w:rsid w:val="00025FC2"/>
    <w:rsid w:val="0003267C"/>
    <w:rsid w:val="00033E6F"/>
    <w:rsid w:val="0006441D"/>
    <w:rsid w:val="000E320C"/>
    <w:rsid w:val="00101309"/>
    <w:rsid w:val="00104BAF"/>
    <w:rsid w:val="00106CBE"/>
    <w:rsid w:val="00113986"/>
    <w:rsid w:val="00115C84"/>
    <w:rsid w:val="00120C35"/>
    <w:rsid w:val="001222B7"/>
    <w:rsid w:val="00125722"/>
    <w:rsid w:val="00167D25"/>
    <w:rsid w:val="00184960"/>
    <w:rsid w:val="00184B1B"/>
    <w:rsid w:val="00190342"/>
    <w:rsid w:val="001A56C6"/>
    <w:rsid w:val="001B0B94"/>
    <w:rsid w:val="001B4B79"/>
    <w:rsid w:val="001C54CB"/>
    <w:rsid w:val="001C5C16"/>
    <w:rsid w:val="001D7E05"/>
    <w:rsid w:val="001E2B27"/>
    <w:rsid w:val="001E7B2E"/>
    <w:rsid w:val="00206170"/>
    <w:rsid w:val="00207B21"/>
    <w:rsid w:val="00250343"/>
    <w:rsid w:val="0028510C"/>
    <w:rsid w:val="002A44FD"/>
    <w:rsid w:val="002B6514"/>
    <w:rsid w:val="002C430D"/>
    <w:rsid w:val="002D6865"/>
    <w:rsid w:val="002E4988"/>
    <w:rsid w:val="003028A2"/>
    <w:rsid w:val="00303CE7"/>
    <w:rsid w:val="003155B2"/>
    <w:rsid w:val="003229E6"/>
    <w:rsid w:val="003237EB"/>
    <w:rsid w:val="003565DC"/>
    <w:rsid w:val="00363DA4"/>
    <w:rsid w:val="00371507"/>
    <w:rsid w:val="003A1331"/>
    <w:rsid w:val="003B1F18"/>
    <w:rsid w:val="003C483C"/>
    <w:rsid w:val="004525CC"/>
    <w:rsid w:val="0045643C"/>
    <w:rsid w:val="00483800"/>
    <w:rsid w:val="00493A4A"/>
    <w:rsid w:val="004A0F29"/>
    <w:rsid w:val="004D3DBB"/>
    <w:rsid w:val="0050751E"/>
    <w:rsid w:val="005110BA"/>
    <w:rsid w:val="00525139"/>
    <w:rsid w:val="00527CB6"/>
    <w:rsid w:val="005410AA"/>
    <w:rsid w:val="00550790"/>
    <w:rsid w:val="005542F5"/>
    <w:rsid w:val="00563A31"/>
    <w:rsid w:val="00565BDF"/>
    <w:rsid w:val="005663F0"/>
    <w:rsid w:val="00566EB4"/>
    <w:rsid w:val="00585313"/>
    <w:rsid w:val="005A2DD8"/>
    <w:rsid w:val="005B1DC4"/>
    <w:rsid w:val="005B3C4C"/>
    <w:rsid w:val="005B6209"/>
    <w:rsid w:val="005D4448"/>
    <w:rsid w:val="005F255F"/>
    <w:rsid w:val="00605358"/>
    <w:rsid w:val="006224F1"/>
    <w:rsid w:val="0063465D"/>
    <w:rsid w:val="00662485"/>
    <w:rsid w:val="0066357D"/>
    <w:rsid w:val="00673D4B"/>
    <w:rsid w:val="00675C64"/>
    <w:rsid w:val="006778E6"/>
    <w:rsid w:val="00692DA6"/>
    <w:rsid w:val="006A31FC"/>
    <w:rsid w:val="006B4228"/>
    <w:rsid w:val="006B5B21"/>
    <w:rsid w:val="006E0724"/>
    <w:rsid w:val="006F530E"/>
    <w:rsid w:val="006F63A5"/>
    <w:rsid w:val="00701B33"/>
    <w:rsid w:val="0071156A"/>
    <w:rsid w:val="00726C95"/>
    <w:rsid w:val="007431B4"/>
    <w:rsid w:val="00757533"/>
    <w:rsid w:val="0078444C"/>
    <w:rsid w:val="007A0A06"/>
    <w:rsid w:val="007A12D9"/>
    <w:rsid w:val="008267E2"/>
    <w:rsid w:val="00830879"/>
    <w:rsid w:val="008404A1"/>
    <w:rsid w:val="00842F7E"/>
    <w:rsid w:val="00844B84"/>
    <w:rsid w:val="00852DAB"/>
    <w:rsid w:val="0087385A"/>
    <w:rsid w:val="008830A5"/>
    <w:rsid w:val="00885D0E"/>
    <w:rsid w:val="008B3AB0"/>
    <w:rsid w:val="008E48CB"/>
    <w:rsid w:val="0090384B"/>
    <w:rsid w:val="00906EC8"/>
    <w:rsid w:val="00925CF8"/>
    <w:rsid w:val="00986D65"/>
    <w:rsid w:val="00993BE5"/>
    <w:rsid w:val="0099765A"/>
    <w:rsid w:val="009C41D3"/>
    <w:rsid w:val="009D177E"/>
    <w:rsid w:val="009F38E3"/>
    <w:rsid w:val="00A057CD"/>
    <w:rsid w:val="00A5156E"/>
    <w:rsid w:val="00A54521"/>
    <w:rsid w:val="00A600F9"/>
    <w:rsid w:val="00A81530"/>
    <w:rsid w:val="00A81F30"/>
    <w:rsid w:val="00A86B8B"/>
    <w:rsid w:val="00A9530E"/>
    <w:rsid w:val="00AB070E"/>
    <w:rsid w:val="00AB7AE6"/>
    <w:rsid w:val="00B06ACA"/>
    <w:rsid w:val="00B130C1"/>
    <w:rsid w:val="00B214CC"/>
    <w:rsid w:val="00B2305C"/>
    <w:rsid w:val="00B31C4E"/>
    <w:rsid w:val="00B43679"/>
    <w:rsid w:val="00B62C94"/>
    <w:rsid w:val="00B67CDE"/>
    <w:rsid w:val="00B82166"/>
    <w:rsid w:val="00B923CC"/>
    <w:rsid w:val="00B9577F"/>
    <w:rsid w:val="00BB448C"/>
    <w:rsid w:val="00BC38C5"/>
    <w:rsid w:val="00BC3CBE"/>
    <w:rsid w:val="00BC7023"/>
    <w:rsid w:val="00BF1E56"/>
    <w:rsid w:val="00C03540"/>
    <w:rsid w:val="00C30BDD"/>
    <w:rsid w:val="00C55FD3"/>
    <w:rsid w:val="00C616EC"/>
    <w:rsid w:val="00C7371D"/>
    <w:rsid w:val="00C73BEC"/>
    <w:rsid w:val="00CB2016"/>
    <w:rsid w:val="00CB39A1"/>
    <w:rsid w:val="00CB6989"/>
    <w:rsid w:val="00CC3C3D"/>
    <w:rsid w:val="00CF33A5"/>
    <w:rsid w:val="00CF5864"/>
    <w:rsid w:val="00D010DF"/>
    <w:rsid w:val="00D10A8F"/>
    <w:rsid w:val="00D168A5"/>
    <w:rsid w:val="00D4768D"/>
    <w:rsid w:val="00D5515E"/>
    <w:rsid w:val="00D64F84"/>
    <w:rsid w:val="00D6741F"/>
    <w:rsid w:val="00D77FB1"/>
    <w:rsid w:val="00D812CD"/>
    <w:rsid w:val="00D921B9"/>
    <w:rsid w:val="00D97BBE"/>
    <w:rsid w:val="00DA179E"/>
    <w:rsid w:val="00DB115A"/>
    <w:rsid w:val="00DB2F1A"/>
    <w:rsid w:val="00DB30B5"/>
    <w:rsid w:val="00DB579B"/>
    <w:rsid w:val="00DE25FB"/>
    <w:rsid w:val="00DF2791"/>
    <w:rsid w:val="00E06807"/>
    <w:rsid w:val="00E43DF5"/>
    <w:rsid w:val="00E80C38"/>
    <w:rsid w:val="00E920B0"/>
    <w:rsid w:val="00EA2F5B"/>
    <w:rsid w:val="00EC4364"/>
    <w:rsid w:val="00EC6DF2"/>
    <w:rsid w:val="00EE15DF"/>
    <w:rsid w:val="00EF1940"/>
    <w:rsid w:val="00EF1B1C"/>
    <w:rsid w:val="00F02562"/>
    <w:rsid w:val="00F06626"/>
    <w:rsid w:val="00F1588F"/>
    <w:rsid w:val="00F20A76"/>
    <w:rsid w:val="00F37376"/>
    <w:rsid w:val="00F748E8"/>
    <w:rsid w:val="00F80DCB"/>
    <w:rsid w:val="00F83C3A"/>
    <w:rsid w:val="00F84D04"/>
    <w:rsid w:val="00F906D5"/>
    <w:rsid w:val="00FA405B"/>
    <w:rsid w:val="00FA4A00"/>
    <w:rsid w:val="00FB6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20CD20"/>
  <w14:defaultImageDpi w14:val="300"/>
  <w15:docId w15:val="{BE8E76E6-2844-9E49-8381-04CB31D4C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p1">
    <w:name w:val="gmail-p1"/>
    <w:basedOn w:val="Normal"/>
    <w:rsid w:val="00125722"/>
    <w:pPr>
      <w:spacing w:before="100" w:beforeAutospacing="1" w:after="100" w:afterAutospacing="1"/>
    </w:pPr>
    <w:rPr>
      <w:rFonts w:ascii="Times New Roman" w:eastAsiaTheme="minorHAnsi" w:hAnsi="Times New Roman" w:cs="Times New Roman"/>
      <w:lang w:eastAsia="en-GB"/>
    </w:rPr>
  </w:style>
  <w:style w:type="character" w:customStyle="1" w:styleId="gmail-s1">
    <w:name w:val="gmail-s1"/>
    <w:basedOn w:val="DefaultParagraphFont"/>
    <w:rsid w:val="00125722"/>
  </w:style>
  <w:style w:type="paragraph" w:styleId="NormalWeb">
    <w:name w:val="Normal (Web)"/>
    <w:basedOn w:val="Normal"/>
    <w:uiPriority w:val="99"/>
    <w:unhideWhenUsed/>
    <w:rsid w:val="00125722"/>
    <w:rPr>
      <w:rFonts w:ascii="Times New Roman" w:eastAsiaTheme="minorHAnsi" w:hAnsi="Times New Roman" w:cs="Times New Roman"/>
      <w:lang w:eastAsia="en-GB"/>
    </w:rPr>
  </w:style>
  <w:style w:type="paragraph" w:styleId="FootnoteText">
    <w:name w:val="footnote text"/>
    <w:basedOn w:val="Normal"/>
    <w:link w:val="FootnoteTextChar"/>
    <w:uiPriority w:val="99"/>
    <w:unhideWhenUsed/>
    <w:rsid w:val="00C7371D"/>
  </w:style>
  <w:style w:type="character" w:customStyle="1" w:styleId="FootnoteTextChar">
    <w:name w:val="Footnote Text Char"/>
    <w:basedOn w:val="DefaultParagraphFont"/>
    <w:link w:val="FootnoteText"/>
    <w:uiPriority w:val="99"/>
    <w:rsid w:val="00C7371D"/>
    <w:rPr>
      <w:lang w:val="en-GB"/>
    </w:rPr>
  </w:style>
  <w:style w:type="character" w:styleId="FootnoteReference">
    <w:name w:val="footnote reference"/>
    <w:basedOn w:val="DefaultParagraphFont"/>
    <w:uiPriority w:val="99"/>
    <w:unhideWhenUsed/>
    <w:rsid w:val="00C7371D"/>
    <w:rPr>
      <w:vertAlign w:val="superscript"/>
    </w:rPr>
  </w:style>
  <w:style w:type="paragraph" w:styleId="Footer">
    <w:name w:val="footer"/>
    <w:basedOn w:val="Normal"/>
    <w:link w:val="FooterChar"/>
    <w:uiPriority w:val="99"/>
    <w:unhideWhenUsed/>
    <w:rsid w:val="005B6209"/>
    <w:pPr>
      <w:tabs>
        <w:tab w:val="center" w:pos="4320"/>
        <w:tab w:val="right" w:pos="8640"/>
      </w:tabs>
    </w:pPr>
  </w:style>
  <w:style w:type="character" w:customStyle="1" w:styleId="FooterChar">
    <w:name w:val="Footer Char"/>
    <w:basedOn w:val="DefaultParagraphFont"/>
    <w:link w:val="Footer"/>
    <w:uiPriority w:val="99"/>
    <w:rsid w:val="005B6209"/>
    <w:rPr>
      <w:lang w:val="en-GB"/>
    </w:rPr>
  </w:style>
  <w:style w:type="character" w:styleId="PageNumber">
    <w:name w:val="page number"/>
    <w:basedOn w:val="DefaultParagraphFont"/>
    <w:uiPriority w:val="99"/>
    <w:semiHidden/>
    <w:unhideWhenUsed/>
    <w:rsid w:val="005B6209"/>
  </w:style>
  <w:style w:type="character" w:styleId="Hyperlink">
    <w:name w:val="Hyperlink"/>
    <w:basedOn w:val="DefaultParagraphFont"/>
    <w:uiPriority w:val="99"/>
    <w:unhideWhenUsed/>
    <w:rsid w:val="00A81F30"/>
    <w:rPr>
      <w:color w:val="0000FF" w:themeColor="hyperlink"/>
      <w:u w:val="single"/>
    </w:rPr>
  </w:style>
  <w:style w:type="paragraph" w:styleId="EndnoteText">
    <w:name w:val="endnote text"/>
    <w:basedOn w:val="Normal"/>
    <w:link w:val="EndnoteTextChar"/>
    <w:uiPriority w:val="99"/>
    <w:unhideWhenUsed/>
    <w:rsid w:val="005A2DD8"/>
  </w:style>
  <w:style w:type="character" w:customStyle="1" w:styleId="EndnoteTextChar">
    <w:name w:val="Endnote Text Char"/>
    <w:basedOn w:val="DefaultParagraphFont"/>
    <w:link w:val="EndnoteText"/>
    <w:uiPriority w:val="99"/>
    <w:rsid w:val="005A2DD8"/>
    <w:rPr>
      <w:lang w:val="en-GB"/>
    </w:rPr>
  </w:style>
  <w:style w:type="character" w:styleId="EndnoteReference">
    <w:name w:val="endnote reference"/>
    <w:basedOn w:val="DefaultParagraphFont"/>
    <w:uiPriority w:val="99"/>
    <w:unhideWhenUsed/>
    <w:rsid w:val="005A2DD8"/>
    <w:rPr>
      <w:vertAlign w:val="superscript"/>
    </w:rPr>
  </w:style>
  <w:style w:type="paragraph" w:styleId="Header">
    <w:name w:val="header"/>
    <w:basedOn w:val="Normal"/>
    <w:link w:val="HeaderChar"/>
    <w:uiPriority w:val="99"/>
    <w:unhideWhenUsed/>
    <w:rsid w:val="009D177E"/>
    <w:pPr>
      <w:tabs>
        <w:tab w:val="center" w:pos="4320"/>
        <w:tab w:val="right" w:pos="8640"/>
      </w:tabs>
    </w:pPr>
  </w:style>
  <w:style w:type="character" w:customStyle="1" w:styleId="HeaderChar">
    <w:name w:val="Header Char"/>
    <w:basedOn w:val="DefaultParagraphFont"/>
    <w:link w:val="Header"/>
    <w:uiPriority w:val="99"/>
    <w:rsid w:val="009D177E"/>
    <w:rPr>
      <w:lang w:val="en-GB"/>
    </w:rPr>
  </w:style>
  <w:style w:type="character" w:styleId="CommentReference">
    <w:name w:val="annotation reference"/>
    <w:basedOn w:val="DefaultParagraphFont"/>
    <w:uiPriority w:val="99"/>
    <w:semiHidden/>
    <w:unhideWhenUsed/>
    <w:rsid w:val="00EC6DF2"/>
    <w:rPr>
      <w:sz w:val="16"/>
      <w:szCs w:val="16"/>
    </w:rPr>
  </w:style>
  <w:style w:type="paragraph" w:styleId="CommentText">
    <w:name w:val="annotation text"/>
    <w:basedOn w:val="Normal"/>
    <w:link w:val="CommentTextChar"/>
    <w:uiPriority w:val="99"/>
    <w:unhideWhenUsed/>
    <w:rsid w:val="00EC6DF2"/>
    <w:rPr>
      <w:sz w:val="20"/>
      <w:szCs w:val="20"/>
    </w:rPr>
  </w:style>
  <w:style w:type="character" w:customStyle="1" w:styleId="CommentTextChar">
    <w:name w:val="Comment Text Char"/>
    <w:basedOn w:val="DefaultParagraphFont"/>
    <w:link w:val="CommentText"/>
    <w:uiPriority w:val="99"/>
    <w:rsid w:val="00EC6DF2"/>
    <w:rPr>
      <w:sz w:val="20"/>
      <w:szCs w:val="20"/>
      <w:lang w:val="en-GB"/>
    </w:rPr>
  </w:style>
  <w:style w:type="paragraph" w:styleId="CommentSubject">
    <w:name w:val="annotation subject"/>
    <w:basedOn w:val="CommentText"/>
    <w:next w:val="CommentText"/>
    <w:link w:val="CommentSubjectChar"/>
    <w:uiPriority w:val="99"/>
    <w:semiHidden/>
    <w:unhideWhenUsed/>
    <w:rsid w:val="00EC6DF2"/>
    <w:rPr>
      <w:b/>
      <w:bCs/>
    </w:rPr>
  </w:style>
  <w:style w:type="character" w:customStyle="1" w:styleId="CommentSubjectChar">
    <w:name w:val="Comment Subject Char"/>
    <w:basedOn w:val="CommentTextChar"/>
    <w:link w:val="CommentSubject"/>
    <w:uiPriority w:val="99"/>
    <w:semiHidden/>
    <w:rsid w:val="00EC6DF2"/>
    <w:rPr>
      <w:b/>
      <w:bCs/>
      <w:sz w:val="20"/>
      <w:szCs w:val="20"/>
      <w:lang w:val="en-GB"/>
    </w:rPr>
  </w:style>
  <w:style w:type="paragraph" w:styleId="BalloonText">
    <w:name w:val="Balloon Text"/>
    <w:basedOn w:val="Normal"/>
    <w:link w:val="BalloonTextChar"/>
    <w:uiPriority w:val="99"/>
    <w:semiHidden/>
    <w:unhideWhenUsed/>
    <w:rsid w:val="00EC6DF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6DF2"/>
    <w:rPr>
      <w:rFonts w:ascii="Times New Roman" w:hAnsi="Times New Roman" w:cs="Times New Roman"/>
      <w:sz w:val="18"/>
      <w:szCs w:val="18"/>
      <w:lang w:val="en-GB"/>
    </w:rPr>
  </w:style>
  <w:style w:type="character" w:customStyle="1" w:styleId="None">
    <w:name w:val="None"/>
    <w:rsid w:val="001C5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0869">
      <w:bodyDiv w:val="1"/>
      <w:marLeft w:val="0"/>
      <w:marRight w:val="0"/>
      <w:marTop w:val="0"/>
      <w:marBottom w:val="0"/>
      <w:divBdr>
        <w:top w:val="none" w:sz="0" w:space="0" w:color="auto"/>
        <w:left w:val="none" w:sz="0" w:space="0" w:color="auto"/>
        <w:bottom w:val="none" w:sz="0" w:space="0" w:color="auto"/>
        <w:right w:val="none" w:sz="0" w:space="0" w:color="auto"/>
      </w:divBdr>
    </w:div>
    <w:div w:id="1625503055">
      <w:bodyDiv w:val="1"/>
      <w:marLeft w:val="0"/>
      <w:marRight w:val="0"/>
      <w:marTop w:val="0"/>
      <w:marBottom w:val="0"/>
      <w:divBdr>
        <w:top w:val="none" w:sz="0" w:space="0" w:color="auto"/>
        <w:left w:val="none" w:sz="0" w:space="0" w:color="auto"/>
        <w:bottom w:val="none" w:sz="0" w:space="0" w:color="auto"/>
        <w:right w:val="none" w:sz="0" w:space="0" w:color="auto"/>
      </w:divBdr>
    </w:div>
    <w:div w:id="2096391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leger.co.uk/battlefields/tours/the-fall-of-the-berlin-wall-30th-anniversary" TargetMode="External"/><Relationship Id="rId2" Type="http://schemas.openxmlformats.org/officeDocument/2006/relationships/hyperlink" Target="https://www.contexttravel.com/cities/berlin/tours/fall-of-the-berlin-wall-30-year-anniversary-tour" TargetMode="External"/><Relationship Id="rId1" Type="http://schemas.openxmlformats.org/officeDocument/2006/relationships/hyperlink" Target="https://www.telegraph.co.uk/travel/tours/best-first-world-war-battlefield-tours/" TargetMode="External"/><Relationship Id="rId4" Type="http://schemas.openxmlformats.org/officeDocument/2006/relationships/hyperlink" Target="http://www.ags.ac.uk/?page_id=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3036</Words>
  <Characters>17307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Saunders</dc:creator>
  <cp:keywords/>
  <dc:description/>
  <cp:lastModifiedBy>Saunders, Anna</cp:lastModifiedBy>
  <cp:revision>3</cp:revision>
  <cp:lastPrinted>2019-08-17T19:39:00Z</cp:lastPrinted>
  <dcterms:created xsi:type="dcterms:W3CDTF">2020-02-07T14:36:00Z</dcterms:created>
  <dcterms:modified xsi:type="dcterms:W3CDTF">2020-02-07T15:06:00Z</dcterms:modified>
</cp:coreProperties>
</file>