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6CFA6" w14:textId="4E4DF0E6" w:rsidR="00C37D9F" w:rsidRPr="006964C9" w:rsidRDefault="00C37D9F" w:rsidP="00C37D9F">
      <w:pPr>
        <w:spacing w:line="480" w:lineRule="auto"/>
        <w:rPr>
          <w:b/>
          <w:sz w:val="24"/>
          <w:szCs w:val="24"/>
        </w:rPr>
      </w:pPr>
      <w:bookmarkStart w:id="0" w:name="_GoBack"/>
      <w:bookmarkEnd w:id="0"/>
      <w:r w:rsidRPr="006964C9">
        <w:rPr>
          <w:b/>
          <w:sz w:val="24"/>
          <w:szCs w:val="24"/>
        </w:rPr>
        <w:t>Viral eradication reduces multistep hepatocar</w:t>
      </w:r>
      <w:r w:rsidR="00E236DC" w:rsidRPr="006964C9">
        <w:rPr>
          <w:b/>
          <w:sz w:val="24"/>
          <w:szCs w:val="24"/>
        </w:rPr>
        <w:t>c</w:t>
      </w:r>
      <w:r w:rsidRPr="006964C9">
        <w:rPr>
          <w:b/>
          <w:sz w:val="24"/>
          <w:szCs w:val="24"/>
        </w:rPr>
        <w:t xml:space="preserve">inogenesis in patients with chronic hepatitis C virus infection: </w:t>
      </w:r>
      <w:r w:rsidR="00E236DC" w:rsidRPr="006964C9">
        <w:rPr>
          <w:b/>
          <w:sz w:val="24"/>
          <w:szCs w:val="24"/>
        </w:rPr>
        <w:t xml:space="preserve">A </w:t>
      </w:r>
      <w:r w:rsidRPr="006964C9">
        <w:rPr>
          <w:b/>
          <w:sz w:val="24"/>
          <w:szCs w:val="24"/>
        </w:rPr>
        <w:t>prospective serial follow-up MRI study.</w:t>
      </w:r>
    </w:p>
    <w:p w14:paraId="16A40C49" w14:textId="77777777" w:rsidR="00BF45B1" w:rsidRPr="006964C9" w:rsidRDefault="00BF45B1" w:rsidP="00BF45B1">
      <w:pPr>
        <w:spacing w:line="480" w:lineRule="auto"/>
        <w:rPr>
          <w:sz w:val="24"/>
          <w:szCs w:val="24"/>
        </w:rPr>
      </w:pPr>
      <w:r w:rsidRPr="006964C9">
        <w:rPr>
          <w:sz w:val="24"/>
          <w:szCs w:val="24"/>
        </w:rPr>
        <w:t>Takashi Kumada</w:t>
      </w:r>
      <w:r w:rsidRPr="006964C9">
        <w:rPr>
          <w:sz w:val="24"/>
          <w:szCs w:val="24"/>
          <w:vertAlign w:val="superscript"/>
        </w:rPr>
        <w:t>1)</w:t>
      </w:r>
      <w:r w:rsidRPr="006964C9">
        <w:rPr>
          <w:sz w:val="24"/>
          <w:szCs w:val="24"/>
        </w:rPr>
        <w:t>, Hidenori Toyoda</w:t>
      </w:r>
      <w:r w:rsidRPr="006964C9">
        <w:rPr>
          <w:sz w:val="24"/>
          <w:szCs w:val="24"/>
          <w:vertAlign w:val="superscript"/>
        </w:rPr>
        <w:t>2)</w:t>
      </w:r>
      <w:r w:rsidRPr="006964C9">
        <w:rPr>
          <w:sz w:val="24"/>
          <w:szCs w:val="24"/>
        </w:rPr>
        <w:t>, Satoshi Yasuda</w:t>
      </w:r>
      <w:r w:rsidRPr="006964C9">
        <w:rPr>
          <w:sz w:val="24"/>
          <w:szCs w:val="24"/>
          <w:vertAlign w:val="superscript"/>
        </w:rPr>
        <w:t>2)</w:t>
      </w:r>
      <w:r w:rsidRPr="006964C9">
        <w:rPr>
          <w:sz w:val="24"/>
          <w:szCs w:val="24"/>
        </w:rPr>
        <w:t>, Toshifumi Tada</w:t>
      </w:r>
      <w:r w:rsidRPr="006964C9">
        <w:rPr>
          <w:sz w:val="24"/>
          <w:szCs w:val="24"/>
          <w:vertAlign w:val="superscript"/>
        </w:rPr>
        <w:t>2)</w:t>
      </w:r>
      <w:r w:rsidRPr="006964C9">
        <w:rPr>
          <w:sz w:val="24"/>
          <w:szCs w:val="24"/>
        </w:rPr>
        <w:t>, Yasuhiro Sone</w:t>
      </w:r>
      <w:r w:rsidRPr="006964C9">
        <w:rPr>
          <w:sz w:val="24"/>
          <w:szCs w:val="24"/>
          <w:vertAlign w:val="superscript"/>
        </w:rPr>
        <w:t>3)</w:t>
      </w:r>
      <w:r w:rsidRPr="006964C9">
        <w:rPr>
          <w:sz w:val="24"/>
          <w:szCs w:val="24"/>
        </w:rPr>
        <w:t>, Sadanobu Ogawa</w:t>
      </w:r>
      <w:r w:rsidRPr="006964C9">
        <w:rPr>
          <w:sz w:val="24"/>
          <w:szCs w:val="24"/>
          <w:vertAlign w:val="superscript"/>
        </w:rPr>
        <w:t>4)</w:t>
      </w:r>
      <w:r w:rsidRPr="006964C9">
        <w:rPr>
          <w:sz w:val="24"/>
          <w:szCs w:val="24"/>
        </w:rPr>
        <w:t>, Kenji Takeshima</w:t>
      </w:r>
      <w:r w:rsidRPr="006964C9">
        <w:rPr>
          <w:sz w:val="24"/>
          <w:szCs w:val="24"/>
          <w:vertAlign w:val="superscript"/>
        </w:rPr>
        <w:t>4)</w:t>
      </w:r>
      <w:r w:rsidRPr="006964C9">
        <w:rPr>
          <w:sz w:val="24"/>
          <w:szCs w:val="24"/>
        </w:rPr>
        <w:t>, Junko Tanaka</w:t>
      </w:r>
      <w:r w:rsidRPr="006964C9">
        <w:rPr>
          <w:sz w:val="24"/>
          <w:szCs w:val="24"/>
          <w:vertAlign w:val="superscript"/>
        </w:rPr>
        <w:t>5)</w:t>
      </w:r>
      <w:r w:rsidRPr="006964C9">
        <w:rPr>
          <w:sz w:val="24"/>
          <w:szCs w:val="24"/>
        </w:rPr>
        <w:t xml:space="preserve">, </w:t>
      </w:r>
      <w:r w:rsidRPr="006964C9">
        <w:rPr>
          <w:rFonts w:cs="Calibri"/>
          <w:kern w:val="0"/>
          <w:sz w:val="24"/>
          <w:szCs w:val="24"/>
        </w:rPr>
        <w:t>Kazuaki Chayama</w:t>
      </w:r>
      <w:r w:rsidRPr="006964C9">
        <w:rPr>
          <w:rFonts w:cs="Calibri"/>
          <w:kern w:val="0"/>
          <w:sz w:val="24"/>
          <w:szCs w:val="24"/>
          <w:vertAlign w:val="superscript"/>
        </w:rPr>
        <w:t>6)</w:t>
      </w:r>
    </w:p>
    <w:p w14:paraId="2E77FB6D" w14:textId="2C2A323C" w:rsidR="00BF45B1" w:rsidRPr="006964C9" w:rsidRDefault="00BF45B1" w:rsidP="00BF45B1">
      <w:pPr>
        <w:spacing w:line="480" w:lineRule="auto"/>
        <w:rPr>
          <w:sz w:val="24"/>
          <w:szCs w:val="24"/>
        </w:rPr>
      </w:pPr>
      <w:r w:rsidRPr="006964C9">
        <w:rPr>
          <w:sz w:val="24"/>
          <w:szCs w:val="24"/>
        </w:rPr>
        <w:t>1) Department of Nursing, Faculty of Nursing, Gifu Kyoritsu University, Ogaki, Gifu, Japan</w:t>
      </w:r>
    </w:p>
    <w:p w14:paraId="4BF55332" w14:textId="69D5E802" w:rsidR="00BF45B1" w:rsidRPr="006964C9" w:rsidRDefault="00BF45B1" w:rsidP="00BF45B1">
      <w:pPr>
        <w:autoSpaceDE w:val="0"/>
        <w:autoSpaceDN w:val="0"/>
        <w:adjustRightInd w:val="0"/>
        <w:spacing w:line="480" w:lineRule="auto"/>
        <w:jc w:val="left"/>
        <w:rPr>
          <w:rFonts w:cs="AdvTTa9c1b374"/>
          <w:kern w:val="0"/>
          <w:sz w:val="24"/>
          <w:szCs w:val="24"/>
        </w:rPr>
      </w:pPr>
      <w:r w:rsidRPr="006964C9">
        <w:rPr>
          <w:rFonts w:cs="AdvTTa9c1b374"/>
          <w:kern w:val="0"/>
          <w:sz w:val="24"/>
          <w:szCs w:val="24"/>
        </w:rPr>
        <w:t>2) Department of Gastroenterology and Hepatology, Ogaki Municipal Hospital, Ogaki, Gifu, Japan</w:t>
      </w:r>
    </w:p>
    <w:p w14:paraId="1D8593C3" w14:textId="77777777" w:rsidR="00BF45B1" w:rsidRPr="006964C9" w:rsidRDefault="00BF45B1" w:rsidP="00BF45B1">
      <w:pPr>
        <w:autoSpaceDE w:val="0"/>
        <w:autoSpaceDN w:val="0"/>
        <w:adjustRightInd w:val="0"/>
        <w:spacing w:line="480" w:lineRule="auto"/>
        <w:jc w:val="left"/>
        <w:rPr>
          <w:rFonts w:eastAsia="Lato-Regular" w:cs="Lato-Regular"/>
          <w:kern w:val="0"/>
          <w:sz w:val="24"/>
          <w:szCs w:val="24"/>
        </w:rPr>
      </w:pPr>
      <w:r w:rsidRPr="006964C9">
        <w:rPr>
          <w:rFonts w:cs="AdvTTa9c1b374"/>
          <w:kern w:val="0"/>
          <w:sz w:val="24"/>
          <w:szCs w:val="24"/>
        </w:rPr>
        <w:t xml:space="preserve">3) </w:t>
      </w:r>
      <w:r w:rsidRPr="006964C9">
        <w:rPr>
          <w:rFonts w:eastAsia="Lato-Regular" w:cs="Lato-Regular"/>
          <w:kern w:val="0"/>
          <w:sz w:val="24"/>
          <w:szCs w:val="24"/>
        </w:rPr>
        <w:t xml:space="preserve">Department of Radiology, Ogaki Municipal Hospital, Ogaki, </w:t>
      </w:r>
      <w:r w:rsidRPr="006964C9">
        <w:rPr>
          <w:rFonts w:eastAsia="Lato-Regular" w:cs="Lato-Regular" w:hint="eastAsia"/>
          <w:kern w:val="0"/>
          <w:sz w:val="24"/>
          <w:szCs w:val="24"/>
        </w:rPr>
        <w:t xml:space="preserve">Gifu, </w:t>
      </w:r>
      <w:r w:rsidRPr="006964C9">
        <w:rPr>
          <w:rFonts w:eastAsia="Lato-Regular" w:cs="Lato-Regular"/>
          <w:kern w:val="0"/>
          <w:sz w:val="24"/>
          <w:szCs w:val="24"/>
        </w:rPr>
        <w:t>Japan</w:t>
      </w:r>
    </w:p>
    <w:p w14:paraId="28825737" w14:textId="4E32881E" w:rsidR="00BF45B1" w:rsidRPr="006964C9" w:rsidRDefault="00BF45B1" w:rsidP="00BF45B1">
      <w:pPr>
        <w:autoSpaceDE w:val="0"/>
        <w:autoSpaceDN w:val="0"/>
        <w:adjustRightInd w:val="0"/>
        <w:spacing w:line="480" w:lineRule="auto"/>
        <w:jc w:val="left"/>
        <w:rPr>
          <w:rFonts w:cs="AdvTTa9c1b374"/>
          <w:kern w:val="0"/>
          <w:sz w:val="24"/>
          <w:szCs w:val="24"/>
        </w:rPr>
      </w:pPr>
      <w:r w:rsidRPr="006964C9">
        <w:rPr>
          <w:rFonts w:cs="AdvTTa9c1b374"/>
          <w:kern w:val="0"/>
          <w:sz w:val="24"/>
          <w:szCs w:val="24"/>
        </w:rPr>
        <w:t>4) Department of Imaging Diagnosis, Ogaki Municipal Hospital, Ogaki, Gifu, Japan</w:t>
      </w:r>
    </w:p>
    <w:p w14:paraId="2B589560" w14:textId="039CB640" w:rsidR="00BF45B1" w:rsidRPr="006964C9" w:rsidRDefault="00BF45B1" w:rsidP="00BF45B1">
      <w:pPr>
        <w:autoSpaceDE w:val="0"/>
        <w:autoSpaceDN w:val="0"/>
        <w:adjustRightInd w:val="0"/>
        <w:spacing w:line="480" w:lineRule="auto"/>
        <w:jc w:val="left"/>
        <w:rPr>
          <w:rFonts w:cs="AdvTTa9c1b374"/>
          <w:kern w:val="0"/>
          <w:sz w:val="24"/>
          <w:szCs w:val="24"/>
        </w:rPr>
      </w:pPr>
      <w:r w:rsidRPr="006964C9">
        <w:rPr>
          <w:rFonts w:cs="AdvTTa9c1b374"/>
          <w:kern w:val="0"/>
          <w:sz w:val="24"/>
          <w:szCs w:val="24"/>
        </w:rPr>
        <w:t>5) Department of Epidemiology, Infectious Disease Control, and Prevention, Hiroshima University Institute of Biomedical and Health Sciences, Hiroshima, Japan</w:t>
      </w:r>
    </w:p>
    <w:p w14:paraId="006746CA" w14:textId="2E087670" w:rsidR="00BF45B1" w:rsidRPr="006964C9" w:rsidRDefault="00BF45B1" w:rsidP="00BF45B1">
      <w:pPr>
        <w:autoSpaceDE w:val="0"/>
        <w:autoSpaceDN w:val="0"/>
        <w:adjustRightInd w:val="0"/>
        <w:spacing w:line="480" w:lineRule="auto"/>
        <w:jc w:val="left"/>
        <w:rPr>
          <w:rFonts w:cs="AdvPTimes"/>
          <w:kern w:val="0"/>
          <w:sz w:val="24"/>
          <w:szCs w:val="24"/>
        </w:rPr>
      </w:pPr>
      <w:r w:rsidRPr="006964C9">
        <w:rPr>
          <w:rFonts w:cs="AdvTTa9c1b374"/>
          <w:kern w:val="0"/>
          <w:sz w:val="24"/>
          <w:szCs w:val="24"/>
        </w:rPr>
        <w:t xml:space="preserve">6) </w:t>
      </w:r>
      <w:r w:rsidRPr="006964C9">
        <w:rPr>
          <w:rFonts w:cs="AdvPTimes"/>
          <w:kern w:val="0"/>
          <w:sz w:val="24"/>
          <w:szCs w:val="24"/>
        </w:rPr>
        <w:t>Department of Gastroenterology and Metabolism, Institute of Biomedical and Health Sciences, Hiroshima University Hospital, Hiroshima, Japan</w:t>
      </w:r>
    </w:p>
    <w:p w14:paraId="15136EBB" w14:textId="77777777" w:rsidR="00BF45B1" w:rsidRPr="006964C9" w:rsidRDefault="00BF45B1" w:rsidP="00BF45B1">
      <w:pPr>
        <w:autoSpaceDE w:val="0"/>
        <w:autoSpaceDN w:val="0"/>
        <w:adjustRightInd w:val="0"/>
        <w:spacing w:line="480" w:lineRule="auto"/>
        <w:jc w:val="left"/>
        <w:rPr>
          <w:rFonts w:cs="AdvPTimes"/>
          <w:kern w:val="0"/>
          <w:sz w:val="24"/>
          <w:szCs w:val="24"/>
        </w:rPr>
      </w:pPr>
    </w:p>
    <w:p w14:paraId="6AC809F8" w14:textId="2FD8DC0C" w:rsidR="00C37D9F" w:rsidRPr="004C2301" w:rsidRDefault="00BF45B1" w:rsidP="00C37D9F">
      <w:pPr>
        <w:autoSpaceDE w:val="0"/>
        <w:autoSpaceDN w:val="0"/>
        <w:adjustRightInd w:val="0"/>
        <w:spacing w:line="480" w:lineRule="auto"/>
        <w:jc w:val="left"/>
        <w:rPr>
          <w:sz w:val="24"/>
          <w:szCs w:val="24"/>
        </w:rPr>
      </w:pPr>
      <w:r w:rsidRPr="004C2301">
        <w:rPr>
          <w:rFonts w:cs="AdvPTimes"/>
          <w:kern w:val="0"/>
          <w:sz w:val="24"/>
          <w:szCs w:val="24"/>
        </w:rPr>
        <w:t xml:space="preserve">Short running title: </w:t>
      </w:r>
      <w:r w:rsidRPr="004C2301">
        <w:rPr>
          <w:sz w:val="24"/>
          <w:szCs w:val="24"/>
        </w:rPr>
        <w:t>Viral eradication and multistep hepatocarinogenesis</w:t>
      </w:r>
    </w:p>
    <w:p w14:paraId="2D7E8277" w14:textId="77777777" w:rsidR="004C2301" w:rsidRDefault="004C2301" w:rsidP="004C2301">
      <w:pPr>
        <w:autoSpaceDE w:val="0"/>
        <w:autoSpaceDN w:val="0"/>
        <w:adjustRightInd w:val="0"/>
        <w:spacing w:line="480" w:lineRule="auto"/>
        <w:jc w:val="left"/>
        <w:rPr>
          <w:rFonts w:cs="AdvPTimes"/>
          <w:kern w:val="0"/>
          <w:sz w:val="24"/>
          <w:szCs w:val="24"/>
        </w:rPr>
      </w:pPr>
    </w:p>
    <w:p w14:paraId="086E869A" w14:textId="77777777" w:rsidR="004C2301" w:rsidRPr="004C2301" w:rsidRDefault="004C2301" w:rsidP="004C2301">
      <w:pPr>
        <w:autoSpaceDE w:val="0"/>
        <w:autoSpaceDN w:val="0"/>
        <w:adjustRightInd w:val="0"/>
        <w:spacing w:line="480" w:lineRule="auto"/>
        <w:jc w:val="left"/>
        <w:rPr>
          <w:rFonts w:cs="AdvPTimes"/>
          <w:kern w:val="0"/>
          <w:sz w:val="24"/>
          <w:szCs w:val="24"/>
        </w:rPr>
      </w:pPr>
      <w:r w:rsidRPr="004C2301">
        <w:rPr>
          <w:rFonts w:cs="AdvPTimes" w:hint="eastAsia"/>
          <w:kern w:val="0"/>
          <w:sz w:val="24"/>
          <w:szCs w:val="24"/>
        </w:rPr>
        <w:t>Lay Summary</w:t>
      </w:r>
    </w:p>
    <w:p w14:paraId="132E7307" w14:textId="5A863CF4" w:rsidR="004C2301" w:rsidRPr="004C2301" w:rsidRDefault="004C2301" w:rsidP="004C2301">
      <w:pPr>
        <w:autoSpaceDE w:val="0"/>
        <w:autoSpaceDN w:val="0"/>
        <w:adjustRightInd w:val="0"/>
        <w:spacing w:line="480" w:lineRule="auto"/>
        <w:jc w:val="left"/>
        <w:rPr>
          <w:rFonts w:eastAsia="Lato-Regular" w:cs="Lato-Regular"/>
          <w:color w:val="000000"/>
          <w:kern w:val="0"/>
          <w:sz w:val="24"/>
          <w:szCs w:val="24"/>
        </w:rPr>
      </w:pPr>
      <w:r w:rsidRPr="004C2301">
        <w:rPr>
          <w:rFonts w:ascii="Century" w:hAnsi="Century"/>
          <w:sz w:val="24"/>
          <w:szCs w:val="24"/>
        </w:rPr>
        <w:t>With the advent of</w:t>
      </w:r>
      <w:r w:rsidRPr="004C2301">
        <w:rPr>
          <w:rFonts w:ascii="Century" w:hAnsi="Century" w:hint="eastAsia"/>
          <w:sz w:val="24"/>
          <w:szCs w:val="24"/>
        </w:rPr>
        <w:t xml:space="preserve"> </w:t>
      </w:r>
      <w:r w:rsidRPr="004C2301">
        <w:rPr>
          <w:rFonts w:ascii="Century" w:eastAsia="Lato-Regular" w:hAnsi="Century" w:cs="Lato-Regular"/>
          <w:sz w:val="24"/>
          <w:szCs w:val="24"/>
        </w:rPr>
        <w:t>gadolinium</w:t>
      </w:r>
      <w:r w:rsidRPr="004C2301">
        <w:rPr>
          <w:rFonts w:ascii="Century" w:eastAsia="MS Mincho" w:hAnsi="Century" w:cs="MS Mincho"/>
          <w:sz w:val="24"/>
          <w:szCs w:val="24"/>
        </w:rPr>
        <w:t>-</w:t>
      </w:r>
      <w:r w:rsidRPr="004C2301">
        <w:rPr>
          <w:rFonts w:ascii="Century" w:eastAsia="Lato-Regular" w:hAnsi="Century" w:cs="Lato-Regular"/>
          <w:sz w:val="24"/>
          <w:szCs w:val="24"/>
        </w:rPr>
        <w:t>ethoxybenzyl</w:t>
      </w:r>
      <w:r w:rsidRPr="004C2301">
        <w:rPr>
          <w:rFonts w:ascii="Century" w:eastAsia="MS Mincho" w:hAnsi="Century" w:cs="MS Mincho"/>
          <w:sz w:val="24"/>
          <w:szCs w:val="24"/>
        </w:rPr>
        <w:t>-</w:t>
      </w:r>
      <w:r w:rsidRPr="004C2301">
        <w:rPr>
          <w:rFonts w:ascii="Century" w:eastAsia="Lato-Regular" w:hAnsi="Century" w:cs="Lato-Regular"/>
          <w:sz w:val="24"/>
          <w:szCs w:val="24"/>
        </w:rPr>
        <w:t>diethylenetriamine pentaacetic acid–enhanced magnetic resonance imaging (Gd-EOB</w:t>
      </w:r>
      <w:r w:rsidRPr="004C2301">
        <w:rPr>
          <w:rFonts w:ascii="Century" w:eastAsia="MS Mincho" w:hAnsi="Century" w:cs="MS Mincho"/>
          <w:sz w:val="24"/>
          <w:szCs w:val="24"/>
        </w:rPr>
        <w:t>-</w:t>
      </w:r>
      <w:r w:rsidRPr="004C2301">
        <w:rPr>
          <w:rFonts w:ascii="Century" w:eastAsia="Lato-Regular" w:hAnsi="Century" w:cs="Lato-Regular"/>
          <w:sz w:val="24"/>
          <w:szCs w:val="24"/>
        </w:rPr>
        <w:t xml:space="preserve">MRI), differentiation of two types of hepatocarcinogenesis, </w:t>
      </w:r>
      <w:r w:rsidRPr="004C2301">
        <w:rPr>
          <w:rFonts w:eastAsia="Lato-Regular" w:cs="Lato-Regular"/>
          <w:color w:val="000000"/>
          <w:kern w:val="0"/>
          <w:sz w:val="24"/>
          <w:szCs w:val="24"/>
        </w:rPr>
        <w:t>“</w:t>
      </w:r>
      <w:r w:rsidRPr="004C2301">
        <w:rPr>
          <w:rFonts w:eastAsia="AdvTimes" w:cs="AdvTimes"/>
          <w:kern w:val="0"/>
          <w:sz w:val="24"/>
          <w:szCs w:val="24"/>
        </w:rPr>
        <w:t>multistep” and “</w:t>
      </w:r>
      <w:r w:rsidRPr="004C2301">
        <w:rPr>
          <w:rFonts w:eastAsia="Lato-Regular" w:cs="Lato-Regular"/>
          <w:color w:val="000000"/>
          <w:kern w:val="0"/>
          <w:sz w:val="24"/>
          <w:szCs w:val="24"/>
        </w:rPr>
        <w:t xml:space="preserve">de novo”, has become possible. </w:t>
      </w:r>
      <w:r w:rsidRPr="004C2301">
        <w:rPr>
          <w:rFonts w:cs="AdvGulliv-R"/>
          <w:kern w:val="0"/>
          <w:sz w:val="24"/>
          <w:szCs w:val="24"/>
        </w:rPr>
        <w:t xml:space="preserve">We analyzed whether hepatitis C virus (HCV) eradication suppressed hepatocarcinogenesis using </w:t>
      </w:r>
      <w:r w:rsidRPr="004C2301">
        <w:rPr>
          <w:rStyle w:val="tlid-translation"/>
          <w:sz w:val="24"/>
          <w:szCs w:val="24"/>
          <w:lang w:val="en"/>
        </w:rPr>
        <w:t>serial Gd-EOB-MRI.</w:t>
      </w:r>
      <w:r w:rsidRPr="004C2301">
        <w:rPr>
          <w:rFonts w:eastAsia="Lato-Regular" w:cs="Lato-Regular"/>
          <w:color w:val="000000"/>
          <w:kern w:val="0"/>
          <w:sz w:val="24"/>
          <w:szCs w:val="24"/>
        </w:rPr>
        <w:t xml:space="preserve"> </w:t>
      </w:r>
      <w:r w:rsidRPr="004C2301">
        <w:rPr>
          <w:rFonts w:cs="StoneSerif"/>
          <w:kern w:val="0"/>
          <w:sz w:val="24"/>
          <w:szCs w:val="24"/>
        </w:rPr>
        <w:t xml:space="preserve">The eradication of HCV by </w:t>
      </w:r>
      <w:r w:rsidRPr="004C2301">
        <w:rPr>
          <w:rFonts w:eastAsiaTheme="majorEastAsia"/>
          <w:sz w:val="24"/>
          <w:szCs w:val="24"/>
        </w:rPr>
        <w:t>direct-acting antiviral</w:t>
      </w:r>
      <w:r w:rsidRPr="004C2301">
        <w:rPr>
          <w:rFonts w:cs="StoneSerif"/>
          <w:kern w:val="0"/>
          <w:sz w:val="24"/>
          <w:szCs w:val="24"/>
        </w:rPr>
        <w:t xml:space="preserve"> therapy reduces multistep hepatocarcinogenesis and de novo hepatocarcinogenesis was observed in patients with high </w:t>
      </w:r>
      <w:r w:rsidRPr="006964C9">
        <w:rPr>
          <w:i/>
          <w:iCs/>
          <w:sz w:val="24"/>
          <w:szCs w:val="24"/>
        </w:rPr>
        <w:t>Lens culinaris</w:t>
      </w:r>
      <w:r w:rsidRPr="006964C9">
        <w:rPr>
          <w:sz w:val="24"/>
          <w:szCs w:val="24"/>
        </w:rPr>
        <w:t xml:space="preserve"> agglutinin–reactive fraction of alpha-fetoprotein</w:t>
      </w:r>
      <w:r w:rsidRPr="004C2301">
        <w:rPr>
          <w:rFonts w:cs="StoneSerif"/>
          <w:kern w:val="0"/>
          <w:sz w:val="24"/>
          <w:szCs w:val="24"/>
        </w:rPr>
        <w:t xml:space="preserve"> values.</w:t>
      </w:r>
    </w:p>
    <w:p w14:paraId="3ED57203" w14:textId="77777777" w:rsidR="001927A4" w:rsidRDefault="001927A4" w:rsidP="00BF45B1">
      <w:pPr>
        <w:pStyle w:val="Default"/>
        <w:spacing w:line="480" w:lineRule="auto"/>
        <w:rPr>
          <w:rFonts w:asciiTheme="minorHAnsi" w:hAnsiTheme="minorHAnsi" w:cstheme="majorHAnsi"/>
          <w:b/>
          <w:bCs/>
          <w:color w:val="auto"/>
        </w:rPr>
      </w:pPr>
    </w:p>
    <w:p w14:paraId="1AAAFDFB" w14:textId="77777777" w:rsidR="00BF45B1" w:rsidRPr="006964C9" w:rsidRDefault="00BF45B1" w:rsidP="00BF45B1">
      <w:pPr>
        <w:pStyle w:val="Default"/>
        <w:spacing w:line="480" w:lineRule="auto"/>
        <w:rPr>
          <w:rFonts w:asciiTheme="minorHAnsi" w:hAnsiTheme="minorHAnsi" w:cstheme="majorHAnsi"/>
          <w:b/>
          <w:color w:val="auto"/>
        </w:rPr>
      </w:pPr>
      <w:r w:rsidRPr="006964C9">
        <w:rPr>
          <w:rFonts w:asciiTheme="minorHAnsi" w:hAnsiTheme="minorHAnsi" w:cstheme="majorHAnsi"/>
          <w:b/>
          <w:bCs/>
          <w:color w:val="auto"/>
        </w:rPr>
        <w:t>*Corresponding author</w:t>
      </w:r>
      <w:r w:rsidRPr="006964C9">
        <w:rPr>
          <w:rFonts w:asciiTheme="minorHAnsi" w:hAnsiTheme="minorHAnsi" w:cstheme="majorHAnsi"/>
          <w:b/>
          <w:color w:val="auto"/>
        </w:rPr>
        <w:t xml:space="preserve">: Takashi Kumada, MD </w:t>
      </w:r>
    </w:p>
    <w:p w14:paraId="2CDE425A" w14:textId="77777777" w:rsidR="00BF45B1" w:rsidRPr="006964C9" w:rsidRDefault="00BF45B1" w:rsidP="00BF45B1">
      <w:pPr>
        <w:pStyle w:val="Default"/>
        <w:spacing w:line="480" w:lineRule="auto"/>
        <w:rPr>
          <w:rFonts w:asciiTheme="minorHAnsi" w:hAnsiTheme="minorHAnsi" w:cstheme="majorHAnsi"/>
        </w:rPr>
      </w:pPr>
      <w:r w:rsidRPr="006964C9">
        <w:rPr>
          <w:rFonts w:asciiTheme="minorHAnsi" w:hAnsiTheme="minorHAnsi" w:cstheme="majorHAnsi"/>
        </w:rPr>
        <w:t>Department of Nursing, Faculty of Nursing, Gifu Kyoritsu University</w:t>
      </w:r>
    </w:p>
    <w:p w14:paraId="65A44B10" w14:textId="77777777" w:rsidR="00BF45B1" w:rsidRPr="006964C9" w:rsidRDefault="00BF45B1" w:rsidP="00BF45B1">
      <w:pPr>
        <w:pStyle w:val="Default"/>
        <w:spacing w:line="480" w:lineRule="auto"/>
        <w:rPr>
          <w:rFonts w:asciiTheme="minorHAnsi" w:hAnsiTheme="minorHAnsi"/>
        </w:rPr>
      </w:pPr>
      <w:r w:rsidRPr="006964C9">
        <w:rPr>
          <w:rFonts w:asciiTheme="minorHAnsi" w:hAnsiTheme="minorHAnsi"/>
        </w:rPr>
        <w:t>5-50, Kitagata-cho, Ogaki-shi, Gifu-ken, 503-8550, JAPAN</w:t>
      </w:r>
    </w:p>
    <w:p w14:paraId="6AE092E1" w14:textId="77777777" w:rsidR="00BF45B1" w:rsidRPr="006964C9" w:rsidRDefault="00BF45B1" w:rsidP="00BF45B1">
      <w:pPr>
        <w:pStyle w:val="Default"/>
        <w:spacing w:line="480" w:lineRule="auto"/>
        <w:rPr>
          <w:rFonts w:asciiTheme="minorHAnsi" w:hAnsiTheme="minorHAnsi" w:cstheme="majorHAnsi"/>
        </w:rPr>
      </w:pPr>
      <w:r w:rsidRPr="006964C9">
        <w:rPr>
          <w:rFonts w:asciiTheme="minorHAnsi" w:hAnsiTheme="minorHAnsi" w:cstheme="majorHAnsi"/>
        </w:rPr>
        <w:t>TEL: +</w:t>
      </w:r>
      <w:r w:rsidRPr="006964C9">
        <w:rPr>
          <w:rFonts w:asciiTheme="minorHAnsi" w:hAnsiTheme="minorHAnsi"/>
        </w:rPr>
        <w:t>81-584-77-3512</w:t>
      </w:r>
      <w:r w:rsidRPr="006964C9">
        <w:rPr>
          <w:rFonts w:asciiTheme="minorHAnsi" w:hAnsiTheme="minorHAnsi" w:cstheme="majorHAnsi"/>
        </w:rPr>
        <w:t xml:space="preserve"> FAX: +</w:t>
      </w:r>
      <w:r w:rsidRPr="006964C9">
        <w:rPr>
          <w:rFonts w:asciiTheme="minorHAnsi" w:hAnsiTheme="minorHAnsi"/>
        </w:rPr>
        <w:t>81-584-77-3510</w:t>
      </w:r>
    </w:p>
    <w:p w14:paraId="446FBB6C" w14:textId="77777777" w:rsidR="00BF45B1" w:rsidRPr="006964C9" w:rsidRDefault="00BF45B1" w:rsidP="00BF45B1">
      <w:pPr>
        <w:pStyle w:val="Default"/>
        <w:spacing w:line="480" w:lineRule="auto"/>
        <w:rPr>
          <w:rFonts w:asciiTheme="minorHAnsi" w:hAnsiTheme="minorHAnsi" w:cstheme="majorHAnsi"/>
        </w:rPr>
      </w:pPr>
      <w:r w:rsidRPr="006964C9">
        <w:rPr>
          <w:rFonts w:asciiTheme="minorHAnsi" w:hAnsiTheme="minorHAnsi" w:cstheme="majorHAnsi"/>
        </w:rPr>
        <w:t>E-mail: takashi.kumada@gmail.com</w:t>
      </w:r>
    </w:p>
    <w:p w14:paraId="0D75F77A" w14:textId="77777777" w:rsidR="00BF45B1" w:rsidRPr="006964C9" w:rsidRDefault="00BF45B1" w:rsidP="00BF45B1">
      <w:pPr>
        <w:pStyle w:val="Default"/>
        <w:spacing w:line="480" w:lineRule="auto"/>
        <w:rPr>
          <w:rFonts w:asciiTheme="minorHAnsi" w:hAnsiTheme="minorHAnsi" w:cstheme="majorHAnsi"/>
        </w:rPr>
      </w:pPr>
    </w:p>
    <w:p w14:paraId="01A3C39D" w14:textId="77777777" w:rsidR="00BF45B1" w:rsidRPr="006964C9" w:rsidRDefault="00BF45B1" w:rsidP="00BF45B1">
      <w:pPr>
        <w:pStyle w:val="Default"/>
        <w:spacing w:line="480" w:lineRule="auto"/>
        <w:rPr>
          <w:rFonts w:asciiTheme="minorHAnsi" w:hAnsiTheme="minorHAnsi" w:cstheme="majorHAnsi"/>
        </w:rPr>
      </w:pPr>
      <w:r w:rsidRPr="006964C9">
        <w:rPr>
          <w:rFonts w:asciiTheme="minorHAnsi" w:hAnsiTheme="minorHAnsi" w:cstheme="majorHAnsi"/>
        </w:rPr>
        <w:t>E-mail address of coauthors</w:t>
      </w:r>
    </w:p>
    <w:p w14:paraId="02940BAC" w14:textId="77777777" w:rsidR="00BF45B1" w:rsidRPr="006964C9" w:rsidRDefault="00BF45B1" w:rsidP="00BF45B1">
      <w:pPr>
        <w:pStyle w:val="Default"/>
        <w:spacing w:line="480" w:lineRule="auto"/>
        <w:rPr>
          <w:rFonts w:asciiTheme="minorHAnsi" w:hAnsiTheme="minorHAnsi" w:cstheme="majorHAnsi"/>
        </w:rPr>
      </w:pPr>
      <w:r w:rsidRPr="006964C9">
        <w:rPr>
          <w:rFonts w:asciiTheme="minorHAnsi" w:hAnsiTheme="minorHAnsi" w:cstheme="majorHAnsi"/>
        </w:rPr>
        <w:t>Hidenori Toyoda: tkumada@he.mirai.ne.jp</w:t>
      </w:r>
    </w:p>
    <w:p w14:paraId="04906A5B" w14:textId="77777777" w:rsidR="00BF45B1" w:rsidRPr="006964C9" w:rsidRDefault="00BF45B1" w:rsidP="00BF45B1">
      <w:pPr>
        <w:pStyle w:val="Default"/>
        <w:spacing w:line="480" w:lineRule="auto"/>
        <w:rPr>
          <w:rFonts w:asciiTheme="minorHAnsi" w:hAnsiTheme="minorHAnsi" w:cstheme="majorHAnsi"/>
        </w:rPr>
      </w:pPr>
      <w:r w:rsidRPr="006964C9">
        <w:rPr>
          <w:rFonts w:asciiTheme="minorHAnsi" w:hAnsiTheme="minorHAnsi" w:cstheme="majorHAnsi"/>
        </w:rPr>
        <w:t>Satoshi Yasuda: satoshi.yasuda.1982@gmail.com</w:t>
      </w:r>
    </w:p>
    <w:p w14:paraId="334CCBC2" w14:textId="77777777" w:rsidR="00BF45B1" w:rsidRPr="006964C9" w:rsidRDefault="00BF45B1" w:rsidP="00BF45B1">
      <w:pPr>
        <w:pStyle w:val="Default"/>
        <w:spacing w:line="480" w:lineRule="auto"/>
        <w:rPr>
          <w:rFonts w:asciiTheme="minorHAnsi" w:hAnsiTheme="minorHAnsi" w:cstheme="majorHAnsi"/>
        </w:rPr>
      </w:pPr>
      <w:r w:rsidRPr="006964C9">
        <w:rPr>
          <w:rFonts w:asciiTheme="minorHAnsi" w:hAnsiTheme="minorHAnsi" w:cstheme="majorHAnsi"/>
        </w:rPr>
        <w:t>Toshifumi Tada: tadat0627@gmail.com</w:t>
      </w:r>
    </w:p>
    <w:p w14:paraId="2431A080" w14:textId="77777777" w:rsidR="00BF45B1" w:rsidRPr="006964C9" w:rsidRDefault="00BF45B1" w:rsidP="00BF45B1">
      <w:pPr>
        <w:pStyle w:val="Default"/>
        <w:spacing w:line="480" w:lineRule="auto"/>
        <w:rPr>
          <w:rFonts w:asciiTheme="minorHAnsi" w:hAnsiTheme="minorHAnsi" w:cstheme="majorHAnsi"/>
          <w:color w:val="auto"/>
        </w:rPr>
      </w:pPr>
      <w:r w:rsidRPr="006964C9">
        <w:rPr>
          <w:rFonts w:asciiTheme="minorHAnsi" w:hAnsiTheme="minorHAnsi" w:cstheme="majorHAnsi"/>
          <w:color w:val="auto"/>
        </w:rPr>
        <w:t xml:space="preserve">Yasuhiro Sone: </w:t>
      </w:r>
      <w:hyperlink r:id="rId7" w:history="1">
        <w:r w:rsidRPr="006964C9">
          <w:rPr>
            <w:rStyle w:val="Hyperlink"/>
            <w:rFonts w:asciiTheme="minorHAnsi" w:hAnsiTheme="minorHAnsi"/>
            <w:color w:val="auto"/>
            <w:u w:val="none"/>
          </w:rPr>
          <w:t>soney-kts@theia.ocn.ne.jp</w:t>
        </w:r>
      </w:hyperlink>
    </w:p>
    <w:p w14:paraId="1EE712C3" w14:textId="77777777" w:rsidR="00BF45B1" w:rsidRPr="006964C9" w:rsidRDefault="00BF45B1" w:rsidP="00BF45B1">
      <w:pPr>
        <w:pStyle w:val="Default"/>
        <w:spacing w:line="480" w:lineRule="auto"/>
        <w:rPr>
          <w:rFonts w:asciiTheme="minorHAnsi" w:hAnsiTheme="minorHAnsi" w:cstheme="majorHAnsi"/>
          <w:color w:val="auto"/>
        </w:rPr>
      </w:pPr>
      <w:r w:rsidRPr="006964C9">
        <w:rPr>
          <w:rFonts w:asciiTheme="minorHAnsi" w:hAnsiTheme="minorHAnsi" w:cstheme="majorHAnsi"/>
          <w:color w:val="auto"/>
        </w:rPr>
        <w:t>Sadanobu Ogawa: sada4577@yahoo.ne.jp</w:t>
      </w:r>
    </w:p>
    <w:p w14:paraId="21C78886" w14:textId="77777777" w:rsidR="00BF45B1" w:rsidRPr="006964C9" w:rsidRDefault="00BF45B1" w:rsidP="00BF45B1">
      <w:pPr>
        <w:pStyle w:val="Default"/>
        <w:spacing w:line="480" w:lineRule="auto"/>
        <w:rPr>
          <w:rFonts w:asciiTheme="minorHAnsi" w:hAnsiTheme="minorHAnsi" w:cstheme="majorHAnsi"/>
          <w:color w:val="auto"/>
        </w:rPr>
      </w:pPr>
      <w:r w:rsidRPr="006964C9">
        <w:rPr>
          <w:rFonts w:asciiTheme="minorHAnsi" w:hAnsiTheme="minorHAnsi" w:cstheme="majorHAnsi"/>
          <w:color w:val="auto"/>
        </w:rPr>
        <w:t>Kenji Takeshima: k-takeshima@octn.jp</w:t>
      </w:r>
    </w:p>
    <w:p w14:paraId="7ECD53AB" w14:textId="77777777" w:rsidR="00BF45B1" w:rsidRPr="006964C9" w:rsidRDefault="00BF45B1" w:rsidP="00BF45B1">
      <w:pPr>
        <w:pStyle w:val="Default"/>
        <w:spacing w:line="480" w:lineRule="auto"/>
        <w:rPr>
          <w:rFonts w:asciiTheme="minorHAnsi" w:hAnsiTheme="minorHAnsi" w:cstheme="majorHAnsi"/>
          <w:color w:val="auto"/>
        </w:rPr>
      </w:pPr>
      <w:r w:rsidRPr="006964C9">
        <w:rPr>
          <w:rFonts w:asciiTheme="minorHAnsi" w:hAnsiTheme="minorHAnsi" w:cstheme="majorHAnsi"/>
          <w:color w:val="auto"/>
        </w:rPr>
        <w:t>Junko Tanaka: jun-tanaka@hiroshima-u.ac.jp</w:t>
      </w:r>
    </w:p>
    <w:p w14:paraId="260FC2E8" w14:textId="77777777" w:rsidR="00BF45B1" w:rsidRPr="006964C9" w:rsidRDefault="00BF45B1" w:rsidP="00BF45B1">
      <w:pPr>
        <w:pStyle w:val="Default"/>
        <w:spacing w:line="480" w:lineRule="auto"/>
        <w:rPr>
          <w:rFonts w:asciiTheme="minorHAnsi" w:hAnsiTheme="minorHAnsi" w:cstheme="majorHAnsi"/>
          <w:color w:val="auto"/>
        </w:rPr>
      </w:pPr>
      <w:r w:rsidRPr="006964C9">
        <w:rPr>
          <w:rFonts w:asciiTheme="minorHAnsi" w:hAnsiTheme="minorHAnsi" w:cstheme="majorHAnsi"/>
          <w:color w:val="auto"/>
        </w:rPr>
        <w:t>Kazuaki Chayama: chayama@mba.ocn.ne.jp</w:t>
      </w:r>
    </w:p>
    <w:p w14:paraId="42871D35" w14:textId="064E9303" w:rsidR="00C37D9F" w:rsidRPr="006964C9" w:rsidRDefault="00C37D9F" w:rsidP="00C37D9F">
      <w:pPr>
        <w:pStyle w:val="Default"/>
        <w:spacing w:line="480" w:lineRule="auto"/>
        <w:rPr>
          <w:rFonts w:asciiTheme="minorHAnsi" w:hAnsiTheme="minorHAnsi"/>
        </w:rPr>
      </w:pPr>
    </w:p>
    <w:p w14:paraId="547844BB" w14:textId="77777777" w:rsidR="00C37D9F" w:rsidRPr="006964C9" w:rsidRDefault="00C37D9F" w:rsidP="00C37D9F">
      <w:pPr>
        <w:pStyle w:val="Default"/>
        <w:spacing w:line="480" w:lineRule="auto"/>
        <w:rPr>
          <w:rFonts w:asciiTheme="minorHAnsi" w:hAnsiTheme="minorHAnsi"/>
        </w:rPr>
      </w:pPr>
      <w:r w:rsidRPr="006964C9">
        <w:rPr>
          <w:rFonts w:asciiTheme="minorHAnsi" w:hAnsiTheme="minorHAnsi"/>
        </w:rPr>
        <w:t xml:space="preserve">Word count: </w:t>
      </w:r>
      <w:r w:rsidR="001D6C6E" w:rsidRPr="006964C9">
        <w:rPr>
          <w:rFonts w:asciiTheme="minorHAnsi" w:hAnsiTheme="minorHAnsi" w:hint="eastAsia"/>
        </w:rPr>
        <w:t>3,054</w:t>
      </w:r>
    </w:p>
    <w:p w14:paraId="24F1A8E8" w14:textId="77777777" w:rsidR="00C37D9F" w:rsidRPr="006964C9" w:rsidRDefault="00C37D9F" w:rsidP="00C37D9F">
      <w:pPr>
        <w:pStyle w:val="Default"/>
        <w:spacing w:line="480" w:lineRule="auto"/>
        <w:rPr>
          <w:rFonts w:asciiTheme="minorHAnsi" w:hAnsiTheme="minorHAnsi"/>
        </w:rPr>
      </w:pPr>
      <w:r w:rsidRPr="006964C9">
        <w:rPr>
          <w:rFonts w:asciiTheme="minorHAnsi" w:hAnsiTheme="minorHAnsi"/>
        </w:rPr>
        <w:t xml:space="preserve">Number of tables: </w:t>
      </w:r>
      <w:r w:rsidR="001D6C6E" w:rsidRPr="006964C9">
        <w:rPr>
          <w:rFonts w:asciiTheme="minorHAnsi" w:hAnsiTheme="minorHAnsi" w:hint="eastAsia"/>
        </w:rPr>
        <w:t>3</w:t>
      </w:r>
    </w:p>
    <w:p w14:paraId="65E98021" w14:textId="77777777" w:rsidR="00C37D9F" w:rsidRPr="006964C9" w:rsidRDefault="00C37D9F" w:rsidP="00C37D9F">
      <w:pPr>
        <w:pStyle w:val="Default"/>
        <w:spacing w:line="480" w:lineRule="auto"/>
        <w:rPr>
          <w:rFonts w:asciiTheme="minorHAnsi" w:hAnsiTheme="minorHAnsi"/>
        </w:rPr>
      </w:pPr>
      <w:r w:rsidRPr="006964C9">
        <w:rPr>
          <w:rFonts w:asciiTheme="minorHAnsi" w:hAnsiTheme="minorHAnsi"/>
        </w:rPr>
        <w:t xml:space="preserve">Number of figures: </w:t>
      </w:r>
      <w:r w:rsidR="001D6C6E" w:rsidRPr="006964C9">
        <w:rPr>
          <w:rFonts w:asciiTheme="minorHAnsi" w:hAnsiTheme="minorHAnsi" w:hint="eastAsia"/>
        </w:rPr>
        <w:t>7</w:t>
      </w:r>
    </w:p>
    <w:p w14:paraId="49E56680" w14:textId="77777777" w:rsidR="00C37D9F" w:rsidRPr="006964C9" w:rsidRDefault="00C37D9F" w:rsidP="00C37D9F">
      <w:pPr>
        <w:pStyle w:val="Default"/>
        <w:spacing w:line="480" w:lineRule="auto"/>
        <w:rPr>
          <w:rFonts w:asciiTheme="minorHAnsi" w:hAnsiTheme="minorHAnsi"/>
        </w:rPr>
      </w:pPr>
    </w:p>
    <w:p w14:paraId="009A27A7" w14:textId="51935514" w:rsidR="00C37D9F" w:rsidRPr="006964C9" w:rsidRDefault="00187011" w:rsidP="00C37D9F">
      <w:pPr>
        <w:pStyle w:val="Default"/>
        <w:tabs>
          <w:tab w:val="left" w:pos="1418"/>
        </w:tabs>
        <w:spacing w:line="480" w:lineRule="auto"/>
        <w:rPr>
          <w:rFonts w:asciiTheme="minorHAnsi" w:hAnsiTheme="minorHAnsi"/>
        </w:rPr>
      </w:pPr>
      <w:r w:rsidRPr="006964C9">
        <w:rPr>
          <w:rFonts w:asciiTheme="minorHAnsi" w:hAnsiTheme="minorHAnsi"/>
          <w:b/>
          <w:bCs/>
        </w:rPr>
        <w:lastRenderedPageBreak/>
        <w:t>List of abbreviations</w:t>
      </w:r>
      <w:r w:rsidRPr="006964C9">
        <w:rPr>
          <w:rFonts w:asciiTheme="minorHAnsi" w:hAnsiTheme="minorHAnsi"/>
          <w:bCs/>
        </w:rPr>
        <w:t xml:space="preserve">: </w:t>
      </w:r>
      <w:r w:rsidRPr="006964C9">
        <w:rPr>
          <w:rFonts w:asciiTheme="minorHAnsi" w:hAnsiTheme="minorHAnsi"/>
        </w:rPr>
        <w:t xml:space="preserve">HCC, hepatocellular carcinoma; ALBI, albumin–bilirubin; </w:t>
      </w:r>
      <w:r w:rsidRPr="006964C9">
        <w:rPr>
          <w:rFonts w:asciiTheme="minorHAnsi" w:eastAsiaTheme="majorEastAsia" w:hAnsiTheme="minorHAnsi"/>
        </w:rPr>
        <w:t>DAA, direct-acting antiviral;</w:t>
      </w:r>
      <w:r w:rsidRPr="006964C9">
        <w:rPr>
          <w:rFonts w:asciiTheme="minorHAnsi" w:eastAsia="Lato-Regular" w:hAnsiTheme="minorHAnsi" w:cs="Lato-Regular"/>
        </w:rPr>
        <w:t xml:space="preserve"> Gd-EOB</w:t>
      </w:r>
      <w:r w:rsidRPr="006964C9">
        <w:rPr>
          <w:rFonts w:asciiTheme="minorHAnsi" w:eastAsia="MS Mincho" w:hAnsiTheme="minorHAnsi" w:cs="MS Mincho"/>
        </w:rPr>
        <w:t>-</w:t>
      </w:r>
      <w:r w:rsidRPr="006964C9">
        <w:rPr>
          <w:rFonts w:asciiTheme="minorHAnsi" w:eastAsia="Lato-Regular" w:hAnsiTheme="minorHAnsi" w:cs="Lato-Regular"/>
        </w:rPr>
        <w:t>MRI, Gadolinium</w:t>
      </w:r>
      <w:r w:rsidR="00E236DC" w:rsidRPr="006964C9">
        <w:rPr>
          <w:rFonts w:asciiTheme="minorHAnsi" w:eastAsia="Lato-Regular" w:hAnsiTheme="minorHAnsi" w:cs="Lato-Regular"/>
        </w:rPr>
        <w:t>-</w:t>
      </w:r>
      <w:r w:rsidRPr="006964C9">
        <w:rPr>
          <w:rFonts w:asciiTheme="minorHAnsi" w:eastAsia="Lato-Regular" w:hAnsiTheme="minorHAnsi" w:cs="Lato-Regular"/>
        </w:rPr>
        <w:t>ethoxybenzyl</w:t>
      </w:r>
      <w:r w:rsidRPr="006964C9">
        <w:rPr>
          <w:rFonts w:asciiTheme="minorHAnsi" w:eastAsia="MS Mincho" w:hAnsiTheme="minorHAnsi" w:cs="MS Mincho"/>
        </w:rPr>
        <w:t>-</w:t>
      </w:r>
      <w:r w:rsidRPr="006964C9">
        <w:rPr>
          <w:rFonts w:asciiTheme="minorHAnsi" w:eastAsia="Lato-Regular" w:hAnsiTheme="minorHAnsi" w:cs="Lato-Regular"/>
        </w:rPr>
        <w:t>diethylenetriamine pentaacetic acid</w:t>
      </w:r>
      <w:r w:rsidR="003D2AC0" w:rsidRPr="006964C9">
        <w:rPr>
          <w:rFonts w:asciiTheme="minorHAnsi" w:eastAsia="Lato-Regular" w:hAnsiTheme="minorHAnsi" w:cs="Lato-Regular"/>
        </w:rPr>
        <w:t>–</w:t>
      </w:r>
      <w:r w:rsidRPr="006964C9">
        <w:rPr>
          <w:rFonts w:asciiTheme="minorHAnsi" w:eastAsia="Lato-Regular" w:hAnsiTheme="minorHAnsi" w:cs="Lato-Regular"/>
        </w:rPr>
        <w:t>enhanced magnetic resonance imaging</w:t>
      </w:r>
      <w:r w:rsidRPr="006964C9">
        <w:rPr>
          <w:rFonts w:asciiTheme="minorHAnsi" w:hAnsiTheme="minorHAnsi"/>
        </w:rPr>
        <w:t xml:space="preserve">; HBP, </w:t>
      </w:r>
      <w:r w:rsidRPr="006964C9">
        <w:rPr>
          <w:rFonts w:asciiTheme="minorHAnsi" w:hAnsiTheme="minorHAnsi" w:cs="Cambria"/>
        </w:rPr>
        <w:t>hepatobiliary biliary phase; CT, computed tomography</w:t>
      </w:r>
      <w:r w:rsidRPr="006964C9">
        <w:rPr>
          <w:rFonts w:asciiTheme="minorHAnsi" w:hAnsiTheme="minorHAnsi"/>
        </w:rPr>
        <w:t xml:space="preserve">; </w:t>
      </w:r>
      <w:r w:rsidRPr="006964C9">
        <w:rPr>
          <w:rFonts w:asciiTheme="minorHAnsi" w:eastAsia="Lato-Regular" w:hAnsiTheme="minorHAnsi" w:cs="Lato-Regular"/>
        </w:rPr>
        <w:t>NHHN, nonh</w:t>
      </w:r>
      <w:r w:rsidR="006B3F82" w:rsidRPr="006964C9">
        <w:rPr>
          <w:rFonts w:asciiTheme="minorHAnsi" w:eastAsia="Lato-Regular" w:hAnsiTheme="minorHAnsi" w:cs="Lato-Regular"/>
        </w:rPr>
        <w:t>ypervascular hypointense nodule</w:t>
      </w:r>
      <w:r w:rsidRPr="006964C9">
        <w:rPr>
          <w:rFonts w:asciiTheme="minorHAnsi" w:hAnsiTheme="minorHAnsi"/>
        </w:rPr>
        <w:t xml:space="preserve">; HCV, hepatitis C virus; SVR, </w:t>
      </w:r>
      <w:r w:rsidRPr="006964C9">
        <w:rPr>
          <w:rFonts w:asciiTheme="minorHAnsi" w:eastAsia="AdvGulliv-R" w:hAnsiTheme="minorHAnsi"/>
        </w:rPr>
        <w:t>sustained virological response</w:t>
      </w:r>
      <w:r w:rsidRPr="006964C9">
        <w:rPr>
          <w:rFonts w:asciiTheme="minorHAnsi" w:hAnsiTheme="minorHAnsi"/>
          <w:color w:val="231F20"/>
        </w:rPr>
        <w:t xml:space="preserve">; ALT, alanine </w:t>
      </w:r>
      <w:r w:rsidR="006B3F82" w:rsidRPr="006964C9">
        <w:rPr>
          <w:rFonts w:asciiTheme="minorHAnsi" w:hAnsiTheme="minorHAnsi"/>
          <w:color w:val="231F20"/>
        </w:rPr>
        <w:t>amino</w:t>
      </w:r>
      <w:r w:rsidRPr="006964C9">
        <w:rPr>
          <w:rFonts w:asciiTheme="minorHAnsi" w:hAnsiTheme="minorHAnsi"/>
          <w:color w:val="231F20"/>
        </w:rPr>
        <w:t xml:space="preserve">transferase; AST, </w:t>
      </w:r>
      <w:r w:rsidR="006B3F82" w:rsidRPr="006964C9">
        <w:rPr>
          <w:rFonts w:asciiTheme="minorHAnsi" w:hAnsiTheme="minorHAnsi"/>
          <w:color w:val="231F20"/>
        </w:rPr>
        <w:t>aspartate amino</w:t>
      </w:r>
      <w:r w:rsidRPr="006964C9">
        <w:rPr>
          <w:rFonts w:asciiTheme="minorHAnsi" w:hAnsiTheme="minorHAnsi"/>
          <w:color w:val="231F20"/>
        </w:rPr>
        <w:t xml:space="preserve">transferase; </w:t>
      </w:r>
      <w:r w:rsidRPr="006964C9">
        <w:rPr>
          <w:rFonts w:asciiTheme="minorHAnsi" w:hAnsiTheme="minorHAnsi"/>
          <w:lang w:val="en"/>
        </w:rPr>
        <w:t>AFP</w:t>
      </w:r>
      <w:r w:rsidRPr="006964C9">
        <w:rPr>
          <w:rFonts w:asciiTheme="minorHAnsi" w:hAnsiTheme="minorHAnsi"/>
        </w:rPr>
        <w:t xml:space="preserve">, </w:t>
      </w:r>
      <w:r w:rsidRPr="006964C9">
        <w:rPr>
          <w:rFonts w:asciiTheme="minorHAnsi" w:hAnsiTheme="minorHAnsi"/>
          <w:lang w:val="en"/>
        </w:rPr>
        <w:t xml:space="preserve">alpha-fetoprotein; </w:t>
      </w:r>
      <w:r w:rsidRPr="006964C9">
        <w:rPr>
          <w:rFonts w:asciiTheme="minorHAnsi" w:eastAsia="Lato-Regular" w:hAnsiTheme="minorHAnsi" w:cs="Lato-Regular"/>
        </w:rPr>
        <w:t xml:space="preserve">AFP-L3%, </w:t>
      </w:r>
      <w:r w:rsidRPr="006964C9">
        <w:rPr>
          <w:rFonts w:asciiTheme="minorHAnsi" w:hAnsiTheme="minorHAnsi"/>
          <w:i/>
          <w:iCs/>
        </w:rPr>
        <w:t>Lens culinaris</w:t>
      </w:r>
      <w:r w:rsidRPr="006964C9">
        <w:rPr>
          <w:rFonts w:asciiTheme="minorHAnsi" w:hAnsiTheme="minorHAnsi"/>
        </w:rPr>
        <w:t xml:space="preserve"> agglutinin</w:t>
      </w:r>
      <w:r w:rsidR="00E23B94" w:rsidRPr="006964C9">
        <w:rPr>
          <w:rFonts w:asciiTheme="minorHAnsi" w:hAnsiTheme="minorHAnsi"/>
        </w:rPr>
        <w:t>–</w:t>
      </w:r>
      <w:r w:rsidRPr="006964C9">
        <w:rPr>
          <w:rFonts w:asciiTheme="minorHAnsi" w:hAnsiTheme="minorHAnsi"/>
        </w:rPr>
        <w:t>reactive fraction of alpha-fetoprotein</w:t>
      </w:r>
      <w:r w:rsidRPr="006964C9">
        <w:rPr>
          <w:rFonts w:asciiTheme="minorHAnsi" w:eastAsia="Lato-Regular" w:hAnsiTheme="minorHAnsi" w:cs="Lato-Regular"/>
        </w:rPr>
        <w:t xml:space="preserve">; </w:t>
      </w:r>
      <w:r w:rsidRPr="006964C9">
        <w:rPr>
          <w:rFonts w:asciiTheme="minorHAnsi" w:hAnsiTheme="minorHAnsi" w:cs="AdvPTimes"/>
        </w:rPr>
        <w:t>DCP</w:t>
      </w:r>
      <w:r w:rsidRPr="006964C9">
        <w:rPr>
          <w:rFonts w:asciiTheme="minorHAnsi" w:hAnsiTheme="minorHAnsi"/>
        </w:rPr>
        <w:t xml:space="preserve">, </w:t>
      </w:r>
      <w:r w:rsidRPr="006964C9">
        <w:rPr>
          <w:rFonts w:asciiTheme="minorHAnsi" w:hAnsiTheme="minorHAnsi" w:cs="AdvPTimes"/>
        </w:rPr>
        <w:t>des-</w:t>
      </w:r>
      <w:r w:rsidRPr="006964C9">
        <w:rPr>
          <w:rFonts w:asciiTheme="minorHAnsi" w:hAnsiTheme="minorHAnsi" w:cs="AdvPSMP10"/>
        </w:rPr>
        <w:t>c</w:t>
      </w:r>
      <w:r w:rsidRPr="006964C9">
        <w:rPr>
          <w:rFonts w:asciiTheme="minorHAnsi" w:hAnsiTheme="minorHAnsi" w:cs="AdvPTimes"/>
        </w:rPr>
        <w:t>arboxy prothrombin</w:t>
      </w:r>
      <w:r w:rsidRPr="006964C9">
        <w:rPr>
          <w:rFonts w:asciiTheme="minorHAnsi" w:hAnsiTheme="minorHAnsi"/>
        </w:rPr>
        <w:t>; US, ultrasonography</w:t>
      </w:r>
    </w:p>
    <w:p w14:paraId="34EFDB67" w14:textId="77777777" w:rsidR="00C37D9F" w:rsidRPr="006964C9" w:rsidRDefault="00C37D9F" w:rsidP="00C37D9F">
      <w:pPr>
        <w:pStyle w:val="Default"/>
        <w:tabs>
          <w:tab w:val="left" w:pos="1418"/>
        </w:tabs>
        <w:spacing w:line="480" w:lineRule="auto"/>
        <w:rPr>
          <w:rFonts w:asciiTheme="minorHAnsi" w:hAnsiTheme="minorHAnsi"/>
        </w:rPr>
      </w:pPr>
    </w:p>
    <w:p w14:paraId="70C0DEED" w14:textId="3E05127F" w:rsidR="00C37D9F" w:rsidRPr="006964C9" w:rsidRDefault="00C37D9F" w:rsidP="00C37D9F">
      <w:pPr>
        <w:tabs>
          <w:tab w:val="left" w:pos="1418"/>
        </w:tabs>
        <w:autoSpaceDE w:val="0"/>
        <w:autoSpaceDN w:val="0"/>
        <w:adjustRightInd w:val="0"/>
        <w:spacing w:line="480" w:lineRule="auto"/>
        <w:jc w:val="left"/>
        <w:rPr>
          <w:rFonts w:cstheme="majorHAnsi"/>
          <w:color w:val="000000"/>
          <w:kern w:val="0"/>
          <w:sz w:val="24"/>
          <w:szCs w:val="24"/>
        </w:rPr>
      </w:pPr>
      <w:r w:rsidRPr="006964C9">
        <w:rPr>
          <w:rFonts w:cs="Arial"/>
          <w:bCs/>
          <w:color w:val="000000"/>
          <w:kern w:val="0"/>
          <w:sz w:val="24"/>
          <w:szCs w:val="24"/>
        </w:rPr>
        <w:t>Conflict</w:t>
      </w:r>
      <w:r w:rsidRPr="006964C9">
        <w:rPr>
          <w:rFonts w:cstheme="majorHAnsi"/>
          <w:bCs/>
          <w:color w:val="000000"/>
          <w:kern w:val="0"/>
          <w:sz w:val="24"/>
          <w:szCs w:val="24"/>
        </w:rPr>
        <w:t>s of interest</w:t>
      </w:r>
      <w:r w:rsidRPr="006964C9">
        <w:rPr>
          <w:rFonts w:cstheme="majorHAnsi"/>
          <w:color w:val="000000"/>
          <w:kern w:val="0"/>
          <w:sz w:val="24"/>
          <w:szCs w:val="24"/>
        </w:rPr>
        <w:t xml:space="preserve">: </w:t>
      </w:r>
      <w:r w:rsidR="00A32C83" w:rsidRPr="006964C9">
        <w:rPr>
          <w:rFonts w:cstheme="majorHAnsi"/>
          <w:sz w:val="24"/>
          <w:szCs w:val="24"/>
        </w:rPr>
        <w:t>Takashi Kumada</w:t>
      </w:r>
      <w:r w:rsidRPr="006964C9">
        <w:rPr>
          <w:rFonts w:eastAsia="AdvGulliv-R" w:cstheme="majorHAnsi"/>
          <w:kern w:val="0"/>
          <w:sz w:val="24"/>
          <w:szCs w:val="24"/>
        </w:rPr>
        <w:t xml:space="preserve"> (</w:t>
      </w:r>
      <w:r w:rsidRPr="006964C9">
        <w:rPr>
          <w:rFonts w:eastAsia="ＭＳ明朝" w:cstheme="majorHAnsi"/>
          <w:kern w:val="0"/>
          <w:sz w:val="24"/>
          <w:szCs w:val="24"/>
        </w:rPr>
        <w:t xml:space="preserve">Gilead Sciences, AbbVie, Ezai), </w:t>
      </w:r>
      <w:r w:rsidR="00892C62" w:rsidRPr="006964C9">
        <w:rPr>
          <w:rFonts w:eastAsia="ＭＳ明朝" w:cstheme="majorHAnsi"/>
          <w:kern w:val="0"/>
          <w:sz w:val="24"/>
          <w:szCs w:val="24"/>
        </w:rPr>
        <w:t>Hidenori Toyoda</w:t>
      </w:r>
      <w:r w:rsidRPr="006964C9">
        <w:rPr>
          <w:rFonts w:eastAsia="ＭＳ明朝" w:cstheme="majorHAnsi"/>
          <w:kern w:val="0"/>
          <w:sz w:val="24"/>
          <w:szCs w:val="24"/>
        </w:rPr>
        <w:t xml:space="preserve"> (Gilead Sciences, AbbVie).</w:t>
      </w:r>
      <w:r w:rsidRPr="006964C9">
        <w:rPr>
          <w:rFonts w:cstheme="majorHAnsi"/>
          <w:color w:val="000000"/>
          <w:kern w:val="0"/>
          <w:sz w:val="24"/>
          <w:szCs w:val="24"/>
        </w:rPr>
        <w:t xml:space="preserve"> </w:t>
      </w:r>
    </w:p>
    <w:p w14:paraId="32350DA4" w14:textId="77777777" w:rsidR="00C37D9F" w:rsidRPr="006964C9" w:rsidRDefault="00C37D9F" w:rsidP="00C37D9F">
      <w:pPr>
        <w:autoSpaceDE w:val="0"/>
        <w:autoSpaceDN w:val="0"/>
        <w:adjustRightInd w:val="0"/>
        <w:spacing w:line="480" w:lineRule="auto"/>
        <w:jc w:val="left"/>
        <w:rPr>
          <w:rFonts w:eastAsia="AdvGulliv-R" w:cs="Arial"/>
          <w:kern w:val="0"/>
          <w:sz w:val="24"/>
          <w:szCs w:val="24"/>
        </w:rPr>
      </w:pPr>
    </w:p>
    <w:p w14:paraId="38591F3A" w14:textId="77777777" w:rsidR="00C37D9F" w:rsidRPr="006964C9" w:rsidRDefault="00C37D9F" w:rsidP="00C37D9F">
      <w:pPr>
        <w:autoSpaceDE w:val="0"/>
        <w:autoSpaceDN w:val="0"/>
        <w:adjustRightInd w:val="0"/>
        <w:spacing w:line="480" w:lineRule="auto"/>
        <w:jc w:val="left"/>
        <w:rPr>
          <w:rFonts w:cs="AdvPTimes"/>
          <w:kern w:val="0"/>
          <w:sz w:val="24"/>
          <w:szCs w:val="24"/>
        </w:rPr>
      </w:pPr>
      <w:r w:rsidRPr="006964C9">
        <w:rPr>
          <w:rFonts w:eastAsia="AdvGulliv-R" w:cs="Arial"/>
          <w:kern w:val="0"/>
          <w:sz w:val="24"/>
          <w:szCs w:val="24"/>
        </w:rPr>
        <w:t>Financial support: This work was supported by Health and Labour Sciences Research Grants (Research on Hepatitis) from the Ministry of Health, Labour and Welfare of Japan.</w:t>
      </w:r>
      <w:r w:rsidRPr="006964C9">
        <w:rPr>
          <w:sz w:val="24"/>
          <w:szCs w:val="24"/>
        </w:rPr>
        <w:br w:type="page"/>
      </w:r>
    </w:p>
    <w:p w14:paraId="4E0FB4F5" w14:textId="77777777" w:rsidR="00C37D9F" w:rsidRPr="006964C9" w:rsidRDefault="00C37D9F" w:rsidP="00C37D9F">
      <w:pPr>
        <w:spacing w:line="480" w:lineRule="auto"/>
        <w:rPr>
          <w:b/>
          <w:sz w:val="24"/>
          <w:szCs w:val="24"/>
        </w:rPr>
      </w:pPr>
      <w:r w:rsidRPr="006964C9">
        <w:rPr>
          <w:b/>
          <w:sz w:val="24"/>
          <w:szCs w:val="24"/>
        </w:rPr>
        <w:lastRenderedPageBreak/>
        <w:t>Abstract</w:t>
      </w:r>
    </w:p>
    <w:p w14:paraId="4B9E0062" w14:textId="7B9725FD" w:rsidR="00276057" w:rsidRPr="006964C9" w:rsidRDefault="00276057" w:rsidP="00133162">
      <w:pPr>
        <w:widowControl/>
        <w:spacing w:line="480" w:lineRule="auto"/>
        <w:jc w:val="left"/>
        <w:rPr>
          <w:rFonts w:ascii="Century" w:hAnsi="Century"/>
          <w:sz w:val="24"/>
          <w:szCs w:val="24"/>
        </w:rPr>
      </w:pPr>
      <w:r w:rsidRPr="006964C9">
        <w:rPr>
          <w:rFonts w:hint="eastAsia"/>
          <w:b/>
          <w:sz w:val="24"/>
          <w:szCs w:val="24"/>
        </w:rPr>
        <w:t>Back</w:t>
      </w:r>
      <w:r w:rsidRPr="006964C9">
        <w:rPr>
          <w:b/>
          <w:sz w:val="24"/>
          <w:szCs w:val="24"/>
        </w:rPr>
        <w:t>ground and Aims</w:t>
      </w:r>
      <w:r w:rsidRPr="006964C9">
        <w:rPr>
          <w:sz w:val="24"/>
          <w:szCs w:val="24"/>
        </w:rPr>
        <w:t>:</w:t>
      </w:r>
      <w:r w:rsidR="00133162" w:rsidRPr="006964C9">
        <w:rPr>
          <w:sz w:val="24"/>
          <w:szCs w:val="24"/>
        </w:rPr>
        <w:t xml:space="preserve"> </w:t>
      </w:r>
      <w:r w:rsidR="00133162" w:rsidRPr="006964C9">
        <w:rPr>
          <w:rFonts w:ascii="Century" w:hAnsi="Century"/>
          <w:sz w:val="24"/>
          <w:szCs w:val="24"/>
        </w:rPr>
        <w:t xml:space="preserve">With the advent of </w:t>
      </w:r>
      <w:r w:rsidR="00133162" w:rsidRPr="006964C9">
        <w:rPr>
          <w:rFonts w:ascii="Century" w:hAnsi="Century" w:cs="Arial"/>
          <w:sz w:val="24"/>
          <w:szCs w:val="24"/>
        </w:rPr>
        <w:t xml:space="preserve">direct-acting antiviral (DAA) drugs, sustained virological response (SVR) can be easily </w:t>
      </w:r>
      <w:r w:rsidR="00E23BC1" w:rsidRPr="006964C9">
        <w:rPr>
          <w:rFonts w:ascii="Century" w:hAnsi="Century" w:cs="Arial"/>
          <w:sz w:val="24"/>
          <w:szCs w:val="24"/>
        </w:rPr>
        <w:t xml:space="preserve">achieved </w:t>
      </w:r>
      <w:r w:rsidR="00133162" w:rsidRPr="006964C9">
        <w:rPr>
          <w:rFonts w:ascii="Century" w:hAnsi="Century" w:cs="Arial"/>
          <w:sz w:val="24"/>
          <w:szCs w:val="24"/>
        </w:rPr>
        <w:t xml:space="preserve">in almost all patients with hepatitis C virus (HCV) infection. </w:t>
      </w:r>
      <w:r w:rsidR="00133162" w:rsidRPr="006964C9">
        <w:rPr>
          <w:rStyle w:val="tlid-translation"/>
          <w:rFonts w:ascii="Century" w:hAnsi="Century"/>
          <w:sz w:val="24"/>
          <w:szCs w:val="24"/>
          <w:lang w:val="en"/>
        </w:rPr>
        <w:t xml:space="preserve">We conducted a prospective study </w:t>
      </w:r>
      <w:r w:rsidR="00E23BC1" w:rsidRPr="006964C9">
        <w:rPr>
          <w:rStyle w:val="tlid-translation"/>
          <w:rFonts w:ascii="Century" w:hAnsi="Century"/>
          <w:sz w:val="24"/>
          <w:szCs w:val="24"/>
          <w:lang w:val="en"/>
        </w:rPr>
        <w:t xml:space="preserve">using </w:t>
      </w:r>
      <w:r w:rsidR="00E23BC1" w:rsidRPr="006964C9">
        <w:rPr>
          <w:rFonts w:ascii="Century" w:eastAsia="Lato-Regular" w:hAnsi="Century" w:cs="Lato-Regular"/>
          <w:sz w:val="24"/>
          <w:szCs w:val="24"/>
        </w:rPr>
        <w:t>gadolinium</w:t>
      </w:r>
      <w:r w:rsidR="00E23BC1" w:rsidRPr="006964C9">
        <w:rPr>
          <w:rFonts w:ascii="Century" w:eastAsia="MS Mincho" w:hAnsi="Century" w:cs="MS Mincho"/>
          <w:sz w:val="24"/>
          <w:szCs w:val="24"/>
        </w:rPr>
        <w:t>-</w:t>
      </w:r>
      <w:r w:rsidR="00E23BC1" w:rsidRPr="006964C9">
        <w:rPr>
          <w:rFonts w:ascii="Century" w:eastAsia="Lato-Regular" w:hAnsi="Century" w:cs="Lato-Regular"/>
          <w:sz w:val="24"/>
          <w:szCs w:val="24"/>
        </w:rPr>
        <w:t>ethoxybenzyl</w:t>
      </w:r>
      <w:r w:rsidR="00E23BC1" w:rsidRPr="006964C9">
        <w:rPr>
          <w:rFonts w:ascii="Century" w:eastAsia="MS Mincho" w:hAnsi="Century" w:cs="MS Mincho"/>
          <w:sz w:val="24"/>
          <w:szCs w:val="24"/>
        </w:rPr>
        <w:t>-</w:t>
      </w:r>
      <w:r w:rsidR="00E23BC1" w:rsidRPr="006964C9">
        <w:rPr>
          <w:rFonts w:ascii="Century" w:eastAsia="Lato-Regular" w:hAnsi="Century" w:cs="Lato-Regular"/>
          <w:sz w:val="24"/>
          <w:szCs w:val="24"/>
        </w:rPr>
        <w:t>diethylenetriamine pentaacetic acid–enhanced magnetic resonance imaging (Gd-EOB</w:t>
      </w:r>
      <w:r w:rsidR="00E23BC1" w:rsidRPr="006964C9">
        <w:rPr>
          <w:rFonts w:ascii="Century" w:eastAsia="MS Mincho" w:hAnsi="Century" w:cs="MS Mincho"/>
          <w:sz w:val="24"/>
          <w:szCs w:val="24"/>
        </w:rPr>
        <w:t>-</w:t>
      </w:r>
      <w:r w:rsidR="00E23BC1" w:rsidRPr="006964C9">
        <w:rPr>
          <w:rFonts w:ascii="Century" w:eastAsia="Lato-Regular" w:hAnsi="Century" w:cs="Lato-Regular"/>
          <w:sz w:val="24"/>
          <w:szCs w:val="24"/>
        </w:rPr>
        <w:t>MRI) t</w:t>
      </w:r>
      <w:r w:rsidR="00133162" w:rsidRPr="006964C9">
        <w:rPr>
          <w:rStyle w:val="tlid-translation"/>
          <w:rFonts w:ascii="Century" w:hAnsi="Century"/>
          <w:sz w:val="24"/>
          <w:szCs w:val="24"/>
          <w:lang w:val="en"/>
        </w:rPr>
        <w:t xml:space="preserve">o determine whether </w:t>
      </w:r>
      <w:r w:rsidR="0092173C" w:rsidRPr="006964C9">
        <w:rPr>
          <w:rStyle w:val="tlid-translation"/>
          <w:rFonts w:ascii="Century" w:hAnsi="Century"/>
          <w:sz w:val="24"/>
          <w:szCs w:val="24"/>
          <w:lang w:val="en"/>
        </w:rPr>
        <w:t>the eradication of HCV</w:t>
      </w:r>
      <w:r w:rsidR="00133162" w:rsidRPr="006964C9">
        <w:rPr>
          <w:rStyle w:val="tlid-translation"/>
          <w:rFonts w:ascii="Century" w:hAnsi="Century"/>
          <w:sz w:val="24"/>
          <w:szCs w:val="24"/>
          <w:lang w:val="en"/>
        </w:rPr>
        <w:t xml:space="preserve"> suppresse</w:t>
      </w:r>
      <w:r w:rsidR="003D2AC0" w:rsidRPr="006964C9">
        <w:rPr>
          <w:rStyle w:val="tlid-translation"/>
          <w:rFonts w:ascii="Century" w:hAnsi="Century"/>
          <w:sz w:val="24"/>
          <w:szCs w:val="24"/>
          <w:lang w:val="en"/>
        </w:rPr>
        <w:t>d</w:t>
      </w:r>
      <w:r w:rsidR="00133162" w:rsidRPr="006964C9">
        <w:rPr>
          <w:rStyle w:val="tlid-translation"/>
          <w:rFonts w:ascii="Century" w:hAnsi="Century"/>
          <w:sz w:val="24"/>
          <w:szCs w:val="24"/>
          <w:lang w:val="en"/>
        </w:rPr>
        <w:t xml:space="preserve"> </w:t>
      </w:r>
      <w:r w:rsidR="003D2AC0" w:rsidRPr="006964C9">
        <w:rPr>
          <w:rStyle w:val="tlid-translation"/>
          <w:rFonts w:ascii="Century" w:hAnsi="Century"/>
          <w:sz w:val="24"/>
          <w:szCs w:val="24"/>
          <w:lang w:val="en"/>
        </w:rPr>
        <w:t>hepatocarcinogenesis</w:t>
      </w:r>
      <w:r w:rsidR="00133162" w:rsidRPr="006964C9">
        <w:rPr>
          <w:rStyle w:val="tlid-translation"/>
          <w:rFonts w:ascii="Century" w:hAnsi="Century"/>
          <w:sz w:val="24"/>
          <w:szCs w:val="24"/>
          <w:lang w:val="en"/>
        </w:rPr>
        <w:t>.</w:t>
      </w:r>
    </w:p>
    <w:p w14:paraId="0781803A" w14:textId="3FAE9ACF" w:rsidR="0092173C" w:rsidRPr="006964C9" w:rsidRDefault="00276057" w:rsidP="00133162">
      <w:pPr>
        <w:widowControl/>
        <w:spacing w:line="480" w:lineRule="auto"/>
        <w:jc w:val="left"/>
        <w:rPr>
          <w:sz w:val="24"/>
          <w:szCs w:val="24"/>
        </w:rPr>
      </w:pPr>
      <w:r w:rsidRPr="006964C9">
        <w:rPr>
          <w:b/>
          <w:sz w:val="24"/>
          <w:szCs w:val="24"/>
        </w:rPr>
        <w:t>Methods and Materials</w:t>
      </w:r>
      <w:r w:rsidRPr="006964C9">
        <w:rPr>
          <w:sz w:val="24"/>
          <w:szCs w:val="24"/>
        </w:rPr>
        <w:t>:</w:t>
      </w:r>
      <w:r w:rsidR="0092173C" w:rsidRPr="006964C9">
        <w:rPr>
          <w:sz w:val="24"/>
          <w:szCs w:val="24"/>
        </w:rPr>
        <w:t xml:space="preserve"> </w:t>
      </w:r>
      <w:r w:rsidR="00E23BC1" w:rsidRPr="006964C9">
        <w:rPr>
          <w:sz w:val="24"/>
          <w:szCs w:val="24"/>
        </w:rPr>
        <w:t xml:space="preserve">A </w:t>
      </w:r>
      <w:r w:rsidR="0092173C" w:rsidRPr="006964C9">
        <w:rPr>
          <w:sz w:val="24"/>
          <w:szCs w:val="24"/>
        </w:rPr>
        <w:t>total</w:t>
      </w:r>
      <w:r w:rsidR="003D2AC0" w:rsidRPr="006964C9">
        <w:rPr>
          <w:sz w:val="24"/>
          <w:szCs w:val="24"/>
        </w:rPr>
        <w:t xml:space="preserve"> of</w:t>
      </w:r>
      <w:r w:rsidR="0092173C" w:rsidRPr="006964C9">
        <w:rPr>
          <w:sz w:val="24"/>
          <w:szCs w:val="24"/>
        </w:rPr>
        <w:t xml:space="preserve"> 719 patients</w:t>
      </w:r>
      <w:r w:rsidR="003D2AC0" w:rsidRPr="006964C9">
        <w:rPr>
          <w:sz w:val="24"/>
          <w:szCs w:val="24"/>
        </w:rPr>
        <w:t xml:space="preserve"> were enrolled,</w:t>
      </w:r>
      <w:r w:rsidR="0092173C" w:rsidRPr="006964C9">
        <w:rPr>
          <w:sz w:val="24"/>
          <w:szCs w:val="24"/>
        </w:rPr>
        <w:t xml:space="preserve"> including 509 patients </w:t>
      </w:r>
      <w:r w:rsidR="003D2AC0" w:rsidRPr="006964C9">
        <w:rPr>
          <w:sz w:val="24"/>
          <w:szCs w:val="24"/>
        </w:rPr>
        <w:t xml:space="preserve">in the </w:t>
      </w:r>
      <w:r w:rsidR="00A13896" w:rsidRPr="006964C9">
        <w:rPr>
          <w:sz w:val="24"/>
          <w:szCs w:val="24"/>
        </w:rPr>
        <w:t>“</w:t>
      </w:r>
      <w:r w:rsidR="0092173C" w:rsidRPr="006964C9">
        <w:rPr>
          <w:sz w:val="24"/>
          <w:szCs w:val="24"/>
        </w:rPr>
        <w:t>DAA group</w:t>
      </w:r>
      <w:r w:rsidR="00A13896" w:rsidRPr="006964C9">
        <w:rPr>
          <w:sz w:val="24"/>
          <w:szCs w:val="24"/>
        </w:rPr>
        <w:t>”</w:t>
      </w:r>
      <w:r w:rsidR="0092173C" w:rsidRPr="006964C9">
        <w:rPr>
          <w:sz w:val="24"/>
          <w:szCs w:val="24"/>
        </w:rPr>
        <w:t xml:space="preserve"> who achieved SVR by DAA</w:t>
      </w:r>
      <w:r w:rsidR="003D2AC0" w:rsidRPr="006964C9">
        <w:rPr>
          <w:sz w:val="24"/>
          <w:szCs w:val="24"/>
        </w:rPr>
        <w:t>s</w:t>
      </w:r>
      <w:r w:rsidR="0092173C" w:rsidRPr="006964C9">
        <w:rPr>
          <w:sz w:val="24"/>
          <w:szCs w:val="24"/>
        </w:rPr>
        <w:t xml:space="preserve"> and 210 patients </w:t>
      </w:r>
      <w:r w:rsidR="003D2AC0" w:rsidRPr="006964C9">
        <w:rPr>
          <w:sz w:val="24"/>
          <w:szCs w:val="24"/>
        </w:rPr>
        <w:t xml:space="preserve">in the </w:t>
      </w:r>
      <w:r w:rsidR="00A13896" w:rsidRPr="006964C9">
        <w:rPr>
          <w:sz w:val="24"/>
          <w:szCs w:val="24"/>
        </w:rPr>
        <w:t>“</w:t>
      </w:r>
      <w:r w:rsidR="0092173C" w:rsidRPr="006964C9">
        <w:rPr>
          <w:sz w:val="24"/>
          <w:szCs w:val="24"/>
        </w:rPr>
        <w:t>Non-DAA group</w:t>
      </w:r>
      <w:r w:rsidR="00A13896" w:rsidRPr="006964C9">
        <w:rPr>
          <w:sz w:val="24"/>
          <w:szCs w:val="24"/>
        </w:rPr>
        <w:t>”</w:t>
      </w:r>
      <w:r w:rsidR="0092173C" w:rsidRPr="006964C9">
        <w:rPr>
          <w:sz w:val="24"/>
          <w:szCs w:val="24"/>
        </w:rPr>
        <w:t xml:space="preserve"> who did not receive DAA</w:t>
      </w:r>
      <w:r w:rsidR="003D2AC0" w:rsidRPr="006964C9">
        <w:rPr>
          <w:sz w:val="24"/>
          <w:szCs w:val="24"/>
        </w:rPr>
        <w:t>s</w:t>
      </w:r>
      <w:r w:rsidR="0092173C" w:rsidRPr="006964C9">
        <w:rPr>
          <w:sz w:val="24"/>
          <w:szCs w:val="24"/>
        </w:rPr>
        <w:t>.</w:t>
      </w:r>
      <w:r w:rsidR="009C055F" w:rsidRPr="006964C9">
        <w:rPr>
          <w:rFonts w:eastAsia="Lato-Regular" w:cs="Lato-Regular"/>
          <w:color w:val="000000"/>
          <w:kern w:val="0"/>
          <w:sz w:val="24"/>
          <w:szCs w:val="24"/>
        </w:rPr>
        <w:t xml:space="preserve"> </w:t>
      </w:r>
      <w:r w:rsidR="003D2AC0" w:rsidRPr="006964C9">
        <w:rPr>
          <w:rFonts w:eastAsia="Lato-Regular" w:cs="Lato-Regular"/>
          <w:color w:val="000000"/>
          <w:kern w:val="0"/>
          <w:sz w:val="24"/>
          <w:szCs w:val="24"/>
        </w:rPr>
        <w:t>H</w:t>
      </w:r>
      <w:r w:rsidR="009C055F" w:rsidRPr="006964C9">
        <w:rPr>
          <w:rFonts w:eastAsia="Lato-Regular" w:cs="Lato-Regular"/>
          <w:color w:val="000000"/>
          <w:kern w:val="0"/>
          <w:sz w:val="24"/>
          <w:szCs w:val="24"/>
        </w:rPr>
        <w:t xml:space="preserve">epatocarcinogenesis </w:t>
      </w:r>
      <w:r w:rsidR="003D2AC0" w:rsidRPr="006964C9">
        <w:rPr>
          <w:rFonts w:eastAsia="Lato-Regular" w:cs="Lato-Regular"/>
          <w:color w:val="000000"/>
          <w:kern w:val="0"/>
          <w:sz w:val="24"/>
          <w:szCs w:val="24"/>
        </w:rPr>
        <w:t xml:space="preserve">was </w:t>
      </w:r>
      <w:r w:rsidR="009C055F" w:rsidRPr="006964C9">
        <w:rPr>
          <w:rFonts w:eastAsia="Lato-Regular" w:cs="Lato-Regular"/>
          <w:color w:val="000000"/>
          <w:kern w:val="0"/>
          <w:sz w:val="24"/>
          <w:szCs w:val="24"/>
        </w:rPr>
        <w:t xml:space="preserve">classified into two </w:t>
      </w:r>
      <w:r w:rsidR="003D2AC0" w:rsidRPr="006964C9">
        <w:rPr>
          <w:rFonts w:eastAsia="Lato-Regular" w:cs="Lato-Regular"/>
          <w:color w:val="000000"/>
          <w:kern w:val="0"/>
          <w:sz w:val="24"/>
          <w:szCs w:val="24"/>
        </w:rPr>
        <w:t>types</w:t>
      </w:r>
      <w:r w:rsidR="009C055F" w:rsidRPr="006964C9">
        <w:rPr>
          <w:rFonts w:eastAsia="Lato-Regular" w:cs="Lato-Regular"/>
          <w:color w:val="000000"/>
          <w:kern w:val="0"/>
          <w:sz w:val="24"/>
          <w:szCs w:val="24"/>
        </w:rPr>
        <w:t xml:space="preserve">, </w:t>
      </w:r>
      <w:r w:rsidR="00251CFA" w:rsidRPr="006964C9">
        <w:rPr>
          <w:rFonts w:eastAsia="Lato-Regular" w:cs="Lato-Regular"/>
          <w:color w:val="000000"/>
          <w:kern w:val="0"/>
          <w:sz w:val="24"/>
          <w:szCs w:val="24"/>
        </w:rPr>
        <w:t>“</w:t>
      </w:r>
      <w:r w:rsidR="009C055F" w:rsidRPr="006964C9">
        <w:rPr>
          <w:rFonts w:eastAsia="AdvTimes" w:cs="AdvTimes"/>
          <w:kern w:val="0"/>
          <w:sz w:val="24"/>
          <w:szCs w:val="24"/>
        </w:rPr>
        <w:t>multistep</w:t>
      </w:r>
      <w:r w:rsidR="00251CFA" w:rsidRPr="006964C9">
        <w:rPr>
          <w:rFonts w:eastAsia="AdvTimes" w:cs="AdvTimes"/>
          <w:kern w:val="0"/>
          <w:sz w:val="24"/>
          <w:szCs w:val="24"/>
        </w:rPr>
        <w:t>”</w:t>
      </w:r>
      <w:r w:rsidR="009C055F" w:rsidRPr="006964C9">
        <w:rPr>
          <w:rFonts w:eastAsia="AdvTimes" w:cs="AdvTimes"/>
          <w:kern w:val="0"/>
          <w:sz w:val="24"/>
          <w:szCs w:val="24"/>
        </w:rPr>
        <w:t xml:space="preserve"> and </w:t>
      </w:r>
      <w:r w:rsidR="00251CFA" w:rsidRPr="006964C9">
        <w:rPr>
          <w:rFonts w:eastAsia="AdvTimes" w:cs="AdvTimes"/>
          <w:kern w:val="0"/>
          <w:sz w:val="24"/>
          <w:szCs w:val="24"/>
        </w:rPr>
        <w:t>“</w:t>
      </w:r>
      <w:r w:rsidR="009C055F" w:rsidRPr="006964C9">
        <w:rPr>
          <w:rFonts w:eastAsia="Lato-Regular" w:cs="Lato-Regular"/>
          <w:color w:val="000000"/>
          <w:kern w:val="0"/>
          <w:sz w:val="24"/>
          <w:szCs w:val="24"/>
        </w:rPr>
        <w:t>de novo</w:t>
      </w:r>
      <w:r w:rsidR="00251CFA" w:rsidRPr="006964C9">
        <w:rPr>
          <w:rFonts w:eastAsia="Lato-Regular" w:cs="Lato-Regular"/>
          <w:color w:val="000000"/>
          <w:kern w:val="0"/>
          <w:sz w:val="24"/>
          <w:szCs w:val="24"/>
        </w:rPr>
        <w:t>”</w:t>
      </w:r>
      <w:r w:rsidR="001E0892" w:rsidRPr="006964C9">
        <w:rPr>
          <w:rFonts w:eastAsia="Lato-Regular" w:cs="Lato-Regular"/>
          <w:color w:val="000000"/>
          <w:kern w:val="0"/>
          <w:sz w:val="24"/>
          <w:szCs w:val="24"/>
        </w:rPr>
        <w:t>.</w:t>
      </w:r>
      <w:r w:rsidR="009C055F" w:rsidRPr="006964C9">
        <w:rPr>
          <w:rFonts w:eastAsia="Lato-Regular" w:cs="Lato-Regular"/>
          <w:color w:val="000000"/>
          <w:kern w:val="0"/>
          <w:sz w:val="24"/>
          <w:szCs w:val="24"/>
        </w:rPr>
        <w:t xml:space="preserve"> Factors associated with </w:t>
      </w:r>
      <w:r w:rsidR="003D2AC0" w:rsidRPr="006964C9">
        <w:rPr>
          <w:rFonts w:eastAsia="Lato-Regular" w:cs="Lato-Regular"/>
          <w:color w:val="000000"/>
          <w:kern w:val="0"/>
          <w:sz w:val="24"/>
          <w:szCs w:val="24"/>
        </w:rPr>
        <w:t>each type</w:t>
      </w:r>
      <w:r w:rsidR="009C055F" w:rsidRPr="006964C9">
        <w:rPr>
          <w:rFonts w:eastAsia="Lato-Regular" w:cs="Lato-Regular"/>
          <w:color w:val="000000"/>
          <w:kern w:val="0"/>
          <w:sz w:val="24"/>
          <w:szCs w:val="24"/>
        </w:rPr>
        <w:t xml:space="preserve"> were analyzed by </w:t>
      </w:r>
      <w:r w:rsidR="009C055F" w:rsidRPr="006964C9">
        <w:rPr>
          <w:rFonts w:eastAsia="AdvOT678fd422" w:cs="AdvOT678fd422"/>
          <w:color w:val="231F20"/>
          <w:kern w:val="0"/>
          <w:sz w:val="24"/>
          <w:szCs w:val="24"/>
        </w:rPr>
        <w:t>Fine and Gray proportional hazards models.</w:t>
      </w:r>
    </w:p>
    <w:p w14:paraId="0E20F5A2" w14:textId="08E23B4C" w:rsidR="006A0A52" w:rsidRPr="006964C9" w:rsidRDefault="00276057" w:rsidP="00133162">
      <w:pPr>
        <w:widowControl/>
        <w:spacing w:line="480" w:lineRule="auto"/>
        <w:jc w:val="left"/>
        <w:rPr>
          <w:color w:val="000000" w:themeColor="text1"/>
          <w:kern w:val="24"/>
          <w:sz w:val="24"/>
          <w:szCs w:val="24"/>
        </w:rPr>
      </w:pPr>
      <w:r w:rsidRPr="006964C9">
        <w:rPr>
          <w:b/>
          <w:sz w:val="24"/>
          <w:szCs w:val="24"/>
        </w:rPr>
        <w:t>Results:</w:t>
      </w:r>
      <w:r w:rsidRPr="006964C9">
        <w:rPr>
          <w:sz w:val="24"/>
          <w:szCs w:val="24"/>
        </w:rPr>
        <w:t xml:space="preserve"> </w:t>
      </w:r>
      <w:r w:rsidR="003D2AC0" w:rsidRPr="006964C9">
        <w:rPr>
          <w:rFonts w:eastAsia="AdvOT678fd422" w:cs="AdvOT678fd422"/>
          <w:color w:val="231F20"/>
          <w:kern w:val="0"/>
          <w:sz w:val="24"/>
          <w:szCs w:val="24"/>
        </w:rPr>
        <w:t>Of 67 patients with hepato</w:t>
      </w:r>
      <w:r w:rsidR="00BF1D57" w:rsidRPr="006964C9">
        <w:rPr>
          <w:rFonts w:eastAsia="AdvOT678fd422" w:cs="AdvOT678fd422"/>
          <w:color w:val="231F20"/>
          <w:kern w:val="0"/>
          <w:sz w:val="24"/>
          <w:szCs w:val="24"/>
        </w:rPr>
        <w:t xml:space="preserve">cellular </w:t>
      </w:r>
      <w:r w:rsidR="003D2AC0" w:rsidRPr="006964C9">
        <w:rPr>
          <w:rFonts w:eastAsia="AdvOT678fd422" w:cs="AdvOT678fd422"/>
          <w:color w:val="231F20"/>
          <w:kern w:val="0"/>
          <w:sz w:val="24"/>
          <w:szCs w:val="24"/>
        </w:rPr>
        <w:t>carcinoma, m</w:t>
      </w:r>
      <w:r w:rsidR="009C055F" w:rsidRPr="006964C9">
        <w:rPr>
          <w:rFonts w:eastAsia="AdvOT678fd422" w:cs="AdvOT678fd422"/>
          <w:color w:val="231F20"/>
          <w:kern w:val="0"/>
          <w:sz w:val="24"/>
          <w:szCs w:val="24"/>
        </w:rPr>
        <w:t>ultistep hepatocar</w:t>
      </w:r>
      <w:r w:rsidR="003D2AC0" w:rsidRPr="006964C9">
        <w:rPr>
          <w:rFonts w:eastAsia="AdvOT678fd422" w:cs="AdvOT678fd422"/>
          <w:color w:val="231F20"/>
          <w:kern w:val="0"/>
          <w:sz w:val="24"/>
          <w:szCs w:val="24"/>
        </w:rPr>
        <w:t>c</w:t>
      </w:r>
      <w:r w:rsidR="009C055F" w:rsidRPr="006964C9">
        <w:rPr>
          <w:rFonts w:eastAsia="AdvOT678fd422" w:cs="AdvOT678fd422"/>
          <w:color w:val="231F20"/>
          <w:kern w:val="0"/>
          <w:sz w:val="24"/>
          <w:szCs w:val="24"/>
        </w:rPr>
        <w:t>inogen</w:t>
      </w:r>
      <w:r w:rsidR="003D2AC0" w:rsidRPr="006964C9">
        <w:rPr>
          <w:rFonts w:eastAsia="AdvOT678fd422" w:cs="AdvOT678fd422"/>
          <w:color w:val="231F20"/>
          <w:kern w:val="0"/>
          <w:sz w:val="24"/>
          <w:szCs w:val="24"/>
        </w:rPr>
        <w:t>e</w:t>
      </w:r>
      <w:r w:rsidR="009C055F" w:rsidRPr="006964C9">
        <w:rPr>
          <w:rFonts w:eastAsia="AdvOT678fd422" w:cs="AdvOT678fd422"/>
          <w:color w:val="231F20"/>
          <w:kern w:val="0"/>
          <w:sz w:val="24"/>
          <w:szCs w:val="24"/>
        </w:rPr>
        <w:t xml:space="preserve">sis occurred in 58 patients (86.6%) and de novo </w:t>
      </w:r>
      <w:r w:rsidR="003D2AC0" w:rsidRPr="006964C9">
        <w:rPr>
          <w:rFonts w:eastAsia="AdvOT678fd422" w:cs="AdvOT678fd422"/>
          <w:color w:val="231F20"/>
          <w:kern w:val="0"/>
          <w:sz w:val="24"/>
          <w:szCs w:val="24"/>
        </w:rPr>
        <w:t xml:space="preserve">hepatocarcinogenesis </w:t>
      </w:r>
      <w:r w:rsidR="009C055F" w:rsidRPr="006964C9">
        <w:rPr>
          <w:rFonts w:eastAsia="AdvOT678fd422" w:cs="AdvOT678fd422"/>
          <w:color w:val="231F20"/>
          <w:kern w:val="0"/>
          <w:sz w:val="24"/>
          <w:szCs w:val="24"/>
        </w:rPr>
        <w:t xml:space="preserve">occurred in </w:t>
      </w:r>
      <w:r w:rsidR="009C477C" w:rsidRPr="006964C9">
        <w:rPr>
          <w:rFonts w:eastAsia="AdvOT678fd422" w:cs="AdvOT678fd422"/>
          <w:color w:val="231F20"/>
          <w:kern w:val="0"/>
          <w:sz w:val="24"/>
          <w:szCs w:val="24"/>
        </w:rPr>
        <w:t xml:space="preserve">nine </w:t>
      </w:r>
      <w:r w:rsidR="009C055F" w:rsidRPr="006964C9">
        <w:rPr>
          <w:rFonts w:eastAsia="AdvOT678fd422" w:cs="AdvOT678fd422"/>
          <w:color w:val="231F20"/>
          <w:kern w:val="0"/>
          <w:sz w:val="24"/>
          <w:szCs w:val="24"/>
        </w:rPr>
        <w:t xml:space="preserve">patients (13.4%). Factors associated with </w:t>
      </w:r>
      <w:r w:rsidR="009C055F" w:rsidRPr="006964C9">
        <w:rPr>
          <w:rFonts w:ascii="Century" w:hAnsi="Century"/>
          <w:color w:val="000000" w:themeColor="text1"/>
          <w:kern w:val="24"/>
          <w:sz w:val="24"/>
          <w:szCs w:val="24"/>
        </w:rPr>
        <w:t xml:space="preserve">multistep hepatocarcinogenesis were </w:t>
      </w:r>
      <w:r w:rsidR="009C055F" w:rsidRPr="006964C9">
        <w:rPr>
          <w:rFonts w:eastAsia="Lato-Regular" w:cs="Lato-Regular"/>
          <w:kern w:val="0"/>
          <w:sz w:val="24"/>
          <w:szCs w:val="24"/>
        </w:rPr>
        <w:t xml:space="preserve">male </w:t>
      </w:r>
      <w:r w:rsidR="003D2AC0" w:rsidRPr="006964C9">
        <w:rPr>
          <w:rFonts w:eastAsia="Lato-Regular" w:cs="Lato-Regular"/>
          <w:kern w:val="0"/>
          <w:sz w:val="24"/>
          <w:szCs w:val="24"/>
        </w:rPr>
        <w:t xml:space="preserve">gender </w:t>
      </w:r>
      <w:r w:rsidR="009C055F" w:rsidRPr="006964C9">
        <w:rPr>
          <w:rFonts w:eastAsia="Lato-Regular" w:cs="Lato-Regular"/>
          <w:kern w:val="0"/>
          <w:sz w:val="24"/>
          <w:szCs w:val="24"/>
        </w:rPr>
        <w:t>(</w:t>
      </w:r>
      <w:r w:rsidR="003D2AC0" w:rsidRPr="006964C9">
        <w:rPr>
          <w:rFonts w:eastAsia="Lato-Regular" w:cs="Lato-Regular"/>
          <w:kern w:val="0"/>
          <w:sz w:val="24"/>
          <w:szCs w:val="24"/>
        </w:rPr>
        <w:t>h</w:t>
      </w:r>
      <w:r w:rsidR="009C055F" w:rsidRPr="006964C9">
        <w:rPr>
          <w:rFonts w:eastAsia="Lato-Regular" w:cs="Lato-Regular"/>
          <w:kern w:val="0"/>
          <w:sz w:val="24"/>
          <w:szCs w:val="24"/>
        </w:rPr>
        <w:t xml:space="preserve">azard ratio [HR], </w:t>
      </w:r>
      <w:r w:rsidR="009C055F" w:rsidRPr="006964C9">
        <w:rPr>
          <w:rFonts w:cs="Arial"/>
          <w:color w:val="000000" w:themeColor="text1"/>
          <w:kern w:val="24"/>
          <w:sz w:val="24"/>
          <w:szCs w:val="24"/>
        </w:rPr>
        <w:t xml:space="preserve">2.543; </w:t>
      </w:r>
      <w:r w:rsidR="009C055F" w:rsidRPr="006964C9">
        <w:rPr>
          <w:rFonts w:cs="Times_rm"/>
          <w:kern w:val="0"/>
          <w:sz w:val="24"/>
          <w:szCs w:val="24"/>
        </w:rPr>
        <w:t>95% confidence</w:t>
      </w:r>
      <w:r w:rsidR="009C055F" w:rsidRPr="006964C9">
        <w:rPr>
          <w:rFonts w:cs="Times_rm" w:hint="eastAsia"/>
          <w:kern w:val="0"/>
          <w:sz w:val="24"/>
          <w:szCs w:val="24"/>
        </w:rPr>
        <w:t xml:space="preserve"> </w:t>
      </w:r>
      <w:r w:rsidR="009C055F" w:rsidRPr="006964C9">
        <w:rPr>
          <w:rFonts w:cs="Times_rm"/>
          <w:kern w:val="0"/>
          <w:sz w:val="24"/>
          <w:szCs w:val="24"/>
        </w:rPr>
        <w:t>interval [CI]</w:t>
      </w:r>
      <w:r w:rsidR="009C055F" w:rsidRPr="006964C9">
        <w:rPr>
          <w:rFonts w:cs="Arial"/>
          <w:color w:val="000000" w:themeColor="text1"/>
          <w:kern w:val="24"/>
          <w:sz w:val="24"/>
          <w:szCs w:val="24"/>
        </w:rPr>
        <w:t xml:space="preserve">, </w:t>
      </w:r>
      <w:r w:rsidR="009C055F" w:rsidRPr="006964C9">
        <w:rPr>
          <w:rFonts w:ascii="Century" w:hAnsi="Century" w:cs="Arial"/>
          <w:color w:val="000000" w:themeColor="text1"/>
          <w:kern w:val="24"/>
          <w:sz w:val="24"/>
          <w:szCs w:val="24"/>
        </w:rPr>
        <w:t>1.645</w:t>
      </w:r>
      <w:r w:rsidR="004E02BC" w:rsidRPr="006964C9">
        <w:rPr>
          <w:rFonts w:ascii="Century" w:hAnsi="Century" w:cs="Arial"/>
          <w:color w:val="000000" w:themeColor="text1"/>
          <w:kern w:val="24"/>
          <w:sz w:val="24"/>
          <w:szCs w:val="24"/>
        </w:rPr>
        <w:t>–</w:t>
      </w:r>
      <w:r w:rsidR="009C055F" w:rsidRPr="006964C9">
        <w:rPr>
          <w:rFonts w:ascii="Century" w:hAnsi="Century" w:cs="Arial"/>
          <w:color w:val="000000" w:themeColor="text1"/>
          <w:kern w:val="24"/>
          <w:sz w:val="24"/>
          <w:szCs w:val="24"/>
        </w:rPr>
        <w:t xml:space="preserve">4.413; </w:t>
      </w:r>
      <w:r w:rsidR="009C477C" w:rsidRPr="006964C9">
        <w:rPr>
          <w:rFonts w:ascii="Century" w:hAnsi="Century" w:cs="Arial"/>
          <w:color w:val="000000" w:themeColor="text1"/>
          <w:kern w:val="24"/>
          <w:sz w:val="24"/>
          <w:szCs w:val="24"/>
        </w:rPr>
        <w:t>p</w:t>
      </w:r>
      <w:r w:rsidR="009C055F" w:rsidRPr="006964C9">
        <w:rPr>
          <w:rFonts w:ascii="Century" w:hAnsi="Century" w:cs="Arial"/>
          <w:color w:val="000000" w:themeColor="text1"/>
          <w:kern w:val="24"/>
          <w:sz w:val="24"/>
          <w:szCs w:val="24"/>
        </w:rPr>
        <w:t>=</w:t>
      </w:r>
      <w:r w:rsidR="009C055F" w:rsidRPr="006964C9">
        <w:rPr>
          <w:rFonts w:ascii="Century" w:hAnsi="Century"/>
          <w:color w:val="000000" w:themeColor="text1"/>
          <w:kern w:val="24"/>
          <w:sz w:val="24"/>
          <w:szCs w:val="24"/>
        </w:rPr>
        <w:t>0.0070</w:t>
      </w:r>
      <w:r w:rsidR="009C055F" w:rsidRPr="006964C9">
        <w:rPr>
          <w:rFonts w:ascii="Century" w:hAnsi="Century" w:cs="Arial"/>
          <w:color w:val="000000" w:themeColor="text1"/>
          <w:kern w:val="24"/>
          <w:sz w:val="24"/>
          <w:szCs w:val="24"/>
        </w:rPr>
        <w:t xml:space="preserve">) and DAA therapy </w:t>
      </w:r>
      <w:r w:rsidR="009C055F" w:rsidRPr="006964C9">
        <w:rPr>
          <w:rFonts w:ascii="Century" w:hAnsi="Century" w:cs="Arial"/>
          <w:color w:val="000000" w:themeColor="text1"/>
          <w:kern w:val="24"/>
          <w:sz w:val="24"/>
          <w:szCs w:val="24"/>
        </w:rPr>
        <w:lastRenderedPageBreak/>
        <w:t>(HR, 0.4053; 95%CI, 0.2103</w:t>
      </w:r>
      <w:r w:rsidR="004E02BC" w:rsidRPr="006964C9">
        <w:rPr>
          <w:rFonts w:ascii="Century" w:hAnsi="Century" w:cs="Arial"/>
          <w:color w:val="000000" w:themeColor="text1"/>
          <w:kern w:val="24"/>
          <w:sz w:val="24"/>
          <w:szCs w:val="24"/>
        </w:rPr>
        <w:t>–</w:t>
      </w:r>
      <w:r w:rsidR="009C055F" w:rsidRPr="006964C9">
        <w:rPr>
          <w:rFonts w:ascii="Century" w:hAnsi="Century" w:cs="Arial"/>
          <w:color w:val="000000" w:themeColor="text1"/>
          <w:kern w:val="24"/>
          <w:sz w:val="24"/>
          <w:szCs w:val="24"/>
        </w:rPr>
        <w:t xml:space="preserve">0.7812; </w:t>
      </w:r>
      <w:r w:rsidR="009C477C" w:rsidRPr="006964C9">
        <w:rPr>
          <w:rFonts w:ascii="Century" w:hAnsi="Century" w:cs="Arial"/>
          <w:color w:val="000000" w:themeColor="text1"/>
          <w:kern w:val="24"/>
          <w:sz w:val="24"/>
          <w:szCs w:val="24"/>
        </w:rPr>
        <w:t>p</w:t>
      </w:r>
      <w:r w:rsidR="009C055F" w:rsidRPr="006964C9">
        <w:rPr>
          <w:rFonts w:ascii="Century" w:hAnsi="Century" w:cs="Arial"/>
          <w:color w:val="000000" w:themeColor="text1"/>
          <w:kern w:val="24"/>
          <w:sz w:val="24"/>
          <w:szCs w:val="24"/>
        </w:rPr>
        <w:t>=</w:t>
      </w:r>
      <w:r w:rsidR="009C055F" w:rsidRPr="006964C9">
        <w:rPr>
          <w:rFonts w:ascii="Century" w:hAnsi="Century"/>
          <w:color w:val="000000" w:themeColor="text1"/>
          <w:kern w:val="24"/>
          <w:sz w:val="24"/>
          <w:szCs w:val="24"/>
        </w:rPr>
        <w:t>0.0009).</w:t>
      </w:r>
      <w:r w:rsidR="001D6C6E" w:rsidRPr="006964C9">
        <w:rPr>
          <w:rFonts w:ascii="Century" w:hAnsi="Century"/>
          <w:color w:val="000000" w:themeColor="text1"/>
          <w:kern w:val="24"/>
          <w:sz w:val="24"/>
          <w:szCs w:val="24"/>
        </w:rPr>
        <w:t xml:space="preserve"> </w:t>
      </w:r>
      <w:r w:rsidR="004E02BC" w:rsidRPr="006964C9">
        <w:rPr>
          <w:rFonts w:ascii="Century" w:hAnsi="Century"/>
          <w:color w:val="000000" w:themeColor="text1"/>
          <w:kern w:val="24"/>
          <w:sz w:val="24"/>
          <w:szCs w:val="24"/>
        </w:rPr>
        <w:t xml:space="preserve">By </w:t>
      </w:r>
      <w:r w:rsidR="009C055F" w:rsidRPr="006964C9">
        <w:rPr>
          <w:rFonts w:ascii="Century" w:hAnsi="Century"/>
          <w:color w:val="000000" w:themeColor="text1"/>
          <w:kern w:val="24"/>
          <w:sz w:val="24"/>
          <w:szCs w:val="24"/>
        </w:rPr>
        <w:t xml:space="preserve">contrast, </w:t>
      </w:r>
      <w:r w:rsidR="009C055F" w:rsidRPr="006964C9">
        <w:rPr>
          <w:rFonts w:eastAsia="AdvOT678fd422" w:cs="AdvOT678fd422"/>
          <w:color w:val="231F20"/>
          <w:kern w:val="0"/>
          <w:sz w:val="24"/>
          <w:szCs w:val="24"/>
        </w:rPr>
        <w:t xml:space="preserve">factors associated with </w:t>
      </w:r>
      <w:r w:rsidR="009C055F" w:rsidRPr="006964C9">
        <w:rPr>
          <w:color w:val="000000" w:themeColor="text1"/>
          <w:kern w:val="24"/>
          <w:sz w:val="24"/>
          <w:szCs w:val="24"/>
        </w:rPr>
        <w:t xml:space="preserve">de novo </w:t>
      </w:r>
      <w:r w:rsidR="009C055F" w:rsidRPr="006964C9">
        <w:rPr>
          <w:rFonts w:eastAsia="AdvOT678fd422" w:cs="AdvOT678fd422"/>
          <w:color w:val="231F20"/>
          <w:kern w:val="0"/>
          <w:sz w:val="24"/>
          <w:szCs w:val="24"/>
        </w:rPr>
        <w:t xml:space="preserve">hepatocarcinogenesis were </w:t>
      </w:r>
      <w:r w:rsidR="006A0A52" w:rsidRPr="006964C9">
        <w:rPr>
          <w:i/>
          <w:iCs/>
          <w:sz w:val="24"/>
          <w:szCs w:val="24"/>
        </w:rPr>
        <w:t>Lens culinaris</w:t>
      </w:r>
      <w:r w:rsidR="006A0A52" w:rsidRPr="006964C9">
        <w:rPr>
          <w:sz w:val="24"/>
          <w:szCs w:val="24"/>
        </w:rPr>
        <w:t xml:space="preserve"> agglutinin</w:t>
      </w:r>
      <w:r w:rsidR="004E02BC" w:rsidRPr="006964C9">
        <w:rPr>
          <w:sz w:val="24"/>
          <w:szCs w:val="24"/>
        </w:rPr>
        <w:t>–</w:t>
      </w:r>
      <w:r w:rsidR="006A0A52" w:rsidRPr="006964C9">
        <w:rPr>
          <w:sz w:val="24"/>
          <w:szCs w:val="24"/>
        </w:rPr>
        <w:t>reactive fraction of alpha-fetoprotein</w:t>
      </w:r>
      <w:r w:rsidR="006A0A52" w:rsidRPr="006964C9">
        <w:rPr>
          <w:rFonts w:cs="Arial"/>
          <w:color w:val="000000" w:themeColor="text1"/>
          <w:kern w:val="24"/>
          <w:sz w:val="24"/>
          <w:szCs w:val="24"/>
        </w:rPr>
        <w:t xml:space="preserve"> (</w:t>
      </w:r>
      <w:r w:rsidR="009C055F" w:rsidRPr="006964C9">
        <w:rPr>
          <w:rFonts w:eastAsia="Lato-Regular" w:cs="Lato-Regular"/>
          <w:kern w:val="0"/>
          <w:sz w:val="24"/>
          <w:szCs w:val="24"/>
        </w:rPr>
        <w:t>AFP-L3</w:t>
      </w:r>
      <w:r w:rsidR="003E05CA" w:rsidRPr="006964C9">
        <w:rPr>
          <w:rFonts w:eastAsia="Lato-Regular" w:cs="Lato-Regular"/>
          <w:kern w:val="0"/>
          <w:sz w:val="24"/>
          <w:szCs w:val="24"/>
        </w:rPr>
        <w:t>%</w:t>
      </w:r>
      <w:r w:rsidR="006A0A52" w:rsidRPr="006964C9">
        <w:rPr>
          <w:rFonts w:eastAsia="Lato-Regular" w:cs="Lato-Regular"/>
          <w:kern w:val="0"/>
          <w:sz w:val="24"/>
          <w:szCs w:val="24"/>
        </w:rPr>
        <w:t>)</w:t>
      </w:r>
      <w:r w:rsidR="009C055F" w:rsidRPr="006964C9">
        <w:rPr>
          <w:rFonts w:eastAsia="Lato-Regular" w:cs="Lato-Regular"/>
          <w:kern w:val="0"/>
          <w:sz w:val="24"/>
          <w:szCs w:val="24"/>
        </w:rPr>
        <w:t xml:space="preserve"> ≥ 5% (</w:t>
      </w:r>
      <w:r w:rsidR="009C055F" w:rsidRPr="006964C9">
        <w:rPr>
          <w:rFonts w:cs="Arial"/>
          <w:color w:val="000000" w:themeColor="text1"/>
          <w:kern w:val="24"/>
          <w:sz w:val="24"/>
          <w:szCs w:val="24"/>
        </w:rPr>
        <w:t>HR</w:t>
      </w:r>
      <w:r w:rsidR="00E23BC1" w:rsidRPr="006964C9">
        <w:rPr>
          <w:rFonts w:cs="Arial"/>
          <w:color w:val="000000" w:themeColor="text1"/>
          <w:kern w:val="24"/>
          <w:sz w:val="24"/>
          <w:szCs w:val="24"/>
        </w:rPr>
        <w:t>,</w:t>
      </w:r>
      <w:r w:rsidR="009C055F" w:rsidRPr="006964C9">
        <w:rPr>
          <w:rFonts w:cs="Arial"/>
          <w:color w:val="000000" w:themeColor="text1"/>
          <w:kern w:val="24"/>
          <w:sz w:val="24"/>
          <w:szCs w:val="24"/>
        </w:rPr>
        <w:t xml:space="preserve"> 25.0; </w:t>
      </w:r>
      <w:r w:rsidR="009C055F" w:rsidRPr="006964C9">
        <w:rPr>
          <w:rFonts w:cs="Times_rm"/>
          <w:kern w:val="0"/>
          <w:sz w:val="24"/>
          <w:szCs w:val="24"/>
        </w:rPr>
        <w:t>95%CI</w:t>
      </w:r>
      <w:r w:rsidR="009C055F" w:rsidRPr="006964C9">
        <w:rPr>
          <w:rFonts w:cs="Arial"/>
          <w:color w:val="000000" w:themeColor="text1"/>
          <w:kern w:val="24"/>
          <w:sz w:val="24"/>
          <w:szCs w:val="24"/>
        </w:rPr>
        <w:t>, 1.361</w:t>
      </w:r>
      <w:r w:rsidR="009F0DB8" w:rsidRPr="006964C9">
        <w:rPr>
          <w:rFonts w:cs="Arial"/>
          <w:color w:val="000000" w:themeColor="text1"/>
          <w:kern w:val="24"/>
          <w:sz w:val="24"/>
          <w:szCs w:val="24"/>
        </w:rPr>
        <w:t>–</w:t>
      </w:r>
      <w:r w:rsidR="009C055F" w:rsidRPr="006964C9">
        <w:rPr>
          <w:rFonts w:cs="Arial"/>
          <w:color w:val="000000" w:themeColor="text1"/>
          <w:kern w:val="24"/>
          <w:sz w:val="24"/>
          <w:szCs w:val="24"/>
        </w:rPr>
        <w:t xml:space="preserve">459.2; P=0.0300) and </w:t>
      </w:r>
      <w:r w:rsidR="006A0A52" w:rsidRPr="006964C9">
        <w:rPr>
          <w:sz w:val="24"/>
          <w:szCs w:val="24"/>
        </w:rPr>
        <w:t>albumin–bilirubin</w:t>
      </w:r>
      <w:r w:rsidR="006A0A52" w:rsidRPr="006964C9">
        <w:rPr>
          <w:rFonts w:cs="Arial"/>
          <w:color w:val="000000" w:themeColor="text1"/>
          <w:kern w:val="24"/>
          <w:sz w:val="24"/>
          <w:szCs w:val="24"/>
        </w:rPr>
        <w:t xml:space="preserve"> </w:t>
      </w:r>
      <w:r w:rsidR="009C055F" w:rsidRPr="006964C9">
        <w:rPr>
          <w:rFonts w:cs="Arial"/>
          <w:color w:val="000000" w:themeColor="text1"/>
          <w:kern w:val="24"/>
          <w:sz w:val="24"/>
          <w:szCs w:val="24"/>
        </w:rPr>
        <w:t>grade 2 or 3 (HR, 141,700; 95%CI, 50,250</w:t>
      </w:r>
      <w:r w:rsidR="009F0DB8" w:rsidRPr="006964C9">
        <w:rPr>
          <w:rFonts w:cs="Arial"/>
          <w:color w:val="000000" w:themeColor="text1"/>
          <w:kern w:val="24"/>
          <w:sz w:val="24"/>
          <w:szCs w:val="24"/>
        </w:rPr>
        <w:t>–</w:t>
      </w:r>
      <w:r w:rsidR="009C055F" w:rsidRPr="006964C9">
        <w:rPr>
          <w:rFonts w:cs="Arial"/>
          <w:color w:val="000000" w:themeColor="text1"/>
          <w:kern w:val="24"/>
          <w:sz w:val="24"/>
          <w:szCs w:val="24"/>
        </w:rPr>
        <w:t>399,600; P&lt;</w:t>
      </w:r>
      <w:r w:rsidR="009C055F" w:rsidRPr="006964C9">
        <w:rPr>
          <w:color w:val="000000" w:themeColor="text1"/>
          <w:kern w:val="24"/>
          <w:sz w:val="24"/>
          <w:szCs w:val="24"/>
        </w:rPr>
        <w:t>0.0001)</w:t>
      </w:r>
      <w:r w:rsidR="006A0A52" w:rsidRPr="006964C9">
        <w:rPr>
          <w:color w:val="000000" w:themeColor="text1"/>
          <w:kern w:val="24"/>
          <w:sz w:val="24"/>
          <w:szCs w:val="24"/>
        </w:rPr>
        <w:t>.</w:t>
      </w:r>
    </w:p>
    <w:p w14:paraId="217C030C" w14:textId="696B83D8" w:rsidR="00C37D9F" w:rsidRPr="006964C9" w:rsidRDefault="00276057" w:rsidP="00133162">
      <w:pPr>
        <w:widowControl/>
        <w:spacing w:line="480" w:lineRule="auto"/>
        <w:jc w:val="left"/>
        <w:rPr>
          <w:b/>
          <w:sz w:val="24"/>
          <w:szCs w:val="24"/>
        </w:rPr>
      </w:pPr>
      <w:r w:rsidRPr="006964C9">
        <w:rPr>
          <w:b/>
          <w:sz w:val="24"/>
          <w:szCs w:val="24"/>
        </w:rPr>
        <w:t xml:space="preserve">Conclusion: </w:t>
      </w:r>
      <w:r w:rsidR="006A0A52" w:rsidRPr="006964C9">
        <w:rPr>
          <w:rFonts w:cs="StoneSerif"/>
          <w:kern w:val="0"/>
          <w:sz w:val="24"/>
          <w:szCs w:val="24"/>
        </w:rPr>
        <w:t xml:space="preserve">The eradication of HCV by DAA therapy reduces multistep hepatocarcinogenesis. De novo hepatocarcinogenesis </w:t>
      </w:r>
      <w:r w:rsidR="00BF1D57" w:rsidRPr="006964C9">
        <w:rPr>
          <w:rFonts w:cs="StoneSerif"/>
          <w:kern w:val="0"/>
          <w:sz w:val="24"/>
          <w:szCs w:val="24"/>
        </w:rPr>
        <w:t xml:space="preserve">was </w:t>
      </w:r>
      <w:r w:rsidR="006A0A52" w:rsidRPr="006964C9">
        <w:rPr>
          <w:rFonts w:cs="StoneSerif"/>
          <w:kern w:val="0"/>
          <w:sz w:val="24"/>
          <w:szCs w:val="24"/>
        </w:rPr>
        <w:t>observed in patients with high AF</w:t>
      </w:r>
      <w:r w:rsidR="004C2301">
        <w:rPr>
          <w:rFonts w:cs="StoneSerif"/>
          <w:kern w:val="0"/>
          <w:sz w:val="24"/>
          <w:szCs w:val="24"/>
        </w:rPr>
        <w:t>P</w:t>
      </w:r>
      <w:r w:rsidR="006A0A52" w:rsidRPr="006964C9">
        <w:rPr>
          <w:rFonts w:cs="StoneSerif"/>
          <w:kern w:val="0"/>
          <w:sz w:val="24"/>
          <w:szCs w:val="24"/>
        </w:rPr>
        <w:t>-L3</w:t>
      </w:r>
      <w:r w:rsidR="00E23BC1" w:rsidRPr="006964C9">
        <w:rPr>
          <w:rFonts w:cs="StoneSerif"/>
          <w:kern w:val="0"/>
          <w:sz w:val="24"/>
          <w:szCs w:val="24"/>
        </w:rPr>
        <w:t>%</w:t>
      </w:r>
      <w:r w:rsidR="006A0A52" w:rsidRPr="006964C9">
        <w:rPr>
          <w:rFonts w:cs="StoneSerif"/>
          <w:kern w:val="0"/>
          <w:sz w:val="24"/>
          <w:szCs w:val="24"/>
        </w:rPr>
        <w:t xml:space="preserve"> values.</w:t>
      </w:r>
      <w:r w:rsidR="00C37D9F" w:rsidRPr="006964C9">
        <w:rPr>
          <w:b/>
          <w:sz w:val="24"/>
          <w:szCs w:val="24"/>
        </w:rPr>
        <w:br w:type="page"/>
      </w:r>
    </w:p>
    <w:p w14:paraId="2D8DA9DE" w14:textId="77777777" w:rsidR="00C37D9F" w:rsidRPr="006964C9" w:rsidRDefault="00C37D9F" w:rsidP="00C37D9F">
      <w:pPr>
        <w:spacing w:line="480" w:lineRule="auto"/>
        <w:rPr>
          <w:sz w:val="24"/>
          <w:szCs w:val="24"/>
        </w:rPr>
      </w:pPr>
      <w:r w:rsidRPr="006964C9">
        <w:rPr>
          <w:sz w:val="24"/>
          <w:szCs w:val="24"/>
        </w:rPr>
        <w:lastRenderedPageBreak/>
        <w:t>Introduction</w:t>
      </w:r>
    </w:p>
    <w:p w14:paraId="2EBA8091" w14:textId="5F0A47BA" w:rsidR="00C37D9F" w:rsidRPr="006964C9" w:rsidRDefault="00C37D9F" w:rsidP="00C37D9F">
      <w:pPr>
        <w:spacing w:line="480" w:lineRule="auto"/>
        <w:rPr>
          <w:rFonts w:cs="Arial"/>
          <w:sz w:val="24"/>
          <w:szCs w:val="24"/>
        </w:rPr>
      </w:pPr>
      <w:r w:rsidRPr="006964C9">
        <w:rPr>
          <w:sz w:val="24"/>
          <w:szCs w:val="24"/>
        </w:rPr>
        <w:tab/>
        <w:t>Hepatocellular carcinoma</w:t>
      </w:r>
      <w:r w:rsidR="00E12797" w:rsidRPr="006964C9">
        <w:rPr>
          <w:rFonts w:hint="eastAsia"/>
          <w:sz w:val="24"/>
          <w:szCs w:val="24"/>
        </w:rPr>
        <w:t xml:space="preserve"> (</w:t>
      </w:r>
      <w:r w:rsidRPr="006964C9">
        <w:rPr>
          <w:sz w:val="24"/>
          <w:szCs w:val="24"/>
        </w:rPr>
        <w:t>HCC</w:t>
      </w:r>
      <w:r w:rsidR="00E12797" w:rsidRPr="006964C9">
        <w:rPr>
          <w:sz w:val="24"/>
          <w:szCs w:val="24"/>
        </w:rPr>
        <w:t xml:space="preserve">) </w:t>
      </w:r>
      <w:r w:rsidRPr="006964C9">
        <w:rPr>
          <w:rFonts w:cs="Arial"/>
          <w:sz w:val="24"/>
          <w:szCs w:val="24"/>
        </w:rPr>
        <w:t>is the third most common cause of death from cancer worldwide</w:t>
      </w:r>
      <w:r w:rsidR="001D6C6E" w:rsidRPr="006964C9">
        <w:rPr>
          <w:rFonts w:cs="Arial"/>
          <w:sz w:val="24"/>
          <w:szCs w:val="24"/>
        </w:rPr>
        <w:t xml:space="preserve"> </w:t>
      </w:r>
      <w:r w:rsidRPr="006964C9">
        <w:rPr>
          <w:rFonts w:cs="Arial"/>
          <w:sz w:val="24"/>
          <w:szCs w:val="24"/>
        </w:rPr>
        <w:t xml:space="preserve">[1]. It is well known </w:t>
      </w:r>
      <w:r w:rsidR="00E12797" w:rsidRPr="006964C9">
        <w:rPr>
          <w:rFonts w:cs="Arial"/>
          <w:sz w:val="24"/>
          <w:szCs w:val="24"/>
        </w:rPr>
        <w:t xml:space="preserve">that </w:t>
      </w:r>
      <w:r w:rsidRPr="006964C9">
        <w:rPr>
          <w:rFonts w:cs="Arial"/>
          <w:sz w:val="24"/>
          <w:szCs w:val="24"/>
        </w:rPr>
        <w:t xml:space="preserve">hepatitis </w:t>
      </w:r>
      <w:r w:rsidRPr="006964C9">
        <w:rPr>
          <w:rFonts w:cs="Arial" w:hint="eastAsia"/>
          <w:sz w:val="24"/>
          <w:szCs w:val="24"/>
        </w:rPr>
        <w:t>C</w:t>
      </w:r>
      <w:r w:rsidRPr="006964C9">
        <w:rPr>
          <w:rFonts w:cs="Arial"/>
          <w:sz w:val="24"/>
          <w:szCs w:val="24"/>
        </w:rPr>
        <w:t xml:space="preserve"> virus (HCV) infection is one of the main cause</w:t>
      </w:r>
      <w:r w:rsidR="00E12797" w:rsidRPr="006964C9">
        <w:rPr>
          <w:rFonts w:cs="Arial"/>
          <w:sz w:val="24"/>
          <w:szCs w:val="24"/>
        </w:rPr>
        <w:t>s</w:t>
      </w:r>
      <w:r w:rsidRPr="006964C9">
        <w:rPr>
          <w:rFonts w:cs="Arial"/>
          <w:sz w:val="24"/>
          <w:szCs w:val="24"/>
        </w:rPr>
        <w:t xml:space="preserve"> of HCC. In the current era of therapy with direct-acting antiviral (DAA) drugs, sustained virological response (SVR) can be </w:t>
      </w:r>
      <w:r w:rsidR="00E23BC1" w:rsidRPr="006964C9">
        <w:rPr>
          <w:rFonts w:cs="Arial"/>
          <w:sz w:val="24"/>
          <w:szCs w:val="24"/>
        </w:rPr>
        <w:t xml:space="preserve">easily achieved </w:t>
      </w:r>
      <w:r w:rsidRPr="006964C9">
        <w:rPr>
          <w:rFonts w:cs="Arial"/>
          <w:sz w:val="24"/>
          <w:szCs w:val="24"/>
        </w:rPr>
        <w:t xml:space="preserve">in </w:t>
      </w:r>
      <w:r w:rsidR="007A420C" w:rsidRPr="006964C9">
        <w:rPr>
          <w:rFonts w:cs="Arial"/>
          <w:sz w:val="24"/>
          <w:szCs w:val="24"/>
        </w:rPr>
        <w:t>≥</w:t>
      </w:r>
      <w:r w:rsidRPr="006964C9">
        <w:rPr>
          <w:rFonts w:cs="Arial" w:hint="eastAsia"/>
          <w:sz w:val="24"/>
          <w:szCs w:val="24"/>
        </w:rPr>
        <w:t xml:space="preserve"> 90</w:t>
      </w:r>
      <w:r w:rsidRPr="006964C9">
        <w:rPr>
          <w:rFonts w:cs="Arial"/>
          <w:sz w:val="24"/>
          <w:szCs w:val="24"/>
        </w:rPr>
        <w:t xml:space="preserve">% of patients with HCV infection. </w:t>
      </w:r>
      <w:r w:rsidR="008F7DC5" w:rsidRPr="006964C9">
        <w:rPr>
          <w:rFonts w:cs="Arial"/>
          <w:sz w:val="24"/>
          <w:szCs w:val="24"/>
        </w:rPr>
        <w:t xml:space="preserve">The </w:t>
      </w:r>
      <w:r w:rsidRPr="006964C9">
        <w:rPr>
          <w:rFonts w:cs="Arial"/>
          <w:sz w:val="24"/>
          <w:szCs w:val="24"/>
        </w:rPr>
        <w:t xml:space="preserve">benefits </w:t>
      </w:r>
      <w:r w:rsidR="008F7DC5" w:rsidRPr="006964C9">
        <w:rPr>
          <w:rFonts w:cs="Arial"/>
          <w:sz w:val="24"/>
          <w:szCs w:val="24"/>
        </w:rPr>
        <w:t xml:space="preserve">of SVR </w:t>
      </w:r>
      <w:r w:rsidRPr="006964C9">
        <w:rPr>
          <w:rFonts w:cs="Arial"/>
          <w:sz w:val="24"/>
          <w:szCs w:val="24"/>
        </w:rPr>
        <w:t>are well recognized</w:t>
      </w:r>
      <w:r w:rsidR="00E12797" w:rsidRPr="006964C9">
        <w:rPr>
          <w:rFonts w:cs="Arial"/>
          <w:sz w:val="24"/>
          <w:szCs w:val="24"/>
        </w:rPr>
        <w:t>,</w:t>
      </w:r>
      <w:r w:rsidRPr="006964C9">
        <w:rPr>
          <w:rFonts w:cs="Arial"/>
          <w:sz w:val="24"/>
          <w:szCs w:val="24"/>
        </w:rPr>
        <w:t xml:space="preserve"> </w:t>
      </w:r>
      <w:r w:rsidR="00E12797" w:rsidRPr="006964C9">
        <w:rPr>
          <w:rFonts w:cs="Arial"/>
          <w:sz w:val="24"/>
          <w:szCs w:val="24"/>
        </w:rPr>
        <w:t xml:space="preserve">and include </w:t>
      </w:r>
      <w:r w:rsidRPr="006964C9">
        <w:rPr>
          <w:rFonts w:cs="Arial"/>
          <w:sz w:val="24"/>
          <w:szCs w:val="24"/>
        </w:rPr>
        <w:t>reduc</w:t>
      </w:r>
      <w:r w:rsidR="00E12797" w:rsidRPr="006964C9">
        <w:rPr>
          <w:rFonts w:cs="Arial"/>
          <w:sz w:val="24"/>
          <w:szCs w:val="24"/>
        </w:rPr>
        <w:t xml:space="preserve">ed </w:t>
      </w:r>
      <w:r w:rsidRPr="006964C9">
        <w:rPr>
          <w:rFonts w:cs="Arial"/>
          <w:sz w:val="24"/>
          <w:szCs w:val="24"/>
        </w:rPr>
        <w:t xml:space="preserve">rates of </w:t>
      </w:r>
      <w:r w:rsidR="008F7DC5" w:rsidRPr="006964C9">
        <w:rPr>
          <w:rFonts w:cs="Arial"/>
          <w:sz w:val="24"/>
          <w:szCs w:val="24"/>
        </w:rPr>
        <w:t xml:space="preserve">not only </w:t>
      </w:r>
      <w:r w:rsidRPr="006964C9">
        <w:rPr>
          <w:rFonts w:cs="Arial"/>
          <w:sz w:val="24"/>
          <w:szCs w:val="24"/>
        </w:rPr>
        <w:t>HCC but also liver complication</w:t>
      </w:r>
      <w:r w:rsidR="00E23BC1" w:rsidRPr="006964C9">
        <w:rPr>
          <w:rFonts w:cs="Arial"/>
          <w:sz w:val="24"/>
          <w:szCs w:val="24"/>
        </w:rPr>
        <w:t>s</w:t>
      </w:r>
      <w:r w:rsidRPr="006964C9">
        <w:rPr>
          <w:rFonts w:cs="Arial"/>
          <w:sz w:val="24"/>
          <w:szCs w:val="24"/>
        </w:rPr>
        <w:t>, mortality, and extrahepatic and systemic complication</w:t>
      </w:r>
      <w:r w:rsidR="008F7DC5" w:rsidRPr="006964C9">
        <w:rPr>
          <w:rFonts w:cs="Arial"/>
          <w:sz w:val="24"/>
          <w:szCs w:val="24"/>
        </w:rPr>
        <w:t>s</w:t>
      </w:r>
      <w:r w:rsidRPr="006964C9">
        <w:rPr>
          <w:rFonts w:cs="Arial"/>
          <w:sz w:val="24"/>
          <w:szCs w:val="24"/>
        </w:rPr>
        <w:t xml:space="preserve"> [2].</w:t>
      </w:r>
      <w:r w:rsidR="009F60F9">
        <w:rPr>
          <w:rFonts w:cs="Arial"/>
          <w:sz w:val="24"/>
          <w:szCs w:val="24"/>
        </w:rPr>
        <w:t xml:space="preserve"> However, the occurrence of HCC cannot be completely suppressed even if the HCV is eradicated</w:t>
      </w:r>
      <w:r w:rsidRPr="006964C9">
        <w:rPr>
          <w:rFonts w:cs="Arial"/>
          <w:sz w:val="24"/>
          <w:szCs w:val="24"/>
        </w:rPr>
        <w:t xml:space="preserve"> and continued surveillance is still necessary. Long-term follow-up stud</w:t>
      </w:r>
      <w:r w:rsidR="009F60F9">
        <w:rPr>
          <w:rFonts w:cs="Arial"/>
          <w:sz w:val="24"/>
          <w:szCs w:val="24"/>
        </w:rPr>
        <w:t>y</w:t>
      </w:r>
      <w:r w:rsidRPr="006964C9">
        <w:rPr>
          <w:rFonts w:cs="Arial"/>
          <w:sz w:val="24"/>
          <w:szCs w:val="24"/>
        </w:rPr>
        <w:t xml:space="preserve"> of cirrhotic patients </w:t>
      </w:r>
      <w:r w:rsidR="008F7DC5" w:rsidRPr="006964C9">
        <w:rPr>
          <w:rFonts w:cs="Arial"/>
          <w:sz w:val="24"/>
          <w:szCs w:val="24"/>
        </w:rPr>
        <w:t xml:space="preserve">who </w:t>
      </w:r>
      <w:r w:rsidRPr="006964C9">
        <w:rPr>
          <w:rFonts w:cs="Arial"/>
          <w:sz w:val="24"/>
          <w:szCs w:val="24"/>
        </w:rPr>
        <w:t>achiev</w:t>
      </w:r>
      <w:r w:rsidR="008F7DC5" w:rsidRPr="006964C9">
        <w:rPr>
          <w:rFonts w:cs="Arial"/>
          <w:sz w:val="24"/>
          <w:szCs w:val="24"/>
        </w:rPr>
        <w:t>ed</w:t>
      </w:r>
      <w:r w:rsidRPr="006964C9">
        <w:rPr>
          <w:rFonts w:cs="Arial"/>
          <w:sz w:val="24"/>
          <w:szCs w:val="24"/>
        </w:rPr>
        <w:t xml:space="preserve"> SVR with interferon-based therapy reported an approximately 75% reduction in HCC risk [3]. </w:t>
      </w:r>
      <w:r w:rsidR="0033045E" w:rsidRPr="006964C9">
        <w:rPr>
          <w:rFonts w:cs="Arial"/>
          <w:sz w:val="24"/>
          <w:szCs w:val="24"/>
        </w:rPr>
        <w:t>Many recent studies, d</w:t>
      </w:r>
      <w:r w:rsidR="008F7DC5" w:rsidRPr="006964C9">
        <w:rPr>
          <w:rFonts w:cs="Arial"/>
          <w:sz w:val="24"/>
          <w:szCs w:val="24"/>
        </w:rPr>
        <w:t>espite short</w:t>
      </w:r>
      <w:r w:rsidRPr="006964C9">
        <w:rPr>
          <w:rFonts w:cs="Arial"/>
          <w:sz w:val="24"/>
          <w:szCs w:val="24"/>
        </w:rPr>
        <w:t xml:space="preserve"> observation period</w:t>
      </w:r>
      <w:r w:rsidR="008F7DC5" w:rsidRPr="006964C9">
        <w:rPr>
          <w:rFonts w:cs="Arial"/>
          <w:sz w:val="24"/>
          <w:szCs w:val="24"/>
        </w:rPr>
        <w:t>s</w:t>
      </w:r>
      <w:r w:rsidRPr="006964C9">
        <w:rPr>
          <w:rFonts w:cs="Arial"/>
          <w:sz w:val="24"/>
          <w:szCs w:val="24"/>
        </w:rPr>
        <w:t xml:space="preserve">, </w:t>
      </w:r>
      <w:r w:rsidR="008F7DC5" w:rsidRPr="006964C9">
        <w:rPr>
          <w:rFonts w:cs="Arial"/>
          <w:sz w:val="24"/>
          <w:szCs w:val="24"/>
        </w:rPr>
        <w:t xml:space="preserve">showed that </w:t>
      </w:r>
      <w:r w:rsidRPr="006964C9">
        <w:rPr>
          <w:rFonts w:cs="Arial"/>
          <w:sz w:val="24"/>
          <w:szCs w:val="24"/>
        </w:rPr>
        <w:t>DAA therapy reduce</w:t>
      </w:r>
      <w:r w:rsidR="008F7DC5" w:rsidRPr="006964C9">
        <w:rPr>
          <w:rFonts w:cs="Arial"/>
          <w:sz w:val="24"/>
          <w:szCs w:val="24"/>
        </w:rPr>
        <w:t>d</w:t>
      </w:r>
      <w:r w:rsidRPr="006964C9">
        <w:rPr>
          <w:rFonts w:cs="Arial"/>
          <w:sz w:val="24"/>
          <w:szCs w:val="24"/>
        </w:rPr>
        <w:t xml:space="preserve"> the risk of HCC occurrence </w:t>
      </w:r>
      <w:r w:rsidR="0033045E" w:rsidRPr="006964C9">
        <w:rPr>
          <w:rFonts w:cs="Arial"/>
          <w:sz w:val="24"/>
          <w:szCs w:val="24"/>
        </w:rPr>
        <w:t>as effectively</w:t>
      </w:r>
      <w:r w:rsidRPr="006964C9">
        <w:rPr>
          <w:rFonts w:cs="Arial"/>
          <w:sz w:val="24"/>
          <w:szCs w:val="24"/>
        </w:rPr>
        <w:t xml:space="preserve"> as interferon-based therapy [4, 5, 6]. </w:t>
      </w:r>
    </w:p>
    <w:p w14:paraId="43E30920" w14:textId="6FC9550A" w:rsidR="00C37D9F" w:rsidRPr="006964C9" w:rsidRDefault="00C37D9F" w:rsidP="00C37D9F">
      <w:pPr>
        <w:autoSpaceDE w:val="0"/>
        <w:autoSpaceDN w:val="0"/>
        <w:adjustRightInd w:val="0"/>
        <w:spacing w:line="480" w:lineRule="auto"/>
        <w:jc w:val="left"/>
        <w:rPr>
          <w:rFonts w:cs="AdvGulliv-R"/>
          <w:kern w:val="0"/>
          <w:sz w:val="24"/>
          <w:szCs w:val="24"/>
        </w:rPr>
      </w:pPr>
      <w:r w:rsidRPr="006964C9">
        <w:rPr>
          <w:rFonts w:cs="Arial"/>
          <w:sz w:val="24"/>
          <w:szCs w:val="24"/>
        </w:rPr>
        <w:tab/>
      </w:r>
      <w:r w:rsidRPr="006964C9">
        <w:rPr>
          <w:rFonts w:cs="Cambria"/>
          <w:kern w:val="0"/>
          <w:sz w:val="24"/>
          <w:szCs w:val="24"/>
        </w:rPr>
        <w:t>Recently, magnetic resonance imaging (MRI) using gadolinium</w:t>
      </w:r>
      <w:r w:rsidR="00BB5E75" w:rsidRPr="006964C9">
        <w:rPr>
          <w:rFonts w:cs="Cambria"/>
          <w:kern w:val="0"/>
          <w:sz w:val="24"/>
          <w:szCs w:val="24"/>
        </w:rPr>
        <w:t>-</w:t>
      </w:r>
      <w:r w:rsidRPr="006964C9">
        <w:rPr>
          <w:rFonts w:cs="Cambria"/>
          <w:kern w:val="0"/>
          <w:sz w:val="24"/>
          <w:szCs w:val="24"/>
        </w:rPr>
        <w:t>ethoxybenzyl</w:t>
      </w:r>
      <w:r w:rsidR="00BB5E75" w:rsidRPr="006964C9">
        <w:rPr>
          <w:rFonts w:cs="Cambria"/>
          <w:kern w:val="0"/>
          <w:sz w:val="24"/>
          <w:szCs w:val="24"/>
        </w:rPr>
        <w:t>-</w:t>
      </w:r>
      <w:r w:rsidRPr="006964C9">
        <w:rPr>
          <w:rFonts w:cs="Cambria"/>
          <w:kern w:val="0"/>
          <w:sz w:val="24"/>
          <w:szCs w:val="24"/>
        </w:rPr>
        <w:t>diethylenetriamine pentaacetic acid (Gd-EOB-DTPA) has been increasingly used to evaluate hepatic focal lesions</w:t>
      </w:r>
      <w:r w:rsidR="0033045E" w:rsidRPr="006964C9">
        <w:rPr>
          <w:rFonts w:cs="Cambria"/>
          <w:kern w:val="0"/>
          <w:sz w:val="24"/>
          <w:szCs w:val="24"/>
        </w:rPr>
        <w:t>,</w:t>
      </w:r>
      <w:r w:rsidRPr="006964C9">
        <w:rPr>
          <w:rFonts w:cs="Cambria"/>
          <w:kern w:val="0"/>
          <w:sz w:val="24"/>
          <w:szCs w:val="24"/>
        </w:rPr>
        <w:t xml:space="preserve"> including HCC [7].</w:t>
      </w:r>
      <w:r w:rsidRPr="006964C9">
        <w:rPr>
          <w:sz w:val="24"/>
          <w:szCs w:val="24"/>
        </w:rPr>
        <w:t xml:space="preserve"> </w:t>
      </w:r>
      <w:r w:rsidRPr="006964C9">
        <w:rPr>
          <w:rFonts w:cs="Cambria"/>
          <w:kern w:val="0"/>
          <w:sz w:val="24"/>
          <w:szCs w:val="24"/>
        </w:rPr>
        <w:t>Gd-EOB-DTPA</w:t>
      </w:r>
      <w:r w:rsidRPr="006964C9">
        <w:rPr>
          <w:rFonts w:cs="AdvGulliv-R"/>
          <w:kern w:val="0"/>
          <w:sz w:val="24"/>
          <w:szCs w:val="24"/>
        </w:rPr>
        <w:t xml:space="preserve"> is unique in that approximately 50% </w:t>
      </w:r>
      <w:r w:rsidRPr="006964C9">
        <w:rPr>
          <w:rFonts w:cs="AdvGulliv-R"/>
          <w:kern w:val="0"/>
          <w:sz w:val="24"/>
          <w:szCs w:val="24"/>
        </w:rPr>
        <w:lastRenderedPageBreak/>
        <w:t>of the administ</w:t>
      </w:r>
      <w:r w:rsidR="0033045E" w:rsidRPr="006964C9">
        <w:rPr>
          <w:rFonts w:cs="AdvGulliv-R"/>
          <w:kern w:val="0"/>
          <w:sz w:val="24"/>
          <w:szCs w:val="24"/>
        </w:rPr>
        <w:t>ered</w:t>
      </w:r>
      <w:r w:rsidRPr="006964C9">
        <w:rPr>
          <w:rFonts w:cs="AdvGulliv-R"/>
          <w:kern w:val="0"/>
          <w:sz w:val="24"/>
          <w:szCs w:val="24"/>
        </w:rPr>
        <w:t xml:space="preserve"> dose is taken up </w:t>
      </w:r>
      <w:r w:rsidRPr="006964C9">
        <w:rPr>
          <w:rFonts w:cs="Cambria"/>
          <w:kern w:val="0"/>
          <w:sz w:val="24"/>
          <w:szCs w:val="24"/>
        </w:rPr>
        <w:t>by hepatocytes via the organic anion</w:t>
      </w:r>
      <w:r w:rsidR="0033045E" w:rsidRPr="006964C9">
        <w:rPr>
          <w:rFonts w:cs="Cambria"/>
          <w:kern w:val="0"/>
          <w:sz w:val="24"/>
          <w:szCs w:val="24"/>
        </w:rPr>
        <w:t>–</w:t>
      </w:r>
      <w:r w:rsidRPr="006964C9">
        <w:rPr>
          <w:rFonts w:cs="Cambria"/>
          <w:kern w:val="0"/>
          <w:sz w:val="24"/>
          <w:szCs w:val="24"/>
        </w:rPr>
        <w:t xml:space="preserve">transporting polypeptide </w:t>
      </w:r>
      <w:r w:rsidRPr="006964C9">
        <w:rPr>
          <w:rFonts w:cs="Cambria" w:hint="eastAsia"/>
          <w:kern w:val="0"/>
          <w:sz w:val="24"/>
          <w:szCs w:val="24"/>
        </w:rPr>
        <w:t>1B3</w:t>
      </w:r>
      <w:r w:rsidRPr="006964C9">
        <w:rPr>
          <w:rFonts w:cs="Cambria"/>
          <w:kern w:val="0"/>
          <w:sz w:val="24"/>
          <w:szCs w:val="24"/>
        </w:rPr>
        <w:t xml:space="preserve"> (OATP</w:t>
      </w:r>
      <w:r w:rsidRPr="006964C9">
        <w:rPr>
          <w:rFonts w:cs="Cambria" w:hint="eastAsia"/>
          <w:kern w:val="0"/>
          <w:sz w:val="24"/>
          <w:szCs w:val="24"/>
        </w:rPr>
        <w:t>1B3</w:t>
      </w:r>
      <w:r w:rsidRPr="006964C9">
        <w:rPr>
          <w:rFonts w:cs="Cambria"/>
          <w:kern w:val="0"/>
          <w:sz w:val="24"/>
          <w:szCs w:val="24"/>
        </w:rPr>
        <w:t>)</w:t>
      </w:r>
      <w:r w:rsidR="0033045E" w:rsidRPr="006964C9">
        <w:rPr>
          <w:rFonts w:cs="Cambria"/>
          <w:kern w:val="0"/>
          <w:sz w:val="24"/>
          <w:szCs w:val="24"/>
        </w:rPr>
        <w:t>,</w:t>
      </w:r>
      <w:r w:rsidRPr="006964C9">
        <w:rPr>
          <w:rFonts w:cs="Cambria"/>
          <w:kern w:val="0"/>
          <w:sz w:val="24"/>
          <w:szCs w:val="24"/>
        </w:rPr>
        <w:t xml:space="preserve"> </w:t>
      </w:r>
      <w:r w:rsidR="0033045E" w:rsidRPr="006964C9">
        <w:rPr>
          <w:rFonts w:cs="Cambria"/>
          <w:kern w:val="0"/>
          <w:sz w:val="24"/>
          <w:szCs w:val="24"/>
        </w:rPr>
        <w:t xml:space="preserve">then </w:t>
      </w:r>
      <w:r w:rsidRPr="006964C9">
        <w:rPr>
          <w:rFonts w:cs="Cambria"/>
          <w:kern w:val="0"/>
          <w:sz w:val="24"/>
          <w:szCs w:val="24"/>
        </w:rPr>
        <w:t>excreted into the bile duct</w:t>
      </w:r>
      <w:r w:rsidR="0033045E" w:rsidRPr="006964C9">
        <w:rPr>
          <w:rFonts w:cs="Cambria"/>
          <w:kern w:val="0"/>
          <w:sz w:val="24"/>
          <w:szCs w:val="24"/>
        </w:rPr>
        <w:t>s</w:t>
      </w:r>
      <w:r w:rsidRPr="006964C9">
        <w:rPr>
          <w:rFonts w:cs="Cambria"/>
          <w:kern w:val="0"/>
          <w:sz w:val="24"/>
          <w:szCs w:val="24"/>
        </w:rPr>
        <w:t xml:space="preserve"> via the multidrug resistance protein 2 (MRP2)</w:t>
      </w:r>
      <w:r w:rsidRPr="006964C9">
        <w:rPr>
          <w:rFonts w:cs="AdvGulliv-R"/>
          <w:kern w:val="0"/>
          <w:sz w:val="24"/>
          <w:szCs w:val="24"/>
        </w:rPr>
        <w:t xml:space="preserve"> </w:t>
      </w:r>
      <w:r w:rsidRPr="006964C9">
        <w:rPr>
          <w:rFonts w:cs="Cambria"/>
          <w:kern w:val="0"/>
          <w:sz w:val="24"/>
          <w:szCs w:val="24"/>
        </w:rPr>
        <w:t>[8]. Therefore, Gd-EOB-DTPA</w:t>
      </w:r>
      <w:r w:rsidR="0033045E" w:rsidRPr="006964C9">
        <w:rPr>
          <w:rFonts w:cs="Cambria"/>
          <w:kern w:val="0"/>
          <w:sz w:val="24"/>
          <w:szCs w:val="24"/>
        </w:rPr>
        <w:t>–</w:t>
      </w:r>
      <w:r w:rsidRPr="006964C9">
        <w:rPr>
          <w:rFonts w:cs="Cambria"/>
          <w:kern w:val="0"/>
          <w:sz w:val="24"/>
          <w:szCs w:val="24"/>
        </w:rPr>
        <w:t xml:space="preserve">enhanced MRI (Gd-EOB-MRI) can provide not only information about the vascular phase, but also information regarding the hepatobiliary biliary phase (HBP) [9]. </w:t>
      </w:r>
      <w:r w:rsidR="0033045E" w:rsidRPr="006964C9">
        <w:rPr>
          <w:rFonts w:cs="Cambria"/>
          <w:kern w:val="0"/>
          <w:sz w:val="24"/>
          <w:szCs w:val="24"/>
        </w:rPr>
        <w:t>R</w:t>
      </w:r>
      <w:r w:rsidRPr="006964C9">
        <w:rPr>
          <w:rFonts w:cs="Cambria"/>
          <w:kern w:val="0"/>
          <w:sz w:val="24"/>
          <w:szCs w:val="24"/>
        </w:rPr>
        <w:t>ecent guideline</w:t>
      </w:r>
      <w:r w:rsidR="0033045E" w:rsidRPr="006964C9">
        <w:rPr>
          <w:rFonts w:cs="Cambria"/>
          <w:kern w:val="0"/>
          <w:sz w:val="24"/>
          <w:szCs w:val="24"/>
        </w:rPr>
        <w:t>s</w:t>
      </w:r>
      <w:r w:rsidRPr="006964C9">
        <w:rPr>
          <w:rFonts w:cs="Cambria"/>
          <w:kern w:val="0"/>
          <w:sz w:val="24"/>
          <w:szCs w:val="24"/>
        </w:rPr>
        <w:t xml:space="preserve"> have </w:t>
      </w:r>
      <w:r w:rsidR="0033045E" w:rsidRPr="006964C9">
        <w:rPr>
          <w:rFonts w:cs="Cambria"/>
          <w:kern w:val="0"/>
          <w:sz w:val="24"/>
          <w:szCs w:val="24"/>
        </w:rPr>
        <w:t xml:space="preserve">recommended </w:t>
      </w:r>
      <w:r w:rsidRPr="006964C9">
        <w:rPr>
          <w:rFonts w:cs="Cambria"/>
          <w:kern w:val="0"/>
          <w:sz w:val="24"/>
          <w:szCs w:val="24"/>
        </w:rPr>
        <w:t xml:space="preserve">Gd-EOB-MRI as </w:t>
      </w:r>
      <w:r w:rsidR="0033045E" w:rsidRPr="006964C9">
        <w:rPr>
          <w:rFonts w:cs="Cambria"/>
          <w:kern w:val="0"/>
          <w:sz w:val="24"/>
          <w:szCs w:val="24"/>
        </w:rPr>
        <w:t>an</w:t>
      </w:r>
      <w:r w:rsidRPr="006964C9">
        <w:rPr>
          <w:rFonts w:cs="Cambria"/>
          <w:kern w:val="0"/>
          <w:sz w:val="24"/>
          <w:szCs w:val="24"/>
        </w:rPr>
        <w:t xml:space="preserve"> </w:t>
      </w:r>
      <w:r w:rsidR="00052EE8" w:rsidRPr="006964C9">
        <w:rPr>
          <w:rFonts w:cs="Cambria"/>
          <w:kern w:val="0"/>
          <w:sz w:val="24"/>
          <w:szCs w:val="24"/>
        </w:rPr>
        <w:t xml:space="preserve">effective </w:t>
      </w:r>
      <w:r w:rsidRPr="006964C9">
        <w:rPr>
          <w:rFonts w:cs="Cambria"/>
          <w:kern w:val="0"/>
          <w:sz w:val="24"/>
          <w:szCs w:val="24"/>
        </w:rPr>
        <w:t xml:space="preserve">diagnostic tool for the noninvasive diagnosis of HCC [10, 11, 12]. Multiple studies have compared the diagnostic performance </w:t>
      </w:r>
      <w:r w:rsidR="0033045E" w:rsidRPr="006964C9">
        <w:rPr>
          <w:rFonts w:cs="Cambria"/>
          <w:kern w:val="0"/>
          <w:sz w:val="24"/>
          <w:szCs w:val="24"/>
        </w:rPr>
        <w:t xml:space="preserve">of </w:t>
      </w:r>
      <w:r w:rsidRPr="006964C9">
        <w:rPr>
          <w:rFonts w:cs="Cambria"/>
          <w:kern w:val="0"/>
          <w:sz w:val="24"/>
          <w:szCs w:val="24"/>
        </w:rPr>
        <w:t xml:space="preserve">multiphasic computed tomography (CT) with </w:t>
      </w:r>
      <w:r w:rsidR="0033045E" w:rsidRPr="006964C9">
        <w:rPr>
          <w:rFonts w:cs="Cambria"/>
          <w:kern w:val="0"/>
          <w:sz w:val="24"/>
          <w:szCs w:val="24"/>
        </w:rPr>
        <w:t xml:space="preserve">that of </w:t>
      </w:r>
      <w:r w:rsidRPr="006964C9">
        <w:rPr>
          <w:rFonts w:cs="Cambria"/>
          <w:kern w:val="0"/>
          <w:sz w:val="24"/>
          <w:szCs w:val="24"/>
        </w:rPr>
        <w:t>Gd-EOB-MRI</w:t>
      </w:r>
      <w:r w:rsidR="0033045E" w:rsidRPr="006964C9">
        <w:rPr>
          <w:rFonts w:cs="Cambria"/>
          <w:kern w:val="0"/>
          <w:sz w:val="24"/>
          <w:szCs w:val="24"/>
        </w:rPr>
        <w:t>;</w:t>
      </w:r>
      <w:r w:rsidRPr="006964C9">
        <w:rPr>
          <w:rFonts w:cs="Cambria"/>
          <w:kern w:val="0"/>
          <w:sz w:val="24"/>
          <w:szCs w:val="24"/>
        </w:rPr>
        <w:t xml:space="preserve"> </w:t>
      </w:r>
      <w:r w:rsidR="0033045E" w:rsidRPr="006964C9">
        <w:rPr>
          <w:rFonts w:cs="Cambria"/>
          <w:kern w:val="0"/>
          <w:sz w:val="24"/>
          <w:szCs w:val="24"/>
        </w:rPr>
        <w:t>a</w:t>
      </w:r>
      <w:r w:rsidRPr="006964C9">
        <w:rPr>
          <w:rFonts w:cs="Cambria"/>
          <w:kern w:val="0"/>
          <w:sz w:val="24"/>
          <w:szCs w:val="24"/>
        </w:rPr>
        <w:t>ll show</w:t>
      </w:r>
      <w:r w:rsidR="0033045E" w:rsidRPr="006964C9">
        <w:rPr>
          <w:rFonts w:cs="Cambria"/>
          <w:kern w:val="0"/>
          <w:sz w:val="24"/>
          <w:szCs w:val="24"/>
        </w:rPr>
        <w:t>ed that</w:t>
      </w:r>
      <w:r w:rsidRPr="006964C9">
        <w:rPr>
          <w:rFonts w:cs="Cambria"/>
          <w:kern w:val="0"/>
          <w:sz w:val="24"/>
          <w:szCs w:val="24"/>
        </w:rPr>
        <w:t xml:space="preserve"> Gd-EOB-MRI </w:t>
      </w:r>
      <w:r w:rsidR="0033045E" w:rsidRPr="006964C9">
        <w:rPr>
          <w:rFonts w:cs="Cambria"/>
          <w:kern w:val="0"/>
          <w:sz w:val="24"/>
          <w:szCs w:val="24"/>
        </w:rPr>
        <w:t>had</w:t>
      </w:r>
      <w:r w:rsidRPr="006964C9">
        <w:rPr>
          <w:rFonts w:cs="Cambria"/>
          <w:kern w:val="0"/>
          <w:sz w:val="24"/>
          <w:szCs w:val="24"/>
        </w:rPr>
        <w:t xml:space="preserve"> higher sensitivity and similar specificity, the difference being </w:t>
      </w:r>
      <w:r w:rsidR="00E139A1">
        <w:rPr>
          <w:rFonts w:cs="Cambria"/>
          <w:kern w:val="0"/>
          <w:sz w:val="24"/>
          <w:szCs w:val="24"/>
        </w:rPr>
        <w:t xml:space="preserve">significant in patients with </w:t>
      </w:r>
      <w:r w:rsidRPr="006964C9">
        <w:rPr>
          <w:rFonts w:cs="Cambria"/>
          <w:kern w:val="0"/>
          <w:sz w:val="24"/>
          <w:szCs w:val="24"/>
        </w:rPr>
        <w:t xml:space="preserve">small lesions [13, 14, 15, 16]. Furthermore, </w:t>
      </w:r>
      <w:r w:rsidRPr="006964C9">
        <w:rPr>
          <w:rFonts w:eastAsia="Lato-Regular" w:cs="Lato-Regular"/>
          <w:kern w:val="0"/>
          <w:sz w:val="24"/>
          <w:szCs w:val="24"/>
        </w:rPr>
        <w:t xml:space="preserve">nonhypervascular hypointense nodules (NHHNs) </w:t>
      </w:r>
      <w:r w:rsidR="0045030B" w:rsidRPr="006964C9">
        <w:rPr>
          <w:rFonts w:eastAsia="Lato-Regular" w:cs="Lato-Regular"/>
          <w:kern w:val="0"/>
          <w:sz w:val="24"/>
          <w:szCs w:val="24"/>
        </w:rPr>
        <w:t xml:space="preserve">visible </w:t>
      </w:r>
      <w:r w:rsidRPr="006964C9">
        <w:rPr>
          <w:rFonts w:eastAsia="Lato-Regular" w:cs="Lato-Regular"/>
          <w:kern w:val="0"/>
          <w:sz w:val="24"/>
          <w:szCs w:val="24"/>
        </w:rPr>
        <w:t xml:space="preserve">during the </w:t>
      </w:r>
      <w:r w:rsidR="009C477C" w:rsidRPr="006964C9">
        <w:rPr>
          <w:rFonts w:eastAsia="Lato-Regular" w:cs="Lato-Regular"/>
          <w:kern w:val="0"/>
          <w:sz w:val="24"/>
          <w:szCs w:val="24"/>
        </w:rPr>
        <w:t xml:space="preserve">HBP </w:t>
      </w:r>
      <w:r w:rsidRPr="006964C9">
        <w:rPr>
          <w:rFonts w:eastAsia="Lato-Regular" w:cs="Lato-Regular"/>
          <w:kern w:val="0"/>
          <w:sz w:val="24"/>
          <w:szCs w:val="24"/>
        </w:rPr>
        <w:t xml:space="preserve">of Gd-EOB-MRI </w:t>
      </w:r>
      <w:r w:rsidRPr="006964C9">
        <w:rPr>
          <w:rFonts w:cs="AdvGulliv-R"/>
          <w:kern w:val="0"/>
          <w:sz w:val="24"/>
          <w:szCs w:val="24"/>
        </w:rPr>
        <w:t>have a higher risk of progression to typical HCC than iso- or hyperintense nodules [17, 18].</w:t>
      </w:r>
    </w:p>
    <w:p w14:paraId="77E1F148" w14:textId="2E3E20A1" w:rsidR="00187011" w:rsidRPr="006964C9" w:rsidRDefault="00C37D9F" w:rsidP="00C37D9F">
      <w:pPr>
        <w:autoSpaceDE w:val="0"/>
        <w:autoSpaceDN w:val="0"/>
        <w:adjustRightInd w:val="0"/>
        <w:spacing w:line="480" w:lineRule="auto"/>
        <w:jc w:val="left"/>
        <w:rPr>
          <w:rStyle w:val="tlid-translation"/>
          <w:sz w:val="24"/>
          <w:szCs w:val="24"/>
          <w:lang w:val="en"/>
        </w:rPr>
      </w:pPr>
      <w:r w:rsidRPr="006964C9">
        <w:rPr>
          <w:rFonts w:cs="AdvGulliv-R"/>
          <w:kern w:val="0"/>
          <w:sz w:val="24"/>
          <w:szCs w:val="24"/>
        </w:rPr>
        <w:tab/>
      </w:r>
      <w:r w:rsidR="00187011" w:rsidRPr="006964C9">
        <w:rPr>
          <w:rFonts w:cs="AdvGulliv-R"/>
          <w:kern w:val="0"/>
          <w:sz w:val="24"/>
          <w:szCs w:val="24"/>
        </w:rPr>
        <w:t xml:space="preserve">The purpose of this study </w:t>
      </w:r>
      <w:r w:rsidR="0045030B" w:rsidRPr="006964C9">
        <w:rPr>
          <w:rFonts w:cs="AdvGulliv-R"/>
          <w:kern w:val="0"/>
          <w:sz w:val="24"/>
          <w:szCs w:val="24"/>
        </w:rPr>
        <w:t xml:space="preserve">was </w:t>
      </w:r>
      <w:r w:rsidR="00187011" w:rsidRPr="006964C9">
        <w:rPr>
          <w:rFonts w:cs="AdvGulliv-R"/>
          <w:kern w:val="0"/>
          <w:sz w:val="24"/>
          <w:szCs w:val="24"/>
        </w:rPr>
        <w:t xml:space="preserve">to </w:t>
      </w:r>
      <w:r w:rsidR="0045030B" w:rsidRPr="006964C9">
        <w:rPr>
          <w:rStyle w:val="tlid-translation"/>
          <w:sz w:val="24"/>
          <w:szCs w:val="24"/>
          <w:lang w:val="en"/>
        </w:rPr>
        <w:t>use serial Gd-EOB-MRI</w:t>
      </w:r>
      <w:r w:rsidR="0045030B" w:rsidRPr="006964C9">
        <w:rPr>
          <w:rFonts w:cs="AdvGulliv-R"/>
          <w:kern w:val="0"/>
          <w:sz w:val="24"/>
          <w:szCs w:val="24"/>
        </w:rPr>
        <w:t xml:space="preserve"> to </w:t>
      </w:r>
      <w:r w:rsidR="00187011" w:rsidRPr="006964C9">
        <w:rPr>
          <w:rFonts w:cs="AdvGulliv-R"/>
          <w:kern w:val="0"/>
          <w:sz w:val="24"/>
          <w:szCs w:val="24"/>
        </w:rPr>
        <w:t xml:space="preserve">reveal whether </w:t>
      </w:r>
      <w:r w:rsidR="0045030B" w:rsidRPr="006964C9">
        <w:rPr>
          <w:rFonts w:cs="AdvGulliv-R"/>
          <w:kern w:val="0"/>
          <w:sz w:val="24"/>
          <w:szCs w:val="24"/>
        </w:rPr>
        <w:t xml:space="preserve">HCV </w:t>
      </w:r>
      <w:r w:rsidR="00187011" w:rsidRPr="006964C9">
        <w:rPr>
          <w:rFonts w:cs="AdvGulliv-R"/>
          <w:kern w:val="0"/>
          <w:sz w:val="24"/>
          <w:szCs w:val="24"/>
        </w:rPr>
        <w:t>eradication suppresse</w:t>
      </w:r>
      <w:r w:rsidR="0045030B" w:rsidRPr="006964C9">
        <w:rPr>
          <w:rFonts w:cs="AdvGulliv-R"/>
          <w:kern w:val="0"/>
          <w:sz w:val="24"/>
          <w:szCs w:val="24"/>
        </w:rPr>
        <w:t>d</w:t>
      </w:r>
      <w:r w:rsidR="00187011" w:rsidRPr="006964C9">
        <w:rPr>
          <w:rFonts w:cs="AdvGulliv-R"/>
          <w:kern w:val="0"/>
          <w:sz w:val="24"/>
          <w:szCs w:val="24"/>
        </w:rPr>
        <w:t xml:space="preserve"> hepatocarcinogenesis</w:t>
      </w:r>
      <w:r w:rsidRPr="006964C9">
        <w:rPr>
          <w:rStyle w:val="tlid-translation"/>
          <w:sz w:val="24"/>
          <w:szCs w:val="24"/>
          <w:lang w:val="en"/>
        </w:rPr>
        <w:t>. This</w:t>
      </w:r>
      <w:r w:rsidR="00187011" w:rsidRPr="006964C9">
        <w:rPr>
          <w:rStyle w:val="tlid-translation"/>
          <w:sz w:val="24"/>
          <w:szCs w:val="24"/>
          <w:lang w:val="en"/>
        </w:rPr>
        <w:t xml:space="preserve"> </w:t>
      </w:r>
      <w:r w:rsidRPr="006964C9">
        <w:rPr>
          <w:rStyle w:val="tlid-translation"/>
          <w:sz w:val="24"/>
          <w:szCs w:val="24"/>
          <w:lang w:val="en"/>
        </w:rPr>
        <w:t xml:space="preserve">is the first prospective study </w:t>
      </w:r>
      <w:r w:rsidR="00187011" w:rsidRPr="006964C9">
        <w:rPr>
          <w:rStyle w:val="tlid-translation"/>
          <w:sz w:val="24"/>
          <w:szCs w:val="24"/>
          <w:lang w:val="en"/>
        </w:rPr>
        <w:t xml:space="preserve">to evaluate hepatocarcinogenesis after SVR </w:t>
      </w:r>
      <w:r w:rsidRPr="006964C9">
        <w:rPr>
          <w:rStyle w:val="tlid-translation"/>
          <w:sz w:val="24"/>
          <w:szCs w:val="24"/>
          <w:lang w:val="en"/>
        </w:rPr>
        <w:t>using Gd-EOB-MRI.</w:t>
      </w:r>
    </w:p>
    <w:p w14:paraId="31F23D23" w14:textId="77777777" w:rsidR="00C37D9F" w:rsidRPr="006964C9" w:rsidRDefault="00C37D9F" w:rsidP="00C37D9F">
      <w:pPr>
        <w:autoSpaceDE w:val="0"/>
        <w:autoSpaceDN w:val="0"/>
        <w:adjustRightInd w:val="0"/>
        <w:spacing w:line="480" w:lineRule="auto"/>
        <w:jc w:val="left"/>
        <w:rPr>
          <w:rFonts w:cs="AdvGulliv-R"/>
          <w:kern w:val="0"/>
          <w:sz w:val="24"/>
          <w:szCs w:val="24"/>
        </w:rPr>
      </w:pPr>
      <w:r w:rsidRPr="006964C9">
        <w:rPr>
          <w:sz w:val="24"/>
          <w:szCs w:val="24"/>
        </w:rPr>
        <w:br w:type="page"/>
      </w:r>
    </w:p>
    <w:p w14:paraId="3520236F" w14:textId="2A162EDF" w:rsidR="00C37D9F" w:rsidRPr="006964C9" w:rsidRDefault="00C37D9F" w:rsidP="00C37D9F">
      <w:pPr>
        <w:spacing w:line="480" w:lineRule="auto"/>
        <w:rPr>
          <w:b/>
          <w:sz w:val="24"/>
          <w:szCs w:val="24"/>
        </w:rPr>
      </w:pPr>
      <w:r w:rsidRPr="006964C9">
        <w:rPr>
          <w:b/>
          <w:sz w:val="24"/>
          <w:szCs w:val="24"/>
        </w:rPr>
        <w:lastRenderedPageBreak/>
        <w:t>Materials and Method</w:t>
      </w:r>
      <w:r w:rsidR="0045030B" w:rsidRPr="006964C9">
        <w:rPr>
          <w:b/>
          <w:sz w:val="24"/>
          <w:szCs w:val="24"/>
        </w:rPr>
        <w:t>s</w:t>
      </w:r>
    </w:p>
    <w:p w14:paraId="2CFC2A40" w14:textId="77777777" w:rsidR="00C37D9F" w:rsidRPr="006964C9" w:rsidRDefault="00C37D9F" w:rsidP="00C37D9F">
      <w:pPr>
        <w:rPr>
          <w:b/>
          <w:sz w:val="24"/>
          <w:szCs w:val="24"/>
        </w:rPr>
      </w:pPr>
      <w:r w:rsidRPr="006964C9">
        <w:rPr>
          <w:b/>
          <w:sz w:val="24"/>
          <w:szCs w:val="24"/>
        </w:rPr>
        <w:t>Study Patients and Surveillance</w:t>
      </w:r>
    </w:p>
    <w:p w14:paraId="0EEFF3D0" w14:textId="77777777" w:rsidR="005439AF" w:rsidRDefault="00C37D9F" w:rsidP="00C37D9F">
      <w:pPr>
        <w:autoSpaceDE w:val="0"/>
        <w:autoSpaceDN w:val="0"/>
        <w:adjustRightInd w:val="0"/>
        <w:spacing w:line="480" w:lineRule="auto"/>
        <w:jc w:val="left"/>
        <w:rPr>
          <w:rFonts w:eastAsia="Lato-Regular" w:cs="Lato-Regular"/>
          <w:color w:val="FF0000"/>
          <w:kern w:val="0"/>
          <w:sz w:val="24"/>
          <w:szCs w:val="24"/>
        </w:rPr>
      </w:pPr>
      <w:r w:rsidRPr="006964C9">
        <w:rPr>
          <w:sz w:val="24"/>
          <w:szCs w:val="24"/>
        </w:rPr>
        <w:tab/>
        <w:t>Between February 2008 and December 2018,</w:t>
      </w:r>
      <w:r w:rsidRPr="006964C9">
        <w:rPr>
          <w:rStyle w:val="tlid-translation"/>
          <w:sz w:val="24"/>
          <w:szCs w:val="24"/>
          <w:lang w:val="en"/>
        </w:rPr>
        <w:t xml:space="preserve"> </w:t>
      </w:r>
      <w:r w:rsidR="00511F0F" w:rsidRPr="006964C9">
        <w:rPr>
          <w:sz w:val="24"/>
          <w:szCs w:val="24"/>
        </w:rPr>
        <w:t xml:space="preserve">1083 </w:t>
      </w:r>
      <w:r w:rsidRPr="006964C9">
        <w:rPr>
          <w:rStyle w:val="tlid-translation"/>
          <w:sz w:val="24"/>
          <w:szCs w:val="24"/>
          <w:lang w:val="en"/>
        </w:rPr>
        <w:t>consecutive</w:t>
      </w:r>
      <w:r w:rsidRPr="006964C9">
        <w:rPr>
          <w:sz w:val="24"/>
          <w:szCs w:val="24"/>
        </w:rPr>
        <w:t xml:space="preserve"> patients with HCV</w:t>
      </w:r>
      <w:r w:rsidR="00511F0F" w:rsidRPr="006964C9">
        <w:rPr>
          <w:sz w:val="24"/>
          <w:szCs w:val="24"/>
        </w:rPr>
        <w:t>-</w:t>
      </w:r>
      <w:r w:rsidRPr="006964C9">
        <w:rPr>
          <w:sz w:val="24"/>
          <w:szCs w:val="24"/>
        </w:rPr>
        <w:t xml:space="preserve">related chronic hepatitis or compensated cirrhosis underwent </w:t>
      </w:r>
      <w:r w:rsidRPr="006964C9">
        <w:rPr>
          <w:rFonts w:eastAsia="Lato-Regular" w:cs="Lato-Regular"/>
          <w:kern w:val="0"/>
          <w:sz w:val="24"/>
          <w:szCs w:val="24"/>
        </w:rPr>
        <w:t xml:space="preserve">Gd-EOB-MRI. The present study cohort </w:t>
      </w:r>
      <w:r w:rsidR="00511F0F" w:rsidRPr="006964C9">
        <w:rPr>
          <w:rFonts w:eastAsia="Lato-Regular" w:cs="Lato-Regular"/>
          <w:kern w:val="0"/>
          <w:sz w:val="24"/>
          <w:szCs w:val="24"/>
        </w:rPr>
        <w:t xml:space="preserve">had </w:t>
      </w:r>
      <w:r w:rsidRPr="006964C9">
        <w:rPr>
          <w:rFonts w:eastAsia="Lato-Regular" w:cs="Lato-Regular"/>
          <w:kern w:val="0"/>
          <w:sz w:val="24"/>
          <w:szCs w:val="24"/>
        </w:rPr>
        <w:t xml:space="preserve">the following </w:t>
      </w:r>
      <w:r w:rsidR="00511F0F" w:rsidRPr="006964C9">
        <w:rPr>
          <w:rFonts w:eastAsia="Lato-Regular" w:cs="Lato-Regular"/>
          <w:kern w:val="0"/>
          <w:sz w:val="24"/>
          <w:szCs w:val="24"/>
        </w:rPr>
        <w:t xml:space="preserve">enrollment </w:t>
      </w:r>
      <w:r w:rsidRPr="006964C9">
        <w:rPr>
          <w:rFonts w:eastAsia="Lato-Regular" w:cs="Lato-Regular"/>
          <w:kern w:val="0"/>
          <w:sz w:val="24"/>
          <w:szCs w:val="24"/>
        </w:rPr>
        <w:t>criteria: (1) positiv</w:t>
      </w:r>
      <w:r w:rsidR="00511F0F" w:rsidRPr="006964C9">
        <w:rPr>
          <w:rFonts w:eastAsia="Lato-Regular" w:cs="Lato-Regular"/>
          <w:kern w:val="0"/>
          <w:sz w:val="24"/>
          <w:szCs w:val="24"/>
        </w:rPr>
        <w:t>ity</w:t>
      </w:r>
      <w:r w:rsidRPr="006964C9">
        <w:rPr>
          <w:rFonts w:eastAsia="Lato-Regular" w:cs="Lato-Regular"/>
          <w:kern w:val="0"/>
          <w:sz w:val="24"/>
          <w:szCs w:val="24"/>
        </w:rPr>
        <w:t xml:space="preserve"> for anti-HCV antibod</w:t>
      </w:r>
      <w:r w:rsidR="009C477C" w:rsidRPr="006964C9">
        <w:rPr>
          <w:rFonts w:eastAsia="Lato-Regular" w:cs="Lato-Regular"/>
          <w:kern w:val="0"/>
          <w:sz w:val="24"/>
          <w:szCs w:val="24"/>
        </w:rPr>
        <w:t>ies</w:t>
      </w:r>
      <w:r w:rsidRPr="006964C9">
        <w:rPr>
          <w:rFonts w:eastAsia="Lato-Regular" w:cs="Lato-Regular"/>
          <w:kern w:val="0"/>
          <w:sz w:val="24"/>
          <w:szCs w:val="24"/>
        </w:rPr>
        <w:t xml:space="preserve"> by second</w:t>
      </w:r>
      <w:r w:rsidR="00511F0F" w:rsidRPr="006964C9">
        <w:rPr>
          <w:rFonts w:eastAsia="Lato-Regular" w:cs="Lato-Regular"/>
          <w:kern w:val="0"/>
          <w:sz w:val="24"/>
          <w:szCs w:val="24"/>
        </w:rPr>
        <w:t xml:space="preserve">- </w:t>
      </w:r>
      <w:r w:rsidRPr="006964C9">
        <w:rPr>
          <w:rFonts w:eastAsia="Lato-Regular" w:cs="Lato-Regular"/>
          <w:kern w:val="0"/>
          <w:sz w:val="24"/>
          <w:szCs w:val="24"/>
        </w:rPr>
        <w:t>or third</w:t>
      </w:r>
      <w:r w:rsidR="00511F0F" w:rsidRPr="006964C9">
        <w:rPr>
          <w:rFonts w:eastAsia="Lato-Regular" w:cs="Lato-Regular"/>
          <w:kern w:val="0"/>
          <w:sz w:val="24"/>
          <w:szCs w:val="24"/>
        </w:rPr>
        <w:t>-</w:t>
      </w:r>
      <w:r w:rsidRPr="006964C9">
        <w:rPr>
          <w:rFonts w:eastAsia="Lato-Regular" w:cs="Lato-Regular"/>
          <w:kern w:val="0"/>
          <w:sz w:val="24"/>
          <w:szCs w:val="24"/>
        </w:rPr>
        <w:t>generation enzyme-linked immunosorbent assay and detectable HCV RNA for at least 6</w:t>
      </w:r>
      <w:r w:rsidR="00511F0F" w:rsidRPr="006964C9">
        <w:rPr>
          <w:rFonts w:eastAsia="Lato-Regular" w:cs="Lato-Regular"/>
          <w:kern w:val="0"/>
          <w:sz w:val="24"/>
          <w:szCs w:val="24"/>
        </w:rPr>
        <w:t xml:space="preserve"> </w:t>
      </w:r>
      <w:r w:rsidRPr="006964C9">
        <w:rPr>
          <w:rFonts w:eastAsia="Lato-Regular" w:cs="Lato-Regular"/>
          <w:kern w:val="0"/>
          <w:sz w:val="24"/>
          <w:szCs w:val="24"/>
        </w:rPr>
        <w:t xml:space="preserve">months; (2) no evidence of positivity for hepatitis B surface antigen; </w:t>
      </w:r>
      <w:r w:rsidR="00511F0F" w:rsidRPr="006964C9">
        <w:rPr>
          <w:rFonts w:eastAsia="Lato-Regular" w:cs="Lato-Regular"/>
          <w:kern w:val="0"/>
          <w:sz w:val="24"/>
          <w:szCs w:val="24"/>
        </w:rPr>
        <w:t xml:space="preserve">and </w:t>
      </w:r>
      <w:r w:rsidRPr="006964C9">
        <w:rPr>
          <w:rFonts w:eastAsia="Lato-Regular" w:cs="Lato-Regular"/>
          <w:kern w:val="0"/>
          <w:sz w:val="24"/>
          <w:szCs w:val="24"/>
        </w:rPr>
        <w:t xml:space="preserve">(3) exclusion of other causes of chronic hepatitis (i.e., alcohol consumption </w:t>
      </w:r>
      <w:r w:rsidRPr="006964C9">
        <w:rPr>
          <w:rFonts w:cs="AdvPTimes"/>
          <w:kern w:val="0"/>
          <w:sz w:val="24"/>
          <w:szCs w:val="24"/>
        </w:rPr>
        <w:t xml:space="preserve">lower than 80 g/day, no history of hepatotoxic drug use, and negative tests for autoimmune hepatitis, primary biliary cholangitis, hemochromatosis, and Wilson’s disease). </w:t>
      </w:r>
      <w:r w:rsidRPr="005439AF">
        <w:rPr>
          <w:rFonts w:eastAsia="Lato-Regular" w:cs="Lato-Regular"/>
          <w:color w:val="FF0000"/>
          <w:kern w:val="0"/>
          <w:sz w:val="24"/>
          <w:szCs w:val="24"/>
        </w:rPr>
        <w:t xml:space="preserve">Of </w:t>
      </w:r>
      <w:r w:rsidR="00511F0F" w:rsidRPr="005439AF">
        <w:rPr>
          <w:rFonts w:eastAsia="Lato-Regular" w:cs="Lato-Regular"/>
          <w:color w:val="FF0000"/>
          <w:kern w:val="0"/>
          <w:sz w:val="24"/>
          <w:szCs w:val="24"/>
        </w:rPr>
        <w:t>the 1083 enrolled patients</w:t>
      </w:r>
      <w:r w:rsidRPr="005439AF">
        <w:rPr>
          <w:rFonts w:eastAsia="Lato-Regular" w:cs="Lato-Regular"/>
          <w:color w:val="FF0000"/>
          <w:kern w:val="0"/>
          <w:sz w:val="24"/>
          <w:szCs w:val="24"/>
        </w:rPr>
        <w:t xml:space="preserve">, 606 were administered DAAs. One hundred and two patients did not </w:t>
      </w:r>
      <w:r w:rsidR="00511F0F" w:rsidRPr="005439AF">
        <w:rPr>
          <w:rFonts w:eastAsia="Lato-Regular" w:cs="Lato-Regular"/>
          <w:color w:val="FF0000"/>
          <w:kern w:val="0"/>
          <w:sz w:val="24"/>
          <w:szCs w:val="24"/>
        </w:rPr>
        <w:t xml:space="preserve">undergo </w:t>
      </w:r>
      <w:r w:rsidRPr="005439AF">
        <w:rPr>
          <w:rFonts w:eastAsia="Lato-Regular" w:cs="Lato-Regular"/>
          <w:color w:val="FF0000"/>
          <w:kern w:val="0"/>
          <w:sz w:val="24"/>
          <w:szCs w:val="24"/>
        </w:rPr>
        <w:t>Gd-EOB</w:t>
      </w:r>
      <w:r w:rsidRPr="005439AF">
        <w:rPr>
          <w:rFonts w:eastAsia="MS Mincho" w:cs="MS Mincho"/>
          <w:color w:val="FF0000"/>
          <w:kern w:val="0"/>
          <w:sz w:val="24"/>
          <w:szCs w:val="24"/>
        </w:rPr>
        <w:t>-</w:t>
      </w:r>
      <w:r w:rsidRPr="005439AF">
        <w:rPr>
          <w:rFonts w:eastAsia="Lato-Regular" w:cs="Lato-Regular"/>
          <w:color w:val="FF0000"/>
          <w:kern w:val="0"/>
          <w:sz w:val="24"/>
          <w:szCs w:val="24"/>
        </w:rPr>
        <w:t xml:space="preserve">MRI </w:t>
      </w:r>
      <w:r w:rsidR="00511F0F" w:rsidRPr="005439AF">
        <w:rPr>
          <w:rFonts w:eastAsia="Lato-Regular" w:cs="Lato-Regular"/>
          <w:color w:val="FF0000"/>
          <w:kern w:val="0"/>
          <w:sz w:val="24"/>
          <w:szCs w:val="24"/>
        </w:rPr>
        <w:t xml:space="preserve">within </w:t>
      </w:r>
      <w:r w:rsidRPr="005439AF">
        <w:rPr>
          <w:rFonts w:eastAsia="Lato-Regular" w:cs="Lato-Regular"/>
          <w:color w:val="FF0000"/>
          <w:kern w:val="0"/>
          <w:sz w:val="24"/>
          <w:szCs w:val="24"/>
        </w:rPr>
        <w:t xml:space="preserve">3 months </w:t>
      </w:r>
      <w:r w:rsidR="00E139A1" w:rsidRPr="005439AF">
        <w:rPr>
          <w:rFonts w:eastAsia="Lato-Regular" w:cs="Lato-Regular"/>
          <w:color w:val="FF0000"/>
          <w:kern w:val="0"/>
          <w:sz w:val="24"/>
          <w:szCs w:val="24"/>
        </w:rPr>
        <w:t>before</w:t>
      </w:r>
      <w:r w:rsidR="00511F0F" w:rsidRPr="005439AF">
        <w:rPr>
          <w:rFonts w:eastAsia="Lato-Regular" w:cs="Lato-Regular"/>
          <w:color w:val="FF0000"/>
          <w:kern w:val="0"/>
          <w:sz w:val="24"/>
          <w:szCs w:val="24"/>
        </w:rPr>
        <w:t xml:space="preserve"> starting </w:t>
      </w:r>
      <w:r w:rsidR="00187011" w:rsidRPr="005439AF">
        <w:rPr>
          <w:rFonts w:eastAsia="Lato-Regular" w:cs="Lato-Regular"/>
          <w:color w:val="FF0000"/>
          <w:kern w:val="0"/>
          <w:sz w:val="24"/>
          <w:szCs w:val="24"/>
        </w:rPr>
        <w:t xml:space="preserve">DAA </w:t>
      </w:r>
      <w:r w:rsidRPr="005439AF">
        <w:rPr>
          <w:rFonts w:eastAsia="Lato-Regular" w:cs="Lato-Regular"/>
          <w:color w:val="FF0000"/>
          <w:kern w:val="0"/>
          <w:sz w:val="24"/>
          <w:szCs w:val="24"/>
        </w:rPr>
        <w:t>therapy</w:t>
      </w:r>
      <w:r w:rsidR="009F1C79" w:rsidRPr="005439AF">
        <w:rPr>
          <w:rFonts w:eastAsia="Lato-Regular" w:cs="Lato-Regular"/>
          <w:color w:val="FF0000"/>
          <w:kern w:val="0"/>
          <w:sz w:val="24"/>
          <w:szCs w:val="24"/>
        </w:rPr>
        <w:t>.</w:t>
      </w:r>
      <w:r w:rsidRPr="005439AF">
        <w:rPr>
          <w:rFonts w:eastAsia="Lato-Regular" w:cs="Lato-Regular"/>
          <w:color w:val="FF0000"/>
          <w:kern w:val="0"/>
          <w:sz w:val="24"/>
          <w:szCs w:val="24"/>
        </w:rPr>
        <w:t xml:space="preserve"> </w:t>
      </w:r>
      <w:r w:rsidR="00511F0F" w:rsidRPr="005439AF">
        <w:rPr>
          <w:rFonts w:eastAsia="Lato-Regular" w:cs="Lato-Regular"/>
          <w:color w:val="FF0000"/>
          <w:kern w:val="0"/>
          <w:sz w:val="24"/>
          <w:szCs w:val="24"/>
        </w:rPr>
        <w:t xml:space="preserve">Ten </w:t>
      </w:r>
      <w:r w:rsidRPr="005439AF">
        <w:rPr>
          <w:rFonts w:eastAsia="Lato-Regular" w:cs="Lato-Regular"/>
          <w:color w:val="FF0000"/>
          <w:kern w:val="0"/>
          <w:sz w:val="24"/>
          <w:szCs w:val="24"/>
        </w:rPr>
        <w:t xml:space="preserve">patients did not achieve SVR and 87 patients had </w:t>
      </w:r>
      <w:r w:rsidR="00511F0F" w:rsidRPr="005439AF">
        <w:rPr>
          <w:rFonts w:eastAsia="Lato-Regular" w:cs="Lato-Regular"/>
          <w:color w:val="FF0000"/>
          <w:kern w:val="0"/>
          <w:sz w:val="24"/>
          <w:szCs w:val="24"/>
        </w:rPr>
        <w:t xml:space="preserve">preexisting </w:t>
      </w:r>
      <w:r w:rsidRPr="005439AF">
        <w:rPr>
          <w:rFonts w:eastAsia="Lato-Regular" w:cs="Lato-Regular"/>
          <w:color w:val="FF0000"/>
          <w:kern w:val="0"/>
          <w:sz w:val="24"/>
          <w:szCs w:val="24"/>
        </w:rPr>
        <w:t xml:space="preserve">HCC at </w:t>
      </w:r>
      <w:r w:rsidR="00511F0F" w:rsidRPr="005439AF">
        <w:rPr>
          <w:rFonts w:eastAsia="Lato-Regular" w:cs="Lato-Regular"/>
          <w:color w:val="FF0000"/>
          <w:kern w:val="0"/>
          <w:sz w:val="24"/>
          <w:szCs w:val="24"/>
        </w:rPr>
        <w:t xml:space="preserve">the time </w:t>
      </w:r>
      <w:r w:rsidRPr="005439AF">
        <w:rPr>
          <w:rFonts w:eastAsia="Lato-Regular" w:cs="Lato-Regular"/>
          <w:color w:val="FF0000"/>
          <w:kern w:val="0"/>
          <w:sz w:val="24"/>
          <w:szCs w:val="24"/>
        </w:rPr>
        <w:t>DAA therapy</w:t>
      </w:r>
      <w:r w:rsidR="00511F0F" w:rsidRPr="005439AF">
        <w:rPr>
          <w:rFonts w:eastAsia="Lato-Regular" w:cs="Lato-Regular"/>
          <w:color w:val="FF0000"/>
          <w:kern w:val="0"/>
          <w:sz w:val="24"/>
          <w:szCs w:val="24"/>
        </w:rPr>
        <w:t xml:space="preserve"> was initiated</w:t>
      </w:r>
      <w:r w:rsidRPr="005439AF">
        <w:rPr>
          <w:rFonts w:eastAsia="Lato-Regular" w:cs="Lato-Regular"/>
          <w:color w:val="FF0000"/>
          <w:kern w:val="0"/>
          <w:sz w:val="24"/>
          <w:szCs w:val="24"/>
        </w:rPr>
        <w:t xml:space="preserve">. The remaining 509 patients were enrolled as the </w:t>
      </w:r>
      <w:r w:rsidR="00A61EDF" w:rsidRPr="005439AF">
        <w:rPr>
          <w:rFonts w:eastAsia="Lato-Regular" w:cs="Lato-Regular"/>
          <w:color w:val="FF0000"/>
          <w:kern w:val="0"/>
          <w:sz w:val="24"/>
          <w:szCs w:val="24"/>
        </w:rPr>
        <w:t>“</w:t>
      </w:r>
      <w:r w:rsidRPr="005439AF">
        <w:rPr>
          <w:rFonts w:eastAsia="Lato-Regular" w:cs="Lato-Regular"/>
          <w:color w:val="FF0000"/>
          <w:kern w:val="0"/>
          <w:sz w:val="24"/>
          <w:szCs w:val="24"/>
        </w:rPr>
        <w:t>DAA group</w:t>
      </w:r>
      <w:r w:rsidR="00511F0F" w:rsidRPr="005439AF">
        <w:rPr>
          <w:rFonts w:eastAsia="Lato-Regular" w:cs="Lato-Regular"/>
          <w:color w:val="FF0000"/>
          <w:kern w:val="0"/>
          <w:sz w:val="24"/>
          <w:szCs w:val="24"/>
        </w:rPr>
        <w:t>.</w:t>
      </w:r>
      <w:r w:rsidR="00A61EDF" w:rsidRPr="005439AF">
        <w:rPr>
          <w:rFonts w:eastAsia="Lato-Regular" w:cs="Lato-Regular"/>
          <w:color w:val="FF0000"/>
          <w:kern w:val="0"/>
          <w:sz w:val="24"/>
          <w:szCs w:val="24"/>
        </w:rPr>
        <w:t>”</w:t>
      </w:r>
      <w:r w:rsidRPr="005439AF">
        <w:rPr>
          <w:rFonts w:eastAsia="Lato-Regular" w:cs="Lato-Regular"/>
          <w:color w:val="FF0000"/>
          <w:kern w:val="0"/>
          <w:sz w:val="24"/>
          <w:szCs w:val="24"/>
        </w:rPr>
        <w:t xml:space="preserve"> Four hundred and seventy-seven patients </w:t>
      </w:r>
      <w:r w:rsidR="00511F0F" w:rsidRPr="005439AF">
        <w:rPr>
          <w:rFonts w:eastAsia="Lato-Regular" w:cs="Lato-Regular"/>
          <w:color w:val="FF0000"/>
          <w:kern w:val="0"/>
          <w:sz w:val="24"/>
          <w:szCs w:val="24"/>
        </w:rPr>
        <w:t>did not receive</w:t>
      </w:r>
      <w:r w:rsidRPr="005439AF">
        <w:rPr>
          <w:rFonts w:eastAsia="Lato-Regular" w:cs="Lato-Regular"/>
          <w:color w:val="FF0000"/>
          <w:kern w:val="0"/>
          <w:sz w:val="24"/>
          <w:szCs w:val="24"/>
        </w:rPr>
        <w:t xml:space="preserve"> DAAs during</w:t>
      </w:r>
      <w:r w:rsidR="00511F0F" w:rsidRPr="005439AF">
        <w:rPr>
          <w:rFonts w:eastAsia="Lato-Regular" w:cs="Lato-Regular"/>
          <w:color w:val="FF0000"/>
          <w:kern w:val="0"/>
          <w:sz w:val="24"/>
          <w:szCs w:val="24"/>
        </w:rPr>
        <w:t xml:space="preserve"> the</w:t>
      </w:r>
      <w:r w:rsidRPr="005439AF">
        <w:rPr>
          <w:rFonts w:eastAsia="Lato-Regular" w:cs="Lato-Regular"/>
          <w:color w:val="FF0000"/>
          <w:kern w:val="0"/>
          <w:sz w:val="24"/>
          <w:szCs w:val="24"/>
        </w:rPr>
        <w:t xml:space="preserve"> follow</w:t>
      </w:r>
      <w:r w:rsidR="00511F0F" w:rsidRPr="005439AF">
        <w:rPr>
          <w:rFonts w:eastAsia="Lato-Regular" w:cs="Lato-Regular"/>
          <w:color w:val="FF0000"/>
          <w:kern w:val="0"/>
          <w:sz w:val="24"/>
          <w:szCs w:val="24"/>
        </w:rPr>
        <w:t>-</w:t>
      </w:r>
      <w:r w:rsidRPr="005439AF">
        <w:rPr>
          <w:rFonts w:eastAsia="Lato-Regular" w:cs="Lato-Regular"/>
          <w:color w:val="FF0000"/>
          <w:kern w:val="0"/>
          <w:sz w:val="24"/>
          <w:szCs w:val="24"/>
        </w:rPr>
        <w:t>up period. Of these</w:t>
      </w:r>
      <w:r w:rsidR="00511F0F" w:rsidRPr="005439AF">
        <w:rPr>
          <w:rFonts w:eastAsia="Lato-Regular" w:cs="Lato-Regular"/>
          <w:color w:val="FF0000"/>
          <w:kern w:val="0"/>
          <w:sz w:val="24"/>
          <w:szCs w:val="24"/>
        </w:rPr>
        <w:t>, at the time of the first Gd-EOB-MRI</w:t>
      </w:r>
      <w:r w:rsidRPr="005439AF">
        <w:rPr>
          <w:rFonts w:eastAsia="Lato-Regular" w:cs="Lato-Regular"/>
          <w:color w:val="FF0000"/>
          <w:kern w:val="0"/>
          <w:sz w:val="24"/>
          <w:szCs w:val="24"/>
        </w:rPr>
        <w:t xml:space="preserve">, </w:t>
      </w:r>
      <w:r w:rsidRPr="005439AF">
        <w:rPr>
          <w:rFonts w:eastAsia="Lato-Regular" w:cs="Lato-Regular"/>
          <w:color w:val="FF0000"/>
          <w:kern w:val="0"/>
          <w:sz w:val="24"/>
          <w:szCs w:val="24"/>
        </w:rPr>
        <w:lastRenderedPageBreak/>
        <w:t xml:space="preserve">159 patients had </w:t>
      </w:r>
      <w:r w:rsidR="00511F0F" w:rsidRPr="005439AF">
        <w:rPr>
          <w:rFonts w:eastAsia="Lato-Regular" w:cs="Lato-Regular"/>
          <w:color w:val="FF0000"/>
          <w:kern w:val="0"/>
          <w:sz w:val="24"/>
          <w:szCs w:val="24"/>
        </w:rPr>
        <w:t>preexisting</w:t>
      </w:r>
      <w:r w:rsidRPr="005439AF">
        <w:rPr>
          <w:rFonts w:eastAsia="Lato-Regular" w:cs="Lato-Regular"/>
          <w:color w:val="FF0000"/>
          <w:kern w:val="0"/>
          <w:sz w:val="24"/>
          <w:szCs w:val="24"/>
        </w:rPr>
        <w:t xml:space="preserve"> HCC and 108 patients </w:t>
      </w:r>
      <w:r w:rsidR="00511F0F" w:rsidRPr="005439AF">
        <w:rPr>
          <w:rFonts w:eastAsia="Lato-Regular" w:cs="Lato-Regular"/>
          <w:color w:val="FF0000"/>
          <w:kern w:val="0"/>
          <w:sz w:val="24"/>
          <w:szCs w:val="24"/>
        </w:rPr>
        <w:t>had achieved</w:t>
      </w:r>
      <w:r w:rsidRPr="005439AF">
        <w:rPr>
          <w:rFonts w:eastAsia="Lato-Regular" w:cs="Lato-Regular"/>
          <w:color w:val="FF0000"/>
          <w:kern w:val="0"/>
          <w:sz w:val="24"/>
          <w:szCs w:val="24"/>
        </w:rPr>
        <w:t xml:space="preserve"> SVR by interferon-based therapy.</w:t>
      </w:r>
    </w:p>
    <w:p w14:paraId="2D3B0468" w14:textId="77777777" w:rsidR="005439AF" w:rsidRDefault="005439AF" w:rsidP="00C37D9F">
      <w:pPr>
        <w:autoSpaceDE w:val="0"/>
        <w:autoSpaceDN w:val="0"/>
        <w:adjustRightInd w:val="0"/>
        <w:spacing w:line="480" w:lineRule="auto"/>
        <w:jc w:val="left"/>
        <w:rPr>
          <w:rFonts w:eastAsia="Lato-Regular" w:cs="Lato-Regular"/>
          <w:color w:val="FF0000"/>
          <w:kern w:val="0"/>
          <w:sz w:val="24"/>
          <w:szCs w:val="24"/>
        </w:rPr>
      </w:pPr>
    </w:p>
    <w:p w14:paraId="0BF1BECB" w14:textId="040A48B8" w:rsidR="005439AF" w:rsidRPr="005439AF" w:rsidRDefault="005439AF" w:rsidP="00C37D9F">
      <w:pPr>
        <w:autoSpaceDE w:val="0"/>
        <w:autoSpaceDN w:val="0"/>
        <w:adjustRightInd w:val="0"/>
        <w:spacing w:line="480" w:lineRule="auto"/>
        <w:jc w:val="left"/>
        <w:rPr>
          <w:rFonts w:eastAsia="Lato-Regular" w:cs="Lato-Regular"/>
          <w:color w:val="0070C0"/>
          <w:kern w:val="0"/>
          <w:sz w:val="24"/>
          <w:szCs w:val="24"/>
        </w:rPr>
      </w:pPr>
      <w:r w:rsidRPr="005439AF">
        <w:rPr>
          <w:rFonts w:eastAsia="Lato-Regular" w:cs="Lato-Regular"/>
          <w:color w:val="0070C0"/>
          <w:kern w:val="0"/>
          <w:sz w:val="24"/>
          <w:szCs w:val="24"/>
        </w:rPr>
        <w:t>This section is confusing!  Why, i</w:t>
      </w:r>
      <w:r>
        <w:rPr>
          <w:rFonts w:eastAsia="Lato-Regular" w:cs="Lato-Regular"/>
          <w:color w:val="0070C0"/>
          <w:kern w:val="0"/>
          <w:sz w:val="24"/>
          <w:szCs w:val="24"/>
        </w:rPr>
        <w:t>f</w:t>
      </w:r>
      <w:r w:rsidRPr="005439AF">
        <w:rPr>
          <w:rFonts w:eastAsia="Lato-Regular" w:cs="Lato-Regular"/>
          <w:color w:val="0070C0"/>
          <w:kern w:val="0"/>
          <w:sz w:val="24"/>
          <w:szCs w:val="24"/>
        </w:rPr>
        <w:t xml:space="preserve"> this was a prospective study, did 102 patients not get </w:t>
      </w:r>
      <w:r w:rsidR="00C37D9F" w:rsidRPr="005439AF">
        <w:rPr>
          <w:rFonts w:eastAsia="Lato-Regular" w:cs="Lato-Regular"/>
          <w:color w:val="0070C0"/>
          <w:kern w:val="0"/>
          <w:sz w:val="24"/>
          <w:szCs w:val="24"/>
        </w:rPr>
        <w:t xml:space="preserve"> </w:t>
      </w:r>
      <w:r w:rsidRPr="005439AF">
        <w:rPr>
          <w:rFonts w:eastAsia="Lato-Regular" w:cs="Lato-Regular"/>
          <w:color w:val="0070C0"/>
          <w:kern w:val="0"/>
          <w:sz w:val="24"/>
          <w:szCs w:val="24"/>
        </w:rPr>
        <w:t>‘Gd-EOB</w:t>
      </w:r>
      <w:r w:rsidRPr="005439AF">
        <w:rPr>
          <w:rFonts w:eastAsia="MS Mincho" w:cs="MS Mincho"/>
          <w:color w:val="0070C0"/>
          <w:kern w:val="0"/>
          <w:sz w:val="24"/>
          <w:szCs w:val="24"/>
        </w:rPr>
        <w:t>-</w:t>
      </w:r>
      <w:r w:rsidRPr="005439AF">
        <w:rPr>
          <w:rFonts w:eastAsia="Lato-Regular" w:cs="Lato-Regular"/>
          <w:color w:val="0070C0"/>
          <w:kern w:val="0"/>
          <w:sz w:val="24"/>
          <w:szCs w:val="24"/>
        </w:rPr>
        <w:t xml:space="preserve">MRI within 3 months before starting DAA therapy’? why include patients with ‘preexisting HCC’?  Isn’t it likely that the progression of </w:t>
      </w:r>
      <w:r w:rsidR="00240C9F" w:rsidRPr="005439AF">
        <w:rPr>
          <w:rFonts w:eastAsia="Lato-Regular" w:cs="Lato-Regular"/>
          <w:color w:val="0070C0"/>
          <w:kern w:val="0"/>
          <w:sz w:val="24"/>
          <w:szCs w:val="24"/>
        </w:rPr>
        <w:t>dysplastic</w:t>
      </w:r>
      <w:r w:rsidRPr="005439AF">
        <w:rPr>
          <w:rFonts w:eastAsia="Lato-Regular" w:cs="Lato-Regular"/>
          <w:color w:val="0070C0"/>
          <w:kern w:val="0"/>
          <w:sz w:val="24"/>
          <w:szCs w:val="24"/>
        </w:rPr>
        <w:t xml:space="preserve"> nodules will be different in livers already harboring HCC?</w:t>
      </w:r>
    </w:p>
    <w:p w14:paraId="7C317017" w14:textId="77777777" w:rsidR="005439AF" w:rsidRPr="005439AF" w:rsidRDefault="005439AF" w:rsidP="00C37D9F">
      <w:pPr>
        <w:autoSpaceDE w:val="0"/>
        <w:autoSpaceDN w:val="0"/>
        <w:adjustRightInd w:val="0"/>
        <w:spacing w:line="480" w:lineRule="auto"/>
        <w:jc w:val="left"/>
        <w:rPr>
          <w:rFonts w:eastAsia="Lato-Regular" w:cs="Lato-Regular"/>
          <w:color w:val="FF0000"/>
          <w:kern w:val="0"/>
          <w:sz w:val="24"/>
          <w:szCs w:val="24"/>
        </w:rPr>
      </w:pPr>
    </w:p>
    <w:p w14:paraId="74EFE974" w14:textId="77777777" w:rsidR="005439AF" w:rsidRDefault="005439AF" w:rsidP="00C37D9F">
      <w:pPr>
        <w:autoSpaceDE w:val="0"/>
        <w:autoSpaceDN w:val="0"/>
        <w:adjustRightInd w:val="0"/>
        <w:spacing w:line="480" w:lineRule="auto"/>
        <w:jc w:val="left"/>
        <w:rPr>
          <w:rFonts w:eastAsia="Lato-Regular" w:cs="Lato-Regular"/>
          <w:kern w:val="0"/>
          <w:sz w:val="24"/>
          <w:szCs w:val="24"/>
        </w:rPr>
      </w:pPr>
    </w:p>
    <w:p w14:paraId="3B8BC9E4" w14:textId="77777777" w:rsidR="005439AF" w:rsidRDefault="005439AF" w:rsidP="00C37D9F">
      <w:pPr>
        <w:autoSpaceDE w:val="0"/>
        <w:autoSpaceDN w:val="0"/>
        <w:adjustRightInd w:val="0"/>
        <w:spacing w:line="480" w:lineRule="auto"/>
        <w:jc w:val="left"/>
        <w:rPr>
          <w:rFonts w:eastAsia="Lato-Regular" w:cs="Lato-Regular"/>
          <w:kern w:val="0"/>
          <w:sz w:val="24"/>
          <w:szCs w:val="24"/>
        </w:rPr>
      </w:pPr>
    </w:p>
    <w:p w14:paraId="60ED9351" w14:textId="32DBF67C" w:rsidR="00C37D9F" w:rsidRDefault="00C37D9F" w:rsidP="00C37D9F">
      <w:pPr>
        <w:autoSpaceDE w:val="0"/>
        <w:autoSpaceDN w:val="0"/>
        <w:adjustRightInd w:val="0"/>
        <w:spacing w:line="480" w:lineRule="auto"/>
        <w:jc w:val="left"/>
        <w:rPr>
          <w:rFonts w:eastAsia="Lato-Regular" w:cs="Lato-Regular"/>
          <w:kern w:val="0"/>
          <w:sz w:val="24"/>
          <w:szCs w:val="24"/>
        </w:rPr>
      </w:pPr>
      <w:r w:rsidRPr="00170052">
        <w:rPr>
          <w:rFonts w:eastAsia="Lato-Regular" w:cs="Lato-Regular"/>
          <w:b/>
          <w:i/>
          <w:color w:val="FF0000"/>
          <w:kern w:val="0"/>
          <w:sz w:val="24"/>
          <w:szCs w:val="24"/>
        </w:rPr>
        <w:t xml:space="preserve">The remaining 210 patients were enrolled as </w:t>
      </w:r>
      <w:r w:rsidR="00511F0F" w:rsidRPr="00170052">
        <w:rPr>
          <w:rFonts w:eastAsia="Lato-Regular" w:cs="Lato-Regular"/>
          <w:b/>
          <w:i/>
          <w:color w:val="FF0000"/>
          <w:kern w:val="0"/>
          <w:sz w:val="24"/>
          <w:szCs w:val="24"/>
        </w:rPr>
        <w:t xml:space="preserve">the </w:t>
      </w:r>
      <w:r w:rsidR="00A61EDF" w:rsidRPr="00170052">
        <w:rPr>
          <w:rFonts w:eastAsia="Lato-Regular" w:cs="Lato-Regular"/>
          <w:b/>
          <w:i/>
          <w:color w:val="FF0000"/>
          <w:kern w:val="0"/>
          <w:sz w:val="24"/>
          <w:szCs w:val="24"/>
        </w:rPr>
        <w:t>“</w:t>
      </w:r>
      <w:r w:rsidRPr="00170052">
        <w:rPr>
          <w:rFonts w:eastAsia="Lato-Regular" w:cs="Lato-Regular"/>
          <w:b/>
          <w:i/>
          <w:color w:val="FF0000"/>
          <w:kern w:val="0"/>
          <w:sz w:val="24"/>
          <w:szCs w:val="24"/>
        </w:rPr>
        <w:t>Non-DAA group</w:t>
      </w:r>
      <w:r w:rsidR="00A61EDF" w:rsidRPr="00170052">
        <w:rPr>
          <w:rFonts w:eastAsia="Lato-Regular" w:cs="Lato-Regular"/>
          <w:b/>
          <w:i/>
          <w:color w:val="FF0000"/>
          <w:kern w:val="0"/>
          <w:sz w:val="24"/>
          <w:szCs w:val="24"/>
        </w:rPr>
        <w:t>”</w:t>
      </w:r>
      <w:r w:rsidRPr="00170052">
        <w:rPr>
          <w:rFonts w:eastAsia="Lato-Regular" w:cs="Lato-Regular"/>
          <w:b/>
          <w:i/>
          <w:color w:val="FF0000"/>
          <w:kern w:val="0"/>
          <w:sz w:val="24"/>
          <w:szCs w:val="24"/>
        </w:rPr>
        <w:t xml:space="preserve"> (Figure 1)</w:t>
      </w:r>
      <w:r w:rsidRPr="006964C9">
        <w:rPr>
          <w:rFonts w:eastAsia="Lato-Regular" w:cs="Lato-Regular"/>
          <w:kern w:val="0"/>
          <w:sz w:val="24"/>
          <w:szCs w:val="24"/>
        </w:rPr>
        <w:t>.</w:t>
      </w:r>
    </w:p>
    <w:p w14:paraId="08CB51D1" w14:textId="3F6C35BA" w:rsidR="00170052" w:rsidRPr="00170052" w:rsidRDefault="00170052" w:rsidP="00C37D9F">
      <w:pPr>
        <w:autoSpaceDE w:val="0"/>
        <w:autoSpaceDN w:val="0"/>
        <w:adjustRightInd w:val="0"/>
        <w:spacing w:line="480" w:lineRule="auto"/>
        <w:jc w:val="left"/>
        <w:rPr>
          <w:rFonts w:eastAsia="Lato-Regular" w:cs="Lato-Regular"/>
          <w:color w:val="0070C0"/>
          <w:kern w:val="0"/>
          <w:sz w:val="24"/>
          <w:szCs w:val="24"/>
        </w:rPr>
      </w:pPr>
      <w:r w:rsidRPr="00170052">
        <w:rPr>
          <w:rFonts w:eastAsia="Lato-Regular" w:cs="Lato-Regular"/>
          <w:color w:val="0070C0"/>
          <w:kern w:val="0"/>
          <w:sz w:val="24"/>
          <w:szCs w:val="24"/>
        </w:rPr>
        <w:t>This is the major weakness of the paper – you don’t say how it was decide</w:t>
      </w:r>
      <w:r>
        <w:rPr>
          <w:rFonts w:eastAsia="Lato-Regular" w:cs="Lato-Regular"/>
          <w:color w:val="0070C0"/>
          <w:kern w:val="0"/>
          <w:sz w:val="24"/>
          <w:szCs w:val="24"/>
        </w:rPr>
        <w:t>d</w:t>
      </w:r>
      <w:r w:rsidRPr="00170052">
        <w:rPr>
          <w:rFonts w:eastAsia="Lato-Regular" w:cs="Lato-Regular"/>
          <w:color w:val="0070C0"/>
          <w:kern w:val="0"/>
          <w:sz w:val="24"/>
          <w:szCs w:val="24"/>
        </w:rPr>
        <w:t xml:space="preserve"> to give or not give the DAAs</w:t>
      </w:r>
    </w:p>
    <w:p w14:paraId="268433A3" w14:textId="38BDC2F7" w:rsidR="00170052" w:rsidRDefault="00170052" w:rsidP="00C37D9F">
      <w:pPr>
        <w:autoSpaceDE w:val="0"/>
        <w:autoSpaceDN w:val="0"/>
        <w:adjustRightInd w:val="0"/>
        <w:spacing w:line="480" w:lineRule="auto"/>
        <w:jc w:val="left"/>
        <w:rPr>
          <w:rFonts w:eastAsia="Lato-Regular" w:cs="Lato-Regular"/>
          <w:kern w:val="0"/>
          <w:sz w:val="24"/>
          <w:szCs w:val="24"/>
        </w:rPr>
      </w:pPr>
    </w:p>
    <w:p w14:paraId="62ED53E5" w14:textId="45B8740C" w:rsidR="00170052" w:rsidRDefault="00170052" w:rsidP="00C37D9F">
      <w:pPr>
        <w:autoSpaceDE w:val="0"/>
        <w:autoSpaceDN w:val="0"/>
        <w:adjustRightInd w:val="0"/>
        <w:spacing w:line="480" w:lineRule="auto"/>
        <w:jc w:val="left"/>
        <w:rPr>
          <w:rFonts w:eastAsia="Lato-Regular" w:cs="Lato-Regular"/>
          <w:kern w:val="0"/>
          <w:sz w:val="24"/>
          <w:szCs w:val="24"/>
        </w:rPr>
      </w:pPr>
    </w:p>
    <w:p w14:paraId="5048D3DD" w14:textId="77777777" w:rsidR="00170052" w:rsidRPr="006964C9" w:rsidRDefault="00170052" w:rsidP="00C37D9F">
      <w:pPr>
        <w:autoSpaceDE w:val="0"/>
        <w:autoSpaceDN w:val="0"/>
        <w:adjustRightInd w:val="0"/>
        <w:spacing w:line="480" w:lineRule="auto"/>
        <w:jc w:val="left"/>
        <w:rPr>
          <w:rFonts w:cs="AdvPTimes"/>
          <w:kern w:val="0"/>
          <w:sz w:val="24"/>
          <w:szCs w:val="24"/>
        </w:rPr>
      </w:pPr>
    </w:p>
    <w:p w14:paraId="153981DD" w14:textId="767A5820" w:rsidR="00C37D9F" w:rsidRPr="006964C9" w:rsidRDefault="00C37D9F" w:rsidP="00C37D9F">
      <w:pPr>
        <w:autoSpaceDE w:val="0"/>
        <w:autoSpaceDN w:val="0"/>
        <w:adjustRightInd w:val="0"/>
        <w:spacing w:line="480" w:lineRule="auto"/>
        <w:jc w:val="left"/>
        <w:rPr>
          <w:rFonts w:cs="WnhcpkAdvPTimes"/>
          <w:color w:val="000000"/>
          <w:kern w:val="0"/>
          <w:sz w:val="24"/>
          <w:szCs w:val="24"/>
        </w:rPr>
      </w:pPr>
      <w:r w:rsidRPr="006964C9">
        <w:rPr>
          <w:rFonts w:eastAsia="Lato-Regular" w:cs="Lato-Regular"/>
          <w:kern w:val="0"/>
          <w:sz w:val="24"/>
          <w:szCs w:val="24"/>
        </w:rPr>
        <w:tab/>
        <w:t xml:space="preserve">All patients underwent routine ultrasound and </w:t>
      </w:r>
      <w:r w:rsidR="00E66C3B" w:rsidRPr="006964C9">
        <w:rPr>
          <w:rFonts w:eastAsia="Lato-Regular" w:cs="Lato-Regular"/>
          <w:kern w:val="0"/>
          <w:sz w:val="24"/>
          <w:szCs w:val="24"/>
        </w:rPr>
        <w:t xml:space="preserve">evaluation of </w:t>
      </w:r>
      <w:r w:rsidRPr="006964C9">
        <w:rPr>
          <w:rFonts w:eastAsia="Lato-Regular" w:cs="Lato-Regular"/>
          <w:kern w:val="0"/>
          <w:sz w:val="24"/>
          <w:szCs w:val="24"/>
        </w:rPr>
        <w:t xml:space="preserve">tumor markers (alpha-fetoprotein [AFP], </w:t>
      </w:r>
      <w:r w:rsidR="00E66C3B" w:rsidRPr="006964C9">
        <w:rPr>
          <w:rFonts w:eastAsia="Lato-Regular" w:cs="Lato-Regular"/>
          <w:i/>
          <w:kern w:val="0"/>
          <w:sz w:val="24"/>
          <w:szCs w:val="24"/>
        </w:rPr>
        <w:t>L</w:t>
      </w:r>
      <w:r w:rsidRPr="006964C9">
        <w:rPr>
          <w:rFonts w:eastAsia="Lato-Regular" w:cs="Lato-Regular"/>
          <w:i/>
          <w:kern w:val="0"/>
          <w:sz w:val="24"/>
          <w:szCs w:val="24"/>
        </w:rPr>
        <w:t>ens culinaris</w:t>
      </w:r>
      <w:r w:rsidRPr="006964C9">
        <w:rPr>
          <w:rFonts w:eastAsia="Lato-Regular" w:cs="Lato-Regular"/>
          <w:kern w:val="0"/>
          <w:sz w:val="24"/>
          <w:szCs w:val="24"/>
        </w:rPr>
        <w:t xml:space="preserve"> agglutinin</w:t>
      </w:r>
      <w:r w:rsidR="00054CB6" w:rsidRPr="006964C9">
        <w:rPr>
          <w:rFonts w:eastAsia="Lato-Regular" w:cs="Lato-Regular"/>
          <w:kern w:val="0"/>
          <w:sz w:val="24"/>
          <w:szCs w:val="24"/>
        </w:rPr>
        <w:t>–</w:t>
      </w:r>
      <w:r w:rsidRPr="006964C9">
        <w:rPr>
          <w:rFonts w:eastAsia="Lato-Regular" w:cs="Lato-Regular"/>
          <w:kern w:val="0"/>
          <w:sz w:val="24"/>
          <w:szCs w:val="24"/>
        </w:rPr>
        <w:t xml:space="preserve">reactive fraction of AFP [AFP-L3%], </w:t>
      </w:r>
      <w:r w:rsidR="00BF591E" w:rsidRPr="006964C9">
        <w:rPr>
          <w:rFonts w:eastAsia="Lato-Regular" w:cs="Lato-Regular"/>
          <w:kern w:val="0"/>
          <w:sz w:val="24"/>
          <w:szCs w:val="24"/>
        </w:rPr>
        <w:t xml:space="preserve">and </w:t>
      </w:r>
      <w:r w:rsidRPr="006964C9">
        <w:rPr>
          <w:rFonts w:cs="AdvPTimes"/>
          <w:kern w:val="0"/>
          <w:sz w:val="24"/>
          <w:szCs w:val="24"/>
        </w:rPr>
        <w:t>des-</w:t>
      </w:r>
      <w:r w:rsidRPr="006964C9">
        <w:rPr>
          <w:rFonts w:cs="AdvPSMP10"/>
          <w:kern w:val="0"/>
          <w:sz w:val="24"/>
          <w:szCs w:val="24"/>
        </w:rPr>
        <w:t>c</w:t>
      </w:r>
      <w:r w:rsidRPr="006964C9">
        <w:rPr>
          <w:rFonts w:cs="AdvPTimes"/>
          <w:kern w:val="0"/>
          <w:sz w:val="24"/>
          <w:szCs w:val="24"/>
        </w:rPr>
        <w:t>arboxy prothrombin [DCP])</w:t>
      </w:r>
      <w:r w:rsidRPr="006964C9">
        <w:rPr>
          <w:rFonts w:eastAsia="Lato-Regular" w:cs="Lato-Regular"/>
          <w:kern w:val="0"/>
          <w:sz w:val="24"/>
          <w:szCs w:val="24"/>
        </w:rPr>
        <w:t xml:space="preserve"> for HCC surveillance every 3 to 6 months according to </w:t>
      </w:r>
      <w:r w:rsidR="00054CB6" w:rsidRPr="006964C9">
        <w:rPr>
          <w:rFonts w:eastAsia="Lato-Regular" w:cs="Lato-Regular"/>
          <w:kern w:val="0"/>
          <w:sz w:val="24"/>
          <w:szCs w:val="24"/>
        </w:rPr>
        <w:t xml:space="preserve">the </w:t>
      </w:r>
      <w:r w:rsidRPr="006964C9">
        <w:rPr>
          <w:rFonts w:eastAsia="Lato-Regular" w:cs="Lato-Regular"/>
          <w:kern w:val="0"/>
          <w:sz w:val="24"/>
          <w:szCs w:val="24"/>
        </w:rPr>
        <w:t>Japanese HCC guideline</w:t>
      </w:r>
      <w:r w:rsidR="00E66C3B" w:rsidRPr="006964C9">
        <w:rPr>
          <w:rFonts w:eastAsia="Lato-Regular" w:cs="Lato-Regular"/>
          <w:kern w:val="0"/>
          <w:sz w:val="24"/>
          <w:szCs w:val="24"/>
        </w:rPr>
        <w:t>s</w:t>
      </w:r>
      <w:r w:rsidRPr="006964C9">
        <w:rPr>
          <w:rFonts w:eastAsia="Lato-Regular" w:cs="Lato-Regular"/>
          <w:kern w:val="0"/>
          <w:sz w:val="24"/>
          <w:szCs w:val="24"/>
        </w:rPr>
        <w:t xml:space="preserve"> [19]. Gd-EOB-MRI examination was repeated every 6 to 9 months in patients in whom NHHNs </w:t>
      </w:r>
      <w:r w:rsidR="00E66C3B" w:rsidRPr="006964C9">
        <w:rPr>
          <w:rFonts w:eastAsia="Lato-Regular" w:cs="Lato-Regular"/>
          <w:kern w:val="0"/>
          <w:sz w:val="24"/>
          <w:szCs w:val="24"/>
        </w:rPr>
        <w:t xml:space="preserve">were detected during </w:t>
      </w:r>
      <w:r w:rsidRPr="006964C9">
        <w:rPr>
          <w:rFonts w:eastAsia="Lato-Regular" w:cs="Lato-Regular"/>
          <w:kern w:val="0"/>
          <w:sz w:val="24"/>
          <w:szCs w:val="24"/>
        </w:rPr>
        <w:t xml:space="preserve">the HPB of Gd-EOB-MRI at baseline or during </w:t>
      </w:r>
      <w:r w:rsidR="00E66C3B" w:rsidRPr="006964C9">
        <w:rPr>
          <w:rFonts w:eastAsia="Lato-Regular" w:cs="Lato-Regular"/>
          <w:kern w:val="0"/>
          <w:sz w:val="24"/>
          <w:szCs w:val="24"/>
        </w:rPr>
        <w:t xml:space="preserve">the </w:t>
      </w:r>
      <w:r w:rsidRPr="006964C9">
        <w:rPr>
          <w:rFonts w:eastAsia="Lato-Regular" w:cs="Lato-Regular"/>
          <w:kern w:val="0"/>
          <w:sz w:val="24"/>
          <w:szCs w:val="24"/>
        </w:rPr>
        <w:t>follow-up period. In patients without NHHNs at baseline, Gd-EOB</w:t>
      </w:r>
      <w:r w:rsidRPr="006964C9">
        <w:rPr>
          <w:rFonts w:eastAsia="MS Mincho" w:cs="MS Mincho"/>
          <w:kern w:val="0"/>
          <w:sz w:val="24"/>
          <w:szCs w:val="24"/>
        </w:rPr>
        <w:t>-</w:t>
      </w:r>
      <w:r w:rsidRPr="006964C9">
        <w:rPr>
          <w:rFonts w:eastAsia="Lato-Regular" w:cs="Lato-Regular"/>
          <w:kern w:val="0"/>
          <w:sz w:val="24"/>
          <w:szCs w:val="24"/>
        </w:rPr>
        <w:t>MRI examination was repeated every 12 to 24</w:t>
      </w:r>
      <w:r w:rsidR="00E66C3B" w:rsidRPr="006964C9">
        <w:rPr>
          <w:rFonts w:eastAsia="Lato-Regular" w:cs="Lato-Regular"/>
          <w:kern w:val="0"/>
          <w:sz w:val="24"/>
          <w:szCs w:val="24"/>
        </w:rPr>
        <w:t xml:space="preserve"> </w:t>
      </w:r>
      <w:r w:rsidRPr="006964C9">
        <w:rPr>
          <w:rFonts w:eastAsia="Lato-Regular" w:cs="Lato-Regular"/>
          <w:kern w:val="0"/>
          <w:sz w:val="24"/>
          <w:szCs w:val="24"/>
        </w:rPr>
        <w:t>months</w:t>
      </w:r>
      <w:r w:rsidR="00E66C3B" w:rsidRPr="006964C9">
        <w:rPr>
          <w:rFonts w:eastAsia="Lato-Regular" w:cs="Lato-Regular"/>
          <w:kern w:val="0"/>
          <w:sz w:val="24"/>
          <w:szCs w:val="24"/>
        </w:rPr>
        <w:t>,</w:t>
      </w:r>
      <w:r w:rsidRPr="006964C9">
        <w:rPr>
          <w:rFonts w:eastAsia="Lato-Regular" w:cs="Lato-Regular"/>
          <w:kern w:val="0"/>
          <w:sz w:val="24"/>
          <w:szCs w:val="24"/>
        </w:rPr>
        <w:t xml:space="preserve"> in addition to routine surveillance ultrasonography and tumor marker</w:t>
      </w:r>
      <w:r w:rsidR="00E66C3B" w:rsidRPr="006964C9">
        <w:rPr>
          <w:rFonts w:eastAsia="Lato-Regular" w:cs="Lato-Regular"/>
          <w:kern w:val="0"/>
          <w:sz w:val="24"/>
          <w:szCs w:val="24"/>
        </w:rPr>
        <w:t xml:space="preserve"> evaluation</w:t>
      </w:r>
      <w:r w:rsidRPr="006964C9">
        <w:rPr>
          <w:rFonts w:eastAsia="Lato-Regular" w:cs="Lato-Regular"/>
          <w:kern w:val="0"/>
          <w:sz w:val="24"/>
          <w:szCs w:val="24"/>
        </w:rPr>
        <w:t>.</w:t>
      </w:r>
      <w:r w:rsidRPr="006964C9">
        <w:rPr>
          <w:rFonts w:cs="AdvPTimes"/>
          <w:color w:val="000000"/>
          <w:kern w:val="0"/>
          <w:sz w:val="24"/>
          <w:szCs w:val="24"/>
        </w:rPr>
        <w:t xml:space="preserve"> </w:t>
      </w:r>
      <w:r w:rsidRPr="006964C9">
        <w:rPr>
          <w:rFonts w:cs="WnhcpkAdvPTimes"/>
          <w:color w:val="000000"/>
          <w:kern w:val="0"/>
          <w:sz w:val="24"/>
          <w:szCs w:val="24"/>
        </w:rPr>
        <w:t xml:space="preserve">The FIB-4 </w:t>
      </w:r>
      <w:r w:rsidR="00E66C3B" w:rsidRPr="006964C9">
        <w:rPr>
          <w:rFonts w:cs="WnhcpkAdvPTimes"/>
          <w:color w:val="000000"/>
          <w:kern w:val="0"/>
          <w:sz w:val="24"/>
          <w:szCs w:val="24"/>
        </w:rPr>
        <w:t xml:space="preserve">index </w:t>
      </w:r>
      <w:r w:rsidRPr="006964C9">
        <w:rPr>
          <w:rFonts w:cs="WnhcpkAdvPTimes"/>
          <w:color w:val="000000"/>
          <w:kern w:val="0"/>
          <w:sz w:val="24"/>
          <w:szCs w:val="24"/>
        </w:rPr>
        <w:t xml:space="preserve">was calculated at the start of follow-up by the following formula: FIB-4 </w:t>
      </w:r>
      <w:r w:rsidRPr="006964C9">
        <w:rPr>
          <w:rFonts w:cs="JlsgqjAdvTir_symb"/>
          <w:color w:val="000000"/>
          <w:kern w:val="0"/>
          <w:sz w:val="24"/>
          <w:szCs w:val="24"/>
        </w:rPr>
        <w:t xml:space="preserve">= </w:t>
      </w:r>
      <w:r w:rsidRPr="006964C9">
        <w:rPr>
          <w:rFonts w:cs="WnhcpkAdvPTimes"/>
          <w:color w:val="000000"/>
          <w:kern w:val="0"/>
          <w:sz w:val="24"/>
          <w:szCs w:val="24"/>
        </w:rPr>
        <w:t xml:space="preserve">aspartate aminotransferase (AST) concentration (IU/L) </w:t>
      </w:r>
      <w:r w:rsidRPr="006964C9">
        <w:rPr>
          <w:rFonts w:cs="JlsgqjAdvTir_symb"/>
          <w:color w:val="000000"/>
          <w:kern w:val="0"/>
          <w:sz w:val="24"/>
          <w:szCs w:val="24"/>
        </w:rPr>
        <w:t xml:space="preserve">× </w:t>
      </w:r>
      <w:r w:rsidRPr="006964C9">
        <w:rPr>
          <w:rFonts w:cs="WnhcpkAdvPTimes"/>
          <w:color w:val="000000"/>
          <w:kern w:val="0"/>
          <w:sz w:val="24"/>
          <w:szCs w:val="24"/>
        </w:rPr>
        <w:t>age (years)</w:t>
      </w:r>
      <w:r w:rsidR="00D258E8" w:rsidRPr="006964C9">
        <w:rPr>
          <w:rFonts w:cs="WnhcpkAdvPTimes"/>
          <w:color w:val="000000"/>
          <w:kern w:val="0"/>
          <w:sz w:val="24"/>
          <w:szCs w:val="24"/>
        </w:rPr>
        <w:t xml:space="preserve"> </w:t>
      </w:r>
      <w:r w:rsidRPr="006964C9">
        <w:rPr>
          <w:rFonts w:cs="WnhcpkAdvPTimes"/>
          <w:color w:val="000000"/>
          <w:kern w:val="0"/>
          <w:sz w:val="24"/>
          <w:szCs w:val="24"/>
        </w:rPr>
        <w:t>/</w:t>
      </w:r>
      <w:r w:rsidR="00D258E8" w:rsidRPr="006964C9">
        <w:rPr>
          <w:rFonts w:cs="WnhcpkAdvPTimes"/>
          <w:color w:val="000000"/>
          <w:kern w:val="0"/>
          <w:sz w:val="24"/>
          <w:szCs w:val="24"/>
        </w:rPr>
        <w:t xml:space="preserve"> </w:t>
      </w:r>
      <w:r w:rsidR="00E45045">
        <w:rPr>
          <w:rFonts w:cs="WnhcpkAdvPTimes"/>
          <w:color w:val="000000"/>
          <w:kern w:val="0"/>
          <w:sz w:val="24"/>
          <w:szCs w:val="24"/>
        </w:rPr>
        <w:t>(</w:t>
      </w:r>
      <w:r w:rsidRPr="006964C9">
        <w:rPr>
          <w:rFonts w:cs="WnhcpkAdvPTimes"/>
          <w:color w:val="000000"/>
          <w:kern w:val="0"/>
          <w:sz w:val="24"/>
          <w:szCs w:val="24"/>
        </w:rPr>
        <w:t xml:space="preserve">platelet count </w:t>
      </w:r>
      <w:r w:rsidR="00E45045">
        <w:rPr>
          <w:rFonts w:cs="WnhcpkAdvPTimes"/>
          <w:color w:val="000000"/>
          <w:kern w:val="0"/>
          <w:sz w:val="24"/>
          <w:szCs w:val="24"/>
        </w:rPr>
        <w:t>[</w:t>
      </w:r>
      <w:r w:rsidRPr="006964C9">
        <w:rPr>
          <w:rFonts w:cs="WnhcpkAdvPTimes"/>
          <w:color w:val="000000"/>
          <w:kern w:val="0"/>
          <w:sz w:val="24"/>
          <w:szCs w:val="24"/>
        </w:rPr>
        <w:t>10</w:t>
      </w:r>
      <w:r w:rsidRPr="006964C9">
        <w:rPr>
          <w:rFonts w:cs="WnhcpkAdvPTimes"/>
          <w:color w:val="000000"/>
          <w:kern w:val="0"/>
          <w:sz w:val="24"/>
          <w:szCs w:val="24"/>
          <w:vertAlign w:val="superscript"/>
        </w:rPr>
        <w:t>9</w:t>
      </w:r>
      <w:r w:rsidRPr="006964C9">
        <w:rPr>
          <w:rFonts w:cs="WnhcpkAdvPTimes"/>
          <w:color w:val="000000"/>
          <w:kern w:val="0"/>
          <w:sz w:val="24"/>
          <w:szCs w:val="24"/>
        </w:rPr>
        <w:t>/L</w:t>
      </w:r>
      <w:r w:rsidR="00E45045">
        <w:rPr>
          <w:rFonts w:cs="WnhcpkAdvPTimes"/>
          <w:color w:val="000000"/>
          <w:kern w:val="0"/>
          <w:sz w:val="24"/>
          <w:szCs w:val="24"/>
        </w:rPr>
        <w:t>]</w:t>
      </w:r>
      <w:r w:rsidRPr="006964C9">
        <w:rPr>
          <w:rFonts w:cs="WnhcpkAdvPTimes"/>
          <w:color w:val="000000"/>
          <w:kern w:val="0"/>
          <w:sz w:val="24"/>
          <w:szCs w:val="24"/>
        </w:rPr>
        <w:t xml:space="preserve"> </w:t>
      </w:r>
      <w:r w:rsidRPr="006964C9">
        <w:rPr>
          <w:rFonts w:cs="JlsgqjAdvTir_symb"/>
          <w:color w:val="000000"/>
          <w:kern w:val="0"/>
          <w:sz w:val="24"/>
          <w:szCs w:val="24"/>
        </w:rPr>
        <w:t>×</w:t>
      </w:r>
      <w:r w:rsidR="00E45045">
        <w:rPr>
          <w:rFonts w:cs="WnhcpkAdvPTimes"/>
          <w:color w:val="000000"/>
          <w:kern w:val="0"/>
          <w:sz w:val="24"/>
          <w:szCs w:val="24"/>
        </w:rPr>
        <w:t xml:space="preserve"> </w:t>
      </w:r>
      <w:r w:rsidR="006B3F82" w:rsidRPr="006964C9">
        <w:rPr>
          <w:color w:val="231F20"/>
          <w:sz w:val="24"/>
          <w:szCs w:val="24"/>
        </w:rPr>
        <w:t>alanine aminotransferase</w:t>
      </w:r>
      <w:r w:rsidR="006B3F82" w:rsidRPr="006964C9">
        <w:rPr>
          <w:rFonts w:cs="WnhcpkAdvPTimes"/>
          <w:color w:val="000000"/>
          <w:kern w:val="0"/>
          <w:sz w:val="24"/>
          <w:szCs w:val="24"/>
        </w:rPr>
        <w:t xml:space="preserve"> </w:t>
      </w:r>
      <w:r w:rsidR="006B3F82" w:rsidRPr="006964C9">
        <w:rPr>
          <w:rFonts w:cs="WnhcpkAdvPTimes" w:hint="eastAsia"/>
          <w:color w:val="000000"/>
          <w:kern w:val="0"/>
          <w:sz w:val="24"/>
          <w:szCs w:val="24"/>
        </w:rPr>
        <w:t>[</w:t>
      </w:r>
      <w:r w:rsidRPr="006964C9">
        <w:rPr>
          <w:rFonts w:cs="WnhcpkAdvPTimes"/>
          <w:color w:val="000000"/>
          <w:kern w:val="0"/>
          <w:sz w:val="24"/>
          <w:szCs w:val="24"/>
        </w:rPr>
        <w:t>ALT</w:t>
      </w:r>
      <w:r w:rsidR="006B3F82" w:rsidRPr="006964C9">
        <w:rPr>
          <w:rFonts w:cs="WnhcpkAdvPTimes"/>
          <w:color w:val="000000"/>
          <w:kern w:val="0"/>
          <w:sz w:val="24"/>
          <w:szCs w:val="24"/>
        </w:rPr>
        <w:t>]</w:t>
      </w:r>
      <w:r w:rsidRPr="006964C9">
        <w:rPr>
          <w:rFonts w:cs="WnhcpkAdvPTimes"/>
          <w:color w:val="000000"/>
          <w:kern w:val="0"/>
          <w:sz w:val="24"/>
          <w:szCs w:val="24"/>
        </w:rPr>
        <w:t xml:space="preserve"> concentration</w:t>
      </w:r>
      <w:r w:rsidRPr="006964C9">
        <w:rPr>
          <w:rFonts w:cs="WnhcpkAdvPTimes"/>
          <w:color w:val="000000"/>
          <w:kern w:val="0"/>
          <w:sz w:val="24"/>
          <w:szCs w:val="24"/>
          <w:vertAlign w:val="superscript"/>
        </w:rPr>
        <w:t>1/2</w:t>
      </w:r>
      <w:r w:rsidR="00E45045">
        <w:rPr>
          <w:rFonts w:cs="WnhcpkAdvPTimes"/>
          <w:color w:val="000000"/>
          <w:kern w:val="0"/>
          <w:sz w:val="24"/>
          <w:szCs w:val="24"/>
          <w:vertAlign w:val="superscript"/>
        </w:rPr>
        <w:t xml:space="preserve"> </w:t>
      </w:r>
      <w:r w:rsidR="00E45045" w:rsidRPr="006964C9">
        <w:rPr>
          <w:rFonts w:cs="WnhcpkAdvPTimes" w:hint="eastAsia"/>
          <w:color w:val="000000"/>
          <w:kern w:val="0"/>
          <w:sz w:val="24"/>
          <w:szCs w:val="24"/>
        </w:rPr>
        <w:t>[</w:t>
      </w:r>
      <w:r w:rsidR="00E45045">
        <w:rPr>
          <w:rFonts w:cs="WnhcpkAdvPTimes"/>
          <w:color w:val="000000"/>
          <w:kern w:val="0"/>
          <w:sz w:val="24"/>
          <w:szCs w:val="24"/>
        </w:rPr>
        <w:t>IU/L]</w:t>
      </w:r>
      <w:r w:rsidR="00E45045" w:rsidRPr="006964C9">
        <w:rPr>
          <w:rFonts w:cs="WnhcpkAdvPTimes"/>
          <w:color w:val="000000"/>
          <w:kern w:val="0"/>
          <w:sz w:val="24"/>
          <w:szCs w:val="24"/>
        </w:rPr>
        <w:t xml:space="preserve">) </w:t>
      </w:r>
      <w:r w:rsidRPr="006964C9">
        <w:rPr>
          <w:rFonts w:cs="WnhcpkAdvPTimes"/>
          <w:color w:val="000000"/>
          <w:kern w:val="0"/>
          <w:sz w:val="24"/>
          <w:szCs w:val="24"/>
        </w:rPr>
        <w:t xml:space="preserve">[20]. We used previously published cut-off values for the FIB-4. </w:t>
      </w:r>
      <w:r w:rsidR="00E66C3B" w:rsidRPr="006964C9">
        <w:rPr>
          <w:rFonts w:cs="WnhcpkAdvPTimes"/>
          <w:color w:val="000000"/>
          <w:kern w:val="0"/>
          <w:sz w:val="24"/>
          <w:szCs w:val="24"/>
        </w:rPr>
        <w:t xml:space="preserve">Patients with a </w:t>
      </w:r>
      <w:r w:rsidRPr="006964C9">
        <w:rPr>
          <w:rFonts w:cs="WnhcpkAdvPTimes"/>
          <w:color w:val="000000"/>
          <w:kern w:val="0"/>
          <w:sz w:val="24"/>
          <w:szCs w:val="24"/>
        </w:rPr>
        <w:t xml:space="preserve">FIB-4 </w:t>
      </w:r>
      <w:r w:rsidR="00052EE8" w:rsidRPr="006964C9">
        <w:rPr>
          <w:rFonts w:cs="WnhcpkAdvPTimes"/>
          <w:color w:val="000000"/>
          <w:kern w:val="0"/>
          <w:sz w:val="24"/>
          <w:szCs w:val="24"/>
        </w:rPr>
        <w:t>value</w:t>
      </w:r>
      <w:r w:rsidRPr="006964C9">
        <w:rPr>
          <w:rFonts w:cs="WnhcpkAdvPTimes"/>
          <w:color w:val="000000"/>
          <w:kern w:val="0"/>
          <w:sz w:val="24"/>
          <w:szCs w:val="24"/>
        </w:rPr>
        <w:t xml:space="preserve"> </w:t>
      </w:r>
      <w:r w:rsidR="00E66C3B" w:rsidRPr="006964C9">
        <w:rPr>
          <w:rFonts w:cs="WnhcpkAdvPTimes"/>
          <w:color w:val="000000"/>
          <w:kern w:val="0"/>
          <w:sz w:val="24"/>
          <w:szCs w:val="24"/>
        </w:rPr>
        <w:t xml:space="preserve">&lt;1.45 were </w:t>
      </w:r>
      <w:r w:rsidRPr="006964C9">
        <w:rPr>
          <w:rFonts w:cs="WnhcpkAdvPTimes"/>
          <w:color w:val="000000"/>
          <w:kern w:val="0"/>
          <w:sz w:val="24"/>
          <w:szCs w:val="24"/>
        </w:rPr>
        <w:t xml:space="preserve">classified </w:t>
      </w:r>
      <w:r w:rsidR="00E66C3B" w:rsidRPr="006964C9">
        <w:rPr>
          <w:rFonts w:cs="WnhcpkAdvPTimes"/>
          <w:color w:val="000000"/>
          <w:kern w:val="0"/>
          <w:sz w:val="24"/>
          <w:szCs w:val="24"/>
        </w:rPr>
        <w:t>having</w:t>
      </w:r>
      <w:r w:rsidRPr="006964C9">
        <w:rPr>
          <w:rFonts w:cs="WnhcpkAdvPTimes"/>
          <w:color w:val="000000"/>
          <w:kern w:val="0"/>
          <w:sz w:val="24"/>
          <w:szCs w:val="24"/>
        </w:rPr>
        <w:t xml:space="preserve"> no or moderate fibrosis</w:t>
      </w:r>
      <w:r w:rsidR="00E66C3B" w:rsidRPr="006964C9">
        <w:rPr>
          <w:rFonts w:cs="WnhcpkAdvPTimes"/>
          <w:color w:val="000000"/>
          <w:kern w:val="0"/>
          <w:sz w:val="24"/>
          <w:szCs w:val="24"/>
        </w:rPr>
        <w:t>, while those with a FIB-4 value &gt;3.25 were</w:t>
      </w:r>
      <w:r w:rsidR="009B5354" w:rsidRPr="006964C9">
        <w:rPr>
          <w:rFonts w:cs="WnhcpkAdvPTimes"/>
          <w:color w:val="000000"/>
          <w:kern w:val="0"/>
          <w:sz w:val="24"/>
          <w:szCs w:val="24"/>
        </w:rPr>
        <w:t xml:space="preserve"> defined as</w:t>
      </w:r>
      <w:r w:rsidRPr="006964C9">
        <w:rPr>
          <w:rFonts w:cs="WnhcpkAdvPTimes"/>
          <w:color w:val="000000"/>
          <w:kern w:val="0"/>
          <w:sz w:val="24"/>
          <w:szCs w:val="24"/>
        </w:rPr>
        <w:t xml:space="preserve"> </w:t>
      </w:r>
      <w:r w:rsidR="009B5354" w:rsidRPr="006964C9">
        <w:rPr>
          <w:rFonts w:cs="WnhcpkAdvPTimes"/>
          <w:color w:val="000000"/>
          <w:kern w:val="0"/>
          <w:sz w:val="24"/>
          <w:szCs w:val="24"/>
        </w:rPr>
        <w:t>having</w:t>
      </w:r>
      <w:r w:rsidRPr="006964C9">
        <w:rPr>
          <w:rFonts w:cs="WnhcpkAdvPTimes"/>
          <w:color w:val="000000"/>
          <w:kern w:val="0"/>
          <w:sz w:val="24"/>
          <w:szCs w:val="24"/>
        </w:rPr>
        <w:t xml:space="preserve"> extensive fibrosis or cirrhosis [21]. </w:t>
      </w:r>
      <w:r w:rsidRPr="006964C9">
        <w:rPr>
          <w:rFonts w:cs="AdvGulliv-R"/>
          <w:color w:val="000000"/>
          <w:kern w:val="0"/>
          <w:sz w:val="24"/>
          <w:szCs w:val="24"/>
        </w:rPr>
        <w:t xml:space="preserve">The </w:t>
      </w:r>
      <w:r w:rsidR="009B5354" w:rsidRPr="006964C9">
        <w:rPr>
          <w:rFonts w:cs="AdvGulliv-R"/>
          <w:color w:val="000000"/>
          <w:kern w:val="0"/>
          <w:sz w:val="24"/>
          <w:szCs w:val="24"/>
        </w:rPr>
        <w:t>albumin–bilirubin (</w:t>
      </w:r>
      <w:r w:rsidRPr="006964C9">
        <w:rPr>
          <w:rFonts w:cs="AdvGulliv-R"/>
          <w:color w:val="000000"/>
          <w:kern w:val="0"/>
          <w:sz w:val="24"/>
          <w:szCs w:val="24"/>
        </w:rPr>
        <w:t>ALBI</w:t>
      </w:r>
      <w:r w:rsidR="009B5354" w:rsidRPr="006964C9">
        <w:rPr>
          <w:rFonts w:cs="AdvGulliv-R"/>
          <w:color w:val="000000"/>
          <w:kern w:val="0"/>
          <w:sz w:val="24"/>
          <w:szCs w:val="24"/>
        </w:rPr>
        <w:t>)</w:t>
      </w:r>
      <w:r w:rsidRPr="006964C9">
        <w:rPr>
          <w:rFonts w:cs="AdvGulliv-R"/>
          <w:color w:val="000000"/>
          <w:kern w:val="0"/>
          <w:sz w:val="24"/>
          <w:szCs w:val="24"/>
        </w:rPr>
        <w:t xml:space="preserve"> grade was calculated using the following equation: linear predictor = (log</w:t>
      </w:r>
      <w:r w:rsidRPr="006964C9">
        <w:rPr>
          <w:rFonts w:cs="AdvGulliv-R"/>
          <w:color w:val="000000"/>
          <w:kern w:val="0"/>
          <w:sz w:val="24"/>
          <w:szCs w:val="24"/>
          <w:vertAlign w:val="subscript"/>
        </w:rPr>
        <w:t>10</w:t>
      </w:r>
      <w:r w:rsidRPr="006964C9">
        <w:rPr>
          <w:rFonts w:cs="AdvGulliv-R"/>
          <w:color w:val="000000"/>
          <w:kern w:val="0"/>
          <w:sz w:val="24"/>
          <w:szCs w:val="24"/>
        </w:rPr>
        <w:t xml:space="preserve"> bilirubin μmol/L </w:t>
      </w:r>
      <w:r w:rsidRPr="006964C9">
        <w:rPr>
          <w:rFonts w:cs="JlsgqjAdvTir_symb"/>
          <w:color w:val="000000"/>
          <w:kern w:val="0"/>
          <w:sz w:val="24"/>
          <w:szCs w:val="24"/>
        </w:rPr>
        <w:lastRenderedPageBreak/>
        <w:t>×</w:t>
      </w:r>
      <w:r w:rsidRPr="006964C9">
        <w:rPr>
          <w:rFonts w:eastAsia="AdvP4C4E74" w:cs="AdvP4C4E74"/>
          <w:color w:val="000000"/>
          <w:kern w:val="0"/>
          <w:sz w:val="24"/>
          <w:szCs w:val="24"/>
        </w:rPr>
        <w:t xml:space="preserve"> </w:t>
      </w:r>
      <w:r w:rsidRPr="006964C9">
        <w:rPr>
          <w:rFonts w:cs="AdvGulliv-R"/>
          <w:color w:val="000000"/>
          <w:kern w:val="0"/>
          <w:sz w:val="24"/>
          <w:szCs w:val="24"/>
        </w:rPr>
        <w:t xml:space="preserve">0.66) + (albumin/L </w:t>
      </w:r>
      <w:r w:rsidRPr="006964C9">
        <w:rPr>
          <w:rFonts w:cs="JlsgqjAdvTir_symb"/>
          <w:color w:val="000000"/>
          <w:kern w:val="0"/>
          <w:sz w:val="24"/>
          <w:szCs w:val="24"/>
        </w:rPr>
        <w:t xml:space="preserve">× </w:t>
      </w:r>
      <w:r w:rsidR="00C927E4" w:rsidRPr="006964C9">
        <w:rPr>
          <w:rFonts w:cs="JlsgqjAdvTir_symb"/>
          <w:color w:val="000000"/>
          <w:kern w:val="0"/>
          <w:sz w:val="24"/>
          <w:szCs w:val="24"/>
        </w:rPr>
        <w:t>−</w:t>
      </w:r>
      <w:r w:rsidRPr="006964C9">
        <w:rPr>
          <w:rFonts w:cs="AdvGulliv-R"/>
          <w:color w:val="000000"/>
          <w:kern w:val="0"/>
          <w:sz w:val="24"/>
          <w:szCs w:val="24"/>
        </w:rPr>
        <w:t>0.085) [22]. The continuous linear predictor was further categorized into three different grades for prognostic stratification purposes</w:t>
      </w:r>
      <w:r w:rsidR="009B5354" w:rsidRPr="006964C9">
        <w:rPr>
          <w:rFonts w:cs="AdvGulliv-R"/>
          <w:color w:val="000000"/>
          <w:kern w:val="0"/>
          <w:sz w:val="24"/>
          <w:szCs w:val="24"/>
        </w:rPr>
        <w:t>, as previously described</w:t>
      </w:r>
      <w:r w:rsidRPr="006964C9">
        <w:rPr>
          <w:rFonts w:cs="AdvGulliv-R"/>
          <w:color w:val="000000"/>
          <w:kern w:val="0"/>
          <w:sz w:val="24"/>
          <w:szCs w:val="24"/>
        </w:rPr>
        <w:t xml:space="preserve">: grade 1 (less than </w:t>
      </w:r>
      <w:r w:rsidR="000577C6" w:rsidRPr="006964C9">
        <w:rPr>
          <w:rFonts w:cs="JlsgqjAdvTir_symb"/>
          <w:color w:val="000000"/>
          <w:kern w:val="0"/>
          <w:sz w:val="24"/>
          <w:szCs w:val="24"/>
        </w:rPr>
        <w:t>−</w:t>
      </w:r>
      <w:r w:rsidRPr="006964C9">
        <w:rPr>
          <w:rFonts w:cs="AdvGulliv-R"/>
          <w:color w:val="000000"/>
          <w:kern w:val="0"/>
          <w:sz w:val="24"/>
          <w:szCs w:val="24"/>
        </w:rPr>
        <w:t xml:space="preserve">2.60), grade 2 (between </w:t>
      </w:r>
      <w:r w:rsidR="0093618E" w:rsidRPr="006964C9">
        <w:rPr>
          <w:rFonts w:cs="JlsgqjAdvTir_symb"/>
          <w:color w:val="000000"/>
          <w:kern w:val="0"/>
          <w:sz w:val="24"/>
          <w:szCs w:val="24"/>
        </w:rPr>
        <w:t>−</w:t>
      </w:r>
      <w:r w:rsidRPr="006964C9">
        <w:rPr>
          <w:rFonts w:cs="AdvGulliv-R"/>
          <w:color w:val="000000"/>
          <w:kern w:val="0"/>
          <w:sz w:val="24"/>
          <w:szCs w:val="24"/>
        </w:rPr>
        <w:t xml:space="preserve">2.60 and </w:t>
      </w:r>
      <w:r w:rsidR="0093618E" w:rsidRPr="006964C9">
        <w:rPr>
          <w:rFonts w:cs="JlsgqjAdvTir_symb"/>
          <w:color w:val="000000"/>
          <w:kern w:val="0"/>
          <w:sz w:val="24"/>
          <w:szCs w:val="24"/>
        </w:rPr>
        <w:t>−</w:t>
      </w:r>
      <w:r w:rsidRPr="006964C9">
        <w:rPr>
          <w:rFonts w:cs="AdvGulliv-R"/>
          <w:color w:val="000000"/>
          <w:kern w:val="0"/>
          <w:sz w:val="24"/>
          <w:szCs w:val="24"/>
        </w:rPr>
        <w:t>1.39)</w:t>
      </w:r>
      <w:r w:rsidR="009B5354" w:rsidRPr="006964C9">
        <w:rPr>
          <w:rFonts w:cs="AdvGulliv-R"/>
          <w:color w:val="000000"/>
          <w:kern w:val="0"/>
          <w:sz w:val="24"/>
          <w:szCs w:val="24"/>
        </w:rPr>
        <w:t>,</w:t>
      </w:r>
      <w:r w:rsidRPr="006964C9">
        <w:rPr>
          <w:rFonts w:cs="AdvGulliv-R"/>
          <w:color w:val="000000"/>
          <w:kern w:val="0"/>
          <w:sz w:val="24"/>
          <w:szCs w:val="24"/>
        </w:rPr>
        <w:t xml:space="preserve"> and grade 3 (above </w:t>
      </w:r>
      <w:r w:rsidR="00537B9F" w:rsidRPr="006964C9">
        <w:rPr>
          <w:rFonts w:cs="JlsgqjAdvTir_symb"/>
          <w:color w:val="000000"/>
          <w:kern w:val="0"/>
          <w:sz w:val="24"/>
          <w:szCs w:val="24"/>
        </w:rPr>
        <w:t>−</w:t>
      </w:r>
      <w:r w:rsidRPr="006964C9">
        <w:rPr>
          <w:rFonts w:cs="AdvGulliv-R"/>
          <w:color w:val="000000"/>
          <w:kern w:val="0"/>
          <w:sz w:val="24"/>
          <w:szCs w:val="24"/>
        </w:rPr>
        <w:t xml:space="preserve">1.39) [22]. </w:t>
      </w:r>
      <w:r w:rsidRPr="006964C9">
        <w:rPr>
          <w:rFonts w:cs="Arial"/>
          <w:sz w:val="24"/>
          <w:szCs w:val="24"/>
          <w:lang w:val="en"/>
        </w:rPr>
        <w:t>AFP</w:t>
      </w:r>
      <w:r w:rsidRPr="006964C9">
        <w:rPr>
          <w:rFonts w:cs="AdvP1491"/>
          <w:kern w:val="0"/>
          <w:sz w:val="24"/>
          <w:szCs w:val="24"/>
        </w:rPr>
        <w:t xml:space="preserve">, </w:t>
      </w:r>
      <w:r w:rsidRPr="006964C9">
        <w:rPr>
          <w:rFonts w:cs="Arial"/>
          <w:sz w:val="24"/>
          <w:szCs w:val="24"/>
        </w:rPr>
        <w:t xml:space="preserve">AFP-L3%, and DCP </w:t>
      </w:r>
      <w:r w:rsidRPr="006964C9">
        <w:rPr>
          <w:rFonts w:cs="AdvP1491"/>
          <w:kern w:val="0"/>
          <w:sz w:val="24"/>
          <w:szCs w:val="24"/>
        </w:rPr>
        <w:t xml:space="preserve">were all measured </w:t>
      </w:r>
      <w:r w:rsidR="009B5354" w:rsidRPr="006964C9">
        <w:rPr>
          <w:rFonts w:cs="AdvP1491"/>
          <w:kern w:val="0"/>
          <w:sz w:val="24"/>
          <w:szCs w:val="24"/>
        </w:rPr>
        <w:t xml:space="preserve">using </w:t>
      </w:r>
      <w:r w:rsidRPr="006964C9">
        <w:rPr>
          <w:rFonts w:cs="AdvP1491"/>
          <w:kern w:val="0"/>
          <w:sz w:val="24"/>
          <w:szCs w:val="24"/>
        </w:rPr>
        <w:t>the same serum sample</w:t>
      </w:r>
      <w:r w:rsidR="009B5354" w:rsidRPr="006964C9">
        <w:rPr>
          <w:rFonts w:cs="AdvP1491"/>
          <w:kern w:val="0"/>
          <w:sz w:val="24"/>
          <w:szCs w:val="24"/>
        </w:rPr>
        <w:t xml:space="preserve"> from each patient</w:t>
      </w:r>
      <w:r w:rsidRPr="006964C9">
        <w:rPr>
          <w:rFonts w:cs="AdvP1491"/>
          <w:kern w:val="0"/>
          <w:sz w:val="24"/>
          <w:szCs w:val="24"/>
        </w:rPr>
        <w:t xml:space="preserve">. The measurements of all three biomarkers were </w:t>
      </w:r>
      <w:r w:rsidR="009B5354" w:rsidRPr="006964C9">
        <w:rPr>
          <w:rFonts w:cs="AdvP1491"/>
          <w:kern w:val="0"/>
          <w:sz w:val="24"/>
          <w:szCs w:val="24"/>
        </w:rPr>
        <w:t xml:space="preserve">performed </w:t>
      </w:r>
      <w:r w:rsidRPr="006964C9">
        <w:rPr>
          <w:rFonts w:cs="AdvP1491"/>
          <w:kern w:val="0"/>
          <w:sz w:val="24"/>
          <w:szCs w:val="24"/>
        </w:rPr>
        <w:t xml:space="preserve">using a microchip capillary electrophoresis and liquid-phase binding assay on a </w:t>
      </w:r>
      <w:r w:rsidR="009B5354" w:rsidRPr="006964C9">
        <w:rPr>
          <w:rFonts w:cs="AdvP1491"/>
          <w:kern w:val="0"/>
          <w:sz w:val="24"/>
          <w:szCs w:val="24"/>
        </w:rPr>
        <w:t>µ</w:t>
      </w:r>
      <w:r w:rsidRPr="006964C9">
        <w:rPr>
          <w:rFonts w:cs="AdvP1491"/>
          <w:kern w:val="0"/>
          <w:sz w:val="24"/>
          <w:szCs w:val="24"/>
        </w:rPr>
        <w:t xml:space="preserve">TAS Wako i30 auto analyzer (Wako Pure Chemical </w:t>
      </w:r>
      <w:r w:rsidRPr="009E5603">
        <w:rPr>
          <w:rFonts w:cs="AdvP1491"/>
          <w:kern w:val="0"/>
          <w:sz w:val="24"/>
          <w:szCs w:val="24"/>
        </w:rPr>
        <w:t>Industries</w:t>
      </w:r>
      <w:r w:rsidR="00E45045" w:rsidRPr="009E5603">
        <w:rPr>
          <w:rFonts w:cs="AdvP1491"/>
          <w:kern w:val="0"/>
          <w:sz w:val="24"/>
          <w:szCs w:val="24"/>
        </w:rPr>
        <w:t xml:space="preserve">, </w:t>
      </w:r>
      <w:r w:rsidR="009E5603" w:rsidRPr="009E5603">
        <w:rPr>
          <w:rFonts w:cs="AdvPTimes"/>
          <w:kern w:val="0"/>
          <w:sz w:val="24"/>
          <w:szCs w:val="24"/>
        </w:rPr>
        <w:t>Osaka, Japan</w:t>
      </w:r>
      <w:r w:rsidRPr="009E5603">
        <w:rPr>
          <w:rFonts w:cs="AdvP1491"/>
          <w:kern w:val="0"/>
          <w:sz w:val="24"/>
          <w:szCs w:val="24"/>
        </w:rPr>
        <w:t>)</w:t>
      </w:r>
      <w:r w:rsidRPr="006964C9">
        <w:rPr>
          <w:rFonts w:cs="AdvP1491"/>
          <w:kern w:val="0"/>
          <w:sz w:val="24"/>
          <w:szCs w:val="24"/>
        </w:rPr>
        <w:t xml:space="preserve"> [23]. </w:t>
      </w:r>
    </w:p>
    <w:p w14:paraId="5A37C34A" w14:textId="57180DEF" w:rsidR="00C37D9F" w:rsidRPr="006964C9" w:rsidRDefault="00C37D9F" w:rsidP="00C37D9F">
      <w:pPr>
        <w:autoSpaceDE w:val="0"/>
        <w:autoSpaceDN w:val="0"/>
        <w:adjustRightInd w:val="0"/>
        <w:spacing w:line="480" w:lineRule="auto"/>
        <w:ind w:firstLine="840"/>
        <w:jc w:val="left"/>
        <w:rPr>
          <w:rFonts w:eastAsia="Lato-Regular" w:cs="Lato-Regular"/>
          <w:color w:val="000000"/>
          <w:kern w:val="0"/>
          <w:sz w:val="24"/>
          <w:szCs w:val="24"/>
        </w:rPr>
      </w:pPr>
      <w:r w:rsidRPr="006964C9">
        <w:rPr>
          <w:rFonts w:eastAsia="Lato-Regular" w:cs="Lato-Regular"/>
          <w:color w:val="000000"/>
          <w:kern w:val="0"/>
          <w:sz w:val="24"/>
          <w:szCs w:val="24"/>
        </w:rPr>
        <w:t>This prospective study was conducted after approval by the institutional review board of Ogaki Municipal Hospital and was carried out in compliance with the Helsinki Declaration. Written informed consent was obtained from all participa</w:t>
      </w:r>
      <w:r w:rsidR="009B5354" w:rsidRPr="006964C9">
        <w:rPr>
          <w:rFonts w:eastAsia="Lato-Regular" w:cs="Lato-Regular"/>
          <w:color w:val="000000"/>
          <w:kern w:val="0"/>
          <w:sz w:val="24"/>
          <w:szCs w:val="24"/>
        </w:rPr>
        <w:t>nts</w:t>
      </w:r>
      <w:r w:rsidRPr="006964C9">
        <w:rPr>
          <w:rFonts w:eastAsia="Lato-Regular" w:cs="Lato-Regular"/>
          <w:color w:val="000000"/>
          <w:kern w:val="0"/>
          <w:sz w:val="24"/>
          <w:szCs w:val="24"/>
        </w:rPr>
        <w:t>. This trial is registered with University Hospital Medical Information Network (UMIN) Center, number UMIN00001702.</w:t>
      </w:r>
    </w:p>
    <w:p w14:paraId="284BDD14" w14:textId="77777777" w:rsidR="00C37D9F" w:rsidRPr="006964C9" w:rsidRDefault="00C37D9F" w:rsidP="00C37D9F">
      <w:pPr>
        <w:autoSpaceDE w:val="0"/>
        <w:autoSpaceDN w:val="0"/>
        <w:adjustRightInd w:val="0"/>
        <w:spacing w:line="480" w:lineRule="auto"/>
        <w:jc w:val="left"/>
        <w:rPr>
          <w:rFonts w:eastAsia="Lato-Regular" w:cs="Lato-Regular"/>
          <w:b/>
          <w:kern w:val="0"/>
          <w:sz w:val="24"/>
          <w:szCs w:val="24"/>
        </w:rPr>
      </w:pPr>
      <w:r w:rsidRPr="006964C9">
        <w:rPr>
          <w:rFonts w:eastAsia="Lato-Regular" w:cs="Lato-Regular"/>
          <w:b/>
          <w:kern w:val="0"/>
          <w:sz w:val="24"/>
          <w:szCs w:val="24"/>
        </w:rPr>
        <w:t>Imaging Methods and Image Analysis</w:t>
      </w:r>
    </w:p>
    <w:p w14:paraId="016D1106" w14:textId="095D4B5E" w:rsidR="00C37D9F" w:rsidRPr="006964C9" w:rsidRDefault="00186504" w:rsidP="00C37D9F">
      <w:pPr>
        <w:autoSpaceDE w:val="0"/>
        <w:autoSpaceDN w:val="0"/>
        <w:adjustRightInd w:val="0"/>
        <w:spacing w:line="480" w:lineRule="auto"/>
        <w:ind w:firstLine="840"/>
        <w:jc w:val="left"/>
        <w:rPr>
          <w:rFonts w:eastAsia="Lato-Regular" w:cs="Lato-Regular"/>
          <w:color w:val="000000"/>
          <w:kern w:val="0"/>
          <w:sz w:val="24"/>
          <w:szCs w:val="24"/>
        </w:rPr>
      </w:pPr>
      <w:r w:rsidRPr="006964C9">
        <w:rPr>
          <w:rFonts w:eastAsia="Lato-Regular" w:cs="Lato-Regular"/>
          <w:color w:val="000000"/>
          <w:kern w:val="0"/>
          <w:sz w:val="24"/>
          <w:szCs w:val="24"/>
        </w:rPr>
        <w:t xml:space="preserve">Before March 2015, </w:t>
      </w:r>
      <w:r w:rsidR="00C37D9F" w:rsidRPr="006964C9">
        <w:rPr>
          <w:rFonts w:eastAsia="Lato-Regular" w:cs="Lato-Regular"/>
          <w:color w:val="000000"/>
          <w:kern w:val="0"/>
          <w:sz w:val="24"/>
          <w:szCs w:val="24"/>
        </w:rPr>
        <w:t>MRI was performed with a 1.5-T whole-body MRI system (Intera Achieva 1.5 T Nova</w:t>
      </w:r>
      <w:r w:rsidR="000469B9" w:rsidRPr="006964C9">
        <w:rPr>
          <w:rFonts w:eastAsia="Lato-Regular" w:cs="Lato-Regular"/>
          <w:color w:val="000000"/>
          <w:kern w:val="0"/>
          <w:sz w:val="24"/>
          <w:szCs w:val="24"/>
        </w:rPr>
        <w:t>;</w:t>
      </w:r>
      <w:r w:rsidR="00C37D9F" w:rsidRPr="006964C9">
        <w:rPr>
          <w:rFonts w:eastAsia="Lato-Regular" w:cs="Lato-Regular"/>
          <w:color w:val="000000"/>
          <w:kern w:val="0"/>
          <w:sz w:val="24"/>
          <w:szCs w:val="24"/>
        </w:rPr>
        <w:t xml:space="preserve"> Philips Healthcare, </w:t>
      </w:r>
      <w:r w:rsidR="00C37D9F" w:rsidRPr="006964C9">
        <w:rPr>
          <w:rFonts w:eastAsia="Lato-Regular" w:cs="Lato-Regular"/>
          <w:kern w:val="0"/>
          <w:sz w:val="24"/>
          <w:szCs w:val="24"/>
        </w:rPr>
        <w:t>Tokyo, Japan</w:t>
      </w:r>
      <w:r w:rsidR="00C37D9F" w:rsidRPr="006964C9">
        <w:rPr>
          <w:rFonts w:eastAsia="Lato-Regular" w:cs="Lato-Regular"/>
          <w:color w:val="000000"/>
          <w:kern w:val="0"/>
          <w:sz w:val="24"/>
          <w:szCs w:val="24"/>
        </w:rPr>
        <w:t xml:space="preserve">) with a phased-array body coil as the </w:t>
      </w:r>
      <w:r w:rsidR="00C37D9F" w:rsidRPr="006964C9">
        <w:rPr>
          <w:rFonts w:eastAsia="Lato-Regular" w:cs="Lato-Regular"/>
          <w:color w:val="000000"/>
          <w:kern w:val="0"/>
          <w:sz w:val="24"/>
          <w:szCs w:val="24"/>
        </w:rPr>
        <w:lastRenderedPageBreak/>
        <w:t>receiver coil. T1-weighted sequences were performed with a T1-weighted turbo field-echo in-phase and opposed-phase transverse sequence (opposed phase TE, 2.3; in-phase TE, 4.6; flip angle, 12°; matrix size, 256 × 512; scan percentage, 70; section thickness, 3.5 mm; intersection gap, 0 mm; field of view, 38 cm</w:t>
      </w:r>
      <w:r w:rsidR="00C37D9F" w:rsidRPr="006964C9">
        <w:rPr>
          <w:rFonts w:eastAsia="Lato-Regular" w:cs="Lato-Regular"/>
          <w:color w:val="000000"/>
          <w:kern w:val="0"/>
          <w:sz w:val="24"/>
          <w:szCs w:val="24"/>
          <w:vertAlign w:val="superscript"/>
        </w:rPr>
        <w:t>2</w:t>
      </w:r>
      <w:r w:rsidR="00C37D9F" w:rsidRPr="006964C9">
        <w:rPr>
          <w:rFonts w:eastAsia="Lato-Regular" w:cs="Lato-Regular"/>
          <w:color w:val="000000"/>
          <w:kern w:val="0"/>
          <w:sz w:val="24"/>
          <w:szCs w:val="24"/>
        </w:rPr>
        <w:t>). After IV injection of gadoxetate disodium (Primovist</w:t>
      </w:r>
      <w:r w:rsidR="000A5A4E" w:rsidRPr="006964C9">
        <w:rPr>
          <w:rFonts w:eastAsia="Lato-Regular" w:cs="Lato-Regular"/>
          <w:color w:val="000000"/>
          <w:kern w:val="0"/>
          <w:sz w:val="24"/>
          <w:szCs w:val="24"/>
        </w:rPr>
        <w:t>;</w:t>
      </w:r>
      <w:r w:rsidR="00C37D9F" w:rsidRPr="006964C9">
        <w:rPr>
          <w:rFonts w:eastAsia="Lato-Regular" w:cs="Lato-Regular"/>
          <w:color w:val="000000"/>
          <w:kern w:val="0"/>
          <w:sz w:val="24"/>
          <w:szCs w:val="24"/>
        </w:rPr>
        <w:t xml:space="preserve"> Bayer Schering Pharma), a T1-weighted transverse gradient-echo sequence was performed (high-resolution isotropic volume examination with spectral pre-saturation </w:t>
      </w:r>
      <w:r w:rsidRPr="006964C9">
        <w:rPr>
          <w:rFonts w:eastAsia="Lato-Regular" w:cs="Lato-Regular"/>
          <w:color w:val="000000"/>
          <w:kern w:val="0"/>
          <w:sz w:val="24"/>
          <w:szCs w:val="24"/>
        </w:rPr>
        <w:t xml:space="preserve">and </w:t>
      </w:r>
      <w:r w:rsidR="00C37D9F" w:rsidRPr="006964C9">
        <w:rPr>
          <w:rFonts w:eastAsia="Lato-Regular" w:cs="Lato-Regular"/>
          <w:color w:val="000000"/>
          <w:kern w:val="0"/>
          <w:sz w:val="24"/>
          <w:szCs w:val="24"/>
        </w:rPr>
        <w:t>inversion recovery; TR/TE, 4/1.8; flip angle, 12°; matrix size, 256 × 512; scan percentage, 78.54; section thickness, 3.5 mm; intersection gap, 0 mm; field of view, 38 cm</w:t>
      </w:r>
      <w:r w:rsidR="00C37D9F" w:rsidRPr="006964C9">
        <w:rPr>
          <w:rFonts w:eastAsia="Lato-Regular" w:cs="Lato-Regular"/>
          <w:color w:val="000000"/>
          <w:kern w:val="0"/>
          <w:sz w:val="24"/>
          <w:szCs w:val="24"/>
          <w:vertAlign w:val="superscript"/>
        </w:rPr>
        <w:t>2</w:t>
      </w:r>
      <w:r w:rsidR="00C37D9F" w:rsidRPr="006964C9">
        <w:rPr>
          <w:rFonts w:eastAsia="Lato-Regular" w:cs="Lato-Regular"/>
          <w:color w:val="000000"/>
          <w:kern w:val="0"/>
          <w:sz w:val="24"/>
          <w:szCs w:val="24"/>
        </w:rPr>
        <w:t xml:space="preserve">). </w:t>
      </w:r>
      <w:r w:rsidR="00C37D9F" w:rsidRPr="006964C9">
        <w:rPr>
          <w:rFonts w:eastAsia="Lato-Regular" w:cs="Lato-Regular"/>
          <w:kern w:val="0"/>
          <w:sz w:val="24"/>
          <w:szCs w:val="24"/>
        </w:rPr>
        <w:t xml:space="preserve">After April 2015, </w:t>
      </w:r>
      <w:r w:rsidRPr="006964C9">
        <w:rPr>
          <w:rFonts w:eastAsia="Lato-Regular" w:cs="Lato-Regular"/>
          <w:kern w:val="0"/>
          <w:sz w:val="24"/>
          <w:szCs w:val="24"/>
        </w:rPr>
        <w:t xml:space="preserve">a </w:t>
      </w:r>
      <w:r w:rsidR="00C37D9F" w:rsidRPr="006964C9">
        <w:rPr>
          <w:rFonts w:eastAsia="Lato-Regular" w:cs="Lato-Regular"/>
          <w:kern w:val="0"/>
          <w:sz w:val="24"/>
          <w:szCs w:val="24"/>
        </w:rPr>
        <w:t>3.0</w:t>
      </w:r>
      <w:r w:rsidR="00C37D9F" w:rsidRPr="006964C9">
        <w:rPr>
          <w:rFonts w:eastAsia="MS Mincho" w:cs="MS Mincho"/>
          <w:kern w:val="0"/>
          <w:sz w:val="24"/>
          <w:szCs w:val="24"/>
        </w:rPr>
        <w:t>-</w:t>
      </w:r>
      <w:r w:rsidR="00C37D9F" w:rsidRPr="006964C9">
        <w:rPr>
          <w:rFonts w:eastAsia="Lato-Regular" w:cs="Lato-Regular"/>
          <w:kern w:val="0"/>
          <w:sz w:val="24"/>
          <w:szCs w:val="24"/>
        </w:rPr>
        <w:t>T whole</w:t>
      </w:r>
      <w:r w:rsidR="00C37D9F" w:rsidRPr="006964C9">
        <w:rPr>
          <w:rFonts w:eastAsia="MS Mincho" w:cs="MS Mincho"/>
          <w:kern w:val="0"/>
          <w:sz w:val="24"/>
          <w:szCs w:val="24"/>
        </w:rPr>
        <w:t>-</w:t>
      </w:r>
      <w:r w:rsidR="00C37D9F" w:rsidRPr="006964C9">
        <w:rPr>
          <w:rFonts w:eastAsia="Lato-Regular" w:cs="Lato-Regular"/>
          <w:kern w:val="0"/>
          <w:sz w:val="24"/>
          <w:szCs w:val="24"/>
        </w:rPr>
        <w:t xml:space="preserve">body MRI system </w:t>
      </w:r>
      <w:r w:rsidRPr="006964C9">
        <w:rPr>
          <w:rFonts w:eastAsia="Lato-Regular" w:cs="Lato-Regular"/>
          <w:kern w:val="0"/>
          <w:sz w:val="24"/>
          <w:szCs w:val="24"/>
        </w:rPr>
        <w:t xml:space="preserve">was used </w:t>
      </w:r>
      <w:r w:rsidR="00C37D9F" w:rsidRPr="006964C9">
        <w:rPr>
          <w:rFonts w:eastAsia="Lato-Regular" w:cs="Lato-Regular"/>
          <w:kern w:val="0"/>
          <w:sz w:val="24"/>
          <w:szCs w:val="24"/>
        </w:rPr>
        <w:t>(Discovery MR 750 W 3.0 T; GE Healthcare Japan, Tokyo, Japan). T1-weighted sequences were performed with a T1-weighted turbo field-echo in-phase and opposed-phase transverse sequence (opposed phase TE, 1.0; in-phase TE, 2.0; flip angle, 15°; matrix size, 256 × 224; phase FOV, 0.9; section thickness, 3.0 mm; intersection gap, 0 mm; field of view, 36 cm</w:t>
      </w:r>
      <w:r w:rsidR="00C37D9F" w:rsidRPr="006964C9">
        <w:rPr>
          <w:rFonts w:eastAsia="Lato-Regular" w:cs="Lato-Regular"/>
          <w:kern w:val="0"/>
          <w:sz w:val="24"/>
          <w:szCs w:val="24"/>
          <w:vertAlign w:val="superscript"/>
        </w:rPr>
        <w:t>2</w:t>
      </w:r>
      <w:r w:rsidR="00C37D9F" w:rsidRPr="006964C9">
        <w:rPr>
          <w:rFonts w:eastAsia="Lato-Regular" w:cs="Lato-Regular"/>
          <w:kern w:val="0"/>
          <w:sz w:val="24"/>
          <w:szCs w:val="24"/>
        </w:rPr>
        <w:t xml:space="preserve">). After </w:t>
      </w:r>
      <w:r w:rsidR="00AF2212" w:rsidRPr="006964C9">
        <w:rPr>
          <w:rFonts w:eastAsia="Lato-Regular" w:cs="Lato-Regular"/>
          <w:kern w:val="0"/>
          <w:sz w:val="24"/>
          <w:szCs w:val="24"/>
        </w:rPr>
        <w:t>intravenous (</w:t>
      </w:r>
      <w:r w:rsidR="00C37D9F" w:rsidRPr="006964C9">
        <w:rPr>
          <w:rFonts w:eastAsia="Lato-Regular" w:cs="Lato-Regular"/>
          <w:kern w:val="0"/>
          <w:sz w:val="24"/>
          <w:szCs w:val="24"/>
        </w:rPr>
        <w:t>IV</w:t>
      </w:r>
      <w:r w:rsidR="00AF2212" w:rsidRPr="006964C9">
        <w:rPr>
          <w:rFonts w:eastAsia="Lato-Regular" w:cs="Lato-Regular"/>
          <w:kern w:val="0"/>
          <w:sz w:val="24"/>
          <w:szCs w:val="24"/>
        </w:rPr>
        <w:t>)</w:t>
      </w:r>
      <w:r w:rsidR="00C37D9F" w:rsidRPr="006964C9">
        <w:rPr>
          <w:rFonts w:eastAsia="Lato-Regular" w:cs="Lato-Regular"/>
          <w:kern w:val="0"/>
          <w:sz w:val="24"/>
          <w:szCs w:val="24"/>
        </w:rPr>
        <w:t xml:space="preserve"> injection of gadoxetate disodium, a T1-weighted transverse gradient-echo sequence was performed (LAVA-flex;</w:t>
      </w:r>
      <w:r w:rsidRPr="006964C9">
        <w:rPr>
          <w:rFonts w:eastAsia="Lato-Regular" w:cs="Lato-Regular"/>
          <w:kern w:val="0"/>
          <w:sz w:val="24"/>
          <w:szCs w:val="24"/>
        </w:rPr>
        <w:t xml:space="preserve"> a </w:t>
      </w:r>
      <w:r w:rsidR="00C37D9F" w:rsidRPr="006964C9">
        <w:rPr>
          <w:rFonts w:cs="Arial"/>
          <w:sz w:val="24"/>
          <w:szCs w:val="24"/>
        </w:rPr>
        <w:t xml:space="preserve">3D, FSPGR </w:t>
      </w:r>
      <w:r w:rsidR="00C37D9F" w:rsidRPr="006964C9">
        <w:rPr>
          <w:rFonts w:cs="Arial"/>
          <w:sz w:val="24"/>
          <w:szCs w:val="24"/>
        </w:rPr>
        <w:lastRenderedPageBreak/>
        <w:t xml:space="preserve">imaging technology that </w:t>
      </w:r>
      <w:r w:rsidRPr="006964C9">
        <w:rPr>
          <w:rFonts w:cs="Arial"/>
          <w:sz w:val="24"/>
          <w:szCs w:val="24"/>
        </w:rPr>
        <w:t xml:space="preserve">generates </w:t>
      </w:r>
      <w:r w:rsidR="00C37D9F" w:rsidRPr="006964C9">
        <w:rPr>
          <w:rFonts w:cs="Arial"/>
          <w:sz w:val="24"/>
          <w:szCs w:val="24"/>
        </w:rPr>
        <w:t>water</w:t>
      </w:r>
      <w:r w:rsidRPr="006964C9">
        <w:rPr>
          <w:rFonts w:cs="Arial"/>
          <w:sz w:val="24"/>
          <w:szCs w:val="24"/>
        </w:rPr>
        <w:t>-only</w:t>
      </w:r>
      <w:r w:rsidR="00C37D9F" w:rsidRPr="006964C9">
        <w:rPr>
          <w:rFonts w:cs="Arial"/>
          <w:sz w:val="24"/>
          <w:szCs w:val="24"/>
        </w:rPr>
        <w:t>, fat</w:t>
      </w:r>
      <w:r w:rsidRPr="006964C9">
        <w:rPr>
          <w:rFonts w:cs="Arial"/>
          <w:sz w:val="24"/>
          <w:szCs w:val="24"/>
        </w:rPr>
        <w:t>-</w:t>
      </w:r>
      <w:r w:rsidR="00C37D9F" w:rsidRPr="006964C9">
        <w:rPr>
          <w:rFonts w:cs="Arial"/>
          <w:sz w:val="24"/>
          <w:szCs w:val="24"/>
        </w:rPr>
        <w:t xml:space="preserve">only, </w:t>
      </w:r>
      <w:r w:rsidRPr="006964C9">
        <w:rPr>
          <w:rFonts w:cs="Arial"/>
          <w:sz w:val="24"/>
          <w:szCs w:val="24"/>
        </w:rPr>
        <w:t xml:space="preserve">and </w:t>
      </w:r>
      <w:r w:rsidR="00C37D9F" w:rsidRPr="006964C9">
        <w:rPr>
          <w:rFonts w:cs="Arial"/>
          <w:sz w:val="24"/>
          <w:szCs w:val="24"/>
        </w:rPr>
        <w:t>in-phase and out-of-phase echoes in a single acquisition</w:t>
      </w:r>
      <w:r w:rsidR="00C37D9F" w:rsidRPr="006964C9">
        <w:rPr>
          <w:rFonts w:eastAsia="Lato-Regular" w:cs="Lato-Regular"/>
          <w:kern w:val="0"/>
          <w:sz w:val="24"/>
          <w:szCs w:val="24"/>
        </w:rPr>
        <w:t>; TR/TE, 5/2; flip angle, 12°; matrix size, 224 × 320; phase FOV, 0.8; section thickness, 3.0 mm; intersection gap, 0 mm; field of view, 34 cm</w:t>
      </w:r>
      <w:r w:rsidR="00C37D9F" w:rsidRPr="006964C9">
        <w:rPr>
          <w:rFonts w:eastAsia="Lato-Regular" w:cs="Lato-Regular"/>
          <w:kern w:val="0"/>
          <w:sz w:val="24"/>
          <w:szCs w:val="24"/>
          <w:vertAlign w:val="superscript"/>
        </w:rPr>
        <w:t>2</w:t>
      </w:r>
      <w:r w:rsidR="00C37D9F" w:rsidRPr="006964C9">
        <w:rPr>
          <w:rFonts w:eastAsia="Lato-Regular" w:cs="Lato-Regular"/>
          <w:kern w:val="0"/>
          <w:sz w:val="24"/>
          <w:szCs w:val="24"/>
        </w:rPr>
        <w:t xml:space="preserve">). </w:t>
      </w:r>
      <w:r w:rsidR="00C37D9F" w:rsidRPr="006964C9">
        <w:rPr>
          <w:rFonts w:eastAsia="Lato-Regular" w:cs="Lato-Regular"/>
          <w:color w:val="000000"/>
          <w:kern w:val="0"/>
          <w:sz w:val="24"/>
          <w:szCs w:val="24"/>
        </w:rPr>
        <w:t xml:space="preserve">Gadoxetate disodium was administered </w:t>
      </w:r>
      <w:r w:rsidR="00AF2212" w:rsidRPr="006964C9">
        <w:rPr>
          <w:rFonts w:eastAsia="Lato-Regular" w:cs="Lato-Regular"/>
          <w:color w:val="000000"/>
          <w:kern w:val="0"/>
          <w:sz w:val="24"/>
          <w:szCs w:val="24"/>
        </w:rPr>
        <w:t xml:space="preserve">intravenously </w:t>
      </w:r>
      <w:r w:rsidR="00C37D9F" w:rsidRPr="006964C9">
        <w:rPr>
          <w:rFonts w:eastAsia="Lato-Regular" w:cs="Lato-Regular"/>
          <w:color w:val="000000"/>
          <w:kern w:val="0"/>
          <w:sz w:val="24"/>
          <w:szCs w:val="24"/>
        </w:rPr>
        <w:t xml:space="preserve">as a bolus at a rate of 2 mL/s (0.1 mL/kg; maximal dose, 10 mL) through a cubital IV line (20–22 gauge) </w:t>
      </w:r>
      <w:r w:rsidR="00AF2212" w:rsidRPr="006964C9">
        <w:rPr>
          <w:rFonts w:eastAsia="Lato-Regular" w:cs="Lato-Regular"/>
          <w:color w:val="000000"/>
          <w:kern w:val="0"/>
          <w:sz w:val="24"/>
          <w:szCs w:val="24"/>
        </w:rPr>
        <w:t xml:space="preserve">that </w:t>
      </w:r>
      <w:r w:rsidR="00C37D9F" w:rsidRPr="006964C9">
        <w:rPr>
          <w:rFonts w:eastAsia="Lato-Regular" w:cs="Lato-Regular"/>
          <w:color w:val="000000"/>
          <w:kern w:val="0"/>
          <w:sz w:val="24"/>
          <w:szCs w:val="24"/>
        </w:rPr>
        <w:t xml:space="preserve">was flushed with 20 mL of saline solution </w:t>
      </w:r>
      <w:r w:rsidR="009E5603">
        <w:rPr>
          <w:rFonts w:eastAsia="Lato-Regular" w:cs="Lato-Regular"/>
          <w:color w:val="000000"/>
          <w:kern w:val="0"/>
          <w:sz w:val="24"/>
          <w:szCs w:val="24"/>
        </w:rPr>
        <w:t>using</w:t>
      </w:r>
      <w:r w:rsidR="00C37D9F" w:rsidRPr="006964C9">
        <w:rPr>
          <w:rFonts w:eastAsia="Lato-Regular" w:cs="Lato-Regular"/>
          <w:color w:val="000000"/>
          <w:kern w:val="0"/>
          <w:sz w:val="24"/>
          <w:szCs w:val="24"/>
        </w:rPr>
        <w:t xml:space="preserve"> a power injector (Sonic Shot</w:t>
      </w:r>
      <w:r w:rsidR="00F005E5" w:rsidRPr="006964C9">
        <w:rPr>
          <w:rFonts w:eastAsia="Lato-Regular" w:cs="Lato-Regular"/>
          <w:color w:val="000000"/>
          <w:kern w:val="0"/>
          <w:sz w:val="24"/>
          <w:szCs w:val="24"/>
        </w:rPr>
        <w:t xml:space="preserve">; </w:t>
      </w:r>
      <w:r w:rsidR="00C37D9F" w:rsidRPr="006964C9">
        <w:rPr>
          <w:rFonts w:eastAsia="Lato-Regular" w:cs="Lato-Regular"/>
          <w:color w:val="000000"/>
          <w:kern w:val="0"/>
          <w:sz w:val="24"/>
          <w:szCs w:val="24"/>
        </w:rPr>
        <w:t>Nemoto Kyourindo).</w:t>
      </w:r>
    </w:p>
    <w:p w14:paraId="5032D4F7" w14:textId="7FAEBD0B" w:rsidR="00C37D9F" w:rsidRPr="006964C9" w:rsidRDefault="00C37D9F" w:rsidP="00C37D9F">
      <w:pPr>
        <w:autoSpaceDE w:val="0"/>
        <w:autoSpaceDN w:val="0"/>
        <w:adjustRightInd w:val="0"/>
        <w:spacing w:line="480" w:lineRule="auto"/>
        <w:ind w:firstLine="840"/>
        <w:jc w:val="left"/>
        <w:rPr>
          <w:rFonts w:eastAsia="Lato-Regular" w:cs="Lato-Regular"/>
          <w:color w:val="000000"/>
          <w:kern w:val="0"/>
          <w:sz w:val="24"/>
          <w:szCs w:val="24"/>
        </w:rPr>
      </w:pPr>
      <w:r w:rsidRPr="006964C9">
        <w:rPr>
          <w:rFonts w:eastAsia="Lato-Regular" w:cs="Lato-Regular"/>
          <w:color w:val="000000"/>
          <w:kern w:val="0"/>
          <w:sz w:val="24"/>
          <w:szCs w:val="24"/>
        </w:rPr>
        <w:t>One radiologist (Y.S.</w:t>
      </w:r>
      <w:r w:rsidR="00AF2212" w:rsidRPr="006964C9">
        <w:rPr>
          <w:rFonts w:eastAsia="Lato-Regular" w:cs="Lato-Regular"/>
          <w:color w:val="000000"/>
          <w:kern w:val="0"/>
          <w:sz w:val="24"/>
          <w:szCs w:val="24"/>
        </w:rPr>
        <w:t>,</w:t>
      </w:r>
      <w:r w:rsidRPr="006964C9">
        <w:rPr>
          <w:rFonts w:eastAsia="Lato-Regular" w:cs="Lato-Regular"/>
          <w:color w:val="000000"/>
          <w:kern w:val="0"/>
          <w:sz w:val="24"/>
          <w:szCs w:val="24"/>
        </w:rPr>
        <w:t xml:space="preserve"> with </w:t>
      </w:r>
      <w:r w:rsidR="006B3F82" w:rsidRPr="006964C9">
        <w:rPr>
          <w:rFonts w:eastAsia="Lato-Regular" w:cs="Lato-Regular"/>
          <w:color w:val="000000"/>
          <w:kern w:val="0"/>
          <w:sz w:val="24"/>
          <w:szCs w:val="24"/>
        </w:rPr>
        <w:t>25</w:t>
      </w:r>
      <w:r w:rsidRPr="006964C9">
        <w:rPr>
          <w:rFonts w:eastAsia="Lato-Regular" w:cs="Lato-Regular"/>
          <w:color w:val="000000"/>
          <w:kern w:val="0"/>
          <w:sz w:val="24"/>
          <w:szCs w:val="24"/>
        </w:rPr>
        <w:t xml:space="preserve"> years of experience) and one gastroenterologist specializing in hepatology (T.K.</w:t>
      </w:r>
      <w:r w:rsidR="00AF2212" w:rsidRPr="006964C9">
        <w:rPr>
          <w:rFonts w:eastAsia="Lato-Regular" w:cs="Lato-Regular"/>
          <w:color w:val="000000"/>
          <w:kern w:val="0"/>
          <w:sz w:val="24"/>
          <w:szCs w:val="24"/>
        </w:rPr>
        <w:t>,</w:t>
      </w:r>
      <w:r w:rsidRPr="006964C9">
        <w:rPr>
          <w:rFonts w:eastAsia="Lato-Regular" w:cs="Lato-Regular"/>
          <w:color w:val="000000"/>
          <w:kern w:val="0"/>
          <w:sz w:val="24"/>
          <w:szCs w:val="24"/>
        </w:rPr>
        <w:t xml:space="preserve"> with 30 years of experience) </w:t>
      </w:r>
      <w:r w:rsidRPr="006964C9">
        <w:rPr>
          <w:rFonts w:eastAsia="ATBasilia-Roman" w:cs="ATBasilia-Roman"/>
          <w:kern w:val="0"/>
          <w:sz w:val="24"/>
          <w:szCs w:val="24"/>
        </w:rPr>
        <w:t>reviewed images to</w:t>
      </w:r>
      <w:r w:rsidRPr="006964C9">
        <w:rPr>
          <w:rFonts w:eastAsia="ATBasilia-Roman" w:cs="ATBasilia-Roman" w:hint="eastAsia"/>
          <w:kern w:val="0"/>
          <w:sz w:val="24"/>
          <w:szCs w:val="24"/>
        </w:rPr>
        <w:t xml:space="preserve"> </w:t>
      </w:r>
      <w:r w:rsidRPr="006964C9">
        <w:rPr>
          <w:rFonts w:eastAsia="ATBasilia-Roman" w:cs="ATBasilia-Roman"/>
          <w:kern w:val="0"/>
          <w:sz w:val="24"/>
          <w:szCs w:val="24"/>
        </w:rPr>
        <w:t xml:space="preserve">detect hypovascular nodules and to diagnose subsequent hypervascularization </w:t>
      </w:r>
      <w:r w:rsidR="00AF2212" w:rsidRPr="006964C9">
        <w:rPr>
          <w:rFonts w:eastAsia="ATBasilia-Roman" w:cs="ATBasilia-Roman"/>
          <w:kern w:val="0"/>
          <w:sz w:val="24"/>
          <w:szCs w:val="24"/>
        </w:rPr>
        <w:t xml:space="preserve">by </w:t>
      </w:r>
      <w:r w:rsidRPr="006964C9">
        <w:rPr>
          <w:rFonts w:eastAsia="ATBasilia-Roman" w:cs="ATBasilia-Roman"/>
          <w:kern w:val="0"/>
          <w:sz w:val="24"/>
          <w:szCs w:val="24"/>
        </w:rPr>
        <w:t>consensus.</w:t>
      </w:r>
      <w:r w:rsidRPr="006964C9">
        <w:rPr>
          <w:rFonts w:eastAsia="Lato-Regular" w:cs="Lato-Regular"/>
          <w:color w:val="000000"/>
          <w:kern w:val="0"/>
          <w:sz w:val="24"/>
          <w:szCs w:val="24"/>
        </w:rPr>
        <w:t xml:space="preserve"> </w:t>
      </w:r>
      <w:r w:rsidRPr="006964C9">
        <w:rPr>
          <w:rFonts w:eastAsia="ATBasilia-Roman" w:cs="ATBasilia-Roman"/>
          <w:kern w:val="0"/>
          <w:sz w:val="24"/>
          <w:szCs w:val="24"/>
        </w:rPr>
        <w:t>A nodule</w:t>
      </w:r>
      <w:r w:rsidRPr="006964C9">
        <w:rPr>
          <w:rFonts w:eastAsia="ATBasilia-Roman" w:cs="ATBasilia-Roman" w:hint="eastAsia"/>
          <w:kern w:val="0"/>
          <w:sz w:val="24"/>
          <w:szCs w:val="24"/>
        </w:rPr>
        <w:t xml:space="preserve"> </w:t>
      </w:r>
      <w:r w:rsidRPr="006964C9">
        <w:rPr>
          <w:rFonts w:eastAsia="ATBasilia-Roman" w:cs="ATBasilia-Roman"/>
          <w:kern w:val="0"/>
          <w:sz w:val="24"/>
          <w:szCs w:val="24"/>
        </w:rPr>
        <w:t xml:space="preserve">was defined as </w:t>
      </w:r>
      <w:r w:rsidR="00AF2212" w:rsidRPr="006964C9">
        <w:rPr>
          <w:rFonts w:eastAsia="ATBasilia-Roman" w:cs="ATBasilia-Roman"/>
          <w:kern w:val="0"/>
          <w:sz w:val="24"/>
          <w:szCs w:val="24"/>
        </w:rPr>
        <w:t>hypovascular if</w:t>
      </w:r>
      <w:r w:rsidRPr="006964C9">
        <w:rPr>
          <w:rFonts w:eastAsia="ATBasilia-Roman" w:cs="ATBasilia-Roman"/>
          <w:kern w:val="0"/>
          <w:sz w:val="24"/>
          <w:szCs w:val="24"/>
        </w:rPr>
        <w:t xml:space="preserve"> </w:t>
      </w:r>
      <w:r w:rsidR="00D37378" w:rsidRPr="006964C9">
        <w:rPr>
          <w:rFonts w:eastAsia="ATBasilia-Roman" w:cs="ATBasilia-Roman"/>
          <w:kern w:val="0"/>
          <w:sz w:val="24"/>
          <w:szCs w:val="24"/>
        </w:rPr>
        <w:t>its entirety</w:t>
      </w:r>
      <w:r w:rsidRPr="006964C9">
        <w:rPr>
          <w:rFonts w:eastAsia="ATBasilia-Roman" w:cs="ATBasilia-Roman"/>
          <w:kern w:val="0"/>
          <w:sz w:val="24"/>
          <w:szCs w:val="24"/>
        </w:rPr>
        <w:t xml:space="preserve"> showed lower signal intensity</w:t>
      </w:r>
      <w:r w:rsidRPr="006964C9">
        <w:rPr>
          <w:rFonts w:eastAsia="ATBasilia-Roman" w:cs="ATBasilia-Roman" w:hint="eastAsia"/>
          <w:kern w:val="0"/>
          <w:sz w:val="24"/>
          <w:szCs w:val="24"/>
        </w:rPr>
        <w:t xml:space="preserve"> </w:t>
      </w:r>
      <w:r w:rsidRPr="006964C9">
        <w:rPr>
          <w:rFonts w:eastAsia="ATBasilia-Roman" w:cs="ATBasilia-Roman"/>
          <w:kern w:val="0"/>
          <w:sz w:val="24"/>
          <w:szCs w:val="24"/>
        </w:rPr>
        <w:t>than the surrounding liver parenchyma</w:t>
      </w:r>
      <w:r w:rsidRPr="006964C9">
        <w:rPr>
          <w:rFonts w:eastAsia="ATBasilia-Roman" w:cs="ATBasilia-Roman" w:hint="eastAsia"/>
          <w:kern w:val="0"/>
          <w:sz w:val="24"/>
          <w:szCs w:val="24"/>
        </w:rPr>
        <w:t xml:space="preserve"> </w:t>
      </w:r>
      <w:r w:rsidRPr="006964C9">
        <w:rPr>
          <w:rFonts w:eastAsia="ATBasilia-Roman" w:cs="ATBasilia-Roman"/>
          <w:kern w:val="0"/>
          <w:sz w:val="24"/>
          <w:szCs w:val="24"/>
        </w:rPr>
        <w:t>during the arterial phase of dynamic</w:t>
      </w:r>
      <w:r w:rsidRPr="006964C9">
        <w:rPr>
          <w:rFonts w:eastAsia="ATBasilia-Roman" w:cs="ATBasilia-Roman" w:hint="eastAsia"/>
          <w:kern w:val="0"/>
          <w:sz w:val="24"/>
          <w:szCs w:val="24"/>
        </w:rPr>
        <w:t xml:space="preserve"> </w:t>
      </w:r>
      <w:r w:rsidRPr="006964C9">
        <w:rPr>
          <w:rFonts w:eastAsia="ATBasilia-Roman" w:cs="ATBasilia-Roman"/>
          <w:kern w:val="0"/>
          <w:sz w:val="24"/>
          <w:szCs w:val="24"/>
        </w:rPr>
        <w:t xml:space="preserve">imaging </w:t>
      </w:r>
      <w:r w:rsidR="00D37378" w:rsidRPr="006964C9">
        <w:rPr>
          <w:rFonts w:eastAsia="ATBasilia-Roman" w:cs="ATBasilia-Roman"/>
          <w:kern w:val="0"/>
          <w:sz w:val="24"/>
          <w:szCs w:val="24"/>
        </w:rPr>
        <w:t xml:space="preserve">with </w:t>
      </w:r>
      <w:r w:rsidR="009E5603">
        <w:rPr>
          <w:rFonts w:eastAsia="ATBasilia-Roman" w:cs="ATBasilia-Roman"/>
          <w:kern w:val="0"/>
          <w:sz w:val="24"/>
          <w:szCs w:val="24"/>
        </w:rPr>
        <w:t>all</w:t>
      </w:r>
      <w:r w:rsidRPr="006964C9">
        <w:rPr>
          <w:rFonts w:eastAsia="ATBasilia-Roman" w:cs="ATBasilia-Roman"/>
          <w:kern w:val="0"/>
          <w:sz w:val="24"/>
          <w:szCs w:val="24"/>
        </w:rPr>
        <w:t xml:space="preserve"> of the available modalities</w:t>
      </w:r>
      <w:r w:rsidRPr="006964C9">
        <w:rPr>
          <w:rFonts w:eastAsia="ATBasilia-Roman" w:cs="ATBasilia-Roman" w:hint="eastAsia"/>
          <w:kern w:val="0"/>
          <w:sz w:val="24"/>
          <w:szCs w:val="24"/>
        </w:rPr>
        <w:t xml:space="preserve"> </w:t>
      </w:r>
      <w:r w:rsidRPr="006964C9">
        <w:rPr>
          <w:rFonts w:eastAsia="ATBasilia-Roman" w:cs="ATBasilia-Roman"/>
          <w:kern w:val="0"/>
          <w:sz w:val="24"/>
          <w:szCs w:val="24"/>
        </w:rPr>
        <w:t>(intravenous contrast</w:t>
      </w:r>
      <w:r w:rsidR="00D37378" w:rsidRPr="006964C9">
        <w:rPr>
          <w:rFonts w:eastAsia="ATBasilia-Roman" w:cs="ATBasilia-Roman"/>
          <w:kern w:val="0"/>
          <w:sz w:val="24"/>
          <w:szCs w:val="24"/>
        </w:rPr>
        <w:t>-</w:t>
      </w:r>
      <w:r w:rsidRPr="006964C9">
        <w:rPr>
          <w:rFonts w:eastAsia="ATBasilia-Roman" w:cs="ATBasilia-Roman"/>
          <w:kern w:val="0"/>
          <w:sz w:val="24"/>
          <w:szCs w:val="24"/>
        </w:rPr>
        <w:t>enhanced</w:t>
      </w:r>
      <w:r w:rsidRPr="006964C9">
        <w:rPr>
          <w:rFonts w:eastAsia="ATBasilia-Roman" w:cs="ATBasilia-Roman" w:hint="eastAsia"/>
          <w:kern w:val="0"/>
          <w:sz w:val="24"/>
          <w:szCs w:val="24"/>
        </w:rPr>
        <w:t xml:space="preserve"> </w:t>
      </w:r>
      <w:r w:rsidRPr="006964C9">
        <w:rPr>
          <w:rFonts w:eastAsia="ATBasilia-Roman" w:cs="ATBasilia-Roman"/>
          <w:kern w:val="0"/>
          <w:sz w:val="24"/>
          <w:szCs w:val="24"/>
        </w:rPr>
        <w:t>CT, CT hepatic arteriography</w:t>
      </w:r>
      <w:r w:rsidR="00D37378" w:rsidRPr="006964C9">
        <w:rPr>
          <w:rFonts w:eastAsia="ATBasilia-Roman" w:cs="ATBasilia-Roman"/>
          <w:kern w:val="0"/>
          <w:sz w:val="24"/>
          <w:szCs w:val="24"/>
        </w:rPr>
        <w:t>,</w:t>
      </w:r>
      <w:r w:rsidRPr="006964C9">
        <w:rPr>
          <w:rFonts w:eastAsia="ATBasilia-Roman" w:cs="ATBasilia-Roman" w:hint="eastAsia"/>
          <w:kern w:val="0"/>
          <w:sz w:val="24"/>
          <w:szCs w:val="24"/>
        </w:rPr>
        <w:t xml:space="preserve"> </w:t>
      </w:r>
      <w:r w:rsidRPr="006964C9">
        <w:rPr>
          <w:rFonts w:eastAsia="ATBasilia-Roman" w:cs="ATBasilia-Roman"/>
          <w:kern w:val="0"/>
          <w:sz w:val="24"/>
          <w:szCs w:val="24"/>
        </w:rPr>
        <w:t>and contrast-enhanced ultrasound) compared</w:t>
      </w:r>
      <w:r w:rsidRPr="006964C9">
        <w:rPr>
          <w:rFonts w:eastAsia="ATBasilia-Roman" w:cs="ATBasilia-Roman" w:hint="eastAsia"/>
          <w:kern w:val="0"/>
          <w:sz w:val="24"/>
          <w:szCs w:val="24"/>
        </w:rPr>
        <w:t xml:space="preserve"> </w:t>
      </w:r>
      <w:r w:rsidRPr="006964C9">
        <w:rPr>
          <w:rFonts w:eastAsia="ATBasilia-Roman" w:cs="ATBasilia-Roman"/>
          <w:kern w:val="0"/>
          <w:sz w:val="24"/>
          <w:szCs w:val="24"/>
        </w:rPr>
        <w:t>with the corresponding site on</w:t>
      </w:r>
      <w:r w:rsidRPr="006964C9">
        <w:rPr>
          <w:rFonts w:eastAsia="ATBasilia-Roman" w:cs="ATBasilia-Roman" w:hint="eastAsia"/>
          <w:kern w:val="0"/>
          <w:sz w:val="24"/>
          <w:szCs w:val="24"/>
        </w:rPr>
        <w:t xml:space="preserve"> </w:t>
      </w:r>
      <w:r w:rsidRPr="006964C9">
        <w:rPr>
          <w:rFonts w:eastAsia="ATBasilia-Roman" w:cs="ATBasilia-Roman"/>
          <w:kern w:val="0"/>
          <w:sz w:val="24"/>
          <w:szCs w:val="24"/>
        </w:rPr>
        <w:t xml:space="preserve">the unenhanced image. </w:t>
      </w:r>
      <w:r w:rsidR="00D37378" w:rsidRPr="006964C9">
        <w:rPr>
          <w:rFonts w:eastAsia="ATBasilia-Roman" w:cs="ATBasilia-Roman"/>
          <w:kern w:val="0"/>
          <w:sz w:val="24"/>
          <w:szCs w:val="24"/>
        </w:rPr>
        <w:t>A</w:t>
      </w:r>
      <w:r w:rsidRPr="006964C9">
        <w:rPr>
          <w:rFonts w:eastAsia="ATBasilia-Roman" w:cs="ATBasilia-Roman"/>
          <w:kern w:val="0"/>
          <w:sz w:val="24"/>
          <w:szCs w:val="24"/>
        </w:rPr>
        <w:t>rterial enhancement</w:t>
      </w:r>
      <w:r w:rsidRPr="006964C9">
        <w:rPr>
          <w:rFonts w:eastAsia="ATBasilia-Roman" w:cs="ATBasilia-Roman" w:hint="eastAsia"/>
          <w:kern w:val="0"/>
          <w:sz w:val="24"/>
          <w:szCs w:val="24"/>
        </w:rPr>
        <w:t xml:space="preserve"> </w:t>
      </w:r>
      <w:r w:rsidRPr="006964C9">
        <w:rPr>
          <w:rFonts w:eastAsia="ATBasilia-Roman" w:cs="ATBasilia-Roman"/>
          <w:kern w:val="0"/>
          <w:sz w:val="24"/>
          <w:szCs w:val="24"/>
        </w:rPr>
        <w:t>was assessed by means of visual</w:t>
      </w:r>
      <w:r w:rsidRPr="006964C9">
        <w:rPr>
          <w:rFonts w:eastAsia="ATBasilia-Roman" w:cs="ATBasilia-Roman" w:hint="eastAsia"/>
          <w:kern w:val="0"/>
          <w:sz w:val="24"/>
          <w:szCs w:val="24"/>
        </w:rPr>
        <w:t xml:space="preserve"> </w:t>
      </w:r>
      <w:r w:rsidRPr="006964C9">
        <w:rPr>
          <w:rFonts w:eastAsia="ATBasilia-Roman" w:cs="ATBasilia-Roman"/>
          <w:kern w:val="0"/>
          <w:sz w:val="24"/>
          <w:szCs w:val="24"/>
        </w:rPr>
        <w:t>inspection. In addition, the subjects</w:t>
      </w:r>
      <w:r w:rsidRPr="006964C9">
        <w:rPr>
          <w:rFonts w:eastAsia="ATBasilia-Roman" w:cs="ATBasilia-Roman" w:hint="eastAsia"/>
          <w:kern w:val="0"/>
          <w:sz w:val="24"/>
          <w:szCs w:val="24"/>
        </w:rPr>
        <w:t xml:space="preserve"> </w:t>
      </w:r>
      <w:r w:rsidRPr="006964C9">
        <w:rPr>
          <w:rFonts w:eastAsia="ATBasilia-Roman" w:cs="ATBasilia-Roman"/>
          <w:kern w:val="0"/>
          <w:sz w:val="24"/>
          <w:szCs w:val="24"/>
        </w:rPr>
        <w:t>were limited to those with round hypointense</w:t>
      </w:r>
      <w:r w:rsidRPr="006964C9">
        <w:rPr>
          <w:rFonts w:eastAsia="ATBasilia-Roman" w:cs="ATBasilia-Roman" w:hint="eastAsia"/>
          <w:kern w:val="0"/>
          <w:sz w:val="24"/>
          <w:szCs w:val="24"/>
        </w:rPr>
        <w:t xml:space="preserve"> </w:t>
      </w:r>
      <w:r w:rsidRPr="006964C9">
        <w:rPr>
          <w:rFonts w:eastAsia="ATBasilia-Roman" w:cs="ATBasilia-Roman"/>
          <w:kern w:val="0"/>
          <w:sz w:val="24"/>
          <w:szCs w:val="24"/>
        </w:rPr>
        <w:t xml:space="preserve">lesions </w:t>
      </w:r>
      <w:r w:rsidR="00A73181" w:rsidRPr="006964C9">
        <w:rPr>
          <w:rFonts w:eastAsia="ATBasilia-Roman" w:cs="ATBasilia-Roman"/>
          <w:kern w:val="0"/>
          <w:sz w:val="24"/>
          <w:szCs w:val="24"/>
        </w:rPr>
        <w:t xml:space="preserve">during the </w:t>
      </w:r>
      <w:r w:rsidRPr="006964C9">
        <w:rPr>
          <w:rFonts w:eastAsia="ATBasilia-Roman" w:cs="ATBasilia-Roman"/>
          <w:kern w:val="0"/>
          <w:sz w:val="24"/>
          <w:szCs w:val="24"/>
        </w:rPr>
        <w:t xml:space="preserve">HBP of </w:t>
      </w:r>
      <w:r w:rsidRPr="006964C9">
        <w:rPr>
          <w:rFonts w:eastAsia="Lato-Regular" w:cs="Lato-Regular"/>
          <w:kern w:val="0"/>
          <w:sz w:val="24"/>
          <w:szCs w:val="24"/>
        </w:rPr>
        <w:t>Gd-EOB-MRI</w:t>
      </w:r>
      <w:r w:rsidRPr="006964C9">
        <w:rPr>
          <w:rFonts w:eastAsia="ATBasilia-Roman" w:cs="ATBasilia-Roman"/>
          <w:kern w:val="0"/>
          <w:sz w:val="24"/>
          <w:szCs w:val="24"/>
        </w:rPr>
        <w:t>.</w:t>
      </w:r>
      <w:r w:rsidRPr="006964C9">
        <w:rPr>
          <w:rFonts w:eastAsia="ATBasilia-Roman" w:cs="ATBasilia-Roman" w:hint="eastAsia"/>
          <w:kern w:val="0"/>
          <w:sz w:val="24"/>
          <w:szCs w:val="24"/>
        </w:rPr>
        <w:t xml:space="preserve"> </w:t>
      </w:r>
      <w:r w:rsidR="00A73181" w:rsidRPr="006964C9">
        <w:rPr>
          <w:rFonts w:eastAsia="ATBasilia-Roman" w:cs="ATBasilia-Roman"/>
          <w:kern w:val="0"/>
          <w:sz w:val="24"/>
          <w:szCs w:val="24"/>
        </w:rPr>
        <w:t xml:space="preserve">Imaging </w:t>
      </w:r>
      <w:r w:rsidR="00A73181" w:rsidRPr="006964C9">
        <w:rPr>
          <w:rFonts w:eastAsia="ATBasilia-Roman" w:cs="ATBasilia-Roman"/>
          <w:kern w:val="0"/>
          <w:sz w:val="24"/>
          <w:szCs w:val="24"/>
        </w:rPr>
        <w:lastRenderedPageBreak/>
        <w:t>p</w:t>
      </w:r>
      <w:r w:rsidRPr="006964C9">
        <w:rPr>
          <w:rFonts w:eastAsia="ATBasilia-Roman" w:cs="ATBasilia-Roman"/>
          <w:kern w:val="0"/>
          <w:sz w:val="24"/>
          <w:szCs w:val="24"/>
        </w:rPr>
        <w:t xml:space="preserve">rocedures </w:t>
      </w:r>
      <w:r w:rsidR="00A73181" w:rsidRPr="006964C9">
        <w:rPr>
          <w:rFonts w:eastAsia="ATBasilia-Roman" w:cs="ATBasilia-Roman"/>
          <w:kern w:val="0"/>
          <w:sz w:val="24"/>
          <w:szCs w:val="24"/>
        </w:rPr>
        <w:t xml:space="preserve">with </w:t>
      </w:r>
      <w:r w:rsidRPr="006964C9">
        <w:rPr>
          <w:rFonts w:eastAsia="ATBasilia-Roman" w:cs="ATBasilia-Roman"/>
          <w:kern w:val="0"/>
          <w:sz w:val="24"/>
          <w:szCs w:val="24"/>
        </w:rPr>
        <w:t>all modalities were</w:t>
      </w:r>
      <w:r w:rsidRPr="006964C9">
        <w:rPr>
          <w:rFonts w:eastAsia="ATBasilia-Roman" w:cs="ATBasilia-Roman" w:hint="eastAsia"/>
          <w:kern w:val="0"/>
          <w:sz w:val="24"/>
          <w:szCs w:val="24"/>
        </w:rPr>
        <w:t xml:space="preserve"> </w:t>
      </w:r>
      <w:r w:rsidRPr="006964C9">
        <w:rPr>
          <w:rFonts w:eastAsia="ATBasilia-Roman" w:cs="ATBasilia-Roman"/>
          <w:kern w:val="0"/>
          <w:sz w:val="24"/>
          <w:szCs w:val="24"/>
        </w:rPr>
        <w:t xml:space="preserve">performed within </w:t>
      </w:r>
      <w:r w:rsidR="009C477C" w:rsidRPr="006964C9">
        <w:rPr>
          <w:rFonts w:eastAsia="ATBasilia-Roman" w:cs="ATBasilia-Roman"/>
          <w:kern w:val="0"/>
          <w:sz w:val="24"/>
          <w:szCs w:val="24"/>
        </w:rPr>
        <w:t xml:space="preserve">1 </w:t>
      </w:r>
      <w:r w:rsidRPr="006964C9">
        <w:rPr>
          <w:rFonts w:eastAsia="ATBasilia-Roman" w:cs="ATBasilia-Roman"/>
          <w:kern w:val="0"/>
          <w:sz w:val="24"/>
          <w:szCs w:val="24"/>
        </w:rPr>
        <w:t>month of each other.</w:t>
      </w:r>
      <w:r w:rsidRPr="006964C9">
        <w:rPr>
          <w:rFonts w:eastAsia="ATBasilia-Roman" w:cs="ATBasilia-Roman" w:hint="eastAsia"/>
          <w:kern w:val="0"/>
          <w:sz w:val="24"/>
          <w:szCs w:val="24"/>
        </w:rPr>
        <w:t xml:space="preserve"> </w:t>
      </w:r>
      <w:r w:rsidRPr="006964C9">
        <w:rPr>
          <w:rFonts w:eastAsia="ATBasilia-Roman" w:cs="ATBasilia-Roman"/>
          <w:kern w:val="0"/>
          <w:sz w:val="24"/>
          <w:szCs w:val="24"/>
        </w:rPr>
        <w:t xml:space="preserve">Nodules were excluded if they were </w:t>
      </w:r>
      <w:r w:rsidRPr="006964C9">
        <w:rPr>
          <w:rFonts w:eastAsia="ATBasilia-Roman" w:cs="ATBasilia-Italic"/>
          <w:iCs/>
          <w:kern w:val="0"/>
          <w:sz w:val="24"/>
          <w:szCs w:val="24"/>
        </w:rPr>
        <w:t>(a)</w:t>
      </w:r>
      <w:r w:rsidRPr="006964C9">
        <w:rPr>
          <w:rFonts w:eastAsia="ATBasilia-Roman" w:cs="ATBasilia-Roman" w:hint="eastAsia"/>
          <w:kern w:val="0"/>
          <w:sz w:val="24"/>
          <w:szCs w:val="24"/>
        </w:rPr>
        <w:t xml:space="preserve"> </w:t>
      </w:r>
      <w:r w:rsidRPr="006964C9">
        <w:rPr>
          <w:rFonts w:eastAsia="ATBasilia-Roman" w:cs="ATBasilia-Roman"/>
          <w:kern w:val="0"/>
          <w:sz w:val="24"/>
          <w:szCs w:val="24"/>
        </w:rPr>
        <w:t xml:space="preserve">less than 2 mm in diameter; </w:t>
      </w:r>
      <w:r w:rsidR="009E5603">
        <w:rPr>
          <w:rFonts w:eastAsia="ATBasilia-Roman" w:cs="ATBasilia-Roman"/>
          <w:kern w:val="0"/>
          <w:sz w:val="24"/>
          <w:szCs w:val="24"/>
        </w:rPr>
        <w:t>or</w:t>
      </w:r>
      <w:r w:rsidR="00A73181" w:rsidRPr="006964C9">
        <w:rPr>
          <w:rFonts w:eastAsia="ATBasilia-Roman" w:cs="ATBasilia-Roman"/>
          <w:kern w:val="0"/>
          <w:sz w:val="24"/>
          <w:szCs w:val="24"/>
        </w:rPr>
        <w:t xml:space="preserve"> </w:t>
      </w:r>
      <w:r w:rsidRPr="006964C9">
        <w:rPr>
          <w:rFonts w:eastAsia="ATBasilia-Roman" w:cs="ATBasilia-Italic"/>
          <w:iCs/>
          <w:kern w:val="0"/>
          <w:sz w:val="24"/>
          <w:szCs w:val="24"/>
        </w:rPr>
        <w:t xml:space="preserve">(b) </w:t>
      </w:r>
      <w:r w:rsidRPr="006964C9">
        <w:rPr>
          <w:rFonts w:eastAsia="ATBasilia-Roman" w:cs="ATBasilia-Roman"/>
          <w:kern w:val="0"/>
          <w:sz w:val="24"/>
          <w:szCs w:val="24"/>
        </w:rPr>
        <w:t>considered</w:t>
      </w:r>
      <w:r w:rsidRPr="006964C9">
        <w:rPr>
          <w:rFonts w:eastAsia="ATBasilia-Roman" w:cs="ATBasilia-Roman" w:hint="eastAsia"/>
          <w:kern w:val="0"/>
          <w:sz w:val="24"/>
          <w:szCs w:val="24"/>
        </w:rPr>
        <w:t xml:space="preserve"> </w:t>
      </w:r>
      <w:r w:rsidRPr="006964C9">
        <w:rPr>
          <w:rFonts w:eastAsia="ATBasilia-Roman" w:cs="ATBasilia-Roman"/>
          <w:kern w:val="0"/>
          <w:sz w:val="24"/>
          <w:szCs w:val="24"/>
        </w:rPr>
        <w:t>to be suspicious for hemangiomas,</w:t>
      </w:r>
      <w:r w:rsidRPr="006964C9">
        <w:rPr>
          <w:rFonts w:eastAsia="ATBasilia-Roman" w:cs="ATBasilia-Roman" w:hint="eastAsia"/>
          <w:kern w:val="0"/>
          <w:sz w:val="24"/>
          <w:szCs w:val="24"/>
        </w:rPr>
        <w:t xml:space="preserve"> </w:t>
      </w:r>
      <w:r w:rsidRPr="006964C9">
        <w:rPr>
          <w:rFonts w:eastAsia="ATBasilia-Roman" w:cs="ATBasilia-Roman"/>
          <w:kern w:val="0"/>
          <w:sz w:val="24"/>
          <w:szCs w:val="24"/>
        </w:rPr>
        <w:t>cysts</w:t>
      </w:r>
      <w:r w:rsidR="00A73181" w:rsidRPr="006964C9">
        <w:rPr>
          <w:rFonts w:eastAsia="ATBasilia-Roman" w:cs="ATBasilia-Roman"/>
          <w:kern w:val="0"/>
          <w:sz w:val="24"/>
          <w:szCs w:val="24"/>
        </w:rPr>
        <w:t>,</w:t>
      </w:r>
      <w:r w:rsidRPr="006964C9">
        <w:rPr>
          <w:rFonts w:eastAsia="ATBasilia-Roman" w:cs="ATBasilia-Roman"/>
          <w:kern w:val="0"/>
          <w:sz w:val="24"/>
          <w:szCs w:val="24"/>
        </w:rPr>
        <w:t xml:space="preserve"> or cystic tumors on the basis of</w:t>
      </w:r>
      <w:r w:rsidRPr="006964C9">
        <w:rPr>
          <w:rFonts w:eastAsia="ATBasilia-Roman" w:cs="ATBasilia-Roman" w:hint="eastAsia"/>
          <w:kern w:val="0"/>
          <w:sz w:val="24"/>
          <w:szCs w:val="24"/>
        </w:rPr>
        <w:t xml:space="preserve"> </w:t>
      </w:r>
      <w:r w:rsidRPr="006964C9">
        <w:rPr>
          <w:rFonts w:eastAsia="ATBasilia-Roman" w:cs="ATBasilia-Roman"/>
          <w:kern w:val="0"/>
          <w:sz w:val="24"/>
          <w:szCs w:val="24"/>
        </w:rPr>
        <w:t xml:space="preserve">other MR imaging sequences or modalities. </w:t>
      </w:r>
      <w:r w:rsidRPr="006964C9">
        <w:rPr>
          <w:rFonts w:eastAsia="Lato-Regular" w:cs="Lato-Regular"/>
          <w:color w:val="000000"/>
          <w:kern w:val="0"/>
          <w:sz w:val="24"/>
          <w:szCs w:val="24"/>
        </w:rPr>
        <w:t xml:space="preserve">Recent reports </w:t>
      </w:r>
      <w:r w:rsidR="00A73181" w:rsidRPr="006964C9">
        <w:rPr>
          <w:rFonts w:eastAsia="Lato-Regular" w:cs="Lato-Regular"/>
          <w:color w:val="000000"/>
          <w:kern w:val="0"/>
          <w:sz w:val="24"/>
          <w:szCs w:val="24"/>
        </w:rPr>
        <w:t xml:space="preserve">have </w:t>
      </w:r>
      <w:r w:rsidRPr="006964C9">
        <w:rPr>
          <w:rFonts w:eastAsia="Lato-Regular" w:cs="Lato-Regular"/>
          <w:color w:val="000000"/>
          <w:kern w:val="0"/>
          <w:sz w:val="24"/>
          <w:szCs w:val="24"/>
        </w:rPr>
        <w:t>suggest</w:t>
      </w:r>
      <w:r w:rsidR="00A73181" w:rsidRPr="006964C9">
        <w:rPr>
          <w:rFonts w:eastAsia="Lato-Regular" w:cs="Lato-Regular"/>
          <w:color w:val="000000"/>
          <w:kern w:val="0"/>
          <w:sz w:val="24"/>
          <w:szCs w:val="24"/>
        </w:rPr>
        <w:t>ed</w:t>
      </w:r>
      <w:r w:rsidRPr="006964C9">
        <w:rPr>
          <w:rFonts w:eastAsia="Lato-Regular" w:cs="Lato-Regular"/>
          <w:color w:val="000000"/>
          <w:kern w:val="0"/>
          <w:sz w:val="24"/>
          <w:szCs w:val="24"/>
        </w:rPr>
        <w:t xml:space="preserve"> that hepatocellular nodules </w:t>
      </w:r>
      <w:r w:rsidR="00A73181" w:rsidRPr="006964C9">
        <w:rPr>
          <w:rFonts w:eastAsia="Lato-Regular" w:cs="Lato-Regular"/>
          <w:color w:val="000000"/>
          <w:kern w:val="0"/>
          <w:sz w:val="24"/>
          <w:szCs w:val="24"/>
        </w:rPr>
        <w:t>without</w:t>
      </w:r>
      <w:r w:rsidRPr="006964C9">
        <w:rPr>
          <w:rFonts w:eastAsia="Lato-Regular" w:cs="Lato-Regular"/>
          <w:color w:val="000000"/>
          <w:kern w:val="0"/>
          <w:sz w:val="24"/>
          <w:szCs w:val="24"/>
        </w:rPr>
        <w:t xml:space="preserve"> hyperenhance</w:t>
      </w:r>
      <w:r w:rsidR="00A73181" w:rsidRPr="006964C9">
        <w:rPr>
          <w:rFonts w:eastAsia="Lato-Regular" w:cs="Lato-Regular"/>
          <w:color w:val="000000"/>
          <w:kern w:val="0"/>
          <w:sz w:val="24"/>
          <w:szCs w:val="24"/>
        </w:rPr>
        <w:t>ment</w:t>
      </w:r>
      <w:r w:rsidRPr="006964C9">
        <w:rPr>
          <w:rFonts w:eastAsia="Lato-Regular" w:cs="Lato-Regular"/>
          <w:color w:val="000000"/>
          <w:kern w:val="0"/>
          <w:sz w:val="24"/>
          <w:szCs w:val="24"/>
        </w:rPr>
        <w:t xml:space="preserve">, detected as </w:t>
      </w:r>
      <w:r w:rsidRPr="006964C9">
        <w:rPr>
          <w:rFonts w:eastAsia="Lato-Regular" w:cs="Lato-Regular"/>
          <w:kern w:val="0"/>
          <w:sz w:val="24"/>
          <w:szCs w:val="24"/>
        </w:rPr>
        <w:t>NHHNs</w:t>
      </w:r>
      <w:r w:rsidRPr="006964C9">
        <w:rPr>
          <w:rFonts w:eastAsia="Lato-Regular" w:cs="Lato-Regular"/>
          <w:color w:val="000000"/>
          <w:kern w:val="0"/>
          <w:sz w:val="24"/>
          <w:szCs w:val="24"/>
        </w:rPr>
        <w:t xml:space="preserve"> </w:t>
      </w:r>
      <w:r w:rsidR="00A73181" w:rsidRPr="006964C9">
        <w:rPr>
          <w:rFonts w:eastAsia="Lato-Regular" w:cs="Lato-Regular"/>
          <w:color w:val="000000"/>
          <w:kern w:val="0"/>
          <w:sz w:val="24"/>
          <w:szCs w:val="24"/>
        </w:rPr>
        <w:t xml:space="preserve">during the </w:t>
      </w:r>
      <w:r w:rsidRPr="006964C9">
        <w:rPr>
          <w:rFonts w:eastAsia="ATBasilia-Roman" w:cs="ATBasilia-Roman"/>
          <w:kern w:val="0"/>
          <w:sz w:val="24"/>
          <w:szCs w:val="24"/>
        </w:rPr>
        <w:t xml:space="preserve">HBP of </w:t>
      </w:r>
      <w:r w:rsidRPr="006964C9">
        <w:rPr>
          <w:rFonts w:eastAsia="Lato-Regular" w:cs="Lato-Regular"/>
          <w:kern w:val="0"/>
          <w:sz w:val="24"/>
          <w:szCs w:val="24"/>
        </w:rPr>
        <w:t>Gd-EOB-MRI</w:t>
      </w:r>
      <w:r w:rsidRPr="006964C9">
        <w:rPr>
          <w:rFonts w:eastAsia="Lato-Regular" w:cs="Lato-Regular"/>
          <w:color w:val="000000"/>
          <w:kern w:val="0"/>
          <w:sz w:val="24"/>
          <w:szCs w:val="24"/>
        </w:rPr>
        <w:t xml:space="preserve">, are precursors of progressed HCC [17, 18]. The Hepatobiliary Agent Working Group of </w:t>
      </w:r>
      <w:r w:rsidRPr="006964C9">
        <w:rPr>
          <w:rFonts w:cs="AdvOT635f2c37"/>
          <w:kern w:val="0"/>
          <w:sz w:val="24"/>
          <w:szCs w:val="24"/>
        </w:rPr>
        <w:t xml:space="preserve">the Liver Reporting and Data System (LI-RADS) proposed the following standardized term for NHHNs: </w:t>
      </w:r>
      <w:r w:rsidR="004C6E17" w:rsidRPr="006964C9">
        <w:rPr>
          <w:rFonts w:eastAsia="Lato-Regular" w:cs="Lato-Regular"/>
          <w:color w:val="000000"/>
          <w:kern w:val="0"/>
          <w:sz w:val="24"/>
          <w:szCs w:val="24"/>
        </w:rPr>
        <w:t>“</w:t>
      </w:r>
      <w:r w:rsidRPr="006964C9">
        <w:rPr>
          <w:rFonts w:eastAsia="Lato-Regular" w:cs="Lato-Regular"/>
          <w:color w:val="000000"/>
          <w:kern w:val="0"/>
          <w:sz w:val="24"/>
          <w:szCs w:val="24"/>
        </w:rPr>
        <w:t>HBP hypointense nodule without arterial phase hyperenhancement (APHE)” [24]. In this study,</w:t>
      </w:r>
      <w:r w:rsidRPr="006964C9">
        <w:rPr>
          <w:rStyle w:val="tlid-translation"/>
          <w:sz w:val="24"/>
          <w:szCs w:val="24"/>
          <w:lang w:val="en"/>
        </w:rPr>
        <w:t xml:space="preserve"> we used the short</w:t>
      </w:r>
      <w:r w:rsidR="00892743" w:rsidRPr="006964C9">
        <w:rPr>
          <w:rStyle w:val="tlid-translation"/>
          <w:sz w:val="24"/>
          <w:szCs w:val="24"/>
          <w:lang w:val="en"/>
        </w:rPr>
        <w:t>er</w:t>
      </w:r>
      <w:r w:rsidRPr="006964C9">
        <w:rPr>
          <w:rStyle w:val="tlid-translation"/>
          <w:sz w:val="24"/>
          <w:szCs w:val="24"/>
          <w:lang w:val="en"/>
        </w:rPr>
        <w:t xml:space="preserve"> term </w:t>
      </w:r>
      <w:r w:rsidR="004C6E17" w:rsidRPr="006964C9">
        <w:rPr>
          <w:rStyle w:val="tlid-translation"/>
          <w:sz w:val="24"/>
          <w:szCs w:val="24"/>
          <w:lang w:val="en"/>
        </w:rPr>
        <w:t>“</w:t>
      </w:r>
      <w:r w:rsidRPr="006964C9">
        <w:rPr>
          <w:rFonts w:eastAsia="Lato-Regular" w:cs="Lato-Regular"/>
          <w:kern w:val="0"/>
          <w:sz w:val="24"/>
          <w:szCs w:val="24"/>
        </w:rPr>
        <w:t>NHHNs</w:t>
      </w:r>
      <w:r w:rsidR="004C6E17" w:rsidRPr="006964C9">
        <w:rPr>
          <w:rFonts w:eastAsia="Lato-Regular" w:cs="Lato-Regular"/>
          <w:kern w:val="0"/>
          <w:sz w:val="24"/>
          <w:szCs w:val="24"/>
        </w:rPr>
        <w:t>”</w:t>
      </w:r>
      <w:r w:rsidRPr="006964C9">
        <w:rPr>
          <w:rStyle w:val="tlid-translation"/>
          <w:sz w:val="24"/>
          <w:szCs w:val="24"/>
          <w:lang w:val="en"/>
        </w:rPr>
        <w:t xml:space="preserve"> instead of </w:t>
      </w:r>
      <w:r w:rsidR="004C6E17" w:rsidRPr="006964C9">
        <w:rPr>
          <w:rFonts w:eastAsia="Lato-Regular" w:cs="Lato-Regular"/>
          <w:color w:val="000000"/>
          <w:kern w:val="0"/>
          <w:sz w:val="24"/>
          <w:szCs w:val="24"/>
        </w:rPr>
        <w:t>“</w:t>
      </w:r>
      <w:r w:rsidRPr="006964C9">
        <w:rPr>
          <w:rFonts w:eastAsia="Lato-Regular" w:cs="Lato-Regular"/>
          <w:color w:val="000000"/>
          <w:kern w:val="0"/>
          <w:sz w:val="24"/>
          <w:szCs w:val="24"/>
        </w:rPr>
        <w:t>HBP hypointense nodule without APHE</w:t>
      </w:r>
      <w:r w:rsidR="00892743" w:rsidRPr="006964C9">
        <w:rPr>
          <w:rFonts w:eastAsia="Lato-Regular" w:cs="Lato-Regular"/>
          <w:color w:val="000000"/>
          <w:kern w:val="0"/>
          <w:sz w:val="24"/>
          <w:szCs w:val="24"/>
        </w:rPr>
        <w:t>.</w:t>
      </w:r>
      <w:r w:rsidRPr="006964C9">
        <w:rPr>
          <w:rFonts w:eastAsia="Lato-Regular" w:cs="Lato-Regular"/>
          <w:color w:val="000000"/>
          <w:kern w:val="0"/>
          <w:sz w:val="24"/>
          <w:szCs w:val="24"/>
        </w:rPr>
        <w:t xml:space="preserve">” </w:t>
      </w:r>
    </w:p>
    <w:p w14:paraId="4920F401" w14:textId="7AB63C77" w:rsidR="00C37D9F" w:rsidRPr="006964C9" w:rsidRDefault="00C37D9F" w:rsidP="00C37D9F">
      <w:pPr>
        <w:autoSpaceDE w:val="0"/>
        <w:autoSpaceDN w:val="0"/>
        <w:adjustRightInd w:val="0"/>
        <w:spacing w:line="480" w:lineRule="auto"/>
        <w:ind w:firstLine="840"/>
        <w:jc w:val="left"/>
        <w:rPr>
          <w:rFonts w:eastAsia="Lato-Regular" w:cs="Lato-Regular"/>
          <w:color w:val="000000"/>
          <w:kern w:val="0"/>
          <w:sz w:val="24"/>
          <w:szCs w:val="24"/>
        </w:rPr>
      </w:pPr>
      <w:r w:rsidRPr="006964C9">
        <w:rPr>
          <w:rFonts w:eastAsia="Lato-Regular" w:cs="Lato-Regular"/>
          <w:color w:val="000000"/>
          <w:kern w:val="0"/>
          <w:sz w:val="24"/>
          <w:szCs w:val="24"/>
        </w:rPr>
        <w:t xml:space="preserve">In this analysis, hepatocarcinogenesis </w:t>
      </w:r>
      <w:r w:rsidR="00892743" w:rsidRPr="006964C9">
        <w:rPr>
          <w:rFonts w:eastAsia="Lato-Regular" w:cs="Lato-Regular"/>
          <w:color w:val="000000"/>
          <w:kern w:val="0"/>
          <w:sz w:val="24"/>
          <w:szCs w:val="24"/>
        </w:rPr>
        <w:t xml:space="preserve">was </w:t>
      </w:r>
      <w:r w:rsidRPr="006964C9">
        <w:rPr>
          <w:rFonts w:eastAsia="Lato-Regular" w:cs="Lato-Regular"/>
          <w:color w:val="000000"/>
          <w:kern w:val="0"/>
          <w:sz w:val="24"/>
          <w:szCs w:val="24"/>
        </w:rPr>
        <w:t xml:space="preserve">classified into two </w:t>
      </w:r>
      <w:r w:rsidR="00892743" w:rsidRPr="006964C9">
        <w:rPr>
          <w:rFonts w:eastAsia="Lato-Regular" w:cs="Lato-Regular"/>
          <w:color w:val="000000"/>
          <w:kern w:val="0"/>
          <w:sz w:val="24"/>
          <w:szCs w:val="24"/>
        </w:rPr>
        <w:t>types</w:t>
      </w:r>
      <w:r w:rsidRPr="006964C9">
        <w:rPr>
          <w:rFonts w:eastAsia="Lato-Regular" w:cs="Lato-Regular"/>
          <w:color w:val="000000"/>
          <w:kern w:val="0"/>
          <w:sz w:val="24"/>
          <w:szCs w:val="24"/>
        </w:rPr>
        <w:t xml:space="preserve">, </w:t>
      </w:r>
      <w:r w:rsidR="001C6FFE" w:rsidRPr="006964C9">
        <w:rPr>
          <w:rFonts w:eastAsia="Lato-Regular" w:cs="Lato-Regular"/>
          <w:color w:val="000000"/>
          <w:kern w:val="0"/>
          <w:sz w:val="24"/>
          <w:szCs w:val="24"/>
        </w:rPr>
        <w:t>“</w:t>
      </w:r>
      <w:r w:rsidRPr="006964C9">
        <w:rPr>
          <w:rFonts w:eastAsia="AdvTimes" w:cs="AdvTimes"/>
          <w:kern w:val="0"/>
          <w:sz w:val="24"/>
          <w:szCs w:val="24"/>
        </w:rPr>
        <w:t>multistep</w:t>
      </w:r>
      <w:r w:rsidR="001C6FFE" w:rsidRPr="006964C9">
        <w:rPr>
          <w:rFonts w:eastAsia="AdvTimes" w:cs="AdvTimes"/>
          <w:kern w:val="0"/>
          <w:sz w:val="24"/>
          <w:szCs w:val="24"/>
        </w:rPr>
        <w:t>”</w:t>
      </w:r>
      <w:r w:rsidRPr="006964C9">
        <w:rPr>
          <w:rFonts w:eastAsia="AdvTimes" w:cs="AdvTimes"/>
          <w:kern w:val="0"/>
          <w:sz w:val="24"/>
          <w:szCs w:val="24"/>
        </w:rPr>
        <w:t xml:space="preserve"> and </w:t>
      </w:r>
      <w:r w:rsidR="001C6FFE" w:rsidRPr="006964C9">
        <w:rPr>
          <w:rFonts w:eastAsia="Lato-Regular" w:cs="Lato-Regular"/>
          <w:color w:val="000000"/>
          <w:kern w:val="0"/>
          <w:sz w:val="24"/>
          <w:szCs w:val="24"/>
        </w:rPr>
        <w:t>“</w:t>
      </w:r>
      <w:r w:rsidRPr="006964C9">
        <w:rPr>
          <w:rFonts w:eastAsia="Lato-Regular" w:cs="Lato-Regular"/>
          <w:color w:val="000000"/>
          <w:kern w:val="0"/>
          <w:sz w:val="24"/>
          <w:szCs w:val="24"/>
        </w:rPr>
        <w:t>de novo</w:t>
      </w:r>
      <w:r w:rsidR="001C6FFE" w:rsidRPr="006964C9">
        <w:rPr>
          <w:rFonts w:eastAsia="Lato-Regular" w:cs="Lato-Regular"/>
          <w:color w:val="000000"/>
          <w:kern w:val="0"/>
          <w:sz w:val="24"/>
          <w:szCs w:val="24"/>
        </w:rPr>
        <w:t>”</w:t>
      </w:r>
      <w:r w:rsidRPr="006964C9">
        <w:rPr>
          <w:rFonts w:eastAsia="Lato-Regular" w:cs="Lato-Regular"/>
          <w:color w:val="000000"/>
          <w:kern w:val="0"/>
          <w:sz w:val="24"/>
          <w:szCs w:val="24"/>
        </w:rPr>
        <w:t xml:space="preserve"> [25, 26]. </w:t>
      </w:r>
      <w:r w:rsidR="00892743" w:rsidRPr="006964C9">
        <w:rPr>
          <w:rFonts w:eastAsia="AdvTimes" w:cs="AdvTimes"/>
          <w:kern w:val="0"/>
          <w:sz w:val="24"/>
          <w:szCs w:val="24"/>
        </w:rPr>
        <w:t>M</w:t>
      </w:r>
      <w:r w:rsidRPr="006964C9">
        <w:rPr>
          <w:rFonts w:eastAsia="AdvTimes" w:cs="AdvTimes"/>
          <w:kern w:val="0"/>
          <w:sz w:val="24"/>
          <w:szCs w:val="24"/>
        </w:rPr>
        <w:t xml:space="preserve">ultistep hepatocarcinogenesis is defined as progression from </w:t>
      </w:r>
      <w:r w:rsidRPr="006964C9">
        <w:rPr>
          <w:rFonts w:eastAsia="Lato-Regular" w:cs="Lato-Regular"/>
          <w:color w:val="000000"/>
          <w:kern w:val="0"/>
          <w:sz w:val="24"/>
          <w:szCs w:val="24"/>
        </w:rPr>
        <w:t>NHHNs</w:t>
      </w:r>
      <w:r w:rsidR="00892743" w:rsidRPr="006964C9">
        <w:rPr>
          <w:rFonts w:eastAsia="Lato-Regular" w:cs="Lato-Regular"/>
          <w:color w:val="000000"/>
          <w:kern w:val="0"/>
          <w:sz w:val="24"/>
          <w:szCs w:val="24"/>
        </w:rPr>
        <w:t>,</w:t>
      </w:r>
      <w:r w:rsidRPr="006964C9">
        <w:rPr>
          <w:rFonts w:eastAsia="Lato-Regular" w:cs="Lato-Regular"/>
          <w:color w:val="000000"/>
          <w:kern w:val="0"/>
          <w:sz w:val="24"/>
          <w:szCs w:val="24"/>
        </w:rPr>
        <w:t xml:space="preserve"> </w:t>
      </w:r>
      <w:r w:rsidR="00267607" w:rsidRPr="004571CD">
        <w:rPr>
          <w:rFonts w:eastAsia="Lato-Regular" w:cs="Lato-Regular"/>
          <w:color w:val="000000"/>
          <w:kern w:val="0"/>
          <w:sz w:val="24"/>
          <w:szCs w:val="24"/>
        </w:rPr>
        <w:t xml:space="preserve">which </w:t>
      </w:r>
      <w:r w:rsidR="004571CD" w:rsidRPr="004571CD">
        <w:rPr>
          <w:rStyle w:val="tlid-translation"/>
          <w:sz w:val="24"/>
          <w:szCs w:val="24"/>
          <w:lang w:val="en"/>
        </w:rPr>
        <w:t>is equivalent to</w:t>
      </w:r>
      <w:r w:rsidRPr="004571CD">
        <w:rPr>
          <w:rFonts w:eastAsia="Lato-Regular" w:cs="Lato-Regular"/>
          <w:color w:val="000000"/>
          <w:kern w:val="0"/>
          <w:sz w:val="24"/>
          <w:szCs w:val="24"/>
        </w:rPr>
        <w:t xml:space="preserve"> either dyspla</w:t>
      </w:r>
      <w:r w:rsidRPr="006964C9">
        <w:rPr>
          <w:rFonts w:eastAsia="Lato-Regular" w:cs="Lato-Regular"/>
          <w:color w:val="000000"/>
          <w:kern w:val="0"/>
          <w:sz w:val="24"/>
          <w:szCs w:val="24"/>
        </w:rPr>
        <w:t>stic nodule</w:t>
      </w:r>
      <w:r w:rsidR="00267607" w:rsidRPr="006964C9">
        <w:rPr>
          <w:rFonts w:eastAsia="Lato-Regular" w:cs="Lato-Regular"/>
          <w:color w:val="000000"/>
          <w:kern w:val="0"/>
          <w:sz w:val="24"/>
          <w:szCs w:val="24"/>
        </w:rPr>
        <w:t>s</w:t>
      </w:r>
      <w:r w:rsidRPr="006964C9">
        <w:rPr>
          <w:rFonts w:eastAsia="Lato-Regular" w:cs="Lato-Regular"/>
          <w:color w:val="000000"/>
          <w:kern w:val="0"/>
          <w:sz w:val="24"/>
          <w:szCs w:val="24"/>
        </w:rPr>
        <w:t xml:space="preserve"> (DN</w:t>
      </w:r>
      <w:r w:rsidR="00267607" w:rsidRPr="006964C9">
        <w:rPr>
          <w:rFonts w:eastAsia="Lato-Regular" w:cs="Lato-Regular"/>
          <w:color w:val="000000"/>
          <w:kern w:val="0"/>
          <w:sz w:val="24"/>
          <w:szCs w:val="24"/>
        </w:rPr>
        <w:t>s</w:t>
      </w:r>
      <w:r w:rsidRPr="006964C9">
        <w:rPr>
          <w:rFonts w:eastAsia="Lato-Regular" w:cs="Lato-Regular"/>
          <w:color w:val="000000"/>
          <w:kern w:val="0"/>
          <w:sz w:val="24"/>
          <w:szCs w:val="24"/>
        </w:rPr>
        <w:t>) or early HCC</w:t>
      </w:r>
      <w:r w:rsidR="00B7480F" w:rsidRPr="006964C9">
        <w:rPr>
          <w:rFonts w:eastAsia="Lato-Regular" w:cs="Lato-Regular"/>
          <w:color w:val="000000"/>
          <w:kern w:val="0"/>
          <w:sz w:val="24"/>
          <w:szCs w:val="24"/>
        </w:rPr>
        <w:t>,</w:t>
      </w:r>
      <w:r w:rsidRPr="006964C9">
        <w:rPr>
          <w:rFonts w:eastAsia="Lato-Regular" w:cs="Lato-Regular"/>
          <w:color w:val="000000"/>
          <w:kern w:val="0"/>
          <w:sz w:val="24"/>
          <w:szCs w:val="24"/>
        </w:rPr>
        <w:t xml:space="preserve"> to hypervascular nodule</w:t>
      </w:r>
      <w:r w:rsidR="00892743" w:rsidRPr="006964C9">
        <w:rPr>
          <w:rFonts w:eastAsia="Lato-Regular" w:cs="Lato-Regular"/>
          <w:color w:val="000000"/>
          <w:kern w:val="0"/>
          <w:sz w:val="24"/>
          <w:szCs w:val="24"/>
        </w:rPr>
        <w:t>s</w:t>
      </w:r>
      <w:r w:rsidRPr="006964C9">
        <w:rPr>
          <w:rFonts w:eastAsia="Lato-Regular" w:cs="Lato-Regular"/>
          <w:color w:val="000000"/>
          <w:kern w:val="0"/>
          <w:sz w:val="24"/>
          <w:szCs w:val="24"/>
        </w:rPr>
        <w:t xml:space="preserve"> </w:t>
      </w:r>
      <w:r w:rsidR="00B7480F" w:rsidRPr="006964C9">
        <w:rPr>
          <w:rFonts w:eastAsia="Lato-Regular" w:cs="Lato-Regular"/>
          <w:color w:val="000000"/>
          <w:kern w:val="0"/>
          <w:sz w:val="24"/>
          <w:szCs w:val="24"/>
        </w:rPr>
        <w:t xml:space="preserve">such as </w:t>
      </w:r>
      <w:r w:rsidRPr="006964C9">
        <w:rPr>
          <w:rFonts w:eastAsia="Lato-Regular" w:cs="Lato-Regular"/>
          <w:color w:val="000000"/>
          <w:kern w:val="0"/>
          <w:sz w:val="24"/>
          <w:szCs w:val="24"/>
        </w:rPr>
        <w:t xml:space="preserve">advanced HCC (Figure 2). </w:t>
      </w:r>
      <w:r w:rsidR="006B512E" w:rsidRPr="006964C9">
        <w:rPr>
          <w:rFonts w:eastAsia="Lato-Regular" w:cs="Lato-Regular"/>
          <w:color w:val="000000"/>
          <w:kern w:val="0"/>
          <w:sz w:val="24"/>
          <w:szCs w:val="24"/>
        </w:rPr>
        <w:t xml:space="preserve">By </w:t>
      </w:r>
      <w:r w:rsidRPr="006964C9">
        <w:rPr>
          <w:rFonts w:eastAsia="Lato-Regular" w:cs="Lato-Regular"/>
          <w:color w:val="000000"/>
          <w:kern w:val="0"/>
          <w:sz w:val="24"/>
          <w:szCs w:val="24"/>
        </w:rPr>
        <w:t xml:space="preserve">contrast, de novo hepatocarcinogenesis is defined as </w:t>
      </w:r>
      <w:r w:rsidR="00892743" w:rsidRPr="006964C9">
        <w:rPr>
          <w:rFonts w:eastAsia="Lato-Regular" w:cs="Lato-Regular"/>
          <w:color w:val="000000"/>
          <w:kern w:val="0"/>
          <w:sz w:val="24"/>
          <w:szCs w:val="24"/>
        </w:rPr>
        <w:t xml:space="preserve">the </w:t>
      </w:r>
      <w:r w:rsidRPr="006964C9">
        <w:rPr>
          <w:rFonts w:eastAsia="Lato-Regular" w:cs="Lato-Regular"/>
          <w:color w:val="000000"/>
          <w:kern w:val="0"/>
          <w:sz w:val="24"/>
          <w:szCs w:val="24"/>
        </w:rPr>
        <w:t xml:space="preserve">direct </w:t>
      </w:r>
      <w:r w:rsidR="00892743" w:rsidRPr="006964C9">
        <w:rPr>
          <w:rFonts w:eastAsia="Lato-Regular" w:cs="Lato-Regular"/>
          <w:color w:val="000000"/>
          <w:kern w:val="0"/>
          <w:sz w:val="24"/>
          <w:szCs w:val="24"/>
        </w:rPr>
        <w:t xml:space="preserve">progression </w:t>
      </w:r>
      <w:r w:rsidRPr="006964C9">
        <w:rPr>
          <w:rFonts w:eastAsia="Lato-Regular" w:cs="Lato-Regular"/>
          <w:color w:val="000000"/>
          <w:kern w:val="0"/>
          <w:sz w:val="24"/>
          <w:szCs w:val="24"/>
        </w:rPr>
        <w:t>to hypervascular HCC without preexisting NHHNs (Figure 3).</w:t>
      </w:r>
    </w:p>
    <w:p w14:paraId="103D9B5D" w14:textId="77777777" w:rsidR="00C37D9F" w:rsidRPr="006964C9" w:rsidRDefault="00C37D9F" w:rsidP="00C37D9F">
      <w:pPr>
        <w:autoSpaceDE w:val="0"/>
        <w:autoSpaceDN w:val="0"/>
        <w:adjustRightInd w:val="0"/>
        <w:spacing w:line="480" w:lineRule="auto"/>
        <w:jc w:val="left"/>
        <w:rPr>
          <w:rFonts w:eastAsia="Lato-Regular" w:cs="Lato-Regular"/>
          <w:b/>
          <w:color w:val="000000"/>
          <w:kern w:val="0"/>
          <w:sz w:val="24"/>
          <w:szCs w:val="24"/>
        </w:rPr>
      </w:pPr>
      <w:r w:rsidRPr="006964C9">
        <w:rPr>
          <w:rFonts w:eastAsia="Lato-Regular" w:cs="Lato-Regular"/>
          <w:b/>
          <w:color w:val="000000"/>
          <w:kern w:val="0"/>
          <w:sz w:val="24"/>
          <w:szCs w:val="24"/>
        </w:rPr>
        <w:t>Statistical Analysis</w:t>
      </w:r>
    </w:p>
    <w:p w14:paraId="267DFFD3" w14:textId="09CBBB15" w:rsidR="00C37D9F" w:rsidRPr="006964C9" w:rsidRDefault="00C37D9F" w:rsidP="00C37D9F">
      <w:pPr>
        <w:autoSpaceDE w:val="0"/>
        <w:autoSpaceDN w:val="0"/>
        <w:adjustRightInd w:val="0"/>
        <w:spacing w:line="480" w:lineRule="auto"/>
        <w:jc w:val="left"/>
        <w:rPr>
          <w:rFonts w:eastAsia="AdvOT678fd422" w:cs="AdvOT678fd422"/>
          <w:color w:val="231F20"/>
          <w:kern w:val="0"/>
          <w:sz w:val="24"/>
          <w:szCs w:val="24"/>
        </w:rPr>
      </w:pPr>
      <w:r w:rsidRPr="006964C9">
        <w:rPr>
          <w:rFonts w:eastAsia="Lato-Regular" w:cs="Lato-Regular"/>
          <w:color w:val="000000"/>
          <w:kern w:val="0"/>
          <w:sz w:val="24"/>
          <w:szCs w:val="24"/>
        </w:rPr>
        <w:lastRenderedPageBreak/>
        <w:tab/>
      </w:r>
      <w:r w:rsidRPr="006964C9">
        <w:rPr>
          <w:rFonts w:eastAsia="AdvOT678fd422" w:cs="AdvOT678fd422"/>
          <w:color w:val="231F20"/>
          <w:kern w:val="0"/>
          <w:sz w:val="24"/>
          <w:szCs w:val="24"/>
        </w:rPr>
        <w:t>Continuous variables were expressed as medians (interquartile range). The Kruskal</w:t>
      </w:r>
      <w:r w:rsidR="00B7480F" w:rsidRPr="006964C9">
        <w:rPr>
          <w:rFonts w:eastAsia="AdvOT678fd422" w:cs="AdvOT678fd422"/>
          <w:color w:val="231F20"/>
          <w:kern w:val="0"/>
          <w:sz w:val="24"/>
          <w:szCs w:val="24"/>
        </w:rPr>
        <w:t>–</w:t>
      </w:r>
      <w:r w:rsidRPr="006964C9">
        <w:rPr>
          <w:rFonts w:eastAsia="AdvOT678fd422" w:cs="AdvOT678fd422"/>
          <w:color w:val="231F20"/>
          <w:kern w:val="0"/>
          <w:sz w:val="24"/>
          <w:szCs w:val="24"/>
        </w:rPr>
        <w:t xml:space="preserve">Wallis test was used for continuous variables, and </w:t>
      </w:r>
      <w:r w:rsidR="00B7480F" w:rsidRPr="006964C9">
        <w:rPr>
          <w:rFonts w:eastAsia="AdvOT678fd422" w:cs="AdvOT678fd422"/>
          <w:color w:val="231F20"/>
          <w:kern w:val="0"/>
          <w:sz w:val="24"/>
          <w:szCs w:val="24"/>
        </w:rPr>
        <w:t xml:space="preserve">the </w:t>
      </w:r>
      <w:r w:rsidRPr="006964C9">
        <w:rPr>
          <w:rFonts w:eastAsia="AdvOT678fd422" w:cs="AdvOT678fd422"/>
          <w:color w:val="231F20"/>
          <w:kern w:val="0"/>
          <w:sz w:val="24"/>
          <w:szCs w:val="24"/>
        </w:rPr>
        <w:t xml:space="preserve">Steel Dwass test was performed as post hoc testing when </w:t>
      </w:r>
      <w:r w:rsidR="00B7480F" w:rsidRPr="006964C9">
        <w:rPr>
          <w:rFonts w:eastAsia="AdvOT678fd422" w:cs="AdvOT678fd422"/>
          <w:color w:val="231F20"/>
          <w:kern w:val="0"/>
          <w:sz w:val="24"/>
          <w:szCs w:val="24"/>
        </w:rPr>
        <w:t xml:space="preserve">the </w:t>
      </w:r>
      <w:r w:rsidRPr="006964C9">
        <w:rPr>
          <w:rFonts w:eastAsia="AdvOT678fd422" w:cs="AdvOT678fd422"/>
          <w:color w:val="231F20"/>
          <w:kern w:val="0"/>
          <w:sz w:val="24"/>
          <w:szCs w:val="24"/>
        </w:rPr>
        <w:t>Kruskal</w:t>
      </w:r>
      <w:r w:rsidR="00B7480F" w:rsidRPr="006964C9">
        <w:rPr>
          <w:rFonts w:eastAsia="AdvOT678fd422" w:cs="AdvOT678fd422"/>
          <w:color w:val="231F20"/>
          <w:kern w:val="0"/>
          <w:sz w:val="24"/>
          <w:szCs w:val="24"/>
        </w:rPr>
        <w:t>–</w:t>
      </w:r>
      <w:r w:rsidRPr="006964C9">
        <w:rPr>
          <w:rFonts w:eastAsia="AdvOT678fd422" w:cs="AdvOT678fd422"/>
          <w:color w:val="231F20"/>
          <w:kern w:val="0"/>
          <w:sz w:val="24"/>
          <w:szCs w:val="24"/>
        </w:rPr>
        <w:t>Wallis test showed a significant difference. The chi-square test with Fisher’s exact test was used for categorical variables.</w:t>
      </w:r>
    </w:p>
    <w:p w14:paraId="4ACC0E9A" w14:textId="6C85DE78" w:rsidR="00C37D9F" w:rsidRPr="006964C9" w:rsidRDefault="00C37D9F" w:rsidP="00C37D9F">
      <w:pPr>
        <w:autoSpaceDE w:val="0"/>
        <w:autoSpaceDN w:val="0"/>
        <w:adjustRightInd w:val="0"/>
        <w:spacing w:line="480" w:lineRule="auto"/>
        <w:ind w:firstLine="840"/>
        <w:jc w:val="left"/>
        <w:rPr>
          <w:rFonts w:eastAsia="AdvOT678fd422" w:cs="AdvOT678fd422"/>
          <w:color w:val="231F20"/>
          <w:kern w:val="0"/>
          <w:sz w:val="24"/>
          <w:szCs w:val="24"/>
        </w:rPr>
      </w:pPr>
      <w:r w:rsidRPr="006964C9">
        <w:rPr>
          <w:rFonts w:eastAsia="AdvOT678fd422" w:cs="AdvOT678fd422"/>
          <w:color w:val="231F20"/>
          <w:kern w:val="0"/>
          <w:sz w:val="24"/>
          <w:szCs w:val="24"/>
        </w:rPr>
        <w:t xml:space="preserve">Actuarial analysis of cumulative occurrence </w:t>
      </w:r>
      <w:r w:rsidR="00B7480F" w:rsidRPr="006964C9">
        <w:rPr>
          <w:rFonts w:eastAsia="AdvOT678fd422" w:cs="AdvOT678fd422"/>
          <w:color w:val="231F20"/>
          <w:kern w:val="0"/>
          <w:sz w:val="24"/>
          <w:szCs w:val="24"/>
        </w:rPr>
        <w:t xml:space="preserve">for </w:t>
      </w:r>
      <w:r w:rsidRPr="006964C9">
        <w:rPr>
          <w:rFonts w:eastAsia="AdvOT678fd422" w:cs="AdvOT678fd422"/>
          <w:color w:val="231F20"/>
          <w:kern w:val="0"/>
          <w:sz w:val="24"/>
          <w:szCs w:val="24"/>
        </w:rPr>
        <w:t xml:space="preserve">each </w:t>
      </w:r>
      <w:r w:rsidR="00B7480F" w:rsidRPr="006964C9">
        <w:rPr>
          <w:rFonts w:eastAsia="AdvOT678fd422" w:cs="AdvOT678fd422"/>
          <w:color w:val="231F20"/>
          <w:kern w:val="0"/>
          <w:sz w:val="24"/>
          <w:szCs w:val="24"/>
        </w:rPr>
        <w:t xml:space="preserve">type of </w:t>
      </w:r>
      <w:r w:rsidR="00B7480F" w:rsidRPr="006964C9">
        <w:rPr>
          <w:rFonts w:eastAsia="Lato-Regular" w:cs="Lato-Regular"/>
          <w:color w:val="000000"/>
          <w:kern w:val="0"/>
          <w:sz w:val="24"/>
          <w:szCs w:val="24"/>
        </w:rPr>
        <w:t>hepatocarcinogenesis</w:t>
      </w:r>
      <w:r w:rsidRPr="006964C9">
        <w:rPr>
          <w:rFonts w:eastAsia="AdvOT678fd422" w:cs="AdvOT678fd422"/>
          <w:color w:val="231F20"/>
          <w:kern w:val="0"/>
          <w:sz w:val="24"/>
          <w:szCs w:val="24"/>
        </w:rPr>
        <w:t xml:space="preserve"> (multistep and de novo) was performed using the cumulative incidence with the competing risks method; differences were tested using the Gray test with Holm correction. For multivariate analysis, Fine and Gray proportional hazards models were used for the assessment of hazard ratios (HRs) for </w:t>
      </w:r>
      <w:r w:rsidR="00B7480F" w:rsidRPr="006964C9">
        <w:rPr>
          <w:rFonts w:eastAsia="AdvOT678fd422" w:cs="AdvOT678fd422"/>
          <w:color w:val="231F20"/>
          <w:kern w:val="0"/>
          <w:sz w:val="24"/>
          <w:szCs w:val="24"/>
        </w:rPr>
        <w:t xml:space="preserve">the </w:t>
      </w:r>
      <w:r w:rsidRPr="006964C9">
        <w:rPr>
          <w:rFonts w:eastAsia="AdvOT678fd422" w:cs="AdvOT678fd422"/>
          <w:color w:val="231F20"/>
          <w:kern w:val="0"/>
          <w:sz w:val="24"/>
          <w:szCs w:val="24"/>
        </w:rPr>
        <w:t>occurrence rate [27].</w:t>
      </w:r>
    </w:p>
    <w:p w14:paraId="115918B1" w14:textId="66B48E16" w:rsidR="00C37D9F" w:rsidRPr="006964C9" w:rsidRDefault="00C37D9F" w:rsidP="0012326A">
      <w:pPr>
        <w:autoSpaceDE w:val="0"/>
        <w:autoSpaceDN w:val="0"/>
        <w:adjustRightInd w:val="0"/>
        <w:spacing w:line="480" w:lineRule="auto"/>
        <w:ind w:firstLine="840"/>
        <w:jc w:val="left"/>
        <w:rPr>
          <w:rFonts w:eastAsia="AdvOT678fd422" w:cs="AdvOT678fd422"/>
          <w:color w:val="231F20"/>
          <w:kern w:val="0"/>
          <w:sz w:val="24"/>
          <w:szCs w:val="24"/>
        </w:rPr>
      </w:pPr>
      <w:r w:rsidRPr="006964C9">
        <w:rPr>
          <w:rFonts w:eastAsia="AdvOT678fd422" w:cs="AdvOT678fd422"/>
          <w:color w:val="231F20"/>
          <w:kern w:val="0"/>
          <w:sz w:val="24"/>
          <w:szCs w:val="24"/>
        </w:rPr>
        <w:t xml:space="preserve">Statistical significance was defined as </w:t>
      </w:r>
      <w:r w:rsidR="00D72165" w:rsidRPr="006964C9">
        <w:rPr>
          <w:rFonts w:eastAsia="AdvOT3bd4862d.I" w:cs="AdvOT3bd4862d.I"/>
          <w:color w:val="231F20"/>
          <w:kern w:val="0"/>
          <w:sz w:val="24"/>
          <w:szCs w:val="24"/>
        </w:rPr>
        <w:t>p</w:t>
      </w:r>
      <w:r w:rsidRPr="006964C9">
        <w:rPr>
          <w:rFonts w:eastAsia="AdvP4C4E51" w:cs="AdvP4C4E51"/>
          <w:color w:val="231F20"/>
          <w:kern w:val="0"/>
          <w:sz w:val="24"/>
          <w:szCs w:val="24"/>
        </w:rPr>
        <w:t>&lt;</w:t>
      </w:r>
      <w:r w:rsidRPr="006964C9">
        <w:rPr>
          <w:rFonts w:eastAsia="AdvOT678fd422" w:cs="AdvOT678fd422"/>
          <w:color w:val="231F20"/>
          <w:kern w:val="0"/>
          <w:sz w:val="24"/>
          <w:szCs w:val="24"/>
        </w:rPr>
        <w:t>0.05. All statistical analyses were performed with EZR (Saitama Medical Center, Jichi Medical University, Saitama, Japan), which is a graphical user interface for R (R Foundation for Statistical Computing, Vienna, Austria). More precisely, it is a modified version of R commander designed to add statistical functions frequently used in biostatistics.</w:t>
      </w:r>
      <w:r w:rsidRPr="006964C9">
        <w:rPr>
          <w:rFonts w:eastAsia="AdvOT678fd422" w:cs="AdvOT678fd422"/>
          <w:color w:val="231F20"/>
          <w:kern w:val="0"/>
          <w:sz w:val="24"/>
          <w:szCs w:val="24"/>
        </w:rPr>
        <w:br w:type="page"/>
      </w:r>
    </w:p>
    <w:p w14:paraId="2215039D" w14:textId="77777777" w:rsidR="00C37D9F" w:rsidRPr="006964C9" w:rsidRDefault="00C37D9F" w:rsidP="00C37D9F">
      <w:pPr>
        <w:autoSpaceDE w:val="0"/>
        <w:autoSpaceDN w:val="0"/>
        <w:adjustRightInd w:val="0"/>
        <w:spacing w:line="480" w:lineRule="auto"/>
        <w:jc w:val="left"/>
        <w:rPr>
          <w:rFonts w:eastAsia="AdvOT678fd422" w:cs="AdvOT678fd422"/>
          <w:b/>
          <w:color w:val="231F20"/>
          <w:kern w:val="0"/>
          <w:sz w:val="24"/>
          <w:szCs w:val="24"/>
        </w:rPr>
      </w:pPr>
      <w:r w:rsidRPr="006964C9">
        <w:rPr>
          <w:rFonts w:eastAsia="AdvOT678fd422" w:cs="AdvOT678fd422"/>
          <w:b/>
          <w:color w:val="231F20"/>
          <w:kern w:val="0"/>
          <w:sz w:val="24"/>
          <w:szCs w:val="24"/>
        </w:rPr>
        <w:lastRenderedPageBreak/>
        <w:t>Results</w:t>
      </w:r>
    </w:p>
    <w:p w14:paraId="1B385230" w14:textId="3555F35E" w:rsidR="00C37D9F" w:rsidRPr="00170052" w:rsidRDefault="00C37D9F" w:rsidP="00C37D9F">
      <w:pPr>
        <w:autoSpaceDE w:val="0"/>
        <w:autoSpaceDN w:val="0"/>
        <w:adjustRightInd w:val="0"/>
        <w:spacing w:line="480" w:lineRule="auto"/>
        <w:jc w:val="left"/>
        <w:rPr>
          <w:rFonts w:eastAsia="AdvOT678fd422" w:cs="AdvOT678fd422"/>
          <w:b/>
          <w:color w:val="FF0000"/>
          <w:kern w:val="0"/>
          <w:sz w:val="24"/>
          <w:szCs w:val="24"/>
        </w:rPr>
      </w:pPr>
      <w:r w:rsidRPr="00170052">
        <w:rPr>
          <w:rFonts w:eastAsia="AdvOT678fd422" w:cs="AdvOT678fd422"/>
          <w:b/>
          <w:color w:val="FF0000"/>
          <w:kern w:val="0"/>
          <w:sz w:val="24"/>
          <w:szCs w:val="24"/>
        </w:rPr>
        <w:t xml:space="preserve">Comparison of characteristics </w:t>
      </w:r>
      <w:r w:rsidR="00B7480F" w:rsidRPr="00170052">
        <w:rPr>
          <w:rFonts w:eastAsia="AdvOT678fd422" w:cs="AdvOT678fd422"/>
          <w:b/>
          <w:color w:val="FF0000"/>
          <w:kern w:val="0"/>
          <w:sz w:val="24"/>
          <w:szCs w:val="24"/>
        </w:rPr>
        <w:t xml:space="preserve">of patients with </w:t>
      </w:r>
      <w:r w:rsidRPr="00170052">
        <w:rPr>
          <w:rFonts w:eastAsia="AdvOT678fd422" w:cs="AdvOT678fd422"/>
          <w:b/>
          <w:color w:val="FF0000"/>
          <w:kern w:val="0"/>
          <w:sz w:val="24"/>
          <w:szCs w:val="24"/>
        </w:rPr>
        <w:t>no hepatocarcinogenesis (Group A), multistep hepatocarcinogenesis (Group B)</w:t>
      </w:r>
      <w:r w:rsidR="00B7480F" w:rsidRPr="00170052">
        <w:rPr>
          <w:rFonts w:eastAsia="AdvOT678fd422" w:cs="AdvOT678fd422"/>
          <w:b/>
          <w:color w:val="FF0000"/>
          <w:kern w:val="0"/>
          <w:sz w:val="24"/>
          <w:szCs w:val="24"/>
        </w:rPr>
        <w:t>,</w:t>
      </w:r>
      <w:r w:rsidRPr="00170052">
        <w:rPr>
          <w:rFonts w:eastAsia="AdvOT678fd422" w:cs="AdvOT678fd422"/>
          <w:b/>
          <w:color w:val="FF0000"/>
          <w:kern w:val="0"/>
          <w:sz w:val="24"/>
          <w:szCs w:val="24"/>
        </w:rPr>
        <w:t xml:space="preserve"> and de novo hepatocarcinogenesis (Group C)</w:t>
      </w:r>
    </w:p>
    <w:p w14:paraId="3D662BF9" w14:textId="355B8330" w:rsidR="00170052" w:rsidRDefault="00170052" w:rsidP="00C37D9F">
      <w:pPr>
        <w:autoSpaceDE w:val="0"/>
        <w:autoSpaceDN w:val="0"/>
        <w:adjustRightInd w:val="0"/>
        <w:spacing w:line="480" w:lineRule="auto"/>
        <w:jc w:val="left"/>
        <w:rPr>
          <w:rStyle w:val="tlid-translation"/>
          <w:color w:val="00B0F0"/>
          <w:sz w:val="24"/>
          <w:szCs w:val="24"/>
          <w:lang w:val="en"/>
        </w:rPr>
      </w:pPr>
      <w:r w:rsidRPr="00B45407">
        <w:rPr>
          <w:rFonts w:eastAsia="AdvOT678fd422" w:cs="AdvOT678fd422"/>
          <w:color w:val="00B0F0"/>
          <w:kern w:val="0"/>
          <w:sz w:val="24"/>
          <w:szCs w:val="24"/>
        </w:rPr>
        <w:t xml:space="preserve">This is the second big issue.  </w:t>
      </w:r>
      <w:r w:rsidRPr="00B45407">
        <w:rPr>
          <w:rFonts w:cs="AdvGulliv-R"/>
          <w:color w:val="00B0F0"/>
          <w:kern w:val="0"/>
          <w:sz w:val="24"/>
          <w:szCs w:val="24"/>
        </w:rPr>
        <w:t xml:space="preserve">The purpose of this study was ‘to </w:t>
      </w:r>
      <w:r w:rsidRPr="00B45407">
        <w:rPr>
          <w:rStyle w:val="tlid-translation"/>
          <w:color w:val="00B0F0"/>
          <w:sz w:val="24"/>
          <w:szCs w:val="24"/>
          <w:lang w:val="en"/>
        </w:rPr>
        <w:t>use serial Gd-EOB-MRI</w:t>
      </w:r>
      <w:r w:rsidRPr="00B45407">
        <w:rPr>
          <w:rFonts w:cs="AdvGulliv-R"/>
          <w:color w:val="00B0F0"/>
          <w:kern w:val="0"/>
          <w:sz w:val="24"/>
          <w:szCs w:val="24"/>
        </w:rPr>
        <w:t xml:space="preserve"> to reveal whether HCV eradication suppressed hepatocarcinogenesis’</w:t>
      </w:r>
      <w:r w:rsidR="00B45407" w:rsidRPr="00B45407">
        <w:rPr>
          <w:rFonts w:cs="AdvGulliv-R"/>
          <w:color w:val="00B0F0"/>
          <w:kern w:val="0"/>
          <w:sz w:val="24"/>
          <w:szCs w:val="24"/>
        </w:rPr>
        <w:t xml:space="preserve"> [Page 8].</w:t>
      </w:r>
      <w:r w:rsidRPr="00B45407">
        <w:rPr>
          <w:rStyle w:val="tlid-translation"/>
          <w:color w:val="00B0F0"/>
          <w:sz w:val="24"/>
          <w:szCs w:val="24"/>
          <w:lang w:val="en"/>
        </w:rPr>
        <w:t xml:space="preserve">  </w:t>
      </w:r>
      <w:r w:rsidR="00B45407" w:rsidRPr="00B45407">
        <w:rPr>
          <w:rStyle w:val="tlid-translation"/>
          <w:color w:val="00B0F0"/>
          <w:sz w:val="24"/>
          <w:szCs w:val="24"/>
          <w:lang w:val="en"/>
        </w:rPr>
        <w:t xml:space="preserve">So, you have to deal with this question first i.e. to compare A vs B+C. </w:t>
      </w:r>
    </w:p>
    <w:p w14:paraId="12C4A25B" w14:textId="2E9585EB" w:rsidR="00B45407" w:rsidRDefault="00B45407" w:rsidP="00C37D9F">
      <w:pPr>
        <w:autoSpaceDE w:val="0"/>
        <w:autoSpaceDN w:val="0"/>
        <w:adjustRightInd w:val="0"/>
        <w:spacing w:line="480" w:lineRule="auto"/>
        <w:jc w:val="left"/>
        <w:rPr>
          <w:rStyle w:val="tlid-translation"/>
          <w:color w:val="00B0F0"/>
          <w:sz w:val="24"/>
          <w:szCs w:val="24"/>
          <w:lang w:val="en"/>
        </w:rPr>
      </w:pPr>
      <w:r>
        <w:rPr>
          <w:rStyle w:val="tlid-translation"/>
          <w:color w:val="00B0F0"/>
          <w:sz w:val="24"/>
          <w:szCs w:val="24"/>
          <w:lang w:val="en"/>
        </w:rPr>
        <w:t xml:space="preserve">Then you can talk about de novo and multistep carcinogenesis is a clearly separated section of the results. </w:t>
      </w:r>
      <w:r w:rsidR="006F3213">
        <w:rPr>
          <w:rStyle w:val="tlid-translation"/>
          <w:color w:val="00B0F0"/>
          <w:sz w:val="24"/>
          <w:szCs w:val="24"/>
          <w:lang w:val="en"/>
        </w:rPr>
        <w:t xml:space="preserve">As it stands the message is not clear because you are discussing two separate issues  - the impact o HCV eradication on hepatocarcinogenesis and the pathways to carcinogenesis – direct or de novo. </w:t>
      </w:r>
    </w:p>
    <w:p w14:paraId="2245CB83" w14:textId="77777777" w:rsidR="00B45407" w:rsidRPr="00B45407" w:rsidRDefault="00B45407" w:rsidP="00C37D9F">
      <w:pPr>
        <w:autoSpaceDE w:val="0"/>
        <w:autoSpaceDN w:val="0"/>
        <w:adjustRightInd w:val="0"/>
        <w:spacing w:line="480" w:lineRule="auto"/>
        <w:jc w:val="left"/>
        <w:rPr>
          <w:rFonts w:eastAsia="AdvOT678fd422" w:cs="AdvOT678fd422"/>
          <w:color w:val="00B0F0"/>
          <w:kern w:val="0"/>
          <w:sz w:val="24"/>
          <w:szCs w:val="24"/>
        </w:rPr>
      </w:pPr>
    </w:p>
    <w:p w14:paraId="2702B498" w14:textId="2DD6E8BC" w:rsidR="00170052" w:rsidRPr="00B45407" w:rsidRDefault="00170052" w:rsidP="00C37D9F">
      <w:pPr>
        <w:autoSpaceDE w:val="0"/>
        <w:autoSpaceDN w:val="0"/>
        <w:adjustRightInd w:val="0"/>
        <w:spacing w:line="480" w:lineRule="auto"/>
        <w:jc w:val="left"/>
        <w:rPr>
          <w:rFonts w:eastAsia="AdvOT678fd422" w:cs="AdvOT678fd422"/>
          <w:color w:val="00B0F0"/>
          <w:kern w:val="0"/>
          <w:sz w:val="24"/>
          <w:szCs w:val="24"/>
        </w:rPr>
      </w:pPr>
    </w:p>
    <w:p w14:paraId="28AB5302" w14:textId="77777777" w:rsidR="00170052" w:rsidRPr="006964C9" w:rsidRDefault="00170052" w:rsidP="00C37D9F">
      <w:pPr>
        <w:autoSpaceDE w:val="0"/>
        <w:autoSpaceDN w:val="0"/>
        <w:adjustRightInd w:val="0"/>
        <w:spacing w:line="480" w:lineRule="auto"/>
        <w:jc w:val="left"/>
        <w:rPr>
          <w:rFonts w:eastAsia="AdvOT678fd422" w:cs="AdvOT678fd422"/>
          <w:b/>
          <w:color w:val="231F20"/>
          <w:kern w:val="0"/>
          <w:sz w:val="24"/>
          <w:szCs w:val="24"/>
        </w:rPr>
      </w:pPr>
    </w:p>
    <w:p w14:paraId="5AB5BF19" w14:textId="59A153FA" w:rsidR="00C37D9F" w:rsidRPr="006964C9" w:rsidRDefault="00C37D9F" w:rsidP="00C37D9F">
      <w:pPr>
        <w:autoSpaceDE w:val="0"/>
        <w:autoSpaceDN w:val="0"/>
        <w:adjustRightInd w:val="0"/>
        <w:spacing w:line="480" w:lineRule="auto"/>
        <w:jc w:val="left"/>
        <w:rPr>
          <w:rStyle w:val="tlid-translation"/>
          <w:sz w:val="24"/>
          <w:szCs w:val="24"/>
          <w:lang w:val="en"/>
        </w:rPr>
      </w:pPr>
      <w:r w:rsidRPr="006964C9">
        <w:rPr>
          <w:rFonts w:eastAsia="AdvOT678fd422" w:cs="AdvOT678fd422"/>
          <w:color w:val="231F20"/>
          <w:kern w:val="0"/>
          <w:sz w:val="24"/>
          <w:szCs w:val="24"/>
        </w:rPr>
        <w:tab/>
      </w:r>
      <w:r w:rsidR="00B7480F" w:rsidRPr="006964C9">
        <w:rPr>
          <w:rFonts w:eastAsia="AdvOT678fd422" w:cs="AdvOT678fd422"/>
          <w:color w:val="231F20"/>
          <w:kern w:val="0"/>
          <w:sz w:val="24"/>
          <w:szCs w:val="24"/>
        </w:rPr>
        <w:t>Hepatocarcinogenesis</w:t>
      </w:r>
      <w:r w:rsidRPr="006964C9">
        <w:rPr>
          <w:rFonts w:eastAsia="AdvOT678fd422" w:cs="AdvOT678fd422"/>
          <w:color w:val="231F20"/>
          <w:kern w:val="0"/>
          <w:sz w:val="24"/>
          <w:szCs w:val="24"/>
        </w:rPr>
        <w:t xml:space="preserve"> </w:t>
      </w:r>
      <w:r w:rsidR="00B7480F" w:rsidRPr="006964C9">
        <w:rPr>
          <w:rFonts w:eastAsia="AdvOT678fd422" w:cs="AdvOT678fd422"/>
          <w:color w:val="231F20"/>
          <w:kern w:val="0"/>
          <w:sz w:val="24"/>
          <w:szCs w:val="24"/>
        </w:rPr>
        <w:t xml:space="preserve">was </w:t>
      </w:r>
      <w:r w:rsidRPr="006964C9">
        <w:rPr>
          <w:rFonts w:eastAsia="AdvOT678fd422" w:cs="AdvOT678fd422"/>
          <w:color w:val="231F20"/>
          <w:kern w:val="0"/>
          <w:sz w:val="24"/>
          <w:szCs w:val="24"/>
        </w:rPr>
        <w:t xml:space="preserve">observed </w:t>
      </w:r>
      <w:r w:rsidR="00B7480F" w:rsidRPr="006964C9">
        <w:rPr>
          <w:rFonts w:eastAsia="AdvOT678fd422" w:cs="AdvOT678fd422"/>
          <w:color w:val="231F20"/>
          <w:kern w:val="0"/>
          <w:sz w:val="24"/>
          <w:szCs w:val="24"/>
        </w:rPr>
        <w:t xml:space="preserve">in </w:t>
      </w:r>
      <w:r w:rsidRPr="006964C9">
        <w:rPr>
          <w:rFonts w:eastAsia="AdvOT678fd422" w:cs="AdvOT678fd422"/>
          <w:color w:val="231F20"/>
          <w:kern w:val="0"/>
          <w:sz w:val="24"/>
          <w:szCs w:val="24"/>
        </w:rPr>
        <w:t xml:space="preserve">67 of 719 </w:t>
      </w:r>
      <w:r w:rsidR="00B7480F" w:rsidRPr="006964C9">
        <w:rPr>
          <w:rFonts w:eastAsia="AdvOT678fd422" w:cs="AdvOT678fd422"/>
          <w:color w:val="231F20"/>
          <w:kern w:val="0"/>
          <w:sz w:val="24"/>
          <w:szCs w:val="24"/>
        </w:rPr>
        <w:t xml:space="preserve">(9.3%) </w:t>
      </w:r>
      <w:r w:rsidRPr="006964C9">
        <w:rPr>
          <w:rFonts w:eastAsia="AdvOT678fd422" w:cs="AdvOT678fd422"/>
          <w:color w:val="231F20"/>
          <w:kern w:val="0"/>
          <w:sz w:val="24"/>
          <w:szCs w:val="24"/>
        </w:rPr>
        <w:t>patients during follow-up pe</w:t>
      </w:r>
      <w:r w:rsidRPr="006964C9">
        <w:rPr>
          <w:rFonts w:eastAsia="AdvOT678fd422" w:cs="AdvOT678fd422"/>
          <w:color w:val="231F20"/>
          <w:kern w:val="0"/>
          <w:sz w:val="24"/>
          <w:szCs w:val="24"/>
        </w:rPr>
        <w:lastRenderedPageBreak/>
        <w:t>riod. Multistep hepatocar</w:t>
      </w:r>
      <w:r w:rsidR="00B7480F" w:rsidRPr="006964C9">
        <w:rPr>
          <w:rFonts w:eastAsia="AdvOT678fd422" w:cs="AdvOT678fd422"/>
          <w:color w:val="231F20"/>
          <w:kern w:val="0"/>
          <w:sz w:val="24"/>
          <w:szCs w:val="24"/>
        </w:rPr>
        <w:t>c</w:t>
      </w:r>
      <w:r w:rsidRPr="006964C9">
        <w:rPr>
          <w:rFonts w:eastAsia="AdvOT678fd422" w:cs="AdvOT678fd422"/>
          <w:color w:val="231F20"/>
          <w:kern w:val="0"/>
          <w:sz w:val="24"/>
          <w:szCs w:val="24"/>
        </w:rPr>
        <w:t>inogen</w:t>
      </w:r>
      <w:r w:rsidR="00B7480F" w:rsidRPr="006964C9">
        <w:rPr>
          <w:rFonts w:eastAsia="AdvOT678fd422" w:cs="AdvOT678fd422"/>
          <w:color w:val="231F20"/>
          <w:kern w:val="0"/>
          <w:sz w:val="24"/>
          <w:szCs w:val="24"/>
        </w:rPr>
        <w:t>e</w:t>
      </w:r>
      <w:r w:rsidRPr="006964C9">
        <w:rPr>
          <w:rFonts w:eastAsia="AdvOT678fd422" w:cs="AdvOT678fd422"/>
          <w:color w:val="231F20"/>
          <w:kern w:val="0"/>
          <w:sz w:val="24"/>
          <w:szCs w:val="24"/>
        </w:rPr>
        <w:t>si</w:t>
      </w:r>
      <w:r w:rsidR="00B7480F" w:rsidRPr="006964C9">
        <w:rPr>
          <w:rFonts w:eastAsia="AdvOT678fd422" w:cs="AdvOT678fd422"/>
          <w:color w:val="231F20"/>
          <w:kern w:val="0"/>
          <w:sz w:val="24"/>
          <w:szCs w:val="24"/>
        </w:rPr>
        <w:t>s</w:t>
      </w:r>
      <w:r w:rsidRPr="006964C9">
        <w:rPr>
          <w:rFonts w:eastAsia="AdvOT678fd422" w:cs="AdvOT678fd422"/>
          <w:color w:val="231F20"/>
          <w:kern w:val="0"/>
          <w:sz w:val="24"/>
          <w:szCs w:val="24"/>
        </w:rPr>
        <w:t xml:space="preserve"> </w:t>
      </w:r>
      <w:r w:rsidR="00B7480F" w:rsidRPr="006964C9">
        <w:rPr>
          <w:rFonts w:eastAsia="AdvOT678fd422" w:cs="AdvOT678fd422"/>
          <w:color w:val="231F20"/>
          <w:kern w:val="0"/>
          <w:sz w:val="24"/>
          <w:szCs w:val="24"/>
        </w:rPr>
        <w:t>occurred in</w:t>
      </w:r>
      <w:r w:rsidRPr="006964C9">
        <w:rPr>
          <w:rFonts w:eastAsia="AdvOT678fd422" w:cs="AdvOT678fd422"/>
          <w:color w:val="231F20"/>
          <w:kern w:val="0"/>
          <w:sz w:val="24"/>
          <w:szCs w:val="24"/>
        </w:rPr>
        <w:t xml:space="preserve"> 58 patients (86.6%) and de novo </w:t>
      </w:r>
      <w:r w:rsidR="00B7480F" w:rsidRPr="006964C9">
        <w:rPr>
          <w:rFonts w:eastAsia="AdvOT678fd422" w:cs="AdvOT678fd422"/>
          <w:color w:val="231F20"/>
          <w:kern w:val="0"/>
          <w:sz w:val="24"/>
          <w:szCs w:val="24"/>
        </w:rPr>
        <w:t>hepatocarcinogenesis occurred in</w:t>
      </w:r>
      <w:r w:rsidRPr="006964C9">
        <w:rPr>
          <w:rFonts w:eastAsia="AdvOT678fd422" w:cs="AdvOT678fd422"/>
          <w:color w:val="231F20"/>
          <w:kern w:val="0"/>
          <w:sz w:val="24"/>
          <w:szCs w:val="24"/>
        </w:rPr>
        <w:t xml:space="preserve"> </w:t>
      </w:r>
      <w:r w:rsidR="00D72165" w:rsidRPr="006964C9">
        <w:rPr>
          <w:rFonts w:eastAsia="AdvOT678fd422" w:cs="AdvOT678fd422"/>
          <w:color w:val="231F20"/>
          <w:kern w:val="0"/>
          <w:sz w:val="24"/>
          <w:szCs w:val="24"/>
        </w:rPr>
        <w:t xml:space="preserve">nine </w:t>
      </w:r>
      <w:r w:rsidRPr="006964C9">
        <w:rPr>
          <w:rFonts w:eastAsia="AdvOT678fd422" w:cs="AdvOT678fd422"/>
          <w:color w:val="231F20"/>
          <w:kern w:val="0"/>
          <w:sz w:val="24"/>
          <w:szCs w:val="24"/>
        </w:rPr>
        <w:t xml:space="preserve">patients (13.4%) (Figure 4). Among the latter, </w:t>
      </w:r>
      <w:r w:rsidR="00D72165" w:rsidRPr="006964C9">
        <w:rPr>
          <w:rFonts w:eastAsia="AdvOT678fd422" w:cs="AdvOT678fd422"/>
          <w:color w:val="231F20"/>
          <w:kern w:val="0"/>
          <w:sz w:val="24"/>
          <w:szCs w:val="24"/>
        </w:rPr>
        <w:t xml:space="preserve">seven </w:t>
      </w:r>
      <w:r w:rsidRPr="006964C9">
        <w:rPr>
          <w:rFonts w:eastAsia="AdvOT678fd422" w:cs="AdvOT678fd422"/>
          <w:color w:val="231F20"/>
          <w:kern w:val="0"/>
          <w:sz w:val="24"/>
          <w:szCs w:val="24"/>
        </w:rPr>
        <w:t xml:space="preserve">patients showed hypervascular </w:t>
      </w:r>
      <w:r w:rsidR="00D72165" w:rsidRPr="006964C9">
        <w:rPr>
          <w:rFonts w:eastAsia="AdvOT678fd422" w:cs="AdvOT678fd422"/>
          <w:color w:val="231F20"/>
          <w:kern w:val="0"/>
          <w:sz w:val="24"/>
          <w:szCs w:val="24"/>
        </w:rPr>
        <w:t xml:space="preserve">liver </w:t>
      </w:r>
      <w:r w:rsidRPr="006964C9">
        <w:rPr>
          <w:rFonts w:eastAsia="AdvOT678fd422" w:cs="AdvOT678fd422"/>
          <w:color w:val="231F20"/>
          <w:kern w:val="0"/>
          <w:sz w:val="24"/>
          <w:szCs w:val="24"/>
        </w:rPr>
        <w:t xml:space="preserve">nodules </w:t>
      </w:r>
      <w:r w:rsidRPr="006964C9">
        <w:rPr>
          <w:rStyle w:val="tlid-translation"/>
          <w:sz w:val="24"/>
          <w:szCs w:val="24"/>
          <w:lang w:val="en"/>
        </w:rPr>
        <w:t xml:space="preserve">without </w:t>
      </w:r>
      <w:r w:rsidRPr="006964C9">
        <w:rPr>
          <w:rFonts w:eastAsia="AdvOT678fd422" w:cs="AdvOT678fd422"/>
          <w:color w:val="231F20"/>
          <w:kern w:val="0"/>
          <w:sz w:val="24"/>
          <w:szCs w:val="24"/>
        </w:rPr>
        <w:t xml:space="preserve">preexisting </w:t>
      </w:r>
      <w:r w:rsidRPr="006964C9">
        <w:rPr>
          <w:rStyle w:val="tlid-translation"/>
          <w:sz w:val="24"/>
          <w:szCs w:val="24"/>
          <w:lang w:val="en"/>
        </w:rPr>
        <w:t xml:space="preserve">NHHNs, and the remaining </w:t>
      </w:r>
      <w:r w:rsidR="00D72165" w:rsidRPr="006964C9">
        <w:rPr>
          <w:rStyle w:val="tlid-translation"/>
          <w:sz w:val="24"/>
          <w:szCs w:val="24"/>
          <w:lang w:val="en"/>
        </w:rPr>
        <w:t xml:space="preserve">two </w:t>
      </w:r>
      <w:r w:rsidRPr="006964C9">
        <w:rPr>
          <w:rStyle w:val="tlid-translation"/>
          <w:sz w:val="24"/>
          <w:szCs w:val="24"/>
          <w:lang w:val="en"/>
        </w:rPr>
        <w:t xml:space="preserve">patients </w:t>
      </w:r>
      <w:r w:rsidR="008548CA" w:rsidRPr="006964C9">
        <w:rPr>
          <w:rStyle w:val="tlid-translation"/>
          <w:sz w:val="24"/>
          <w:szCs w:val="24"/>
          <w:lang w:val="en"/>
        </w:rPr>
        <w:t xml:space="preserve">demonstrated </w:t>
      </w:r>
      <w:r w:rsidRPr="006964C9">
        <w:rPr>
          <w:rFonts w:eastAsia="AdvOT678fd422" w:cs="AdvOT678fd422"/>
          <w:color w:val="231F20"/>
          <w:kern w:val="0"/>
          <w:sz w:val="24"/>
          <w:szCs w:val="24"/>
        </w:rPr>
        <w:t xml:space="preserve">hypervascular nodules at a different site from the NHHNs. </w:t>
      </w:r>
      <w:r w:rsidRPr="006964C9">
        <w:rPr>
          <w:rStyle w:val="tlid-translation"/>
          <w:sz w:val="24"/>
          <w:szCs w:val="24"/>
          <w:lang w:val="en"/>
        </w:rPr>
        <w:t xml:space="preserve">The incidence rates of </w:t>
      </w:r>
      <w:r w:rsidRPr="006964C9">
        <w:rPr>
          <w:rFonts w:eastAsia="AdvOT678fd422" w:cs="AdvOT678fd422"/>
          <w:color w:val="231F20"/>
          <w:kern w:val="0"/>
          <w:sz w:val="24"/>
          <w:szCs w:val="24"/>
        </w:rPr>
        <w:t xml:space="preserve">multistep </w:t>
      </w:r>
      <w:r w:rsidRPr="006964C9">
        <w:rPr>
          <w:rStyle w:val="tlid-translation"/>
          <w:sz w:val="24"/>
          <w:szCs w:val="24"/>
          <w:lang w:val="en"/>
        </w:rPr>
        <w:t xml:space="preserve">and </w:t>
      </w:r>
      <w:r w:rsidRPr="006964C9">
        <w:rPr>
          <w:rFonts w:eastAsia="AdvOT678fd422" w:cs="AdvOT678fd422"/>
          <w:color w:val="231F20"/>
          <w:kern w:val="0"/>
          <w:sz w:val="24"/>
          <w:szCs w:val="24"/>
        </w:rPr>
        <w:t xml:space="preserve">de novo </w:t>
      </w:r>
      <w:r w:rsidR="00D72165" w:rsidRPr="006964C9">
        <w:rPr>
          <w:rFonts w:eastAsia="AdvOT678fd422" w:cs="AdvOT678fd422"/>
          <w:color w:val="231F20"/>
          <w:kern w:val="0"/>
          <w:sz w:val="24"/>
          <w:szCs w:val="24"/>
        </w:rPr>
        <w:t xml:space="preserve">hepatocarcinogenesis </w:t>
      </w:r>
      <w:r w:rsidR="00D72165" w:rsidRPr="006964C9">
        <w:rPr>
          <w:rStyle w:val="tlid-translation"/>
          <w:sz w:val="24"/>
          <w:szCs w:val="24"/>
          <w:lang w:val="en"/>
        </w:rPr>
        <w:t>were 11.2% and 2.0% at 3 years, respectively, and</w:t>
      </w:r>
      <w:r w:rsidRPr="006964C9">
        <w:rPr>
          <w:rStyle w:val="tlid-translation"/>
          <w:sz w:val="24"/>
          <w:szCs w:val="24"/>
          <w:lang w:val="en"/>
        </w:rPr>
        <w:t xml:space="preserve"> 21.2% and 3.6%</w:t>
      </w:r>
      <w:r w:rsidR="00D72165" w:rsidRPr="006964C9">
        <w:rPr>
          <w:rStyle w:val="tlid-translation"/>
          <w:sz w:val="24"/>
          <w:szCs w:val="24"/>
          <w:lang w:val="en"/>
        </w:rPr>
        <w:t xml:space="preserve"> at 5 years, </w:t>
      </w:r>
      <w:r w:rsidRPr="006964C9">
        <w:rPr>
          <w:rStyle w:val="tlid-translation"/>
          <w:sz w:val="24"/>
          <w:szCs w:val="24"/>
          <w:lang w:val="en"/>
        </w:rPr>
        <w:t>respectively (Figure 5).</w:t>
      </w:r>
    </w:p>
    <w:p w14:paraId="0970FCC0" w14:textId="43B548A1" w:rsidR="00C37D9F" w:rsidRPr="006964C9" w:rsidRDefault="00C37D9F" w:rsidP="00C37D9F">
      <w:pPr>
        <w:autoSpaceDE w:val="0"/>
        <w:autoSpaceDN w:val="0"/>
        <w:adjustRightInd w:val="0"/>
        <w:spacing w:line="480" w:lineRule="auto"/>
        <w:jc w:val="left"/>
        <w:rPr>
          <w:sz w:val="24"/>
          <w:szCs w:val="24"/>
          <w:lang w:val="en"/>
        </w:rPr>
      </w:pPr>
      <w:r w:rsidRPr="006964C9">
        <w:rPr>
          <w:rStyle w:val="tlid-translation"/>
          <w:sz w:val="24"/>
          <w:szCs w:val="24"/>
          <w:lang w:val="en"/>
        </w:rPr>
        <w:tab/>
        <w:t xml:space="preserve">Table 1 shows </w:t>
      </w:r>
      <w:r w:rsidR="00D72165" w:rsidRPr="006964C9">
        <w:rPr>
          <w:rStyle w:val="tlid-translation"/>
          <w:sz w:val="24"/>
          <w:szCs w:val="24"/>
          <w:lang w:val="en"/>
        </w:rPr>
        <w:t xml:space="preserve">the </w:t>
      </w:r>
      <w:r w:rsidRPr="006964C9">
        <w:rPr>
          <w:rStyle w:val="tlid-translation"/>
          <w:sz w:val="24"/>
          <w:szCs w:val="24"/>
          <w:lang w:val="en"/>
        </w:rPr>
        <w:t xml:space="preserve">patient characteristics among </w:t>
      </w:r>
      <w:r w:rsidR="00D72165" w:rsidRPr="006964C9">
        <w:rPr>
          <w:rStyle w:val="tlid-translation"/>
          <w:sz w:val="24"/>
          <w:szCs w:val="24"/>
          <w:lang w:val="en"/>
        </w:rPr>
        <w:t xml:space="preserve">the </w:t>
      </w:r>
      <w:r w:rsidRPr="006964C9">
        <w:rPr>
          <w:rStyle w:val="tlid-translation"/>
          <w:sz w:val="24"/>
          <w:szCs w:val="24"/>
          <w:lang w:val="en"/>
        </w:rPr>
        <w:t xml:space="preserve">three groups at the start of follow-up. AST, ALT, and DCP </w:t>
      </w:r>
      <w:r w:rsidR="00C167D4" w:rsidRPr="006964C9">
        <w:rPr>
          <w:rStyle w:val="tlid-translation"/>
          <w:sz w:val="24"/>
          <w:szCs w:val="24"/>
          <w:lang w:val="en"/>
        </w:rPr>
        <w:t>were</w:t>
      </w:r>
      <w:r w:rsidR="00D72165" w:rsidRPr="006964C9">
        <w:rPr>
          <w:rStyle w:val="tlid-translation"/>
          <w:sz w:val="24"/>
          <w:szCs w:val="24"/>
          <w:lang w:val="en"/>
        </w:rPr>
        <w:t xml:space="preserve"> </w:t>
      </w:r>
      <w:r w:rsidRPr="006964C9">
        <w:rPr>
          <w:rStyle w:val="tlid-translation"/>
          <w:sz w:val="24"/>
          <w:szCs w:val="24"/>
          <w:lang w:val="en"/>
        </w:rPr>
        <w:t>significantly higher in Group B than in Group</w:t>
      </w:r>
      <w:r w:rsidR="00D72165" w:rsidRPr="006964C9">
        <w:rPr>
          <w:rStyle w:val="tlid-translation"/>
          <w:sz w:val="24"/>
          <w:szCs w:val="24"/>
          <w:lang w:val="en"/>
        </w:rPr>
        <w:t>s</w:t>
      </w:r>
      <w:r w:rsidRPr="006964C9">
        <w:rPr>
          <w:rStyle w:val="tlid-translation"/>
          <w:sz w:val="24"/>
          <w:szCs w:val="24"/>
          <w:lang w:val="en"/>
        </w:rPr>
        <w:t xml:space="preserve"> A and C (p&lt;0.001). Total bilirubin, FIB-4, and AFP </w:t>
      </w:r>
      <w:r w:rsidR="00C167D4" w:rsidRPr="006964C9">
        <w:rPr>
          <w:rStyle w:val="tlid-translation"/>
          <w:sz w:val="24"/>
          <w:szCs w:val="24"/>
          <w:lang w:val="en"/>
        </w:rPr>
        <w:t xml:space="preserve">were </w:t>
      </w:r>
      <w:r w:rsidRPr="006964C9">
        <w:rPr>
          <w:rStyle w:val="tlid-translation"/>
          <w:sz w:val="24"/>
          <w:szCs w:val="24"/>
          <w:lang w:val="en"/>
        </w:rPr>
        <w:t>significantly higher in Group</w:t>
      </w:r>
      <w:r w:rsidR="00C167D4" w:rsidRPr="006964C9">
        <w:rPr>
          <w:rStyle w:val="tlid-translation"/>
          <w:sz w:val="24"/>
          <w:szCs w:val="24"/>
          <w:lang w:val="en"/>
        </w:rPr>
        <w:t>s</w:t>
      </w:r>
      <w:r w:rsidRPr="006964C9">
        <w:rPr>
          <w:rStyle w:val="tlid-translation"/>
          <w:sz w:val="24"/>
          <w:szCs w:val="24"/>
          <w:lang w:val="en"/>
        </w:rPr>
        <w:t xml:space="preserve"> B and C than in Group A (p&lt;0.001). Albumin and platelet counts </w:t>
      </w:r>
      <w:r w:rsidR="00C167D4" w:rsidRPr="006964C9">
        <w:rPr>
          <w:rStyle w:val="tlid-translation"/>
          <w:sz w:val="24"/>
          <w:szCs w:val="24"/>
          <w:lang w:val="en"/>
        </w:rPr>
        <w:t xml:space="preserve">were </w:t>
      </w:r>
      <w:r w:rsidRPr="006964C9">
        <w:rPr>
          <w:rStyle w:val="tlid-translation"/>
          <w:sz w:val="24"/>
          <w:szCs w:val="24"/>
          <w:lang w:val="en"/>
        </w:rPr>
        <w:t>significantly lower in Group</w:t>
      </w:r>
      <w:r w:rsidR="00C167D4" w:rsidRPr="006964C9">
        <w:rPr>
          <w:rStyle w:val="tlid-translation"/>
          <w:sz w:val="24"/>
          <w:szCs w:val="24"/>
          <w:lang w:val="en"/>
        </w:rPr>
        <w:t>s</w:t>
      </w:r>
      <w:r w:rsidRPr="006964C9">
        <w:rPr>
          <w:rStyle w:val="tlid-translation"/>
          <w:sz w:val="24"/>
          <w:szCs w:val="24"/>
          <w:lang w:val="en"/>
        </w:rPr>
        <w:t xml:space="preserve"> B and C than in Group A (p&lt;0.001). AFP-L3% </w:t>
      </w:r>
      <w:r w:rsidR="00C167D4" w:rsidRPr="006964C9">
        <w:rPr>
          <w:rStyle w:val="tlid-translation"/>
          <w:sz w:val="24"/>
          <w:szCs w:val="24"/>
          <w:lang w:val="en"/>
        </w:rPr>
        <w:t xml:space="preserve">was </w:t>
      </w:r>
      <w:r w:rsidRPr="006964C9">
        <w:rPr>
          <w:rStyle w:val="tlid-translation"/>
          <w:sz w:val="24"/>
          <w:szCs w:val="24"/>
          <w:lang w:val="en"/>
        </w:rPr>
        <w:t>significantly higher in Group C than in Group</w:t>
      </w:r>
      <w:r w:rsidR="00C167D4" w:rsidRPr="006964C9">
        <w:rPr>
          <w:rStyle w:val="tlid-translation"/>
          <w:sz w:val="24"/>
          <w:szCs w:val="24"/>
          <w:lang w:val="en"/>
        </w:rPr>
        <w:t>s</w:t>
      </w:r>
      <w:r w:rsidRPr="006964C9">
        <w:rPr>
          <w:rStyle w:val="tlid-translation"/>
          <w:sz w:val="24"/>
          <w:szCs w:val="24"/>
          <w:lang w:val="en"/>
        </w:rPr>
        <w:t xml:space="preserve"> A and B (p&lt;0.001).</w:t>
      </w:r>
    </w:p>
    <w:p w14:paraId="4E9CFCFC" w14:textId="2274D9CF" w:rsidR="00C37D9F" w:rsidRPr="006964C9" w:rsidRDefault="00C37D9F" w:rsidP="00C37D9F">
      <w:pPr>
        <w:autoSpaceDE w:val="0"/>
        <w:autoSpaceDN w:val="0"/>
        <w:adjustRightInd w:val="0"/>
        <w:spacing w:line="480" w:lineRule="auto"/>
        <w:jc w:val="left"/>
        <w:rPr>
          <w:rFonts w:eastAsia="AdvOT678fd422" w:cs="AdvOT678fd422"/>
          <w:b/>
          <w:color w:val="231F20"/>
          <w:kern w:val="0"/>
          <w:sz w:val="24"/>
          <w:szCs w:val="24"/>
        </w:rPr>
      </w:pPr>
      <w:r w:rsidRPr="006964C9">
        <w:rPr>
          <w:rFonts w:eastAsia="AdvOT678fd422" w:cs="AdvOT678fd422"/>
          <w:b/>
          <w:color w:val="231F20"/>
          <w:kern w:val="0"/>
          <w:sz w:val="24"/>
          <w:szCs w:val="24"/>
        </w:rPr>
        <w:t xml:space="preserve">Factors associated </w:t>
      </w:r>
      <w:r w:rsidR="00C167D4" w:rsidRPr="006964C9">
        <w:rPr>
          <w:rFonts w:eastAsia="AdvOT678fd422" w:cs="AdvOT678fd422"/>
          <w:b/>
          <w:color w:val="231F20"/>
          <w:kern w:val="0"/>
          <w:sz w:val="24"/>
          <w:szCs w:val="24"/>
        </w:rPr>
        <w:t xml:space="preserve">with </w:t>
      </w:r>
      <w:r w:rsidRPr="006964C9">
        <w:rPr>
          <w:rFonts w:eastAsia="AdvOT678fd422" w:cs="AdvOT678fd422"/>
          <w:b/>
          <w:color w:val="231F20"/>
          <w:kern w:val="0"/>
          <w:sz w:val="24"/>
          <w:szCs w:val="24"/>
        </w:rPr>
        <w:t>multistep hepatocarcinogenesis</w:t>
      </w:r>
    </w:p>
    <w:p w14:paraId="77A221F7" w14:textId="182F1672" w:rsidR="00C37D9F" w:rsidRPr="006964C9" w:rsidRDefault="00C37D9F" w:rsidP="00C37D9F">
      <w:pPr>
        <w:autoSpaceDE w:val="0"/>
        <w:autoSpaceDN w:val="0"/>
        <w:adjustRightInd w:val="0"/>
        <w:spacing w:line="480" w:lineRule="auto"/>
        <w:jc w:val="left"/>
        <w:rPr>
          <w:rFonts w:ascii="Century" w:hAnsi="Century"/>
          <w:color w:val="000000" w:themeColor="text1"/>
          <w:kern w:val="24"/>
          <w:sz w:val="24"/>
          <w:szCs w:val="24"/>
        </w:rPr>
      </w:pPr>
      <w:r w:rsidRPr="006964C9">
        <w:rPr>
          <w:rFonts w:eastAsia="AdvOT678fd422" w:cs="AdvOT678fd422"/>
          <w:color w:val="231F20"/>
          <w:kern w:val="0"/>
          <w:sz w:val="24"/>
          <w:szCs w:val="24"/>
        </w:rPr>
        <w:tab/>
        <w:t xml:space="preserve">Table 2 shows </w:t>
      </w:r>
      <w:r w:rsidR="0088299E" w:rsidRPr="006964C9">
        <w:rPr>
          <w:rFonts w:eastAsia="AdvOT678fd422" w:cs="AdvOT678fd422"/>
          <w:color w:val="231F20"/>
          <w:kern w:val="0"/>
          <w:sz w:val="24"/>
          <w:szCs w:val="24"/>
        </w:rPr>
        <w:t xml:space="preserve">the </w:t>
      </w:r>
      <w:r w:rsidRPr="006964C9">
        <w:rPr>
          <w:rFonts w:eastAsia="AdvOT678fd422" w:cs="AdvOT678fd422"/>
          <w:color w:val="231F20"/>
          <w:kern w:val="0"/>
          <w:sz w:val="24"/>
          <w:szCs w:val="24"/>
        </w:rPr>
        <w:t xml:space="preserve">factors associated </w:t>
      </w:r>
      <w:r w:rsidR="003C4A73" w:rsidRPr="006964C9">
        <w:rPr>
          <w:rFonts w:eastAsia="AdvOT678fd422" w:cs="AdvOT678fd422"/>
          <w:color w:val="231F20"/>
          <w:kern w:val="0"/>
          <w:sz w:val="24"/>
          <w:szCs w:val="24"/>
        </w:rPr>
        <w:t xml:space="preserve">with </w:t>
      </w:r>
      <w:r w:rsidRPr="006964C9">
        <w:rPr>
          <w:rFonts w:eastAsia="AdvOT678fd422" w:cs="AdvOT678fd422"/>
          <w:color w:val="231F20"/>
          <w:kern w:val="0"/>
          <w:sz w:val="24"/>
          <w:szCs w:val="24"/>
        </w:rPr>
        <w:t xml:space="preserve">multistep hepatocarcinogenesis </w:t>
      </w:r>
      <w:r w:rsidR="003C4A73" w:rsidRPr="006964C9">
        <w:rPr>
          <w:rFonts w:eastAsia="AdvOT678fd422" w:cs="AdvOT678fd422"/>
          <w:color w:val="231F20"/>
          <w:kern w:val="0"/>
          <w:sz w:val="24"/>
          <w:szCs w:val="24"/>
        </w:rPr>
        <w:t xml:space="preserve">according to </w:t>
      </w:r>
      <w:r w:rsidRPr="006964C9">
        <w:rPr>
          <w:rFonts w:eastAsia="AdvOT678fd422" w:cs="AdvOT678fd422"/>
          <w:color w:val="231F20"/>
          <w:kern w:val="0"/>
          <w:sz w:val="24"/>
          <w:szCs w:val="24"/>
        </w:rPr>
        <w:t xml:space="preserve">Fine and Gray proportional hazards models. </w:t>
      </w:r>
      <w:r w:rsidRPr="006964C9">
        <w:rPr>
          <w:rStyle w:val="tlid-translation"/>
          <w:sz w:val="24"/>
          <w:szCs w:val="24"/>
          <w:lang w:val="en"/>
        </w:rPr>
        <w:t xml:space="preserve">Factors </w:t>
      </w:r>
      <w:r w:rsidR="003C4A73" w:rsidRPr="006964C9">
        <w:rPr>
          <w:rStyle w:val="tlid-translation"/>
          <w:sz w:val="24"/>
          <w:szCs w:val="24"/>
          <w:lang w:val="en"/>
        </w:rPr>
        <w:t>that were analyzed were</w:t>
      </w:r>
      <w:r w:rsidRPr="006964C9">
        <w:rPr>
          <w:rStyle w:val="tlid-translation"/>
          <w:sz w:val="24"/>
          <w:szCs w:val="24"/>
          <w:lang w:val="en"/>
        </w:rPr>
        <w:t xml:space="preserve"> age, gender, </w:t>
      </w:r>
      <w:r w:rsidRPr="006964C9">
        <w:rPr>
          <w:rStyle w:val="tlid-translation"/>
          <w:sz w:val="24"/>
          <w:szCs w:val="24"/>
          <w:lang w:val="en"/>
        </w:rPr>
        <w:lastRenderedPageBreak/>
        <w:t>therapy (non-DAA vs</w:t>
      </w:r>
      <w:r w:rsidR="00217E73" w:rsidRPr="006964C9">
        <w:rPr>
          <w:rStyle w:val="tlid-translation"/>
          <w:sz w:val="24"/>
          <w:szCs w:val="24"/>
          <w:lang w:val="en"/>
        </w:rPr>
        <w:t>.</w:t>
      </w:r>
      <w:r w:rsidRPr="006964C9">
        <w:rPr>
          <w:rStyle w:val="tlid-translation"/>
          <w:sz w:val="24"/>
          <w:szCs w:val="24"/>
          <w:lang w:val="en"/>
        </w:rPr>
        <w:t xml:space="preserve"> DAA), FIB-4, ALBI grade, </w:t>
      </w:r>
      <w:r w:rsidRPr="006964C9">
        <w:rPr>
          <w:rFonts w:eastAsia="Lato-Regular" w:cs="Lato-Regular"/>
          <w:kern w:val="0"/>
          <w:sz w:val="24"/>
          <w:szCs w:val="24"/>
        </w:rPr>
        <w:t>estimated glomerular filtration rate (eGFR), AFP, AFP-L3%, and DCP. Multivariate analysis showed that male</w:t>
      </w:r>
      <w:r w:rsidR="003C4A73" w:rsidRPr="006964C9">
        <w:rPr>
          <w:rFonts w:eastAsia="Lato-Regular" w:cs="Lato-Regular"/>
          <w:kern w:val="0"/>
          <w:sz w:val="24"/>
          <w:szCs w:val="24"/>
        </w:rPr>
        <w:t xml:space="preserve"> gender</w:t>
      </w:r>
      <w:r w:rsidRPr="006964C9">
        <w:rPr>
          <w:rFonts w:eastAsia="Lato-Regular" w:cs="Lato-Regular"/>
          <w:kern w:val="0"/>
          <w:sz w:val="24"/>
          <w:szCs w:val="24"/>
        </w:rPr>
        <w:t xml:space="preserve"> (HR, </w:t>
      </w:r>
      <w:r w:rsidRPr="006964C9">
        <w:rPr>
          <w:rFonts w:cs="Arial"/>
          <w:color w:val="000000" w:themeColor="text1"/>
          <w:kern w:val="24"/>
          <w:sz w:val="24"/>
          <w:szCs w:val="24"/>
        </w:rPr>
        <w:t xml:space="preserve">2.543; </w:t>
      </w:r>
      <w:r w:rsidRPr="006964C9">
        <w:rPr>
          <w:rFonts w:cs="Times_rm"/>
          <w:kern w:val="0"/>
          <w:sz w:val="24"/>
          <w:szCs w:val="24"/>
        </w:rPr>
        <w:t>95% confidence</w:t>
      </w:r>
      <w:r w:rsidRPr="006964C9">
        <w:rPr>
          <w:rFonts w:cs="Times_rm" w:hint="eastAsia"/>
          <w:kern w:val="0"/>
          <w:sz w:val="24"/>
          <w:szCs w:val="24"/>
        </w:rPr>
        <w:t xml:space="preserve"> </w:t>
      </w:r>
      <w:r w:rsidRPr="006964C9">
        <w:rPr>
          <w:rFonts w:cs="Times_rm"/>
          <w:kern w:val="0"/>
          <w:sz w:val="24"/>
          <w:szCs w:val="24"/>
        </w:rPr>
        <w:t>interval [CI]</w:t>
      </w:r>
      <w:r w:rsidRPr="006964C9">
        <w:rPr>
          <w:rFonts w:cs="Arial"/>
          <w:color w:val="000000" w:themeColor="text1"/>
          <w:kern w:val="24"/>
          <w:sz w:val="24"/>
          <w:szCs w:val="24"/>
        </w:rPr>
        <w:t xml:space="preserve">, </w:t>
      </w:r>
      <w:r w:rsidRPr="006964C9">
        <w:rPr>
          <w:rFonts w:ascii="Century" w:hAnsi="Century" w:cs="Arial"/>
          <w:color w:val="000000" w:themeColor="text1"/>
          <w:kern w:val="24"/>
          <w:sz w:val="24"/>
          <w:szCs w:val="24"/>
        </w:rPr>
        <w:t>1.645</w:t>
      </w:r>
      <w:r w:rsidR="00472805" w:rsidRPr="006964C9">
        <w:rPr>
          <w:rFonts w:ascii="Century" w:hAnsi="Century" w:cs="Arial"/>
          <w:color w:val="000000" w:themeColor="text1"/>
          <w:kern w:val="24"/>
          <w:sz w:val="24"/>
          <w:szCs w:val="24"/>
        </w:rPr>
        <w:t>–</w:t>
      </w:r>
      <w:r w:rsidRPr="006964C9">
        <w:rPr>
          <w:rFonts w:ascii="Century" w:hAnsi="Century" w:cs="Arial"/>
          <w:color w:val="000000" w:themeColor="text1"/>
          <w:kern w:val="24"/>
          <w:sz w:val="24"/>
          <w:szCs w:val="24"/>
        </w:rPr>
        <w:t xml:space="preserve">4.413; </w:t>
      </w:r>
      <w:r w:rsidR="003C4A73" w:rsidRPr="006964C9">
        <w:rPr>
          <w:rFonts w:ascii="Century" w:hAnsi="Century" w:cs="Arial"/>
          <w:color w:val="000000" w:themeColor="text1"/>
          <w:kern w:val="24"/>
          <w:sz w:val="24"/>
          <w:szCs w:val="24"/>
        </w:rPr>
        <w:t>p</w:t>
      </w:r>
      <w:r w:rsidRPr="006964C9">
        <w:rPr>
          <w:rFonts w:ascii="Century" w:hAnsi="Century" w:cs="Arial"/>
          <w:color w:val="000000" w:themeColor="text1"/>
          <w:kern w:val="24"/>
          <w:sz w:val="24"/>
          <w:szCs w:val="24"/>
        </w:rPr>
        <w:t>=</w:t>
      </w:r>
      <w:r w:rsidRPr="006964C9">
        <w:rPr>
          <w:rFonts w:ascii="Century" w:hAnsi="Century"/>
          <w:color w:val="000000" w:themeColor="text1"/>
          <w:kern w:val="24"/>
          <w:sz w:val="24"/>
          <w:szCs w:val="24"/>
        </w:rPr>
        <w:t>0.0070</w:t>
      </w:r>
      <w:r w:rsidRPr="006964C9">
        <w:rPr>
          <w:rFonts w:ascii="Century" w:hAnsi="Century" w:cs="Arial"/>
          <w:color w:val="000000" w:themeColor="text1"/>
          <w:kern w:val="24"/>
          <w:sz w:val="24"/>
          <w:szCs w:val="24"/>
        </w:rPr>
        <w:t>) and DAA therapy (HR, 0.4053; 95%CI, 0.2103</w:t>
      </w:r>
      <w:r w:rsidR="00472805" w:rsidRPr="006964C9">
        <w:rPr>
          <w:rFonts w:ascii="Century" w:hAnsi="Century" w:cs="Arial"/>
          <w:color w:val="000000" w:themeColor="text1"/>
          <w:kern w:val="24"/>
          <w:sz w:val="24"/>
          <w:szCs w:val="24"/>
        </w:rPr>
        <w:t>–</w:t>
      </w:r>
      <w:r w:rsidRPr="006964C9">
        <w:rPr>
          <w:rFonts w:ascii="Century" w:hAnsi="Century" w:cs="Arial"/>
          <w:color w:val="000000" w:themeColor="text1"/>
          <w:kern w:val="24"/>
          <w:sz w:val="24"/>
          <w:szCs w:val="24"/>
        </w:rPr>
        <w:t xml:space="preserve">0.7812; </w:t>
      </w:r>
      <w:r w:rsidR="003C4A73" w:rsidRPr="006964C9">
        <w:rPr>
          <w:rFonts w:ascii="Century" w:hAnsi="Century" w:cs="Arial"/>
          <w:color w:val="000000" w:themeColor="text1"/>
          <w:kern w:val="24"/>
          <w:sz w:val="24"/>
          <w:szCs w:val="24"/>
        </w:rPr>
        <w:t>p</w:t>
      </w:r>
      <w:r w:rsidRPr="006964C9">
        <w:rPr>
          <w:rFonts w:ascii="Century" w:hAnsi="Century" w:cs="Arial"/>
          <w:color w:val="000000" w:themeColor="text1"/>
          <w:kern w:val="24"/>
          <w:sz w:val="24"/>
          <w:szCs w:val="24"/>
        </w:rPr>
        <w:t>=</w:t>
      </w:r>
      <w:r w:rsidRPr="006964C9">
        <w:rPr>
          <w:rFonts w:ascii="Century" w:hAnsi="Century"/>
          <w:color w:val="000000" w:themeColor="text1"/>
          <w:kern w:val="24"/>
          <w:sz w:val="24"/>
          <w:szCs w:val="24"/>
        </w:rPr>
        <w:t>0.0009) were independently associated with multistep hepatocarcinogenesis. Figure 6 show</w:t>
      </w:r>
      <w:r w:rsidR="003C4A73" w:rsidRPr="006964C9">
        <w:rPr>
          <w:rFonts w:ascii="Century" w:hAnsi="Century"/>
          <w:color w:val="000000" w:themeColor="text1"/>
          <w:kern w:val="24"/>
          <w:sz w:val="24"/>
          <w:szCs w:val="24"/>
        </w:rPr>
        <w:t>s</w:t>
      </w:r>
      <w:r w:rsidRPr="006964C9">
        <w:rPr>
          <w:rFonts w:ascii="Century" w:hAnsi="Century"/>
          <w:color w:val="000000" w:themeColor="text1"/>
          <w:kern w:val="24"/>
          <w:sz w:val="24"/>
          <w:szCs w:val="24"/>
        </w:rPr>
        <w:t xml:space="preserve"> that the cumulative incidence rates </w:t>
      </w:r>
      <w:r w:rsidR="003C4A73" w:rsidRPr="006964C9">
        <w:rPr>
          <w:rFonts w:ascii="Century" w:hAnsi="Century"/>
          <w:color w:val="000000" w:themeColor="text1"/>
          <w:kern w:val="24"/>
          <w:sz w:val="24"/>
          <w:szCs w:val="24"/>
        </w:rPr>
        <w:t xml:space="preserve">of HCC </w:t>
      </w:r>
      <w:r w:rsidRPr="006964C9">
        <w:rPr>
          <w:rFonts w:ascii="Century" w:hAnsi="Century" w:hint="eastAsia"/>
          <w:color w:val="000000" w:themeColor="text1"/>
          <w:kern w:val="24"/>
          <w:sz w:val="24"/>
          <w:szCs w:val="24"/>
        </w:rPr>
        <w:t>wi</w:t>
      </w:r>
      <w:r w:rsidRPr="006964C9">
        <w:rPr>
          <w:rFonts w:ascii="Century" w:hAnsi="Century"/>
          <w:color w:val="000000" w:themeColor="text1"/>
          <w:kern w:val="24"/>
          <w:sz w:val="24"/>
          <w:szCs w:val="24"/>
        </w:rPr>
        <w:t xml:space="preserve">th and without DAA therapy </w:t>
      </w:r>
      <w:r w:rsidR="003C4A73" w:rsidRPr="006964C9">
        <w:rPr>
          <w:rFonts w:ascii="Century" w:hAnsi="Century"/>
          <w:color w:val="000000" w:themeColor="text1"/>
          <w:kern w:val="24"/>
          <w:sz w:val="24"/>
          <w:szCs w:val="24"/>
        </w:rPr>
        <w:t xml:space="preserve">were 6.9% and 14.9% </w:t>
      </w:r>
      <w:r w:rsidRPr="006964C9">
        <w:rPr>
          <w:rFonts w:ascii="Century" w:hAnsi="Century"/>
          <w:color w:val="000000" w:themeColor="text1"/>
          <w:kern w:val="24"/>
          <w:sz w:val="24"/>
          <w:szCs w:val="24"/>
        </w:rPr>
        <w:t>at 3</w:t>
      </w:r>
      <w:r w:rsidR="003C4A73" w:rsidRPr="006964C9">
        <w:rPr>
          <w:rFonts w:ascii="Century" w:hAnsi="Century"/>
          <w:color w:val="000000" w:themeColor="text1"/>
          <w:kern w:val="24"/>
          <w:sz w:val="24"/>
          <w:szCs w:val="24"/>
        </w:rPr>
        <w:t xml:space="preserve"> years, respectively, and</w:t>
      </w:r>
      <w:r w:rsidRPr="006964C9">
        <w:rPr>
          <w:rFonts w:ascii="Century" w:hAnsi="Century"/>
          <w:color w:val="000000" w:themeColor="text1"/>
          <w:kern w:val="24"/>
          <w:sz w:val="24"/>
          <w:szCs w:val="24"/>
        </w:rPr>
        <w:t xml:space="preserve"> 9.0% and 26.4%</w:t>
      </w:r>
      <w:r w:rsidR="003C4A73" w:rsidRPr="006964C9">
        <w:rPr>
          <w:rFonts w:ascii="Century" w:hAnsi="Century"/>
          <w:color w:val="000000" w:themeColor="text1"/>
          <w:kern w:val="24"/>
          <w:sz w:val="24"/>
          <w:szCs w:val="24"/>
        </w:rPr>
        <w:t xml:space="preserve"> at 5 years</w:t>
      </w:r>
      <w:r w:rsidRPr="006964C9">
        <w:rPr>
          <w:rFonts w:ascii="Century" w:hAnsi="Century"/>
          <w:color w:val="000000" w:themeColor="text1"/>
          <w:kern w:val="24"/>
          <w:sz w:val="24"/>
          <w:szCs w:val="24"/>
        </w:rPr>
        <w:t>, respectively, and there was a significant difference between</w:t>
      </w:r>
      <w:r w:rsidR="003C4A73" w:rsidRPr="006964C9">
        <w:rPr>
          <w:rFonts w:ascii="Century" w:hAnsi="Century"/>
          <w:color w:val="000000" w:themeColor="text1"/>
          <w:kern w:val="24"/>
          <w:sz w:val="24"/>
          <w:szCs w:val="24"/>
        </w:rPr>
        <w:t xml:space="preserve"> the</w:t>
      </w:r>
      <w:r w:rsidRPr="006964C9">
        <w:rPr>
          <w:rFonts w:ascii="Century" w:hAnsi="Century"/>
          <w:color w:val="000000" w:themeColor="text1"/>
          <w:kern w:val="24"/>
          <w:sz w:val="24"/>
          <w:szCs w:val="24"/>
        </w:rPr>
        <w:t xml:space="preserve"> two groups (</w:t>
      </w:r>
      <w:r w:rsidR="003C4A73" w:rsidRPr="006964C9">
        <w:rPr>
          <w:rFonts w:ascii="Century" w:hAnsi="Century"/>
          <w:color w:val="000000" w:themeColor="text1"/>
          <w:kern w:val="24"/>
          <w:sz w:val="24"/>
          <w:szCs w:val="24"/>
        </w:rPr>
        <w:t>p</w:t>
      </w:r>
      <w:r w:rsidRPr="006964C9">
        <w:rPr>
          <w:rFonts w:ascii="Century" w:hAnsi="Century"/>
          <w:color w:val="000000" w:themeColor="text1"/>
          <w:kern w:val="24"/>
          <w:sz w:val="24"/>
          <w:szCs w:val="24"/>
        </w:rPr>
        <w:t xml:space="preserve">=0.00281, Gray test). </w:t>
      </w:r>
    </w:p>
    <w:p w14:paraId="21FDF971" w14:textId="5DC40222" w:rsidR="00C37D9F" w:rsidRPr="006964C9" w:rsidRDefault="00C37D9F" w:rsidP="00C37D9F">
      <w:pPr>
        <w:autoSpaceDE w:val="0"/>
        <w:autoSpaceDN w:val="0"/>
        <w:adjustRightInd w:val="0"/>
        <w:spacing w:line="480" w:lineRule="auto"/>
        <w:jc w:val="left"/>
        <w:rPr>
          <w:rFonts w:eastAsia="AdvOT678fd422" w:cs="AdvOT678fd422"/>
          <w:b/>
          <w:color w:val="231F20"/>
          <w:kern w:val="0"/>
          <w:sz w:val="24"/>
          <w:szCs w:val="24"/>
        </w:rPr>
      </w:pPr>
      <w:r w:rsidRPr="006964C9">
        <w:rPr>
          <w:rFonts w:eastAsia="AdvOT678fd422" w:cs="AdvOT678fd422"/>
          <w:b/>
          <w:color w:val="231F20"/>
          <w:kern w:val="0"/>
          <w:sz w:val="24"/>
          <w:szCs w:val="24"/>
        </w:rPr>
        <w:t xml:space="preserve">Factors </w:t>
      </w:r>
      <w:r w:rsidR="0088299E" w:rsidRPr="006964C9">
        <w:rPr>
          <w:rFonts w:eastAsia="AdvOT678fd422" w:cs="AdvOT678fd422"/>
          <w:b/>
          <w:color w:val="231F20"/>
          <w:kern w:val="0"/>
          <w:sz w:val="24"/>
          <w:szCs w:val="24"/>
        </w:rPr>
        <w:t>associated</w:t>
      </w:r>
      <w:r w:rsidRPr="006964C9">
        <w:rPr>
          <w:rFonts w:eastAsia="AdvOT678fd422" w:cs="AdvOT678fd422"/>
          <w:b/>
          <w:color w:val="231F20"/>
          <w:kern w:val="0"/>
          <w:sz w:val="24"/>
          <w:szCs w:val="24"/>
        </w:rPr>
        <w:t xml:space="preserve"> </w:t>
      </w:r>
      <w:r w:rsidR="0088299E" w:rsidRPr="006964C9">
        <w:rPr>
          <w:rFonts w:eastAsia="AdvOT678fd422" w:cs="AdvOT678fd422"/>
          <w:b/>
          <w:color w:val="231F20"/>
          <w:kern w:val="0"/>
          <w:sz w:val="24"/>
          <w:szCs w:val="24"/>
        </w:rPr>
        <w:t xml:space="preserve">with </w:t>
      </w:r>
      <w:r w:rsidRPr="006964C9">
        <w:rPr>
          <w:rFonts w:eastAsia="AdvOT678fd422" w:cs="AdvOT678fd422"/>
          <w:b/>
          <w:color w:val="231F20"/>
          <w:kern w:val="0"/>
          <w:sz w:val="24"/>
          <w:szCs w:val="24"/>
        </w:rPr>
        <w:t xml:space="preserve">de novo </w:t>
      </w:r>
      <w:r w:rsidR="0088299E" w:rsidRPr="006964C9">
        <w:rPr>
          <w:rFonts w:eastAsia="AdvOT678fd422" w:cs="AdvOT678fd422"/>
          <w:b/>
          <w:color w:val="231F20"/>
          <w:kern w:val="0"/>
          <w:sz w:val="24"/>
          <w:szCs w:val="24"/>
        </w:rPr>
        <w:t>hepatocarcinogenesis</w:t>
      </w:r>
    </w:p>
    <w:p w14:paraId="56C63E54" w14:textId="7FFAD9E7" w:rsidR="00C37D9F" w:rsidRPr="006964C9" w:rsidRDefault="00C37D9F" w:rsidP="006964C9">
      <w:pPr>
        <w:autoSpaceDE w:val="0"/>
        <w:autoSpaceDN w:val="0"/>
        <w:adjustRightInd w:val="0"/>
        <w:spacing w:line="480" w:lineRule="auto"/>
        <w:jc w:val="left"/>
        <w:rPr>
          <w:rFonts w:eastAsia="AdvOT678fd422" w:cs="AdvOT678fd422"/>
          <w:color w:val="231F20"/>
          <w:kern w:val="0"/>
          <w:sz w:val="24"/>
          <w:szCs w:val="24"/>
        </w:rPr>
      </w:pPr>
      <w:r w:rsidRPr="006964C9">
        <w:rPr>
          <w:rFonts w:eastAsia="AdvOT678fd422" w:cs="AdvOT678fd422"/>
          <w:color w:val="231F20"/>
          <w:kern w:val="0"/>
          <w:sz w:val="24"/>
          <w:szCs w:val="24"/>
        </w:rPr>
        <w:tab/>
        <w:t xml:space="preserve">Table 3 shows </w:t>
      </w:r>
      <w:r w:rsidR="0088299E" w:rsidRPr="006964C9">
        <w:rPr>
          <w:rFonts w:eastAsia="AdvOT678fd422" w:cs="AdvOT678fd422"/>
          <w:color w:val="231F20"/>
          <w:kern w:val="0"/>
          <w:sz w:val="24"/>
          <w:szCs w:val="24"/>
        </w:rPr>
        <w:t xml:space="preserve">the </w:t>
      </w:r>
      <w:r w:rsidRPr="006964C9">
        <w:rPr>
          <w:rFonts w:eastAsia="AdvOT678fd422" w:cs="AdvOT678fd422"/>
          <w:color w:val="231F20"/>
          <w:kern w:val="0"/>
          <w:sz w:val="24"/>
          <w:szCs w:val="24"/>
        </w:rPr>
        <w:t xml:space="preserve">factors associated </w:t>
      </w:r>
      <w:r w:rsidR="0088299E" w:rsidRPr="006964C9">
        <w:rPr>
          <w:rFonts w:eastAsia="AdvOT678fd422" w:cs="AdvOT678fd422"/>
          <w:color w:val="231F20"/>
          <w:kern w:val="0"/>
          <w:sz w:val="24"/>
          <w:szCs w:val="24"/>
        </w:rPr>
        <w:t>with</w:t>
      </w:r>
      <w:r w:rsidRPr="006964C9">
        <w:rPr>
          <w:rFonts w:eastAsia="AdvOT678fd422" w:cs="AdvOT678fd422"/>
          <w:color w:val="231F20"/>
          <w:kern w:val="0"/>
          <w:sz w:val="24"/>
          <w:szCs w:val="24"/>
        </w:rPr>
        <w:t xml:space="preserve"> de novo hepatocarcinogenesis </w:t>
      </w:r>
      <w:r w:rsidR="0088299E" w:rsidRPr="006964C9">
        <w:rPr>
          <w:rFonts w:eastAsia="AdvOT678fd422" w:cs="AdvOT678fd422"/>
          <w:color w:val="231F20"/>
          <w:kern w:val="0"/>
          <w:sz w:val="24"/>
          <w:szCs w:val="24"/>
        </w:rPr>
        <w:t xml:space="preserve">according to </w:t>
      </w:r>
      <w:r w:rsidRPr="006964C9">
        <w:rPr>
          <w:rFonts w:eastAsia="AdvOT678fd422" w:cs="AdvOT678fd422"/>
          <w:color w:val="231F20"/>
          <w:kern w:val="0"/>
          <w:sz w:val="24"/>
          <w:szCs w:val="24"/>
        </w:rPr>
        <w:t xml:space="preserve">Fine and Gray proportional hazards models. </w:t>
      </w:r>
      <w:r w:rsidR="0088299E" w:rsidRPr="006964C9">
        <w:rPr>
          <w:rStyle w:val="tlid-translation"/>
          <w:sz w:val="24"/>
          <w:szCs w:val="24"/>
          <w:lang w:val="en"/>
        </w:rPr>
        <w:t>The analyzed f</w:t>
      </w:r>
      <w:r w:rsidRPr="006964C9">
        <w:rPr>
          <w:rStyle w:val="tlid-translation"/>
          <w:sz w:val="24"/>
          <w:szCs w:val="24"/>
          <w:lang w:val="en"/>
        </w:rPr>
        <w:t xml:space="preserve">actors </w:t>
      </w:r>
      <w:r w:rsidR="0088299E" w:rsidRPr="006964C9">
        <w:rPr>
          <w:rStyle w:val="tlid-translation"/>
          <w:sz w:val="24"/>
          <w:szCs w:val="24"/>
          <w:lang w:val="en"/>
        </w:rPr>
        <w:t xml:space="preserve">were </w:t>
      </w:r>
      <w:r w:rsidRPr="006964C9">
        <w:rPr>
          <w:rStyle w:val="tlid-translation"/>
          <w:sz w:val="24"/>
          <w:szCs w:val="24"/>
          <w:lang w:val="en"/>
        </w:rPr>
        <w:t xml:space="preserve">the same as </w:t>
      </w:r>
      <w:r w:rsidR="0088299E" w:rsidRPr="006964C9">
        <w:rPr>
          <w:rStyle w:val="tlid-translation"/>
          <w:sz w:val="24"/>
          <w:szCs w:val="24"/>
          <w:lang w:val="en"/>
        </w:rPr>
        <w:t xml:space="preserve">those </w:t>
      </w:r>
      <w:r w:rsidRPr="006964C9">
        <w:rPr>
          <w:rStyle w:val="tlid-translation"/>
          <w:sz w:val="24"/>
          <w:szCs w:val="24"/>
          <w:lang w:val="en"/>
        </w:rPr>
        <w:t xml:space="preserve">for </w:t>
      </w:r>
      <w:r w:rsidRPr="006964C9">
        <w:rPr>
          <w:color w:val="000000" w:themeColor="text1"/>
          <w:kern w:val="24"/>
          <w:sz w:val="24"/>
          <w:szCs w:val="24"/>
        </w:rPr>
        <w:t xml:space="preserve">multistep </w:t>
      </w:r>
      <w:r w:rsidRPr="006964C9">
        <w:rPr>
          <w:rFonts w:eastAsia="AdvOT678fd422" w:cs="AdvOT678fd422"/>
          <w:color w:val="231F20"/>
          <w:kern w:val="0"/>
          <w:sz w:val="24"/>
          <w:szCs w:val="24"/>
        </w:rPr>
        <w:t>hepatocarcinogenesis</w:t>
      </w:r>
      <w:r w:rsidRPr="006964C9">
        <w:rPr>
          <w:color w:val="000000" w:themeColor="text1"/>
          <w:kern w:val="24"/>
          <w:sz w:val="24"/>
          <w:szCs w:val="24"/>
        </w:rPr>
        <w:t xml:space="preserve">. </w:t>
      </w:r>
      <w:r w:rsidRPr="006964C9">
        <w:rPr>
          <w:rFonts w:eastAsia="Lato-Regular" w:cs="Lato-Regular"/>
          <w:kern w:val="0"/>
          <w:sz w:val="24"/>
          <w:szCs w:val="24"/>
        </w:rPr>
        <w:t>Multivariate analysis showed that AFP-L3 ≥ 5% (</w:t>
      </w:r>
      <w:r w:rsidRPr="006964C9">
        <w:rPr>
          <w:rFonts w:cs="Arial"/>
          <w:color w:val="000000" w:themeColor="text1"/>
          <w:kern w:val="24"/>
          <w:sz w:val="24"/>
          <w:szCs w:val="24"/>
        </w:rPr>
        <w:t xml:space="preserve">HR. 25.0; </w:t>
      </w:r>
      <w:r w:rsidRPr="006964C9">
        <w:rPr>
          <w:rFonts w:cs="Times_rm"/>
          <w:kern w:val="0"/>
          <w:sz w:val="24"/>
          <w:szCs w:val="24"/>
        </w:rPr>
        <w:t>95%CI</w:t>
      </w:r>
      <w:r w:rsidRPr="006964C9">
        <w:rPr>
          <w:rFonts w:cs="Arial"/>
          <w:color w:val="000000" w:themeColor="text1"/>
          <w:kern w:val="24"/>
          <w:sz w:val="24"/>
          <w:szCs w:val="24"/>
        </w:rPr>
        <w:t>, 1.361</w:t>
      </w:r>
      <w:r w:rsidR="00DB4F73" w:rsidRPr="006964C9">
        <w:rPr>
          <w:rFonts w:cs="Arial"/>
          <w:color w:val="000000" w:themeColor="text1"/>
          <w:kern w:val="24"/>
          <w:sz w:val="24"/>
          <w:szCs w:val="24"/>
        </w:rPr>
        <w:t>–</w:t>
      </w:r>
      <w:r w:rsidRPr="006964C9">
        <w:rPr>
          <w:rFonts w:cs="Arial"/>
          <w:color w:val="000000" w:themeColor="text1"/>
          <w:kern w:val="24"/>
          <w:sz w:val="24"/>
          <w:szCs w:val="24"/>
        </w:rPr>
        <w:t xml:space="preserve">459.2; </w:t>
      </w:r>
      <w:r w:rsidR="0088299E" w:rsidRPr="006964C9">
        <w:rPr>
          <w:rFonts w:cs="Arial"/>
          <w:color w:val="000000" w:themeColor="text1"/>
          <w:kern w:val="24"/>
          <w:sz w:val="24"/>
          <w:szCs w:val="24"/>
        </w:rPr>
        <w:t>p</w:t>
      </w:r>
      <w:r w:rsidRPr="006964C9">
        <w:rPr>
          <w:rFonts w:cs="Arial"/>
          <w:color w:val="000000" w:themeColor="text1"/>
          <w:kern w:val="24"/>
          <w:sz w:val="24"/>
          <w:szCs w:val="24"/>
        </w:rPr>
        <w:t>=0.0300) and ALBI grade 2 or 3 (HR, 141,700; 95%CI, 50,250</w:t>
      </w:r>
      <w:r w:rsidR="006C70C3" w:rsidRPr="006964C9">
        <w:rPr>
          <w:rFonts w:cs="Arial"/>
          <w:color w:val="000000" w:themeColor="text1"/>
          <w:kern w:val="24"/>
          <w:sz w:val="24"/>
          <w:szCs w:val="24"/>
        </w:rPr>
        <w:t>–</w:t>
      </w:r>
      <w:r w:rsidRPr="006964C9">
        <w:rPr>
          <w:rFonts w:cs="Arial"/>
          <w:color w:val="000000" w:themeColor="text1"/>
          <w:kern w:val="24"/>
          <w:sz w:val="24"/>
          <w:szCs w:val="24"/>
        </w:rPr>
        <w:t xml:space="preserve">399,600; </w:t>
      </w:r>
      <w:r w:rsidR="0088299E" w:rsidRPr="006964C9">
        <w:rPr>
          <w:rFonts w:cs="Arial"/>
          <w:color w:val="000000" w:themeColor="text1"/>
          <w:kern w:val="24"/>
          <w:sz w:val="24"/>
          <w:szCs w:val="24"/>
        </w:rPr>
        <w:t>p</w:t>
      </w:r>
      <w:r w:rsidRPr="006964C9">
        <w:rPr>
          <w:rFonts w:cs="Arial"/>
          <w:color w:val="000000" w:themeColor="text1"/>
          <w:kern w:val="24"/>
          <w:sz w:val="24"/>
          <w:szCs w:val="24"/>
        </w:rPr>
        <w:t>&lt;</w:t>
      </w:r>
      <w:r w:rsidRPr="006964C9">
        <w:rPr>
          <w:color w:val="000000" w:themeColor="text1"/>
          <w:kern w:val="24"/>
          <w:sz w:val="24"/>
          <w:szCs w:val="24"/>
        </w:rPr>
        <w:t xml:space="preserve">0.0001) were independently associated with de novo </w:t>
      </w:r>
      <w:r w:rsidRPr="006964C9">
        <w:rPr>
          <w:rFonts w:eastAsia="AdvOT678fd422" w:cs="AdvOT678fd422"/>
          <w:color w:val="231F20"/>
          <w:kern w:val="0"/>
          <w:sz w:val="24"/>
          <w:szCs w:val="24"/>
        </w:rPr>
        <w:t>hepatocarcinogenesis</w:t>
      </w:r>
      <w:r w:rsidRPr="006964C9">
        <w:rPr>
          <w:color w:val="000000" w:themeColor="text1"/>
          <w:kern w:val="24"/>
          <w:sz w:val="24"/>
          <w:szCs w:val="24"/>
        </w:rPr>
        <w:t xml:space="preserve">. </w:t>
      </w:r>
      <w:r w:rsidRPr="006964C9">
        <w:rPr>
          <w:rFonts w:ascii="Century" w:hAnsi="Century"/>
          <w:color w:val="000000" w:themeColor="text1"/>
          <w:kern w:val="24"/>
          <w:sz w:val="24"/>
          <w:szCs w:val="24"/>
        </w:rPr>
        <w:t>Figure 7 show</w:t>
      </w:r>
      <w:r w:rsidR="0088299E" w:rsidRPr="006964C9">
        <w:rPr>
          <w:rFonts w:ascii="Century" w:hAnsi="Century"/>
          <w:color w:val="000000" w:themeColor="text1"/>
          <w:kern w:val="24"/>
          <w:sz w:val="24"/>
          <w:szCs w:val="24"/>
        </w:rPr>
        <w:t>s</w:t>
      </w:r>
      <w:r w:rsidRPr="006964C9">
        <w:rPr>
          <w:rFonts w:ascii="Century" w:hAnsi="Century"/>
          <w:color w:val="000000" w:themeColor="text1"/>
          <w:kern w:val="24"/>
          <w:sz w:val="24"/>
          <w:szCs w:val="24"/>
        </w:rPr>
        <w:t xml:space="preserve"> that the cumulative incidence rates </w:t>
      </w:r>
      <w:r w:rsidRPr="006964C9">
        <w:rPr>
          <w:rFonts w:ascii="Century" w:hAnsi="Century" w:hint="eastAsia"/>
          <w:color w:val="000000" w:themeColor="text1"/>
          <w:kern w:val="24"/>
          <w:sz w:val="24"/>
          <w:szCs w:val="24"/>
        </w:rPr>
        <w:t xml:space="preserve">of </w:t>
      </w:r>
      <w:r w:rsidRPr="006964C9">
        <w:rPr>
          <w:rFonts w:eastAsia="Lato-Regular" w:cs="Lato-Regular"/>
          <w:kern w:val="0"/>
          <w:sz w:val="24"/>
          <w:szCs w:val="24"/>
        </w:rPr>
        <w:t>AFP-L3 ≥ 5%</w:t>
      </w:r>
      <w:r w:rsidRPr="006964C9">
        <w:rPr>
          <w:rFonts w:ascii="Century" w:hAnsi="Century"/>
          <w:color w:val="000000" w:themeColor="text1"/>
          <w:kern w:val="24"/>
          <w:sz w:val="24"/>
          <w:szCs w:val="24"/>
        </w:rPr>
        <w:t xml:space="preserve"> and </w:t>
      </w:r>
      <w:r w:rsidRPr="006964C9">
        <w:rPr>
          <w:rFonts w:eastAsia="Lato-Regular" w:cs="Lato-Regular"/>
          <w:kern w:val="0"/>
          <w:sz w:val="24"/>
          <w:szCs w:val="24"/>
        </w:rPr>
        <w:t>AFP-L3 &lt; 5%</w:t>
      </w:r>
      <w:r w:rsidRPr="006964C9">
        <w:rPr>
          <w:rFonts w:ascii="Century" w:hAnsi="Century"/>
          <w:color w:val="000000" w:themeColor="text1"/>
          <w:kern w:val="24"/>
          <w:sz w:val="24"/>
          <w:szCs w:val="24"/>
        </w:rPr>
        <w:t xml:space="preserve"> were </w:t>
      </w:r>
      <w:r w:rsidRPr="006964C9">
        <w:rPr>
          <w:rFonts w:ascii="Century" w:hAnsi="Century"/>
          <w:color w:val="000000" w:themeColor="text1"/>
          <w:kern w:val="24"/>
          <w:sz w:val="24"/>
          <w:szCs w:val="24"/>
        </w:rPr>
        <w:lastRenderedPageBreak/>
        <w:t>7.9% and 0.3%</w:t>
      </w:r>
      <w:r w:rsidR="0088299E" w:rsidRPr="006964C9">
        <w:rPr>
          <w:rFonts w:ascii="Century" w:hAnsi="Century"/>
          <w:color w:val="000000" w:themeColor="text1"/>
          <w:kern w:val="24"/>
          <w:sz w:val="24"/>
          <w:szCs w:val="24"/>
        </w:rPr>
        <w:t xml:space="preserve"> at 3 years, respectively</w:t>
      </w:r>
      <w:r w:rsidRPr="006964C9">
        <w:rPr>
          <w:rFonts w:ascii="Century" w:hAnsi="Century"/>
          <w:color w:val="000000" w:themeColor="text1"/>
          <w:kern w:val="24"/>
          <w:sz w:val="24"/>
          <w:szCs w:val="24"/>
        </w:rPr>
        <w:t xml:space="preserve">, </w:t>
      </w:r>
      <w:r w:rsidR="0088299E" w:rsidRPr="006964C9">
        <w:rPr>
          <w:rFonts w:ascii="Century" w:hAnsi="Century"/>
          <w:color w:val="000000" w:themeColor="text1"/>
          <w:kern w:val="24"/>
          <w:sz w:val="24"/>
          <w:szCs w:val="24"/>
        </w:rPr>
        <w:t xml:space="preserve">and </w:t>
      </w:r>
      <w:r w:rsidRPr="006964C9">
        <w:rPr>
          <w:rFonts w:ascii="Century" w:hAnsi="Century"/>
          <w:color w:val="000000" w:themeColor="text1"/>
          <w:kern w:val="24"/>
          <w:sz w:val="24"/>
          <w:szCs w:val="24"/>
        </w:rPr>
        <w:t>13.8% and 0.3%</w:t>
      </w:r>
      <w:r w:rsidR="0088299E" w:rsidRPr="006964C9">
        <w:rPr>
          <w:rFonts w:ascii="Century" w:hAnsi="Century"/>
          <w:color w:val="000000" w:themeColor="text1"/>
          <w:kern w:val="24"/>
          <w:sz w:val="24"/>
          <w:szCs w:val="24"/>
        </w:rPr>
        <w:t xml:space="preserve"> at 5 years, </w:t>
      </w:r>
      <w:r w:rsidRPr="006964C9">
        <w:rPr>
          <w:rFonts w:ascii="Century" w:hAnsi="Century"/>
          <w:color w:val="000000" w:themeColor="text1"/>
          <w:kern w:val="24"/>
          <w:sz w:val="24"/>
          <w:szCs w:val="24"/>
        </w:rPr>
        <w:t xml:space="preserve">respectively, and there was a significant difference between </w:t>
      </w:r>
      <w:r w:rsidR="0088299E" w:rsidRPr="006964C9">
        <w:rPr>
          <w:rFonts w:ascii="Century" w:hAnsi="Century"/>
          <w:color w:val="000000" w:themeColor="text1"/>
          <w:kern w:val="24"/>
          <w:sz w:val="24"/>
          <w:szCs w:val="24"/>
        </w:rPr>
        <w:t xml:space="preserve">the </w:t>
      </w:r>
      <w:r w:rsidRPr="006964C9">
        <w:rPr>
          <w:rFonts w:ascii="Century" w:hAnsi="Century"/>
          <w:color w:val="000000" w:themeColor="text1"/>
          <w:kern w:val="24"/>
          <w:sz w:val="24"/>
          <w:szCs w:val="24"/>
        </w:rPr>
        <w:t>two groups (</w:t>
      </w:r>
      <w:r w:rsidR="0088299E" w:rsidRPr="006964C9">
        <w:rPr>
          <w:rFonts w:ascii="Century" w:hAnsi="Century"/>
          <w:color w:val="000000" w:themeColor="text1"/>
          <w:kern w:val="24"/>
          <w:sz w:val="24"/>
          <w:szCs w:val="24"/>
        </w:rPr>
        <w:t>p</w:t>
      </w:r>
      <w:r w:rsidRPr="006964C9">
        <w:rPr>
          <w:rFonts w:ascii="Century" w:hAnsi="Century"/>
          <w:color w:val="000000" w:themeColor="text1"/>
          <w:kern w:val="24"/>
          <w:sz w:val="24"/>
          <w:szCs w:val="24"/>
        </w:rPr>
        <w:t xml:space="preserve">&lt;0.0001, Gray test). </w:t>
      </w:r>
      <w:r w:rsidRPr="006964C9">
        <w:rPr>
          <w:rFonts w:eastAsia="AdvOT678fd422" w:cs="AdvOT678fd422"/>
          <w:color w:val="231F20"/>
          <w:kern w:val="0"/>
          <w:sz w:val="24"/>
          <w:szCs w:val="24"/>
        </w:rPr>
        <w:br w:type="page"/>
      </w:r>
    </w:p>
    <w:p w14:paraId="0E520DE3" w14:textId="77777777" w:rsidR="00C37D9F" w:rsidRPr="006964C9" w:rsidRDefault="00C37D9F" w:rsidP="00C37D9F">
      <w:pPr>
        <w:autoSpaceDE w:val="0"/>
        <w:autoSpaceDN w:val="0"/>
        <w:adjustRightInd w:val="0"/>
        <w:spacing w:line="480" w:lineRule="auto"/>
        <w:jc w:val="left"/>
        <w:rPr>
          <w:rFonts w:cs="AdvOT678fd422"/>
          <w:color w:val="231F20"/>
          <w:kern w:val="0"/>
          <w:sz w:val="24"/>
          <w:szCs w:val="24"/>
        </w:rPr>
      </w:pPr>
      <w:r w:rsidRPr="006964C9">
        <w:rPr>
          <w:rFonts w:cs="AdvOT678fd422"/>
          <w:color w:val="231F20"/>
          <w:kern w:val="0"/>
          <w:sz w:val="24"/>
          <w:szCs w:val="24"/>
        </w:rPr>
        <w:lastRenderedPageBreak/>
        <w:t>Discussion</w:t>
      </w:r>
    </w:p>
    <w:p w14:paraId="7CEB6A1E" w14:textId="022CD752" w:rsidR="00C37D9F" w:rsidRPr="006964C9" w:rsidRDefault="00C37D9F" w:rsidP="00C37D9F">
      <w:pPr>
        <w:autoSpaceDE w:val="0"/>
        <w:autoSpaceDN w:val="0"/>
        <w:adjustRightInd w:val="0"/>
        <w:spacing w:line="480" w:lineRule="auto"/>
        <w:jc w:val="left"/>
        <w:rPr>
          <w:rFonts w:cs="StoneSerif"/>
          <w:kern w:val="0"/>
          <w:sz w:val="24"/>
          <w:szCs w:val="24"/>
        </w:rPr>
      </w:pPr>
      <w:r w:rsidRPr="006964C9">
        <w:rPr>
          <w:rFonts w:cs="AdvOT678fd422"/>
          <w:color w:val="231F20"/>
          <w:kern w:val="0"/>
          <w:sz w:val="24"/>
          <w:szCs w:val="24"/>
        </w:rPr>
        <w:tab/>
        <w:t xml:space="preserve">Two types of </w:t>
      </w:r>
      <w:r w:rsidRPr="006964C9">
        <w:rPr>
          <w:rFonts w:cs="StoneSerif"/>
          <w:kern w:val="0"/>
          <w:sz w:val="24"/>
          <w:szCs w:val="24"/>
        </w:rPr>
        <w:t>hepatocarcinogenesis</w:t>
      </w:r>
      <w:r w:rsidR="0088299E" w:rsidRPr="006964C9">
        <w:rPr>
          <w:rFonts w:cs="StoneSerif"/>
          <w:kern w:val="0"/>
          <w:sz w:val="24"/>
          <w:szCs w:val="24"/>
        </w:rPr>
        <w:t>, de novo and multistep,</w:t>
      </w:r>
      <w:r w:rsidRPr="006964C9">
        <w:rPr>
          <w:rFonts w:cs="StoneSerif"/>
          <w:kern w:val="0"/>
          <w:sz w:val="24"/>
          <w:szCs w:val="24"/>
        </w:rPr>
        <w:t xml:space="preserve"> are now considered to cause HCC</w:t>
      </w:r>
      <w:r w:rsidR="0088299E" w:rsidRPr="006964C9">
        <w:rPr>
          <w:rFonts w:cs="AdvOT678fd422"/>
          <w:color w:val="231F20"/>
          <w:kern w:val="0"/>
          <w:sz w:val="24"/>
          <w:szCs w:val="24"/>
        </w:rPr>
        <w:t xml:space="preserve"> </w:t>
      </w:r>
      <w:r w:rsidRPr="006964C9">
        <w:rPr>
          <w:rFonts w:cs="StoneSerif"/>
          <w:kern w:val="0"/>
          <w:sz w:val="24"/>
          <w:szCs w:val="24"/>
        </w:rPr>
        <w:t xml:space="preserve">[25, 26]. </w:t>
      </w:r>
      <w:r w:rsidR="00946B1D" w:rsidRPr="006964C9">
        <w:rPr>
          <w:rFonts w:cs="StoneSerif"/>
          <w:kern w:val="0"/>
          <w:sz w:val="24"/>
          <w:szCs w:val="24"/>
        </w:rPr>
        <w:t>D</w:t>
      </w:r>
      <w:r w:rsidRPr="006964C9">
        <w:rPr>
          <w:rFonts w:cs="StoneSerif"/>
          <w:kern w:val="0"/>
          <w:sz w:val="24"/>
          <w:szCs w:val="24"/>
        </w:rPr>
        <w:t xml:space="preserve">e novo hepatocarcinogenesis </w:t>
      </w:r>
      <w:r w:rsidR="00946B1D" w:rsidRPr="006964C9">
        <w:rPr>
          <w:rFonts w:cs="StoneSerif"/>
          <w:kern w:val="0"/>
          <w:sz w:val="24"/>
          <w:szCs w:val="24"/>
        </w:rPr>
        <w:t>results in the</w:t>
      </w:r>
      <w:r w:rsidRPr="006964C9">
        <w:rPr>
          <w:rFonts w:cs="StoneSerif"/>
          <w:kern w:val="0"/>
          <w:sz w:val="24"/>
          <w:szCs w:val="24"/>
        </w:rPr>
        <w:t xml:space="preserve"> </w:t>
      </w:r>
      <w:r w:rsidRPr="006964C9">
        <w:rPr>
          <w:rFonts w:eastAsia="AdvPS40668" w:cs="AdvPS40668"/>
          <w:color w:val="231F20"/>
          <w:kern w:val="0"/>
          <w:sz w:val="24"/>
          <w:szCs w:val="24"/>
        </w:rPr>
        <w:t xml:space="preserve">direct development </w:t>
      </w:r>
      <w:r w:rsidR="00946B1D" w:rsidRPr="006964C9">
        <w:rPr>
          <w:rFonts w:eastAsia="AdvPS40668" w:cs="AdvPS40668"/>
          <w:color w:val="231F20"/>
          <w:kern w:val="0"/>
          <w:sz w:val="24"/>
          <w:szCs w:val="24"/>
        </w:rPr>
        <w:t xml:space="preserve">of </w:t>
      </w:r>
      <w:r w:rsidRPr="006964C9">
        <w:rPr>
          <w:rFonts w:eastAsia="AdvPS40668" w:cs="AdvPS40668"/>
          <w:color w:val="231F20"/>
          <w:kern w:val="0"/>
          <w:sz w:val="24"/>
          <w:szCs w:val="24"/>
        </w:rPr>
        <w:t>advanced HCC</w:t>
      </w:r>
      <w:r w:rsidR="00946B1D" w:rsidRPr="006964C9">
        <w:rPr>
          <w:rFonts w:cs="StoneSerif"/>
          <w:kern w:val="0"/>
          <w:sz w:val="24"/>
          <w:szCs w:val="24"/>
        </w:rPr>
        <w:t>, whereas</w:t>
      </w:r>
      <w:r w:rsidR="00960EFC" w:rsidRPr="006964C9">
        <w:rPr>
          <w:rFonts w:cs="StoneSerif"/>
          <w:kern w:val="0"/>
          <w:sz w:val="24"/>
          <w:szCs w:val="24"/>
        </w:rPr>
        <w:t xml:space="preserve"> in </w:t>
      </w:r>
      <w:r w:rsidRPr="006964C9">
        <w:rPr>
          <w:rFonts w:cs="AdvOT678fd422"/>
          <w:color w:val="231F20"/>
          <w:kern w:val="0"/>
          <w:sz w:val="24"/>
          <w:szCs w:val="24"/>
        </w:rPr>
        <w:t xml:space="preserve">multistep hepatocarcinogenesis </w:t>
      </w:r>
      <w:r w:rsidRPr="006964C9">
        <w:rPr>
          <w:rFonts w:eastAsia="Times-Roman" w:cs="Times-Roman"/>
          <w:kern w:val="0"/>
          <w:sz w:val="24"/>
          <w:szCs w:val="24"/>
        </w:rPr>
        <w:t xml:space="preserve">a hepatocellular </w:t>
      </w:r>
      <w:r w:rsidR="003E05CA" w:rsidRPr="006964C9">
        <w:rPr>
          <w:rFonts w:eastAsia="Times-Roman" w:cs="Times-Roman"/>
          <w:kern w:val="0"/>
          <w:sz w:val="24"/>
          <w:szCs w:val="24"/>
        </w:rPr>
        <w:t xml:space="preserve">nodule </w:t>
      </w:r>
      <w:r w:rsidRPr="006964C9">
        <w:rPr>
          <w:rFonts w:eastAsia="Times-Roman" w:cs="Times-Roman"/>
          <w:kern w:val="0"/>
          <w:sz w:val="24"/>
          <w:szCs w:val="24"/>
        </w:rPr>
        <w:t xml:space="preserve">progresses </w:t>
      </w:r>
      <w:r w:rsidR="00960EFC" w:rsidRPr="006964C9">
        <w:rPr>
          <w:rFonts w:eastAsia="Times-Roman" w:cs="Times-Roman"/>
          <w:kern w:val="0"/>
          <w:sz w:val="24"/>
          <w:szCs w:val="24"/>
        </w:rPr>
        <w:t>from</w:t>
      </w:r>
      <w:r w:rsidRPr="006964C9">
        <w:rPr>
          <w:rFonts w:cs="StoneSerif"/>
          <w:kern w:val="0"/>
          <w:sz w:val="24"/>
          <w:szCs w:val="24"/>
        </w:rPr>
        <w:t xml:space="preserve"> a DN</w:t>
      </w:r>
      <w:r w:rsidR="003E05CA" w:rsidRPr="006964C9">
        <w:rPr>
          <w:rFonts w:cs="StoneSerif"/>
          <w:kern w:val="0"/>
          <w:sz w:val="24"/>
          <w:szCs w:val="24"/>
        </w:rPr>
        <w:t>, to a DN</w:t>
      </w:r>
      <w:r w:rsidRPr="006964C9">
        <w:rPr>
          <w:rFonts w:cs="StoneSerif"/>
          <w:kern w:val="0"/>
          <w:sz w:val="24"/>
          <w:szCs w:val="24"/>
        </w:rPr>
        <w:t xml:space="preserve"> with malignant foci</w:t>
      </w:r>
      <w:r w:rsidR="003E05CA" w:rsidRPr="006964C9">
        <w:rPr>
          <w:rFonts w:cs="StoneSerif"/>
          <w:kern w:val="0"/>
          <w:sz w:val="24"/>
          <w:szCs w:val="24"/>
        </w:rPr>
        <w:t>,</w:t>
      </w:r>
      <w:r w:rsidR="00946B1D" w:rsidRPr="006964C9">
        <w:rPr>
          <w:rFonts w:cs="StoneSerif"/>
          <w:kern w:val="0"/>
          <w:sz w:val="24"/>
          <w:szCs w:val="24"/>
        </w:rPr>
        <w:t xml:space="preserve"> </w:t>
      </w:r>
      <w:r w:rsidR="00960EFC" w:rsidRPr="006964C9">
        <w:rPr>
          <w:rFonts w:cs="StoneSerif"/>
          <w:kern w:val="0"/>
          <w:sz w:val="24"/>
          <w:szCs w:val="24"/>
        </w:rPr>
        <w:t>to</w:t>
      </w:r>
      <w:r w:rsidRPr="006964C9">
        <w:rPr>
          <w:rFonts w:cs="StoneSerif"/>
          <w:kern w:val="0"/>
          <w:sz w:val="24"/>
          <w:szCs w:val="24"/>
        </w:rPr>
        <w:t xml:space="preserve"> a well-differentiated HCC nodule</w:t>
      </w:r>
      <w:r w:rsidR="003E05CA" w:rsidRPr="006964C9">
        <w:rPr>
          <w:rFonts w:cs="StoneSerif"/>
          <w:kern w:val="0"/>
          <w:sz w:val="24"/>
          <w:szCs w:val="24"/>
        </w:rPr>
        <w:t>,</w:t>
      </w:r>
      <w:r w:rsidR="00960EFC" w:rsidRPr="006964C9">
        <w:rPr>
          <w:rFonts w:cs="StoneSerif"/>
          <w:kern w:val="0"/>
          <w:sz w:val="24"/>
          <w:szCs w:val="24"/>
        </w:rPr>
        <w:t xml:space="preserve"> and finally</w:t>
      </w:r>
      <w:r w:rsidRPr="006964C9">
        <w:rPr>
          <w:rFonts w:cs="StoneSerif"/>
          <w:kern w:val="0"/>
          <w:sz w:val="24"/>
          <w:szCs w:val="24"/>
        </w:rPr>
        <w:t xml:space="preserve"> to classic HCC.</w:t>
      </w:r>
      <w:r w:rsidRPr="006964C9">
        <w:rPr>
          <w:rFonts w:cs="AdvOT678fd422"/>
          <w:color w:val="231F20"/>
          <w:kern w:val="0"/>
          <w:sz w:val="24"/>
          <w:szCs w:val="24"/>
        </w:rPr>
        <w:t xml:space="preserve"> In this study, multistep hepatocarcinogenesis accounted for 8</w:t>
      </w:r>
      <w:r w:rsidRPr="006964C9">
        <w:rPr>
          <w:rFonts w:cs="AdvOT678fd422" w:hint="eastAsia"/>
          <w:color w:val="231F20"/>
          <w:kern w:val="0"/>
          <w:sz w:val="24"/>
          <w:szCs w:val="24"/>
        </w:rPr>
        <w:t>6.7</w:t>
      </w:r>
      <w:r w:rsidRPr="006964C9">
        <w:rPr>
          <w:rFonts w:cs="AdvOT678fd422"/>
          <w:color w:val="231F20"/>
          <w:kern w:val="0"/>
          <w:sz w:val="24"/>
          <w:szCs w:val="24"/>
        </w:rPr>
        <w:t xml:space="preserve">% of </w:t>
      </w:r>
      <w:r w:rsidR="00960EFC" w:rsidRPr="006964C9">
        <w:rPr>
          <w:rFonts w:cs="AdvOT678fd422"/>
          <w:color w:val="231F20"/>
          <w:kern w:val="0"/>
          <w:sz w:val="24"/>
          <w:szCs w:val="24"/>
        </w:rPr>
        <w:t>HCC cases</w:t>
      </w:r>
      <w:r w:rsidRPr="006964C9">
        <w:rPr>
          <w:rFonts w:cs="AdvOT678fd422"/>
          <w:color w:val="231F20"/>
          <w:kern w:val="0"/>
          <w:sz w:val="24"/>
          <w:szCs w:val="24"/>
        </w:rPr>
        <w:t xml:space="preserve">. </w:t>
      </w:r>
      <w:r w:rsidRPr="006964C9">
        <w:rPr>
          <w:rStyle w:val="tlid-translation"/>
          <w:sz w:val="24"/>
          <w:szCs w:val="24"/>
          <w:lang w:val="en"/>
        </w:rPr>
        <w:t xml:space="preserve">With the advent of </w:t>
      </w:r>
      <w:r w:rsidRPr="006964C9">
        <w:rPr>
          <w:rFonts w:cs="Cambria"/>
          <w:kern w:val="0"/>
          <w:sz w:val="24"/>
          <w:szCs w:val="24"/>
        </w:rPr>
        <w:t xml:space="preserve">Gd-EOB-DTPA, the observation of </w:t>
      </w:r>
      <w:r w:rsidRPr="006964C9">
        <w:rPr>
          <w:rFonts w:cs="AdvOT678fd422"/>
          <w:color w:val="231F20"/>
          <w:kern w:val="0"/>
          <w:sz w:val="24"/>
          <w:szCs w:val="24"/>
        </w:rPr>
        <w:t xml:space="preserve">multistep hepatocarcinogenesis </w:t>
      </w:r>
      <w:r w:rsidR="00960EFC" w:rsidRPr="006964C9">
        <w:rPr>
          <w:rFonts w:cs="AdvOT678fd422"/>
          <w:color w:val="231F20"/>
          <w:kern w:val="0"/>
          <w:sz w:val="24"/>
          <w:szCs w:val="24"/>
        </w:rPr>
        <w:t xml:space="preserve">has become </w:t>
      </w:r>
      <w:r w:rsidRPr="006964C9">
        <w:rPr>
          <w:rFonts w:cs="AdvOT678fd422"/>
          <w:color w:val="231F20"/>
          <w:kern w:val="0"/>
          <w:sz w:val="24"/>
          <w:szCs w:val="24"/>
        </w:rPr>
        <w:t xml:space="preserve">easier. </w:t>
      </w:r>
      <w:r w:rsidRPr="006964C9">
        <w:rPr>
          <w:rFonts w:cs="Cambria"/>
          <w:kern w:val="0"/>
          <w:sz w:val="24"/>
          <w:szCs w:val="24"/>
        </w:rPr>
        <w:t>Gd-EOB-DTPA has unique pharmacohemodynamics</w:t>
      </w:r>
      <w:r w:rsidR="00960EFC" w:rsidRPr="006964C9">
        <w:rPr>
          <w:rFonts w:cs="Cambria"/>
          <w:kern w:val="0"/>
          <w:sz w:val="24"/>
          <w:szCs w:val="24"/>
        </w:rPr>
        <w:t>, with contrast</w:t>
      </w:r>
      <w:r w:rsidRPr="006964C9">
        <w:rPr>
          <w:rFonts w:cs="Cambria"/>
          <w:kern w:val="0"/>
          <w:sz w:val="24"/>
          <w:szCs w:val="24"/>
        </w:rPr>
        <w:t xml:space="preserve"> taken up by hepatocytes and excreted into the bile duct</w:t>
      </w:r>
      <w:r w:rsidR="00960EFC" w:rsidRPr="006964C9">
        <w:rPr>
          <w:rFonts w:cs="Cambria"/>
          <w:kern w:val="0"/>
          <w:sz w:val="24"/>
          <w:szCs w:val="24"/>
        </w:rPr>
        <w:t>s</w:t>
      </w:r>
      <w:r w:rsidRPr="006964C9">
        <w:rPr>
          <w:rFonts w:cs="Cambria"/>
          <w:kern w:val="0"/>
          <w:sz w:val="24"/>
          <w:szCs w:val="24"/>
        </w:rPr>
        <w:t xml:space="preserve">. </w:t>
      </w:r>
      <w:r w:rsidRPr="006964C9">
        <w:rPr>
          <w:rFonts w:cs="AdvTT2acb703b"/>
          <w:color w:val="131413"/>
          <w:kern w:val="0"/>
          <w:sz w:val="24"/>
          <w:szCs w:val="24"/>
        </w:rPr>
        <w:t>Narita et al. and Kitao et al. demonstrated a significant correlation between the expression of</w:t>
      </w:r>
      <w:r w:rsidR="00960EFC" w:rsidRPr="006964C9">
        <w:rPr>
          <w:rFonts w:cs="AdvTT2acb703b"/>
          <w:color w:val="131413"/>
          <w:kern w:val="0"/>
          <w:sz w:val="24"/>
          <w:szCs w:val="24"/>
        </w:rPr>
        <w:t xml:space="preserve"> the</w:t>
      </w:r>
      <w:r w:rsidRPr="006964C9">
        <w:rPr>
          <w:rFonts w:cs="AdvTT2acb703b"/>
          <w:color w:val="131413"/>
          <w:kern w:val="0"/>
          <w:sz w:val="24"/>
          <w:szCs w:val="24"/>
        </w:rPr>
        <w:t xml:space="preserve"> uptake transporter OATP1B3 and signal intensity </w:t>
      </w:r>
      <w:r w:rsidR="00960EFC" w:rsidRPr="006964C9">
        <w:rPr>
          <w:rFonts w:cs="AdvTT2acb703b"/>
          <w:color w:val="131413"/>
          <w:kern w:val="0"/>
          <w:sz w:val="24"/>
          <w:szCs w:val="24"/>
        </w:rPr>
        <w:t>during the</w:t>
      </w:r>
      <w:r w:rsidRPr="006964C9">
        <w:rPr>
          <w:rFonts w:cs="AdvTT2acb703b"/>
          <w:color w:val="131413"/>
          <w:kern w:val="0"/>
          <w:sz w:val="24"/>
          <w:szCs w:val="24"/>
        </w:rPr>
        <w:t xml:space="preserve"> HBP in HCCs [29, 30]. The expression of OATP1B3 in hepatocellular nodules </w:t>
      </w:r>
      <w:r w:rsidR="00A92A88" w:rsidRPr="006964C9">
        <w:rPr>
          <w:rFonts w:cs="AdvTT2acb703b"/>
          <w:color w:val="131413"/>
          <w:kern w:val="0"/>
          <w:sz w:val="24"/>
          <w:szCs w:val="24"/>
        </w:rPr>
        <w:t xml:space="preserve">shows a significant positive correlation with the degree of </w:t>
      </w:r>
      <w:r w:rsidRPr="006964C9">
        <w:rPr>
          <w:rFonts w:cs="AdvTT2acb703b"/>
          <w:color w:val="131413"/>
          <w:kern w:val="0"/>
          <w:sz w:val="24"/>
          <w:szCs w:val="24"/>
        </w:rPr>
        <w:t>tumor differentiation [31]. The enhancement ratio ([1/postcontrast T1 value</w:t>
      </w:r>
      <w:r w:rsidR="00565441" w:rsidRPr="006964C9">
        <w:rPr>
          <w:rFonts w:cs="AdvTT2acb703b"/>
          <w:color w:val="131413"/>
          <w:kern w:val="0"/>
          <w:sz w:val="24"/>
          <w:szCs w:val="24"/>
        </w:rPr>
        <w:t xml:space="preserve"> </w:t>
      </w:r>
      <w:r w:rsidRPr="006964C9">
        <w:rPr>
          <w:rFonts w:cs="AdvTT2acb703b+22"/>
          <w:color w:val="131413"/>
          <w:kern w:val="0"/>
          <w:sz w:val="24"/>
          <w:szCs w:val="24"/>
        </w:rPr>
        <w:t>−</w:t>
      </w:r>
      <w:r w:rsidR="00565441" w:rsidRPr="006964C9">
        <w:rPr>
          <w:rFonts w:cs="AdvTT2acb703b+22"/>
          <w:color w:val="131413"/>
          <w:kern w:val="0"/>
          <w:sz w:val="24"/>
          <w:szCs w:val="24"/>
        </w:rPr>
        <w:t xml:space="preserve"> </w:t>
      </w:r>
      <w:r w:rsidRPr="006964C9">
        <w:rPr>
          <w:rFonts w:cs="AdvTT2acb703b"/>
          <w:color w:val="131413"/>
          <w:kern w:val="0"/>
          <w:sz w:val="24"/>
          <w:szCs w:val="24"/>
        </w:rPr>
        <w:t>1/precontrast T1 value]</w:t>
      </w:r>
      <w:r w:rsidR="00936178" w:rsidRPr="006964C9">
        <w:rPr>
          <w:rFonts w:cs="AdvTT2acb703b"/>
          <w:color w:val="131413"/>
          <w:kern w:val="0"/>
          <w:sz w:val="24"/>
          <w:szCs w:val="24"/>
        </w:rPr>
        <w:t xml:space="preserve"> </w:t>
      </w:r>
      <w:r w:rsidRPr="006964C9">
        <w:rPr>
          <w:rFonts w:cs="AdvTT2acb703b"/>
          <w:color w:val="131413"/>
          <w:kern w:val="0"/>
          <w:sz w:val="24"/>
          <w:szCs w:val="24"/>
        </w:rPr>
        <w:t>/</w:t>
      </w:r>
      <w:r w:rsidR="00936178" w:rsidRPr="006964C9">
        <w:rPr>
          <w:rFonts w:cs="AdvTT2acb703b"/>
          <w:color w:val="131413"/>
          <w:kern w:val="0"/>
          <w:sz w:val="24"/>
          <w:szCs w:val="24"/>
        </w:rPr>
        <w:t xml:space="preserve"> </w:t>
      </w:r>
      <w:r w:rsidRPr="006964C9">
        <w:rPr>
          <w:rFonts w:cs="AdvTT2acb703b"/>
          <w:color w:val="131413"/>
          <w:kern w:val="0"/>
          <w:sz w:val="24"/>
          <w:szCs w:val="24"/>
        </w:rPr>
        <w:t xml:space="preserve">[1/precontrastT1 value]) </w:t>
      </w:r>
      <w:r w:rsidR="00A92A88" w:rsidRPr="006964C9">
        <w:rPr>
          <w:rFonts w:cs="AdvTT2acb703b"/>
          <w:color w:val="131413"/>
          <w:kern w:val="0"/>
          <w:sz w:val="24"/>
          <w:szCs w:val="24"/>
        </w:rPr>
        <w:t xml:space="preserve">during </w:t>
      </w:r>
      <w:r w:rsidRPr="006964C9">
        <w:rPr>
          <w:rFonts w:cs="AdvTT2acb703b"/>
          <w:color w:val="131413"/>
          <w:kern w:val="0"/>
          <w:sz w:val="24"/>
          <w:szCs w:val="24"/>
        </w:rPr>
        <w:t xml:space="preserve">HBP </w:t>
      </w:r>
      <w:r w:rsidR="00A92A88" w:rsidRPr="006964C9">
        <w:rPr>
          <w:rFonts w:cs="AdvTT2acb703b"/>
          <w:color w:val="131413"/>
          <w:kern w:val="0"/>
          <w:sz w:val="24"/>
          <w:szCs w:val="24"/>
        </w:rPr>
        <w:t xml:space="preserve">is a </w:t>
      </w:r>
      <w:r w:rsidRPr="006964C9">
        <w:rPr>
          <w:rFonts w:cs="AdvTT2acb703b"/>
          <w:color w:val="131413"/>
          <w:kern w:val="0"/>
          <w:sz w:val="24"/>
          <w:szCs w:val="24"/>
        </w:rPr>
        <w:t>good indicator of tumor differentiation</w:t>
      </w:r>
      <w:r w:rsidR="00A92A88" w:rsidRPr="006964C9">
        <w:rPr>
          <w:rFonts w:cs="AdvTT2acb703b"/>
          <w:color w:val="131413"/>
          <w:kern w:val="0"/>
          <w:sz w:val="24"/>
          <w:szCs w:val="24"/>
        </w:rPr>
        <w:t>,</w:t>
      </w:r>
      <w:r w:rsidRPr="006964C9">
        <w:rPr>
          <w:rFonts w:cs="AdvTT2acb703b"/>
          <w:color w:val="131413"/>
          <w:kern w:val="0"/>
          <w:sz w:val="24"/>
          <w:szCs w:val="24"/>
        </w:rPr>
        <w:t xml:space="preserve"> except </w:t>
      </w:r>
      <w:r w:rsidR="00A92A88" w:rsidRPr="006964C9">
        <w:rPr>
          <w:rFonts w:cs="AdvTT2acb703b"/>
          <w:color w:val="131413"/>
          <w:kern w:val="0"/>
          <w:sz w:val="24"/>
          <w:szCs w:val="24"/>
        </w:rPr>
        <w:t xml:space="preserve">that </w:t>
      </w:r>
      <w:r w:rsidRPr="006964C9">
        <w:rPr>
          <w:rFonts w:cs="AdvTT2acb703b"/>
          <w:color w:val="131413"/>
          <w:kern w:val="0"/>
          <w:sz w:val="24"/>
          <w:szCs w:val="24"/>
        </w:rPr>
        <w:lastRenderedPageBreak/>
        <w:t xml:space="preserve">moderately differentiated HCCs (6%) occasionally show a high enhancement ratio with increased </w:t>
      </w:r>
      <w:r w:rsidR="00A92A88" w:rsidRPr="006964C9">
        <w:rPr>
          <w:rFonts w:cs="AdvTT2acb703b"/>
          <w:color w:val="131413"/>
          <w:kern w:val="0"/>
          <w:sz w:val="24"/>
          <w:szCs w:val="24"/>
        </w:rPr>
        <w:t xml:space="preserve">OATP1B3 </w:t>
      </w:r>
      <w:r w:rsidRPr="006964C9">
        <w:rPr>
          <w:rFonts w:cs="AdvTT2acb703b"/>
          <w:color w:val="131413"/>
          <w:kern w:val="0"/>
          <w:sz w:val="24"/>
          <w:szCs w:val="24"/>
        </w:rPr>
        <w:t xml:space="preserve">expression [31]. </w:t>
      </w:r>
      <w:r w:rsidRPr="006964C9">
        <w:rPr>
          <w:rStyle w:val="tlid-translation"/>
          <w:sz w:val="24"/>
          <w:szCs w:val="24"/>
          <w:lang w:val="en"/>
        </w:rPr>
        <w:t>Gd-EOB-MRI has made it possible to detect high</w:t>
      </w:r>
      <w:r w:rsidR="00A92A88" w:rsidRPr="006964C9">
        <w:rPr>
          <w:rStyle w:val="tlid-translation"/>
          <w:sz w:val="24"/>
          <w:szCs w:val="24"/>
          <w:lang w:val="en"/>
        </w:rPr>
        <w:t>-</w:t>
      </w:r>
      <w:r w:rsidRPr="006964C9">
        <w:rPr>
          <w:rStyle w:val="tlid-translation"/>
          <w:sz w:val="24"/>
          <w:szCs w:val="24"/>
          <w:lang w:val="en"/>
        </w:rPr>
        <w:t xml:space="preserve">grade DN or early HCC. In this study, NHHNs were detected </w:t>
      </w:r>
      <w:r w:rsidR="00A92A88" w:rsidRPr="006964C9">
        <w:rPr>
          <w:rStyle w:val="tlid-translation"/>
          <w:sz w:val="24"/>
          <w:szCs w:val="24"/>
          <w:lang w:val="en"/>
        </w:rPr>
        <w:t xml:space="preserve">in </w:t>
      </w:r>
      <w:r w:rsidRPr="006964C9">
        <w:rPr>
          <w:rStyle w:val="tlid-translation"/>
          <w:sz w:val="24"/>
          <w:szCs w:val="24"/>
          <w:lang w:val="en"/>
        </w:rPr>
        <w:t xml:space="preserve">101 patients at the first MRI and </w:t>
      </w:r>
      <w:r w:rsidR="00A92A88" w:rsidRPr="006964C9">
        <w:rPr>
          <w:rStyle w:val="tlid-translation"/>
          <w:sz w:val="24"/>
          <w:szCs w:val="24"/>
          <w:lang w:val="en"/>
        </w:rPr>
        <w:t xml:space="preserve">in </w:t>
      </w:r>
      <w:r w:rsidRPr="006964C9">
        <w:rPr>
          <w:rStyle w:val="tlid-translation"/>
          <w:sz w:val="24"/>
          <w:szCs w:val="24"/>
          <w:lang w:val="en"/>
        </w:rPr>
        <w:t>25 patients during</w:t>
      </w:r>
      <w:r w:rsidR="00A92A88" w:rsidRPr="006964C9">
        <w:rPr>
          <w:rStyle w:val="tlid-translation"/>
          <w:sz w:val="24"/>
          <w:szCs w:val="24"/>
          <w:lang w:val="en"/>
        </w:rPr>
        <w:t xml:space="preserve"> the</w:t>
      </w:r>
      <w:r w:rsidRPr="006964C9">
        <w:rPr>
          <w:rStyle w:val="tlid-translation"/>
          <w:sz w:val="24"/>
          <w:szCs w:val="24"/>
          <w:lang w:val="en"/>
        </w:rPr>
        <w:t xml:space="preserve"> follow-</w:t>
      </w:r>
      <w:r w:rsidR="00936178" w:rsidRPr="006964C9">
        <w:rPr>
          <w:rStyle w:val="tlid-translation"/>
          <w:sz w:val="24"/>
          <w:szCs w:val="24"/>
          <w:lang w:val="en"/>
        </w:rPr>
        <w:t>u</w:t>
      </w:r>
      <w:r w:rsidRPr="006964C9">
        <w:rPr>
          <w:rStyle w:val="tlid-translation"/>
          <w:sz w:val="24"/>
          <w:szCs w:val="24"/>
          <w:lang w:val="en"/>
        </w:rPr>
        <w:t>p period. Clinically, almost all HCCs with metastases or vascular</w:t>
      </w:r>
      <w:r w:rsidR="00936178" w:rsidRPr="006964C9">
        <w:rPr>
          <w:rStyle w:val="tlid-translation"/>
          <w:sz w:val="24"/>
          <w:szCs w:val="24"/>
          <w:lang w:val="en"/>
        </w:rPr>
        <w:t xml:space="preserve"> invasion</w:t>
      </w:r>
      <w:r w:rsidRPr="006964C9">
        <w:rPr>
          <w:rStyle w:val="tlid-translation"/>
          <w:sz w:val="24"/>
          <w:szCs w:val="24"/>
          <w:lang w:val="en"/>
        </w:rPr>
        <w:t xml:space="preserve"> are hypervascular</w:t>
      </w:r>
      <w:r w:rsidRPr="006964C9">
        <w:rPr>
          <w:rFonts w:cs="StoneSerif"/>
          <w:kern w:val="0"/>
          <w:sz w:val="24"/>
          <w:szCs w:val="24"/>
        </w:rPr>
        <w:t xml:space="preserve"> relative to the surrounding liver. </w:t>
      </w:r>
      <w:r w:rsidR="00000DA3" w:rsidRPr="006964C9">
        <w:rPr>
          <w:rFonts w:cs="StoneSerif"/>
          <w:kern w:val="0"/>
          <w:sz w:val="24"/>
          <w:szCs w:val="24"/>
        </w:rPr>
        <w:t xml:space="preserve">By </w:t>
      </w:r>
      <w:r w:rsidRPr="006964C9">
        <w:rPr>
          <w:rFonts w:cs="StoneSerif"/>
          <w:kern w:val="0"/>
          <w:sz w:val="24"/>
          <w:szCs w:val="24"/>
        </w:rPr>
        <w:t xml:space="preserve">contrast, </w:t>
      </w:r>
      <w:r w:rsidRPr="006964C9">
        <w:rPr>
          <w:rStyle w:val="tlid-translation"/>
          <w:sz w:val="24"/>
          <w:szCs w:val="24"/>
          <w:lang w:val="en"/>
        </w:rPr>
        <w:t>high</w:t>
      </w:r>
      <w:r w:rsidR="00A92A88" w:rsidRPr="006964C9">
        <w:rPr>
          <w:rStyle w:val="tlid-translation"/>
          <w:sz w:val="24"/>
          <w:szCs w:val="24"/>
          <w:lang w:val="en"/>
        </w:rPr>
        <w:t>-</w:t>
      </w:r>
      <w:r w:rsidRPr="006964C9">
        <w:rPr>
          <w:rStyle w:val="tlid-translation"/>
          <w:sz w:val="24"/>
          <w:szCs w:val="24"/>
          <w:lang w:val="en"/>
        </w:rPr>
        <w:t xml:space="preserve">grade DNs </w:t>
      </w:r>
      <w:r w:rsidR="00A92A88" w:rsidRPr="006964C9">
        <w:rPr>
          <w:rStyle w:val="tlid-translation"/>
          <w:sz w:val="24"/>
          <w:szCs w:val="24"/>
          <w:lang w:val="en"/>
        </w:rPr>
        <w:t xml:space="preserve">and </w:t>
      </w:r>
      <w:r w:rsidRPr="006964C9">
        <w:rPr>
          <w:rStyle w:val="tlid-translation"/>
          <w:sz w:val="24"/>
          <w:szCs w:val="24"/>
          <w:lang w:val="en"/>
        </w:rPr>
        <w:t xml:space="preserve">early HCCs do not </w:t>
      </w:r>
      <w:r w:rsidR="00A92A88" w:rsidRPr="006964C9">
        <w:rPr>
          <w:rStyle w:val="tlid-translation"/>
          <w:sz w:val="24"/>
          <w:szCs w:val="24"/>
          <w:lang w:val="en"/>
        </w:rPr>
        <w:t xml:space="preserve">usually </w:t>
      </w:r>
      <w:r w:rsidRPr="006964C9">
        <w:rPr>
          <w:rFonts w:cs="StoneSerif"/>
          <w:kern w:val="0"/>
          <w:sz w:val="24"/>
          <w:szCs w:val="24"/>
        </w:rPr>
        <w:t>demonstrate any overt metastases or vascular invasion</w:t>
      </w:r>
      <w:r w:rsidR="00A92A88" w:rsidRPr="006964C9">
        <w:rPr>
          <w:rFonts w:cs="StoneSerif"/>
          <w:kern w:val="0"/>
          <w:sz w:val="24"/>
          <w:szCs w:val="24"/>
        </w:rPr>
        <w:t>,</w:t>
      </w:r>
      <w:r w:rsidRPr="006964C9">
        <w:rPr>
          <w:rFonts w:cs="StoneSerif"/>
          <w:kern w:val="0"/>
          <w:sz w:val="24"/>
          <w:szCs w:val="24"/>
        </w:rPr>
        <w:t xml:space="preserve"> and </w:t>
      </w:r>
      <w:r w:rsidR="00A92A88" w:rsidRPr="006964C9">
        <w:rPr>
          <w:rFonts w:cs="StoneSerif"/>
          <w:kern w:val="0"/>
          <w:sz w:val="24"/>
          <w:szCs w:val="24"/>
        </w:rPr>
        <w:t xml:space="preserve">their </w:t>
      </w:r>
      <w:r w:rsidR="00E91936" w:rsidRPr="006964C9">
        <w:rPr>
          <w:rFonts w:cs="StoneSerif"/>
          <w:kern w:val="0"/>
          <w:sz w:val="24"/>
          <w:szCs w:val="24"/>
        </w:rPr>
        <w:t xml:space="preserve">treatment does not </w:t>
      </w:r>
      <w:r w:rsidR="00A92A88" w:rsidRPr="006964C9">
        <w:rPr>
          <w:rFonts w:cs="StoneSerif"/>
          <w:kern w:val="0"/>
          <w:sz w:val="24"/>
          <w:szCs w:val="24"/>
        </w:rPr>
        <w:t>confer a</w:t>
      </w:r>
      <w:r w:rsidR="00E91936" w:rsidRPr="006964C9">
        <w:rPr>
          <w:rFonts w:cs="StoneSerif"/>
          <w:kern w:val="0"/>
          <w:sz w:val="24"/>
          <w:szCs w:val="24"/>
        </w:rPr>
        <w:t xml:space="preserve"> </w:t>
      </w:r>
      <w:r w:rsidRPr="006964C9">
        <w:rPr>
          <w:rFonts w:cs="StoneSerif"/>
          <w:kern w:val="0"/>
          <w:sz w:val="24"/>
          <w:szCs w:val="24"/>
        </w:rPr>
        <w:t xml:space="preserve">survival </w:t>
      </w:r>
      <w:r w:rsidR="00E91936" w:rsidRPr="006964C9">
        <w:rPr>
          <w:rFonts w:cs="StoneSerif"/>
          <w:kern w:val="0"/>
          <w:sz w:val="24"/>
          <w:szCs w:val="24"/>
        </w:rPr>
        <w:t>benefit</w:t>
      </w:r>
      <w:r w:rsidRPr="006964C9">
        <w:rPr>
          <w:rFonts w:cs="StoneSerif"/>
          <w:kern w:val="0"/>
          <w:sz w:val="24"/>
          <w:szCs w:val="24"/>
        </w:rPr>
        <w:t xml:space="preserve"> [32]. Therefore, we considered </w:t>
      </w:r>
      <w:r w:rsidR="00A92A88" w:rsidRPr="006964C9">
        <w:rPr>
          <w:rFonts w:cs="StoneSerif"/>
          <w:kern w:val="0"/>
          <w:sz w:val="24"/>
          <w:szCs w:val="24"/>
        </w:rPr>
        <w:t xml:space="preserve">both entities </w:t>
      </w:r>
      <w:r w:rsidRPr="006964C9">
        <w:rPr>
          <w:rFonts w:cs="StoneSerif"/>
          <w:kern w:val="0"/>
          <w:sz w:val="24"/>
          <w:szCs w:val="24"/>
        </w:rPr>
        <w:t>to be clinically benign and did not perform any intervention. In fact, all patients received curative therap</w:t>
      </w:r>
      <w:r w:rsidR="00D674F3" w:rsidRPr="006964C9">
        <w:rPr>
          <w:rFonts w:cs="StoneSerif"/>
          <w:kern w:val="0"/>
          <w:sz w:val="24"/>
          <w:szCs w:val="24"/>
        </w:rPr>
        <w:t>y</w:t>
      </w:r>
      <w:r w:rsidR="00E91936" w:rsidRPr="006964C9">
        <w:rPr>
          <w:rFonts w:cs="StoneSerif"/>
          <w:kern w:val="0"/>
          <w:sz w:val="24"/>
          <w:szCs w:val="24"/>
        </w:rPr>
        <w:t xml:space="preserve"> after the diagnosis of overt hypervascular HCCs</w:t>
      </w:r>
      <w:r w:rsidR="00D674F3" w:rsidRPr="006964C9">
        <w:rPr>
          <w:rFonts w:cs="StoneSerif"/>
          <w:kern w:val="0"/>
          <w:sz w:val="24"/>
          <w:szCs w:val="24"/>
        </w:rPr>
        <w:t xml:space="preserve">, as follows: </w:t>
      </w:r>
      <w:r w:rsidRPr="006964C9">
        <w:rPr>
          <w:rFonts w:cs="StoneSerif"/>
          <w:kern w:val="0"/>
          <w:sz w:val="24"/>
          <w:szCs w:val="24"/>
        </w:rPr>
        <w:t>33 patients with hepatic resection, 25 patients with percutaneous radiofrequency ablation</w:t>
      </w:r>
      <w:r w:rsidR="00D674F3" w:rsidRPr="006964C9">
        <w:rPr>
          <w:rFonts w:cs="StoneSerif"/>
          <w:kern w:val="0"/>
          <w:sz w:val="24"/>
          <w:szCs w:val="24"/>
        </w:rPr>
        <w:t>,</w:t>
      </w:r>
      <w:r w:rsidRPr="006964C9">
        <w:rPr>
          <w:rFonts w:cs="StoneSerif"/>
          <w:kern w:val="0"/>
          <w:sz w:val="24"/>
          <w:szCs w:val="24"/>
        </w:rPr>
        <w:t xml:space="preserve"> and </w:t>
      </w:r>
      <w:r w:rsidR="00D674F3" w:rsidRPr="006964C9">
        <w:rPr>
          <w:rFonts w:cs="StoneSerif"/>
          <w:kern w:val="0"/>
          <w:sz w:val="24"/>
          <w:szCs w:val="24"/>
        </w:rPr>
        <w:t xml:space="preserve">nine </w:t>
      </w:r>
      <w:r w:rsidRPr="006964C9">
        <w:rPr>
          <w:rFonts w:cs="StoneSerif"/>
          <w:kern w:val="0"/>
          <w:sz w:val="24"/>
          <w:szCs w:val="24"/>
        </w:rPr>
        <w:t>patients with transcatheter arterial chemoembolization.</w:t>
      </w:r>
    </w:p>
    <w:p w14:paraId="6E530AFD" w14:textId="260AD7CD" w:rsidR="00C37D9F" w:rsidRPr="006964C9" w:rsidRDefault="00C37D9F" w:rsidP="00C37D9F">
      <w:pPr>
        <w:autoSpaceDE w:val="0"/>
        <w:autoSpaceDN w:val="0"/>
        <w:adjustRightInd w:val="0"/>
        <w:spacing w:line="480" w:lineRule="auto"/>
        <w:jc w:val="left"/>
        <w:rPr>
          <w:rStyle w:val="tlid-translation"/>
          <w:rFonts w:eastAsia="AdvOT678fd422" w:cs="AdvOT678fd422"/>
          <w:color w:val="231F20"/>
          <w:kern w:val="0"/>
          <w:sz w:val="24"/>
          <w:szCs w:val="24"/>
        </w:rPr>
      </w:pPr>
      <w:r w:rsidRPr="006964C9">
        <w:rPr>
          <w:rFonts w:cs="StoneSerif"/>
          <w:kern w:val="0"/>
          <w:sz w:val="24"/>
          <w:szCs w:val="24"/>
        </w:rPr>
        <w:tab/>
      </w:r>
      <w:r w:rsidRPr="006964C9">
        <w:rPr>
          <w:rFonts w:eastAsia="Lato-Regular" w:cs="Lato-Regular"/>
          <w:kern w:val="0"/>
          <w:sz w:val="24"/>
          <w:szCs w:val="24"/>
        </w:rPr>
        <w:t xml:space="preserve">Gd-EOB-MRI is the most sensitive procedure </w:t>
      </w:r>
      <w:r w:rsidR="00D674F3" w:rsidRPr="006964C9">
        <w:rPr>
          <w:rFonts w:eastAsia="Lato-Regular" w:cs="Lato-Regular"/>
          <w:kern w:val="0"/>
          <w:sz w:val="24"/>
          <w:szCs w:val="24"/>
        </w:rPr>
        <w:t xml:space="preserve">for the </w:t>
      </w:r>
      <w:r w:rsidRPr="006964C9">
        <w:rPr>
          <w:rFonts w:eastAsia="Lato-Regular" w:cs="Lato-Regular"/>
          <w:kern w:val="0"/>
          <w:sz w:val="24"/>
          <w:szCs w:val="24"/>
        </w:rPr>
        <w:t xml:space="preserve">diagnosis of small HCCs </w:t>
      </w:r>
      <w:r w:rsidRPr="006964C9">
        <w:rPr>
          <w:rFonts w:cs="Cambria"/>
          <w:kern w:val="0"/>
          <w:sz w:val="24"/>
          <w:szCs w:val="24"/>
        </w:rPr>
        <w:t>[13, 14, 15, 16]. Kim et al. report</w:t>
      </w:r>
      <w:r w:rsidR="00D674F3" w:rsidRPr="006964C9">
        <w:rPr>
          <w:rFonts w:cs="Cambria"/>
          <w:kern w:val="0"/>
          <w:sz w:val="24"/>
          <w:szCs w:val="24"/>
        </w:rPr>
        <w:t>ed</w:t>
      </w:r>
      <w:r w:rsidRPr="006964C9">
        <w:rPr>
          <w:rFonts w:cs="Cambria"/>
          <w:kern w:val="0"/>
          <w:sz w:val="24"/>
          <w:szCs w:val="24"/>
        </w:rPr>
        <w:t xml:space="preserve"> </w:t>
      </w:r>
      <w:r w:rsidRPr="006964C9">
        <w:rPr>
          <w:rFonts w:cs="AdvTT08640291"/>
          <w:kern w:val="0"/>
          <w:sz w:val="24"/>
          <w:szCs w:val="24"/>
        </w:rPr>
        <w:t xml:space="preserve">that the addition of </w:t>
      </w:r>
      <w:r w:rsidRPr="006964C9">
        <w:rPr>
          <w:rFonts w:eastAsia="Lato-Regular" w:cs="Lato-Regular"/>
          <w:kern w:val="0"/>
          <w:sz w:val="24"/>
          <w:szCs w:val="24"/>
        </w:rPr>
        <w:t xml:space="preserve">Gd-EOB-MRI to dynamic CT </w:t>
      </w:r>
      <w:r w:rsidRPr="006964C9">
        <w:rPr>
          <w:rFonts w:cs="AdvTT08640291"/>
          <w:kern w:val="0"/>
          <w:sz w:val="24"/>
          <w:szCs w:val="24"/>
        </w:rPr>
        <w:t>was</w:t>
      </w:r>
      <w:r w:rsidRPr="006964C9">
        <w:rPr>
          <w:rFonts w:eastAsia="Lato-Regular" w:cs="Lato-Regular"/>
          <w:kern w:val="0"/>
          <w:sz w:val="24"/>
          <w:szCs w:val="24"/>
        </w:rPr>
        <w:t xml:space="preserve"> </w:t>
      </w:r>
      <w:r w:rsidRPr="006964C9">
        <w:rPr>
          <w:rFonts w:cs="AdvTT08640291"/>
          <w:kern w:val="0"/>
          <w:sz w:val="24"/>
          <w:szCs w:val="24"/>
        </w:rPr>
        <w:t xml:space="preserve">associated with </w:t>
      </w:r>
      <w:r w:rsidR="00D674F3" w:rsidRPr="006964C9">
        <w:rPr>
          <w:rFonts w:cs="AdvTT08640291"/>
          <w:kern w:val="0"/>
          <w:sz w:val="24"/>
          <w:szCs w:val="24"/>
        </w:rPr>
        <w:t xml:space="preserve">the </w:t>
      </w:r>
      <w:r w:rsidRPr="006964C9">
        <w:rPr>
          <w:rFonts w:cs="AdvTT08640291"/>
          <w:kern w:val="0"/>
          <w:sz w:val="24"/>
          <w:szCs w:val="24"/>
        </w:rPr>
        <w:t xml:space="preserve">detection of </w:t>
      </w:r>
      <w:r w:rsidR="00D674F3" w:rsidRPr="006964C9">
        <w:rPr>
          <w:rFonts w:cs="AdvTT08640291"/>
          <w:kern w:val="0"/>
          <w:sz w:val="24"/>
          <w:szCs w:val="24"/>
        </w:rPr>
        <w:t xml:space="preserve">additional </w:t>
      </w:r>
      <w:r w:rsidRPr="006964C9">
        <w:rPr>
          <w:rFonts w:cs="AdvTT08640291"/>
          <w:kern w:val="0"/>
          <w:sz w:val="24"/>
          <w:szCs w:val="24"/>
        </w:rPr>
        <w:t>HCC nodules in a</w:t>
      </w:r>
      <w:r w:rsidRPr="006964C9">
        <w:rPr>
          <w:rFonts w:eastAsia="Lato-Regular" w:cs="Lato-Regular"/>
          <w:kern w:val="0"/>
          <w:sz w:val="24"/>
          <w:szCs w:val="24"/>
        </w:rPr>
        <w:t xml:space="preserve"> </w:t>
      </w:r>
      <w:r w:rsidRPr="006964C9">
        <w:rPr>
          <w:rFonts w:cs="AdvTT08640291"/>
          <w:kern w:val="0"/>
          <w:sz w:val="24"/>
          <w:szCs w:val="24"/>
        </w:rPr>
        <w:t>signi</w:t>
      </w:r>
      <w:r w:rsidRPr="006964C9">
        <w:rPr>
          <w:rFonts w:eastAsia="AdvTT08640291+fb" w:cs="AdvTT08640291+fb"/>
          <w:kern w:val="0"/>
          <w:sz w:val="24"/>
          <w:szCs w:val="24"/>
        </w:rPr>
        <w:t>fi</w:t>
      </w:r>
      <w:r w:rsidRPr="006964C9">
        <w:rPr>
          <w:rFonts w:cs="AdvTT08640291"/>
          <w:kern w:val="0"/>
          <w:sz w:val="24"/>
          <w:szCs w:val="24"/>
        </w:rPr>
        <w:t xml:space="preserve">cant proportion of patients, </w:t>
      </w:r>
      <w:r w:rsidR="00D674F3" w:rsidRPr="006964C9">
        <w:rPr>
          <w:rFonts w:cs="AdvTT08640291"/>
          <w:kern w:val="0"/>
          <w:sz w:val="24"/>
          <w:szCs w:val="24"/>
        </w:rPr>
        <w:lastRenderedPageBreak/>
        <w:t xml:space="preserve">and resulted in a </w:t>
      </w:r>
      <w:r w:rsidRPr="006964C9">
        <w:rPr>
          <w:rFonts w:cs="AdvTT08640291"/>
          <w:kern w:val="0"/>
          <w:sz w:val="24"/>
          <w:szCs w:val="24"/>
        </w:rPr>
        <w:t>decreased risk of HCC</w:t>
      </w:r>
      <w:r w:rsidRPr="006964C9">
        <w:rPr>
          <w:rFonts w:eastAsia="Lato-Regular" w:cs="Lato-Regular"/>
          <w:kern w:val="0"/>
          <w:sz w:val="24"/>
          <w:szCs w:val="24"/>
        </w:rPr>
        <w:t xml:space="preserve"> </w:t>
      </w:r>
      <w:r w:rsidRPr="006964C9">
        <w:rPr>
          <w:rFonts w:cs="AdvTT08640291"/>
          <w:kern w:val="0"/>
          <w:sz w:val="24"/>
          <w:szCs w:val="24"/>
        </w:rPr>
        <w:t>recurrence and improved overall survival of patients who</w:t>
      </w:r>
      <w:r w:rsidRPr="006964C9">
        <w:rPr>
          <w:rFonts w:eastAsia="Lato-Regular" w:cs="Lato-Regular"/>
          <w:kern w:val="0"/>
          <w:sz w:val="24"/>
          <w:szCs w:val="24"/>
        </w:rPr>
        <w:t xml:space="preserve"> </w:t>
      </w:r>
      <w:r w:rsidRPr="006964C9">
        <w:rPr>
          <w:rFonts w:cs="AdvTT08640291"/>
          <w:kern w:val="0"/>
          <w:sz w:val="24"/>
          <w:szCs w:val="24"/>
        </w:rPr>
        <w:t xml:space="preserve">were </w:t>
      </w:r>
      <w:r w:rsidR="00D674F3" w:rsidRPr="006964C9">
        <w:rPr>
          <w:rFonts w:cs="AdvTT08640291"/>
          <w:kern w:val="0"/>
          <w:sz w:val="24"/>
          <w:szCs w:val="24"/>
        </w:rPr>
        <w:t xml:space="preserve">initially </w:t>
      </w:r>
      <w:r w:rsidRPr="006964C9">
        <w:rPr>
          <w:rFonts w:cs="AdvTT08640291"/>
          <w:kern w:val="0"/>
          <w:sz w:val="24"/>
          <w:szCs w:val="24"/>
        </w:rPr>
        <w:t>assessed to have a single</w:t>
      </w:r>
      <w:r w:rsidR="00D674F3" w:rsidRPr="006964C9">
        <w:rPr>
          <w:rFonts w:cs="AdvTT08640291"/>
          <w:kern w:val="0"/>
          <w:sz w:val="24"/>
          <w:szCs w:val="24"/>
        </w:rPr>
        <w:t xml:space="preserve"> </w:t>
      </w:r>
      <w:r w:rsidRPr="006964C9">
        <w:rPr>
          <w:rFonts w:cs="AdvTT08640291"/>
          <w:kern w:val="0"/>
          <w:sz w:val="24"/>
          <w:szCs w:val="24"/>
        </w:rPr>
        <w:t>nodular HCC by</w:t>
      </w:r>
      <w:r w:rsidRPr="006964C9">
        <w:rPr>
          <w:rFonts w:eastAsia="Lato-Regular" w:cs="Lato-Regular"/>
          <w:kern w:val="0"/>
          <w:sz w:val="24"/>
          <w:szCs w:val="24"/>
        </w:rPr>
        <w:t xml:space="preserve"> </w:t>
      </w:r>
      <w:r w:rsidRPr="006964C9">
        <w:rPr>
          <w:rFonts w:cs="AdvTT08640291"/>
          <w:kern w:val="0"/>
          <w:sz w:val="24"/>
          <w:szCs w:val="24"/>
        </w:rPr>
        <w:t xml:space="preserve">dynamic CT [33]. Many studies </w:t>
      </w:r>
      <w:r w:rsidR="00D674F3" w:rsidRPr="006964C9">
        <w:rPr>
          <w:rFonts w:cs="AdvTT08640291"/>
          <w:kern w:val="0"/>
          <w:sz w:val="24"/>
          <w:szCs w:val="24"/>
        </w:rPr>
        <w:t xml:space="preserve">have </w:t>
      </w:r>
      <w:r w:rsidRPr="006964C9">
        <w:rPr>
          <w:rFonts w:cs="AdvTT08640291"/>
          <w:kern w:val="0"/>
          <w:sz w:val="24"/>
          <w:szCs w:val="24"/>
        </w:rPr>
        <w:t>report</w:t>
      </w:r>
      <w:r w:rsidR="00D674F3" w:rsidRPr="006964C9">
        <w:rPr>
          <w:rFonts w:cs="AdvTT08640291"/>
          <w:kern w:val="0"/>
          <w:sz w:val="24"/>
          <w:szCs w:val="24"/>
        </w:rPr>
        <w:t>ed</w:t>
      </w:r>
      <w:r w:rsidRPr="006964C9">
        <w:rPr>
          <w:rFonts w:cs="AdvTT08640291"/>
          <w:kern w:val="0"/>
          <w:sz w:val="24"/>
          <w:szCs w:val="24"/>
        </w:rPr>
        <w:t xml:space="preserve"> that the </w:t>
      </w:r>
      <w:r w:rsidRPr="006964C9">
        <w:rPr>
          <w:rFonts w:cs="Arial"/>
          <w:sz w:val="25"/>
          <w:szCs w:val="25"/>
        </w:rPr>
        <w:t>eradication of HCV reduce</w:t>
      </w:r>
      <w:r w:rsidR="00D674F3" w:rsidRPr="006964C9">
        <w:rPr>
          <w:rFonts w:cs="Arial"/>
          <w:sz w:val="25"/>
          <w:szCs w:val="25"/>
        </w:rPr>
        <w:t>s</w:t>
      </w:r>
      <w:r w:rsidRPr="006964C9">
        <w:rPr>
          <w:rFonts w:cs="Arial"/>
          <w:sz w:val="25"/>
          <w:szCs w:val="25"/>
        </w:rPr>
        <w:t xml:space="preserve"> the risk of HCC </w:t>
      </w:r>
      <w:r w:rsidRPr="006964C9">
        <w:rPr>
          <w:rFonts w:cs="Arial"/>
          <w:sz w:val="24"/>
          <w:szCs w:val="24"/>
        </w:rPr>
        <w:t>[4, 5, 6, 34]</w:t>
      </w:r>
      <w:r w:rsidRPr="006964C9">
        <w:rPr>
          <w:rFonts w:cs="Arial"/>
          <w:sz w:val="25"/>
          <w:szCs w:val="25"/>
        </w:rPr>
        <w:t>.</w:t>
      </w:r>
      <w:r w:rsidRPr="006964C9">
        <w:rPr>
          <w:rFonts w:cs="Arial" w:hint="eastAsia"/>
          <w:sz w:val="25"/>
          <w:szCs w:val="25"/>
        </w:rPr>
        <w:t xml:space="preserve"> </w:t>
      </w:r>
      <w:r w:rsidRPr="006964C9">
        <w:rPr>
          <w:rFonts w:cs="Arial"/>
          <w:sz w:val="25"/>
          <w:szCs w:val="25"/>
        </w:rPr>
        <w:t xml:space="preserve">However, no </w:t>
      </w:r>
      <w:r w:rsidR="00D674F3" w:rsidRPr="006964C9">
        <w:rPr>
          <w:rFonts w:cs="Arial"/>
          <w:sz w:val="25"/>
          <w:szCs w:val="25"/>
        </w:rPr>
        <w:t xml:space="preserve">studies have </w:t>
      </w:r>
      <w:r w:rsidR="00D674F3" w:rsidRPr="006964C9">
        <w:rPr>
          <w:rFonts w:eastAsia="Lato-Regular" w:cs="Lato-Regular"/>
          <w:kern w:val="0"/>
          <w:sz w:val="24"/>
          <w:szCs w:val="24"/>
        </w:rPr>
        <w:t xml:space="preserve">ruled out </w:t>
      </w:r>
      <w:r w:rsidRPr="006964C9">
        <w:rPr>
          <w:rFonts w:eastAsia="Lato-Regular" w:cs="Lato-Regular"/>
          <w:kern w:val="0"/>
          <w:sz w:val="24"/>
          <w:szCs w:val="24"/>
        </w:rPr>
        <w:t>the presence of HCC</w:t>
      </w:r>
      <w:r w:rsidR="00E91936" w:rsidRPr="006964C9">
        <w:rPr>
          <w:rFonts w:cs="Arial"/>
          <w:sz w:val="25"/>
          <w:szCs w:val="25"/>
        </w:rPr>
        <w:t xml:space="preserve"> by </w:t>
      </w:r>
      <w:r w:rsidR="00E91936" w:rsidRPr="006964C9">
        <w:rPr>
          <w:rFonts w:eastAsia="Lato-Regular" w:cs="Lato-Regular"/>
          <w:kern w:val="0"/>
          <w:sz w:val="24"/>
          <w:szCs w:val="24"/>
        </w:rPr>
        <w:t xml:space="preserve">Gd-EOB-MRI </w:t>
      </w:r>
      <w:r w:rsidRPr="006964C9">
        <w:rPr>
          <w:rFonts w:eastAsia="Lato-Regular" w:cs="Lato-Regular"/>
          <w:kern w:val="0"/>
          <w:sz w:val="24"/>
          <w:szCs w:val="24"/>
        </w:rPr>
        <w:t xml:space="preserve">before starting DAA therapy. </w:t>
      </w:r>
      <w:r w:rsidRPr="006964C9">
        <w:rPr>
          <w:rStyle w:val="tlid-translation"/>
          <w:sz w:val="24"/>
          <w:szCs w:val="24"/>
          <w:lang w:val="en"/>
        </w:rPr>
        <w:t xml:space="preserve">If the </w:t>
      </w:r>
      <w:r w:rsidR="00D674F3" w:rsidRPr="006964C9">
        <w:rPr>
          <w:rStyle w:val="tlid-translation"/>
          <w:sz w:val="24"/>
          <w:szCs w:val="24"/>
          <w:lang w:val="en"/>
        </w:rPr>
        <w:t xml:space="preserve">only </w:t>
      </w:r>
      <w:r w:rsidRPr="006964C9">
        <w:rPr>
          <w:rStyle w:val="tlid-translation"/>
          <w:sz w:val="24"/>
          <w:szCs w:val="24"/>
          <w:lang w:val="en"/>
        </w:rPr>
        <w:t>imaging modality</w:t>
      </w:r>
      <w:r w:rsidR="00D674F3" w:rsidRPr="006964C9">
        <w:rPr>
          <w:rStyle w:val="tlid-translation"/>
          <w:sz w:val="24"/>
          <w:szCs w:val="24"/>
          <w:lang w:val="en"/>
        </w:rPr>
        <w:t xml:space="preserve"> used</w:t>
      </w:r>
      <w:r w:rsidRPr="006964C9">
        <w:rPr>
          <w:rStyle w:val="tlid-translation"/>
          <w:sz w:val="24"/>
          <w:szCs w:val="24"/>
          <w:lang w:val="en"/>
        </w:rPr>
        <w:t xml:space="preserve"> before treatment is multiphase dynamic CT or ultrasound, </w:t>
      </w:r>
      <w:r w:rsidR="00D674F3" w:rsidRPr="006964C9">
        <w:rPr>
          <w:rStyle w:val="tlid-translation"/>
          <w:sz w:val="24"/>
          <w:szCs w:val="24"/>
          <w:lang w:val="en"/>
        </w:rPr>
        <w:t xml:space="preserve">it is </w:t>
      </w:r>
      <w:r w:rsidRPr="006964C9">
        <w:rPr>
          <w:rStyle w:val="tlid-translation"/>
          <w:sz w:val="24"/>
          <w:szCs w:val="24"/>
          <w:lang w:val="en"/>
        </w:rPr>
        <w:t>possib</w:t>
      </w:r>
      <w:r w:rsidR="00D674F3" w:rsidRPr="006964C9">
        <w:rPr>
          <w:rStyle w:val="tlid-translation"/>
          <w:sz w:val="24"/>
          <w:szCs w:val="24"/>
          <w:lang w:val="en"/>
        </w:rPr>
        <w:t>le to miss a</w:t>
      </w:r>
      <w:r w:rsidRPr="006964C9">
        <w:rPr>
          <w:rStyle w:val="tlid-translation"/>
          <w:sz w:val="24"/>
          <w:szCs w:val="24"/>
          <w:lang w:val="en"/>
        </w:rPr>
        <w:t xml:space="preserve"> small lesion. </w:t>
      </w:r>
      <w:r w:rsidRPr="00387B95">
        <w:rPr>
          <w:rStyle w:val="tlid-translation"/>
          <w:sz w:val="24"/>
          <w:szCs w:val="24"/>
          <w:lang w:val="en"/>
        </w:rPr>
        <w:t xml:space="preserve">All </w:t>
      </w:r>
      <w:r w:rsidR="00D674F3" w:rsidRPr="00387B95">
        <w:rPr>
          <w:rStyle w:val="tlid-translation"/>
          <w:sz w:val="24"/>
          <w:szCs w:val="24"/>
          <w:lang w:val="en"/>
        </w:rPr>
        <w:t xml:space="preserve">of </w:t>
      </w:r>
      <w:r w:rsidRPr="00387B95">
        <w:rPr>
          <w:rStyle w:val="tlid-translation"/>
          <w:sz w:val="24"/>
          <w:szCs w:val="24"/>
          <w:lang w:val="en"/>
        </w:rPr>
        <w:t xml:space="preserve">our patients have been followed up with </w:t>
      </w:r>
      <w:r w:rsidRPr="00387B95">
        <w:rPr>
          <w:rFonts w:eastAsia="Lato-Regular" w:cs="Lato-Regular"/>
          <w:kern w:val="0"/>
          <w:sz w:val="24"/>
          <w:szCs w:val="24"/>
        </w:rPr>
        <w:t>Gd-EOB-MRI</w:t>
      </w:r>
      <w:r w:rsidR="00D674F3" w:rsidRPr="00387B95">
        <w:rPr>
          <w:rFonts w:eastAsia="Lato-Regular" w:cs="Lato-Regular"/>
          <w:kern w:val="0"/>
          <w:sz w:val="24"/>
          <w:szCs w:val="24"/>
        </w:rPr>
        <w:t>,</w:t>
      </w:r>
      <w:r w:rsidRPr="00387B95">
        <w:rPr>
          <w:rFonts w:eastAsia="Lato-Regular" w:cs="Lato-Regular"/>
          <w:kern w:val="0"/>
          <w:sz w:val="24"/>
          <w:szCs w:val="24"/>
        </w:rPr>
        <w:t xml:space="preserve"> </w:t>
      </w:r>
      <w:r w:rsidR="00387B95" w:rsidRPr="00387B95">
        <w:rPr>
          <w:sz w:val="24"/>
          <w:szCs w:val="24"/>
        </w:rPr>
        <w:t>which shoul</w:t>
      </w:r>
      <w:r w:rsidR="00387B95">
        <w:rPr>
          <w:sz w:val="24"/>
          <w:szCs w:val="24"/>
        </w:rPr>
        <w:t>d lead to more accurate results</w:t>
      </w:r>
      <w:r w:rsidRPr="00387B95">
        <w:rPr>
          <w:rStyle w:val="tlid-translation"/>
          <w:sz w:val="24"/>
          <w:szCs w:val="24"/>
          <w:lang w:val="en"/>
        </w:rPr>
        <w:t xml:space="preserve">. In this study, </w:t>
      </w:r>
      <w:r w:rsidR="00D674F3" w:rsidRPr="00387B95">
        <w:rPr>
          <w:rStyle w:val="tlid-translation"/>
          <w:sz w:val="24"/>
          <w:szCs w:val="24"/>
          <w:lang w:val="en"/>
        </w:rPr>
        <w:t xml:space="preserve">the </w:t>
      </w:r>
      <w:r w:rsidR="0095541D" w:rsidRPr="00387B95">
        <w:rPr>
          <w:rStyle w:val="tlid-translation"/>
          <w:sz w:val="24"/>
          <w:szCs w:val="24"/>
          <w:lang w:val="en"/>
        </w:rPr>
        <w:t>incidence ra</w:t>
      </w:r>
      <w:r w:rsidR="0095541D" w:rsidRPr="006964C9">
        <w:rPr>
          <w:rStyle w:val="tlid-translation"/>
          <w:sz w:val="24"/>
          <w:szCs w:val="24"/>
          <w:lang w:val="en"/>
        </w:rPr>
        <w:t>tes</w:t>
      </w:r>
      <w:r w:rsidR="00D674F3" w:rsidRPr="006964C9">
        <w:rPr>
          <w:rStyle w:val="tlid-translation"/>
          <w:sz w:val="24"/>
          <w:szCs w:val="24"/>
          <w:lang w:val="en"/>
        </w:rPr>
        <w:t xml:space="preserve"> of </w:t>
      </w:r>
      <w:r w:rsidRPr="006964C9">
        <w:rPr>
          <w:rFonts w:eastAsia="AdvOT678fd422" w:cs="AdvOT678fd422"/>
          <w:color w:val="231F20"/>
          <w:kern w:val="0"/>
          <w:sz w:val="24"/>
          <w:szCs w:val="24"/>
        </w:rPr>
        <w:t xml:space="preserve">multistep </w:t>
      </w:r>
      <w:r w:rsidR="00D674F3" w:rsidRPr="006964C9">
        <w:rPr>
          <w:rFonts w:eastAsia="AdvOT678fd422" w:cs="AdvOT678fd422"/>
          <w:color w:val="231F20"/>
          <w:kern w:val="0"/>
          <w:sz w:val="24"/>
          <w:szCs w:val="24"/>
        </w:rPr>
        <w:t>hepatocarcinogenesis</w:t>
      </w:r>
      <w:r w:rsidRPr="006964C9">
        <w:rPr>
          <w:rFonts w:eastAsia="AdvOT678fd422" w:cs="AdvOT678fd422"/>
          <w:color w:val="231F20"/>
          <w:kern w:val="0"/>
          <w:sz w:val="24"/>
          <w:szCs w:val="24"/>
        </w:rPr>
        <w:t xml:space="preserve"> at 3 and 5 </w:t>
      </w:r>
      <w:r w:rsidR="00D674F3" w:rsidRPr="006964C9">
        <w:rPr>
          <w:rFonts w:eastAsia="AdvOT678fd422" w:cs="AdvOT678fd422"/>
          <w:color w:val="231F20"/>
          <w:kern w:val="0"/>
          <w:sz w:val="24"/>
          <w:szCs w:val="24"/>
        </w:rPr>
        <w:t xml:space="preserve">years </w:t>
      </w:r>
      <w:r w:rsidR="0095541D" w:rsidRPr="006964C9">
        <w:rPr>
          <w:rFonts w:eastAsia="AdvOT678fd422" w:cs="AdvOT678fd422"/>
          <w:color w:val="231F20"/>
          <w:kern w:val="0"/>
          <w:sz w:val="24"/>
          <w:szCs w:val="24"/>
        </w:rPr>
        <w:t xml:space="preserve">were </w:t>
      </w:r>
      <w:r w:rsidRPr="006964C9">
        <w:rPr>
          <w:rFonts w:eastAsia="AdvOT678fd422" w:cs="AdvOT678fd422"/>
          <w:color w:val="231F20"/>
          <w:kern w:val="0"/>
          <w:sz w:val="24"/>
          <w:szCs w:val="24"/>
        </w:rPr>
        <w:t>11.2% and 21.2%</w:t>
      </w:r>
      <w:r w:rsidR="009134BE" w:rsidRPr="006964C9">
        <w:rPr>
          <w:rFonts w:eastAsia="AdvOT678fd422" w:cs="AdvOT678fd422"/>
          <w:color w:val="231F20"/>
          <w:kern w:val="0"/>
          <w:sz w:val="24"/>
          <w:szCs w:val="24"/>
        </w:rPr>
        <w:t>,</w:t>
      </w:r>
      <w:r w:rsidRPr="006964C9">
        <w:rPr>
          <w:rFonts w:eastAsia="AdvOT678fd422" w:cs="AdvOT678fd422"/>
          <w:color w:val="231F20"/>
          <w:kern w:val="0"/>
          <w:sz w:val="24"/>
          <w:szCs w:val="24"/>
        </w:rPr>
        <w:t xml:space="preserve"> respectively. </w:t>
      </w:r>
      <w:r w:rsidR="00D674F3" w:rsidRPr="006964C9">
        <w:rPr>
          <w:rFonts w:eastAsia="AdvOT678fd422" w:cs="AdvOT678fd422"/>
          <w:color w:val="231F20"/>
          <w:kern w:val="0"/>
          <w:sz w:val="24"/>
          <w:szCs w:val="24"/>
        </w:rPr>
        <w:t>V</w:t>
      </w:r>
      <w:r w:rsidRPr="006964C9">
        <w:rPr>
          <w:rFonts w:eastAsia="AdvOT678fd422" w:cs="AdvOT678fd422"/>
          <w:color w:val="231F20"/>
          <w:kern w:val="0"/>
          <w:sz w:val="24"/>
          <w:szCs w:val="24"/>
        </w:rPr>
        <w:t xml:space="preserve">iral eradication by DAA therapy </w:t>
      </w:r>
      <w:r w:rsidRPr="006964C9">
        <w:rPr>
          <w:rStyle w:val="tlid-translation"/>
          <w:sz w:val="24"/>
          <w:szCs w:val="24"/>
          <w:lang w:val="en"/>
        </w:rPr>
        <w:t>suppres</w:t>
      </w:r>
      <w:r w:rsidR="00D674F3" w:rsidRPr="006964C9">
        <w:rPr>
          <w:rStyle w:val="tlid-translation"/>
          <w:sz w:val="24"/>
          <w:szCs w:val="24"/>
          <w:lang w:val="en"/>
        </w:rPr>
        <w:t>sed</w:t>
      </w:r>
      <w:r w:rsidRPr="006964C9">
        <w:rPr>
          <w:rStyle w:val="tlid-translation"/>
          <w:sz w:val="24"/>
          <w:szCs w:val="24"/>
          <w:lang w:val="en"/>
        </w:rPr>
        <w:t xml:space="preserve"> </w:t>
      </w:r>
      <w:r w:rsidRPr="006964C9">
        <w:rPr>
          <w:rFonts w:cs="AdvOT678fd422"/>
          <w:color w:val="231F20"/>
          <w:kern w:val="0"/>
          <w:sz w:val="24"/>
          <w:szCs w:val="24"/>
        </w:rPr>
        <w:t xml:space="preserve">multistep hepatocarcinogenesis, </w:t>
      </w:r>
      <w:r w:rsidR="00D674F3" w:rsidRPr="006964C9">
        <w:rPr>
          <w:rFonts w:cs="AdvOT678fd422"/>
          <w:color w:val="231F20"/>
          <w:kern w:val="0"/>
          <w:sz w:val="24"/>
          <w:szCs w:val="24"/>
        </w:rPr>
        <w:t>but</w:t>
      </w:r>
      <w:r w:rsidRPr="006964C9">
        <w:rPr>
          <w:rFonts w:cs="AdvOT678fd422"/>
          <w:color w:val="231F20"/>
          <w:kern w:val="0"/>
          <w:sz w:val="24"/>
          <w:szCs w:val="24"/>
        </w:rPr>
        <w:t xml:space="preserve"> the mechanism of </w:t>
      </w:r>
      <w:r w:rsidR="00F40F51" w:rsidRPr="006964C9">
        <w:rPr>
          <w:rFonts w:cs="AdvOT678fd422"/>
          <w:color w:val="231F20"/>
          <w:kern w:val="0"/>
          <w:sz w:val="24"/>
          <w:szCs w:val="24"/>
        </w:rPr>
        <w:t xml:space="preserve">this </w:t>
      </w:r>
      <w:r w:rsidRPr="006964C9">
        <w:rPr>
          <w:rFonts w:cs="AdvOT678fd422"/>
          <w:color w:val="231F20"/>
          <w:kern w:val="0"/>
          <w:sz w:val="24"/>
          <w:szCs w:val="24"/>
        </w:rPr>
        <w:t>suppression is not clear</w:t>
      </w:r>
      <w:r w:rsidRPr="006964C9">
        <w:rPr>
          <w:rFonts w:eastAsia="AdvOT678fd422" w:cs="AdvOT678fd422"/>
          <w:color w:val="231F20"/>
          <w:kern w:val="0"/>
          <w:sz w:val="24"/>
          <w:szCs w:val="24"/>
        </w:rPr>
        <w:t xml:space="preserve">. </w:t>
      </w:r>
    </w:p>
    <w:p w14:paraId="02D98320" w14:textId="267F378E" w:rsidR="00C37D9F" w:rsidRPr="006964C9" w:rsidRDefault="00C37D9F" w:rsidP="00C37D9F">
      <w:pPr>
        <w:autoSpaceDE w:val="0"/>
        <w:autoSpaceDN w:val="0"/>
        <w:adjustRightInd w:val="0"/>
        <w:spacing w:line="480" w:lineRule="auto"/>
        <w:jc w:val="left"/>
        <w:rPr>
          <w:rStyle w:val="tlid-translation"/>
          <w:sz w:val="24"/>
          <w:szCs w:val="24"/>
          <w:lang w:val="en"/>
        </w:rPr>
      </w:pPr>
      <w:r w:rsidRPr="006964C9">
        <w:rPr>
          <w:rStyle w:val="tlid-translation"/>
          <w:rFonts w:eastAsia="AdvOT678fd422" w:cs="AdvOT678fd422"/>
          <w:color w:val="231F20"/>
          <w:kern w:val="0"/>
          <w:sz w:val="24"/>
          <w:szCs w:val="24"/>
        </w:rPr>
        <w:tab/>
      </w:r>
      <w:r w:rsidR="0095541D" w:rsidRPr="006964C9">
        <w:rPr>
          <w:rStyle w:val="tlid-translation"/>
          <w:rFonts w:eastAsia="AdvOT678fd422" w:cs="AdvOT678fd422"/>
          <w:color w:val="231F20"/>
          <w:kern w:val="0"/>
          <w:sz w:val="24"/>
          <w:szCs w:val="24"/>
        </w:rPr>
        <w:t>In nine</w:t>
      </w:r>
      <w:r w:rsidR="0095541D" w:rsidRPr="006964C9">
        <w:rPr>
          <w:rStyle w:val="tlid-translation"/>
          <w:rFonts w:eastAsia="AdvOT678fd422" w:cs="AdvOT678fd422" w:hint="eastAsia"/>
          <w:color w:val="231F20"/>
          <w:kern w:val="0"/>
          <w:sz w:val="24"/>
          <w:szCs w:val="24"/>
        </w:rPr>
        <w:t xml:space="preserve"> </w:t>
      </w:r>
      <w:r w:rsidRPr="006964C9">
        <w:rPr>
          <w:rStyle w:val="tlid-translation"/>
          <w:rFonts w:eastAsia="AdvOT678fd422" w:cs="AdvOT678fd422" w:hint="eastAsia"/>
          <w:color w:val="231F20"/>
          <w:kern w:val="0"/>
          <w:sz w:val="24"/>
          <w:szCs w:val="24"/>
        </w:rPr>
        <w:t>patients (</w:t>
      </w:r>
      <w:r w:rsidRPr="006964C9">
        <w:rPr>
          <w:rStyle w:val="tlid-translation"/>
          <w:rFonts w:eastAsia="AdvOT678fd422" w:cs="AdvOT678fd422"/>
          <w:color w:val="231F20"/>
          <w:kern w:val="0"/>
          <w:sz w:val="24"/>
          <w:szCs w:val="24"/>
        </w:rPr>
        <w:t>13.3%)</w:t>
      </w:r>
      <w:r w:rsidR="0095541D" w:rsidRPr="006964C9">
        <w:rPr>
          <w:rStyle w:val="tlid-translation"/>
          <w:rFonts w:eastAsia="AdvOT678fd422" w:cs="AdvOT678fd422"/>
          <w:color w:val="231F20"/>
          <w:kern w:val="0"/>
          <w:sz w:val="24"/>
          <w:szCs w:val="24"/>
        </w:rPr>
        <w:t xml:space="preserve">, there was </w:t>
      </w:r>
      <w:r w:rsidRPr="006964C9">
        <w:rPr>
          <w:rStyle w:val="tlid-translation"/>
          <w:rFonts w:eastAsia="AdvOT678fd422" w:cs="AdvOT678fd422"/>
          <w:color w:val="231F20"/>
          <w:kern w:val="0"/>
          <w:sz w:val="24"/>
          <w:szCs w:val="24"/>
        </w:rPr>
        <w:t>direct development to overt hypervascular HCC, known as de novo hepatoc</w:t>
      </w:r>
      <w:r w:rsidR="0095541D" w:rsidRPr="006964C9">
        <w:rPr>
          <w:rStyle w:val="tlid-translation"/>
          <w:rFonts w:eastAsia="AdvOT678fd422" w:cs="AdvOT678fd422"/>
          <w:color w:val="231F20"/>
          <w:kern w:val="0"/>
          <w:sz w:val="24"/>
          <w:szCs w:val="24"/>
        </w:rPr>
        <w:t>ar</w:t>
      </w:r>
      <w:r w:rsidRPr="006964C9">
        <w:rPr>
          <w:rStyle w:val="tlid-translation"/>
          <w:rFonts w:eastAsia="AdvOT678fd422" w:cs="AdvOT678fd422"/>
          <w:color w:val="231F20"/>
          <w:kern w:val="0"/>
          <w:sz w:val="24"/>
          <w:szCs w:val="24"/>
        </w:rPr>
        <w:t>cinogenesis. The cumulative incidence rate</w:t>
      </w:r>
      <w:r w:rsidR="0095541D" w:rsidRPr="006964C9">
        <w:rPr>
          <w:rStyle w:val="tlid-translation"/>
          <w:rFonts w:eastAsia="AdvOT678fd422" w:cs="AdvOT678fd422"/>
          <w:color w:val="231F20"/>
          <w:kern w:val="0"/>
          <w:sz w:val="24"/>
          <w:szCs w:val="24"/>
        </w:rPr>
        <w:t>s</w:t>
      </w:r>
      <w:r w:rsidRPr="006964C9">
        <w:rPr>
          <w:rStyle w:val="tlid-translation"/>
          <w:rFonts w:eastAsia="AdvOT678fd422" w:cs="AdvOT678fd422"/>
          <w:color w:val="231F20"/>
          <w:kern w:val="0"/>
          <w:sz w:val="24"/>
          <w:szCs w:val="24"/>
        </w:rPr>
        <w:t xml:space="preserve"> at 3 and 5 year</w:t>
      </w:r>
      <w:r w:rsidR="0095541D" w:rsidRPr="006964C9">
        <w:rPr>
          <w:rStyle w:val="tlid-translation"/>
          <w:rFonts w:eastAsia="AdvOT678fd422" w:cs="AdvOT678fd422"/>
          <w:color w:val="231F20"/>
          <w:kern w:val="0"/>
          <w:sz w:val="24"/>
          <w:szCs w:val="24"/>
        </w:rPr>
        <w:t>s</w:t>
      </w:r>
      <w:r w:rsidRPr="006964C9">
        <w:rPr>
          <w:rStyle w:val="tlid-translation"/>
          <w:rFonts w:eastAsia="AdvOT678fd422" w:cs="AdvOT678fd422"/>
          <w:color w:val="231F20"/>
          <w:kern w:val="0"/>
          <w:sz w:val="24"/>
          <w:szCs w:val="24"/>
        </w:rPr>
        <w:t xml:space="preserve"> </w:t>
      </w:r>
      <w:r w:rsidR="0095541D" w:rsidRPr="006964C9">
        <w:rPr>
          <w:rStyle w:val="tlid-translation"/>
          <w:rFonts w:eastAsia="AdvOT678fd422" w:cs="AdvOT678fd422"/>
          <w:color w:val="231F20"/>
          <w:kern w:val="0"/>
          <w:sz w:val="24"/>
          <w:szCs w:val="24"/>
        </w:rPr>
        <w:t xml:space="preserve">were </w:t>
      </w:r>
      <w:r w:rsidRPr="006964C9">
        <w:rPr>
          <w:rStyle w:val="tlid-translation"/>
          <w:rFonts w:eastAsia="AdvOT678fd422" w:cs="AdvOT678fd422"/>
          <w:color w:val="231F20"/>
          <w:kern w:val="0"/>
          <w:sz w:val="24"/>
          <w:szCs w:val="24"/>
        </w:rPr>
        <w:t xml:space="preserve">2.0% and 3.6%, respectively. The rate of de novo </w:t>
      </w:r>
      <w:r w:rsidR="0095541D" w:rsidRPr="006964C9">
        <w:rPr>
          <w:rStyle w:val="tlid-translation"/>
          <w:rFonts w:eastAsia="AdvOT678fd422" w:cs="AdvOT678fd422"/>
          <w:color w:val="231F20"/>
          <w:kern w:val="0"/>
          <w:sz w:val="24"/>
          <w:szCs w:val="24"/>
        </w:rPr>
        <w:t>hepatocarcinogenesis</w:t>
      </w:r>
      <w:r w:rsidRPr="006964C9">
        <w:rPr>
          <w:rStyle w:val="tlid-translation"/>
          <w:rFonts w:eastAsia="AdvOT678fd422" w:cs="AdvOT678fd422"/>
          <w:color w:val="231F20"/>
          <w:kern w:val="0"/>
          <w:sz w:val="24"/>
          <w:szCs w:val="24"/>
        </w:rPr>
        <w:t xml:space="preserve"> </w:t>
      </w:r>
      <w:r w:rsidR="0095541D" w:rsidRPr="006964C9">
        <w:rPr>
          <w:rStyle w:val="tlid-translation"/>
          <w:rFonts w:eastAsia="AdvOT678fd422" w:cs="AdvOT678fd422"/>
          <w:color w:val="231F20"/>
          <w:kern w:val="0"/>
          <w:sz w:val="24"/>
          <w:szCs w:val="24"/>
        </w:rPr>
        <w:t xml:space="preserve">in </w:t>
      </w:r>
      <w:r w:rsidR="007550A7" w:rsidRPr="006964C9">
        <w:rPr>
          <w:rStyle w:val="tlid-translation"/>
          <w:rFonts w:eastAsia="AdvOT678fd422" w:cs="AdvOT678fd422"/>
          <w:color w:val="231F20"/>
          <w:kern w:val="0"/>
          <w:sz w:val="24"/>
          <w:szCs w:val="24"/>
        </w:rPr>
        <w:t>this</w:t>
      </w:r>
      <w:r w:rsidR="0095541D" w:rsidRPr="006964C9">
        <w:rPr>
          <w:rStyle w:val="tlid-translation"/>
          <w:rFonts w:eastAsia="AdvOT678fd422" w:cs="AdvOT678fd422"/>
          <w:color w:val="231F20"/>
          <w:kern w:val="0"/>
          <w:sz w:val="24"/>
          <w:szCs w:val="24"/>
        </w:rPr>
        <w:t xml:space="preserve"> study was </w:t>
      </w:r>
      <w:r w:rsidRPr="006964C9">
        <w:rPr>
          <w:rStyle w:val="tlid-translation"/>
          <w:rFonts w:eastAsia="AdvOT678fd422" w:cs="AdvOT678fd422"/>
          <w:color w:val="231F20"/>
          <w:kern w:val="0"/>
          <w:sz w:val="24"/>
          <w:szCs w:val="24"/>
        </w:rPr>
        <w:t xml:space="preserve">very low compared with </w:t>
      </w:r>
      <w:r w:rsidR="00C7013F" w:rsidRPr="006964C9">
        <w:rPr>
          <w:rStyle w:val="tlid-translation"/>
          <w:rFonts w:eastAsia="AdvOT678fd422" w:cs="AdvOT678fd422"/>
          <w:color w:val="231F20"/>
          <w:kern w:val="0"/>
          <w:sz w:val="24"/>
          <w:szCs w:val="24"/>
        </w:rPr>
        <w:t xml:space="preserve">a </w:t>
      </w:r>
      <w:r w:rsidR="00057E40" w:rsidRPr="006964C9">
        <w:rPr>
          <w:rStyle w:val="tlid-translation"/>
          <w:rFonts w:eastAsia="AdvOT678fd422" w:cs="AdvOT678fd422"/>
          <w:color w:val="231F20"/>
          <w:kern w:val="0"/>
          <w:sz w:val="24"/>
          <w:szCs w:val="24"/>
        </w:rPr>
        <w:t xml:space="preserve">previous </w:t>
      </w:r>
      <w:r w:rsidR="0095541D" w:rsidRPr="006964C9">
        <w:rPr>
          <w:rStyle w:val="tlid-translation"/>
          <w:rFonts w:eastAsia="AdvOT678fd422" w:cs="AdvOT678fd422"/>
          <w:color w:val="231F20"/>
          <w:kern w:val="0"/>
          <w:sz w:val="24"/>
          <w:szCs w:val="24"/>
        </w:rPr>
        <w:t xml:space="preserve">study </w:t>
      </w:r>
      <w:r w:rsidR="00971396" w:rsidRPr="006964C9">
        <w:rPr>
          <w:rStyle w:val="tlid-translation"/>
          <w:rFonts w:eastAsia="AdvOT678fd422" w:cs="AdvOT678fd422"/>
          <w:color w:val="231F20"/>
          <w:kern w:val="0"/>
          <w:sz w:val="24"/>
          <w:szCs w:val="24"/>
        </w:rPr>
        <w:t xml:space="preserve">by </w:t>
      </w:r>
      <w:r w:rsidRPr="006964C9">
        <w:rPr>
          <w:rStyle w:val="tlid-translation"/>
          <w:rFonts w:eastAsia="AdvOT678fd422" w:cs="AdvOT678fd422"/>
          <w:color w:val="231F20"/>
          <w:kern w:val="0"/>
          <w:sz w:val="24"/>
          <w:szCs w:val="24"/>
        </w:rPr>
        <w:t xml:space="preserve">Yamamoto et al [35]. </w:t>
      </w:r>
      <w:r w:rsidRPr="006964C9">
        <w:rPr>
          <w:rStyle w:val="tlid-translation"/>
          <w:sz w:val="24"/>
          <w:szCs w:val="24"/>
          <w:lang w:val="en"/>
        </w:rPr>
        <w:t xml:space="preserve">Their </w:t>
      </w:r>
      <w:r w:rsidR="0095541D" w:rsidRPr="006964C9">
        <w:rPr>
          <w:rStyle w:val="tlid-translation"/>
          <w:sz w:val="24"/>
          <w:szCs w:val="24"/>
          <w:lang w:val="en"/>
        </w:rPr>
        <w:t xml:space="preserve">study </w:t>
      </w:r>
      <w:r w:rsidRPr="006964C9">
        <w:rPr>
          <w:rStyle w:val="tlid-translation"/>
          <w:sz w:val="24"/>
          <w:szCs w:val="24"/>
          <w:lang w:val="en"/>
        </w:rPr>
        <w:t>exclude</w:t>
      </w:r>
      <w:r w:rsidR="0095541D" w:rsidRPr="006964C9">
        <w:rPr>
          <w:rStyle w:val="tlid-translation"/>
          <w:sz w:val="24"/>
          <w:szCs w:val="24"/>
          <w:lang w:val="en"/>
        </w:rPr>
        <w:t>d</w:t>
      </w:r>
      <w:r w:rsidRPr="006964C9">
        <w:rPr>
          <w:rStyle w:val="tlid-translation"/>
          <w:sz w:val="24"/>
          <w:szCs w:val="24"/>
          <w:lang w:val="en"/>
        </w:rPr>
        <w:t xml:space="preserve"> patients with hypervascular nodules, </w:t>
      </w:r>
      <w:r w:rsidR="0095541D" w:rsidRPr="006964C9">
        <w:rPr>
          <w:rStyle w:val="tlid-translation"/>
          <w:sz w:val="24"/>
          <w:szCs w:val="24"/>
          <w:lang w:val="en"/>
        </w:rPr>
        <w:t>but did</w:t>
      </w:r>
      <w:r w:rsidRPr="006964C9">
        <w:rPr>
          <w:rStyle w:val="tlid-translation"/>
          <w:sz w:val="24"/>
          <w:szCs w:val="24"/>
          <w:lang w:val="en"/>
        </w:rPr>
        <w:t xml:space="preserve"> not exclude </w:t>
      </w:r>
      <w:r w:rsidR="00474EA2" w:rsidRPr="006964C9">
        <w:rPr>
          <w:rStyle w:val="tlid-translation"/>
          <w:sz w:val="24"/>
          <w:szCs w:val="24"/>
          <w:lang w:val="en"/>
        </w:rPr>
        <w:t xml:space="preserve">those </w:t>
      </w:r>
      <w:r w:rsidRPr="006964C9">
        <w:rPr>
          <w:rStyle w:val="tlid-translation"/>
          <w:sz w:val="24"/>
          <w:szCs w:val="24"/>
          <w:lang w:val="en"/>
        </w:rPr>
        <w:t xml:space="preserve">with </w:t>
      </w:r>
      <w:r w:rsidR="00057E40" w:rsidRPr="006964C9">
        <w:rPr>
          <w:rStyle w:val="tlid-translation"/>
          <w:sz w:val="24"/>
          <w:szCs w:val="24"/>
          <w:lang w:val="en"/>
        </w:rPr>
        <w:t xml:space="preserve">a </w:t>
      </w:r>
      <w:r w:rsidRPr="006964C9">
        <w:rPr>
          <w:rStyle w:val="tlid-translation"/>
          <w:sz w:val="24"/>
          <w:szCs w:val="24"/>
          <w:lang w:val="en"/>
        </w:rPr>
        <w:t xml:space="preserve">history of HCC. Most </w:t>
      </w:r>
      <w:r w:rsidRPr="006964C9">
        <w:rPr>
          <w:rStyle w:val="tlid-translation"/>
          <w:sz w:val="24"/>
          <w:szCs w:val="24"/>
          <w:lang w:val="en"/>
        </w:rPr>
        <w:lastRenderedPageBreak/>
        <w:t xml:space="preserve">patients with a history of HCC </w:t>
      </w:r>
      <w:r w:rsidR="00474EA2" w:rsidRPr="006964C9">
        <w:rPr>
          <w:rStyle w:val="tlid-translation"/>
          <w:sz w:val="24"/>
          <w:szCs w:val="24"/>
          <w:lang w:val="en"/>
        </w:rPr>
        <w:t>due to</w:t>
      </w:r>
      <w:r w:rsidRPr="006964C9">
        <w:rPr>
          <w:rStyle w:val="tlid-translation"/>
          <w:sz w:val="24"/>
          <w:szCs w:val="24"/>
          <w:lang w:val="en"/>
        </w:rPr>
        <w:t xml:space="preserve"> </w:t>
      </w:r>
      <w:r w:rsidRPr="006964C9">
        <w:rPr>
          <w:rStyle w:val="tlid-translation"/>
          <w:rFonts w:eastAsia="AdvOT678fd422" w:cs="AdvOT678fd422"/>
          <w:color w:val="231F20"/>
          <w:kern w:val="0"/>
          <w:sz w:val="24"/>
          <w:szCs w:val="24"/>
        </w:rPr>
        <w:t xml:space="preserve">de novo </w:t>
      </w:r>
      <w:r w:rsidR="0095541D" w:rsidRPr="006964C9">
        <w:rPr>
          <w:rStyle w:val="tlid-translation"/>
          <w:rFonts w:eastAsia="AdvOT678fd422" w:cs="AdvOT678fd422"/>
          <w:color w:val="231F20"/>
          <w:kern w:val="0"/>
          <w:sz w:val="24"/>
          <w:szCs w:val="24"/>
        </w:rPr>
        <w:t>hepatocarcinogenesis</w:t>
      </w:r>
      <w:r w:rsidRPr="006964C9">
        <w:rPr>
          <w:rStyle w:val="tlid-translation"/>
          <w:sz w:val="24"/>
          <w:szCs w:val="24"/>
          <w:lang w:val="en"/>
        </w:rPr>
        <w:t xml:space="preserve"> </w:t>
      </w:r>
      <w:r w:rsidR="00414AFD">
        <w:rPr>
          <w:rStyle w:val="tlid-translation"/>
          <w:sz w:val="24"/>
          <w:szCs w:val="24"/>
          <w:lang w:val="en"/>
        </w:rPr>
        <w:t>have</w:t>
      </w:r>
      <w:r w:rsidRPr="006964C9">
        <w:rPr>
          <w:rStyle w:val="tlid-translation"/>
          <w:sz w:val="24"/>
          <w:szCs w:val="24"/>
          <w:lang w:val="en"/>
        </w:rPr>
        <w:t xml:space="preserve"> intrahepatic metastases [36, 37]. </w:t>
      </w:r>
      <w:r w:rsidR="00474EA2" w:rsidRPr="006964C9">
        <w:rPr>
          <w:rStyle w:val="tlid-translation"/>
          <w:sz w:val="24"/>
          <w:szCs w:val="24"/>
          <w:lang w:val="en"/>
        </w:rPr>
        <w:t>H</w:t>
      </w:r>
      <w:r w:rsidRPr="006964C9">
        <w:rPr>
          <w:rStyle w:val="tlid-translation"/>
          <w:sz w:val="24"/>
          <w:szCs w:val="24"/>
          <w:lang w:val="en"/>
        </w:rPr>
        <w:t>igh AFP-L</w:t>
      </w:r>
      <w:r w:rsidR="00057E40" w:rsidRPr="006964C9">
        <w:rPr>
          <w:rStyle w:val="tlid-translation"/>
          <w:sz w:val="24"/>
          <w:szCs w:val="24"/>
          <w:lang w:val="en"/>
        </w:rPr>
        <w:t xml:space="preserve">3% values are associated </w:t>
      </w:r>
      <w:r w:rsidR="00474EA2" w:rsidRPr="006964C9">
        <w:rPr>
          <w:rStyle w:val="tlid-translation"/>
          <w:sz w:val="24"/>
          <w:szCs w:val="24"/>
          <w:lang w:val="en"/>
        </w:rPr>
        <w:t>with</w:t>
      </w:r>
      <w:r w:rsidRPr="006964C9">
        <w:rPr>
          <w:rStyle w:val="tlid-translation"/>
          <w:rFonts w:eastAsia="AdvOT678fd422" w:cs="AdvOT678fd422"/>
          <w:color w:val="231F20"/>
          <w:kern w:val="0"/>
          <w:sz w:val="24"/>
          <w:szCs w:val="24"/>
        </w:rPr>
        <w:t xml:space="preserve"> de novo </w:t>
      </w:r>
      <w:r w:rsidR="0095541D" w:rsidRPr="006964C9">
        <w:rPr>
          <w:rStyle w:val="tlid-translation"/>
          <w:rFonts w:eastAsia="AdvOT678fd422" w:cs="AdvOT678fd422"/>
          <w:color w:val="231F20"/>
          <w:kern w:val="0"/>
          <w:sz w:val="24"/>
          <w:szCs w:val="24"/>
        </w:rPr>
        <w:t>hepatocarcinogenesis</w:t>
      </w:r>
      <w:r w:rsidRPr="006964C9">
        <w:rPr>
          <w:rStyle w:val="tlid-translation"/>
          <w:rFonts w:eastAsia="AdvOT678fd422" w:cs="AdvOT678fd422"/>
          <w:color w:val="231F20"/>
          <w:kern w:val="0"/>
          <w:sz w:val="24"/>
          <w:szCs w:val="24"/>
        </w:rPr>
        <w:t xml:space="preserve">. It is well known that elevated </w:t>
      </w:r>
      <w:r w:rsidR="00414AFD">
        <w:rPr>
          <w:rFonts w:cs="Cambria"/>
          <w:kern w:val="0"/>
          <w:sz w:val="24"/>
          <w:szCs w:val="24"/>
        </w:rPr>
        <w:t xml:space="preserve">AFP-L3% </w:t>
      </w:r>
      <w:r w:rsidR="00474EA2" w:rsidRPr="006964C9">
        <w:rPr>
          <w:rFonts w:cs="Cambria"/>
          <w:kern w:val="0"/>
          <w:sz w:val="24"/>
          <w:szCs w:val="24"/>
        </w:rPr>
        <w:t>values are</w:t>
      </w:r>
      <w:r w:rsidRPr="006964C9">
        <w:rPr>
          <w:rFonts w:cs="Cambria"/>
          <w:kern w:val="0"/>
          <w:sz w:val="24"/>
          <w:szCs w:val="24"/>
        </w:rPr>
        <w:t xml:space="preserve"> associated with tumor grade</w:t>
      </w:r>
      <w:r w:rsidR="00474EA2" w:rsidRPr="006964C9">
        <w:rPr>
          <w:rFonts w:cs="Cambria"/>
          <w:kern w:val="0"/>
          <w:sz w:val="24"/>
          <w:szCs w:val="24"/>
        </w:rPr>
        <w:t>,</w:t>
      </w:r>
      <w:r w:rsidRPr="006964C9">
        <w:rPr>
          <w:rFonts w:cs="Cambria"/>
          <w:kern w:val="0"/>
          <w:sz w:val="24"/>
          <w:szCs w:val="24"/>
        </w:rPr>
        <w:t xml:space="preserve"> including microsatellite lesions and </w:t>
      </w:r>
      <w:r w:rsidR="00474EA2" w:rsidRPr="006964C9">
        <w:rPr>
          <w:rFonts w:cs="Cambria"/>
          <w:kern w:val="0"/>
          <w:sz w:val="24"/>
          <w:szCs w:val="24"/>
        </w:rPr>
        <w:t xml:space="preserve">HCC </w:t>
      </w:r>
      <w:r w:rsidRPr="006964C9">
        <w:rPr>
          <w:rFonts w:cs="Cambria"/>
          <w:kern w:val="0"/>
          <w:sz w:val="24"/>
          <w:szCs w:val="24"/>
        </w:rPr>
        <w:t xml:space="preserve">hypervascularity [38, 39]. </w:t>
      </w:r>
      <w:r w:rsidRPr="006964C9">
        <w:rPr>
          <w:rStyle w:val="tlid-translation"/>
          <w:sz w:val="24"/>
          <w:szCs w:val="24"/>
          <w:lang w:val="en"/>
        </w:rPr>
        <w:t xml:space="preserve">Even if </w:t>
      </w:r>
      <w:r w:rsidR="00474EA2" w:rsidRPr="006964C9">
        <w:rPr>
          <w:rStyle w:val="tlid-translation"/>
          <w:sz w:val="24"/>
          <w:szCs w:val="24"/>
          <w:lang w:val="en"/>
        </w:rPr>
        <w:t xml:space="preserve">the </w:t>
      </w:r>
      <w:r w:rsidRPr="006964C9">
        <w:rPr>
          <w:rStyle w:val="tlid-translation"/>
          <w:sz w:val="24"/>
          <w:szCs w:val="24"/>
          <w:lang w:val="en"/>
        </w:rPr>
        <w:t xml:space="preserve">total AFP value is low, careful surveillance may be required if </w:t>
      </w:r>
      <w:r w:rsidR="00474EA2" w:rsidRPr="006964C9">
        <w:rPr>
          <w:rStyle w:val="tlid-translation"/>
          <w:sz w:val="24"/>
          <w:szCs w:val="24"/>
          <w:lang w:val="en"/>
        </w:rPr>
        <w:t xml:space="preserve">the </w:t>
      </w:r>
      <w:r w:rsidRPr="006964C9">
        <w:rPr>
          <w:rStyle w:val="tlid-translation"/>
          <w:sz w:val="24"/>
          <w:szCs w:val="24"/>
          <w:lang w:val="en"/>
        </w:rPr>
        <w:t>AFP-L3%</w:t>
      </w:r>
      <w:r w:rsidR="00474EA2" w:rsidRPr="006964C9">
        <w:rPr>
          <w:rStyle w:val="tlid-translation"/>
          <w:sz w:val="24"/>
          <w:szCs w:val="24"/>
          <w:lang w:val="en"/>
        </w:rPr>
        <w:t xml:space="preserve"> value</w:t>
      </w:r>
      <w:r w:rsidRPr="006964C9">
        <w:rPr>
          <w:rStyle w:val="tlid-translation"/>
          <w:sz w:val="24"/>
          <w:szCs w:val="24"/>
          <w:lang w:val="en"/>
        </w:rPr>
        <w:t xml:space="preserve"> is high.</w:t>
      </w:r>
    </w:p>
    <w:p w14:paraId="6D8815CC" w14:textId="35707893" w:rsidR="00C37D9F" w:rsidRPr="006964C9" w:rsidRDefault="00C37D9F" w:rsidP="00C37D9F">
      <w:pPr>
        <w:autoSpaceDE w:val="0"/>
        <w:autoSpaceDN w:val="0"/>
        <w:adjustRightInd w:val="0"/>
        <w:spacing w:line="480" w:lineRule="auto"/>
        <w:jc w:val="left"/>
        <w:rPr>
          <w:rFonts w:cs="AdvTT2acb703b"/>
          <w:color w:val="131413"/>
          <w:kern w:val="0"/>
          <w:sz w:val="24"/>
          <w:szCs w:val="24"/>
        </w:rPr>
      </w:pPr>
      <w:r w:rsidRPr="006964C9">
        <w:rPr>
          <w:rStyle w:val="tlid-translation"/>
          <w:sz w:val="24"/>
          <w:szCs w:val="24"/>
          <w:lang w:val="en"/>
        </w:rPr>
        <w:tab/>
        <w:t>Our study has several limitations. First, some well</w:t>
      </w:r>
      <w:r w:rsidR="00474EA2" w:rsidRPr="006964C9">
        <w:rPr>
          <w:rStyle w:val="tlid-translation"/>
          <w:sz w:val="24"/>
          <w:szCs w:val="24"/>
          <w:lang w:val="en"/>
        </w:rPr>
        <w:t>-</w:t>
      </w:r>
      <w:r w:rsidRPr="006964C9">
        <w:rPr>
          <w:rStyle w:val="tlid-translation"/>
          <w:sz w:val="24"/>
          <w:szCs w:val="24"/>
          <w:lang w:val="en"/>
        </w:rPr>
        <w:t>differentiated HCC</w:t>
      </w:r>
      <w:r w:rsidR="00474EA2" w:rsidRPr="006964C9">
        <w:rPr>
          <w:rStyle w:val="tlid-translation"/>
          <w:sz w:val="24"/>
          <w:szCs w:val="24"/>
          <w:lang w:val="en"/>
        </w:rPr>
        <w:t>s</w:t>
      </w:r>
      <w:r w:rsidRPr="006964C9">
        <w:rPr>
          <w:rStyle w:val="tlid-translation"/>
          <w:sz w:val="24"/>
          <w:szCs w:val="24"/>
          <w:lang w:val="en"/>
        </w:rPr>
        <w:t xml:space="preserve"> </w:t>
      </w:r>
      <w:r w:rsidR="00474EA2" w:rsidRPr="006964C9">
        <w:rPr>
          <w:rFonts w:cs="AdvTT2acb703b"/>
          <w:color w:val="131413"/>
          <w:kern w:val="0"/>
          <w:sz w:val="24"/>
          <w:szCs w:val="24"/>
        </w:rPr>
        <w:t xml:space="preserve">have been </w:t>
      </w:r>
      <w:r w:rsidRPr="006964C9">
        <w:rPr>
          <w:rFonts w:cs="AdvTT2acb703b"/>
          <w:color w:val="131413"/>
          <w:kern w:val="0"/>
          <w:sz w:val="24"/>
          <w:szCs w:val="24"/>
        </w:rPr>
        <w:t xml:space="preserve">reported to show </w:t>
      </w:r>
      <w:r w:rsidR="00474EA2" w:rsidRPr="006964C9">
        <w:rPr>
          <w:rFonts w:cs="AdvTT2acb703b"/>
          <w:color w:val="131413"/>
          <w:kern w:val="0"/>
          <w:sz w:val="24"/>
          <w:szCs w:val="24"/>
        </w:rPr>
        <w:t xml:space="preserve">a </w:t>
      </w:r>
      <w:r w:rsidRPr="006964C9">
        <w:rPr>
          <w:rFonts w:cs="AdvTT2acb703b"/>
          <w:color w:val="131413"/>
          <w:kern w:val="0"/>
          <w:sz w:val="24"/>
          <w:szCs w:val="24"/>
        </w:rPr>
        <w:t>high enhancement ratio</w:t>
      </w:r>
      <w:r w:rsidR="00057E40" w:rsidRPr="006964C9">
        <w:rPr>
          <w:rFonts w:cs="AdvTT2acb703b"/>
          <w:color w:val="131413"/>
          <w:kern w:val="0"/>
          <w:sz w:val="24"/>
          <w:szCs w:val="24"/>
        </w:rPr>
        <w:t xml:space="preserve"> on HBP</w:t>
      </w:r>
      <w:r w:rsidRPr="006964C9">
        <w:rPr>
          <w:rFonts w:cs="AdvTT2acb703b"/>
          <w:color w:val="131413"/>
          <w:kern w:val="0"/>
          <w:sz w:val="24"/>
          <w:szCs w:val="24"/>
        </w:rPr>
        <w:t xml:space="preserve"> [40]. If </w:t>
      </w:r>
      <w:r w:rsidR="00474EA2" w:rsidRPr="006964C9">
        <w:rPr>
          <w:rFonts w:cs="AdvTT2acb703b"/>
          <w:color w:val="131413"/>
          <w:kern w:val="0"/>
          <w:sz w:val="24"/>
          <w:szCs w:val="24"/>
        </w:rPr>
        <w:t xml:space="preserve">the </w:t>
      </w:r>
      <w:r w:rsidRPr="006964C9">
        <w:rPr>
          <w:rFonts w:cs="AdvTT2acb703b"/>
          <w:color w:val="131413"/>
          <w:kern w:val="0"/>
          <w:sz w:val="24"/>
          <w:szCs w:val="24"/>
        </w:rPr>
        <w:t xml:space="preserve">signal intensity </w:t>
      </w:r>
      <w:r w:rsidR="00474EA2" w:rsidRPr="006964C9">
        <w:rPr>
          <w:rFonts w:cs="AdvTT2acb703b"/>
          <w:color w:val="131413"/>
          <w:kern w:val="0"/>
          <w:sz w:val="24"/>
          <w:szCs w:val="24"/>
        </w:rPr>
        <w:t xml:space="preserve">of a nodule </w:t>
      </w:r>
      <w:r w:rsidRPr="006964C9">
        <w:rPr>
          <w:rFonts w:cs="AdvTT2acb703b"/>
          <w:color w:val="131413"/>
          <w:kern w:val="0"/>
          <w:sz w:val="24"/>
          <w:szCs w:val="24"/>
        </w:rPr>
        <w:t xml:space="preserve">does not decrease, there is a risk </w:t>
      </w:r>
      <w:r w:rsidR="00474EA2" w:rsidRPr="006964C9">
        <w:rPr>
          <w:rFonts w:cs="AdvTT2acb703b"/>
          <w:color w:val="131413"/>
          <w:kern w:val="0"/>
          <w:sz w:val="24"/>
          <w:szCs w:val="24"/>
        </w:rPr>
        <w:t xml:space="preserve">of </w:t>
      </w:r>
      <w:r w:rsidRPr="006964C9">
        <w:rPr>
          <w:rFonts w:cs="AdvTT2acb703b"/>
          <w:color w:val="131413"/>
          <w:kern w:val="0"/>
          <w:sz w:val="24"/>
          <w:szCs w:val="24"/>
        </w:rPr>
        <w:t xml:space="preserve">mistaking </w:t>
      </w:r>
      <w:r w:rsidR="00057E40" w:rsidRPr="006964C9">
        <w:rPr>
          <w:rFonts w:cs="AdvTT2acb703b"/>
          <w:color w:val="131413"/>
          <w:kern w:val="0"/>
          <w:sz w:val="24"/>
          <w:szCs w:val="24"/>
        </w:rPr>
        <w:t>multistep hepatocarcinogenesis</w:t>
      </w:r>
      <w:r w:rsidRPr="006964C9">
        <w:rPr>
          <w:rFonts w:cs="AdvTT2acb703b"/>
          <w:color w:val="131413"/>
          <w:kern w:val="0"/>
          <w:sz w:val="24"/>
          <w:szCs w:val="24"/>
        </w:rPr>
        <w:t xml:space="preserve"> </w:t>
      </w:r>
      <w:r w:rsidR="00474EA2" w:rsidRPr="006964C9">
        <w:rPr>
          <w:rFonts w:cs="AdvTT2acb703b"/>
          <w:color w:val="131413"/>
          <w:kern w:val="0"/>
          <w:sz w:val="24"/>
          <w:szCs w:val="24"/>
        </w:rPr>
        <w:t xml:space="preserve">for </w:t>
      </w:r>
      <w:r w:rsidRPr="006964C9">
        <w:rPr>
          <w:rStyle w:val="tlid-translation"/>
          <w:rFonts w:eastAsia="AdvOT678fd422" w:cs="AdvOT678fd422"/>
          <w:color w:val="231F20"/>
          <w:kern w:val="0"/>
          <w:sz w:val="24"/>
          <w:szCs w:val="24"/>
        </w:rPr>
        <w:t xml:space="preserve">de novo </w:t>
      </w:r>
      <w:r w:rsidR="00474EA2" w:rsidRPr="006964C9">
        <w:rPr>
          <w:rStyle w:val="tlid-translation"/>
          <w:rFonts w:eastAsia="AdvOT678fd422" w:cs="AdvOT678fd422"/>
          <w:color w:val="231F20"/>
          <w:kern w:val="0"/>
          <w:sz w:val="24"/>
          <w:szCs w:val="24"/>
        </w:rPr>
        <w:t>hepatocarcinogenesis</w:t>
      </w:r>
      <w:r w:rsidRPr="006964C9">
        <w:rPr>
          <w:rStyle w:val="tlid-translation"/>
          <w:rFonts w:eastAsia="AdvOT678fd422" w:cs="AdvOT678fd422"/>
          <w:color w:val="231F20"/>
          <w:kern w:val="0"/>
          <w:sz w:val="24"/>
          <w:szCs w:val="24"/>
        </w:rPr>
        <w:t xml:space="preserve"> </w:t>
      </w:r>
      <w:r w:rsidR="00474EA2" w:rsidRPr="006964C9">
        <w:rPr>
          <w:rStyle w:val="tlid-translation"/>
          <w:rFonts w:eastAsia="AdvOT678fd422" w:cs="AdvOT678fd422"/>
          <w:color w:val="231F20"/>
          <w:kern w:val="0"/>
          <w:sz w:val="24"/>
          <w:szCs w:val="24"/>
        </w:rPr>
        <w:t xml:space="preserve">after </w:t>
      </w:r>
      <w:r w:rsidRPr="006964C9">
        <w:rPr>
          <w:rStyle w:val="tlid-translation"/>
          <w:rFonts w:eastAsia="AdvOT678fd422" w:cs="AdvOT678fd422"/>
          <w:color w:val="231F20"/>
          <w:kern w:val="0"/>
          <w:sz w:val="24"/>
          <w:szCs w:val="24"/>
        </w:rPr>
        <w:t>imag</w:t>
      </w:r>
      <w:r w:rsidR="00474EA2" w:rsidRPr="006964C9">
        <w:rPr>
          <w:rStyle w:val="tlid-translation"/>
          <w:rFonts w:eastAsia="AdvOT678fd422" w:cs="AdvOT678fd422"/>
          <w:color w:val="231F20"/>
          <w:kern w:val="0"/>
          <w:sz w:val="24"/>
          <w:szCs w:val="24"/>
        </w:rPr>
        <w:t>ing studies</w:t>
      </w:r>
      <w:r w:rsidRPr="006964C9">
        <w:rPr>
          <w:rStyle w:val="tlid-translation"/>
          <w:rFonts w:eastAsia="AdvOT678fd422" w:cs="AdvOT678fd422"/>
          <w:color w:val="231F20"/>
          <w:kern w:val="0"/>
          <w:sz w:val="24"/>
          <w:szCs w:val="24"/>
        </w:rPr>
        <w:t xml:space="preserve">. </w:t>
      </w:r>
      <w:r w:rsidRPr="006964C9">
        <w:rPr>
          <w:rStyle w:val="tlid-translation"/>
          <w:sz w:val="24"/>
          <w:szCs w:val="24"/>
          <w:lang w:val="en"/>
        </w:rPr>
        <w:t xml:space="preserve">However, </w:t>
      </w:r>
      <w:r w:rsidR="00474EA2" w:rsidRPr="006964C9">
        <w:rPr>
          <w:rStyle w:val="tlid-translation"/>
          <w:sz w:val="24"/>
          <w:szCs w:val="24"/>
          <w:lang w:val="en"/>
        </w:rPr>
        <w:t xml:space="preserve">the </w:t>
      </w:r>
      <w:r w:rsidRPr="006964C9">
        <w:rPr>
          <w:rStyle w:val="tlid-translation"/>
          <w:sz w:val="24"/>
          <w:szCs w:val="24"/>
          <w:lang w:val="en"/>
        </w:rPr>
        <w:t xml:space="preserve">frequency </w:t>
      </w:r>
      <w:r w:rsidR="00474EA2" w:rsidRPr="006964C9">
        <w:rPr>
          <w:rStyle w:val="tlid-translation"/>
          <w:sz w:val="24"/>
          <w:szCs w:val="24"/>
          <w:lang w:val="en"/>
        </w:rPr>
        <w:t xml:space="preserve">of this error </w:t>
      </w:r>
      <w:r w:rsidRPr="006964C9">
        <w:rPr>
          <w:rStyle w:val="tlid-translation"/>
          <w:sz w:val="24"/>
          <w:szCs w:val="24"/>
          <w:lang w:val="en"/>
        </w:rPr>
        <w:t xml:space="preserve">is considered </w:t>
      </w:r>
      <w:r w:rsidR="00474EA2" w:rsidRPr="006964C9">
        <w:rPr>
          <w:rStyle w:val="tlid-translation"/>
          <w:sz w:val="24"/>
          <w:szCs w:val="24"/>
          <w:lang w:val="en"/>
        </w:rPr>
        <w:t xml:space="preserve">to be </w:t>
      </w:r>
      <w:r w:rsidRPr="006964C9">
        <w:rPr>
          <w:rStyle w:val="tlid-translation"/>
          <w:sz w:val="24"/>
          <w:szCs w:val="24"/>
          <w:lang w:val="en"/>
        </w:rPr>
        <w:t xml:space="preserve">low. Second, </w:t>
      </w:r>
      <w:r w:rsidR="00474EA2" w:rsidRPr="006964C9">
        <w:rPr>
          <w:rStyle w:val="tlid-translation"/>
          <w:sz w:val="24"/>
          <w:szCs w:val="24"/>
          <w:lang w:val="en"/>
        </w:rPr>
        <w:t xml:space="preserve">in this study </w:t>
      </w:r>
      <w:r w:rsidR="00474EA2" w:rsidRPr="006964C9">
        <w:rPr>
          <w:rFonts w:cs="StoneSerif"/>
          <w:kern w:val="0"/>
          <w:sz w:val="24"/>
          <w:szCs w:val="24"/>
        </w:rPr>
        <w:t>only</w:t>
      </w:r>
      <w:r w:rsidRPr="006964C9">
        <w:rPr>
          <w:rFonts w:cs="StoneSerif"/>
          <w:kern w:val="0"/>
          <w:sz w:val="24"/>
          <w:szCs w:val="24"/>
        </w:rPr>
        <w:t xml:space="preserve"> </w:t>
      </w:r>
      <w:r w:rsidR="00474EA2" w:rsidRPr="006964C9">
        <w:rPr>
          <w:rFonts w:cs="StoneSerif"/>
          <w:kern w:val="0"/>
          <w:sz w:val="24"/>
          <w:szCs w:val="24"/>
        </w:rPr>
        <w:t xml:space="preserve">33 resected nodules were examined </w:t>
      </w:r>
      <w:r w:rsidRPr="006964C9">
        <w:rPr>
          <w:rFonts w:cs="StoneSerif"/>
          <w:kern w:val="0"/>
          <w:sz w:val="24"/>
          <w:szCs w:val="24"/>
        </w:rPr>
        <w:t>pathologic</w:t>
      </w:r>
      <w:r w:rsidR="00474EA2" w:rsidRPr="006964C9">
        <w:rPr>
          <w:rFonts w:cs="StoneSerif"/>
          <w:kern w:val="0"/>
          <w:sz w:val="24"/>
          <w:szCs w:val="24"/>
        </w:rPr>
        <w:t>ally</w:t>
      </w:r>
      <w:r w:rsidRPr="006964C9">
        <w:rPr>
          <w:rFonts w:cs="StoneSerif"/>
          <w:kern w:val="0"/>
          <w:sz w:val="24"/>
          <w:szCs w:val="24"/>
        </w:rPr>
        <w:t xml:space="preserve">. However, one of the major aims of </w:t>
      </w:r>
      <w:r w:rsidR="00267607" w:rsidRPr="006964C9">
        <w:rPr>
          <w:rFonts w:cs="StoneSerif"/>
          <w:kern w:val="0"/>
          <w:sz w:val="24"/>
          <w:szCs w:val="24"/>
        </w:rPr>
        <w:t xml:space="preserve">the </w:t>
      </w:r>
      <w:r w:rsidRPr="006964C9">
        <w:rPr>
          <w:rFonts w:cs="StoneSerif"/>
          <w:kern w:val="0"/>
          <w:sz w:val="24"/>
          <w:szCs w:val="24"/>
        </w:rPr>
        <w:t>study was to define standard criteria for follow</w:t>
      </w:r>
      <w:r w:rsidR="00267607" w:rsidRPr="006964C9">
        <w:rPr>
          <w:rFonts w:cs="StoneSerif"/>
          <w:kern w:val="0"/>
          <w:sz w:val="24"/>
          <w:szCs w:val="24"/>
        </w:rPr>
        <w:t>-</w:t>
      </w:r>
      <w:r w:rsidRPr="006964C9">
        <w:rPr>
          <w:rFonts w:cs="StoneSerif"/>
          <w:kern w:val="0"/>
          <w:sz w:val="24"/>
          <w:szCs w:val="24"/>
        </w:rPr>
        <w:t xml:space="preserve">up of NHHNs </w:t>
      </w:r>
      <w:r w:rsidR="00267607" w:rsidRPr="006964C9">
        <w:rPr>
          <w:rFonts w:cs="StoneSerif"/>
          <w:kern w:val="0"/>
          <w:sz w:val="24"/>
          <w:szCs w:val="24"/>
        </w:rPr>
        <w:t xml:space="preserve">using </w:t>
      </w:r>
      <w:r w:rsidRPr="006964C9">
        <w:rPr>
          <w:rFonts w:cs="StoneSerif"/>
          <w:kern w:val="0"/>
          <w:sz w:val="24"/>
          <w:szCs w:val="24"/>
        </w:rPr>
        <w:t xml:space="preserve">imaging </w:t>
      </w:r>
      <w:r w:rsidR="00267607" w:rsidRPr="006964C9">
        <w:rPr>
          <w:rFonts w:cs="StoneSerif"/>
          <w:kern w:val="0"/>
          <w:sz w:val="24"/>
          <w:szCs w:val="24"/>
        </w:rPr>
        <w:t xml:space="preserve">and not </w:t>
      </w:r>
      <w:r w:rsidRPr="006964C9">
        <w:rPr>
          <w:rFonts w:cs="StoneSerif"/>
          <w:kern w:val="0"/>
          <w:sz w:val="24"/>
          <w:szCs w:val="24"/>
        </w:rPr>
        <w:t>biopsy</w:t>
      </w:r>
      <w:r w:rsidR="00267607" w:rsidRPr="006964C9">
        <w:rPr>
          <w:rFonts w:cs="StoneSerif"/>
          <w:kern w:val="0"/>
          <w:sz w:val="24"/>
          <w:szCs w:val="24"/>
        </w:rPr>
        <w:t xml:space="preserve"> results</w:t>
      </w:r>
      <w:r w:rsidRPr="006964C9">
        <w:rPr>
          <w:rFonts w:cs="StoneSerif"/>
          <w:kern w:val="0"/>
          <w:sz w:val="24"/>
          <w:szCs w:val="24"/>
        </w:rPr>
        <w:t>.</w:t>
      </w:r>
    </w:p>
    <w:p w14:paraId="18B935A4" w14:textId="2692F94A" w:rsidR="00C37D9F" w:rsidRPr="006964C9" w:rsidRDefault="00C37D9F" w:rsidP="00C37D9F">
      <w:pPr>
        <w:autoSpaceDE w:val="0"/>
        <w:autoSpaceDN w:val="0"/>
        <w:adjustRightInd w:val="0"/>
        <w:spacing w:line="480" w:lineRule="auto"/>
        <w:jc w:val="left"/>
        <w:rPr>
          <w:rFonts w:cs="StoneSerif"/>
          <w:kern w:val="0"/>
          <w:sz w:val="24"/>
          <w:szCs w:val="24"/>
        </w:rPr>
      </w:pPr>
      <w:r w:rsidRPr="006964C9">
        <w:rPr>
          <w:rFonts w:cs="StoneSerif"/>
          <w:kern w:val="0"/>
          <w:sz w:val="24"/>
          <w:szCs w:val="24"/>
        </w:rPr>
        <w:tab/>
        <w:t>In conclusion, hepatocarcinogenesis is of</w:t>
      </w:r>
      <w:r w:rsidR="00057E40" w:rsidRPr="006964C9">
        <w:rPr>
          <w:rFonts w:cs="StoneSerif"/>
          <w:kern w:val="0"/>
          <w:sz w:val="24"/>
          <w:szCs w:val="24"/>
        </w:rPr>
        <w:t>t</w:t>
      </w:r>
      <w:r w:rsidRPr="006964C9">
        <w:rPr>
          <w:rFonts w:cs="StoneSerif"/>
          <w:kern w:val="0"/>
          <w:sz w:val="24"/>
          <w:szCs w:val="24"/>
        </w:rPr>
        <w:t xml:space="preserve">en </w:t>
      </w:r>
      <w:r w:rsidR="00267607" w:rsidRPr="006964C9">
        <w:rPr>
          <w:rFonts w:cs="StoneSerif"/>
          <w:kern w:val="0"/>
          <w:sz w:val="24"/>
          <w:szCs w:val="24"/>
        </w:rPr>
        <w:t xml:space="preserve">a </w:t>
      </w:r>
      <w:r w:rsidRPr="006964C9">
        <w:rPr>
          <w:rFonts w:cs="StoneSerif"/>
          <w:kern w:val="0"/>
          <w:sz w:val="24"/>
          <w:szCs w:val="24"/>
        </w:rPr>
        <w:t xml:space="preserve">multistep </w:t>
      </w:r>
      <w:r w:rsidR="00267607" w:rsidRPr="006964C9">
        <w:rPr>
          <w:rFonts w:cs="StoneSerif"/>
          <w:kern w:val="0"/>
          <w:sz w:val="24"/>
          <w:szCs w:val="24"/>
        </w:rPr>
        <w:t xml:space="preserve">process, </w:t>
      </w:r>
      <w:r w:rsidR="00391AC0" w:rsidRPr="006964C9">
        <w:rPr>
          <w:rFonts w:cs="StoneSerif"/>
          <w:kern w:val="0"/>
          <w:sz w:val="24"/>
          <w:szCs w:val="24"/>
        </w:rPr>
        <w:t xml:space="preserve">occurring </w:t>
      </w:r>
      <w:r w:rsidRPr="006964C9">
        <w:rPr>
          <w:rFonts w:cs="StoneSerif"/>
          <w:kern w:val="0"/>
          <w:sz w:val="24"/>
          <w:szCs w:val="24"/>
        </w:rPr>
        <w:t xml:space="preserve">via NHHNs, and patients with NHHNs should be carefully monitored using imaging modalities </w:t>
      </w:r>
      <w:r w:rsidR="00267607" w:rsidRPr="006964C9">
        <w:rPr>
          <w:rFonts w:cs="StoneSerif"/>
          <w:kern w:val="0"/>
          <w:sz w:val="24"/>
          <w:szCs w:val="24"/>
        </w:rPr>
        <w:lastRenderedPageBreak/>
        <w:t xml:space="preserve">such as </w:t>
      </w:r>
      <w:r w:rsidRPr="006964C9">
        <w:rPr>
          <w:rFonts w:cs="StoneSerif"/>
          <w:kern w:val="0"/>
          <w:sz w:val="24"/>
          <w:szCs w:val="24"/>
        </w:rPr>
        <w:t xml:space="preserve">Gd-EOB-MRI. The eradication of HCV by DAA therapy reduces multistep carcinogenesis. Some patients </w:t>
      </w:r>
      <w:r w:rsidR="00267607" w:rsidRPr="006964C9">
        <w:rPr>
          <w:rFonts w:cs="StoneSerif"/>
          <w:kern w:val="0"/>
          <w:sz w:val="24"/>
          <w:szCs w:val="24"/>
        </w:rPr>
        <w:t xml:space="preserve">instead exhibit </w:t>
      </w:r>
      <w:r w:rsidRPr="006964C9">
        <w:rPr>
          <w:rFonts w:cs="StoneSerif"/>
          <w:kern w:val="0"/>
          <w:sz w:val="24"/>
          <w:szCs w:val="24"/>
        </w:rPr>
        <w:t>de novo carcinogenesis</w:t>
      </w:r>
      <w:r w:rsidR="00267607" w:rsidRPr="006964C9">
        <w:rPr>
          <w:rFonts w:cs="StoneSerif"/>
          <w:kern w:val="0"/>
          <w:sz w:val="24"/>
          <w:szCs w:val="24"/>
        </w:rPr>
        <w:t xml:space="preserve">, and </w:t>
      </w:r>
      <w:r w:rsidRPr="006964C9">
        <w:rPr>
          <w:rFonts w:cs="StoneSerif"/>
          <w:kern w:val="0"/>
          <w:sz w:val="24"/>
          <w:szCs w:val="24"/>
        </w:rPr>
        <w:t xml:space="preserve">are characterized </w:t>
      </w:r>
      <w:r w:rsidR="00267607" w:rsidRPr="006964C9">
        <w:rPr>
          <w:rFonts w:cs="StoneSerif"/>
          <w:kern w:val="0"/>
          <w:sz w:val="24"/>
          <w:szCs w:val="24"/>
        </w:rPr>
        <w:t xml:space="preserve">by </w:t>
      </w:r>
      <w:r w:rsidRPr="006964C9">
        <w:rPr>
          <w:rFonts w:cs="StoneSerif"/>
          <w:kern w:val="0"/>
          <w:sz w:val="24"/>
          <w:szCs w:val="24"/>
        </w:rPr>
        <w:t>high AF</w:t>
      </w:r>
      <w:r w:rsidR="00414AFD">
        <w:rPr>
          <w:rFonts w:cs="StoneSerif"/>
          <w:kern w:val="0"/>
          <w:sz w:val="24"/>
          <w:szCs w:val="24"/>
        </w:rPr>
        <w:t>P</w:t>
      </w:r>
      <w:r w:rsidRPr="006964C9">
        <w:rPr>
          <w:rFonts w:cs="StoneSerif"/>
          <w:kern w:val="0"/>
          <w:sz w:val="24"/>
          <w:szCs w:val="24"/>
        </w:rPr>
        <w:t>-L3</w:t>
      </w:r>
      <w:r w:rsidR="00267607" w:rsidRPr="006964C9">
        <w:rPr>
          <w:rFonts w:cs="StoneSerif"/>
          <w:kern w:val="0"/>
          <w:sz w:val="24"/>
          <w:szCs w:val="24"/>
        </w:rPr>
        <w:t>%</w:t>
      </w:r>
      <w:r w:rsidRPr="006964C9">
        <w:rPr>
          <w:rFonts w:cs="StoneSerif"/>
          <w:kern w:val="0"/>
          <w:sz w:val="24"/>
          <w:szCs w:val="24"/>
        </w:rPr>
        <w:t xml:space="preserve"> values.</w:t>
      </w:r>
    </w:p>
    <w:p w14:paraId="144B88CE" w14:textId="77777777" w:rsidR="00C37D9F" w:rsidRPr="006964C9" w:rsidRDefault="00C37D9F" w:rsidP="00C37D9F">
      <w:pPr>
        <w:widowControl/>
        <w:jc w:val="left"/>
        <w:rPr>
          <w:rFonts w:eastAsia="AdvOT678fd422" w:cs="AdvOT678fd422"/>
          <w:color w:val="231F20"/>
          <w:kern w:val="0"/>
          <w:sz w:val="24"/>
          <w:szCs w:val="24"/>
        </w:rPr>
      </w:pPr>
      <w:r w:rsidRPr="006964C9">
        <w:rPr>
          <w:rFonts w:eastAsia="AdvOT678fd422" w:cs="AdvOT678fd422"/>
          <w:color w:val="231F20"/>
          <w:kern w:val="0"/>
          <w:sz w:val="24"/>
          <w:szCs w:val="24"/>
        </w:rPr>
        <w:br w:type="page"/>
      </w:r>
    </w:p>
    <w:p w14:paraId="30CC1177" w14:textId="27C0AA2F" w:rsidR="00C37D9F" w:rsidRPr="006964C9" w:rsidRDefault="00C37D9F" w:rsidP="00424ECE">
      <w:pPr>
        <w:autoSpaceDE w:val="0"/>
        <w:autoSpaceDN w:val="0"/>
        <w:adjustRightInd w:val="0"/>
        <w:spacing w:line="480" w:lineRule="auto"/>
        <w:jc w:val="left"/>
        <w:rPr>
          <w:rFonts w:eastAsia="AdvOT678fd422" w:cs="AdvOT678fd422"/>
          <w:color w:val="231F20"/>
          <w:kern w:val="0"/>
          <w:sz w:val="24"/>
          <w:szCs w:val="24"/>
        </w:rPr>
      </w:pPr>
      <w:r w:rsidRPr="006964C9">
        <w:rPr>
          <w:rFonts w:eastAsia="AdvOT678fd422" w:cs="AdvOT678fd422"/>
          <w:color w:val="231F20"/>
          <w:kern w:val="0"/>
          <w:sz w:val="24"/>
          <w:szCs w:val="24"/>
        </w:rPr>
        <w:lastRenderedPageBreak/>
        <w:t>References</w:t>
      </w:r>
    </w:p>
    <w:p w14:paraId="1FC6D8C6" w14:textId="2BA237DE" w:rsidR="00C37D9F" w:rsidRPr="006964C9" w:rsidRDefault="00C37D9F" w:rsidP="00424ECE">
      <w:pPr>
        <w:numPr>
          <w:ilvl w:val="0"/>
          <w:numId w:val="1"/>
        </w:numPr>
        <w:spacing w:line="480" w:lineRule="auto"/>
        <w:rPr>
          <w:rFonts w:ascii="Century" w:hAnsi="Century" w:cs="Arial"/>
          <w:sz w:val="24"/>
          <w:szCs w:val="24"/>
        </w:rPr>
      </w:pPr>
      <w:r w:rsidRPr="006964C9">
        <w:rPr>
          <w:rFonts w:ascii="Century" w:hAnsi="Century" w:cs="Arial"/>
          <w:sz w:val="24"/>
          <w:szCs w:val="24"/>
        </w:rPr>
        <w:t>Ferlay J, Shin HR, Bray F, Forman D, Mathers C, Parkin DM. Estimates of worldwide burden of cancer in 2008: GLOBOCAN 2008. Int J Cancer. 2010; 127: 2893-917.</w:t>
      </w:r>
    </w:p>
    <w:p w14:paraId="2A76F5E7" w14:textId="18D622FD" w:rsidR="00C37D9F" w:rsidRPr="006964C9" w:rsidRDefault="00C37D9F" w:rsidP="00424ECE">
      <w:pPr>
        <w:numPr>
          <w:ilvl w:val="0"/>
          <w:numId w:val="1"/>
        </w:numPr>
        <w:spacing w:line="480" w:lineRule="auto"/>
        <w:rPr>
          <w:rFonts w:cs="Arial"/>
          <w:sz w:val="24"/>
          <w:szCs w:val="24"/>
        </w:rPr>
      </w:pPr>
      <w:r w:rsidRPr="006964C9">
        <w:rPr>
          <w:rFonts w:eastAsia="MS Gothic" w:cs="MS Gothic"/>
          <w:kern w:val="0"/>
          <w:sz w:val="24"/>
          <w:szCs w:val="24"/>
        </w:rPr>
        <w:t>Terrault NA, Hassanein TI. Management of the patient with SVR. J Hepatol. 2016</w:t>
      </w:r>
      <w:r w:rsidRPr="006964C9">
        <w:rPr>
          <w:sz w:val="24"/>
          <w:szCs w:val="24"/>
        </w:rPr>
        <w:t>; 65(1 Suppl): S120-S129.</w:t>
      </w:r>
    </w:p>
    <w:p w14:paraId="30C46DD2" w14:textId="701C30D8" w:rsidR="00C37D9F" w:rsidRPr="006964C9" w:rsidRDefault="00C37D9F" w:rsidP="00424ECE">
      <w:pPr>
        <w:numPr>
          <w:ilvl w:val="0"/>
          <w:numId w:val="1"/>
        </w:numPr>
        <w:spacing w:line="480" w:lineRule="auto"/>
        <w:rPr>
          <w:rFonts w:cs="Arial"/>
          <w:sz w:val="24"/>
          <w:szCs w:val="24"/>
        </w:rPr>
      </w:pPr>
      <w:r w:rsidRPr="006964C9">
        <w:rPr>
          <w:sz w:val="24"/>
          <w:szCs w:val="24"/>
        </w:rPr>
        <w:t>El-Serag HB, Kanwal F, Richardson P, Kramer J. Risk of hepatocellular carcinoma after sustained virological response in Veterans with hepatitis C virus infection. Hepatology. 2016 Jul; 64(1):130-7.</w:t>
      </w:r>
    </w:p>
    <w:p w14:paraId="7AB5CF07" w14:textId="2D2091E9" w:rsidR="00C37D9F" w:rsidRPr="006964C9" w:rsidRDefault="00C37D9F" w:rsidP="00424ECE">
      <w:pPr>
        <w:numPr>
          <w:ilvl w:val="0"/>
          <w:numId w:val="1"/>
        </w:numPr>
        <w:spacing w:line="480" w:lineRule="auto"/>
        <w:rPr>
          <w:rFonts w:cs="Arial"/>
          <w:sz w:val="24"/>
          <w:szCs w:val="24"/>
        </w:rPr>
      </w:pPr>
      <w:r w:rsidRPr="006964C9">
        <w:rPr>
          <w:sz w:val="24"/>
          <w:szCs w:val="24"/>
        </w:rPr>
        <w:t>Waziry R, Hajarizadeh B, Grebely J, Amin J, Law M, Danta M, George J, Dore GJ. Hepatocellular carcinoma risk following direct-acting antiviral HCV therapy: A ystematic review, meta-analyses, and meta-regression. J Hepatol. 2017 Dec; 67:1204-1212.</w:t>
      </w:r>
    </w:p>
    <w:p w14:paraId="2BD43329" w14:textId="23AC5AD3" w:rsidR="00C37D9F" w:rsidRPr="006964C9" w:rsidRDefault="00C37D9F" w:rsidP="00424ECE">
      <w:pPr>
        <w:numPr>
          <w:ilvl w:val="0"/>
          <w:numId w:val="1"/>
        </w:numPr>
        <w:spacing w:line="480" w:lineRule="auto"/>
        <w:rPr>
          <w:rFonts w:cs="Arial"/>
          <w:sz w:val="24"/>
          <w:szCs w:val="24"/>
        </w:rPr>
      </w:pPr>
      <w:r w:rsidRPr="006964C9">
        <w:rPr>
          <w:sz w:val="24"/>
          <w:szCs w:val="24"/>
        </w:rPr>
        <w:t>Galati G, Muley M, Viganò M, Iavarone M, Vitale A, Dell'Unto C, Lai Q, Cabibbo G, Sacco R, Villa E, Trevisani F. Occurrence of hepatocellular carcinoma after direct-acting antiviral therapy for hepatitis C virus infection: literature review and risk analysis. Expert Opin Drug Saf. 2019; 18:603-610.</w:t>
      </w:r>
    </w:p>
    <w:p w14:paraId="06BB69DD" w14:textId="63DFB5F4" w:rsidR="00C37D9F" w:rsidRPr="006964C9" w:rsidRDefault="00C37D9F" w:rsidP="00424ECE">
      <w:pPr>
        <w:numPr>
          <w:ilvl w:val="0"/>
          <w:numId w:val="1"/>
        </w:numPr>
        <w:spacing w:line="480" w:lineRule="auto"/>
        <w:rPr>
          <w:rFonts w:cs="Arial"/>
          <w:sz w:val="24"/>
          <w:szCs w:val="24"/>
        </w:rPr>
      </w:pPr>
      <w:r w:rsidRPr="006964C9">
        <w:rPr>
          <w:sz w:val="24"/>
          <w:szCs w:val="24"/>
        </w:rPr>
        <w:lastRenderedPageBreak/>
        <w:t>Piñero F, Mendizabal M, Ridruejo E, Herz Wolff F, Ameigeiras B, Anders M, Schinoni MI, Reggiardo V, Palazzo A, Videla M, Alonso C, Santos L, Varón A,</w:t>
      </w:r>
      <w:r w:rsidRPr="006964C9">
        <w:rPr>
          <w:rFonts w:hint="eastAsia"/>
          <w:sz w:val="24"/>
          <w:szCs w:val="24"/>
        </w:rPr>
        <w:t xml:space="preserve"> </w:t>
      </w:r>
      <w:r w:rsidRPr="006964C9">
        <w:rPr>
          <w:sz w:val="24"/>
          <w:szCs w:val="24"/>
        </w:rPr>
        <w:t>Figueroa S, Vistarini C, Adrover R, Fernández N, Perez D, Tanno F, Hernández N, Sixto M, Borzi S, Bruno A, Cocozzella D, Soza A, Descalzi V, Estepo C, Zerega A, de Araujo A, Cheinquer H, Silva M; LALREAN. Treatment with direct-acting</w:t>
      </w:r>
      <w:r w:rsidRPr="006964C9">
        <w:rPr>
          <w:rFonts w:hint="eastAsia"/>
          <w:sz w:val="24"/>
          <w:szCs w:val="24"/>
        </w:rPr>
        <w:t xml:space="preserve"> </w:t>
      </w:r>
      <w:r w:rsidRPr="006964C9">
        <w:rPr>
          <w:sz w:val="24"/>
          <w:szCs w:val="24"/>
        </w:rPr>
        <w:t>antivirals for HCV decreases but does not eliminate the risk of hepatocellular</w:t>
      </w:r>
      <w:r w:rsidRPr="006964C9">
        <w:rPr>
          <w:rFonts w:hint="eastAsia"/>
          <w:sz w:val="24"/>
          <w:szCs w:val="24"/>
        </w:rPr>
        <w:t xml:space="preserve"> </w:t>
      </w:r>
      <w:r w:rsidRPr="006964C9">
        <w:rPr>
          <w:sz w:val="24"/>
          <w:szCs w:val="24"/>
        </w:rPr>
        <w:t>carcinoma. Liver Int. 2019; 39:1033-1043.</w:t>
      </w:r>
    </w:p>
    <w:p w14:paraId="5ED8FF14" w14:textId="058EC372" w:rsidR="00C37D9F" w:rsidRPr="006964C9" w:rsidRDefault="00C37D9F" w:rsidP="00424ECE">
      <w:pPr>
        <w:numPr>
          <w:ilvl w:val="0"/>
          <w:numId w:val="1"/>
        </w:numPr>
        <w:spacing w:line="480" w:lineRule="auto"/>
        <w:rPr>
          <w:rFonts w:cs="Arial"/>
          <w:sz w:val="24"/>
          <w:szCs w:val="24"/>
        </w:rPr>
      </w:pPr>
      <w:r w:rsidRPr="006964C9">
        <w:rPr>
          <w:rFonts w:eastAsia="MS Gothic" w:cs="MS Gothic"/>
          <w:kern w:val="0"/>
          <w:sz w:val="24"/>
          <w:szCs w:val="24"/>
        </w:rPr>
        <w:t xml:space="preserve">Choi JY, Lee JM, Sirlin CB. CT and MR imaging diagnosis and staging of </w:t>
      </w:r>
      <w:r w:rsidRPr="006964C9">
        <w:rPr>
          <w:sz w:val="24"/>
          <w:szCs w:val="24"/>
        </w:rPr>
        <w:t>hepatocellular carcinoma: part I. Development, growth, and spread: key pathologic and imaging aspects. Radiology. 2014; 272(3):635-54.</w:t>
      </w:r>
    </w:p>
    <w:p w14:paraId="45BE7A28" w14:textId="2EE47A3A" w:rsidR="00C37D9F" w:rsidRPr="006964C9" w:rsidRDefault="00C37D9F" w:rsidP="00424ECE">
      <w:pPr>
        <w:numPr>
          <w:ilvl w:val="0"/>
          <w:numId w:val="1"/>
        </w:numPr>
        <w:spacing w:line="480" w:lineRule="auto"/>
        <w:rPr>
          <w:rFonts w:cs="Arial"/>
          <w:sz w:val="24"/>
          <w:szCs w:val="24"/>
        </w:rPr>
      </w:pPr>
      <w:r w:rsidRPr="006964C9">
        <w:rPr>
          <w:rFonts w:cs="Cambria"/>
          <w:kern w:val="0"/>
          <w:sz w:val="24"/>
          <w:szCs w:val="24"/>
        </w:rPr>
        <w:t>Van Beers BE, Pastor CM, Hussain HK: Primovist, Eovist: what to expect? J Hepatol 2012; 57:421–429.</w:t>
      </w:r>
    </w:p>
    <w:p w14:paraId="37612CD8" w14:textId="229B967E" w:rsidR="00C37D9F" w:rsidRPr="006964C9" w:rsidRDefault="00C37D9F" w:rsidP="00424ECE">
      <w:pPr>
        <w:numPr>
          <w:ilvl w:val="0"/>
          <w:numId w:val="1"/>
        </w:numPr>
        <w:spacing w:line="480" w:lineRule="auto"/>
        <w:rPr>
          <w:rFonts w:cs="Arial"/>
          <w:sz w:val="24"/>
          <w:szCs w:val="24"/>
        </w:rPr>
      </w:pPr>
      <w:r w:rsidRPr="006964C9">
        <w:rPr>
          <w:rFonts w:cs="Cambria"/>
          <w:kern w:val="0"/>
          <w:sz w:val="24"/>
          <w:szCs w:val="24"/>
        </w:rPr>
        <w:t>Kudo M: Will Gd-EOB-MRI change the diagnostic algorithm in hepatocellular carcinoma? Oncology 2010; 78(Suppl 1):87–93.</w:t>
      </w:r>
    </w:p>
    <w:p w14:paraId="26022BEB" w14:textId="64233224" w:rsidR="00C37D9F" w:rsidRPr="006964C9" w:rsidRDefault="00C37D9F" w:rsidP="00424ECE">
      <w:pPr>
        <w:numPr>
          <w:ilvl w:val="0"/>
          <w:numId w:val="1"/>
        </w:numPr>
        <w:spacing w:line="480" w:lineRule="auto"/>
        <w:rPr>
          <w:rFonts w:cs="Arial"/>
          <w:sz w:val="24"/>
          <w:szCs w:val="24"/>
        </w:rPr>
      </w:pPr>
      <w:r w:rsidRPr="006964C9">
        <w:rPr>
          <w:rFonts w:cs="Cambria"/>
          <w:kern w:val="0"/>
          <w:sz w:val="24"/>
          <w:szCs w:val="24"/>
        </w:rPr>
        <w:t>Kudo M, Matsui O, Izumi N, Iijima H, Kadoya M, Imai Y, Liver Cancer Study Group of Japan: Surveillance and</w:t>
      </w:r>
      <w:r w:rsidRPr="006964C9">
        <w:rPr>
          <w:rFonts w:cs="Arial"/>
          <w:sz w:val="24"/>
          <w:szCs w:val="24"/>
        </w:rPr>
        <w:t xml:space="preserve"> </w:t>
      </w:r>
      <w:r w:rsidRPr="006964C9">
        <w:rPr>
          <w:rFonts w:cs="Cambria"/>
          <w:kern w:val="0"/>
          <w:sz w:val="24"/>
          <w:szCs w:val="24"/>
        </w:rPr>
        <w:t xml:space="preserve">diagnostic algorithm for hepatocellular carcinoma proposed by </w:t>
      </w:r>
      <w:r w:rsidRPr="006964C9">
        <w:rPr>
          <w:rFonts w:cs="Cambria"/>
          <w:kern w:val="0"/>
          <w:sz w:val="24"/>
          <w:szCs w:val="24"/>
        </w:rPr>
        <w:lastRenderedPageBreak/>
        <w:t>the Liver Cancer Study Group of Japan:</w:t>
      </w:r>
      <w:r w:rsidRPr="006964C9">
        <w:rPr>
          <w:rFonts w:cs="Arial"/>
          <w:sz w:val="24"/>
          <w:szCs w:val="24"/>
        </w:rPr>
        <w:t xml:space="preserve"> </w:t>
      </w:r>
      <w:r w:rsidRPr="006964C9">
        <w:rPr>
          <w:rFonts w:cs="Cambria"/>
          <w:kern w:val="0"/>
          <w:sz w:val="24"/>
          <w:szCs w:val="24"/>
        </w:rPr>
        <w:t>2014 update. Oncology 2014; 87(Suppl</w:t>
      </w:r>
      <w:r w:rsidR="00B44939">
        <w:rPr>
          <w:rFonts w:cs="Cambria"/>
          <w:kern w:val="0"/>
          <w:sz w:val="24"/>
          <w:szCs w:val="24"/>
        </w:rPr>
        <w:t>.</w:t>
      </w:r>
      <w:r w:rsidRPr="006964C9">
        <w:rPr>
          <w:rFonts w:cs="Cambria"/>
          <w:kern w:val="0"/>
          <w:sz w:val="24"/>
          <w:szCs w:val="24"/>
        </w:rPr>
        <w:t xml:space="preserve"> 1):7–21.</w:t>
      </w:r>
    </w:p>
    <w:p w14:paraId="3C5B9ADB" w14:textId="6AD18413"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eastAsia="MS Gothic" w:cs="MS Gothic"/>
          <w:kern w:val="0"/>
          <w:sz w:val="24"/>
          <w:szCs w:val="24"/>
        </w:rPr>
        <w:t>European Association for the Study of the Liver. Electronic address: easloffice@easloffice.eu; European Association for the Study of the Liver. EASL Clinical Practice Guidelines: Management of hepatocellular carcinoma. J Hepatol. 2018; 69(1):182-236.</w:t>
      </w:r>
    </w:p>
    <w:p w14:paraId="21509E26" w14:textId="5EC816C2"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cs="Cambria"/>
          <w:kern w:val="0"/>
          <w:sz w:val="24"/>
          <w:szCs w:val="24"/>
        </w:rPr>
        <w:t>Mitchell DG, Bruix J, Sherman M, Sirlin CB: LI-RADS (Liver Imaging Reporting and Data System): summary, discussion, and consensus of the LI-RADS Management Working Group and future directions. Hepatology 2015; 61:1056–1065.</w:t>
      </w:r>
    </w:p>
    <w:p w14:paraId="2CCFE26F" w14:textId="38BB62AF"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cs="AdvGulliv-R"/>
          <w:kern w:val="0"/>
          <w:sz w:val="24"/>
          <w:szCs w:val="24"/>
        </w:rPr>
        <w:t>Sun HY, Lee JM, Shin CI, Lee DH, Moon SK, Kim KW, et al. Gadoxetic acid-enhanced magnetic resonance imaging for differentiating small hepatocellular carcinomas (&lt; or =2 cm in diameter) from arterial enhancing pseudolesions: special emphasis on hepatobiliary phase imaging. Invest Radiol 2010; 45:96–103.</w:t>
      </w:r>
    </w:p>
    <w:p w14:paraId="3E2E92DE" w14:textId="7CB001A2"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cs="AdvGulliv-R"/>
          <w:kern w:val="0"/>
          <w:sz w:val="24"/>
          <w:szCs w:val="24"/>
        </w:rPr>
        <w:t>Hanna RF, Miloushev VZ, Tang A, Finklestone LA, Brejt SZ, Sandhu RS, et al. Comparative 13-year meta-analysis of the sensitivity and positive predictive value of ultrasound, CT, and MRI for detecting hepatocellular carcinoma. Abdom Radiol 2016; 41:71–90.</w:t>
      </w:r>
    </w:p>
    <w:p w14:paraId="1BC5209F" w14:textId="3C892AA6"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cs="AdvGulliv-R"/>
          <w:kern w:val="0"/>
          <w:sz w:val="24"/>
          <w:szCs w:val="24"/>
        </w:rPr>
        <w:lastRenderedPageBreak/>
        <w:t xml:space="preserve">Inoue T, Kudo M, Komuta M, Hayaishi S, Ueda T, Takita M, et al. Assessment of Gd-EOB-DTPA-enhanced MRI for HCC and dysplastic nodules and comparison of detection sensitivity </w:t>
      </w:r>
      <w:r w:rsidRPr="006964C9">
        <w:rPr>
          <w:rFonts w:cs="AdvGulliv-I"/>
          <w:kern w:val="0"/>
          <w:sz w:val="24"/>
          <w:szCs w:val="24"/>
        </w:rPr>
        <w:t xml:space="preserve">vs. </w:t>
      </w:r>
      <w:r w:rsidRPr="006964C9">
        <w:rPr>
          <w:rFonts w:cs="AdvGulliv-R"/>
          <w:kern w:val="0"/>
          <w:sz w:val="24"/>
          <w:szCs w:val="24"/>
        </w:rPr>
        <w:t>MDCT. J Gastroenterol 2012; 47:1036–1047.</w:t>
      </w:r>
    </w:p>
    <w:p w14:paraId="748142A9" w14:textId="1E9E4E1C" w:rsidR="00C37D9F" w:rsidRPr="006964C9" w:rsidRDefault="00C37D9F" w:rsidP="00424ECE">
      <w:pPr>
        <w:pStyle w:val="ListParagraph"/>
        <w:numPr>
          <w:ilvl w:val="0"/>
          <w:numId w:val="1"/>
        </w:numPr>
        <w:autoSpaceDE w:val="0"/>
        <w:autoSpaceDN w:val="0"/>
        <w:adjustRightInd w:val="0"/>
        <w:spacing w:line="480" w:lineRule="auto"/>
        <w:ind w:leftChars="0"/>
        <w:jc w:val="left"/>
        <w:rPr>
          <w:rFonts w:cs="AdvGulliv-R"/>
          <w:kern w:val="0"/>
          <w:sz w:val="24"/>
          <w:szCs w:val="24"/>
        </w:rPr>
      </w:pPr>
      <w:r w:rsidRPr="006964C9">
        <w:rPr>
          <w:rFonts w:cs="AdvGulliv-R"/>
          <w:kern w:val="0"/>
          <w:sz w:val="24"/>
          <w:szCs w:val="24"/>
        </w:rPr>
        <w:t>Duncan JK, Ma N, Vreugdenburg TD, Cameron AL, Maddern G. Gadoxetic acid-enhanced MRI for the characterization of hepatocellular carcinoma: A systematic review and meta-analysis. J Magn Reson Imaging 2017; 45:281–290.</w:t>
      </w:r>
    </w:p>
    <w:p w14:paraId="1DE73180" w14:textId="777F6369" w:rsidR="00C37D9F" w:rsidRPr="006964C9" w:rsidRDefault="00C37D9F" w:rsidP="00424ECE">
      <w:pPr>
        <w:pStyle w:val="ListParagraph"/>
        <w:numPr>
          <w:ilvl w:val="0"/>
          <w:numId w:val="1"/>
        </w:numPr>
        <w:autoSpaceDE w:val="0"/>
        <w:autoSpaceDN w:val="0"/>
        <w:adjustRightInd w:val="0"/>
        <w:spacing w:line="480" w:lineRule="auto"/>
        <w:ind w:leftChars="0"/>
        <w:jc w:val="left"/>
        <w:rPr>
          <w:rFonts w:cs="AdvGulliv-R"/>
          <w:kern w:val="0"/>
          <w:sz w:val="24"/>
          <w:szCs w:val="24"/>
        </w:rPr>
      </w:pPr>
      <w:r w:rsidRPr="006964C9">
        <w:rPr>
          <w:sz w:val="24"/>
          <w:szCs w:val="24"/>
        </w:rPr>
        <w:t>Kumada T, Toyoda H, Tada T, Sone Y, Fujimori M, Ogawa S, Ishikawa T. Evolution of hypointense hepatocellular nodules observed only in the hepatobiliary phase of gadoxetate disodium-enhanced MRI. AJR Am J Roentgenol. 2011 Jul; 197(1):58-63.</w:t>
      </w:r>
    </w:p>
    <w:p w14:paraId="4962C8C0" w14:textId="17EE15A9"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auto"/>
        <w:ind w:leftChars="0"/>
        <w:jc w:val="left"/>
        <w:rPr>
          <w:rFonts w:eastAsia="MS Gothic" w:cs="MS Gothic"/>
          <w:kern w:val="0"/>
          <w:sz w:val="24"/>
          <w:szCs w:val="24"/>
        </w:rPr>
      </w:pPr>
      <w:r w:rsidRPr="006964C9">
        <w:rPr>
          <w:rFonts w:eastAsia="MS Gothic" w:cs="MS Gothic"/>
          <w:kern w:val="0"/>
          <w:sz w:val="24"/>
          <w:szCs w:val="24"/>
        </w:rPr>
        <w:t>Hyodo T, Murakami T, Imai Y, Okada M, Hori M, Kagawa Y, Kogita S, Kumano S, Kudo M, Mochizuki T. Hypovascular nodules in patients with chronic liver disease: risk factors for development of hypervascular hepatocellular carcinoma. Radiology. 2013 Feb; 266(2):480-90.</w:t>
      </w:r>
    </w:p>
    <w:p w14:paraId="6DBC5200" w14:textId="23D05B49"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eastAsia="MS Gothic" w:cs="MS Gothic"/>
          <w:kern w:val="0"/>
          <w:sz w:val="24"/>
          <w:szCs w:val="24"/>
        </w:rPr>
        <w:lastRenderedPageBreak/>
        <w:t>Kokudo N, Takemura N, Hasegawa K, Takayama T, Kubo S, Shimada M, Nagano H,Hatano E, Izumi N, Kaneko S, Kudo M, Iijima H, Genda T, Tateishi R, Torimura T, Igaki H, Kobayashi S, Sakurai H, Murakami T, Watadani T, Matsuyama Y. Clinical practice guidelines for hepatocellular carcinoma: The Japan Society of Hepatology 2017 (4th JSH-HCC guidelines) 2019 update. Hepatol Res. in press</w:t>
      </w:r>
    </w:p>
    <w:p w14:paraId="6CA2CB8C" w14:textId="2EC8B140"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eastAsia="MS Gothic" w:cs="MS Gothic"/>
          <w:kern w:val="0"/>
          <w:sz w:val="24"/>
          <w:szCs w:val="24"/>
        </w:rPr>
        <w:t>Sterling RK, Lissen E, Clumeck N, Sola R, Correa MC, Montaner J, S Sulkowski M, Torriani FJ, Dieterich DT, Thomas DL, Messinger D, Nelson M; APRICOT Clinical Investigators. Development of a simple noninvasive index to predict significant fibrosis in patients with HIV/HCV coinfection. Hepatology. 200; 43(6):1317-25.</w:t>
      </w:r>
    </w:p>
    <w:p w14:paraId="3C67BC4F" w14:textId="35478132"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eastAsia="MS Gothic" w:cs="MS Gothic"/>
          <w:kern w:val="0"/>
          <w:sz w:val="24"/>
          <w:szCs w:val="24"/>
        </w:rPr>
        <w:t>Vallet-Pichard A, Mallet V, Nalpas B, Verkarre V, Nalpas A, Dhalluin-Venier V, Fontaine H, Pol S. FIB-4: an inexpensive and accurate marker of fibrosis in HCV infection. Comparison with liver biopsy and fibrotest. Hepatology. 2007 Jul;</w:t>
      </w:r>
      <w:r w:rsidR="00B44939">
        <w:rPr>
          <w:rFonts w:eastAsia="MS Gothic" w:cs="MS Gothic"/>
          <w:kern w:val="0"/>
          <w:sz w:val="24"/>
          <w:szCs w:val="24"/>
        </w:rPr>
        <w:t xml:space="preserve"> </w:t>
      </w:r>
      <w:r w:rsidRPr="006964C9">
        <w:rPr>
          <w:rFonts w:eastAsia="MS Gothic" w:cs="MS Gothic"/>
          <w:kern w:val="0"/>
          <w:sz w:val="24"/>
          <w:szCs w:val="24"/>
        </w:rPr>
        <w:t>46(1):32-6.</w:t>
      </w:r>
    </w:p>
    <w:p w14:paraId="72B005AD" w14:textId="2ADB8549"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eastAsia="MS Gothic" w:cs="MS Gothic"/>
          <w:kern w:val="0"/>
          <w:sz w:val="24"/>
          <w:szCs w:val="24"/>
        </w:rPr>
        <w:t xml:space="preserve">Johnson PJ, Berhane S, Kagebayashi C, Satomura S, Teng M, Reeves HL, O'Beirne J, Fox R, Skowronska A, Palmer D, Yeo W, Mo F, Lai P, Iñarrairaegui M, Chan SL, Sangro B, Miksad R, Tada T, Kumada T, Toyoda H. Assessment of liver function in patients </w:t>
      </w:r>
      <w:r w:rsidRPr="006964C9">
        <w:rPr>
          <w:rFonts w:eastAsia="MS Gothic" w:cs="MS Gothic"/>
          <w:kern w:val="0"/>
          <w:sz w:val="24"/>
          <w:szCs w:val="24"/>
        </w:rPr>
        <w:lastRenderedPageBreak/>
        <w:t>with hepatocellular carcinoma: a new evidence-based approach-the ALBI grade. J Clin Oncol. 2015 20; 33(6):550-8.</w:t>
      </w:r>
    </w:p>
    <w:p w14:paraId="65D6BC06" w14:textId="6F3EFADE"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eastAsia="MS Gothic" w:cs="MS Gothic"/>
          <w:kern w:val="0"/>
          <w:sz w:val="24"/>
          <w:szCs w:val="24"/>
        </w:rPr>
        <w:t>Kagebayashi C, Yamaguchi I, Akinaga A, Kitano H, Yokoyama K, Satomura M, Kurosawa T, Watanabe M, Kawabata T, Chang W, Li C, Bousse L, Wada HG, Satomura S.Automated immunoassay system for AFP-L3% using on-chip electrokinetic reaction and separation by affinity electrophoresis. Anal Biochem. 2009 15; 388:306-11.</w:t>
      </w:r>
    </w:p>
    <w:p w14:paraId="79F82DE2" w14:textId="6E6E72DE"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eastAsia="MS Gothic" w:cs="MS Gothic"/>
          <w:kern w:val="0"/>
          <w:sz w:val="24"/>
          <w:szCs w:val="24"/>
        </w:rPr>
        <w:t>Motosugi U, Murakami T, Lee JM, Fowler KJ, Heiken JP, Sirlin CB; LI-RADS HBA Working Group. Recommendation for terminology: Nodules without arterial phase hyperenhancement and with hepatobiliary phase hypointensity in chronic liver disease. J Magn Reson Imaging. 2018; 48:1169-1171.</w:t>
      </w:r>
    </w:p>
    <w:p w14:paraId="41053309" w14:textId="5E0D59FD"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eastAsia="MS Gothic" w:cs="MS Gothic"/>
          <w:kern w:val="0"/>
          <w:sz w:val="24"/>
          <w:szCs w:val="24"/>
        </w:rPr>
        <w:t>Sakamoto M, Effendi K, Masugi Y. Molecular diagnosis of multistage hepatocarcinogenesis. Jpn J Clin Oncol. 2010; 40(9):891-6.</w:t>
      </w:r>
    </w:p>
    <w:p w14:paraId="7F83A487" w14:textId="2B3AAF47"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eastAsia="MS Gothic" w:cs="MS Gothic"/>
          <w:kern w:val="0"/>
          <w:sz w:val="24"/>
          <w:szCs w:val="24"/>
        </w:rPr>
        <w:t xml:space="preserve">Kudo M. Multistep human hepatocarcinogenesis: correlation of imaging with pathology. J Gastroenterol. 2009; 44 Suppl 19:112-8. </w:t>
      </w:r>
    </w:p>
    <w:p w14:paraId="784BBB16" w14:textId="56B40538"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eastAsia="AdvOT678fd422" w:cs="AdvOT678fd422"/>
          <w:color w:val="231F20"/>
          <w:kern w:val="0"/>
          <w:sz w:val="24"/>
          <w:szCs w:val="24"/>
        </w:rPr>
        <w:lastRenderedPageBreak/>
        <w:t>Fine JP, Gray RJ. A proportional hazards model for the subdistribution of a competing risk. J Am Stat Assoc. 1999; 94:496- 509.</w:t>
      </w:r>
    </w:p>
    <w:p w14:paraId="0C553880" w14:textId="61E8B84F"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eastAsia="AdvOT678fd422" w:cs="AdvOT678fd422"/>
          <w:color w:val="231F20"/>
          <w:kern w:val="0"/>
          <w:sz w:val="24"/>
          <w:szCs w:val="24"/>
        </w:rPr>
        <w:t>Kanda Y. Investigation of the freely available easy-to-use software ‘EZR’ for medical statistics. Bone Marrow Transplant. 2013; 48: 452-458.</w:t>
      </w:r>
    </w:p>
    <w:p w14:paraId="3C654391" w14:textId="0C5A3A68"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eastAsia="MS Gothic" w:cs="MS Gothic"/>
          <w:kern w:val="0"/>
          <w:sz w:val="24"/>
          <w:szCs w:val="24"/>
        </w:rPr>
        <w:t>Narita M, Hatano E, Arizono S, Miyagawa-Hayashino A, Isoda H, Kitamura K, Taura K, Yasuchika K, Nitta T, Ikai I, Uemoto S. Expression of OATP1B3 determines uptake of Gd-EOB-DTPA in hepatocellular carcinoma. J Gastroenterol. 2009; 44:793-8.</w:t>
      </w:r>
    </w:p>
    <w:p w14:paraId="13DDECF1" w14:textId="354C5B0B"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eastAsia="MS Gothic" w:cs="MS Gothic"/>
          <w:kern w:val="0"/>
          <w:sz w:val="24"/>
          <w:szCs w:val="24"/>
        </w:rPr>
        <w:t>Kitao A, Zen Y, Matsui O, Gabata T, Kobayashi S, Koda W, Kozaka K, Yoneda N, Yamashita T, Kaneko S, Nakanuma Y. Hepatocellular carcinoma: signal intensity at gadoxetic acid-enhanced MR Imaging--correlation with molecular transporters and histopathologic features. Radiology. 2010; 256(3):817-26.</w:t>
      </w:r>
    </w:p>
    <w:p w14:paraId="43D7962B" w14:textId="3C8F2663"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eastAsia="MS Gothic" w:cs="MS Gothic"/>
          <w:kern w:val="0"/>
          <w:sz w:val="24"/>
          <w:szCs w:val="24"/>
        </w:rPr>
        <w:t>Kitao A, Matsui O, Yoneda N, Kozaka K, Shinmura R, Koda W, Kobayashi S, Gabata T, Zen Y, Yamashita T, Kaneko S, Nakanuma Y. The uptake transporter OATP8 expression decreases during multistep hepatocarcinogenesis: correlation with gadoxetic acid enhanced MR imaging. Eur Radiol. 2011; 21(10):2056-66.</w:t>
      </w:r>
    </w:p>
    <w:p w14:paraId="40A8C770" w14:textId="27B521D8"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eastAsia="MS Gothic" w:cs="MS Gothic"/>
          <w:kern w:val="0"/>
          <w:sz w:val="24"/>
          <w:szCs w:val="24"/>
        </w:rPr>
        <w:lastRenderedPageBreak/>
        <w:t>Midorikawa Y, Takayama T, Shimada K, Nakayama H, Higaki T, Moriguchi M, Nara S, Tsuji S, Tanaka M. Marginal survival benefit in the treatment of early hepatocellular carcinoma. J Hepatol. 2013; 58(2):306-11.</w:t>
      </w:r>
    </w:p>
    <w:p w14:paraId="25F7E908" w14:textId="57D2DA7A"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eastAsia="MS Gothic" w:cs="MS Gothic"/>
          <w:kern w:val="0"/>
          <w:sz w:val="24"/>
          <w:szCs w:val="24"/>
        </w:rPr>
        <w:t>Kim HD, Lim YS, Han S, An J, Kim GA, Kim SY, Lee SJ, Won HJ, Byun JH. Evaluation of early-stage hepatocellular carcinoma by magnetic resonance imaging with gadoxetic acid detects additional lesions and increases overall survival. Gastroenterology. 2015; 148(7):1371-82.</w:t>
      </w:r>
    </w:p>
    <w:p w14:paraId="32B3AD7A" w14:textId="430DFE6F"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eastAsia="MS Gothic" w:cs="MS Gothic"/>
          <w:kern w:val="0"/>
          <w:sz w:val="24"/>
          <w:szCs w:val="24"/>
        </w:rPr>
        <w:t>Ioannou GN, Green PK, Berry K. HCV eradication induced by direct-acting antiviral agents reduces the risk of hepatocellular carcinoma. J Hepatol. 2017 Sep 5. pii: S0168-8278(17)32273-0.</w:t>
      </w:r>
    </w:p>
    <w:p w14:paraId="3212E56E" w14:textId="37ABC9EE"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eastAsia="MS Gothic" w:cs="MS Gothic"/>
          <w:kern w:val="0"/>
          <w:sz w:val="24"/>
          <w:szCs w:val="24"/>
        </w:rPr>
        <w:t>Yamamoto A, Ito K, Tamada T, Higaki A, Kanki A, Sato T, Tanimoto D. Newly developed hypervascular hepatocellular carcinoma during follow-up periods in patients with chronic liver disease: observation in serial gadoxetic acid-enhanced MRI. AJR Am J Roentgenol. 2013; 200(6):1254-60.</w:t>
      </w:r>
    </w:p>
    <w:p w14:paraId="19F88B13" w14:textId="5E8FF351"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eastAsia="MS Gothic" w:cs="MS Gothic"/>
          <w:kern w:val="0"/>
          <w:sz w:val="24"/>
          <w:szCs w:val="24"/>
        </w:rPr>
        <w:lastRenderedPageBreak/>
        <w:t>Toyoda H, Kumada T, Tada T, Niinomi T, Ito T, Sone Y, Kaneoka Y, Maeda A. Non-hypervascular hypointense nodules detected by Gd-EOB-DTPA-enhanced MRI are a risk factor for recurrence of HCC after hepatectomy. J Hepatol. 2013; 58(6):1174-80.</w:t>
      </w:r>
    </w:p>
    <w:p w14:paraId="6EFC10C5" w14:textId="0468DEA0"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eastAsia="MS Gothic" w:cs="MS Gothic"/>
          <w:kern w:val="0"/>
          <w:sz w:val="24"/>
          <w:szCs w:val="24"/>
        </w:rPr>
        <w:t>Toyoda H, Kumada T, Tada T, Mizuno K, Sone Y, Kaneoka Y, Maeda A, Akita T, Tanaka J. Impact of previously cured hepatocellular carcinoma (HCC) on new development of HCC after eradication of hepatitis C infection with non-interferon-based treatments. Aliment Pharmacol Ther. 2018; 48(6):664-670.</w:t>
      </w:r>
    </w:p>
    <w:p w14:paraId="571C5099" w14:textId="13342725"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cs="Cambria"/>
          <w:kern w:val="0"/>
          <w:sz w:val="24"/>
          <w:szCs w:val="24"/>
        </w:rPr>
        <w:t xml:space="preserve">Kumada T, Nakano S, Takeda I, Kiriyama S, Sone Y, Hayashi K, Katoh H, Endoh T, Sassa T, Satomura S: Clinical utility of </w:t>
      </w:r>
      <w:r w:rsidRPr="006964C9">
        <w:rPr>
          <w:rFonts w:cs="Cambria-Italic"/>
          <w:i/>
          <w:iCs/>
          <w:kern w:val="0"/>
          <w:sz w:val="24"/>
          <w:szCs w:val="24"/>
        </w:rPr>
        <w:t xml:space="preserve">Lens culinaris </w:t>
      </w:r>
      <w:r w:rsidRPr="006964C9">
        <w:rPr>
          <w:rFonts w:cs="Cambria"/>
          <w:kern w:val="0"/>
          <w:sz w:val="24"/>
          <w:szCs w:val="24"/>
        </w:rPr>
        <w:t>agglutinin-reactive alpha-fetoprotein in small hepatocellular carcinoma: special</w:t>
      </w:r>
      <w:r w:rsidR="00B44939">
        <w:rPr>
          <w:rFonts w:cs="Cambria"/>
          <w:kern w:val="0"/>
          <w:sz w:val="24"/>
          <w:szCs w:val="24"/>
        </w:rPr>
        <w:t xml:space="preserve"> </w:t>
      </w:r>
      <w:r w:rsidRPr="006964C9">
        <w:rPr>
          <w:rFonts w:cs="Cambria"/>
          <w:kern w:val="0"/>
          <w:sz w:val="24"/>
          <w:szCs w:val="24"/>
        </w:rPr>
        <w:t>reference to imaging diagnosis. J Hepatol 1999; 30:125–130.</w:t>
      </w:r>
    </w:p>
    <w:p w14:paraId="744CE14F" w14:textId="494F6CD8" w:rsidR="00C37D9F" w:rsidRPr="006964C9" w:rsidRDefault="00C37D9F" w:rsidP="00424ECE">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rPr>
          <w:rFonts w:eastAsia="MS Gothic" w:cs="MS Gothic"/>
          <w:kern w:val="0"/>
          <w:sz w:val="24"/>
          <w:szCs w:val="24"/>
        </w:rPr>
      </w:pPr>
      <w:r w:rsidRPr="006964C9">
        <w:rPr>
          <w:rFonts w:cs="Cambria"/>
          <w:kern w:val="0"/>
          <w:sz w:val="24"/>
          <w:szCs w:val="24"/>
        </w:rPr>
        <w:t xml:space="preserve">Tada T, Kumada T, Toyoda H, Kiriyama S, Sone Y, Tanikawa M, Hisanaga Y, Kitabatake S, Kuzuya T, Nonogaki K, Shimizu J, Yamaguchi A, Isogai M, Kaneoka Y, Washizu J, Satomura S: Relationship between </w:t>
      </w:r>
      <w:r w:rsidRPr="006964C9">
        <w:rPr>
          <w:rFonts w:cs="Cambria-Italic"/>
          <w:i/>
          <w:iCs/>
          <w:kern w:val="0"/>
          <w:sz w:val="24"/>
          <w:szCs w:val="24"/>
        </w:rPr>
        <w:t>Lens</w:t>
      </w:r>
      <w:r w:rsidRPr="006964C9">
        <w:rPr>
          <w:rFonts w:cs="Cambria"/>
          <w:kern w:val="0"/>
          <w:sz w:val="24"/>
          <w:szCs w:val="24"/>
        </w:rPr>
        <w:t xml:space="preserve"> </w:t>
      </w:r>
      <w:r w:rsidRPr="006964C9">
        <w:rPr>
          <w:rFonts w:cs="Cambria-Italic"/>
          <w:i/>
          <w:iCs/>
          <w:kern w:val="0"/>
          <w:sz w:val="24"/>
          <w:szCs w:val="24"/>
        </w:rPr>
        <w:t xml:space="preserve">culinaris </w:t>
      </w:r>
      <w:r w:rsidRPr="006964C9">
        <w:rPr>
          <w:rFonts w:cs="Cambria"/>
          <w:kern w:val="0"/>
          <w:sz w:val="24"/>
          <w:szCs w:val="24"/>
        </w:rPr>
        <w:t>agglutinin-reactive α-fetoprotein and pathologic features of hepatocellular carcinoma. Liver Int 2005; 25:848–853.</w:t>
      </w:r>
    </w:p>
    <w:p w14:paraId="13170664" w14:textId="73AC7DFA" w:rsidR="00EB7E06" w:rsidRPr="006964C9" w:rsidRDefault="00C37D9F" w:rsidP="006964C9">
      <w:pPr>
        <w:pStyle w:val="ListParagraph"/>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Chars="0"/>
        <w:jc w:val="left"/>
      </w:pPr>
      <w:r w:rsidRPr="006964C9">
        <w:rPr>
          <w:rFonts w:eastAsia="MS Gothic" w:cs="MS Gothic"/>
          <w:kern w:val="0"/>
          <w:sz w:val="24"/>
          <w:szCs w:val="24"/>
        </w:rPr>
        <w:lastRenderedPageBreak/>
        <w:t>Asayama Y, Tajima T, Nishie A, Ishigami K, Kakihara D, Nakayama T, Okamoto D, Fujita N, Aishima S, Shirabe K, Honda H. Uptake of Gd-EOB-DTPA by hepatocellular carcinoma: radiologic-pathologic correlation with special reference to bile production. Eur J Radiol. 2011; 80(3):e243-8.</w:t>
      </w:r>
      <w:r w:rsidR="00EB7E06" w:rsidRPr="006964C9">
        <w:br w:type="page"/>
      </w:r>
    </w:p>
    <w:p w14:paraId="755CEB37" w14:textId="77777777" w:rsidR="00EB7E06" w:rsidRPr="006964C9" w:rsidRDefault="00EB7E06">
      <w:pPr>
        <w:rPr>
          <w:sz w:val="24"/>
          <w:szCs w:val="24"/>
        </w:rPr>
      </w:pPr>
      <w:r w:rsidRPr="006964C9">
        <w:rPr>
          <w:rFonts w:hint="eastAsia"/>
          <w:sz w:val="24"/>
          <w:szCs w:val="24"/>
        </w:rPr>
        <w:lastRenderedPageBreak/>
        <w:t>Figure</w:t>
      </w:r>
      <w:r w:rsidRPr="006964C9">
        <w:rPr>
          <w:sz w:val="24"/>
          <w:szCs w:val="24"/>
        </w:rPr>
        <w:t xml:space="preserve"> Legends</w:t>
      </w:r>
    </w:p>
    <w:p w14:paraId="08B8825D" w14:textId="77777777" w:rsidR="00EB7E06" w:rsidRPr="006964C9" w:rsidRDefault="00EB7E06">
      <w:pPr>
        <w:rPr>
          <w:sz w:val="24"/>
          <w:szCs w:val="24"/>
        </w:rPr>
      </w:pPr>
    </w:p>
    <w:p w14:paraId="296DD41F" w14:textId="77777777" w:rsidR="00EB7E06" w:rsidRPr="006964C9" w:rsidRDefault="00EB7E06" w:rsidP="00EB7E06">
      <w:pPr>
        <w:spacing w:line="480" w:lineRule="auto"/>
        <w:rPr>
          <w:rFonts w:ascii="Century" w:eastAsia="AdvOT678fd422" w:hAnsi="Century" w:cs="AdvOT678fd422"/>
          <w:color w:val="231F20"/>
          <w:kern w:val="0"/>
          <w:sz w:val="24"/>
          <w:szCs w:val="24"/>
        </w:rPr>
      </w:pPr>
      <w:r w:rsidRPr="006964C9">
        <w:rPr>
          <w:rFonts w:ascii="Century" w:hAnsi="Century"/>
          <w:sz w:val="24"/>
          <w:szCs w:val="24"/>
        </w:rPr>
        <w:t xml:space="preserve">Figure 1, </w:t>
      </w:r>
      <w:r w:rsidRPr="006964C9">
        <w:rPr>
          <w:rFonts w:ascii="Century" w:eastAsia="AdvOT678fd422" w:hAnsi="Century" w:cs="AdvOT678fd422"/>
          <w:color w:val="231F20"/>
          <w:kern w:val="0"/>
          <w:sz w:val="24"/>
          <w:szCs w:val="24"/>
        </w:rPr>
        <w:t>Flowchart of the patient selection process.</w:t>
      </w:r>
    </w:p>
    <w:p w14:paraId="756F74C9" w14:textId="12558D15" w:rsidR="00EB7E06" w:rsidRPr="006964C9" w:rsidRDefault="00825A32" w:rsidP="009F1C79">
      <w:pPr>
        <w:spacing w:line="480" w:lineRule="auto"/>
        <w:ind w:firstLineChars="50" w:firstLine="120"/>
        <w:rPr>
          <w:rFonts w:ascii="Century" w:eastAsiaTheme="majorEastAsia" w:hAnsi="Century"/>
          <w:sz w:val="24"/>
          <w:szCs w:val="24"/>
        </w:rPr>
      </w:pPr>
      <w:r w:rsidRPr="006964C9">
        <w:rPr>
          <w:rFonts w:ascii="Century" w:eastAsia="Lato-Regular" w:hAnsi="Century" w:cs="Lato-Regular"/>
          <w:sz w:val="24"/>
          <w:szCs w:val="24"/>
        </w:rPr>
        <w:t xml:space="preserve">Gd-EOB-MRI: </w:t>
      </w:r>
      <w:r w:rsidR="00250EB5" w:rsidRPr="006964C9">
        <w:rPr>
          <w:rFonts w:ascii="Century" w:eastAsia="Lato-Regular" w:hAnsi="Century" w:cs="Lato-Regular"/>
          <w:sz w:val="24"/>
          <w:szCs w:val="24"/>
        </w:rPr>
        <w:t>gadolinium</w:t>
      </w:r>
      <w:r w:rsidR="00250EB5" w:rsidRPr="006964C9">
        <w:rPr>
          <w:rFonts w:ascii="Century" w:eastAsia="MS Mincho" w:hAnsi="Century" w:cs="MS Mincho"/>
          <w:sz w:val="24"/>
          <w:szCs w:val="24"/>
        </w:rPr>
        <w:t>-</w:t>
      </w:r>
      <w:r w:rsidR="00250EB5" w:rsidRPr="006964C9">
        <w:rPr>
          <w:rFonts w:ascii="Century" w:eastAsia="Lato-Regular" w:hAnsi="Century" w:cs="Lato-Regular"/>
          <w:sz w:val="24"/>
          <w:szCs w:val="24"/>
        </w:rPr>
        <w:t>ethoxybenzyl</w:t>
      </w:r>
      <w:r w:rsidR="00250EB5" w:rsidRPr="006964C9">
        <w:rPr>
          <w:rFonts w:ascii="Century" w:eastAsia="MS Mincho" w:hAnsi="Century" w:cs="MS Mincho"/>
          <w:sz w:val="24"/>
          <w:szCs w:val="24"/>
        </w:rPr>
        <w:t>-</w:t>
      </w:r>
      <w:r w:rsidR="00250EB5" w:rsidRPr="006964C9">
        <w:rPr>
          <w:rFonts w:ascii="Century" w:eastAsia="Lato-Regular" w:hAnsi="Century" w:cs="Lato-Regular"/>
          <w:sz w:val="24"/>
          <w:szCs w:val="24"/>
        </w:rPr>
        <w:t>diethylenetriamine pentaacetic acid–enhanced magnetic resonance imaging</w:t>
      </w:r>
      <w:r w:rsidR="00EB7E06" w:rsidRPr="006964C9">
        <w:rPr>
          <w:rFonts w:ascii="Century" w:eastAsia="Lato-Regular" w:hAnsi="Century" w:cs="Lato-Regular"/>
          <w:sz w:val="24"/>
          <w:szCs w:val="24"/>
        </w:rPr>
        <w:t>, HCV: hepatitis</w:t>
      </w:r>
      <w:r w:rsidR="00EB7E06" w:rsidRPr="006964C9">
        <w:rPr>
          <w:rFonts w:ascii="Century" w:hAnsi="Century"/>
          <w:sz w:val="24"/>
          <w:szCs w:val="24"/>
        </w:rPr>
        <w:t xml:space="preserve"> C virus, HCC: hepatocellular carcinoma, </w:t>
      </w:r>
      <w:r w:rsidR="00EB7E06" w:rsidRPr="006964C9">
        <w:rPr>
          <w:rFonts w:ascii="Century" w:eastAsiaTheme="majorEastAsia" w:hAnsi="Century"/>
          <w:sz w:val="24"/>
          <w:szCs w:val="24"/>
        </w:rPr>
        <w:t>DAA: direct-acting antiviral.</w:t>
      </w:r>
    </w:p>
    <w:p w14:paraId="4FE046D1" w14:textId="0C1E93AB" w:rsidR="00EB7E06" w:rsidRPr="006964C9" w:rsidRDefault="00EB7E06" w:rsidP="00EB7E06">
      <w:pPr>
        <w:spacing w:line="480" w:lineRule="auto"/>
        <w:rPr>
          <w:rFonts w:ascii="Century" w:eastAsiaTheme="majorEastAsia" w:hAnsi="Century"/>
          <w:sz w:val="24"/>
          <w:szCs w:val="24"/>
        </w:rPr>
      </w:pPr>
      <w:r w:rsidRPr="006964C9">
        <w:rPr>
          <w:rFonts w:ascii="Century" w:eastAsiaTheme="majorEastAsia" w:hAnsi="Century"/>
          <w:sz w:val="24"/>
          <w:szCs w:val="24"/>
        </w:rPr>
        <w:t xml:space="preserve">Figure 2, </w:t>
      </w:r>
      <w:r w:rsidR="00267607" w:rsidRPr="006964C9">
        <w:rPr>
          <w:rFonts w:ascii="Century" w:eastAsiaTheme="majorEastAsia" w:hAnsi="Century"/>
          <w:sz w:val="24"/>
          <w:szCs w:val="24"/>
        </w:rPr>
        <w:t>M</w:t>
      </w:r>
      <w:r w:rsidRPr="006964C9">
        <w:rPr>
          <w:rFonts w:ascii="Century" w:eastAsiaTheme="majorEastAsia" w:hAnsi="Century"/>
          <w:sz w:val="24"/>
          <w:szCs w:val="24"/>
        </w:rPr>
        <w:t>ultistep hepatocarcinogenesis</w:t>
      </w:r>
      <w:r w:rsidR="00F54770" w:rsidRPr="006964C9">
        <w:rPr>
          <w:rFonts w:ascii="Century" w:eastAsiaTheme="majorEastAsia" w:hAnsi="Century" w:hint="eastAsia"/>
          <w:sz w:val="24"/>
          <w:szCs w:val="24"/>
        </w:rPr>
        <w:t xml:space="preserve"> </w:t>
      </w:r>
      <w:r w:rsidR="00C34153">
        <w:rPr>
          <w:rFonts w:ascii="Century" w:eastAsiaTheme="majorEastAsia" w:hAnsi="Century"/>
          <w:sz w:val="24"/>
          <w:szCs w:val="24"/>
        </w:rPr>
        <w:t xml:space="preserve">observed by Gd-EOB-MRI </w:t>
      </w:r>
      <w:r w:rsidR="00F54770" w:rsidRPr="006964C9">
        <w:rPr>
          <w:rFonts w:ascii="Century" w:eastAsiaTheme="majorEastAsia" w:hAnsi="Century"/>
          <w:sz w:val="24"/>
          <w:szCs w:val="24"/>
        </w:rPr>
        <w:t>(</w:t>
      </w:r>
      <w:r w:rsidRPr="006964C9">
        <w:rPr>
          <w:rFonts w:ascii="Century" w:eastAsiaTheme="majorEastAsia" w:hAnsi="Century"/>
          <w:sz w:val="24"/>
          <w:szCs w:val="24"/>
        </w:rPr>
        <w:t>6</w:t>
      </w:r>
      <w:r w:rsidR="00F54770" w:rsidRPr="006964C9">
        <w:rPr>
          <w:rFonts w:ascii="Century" w:eastAsiaTheme="majorEastAsia" w:hAnsi="Century"/>
          <w:sz w:val="24"/>
          <w:szCs w:val="24"/>
        </w:rPr>
        <w:t>0s</w:t>
      </w:r>
      <w:r w:rsidRPr="006964C9">
        <w:rPr>
          <w:rFonts w:ascii="Century" w:eastAsiaTheme="majorEastAsia" w:hAnsi="Century"/>
          <w:sz w:val="24"/>
          <w:szCs w:val="24"/>
        </w:rPr>
        <w:t>, male</w:t>
      </w:r>
      <w:r w:rsidR="00F54770" w:rsidRPr="006964C9">
        <w:rPr>
          <w:rFonts w:ascii="Century" w:eastAsiaTheme="majorEastAsia" w:hAnsi="Century" w:hint="eastAsia"/>
          <w:sz w:val="24"/>
          <w:szCs w:val="24"/>
        </w:rPr>
        <w:t>)</w:t>
      </w:r>
      <w:r w:rsidR="00583AF0" w:rsidRPr="006964C9">
        <w:rPr>
          <w:rFonts w:ascii="Century" w:eastAsiaTheme="majorEastAsia" w:hAnsi="Century"/>
          <w:sz w:val="24"/>
          <w:szCs w:val="24"/>
        </w:rPr>
        <w:t>.</w:t>
      </w:r>
    </w:p>
    <w:p w14:paraId="6A09AD3E" w14:textId="3C9EC3FF" w:rsidR="00F54770" w:rsidRPr="006964C9" w:rsidRDefault="00F54770" w:rsidP="00EB7E06">
      <w:pPr>
        <w:spacing w:line="480" w:lineRule="auto"/>
        <w:rPr>
          <w:rFonts w:ascii="Century" w:eastAsiaTheme="majorEastAsia" w:hAnsi="Century"/>
          <w:sz w:val="24"/>
          <w:szCs w:val="24"/>
        </w:rPr>
      </w:pPr>
      <w:r w:rsidRPr="006964C9">
        <w:rPr>
          <w:rFonts w:ascii="Century" w:eastAsiaTheme="majorEastAsia" w:hAnsi="Century"/>
          <w:sz w:val="24"/>
          <w:szCs w:val="24"/>
        </w:rPr>
        <w:t xml:space="preserve"> </w:t>
      </w:r>
      <w:r w:rsidR="00267607" w:rsidRPr="006964C9">
        <w:rPr>
          <w:rFonts w:eastAsia="Lato-Regular" w:cs="Lato-Regular"/>
          <w:sz w:val="24"/>
          <w:szCs w:val="24"/>
        </w:rPr>
        <w:t>A n</w:t>
      </w:r>
      <w:r w:rsidRPr="006964C9">
        <w:rPr>
          <w:rFonts w:eastAsia="Lato-Regular" w:cs="Lato-Regular"/>
          <w:sz w:val="24"/>
          <w:szCs w:val="24"/>
        </w:rPr>
        <w:t>onhypervascular hypointense nodule</w:t>
      </w:r>
      <w:r w:rsidRPr="006964C9">
        <w:rPr>
          <w:rFonts w:ascii="Century" w:eastAsiaTheme="majorEastAsia" w:hAnsi="Century"/>
          <w:sz w:val="24"/>
          <w:szCs w:val="24"/>
        </w:rPr>
        <w:t xml:space="preserve"> (NHHN) appeared </w:t>
      </w:r>
      <w:r w:rsidR="00267607" w:rsidRPr="006964C9">
        <w:rPr>
          <w:rFonts w:ascii="Century" w:eastAsiaTheme="majorEastAsia" w:hAnsi="Century"/>
          <w:sz w:val="24"/>
          <w:szCs w:val="24"/>
        </w:rPr>
        <w:t xml:space="preserve">during the </w:t>
      </w:r>
      <w:r w:rsidR="008726EC" w:rsidRPr="006964C9">
        <w:rPr>
          <w:rFonts w:ascii="Century" w:eastAsiaTheme="majorEastAsia" w:hAnsi="Century"/>
          <w:sz w:val="24"/>
          <w:szCs w:val="24"/>
        </w:rPr>
        <w:t xml:space="preserve">hepatobiliary phase </w:t>
      </w:r>
      <w:r w:rsidR="00267607" w:rsidRPr="006964C9">
        <w:rPr>
          <w:rFonts w:ascii="Century" w:eastAsiaTheme="majorEastAsia" w:hAnsi="Century"/>
          <w:sz w:val="24"/>
          <w:szCs w:val="24"/>
        </w:rPr>
        <w:t xml:space="preserve">in </w:t>
      </w:r>
      <w:r w:rsidRPr="006964C9">
        <w:rPr>
          <w:rFonts w:ascii="Century" w:eastAsiaTheme="majorEastAsia" w:hAnsi="Century"/>
          <w:sz w:val="24"/>
          <w:szCs w:val="24"/>
        </w:rPr>
        <w:t>Sep</w:t>
      </w:r>
      <w:r w:rsidR="00267607" w:rsidRPr="006964C9">
        <w:rPr>
          <w:rFonts w:ascii="Century" w:eastAsiaTheme="majorEastAsia" w:hAnsi="Century"/>
          <w:sz w:val="24"/>
          <w:szCs w:val="24"/>
        </w:rPr>
        <w:t>tember</w:t>
      </w:r>
      <w:r w:rsidRPr="006964C9">
        <w:rPr>
          <w:rFonts w:ascii="Century" w:eastAsiaTheme="majorEastAsia" w:hAnsi="Century"/>
          <w:sz w:val="24"/>
          <w:szCs w:val="24"/>
        </w:rPr>
        <w:t xml:space="preserve"> 2015 (arrowhead). The hypervascular foci in the NHHN appeared </w:t>
      </w:r>
      <w:r w:rsidR="00583AF0" w:rsidRPr="006964C9">
        <w:rPr>
          <w:rFonts w:ascii="Century" w:eastAsiaTheme="majorEastAsia" w:hAnsi="Century"/>
          <w:sz w:val="24"/>
          <w:szCs w:val="24"/>
        </w:rPr>
        <w:t xml:space="preserve">during the </w:t>
      </w:r>
      <w:r w:rsidR="008726EC" w:rsidRPr="006964C9">
        <w:rPr>
          <w:rFonts w:ascii="Century" w:eastAsiaTheme="majorEastAsia" w:hAnsi="Century"/>
          <w:sz w:val="24"/>
          <w:szCs w:val="24"/>
        </w:rPr>
        <w:t xml:space="preserve">arterial phase </w:t>
      </w:r>
      <w:r w:rsidR="00583AF0" w:rsidRPr="006964C9">
        <w:rPr>
          <w:rFonts w:ascii="Century" w:eastAsiaTheme="majorEastAsia" w:hAnsi="Century"/>
          <w:sz w:val="24"/>
          <w:szCs w:val="24"/>
        </w:rPr>
        <w:t xml:space="preserve">in </w:t>
      </w:r>
      <w:r w:rsidRPr="006964C9">
        <w:rPr>
          <w:rFonts w:ascii="Century" w:eastAsiaTheme="majorEastAsia" w:hAnsi="Century"/>
          <w:sz w:val="24"/>
          <w:szCs w:val="24"/>
        </w:rPr>
        <w:t>Oct</w:t>
      </w:r>
      <w:r w:rsidR="00583AF0" w:rsidRPr="006964C9">
        <w:rPr>
          <w:rFonts w:ascii="Century" w:eastAsiaTheme="majorEastAsia" w:hAnsi="Century"/>
          <w:sz w:val="24"/>
          <w:szCs w:val="24"/>
        </w:rPr>
        <w:t xml:space="preserve">ober </w:t>
      </w:r>
      <w:r w:rsidRPr="006964C9">
        <w:rPr>
          <w:rFonts w:ascii="Century" w:eastAsiaTheme="majorEastAsia" w:hAnsi="Century"/>
          <w:sz w:val="24"/>
          <w:szCs w:val="24"/>
        </w:rPr>
        <w:t>2015 (arrow).</w:t>
      </w:r>
      <w:r w:rsidR="008726EC" w:rsidRPr="006964C9">
        <w:rPr>
          <w:rFonts w:ascii="Century" w:eastAsiaTheme="majorEastAsia" w:hAnsi="Century"/>
          <w:sz w:val="24"/>
          <w:szCs w:val="24"/>
        </w:rPr>
        <w:t xml:space="preserve"> </w:t>
      </w:r>
      <w:r w:rsidR="00C34153" w:rsidRPr="006964C9">
        <w:rPr>
          <w:rFonts w:ascii="Century" w:eastAsia="Lato-Regular" w:hAnsi="Century" w:cs="Lato-Regular"/>
          <w:sz w:val="24"/>
          <w:szCs w:val="24"/>
        </w:rPr>
        <w:t>Gd-EOB-MRI: gadolinium</w:t>
      </w:r>
      <w:r w:rsidR="00C34153" w:rsidRPr="006964C9">
        <w:rPr>
          <w:rFonts w:ascii="Century" w:eastAsia="MS Mincho" w:hAnsi="Century" w:cs="MS Mincho"/>
          <w:sz w:val="24"/>
          <w:szCs w:val="24"/>
        </w:rPr>
        <w:t>-</w:t>
      </w:r>
      <w:r w:rsidR="00C34153" w:rsidRPr="006964C9">
        <w:rPr>
          <w:rFonts w:ascii="Century" w:eastAsia="Lato-Regular" w:hAnsi="Century" w:cs="Lato-Regular"/>
          <w:sz w:val="24"/>
          <w:szCs w:val="24"/>
        </w:rPr>
        <w:t>ethoxybenzyl</w:t>
      </w:r>
      <w:r w:rsidR="00C34153" w:rsidRPr="006964C9">
        <w:rPr>
          <w:rFonts w:ascii="Century" w:eastAsia="MS Mincho" w:hAnsi="Century" w:cs="MS Mincho"/>
          <w:sz w:val="24"/>
          <w:szCs w:val="24"/>
        </w:rPr>
        <w:t>-</w:t>
      </w:r>
      <w:r w:rsidR="00C34153" w:rsidRPr="006964C9">
        <w:rPr>
          <w:rFonts w:ascii="Century" w:eastAsia="Lato-Regular" w:hAnsi="Century" w:cs="Lato-Regular"/>
          <w:sz w:val="24"/>
          <w:szCs w:val="24"/>
        </w:rPr>
        <w:t xml:space="preserve">diethylenetriamine pentaacetic acid–enhanced magnetic resonance imaging, </w:t>
      </w:r>
      <w:r w:rsidRPr="006964C9">
        <w:rPr>
          <w:rFonts w:ascii="Century" w:eastAsiaTheme="majorEastAsia" w:hAnsi="Century"/>
          <w:sz w:val="24"/>
          <w:szCs w:val="24"/>
        </w:rPr>
        <w:t xml:space="preserve">DAA: </w:t>
      </w:r>
      <w:r w:rsidRPr="006964C9">
        <w:rPr>
          <w:rFonts w:eastAsiaTheme="majorEastAsia"/>
          <w:sz w:val="24"/>
          <w:szCs w:val="24"/>
        </w:rPr>
        <w:t>direct-acting antiviral.</w:t>
      </w:r>
    </w:p>
    <w:p w14:paraId="10482441" w14:textId="6C42E71D" w:rsidR="00F54770" w:rsidRPr="006964C9" w:rsidRDefault="00F54770" w:rsidP="00EB7E06">
      <w:pPr>
        <w:spacing w:line="480" w:lineRule="auto"/>
        <w:rPr>
          <w:rFonts w:ascii="Century" w:eastAsiaTheme="majorEastAsia" w:hAnsi="Century"/>
          <w:sz w:val="24"/>
          <w:szCs w:val="24"/>
        </w:rPr>
      </w:pPr>
      <w:r w:rsidRPr="006964C9">
        <w:rPr>
          <w:rFonts w:ascii="Century" w:eastAsiaTheme="majorEastAsia" w:hAnsi="Century"/>
          <w:sz w:val="24"/>
          <w:szCs w:val="24"/>
        </w:rPr>
        <w:t>Figure 3, De novo hepatocarcinogenesis</w:t>
      </w:r>
      <w:r w:rsidRPr="006964C9">
        <w:rPr>
          <w:rFonts w:ascii="Century" w:eastAsiaTheme="majorEastAsia" w:hAnsi="Century" w:hint="eastAsia"/>
          <w:sz w:val="24"/>
          <w:szCs w:val="24"/>
        </w:rPr>
        <w:t xml:space="preserve"> </w:t>
      </w:r>
      <w:r w:rsidR="00C34153">
        <w:rPr>
          <w:rFonts w:ascii="Century" w:eastAsiaTheme="majorEastAsia" w:hAnsi="Century"/>
          <w:sz w:val="24"/>
          <w:szCs w:val="24"/>
        </w:rPr>
        <w:t>observed by Gd-EOB-MRI</w:t>
      </w:r>
      <w:r w:rsidR="00C34153" w:rsidRPr="006964C9">
        <w:rPr>
          <w:rFonts w:ascii="Century" w:eastAsiaTheme="majorEastAsia" w:hAnsi="Century"/>
          <w:sz w:val="24"/>
          <w:szCs w:val="24"/>
        </w:rPr>
        <w:t xml:space="preserve"> </w:t>
      </w:r>
      <w:r w:rsidRPr="006964C9">
        <w:rPr>
          <w:rFonts w:ascii="Century" w:eastAsiaTheme="majorEastAsia" w:hAnsi="Century"/>
          <w:sz w:val="24"/>
          <w:szCs w:val="24"/>
        </w:rPr>
        <w:t>(</w:t>
      </w:r>
      <w:r w:rsidR="008726EC" w:rsidRPr="006964C9">
        <w:rPr>
          <w:rFonts w:ascii="Century" w:eastAsiaTheme="majorEastAsia" w:hAnsi="Century"/>
          <w:sz w:val="24"/>
          <w:szCs w:val="24"/>
        </w:rPr>
        <w:t>70</w:t>
      </w:r>
      <w:r w:rsidRPr="006964C9">
        <w:rPr>
          <w:rFonts w:ascii="Century" w:eastAsiaTheme="majorEastAsia" w:hAnsi="Century"/>
          <w:sz w:val="24"/>
          <w:szCs w:val="24"/>
        </w:rPr>
        <w:t xml:space="preserve">s, </w:t>
      </w:r>
      <w:r w:rsidR="008726EC" w:rsidRPr="006964C9">
        <w:rPr>
          <w:rFonts w:ascii="Century" w:eastAsiaTheme="majorEastAsia" w:hAnsi="Century"/>
          <w:sz w:val="24"/>
          <w:szCs w:val="24"/>
        </w:rPr>
        <w:t>fe</w:t>
      </w:r>
      <w:r w:rsidRPr="006964C9">
        <w:rPr>
          <w:rFonts w:ascii="Century" w:eastAsiaTheme="majorEastAsia" w:hAnsi="Century"/>
          <w:sz w:val="24"/>
          <w:szCs w:val="24"/>
        </w:rPr>
        <w:t>male</w:t>
      </w:r>
      <w:r w:rsidRPr="006964C9">
        <w:rPr>
          <w:rFonts w:ascii="Century" w:eastAsiaTheme="majorEastAsia" w:hAnsi="Century" w:hint="eastAsia"/>
          <w:sz w:val="24"/>
          <w:szCs w:val="24"/>
        </w:rPr>
        <w:t>)</w:t>
      </w:r>
      <w:r w:rsidR="008726EC" w:rsidRPr="006964C9">
        <w:rPr>
          <w:rFonts w:ascii="Century" w:eastAsiaTheme="majorEastAsia" w:hAnsi="Century"/>
          <w:sz w:val="24"/>
          <w:szCs w:val="24"/>
        </w:rPr>
        <w:t>.</w:t>
      </w:r>
    </w:p>
    <w:p w14:paraId="3AA38756" w14:textId="57BCC111" w:rsidR="008726EC" w:rsidRDefault="008726EC" w:rsidP="00EB7E06">
      <w:pPr>
        <w:spacing w:line="480" w:lineRule="auto"/>
        <w:rPr>
          <w:rFonts w:eastAsiaTheme="majorEastAsia"/>
          <w:sz w:val="24"/>
          <w:szCs w:val="24"/>
        </w:rPr>
      </w:pPr>
      <w:r w:rsidRPr="006964C9">
        <w:rPr>
          <w:rFonts w:ascii="Century" w:eastAsiaTheme="majorEastAsia" w:hAnsi="Century"/>
          <w:sz w:val="24"/>
          <w:szCs w:val="24"/>
        </w:rPr>
        <w:t xml:space="preserve"> </w:t>
      </w:r>
      <w:r w:rsidR="00583AF0" w:rsidRPr="006964C9">
        <w:rPr>
          <w:rFonts w:ascii="Century" w:eastAsiaTheme="majorEastAsia" w:hAnsi="Century"/>
          <w:sz w:val="24"/>
          <w:szCs w:val="24"/>
        </w:rPr>
        <w:t>A hypervascular</w:t>
      </w:r>
      <w:r w:rsidRPr="006964C9">
        <w:rPr>
          <w:rFonts w:ascii="Century" w:eastAsiaTheme="majorEastAsia" w:hAnsi="Century"/>
          <w:sz w:val="24"/>
          <w:szCs w:val="24"/>
        </w:rPr>
        <w:t xml:space="preserve"> nodule appeared </w:t>
      </w:r>
      <w:r w:rsidR="00583AF0" w:rsidRPr="006964C9">
        <w:rPr>
          <w:rFonts w:ascii="Century" w:eastAsiaTheme="majorEastAsia" w:hAnsi="Century"/>
          <w:sz w:val="24"/>
          <w:szCs w:val="24"/>
        </w:rPr>
        <w:t xml:space="preserve">during the </w:t>
      </w:r>
      <w:r w:rsidRPr="006964C9">
        <w:rPr>
          <w:rFonts w:ascii="Century" w:eastAsiaTheme="majorEastAsia" w:hAnsi="Century"/>
          <w:sz w:val="24"/>
          <w:szCs w:val="24"/>
        </w:rPr>
        <w:t xml:space="preserve">arterial phase </w:t>
      </w:r>
      <w:r w:rsidR="00C34153">
        <w:rPr>
          <w:rFonts w:ascii="Century" w:eastAsiaTheme="majorEastAsia" w:hAnsi="Century"/>
          <w:sz w:val="24"/>
          <w:szCs w:val="24"/>
        </w:rPr>
        <w:t xml:space="preserve">without preexisting </w:t>
      </w:r>
      <w:r w:rsidR="00C34153" w:rsidRPr="006964C9">
        <w:rPr>
          <w:rFonts w:eastAsia="Lato-Regular" w:cs="Lato-Regular"/>
          <w:sz w:val="24"/>
          <w:szCs w:val="24"/>
        </w:rPr>
        <w:t>No nonhypervascular hypointense nodule</w:t>
      </w:r>
      <w:r w:rsidR="00C34153" w:rsidRPr="006964C9">
        <w:rPr>
          <w:rFonts w:ascii="Century" w:eastAsiaTheme="majorEastAsia" w:hAnsi="Century"/>
          <w:sz w:val="24"/>
          <w:szCs w:val="24"/>
        </w:rPr>
        <w:t xml:space="preserve"> (NHHN)</w:t>
      </w:r>
      <w:r w:rsidR="00C34153">
        <w:rPr>
          <w:rFonts w:ascii="Century" w:eastAsiaTheme="majorEastAsia" w:hAnsi="Century"/>
          <w:sz w:val="24"/>
          <w:szCs w:val="24"/>
        </w:rPr>
        <w:t xml:space="preserve"> </w:t>
      </w:r>
      <w:r w:rsidR="00583AF0" w:rsidRPr="006964C9">
        <w:rPr>
          <w:rFonts w:ascii="Century" w:eastAsiaTheme="majorEastAsia" w:hAnsi="Century"/>
          <w:sz w:val="24"/>
          <w:szCs w:val="24"/>
        </w:rPr>
        <w:t>in</w:t>
      </w:r>
      <w:r w:rsidRPr="006964C9">
        <w:rPr>
          <w:rFonts w:ascii="Century" w:eastAsiaTheme="majorEastAsia" w:hAnsi="Century"/>
          <w:sz w:val="24"/>
          <w:szCs w:val="24"/>
        </w:rPr>
        <w:t xml:space="preserve"> </w:t>
      </w:r>
      <w:r w:rsidR="00583AF0" w:rsidRPr="006964C9">
        <w:rPr>
          <w:rFonts w:ascii="Century" w:eastAsiaTheme="majorEastAsia" w:hAnsi="Century"/>
          <w:sz w:val="24"/>
          <w:szCs w:val="24"/>
        </w:rPr>
        <w:t xml:space="preserve">September </w:t>
      </w:r>
      <w:r w:rsidRPr="006964C9">
        <w:rPr>
          <w:rFonts w:ascii="Century" w:eastAsiaTheme="majorEastAsia" w:hAnsi="Century"/>
          <w:sz w:val="24"/>
          <w:szCs w:val="24"/>
        </w:rPr>
        <w:t xml:space="preserve">2015 (arrow). </w:t>
      </w:r>
      <w:r w:rsidR="00C34153" w:rsidRPr="006964C9">
        <w:rPr>
          <w:rFonts w:ascii="Century" w:eastAsia="Lato-Regular" w:hAnsi="Century" w:cs="Lato-Regular"/>
          <w:sz w:val="24"/>
          <w:szCs w:val="24"/>
        </w:rPr>
        <w:t>Gd-EOB-MRI: gadolin</w:t>
      </w:r>
      <w:r w:rsidR="00C34153" w:rsidRPr="006964C9">
        <w:rPr>
          <w:rFonts w:ascii="Century" w:eastAsia="Lato-Regular" w:hAnsi="Century" w:cs="Lato-Regular"/>
          <w:sz w:val="24"/>
          <w:szCs w:val="24"/>
        </w:rPr>
        <w:lastRenderedPageBreak/>
        <w:t>ium</w:t>
      </w:r>
      <w:r w:rsidR="00C34153" w:rsidRPr="006964C9">
        <w:rPr>
          <w:rFonts w:ascii="Century" w:eastAsia="MS Mincho" w:hAnsi="Century" w:cs="MS Mincho"/>
          <w:sz w:val="24"/>
          <w:szCs w:val="24"/>
        </w:rPr>
        <w:t>-</w:t>
      </w:r>
      <w:r w:rsidR="00C34153" w:rsidRPr="006964C9">
        <w:rPr>
          <w:rFonts w:ascii="Century" w:eastAsia="Lato-Regular" w:hAnsi="Century" w:cs="Lato-Regular"/>
          <w:sz w:val="24"/>
          <w:szCs w:val="24"/>
        </w:rPr>
        <w:t>ethoxybenzyl</w:t>
      </w:r>
      <w:r w:rsidR="00C34153" w:rsidRPr="006964C9">
        <w:rPr>
          <w:rFonts w:ascii="Century" w:eastAsia="MS Mincho" w:hAnsi="Century" w:cs="MS Mincho"/>
          <w:sz w:val="24"/>
          <w:szCs w:val="24"/>
        </w:rPr>
        <w:t>-</w:t>
      </w:r>
      <w:r w:rsidR="00C34153" w:rsidRPr="006964C9">
        <w:rPr>
          <w:rFonts w:ascii="Century" w:eastAsia="Lato-Regular" w:hAnsi="Century" w:cs="Lato-Regular"/>
          <w:sz w:val="24"/>
          <w:szCs w:val="24"/>
        </w:rPr>
        <w:t xml:space="preserve">diethylenetriamine pentaacetic acid–enhanced magnetic resonance imaging, </w:t>
      </w:r>
      <w:r w:rsidRPr="006964C9">
        <w:rPr>
          <w:rFonts w:ascii="Century" w:eastAsiaTheme="majorEastAsia" w:hAnsi="Century"/>
          <w:sz w:val="24"/>
          <w:szCs w:val="24"/>
        </w:rPr>
        <w:t xml:space="preserve">DAA: </w:t>
      </w:r>
      <w:r w:rsidRPr="006964C9">
        <w:rPr>
          <w:rFonts w:eastAsiaTheme="majorEastAsia"/>
          <w:sz w:val="24"/>
          <w:szCs w:val="24"/>
        </w:rPr>
        <w:t>direct-acting antiviral.</w:t>
      </w:r>
    </w:p>
    <w:p w14:paraId="7800C506" w14:textId="77777777" w:rsidR="009309AC" w:rsidRPr="00433FB1" w:rsidRDefault="009309AC" w:rsidP="009309AC">
      <w:pPr>
        <w:spacing w:line="480" w:lineRule="auto"/>
        <w:rPr>
          <w:rFonts w:ascii="Century" w:hAnsi="Century"/>
          <w:sz w:val="24"/>
          <w:szCs w:val="24"/>
        </w:rPr>
      </w:pPr>
      <w:r w:rsidRPr="00433FB1">
        <w:rPr>
          <w:rFonts w:ascii="Century" w:hAnsi="Century"/>
          <w:sz w:val="24"/>
          <w:szCs w:val="24"/>
        </w:rPr>
        <w:t>Figure 5</w:t>
      </w:r>
      <w:r>
        <w:rPr>
          <w:rFonts w:ascii="Century" w:hAnsi="Century"/>
          <w:sz w:val="24"/>
          <w:szCs w:val="24"/>
        </w:rPr>
        <w:t xml:space="preserve">, </w:t>
      </w:r>
      <w:r w:rsidRPr="00433FB1">
        <w:rPr>
          <w:rFonts w:ascii="Century" w:hAnsi="Century"/>
          <w:sz w:val="24"/>
          <w:szCs w:val="24"/>
        </w:rPr>
        <w:t>The frequenc</w:t>
      </w:r>
      <w:r>
        <w:rPr>
          <w:rFonts w:ascii="Century" w:hAnsi="Century"/>
          <w:sz w:val="24"/>
          <w:szCs w:val="24"/>
        </w:rPr>
        <w:t>ies</w:t>
      </w:r>
      <w:r w:rsidRPr="00433FB1">
        <w:rPr>
          <w:rFonts w:ascii="Century" w:hAnsi="Century"/>
          <w:sz w:val="24"/>
          <w:szCs w:val="24"/>
        </w:rPr>
        <w:t xml:space="preserve"> of </w:t>
      </w:r>
      <w:r w:rsidRPr="00433FB1">
        <w:rPr>
          <w:rFonts w:ascii="Century" w:eastAsia="AdvOT678fd422" w:hAnsi="Century" w:cs="AdvOT678fd422"/>
          <w:kern w:val="0"/>
          <w:sz w:val="24"/>
          <w:szCs w:val="24"/>
        </w:rPr>
        <w:t xml:space="preserve">multistep </w:t>
      </w:r>
      <w:r w:rsidRPr="00433FB1">
        <w:rPr>
          <w:rStyle w:val="tlid-translation"/>
          <w:rFonts w:ascii="Century" w:hAnsi="Century"/>
          <w:sz w:val="24"/>
          <w:szCs w:val="24"/>
          <w:lang w:val="en"/>
        </w:rPr>
        <w:t xml:space="preserve">and </w:t>
      </w:r>
      <w:r w:rsidRPr="00433FB1">
        <w:rPr>
          <w:rFonts w:ascii="Century" w:eastAsia="AdvOT678fd422" w:hAnsi="Century" w:cs="AdvOT678fd422"/>
          <w:kern w:val="0"/>
          <w:sz w:val="24"/>
          <w:szCs w:val="24"/>
        </w:rPr>
        <w:t>de novo hepatoca</w:t>
      </w:r>
      <w:r>
        <w:rPr>
          <w:rFonts w:ascii="Century" w:eastAsia="AdvOT678fd422" w:hAnsi="Century" w:cs="AdvOT678fd422"/>
          <w:kern w:val="0"/>
          <w:sz w:val="24"/>
          <w:szCs w:val="24"/>
        </w:rPr>
        <w:t>rc</w:t>
      </w:r>
      <w:r w:rsidRPr="00433FB1">
        <w:rPr>
          <w:rFonts w:ascii="Century" w:eastAsia="AdvOT678fd422" w:hAnsi="Century" w:cs="AdvOT678fd422"/>
          <w:kern w:val="0"/>
          <w:sz w:val="24"/>
          <w:szCs w:val="24"/>
        </w:rPr>
        <w:t>inogenesis</w:t>
      </w:r>
      <w:r>
        <w:rPr>
          <w:rFonts w:ascii="Century" w:eastAsia="AdvOT678fd422" w:hAnsi="Century" w:cs="AdvOT678fd422"/>
          <w:kern w:val="0"/>
          <w:sz w:val="24"/>
          <w:szCs w:val="24"/>
        </w:rPr>
        <w:t>.</w:t>
      </w:r>
    </w:p>
    <w:p w14:paraId="7F4793DF" w14:textId="539374BF" w:rsidR="009309AC" w:rsidRPr="009309AC" w:rsidRDefault="009309AC" w:rsidP="00EB7E06">
      <w:pPr>
        <w:spacing w:line="480" w:lineRule="auto"/>
        <w:rPr>
          <w:rFonts w:ascii="Century" w:hAnsi="Century"/>
          <w:sz w:val="24"/>
          <w:szCs w:val="24"/>
        </w:rPr>
      </w:pPr>
      <w:r w:rsidRPr="00433FB1">
        <w:rPr>
          <w:rFonts w:ascii="Century" w:hAnsi="Century"/>
          <w:sz w:val="24"/>
          <w:szCs w:val="24"/>
        </w:rPr>
        <w:t xml:space="preserve"> </w:t>
      </w:r>
      <w:r w:rsidRPr="00433FB1">
        <w:rPr>
          <w:rFonts w:ascii="Century" w:eastAsia="AdvOT678fd422" w:hAnsi="Century" w:cs="AdvOT678fd422"/>
          <w:kern w:val="0"/>
          <w:sz w:val="24"/>
          <w:szCs w:val="24"/>
        </w:rPr>
        <w:t>Multistep hepatoca</w:t>
      </w:r>
      <w:r>
        <w:rPr>
          <w:rFonts w:ascii="Century" w:eastAsia="AdvOT678fd422" w:hAnsi="Century" w:cs="AdvOT678fd422"/>
          <w:kern w:val="0"/>
          <w:sz w:val="24"/>
          <w:szCs w:val="24"/>
        </w:rPr>
        <w:t>rc</w:t>
      </w:r>
      <w:r w:rsidRPr="00433FB1">
        <w:rPr>
          <w:rFonts w:ascii="Century" w:eastAsia="AdvOT678fd422" w:hAnsi="Century" w:cs="AdvOT678fd422"/>
          <w:kern w:val="0"/>
          <w:sz w:val="24"/>
          <w:szCs w:val="24"/>
        </w:rPr>
        <w:t>inogenesis</w:t>
      </w:r>
      <w:r>
        <w:rPr>
          <w:rFonts w:ascii="Century" w:eastAsia="AdvOT678fd422" w:hAnsi="Century" w:cs="AdvOT678fd422"/>
          <w:kern w:val="0"/>
          <w:sz w:val="24"/>
          <w:szCs w:val="24"/>
        </w:rPr>
        <w:t xml:space="preserve"> occurred in</w:t>
      </w:r>
      <w:r w:rsidRPr="00433FB1">
        <w:rPr>
          <w:rFonts w:ascii="Century" w:eastAsia="AdvOT678fd422" w:hAnsi="Century" w:cs="AdvOT678fd422"/>
          <w:kern w:val="0"/>
          <w:sz w:val="24"/>
          <w:szCs w:val="24"/>
        </w:rPr>
        <w:t xml:space="preserve"> 58 patients (86.6%)</w:t>
      </w:r>
      <w:r>
        <w:rPr>
          <w:rFonts w:ascii="Century" w:eastAsia="AdvOT678fd422" w:hAnsi="Century" w:cs="AdvOT678fd422"/>
          <w:kern w:val="0"/>
          <w:sz w:val="24"/>
          <w:szCs w:val="24"/>
        </w:rPr>
        <w:t>,</w:t>
      </w:r>
      <w:r w:rsidRPr="00433FB1">
        <w:rPr>
          <w:rFonts w:ascii="Century" w:eastAsia="AdvOT678fd422" w:hAnsi="Century" w:cs="AdvOT678fd422"/>
          <w:kern w:val="0"/>
          <w:sz w:val="24"/>
          <w:szCs w:val="24"/>
        </w:rPr>
        <w:t xml:space="preserve"> </w:t>
      </w:r>
      <w:r>
        <w:rPr>
          <w:rFonts w:ascii="Century" w:eastAsia="AdvOT678fd422" w:hAnsi="Century" w:cs="AdvOT678fd422"/>
          <w:kern w:val="0"/>
          <w:sz w:val="24"/>
          <w:szCs w:val="24"/>
        </w:rPr>
        <w:t>while</w:t>
      </w:r>
      <w:r w:rsidRPr="00433FB1">
        <w:rPr>
          <w:rFonts w:ascii="Century" w:eastAsia="AdvOT678fd422" w:hAnsi="Century" w:cs="AdvOT678fd422"/>
          <w:kern w:val="0"/>
          <w:sz w:val="24"/>
          <w:szCs w:val="24"/>
        </w:rPr>
        <w:t xml:space="preserve"> de novo hepatoca</w:t>
      </w:r>
      <w:r>
        <w:rPr>
          <w:rFonts w:ascii="Century" w:eastAsia="AdvOT678fd422" w:hAnsi="Century" w:cs="AdvOT678fd422"/>
          <w:kern w:val="0"/>
          <w:sz w:val="24"/>
          <w:szCs w:val="24"/>
        </w:rPr>
        <w:t>rc</w:t>
      </w:r>
      <w:r w:rsidRPr="00433FB1">
        <w:rPr>
          <w:rFonts w:ascii="Century" w:eastAsia="AdvOT678fd422" w:hAnsi="Century" w:cs="AdvOT678fd422"/>
          <w:kern w:val="0"/>
          <w:sz w:val="24"/>
          <w:szCs w:val="24"/>
        </w:rPr>
        <w:t>inogenesis</w:t>
      </w:r>
      <w:r>
        <w:rPr>
          <w:rFonts w:ascii="Century" w:eastAsia="AdvOT678fd422" w:hAnsi="Century" w:cs="AdvOT678fd422"/>
          <w:kern w:val="0"/>
          <w:sz w:val="24"/>
          <w:szCs w:val="24"/>
        </w:rPr>
        <w:t xml:space="preserve"> occurred in</w:t>
      </w:r>
      <w:r w:rsidRPr="00433FB1">
        <w:rPr>
          <w:rFonts w:ascii="Century" w:eastAsia="AdvOT678fd422" w:hAnsi="Century" w:cs="AdvOT678fd422"/>
          <w:kern w:val="0"/>
          <w:sz w:val="24"/>
          <w:szCs w:val="24"/>
        </w:rPr>
        <w:t xml:space="preserve"> </w:t>
      </w:r>
      <w:r>
        <w:rPr>
          <w:rFonts w:ascii="Century" w:eastAsia="AdvOT678fd422" w:hAnsi="Century" w:cs="AdvOT678fd422"/>
          <w:kern w:val="0"/>
          <w:sz w:val="24"/>
          <w:szCs w:val="24"/>
        </w:rPr>
        <w:t>nine</w:t>
      </w:r>
      <w:r w:rsidRPr="00433FB1">
        <w:rPr>
          <w:rFonts w:ascii="Century" w:eastAsia="AdvOT678fd422" w:hAnsi="Century" w:cs="AdvOT678fd422"/>
          <w:kern w:val="0"/>
          <w:sz w:val="24"/>
          <w:szCs w:val="24"/>
        </w:rPr>
        <w:t xml:space="preserve"> patients (13.4%). Among the latter, </w:t>
      </w:r>
      <w:r>
        <w:rPr>
          <w:rFonts w:ascii="Century" w:eastAsia="AdvOT678fd422" w:hAnsi="Century" w:cs="AdvOT678fd422"/>
          <w:kern w:val="0"/>
          <w:sz w:val="24"/>
          <w:szCs w:val="24"/>
        </w:rPr>
        <w:t>seven</w:t>
      </w:r>
      <w:r w:rsidRPr="009A56F5">
        <w:rPr>
          <w:rFonts w:ascii="Century" w:eastAsia="AdvOT678fd422" w:hAnsi="Century" w:cs="AdvOT678fd422"/>
          <w:kern w:val="0"/>
          <w:sz w:val="24"/>
          <w:szCs w:val="24"/>
        </w:rPr>
        <w:t xml:space="preserve"> patients sho</w:t>
      </w:r>
      <w:r w:rsidRPr="00A632BA">
        <w:rPr>
          <w:rFonts w:ascii="Century" w:eastAsia="AdvOT678fd422" w:hAnsi="Century" w:cs="AdvOT678fd422"/>
          <w:kern w:val="0"/>
          <w:sz w:val="24"/>
          <w:szCs w:val="24"/>
        </w:rPr>
        <w:t xml:space="preserve">wed hypervascular nodules in the liver </w:t>
      </w:r>
      <w:r w:rsidRPr="00A632BA">
        <w:rPr>
          <w:rStyle w:val="tlid-translation"/>
          <w:rFonts w:ascii="Century" w:hAnsi="Century"/>
          <w:sz w:val="24"/>
          <w:szCs w:val="24"/>
          <w:lang w:val="en"/>
        </w:rPr>
        <w:t xml:space="preserve">without </w:t>
      </w:r>
      <w:r w:rsidRPr="009A56F5">
        <w:rPr>
          <w:rFonts w:ascii="Century" w:eastAsia="AdvOT678fd422" w:hAnsi="Century" w:cs="AdvOT678fd422"/>
          <w:kern w:val="0"/>
          <w:sz w:val="24"/>
          <w:szCs w:val="24"/>
        </w:rPr>
        <w:t xml:space="preserve">preexisting </w:t>
      </w:r>
      <w:r w:rsidRPr="009A56F5">
        <w:rPr>
          <w:rStyle w:val="tlid-translation"/>
          <w:rFonts w:ascii="Century" w:hAnsi="Century"/>
          <w:sz w:val="24"/>
          <w:szCs w:val="24"/>
          <w:lang w:val="en"/>
        </w:rPr>
        <w:t xml:space="preserve">NHHNs, and the remaining </w:t>
      </w:r>
      <w:r>
        <w:rPr>
          <w:rStyle w:val="tlid-translation"/>
          <w:rFonts w:ascii="Century" w:hAnsi="Century"/>
          <w:sz w:val="24"/>
          <w:szCs w:val="24"/>
          <w:lang w:val="en"/>
        </w:rPr>
        <w:t>two</w:t>
      </w:r>
      <w:r w:rsidRPr="009A56F5">
        <w:rPr>
          <w:rStyle w:val="tlid-translation"/>
          <w:rFonts w:ascii="Century" w:hAnsi="Century"/>
          <w:sz w:val="24"/>
          <w:szCs w:val="24"/>
          <w:lang w:val="en"/>
        </w:rPr>
        <w:t xml:space="preserve"> patients </w:t>
      </w:r>
      <w:r>
        <w:rPr>
          <w:rStyle w:val="tlid-translation"/>
          <w:rFonts w:ascii="Century" w:hAnsi="Century"/>
          <w:sz w:val="24"/>
          <w:szCs w:val="24"/>
          <w:lang w:val="en"/>
        </w:rPr>
        <w:t>demonstrated</w:t>
      </w:r>
      <w:r w:rsidRPr="009A56F5">
        <w:rPr>
          <w:rStyle w:val="tlid-translation"/>
          <w:rFonts w:ascii="Century" w:hAnsi="Century"/>
          <w:sz w:val="24"/>
          <w:szCs w:val="24"/>
          <w:lang w:val="en"/>
        </w:rPr>
        <w:t xml:space="preserve"> </w:t>
      </w:r>
      <w:r w:rsidRPr="009A56F5">
        <w:rPr>
          <w:rFonts w:ascii="Century" w:eastAsia="AdvOT678fd422" w:hAnsi="Century" w:cs="AdvOT678fd422"/>
          <w:kern w:val="0"/>
          <w:sz w:val="24"/>
          <w:szCs w:val="24"/>
        </w:rPr>
        <w:t>hypervascular</w:t>
      </w:r>
      <w:r w:rsidRPr="00433FB1">
        <w:rPr>
          <w:rFonts w:ascii="Century" w:eastAsia="AdvOT678fd422" w:hAnsi="Century" w:cs="AdvOT678fd422"/>
          <w:kern w:val="0"/>
          <w:sz w:val="24"/>
          <w:szCs w:val="24"/>
        </w:rPr>
        <w:t xml:space="preserve"> nodules at a different site from the NHHNs.</w:t>
      </w:r>
    </w:p>
    <w:p w14:paraId="2E8BD126" w14:textId="1D9A69B0" w:rsidR="008726EC" w:rsidRPr="006964C9" w:rsidRDefault="008726EC" w:rsidP="00EB7E06">
      <w:pPr>
        <w:spacing w:line="480" w:lineRule="auto"/>
        <w:rPr>
          <w:rFonts w:ascii="Century" w:eastAsiaTheme="majorEastAsia" w:hAnsi="Century"/>
          <w:sz w:val="24"/>
          <w:szCs w:val="24"/>
        </w:rPr>
      </w:pPr>
      <w:r w:rsidRPr="006964C9">
        <w:rPr>
          <w:rFonts w:eastAsiaTheme="majorEastAsia"/>
          <w:sz w:val="24"/>
          <w:szCs w:val="24"/>
        </w:rPr>
        <w:t xml:space="preserve">Figure 4, </w:t>
      </w:r>
      <w:r w:rsidR="00325358" w:rsidRPr="006964C9">
        <w:rPr>
          <w:rFonts w:eastAsiaTheme="majorEastAsia"/>
          <w:sz w:val="24"/>
          <w:szCs w:val="24"/>
        </w:rPr>
        <w:t>Cumulative i</w:t>
      </w:r>
      <w:r w:rsidR="00325358" w:rsidRPr="006964C9">
        <w:rPr>
          <w:rFonts w:eastAsiaTheme="majorEastAsia" w:hint="eastAsia"/>
          <w:sz w:val="24"/>
          <w:szCs w:val="24"/>
        </w:rPr>
        <w:t>ncidence</w:t>
      </w:r>
      <w:r w:rsidR="00325358" w:rsidRPr="006964C9">
        <w:rPr>
          <w:rFonts w:eastAsiaTheme="majorEastAsia"/>
          <w:sz w:val="24"/>
          <w:szCs w:val="24"/>
        </w:rPr>
        <w:t xml:space="preserve"> of </w:t>
      </w:r>
      <w:r w:rsidR="00325358" w:rsidRPr="006964C9">
        <w:rPr>
          <w:rFonts w:ascii="Century" w:eastAsiaTheme="majorEastAsia" w:hAnsi="Century"/>
          <w:sz w:val="24"/>
          <w:szCs w:val="24"/>
        </w:rPr>
        <w:t>multistep and de novo hepatocarcinogenesis.</w:t>
      </w:r>
    </w:p>
    <w:p w14:paraId="44E36FA7" w14:textId="2284FC3B" w:rsidR="00325358" w:rsidRPr="006964C9" w:rsidRDefault="00325358" w:rsidP="00EB7E06">
      <w:pPr>
        <w:spacing w:line="480" w:lineRule="auto"/>
        <w:rPr>
          <w:rStyle w:val="tlid-translation"/>
          <w:sz w:val="24"/>
          <w:szCs w:val="24"/>
          <w:lang w:val="en"/>
        </w:rPr>
      </w:pPr>
      <w:r w:rsidRPr="006964C9">
        <w:rPr>
          <w:rFonts w:ascii="Century" w:eastAsiaTheme="majorEastAsia" w:hAnsi="Century"/>
          <w:sz w:val="24"/>
          <w:szCs w:val="24"/>
        </w:rPr>
        <w:t xml:space="preserve"> </w:t>
      </w:r>
      <w:r w:rsidRPr="006964C9">
        <w:rPr>
          <w:rStyle w:val="tlid-translation"/>
          <w:sz w:val="24"/>
          <w:szCs w:val="24"/>
          <w:lang w:val="en"/>
        </w:rPr>
        <w:t xml:space="preserve">The incidence rates of </w:t>
      </w:r>
      <w:r w:rsidRPr="006964C9">
        <w:rPr>
          <w:rFonts w:eastAsia="AdvOT678fd422" w:cs="AdvOT678fd422"/>
          <w:color w:val="231F20"/>
          <w:kern w:val="0"/>
          <w:sz w:val="24"/>
          <w:szCs w:val="24"/>
        </w:rPr>
        <w:t xml:space="preserve">multistep </w:t>
      </w:r>
      <w:r w:rsidRPr="006964C9">
        <w:rPr>
          <w:rStyle w:val="tlid-translation"/>
          <w:sz w:val="24"/>
          <w:szCs w:val="24"/>
          <w:lang w:val="en"/>
        </w:rPr>
        <w:t xml:space="preserve">and </w:t>
      </w:r>
      <w:r w:rsidRPr="006964C9">
        <w:rPr>
          <w:rFonts w:eastAsia="AdvOT678fd422" w:cs="AdvOT678fd422"/>
          <w:color w:val="231F20"/>
          <w:kern w:val="0"/>
          <w:sz w:val="24"/>
          <w:szCs w:val="24"/>
        </w:rPr>
        <w:t xml:space="preserve">de novo </w:t>
      </w:r>
      <w:r w:rsidR="00583AF0" w:rsidRPr="006964C9">
        <w:rPr>
          <w:rFonts w:eastAsia="AdvOT678fd422" w:cs="AdvOT678fd422"/>
          <w:color w:val="231F20"/>
          <w:kern w:val="0"/>
          <w:sz w:val="24"/>
          <w:szCs w:val="24"/>
        </w:rPr>
        <w:t>hepatocarcinogenesis</w:t>
      </w:r>
      <w:r w:rsidRPr="006964C9">
        <w:rPr>
          <w:rStyle w:val="tlid-translation"/>
          <w:sz w:val="24"/>
          <w:szCs w:val="24"/>
          <w:lang w:val="en"/>
        </w:rPr>
        <w:t xml:space="preserve"> were 11.2% and 2.0%</w:t>
      </w:r>
      <w:r w:rsidR="00583AF0" w:rsidRPr="006964C9">
        <w:rPr>
          <w:rStyle w:val="tlid-translation"/>
          <w:sz w:val="24"/>
          <w:szCs w:val="24"/>
          <w:lang w:val="en"/>
        </w:rPr>
        <w:t xml:space="preserve"> at 3 years, respectively</w:t>
      </w:r>
      <w:r w:rsidRPr="006964C9">
        <w:rPr>
          <w:rStyle w:val="tlid-translation"/>
          <w:sz w:val="24"/>
          <w:szCs w:val="24"/>
          <w:lang w:val="en"/>
        </w:rPr>
        <w:t xml:space="preserve">, </w:t>
      </w:r>
      <w:r w:rsidR="00583AF0" w:rsidRPr="006964C9">
        <w:rPr>
          <w:rStyle w:val="tlid-translation"/>
          <w:sz w:val="24"/>
          <w:szCs w:val="24"/>
          <w:lang w:val="en"/>
        </w:rPr>
        <w:t xml:space="preserve">and </w:t>
      </w:r>
      <w:r w:rsidRPr="006964C9">
        <w:rPr>
          <w:rStyle w:val="tlid-translation"/>
          <w:sz w:val="24"/>
          <w:szCs w:val="24"/>
          <w:lang w:val="en"/>
        </w:rPr>
        <w:t>21.2% and 3.6%</w:t>
      </w:r>
      <w:r w:rsidR="00583AF0" w:rsidRPr="006964C9">
        <w:rPr>
          <w:rStyle w:val="tlid-translation"/>
          <w:sz w:val="24"/>
          <w:szCs w:val="24"/>
          <w:lang w:val="en"/>
        </w:rPr>
        <w:t xml:space="preserve"> at 5 years</w:t>
      </w:r>
      <w:r w:rsidRPr="006964C9">
        <w:rPr>
          <w:rStyle w:val="tlid-translation"/>
          <w:sz w:val="24"/>
          <w:szCs w:val="24"/>
          <w:lang w:val="en"/>
        </w:rPr>
        <w:t>, respectively.</w:t>
      </w:r>
    </w:p>
    <w:p w14:paraId="643F3321" w14:textId="3E258FEF" w:rsidR="00325358" w:rsidRPr="006964C9" w:rsidRDefault="00325358" w:rsidP="00EB7E06">
      <w:pPr>
        <w:spacing w:line="480" w:lineRule="auto"/>
        <w:rPr>
          <w:rFonts w:eastAsiaTheme="majorEastAsia"/>
          <w:sz w:val="24"/>
          <w:szCs w:val="24"/>
        </w:rPr>
      </w:pPr>
      <w:r w:rsidRPr="006964C9">
        <w:rPr>
          <w:rStyle w:val="tlid-translation"/>
          <w:rFonts w:hint="eastAsia"/>
          <w:sz w:val="24"/>
          <w:szCs w:val="24"/>
          <w:lang w:val="en"/>
        </w:rPr>
        <w:t>Figure</w:t>
      </w:r>
      <w:r w:rsidRPr="006964C9">
        <w:rPr>
          <w:rStyle w:val="tlid-translation"/>
          <w:sz w:val="24"/>
          <w:szCs w:val="24"/>
          <w:lang w:val="en"/>
        </w:rPr>
        <w:t xml:space="preserve"> 6, </w:t>
      </w:r>
      <w:r w:rsidRPr="006964C9">
        <w:rPr>
          <w:rFonts w:eastAsiaTheme="majorEastAsia"/>
          <w:sz w:val="24"/>
          <w:szCs w:val="24"/>
        </w:rPr>
        <w:t>Cumulative i</w:t>
      </w:r>
      <w:r w:rsidRPr="006964C9">
        <w:rPr>
          <w:rFonts w:eastAsiaTheme="majorEastAsia" w:hint="eastAsia"/>
          <w:sz w:val="24"/>
          <w:szCs w:val="24"/>
        </w:rPr>
        <w:t>ncidence</w:t>
      </w:r>
      <w:r w:rsidRPr="006964C9">
        <w:rPr>
          <w:rFonts w:eastAsiaTheme="majorEastAsia"/>
          <w:sz w:val="24"/>
          <w:szCs w:val="24"/>
        </w:rPr>
        <w:t xml:space="preserve"> </w:t>
      </w:r>
      <w:r w:rsidR="00E90647" w:rsidRPr="006964C9">
        <w:rPr>
          <w:rFonts w:eastAsiaTheme="majorEastAsia"/>
          <w:sz w:val="24"/>
          <w:szCs w:val="24"/>
        </w:rPr>
        <w:t xml:space="preserve">of multistep hepatocarcinogenesis </w:t>
      </w:r>
      <w:r w:rsidRPr="006964C9">
        <w:rPr>
          <w:rFonts w:eastAsiaTheme="majorEastAsia"/>
          <w:sz w:val="24"/>
          <w:szCs w:val="24"/>
        </w:rPr>
        <w:t>in patients with or without DAA therapy.</w:t>
      </w:r>
    </w:p>
    <w:p w14:paraId="6799748B" w14:textId="420F8CE1" w:rsidR="00325358" w:rsidRPr="006964C9" w:rsidRDefault="00325358" w:rsidP="00EB7E06">
      <w:pPr>
        <w:spacing w:line="480" w:lineRule="auto"/>
        <w:rPr>
          <w:rFonts w:eastAsiaTheme="majorEastAsia"/>
          <w:sz w:val="24"/>
          <w:szCs w:val="24"/>
        </w:rPr>
      </w:pPr>
      <w:r w:rsidRPr="006964C9">
        <w:rPr>
          <w:rFonts w:eastAsiaTheme="majorEastAsia"/>
          <w:sz w:val="24"/>
          <w:szCs w:val="24"/>
        </w:rPr>
        <w:t xml:space="preserve"> </w:t>
      </w:r>
      <w:r w:rsidRPr="006964C9">
        <w:rPr>
          <w:rFonts w:ascii="Century" w:hAnsi="Century"/>
          <w:color w:val="000000" w:themeColor="text1"/>
          <w:kern w:val="24"/>
          <w:sz w:val="24"/>
          <w:szCs w:val="24"/>
        </w:rPr>
        <w:t>The i</w:t>
      </w:r>
      <w:r w:rsidR="00E90647" w:rsidRPr="006964C9">
        <w:rPr>
          <w:rFonts w:ascii="Century" w:hAnsi="Century"/>
          <w:color w:val="000000" w:themeColor="text1"/>
          <w:kern w:val="24"/>
          <w:sz w:val="24"/>
          <w:szCs w:val="24"/>
        </w:rPr>
        <w:t>ncidence rates</w:t>
      </w:r>
      <w:r w:rsidRPr="006964C9">
        <w:rPr>
          <w:rFonts w:ascii="Century" w:hAnsi="Century" w:hint="eastAsia"/>
          <w:color w:val="000000" w:themeColor="text1"/>
          <w:kern w:val="24"/>
          <w:sz w:val="24"/>
          <w:szCs w:val="24"/>
        </w:rPr>
        <w:t xml:space="preserve"> wi</w:t>
      </w:r>
      <w:r w:rsidRPr="006964C9">
        <w:rPr>
          <w:rFonts w:ascii="Century" w:hAnsi="Century"/>
          <w:color w:val="000000" w:themeColor="text1"/>
          <w:kern w:val="24"/>
          <w:sz w:val="24"/>
          <w:szCs w:val="24"/>
        </w:rPr>
        <w:t>th and without DAA therapy were 6.9% and 14.9%</w:t>
      </w:r>
      <w:r w:rsidR="003E05CA" w:rsidRPr="006964C9">
        <w:rPr>
          <w:rFonts w:ascii="Century" w:hAnsi="Century"/>
          <w:color w:val="000000" w:themeColor="text1"/>
          <w:kern w:val="24"/>
          <w:sz w:val="24"/>
          <w:szCs w:val="24"/>
        </w:rPr>
        <w:t xml:space="preserve"> at 3 years, respectively</w:t>
      </w:r>
      <w:r w:rsidRPr="006964C9">
        <w:rPr>
          <w:rFonts w:ascii="Century" w:hAnsi="Century"/>
          <w:color w:val="000000" w:themeColor="text1"/>
          <w:kern w:val="24"/>
          <w:sz w:val="24"/>
          <w:szCs w:val="24"/>
        </w:rPr>
        <w:t>,</w:t>
      </w:r>
      <w:r w:rsidR="003E05CA" w:rsidRPr="006964C9">
        <w:rPr>
          <w:rFonts w:ascii="Century" w:hAnsi="Century"/>
          <w:color w:val="000000" w:themeColor="text1"/>
          <w:kern w:val="24"/>
          <w:sz w:val="24"/>
          <w:szCs w:val="24"/>
        </w:rPr>
        <w:t xml:space="preserve"> and</w:t>
      </w:r>
      <w:r w:rsidRPr="006964C9">
        <w:rPr>
          <w:rFonts w:ascii="Century" w:hAnsi="Century"/>
          <w:color w:val="000000" w:themeColor="text1"/>
          <w:kern w:val="24"/>
          <w:sz w:val="24"/>
          <w:szCs w:val="24"/>
        </w:rPr>
        <w:t xml:space="preserve"> 9.0% and 26.4%</w:t>
      </w:r>
      <w:r w:rsidR="003E05CA" w:rsidRPr="006964C9">
        <w:rPr>
          <w:rFonts w:ascii="Century" w:hAnsi="Century"/>
          <w:color w:val="000000" w:themeColor="text1"/>
          <w:kern w:val="24"/>
          <w:sz w:val="24"/>
          <w:szCs w:val="24"/>
        </w:rPr>
        <w:t xml:space="preserve"> at 5 years</w:t>
      </w:r>
      <w:r w:rsidRPr="006964C9">
        <w:rPr>
          <w:rFonts w:ascii="Century" w:hAnsi="Century"/>
          <w:color w:val="000000" w:themeColor="text1"/>
          <w:kern w:val="24"/>
          <w:sz w:val="24"/>
          <w:szCs w:val="24"/>
        </w:rPr>
        <w:t xml:space="preserve">, respectively. </w:t>
      </w:r>
      <w:r w:rsidRPr="006964C9">
        <w:rPr>
          <w:rFonts w:ascii="Century" w:eastAsiaTheme="majorEastAsia" w:hAnsi="Century"/>
          <w:sz w:val="24"/>
          <w:szCs w:val="24"/>
        </w:rPr>
        <w:t xml:space="preserve">DAA: </w:t>
      </w:r>
      <w:r w:rsidRPr="006964C9">
        <w:rPr>
          <w:rFonts w:eastAsiaTheme="majorEastAsia"/>
          <w:sz w:val="24"/>
          <w:szCs w:val="24"/>
        </w:rPr>
        <w:t>direct-acting antiviral.</w:t>
      </w:r>
    </w:p>
    <w:p w14:paraId="0518E67F" w14:textId="31B731D8" w:rsidR="00325358" w:rsidRPr="006964C9" w:rsidRDefault="00E90647" w:rsidP="00EB7E06">
      <w:pPr>
        <w:spacing w:line="480" w:lineRule="auto"/>
        <w:rPr>
          <w:rFonts w:eastAsiaTheme="majorEastAsia"/>
          <w:sz w:val="24"/>
          <w:szCs w:val="24"/>
        </w:rPr>
      </w:pPr>
      <w:r w:rsidRPr="006964C9">
        <w:rPr>
          <w:rStyle w:val="tlid-translation"/>
          <w:rFonts w:hint="eastAsia"/>
          <w:sz w:val="24"/>
          <w:szCs w:val="24"/>
          <w:lang w:val="en"/>
        </w:rPr>
        <w:t>Figure</w:t>
      </w:r>
      <w:r w:rsidRPr="006964C9">
        <w:rPr>
          <w:rStyle w:val="tlid-translation"/>
          <w:sz w:val="24"/>
          <w:szCs w:val="24"/>
          <w:lang w:val="en"/>
        </w:rPr>
        <w:t xml:space="preserve"> 7, </w:t>
      </w:r>
      <w:r w:rsidRPr="006964C9">
        <w:rPr>
          <w:rFonts w:eastAsiaTheme="majorEastAsia"/>
          <w:sz w:val="24"/>
          <w:szCs w:val="24"/>
        </w:rPr>
        <w:t>Cumulative i</w:t>
      </w:r>
      <w:r w:rsidRPr="006964C9">
        <w:rPr>
          <w:rFonts w:eastAsiaTheme="majorEastAsia" w:hint="eastAsia"/>
          <w:sz w:val="24"/>
          <w:szCs w:val="24"/>
        </w:rPr>
        <w:t>ncidence</w:t>
      </w:r>
      <w:r w:rsidRPr="006964C9">
        <w:rPr>
          <w:rFonts w:eastAsiaTheme="majorEastAsia"/>
          <w:sz w:val="24"/>
          <w:szCs w:val="24"/>
        </w:rPr>
        <w:t xml:space="preserve"> of de novo hepatocarcinogenesis according to AFP-L3</w:t>
      </w:r>
      <w:r w:rsidR="003E05CA" w:rsidRPr="006964C9">
        <w:rPr>
          <w:rFonts w:eastAsiaTheme="majorEastAsia"/>
          <w:sz w:val="24"/>
          <w:szCs w:val="24"/>
        </w:rPr>
        <w:t>%</w:t>
      </w:r>
      <w:r w:rsidRPr="006964C9">
        <w:rPr>
          <w:rFonts w:eastAsiaTheme="majorEastAsia"/>
          <w:sz w:val="24"/>
          <w:szCs w:val="24"/>
        </w:rPr>
        <w:t xml:space="preserve"> values. </w:t>
      </w:r>
    </w:p>
    <w:p w14:paraId="274F3C21" w14:textId="77AB3857" w:rsidR="00E90647" w:rsidRPr="00A6059D" w:rsidRDefault="00E90647" w:rsidP="00EB7E06">
      <w:pPr>
        <w:spacing w:line="480" w:lineRule="auto"/>
        <w:rPr>
          <w:rFonts w:ascii="Century" w:hAnsi="Century"/>
          <w:color w:val="000000" w:themeColor="text1"/>
          <w:kern w:val="24"/>
          <w:sz w:val="24"/>
          <w:szCs w:val="24"/>
        </w:rPr>
      </w:pPr>
      <w:r w:rsidRPr="006964C9">
        <w:rPr>
          <w:rFonts w:eastAsiaTheme="majorEastAsia"/>
          <w:sz w:val="24"/>
          <w:szCs w:val="24"/>
        </w:rPr>
        <w:lastRenderedPageBreak/>
        <w:t xml:space="preserve"> </w:t>
      </w:r>
      <w:r w:rsidRPr="006964C9">
        <w:rPr>
          <w:rFonts w:ascii="Century" w:hAnsi="Century"/>
          <w:color w:val="000000" w:themeColor="text1"/>
          <w:kern w:val="24"/>
          <w:sz w:val="24"/>
          <w:szCs w:val="24"/>
        </w:rPr>
        <w:t xml:space="preserve">The cumulative incidence rates </w:t>
      </w:r>
      <w:r w:rsidRPr="006964C9">
        <w:rPr>
          <w:rFonts w:ascii="Century" w:hAnsi="Century" w:hint="eastAsia"/>
          <w:color w:val="000000" w:themeColor="text1"/>
          <w:kern w:val="24"/>
          <w:sz w:val="24"/>
          <w:szCs w:val="24"/>
        </w:rPr>
        <w:t xml:space="preserve">of </w:t>
      </w:r>
      <w:r w:rsidRPr="006964C9">
        <w:rPr>
          <w:rFonts w:eastAsia="Lato-Regular" w:cs="Lato-Regular"/>
          <w:kern w:val="0"/>
          <w:sz w:val="24"/>
          <w:szCs w:val="24"/>
        </w:rPr>
        <w:t>AFP-L3</w:t>
      </w:r>
      <w:r w:rsidR="003E05CA" w:rsidRPr="006964C9">
        <w:rPr>
          <w:rFonts w:eastAsia="Lato-Regular" w:cs="Lato-Regular"/>
          <w:kern w:val="0"/>
          <w:sz w:val="24"/>
          <w:szCs w:val="24"/>
        </w:rPr>
        <w:t>%</w:t>
      </w:r>
      <w:r w:rsidRPr="006964C9">
        <w:rPr>
          <w:rFonts w:eastAsia="Lato-Regular" w:cs="Lato-Regular"/>
          <w:kern w:val="0"/>
          <w:sz w:val="24"/>
          <w:szCs w:val="24"/>
        </w:rPr>
        <w:t xml:space="preserve"> ≥ 5%</w:t>
      </w:r>
      <w:r w:rsidRPr="006964C9">
        <w:rPr>
          <w:rFonts w:ascii="Century" w:hAnsi="Century"/>
          <w:color w:val="000000" w:themeColor="text1"/>
          <w:kern w:val="24"/>
          <w:sz w:val="24"/>
          <w:szCs w:val="24"/>
        </w:rPr>
        <w:t xml:space="preserve"> and </w:t>
      </w:r>
      <w:r w:rsidRPr="006964C9">
        <w:rPr>
          <w:rFonts w:eastAsia="Lato-Regular" w:cs="Lato-Regular"/>
          <w:kern w:val="0"/>
          <w:sz w:val="24"/>
          <w:szCs w:val="24"/>
        </w:rPr>
        <w:t>&lt; 5%</w:t>
      </w:r>
      <w:r w:rsidRPr="006964C9">
        <w:rPr>
          <w:rFonts w:ascii="Century" w:hAnsi="Century"/>
          <w:color w:val="000000" w:themeColor="text1"/>
          <w:kern w:val="24"/>
          <w:sz w:val="24"/>
          <w:szCs w:val="24"/>
        </w:rPr>
        <w:t xml:space="preserve"> were 7.9% and 0.3%</w:t>
      </w:r>
      <w:r w:rsidR="003E05CA" w:rsidRPr="006964C9">
        <w:rPr>
          <w:rFonts w:ascii="Century" w:hAnsi="Century"/>
          <w:color w:val="000000" w:themeColor="text1"/>
          <w:kern w:val="24"/>
          <w:sz w:val="24"/>
          <w:szCs w:val="24"/>
        </w:rPr>
        <w:t xml:space="preserve"> at 3 years, respectively</w:t>
      </w:r>
      <w:r w:rsidRPr="006964C9">
        <w:rPr>
          <w:rFonts w:ascii="Century" w:hAnsi="Century"/>
          <w:color w:val="000000" w:themeColor="text1"/>
          <w:kern w:val="24"/>
          <w:sz w:val="24"/>
          <w:szCs w:val="24"/>
        </w:rPr>
        <w:t xml:space="preserve">, </w:t>
      </w:r>
      <w:r w:rsidR="003E05CA" w:rsidRPr="006964C9">
        <w:rPr>
          <w:rFonts w:ascii="Century" w:hAnsi="Century"/>
          <w:color w:val="000000" w:themeColor="text1"/>
          <w:kern w:val="24"/>
          <w:sz w:val="24"/>
          <w:szCs w:val="24"/>
        </w:rPr>
        <w:t xml:space="preserve">and </w:t>
      </w:r>
      <w:r w:rsidRPr="006964C9">
        <w:rPr>
          <w:rFonts w:ascii="Century" w:hAnsi="Century"/>
          <w:color w:val="000000" w:themeColor="text1"/>
          <w:kern w:val="24"/>
          <w:sz w:val="24"/>
          <w:szCs w:val="24"/>
        </w:rPr>
        <w:t>13.8% and 0.3%</w:t>
      </w:r>
      <w:r w:rsidR="003E05CA" w:rsidRPr="006964C9">
        <w:rPr>
          <w:rFonts w:ascii="Century" w:hAnsi="Century"/>
          <w:color w:val="000000" w:themeColor="text1"/>
          <w:kern w:val="24"/>
          <w:sz w:val="24"/>
          <w:szCs w:val="24"/>
        </w:rPr>
        <w:t xml:space="preserve"> at 5 years</w:t>
      </w:r>
      <w:r w:rsidRPr="006964C9">
        <w:rPr>
          <w:rFonts w:ascii="Century" w:hAnsi="Century"/>
          <w:color w:val="000000" w:themeColor="text1"/>
          <w:kern w:val="24"/>
          <w:sz w:val="24"/>
          <w:szCs w:val="24"/>
        </w:rPr>
        <w:t xml:space="preserve">, respectively. AFP-L3: </w:t>
      </w:r>
      <w:r w:rsidRPr="006964C9">
        <w:rPr>
          <w:rFonts w:ascii="Century" w:hAnsi="Century"/>
          <w:i/>
          <w:color w:val="000000" w:themeColor="text1"/>
          <w:kern w:val="24"/>
          <w:sz w:val="24"/>
          <w:szCs w:val="24"/>
        </w:rPr>
        <w:t>Lens culinaris</w:t>
      </w:r>
      <w:r w:rsidRPr="006964C9">
        <w:rPr>
          <w:rFonts w:ascii="Century" w:hAnsi="Century"/>
          <w:color w:val="000000" w:themeColor="text1"/>
          <w:kern w:val="24"/>
          <w:sz w:val="24"/>
          <w:szCs w:val="24"/>
        </w:rPr>
        <w:t xml:space="preserve"> agglutinin</w:t>
      </w:r>
      <w:r w:rsidR="008C4EAB" w:rsidRPr="006964C9">
        <w:rPr>
          <w:rFonts w:ascii="Century" w:hAnsi="Century"/>
          <w:color w:val="000000" w:themeColor="text1"/>
          <w:kern w:val="24"/>
          <w:sz w:val="24"/>
          <w:szCs w:val="24"/>
        </w:rPr>
        <w:t>–</w:t>
      </w:r>
      <w:r w:rsidRPr="006964C9">
        <w:rPr>
          <w:rFonts w:ascii="Century" w:hAnsi="Century"/>
          <w:color w:val="000000" w:themeColor="text1"/>
          <w:kern w:val="24"/>
          <w:sz w:val="24"/>
          <w:szCs w:val="24"/>
        </w:rPr>
        <w:t>reactive fraction of alpha-fetoprotein.</w:t>
      </w:r>
    </w:p>
    <w:p w14:paraId="25C274FD" w14:textId="77777777" w:rsidR="00E90647" w:rsidRDefault="00E90647" w:rsidP="00EB7E06">
      <w:pPr>
        <w:spacing w:line="480" w:lineRule="auto"/>
        <w:rPr>
          <w:rStyle w:val="tlid-translation"/>
          <w:sz w:val="24"/>
          <w:szCs w:val="24"/>
          <w:lang w:val="en"/>
        </w:rPr>
      </w:pPr>
    </w:p>
    <w:p w14:paraId="300ECDD3" w14:textId="77777777" w:rsidR="00325358" w:rsidRPr="00F54770" w:rsidRDefault="00325358" w:rsidP="00EB7E06">
      <w:pPr>
        <w:spacing w:line="480" w:lineRule="auto"/>
        <w:rPr>
          <w:rFonts w:ascii="Century" w:hAnsi="Century"/>
          <w:sz w:val="24"/>
          <w:szCs w:val="24"/>
        </w:rPr>
      </w:pPr>
    </w:p>
    <w:sectPr w:rsidR="00325358" w:rsidRPr="00F54770" w:rsidSect="00E236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12BE4" w14:textId="77777777" w:rsidR="007B3160" w:rsidRDefault="007B3160" w:rsidP="00187011">
      <w:r>
        <w:separator/>
      </w:r>
    </w:p>
  </w:endnote>
  <w:endnote w:type="continuationSeparator" w:id="0">
    <w:p w14:paraId="7E538265" w14:textId="77777777" w:rsidR="007B3160" w:rsidRDefault="007B3160" w:rsidP="00187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dvTTa9c1b374">
    <w:altName w:val="Arial"/>
    <w:panose1 w:val="00000000000000000000"/>
    <w:charset w:val="00"/>
    <w:family w:val="swiss"/>
    <w:notTrueType/>
    <w:pitch w:val="default"/>
    <w:sig w:usb0="00000003" w:usb1="00000000" w:usb2="00000000" w:usb3="00000000" w:csb0="00000001" w:csb1="00000000"/>
  </w:font>
  <w:font w:name="Lato-Regular">
    <w:altName w:val="MS Gothic"/>
    <w:panose1 w:val="00000000000000000000"/>
    <w:charset w:val="80"/>
    <w:family w:val="auto"/>
    <w:notTrueType/>
    <w:pitch w:val="default"/>
    <w:sig w:usb0="00000000" w:usb1="08070000" w:usb2="00000010" w:usb3="00000000" w:csb0="00020001" w:csb1="00000000"/>
  </w:font>
  <w:font w:name="AdvPTimes">
    <w:altName w:val="Times New Roman"/>
    <w:panose1 w:val="00000000000000000000"/>
    <w:charset w:val="00"/>
    <w:family w:val="roman"/>
    <w:notTrueType/>
    <w:pitch w:val="default"/>
    <w:sig w:usb0="00000003" w:usb1="00000000" w:usb2="00000000" w:usb3="00000000" w:csb0="00000001" w:csb1="00000000"/>
  </w:font>
  <w:font w:name="AdvTimes">
    <w:altName w:val="Yu Gothic"/>
    <w:panose1 w:val="00000000000000000000"/>
    <w:charset w:val="80"/>
    <w:family w:val="auto"/>
    <w:notTrueType/>
    <w:pitch w:val="default"/>
    <w:sig w:usb0="00000000" w:usb1="08070000" w:usb2="00000010" w:usb3="00000000" w:csb0="00020000" w:csb1="00000000"/>
  </w:font>
  <w:font w:name="AdvGulliv-R">
    <w:altName w:val="ＭＳ 明朝"/>
    <w:panose1 w:val="00000000000000000000"/>
    <w:charset w:val="00"/>
    <w:family w:val="roman"/>
    <w:notTrueType/>
    <w:pitch w:val="default"/>
    <w:sig w:usb0="00000003" w:usb1="08070000" w:usb2="00000010" w:usb3="00000000" w:csb0="00020001" w:csb1="00000000"/>
  </w:font>
  <w:font w:name="Stone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dvPSMP10">
    <w:altName w:val="Times New Roman"/>
    <w:panose1 w:val="00000000000000000000"/>
    <w:charset w:val="00"/>
    <w:family w:val="roman"/>
    <w:notTrueType/>
    <w:pitch w:val="default"/>
    <w:sig w:usb0="00000003" w:usb1="00000000" w:usb2="00000000" w:usb3="00000000" w:csb0="00000001" w:csb1="00000000"/>
  </w:font>
  <w:font w:name="ＭＳ明朝">
    <w:altName w:val="MS Gothic"/>
    <w:panose1 w:val="00000000000000000000"/>
    <w:charset w:val="80"/>
    <w:family w:val="auto"/>
    <w:notTrueType/>
    <w:pitch w:val="default"/>
    <w:sig w:usb0="00000000" w:usb1="08070000" w:usb2="00000010" w:usb3="00000000" w:csb0="00020000" w:csb1="00000000"/>
  </w:font>
  <w:font w:name="AdvOT678fd422">
    <w:altName w:val="MS Gothic"/>
    <w:panose1 w:val="00000000000000000000"/>
    <w:charset w:val="80"/>
    <w:family w:val="auto"/>
    <w:notTrueType/>
    <w:pitch w:val="default"/>
    <w:sig w:usb0="00000000" w:usb1="08070000" w:usb2="00000010" w:usb3="00000000" w:csb0="00020000" w:csb1="00000000"/>
  </w:font>
  <w:font w:name="Times_rm">
    <w:altName w:val="ＭＳ 明朝"/>
    <w:panose1 w:val="00000000000000000000"/>
    <w:charset w:val="00"/>
    <w:family w:val="roman"/>
    <w:notTrueType/>
    <w:pitch w:val="default"/>
    <w:sig w:usb0="00000000" w:usb1="08070000" w:usb2="00000010" w:usb3="00000000" w:csb0="00020001" w:csb1="00000000"/>
  </w:font>
  <w:font w:name="WnhcpkAdvPTimes">
    <w:altName w:val="Times New Roman"/>
    <w:panose1 w:val="00000000000000000000"/>
    <w:charset w:val="00"/>
    <w:family w:val="roman"/>
    <w:notTrueType/>
    <w:pitch w:val="default"/>
    <w:sig w:usb0="00000003" w:usb1="00000000" w:usb2="00000000" w:usb3="00000000" w:csb0="00000001" w:csb1="00000000"/>
  </w:font>
  <w:font w:name="JlsgqjAdvTir_symb">
    <w:altName w:val="Times New Roman"/>
    <w:panose1 w:val="00000000000000000000"/>
    <w:charset w:val="00"/>
    <w:family w:val="roman"/>
    <w:notTrueType/>
    <w:pitch w:val="default"/>
    <w:sig w:usb0="00000003" w:usb1="00000000" w:usb2="00000000" w:usb3="00000000" w:csb0="00000001" w:csb1="00000000"/>
  </w:font>
  <w:font w:name="AdvP4C4E74">
    <w:altName w:val="MS Gothic"/>
    <w:panose1 w:val="00000000000000000000"/>
    <w:charset w:val="80"/>
    <w:family w:val="auto"/>
    <w:notTrueType/>
    <w:pitch w:val="default"/>
    <w:sig w:usb0="00000000" w:usb1="08070000" w:usb2="00000010" w:usb3="00000000" w:csb0="00020000" w:csb1="00000000"/>
  </w:font>
  <w:font w:name="AdvP1491">
    <w:altName w:val="Times New Roman"/>
    <w:panose1 w:val="00000000000000000000"/>
    <w:charset w:val="00"/>
    <w:family w:val="roman"/>
    <w:notTrueType/>
    <w:pitch w:val="default"/>
    <w:sig w:usb0="00000003" w:usb1="00000000" w:usb2="00000000" w:usb3="00000000" w:csb0="00000001" w:csb1="00000000"/>
  </w:font>
  <w:font w:name="ATBasilia-Roman">
    <w:altName w:val="MS Gothic"/>
    <w:panose1 w:val="00000000000000000000"/>
    <w:charset w:val="80"/>
    <w:family w:val="roman"/>
    <w:notTrueType/>
    <w:pitch w:val="default"/>
    <w:sig w:usb0="00000000" w:usb1="08070000" w:usb2="00000010" w:usb3="00000000" w:csb0="00020000" w:csb1="00000000"/>
  </w:font>
  <w:font w:name="ATBasilia-Italic">
    <w:altName w:val="Times New Roman"/>
    <w:panose1 w:val="00000000000000000000"/>
    <w:charset w:val="00"/>
    <w:family w:val="roman"/>
    <w:notTrueType/>
    <w:pitch w:val="default"/>
    <w:sig w:usb0="00000003" w:usb1="00000000" w:usb2="00000000" w:usb3="00000000" w:csb0="00000001" w:csb1="00000000"/>
  </w:font>
  <w:font w:name="AdvOT635f2c37">
    <w:altName w:val="Times New Roman"/>
    <w:panose1 w:val="00000000000000000000"/>
    <w:charset w:val="00"/>
    <w:family w:val="roman"/>
    <w:notTrueType/>
    <w:pitch w:val="default"/>
    <w:sig w:usb0="00000003" w:usb1="00000000" w:usb2="00000000" w:usb3="00000000" w:csb0="00000001" w:csb1="00000000"/>
  </w:font>
  <w:font w:name="AdvOT3bd4862d.I">
    <w:altName w:val="MS Gothic"/>
    <w:panose1 w:val="00000000000000000000"/>
    <w:charset w:val="80"/>
    <w:family w:val="auto"/>
    <w:notTrueType/>
    <w:pitch w:val="default"/>
    <w:sig w:usb0="00000000" w:usb1="08070000" w:usb2="00000010" w:usb3="00000000" w:csb0="00020000" w:csb1="00000000"/>
  </w:font>
  <w:font w:name="AdvP4C4E51">
    <w:altName w:val="MS Gothic"/>
    <w:panose1 w:val="00000000000000000000"/>
    <w:charset w:val="80"/>
    <w:family w:val="auto"/>
    <w:notTrueType/>
    <w:pitch w:val="default"/>
    <w:sig w:usb0="00000000" w:usb1="08070000" w:usb2="00000010" w:usb3="00000000" w:csb0="00020000" w:csb1="00000000"/>
  </w:font>
  <w:font w:name="AdvPS40668">
    <w:altName w:val="MS Gothic"/>
    <w:panose1 w:val="00000000000000000000"/>
    <w:charset w:val="80"/>
    <w:family w:val="auto"/>
    <w:notTrueType/>
    <w:pitch w:val="default"/>
    <w:sig w:usb0="00000000" w:usb1="08070000" w:usb2="00000010" w:usb3="00000000" w:csb0="00020000" w:csb1="00000000"/>
  </w:font>
  <w:font w:name="Times-Roman">
    <w:altName w:val="MS Gothic"/>
    <w:panose1 w:val="00000000000000000000"/>
    <w:charset w:val="80"/>
    <w:family w:val="roman"/>
    <w:notTrueType/>
    <w:pitch w:val="default"/>
    <w:sig w:usb0="00000000" w:usb1="08070000" w:usb2="00000010" w:usb3="00000000" w:csb0="00020000" w:csb1="00000000"/>
  </w:font>
  <w:font w:name="AdvTT2acb703b">
    <w:altName w:val="Times New Roman"/>
    <w:panose1 w:val="00000000000000000000"/>
    <w:charset w:val="00"/>
    <w:family w:val="roman"/>
    <w:notTrueType/>
    <w:pitch w:val="default"/>
    <w:sig w:usb0="00000003" w:usb1="00000000" w:usb2="00000000" w:usb3="00000000" w:csb0="00000001" w:csb1="00000000"/>
  </w:font>
  <w:font w:name="AdvTT2acb703b+22">
    <w:altName w:val="Arial"/>
    <w:panose1 w:val="00000000000000000000"/>
    <w:charset w:val="00"/>
    <w:family w:val="swiss"/>
    <w:notTrueType/>
    <w:pitch w:val="default"/>
    <w:sig w:usb0="00000003" w:usb1="00000000" w:usb2="00000000" w:usb3="00000000" w:csb0="00000001" w:csb1="00000000"/>
  </w:font>
  <w:font w:name="AdvTT08640291">
    <w:altName w:val="Times New Roman"/>
    <w:panose1 w:val="00000000000000000000"/>
    <w:charset w:val="00"/>
    <w:family w:val="roman"/>
    <w:notTrueType/>
    <w:pitch w:val="default"/>
    <w:sig w:usb0="00000003" w:usb1="00000000" w:usb2="00000000" w:usb3="00000000" w:csb0="00000001" w:csb1="00000000"/>
  </w:font>
  <w:font w:name="AdvTT08640291+fb">
    <w:altName w:val="MS Gothic"/>
    <w:panose1 w:val="00000000000000000000"/>
    <w:charset w:val="80"/>
    <w:family w:val="auto"/>
    <w:notTrueType/>
    <w:pitch w:val="default"/>
    <w:sig w:usb0="00000000" w:usb1="08070000" w:usb2="00000010" w:usb3="00000000" w:csb0="00020000" w:csb1="00000000"/>
  </w:font>
  <w:font w:name="AdvGulliv-I">
    <w:altName w:val="Times New Roman"/>
    <w:panose1 w:val="00000000000000000000"/>
    <w:charset w:val="00"/>
    <w:family w:val="roman"/>
    <w:notTrueType/>
    <w:pitch w:val="default"/>
    <w:sig w:usb0="00000003" w:usb1="00000000" w:usb2="00000000" w:usb3="00000000" w:csb0="00000001" w:csb1="00000000"/>
  </w:font>
  <w:font w:name="Cambria-Itali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F41D1" w14:textId="77777777" w:rsidR="007B3160" w:rsidRDefault="007B3160" w:rsidP="00187011">
      <w:r>
        <w:separator/>
      </w:r>
    </w:p>
  </w:footnote>
  <w:footnote w:type="continuationSeparator" w:id="0">
    <w:p w14:paraId="666E1607" w14:textId="77777777" w:rsidR="007B3160" w:rsidRDefault="007B3160" w:rsidP="00187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62CC9"/>
    <w:multiLevelType w:val="hybridMultilevel"/>
    <w:tmpl w:val="AB3C9040"/>
    <w:lvl w:ilvl="0" w:tplc="1B60BA56">
      <w:start w:val="1"/>
      <w:numFmt w:val="decimal"/>
      <w:lvlText w:val="%1."/>
      <w:lvlJc w:val="left"/>
      <w:pPr>
        <w:tabs>
          <w:tab w:val="num" w:pos="420"/>
        </w:tabs>
        <w:ind w:left="420" w:hanging="420"/>
      </w:pPr>
      <w:rPr>
        <w:b w:val="0"/>
        <w:bCs w:val="0"/>
      </w:rPr>
    </w:lvl>
    <w:lvl w:ilvl="1" w:tplc="1B60BA56">
      <w:start w:val="1"/>
      <w:numFmt w:val="decimal"/>
      <w:lvlText w:val="%2."/>
      <w:lvlJc w:val="left"/>
      <w:pPr>
        <w:tabs>
          <w:tab w:val="num" w:pos="420"/>
        </w:tabs>
        <w:ind w:left="420" w:hanging="420"/>
      </w:pPr>
      <w:rPr>
        <w:b w:val="0"/>
        <w:bCs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D9F"/>
    <w:rsid w:val="00000DA3"/>
    <w:rsid w:val="00005AE9"/>
    <w:rsid w:val="00011368"/>
    <w:rsid w:val="00015242"/>
    <w:rsid w:val="000174F0"/>
    <w:rsid w:val="00022A01"/>
    <w:rsid w:val="0002373B"/>
    <w:rsid w:val="000253D9"/>
    <w:rsid w:val="00026139"/>
    <w:rsid w:val="0003087B"/>
    <w:rsid w:val="000469B9"/>
    <w:rsid w:val="0005198C"/>
    <w:rsid w:val="00052E89"/>
    <w:rsid w:val="00052EE8"/>
    <w:rsid w:val="0005388F"/>
    <w:rsid w:val="00054CB6"/>
    <w:rsid w:val="000577C6"/>
    <w:rsid w:val="00057E40"/>
    <w:rsid w:val="0006038C"/>
    <w:rsid w:val="00063698"/>
    <w:rsid w:val="00076FDF"/>
    <w:rsid w:val="000777E0"/>
    <w:rsid w:val="000828F1"/>
    <w:rsid w:val="00093DD3"/>
    <w:rsid w:val="000A25E5"/>
    <w:rsid w:val="000A5A4E"/>
    <w:rsid w:val="000A671A"/>
    <w:rsid w:val="000A6742"/>
    <w:rsid w:val="000B54FA"/>
    <w:rsid w:val="000B6EDD"/>
    <w:rsid w:val="000B7757"/>
    <w:rsid w:val="000C14A8"/>
    <w:rsid w:val="000E6F59"/>
    <w:rsid w:val="000F1B5C"/>
    <w:rsid w:val="0010657F"/>
    <w:rsid w:val="00106A13"/>
    <w:rsid w:val="0010793E"/>
    <w:rsid w:val="0012326A"/>
    <w:rsid w:val="00125604"/>
    <w:rsid w:val="00127AF1"/>
    <w:rsid w:val="00130CC5"/>
    <w:rsid w:val="00133162"/>
    <w:rsid w:val="00133FBE"/>
    <w:rsid w:val="00135600"/>
    <w:rsid w:val="00136B9D"/>
    <w:rsid w:val="001423FC"/>
    <w:rsid w:val="0014533B"/>
    <w:rsid w:val="00146AE1"/>
    <w:rsid w:val="001504C2"/>
    <w:rsid w:val="001509C5"/>
    <w:rsid w:val="001519D4"/>
    <w:rsid w:val="00153370"/>
    <w:rsid w:val="00156A29"/>
    <w:rsid w:val="00156F70"/>
    <w:rsid w:val="00163194"/>
    <w:rsid w:val="001679BA"/>
    <w:rsid w:val="00170052"/>
    <w:rsid w:val="00170390"/>
    <w:rsid w:val="00176B97"/>
    <w:rsid w:val="001825DF"/>
    <w:rsid w:val="0018264F"/>
    <w:rsid w:val="00186504"/>
    <w:rsid w:val="00186D96"/>
    <w:rsid w:val="00187011"/>
    <w:rsid w:val="00187D55"/>
    <w:rsid w:val="0019030E"/>
    <w:rsid w:val="001927A4"/>
    <w:rsid w:val="00193980"/>
    <w:rsid w:val="001A39A4"/>
    <w:rsid w:val="001A522D"/>
    <w:rsid w:val="001B16B6"/>
    <w:rsid w:val="001B393D"/>
    <w:rsid w:val="001B6E1E"/>
    <w:rsid w:val="001B797F"/>
    <w:rsid w:val="001C6FFE"/>
    <w:rsid w:val="001D2815"/>
    <w:rsid w:val="001D4F63"/>
    <w:rsid w:val="001D6C6E"/>
    <w:rsid w:val="001E0892"/>
    <w:rsid w:val="001F1057"/>
    <w:rsid w:val="001F3AF5"/>
    <w:rsid w:val="001F4147"/>
    <w:rsid w:val="001F54A1"/>
    <w:rsid w:val="0020207E"/>
    <w:rsid w:val="00203EE7"/>
    <w:rsid w:val="002122BF"/>
    <w:rsid w:val="00212578"/>
    <w:rsid w:val="00214AD4"/>
    <w:rsid w:val="00217C6C"/>
    <w:rsid w:val="00217E73"/>
    <w:rsid w:val="0022103B"/>
    <w:rsid w:val="00236B04"/>
    <w:rsid w:val="00240C9F"/>
    <w:rsid w:val="00241B83"/>
    <w:rsid w:val="00242CD2"/>
    <w:rsid w:val="00247D11"/>
    <w:rsid w:val="00250EB5"/>
    <w:rsid w:val="00251CFA"/>
    <w:rsid w:val="0026175B"/>
    <w:rsid w:val="00261A77"/>
    <w:rsid w:val="002638F8"/>
    <w:rsid w:val="00264963"/>
    <w:rsid w:val="00267607"/>
    <w:rsid w:val="00276057"/>
    <w:rsid w:val="0027795B"/>
    <w:rsid w:val="0028081F"/>
    <w:rsid w:val="00285E6C"/>
    <w:rsid w:val="002955BB"/>
    <w:rsid w:val="00297A5F"/>
    <w:rsid w:val="002A3F0E"/>
    <w:rsid w:val="002A751C"/>
    <w:rsid w:val="002B0D14"/>
    <w:rsid w:val="002B395B"/>
    <w:rsid w:val="002B421B"/>
    <w:rsid w:val="002B6AF7"/>
    <w:rsid w:val="002C2894"/>
    <w:rsid w:val="002C28BA"/>
    <w:rsid w:val="002C6CDD"/>
    <w:rsid w:val="002D0676"/>
    <w:rsid w:val="002F7514"/>
    <w:rsid w:val="00304442"/>
    <w:rsid w:val="00312194"/>
    <w:rsid w:val="00314251"/>
    <w:rsid w:val="00317F3B"/>
    <w:rsid w:val="003239AC"/>
    <w:rsid w:val="00323E72"/>
    <w:rsid w:val="00324593"/>
    <w:rsid w:val="00325358"/>
    <w:rsid w:val="0033045E"/>
    <w:rsid w:val="00331B6C"/>
    <w:rsid w:val="003341E8"/>
    <w:rsid w:val="003374F9"/>
    <w:rsid w:val="00342CE5"/>
    <w:rsid w:val="003470A0"/>
    <w:rsid w:val="00351656"/>
    <w:rsid w:val="00361621"/>
    <w:rsid w:val="00365658"/>
    <w:rsid w:val="00370324"/>
    <w:rsid w:val="003711B3"/>
    <w:rsid w:val="00371395"/>
    <w:rsid w:val="0037685A"/>
    <w:rsid w:val="0038384E"/>
    <w:rsid w:val="0038532A"/>
    <w:rsid w:val="00387B95"/>
    <w:rsid w:val="00390AA5"/>
    <w:rsid w:val="00391AC0"/>
    <w:rsid w:val="00391B4E"/>
    <w:rsid w:val="003940DB"/>
    <w:rsid w:val="00395296"/>
    <w:rsid w:val="00395851"/>
    <w:rsid w:val="00395D39"/>
    <w:rsid w:val="003A42EE"/>
    <w:rsid w:val="003B16CB"/>
    <w:rsid w:val="003B250C"/>
    <w:rsid w:val="003B5D00"/>
    <w:rsid w:val="003B702C"/>
    <w:rsid w:val="003C1F80"/>
    <w:rsid w:val="003C4A73"/>
    <w:rsid w:val="003C7D26"/>
    <w:rsid w:val="003D2AC0"/>
    <w:rsid w:val="003D3B16"/>
    <w:rsid w:val="003E05CA"/>
    <w:rsid w:val="003E5467"/>
    <w:rsid w:val="003F1DD7"/>
    <w:rsid w:val="003F312A"/>
    <w:rsid w:val="003F4072"/>
    <w:rsid w:val="004003E1"/>
    <w:rsid w:val="00404098"/>
    <w:rsid w:val="00405082"/>
    <w:rsid w:val="00406224"/>
    <w:rsid w:val="00411229"/>
    <w:rsid w:val="00414AFD"/>
    <w:rsid w:val="004150D6"/>
    <w:rsid w:val="0042454B"/>
    <w:rsid w:val="00424ECE"/>
    <w:rsid w:val="004310BE"/>
    <w:rsid w:val="00435638"/>
    <w:rsid w:val="00441A0E"/>
    <w:rsid w:val="00447C96"/>
    <w:rsid w:val="0045030B"/>
    <w:rsid w:val="00450D85"/>
    <w:rsid w:val="00453A23"/>
    <w:rsid w:val="004571CD"/>
    <w:rsid w:val="00461245"/>
    <w:rsid w:val="00465366"/>
    <w:rsid w:val="00470D66"/>
    <w:rsid w:val="00472508"/>
    <w:rsid w:val="00472805"/>
    <w:rsid w:val="00472FB6"/>
    <w:rsid w:val="00474112"/>
    <w:rsid w:val="00474C61"/>
    <w:rsid w:val="00474EA2"/>
    <w:rsid w:val="00481A2D"/>
    <w:rsid w:val="00484587"/>
    <w:rsid w:val="00494D74"/>
    <w:rsid w:val="00496D36"/>
    <w:rsid w:val="004974F9"/>
    <w:rsid w:val="004A170C"/>
    <w:rsid w:val="004A2BF2"/>
    <w:rsid w:val="004A3427"/>
    <w:rsid w:val="004A49EF"/>
    <w:rsid w:val="004A7865"/>
    <w:rsid w:val="004B6161"/>
    <w:rsid w:val="004C10D5"/>
    <w:rsid w:val="004C1132"/>
    <w:rsid w:val="004C2301"/>
    <w:rsid w:val="004C6E17"/>
    <w:rsid w:val="004D1EB7"/>
    <w:rsid w:val="004D6887"/>
    <w:rsid w:val="004D6B81"/>
    <w:rsid w:val="004E02BC"/>
    <w:rsid w:val="004E315E"/>
    <w:rsid w:val="004F5107"/>
    <w:rsid w:val="00500577"/>
    <w:rsid w:val="00503F5D"/>
    <w:rsid w:val="00511E7A"/>
    <w:rsid w:val="00511F0F"/>
    <w:rsid w:val="00524C4F"/>
    <w:rsid w:val="005251F7"/>
    <w:rsid w:val="00527041"/>
    <w:rsid w:val="005306F6"/>
    <w:rsid w:val="0053235E"/>
    <w:rsid w:val="005332E4"/>
    <w:rsid w:val="00537B9F"/>
    <w:rsid w:val="005439AF"/>
    <w:rsid w:val="00546620"/>
    <w:rsid w:val="00551AC5"/>
    <w:rsid w:val="00554728"/>
    <w:rsid w:val="00565441"/>
    <w:rsid w:val="00567339"/>
    <w:rsid w:val="00567593"/>
    <w:rsid w:val="00576489"/>
    <w:rsid w:val="00577A55"/>
    <w:rsid w:val="00583AF0"/>
    <w:rsid w:val="0058672C"/>
    <w:rsid w:val="00590D16"/>
    <w:rsid w:val="00596605"/>
    <w:rsid w:val="005A018B"/>
    <w:rsid w:val="005B0B61"/>
    <w:rsid w:val="005C4B77"/>
    <w:rsid w:val="005C4D41"/>
    <w:rsid w:val="005D64C4"/>
    <w:rsid w:val="005E19DA"/>
    <w:rsid w:val="005E2610"/>
    <w:rsid w:val="005E7094"/>
    <w:rsid w:val="005F2AF6"/>
    <w:rsid w:val="005F4FA9"/>
    <w:rsid w:val="005F564E"/>
    <w:rsid w:val="00601753"/>
    <w:rsid w:val="00604441"/>
    <w:rsid w:val="00604F6C"/>
    <w:rsid w:val="0060603E"/>
    <w:rsid w:val="00611D1B"/>
    <w:rsid w:val="00617E59"/>
    <w:rsid w:val="006233FE"/>
    <w:rsid w:val="006236CF"/>
    <w:rsid w:val="00627D0D"/>
    <w:rsid w:val="00632398"/>
    <w:rsid w:val="006417FB"/>
    <w:rsid w:val="00643A17"/>
    <w:rsid w:val="00645A82"/>
    <w:rsid w:val="00647644"/>
    <w:rsid w:val="0065261E"/>
    <w:rsid w:val="00655AB2"/>
    <w:rsid w:val="00657C6E"/>
    <w:rsid w:val="00660228"/>
    <w:rsid w:val="006625FD"/>
    <w:rsid w:val="00672AC0"/>
    <w:rsid w:val="006801B7"/>
    <w:rsid w:val="00684BE2"/>
    <w:rsid w:val="00686DA2"/>
    <w:rsid w:val="00686FA3"/>
    <w:rsid w:val="006926B9"/>
    <w:rsid w:val="006935EA"/>
    <w:rsid w:val="006950A5"/>
    <w:rsid w:val="006964C9"/>
    <w:rsid w:val="006A0A52"/>
    <w:rsid w:val="006A1208"/>
    <w:rsid w:val="006B2BBF"/>
    <w:rsid w:val="006B3F82"/>
    <w:rsid w:val="006B4661"/>
    <w:rsid w:val="006B512E"/>
    <w:rsid w:val="006C03B2"/>
    <w:rsid w:val="006C30B2"/>
    <w:rsid w:val="006C70C3"/>
    <w:rsid w:val="006C7C16"/>
    <w:rsid w:val="006D27FD"/>
    <w:rsid w:val="006D5E29"/>
    <w:rsid w:val="006D6865"/>
    <w:rsid w:val="006D6B27"/>
    <w:rsid w:val="006D7FA9"/>
    <w:rsid w:val="006E6A95"/>
    <w:rsid w:val="006F0D80"/>
    <w:rsid w:val="006F3213"/>
    <w:rsid w:val="006F5E99"/>
    <w:rsid w:val="00701CCC"/>
    <w:rsid w:val="00702379"/>
    <w:rsid w:val="0070474E"/>
    <w:rsid w:val="00706A70"/>
    <w:rsid w:val="007104F2"/>
    <w:rsid w:val="00710889"/>
    <w:rsid w:val="0071552C"/>
    <w:rsid w:val="00722069"/>
    <w:rsid w:val="00724D9A"/>
    <w:rsid w:val="00727BE8"/>
    <w:rsid w:val="0073289F"/>
    <w:rsid w:val="00735493"/>
    <w:rsid w:val="00740F3A"/>
    <w:rsid w:val="00744BF9"/>
    <w:rsid w:val="007472C1"/>
    <w:rsid w:val="00754D4F"/>
    <w:rsid w:val="007550A7"/>
    <w:rsid w:val="0076355E"/>
    <w:rsid w:val="00764863"/>
    <w:rsid w:val="00767A33"/>
    <w:rsid w:val="007703DE"/>
    <w:rsid w:val="00773F5A"/>
    <w:rsid w:val="00774A20"/>
    <w:rsid w:val="007807D1"/>
    <w:rsid w:val="007810E9"/>
    <w:rsid w:val="00781F6D"/>
    <w:rsid w:val="0078374C"/>
    <w:rsid w:val="00784E03"/>
    <w:rsid w:val="00786C0E"/>
    <w:rsid w:val="00794CFA"/>
    <w:rsid w:val="007A420C"/>
    <w:rsid w:val="007B1331"/>
    <w:rsid w:val="007B3160"/>
    <w:rsid w:val="007C2976"/>
    <w:rsid w:val="007C6D38"/>
    <w:rsid w:val="007D0861"/>
    <w:rsid w:val="007D2176"/>
    <w:rsid w:val="007D327B"/>
    <w:rsid w:val="007D3502"/>
    <w:rsid w:val="007D4C38"/>
    <w:rsid w:val="007E3FCB"/>
    <w:rsid w:val="007E6D8D"/>
    <w:rsid w:val="008016CD"/>
    <w:rsid w:val="008046A8"/>
    <w:rsid w:val="00804F69"/>
    <w:rsid w:val="008076F2"/>
    <w:rsid w:val="008134B3"/>
    <w:rsid w:val="00822078"/>
    <w:rsid w:val="00822B3E"/>
    <w:rsid w:val="00824BD0"/>
    <w:rsid w:val="00824D4E"/>
    <w:rsid w:val="00825A32"/>
    <w:rsid w:val="00833B3D"/>
    <w:rsid w:val="008366FC"/>
    <w:rsid w:val="0084473A"/>
    <w:rsid w:val="00850697"/>
    <w:rsid w:val="00850D3C"/>
    <w:rsid w:val="00853062"/>
    <w:rsid w:val="00854025"/>
    <w:rsid w:val="008548CA"/>
    <w:rsid w:val="00854C8B"/>
    <w:rsid w:val="00861145"/>
    <w:rsid w:val="00861E08"/>
    <w:rsid w:val="0086237E"/>
    <w:rsid w:val="008726EC"/>
    <w:rsid w:val="008732E9"/>
    <w:rsid w:val="008746E3"/>
    <w:rsid w:val="008761EB"/>
    <w:rsid w:val="0088299E"/>
    <w:rsid w:val="008866B1"/>
    <w:rsid w:val="00887E8A"/>
    <w:rsid w:val="00892743"/>
    <w:rsid w:val="00892C62"/>
    <w:rsid w:val="008A23FD"/>
    <w:rsid w:val="008B2CA2"/>
    <w:rsid w:val="008C0558"/>
    <w:rsid w:val="008C4EAB"/>
    <w:rsid w:val="008D03D8"/>
    <w:rsid w:val="008E39CB"/>
    <w:rsid w:val="008F3B0B"/>
    <w:rsid w:val="008F7DC5"/>
    <w:rsid w:val="0090342A"/>
    <w:rsid w:val="009050B6"/>
    <w:rsid w:val="00911681"/>
    <w:rsid w:val="00912541"/>
    <w:rsid w:val="009134BE"/>
    <w:rsid w:val="00914219"/>
    <w:rsid w:val="00921240"/>
    <w:rsid w:val="0092173C"/>
    <w:rsid w:val="009274FA"/>
    <w:rsid w:val="009309AC"/>
    <w:rsid w:val="00934329"/>
    <w:rsid w:val="00936178"/>
    <w:rsid w:val="0093618E"/>
    <w:rsid w:val="0093704C"/>
    <w:rsid w:val="00946B1D"/>
    <w:rsid w:val="00946F0E"/>
    <w:rsid w:val="0095541D"/>
    <w:rsid w:val="00956B2A"/>
    <w:rsid w:val="00956E9A"/>
    <w:rsid w:val="0096056A"/>
    <w:rsid w:val="00960EFC"/>
    <w:rsid w:val="00971396"/>
    <w:rsid w:val="009723BB"/>
    <w:rsid w:val="009743EF"/>
    <w:rsid w:val="00983657"/>
    <w:rsid w:val="00983DA9"/>
    <w:rsid w:val="00986EE5"/>
    <w:rsid w:val="00994358"/>
    <w:rsid w:val="00996006"/>
    <w:rsid w:val="009975A7"/>
    <w:rsid w:val="009A6622"/>
    <w:rsid w:val="009B1324"/>
    <w:rsid w:val="009B450E"/>
    <w:rsid w:val="009B5354"/>
    <w:rsid w:val="009B56AE"/>
    <w:rsid w:val="009C055F"/>
    <w:rsid w:val="009C2CAD"/>
    <w:rsid w:val="009C477C"/>
    <w:rsid w:val="009C4CE4"/>
    <w:rsid w:val="009D5EED"/>
    <w:rsid w:val="009E3037"/>
    <w:rsid w:val="009E306D"/>
    <w:rsid w:val="009E5603"/>
    <w:rsid w:val="009E5C79"/>
    <w:rsid w:val="009E649A"/>
    <w:rsid w:val="009F0DB8"/>
    <w:rsid w:val="009F1C79"/>
    <w:rsid w:val="009F369A"/>
    <w:rsid w:val="009F60F9"/>
    <w:rsid w:val="00A04FCA"/>
    <w:rsid w:val="00A067E0"/>
    <w:rsid w:val="00A06FD6"/>
    <w:rsid w:val="00A100D7"/>
    <w:rsid w:val="00A10D18"/>
    <w:rsid w:val="00A13896"/>
    <w:rsid w:val="00A13A7C"/>
    <w:rsid w:val="00A13B0D"/>
    <w:rsid w:val="00A1607A"/>
    <w:rsid w:val="00A20D13"/>
    <w:rsid w:val="00A23763"/>
    <w:rsid w:val="00A239EA"/>
    <w:rsid w:val="00A30092"/>
    <w:rsid w:val="00A30D83"/>
    <w:rsid w:val="00A32C83"/>
    <w:rsid w:val="00A425B8"/>
    <w:rsid w:val="00A51936"/>
    <w:rsid w:val="00A51FF5"/>
    <w:rsid w:val="00A52C17"/>
    <w:rsid w:val="00A53FBB"/>
    <w:rsid w:val="00A6059D"/>
    <w:rsid w:val="00A61EDF"/>
    <w:rsid w:val="00A65ACF"/>
    <w:rsid w:val="00A6787B"/>
    <w:rsid w:val="00A73181"/>
    <w:rsid w:val="00A73628"/>
    <w:rsid w:val="00A7563D"/>
    <w:rsid w:val="00A80F4A"/>
    <w:rsid w:val="00A84B06"/>
    <w:rsid w:val="00A86C4A"/>
    <w:rsid w:val="00A92A88"/>
    <w:rsid w:val="00AA1C36"/>
    <w:rsid w:val="00AA7112"/>
    <w:rsid w:val="00AB1C6A"/>
    <w:rsid w:val="00AB6AD5"/>
    <w:rsid w:val="00AD1634"/>
    <w:rsid w:val="00AE1121"/>
    <w:rsid w:val="00AF2212"/>
    <w:rsid w:val="00AF2EC4"/>
    <w:rsid w:val="00AF49CA"/>
    <w:rsid w:val="00B102C4"/>
    <w:rsid w:val="00B144D4"/>
    <w:rsid w:val="00B16A9E"/>
    <w:rsid w:val="00B16BD6"/>
    <w:rsid w:val="00B27C0D"/>
    <w:rsid w:val="00B35968"/>
    <w:rsid w:val="00B37CFD"/>
    <w:rsid w:val="00B42609"/>
    <w:rsid w:val="00B44939"/>
    <w:rsid w:val="00B45407"/>
    <w:rsid w:val="00B47FA5"/>
    <w:rsid w:val="00B504AD"/>
    <w:rsid w:val="00B52B3F"/>
    <w:rsid w:val="00B63A1E"/>
    <w:rsid w:val="00B7480F"/>
    <w:rsid w:val="00B76259"/>
    <w:rsid w:val="00B878EE"/>
    <w:rsid w:val="00B87DC4"/>
    <w:rsid w:val="00B90521"/>
    <w:rsid w:val="00B94E4A"/>
    <w:rsid w:val="00B97326"/>
    <w:rsid w:val="00BA2468"/>
    <w:rsid w:val="00BA434B"/>
    <w:rsid w:val="00BA79DD"/>
    <w:rsid w:val="00BB2A14"/>
    <w:rsid w:val="00BB5E75"/>
    <w:rsid w:val="00BD30BA"/>
    <w:rsid w:val="00BD401A"/>
    <w:rsid w:val="00BD5C2B"/>
    <w:rsid w:val="00BD6770"/>
    <w:rsid w:val="00BE068A"/>
    <w:rsid w:val="00BE1568"/>
    <w:rsid w:val="00BE5ADC"/>
    <w:rsid w:val="00BF16C3"/>
    <w:rsid w:val="00BF1C25"/>
    <w:rsid w:val="00BF1D57"/>
    <w:rsid w:val="00BF45B1"/>
    <w:rsid w:val="00BF591E"/>
    <w:rsid w:val="00BF6B09"/>
    <w:rsid w:val="00BF7764"/>
    <w:rsid w:val="00C01D4E"/>
    <w:rsid w:val="00C02B3F"/>
    <w:rsid w:val="00C04C27"/>
    <w:rsid w:val="00C06EAB"/>
    <w:rsid w:val="00C1045B"/>
    <w:rsid w:val="00C108DF"/>
    <w:rsid w:val="00C15DA6"/>
    <w:rsid w:val="00C167D4"/>
    <w:rsid w:val="00C171EC"/>
    <w:rsid w:val="00C34153"/>
    <w:rsid w:val="00C37D9F"/>
    <w:rsid w:val="00C41BFD"/>
    <w:rsid w:val="00C44ECA"/>
    <w:rsid w:val="00C45238"/>
    <w:rsid w:val="00C46DAA"/>
    <w:rsid w:val="00C50C7C"/>
    <w:rsid w:val="00C52025"/>
    <w:rsid w:val="00C5706E"/>
    <w:rsid w:val="00C61120"/>
    <w:rsid w:val="00C63590"/>
    <w:rsid w:val="00C64F2C"/>
    <w:rsid w:val="00C7013F"/>
    <w:rsid w:val="00C702FC"/>
    <w:rsid w:val="00C73027"/>
    <w:rsid w:val="00C75682"/>
    <w:rsid w:val="00C80557"/>
    <w:rsid w:val="00C853BB"/>
    <w:rsid w:val="00C927E4"/>
    <w:rsid w:val="00C94D09"/>
    <w:rsid w:val="00C950EB"/>
    <w:rsid w:val="00CA27E1"/>
    <w:rsid w:val="00CA3726"/>
    <w:rsid w:val="00CC42DB"/>
    <w:rsid w:val="00CC7CA0"/>
    <w:rsid w:val="00CC7E37"/>
    <w:rsid w:val="00CD2FF0"/>
    <w:rsid w:val="00CD4A02"/>
    <w:rsid w:val="00CD5F31"/>
    <w:rsid w:val="00CE2C3B"/>
    <w:rsid w:val="00CE522D"/>
    <w:rsid w:val="00CE767B"/>
    <w:rsid w:val="00CE7EAB"/>
    <w:rsid w:val="00CF00D9"/>
    <w:rsid w:val="00CF1FA3"/>
    <w:rsid w:val="00D065D4"/>
    <w:rsid w:val="00D126D8"/>
    <w:rsid w:val="00D15272"/>
    <w:rsid w:val="00D1647C"/>
    <w:rsid w:val="00D258E8"/>
    <w:rsid w:val="00D263BC"/>
    <w:rsid w:val="00D2767B"/>
    <w:rsid w:val="00D312EB"/>
    <w:rsid w:val="00D3176E"/>
    <w:rsid w:val="00D33B58"/>
    <w:rsid w:val="00D35994"/>
    <w:rsid w:val="00D37378"/>
    <w:rsid w:val="00D41123"/>
    <w:rsid w:val="00D42247"/>
    <w:rsid w:val="00D45BCB"/>
    <w:rsid w:val="00D462F4"/>
    <w:rsid w:val="00D4687B"/>
    <w:rsid w:val="00D47109"/>
    <w:rsid w:val="00D56921"/>
    <w:rsid w:val="00D60A46"/>
    <w:rsid w:val="00D641DE"/>
    <w:rsid w:val="00D665B9"/>
    <w:rsid w:val="00D66E70"/>
    <w:rsid w:val="00D674F3"/>
    <w:rsid w:val="00D67DDB"/>
    <w:rsid w:val="00D72165"/>
    <w:rsid w:val="00D7439E"/>
    <w:rsid w:val="00D775F6"/>
    <w:rsid w:val="00D85379"/>
    <w:rsid w:val="00D8543A"/>
    <w:rsid w:val="00D85C69"/>
    <w:rsid w:val="00D86609"/>
    <w:rsid w:val="00D879F8"/>
    <w:rsid w:val="00D92114"/>
    <w:rsid w:val="00D9475B"/>
    <w:rsid w:val="00D9536D"/>
    <w:rsid w:val="00D95422"/>
    <w:rsid w:val="00DB14D5"/>
    <w:rsid w:val="00DB27D6"/>
    <w:rsid w:val="00DB29E1"/>
    <w:rsid w:val="00DB4F73"/>
    <w:rsid w:val="00DB6B90"/>
    <w:rsid w:val="00DC0C08"/>
    <w:rsid w:val="00DC7B02"/>
    <w:rsid w:val="00DD0D1F"/>
    <w:rsid w:val="00DD4111"/>
    <w:rsid w:val="00DD536F"/>
    <w:rsid w:val="00DD7923"/>
    <w:rsid w:val="00DE4DA6"/>
    <w:rsid w:val="00DE7F24"/>
    <w:rsid w:val="00DF22B8"/>
    <w:rsid w:val="00DF6F02"/>
    <w:rsid w:val="00DF738B"/>
    <w:rsid w:val="00E04707"/>
    <w:rsid w:val="00E07277"/>
    <w:rsid w:val="00E10D0C"/>
    <w:rsid w:val="00E12797"/>
    <w:rsid w:val="00E139A1"/>
    <w:rsid w:val="00E13E42"/>
    <w:rsid w:val="00E149FF"/>
    <w:rsid w:val="00E15672"/>
    <w:rsid w:val="00E1592D"/>
    <w:rsid w:val="00E16447"/>
    <w:rsid w:val="00E22E65"/>
    <w:rsid w:val="00E2326B"/>
    <w:rsid w:val="00E236DC"/>
    <w:rsid w:val="00E23B94"/>
    <w:rsid w:val="00E23BC1"/>
    <w:rsid w:val="00E34B57"/>
    <w:rsid w:val="00E360DC"/>
    <w:rsid w:val="00E45045"/>
    <w:rsid w:val="00E5016D"/>
    <w:rsid w:val="00E61E5B"/>
    <w:rsid w:val="00E63F6B"/>
    <w:rsid w:val="00E66C3B"/>
    <w:rsid w:val="00E7143F"/>
    <w:rsid w:val="00E75561"/>
    <w:rsid w:val="00E772A2"/>
    <w:rsid w:val="00E82382"/>
    <w:rsid w:val="00E82762"/>
    <w:rsid w:val="00E873CD"/>
    <w:rsid w:val="00E90647"/>
    <w:rsid w:val="00E91936"/>
    <w:rsid w:val="00E9366E"/>
    <w:rsid w:val="00E95239"/>
    <w:rsid w:val="00E977C9"/>
    <w:rsid w:val="00EA17B1"/>
    <w:rsid w:val="00EA7416"/>
    <w:rsid w:val="00EB7769"/>
    <w:rsid w:val="00EB7E06"/>
    <w:rsid w:val="00EC1897"/>
    <w:rsid w:val="00ED5402"/>
    <w:rsid w:val="00ED6BFB"/>
    <w:rsid w:val="00EE69B6"/>
    <w:rsid w:val="00EF0284"/>
    <w:rsid w:val="00EF11BC"/>
    <w:rsid w:val="00EF2CCA"/>
    <w:rsid w:val="00EF4A83"/>
    <w:rsid w:val="00EF6552"/>
    <w:rsid w:val="00EF6CB6"/>
    <w:rsid w:val="00F005E5"/>
    <w:rsid w:val="00F11160"/>
    <w:rsid w:val="00F1419F"/>
    <w:rsid w:val="00F20E1C"/>
    <w:rsid w:val="00F2390A"/>
    <w:rsid w:val="00F240FC"/>
    <w:rsid w:val="00F35626"/>
    <w:rsid w:val="00F36054"/>
    <w:rsid w:val="00F36390"/>
    <w:rsid w:val="00F37F70"/>
    <w:rsid w:val="00F40F51"/>
    <w:rsid w:val="00F54770"/>
    <w:rsid w:val="00F57D14"/>
    <w:rsid w:val="00F60273"/>
    <w:rsid w:val="00F70093"/>
    <w:rsid w:val="00F71380"/>
    <w:rsid w:val="00F94798"/>
    <w:rsid w:val="00F971B6"/>
    <w:rsid w:val="00F97D59"/>
    <w:rsid w:val="00FA0F99"/>
    <w:rsid w:val="00FA4775"/>
    <w:rsid w:val="00FB0B17"/>
    <w:rsid w:val="00FB2D50"/>
    <w:rsid w:val="00FB36CE"/>
    <w:rsid w:val="00FB3D44"/>
    <w:rsid w:val="00FB4D33"/>
    <w:rsid w:val="00FB6788"/>
    <w:rsid w:val="00FC1298"/>
    <w:rsid w:val="00FD350C"/>
    <w:rsid w:val="00FD753D"/>
    <w:rsid w:val="00FE34C4"/>
    <w:rsid w:val="00FE3583"/>
    <w:rsid w:val="00FE7395"/>
    <w:rsid w:val="00FE7F79"/>
    <w:rsid w:val="00FF4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604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D9F"/>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C37D9F"/>
  </w:style>
  <w:style w:type="paragraph" w:customStyle="1" w:styleId="Default">
    <w:name w:val="Default"/>
    <w:rsid w:val="00C37D9F"/>
    <w:pPr>
      <w:widowControl w:val="0"/>
      <w:autoSpaceDE w:val="0"/>
      <w:autoSpaceDN w:val="0"/>
      <w:adjustRightInd w:val="0"/>
    </w:pPr>
    <w:rPr>
      <w:rFonts w:ascii="Arial" w:hAnsi="Arial" w:cs="Arial"/>
      <w:color w:val="000000"/>
      <w:kern w:val="0"/>
      <w:sz w:val="24"/>
      <w:szCs w:val="24"/>
    </w:rPr>
  </w:style>
  <w:style w:type="paragraph" w:styleId="ListParagraph">
    <w:name w:val="List Paragraph"/>
    <w:basedOn w:val="Normal"/>
    <w:uiPriority w:val="34"/>
    <w:qFormat/>
    <w:rsid w:val="00C37D9F"/>
    <w:pPr>
      <w:ind w:leftChars="400" w:left="840"/>
    </w:pPr>
  </w:style>
  <w:style w:type="character" w:styleId="Hyperlink">
    <w:name w:val="Hyperlink"/>
    <w:basedOn w:val="DefaultParagraphFont"/>
    <w:rsid w:val="00C37D9F"/>
    <w:rPr>
      <w:color w:val="0000FF"/>
      <w:u w:val="single"/>
    </w:rPr>
  </w:style>
  <w:style w:type="paragraph" w:styleId="Header">
    <w:name w:val="header"/>
    <w:basedOn w:val="Normal"/>
    <w:link w:val="HeaderChar"/>
    <w:uiPriority w:val="99"/>
    <w:unhideWhenUsed/>
    <w:rsid w:val="00187011"/>
    <w:pPr>
      <w:tabs>
        <w:tab w:val="center" w:pos="4252"/>
        <w:tab w:val="right" w:pos="8504"/>
      </w:tabs>
      <w:snapToGrid w:val="0"/>
    </w:pPr>
  </w:style>
  <w:style w:type="character" w:customStyle="1" w:styleId="HeaderChar">
    <w:name w:val="Header Char"/>
    <w:basedOn w:val="DefaultParagraphFont"/>
    <w:link w:val="Header"/>
    <w:uiPriority w:val="99"/>
    <w:rsid w:val="00187011"/>
  </w:style>
  <w:style w:type="paragraph" w:styleId="Footer">
    <w:name w:val="footer"/>
    <w:basedOn w:val="Normal"/>
    <w:link w:val="FooterChar"/>
    <w:uiPriority w:val="99"/>
    <w:unhideWhenUsed/>
    <w:rsid w:val="00187011"/>
    <w:pPr>
      <w:tabs>
        <w:tab w:val="center" w:pos="4252"/>
        <w:tab w:val="right" w:pos="8504"/>
      </w:tabs>
      <w:snapToGrid w:val="0"/>
    </w:pPr>
  </w:style>
  <w:style w:type="character" w:customStyle="1" w:styleId="FooterChar">
    <w:name w:val="Footer Char"/>
    <w:basedOn w:val="DefaultParagraphFont"/>
    <w:link w:val="Footer"/>
    <w:uiPriority w:val="99"/>
    <w:rsid w:val="00187011"/>
  </w:style>
  <w:style w:type="paragraph" w:styleId="BalloonText">
    <w:name w:val="Balloon Text"/>
    <w:basedOn w:val="Normal"/>
    <w:link w:val="BalloonTextChar"/>
    <w:uiPriority w:val="99"/>
    <w:semiHidden/>
    <w:unhideWhenUsed/>
    <w:rsid w:val="00424ECE"/>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24ECE"/>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E236DC"/>
    <w:rPr>
      <w:sz w:val="16"/>
      <w:szCs w:val="16"/>
    </w:rPr>
  </w:style>
  <w:style w:type="paragraph" w:styleId="CommentText">
    <w:name w:val="annotation text"/>
    <w:basedOn w:val="Normal"/>
    <w:link w:val="CommentTextChar"/>
    <w:uiPriority w:val="99"/>
    <w:semiHidden/>
    <w:unhideWhenUsed/>
    <w:rsid w:val="00E236DC"/>
    <w:rPr>
      <w:sz w:val="20"/>
      <w:szCs w:val="20"/>
    </w:rPr>
  </w:style>
  <w:style w:type="character" w:customStyle="1" w:styleId="CommentTextChar">
    <w:name w:val="Comment Text Char"/>
    <w:basedOn w:val="DefaultParagraphFont"/>
    <w:link w:val="CommentText"/>
    <w:uiPriority w:val="99"/>
    <w:semiHidden/>
    <w:rsid w:val="00E236DC"/>
    <w:rPr>
      <w:sz w:val="20"/>
      <w:szCs w:val="20"/>
    </w:rPr>
  </w:style>
  <w:style w:type="paragraph" w:styleId="CommentSubject">
    <w:name w:val="annotation subject"/>
    <w:basedOn w:val="CommentText"/>
    <w:next w:val="CommentText"/>
    <w:link w:val="CommentSubjectChar"/>
    <w:uiPriority w:val="99"/>
    <w:semiHidden/>
    <w:unhideWhenUsed/>
    <w:rsid w:val="00E236DC"/>
    <w:rPr>
      <w:b/>
      <w:bCs/>
    </w:rPr>
  </w:style>
  <w:style w:type="character" w:customStyle="1" w:styleId="CommentSubjectChar">
    <w:name w:val="Comment Subject Char"/>
    <w:basedOn w:val="CommentTextChar"/>
    <w:link w:val="CommentSubject"/>
    <w:uiPriority w:val="99"/>
    <w:semiHidden/>
    <w:rsid w:val="00E236DC"/>
    <w:rPr>
      <w:b/>
      <w:bCs/>
      <w:sz w:val="20"/>
      <w:szCs w:val="20"/>
    </w:rPr>
  </w:style>
  <w:style w:type="paragraph" w:styleId="Revision">
    <w:name w:val="Revision"/>
    <w:hidden/>
    <w:uiPriority w:val="99"/>
    <w:semiHidden/>
    <w:rsid w:val="004E0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ney-kts@theia.oc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5514</Words>
  <Characters>31436</Characters>
  <Application>Microsoft Office Word</Application>
  <DocSecurity>0</DocSecurity>
  <Lines>261</Lines>
  <Paragraphs>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2020-06-16T13:19:00Z</dcterms:created>
  <dcterms:modified xsi:type="dcterms:W3CDTF">2020-06-16T13:19:00Z</dcterms:modified>
</cp:coreProperties>
</file>