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66FA" w14:textId="77777777" w:rsidR="004C1013" w:rsidRDefault="004C1013" w:rsidP="00CB0DFD">
      <w:pPr>
        <w:jc w:val="center"/>
        <w:rPr>
          <w:b/>
        </w:rPr>
      </w:pPr>
    </w:p>
    <w:p w14:paraId="056526FE" w14:textId="77777777" w:rsidR="004C1013" w:rsidRDefault="004C1013" w:rsidP="00CB0DFD">
      <w:pPr>
        <w:jc w:val="center"/>
        <w:rPr>
          <w:b/>
        </w:rPr>
      </w:pPr>
    </w:p>
    <w:p w14:paraId="14958B29" w14:textId="77777777" w:rsidR="004C1013" w:rsidRDefault="004C1013" w:rsidP="00CB0DFD">
      <w:pPr>
        <w:jc w:val="center"/>
        <w:rPr>
          <w:b/>
        </w:rPr>
      </w:pPr>
    </w:p>
    <w:p w14:paraId="48084FCD" w14:textId="77777777" w:rsidR="00735C2D" w:rsidRDefault="00735C2D" w:rsidP="00735C2D">
      <w:pPr>
        <w:rPr>
          <w:b/>
        </w:rPr>
      </w:pPr>
    </w:p>
    <w:p w14:paraId="01EA5640" w14:textId="68F4F9E6" w:rsidR="003A4C74" w:rsidRPr="00BC4CFB" w:rsidRDefault="00954B23" w:rsidP="00CB0DFD">
      <w:pPr>
        <w:jc w:val="center"/>
        <w:rPr>
          <w:b/>
          <w:sz w:val="24"/>
          <w:szCs w:val="24"/>
        </w:rPr>
      </w:pPr>
      <w:r w:rsidRPr="00BC4CFB">
        <w:rPr>
          <w:b/>
          <w:sz w:val="24"/>
          <w:szCs w:val="24"/>
        </w:rPr>
        <w:t>The effect of referral to a</w:t>
      </w:r>
      <w:r w:rsidR="004C1013" w:rsidRPr="00BC4CFB">
        <w:rPr>
          <w:b/>
          <w:sz w:val="24"/>
          <w:szCs w:val="24"/>
        </w:rPr>
        <w:t>n</w:t>
      </w:r>
      <w:r w:rsidRPr="00BC4CFB">
        <w:rPr>
          <w:b/>
          <w:sz w:val="24"/>
          <w:szCs w:val="24"/>
        </w:rPr>
        <w:t xml:space="preserve"> </w:t>
      </w:r>
      <w:r w:rsidR="004C1013" w:rsidRPr="00BC4CFB">
        <w:rPr>
          <w:b/>
          <w:sz w:val="24"/>
          <w:szCs w:val="24"/>
        </w:rPr>
        <w:t xml:space="preserve">open-group </w:t>
      </w:r>
      <w:r w:rsidR="00DA2FAD" w:rsidRPr="00BC4CFB">
        <w:rPr>
          <w:b/>
          <w:sz w:val="24"/>
          <w:szCs w:val="24"/>
        </w:rPr>
        <w:t xml:space="preserve">behavioural </w:t>
      </w:r>
      <w:r w:rsidR="00E113E1" w:rsidRPr="00BC4CFB">
        <w:rPr>
          <w:b/>
          <w:sz w:val="24"/>
          <w:szCs w:val="24"/>
        </w:rPr>
        <w:t xml:space="preserve">weight </w:t>
      </w:r>
      <w:r w:rsidR="004C1013" w:rsidRPr="00BC4CFB">
        <w:rPr>
          <w:b/>
          <w:sz w:val="24"/>
          <w:szCs w:val="24"/>
        </w:rPr>
        <w:t xml:space="preserve">management </w:t>
      </w:r>
      <w:r w:rsidR="00E113E1" w:rsidRPr="00BC4CFB">
        <w:rPr>
          <w:b/>
          <w:sz w:val="24"/>
          <w:szCs w:val="24"/>
        </w:rPr>
        <w:t xml:space="preserve">programme on </w:t>
      </w:r>
      <w:r w:rsidR="005323D0" w:rsidRPr="00BC4CFB">
        <w:rPr>
          <w:b/>
          <w:sz w:val="24"/>
          <w:szCs w:val="24"/>
        </w:rPr>
        <w:t xml:space="preserve">the </w:t>
      </w:r>
      <w:r w:rsidR="0075770D" w:rsidRPr="00BC4CFB">
        <w:rPr>
          <w:b/>
          <w:sz w:val="24"/>
          <w:szCs w:val="24"/>
        </w:rPr>
        <w:t xml:space="preserve">relative </w:t>
      </w:r>
      <w:r w:rsidR="0046518C" w:rsidRPr="00BC4CFB">
        <w:rPr>
          <w:b/>
          <w:sz w:val="24"/>
          <w:szCs w:val="24"/>
        </w:rPr>
        <w:t xml:space="preserve">risk of </w:t>
      </w:r>
      <w:proofErr w:type="spellStart"/>
      <w:r w:rsidR="00D134D9">
        <w:rPr>
          <w:b/>
          <w:sz w:val="24"/>
          <w:szCs w:val="24"/>
        </w:rPr>
        <w:t>normoglycaemia</w:t>
      </w:r>
      <w:proofErr w:type="spellEnd"/>
      <w:r w:rsidR="0075770D" w:rsidRPr="00BC4CFB">
        <w:rPr>
          <w:b/>
          <w:sz w:val="24"/>
          <w:szCs w:val="24"/>
        </w:rPr>
        <w:t xml:space="preserve">, </w:t>
      </w:r>
      <w:r w:rsidR="003D53DB" w:rsidRPr="00BC4CFB">
        <w:rPr>
          <w:b/>
          <w:sz w:val="24"/>
          <w:szCs w:val="24"/>
        </w:rPr>
        <w:t>non-diabetic hyperglycaemia</w:t>
      </w:r>
      <w:r w:rsidR="0046518C" w:rsidRPr="00BC4CFB">
        <w:rPr>
          <w:b/>
          <w:sz w:val="24"/>
          <w:szCs w:val="24"/>
        </w:rPr>
        <w:t xml:space="preserve"> and type 2 diab</w:t>
      </w:r>
      <w:r w:rsidR="009F66BC" w:rsidRPr="00BC4CFB">
        <w:rPr>
          <w:b/>
          <w:sz w:val="24"/>
          <w:szCs w:val="24"/>
        </w:rPr>
        <w:t>e</w:t>
      </w:r>
      <w:r w:rsidR="0046518C" w:rsidRPr="00BC4CFB">
        <w:rPr>
          <w:b/>
          <w:sz w:val="24"/>
          <w:szCs w:val="24"/>
        </w:rPr>
        <w:t>tes</w:t>
      </w:r>
      <w:r w:rsidR="009B0D10">
        <w:rPr>
          <w:b/>
          <w:sz w:val="24"/>
          <w:szCs w:val="24"/>
        </w:rPr>
        <w:t>: secondary analysis of the WRAP trial</w:t>
      </w:r>
    </w:p>
    <w:p w14:paraId="15FB8282" w14:textId="77777777" w:rsidR="004C1013" w:rsidRDefault="004C1013">
      <w:pPr>
        <w:rPr>
          <w:b/>
        </w:rPr>
      </w:pPr>
    </w:p>
    <w:p w14:paraId="6CCA83FA" w14:textId="77777777" w:rsidR="004C1013" w:rsidRDefault="004C1013">
      <w:r w:rsidRPr="004C1013">
        <w:t>Amy L Ahern</w:t>
      </w:r>
      <w:r w:rsidR="006F61DD">
        <w:t xml:space="preserve"> PhD</w:t>
      </w:r>
      <w:r w:rsidRPr="004C1013">
        <w:t>, Prof Simon J Griffin</w:t>
      </w:r>
      <w:r w:rsidR="006F61DD">
        <w:t xml:space="preserve"> D</w:t>
      </w:r>
      <w:r w:rsidR="003D53DB">
        <w:t>M</w:t>
      </w:r>
      <w:r w:rsidRPr="004C1013">
        <w:t xml:space="preserve">, </w:t>
      </w:r>
      <w:r w:rsidR="00BC4CFB" w:rsidRPr="004C1013">
        <w:t>Graham M Wheeler</w:t>
      </w:r>
      <w:r w:rsidR="00BC4CFB">
        <w:t xml:space="preserve"> PhD, </w:t>
      </w:r>
      <w:r w:rsidR="00BC4CFB" w:rsidRPr="004C1013">
        <w:t xml:space="preserve">Stephen </w:t>
      </w:r>
      <w:r w:rsidR="000D1892">
        <w:t xml:space="preserve">J. </w:t>
      </w:r>
      <w:r w:rsidR="00BC4CFB" w:rsidRPr="004C1013">
        <w:t>Sharp</w:t>
      </w:r>
      <w:r w:rsidR="000D1892">
        <w:t xml:space="preserve"> </w:t>
      </w:r>
      <w:proofErr w:type="gramStart"/>
      <w:r w:rsidR="000D1892">
        <w:t>MSc</w:t>
      </w:r>
      <w:r w:rsidR="00BC4CFB" w:rsidRPr="004C1013">
        <w:t xml:space="preserve">,  </w:t>
      </w:r>
      <w:r>
        <w:t>Prof</w:t>
      </w:r>
      <w:proofErr w:type="gramEnd"/>
      <w:r>
        <w:t xml:space="preserve"> </w:t>
      </w:r>
      <w:r w:rsidRPr="004C1013">
        <w:t>Paul Aveyard</w:t>
      </w:r>
      <w:r w:rsidR="006F61DD">
        <w:t xml:space="preserve"> PhD</w:t>
      </w:r>
      <w:r w:rsidRPr="004C1013">
        <w:t>, Emma J Boyland</w:t>
      </w:r>
      <w:r w:rsidR="006F61DD">
        <w:t xml:space="preserve"> PhD</w:t>
      </w:r>
      <w:r w:rsidRPr="004C1013">
        <w:t xml:space="preserve">, </w:t>
      </w:r>
      <w:r>
        <w:t xml:space="preserve">Prof </w:t>
      </w:r>
      <w:r w:rsidRPr="004C1013">
        <w:t>Jason CG Halford</w:t>
      </w:r>
      <w:r w:rsidR="006F61DD">
        <w:t xml:space="preserve"> PhD</w:t>
      </w:r>
      <w:r w:rsidRPr="004C1013">
        <w:t>,</w:t>
      </w:r>
      <w:r w:rsidR="00D10A22">
        <w:t xml:space="preserve"> </w:t>
      </w:r>
      <w:r>
        <w:t xml:space="preserve">Prof </w:t>
      </w:r>
      <w:r w:rsidRPr="004C1013">
        <w:t>Susan A Jebb</w:t>
      </w:r>
      <w:r w:rsidR="006F61DD">
        <w:t xml:space="preserve"> PhD</w:t>
      </w:r>
      <w:r w:rsidRPr="004C1013">
        <w:t>.</w:t>
      </w:r>
    </w:p>
    <w:p w14:paraId="3035FAFE" w14:textId="77777777" w:rsidR="004C1013" w:rsidRDefault="004C1013">
      <w:r>
        <w:t>MRC Epidemiology Unit, University of Cambridge</w:t>
      </w:r>
    </w:p>
    <w:p w14:paraId="21EAAEC7" w14:textId="77777777" w:rsidR="004C1013" w:rsidRDefault="004C1013">
      <w:r>
        <w:t>University College London</w:t>
      </w:r>
    </w:p>
    <w:p w14:paraId="433FCD3A" w14:textId="77777777" w:rsidR="004C1013" w:rsidRDefault="00A76128">
      <w:r>
        <w:t xml:space="preserve">Nuffield Department of Primary Care Health Sciences, </w:t>
      </w:r>
      <w:r w:rsidR="004C1013">
        <w:t>University of Oxford</w:t>
      </w:r>
    </w:p>
    <w:p w14:paraId="01B1081C" w14:textId="77777777" w:rsidR="004C1013" w:rsidRDefault="001523AD">
      <w:r>
        <w:t xml:space="preserve">Department of Psychological Sciences, </w:t>
      </w:r>
      <w:r w:rsidR="004C1013">
        <w:t>University of Liverpool</w:t>
      </w:r>
      <w:r w:rsidR="004C1013" w:rsidRPr="004C1013">
        <w:br w:type="page"/>
      </w:r>
    </w:p>
    <w:p w14:paraId="7F90CC12" w14:textId="77777777" w:rsidR="002B79AD" w:rsidRDefault="002B79AD">
      <w:pPr>
        <w:rPr>
          <w:b/>
        </w:rPr>
      </w:pPr>
      <w:r>
        <w:rPr>
          <w:b/>
        </w:rPr>
        <w:lastRenderedPageBreak/>
        <w:t>Abstract</w:t>
      </w:r>
    </w:p>
    <w:p w14:paraId="70F1CDB1" w14:textId="1621BD3B" w:rsidR="002B79AD" w:rsidRDefault="00B74A26">
      <w:pPr>
        <w:rPr>
          <w:b/>
        </w:rPr>
      </w:pPr>
      <w:r>
        <w:rPr>
          <w:b/>
        </w:rPr>
        <w:t>Aims</w:t>
      </w:r>
    </w:p>
    <w:p w14:paraId="076CF983" w14:textId="5C680BC9" w:rsidR="008202EE" w:rsidRPr="001C2EC2" w:rsidRDefault="003D53DB">
      <w:r w:rsidRPr="001C2EC2">
        <w:t>We</w:t>
      </w:r>
      <w:r w:rsidR="008202EE" w:rsidRPr="001C2EC2">
        <w:t xml:space="preserve"> examine</w:t>
      </w:r>
      <w:r w:rsidR="00385482" w:rsidRPr="001C2EC2">
        <w:t>d</w:t>
      </w:r>
      <w:r w:rsidR="008202EE" w:rsidRPr="001C2EC2">
        <w:t xml:space="preserve"> the impact of </w:t>
      </w:r>
      <w:r w:rsidR="00FB01F9" w:rsidRPr="001C2EC2">
        <w:t>open-group behavioural weight management</w:t>
      </w:r>
      <w:r w:rsidR="008202EE" w:rsidRPr="001C2EC2">
        <w:t xml:space="preserve"> programmes </w:t>
      </w:r>
      <w:r w:rsidRPr="001C2EC2">
        <w:t>on diabetes risk among</w:t>
      </w:r>
      <w:r w:rsidR="008202EE" w:rsidRPr="001C2EC2">
        <w:t xml:space="preserve"> </w:t>
      </w:r>
      <w:proofErr w:type="spellStart"/>
      <w:r w:rsidR="008202EE" w:rsidRPr="001C2EC2">
        <w:t>i</w:t>
      </w:r>
      <w:proofErr w:type="spellEnd"/>
      <w:r w:rsidR="008202EE" w:rsidRPr="001C2EC2">
        <w:t xml:space="preserve">) those with </w:t>
      </w:r>
      <w:r w:rsidR="00092189" w:rsidRPr="001C2EC2">
        <w:rPr>
          <w:rFonts w:cs="Arial"/>
          <w:color w:val="000000"/>
          <w:lang w:val="en-US"/>
        </w:rPr>
        <w:t>BMI ≥28kg/m</w:t>
      </w:r>
      <w:r w:rsidR="00092189" w:rsidRPr="001C2EC2">
        <w:rPr>
          <w:rFonts w:cs="Arial"/>
          <w:color w:val="000000"/>
          <w:vertAlign w:val="superscript"/>
          <w:lang w:val="en-US"/>
        </w:rPr>
        <w:t>2</w:t>
      </w:r>
      <w:r w:rsidR="008202EE" w:rsidRPr="001C2EC2">
        <w:t xml:space="preserve"> and ii) those with non-diabetic hyperglycaemia</w:t>
      </w:r>
      <w:r w:rsidR="00450504">
        <w:t xml:space="preserve"> (NDH)</w:t>
      </w:r>
      <w:r w:rsidR="008202EE" w:rsidRPr="001C2EC2">
        <w:t xml:space="preserve">. </w:t>
      </w:r>
    </w:p>
    <w:p w14:paraId="7AACD3F4" w14:textId="38918079" w:rsidR="002B79AD" w:rsidRPr="001C2EC2" w:rsidRDefault="002B79AD">
      <w:pPr>
        <w:rPr>
          <w:b/>
        </w:rPr>
      </w:pPr>
      <w:r w:rsidRPr="001C2EC2">
        <w:rPr>
          <w:b/>
        </w:rPr>
        <w:t>Method</w:t>
      </w:r>
      <w:r w:rsidR="00B74A26">
        <w:rPr>
          <w:b/>
        </w:rPr>
        <w:t>s</w:t>
      </w:r>
    </w:p>
    <w:p w14:paraId="534C2EC7" w14:textId="173BE42C" w:rsidR="008202EE" w:rsidRPr="001C2EC2" w:rsidRDefault="00C9359C">
      <w:r>
        <w:t xml:space="preserve">This was a secondary analysis of data from the </w:t>
      </w:r>
      <w:r w:rsidR="00DE7906" w:rsidRPr="001C2EC2">
        <w:t>WRAP</w:t>
      </w:r>
      <w:r>
        <w:t xml:space="preserve"> trial</w:t>
      </w:r>
      <w:r w:rsidR="0009661F">
        <w:t xml:space="preserve">, </w:t>
      </w:r>
      <w:r w:rsidR="0009661F" w:rsidRPr="001C2EC2">
        <w:t>in</w:t>
      </w:r>
      <w:r w:rsidR="00786B46" w:rsidRPr="001C2EC2">
        <w:t xml:space="preserve"> which </w:t>
      </w:r>
      <w:r>
        <w:t>participants (N=</w:t>
      </w:r>
      <w:r w:rsidR="00786B46" w:rsidRPr="001C2EC2">
        <w:t>1267</w:t>
      </w:r>
      <w:r>
        <w:t>;</w:t>
      </w:r>
      <w:r w:rsidR="00786B46" w:rsidRPr="001C2EC2">
        <w:t xml:space="preserve"> </w:t>
      </w:r>
      <w:r w:rsidR="00DE7906" w:rsidRPr="001C2EC2">
        <w:rPr>
          <w:rFonts w:cs="Arial"/>
          <w:color w:val="000000"/>
          <w:lang w:val="en-US"/>
        </w:rPr>
        <w:t>≥18 years, BMI ≥28kg/m</w:t>
      </w:r>
      <w:r w:rsidR="00DE7906" w:rsidRPr="001C2EC2">
        <w:rPr>
          <w:rFonts w:cs="Arial"/>
          <w:color w:val="000000"/>
          <w:vertAlign w:val="superscript"/>
          <w:lang w:val="en-US"/>
        </w:rPr>
        <w:t>2</w:t>
      </w:r>
      <w:r>
        <w:rPr>
          <w:rFonts w:cs="Arial"/>
          <w:color w:val="000000"/>
          <w:lang w:val="en-US"/>
        </w:rPr>
        <w:t xml:space="preserve">) </w:t>
      </w:r>
      <w:r w:rsidR="00786B46" w:rsidRPr="001C2EC2">
        <w:t>were randomised to: brief intervention</w:t>
      </w:r>
      <w:r w:rsidR="00092189">
        <w:t xml:space="preserve"> (BI</w:t>
      </w:r>
      <w:r w:rsidR="00E90400">
        <w:t>; self-help booklet</w:t>
      </w:r>
      <w:r w:rsidR="00092189">
        <w:t>)</w:t>
      </w:r>
      <w:r w:rsidR="00786B46" w:rsidRPr="001C2EC2">
        <w:t xml:space="preserve">, </w:t>
      </w:r>
      <w:r w:rsidR="0034344C">
        <w:t>a</w:t>
      </w:r>
      <w:r>
        <w:t xml:space="preserve"> weight management programme </w:t>
      </w:r>
      <w:r w:rsidRPr="001C2EC2">
        <w:t>(</w:t>
      </w:r>
      <w:r>
        <w:t xml:space="preserve">WW, formerly </w:t>
      </w:r>
      <w:r w:rsidRPr="001C2EC2">
        <w:t>Weight Watchers)</w:t>
      </w:r>
      <w:r>
        <w:t xml:space="preserve"> for </w:t>
      </w:r>
      <w:r w:rsidR="001523AD" w:rsidRPr="001C2EC2">
        <w:t>12-week</w:t>
      </w:r>
      <w:r>
        <w:t xml:space="preserve">s, or </w:t>
      </w:r>
      <w:r w:rsidR="00450504">
        <w:t>WW</w:t>
      </w:r>
      <w:r>
        <w:t xml:space="preserve"> for 52 weeks.</w:t>
      </w:r>
      <w:r w:rsidR="00786B46" w:rsidRPr="001C2EC2">
        <w:t xml:space="preserve"> </w:t>
      </w:r>
      <w:r w:rsidR="001B1E86" w:rsidRPr="001C2EC2">
        <w:t>We used m</w:t>
      </w:r>
      <w:r w:rsidR="00786B46" w:rsidRPr="001C2EC2">
        <w:t xml:space="preserve">ultinomial logistic regression </w:t>
      </w:r>
      <w:r w:rsidR="008202EE" w:rsidRPr="001C2EC2">
        <w:t xml:space="preserve">to examine the effect of intervention group on the risk of hyperglycaemia and diabetes at 12 months in all participants </w:t>
      </w:r>
      <w:r w:rsidR="00092189">
        <w:t>with glycaemic status at both time points (N=480</w:t>
      </w:r>
      <w:r w:rsidR="00E90400">
        <w:t>; 38%</w:t>
      </w:r>
      <w:r w:rsidR="00092189">
        <w:t xml:space="preserve">) </w:t>
      </w:r>
      <w:r w:rsidR="008202EE" w:rsidRPr="001C2EC2">
        <w:t xml:space="preserve">and those with </w:t>
      </w:r>
      <w:r w:rsidR="00450504">
        <w:t>NDH</w:t>
      </w:r>
      <w:r w:rsidR="00450504" w:rsidRPr="001C2EC2">
        <w:t xml:space="preserve"> </w:t>
      </w:r>
      <w:r w:rsidR="008202EE" w:rsidRPr="001C2EC2">
        <w:t>at baseline</w:t>
      </w:r>
      <w:r w:rsidR="0034344C">
        <w:t xml:space="preserve"> (N=387</w:t>
      </w:r>
      <w:r w:rsidR="00E90400">
        <w:t>; 31%</w:t>
      </w:r>
      <w:r w:rsidR="0034344C">
        <w:t>)</w:t>
      </w:r>
      <w:r w:rsidR="008202EE" w:rsidRPr="001C2EC2">
        <w:t xml:space="preserve">. </w:t>
      </w:r>
      <w:r w:rsidR="001B1E86" w:rsidRPr="001C2EC2">
        <w:t xml:space="preserve">We used </w:t>
      </w:r>
      <w:r w:rsidR="00AC1483">
        <w:t>mixed</w:t>
      </w:r>
      <w:r w:rsidR="008202EE" w:rsidRPr="001C2EC2">
        <w:t xml:space="preserve"> effects models</w:t>
      </w:r>
      <w:r w:rsidR="001B1E86" w:rsidRPr="001C2EC2">
        <w:t xml:space="preserve"> </w:t>
      </w:r>
      <w:r w:rsidR="00A72C40">
        <w:t xml:space="preserve">and linear fixed effects models </w:t>
      </w:r>
      <w:r w:rsidR="008202EE" w:rsidRPr="001C2EC2">
        <w:t>to examine the effect of intervention group on body weight and HbA</w:t>
      </w:r>
      <w:r w:rsidR="008202EE" w:rsidRPr="001C2EC2">
        <w:rPr>
          <w:vertAlign w:val="subscript"/>
        </w:rPr>
        <w:t>1c</w:t>
      </w:r>
      <w:r w:rsidR="008202EE" w:rsidRPr="001C2EC2">
        <w:t xml:space="preserve"> at 12 months in people with </w:t>
      </w:r>
      <w:r w:rsidR="00450504">
        <w:t>NDH</w:t>
      </w:r>
      <w:r w:rsidR="008202EE" w:rsidRPr="001C2EC2">
        <w:t>.</w:t>
      </w:r>
    </w:p>
    <w:p w14:paraId="2CAB5AF1" w14:textId="77777777" w:rsidR="002B79AD" w:rsidRPr="001C2EC2" w:rsidRDefault="002B79AD">
      <w:pPr>
        <w:rPr>
          <w:b/>
        </w:rPr>
      </w:pPr>
      <w:r w:rsidRPr="001C2EC2">
        <w:rPr>
          <w:b/>
        </w:rPr>
        <w:t>Results</w:t>
      </w:r>
    </w:p>
    <w:p w14:paraId="44CC9070" w14:textId="6BCD8508" w:rsidR="0075770D" w:rsidRDefault="00092189">
      <w:r>
        <w:t>T</w:t>
      </w:r>
      <w:r w:rsidR="00450504">
        <w:t>here was</w:t>
      </w:r>
      <w:r w:rsidR="00786B46" w:rsidRPr="005E43DC">
        <w:t xml:space="preserve"> a </w:t>
      </w:r>
      <w:r w:rsidR="001629FF">
        <w:t>61</w:t>
      </w:r>
      <w:r w:rsidR="00786B46" w:rsidRPr="005E43DC">
        <w:t xml:space="preserve">% </w:t>
      </w:r>
      <w:r w:rsidR="001629FF">
        <w:t xml:space="preserve">relative </w:t>
      </w:r>
      <w:r w:rsidR="00786B46" w:rsidRPr="005E43DC">
        <w:t xml:space="preserve">reduction in </w:t>
      </w:r>
      <w:r w:rsidR="001B1E86" w:rsidRPr="005E43DC">
        <w:t xml:space="preserve">risk of </w:t>
      </w:r>
      <w:r>
        <w:t>NDH</w:t>
      </w:r>
      <w:r w:rsidR="00786B46" w:rsidRPr="005E43DC">
        <w:t xml:space="preserve"> at 1</w:t>
      </w:r>
      <w:r w:rsidR="007D10C2" w:rsidRPr="005E43DC">
        <w:t>2 month</w:t>
      </w:r>
      <w:r w:rsidR="00786B46" w:rsidRPr="005E43DC">
        <w:t xml:space="preserve"> follow up </w:t>
      </w:r>
      <w:r w:rsidR="00371904" w:rsidRPr="005E43DC">
        <w:t>[12-week</w:t>
      </w:r>
      <w:r w:rsidR="00450504">
        <w:t>s</w:t>
      </w:r>
      <w:r w:rsidR="00371904" w:rsidRPr="005E43DC">
        <w:t xml:space="preserve"> vs </w:t>
      </w:r>
      <w:r>
        <w:t>BI</w:t>
      </w:r>
      <w:r w:rsidR="00371904" w:rsidRPr="005E43DC">
        <w:t>: R</w:t>
      </w:r>
      <w:r w:rsidR="001629FF">
        <w:t xml:space="preserve">elative </w:t>
      </w:r>
      <w:r w:rsidR="00371904" w:rsidRPr="005E43DC">
        <w:t>R</w:t>
      </w:r>
      <w:r w:rsidR="001629FF">
        <w:t>isk Ratio, RRR</w:t>
      </w:r>
      <w:r w:rsidR="00371904" w:rsidRPr="001C2EC2">
        <w:t>=0.39 (95% CI 0.18, 0.</w:t>
      </w:r>
      <w:r w:rsidR="009C23E7" w:rsidRPr="001C2EC2">
        <w:t>8</w:t>
      </w:r>
      <w:r w:rsidR="009C23E7">
        <w:t>7</w:t>
      </w:r>
      <w:r w:rsidR="00371904" w:rsidRPr="001C2EC2">
        <w:t xml:space="preserve">), p=0.021; </w:t>
      </w:r>
      <w:r w:rsidR="00371904" w:rsidRPr="005E43DC">
        <w:t>52-week</w:t>
      </w:r>
      <w:r w:rsidR="00450504">
        <w:t>s</w:t>
      </w:r>
      <w:r w:rsidR="00371904" w:rsidRPr="005E43DC">
        <w:t xml:space="preserve"> vs </w:t>
      </w:r>
      <w:r>
        <w:t>BI</w:t>
      </w:r>
      <w:r w:rsidR="00371904" w:rsidRPr="005E43DC">
        <w:t>: RR</w:t>
      </w:r>
      <w:r w:rsidR="001629FF">
        <w:t>R</w:t>
      </w:r>
      <w:r w:rsidR="00371904" w:rsidRPr="005E43DC">
        <w:t>=0.38 (95% CI 0.17, 0.86), p=0.0</w:t>
      </w:r>
      <w:r w:rsidR="00371904" w:rsidRPr="001C2EC2">
        <w:t>20]</w:t>
      </w:r>
      <w:r w:rsidR="001629FF">
        <w:t xml:space="preserve">.  </w:t>
      </w:r>
      <w:r w:rsidR="00235190">
        <w:t>For i</w:t>
      </w:r>
      <w:r w:rsidR="001629FF">
        <w:t>ntervention effects on risk of diabetes</w:t>
      </w:r>
      <w:r w:rsidR="00235190">
        <w:t>,</w:t>
      </w:r>
      <w:r w:rsidR="00EF7590">
        <w:t xml:space="preserve"> </w:t>
      </w:r>
      <w:r w:rsidR="001629FF">
        <w:t xml:space="preserve">confidence intervals were wide and overlapped 1 </w:t>
      </w:r>
      <w:r w:rsidR="00371904" w:rsidRPr="001C2EC2">
        <w:t>[12-week</w:t>
      </w:r>
      <w:r w:rsidR="00450504">
        <w:t>s</w:t>
      </w:r>
      <w:r w:rsidR="00371904" w:rsidRPr="001C2EC2">
        <w:t xml:space="preserve"> vs </w:t>
      </w:r>
      <w:r>
        <w:t>BI</w:t>
      </w:r>
      <w:r w:rsidR="00371904" w:rsidRPr="001C2EC2">
        <w:t>: RR</w:t>
      </w:r>
      <w:r w:rsidR="001629FF">
        <w:t>R</w:t>
      </w:r>
      <w:r w:rsidR="00371904" w:rsidRPr="001C2EC2">
        <w:t>=0.</w:t>
      </w:r>
      <w:r w:rsidR="001118CF" w:rsidRPr="001C2EC2">
        <w:t>4</w:t>
      </w:r>
      <w:r w:rsidR="001118CF">
        <w:t>9</w:t>
      </w:r>
      <w:r w:rsidR="001118CF" w:rsidRPr="001C2EC2">
        <w:t xml:space="preserve"> </w:t>
      </w:r>
      <w:r w:rsidR="00371904" w:rsidRPr="001C2EC2">
        <w:t>(95% CI 0.12, 1.96), p=0.312; 52-week</w:t>
      </w:r>
      <w:r w:rsidR="00450504">
        <w:t>s</w:t>
      </w:r>
      <w:r w:rsidR="00371904" w:rsidRPr="001C2EC2">
        <w:t xml:space="preserve"> vs </w:t>
      </w:r>
      <w:r>
        <w:t>BI</w:t>
      </w:r>
      <w:r w:rsidR="00371904" w:rsidRPr="001C2EC2">
        <w:t>: RR</w:t>
      </w:r>
      <w:r w:rsidR="001629FF">
        <w:t>R</w:t>
      </w:r>
      <w:r w:rsidR="00371904" w:rsidRPr="001C2EC2">
        <w:t>=0.40 (95% CI 0.10, 1.63), p=0.199]</w:t>
      </w:r>
      <w:r w:rsidR="00786B46" w:rsidRPr="001C2EC2">
        <w:t xml:space="preserve">.  </w:t>
      </w:r>
      <w:r w:rsidR="001B1E86" w:rsidRPr="001C2EC2">
        <w:t>P</w:t>
      </w:r>
      <w:r w:rsidR="00786B46" w:rsidRPr="001C2EC2">
        <w:t xml:space="preserve">articipants </w:t>
      </w:r>
      <w:r w:rsidR="001B1E86" w:rsidRPr="001C2EC2">
        <w:t xml:space="preserve">with </w:t>
      </w:r>
      <w:r w:rsidR="00786B46" w:rsidRPr="001C2EC2">
        <w:t>hyperglycaemia at baseline</w:t>
      </w:r>
      <w:r w:rsidR="001B1E86" w:rsidRPr="001C2EC2">
        <w:t xml:space="preserve"> </w:t>
      </w:r>
      <w:r w:rsidR="00450504">
        <w:t>in the</w:t>
      </w:r>
      <w:r w:rsidR="00786B46" w:rsidRPr="001C2EC2">
        <w:t xml:space="preserve"> </w:t>
      </w:r>
      <w:r w:rsidR="005E43DC" w:rsidRPr="005E43DC">
        <w:t xml:space="preserve">weight </w:t>
      </w:r>
      <w:r w:rsidR="005E43DC">
        <w:t>management</w:t>
      </w:r>
      <w:r w:rsidR="00786B46" w:rsidRPr="005E43DC">
        <w:t xml:space="preserve"> programme were more likely to have </w:t>
      </w:r>
      <w:proofErr w:type="spellStart"/>
      <w:r w:rsidR="0054736E" w:rsidRPr="005E43DC">
        <w:t>norm</w:t>
      </w:r>
      <w:r w:rsidR="0054736E">
        <w:t>o</w:t>
      </w:r>
      <w:r w:rsidR="00786B46" w:rsidRPr="005E43DC">
        <w:t>glycaemia</w:t>
      </w:r>
      <w:proofErr w:type="spellEnd"/>
      <w:r w:rsidR="00786B46" w:rsidRPr="005E43DC">
        <w:t xml:space="preserve"> at </w:t>
      </w:r>
      <w:r w:rsidR="007D10C2" w:rsidRPr="005E43DC">
        <w:t>12 month</w:t>
      </w:r>
      <w:r w:rsidR="00786B46" w:rsidRPr="005E43DC">
        <w:t xml:space="preserve"> follow </w:t>
      </w:r>
      <w:r w:rsidR="007D10C2" w:rsidRPr="005E43DC">
        <w:t>up [</w:t>
      </w:r>
      <w:r w:rsidR="005E43DC" w:rsidRPr="005E43DC">
        <w:t xml:space="preserve">12-week programme vs </w:t>
      </w:r>
      <w:r>
        <w:t>BI</w:t>
      </w:r>
      <w:r w:rsidR="005E43DC" w:rsidRPr="005E43DC">
        <w:t>:</w:t>
      </w:r>
      <w:r w:rsidR="005E43DC">
        <w:t xml:space="preserve"> </w:t>
      </w:r>
      <w:r w:rsidR="003A36F5" w:rsidRPr="005E43DC">
        <w:t>RR</w:t>
      </w:r>
      <w:r w:rsidR="001629FF">
        <w:t>R</w:t>
      </w:r>
      <w:r w:rsidR="003A36F5" w:rsidRPr="005E43DC">
        <w:t>=3.</w:t>
      </w:r>
      <w:r w:rsidR="006E524A">
        <w:t>57</w:t>
      </w:r>
      <w:r w:rsidR="006E524A" w:rsidRPr="005E43DC">
        <w:t xml:space="preserve"> </w:t>
      </w:r>
      <w:r w:rsidR="003A36F5" w:rsidRPr="005E43DC">
        <w:t xml:space="preserve">(CI 1.24, </w:t>
      </w:r>
      <w:r w:rsidR="003A36F5" w:rsidRPr="001C2EC2">
        <w:t xml:space="preserve">10.29), p=0.019; 52-week programme vs </w:t>
      </w:r>
      <w:r>
        <w:t>BI</w:t>
      </w:r>
      <w:r w:rsidR="003A36F5" w:rsidRPr="001C2EC2">
        <w:t>: RR</w:t>
      </w:r>
      <w:r w:rsidR="001629FF">
        <w:t>R</w:t>
      </w:r>
      <w:r w:rsidR="003A36F5" w:rsidRPr="001C2EC2">
        <w:t>=4.14 (CI 1.42, 12.12), p=0.009]</w:t>
      </w:r>
      <w:r w:rsidR="00786B46" w:rsidRPr="001C2EC2">
        <w:t>.</w:t>
      </w:r>
      <w:r w:rsidR="00371904" w:rsidRPr="001C2EC2">
        <w:t xml:space="preserve"> </w:t>
      </w:r>
    </w:p>
    <w:p w14:paraId="76CDFE10" w14:textId="6AE38F04" w:rsidR="002B79AD" w:rsidRDefault="00C9359C">
      <w:pPr>
        <w:rPr>
          <w:b/>
        </w:rPr>
      </w:pPr>
      <w:r>
        <w:rPr>
          <w:b/>
        </w:rPr>
        <w:t>Conclusions</w:t>
      </w:r>
    </w:p>
    <w:p w14:paraId="5798A2CC" w14:textId="52DB4628" w:rsidR="002B79AD" w:rsidRDefault="001C6F3F" w:rsidP="009F4066">
      <w:pPr>
        <w:rPr>
          <w:b/>
        </w:rPr>
      </w:pPr>
      <w:bookmarkStart w:id="0" w:name="_Hlk41335911"/>
      <w:r>
        <w:t xml:space="preserve">Open group behavioural weight management programmes </w:t>
      </w:r>
      <w:r w:rsidR="00C274E7">
        <w:t xml:space="preserve">can </w:t>
      </w:r>
      <w:r>
        <w:t>prevent the development of NDH in people with overweight and obesity and normalise glycaemia in people with NDH.</w:t>
      </w:r>
      <w:bookmarkEnd w:id="0"/>
      <w:r>
        <w:t xml:space="preserve"> </w:t>
      </w:r>
    </w:p>
    <w:p w14:paraId="15AA5709" w14:textId="77777777" w:rsidR="000B49C5" w:rsidRDefault="000B49C5" w:rsidP="0075770D">
      <w:pPr>
        <w:jc w:val="both"/>
        <w:rPr>
          <w:b/>
        </w:rPr>
      </w:pPr>
    </w:p>
    <w:p w14:paraId="71672DD9" w14:textId="77777777" w:rsidR="00B74A26" w:rsidRDefault="00B74A26">
      <w:pPr>
        <w:rPr>
          <w:b/>
        </w:rPr>
      </w:pPr>
      <w:r>
        <w:rPr>
          <w:b/>
        </w:rPr>
        <w:t>Keywords</w:t>
      </w:r>
    </w:p>
    <w:p w14:paraId="42D9AF77" w14:textId="7AB4BAAC" w:rsidR="0075770D" w:rsidRPr="00B74A26" w:rsidRDefault="00B74A26">
      <w:pPr>
        <w:rPr>
          <w:bCs/>
        </w:rPr>
      </w:pPr>
      <w:r w:rsidRPr="00B74A26">
        <w:rPr>
          <w:bCs/>
        </w:rPr>
        <w:t>Diabetes, Non-diabetic Hyperglycaemia, prevention, weight loss, obesity</w:t>
      </w:r>
      <w:r w:rsidR="0075770D" w:rsidRPr="00B74A26">
        <w:rPr>
          <w:bCs/>
        </w:rPr>
        <w:br w:type="page"/>
      </w:r>
    </w:p>
    <w:p w14:paraId="5E3DE0CC" w14:textId="768B4730" w:rsidR="00F22787" w:rsidRPr="005323D0" w:rsidRDefault="004C1013">
      <w:pPr>
        <w:rPr>
          <w:b/>
        </w:rPr>
      </w:pPr>
      <w:r>
        <w:rPr>
          <w:b/>
        </w:rPr>
        <w:t>Introduction</w:t>
      </w:r>
    </w:p>
    <w:p w14:paraId="06E5C9C7" w14:textId="499C6380" w:rsidR="00B571BE" w:rsidRPr="00D75E31" w:rsidRDefault="00D75E31" w:rsidP="005876B8">
      <w:r>
        <w:t>Large randomised controlled trials have demonstrated that i</w:t>
      </w:r>
      <w:r w:rsidR="00F41B5D">
        <w:t xml:space="preserve">ntensive </w:t>
      </w:r>
      <w:r w:rsidR="006B6A87">
        <w:t>behavioural programmes</w:t>
      </w:r>
      <w:r w:rsidR="002153E7">
        <w:t xml:space="preserve"> </w:t>
      </w:r>
      <w:r w:rsidR="005876B8">
        <w:t xml:space="preserve">can </w:t>
      </w:r>
      <w:r w:rsidR="00241287">
        <w:t>reduc</w:t>
      </w:r>
      <w:r w:rsidR="005876B8">
        <w:t>e</w:t>
      </w:r>
      <w:r w:rsidR="00241287">
        <w:t xml:space="preserve"> </w:t>
      </w:r>
      <w:r w:rsidR="00B8343B">
        <w:t xml:space="preserve">or delay </w:t>
      </w:r>
      <w:r w:rsidR="005876B8">
        <w:t xml:space="preserve">the </w:t>
      </w:r>
      <w:r w:rsidR="00241287">
        <w:t xml:space="preserve">incidence of </w:t>
      </w:r>
      <w:r w:rsidR="0064458B">
        <w:t>type 2 diabetes (T2D)</w:t>
      </w:r>
      <w:r>
        <w:t xml:space="preserve"> by 30-60% in people with</w:t>
      </w:r>
      <w:r w:rsidR="00FF550C">
        <w:t xml:space="preserve"> </w:t>
      </w:r>
      <w:r w:rsidR="00782272">
        <w:t>non-diabetic hyperglycaemia</w:t>
      </w:r>
      <w:r w:rsidR="007D2FF9">
        <w:t xml:space="preserve"> </w:t>
      </w:r>
      <w:r w:rsidR="005B217B">
        <w:t xml:space="preserve">(NDH) </w:t>
      </w:r>
      <w:r w:rsidR="00782272">
        <w:t>identified by</w:t>
      </w:r>
      <w:r w:rsidR="005876B8">
        <w:t xml:space="preserve"> screening using repeated oral glucose tolerance tests</w:t>
      </w:r>
      <w:r w:rsidR="0064458B">
        <w:t xml:space="preserve"> (OGTT)</w:t>
      </w:r>
      <w:r w:rsidR="005876B8">
        <w:t>.</w:t>
      </w:r>
      <w:r w:rsidR="005323D0">
        <w:fldChar w:fldCharType="begin" w:fldLock="1"/>
      </w:r>
      <w:r w:rsidR="00FE716A">
        <w:instrText>ADDIN CSL_CITATION {"citationItems":[{"id":"ITEM-1","itemData":{"DOI":"10.1136/bmj.39063.689375.55","ISBN":"1468-5833 (Electronic)\\r1468-5833 (Linking)","ISSN":"1756-1833","PMID":"17237299","abstract":"OBJECTIVE: To quantify the effectiveness of pharmacological and lifestyle interventions to prevent or delay type 2 diabetes in people with impaired glucose tolerance. DATA SOURCES: Medline, Embase, and the Cochrane library searched up to July 2006. Expert opinions sought and reference lists of identified studies and any relevant published reviews checked. STUDY SELECTION: Randomised controlled trials that evaluated interventions to delay or prevent type 2 diabetes in individuals with impaired glucose tolerance. RESULTS: 21 trials met the inclusion criteria, of which 17, with 8084 participants with impaired glucose tolerance, reported results in enough detail for inclusion in the meta-analyses. From the meta-analyses the pooled hazard ratios were 0.51 (95% confidence interval 0.44 to 0.60) for lifestyle interventions v standard advice, 0.70 (0.62 to 0.79) for oral diabetes drugs v control, 0.44 (0.28 to 0.69) for orlistat v control, and 0.32 (0.03 to 3.07) for the herbal remedy jiangtang bushen recipe v standard diabetes advice. These correspond to numbers needed to treat for benefit (NNTB) and harm (NNTH) of 6.4 for lifestyle (95% credible interval, NNTB 5.0 to NNTB 8.4), 10.8 for oral diabetes drugs (NNTB 8.1 to NNTB 15.0), 5.4 for orlistat (NNTB 4.1 to NNTB 7.6), and 4.0 for jiangtang bushen (NNTH 16.9 to NNTB 24.8). CONCLUSIONS: Lifestyle and pharmacological interventions reduce the rate of progression to type 2 diabetes in people with impaired glucose tolerance. Lifestyle interventions seem to be at least as effective as drug treatment.","author":[{"dropping-particle":"","family":"Gillies","given":"Clare L","non-dropping-particle":"","parse-names":false,"suffix":""},{"dropping-particle":"","family":"Abrams","given":"Keith R","non-dropping-particle":"","parse-names":false,"suffix":""},{"dropping-particle":"","family":"Lambert","given":"Paul C","non-dropping-particle":"","parse-names":false,"suffix":""},{"dropping-particle":"","family":"Cooper","given":"Nicola J","non-dropping-particle":"","parse-names":false,"suffix":""},{"dropping-particle":"","family":"Sutton","given":"Alex J","non-dropping-particle":"","parse-names":false,"suffix":""},{"dropping-particle":"","family":"Hsu","given":"Ron T","non-dropping-particle":"","parse-names":false,"suffix":""},{"dropping-particle":"","family":"Khunti","given":"Kamlesh","non-dropping-particle":"","parse-names":false,"suffix":""}],"container-title":"BMJ (Clinical research ed.)","id":"ITEM-1","issue":"7588","issued":{"date-parts":[["2007"]]},"page":"299","title":"Pharmacological and lifestyle interventions to prevent or delay type 2 diabetes in people with impaired glucose tolerance: systematic review and meta-analysis.","type":"article-journal","volume":"334"},"uris":["http://www.mendeley.com/documents/?uuid=c483db88-f171-47c7-81dc-1737304aed8f"]}],"mendeley":{"formattedCitation":"(1)","plainTextFormattedCitation":"(1)","previouslyFormattedCitation":"[1]"},"properties":{"noteIndex":0},"schema":"https://github.com/citation-style-language/schema/raw/master/csl-citation.json"}</w:instrText>
      </w:r>
      <w:r w:rsidR="005323D0">
        <w:fldChar w:fldCharType="separate"/>
      </w:r>
      <w:r w:rsidR="00FE716A" w:rsidRPr="00FE716A">
        <w:rPr>
          <w:noProof/>
        </w:rPr>
        <w:t>(1)</w:t>
      </w:r>
      <w:r w:rsidR="005323D0">
        <w:fldChar w:fldCharType="end"/>
      </w:r>
      <w:r>
        <w:t xml:space="preserve"> </w:t>
      </w:r>
      <w:r w:rsidR="00BC4CFB">
        <w:t>However p</w:t>
      </w:r>
      <w:r w:rsidR="00B571BE">
        <w:t xml:space="preserve">opulation screening </w:t>
      </w:r>
      <w:r w:rsidR="0064458B">
        <w:t xml:space="preserve">using OGTT </w:t>
      </w:r>
      <w:r w:rsidR="00327745">
        <w:t xml:space="preserve">would </w:t>
      </w:r>
      <w:r w:rsidR="00D47320">
        <w:t>represents</w:t>
      </w:r>
      <w:r w:rsidR="00B571BE">
        <w:t xml:space="preserve"> a significant burden </w:t>
      </w:r>
      <w:r w:rsidR="00D47320">
        <w:t>to</w:t>
      </w:r>
      <w:r w:rsidR="00B571BE">
        <w:t xml:space="preserve"> patients</w:t>
      </w:r>
      <w:r w:rsidR="00D47320">
        <w:t>,</w:t>
      </w:r>
      <w:r w:rsidR="00B571BE">
        <w:t xml:space="preserve"> health service staff and resources.</w:t>
      </w:r>
      <w:r w:rsidR="00407225">
        <w:fldChar w:fldCharType="begin" w:fldLock="1"/>
      </w:r>
      <w:r w:rsidR="00FE716A">
        <w:instrText>ADDIN CSL_CITATION {"citationItems":[{"id":"ITEM-1","itemData":{"DOI":"10.1016/j.diabres.2011.03.012","ISSN":"01688227","abstract":"The report on the acceptability of glycated haemoglobin, or HbA1c, as an additional test to diagnose this debilitating and deadly disease.","author":[{"dropping-particle":"","family":"World Health Organisation","given":"(WHO)","non-dropping-particle":"","parse-names":false,"suffix":""}],"container-title":"Diabetes Research and Clinical Practice","id":"ITEM-1","issue":"3","issued":{"date-parts":[["2011"]]},"page":"299-309","title":"Use of glycated haemoglobin (HbA1c) in the diagnosis of diabetes mellitus","type":"article-journal","volume":"93"},"uris":["http://www.mendeley.com/documents/?uuid=4e1d954d-78c5-4125-9bf8-e081c6faf7fc"]}],"mendeley":{"formattedCitation":"(2)","plainTextFormattedCitation":"(2)","previouslyFormattedCitation":"[2]"},"properties":{"noteIndex":0},"schema":"https://github.com/citation-style-language/schema/raw/master/csl-citation.json"}</w:instrText>
      </w:r>
      <w:r w:rsidR="00407225">
        <w:fldChar w:fldCharType="separate"/>
      </w:r>
      <w:r w:rsidR="00FE716A" w:rsidRPr="00FE716A">
        <w:rPr>
          <w:noProof/>
        </w:rPr>
        <w:t>(2)</w:t>
      </w:r>
      <w:r w:rsidR="00407225">
        <w:fldChar w:fldCharType="end"/>
      </w:r>
      <w:r w:rsidR="00B571BE">
        <w:t xml:space="preserve"> </w:t>
      </w:r>
      <w:r w:rsidR="00D47320">
        <w:t>More p</w:t>
      </w:r>
      <w:r w:rsidR="005323D0">
        <w:t>ragmatic</w:t>
      </w:r>
      <w:r w:rsidR="00B571BE">
        <w:t xml:space="preserve"> screening</w:t>
      </w:r>
      <w:r w:rsidR="00D47320">
        <w:t xml:space="preserve"> tests</w:t>
      </w:r>
      <w:r w:rsidR="00B571BE">
        <w:t>, such as glycated haemoglobin (HbA</w:t>
      </w:r>
      <w:r w:rsidR="00B571BE" w:rsidRPr="00151329">
        <w:rPr>
          <w:vertAlign w:val="subscript"/>
        </w:rPr>
        <w:t>1c</w:t>
      </w:r>
      <w:r w:rsidR="00B571BE" w:rsidRPr="008C21A4">
        <w:t>)</w:t>
      </w:r>
      <w:r w:rsidR="00D47320">
        <w:t>,</w:t>
      </w:r>
      <w:r w:rsidR="00B571BE">
        <w:t xml:space="preserve"> </w:t>
      </w:r>
      <w:r w:rsidR="00A57BFC">
        <w:t xml:space="preserve">have been </w:t>
      </w:r>
      <w:r w:rsidR="00327745">
        <w:t>recommended</w:t>
      </w:r>
      <w:r w:rsidR="00407225">
        <w:fldChar w:fldCharType="begin" w:fldLock="1"/>
      </w:r>
      <w:r w:rsidR="00FE716A">
        <w:instrText>ADDIN CSL_CITATION {"citationItems":[{"id":"ITEM-1","itemData":{"DOI":"10.1016/j.diabres.2011.03.012","ISSN":"01688227","abstract":"The report on the acceptability of glycated haemoglobin, or HbA1c, as an additional test to diagnose this debilitating and deadly disease.","author":[{"dropping-particle":"","family":"World Health Organisation","given":"(WHO)","non-dropping-particle":"","parse-names":false,"suffix":""}],"container-title":"Diabetes Research and Clinical Practice","id":"ITEM-1","issue":"3","issued":{"date-parts":[["2011"]]},"page":"299-309","title":"Use of glycated haemoglobin (HbA1c) in the diagnosis of diabetes mellitus","type":"article-journal","volume":"93"},"uris":["http://www.mendeley.com/documents/?uuid=4e1d954d-78c5-4125-9bf8-e081c6faf7fc"]},{"id":"ITEM-2","itemData":{"DOI":"10.2337/dc09-9033","ISSN":"13678930","abstract":"An International Expert Committee with members appointed by the American Diabetes Association, the European Association for the Study of Diabetes, and the International Diabetes Federation was convened in 2008 to consider the current and future means of diagnosing diabetes in nonpregnant individuals. The report of the International Expert Committee represents the consensus view of its members and not necessarily the view of the organizations that appointed them. The International Expert Committee hopes that its report will serve as a stimulus to the international community and professional organizations to consider the use of the A1C assay for the diagnosis of diabetes. Diabetes is a disease characterized by abnormal metabolism, most notably hyperglycemia, and an associated heightened risk for relatively specific long-term complications affecting the eyes, kidney, and nervous system. Although diabetes also substantially increases the risk for cardiovascular disease, cardiovascular disease is not specific to diabetes and the risk for cardiovascular disease has not been incorporated into previous definitions or classifications of diabetes or of subdiabetic hyperglycemia. ### Diagnosing diabetes based on the distribution of glucose levels Historically, the measurement of glucose has been the means of diagnosing diabetes. Type 1 diabetes has a sufficiently characteristic clinical onset, with relatively acute, extreme elevations in glucose concentrations accompanied by symptoms, such that specific blood glucose cut points are not required for diagnosis in most clinical settings. On the other hand, type 2 diabetes has a more gradual onset, with slowly rising glucose levels over time, and its diagnosis has required specified glucose values to distinguish pathologic glucose concentrations from the distribution of glucose concentrations in the nondiabetic population. Virtually every scheme for the classification and diagnosis of diabetes in modern times has relied on the measurement of plasma (or blood or serum) glucose concentrations in timed samples, such as fasting glucose; in casual samples independent of prandial status; or after a standardized …","author":[{"dropping-particle":"","family":"Nathan","given":"David M.","non-dropping-particle":"","parse-names":false,"suffix":""},{"dropping-particle":"","family":"Balkau","given":"Beverly","non-dropping-particle":"","parse-names":false,"suffix":""},{"dropping-particle":"","family":"Bonora","given":"Enzo","non-dropping-particle":"","parse-names":false,"suffix":""},{"dropping-particle":"","family":"Borch-Johnsen","given":"Knut","non-dropping-particle":"","parse-names":false,"suffix":""},{"dropping-particle":"","family":"Buse","given":"John B.","non-dropping-particle":"","parse-names":false,"suffix":""},{"dropping-particle":"","family":"Colagiuri","given":"Stephen","non-dropping-particle":"","parse-names":false,"suffix":""},{"dropping-particle":"","family":"Davidson","given":"Mayer B.","non-dropping-particle":"","parse-names":false,"suffix":""},{"dropping-particle":"","family":"DeFronzo","given":"Ralph","non-dropping-particle":"","parse-names":false,"suffix":""},{"dropping-particle":"","family":"Genuth","given":"Saul","non-dropping-particle":"","parse-names":false,"suffix":""},{"dropping-particle":"","family":"Holman","given":"Rury R.","non-dropping-particle":"","parse-names":false,"suffix":""},{"dropping-particle":"","family":"Ji","given":"Linong","non-dropping-particle":"","parse-names":false,"suffix":""},{"dropping-particle":"","family":"Kirkman","given":"Sue","non-dropping-particle":"","parse-names":false,"suffix":""},{"dropping-particle":"","family":"Knowler","given":"William C.","non-dropping-particle":"","parse-names":false,"suffix":""},{"dropping-particle":"","family":"Schatz","given":"Desmond","non-dropping-particle":"","parse-names":false,"suffix":""},{"dropping-particle":"","family":"Shaw","given":"Jonathan","non-dropping-particle":"","parse-names":false,"suffix":""},{"dropping-particle":"","family":"Sobngwi","given":"Eugene","non-dropping-particle":"","parse-names":false,"suffix":""},{"dropping-particle":"","family":"Steffes","given":"Michael","non-dropping-particle":"","parse-names":false,"suffix":""},{"dropping-particle":"","family":"Vaccaro","given":"Olga","non-dropping-particle":"","parse-names":false,"suffix":""},{"dropping-particle":"","family":"Wareham","given":"Nick","non-dropping-particle":"","parse-names":false,"suffix":""},{"dropping-particle":"","family":"Zinman","given":"Bernard","non-dropping-particle":"","parse-names":false,"suffix":""},{"dropping-particle":"","family":"Kahn","given":"Richard","non-dropping-particle":"","parse-names":false,"suffix":""}],"container-title":"Diabetes Care","id":"ITEM-2","issue":"7","issued":{"date-parts":[["2009"]]},"page":"1327-1334","title":"International expert committee report on the role of the A1C assay in the diagnosis of diabetes","type":"article-journal","volume":"32"},"uris":["http://www.mendeley.com/documents/?uuid=ce189f84-ad54-4423-9d62-13aecbc74b6b"]}],"mendeley":{"formattedCitation":"(2,3)","plainTextFormattedCitation":"(2,3)","previouslyFormattedCitation":"[2,3]"},"properties":{"noteIndex":0},"schema":"https://github.com/citation-style-language/schema/raw/master/csl-citation.json"}</w:instrText>
      </w:r>
      <w:r w:rsidR="00407225">
        <w:fldChar w:fldCharType="separate"/>
      </w:r>
      <w:r w:rsidR="00FE716A" w:rsidRPr="00FE716A">
        <w:rPr>
          <w:noProof/>
        </w:rPr>
        <w:t>(2,3)</w:t>
      </w:r>
      <w:r w:rsidR="00407225">
        <w:fldChar w:fldCharType="end"/>
      </w:r>
      <w:r w:rsidR="00A57BFC">
        <w:t xml:space="preserve">, but </w:t>
      </w:r>
      <w:r w:rsidR="00327745">
        <w:t>would still be costly</w:t>
      </w:r>
      <w:r w:rsidR="00B571BE">
        <w:t xml:space="preserve"> if conducted with sufficient frequency to identify the large numbers of patients developing hyperglycaemia each year. </w:t>
      </w:r>
      <w:r w:rsidR="00406449">
        <w:t xml:space="preserve"> </w:t>
      </w:r>
      <w:r w:rsidR="00B571BE">
        <w:t>Excess weight is a strong predictor of T2D</w:t>
      </w:r>
      <w:r w:rsidR="0088522A">
        <w:t xml:space="preserve"> </w:t>
      </w:r>
      <w:r w:rsidR="0088522A">
        <w:fldChar w:fldCharType="begin" w:fldLock="1"/>
      </w:r>
      <w:r w:rsidR="00FE716A">
        <w:instrText>ADDIN CSL_CITATION {"citationItems":[{"id":"ITEM-1","itemData":{"DOI":"10.1016/j.diabres.2010.04.012","ISSN":"01688227","abstract":"The objectives of this meta-analysis were to examine the magnitude of the relative risk (RR) of developing type 2 diabetes for overweight and obese populations, compared to those with normal weight, and to determine causes of the variation in RR between various cohort studies.The magnitude of the RR was analyzed by combining 18 prospective cohort studies that matched defined criteria. The variance in RR between studies was explored. The overall RR of diabetes for obese persons compared to those with normal weight was 7.19, 95% CI: 5.74, 9.00 and for overweight was 2.99, 95% CI: 2.42, 3.72. The variation in RR among studies was explored and it was found that the effect of heterogeneity was highly related with sample size, method of assessment of body mass index (BMI) and method of ascertainment of type 2 diabetes. By combining only cohort studies with more than 400 cases of incident diabetes (&gt;median), adjusted by at least three main confounding variables (age, family history of type 2 diabetes, physical activity), measured BMI, and diabetes determined by clinical diagnosis, the RR was 7.28, 95% CI: 6.47, 8.28 for obesity and 2.92, 95% CI: 2.57, 3.32 for overweight. © 2010 Elsevier Ireland Ltd.","author":[{"dropping-particle":"","family":"Abdullah","given":"Asnawi","non-dropping-particle":"","parse-names":false,"suffix":""},{"dropping-particle":"","family":"Peeters","given":"Anna","non-dropping-particle":"","parse-names":false,"suffix":""},{"dropping-particle":"","family":"Courten","given":"Maximilian","non-dropping-particle":"de","parse-names":false,"suffix":""},{"dropping-particle":"","family":"Stoelwinder","given":"Johannes","non-dropping-particle":"","parse-names":false,"suffix":""}],"container-title":"Diabetes Research and Clinical Practice","id":"ITEM-1","issued":{"date-parts":[["2010"]]},"title":"The magnitude of association between overweight and obesity and the risk of diabetes: A meta-analysis of prospective cohort studies","type":"article-journal"},"uris":["http://www.mendeley.com/documents/?uuid=6239f94e-1524-4372-8c9b-b36897d27006"]}],"mendeley":{"formattedCitation":"(4)","plainTextFormattedCitation":"(4)","previouslyFormattedCitation":"[4]"},"properties":{"noteIndex":0},"schema":"https://github.com/citation-style-language/schema/raw/master/csl-citation.json"}</w:instrText>
      </w:r>
      <w:r w:rsidR="0088522A">
        <w:fldChar w:fldCharType="separate"/>
      </w:r>
      <w:r w:rsidR="00FE716A" w:rsidRPr="00FE716A">
        <w:rPr>
          <w:noProof/>
        </w:rPr>
        <w:t>(4)</w:t>
      </w:r>
      <w:r w:rsidR="0088522A">
        <w:fldChar w:fldCharType="end"/>
      </w:r>
      <w:r w:rsidR="00B571BE">
        <w:t xml:space="preserve"> </w:t>
      </w:r>
      <w:r w:rsidR="0088522A">
        <w:t xml:space="preserve">and identifying </w:t>
      </w:r>
      <w:r w:rsidR="00D47320">
        <w:t xml:space="preserve">individuals </w:t>
      </w:r>
      <w:r w:rsidR="00E14FBA">
        <w:t>at risk</w:t>
      </w:r>
      <w:r w:rsidR="00D47320">
        <w:t xml:space="preserve"> of T2D</w:t>
      </w:r>
      <w:r w:rsidR="00E14FBA">
        <w:t xml:space="preserve"> </w:t>
      </w:r>
      <w:r w:rsidR="00B571BE">
        <w:t xml:space="preserve">on the basis of body mass index </w:t>
      </w:r>
      <w:r w:rsidR="00A15649">
        <w:t xml:space="preserve">(BMI) </w:t>
      </w:r>
      <w:r w:rsidR="0088522A">
        <w:t xml:space="preserve">may be </w:t>
      </w:r>
      <w:r w:rsidR="00B571BE">
        <w:t>a cheaper</w:t>
      </w:r>
      <w:r w:rsidR="004335C4">
        <w:t xml:space="preserve"> and</w:t>
      </w:r>
      <w:r w:rsidR="00B571BE">
        <w:t xml:space="preserve"> simpler approach</w:t>
      </w:r>
      <w:r w:rsidR="00407225">
        <w:fldChar w:fldCharType="begin" w:fldLock="1"/>
      </w:r>
      <w:r w:rsidR="00FE716A">
        <w:instrText>ADDIN CSL_CITATION {"citationItems":[{"id":"ITEM-1","itemData":{"DOI":"10.1186/s12889-017-4081-6","ISSN":"14712458","abstract":"© 2017 The Author(s). Background: Weight loss in individuals at high risk of diabetes is an effective prevention method and a major component of the currently prevailing diabetes prevention strategies. The aim of the present study was to investigate the public health potential for diabetes prevention of weight maintenance or moderate weight loss on a population level in an observational cohort with repeated measurements of weight and diabetes status. Methods: Height, weight and diabetes status were objectively measured at baseline and 10 year follow-up in a population-based cohort of 33,184 participants aged 30-60 years between 1990 and 2013 in Västerbotten County, Sweden. The association between risk of incident diabetes and change in BMI or relative weight was modelled using multivariate logistic regression. Population attributable fractions (PAF) were used to assess population impact of shift in weight. Results: Mean (SD) BMI at baseline was 25.0 (3.6) kg/m2. Increase in relative weight between baseline and follow-up was linearly associated with incident diabetes risk, odds ratio (OR) 1.05 (95% confidence interval (CI) 1.04-1.06) per 1% change in weight. Compared to weight maintenance (±1.0 kg/m2), weight gain of  &gt;  +1.0 kg/m2 was associated with an increased risk of incident diabetes, OR 1.52 (95% CI 1.32, 1.74), representing a PAF of 21.9% (95% CI 15.8, 27.6%). For moderate weight loss (−1.0 to −2.0 kg/m2) the OR was 0.72 (95% CI 0.52, 0.99). Conclusions: Weight maintenance in adulthood is strongly associated with reduced incident diabetes risk and there is considerable potential for diabetes prevention in promoting this as a whole population strategy.","author":[{"dropping-particle":"","family":"Feldman","given":"A.L.","non-dropping-particle":"","parse-names":false,"suffix":""},{"dropping-particle":"","family":"Griffin","given":"S.J.","non-dropping-particle":"","parse-names":false,"suffix":""},{"dropping-particle":"","family":"Ahern","given":"A.L.","non-dropping-particle":"","parse-names":false,"suffix":""},{"dropping-particle":"","family":"Long","given":"G.H.","non-dropping-particle":"","parse-names":false,"suffix":""},{"dropping-particle":"","family":"Weinehall","given":"L.","non-dropping-particle":"","parse-names":false,"suffix":""},{"dropping-particle":"","family":"Fhärm","given":"E.","non-dropping-particle":"","parse-names":false,"suffix":""},{"dropping-particle":"","family":"Norberg","given":"M.","non-dropping-particle":"","parse-names":false,"suffix":""},{"dropping-particle":"","family":"Wennberg","given":"P.","non-dropping-particle":"","parse-names":false,"suffix":""}],"container-title":"BMC Public Health","id":"ITEM-1","issue":"1","issued":{"date-parts":[["2017"]]},"title":"Impact of weight maintenance and loss on diabetes risk and burden: a population-based study in 33,184 participants","type":"article-journal","volume":"17"},"uris":["http://www.mendeley.com/documents/?uuid=2032bd01-c1c8-3e2a-959d-59c5436f6f88"]}],"mendeley":{"formattedCitation":"(5)","plainTextFormattedCitation":"(5)","previouslyFormattedCitation":"[5]"},"properties":{"noteIndex":0},"schema":"https://github.com/citation-style-language/schema/raw/master/csl-citation.json"}</w:instrText>
      </w:r>
      <w:r w:rsidR="00407225">
        <w:fldChar w:fldCharType="separate"/>
      </w:r>
      <w:r w:rsidR="00FE716A" w:rsidRPr="00FE716A">
        <w:rPr>
          <w:noProof/>
        </w:rPr>
        <w:t>(5)</w:t>
      </w:r>
      <w:r w:rsidR="00407225">
        <w:fldChar w:fldCharType="end"/>
      </w:r>
      <w:r w:rsidR="00B571BE">
        <w:t xml:space="preserve">. </w:t>
      </w:r>
      <w:r w:rsidR="00406449">
        <w:t xml:space="preserve"> Diabetes prevention programmes that </w:t>
      </w:r>
      <w:r w:rsidR="00FC0057">
        <w:t xml:space="preserve">only include </w:t>
      </w:r>
      <w:r w:rsidR="00B02D1B">
        <w:t xml:space="preserve">people with a </w:t>
      </w:r>
      <w:r w:rsidR="00406449">
        <w:t xml:space="preserve">BMI </w:t>
      </w:r>
      <w:r w:rsidR="00327745">
        <w:t>≥</w:t>
      </w:r>
      <w:r w:rsidR="00406449">
        <w:t xml:space="preserve">25 kg/m²  </w:t>
      </w:r>
      <w:r w:rsidR="00327745">
        <w:t xml:space="preserve">show </w:t>
      </w:r>
      <w:r w:rsidR="00406449">
        <w:t xml:space="preserve">50% greater reduction in </w:t>
      </w:r>
      <w:r w:rsidR="00B02D1B">
        <w:t xml:space="preserve">risk of T2D </w:t>
      </w:r>
      <w:r w:rsidR="00406449">
        <w:t xml:space="preserve">than those that </w:t>
      </w:r>
      <w:r w:rsidR="00327745">
        <w:t>also enrol people with lower BMI</w:t>
      </w:r>
      <w:r w:rsidR="00406449">
        <w:t>.</w:t>
      </w:r>
      <w:r w:rsidR="00406449">
        <w:fldChar w:fldCharType="begin" w:fldLock="1"/>
      </w:r>
      <w:r w:rsidR="00FE716A">
        <w:instrText>ADDIN CSL_CITATION {"citationItems":[{"id":"ITEM-1","itemData":{"author":[{"dropping-particle":"","family":"Nuzhat","given":"Ashra","non-dropping-particle":"","parse-names":false,"suffix":""},{"dropping-particle":"","family":"Spong","given":"Rebecca","non-dropping-particle":"","parse-names":false,"suffix":""},{"dropping-particle":"","family":"Carter","given":"Patrice","non-dropping-particle":"","parse-names":false,"suffix":""},{"dropping-particle":"","family":"Davies","given":"Melanie","non-dropping-particle":"","parse-names":false,"suffix":""},{"dropping-particle":"","family":"Dunkley","given":"Alison","non-dropping-particle":"","parse-names":false,"suffix":""},{"dropping-particle":"","family":"Gillies","given":"Clare","non-dropping-particle":"","parse-names":false,"suffix":""},{"dropping-particle":"","family":"Greaves","given":"Colin","non-dropping-particle":"","parse-names":false,"suffix":""},{"dropping-particle":"","family":"Khunti","given":"Kamlesh","non-dropping-particle":"","parse-names":false,"suffix":""},{"dropping-particle":"","family":"Sutton","given":"Sarah","non-dropping-particle":"","parse-names":false,"suffix":""},{"dropping-particle":"","family":"Yates","given":"Thomas","non-dropping-particle":"","parse-names":false,"suffix":""},{"dropping-particle":"","family":"Youssef","given":"Dalia","non-dropping-particle":"","parse-names":false,"suffix":""},{"dropping-particle":"","family":"Gray.","given":"Laura","non-dropping-particle":"","parse-names":false,"suffix":""}],"container-title":"England, Public Health","id":"ITEM-1","issued":{"date-parts":[["2015"]]},"number-of-pages":"1-172","title":"A systematic review and meta- analysis assessing the effectiveness of pragmatic lifestyle interventions for the prevention of type 2 diabetes mellitus in routine practice About Public Health England","type":"report"},"uris":["http://www.mendeley.com/documents/?uuid=44b98c56-a976-488e-93b0-9057d47c89f9"]}],"mendeley":{"formattedCitation":"(6)","plainTextFormattedCitation":"(6)","previouslyFormattedCitation":"[6]"},"properties":{"noteIndex":0},"schema":"https://github.com/citation-style-language/schema/raw/master/csl-citation.json"}</w:instrText>
      </w:r>
      <w:r w:rsidR="00406449">
        <w:fldChar w:fldCharType="separate"/>
      </w:r>
      <w:r w:rsidR="00FE716A" w:rsidRPr="00FE716A">
        <w:rPr>
          <w:noProof/>
        </w:rPr>
        <w:t>(6)</w:t>
      </w:r>
      <w:r w:rsidR="00406449">
        <w:fldChar w:fldCharType="end"/>
      </w:r>
      <w:r w:rsidR="00406449">
        <w:t xml:space="preserve"> However, to date, no studies of diabetes prevention programmes have used excess weight as the sole inclusion </w:t>
      </w:r>
      <w:r w:rsidR="00327745">
        <w:t>criterion</w:t>
      </w:r>
      <w:r w:rsidR="00406449">
        <w:t>.</w:t>
      </w:r>
    </w:p>
    <w:p w14:paraId="387A9EB3" w14:textId="4F3A92A5" w:rsidR="00A57BFC" w:rsidRDefault="005773FD" w:rsidP="00406449">
      <w:r>
        <w:t>I</w:t>
      </w:r>
      <w:r w:rsidR="00406449">
        <w:t xml:space="preserve">ntensive </w:t>
      </w:r>
      <w:r w:rsidR="006B6A87">
        <w:t>behavioural programmes</w:t>
      </w:r>
      <w:r w:rsidR="00406449">
        <w:t xml:space="preserve"> </w:t>
      </w:r>
      <w:r w:rsidR="00B02D1B">
        <w:t>evaluated</w:t>
      </w:r>
      <w:r w:rsidR="00406449">
        <w:t xml:space="preserve"> in the diabetes prevention </w:t>
      </w:r>
      <w:r w:rsidR="006B6A87">
        <w:t>trials</w:t>
      </w:r>
      <w:r w:rsidR="00406449">
        <w:t xml:space="preserve"> </w:t>
      </w:r>
      <w:r w:rsidR="00B02D1B">
        <w:t>can</w:t>
      </w:r>
      <w:r w:rsidR="003E2951">
        <w:t xml:space="preserve"> only be offered</w:t>
      </w:r>
      <w:r w:rsidR="00B02D1B">
        <w:t xml:space="preserve"> </w:t>
      </w:r>
      <w:r w:rsidR="003E2951">
        <w:t>to a fraction of those with hyperglycaemia</w:t>
      </w:r>
      <w:r>
        <w:t xml:space="preserve"> because they are </w:t>
      </w:r>
      <w:proofErr w:type="gramStart"/>
      <w:r>
        <w:t>costly</w:t>
      </w:r>
      <w:proofErr w:type="gramEnd"/>
      <w:r>
        <w:t xml:space="preserve"> and the </w:t>
      </w:r>
      <w:r w:rsidR="006E34BB" w:rsidRPr="006E34BB">
        <w:t xml:space="preserve">necessary </w:t>
      </w:r>
      <w:r>
        <w:t>specialised workforce is scarce</w:t>
      </w:r>
      <w:r w:rsidR="00406449">
        <w:t xml:space="preserve">. A recent systematic review found that </w:t>
      </w:r>
      <w:r w:rsidR="003E2951">
        <w:t>less intensive behavioural programmes</w:t>
      </w:r>
      <w:r w:rsidR="00406449">
        <w:t xml:space="preserve"> in routine healthcare or community settings achieve</w:t>
      </w:r>
      <w:r w:rsidR="007E30EA">
        <w:t>d</w:t>
      </w:r>
      <w:r w:rsidR="00406449">
        <w:t xml:space="preserve"> a 26% reduction in </w:t>
      </w:r>
      <w:r w:rsidR="003E2951">
        <w:t>T2D risk</w:t>
      </w:r>
      <w:r w:rsidR="007E30EA">
        <w:t>, and a lower average weight loss of 2.6kg</w:t>
      </w:r>
      <w:r w:rsidR="00D75E31">
        <w:t xml:space="preserve"> (</w:t>
      </w:r>
      <w:r w:rsidR="003E2951">
        <w:t>compared to</w:t>
      </w:r>
      <w:r w:rsidR="00D75E31">
        <w:t xml:space="preserve"> </w:t>
      </w:r>
      <w:r w:rsidR="00D406D5">
        <w:t xml:space="preserve">58% risk reduction and </w:t>
      </w:r>
      <w:r w:rsidR="005323D0">
        <w:t>6</w:t>
      </w:r>
      <w:r w:rsidR="00D75E31">
        <w:t xml:space="preserve">kg </w:t>
      </w:r>
      <w:r w:rsidR="00D406D5">
        <w:t xml:space="preserve">weight loss </w:t>
      </w:r>
      <w:r w:rsidR="00D75E31">
        <w:t>in the US Diabetes Prevention Programme)</w:t>
      </w:r>
      <w:r w:rsidR="00406449">
        <w:t>.</w:t>
      </w:r>
      <w:r w:rsidR="00DD6D77">
        <w:fldChar w:fldCharType="begin" w:fldLock="1"/>
      </w:r>
      <w:r w:rsidR="00FE716A">
        <w:instrText>ADDIN CSL_CITATION {"citationItems":[{"id":"ITEM-1","itemData":{"DOI":"10.1056/NEJMoa012512","ISBN":"1533-4406 (Electronic)\\n0028-4793 (Linking)","ISSN":"1533-4406","PMID":"11832527","abstract":"BACKGROUND: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 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 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 CONCLUSIONS: Lifestyle changes and treatment with metformin both reduced the incidence of diabetes in persons at high risk. The lifestyle intervention was more effective than metformin.","author":[{"dropping-particle":"","family":"Knowler","given":"William C","non-dropping-particle":"","parse-names":false,"suffix":""},{"dropping-particle":"","family":"Barrett-Connor","given":"Elizabeth","non-dropping-particle":"","parse-names":false,"suffix":""},{"dropping-particle":"","family":"Fowler","given":"Sarah E","non-dropping-particle":"","parse-names":false,"suffix":""},{"dropping-particle":"","family":"Hamman","given":"Richard F","non-dropping-particle":"","parse-names":false,"suffix":""},{"dropping-particle":"","family":"Lachin","given":"John M","non-dropping-particle":"","parse-names":false,"suffix":""},{"dropping-particle":"","family":"Walker","given":"Elizabeth A","non-dropping-particle":"","parse-names":false,"suffix":""},{"dropping-particle":"","family":"Nathan","given":"David M","non-dropping-particle":"","parse-names":false,"suffix":""}],"container-title":"The New England journal of medicine","id":"ITEM-1","issued":{"date-parts":[["2002"]]},"page":"393-403","title":"Reduction in the incidence of type 2 diabetes with lifestyle intervention or metformin.","type":"article-journal","volume":"346"},"uris":["http://www.mendeley.com/documents/?uuid=d736f1ed-4da3-44fa-998b-86d90ea1a43a"]}],"mendeley":{"formattedCitation":"(7)","plainTextFormattedCitation":"(7)","previouslyFormattedCitation":"[7]"},"properties":{"noteIndex":0},"schema":"https://github.com/citation-style-language/schema/raw/master/csl-citation.json"}</w:instrText>
      </w:r>
      <w:r w:rsidR="00DD6D77">
        <w:fldChar w:fldCharType="separate"/>
      </w:r>
      <w:r w:rsidR="00FE716A" w:rsidRPr="00FE716A">
        <w:rPr>
          <w:noProof/>
        </w:rPr>
        <w:t>(7)</w:t>
      </w:r>
      <w:r w:rsidR="00DD6D77">
        <w:fldChar w:fldCharType="end"/>
      </w:r>
      <w:r w:rsidR="00371A84">
        <w:t xml:space="preserve"> </w:t>
      </w:r>
      <w:r w:rsidR="00406449">
        <w:t xml:space="preserve">However, this review only included programmes </w:t>
      </w:r>
      <w:r w:rsidR="003E2951">
        <w:t xml:space="preserve">with the specified </w:t>
      </w:r>
      <w:r w:rsidR="00406449">
        <w:t xml:space="preserve">aim </w:t>
      </w:r>
      <w:r w:rsidR="003E2951">
        <w:t>of</w:t>
      </w:r>
      <w:r w:rsidR="00406449">
        <w:t xml:space="preserve"> reduc</w:t>
      </w:r>
      <w:r w:rsidR="003E2951">
        <w:t>ing</w:t>
      </w:r>
      <w:r w:rsidR="00406449">
        <w:t xml:space="preserve"> diabetes incidence</w:t>
      </w:r>
      <w:r w:rsidR="00327745">
        <w:t xml:space="preserve"> and</w:t>
      </w:r>
      <w:r w:rsidR="00D406D5">
        <w:t xml:space="preserve"> </w:t>
      </w:r>
      <w:r w:rsidR="00406449">
        <w:t xml:space="preserve">excluded </w:t>
      </w:r>
      <w:r>
        <w:t>most</w:t>
      </w:r>
      <w:r w:rsidR="00406449">
        <w:t xml:space="preserve"> </w:t>
      </w:r>
      <w:r w:rsidR="006B6A87">
        <w:t xml:space="preserve">behavioural </w:t>
      </w:r>
      <w:r w:rsidR="00406449">
        <w:t xml:space="preserve">programmes that </w:t>
      </w:r>
      <w:r w:rsidR="00642A3B">
        <w:t>focus on weight loss</w:t>
      </w:r>
      <w:r w:rsidR="00327745">
        <w:t>, despite both types of programme encouraging</w:t>
      </w:r>
      <w:r w:rsidR="00642A3B">
        <w:t xml:space="preserve"> </w:t>
      </w:r>
      <w:r w:rsidR="00327745">
        <w:t xml:space="preserve">very similar </w:t>
      </w:r>
      <w:r w:rsidR="00642A3B">
        <w:t xml:space="preserve">changes in diet and physical activity </w:t>
      </w:r>
      <w:r w:rsidR="00327745">
        <w:t>using</w:t>
      </w:r>
      <w:r w:rsidR="00406449">
        <w:t xml:space="preserve"> similar behavioural strategies. </w:t>
      </w:r>
      <w:r w:rsidR="00D75E31">
        <w:t>C</w:t>
      </w:r>
      <w:r w:rsidR="00406449">
        <w:t xml:space="preserve">ommercial open-group behavioural weight </w:t>
      </w:r>
      <w:r w:rsidR="004C1013">
        <w:t>management</w:t>
      </w:r>
      <w:r w:rsidR="00406449">
        <w:t xml:space="preserve"> programmes, such as </w:t>
      </w:r>
      <w:r w:rsidR="00327745">
        <w:t>WW® (formerly Weight Watchers)</w:t>
      </w:r>
      <w:r>
        <w:t xml:space="preserve"> and Slimming World</w:t>
      </w:r>
      <w:r w:rsidR="00406449">
        <w:t xml:space="preserve">, are </w:t>
      </w:r>
      <w:r w:rsidR="00BC5B6D">
        <w:t xml:space="preserve">some </w:t>
      </w:r>
      <w:r w:rsidR="005323D0">
        <w:t xml:space="preserve">of the most commonly commissioned weight </w:t>
      </w:r>
      <w:r w:rsidR="004C1013">
        <w:t xml:space="preserve">management </w:t>
      </w:r>
      <w:r w:rsidR="005323D0">
        <w:t xml:space="preserve">treatments </w:t>
      </w:r>
      <w:r>
        <w:t>in the UK</w:t>
      </w:r>
      <w:r w:rsidR="00407225">
        <w:t>, have evidence of effectiveness</w:t>
      </w:r>
      <w:r>
        <w:t xml:space="preserve"> </w:t>
      </w:r>
      <w:r w:rsidR="00BC5B6D">
        <w:t xml:space="preserve">from randomised controlled trials (RCT) </w:t>
      </w:r>
      <w:r w:rsidR="005323D0">
        <w:t xml:space="preserve">and </w:t>
      </w:r>
      <w:r w:rsidR="000B65AA">
        <w:t>are less costly than</w:t>
      </w:r>
      <w:r w:rsidR="00406449">
        <w:t xml:space="preserve"> </w:t>
      </w:r>
      <w:r w:rsidR="00FC0057">
        <w:t xml:space="preserve">most </w:t>
      </w:r>
      <w:r w:rsidR="00406449">
        <w:t>diabetes prevention programmes.</w:t>
      </w:r>
      <w:r w:rsidR="001F1799">
        <w:fldChar w:fldCharType="begin" w:fldLock="1"/>
      </w:r>
      <w:r w:rsidR="00FE716A">
        <w:instrText>ADDIN CSL_CITATION {"citationItems":[{"id":"ITEM-1","itemData":{"DOI":"10.1136/bmjopen-2016-014953","ISBN":"2044-6055","ISSN":"20446055","PMID":"28827235","abstract":"OBJECTIVES To evaluate potential return on investment of the National Health Service Diabetes Prevention Programme (NHS DPP) in England and estimate which population subgroups are likely to benefit most in terms of cost-effectiveness, cost-savings and health benefits. DESIGN Economic analysis using the School for Public Health Research Diabetes Prevention Model. SETTING England 2015-2016. POPULATION Adults aged ≥16 with high risk of type 2 diabetes (HbA1c 6%-6.4%). Population subgroups defined by age, sex, ethnicity, socioeconomic deprivation, baseline body mass index, baseline HbA1c and working status. INTERVENTIONS The proposed NHS DPP: an intensive lifestyle intervention focusing on dietary advice, physical activity and weight loss. Comparator: no diabetes prevention intervention. MAIN OUTCOME MEASURES Incremental costs, savings and return on investment, quality-adjusted life-years (QALYs), diabetes cases, cardiovascular cases and net monetary benefit from an NHS perspective. RESULTS Intervention costs will be recouped through NHS savings within 12 years, with net NHS saving of £1.28 over 20 years for each £1 invested. Per 100 000 DPP interventions given, 3552 QALYs are gained. The DPP is most cost-effective and cost-saving in obese individuals, those with baseline HbA1c 6.2%-6.4% and those aged 40-74. QALY gains are lower in minority ethnic and low socioeconomic status subgroups. Probabilistic sensitivity analysis suggests that there is 97% probability that the DPP will be cost-effective within 20 years. NHS savings are highly sensitive to intervention cost, effectiveness and duration of effect. CONCLUSIONS The DPP is likely to be cost-effective and cost-saving under current assumptions. Prioritising obese individuals could create the most value for money and obtain the greatest health benefits per individual targeted. Low socioeconomic status or ethnic minority groups may gain fewer QALYs per intervention, so targeting strategies should ensure the DPP does not contribute to widening health inequalities. Further evidence is needed around the differential responsiveness of population subgroups to the DPP.","author":[{"dropping-particle":"","family":"Thomas","given":"Chloe","non-dropping-particle":"","parse-names":false,"suffix":""},{"dropping-particle":"","family":"Sadler","given":"Susi","non-dropping-particle":"","parse-names":false,"suffix":""},{"dropping-particle":"","family":"Breeze","given":"Penny","non-dropping-particle":"","parse-names":false,"suffix":""},{"dropping-particle":"","family":"Squires","given":"Hazel","non-dropping-particle":"","parse-names":false,"suffix":""},{"dropping-particle":"","family":"Gillett","given":"Michael","non-dropping-particle":"","parse-names":false,"suffix":""},{"dropping-particle":"","family":"Brennan","given":"Alan","non-dropping-particle":"","parse-names":false,"suffix":""}],"container-title":"BMJ Open","id":"ITEM-1","issued":{"date-parts":[["2017"]]},"title":"Assessing the potential return on investment of the proposed UK NHS diabetes prevention programme in different population subgroups: An economic evaluation","type":"article-journal"},"uris":["http://www.mendeley.com/documents/?uuid=e496cfe2-5fbf-4d57-a143-a9a149dcca89"]},{"id":"ITEM-2","itemData":{"DOI":"10.1016/S0140-6736(17)30647-5","ISBN":"01406736","ISSN":"1474547X","PMID":"28478041","abstract":"Background Evidence exist that primary care referral to an open-group behavioural programme is an effective strategy for management of obesity, but little evidence on optimal intervention duration is available. We aimed to establish whether 52-week referral to an open-group weight-management programme would achieve greater weight loss and improvements in a range of health outcomes and be more cost-effective than the current practice of 12-week referrals. Methods In this non-blinded, parallel-group, randomised controlled trial, we recruited participants who were aged 18 years or older and had body-mass index (BMI) of 28 kg/m2 or higher from 23 primary care practices in England. Participants were randomly assigned (2:5:5) to brief advice and self-help materials, a weight-management programme (Weight Watchers) for 12 weeks, or the same weight-management programme for 52 weeks. We followed-up participants over 2 years. The primary outcome was weight at 1 year of follow-up, analysed with mixed-effects models according to intention-to-treat principles and adjusted for centre and baseline weight. In a hierarchical closed-testing procedure, we compared combined behavioural programme arms with brief intervention, then compared the 12-week programme and 52-week programme. We did a within-trial cost-effectiveness analysis using person-level data and modelled outcomes over a 25-year time horizon using microsimulation. This study is registered with Current Controlled Trials, number ISRCTN82857232. Findings Between Oct 18, 2012, and Feb 10, 2014, we enrolled 1269 participants. 1267 eligible participants were randomly assigned to the brief intervention (n=211), the 12-week programme (n=528), and the 52-week programme (n=528). Two participants in the 12-week programme had been found to be ineligible shortly after randomisation and were excluded from the analysis. 823 (65%) of 1267 participants completed an assessment at 1 year and 856 (68%) participants at 2 years. All eligible participants were included in the analyses. At 1 year, mean weight changes in the groups were −3·26 kg (brief intervention), −4·75 kg (12-week programme), and −6·76 kg (52-week programme). Participants in the behavioural programme lost more weight than those in the brief intervention (adjusted difference −2·71 kg, 95% CI −3·86 to −1·55; p&lt;0·0001). The 52-week programme was more effective than the 12-week programme (−2·14 kg, −3·05 to −1·22; p&lt;0·0001). Differences between groups were still signif…","author":[{"dropping-particle":"","family":"Ahern","given":"Amy L.","non-dropping-particle":"","parse-names":false,"suffix":""},{"dropping-particle":"","family":"Wheeler","given":"Graham M.","non-dropping-particle":"","parse-names":false,"suffix":""},{"dropping-particle":"","family":"Aveyard","given":"Paul","non-dropping-particle":"","parse-names":false,"suffix":""},{"dropping-particle":"","family":"Boyland","given":"Emma J.","non-dropping-particle":"","parse-names":false,"suffix":""},{"dropping-particle":"","family":"Halford","given":"Jason C.G.","non-dropping-particle":"","parse-names":false,"suffix":""},{"dropping-particle":"","family":"Mander","given":"Adrian P.","non-dropping-particle":"","parse-names":false,"suffix":""},{"dropping-particle":"","family":"Woolston","given":"Jennifer","non-dropping-particle":"","parse-names":false,"suffix":""},{"dropping-particle":"","family":"Thomson","given":"Ann M.","non-dropping-particle":"","parse-names":false,"suffix":""},{"dropping-particle":"","family":"Tsiountsioura","given":"Melina","non-dropping-particle":"","parse-names":false,"suffix":""},{"dropping-particle":"","family":"Cole","given":"Darren","non-dropping-particle":"","parse-names":false,"suffix":""},{"dropping-particle":"","family":"Mead","given":"Bethan R.","non-dropping-particle":"","parse-names":false,"suffix":""},{"dropping-particle":"","family":"Irvine","given":"Lisa","non-dropping-particle":"","parse-names":false,"suffix":""},{"dropping-particle":"","family":"Turner","given":"David","non-dropping-particle":"","parse-names":false,"suffix":""},{"dropping-particle":"","family":"Suhrcke","given":"Marc","non-dropping-particle":"","parse-names":false,"suffix":""},{"dropping-particle":"","family":"Pimpin","given":"Laura","non-dropping-particle":"","parse-names":false,"suffix":""},{"dropping-particle":"","family":"Retat","given":"Lise","non-dropping-particle":"","parse-names":false,"suffix":""},{"dropping-particle":"","family":"Jaccard","given":"Abbygail","non-dropping-particle":"","parse-names":false,"suffix":""},{"dropping-particle":"","family":"Webber","given":"Laura","non-dropping-particle":"","parse-names":false,"suffix":""},{"dropping-particle":"","family":"Cohn","given":"Simon R.","non-dropping-particle":"","parse-names":false,"suffix":""},{"dropping-particle":"","family":"Jebb","given":"Susan A.","non-dropping-particle":"","parse-names":false,"suffix":""}],"container-title":"The Lancet","id":"ITEM-2","issue":"10085","issued":{"date-parts":[["2017"]]},"page":"2214-2225","title":"Extended and standard duration weight-loss programme referrals for adults in primary care (WRAP): a randomised controlled trial","type":"article-journal","volume":"389"},"uris":["http://www.mendeley.com/documents/?uuid=b3f918b6-e73e-43b2-8e08-7d9e14240621"]},{"id":"ITEM-3","itemData":{"DOI":"S0140-6736(11)61344-5 [pii]\\r10.1016/S0140-6736(11)61344-5","ISBN":"1474-547X (Electronic)\\r0140-6736 (Linking)","ISSN":"0140-6736","PMID":"21906798","abstract":"The increasing prevalence of overweight and obesity needs effective approaches for weight loss in primary care and community settings. We compared weight loss with standard treatment in primary care with that achieved after referral by the primary care team to a commercial provider in the community. In this parallel group, non-blinded, randomised controlled trial, 772 overweight and obese adults were recruited by primary care practices in Australia, Germany, and the UK. Participants were randomly assigned with a computer-generated simple randomisation sequence to receive either 12 months of standard care as defined by national treatment guidelines, or 12 months of free membership to a commercial programme (Weight Watchers), and followed up for 12 months. The primary outcome was weight change over 12 months. Analysis was by intention to treat (last observation carried forward [LOCF] and baseline observation carried forward [BOCF]) and in the population who completed the 12-month assessment. This trial is registered, number ISRCTN85485463. 377 participants were assigned to the commercial programme, of whom 230 (61) completed the 12-month assessment; and 395 were assigned to standard care, of whom 214 (54) completed the 12-month assessment. In all analyses, participants in the commercial programme group lost twice as much weight as did those in the standard care group. Mean weight change at 12 months was -506 kg (SE 031) for those in the commercial programme versus -225 kg (021) for those receiving standard care (adjusted difference -277 kg, 95 CI -350 to -203) with LOCI -406 kg (031) versus -177 kg (019; adjusted difference -229 kg, -299 to -158) with BOCI and -665 kg (043) versus -326 kg (033; adjusted difference -316 kg, -423 to -211) for those who completed the 12-month assessment. Participants reported no adverse events related to trial participation. Referral by a primary health-care professional to a commercial weight loss programme that provides regular weighing, advice about diet and physical activity, motivation, and group support can offer a clinically useful early intervention for weight management in overweight and obese people that can be delivered at large scale. Weight Watchers International, through a grant to the UK Medical Research Council. 2011 Elsevier Ltd.","author":[{"dropping-particle":"","family":"Jebb","given":"S A","non-dropping-particle":"","parse-names":false,"suffix":""},{"dropping-particle":"","family":"Ahern","given":"A L","non-dropping-particle":"","parse-names":false,"suffix":""},{"dropping-particle":"","family":"Olson","given":"A D","non-dropping-particle":"","parse-names":false,"suffix":""},{"dropping-particle":"","family":"Aston","given":"L M","non-dropping-particle":"","parse-names":false,"suffix":""},{"dropping-particle":"","family":"Holzapfel","given":"C","non-dropping-particle":"","parse-names":false,"suffix":""},{"dropping-particle":"","family":"Stoll","given":"J","non-dropping-particle":"","parse-names":false,"suffix":""},{"dropping-particle":"","family":"Amann-Gassner","given":"U","non-dropping-particle":"","parse-names":false,"suffix":""},{"dropping-particle":"","family":"Simpson","given":"A E","non-dropping-particle":"","parse-names":false,"suffix":""},{"dropping-particle":"","family":"Fuller","given":"N R","non-dropping-particle":"","parse-names":false,"suffix":""},{"dropping-particle":"","family":"Pearson","given":"S","non-dropping-particle":"","parse-names":false,"suffix":""},{"dropping-particle":"","family":"Lau","given":"N S","non-dropping-particle":"","parse-names":false,"suffix":""},{"dropping-particle":"","family":"Mander","given":"A P","non-dropping-particle":"","parse-names":false,"suffix":""},{"dropping-particle":"","family":"Hauner","given":"H","non-dropping-particle":"","parse-names":false,"suffix":""},{"dropping-particle":"","family":"Caterson","given":"I D","non-dropping-particle":"","parse-names":false,"suffix":""}],"container-title":"The Lancet","id":"ITEM-3","issue":"9801","issued":{"date-parts":[["2011"]]},"page":"1485-1492","title":"Primary care referral to a commercial provider for weight loss treatment versus standard care: a randomised controlled trial","type":"article-journal","volume":"378"},"uris":["http://www.mendeley.com/documents/?uuid=3ae9d619-e3c0-4c76-8e91-ac611b534bed"]},{"id":"ITEM-4","itemData":{"DOI":"10.1016/S0140-6736(16)31893-1","ISSN":"01406736","author":[{"dropping-particle":"","family":"Aveyard","given":"Paul","non-dropping-particle":"","parse-names":false,"suffix":""},{"dropping-particle":"","family":"Lewis","given":"Amanda","non-dropping-particle":"","parse-names":false,"suffix":""},{"dropping-particle":"","family":"Tearne","given":"Sarah","non-dropping-particle":"","parse-names":false,"suffix":""},{"dropping-particle":"","family":"Hood","given":"Kathryn","non-dropping-particle":"","parse-names":false,"suffix":""},{"dropping-particle":"","family":"Christian-Brown","given":"Anna","non-dropping-particle":"","parse-names":false,"suffix":""},{"dropping-particle":"","family":"Adab","given":"Peymane","non-dropping-particle":"","parse-names":false,"suffix":""},{"dropping-particle":"","family":"Begh","given":"Rachna","non-dropping-particle":"","parse-names":false,"suffix":""},{"dropping-particle":"","family":"Jolly","given":"Kate","non-dropping-particle":"","parse-names":false,"suffix":""},{"dropping-particle":"","family":"Daley","given":"Amanda","non-dropping-particle":"","parse-names":false,"suffix":""},{"dropping-particle":"","family":"Farley","given":"Amanda","non-dropping-particle":"","parse-names":false,"suffix":""},{"dropping-particle":"","family":"Lycett","given":"Deborah","non-dropping-particle":"","parse-names":false,"suffix":""},{"dropping-particle":"","family":"Nickless","given":"Alecia","non-dropping-particle":"","parse-names":false,"suffix":""},{"dropping-particle":"","family":"Yu","given":"Ly-Mee","non-dropping-particle":"","parse-names":false,"suffix":""},{"dropping-particle":"","family":"Retat","given":"Lise","non-dropping-particle":"","parse-names":false,"suffix":""},{"dropping-particle":"","family":"Webber","given":"Laura","non-dropping-particle":"","parse-names":false,"suffix":""},{"dropping-particle":"","family":"Pimpin","given":"Laura","non-dropping-particle":"","parse-names":false,"suffix":""},{"dropping-particle":"","family":"Jebb","given":"Susan A","non-dropping-particle":"","parse-names":false,"suffix":""}],"container-title":"The Lancet","id":"ITEM-4","issue":"16","issued":{"date-parts":[["2016"]]},"page":"1-9","publisher":"The Author(s). Published by Elsevier Ltd. This is an Open Access article under the CC BY license.","title":"Screening and brief intervention for obesity in primary care: a parallel, two-arm, randomised trial","type":"article-journal","volume":"6736"},"uris":["http://www.mendeley.com/documents/?uuid=7a2abf84-9e3d-4640-99ed-dcf52af04baf"]}],"mendeley":{"formattedCitation":"(8–11)","plainTextFormattedCitation":"(8–11)","previouslyFormattedCitation":"[8–11]"},"properties":{"noteIndex":0},"schema":"https://github.com/citation-style-language/schema/raw/master/csl-citation.json"}</w:instrText>
      </w:r>
      <w:r w:rsidR="001F1799">
        <w:fldChar w:fldCharType="separate"/>
      </w:r>
      <w:r w:rsidR="00FE716A" w:rsidRPr="00FE716A">
        <w:rPr>
          <w:noProof/>
        </w:rPr>
        <w:t>(8–11)</w:t>
      </w:r>
      <w:r w:rsidR="001F1799">
        <w:fldChar w:fldCharType="end"/>
      </w:r>
      <w:r w:rsidR="00916B98">
        <w:t xml:space="preserve"> </w:t>
      </w:r>
      <w:r w:rsidR="003118AB">
        <w:t>However,</w:t>
      </w:r>
      <w:r w:rsidR="00A57BFC">
        <w:t xml:space="preserve"> there is little direct evidence of</w:t>
      </w:r>
      <w:r w:rsidR="003118AB">
        <w:t xml:space="preserve"> the impact </w:t>
      </w:r>
      <w:r w:rsidR="00D406D5">
        <w:t xml:space="preserve">of </w:t>
      </w:r>
      <w:r w:rsidR="003118AB">
        <w:t xml:space="preserve">these </w:t>
      </w:r>
      <w:r w:rsidR="00FC0057">
        <w:t xml:space="preserve">generic weight loss </w:t>
      </w:r>
      <w:r w:rsidR="003118AB">
        <w:t xml:space="preserve">programmes on </w:t>
      </w:r>
      <w:r w:rsidR="00FC0057">
        <w:t xml:space="preserve">the risk of developing </w:t>
      </w:r>
      <w:r w:rsidR="003118AB">
        <w:t>hyperglycaemia</w:t>
      </w:r>
      <w:r w:rsidR="00FC0057">
        <w:t xml:space="preserve"> or</w:t>
      </w:r>
      <w:r w:rsidR="003118AB">
        <w:t xml:space="preserve"> diabetes</w:t>
      </w:r>
      <w:r w:rsidR="00A15649">
        <w:t>,</w:t>
      </w:r>
      <w:r w:rsidR="00FC0057">
        <w:t xml:space="preserve"> </w:t>
      </w:r>
      <w:r w:rsidR="00BC5B6D">
        <w:t xml:space="preserve">or </w:t>
      </w:r>
      <w:r w:rsidR="00A15649">
        <w:t xml:space="preserve">on </w:t>
      </w:r>
      <w:r w:rsidR="00BC5B6D">
        <w:t xml:space="preserve">the </w:t>
      </w:r>
      <w:r w:rsidR="00FC0057">
        <w:t xml:space="preserve">reversion of people with diabetes or NDH to NDH or </w:t>
      </w:r>
      <w:proofErr w:type="spellStart"/>
      <w:r w:rsidR="00FC0057">
        <w:t>normoglycaemia</w:t>
      </w:r>
      <w:proofErr w:type="spellEnd"/>
      <w:r w:rsidR="00FC0057">
        <w:t>.</w:t>
      </w:r>
    </w:p>
    <w:p w14:paraId="532716D6" w14:textId="17A9146F" w:rsidR="00406449" w:rsidRDefault="00A57BFC" w:rsidP="00406449">
      <w:r>
        <w:t xml:space="preserve">Two recent studies have evaluated the effectiveness of referral to </w:t>
      </w:r>
      <w:r w:rsidR="00BC5B6D">
        <w:t>WW</w:t>
      </w:r>
      <w:r>
        <w:t xml:space="preserve"> </w:t>
      </w:r>
      <w:r w:rsidR="00BC5B6D">
        <w:t>combined</w:t>
      </w:r>
      <w:r>
        <w:t xml:space="preserve"> with a specific diabetes prevention education session</w:t>
      </w:r>
      <w:r w:rsidR="00CD23AA">
        <w:t xml:space="preserve"> among people with </w:t>
      </w:r>
      <w:r w:rsidR="00A15649">
        <w:t>NDH</w:t>
      </w:r>
      <w:r>
        <w:t xml:space="preserve">. </w:t>
      </w:r>
      <w:r w:rsidR="00FC0057">
        <w:t>In a</w:t>
      </w:r>
      <w:r>
        <w:t xml:space="preserve"> US </w:t>
      </w:r>
      <w:r w:rsidR="00791895">
        <w:t xml:space="preserve">randomised controlled </w:t>
      </w:r>
      <w:r>
        <w:t>trial</w:t>
      </w:r>
      <w:r w:rsidR="00791895">
        <w:t>,</w:t>
      </w:r>
      <w:r>
        <w:t xml:space="preserve"> this combin</w:t>
      </w:r>
      <w:r w:rsidR="00CD23AA">
        <w:t>ed intervention</w:t>
      </w:r>
      <w:r>
        <w:t xml:space="preserve"> </w:t>
      </w:r>
      <w:r w:rsidR="00CD23AA">
        <w:t xml:space="preserve">achieved greater weight loss </w:t>
      </w:r>
      <w:r w:rsidR="008760C6">
        <w:t xml:space="preserve">(5.5% vs. 0.2%, p&lt;0.001) </w:t>
      </w:r>
      <w:r w:rsidR="00CD23AA" w:rsidRPr="00C85B89">
        <w:rPr>
          <w:vertAlign w:val="subscript"/>
        </w:rPr>
        <w:t xml:space="preserve"> </w:t>
      </w:r>
      <w:r w:rsidR="008760C6">
        <w:t>and greater reductions in HbA</w:t>
      </w:r>
      <w:r w:rsidR="008760C6" w:rsidRPr="00302D86">
        <w:rPr>
          <w:vertAlign w:val="subscript"/>
        </w:rPr>
        <w:t>1c</w:t>
      </w:r>
      <w:r w:rsidR="008760C6">
        <w:t xml:space="preserve">  (</w:t>
      </w:r>
      <w:r w:rsidR="008760C6" w:rsidRPr="00302D86">
        <w:t>-0.22</w:t>
      </w:r>
      <w:r w:rsidR="008760C6">
        <w:t>%</w:t>
      </w:r>
      <w:r w:rsidR="008760C6" w:rsidRPr="00302D86">
        <w:t xml:space="preserve"> vs −0.14</w:t>
      </w:r>
      <w:r w:rsidR="008760C6">
        <w:t>%</w:t>
      </w:r>
      <w:r w:rsidR="008760C6" w:rsidRPr="00302D86">
        <w:t xml:space="preserve">; </w:t>
      </w:r>
      <w:r w:rsidR="008760C6">
        <w:t>p</w:t>
      </w:r>
      <w:r w:rsidR="008760C6" w:rsidRPr="00302D86">
        <w:t> = </w:t>
      </w:r>
      <w:r w:rsidR="00BC5B6D">
        <w:t>0</w:t>
      </w:r>
      <w:r w:rsidR="008760C6" w:rsidRPr="00302D86">
        <w:t>.032</w:t>
      </w:r>
      <w:r w:rsidR="008760C6">
        <w:t xml:space="preserve">) at 12 months compared </w:t>
      </w:r>
      <w:r w:rsidR="00BC5B6D">
        <w:t xml:space="preserve">with </w:t>
      </w:r>
      <w:r w:rsidR="008760C6">
        <w:t xml:space="preserve">a diabetes education counselling session and </w:t>
      </w:r>
      <w:r w:rsidR="00CD23AA">
        <w:t xml:space="preserve">self-help </w:t>
      </w:r>
      <w:r w:rsidR="008760C6">
        <w:t xml:space="preserve">materials developed by the US Diabetes Education Program </w:t>
      </w:r>
      <w:r w:rsidR="00CD23AA">
        <w:t>.</w:t>
      </w:r>
      <w:r w:rsidR="001F1799">
        <w:fldChar w:fldCharType="begin" w:fldLock="1"/>
      </w:r>
      <w:r w:rsidR="00FE716A">
        <w:instrText>ADDIN CSL_CITATION {"citationItems":[{"id":"ITEM-1","itemData":{"DOI":"10.2105/AJPH.2015.303035","ISBN":"0090-0036","ISSN":"15410048","PMID":"26890171","abstract":"OBJECTIVES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Health","id":"ITEM-1","issued":{"date-parts":[["2016"]]},"title":"Comparison of commercial and self-initiated weight loss programs in people with prediabetes: A randomized control trial","type":"article-journal"},"uris":["http://www.mendeley.com/documents/?uuid=62934eb5-266a-4dc5-b786-a8473577cd81"]}],"mendeley":{"formattedCitation":"(12)","plainTextFormattedCitation":"(12)","previouslyFormattedCitation":"[12]"},"properties":{"noteIndex":0},"schema":"https://github.com/citation-style-language/schema/raw/master/csl-citation.json"}</w:instrText>
      </w:r>
      <w:r w:rsidR="001F1799">
        <w:fldChar w:fldCharType="separate"/>
      </w:r>
      <w:r w:rsidR="00FE716A" w:rsidRPr="00FE716A">
        <w:rPr>
          <w:noProof/>
        </w:rPr>
        <w:t>(12)</w:t>
      </w:r>
      <w:r w:rsidR="001F1799">
        <w:fldChar w:fldCharType="end"/>
      </w:r>
      <w:r w:rsidR="00CD23AA">
        <w:t xml:space="preserve"> </w:t>
      </w:r>
      <w:r w:rsidR="0076523E">
        <w:t xml:space="preserve">In an uncontrolled </w:t>
      </w:r>
      <w:r w:rsidR="00F33E31">
        <w:t xml:space="preserve">study </w:t>
      </w:r>
      <w:r w:rsidR="0076523E">
        <w:t xml:space="preserve">of </w:t>
      </w:r>
      <w:r>
        <w:t xml:space="preserve"> a </w:t>
      </w:r>
      <w:r w:rsidR="00CD23AA">
        <w:t>similar</w:t>
      </w:r>
      <w:r>
        <w:t xml:space="preserve"> </w:t>
      </w:r>
      <w:r w:rsidR="001F1799">
        <w:t xml:space="preserve">combined intervention </w:t>
      </w:r>
      <w:r w:rsidR="00FC0057">
        <w:t xml:space="preserve">in </w:t>
      </w:r>
      <w:r w:rsidR="00FB01F9">
        <w:t>the UK NHS</w:t>
      </w:r>
      <w:r w:rsidR="0076523E">
        <w:t xml:space="preserve">, </w:t>
      </w:r>
      <w:r w:rsidR="005323D0">
        <w:t xml:space="preserve"> a </w:t>
      </w:r>
      <w:r w:rsidR="002F44AF">
        <w:t xml:space="preserve">reduction in mean </w:t>
      </w:r>
      <w:r w:rsidR="005323D0">
        <w:t>weight of 10kg and in HbA</w:t>
      </w:r>
      <w:r w:rsidR="005323D0" w:rsidRPr="005323D0">
        <w:rPr>
          <w:vertAlign w:val="subscript"/>
        </w:rPr>
        <w:t>1c</w:t>
      </w:r>
      <w:r w:rsidR="003118AB">
        <w:t xml:space="preserve"> of</w:t>
      </w:r>
      <w:r w:rsidR="005323D0">
        <w:t xml:space="preserve"> 2.8mmol/mol</w:t>
      </w:r>
      <w:r w:rsidR="00465E0F">
        <w:t xml:space="preserve"> </w:t>
      </w:r>
      <w:r w:rsidR="0076523E">
        <w:t xml:space="preserve">was observed </w:t>
      </w:r>
      <w:r w:rsidR="00465E0F">
        <w:t>at 12  months using an intention to treat analysis</w:t>
      </w:r>
      <w:r w:rsidR="005323D0">
        <w:t>.</w:t>
      </w:r>
      <w:r w:rsidR="001F1799">
        <w:fldChar w:fldCharType="begin" w:fldLock="1"/>
      </w:r>
      <w:r w:rsidR="00FE716A">
        <w:instrText>ADDIN CSL_CITATION {"citationItems":[{"id":"ITEM-1","itemData":{"DOI":"10.1136/bmjdrc-2017-000418","ISBN":"2017000418","ISSN":"20524897","PMID":"29225891","abstract":"Objectives: To determine if a diabetes prevention program (DPP) delivered by a commercial weight management provider using a UK primary care referral pathway could reduce the progression to type 2 diabetes (T2D) in those diagnosed with non-diabetic hyperglycemia (NDH-being at high risk of developing T2D)., Research design: This is a quasi-experimental translational research study., Methods: 14 primary care practices identified, recruited and referred patients with NDH (fasting plasma glucose &gt;=5.5 to &lt;=6.9mmol/L and/or glycated hemoglobin (HbA1c) &gt;=42 to 47mmol/mol (6.0%-6.4%)) and a body mass index (BMI) &gt;=30kg/m2 to a DPP. Eligible patients were asked to contact Weight Watchers to book onto their DPP, an intensive lifestyle intervention which included a 90min activation session followed by the offer of 48 weekly Weight Watchers community group meetings. Patients' blood tests were repeated by primary care, weight change plus self-reported data was recorded by Weight Watchers., Results: 166 patients were referred to the program and 149 were eligible. 79% of eligible patients attended an activation session (117 eligible patients) and 77% started the weekly sessions. The study sample was primarily female (75%), white (90%), with 5% living in the most deprived quintile in the UK. Using intention-to-treat analysis, the DPP resulted in a mean reduction in HbA1c of 2.84mmol/mol at 12 months (from 43.42+/-1.28to 40.58+/-3.41, p&lt;0.01). 38% of patients returned to normoglycemia and 3% developed T2D at 12 months. There was a mean weight reduction in BMI of 3.2kg/m2 at 12 months (35.5kg/m2+/-5.4to 32.3kg/m2+/-5.2, p&lt;0.01)., Conclusion: A UK primary care referral route partnered with this commercial weight management provider can deliver an effective DPP. The lifestyle changes and weight loss achieved in the intervention translated into considerable reductions in diabetes risk, with an immediate and significant public health impact.","author":[{"dropping-particle":"","family":"Piper","given":"Carolyn","non-dropping-particle":"","parse-names":false,"suffix":""},{"dropping-particle":"","family":"Marossy","given":"Agnes","non-dropping-particle":"","parse-names":false,"suffix":""},{"dropping-particle":"","family":"Griffiths","given":"Zoe","non-dropping-particle":"","parse-names":false,"suffix":""},{"dropping-particle":"","family":"Adegboye","given":"Amanda","non-dropping-particle":"","parse-names":false,"suffix":""}],"container-title":"BMJ Open Diabetes Research and Care","id":"ITEM-1","issued":{"date-parts":[["2017"]]},"title":"Evaluation of a type 2 diabetes prevention program using a commercial weight management provider for nondiabetic hyperglycemic patients referred by primary care in the UK","type":"article-journal"},"uris":["http://www.mendeley.com/documents/?uuid=0b96c659-33d6-4043-80d4-c25816854cc4"]}],"mendeley":{"formattedCitation":"(13)","plainTextFormattedCitation":"(13)","previouslyFormattedCitation":"[13]"},"properties":{"noteIndex":0},"schema":"https://github.com/citation-style-language/schema/raw/master/csl-citation.json"}</w:instrText>
      </w:r>
      <w:r w:rsidR="001F1799">
        <w:fldChar w:fldCharType="separate"/>
      </w:r>
      <w:r w:rsidR="00FE716A" w:rsidRPr="00FE716A">
        <w:rPr>
          <w:noProof/>
        </w:rPr>
        <w:t>(13)</w:t>
      </w:r>
      <w:r w:rsidR="001F1799">
        <w:fldChar w:fldCharType="end"/>
      </w:r>
      <w:r w:rsidR="005323D0">
        <w:t xml:space="preserve"> </w:t>
      </w:r>
      <w:r w:rsidR="00406449">
        <w:t xml:space="preserve">However, </w:t>
      </w:r>
      <w:r w:rsidR="00CD23AA">
        <w:t xml:space="preserve">no studies </w:t>
      </w:r>
      <w:r w:rsidR="00406449">
        <w:t xml:space="preserve">have </w:t>
      </w:r>
      <w:r w:rsidR="005323D0">
        <w:t xml:space="preserve">examined the </w:t>
      </w:r>
      <w:r w:rsidR="00406449">
        <w:t xml:space="preserve">impact </w:t>
      </w:r>
      <w:r w:rsidR="005005F5">
        <w:t xml:space="preserve">of </w:t>
      </w:r>
      <w:r w:rsidR="00BC5B6D">
        <w:t>the standard WW</w:t>
      </w:r>
      <w:r w:rsidR="004C1013">
        <w:t xml:space="preserve"> </w:t>
      </w:r>
      <w:r w:rsidR="005005F5">
        <w:t xml:space="preserve">programme </w:t>
      </w:r>
      <w:r w:rsidR="00D406D5">
        <w:t>among</w:t>
      </w:r>
      <w:r w:rsidR="00406449">
        <w:t xml:space="preserve"> </w:t>
      </w:r>
      <w:r w:rsidR="006B6A87">
        <w:t xml:space="preserve">people with </w:t>
      </w:r>
      <w:r w:rsidR="00A15649">
        <w:t>NDH</w:t>
      </w:r>
      <w:r w:rsidR="002F44AF">
        <w:t>, or the effect of such programmes on risk of T2D in individuals recruited on the basis of BMI alone</w:t>
      </w:r>
      <w:r w:rsidR="003118AB">
        <w:t>.</w:t>
      </w:r>
    </w:p>
    <w:p w14:paraId="1DA3F978" w14:textId="25A2405E" w:rsidR="00B71701" w:rsidRDefault="00781A6E">
      <w:r>
        <w:t xml:space="preserve">In </w:t>
      </w:r>
      <w:r w:rsidR="0018550D">
        <w:t>the WRAP</w:t>
      </w:r>
      <w:r>
        <w:t xml:space="preserve"> trial </w:t>
      </w:r>
      <w:r w:rsidR="0018550D">
        <w:t xml:space="preserve">(Weight loss </w:t>
      </w:r>
      <w:r w:rsidR="00FC0057">
        <w:t>R</w:t>
      </w:r>
      <w:r w:rsidR="0018550D">
        <w:t>eferrals for Adults in Primary Care</w:t>
      </w:r>
      <w:r w:rsidR="00CB0888">
        <w:t>, ISRCTN 82857232</w:t>
      </w:r>
      <w:r w:rsidR="0018550D">
        <w:t xml:space="preserve">) </w:t>
      </w:r>
      <w:r w:rsidR="000E7CFE" w:rsidRPr="00786B46">
        <w:t>1267</w:t>
      </w:r>
      <w:r w:rsidR="000E7CFE">
        <w:t xml:space="preserve"> </w:t>
      </w:r>
      <w:r w:rsidR="007E30EA">
        <w:t xml:space="preserve">adults identified by their </w:t>
      </w:r>
      <w:r w:rsidR="00BC5B6D">
        <w:t xml:space="preserve">primary care physician </w:t>
      </w:r>
      <w:r w:rsidR="007E30EA">
        <w:t xml:space="preserve">as </w:t>
      </w:r>
      <w:r w:rsidR="00BC5B6D">
        <w:t>having a BMI≥28kg/m²</w:t>
      </w:r>
      <w:r w:rsidR="007E30EA">
        <w:t xml:space="preserve"> </w:t>
      </w:r>
      <w:r w:rsidR="000E7CFE">
        <w:t xml:space="preserve">were </w:t>
      </w:r>
      <w:r w:rsidR="000E7CFE" w:rsidRPr="00786B46">
        <w:t>randomised to one of three weight loss interventions: brief intervention, 12</w:t>
      </w:r>
      <w:r w:rsidR="00A1387A">
        <w:t>-</w:t>
      </w:r>
      <w:r w:rsidR="000E7CFE" w:rsidRPr="00786B46">
        <w:t>week referral to a commercial open-group weight management programme (</w:t>
      </w:r>
      <w:r w:rsidR="00BC5B6D">
        <w:t>WW</w:t>
      </w:r>
      <w:r w:rsidR="000E7CFE" w:rsidRPr="00786B46">
        <w:t>)</w:t>
      </w:r>
      <w:r w:rsidR="00A15649">
        <w:t>,</w:t>
      </w:r>
      <w:r w:rsidR="000E7CFE" w:rsidRPr="00786B46">
        <w:t xml:space="preserve"> or 52</w:t>
      </w:r>
      <w:r w:rsidR="00A1387A">
        <w:t>-week</w:t>
      </w:r>
      <w:r w:rsidR="000E7CFE" w:rsidRPr="00786B46">
        <w:t xml:space="preserve"> referral to the same programme</w:t>
      </w:r>
      <w:r w:rsidR="000E7CFE">
        <w:t>.</w:t>
      </w:r>
      <w:r w:rsidR="000E7CFE">
        <w:fldChar w:fldCharType="begin" w:fldLock="1"/>
      </w:r>
      <w:r w:rsidR="00FE716A">
        <w:instrText>ADDIN CSL_CITATION {"citationItems":[{"id":"ITEM-1","itemData":{"DOI":"10.1016/S0140-6736(17)30647-5","ISBN":"01406736","ISSN":"1474547X","PMID":"28478041","abstract":"Background Evidence exist that primary care referral to an open-group behavioural programme is an effective strategy for management of obesity, but little evidence on optimal intervention duration is available. We aimed to establish whether 52-week referral to an open-group weight-management programme would achieve greater weight loss and improvements in a range of health outcomes and be more cost-effective than the current practice of 12-week referrals. Methods In this non-blinded, parallel-group, randomised controlled trial, we recruited participants who were aged 18 years or older and had body-mass index (BMI) of 28 kg/m2 or higher from 23 primary care practices in England. Participants were randomly assigned (2:5:5) to brief advice and self-help materials, a weight-management programme (Weight Watchers) for 12 weeks, or the same weight-management programme for 52 weeks. We followed-up participants over 2 years. The primary outcome was weight at 1 year of follow-up, analysed with mixed-effects models according to intention-to-treat principles and adjusted for centre and baseline weight. In a hierarchical closed-testing procedure, we compared combined behavioural programme arms with brief intervention, then compared the 12-week programme and 52-week programme. We did a within-trial cost-effectiveness analysis using person-level data and modelled outcomes over a 25-year time horizon using microsimulation. This study is registered with Current Controlled Trials, number ISRCTN82857232. Findings Between Oct 18, 2012, and Feb 10, 2014, we enrolled 1269 participants. 1267 eligible participants were randomly assigned to the brief intervention (n=211), the 12-week programme (n=528), and the 52-week programme (n=528). Two participants in the 12-week programme had been found to be ineligible shortly after randomisation and were excluded from the analysis. 823 (65%) of 1267 participants completed an assessment at 1 year and 856 (68%) participants at 2 years. All eligible participants were included in the analyses. At 1 year, mean weight changes in the groups were −3·26 kg (brief intervention), −4·75 kg (12-week programme), and −6·76 kg (52-week programme). Participants in the behavioural programme lost more weight than those in the brief intervention (adjusted difference −2·71 kg, 95% CI −3·86 to −1·55; p&lt;0·0001). The 52-week programme was more effective than the 12-week programme (−2·14 kg, −3·05 to −1·22; p&lt;0·0001). Differences between groups were still signif…","author":[{"dropping-particle":"","family":"Ahern","given":"Amy L.","non-dropping-particle":"","parse-names":false,"suffix":""},{"dropping-particle":"","family":"Wheeler","given":"Graham M.","non-dropping-particle":"","parse-names":false,"suffix":""},{"dropping-particle":"","family":"Aveyard","given":"Paul","non-dropping-particle":"","parse-names":false,"suffix":""},{"dropping-particle":"","family":"Boyland","given":"Emma J.","non-dropping-particle":"","parse-names":false,"suffix":""},{"dropping-particle":"","family":"Halford","given":"Jason C.G.","non-dropping-particle":"","parse-names":false,"suffix":""},{"dropping-particle":"","family":"Mander","given":"Adrian P.","non-dropping-particle":"","parse-names":false,"suffix":""},{"dropping-particle":"","family":"Woolston","given":"Jennifer","non-dropping-particle":"","parse-names":false,"suffix":""},{"dropping-particle":"","family":"Thomson","given":"Ann M.","non-dropping-particle":"","parse-names":false,"suffix":""},{"dropping-particle":"","family":"Tsiountsioura","given":"Melina","non-dropping-particle":"","parse-names":false,"suffix":""},{"dropping-particle":"","family":"Cole","given":"Darren","non-dropping-particle":"","parse-names":false,"suffix":""},{"dropping-particle":"","family":"Mead","given":"Bethan R.","non-dropping-particle":"","parse-names":false,"suffix":""},{"dropping-particle":"","family":"Irvine","given":"Lisa","non-dropping-particle":"","parse-names":false,"suffix":""},{"dropping-particle":"","family":"Turner","given":"David","non-dropping-particle":"","parse-names":false,"suffix":""},{"dropping-particle":"","family":"Suhrcke","given":"Marc","non-dropping-particle":"","parse-names":false,"suffix":""},{"dropping-particle":"","family":"Pimpin","given":"Laura","non-dropping-particle":"","parse-names":false,"suffix":""},{"dropping-particle":"","family":"Retat","given":"Lise","non-dropping-particle":"","parse-names":false,"suffix":""},{"dropping-particle":"","family":"Jaccard","given":"Abbygail","non-dropping-particle":"","parse-names":false,"suffix":""},{"dropping-particle":"","family":"Webber","given":"Laura","non-dropping-particle":"","parse-names":false,"suffix":""},{"dropping-particle":"","family":"Cohn","given":"Simon R.","non-dropping-particle":"","parse-names":false,"suffix":""},{"dropping-particle":"","family":"Jebb","given":"Susan A.","non-dropping-particle":"","parse-names":false,"suffix":""}],"container-title":"The Lancet","id":"ITEM-1","issue":"10085","issued":{"date-parts":[["2017"]]},"page":"2214-2225","title":"Extended and standard duration weight-loss programme referrals for adults in primary care (WRAP): a randomised controlled trial","type":"article-journal","volume":"389"},"uris":["http://www.mendeley.com/documents/?uuid=f583c4c3-f2ad-4176-bd1e-abca93178ee1","http://www.mendeley.com/documents/?uuid=bab571f9-cb32-4966-a940-70cd3e9de0df"]}],"mendeley":{"formattedCitation":"(9)","plainTextFormattedCitation":"(9)","previouslyFormattedCitation":"[9]"},"properties":{"noteIndex":0},"schema":"https://github.com/citation-style-language/schema/raw/master/csl-citation.json"}</w:instrText>
      </w:r>
      <w:r w:rsidR="000E7CFE">
        <w:fldChar w:fldCharType="separate"/>
      </w:r>
      <w:r w:rsidR="00FE716A" w:rsidRPr="00FE716A">
        <w:rPr>
          <w:noProof/>
        </w:rPr>
        <w:t>(9)</w:t>
      </w:r>
      <w:r w:rsidR="000E7CFE">
        <w:fldChar w:fldCharType="end"/>
      </w:r>
      <w:r w:rsidR="000E7CFE">
        <w:t xml:space="preserve"> </w:t>
      </w:r>
      <w:r w:rsidR="00104E59">
        <w:t xml:space="preserve">Participants </w:t>
      </w:r>
      <w:r w:rsidR="00620C4B">
        <w:t>referre</w:t>
      </w:r>
      <w:r w:rsidR="00104E59">
        <w:t xml:space="preserve">d to the </w:t>
      </w:r>
      <w:r w:rsidR="008E6A18">
        <w:t>programme</w:t>
      </w:r>
      <w:r w:rsidR="000E7CFE">
        <w:t>s</w:t>
      </w:r>
      <w:r w:rsidR="008E6A18">
        <w:t xml:space="preserve"> </w:t>
      </w:r>
      <w:r w:rsidR="00FB01F9">
        <w:t>lost more weight than those in the brief intervention. Th</w:t>
      </w:r>
      <w:r w:rsidR="000E7CFE">
        <w:t>e</w:t>
      </w:r>
      <w:r w:rsidR="00FB01F9">
        <w:t xml:space="preserve"> </w:t>
      </w:r>
      <w:r w:rsidR="000B65AA">
        <w:t>52-week</w:t>
      </w:r>
      <w:r w:rsidR="000E7CFE">
        <w:t xml:space="preserve"> programme was associated with</w:t>
      </w:r>
      <w:r w:rsidR="008E6A18">
        <w:t xml:space="preserve"> greater reductions in weight</w:t>
      </w:r>
      <w:r w:rsidR="000E7CFE">
        <w:t xml:space="preserve">, </w:t>
      </w:r>
      <w:r w:rsidR="00362684">
        <w:t>HbA</w:t>
      </w:r>
      <w:r w:rsidR="00362684" w:rsidRPr="008E6A18">
        <w:rPr>
          <w:vertAlign w:val="subscript"/>
        </w:rPr>
        <w:t>1c</w:t>
      </w:r>
      <w:r w:rsidR="00362684">
        <w:t xml:space="preserve"> and fasting blood glucose than th</w:t>
      </w:r>
      <w:r w:rsidR="000E7CFE">
        <w:t>e</w:t>
      </w:r>
      <w:r w:rsidR="00362684">
        <w:t xml:space="preserve"> </w:t>
      </w:r>
      <w:r w:rsidR="000B65AA">
        <w:t>12-week</w:t>
      </w:r>
      <w:r w:rsidR="000E7CFE">
        <w:t xml:space="preserve"> programme and the</w:t>
      </w:r>
      <w:r w:rsidR="008E6A18">
        <w:t xml:space="preserve"> brief intervention.</w:t>
      </w:r>
      <w:r w:rsidR="00164E6A">
        <w:t xml:space="preserve"> </w:t>
      </w:r>
      <w:r w:rsidR="00894E16">
        <w:t xml:space="preserve">Here </w:t>
      </w:r>
      <w:r w:rsidR="002F57D3">
        <w:t>we use</w:t>
      </w:r>
      <w:r w:rsidR="00164E6A">
        <w:t xml:space="preserve"> data from </w:t>
      </w:r>
      <w:r w:rsidR="00BC5B6D">
        <w:t xml:space="preserve">the WRAP </w:t>
      </w:r>
      <w:r w:rsidR="00164E6A">
        <w:t xml:space="preserve">trial </w:t>
      </w:r>
      <w:r w:rsidR="00620C4B">
        <w:t xml:space="preserve">to examine </w:t>
      </w:r>
      <w:r w:rsidR="00164E6A">
        <w:t xml:space="preserve">the effect that referral to an open-group behavioural programme has on </w:t>
      </w:r>
      <w:r w:rsidR="00894E16">
        <w:t xml:space="preserve">the likelihood of </w:t>
      </w:r>
      <w:r w:rsidR="00164E6A">
        <w:t xml:space="preserve">hyperglycaemia and </w:t>
      </w:r>
      <w:r w:rsidR="002F57D3">
        <w:t>T2D</w:t>
      </w:r>
      <w:r w:rsidR="00894E16">
        <w:t xml:space="preserve"> after 1 year </w:t>
      </w:r>
      <w:r w:rsidR="002F57D3">
        <w:t>among</w:t>
      </w:r>
      <w:r w:rsidR="00164E6A">
        <w:t xml:space="preserve"> adults</w:t>
      </w:r>
      <w:r w:rsidR="00EC77CB">
        <w:t xml:space="preserve">. We </w:t>
      </w:r>
      <w:r w:rsidR="002F57D3">
        <w:t xml:space="preserve">also quantified </w:t>
      </w:r>
      <w:r w:rsidR="00EC77CB">
        <w:t>effect</w:t>
      </w:r>
      <w:r w:rsidR="002F57D3">
        <w:t>s</w:t>
      </w:r>
      <w:r w:rsidR="00512271">
        <w:t xml:space="preserve"> </w:t>
      </w:r>
      <w:r w:rsidR="00C274E7">
        <w:t xml:space="preserve">on glycaemia </w:t>
      </w:r>
      <w:r w:rsidR="00FB01F9">
        <w:t>in the</w:t>
      </w:r>
      <w:r w:rsidR="00512271">
        <w:t xml:space="preserve"> </w:t>
      </w:r>
      <w:r w:rsidR="001C72E9">
        <w:t xml:space="preserve">subsample of participants </w:t>
      </w:r>
      <w:r w:rsidR="002F57D3">
        <w:t>with</w:t>
      </w:r>
      <w:r w:rsidR="00512271">
        <w:t xml:space="preserve"> hyperglycaemia at baseline.</w:t>
      </w:r>
      <w:r w:rsidR="00C85B89">
        <w:t xml:space="preserve"> </w:t>
      </w:r>
    </w:p>
    <w:p w14:paraId="36A62F62" w14:textId="77777777" w:rsidR="00F26BE5" w:rsidRPr="0058735A" w:rsidRDefault="00F26BE5">
      <w:pPr>
        <w:rPr>
          <w:b/>
        </w:rPr>
      </w:pPr>
      <w:r w:rsidRPr="0058735A">
        <w:rPr>
          <w:b/>
        </w:rPr>
        <w:t>Method</w:t>
      </w:r>
      <w:r w:rsidR="004C1013" w:rsidRPr="0058735A">
        <w:rPr>
          <w:b/>
        </w:rPr>
        <w:t>s</w:t>
      </w:r>
    </w:p>
    <w:p w14:paraId="2074A4AF" w14:textId="77777777" w:rsidR="004C1013" w:rsidRDefault="004C1013" w:rsidP="005323D0">
      <w:r>
        <w:t>Study Design</w:t>
      </w:r>
    </w:p>
    <w:p w14:paraId="486BCDD3" w14:textId="43951294" w:rsidR="00E02F2B" w:rsidRDefault="005323D0" w:rsidP="005323D0">
      <w:r>
        <w:t xml:space="preserve">The full protocol (including measures and assays) and primary analyses from the WRAP trial have been published elsewhere </w:t>
      </w:r>
      <w:r>
        <w:fldChar w:fldCharType="begin" w:fldLock="1"/>
      </w:r>
      <w:r w:rsidR="00FE716A">
        <w:instrText>ADDIN CSL_CITATION {"citationItems":[{"id":"ITEM-1","itemData":{"DOI":"10.1016/S0140-6736(17)30647-5","ISBN":"01406736","ISSN":"1474547X","PMID":"28478041","abstract":"Background Evidence exist that primary care referral to an open-group behavioural programme is an effective strategy for management of obesity, but little evidence on optimal intervention duration is available. We aimed to establish whether 52-week referral to an open-group weight-management programme would achieve greater weight loss and improvements in a range of health outcomes and be more cost-effective than the current practice of 12-week referrals. Methods In this non-blinded, parallel-group, randomised controlled trial, we recruited participants who were aged 18 years or older and had body-mass index (BMI) of 28 kg/m2 or higher from 23 primary care practices in England. Participants were randomly assigned (2:5:5) to brief advice and self-help materials, a weight-management programme (Weight Watchers) for 12 weeks, or the same weight-management programme for 52 weeks. We followed-up participants over 2 years. The primary outcome was weight at 1 year of follow-up, analysed with mixed-effects models according to intention-to-treat principles and adjusted for centre and baseline weight. In a hierarchical closed-testing procedure, we compared combined behavioural programme arms with brief intervention, then compared the 12-week programme and 52-week programme. We did a within-trial cost-effectiveness analysis using person-level data and modelled outcomes over a 25-year time horizon using microsimulation. This study is registered with Current Controlled Trials, number ISRCTN82857232. Findings Between Oct 18, 2012, and Feb 10, 2014, we enrolled 1269 participants. 1267 eligible participants were randomly assigned to the brief intervention (n=211), the 12-week programme (n=528), and the 52-week programme (n=528). Two participants in the 12-week programme had been found to be ineligible shortly after randomisation and were excluded from the analysis. 823 (65%) of 1267 participants completed an assessment at 1 year and 856 (68%) participants at 2 years. All eligible participants were included in the analyses. At 1 year, mean weight changes in the groups were −3·26 kg (brief intervention), −4·75 kg (12-week programme), and −6·76 kg (52-week programme). Participants in the behavioural programme lost more weight than those in the brief intervention (adjusted difference −2·71 kg, 95% CI −3·86 to −1·55; p&lt;0·0001). The 52-week programme was more effective than the 12-week programme (−2·14 kg, −3·05 to −1·22; p&lt;0·0001). Differences between groups were still signif…","author":[{"dropping-particle":"","family":"Ahern","given":"Amy L.","non-dropping-particle":"","parse-names":false,"suffix":""},{"dropping-particle":"","family":"Wheeler","given":"Graham M.","non-dropping-particle":"","parse-names":false,"suffix":""},{"dropping-particle":"","family":"Aveyard","given":"Paul","non-dropping-particle":"","parse-names":false,"suffix":""},{"dropping-particle":"","family":"Boyland","given":"Emma J.","non-dropping-particle":"","parse-names":false,"suffix":""},{"dropping-particle":"","family":"Halford","given":"Jason C.G.","non-dropping-particle":"","parse-names":false,"suffix":""},{"dropping-particle":"","family":"Mander","given":"Adrian P.","non-dropping-particle":"","parse-names":false,"suffix":""},{"dropping-particle":"","family":"Woolston","given":"Jennifer","non-dropping-particle":"","parse-names":false,"suffix":""},{"dropping-particle":"","family":"Thomson","given":"Ann M.","non-dropping-particle":"","parse-names":false,"suffix":""},{"dropping-particle":"","family":"Tsiountsioura","given":"Melina","non-dropping-particle":"","parse-names":false,"suffix":""},{"dropping-particle":"","family":"Cole","given":"Darren","non-dropping-particle":"","parse-names":false,"suffix":""},{"dropping-particle":"","family":"Mead","given":"Bethan R.","non-dropping-particle":"","parse-names":false,"suffix":""},{"dropping-particle":"","family":"Irvine","given":"Lisa","non-dropping-particle":"","parse-names":false,"suffix":""},{"dropping-particle":"","family":"Turner","given":"David","non-dropping-particle":"","parse-names":false,"suffix":""},{"dropping-particle":"","family":"Suhrcke","given":"Marc","non-dropping-particle":"","parse-names":false,"suffix":""},{"dropping-particle":"","family":"Pimpin","given":"Laura","non-dropping-particle":"","parse-names":false,"suffix":""},{"dropping-particle":"","family":"Retat","given":"Lise","non-dropping-particle":"","parse-names":false,"suffix":""},{"dropping-particle":"","family":"Jaccard","given":"Abbygail","non-dropping-particle":"","parse-names":false,"suffix":""},{"dropping-particle":"","family":"Webber","given":"Laura","non-dropping-particle":"","parse-names":false,"suffix":""},{"dropping-particle":"","family":"Cohn","given":"Simon R.","non-dropping-particle":"","parse-names":false,"suffix":""},{"dropping-particle":"","family":"Jebb","given":"Susan A.","non-dropping-particle":"","parse-names":false,"suffix":""}],"container-title":"The Lancet","id":"ITEM-1","issue":"10085","issued":{"date-parts":[["2017"]]},"page":"2214-2225","title":"Extended and standard duration weight-loss programme referrals for adults in primary care (WRAP): a randomised controlled trial","type":"article-journal","volume":"389"},"uris":["http://www.mendeley.com/documents/?uuid=bab571f9-cb32-4966-a940-70cd3e9de0df"]},{"id":"ITEM-2","itemData":{"DOI":"10.1186/1471-2458-14-620","ISSN":"1471-2458","PMID":"24943673","abstract":"BACKGROUND: Recent trials demonstrate the acceptability and short term efficacy of primary care referral to a commercial weight loss provider for weight management. Commissioners now need information on the optimal duration of intervention and the longer term outcomes and cost effectiveness of such treatment to give best value for money.\n\nMETHODS/DESIGN: This multicentre, randomised controlled trial with a parallel design will recruit 1200 overweight adults (BMI ≥28 kg/m2) through their primary care provider. They will be randomised in a 2:5:5 allocation to: Brief Intervention, Commercial Programme for 12 weeks, or Commercial Programme for 52 weeks. Participants will be followed up for two years, with assessments at 0, 3, 12 and 24 months. The sequential primary research questions are whether the CP interventions achieve significantly greater weight loss from baseline to 12 months than BI, and whether CP52 achieves significantly greater weight loss from baseline to 12 months than CP12. The primary outcomes will be an intention to treat analysis of between treatment differences in body weight at 12 months. Clinical effectiveness will be also be assessed by measures of weight, fat mass, and blood pressure at each time point and biochemical risk factors at 12 months. Self-report questionnaires will collect data on psychosocial factors associated with adherence, weight-loss and weight-loss maintenance. A within-trial and long-term cost-effectiveness analysis will be conducted from an NHS perspective. Qualitative methods will be used to examine the participant experience.\n\nDISCUSSION: The current trial compares the clinical and cost effectiveness of referral to a commercial provider with a brief intervention. This trial will specifically examine whether providing longer weight-loss treatment without altering content or intensity (12 months commercial referral vs. 12 weeks) leads to greater weight loss at one year and is sustained at 2 years. It will also evaluate the relative cost-effectiveness of the three interventions. This study has direct implications for primary care practice in the UK and will provide important information to inform the decisions of practitioners and commissioners about service provision.\n\nTRIAL REGISTRATION: Current Controlled Trials ISRCTN82857232. Date registered: 15/10/2012.","author":[{"dropping-particle":"","family":"Ahern","given":"Amy L","non-dropping-particle":"","parse-names":false,"suffix":""},{"dropping-particle":"","family":"Aveyard","given":"Paul N","non-dropping-particle":"","parse-names":false,"suffix":""},{"dropping-particle":"","family":"Halford","given":"Jason Cg","non-dropping-particle":"","parse-names":false,"suffix":""},{"dropping-particle":"","family":"Mander","given":"Adrian","non-dropping-particle":"","parse-names":false,"suffix":""},{"dropping-particle":"","family":"Cresswell","given":"Lynne","non-dropping-particle":"","parse-names":false,"suffix":""},{"dropping-particle":"","family":"Cohn","given":"Simon R","non-dropping-particle":"","parse-names":false,"suffix":""},{"dropping-particle":"","family":"Suhrcke","given":"Marc","non-dropping-particle":"","parse-names":false,"suffix":""},{"dropping-particle":"","family":"Marsh","given":"Tim","non-dropping-particle":"","parse-names":false,"suffix":""},{"dropping-particle":"","family":"Thomson","given":"Ann M","non-dropping-particle":"","parse-names":false,"suffix":""},{"dropping-particle":"","family":"Jebb","given":"Susan a","non-dropping-particle":"","parse-names":false,"suffix":""}],"container-title":"BMC public health","id":"ITEM-2","issue":"1","issued":{"date-parts":[["2014","1"]]},"page":"620","title":"Weight loss referrals for adults in primary care (WRAP): protocol for a multi-centre randomised controlled trial comparing the clinical and cost-effectiveness of primary care referral to a commercial weight loss provider for 12 weeks, referral for 52 week","type":"article-journal","volume":"14"},"uris":["http://www.mendeley.com/documents/?uuid=ffcbdb34-1269-4ded-8508-1de11ce24bfe"]}],"mendeley":{"formattedCitation":"(9,14)","plainTextFormattedCitation":"(9,14)","previouslyFormattedCitation":"[9,14]"},"properties":{"noteIndex":0},"schema":"https://github.com/citation-style-language/schema/raw/master/csl-citation.json"}</w:instrText>
      </w:r>
      <w:r>
        <w:fldChar w:fldCharType="separate"/>
      </w:r>
      <w:r w:rsidR="00FE716A" w:rsidRPr="00FE716A">
        <w:rPr>
          <w:noProof/>
        </w:rPr>
        <w:t>(9,14)</w:t>
      </w:r>
      <w:r>
        <w:fldChar w:fldCharType="end"/>
      </w:r>
      <w:r>
        <w:t>. In brief, this was a multi-centre, non-blinded, parallel groups trial with uneven randomisation.</w:t>
      </w:r>
      <w:r w:rsidR="00592B91">
        <w:t xml:space="preserve"> Participants were adults </w:t>
      </w:r>
      <w:r w:rsidR="00642A3B" w:rsidRPr="001C2EC2">
        <w:rPr>
          <w:rFonts w:cs="Arial"/>
          <w:color w:val="000000"/>
          <w:lang w:val="en-US"/>
        </w:rPr>
        <w:t>aged ≥18 years</w:t>
      </w:r>
      <w:r w:rsidR="00642A3B">
        <w:rPr>
          <w:rFonts w:cs="Arial"/>
          <w:color w:val="000000"/>
          <w:lang w:val="en-US"/>
        </w:rPr>
        <w:t>,</w:t>
      </w:r>
      <w:r w:rsidR="00642A3B">
        <w:t xml:space="preserve"> </w:t>
      </w:r>
      <w:r w:rsidR="00592B91">
        <w:t>with a BMI</w:t>
      </w:r>
      <w:r w:rsidR="00B71701">
        <w:t>≥</w:t>
      </w:r>
      <w:r w:rsidR="00592B91">
        <w:t>28kg/m</w:t>
      </w:r>
      <w:r w:rsidR="00592B91" w:rsidRPr="00624F2A">
        <w:rPr>
          <w:vertAlign w:val="superscript"/>
        </w:rPr>
        <w:t>2</w:t>
      </w:r>
      <w:r w:rsidR="00592B91">
        <w:t xml:space="preserve">, identified via a search of electronic primary care records and invited to participate </w:t>
      </w:r>
      <w:r w:rsidR="00B71701">
        <w:t xml:space="preserve">by </w:t>
      </w:r>
      <w:r w:rsidR="00592B91">
        <w:t xml:space="preserve">mail. </w:t>
      </w:r>
      <w:r>
        <w:t xml:space="preserve">We randomised 1267 eligible participants to one of three weight </w:t>
      </w:r>
      <w:r w:rsidR="004C1013">
        <w:t xml:space="preserve">management </w:t>
      </w:r>
      <w:r>
        <w:t>interventions in a 2:5:5 ratio: brief intervention</w:t>
      </w:r>
      <w:r w:rsidR="00A15649">
        <w:t xml:space="preserve">, </w:t>
      </w:r>
      <w:r>
        <w:t>12 weeks of an open-group behavioural programme (</w:t>
      </w:r>
      <w:r w:rsidR="00E02F2B">
        <w:t>WW</w:t>
      </w:r>
      <w:r>
        <w:t xml:space="preserve">), or 52 weeks of the same behavioural programme. </w:t>
      </w:r>
    </w:p>
    <w:p w14:paraId="35DE9E7F" w14:textId="15679B12" w:rsidR="004C1013" w:rsidRDefault="005323D0" w:rsidP="005323D0">
      <w:r>
        <w:t>P</w:t>
      </w:r>
      <w:r w:rsidRPr="00822CFB">
        <w:t xml:space="preserve">articipants attended measurement appointments </w:t>
      </w:r>
      <w:r w:rsidR="0075770D">
        <w:t xml:space="preserve">at the research centre or their local GP practice </w:t>
      </w:r>
      <w:r w:rsidRPr="00822CFB">
        <w:t>at baseline</w:t>
      </w:r>
      <w:r w:rsidR="00A1387A">
        <w:t xml:space="preserve"> and</w:t>
      </w:r>
      <w:r w:rsidR="00234104">
        <w:t xml:space="preserve"> </w:t>
      </w:r>
      <w:r w:rsidRPr="00592B91">
        <w:t>12</w:t>
      </w:r>
      <w:r w:rsidR="00F905F9" w:rsidRPr="00592B91">
        <w:t xml:space="preserve"> </w:t>
      </w:r>
      <w:r w:rsidRPr="00592B91">
        <w:t xml:space="preserve">months. </w:t>
      </w:r>
      <w:r w:rsidR="00897231" w:rsidRPr="00592B91">
        <w:t xml:space="preserve">The trial is registered at Current Controlled Trials </w:t>
      </w:r>
      <w:r w:rsidR="00C85B89" w:rsidRPr="00592B91">
        <w:t>ISRCTN82857232</w:t>
      </w:r>
      <w:r w:rsidR="00592B91">
        <w:t>.</w:t>
      </w:r>
      <w:r w:rsidR="00FE716A">
        <w:t xml:space="preserve"> </w:t>
      </w:r>
      <w:r w:rsidR="00FE716A" w:rsidRPr="00F34ED9">
        <w:t>Given the focus of this trial on the impact of programme duration on weight-loss, we did not originally declare the incidence of hyperglycaemia or diabetes as outcomes</w:t>
      </w:r>
      <w:r w:rsidR="00FE716A">
        <w:t>.</w:t>
      </w:r>
    </w:p>
    <w:p w14:paraId="25423142" w14:textId="087DF941" w:rsidR="00E02F2B" w:rsidRDefault="00E02F2B" w:rsidP="005323D0">
      <w:r>
        <w:t>Interventions</w:t>
      </w:r>
    </w:p>
    <w:p w14:paraId="76D6F639" w14:textId="15854552" w:rsidR="00FE716A" w:rsidRPr="00FE716A" w:rsidRDefault="00FE716A" w:rsidP="005323D0">
      <w:r>
        <w:rPr>
          <w:color w:val="000000"/>
          <w:shd w:val="clear" w:color="auto" w:fill="FFFFFF"/>
        </w:rPr>
        <w:t>Participants in the brief intervention group received a printed booklet of</w:t>
      </w:r>
      <w:r>
        <w:t xml:space="preserve"> self-help weight-management strategies from the British Heart Foundation. Participants in the behavioural programmes were given vouchers to attend weekly WW meetings and use WW web-based tools for the duration of the intervention (12 weeks or 52 weeks). The WW intervention provides </w:t>
      </w:r>
      <w:r>
        <w:rPr>
          <w:color w:val="000000"/>
          <w:shd w:val="clear" w:color="auto" w:fill="FFFFFF"/>
        </w:rPr>
        <w:t xml:space="preserve">advice, support and encouragement to lose weight and then maintain any </w:t>
      </w:r>
      <w:proofErr w:type="gramStart"/>
      <w:r>
        <w:rPr>
          <w:color w:val="000000"/>
          <w:shd w:val="clear" w:color="auto" w:fill="FFFFFF"/>
        </w:rPr>
        <w:t>loss, and</w:t>
      </w:r>
      <w:proofErr w:type="gramEnd"/>
      <w:r>
        <w:rPr>
          <w:color w:val="000000"/>
          <w:shd w:val="clear" w:color="auto" w:fill="FFFFFF"/>
        </w:rPr>
        <w:t xml:space="preserve"> uses a range of evidence-based behaviour change techniques to support changes to a lower energy diet and increases in physically activity. </w:t>
      </w:r>
    </w:p>
    <w:p w14:paraId="38734E92" w14:textId="2DDC4886" w:rsidR="004C1013" w:rsidRDefault="004C1013" w:rsidP="005323D0">
      <w:r>
        <w:t>Outcomes</w:t>
      </w:r>
    </w:p>
    <w:p w14:paraId="3A9A081D" w14:textId="6D9F3EEB" w:rsidR="008916D3" w:rsidRDefault="004C27A5" w:rsidP="005323D0">
      <w:r>
        <w:t xml:space="preserve">The primary outcome of the WRAP trial </w:t>
      </w:r>
      <w:r w:rsidR="00AF733E">
        <w:t>was body</w:t>
      </w:r>
      <w:r w:rsidR="00F33E31">
        <w:t xml:space="preserve"> </w:t>
      </w:r>
      <w:proofErr w:type="gramStart"/>
      <w:r w:rsidR="00AF733E">
        <w:t>weight</w:t>
      </w:r>
      <w:proofErr w:type="gramEnd"/>
      <w:r w:rsidR="00AF733E">
        <w:t xml:space="preserve"> and this was measured at each time-point. </w:t>
      </w:r>
      <w:r w:rsidR="0066598F">
        <w:t xml:space="preserve">Participants were also asked </w:t>
      </w:r>
      <w:r w:rsidR="005323D0">
        <w:t xml:space="preserve">to report </w:t>
      </w:r>
      <w:r w:rsidR="004610FB">
        <w:t xml:space="preserve">medication </w:t>
      </w:r>
      <w:r w:rsidR="005323D0">
        <w:t xml:space="preserve">use in the </w:t>
      </w:r>
      <w:r w:rsidR="004610FB">
        <w:t xml:space="preserve">previous </w:t>
      </w:r>
      <w:r w:rsidR="005323D0">
        <w:t xml:space="preserve">3 months. </w:t>
      </w:r>
      <w:r w:rsidR="00B326CC">
        <w:t xml:space="preserve">Other cardiovascular risk factors, including </w:t>
      </w:r>
      <w:r w:rsidR="005323D0">
        <w:t>plasma glucose, HbA</w:t>
      </w:r>
      <w:r w:rsidR="005323D0" w:rsidRPr="00862E72">
        <w:rPr>
          <w:vertAlign w:val="subscript"/>
        </w:rPr>
        <w:t>1c</w:t>
      </w:r>
      <w:r w:rsidR="005323D0">
        <w:t xml:space="preserve"> and lipid profile </w:t>
      </w:r>
      <w:r w:rsidR="00B326CC">
        <w:t xml:space="preserve">were measured via a fasting blood sample </w:t>
      </w:r>
      <w:r w:rsidR="005323D0">
        <w:t>at baseline and 12 months</w:t>
      </w:r>
      <w:r w:rsidR="0076523E">
        <w:t>, which was optional for participants</w:t>
      </w:r>
      <w:r w:rsidR="005323D0">
        <w:t xml:space="preserve">. </w:t>
      </w:r>
      <w:r w:rsidR="003F06FE">
        <w:t>For participants who provided a blood sample, we</w:t>
      </w:r>
      <w:r w:rsidR="005323D0">
        <w:t xml:space="preserve"> categorised participants as having </w:t>
      </w:r>
      <w:proofErr w:type="spellStart"/>
      <w:r w:rsidR="00D134D9">
        <w:t>normoglycaemia</w:t>
      </w:r>
      <w:proofErr w:type="spellEnd"/>
      <w:r w:rsidR="005323D0">
        <w:t xml:space="preserve">, </w:t>
      </w:r>
      <w:r w:rsidR="00A15649">
        <w:t>NDH</w:t>
      </w:r>
      <w:r w:rsidR="005323D0">
        <w:t xml:space="preserve">, or </w:t>
      </w:r>
      <w:r w:rsidR="00A15649">
        <w:t xml:space="preserve">type 2 </w:t>
      </w:r>
      <w:r w:rsidR="005323D0">
        <w:t xml:space="preserve">diabetes at </w:t>
      </w:r>
      <w:r w:rsidR="00F905F9">
        <w:t>baseline and 12 months</w:t>
      </w:r>
      <w:r w:rsidR="005323D0">
        <w:t xml:space="preserve"> using A</w:t>
      </w:r>
      <w:r w:rsidR="00897231">
        <w:t xml:space="preserve">merican </w:t>
      </w:r>
      <w:r w:rsidR="005323D0">
        <w:t>D</w:t>
      </w:r>
      <w:r w:rsidR="00897231">
        <w:t xml:space="preserve">iabetes Association </w:t>
      </w:r>
      <w:r w:rsidR="005323D0">
        <w:t>criteria for HbA</w:t>
      </w:r>
      <w:r w:rsidR="005323D0" w:rsidRPr="00862E72">
        <w:rPr>
          <w:vertAlign w:val="subscript"/>
        </w:rPr>
        <w:t>1c</w:t>
      </w:r>
      <w:r w:rsidR="005323D0">
        <w:t xml:space="preserve"> </w:t>
      </w:r>
      <w:r w:rsidR="00951BAE">
        <w:t>(</w:t>
      </w:r>
      <w:r w:rsidR="000B2778">
        <w:t xml:space="preserve">39-47mmol/mol = NDH; ≥48 mmol/mol = diabetes) </w:t>
      </w:r>
      <w:r w:rsidR="005323D0">
        <w:t xml:space="preserve">and fasting glucose </w:t>
      </w:r>
      <w:r w:rsidR="000B2778">
        <w:t>(5.6-6.9 mmol/mol= NDH; ≥7mmol/mol = diabetes)</w:t>
      </w:r>
      <w:r w:rsidR="005323D0">
        <w:t xml:space="preserve">and </w:t>
      </w:r>
      <w:r w:rsidR="00232DD9">
        <w:t xml:space="preserve">use </w:t>
      </w:r>
      <w:r w:rsidR="005323D0">
        <w:t xml:space="preserve">of diabetes medication. </w:t>
      </w:r>
      <w:r w:rsidR="001F1799">
        <w:fldChar w:fldCharType="begin" w:fldLock="1"/>
      </w:r>
      <w:r w:rsidR="00FE716A">
        <w:instrText>ADDIN CSL_CITATION {"citationItems":[{"id":"ITEM-1","itemData":{"DOI":"10.2337/dc14-S081","ISBN":"1935-5548 (Electronic)\\r0149-5992 (Linking)","ISSN":"01495992","PMID":"24357215","abstract":"Diabetes is a group of metabolic diseases characterized by hyperglycemia resulting from defects in insulin secretion, insulin action, or both. The chronic hyperglycemia of diabetes is associated with long-term damage, dysfunction, and failure of different organs, especially the eyes, kidneys, nerves, heart, and blood vessels.Several pathogenic processes are involved in the development of diabetes. These range from autoimmune destruction of the pancreatic β-cells with consequent insulin deficiency to abnormalities that result in resistance to insulin action. The basis of the abnormalities in carbohydrate, fat, and protein metabolism in diabetes is deficient action of insulin on target tissues. Deficient insulin action results from inadequate insulin secretion and/or diminished tissue responses to insulin at one or more points in the complex pathways of hormone action. Impairment of insulin secretion and defects in insulin action frequently coexist in the same patient, and it is often unclear which abnormality, if either alone, is the primary cause of the hyperglycemia.Symptoms of marked hyperglycemia include polyuria, polydipsia, weight loss, sometimes with polyphagia, and blurred vision. Impairment of growth and susceptibility to certain infections may also accompany chronic hyperglycemia. Acute, life-threatening consequences of uncontrolled diabetes are hyperglycemia with ketoacidosis or the nonketotic hyperosmolar syndrome.Long-term complications of diabetes include retinopathy with potential loss of vision; nephropathy leading to renal failure; peripheral neuropathy with risk of foot ulcers, amputations, and Charcot joints; and autonomic neuropathy causing gastrointestinal, genitourinary, and cardiovascular symptoms and sexual dysfunction. Patients with diabetes have an increased incidence of atherosclerotic cardiovascular, peripheral arterial, and cerebrovascular disease. Hypertension and abnormalities of lipoprotein metabolism are often found in people with diabetes.The vast majority of cases of diabetes fall into two broad etiopathogenetic categories (discussed in greater detail below). In one category, type 1 diabetes, the cause is an absolute deficiency of insulin secretion. Individuals …","author":[{"dropping-particle":"","family":"Of","given":"Description","non-dropping-particle":"","parse-names":false,"suffix":""},{"dropping-particle":"","family":"Mellitus","given":"Diabetes","non-dropping-particle":"","parse-names":false,"suffix":""}],"container-title":"Diabetes Care","id":"ITEM-1","issued":{"date-parts":[["2014"]]},"title":"Diagnosis and classification of diabetes mellitus","type":"article-journal"},"uris":["http://www.mendeley.com/documents/?uuid=27edb839-36bb-4c2c-bc80-202608da929c"]}],"mendeley":{"formattedCitation":"(15)","plainTextFormattedCitation":"(15)","previouslyFormattedCitation":"[15]"},"properties":{"noteIndex":0},"schema":"https://github.com/citation-style-language/schema/raw/master/csl-citation.json"}</w:instrText>
      </w:r>
      <w:r w:rsidR="001F1799">
        <w:fldChar w:fldCharType="separate"/>
      </w:r>
      <w:r w:rsidR="00FE716A" w:rsidRPr="00FE716A">
        <w:rPr>
          <w:noProof/>
        </w:rPr>
        <w:t>(15)</w:t>
      </w:r>
      <w:r w:rsidR="001F1799">
        <w:fldChar w:fldCharType="end"/>
      </w:r>
      <w:r w:rsidR="00C274E7">
        <w:t xml:space="preserve"> </w:t>
      </w:r>
    </w:p>
    <w:p w14:paraId="4236088B" w14:textId="77777777" w:rsidR="004C1013" w:rsidRDefault="004C1013" w:rsidP="005323D0">
      <w:r>
        <w:t>Statistical Analysis</w:t>
      </w:r>
    </w:p>
    <w:p w14:paraId="2DF28554" w14:textId="36FBE973" w:rsidR="005323D0" w:rsidRDefault="005323D0" w:rsidP="005323D0">
      <w:r>
        <w:t xml:space="preserve">To examine whether intervention group was associated with the risk of diabetes or hyperglycaemia (relative to </w:t>
      </w:r>
      <w:proofErr w:type="spellStart"/>
      <w:r w:rsidR="005A518D">
        <w:t>normoglycaemia</w:t>
      </w:r>
      <w:proofErr w:type="spellEnd"/>
      <w:r>
        <w:t>) at 12 months</w:t>
      </w:r>
      <w:r w:rsidR="008916D3">
        <w:t xml:space="preserve"> (primary analysis)</w:t>
      </w:r>
      <w:r>
        <w:t xml:space="preserve">, we used multinomial logistic regression and adjusted for baseline glycaemic category, baseline weight, age, research centre and sex. </w:t>
      </w:r>
      <w:r w:rsidR="00C0067C">
        <w:t>E</w:t>
      </w:r>
      <w:r w:rsidR="000D1892">
        <w:t xml:space="preserve">ffect sizes were reported as relative risk ratios (RRRs), e.g. the risk ratio of diabetes (relative to </w:t>
      </w:r>
      <w:proofErr w:type="spellStart"/>
      <w:r w:rsidR="000D1892">
        <w:t>normoglycaemia</w:t>
      </w:r>
      <w:proofErr w:type="spellEnd"/>
      <w:r w:rsidR="000D1892">
        <w:t>) comparing 12 weeks vs brief intervention</w:t>
      </w:r>
      <w:r w:rsidR="00B00894">
        <w:t xml:space="preserve">. </w:t>
      </w:r>
      <w:r>
        <w:t>We conducted two sensitivity analyses</w:t>
      </w:r>
      <w:r w:rsidR="003F06FE">
        <w:t>.</w:t>
      </w:r>
      <w:r>
        <w:t xml:space="preserve"> </w:t>
      </w:r>
      <w:r w:rsidR="003F06FE">
        <w:t xml:space="preserve">The </w:t>
      </w:r>
      <w:r>
        <w:t xml:space="preserve">first </w:t>
      </w:r>
      <w:r w:rsidR="003F06FE">
        <w:t xml:space="preserve">sensitivity analysis </w:t>
      </w:r>
      <w:r>
        <w:t xml:space="preserve">excluded participants </w:t>
      </w:r>
      <w:r w:rsidR="00237F7B">
        <w:t>for whom use of metformin was the only criteria for diabetes categorisation</w:t>
      </w:r>
      <w:r>
        <w:t xml:space="preserve">, </w:t>
      </w:r>
      <w:r w:rsidR="003F06FE">
        <w:t xml:space="preserve">because </w:t>
      </w:r>
      <w:r>
        <w:t>metformin has indications other than diabetes</w:t>
      </w:r>
      <w:r w:rsidR="003F06FE">
        <w:t>. T</w:t>
      </w:r>
      <w:r>
        <w:t xml:space="preserve">he second </w:t>
      </w:r>
      <w:r w:rsidR="003F06FE">
        <w:t xml:space="preserve">sensitivity analysis used </w:t>
      </w:r>
      <w:r>
        <w:t>WHO criteria</w:t>
      </w:r>
      <w:r w:rsidR="003F06FE">
        <w:t xml:space="preserve"> to categorise glycaemic status</w:t>
      </w:r>
      <w:r>
        <w:t xml:space="preserve"> </w:t>
      </w:r>
      <w:r w:rsidR="003F06FE">
        <w:t>(</w:t>
      </w:r>
      <w:r>
        <w:t>for HbA</w:t>
      </w:r>
      <w:r w:rsidRPr="003641ED">
        <w:rPr>
          <w:vertAlign w:val="subscript"/>
        </w:rPr>
        <w:t>1c</w:t>
      </w:r>
      <w:r w:rsidR="003F06FE">
        <w:rPr>
          <w:vertAlign w:val="subscript"/>
        </w:rPr>
        <w:t>:</w:t>
      </w:r>
      <w:r>
        <w:t xml:space="preserve"> </w:t>
      </w:r>
      <w:r w:rsidR="00E50DB9">
        <w:t>42</w:t>
      </w:r>
      <w:r w:rsidR="000B2778">
        <w:t>-47mmol/mol = NDH</w:t>
      </w:r>
      <w:r w:rsidR="003F06FE">
        <w:t xml:space="preserve">, </w:t>
      </w:r>
      <w:r w:rsidR="000B2778">
        <w:t>≥48 mmol/mol = diabetes</w:t>
      </w:r>
      <w:r w:rsidR="003F06FE">
        <w:t xml:space="preserve">; </w:t>
      </w:r>
      <w:r w:rsidR="000B2778">
        <w:t xml:space="preserve"> </w:t>
      </w:r>
      <w:r w:rsidR="003F06FE">
        <w:t xml:space="preserve">for </w:t>
      </w:r>
      <w:r>
        <w:t>fasting glucose</w:t>
      </w:r>
      <w:r w:rsidR="003F06FE">
        <w:t>:</w:t>
      </w:r>
      <w:r>
        <w:t xml:space="preserve"> </w:t>
      </w:r>
      <w:r w:rsidR="00E50DB9">
        <w:t>6.1</w:t>
      </w:r>
      <w:r w:rsidR="000B2778">
        <w:t>-6.9 mmol/mol= NDH</w:t>
      </w:r>
      <w:r w:rsidR="003F06FE">
        <w:t xml:space="preserve">, </w:t>
      </w:r>
      <w:r w:rsidR="000B2778">
        <w:t>≥7mmol/mol = diabetes)</w:t>
      </w:r>
      <w:r>
        <w:t xml:space="preserve">. </w:t>
      </w:r>
      <w:r w:rsidR="001F1799">
        <w:fldChar w:fldCharType="begin" w:fldLock="1"/>
      </w:r>
      <w:r w:rsidR="00FE716A">
        <w:instrText>ADDIN CSL_CITATION {"citationItems":[{"id":"ITEM-1","itemData":{"DOI":"10.1080/09593332108618120","ISBN":"0959-3330","ISSN":"0959-3330","PMID":"92","abstract":"Anaerobic digestion of municipal solid waste (MSW) was studied in 'high solids digesters' (HSDs) for generating energy (as methane). Three kinds of HSDs were employed in which the waste along with inoculum (consisting of pre-digested cow dung slurry) were subjected to anaerobic digestion. The first type (HSD-I) was provided with two chambers; the upper chamber served as a solid phase in which only the solid portions of vegetable waste were subjected to digestion, while the lower chamber served as liquid phase where the leachates were allowed to ferment. The second type (HSD-II) was similar to HSD-I but had no partition The third type (HSD-III) had two distinct units, one for solid phase and the other for the liquid phase; the units were connected by a tap with a flow regulator valve. The reactor performance was assessed in terms of biogas yield. The results of the study indicate that the performance efficiency (in terms of biogas yield) of the HSDs increased with the increase in the degree of phase separation. The performance of the digesters was further enhanced by providing additional props to facilitate biodegradation, such as biofilm support systems (BSS) in the liquid phase unit/chamber of the HSDs.","author":[{"dropping-particle":"","family":"World Health Organisation","given":"(WHO)","non-dropping-particle":"","parse-names":false,"suffix":""},{"dropping-particle":"","family":"International Diabetes Federation","given":"(IDF)","non-dropping-particle":"","parse-names":false,"suffix":""}],"container-title":"World Health Organisation (WHO)","id":"ITEM-1","issued":{"date-parts":[["2006"]]},"title":"Definition and Diagnosis of Diabetes Mellitus and Intermediate Hyperglycemia","type":"article-journal"},"uris":["http://www.mendeley.com/documents/?uuid=8137d82d-546a-4ac2-8649-014563667497"]}],"mendeley":{"formattedCitation":"(16)","plainTextFormattedCitation":"(16)","previouslyFormattedCitation":"[16]"},"properties":{"noteIndex":0},"schema":"https://github.com/citation-style-language/schema/raw/master/csl-citation.json"}</w:instrText>
      </w:r>
      <w:r w:rsidR="001F1799">
        <w:fldChar w:fldCharType="separate"/>
      </w:r>
      <w:r w:rsidR="00FE716A" w:rsidRPr="00FE716A">
        <w:rPr>
          <w:noProof/>
        </w:rPr>
        <w:t>(16)</w:t>
      </w:r>
      <w:r w:rsidR="001F1799">
        <w:fldChar w:fldCharType="end"/>
      </w:r>
    </w:p>
    <w:p w14:paraId="4BF1B045" w14:textId="5126CBFE" w:rsidR="005323D0" w:rsidRDefault="005323D0" w:rsidP="005323D0">
      <w:r>
        <w:t xml:space="preserve">To evaluate the effect of the three interventions </w:t>
      </w:r>
      <w:r w:rsidR="003D270E">
        <w:t>among</w:t>
      </w:r>
      <w:r>
        <w:t xml:space="preserve"> participants who had </w:t>
      </w:r>
      <w:r w:rsidR="000E7663">
        <w:t>NDH</w:t>
      </w:r>
      <w:r>
        <w:t xml:space="preserve"> at baseline, we examined the differences between groups in mean change from baseline </w:t>
      </w:r>
      <w:r w:rsidR="000D1892">
        <w:t xml:space="preserve">to 12 months </w:t>
      </w:r>
      <w:r>
        <w:t>for weight, fasting glucose and HbA</w:t>
      </w:r>
      <w:r w:rsidRPr="003641ED">
        <w:rPr>
          <w:vertAlign w:val="subscript"/>
        </w:rPr>
        <w:t>1c</w:t>
      </w:r>
      <w:r>
        <w:t>. We u</w:t>
      </w:r>
      <w:r w:rsidR="00232DD9">
        <w:t>ndertook</w:t>
      </w:r>
      <w:r>
        <w:t xml:space="preserve"> a missing at random (MAR) analysis using a variance components model</w:t>
      </w:r>
      <w:r w:rsidR="00C56A61">
        <w:t xml:space="preserve">; we imputed 50 data sets using a </w:t>
      </w:r>
      <w:r w:rsidR="00EF7590">
        <w:t>m</w:t>
      </w:r>
      <w:r w:rsidR="00C56A61">
        <w:t xml:space="preserve">ultiple </w:t>
      </w:r>
      <w:r w:rsidR="00EF7590">
        <w:t>i</w:t>
      </w:r>
      <w:r w:rsidR="00C56A61">
        <w:t xml:space="preserve">mputation with </w:t>
      </w:r>
      <w:r w:rsidR="00EF7590">
        <w:t>c</w:t>
      </w:r>
      <w:r w:rsidR="00C56A61">
        <w:t xml:space="preserve">hained </w:t>
      </w:r>
      <w:r w:rsidR="00EF7590">
        <w:t>e</w:t>
      </w:r>
      <w:r w:rsidR="00C56A61">
        <w:t>quations (MICE) approach, as the joint distribution of target variables did not appear to come from a multivariate Normal distribution</w:t>
      </w:r>
      <w:r w:rsidR="00A97193">
        <w:t xml:space="preserve">. The imputation model regressed the target variable on </w:t>
      </w:r>
      <w:r w:rsidR="00EF7590">
        <w:t>c</w:t>
      </w:r>
      <w:r w:rsidR="00A97193">
        <w:t xml:space="preserve">entre and imputation was stratified by </w:t>
      </w:r>
      <w:r w:rsidR="00EF7590">
        <w:t>t</w:t>
      </w:r>
      <w:r w:rsidR="00A97193">
        <w:t xml:space="preserve">reatment </w:t>
      </w:r>
      <w:r w:rsidR="00EF7590">
        <w:t>g</w:t>
      </w:r>
      <w:r w:rsidR="00A97193">
        <w:t>roup</w:t>
      </w:r>
      <w:r w:rsidR="00C56A61">
        <w:t xml:space="preserve">. </w:t>
      </w:r>
      <w:r>
        <w:t xml:space="preserve"> We </w:t>
      </w:r>
      <w:r w:rsidR="00A97193">
        <w:t xml:space="preserve">then </w:t>
      </w:r>
      <w:r>
        <w:t xml:space="preserve">calculated mean (SE) change in the target variable </w:t>
      </w:r>
      <w:r w:rsidR="00A97193">
        <w:t>from the imputed data sets</w:t>
      </w:r>
      <w:r>
        <w:t xml:space="preserve"> </w:t>
      </w:r>
      <w:r w:rsidR="00A97193">
        <w:t xml:space="preserve"> For analyses on weight change, w</w:t>
      </w:r>
      <w:r>
        <w:t xml:space="preserve">e fit a multivariate </w:t>
      </w:r>
      <w:r w:rsidR="00A97193">
        <w:t xml:space="preserve">mixed effects </w:t>
      </w:r>
      <w:r>
        <w:t>model using generalised least squares</w:t>
      </w:r>
      <w:r w:rsidR="00A97193">
        <w:t xml:space="preserve"> to each imputed data set</w:t>
      </w:r>
      <w:r>
        <w:t xml:space="preserve"> with intervention group, </w:t>
      </w:r>
      <w:r w:rsidR="004C27A5">
        <w:t>time-point</w:t>
      </w:r>
      <w:r>
        <w:t>, intervention group-by-</w:t>
      </w:r>
      <w:r w:rsidR="004C27A5">
        <w:t xml:space="preserve">time-point </w:t>
      </w:r>
      <w:r>
        <w:t>interaction and centre as fixed effects.</w:t>
      </w:r>
      <w:r w:rsidR="00A97193">
        <w:t xml:space="preserve"> Random intercepts were permitted for each participant. Results were then combined across all imputed data sets using Rubin’s rules.</w:t>
      </w:r>
      <w:r w:rsidR="00614DC8">
        <w:fldChar w:fldCharType="begin" w:fldLock="1"/>
      </w:r>
      <w:r w:rsidR="00FE716A">
        <w:instrText>ADDIN CSL_CITATION {"citationItems":[{"id":"ITEM-1","itemData":{"author":[{"dropping-particle":"","family":"Rubin","given":"D.B.","non-dropping-particle":"","parse-names":false,"suffix":""}],"id":"ITEM-1","issued":{"date-parts":[["2004"]]},"publisher":"New York: John Wiley and Sons","title":"Multiple Imputation for Nonresponse in Surveys","type":"book"},"uris":["http://www.mendeley.com/documents/?uuid=63e858ac-b757-4ad2-a2c9-eb810a6eb905","http://www.mendeley.com/documents/?uuid=2729c373-bbdf-4ddd-a95b-114548b5c70d"]}],"mendeley":{"formattedCitation":"(17)","plainTextFormattedCitation":"(17)","previouslyFormattedCitation":"[17]"},"properties":{"noteIndex":0},"schema":"https://github.com/citation-style-language/schema/raw/master/csl-citation.json"}</w:instrText>
      </w:r>
      <w:r w:rsidR="00614DC8">
        <w:fldChar w:fldCharType="separate"/>
      </w:r>
      <w:r w:rsidR="00FE716A" w:rsidRPr="00FE716A">
        <w:rPr>
          <w:noProof/>
        </w:rPr>
        <w:t>(17)</w:t>
      </w:r>
      <w:r w:rsidR="00614DC8">
        <w:fldChar w:fldCharType="end"/>
      </w:r>
      <w:r w:rsidR="00A97193">
        <w:t xml:space="preserve"> For analysis of fasting glucose and HbA</w:t>
      </w:r>
      <w:r w:rsidR="00A97193" w:rsidRPr="009C5957">
        <w:rPr>
          <w:vertAlign w:val="subscript"/>
        </w:rPr>
        <w:t>1c</w:t>
      </w:r>
      <w:r w:rsidR="00A97193">
        <w:t xml:space="preserve"> levels, data were available for baseline and 12 month</w:t>
      </w:r>
      <w:r w:rsidR="004C27A5">
        <w:t xml:space="preserve">s </w:t>
      </w:r>
      <w:r w:rsidR="00A97193">
        <w:t xml:space="preserve">. We therefore used linear regression on the imputed data sets to estimate treatment effects, with target variable at 12 months as the outcome, with adjustment made for baseline value, </w:t>
      </w:r>
      <w:proofErr w:type="gramStart"/>
      <w:r w:rsidR="00A97193">
        <w:t>centre</w:t>
      </w:r>
      <w:proofErr w:type="gramEnd"/>
      <w:r w:rsidR="00A97193">
        <w:t xml:space="preserve"> and intervention group.</w:t>
      </w:r>
    </w:p>
    <w:p w14:paraId="12042F38" w14:textId="586CA3B7" w:rsidR="005323D0" w:rsidRDefault="005323D0" w:rsidP="005323D0">
      <w:r>
        <w:t xml:space="preserve">To examine whether intervention group was associated with glycaemic status </w:t>
      </w:r>
      <w:r w:rsidR="004610FB">
        <w:t xml:space="preserve">category </w:t>
      </w:r>
      <w:r>
        <w:t xml:space="preserve">at 12 months in people with </w:t>
      </w:r>
      <w:r w:rsidR="000E7663">
        <w:t>NDH</w:t>
      </w:r>
      <w:r>
        <w:t xml:space="preserve"> at baseline, we </w:t>
      </w:r>
      <w:r w:rsidR="005D7EE0">
        <w:t xml:space="preserve">used the </w:t>
      </w:r>
      <w:r w:rsidR="004610FB">
        <w:t>same multinomial</w:t>
      </w:r>
      <w:r>
        <w:t xml:space="preserve"> logistic regression </w:t>
      </w:r>
      <w:r w:rsidR="005D7EE0">
        <w:t xml:space="preserve">method </w:t>
      </w:r>
      <w:r>
        <w:t xml:space="preserve">described above in the subsample of WRAP participants </w:t>
      </w:r>
      <w:r w:rsidR="005D7EE0">
        <w:t xml:space="preserve">who were </w:t>
      </w:r>
      <w:r>
        <w:t>categorised as having non-diabetic hyperglycaemia at baseline.</w:t>
      </w:r>
    </w:p>
    <w:p w14:paraId="3E135667" w14:textId="210F69F2" w:rsidR="00C0067C" w:rsidRDefault="00C0067C" w:rsidP="005323D0">
      <w:r>
        <w:t>Analyses were performed using Stata version 14.2</w:t>
      </w:r>
      <w:r w:rsidR="000D17AD">
        <w:t>.</w:t>
      </w:r>
      <w:r w:rsidR="00EA05EE">
        <w:fldChar w:fldCharType="begin" w:fldLock="1"/>
      </w:r>
      <w:r w:rsidR="00FE716A">
        <w:instrText>ADDIN CSL_CITATION {"citationItems":[{"id":"ITEM-1","itemData":{"DOI":"10.2307/2234838","ISBN":"1881228541","ISSN":"00130133","abstract":"StataCorp. 2015. Stata Statistical Software: Release 14. College Station, TX: StataCorp LP.","author":[{"dropping-particle":"","family":"StataCorp","given":"","non-dropping-particle":"","parse-names":false,"suffix":""}],"container-title":"2015","id":"ITEM-1","issued":{"date-parts":[["2015"]]},"title":"Stata Statistical Software: Release 14. College Station, TX: StataCorp LP.","type":"article"},"uris":["http://www.mendeley.com/documents/?uuid=bd0ab7eb-aa90-4845-878b-c14b0e5d7858","http://www.mendeley.com/documents/?uuid=9bd39ccf-0f7a-4ac7-979b-2e872a2f3b0c"]}],"mendeley":{"formattedCitation":"(18)","plainTextFormattedCitation":"(18)","previouslyFormattedCitation":"[18]"},"properties":{"noteIndex":0},"schema":"https://github.com/citation-style-language/schema/raw/master/csl-citation.json"}</w:instrText>
      </w:r>
      <w:r w:rsidR="00EA05EE">
        <w:fldChar w:fldCharType="separate"/>
      </w:r>
      <w:r w:rsidR="00FE716A" w:rsidRPr="00FE716A">
        <w:rPr>
          <w:noProof/>
        </w:rPr>
        <w:t>(18)</w:t>
      </w:r>
      <w:r w:rsidR="00EA05EE">
        <w:fldChar w:fldCharType="end"/>
      </w:r>
    </w:p>
    <w:p w14:paraId="45943D40" w14:textId="77777777" w:rsidR="00F0025E" w:rsidRDefault="00F0025E" w:rsidP="005323D0">
      <w:r>
        <w:t>Role of the Funding Source</w:t>
      </w:r>
    </w:p>
    <w:p w14:paraId="62FEAC25" w14:textId="77777777" w:rsidR="00F0025E" w:rsidRDefault="00F0025E" w:rsidP="005323D0">
      <w:r>
        <w:t xml:space="preserve">The funders had no role in the design of the study or the collection, </w:t>
      </w:r>
      <w:proofErr w:type="gramStart"/>
      <w:r>
        <w:t>analysis</w:t>
      </w:r>
      <w:proofErr w:type="gramEnd"/>
      <w:r>
        <w:t xml:space="preserve"> and interpretation of data.</w:t>
      </w:r>
    </w:p>
    <w:p w14:paraId="5F1EF6DC" w14:textId="77777777" w:rsidR="002D0A38" w:rsidRPr="0058735A" w:rsidRDefault="002D0A38">
      <w:pPr>
        <w:rPr>
          <w:b/>
        </w:rPr>
      </w:pPr>
      <w:r w:rsidRPr="0058735A">
        <w:rPr>
          <w:b/>
        </w:rPr>
        <w:t>Results</w:t>
      </w:r>
    </w:p>
    <w:p w14:paraId="41F13395" w14:textId="125101DA" w:rsidR="005440C5" w:rsidRDefault="005323D0">
      <w:r>
        <w:t xml:space="preserve">We </w:t>
      </w:r>
      <w:r w:rsidR="0058735A">
        <w:t>ascertain</w:t>
      </w:r>
      <w:r w:rsidR="003A152F">
        <w:t>ed</w:t>
      </w:r>
      <w:r>
        <w:t xml:space="preserve"> glycaemic status at baseline for 879 participants, and at </w:t>
      </w:r>
      <w:r w:rsidR="00EB394B">
        <w:t xml:space="preserve">both </w:t>
      </w:r>
      <w:r>
        <w:t>baseline and 12 months for 480 participants</w:t>
      </w:r>
      <w:r w:rsidR="0041360B">
        <w:t xml:space="preserve">. </w:t>
      </w:r>
    </w:p>
    <w:p w14:paraId="5D54B6EA" w14:textId="65E6E835" w:rsidR="005323D0" w:rsidRDefault="005323D0" w:rsidP="005323D0">
      <w:r>
        <w:t>The primary analysis included</w:t>
      </w:r>
      <w:r w:rsidR="005A518D">
        <w:t xml:space="preserve"> the 480</w:t>
      </w:r>
      <w:r>
        <w:t xml:space="preserve"> participants with glycaemic status at both time-points. Characteristics of these participants are shown in Table 1. </w:t>
      </w:r>
      <w:r w:rsidR="003B5985">
        <w:t>T</w:t>
      </w:r>
      <w:r w:rsidR="005A10F3">
        <w:t>his</w:t>
      </w:r>
      <w:r>
        <w:t xml:space="preserve"> subset of participants </w:t>
      </w:r>
      <w:r w:rsidR="005A10F3">
        <w:t>had a slightly higher mean age</w:t>
      </w:r>
      <w:r w:rsidR="002623D5">
        <w:t xml:space="preserve"> (</w:t>
      </w:r>
      <w:r w:rsidR="003B5985">
        <w:t>D</w:t>
      </w:r>
      <w:r w:rsidR="002623D5">
        <w:t>ifference</w:t>
      </w:r>
      <w:r w:rsidR="003B5985">
        <w:t xml:space="preserve"> in means</w:t>
      </w:r>
      <w:r w:rsidR="002623D5">
        <w:t xml:space="preserve"> =5.92</w:t>
      </w:r>
      <w:r w:rsidR="00162119">
        <w:t>,</w:t>
      </w:r>
      <w:r w:rsidR="005A10F3">
        <w:t xml:space="preserve"> </w:t>
      </w:r>
      <w:r w:rsidR="002623D5">
        <w:t>95% CI</w:t>
      </w:r>
      <w:r w:rsidR="00162119">
        <w:t xml:space="preserve"> </w:t>
      </w:r>
      <w:r w:rsidR="005A10F3">
        <w:t>4.39</w:t>
      </w:r>
      <w:r w:rsidR="00162119">
        <w:t>, 7.44 years</w:t>
      </w:r>
      <w:r w:rsidR="005A10F3">
        <w:t>)</w:t>
      </w:r>
      <w:r w:rsidR="002623D5">
        <w:t xml:space="preserve"> </w:t>
      </w:r>
      <w:r w:rsidR="005A10F3">
        <w:t xml:space="preserve">and a larger proportion of men </w:t>
      </w:r>
      <w:r w:rsidR="00EA05EE">
        <w:t>(38% vs 28%)</w:t>
      </w:r>
      <w:r w:rsidR="005A10F3">
        <w:t xml:space="preserve">  than </w:t>
      </w:r>
      <w:r w:rsidR="00006D70">
        <w:t>members of the</w:t>
      </w:r>
      <w:r>
        <w:t xml:space="preserve"> trial population</w:t>
      </w:r>
      <w:r w:rsidR="00006D70">
        <w:t xml:space="preserve"> who were not eligible for inclusion in this analysis</w:t>
      </w:r>
      <w:r w:rsidR="005A10F3">
        <w:t xml:space="preserve">, but there </w:t>
      </w:r>
      <w:r w:rsidR="00E3079F">
        <w:t>was no evidence of a</w:t>
      </w:r>
      <w:r w:rsidR="005A10F3">
        <w:t xml:space="preserve"> difference in baseline weight</w:t>
      </w:r>
      <w:r>
        <w:t xml:space="preserve">. </w:t>
      </w:r>
    </w:p>
    <w:p w14:paraId="15FA1C68" w14:textId="35D4F584" w:rsidR="00861236" w:rsidRDefault="005323D0" w:rsidP="005323D0">
      <w:r>
        <w:t>P</w:t>
      </w:r>
      <w:r w:rsidRPr="00E0017F">
        <w:t xml:space="preserve">articipants referred to the 12-week and 52-week programmes were less likely than those in the brief intervention group to be categorised as having </w:t>
      </w:r>
      <w:r>
        <w:t xml:space="preserve">non-diabetic </w:t>
      </w:r>
      <w:r w:rsidRPr="00E0017F">
        <w:t xml:space="preserve">hyperglycaemia </w:t>
      </w:r>
      <w:r w:rsidR="000E7663">
        <w:t xml:space="preserve">compared to </w:t>
      </w:r>
      <w:proofErr w:type="spellStart"/>
      <w:r w:rsidR="000E7663">
        <w:t>normoglycaemia</w:t>
      </w:r>
      <w:proofErr w:type="spellEnd"/>
      <w:r w:rsidR="000E7663">
        <w:t xml:space="preserve"> </w:t>
      </w:r>
      <w:r w:rsidRPr="00E0017F">
        <w:t xml:space="preserve">at </w:t>
      </w:r>
      <w:r>
        <w:t>12 months</w:t>
      </w:r>
      <w:r w:rsidRPr="00E0017F">
        <w:t xml:space="preserve"> [12</w:t>
      </w:r>
      <w:r>
        <w:t>-</w:t>
      </w:r>
      <w:r w:rsidRPr="00E0017F">
        <w:t>week</w:t>
      </w:r>
      <w:r>
        <w:t xml:space="preserve"> programme vs brief intervention: </w:t>
      </w:r>
      <w:r w:rsidRPr="00E0017F">
        <w:t>RR</w:t>
      </w:r>
      <w:r w:rsidR="00F80184">
        <w:t>R</w:t>
      </w:r>
      <w:r w:rsidRPr="00E0017F">
        <w:t>=0.</w:t>
      </w:r>
      <w:r>
        <w:t xml:space="preserve">39 </w:t>
      </w:r>
      <w:r w:rsidRPr="00E0017F">
        <w:t>(</w:t>
      </w:r>
      <w:r>
        <w:t xml:space="preserve">95% </w:t>
      </w:r>
      <w:r w:rsidRPr="00E0017F">
        <w:t>CI 0.1</w:t>
      </w:r>
      <w:r>
        <w:t>8</w:t>
      </w:r>
      <w:r w:rsidRPr="00E0017F">
        <w:t>, 0.</w:t>
      </w:r>
      <w:r w:rsidR="006E524A">
        <w:t>87</w:t>
      </w:r>
      <w:r w:rsidRPr="00E0017F">
        <w:t>)</w:t>
      </w:r>
      <w:r>
        <w:t>,</w:t>
      </w:r>
      <w:r w:rsidRPr="00E0017F">
        <w:t xml:space="preserve"> p=0.0</w:t>
      </w:r>
      <w:r>
        <w:t>21</w:t>
      </w:r>
      <w:r w:rsidRPr="00E0017F">
        <w:t xml:space="preserve">; </w:t>
      </w:r>
      <w:r>
        <w:t>52-week programme vs brief intervention</w:t>
      </w:r>
      <w:r w:rsidRPr="00E0017F">
        <w:t>: RR</w:t>
      </w:r>
      <w:r w:rsidR="00F80184">
        <w:t>R</w:t>
      </w:r>
      <w:r w:rsidRPr="00E0017F">
        <w:t>=0.</w:t>
      </w:r>
      <w:r>
        <w:t xml:space="preserve">38 </w:t>
      </w:r>
      <w:r w:rsidRPr="00E0017F">
        <w:t>(</w:t>
      </w:r>
      <w:r>
        <w:t xml:space="preserve">95% </w:t>
      </w:r>
      <w:r w:rsidRPr="00E0017F">
        <w:t>CI 0.1</w:t>
      </w:r>
      <w:r>
        <w:t>7</w:t>
      </w:r>
      <w:r w:rsidRPr="00E0017F">
        <w:t>, 0.</w:t>
      </w:r>
      <w:r>
        <w:t>86</w:t>
      </w:r>
      <w:r w:rsidRPr="00E0017F">
        <w:t>), p=0.0</w:t>
      </w:r>
      <w:r>
        <w:t>20</w:t>
      </w:r>
      <w:r w:rsidRPr="00E0017F">
        <w:t>] (Figure 1</w:t>
      </w:r>
      <w:r>
        <w:t>a</w:t>
      </w:r>
      <w:r w:rsidRPr="00E0017F">
        <w:t xml:space="preserve">). </w:t>
      </w:r>
      <w:r w:rsidR="00B673E3">
        <w:t>Although the point estimates of the RRR suggested that p</w:t>
      </w:r>
      <w:r w:rsidR="00B673E3" w:rsidRPr="00E0017F">
        <w:t>articipants</w:t>
      </w:r>
      <w:r w:rsidR="00B673E3">
        <w:t xml:space="preserve"> </w:t>
      </w:r>
      <w:r>
        <w:t>in the 12-week and 52-week</w:t>
      </w:r>
      <w:r w:rsidRPr="00E0017F">
        <w:t xml:space="preserve"> </w:t>
      </w:r>
      <w:r>
        <w:t xml:space="preserve">programmes </w:t>
      </w:r>
      <w:r w:rsidR="00B673E3">
        <w:t>are</w:t>
      </w:r>
      <w:r w:rsidRPr="00E0017F">
        <w:t xml:space="preserve"> less likely to hav</w:t>
      </w:r>
      <w:r w:rsidR="00BA3A31">
        <w:t>e</w:t>
      </w:r>
      <w:r w:rsidRPr="00E0017F">
        <w:t xml:space="preserve"> diabetes at </w:t>
      </w:r>
      <w:r>
        <w:t>12 months</w:t>
      </w:r>
      <w:r w:rsidRPr="00E0017F">
        <w:t xml:space="preserve">, </w:t>
      </w:r>
      <w:r w:rsidR="00B673E3">
        <w:t>the confidence intervals were wide and compatible with both a negative and positive association</w:t>
      </w:r>
      <w:r w:rsidRPr="00E0017F">
        <w:t xml:space="preserve"> [12</w:t>
      </w:r>
      <w:r>
        <w:t>-week programme vs brief intervention</w:t>
      </w:r>
      <w:r w:rsidRPr="00E0017F">
        <w:t>: RR</w:t>
      </w:r>
      <w:r w:rsidR="00F80184">
        <w:t>R</w:t>
      </w:r>
      <w:r w:rsidRPr="00E0017F">
        <w:t>=0.</w:t>
      </w:r>
      <w:r w:rsidR="006E524A">
        <w:t xml:space="preserve">49 </w:t>
      </w:r>
      <w:r w:rsidRPr="00E0017F">
        <w:t>(</w:t>
      </w:r>
      <w:r>
        <w:t xml:space="preserve">95% </w:t>
      </w:r>
      <w:r w:rsidRPr="00E0017F">
        <w:t>CI 0.1</w:t>
      </w:r>
      <w:r>
        <w:t>2</w:t>
      </w:r>
      <w:r w:rsidRPr="00E0017F">
        <w:t xml:space="preserve">, </w:t>
      </w:r>
      <w:r>
        <w:t>1.96</w:t>
      </w:r>
      <w:r w:rsidRPr="00E0017F">
        <w:t>)</w:t>
      </w:r>
      <w:r>
        <w:t>,</w:t>
      </w:r>
      <w:r w:rsidRPr="00E0017F">
        <w:t xml:space="preserve"> p=0.</w:t>
      </w:r>
      <w:r>
        <w:t>312</w:t>
      </w:r>
      <w:r w:rsidRPr="00E0017F">
        <w:t xml:space="preserve">; </w:t>
      </w:r>
      <w:r>
        <w:t>52-week programme vs brief intervention</w:t>
      </w:r>
      <w:r w:rsidRPr="00E0017F">
        <w:t>: RR</w:t>
      </w:r>
      <w:r w:rsidR="00F80184">
        <w:t>R</w:t>
      </w:r>
      <w:r w:rsidRPr="00E0017F">
        <w:t>=0.</w:t>
      </w:r>
      <w:r>
        <w:t xml:space="preserve">40 </w:t>
      </w:r>
      <w:r w:rsidRPr="00E0017F">
        <w:t>(</w:t>
      </w:r>
      <w:r>
        <w:t xml:space="preserve">95% </w:t>
      </w:r>
      <w:r w:rsidRPr="00E0017F">
        <w:t>CI 0.</w:t>
      </w:r>
      <w:r>
        <w:t>10</w:t>
      </w:r>
      <w:r w:rsidRPr="00E0017F">
        <w:t xml:space="preserve">, </w:t>
      </w:r>
      <w:r>
        <w:t>1.63</w:t>
      </w:r>
      <w:r w:rsidRPr="00E0017F">
        <w:t>), p=0.</w:t>
      </w:r>
      <w:r>
        <w:t>199</w:t>
      </w:r>
      <w:r w:rsidRPr="00E0017F">
        <w:t>] (Figure 1</w:t>
      </w:r>
      <w:r>
        <w:t>b</w:t>
      </w:r>
      <w:r w:rsidRPr="00E0017F">
        <w:t xml:space="preserve">). </w:t>
      </w:r>
      <w:r w:rsidR="0058735A">
        <w:t xml:space="preserve">Table 2 shows </w:t>
      </w:r>
      <w:r w:rsidR="003F06FE">
        <w:t xml:space="preserve">frequency of </w:t>
      </w:r>
      <w:r w:rsidR="0058735A">
        <w:t>change</w:t>
      </w:r>
      <w:r w:rsidR="003F06FE">
        <w:t>s</w:t>
      </w:r>
      <w:r w:rsidR="0058735A">
        <w:t xml:space="preserve"> </w:t>
      </w:r>
      <w:r w:rsidR="003F06FE">
        <w:t xml:space="preserve">from one </w:t>
      </w:r>
      <w:r w:rsidR="0058735A">
        <w:t xml:space="preserve">diabetes status </w:t>
      </w:r>
      <w:r w:rsidR="003F06FE">
        <w:t>category to another</w:t>
      </w:r>
      <w:r w:rsidR="00F33E31">
        <w:t>,</w:t>
      </w:r>
      <w:r w:rsidR="003F06FE">
        <w:t xml:space="preserve"> </w:t>
      </w:r>
      <w:r w:rsidR="0058735A">
        <w:t>by intervention group.</w:t>
      </w:r>
    </w:p>
    <w:p w14:paraId="37207CC0" w14:textId="2D08D62A" w:rsidR="005323D0" w:rsidRDefault="005323D0" w:rsidP="005323D0">
      <w:r>
        <w:t>A sensitivity analysis, which excluded participants who were taking metformin but whose HbA</w:t>
      </w:r>
      <w:r w:rsidRPr="00B923F9">
        <w:rPr>
          <w:vertAlign w:val="subscript"/>
        </w:rPr>
        <w:t>1c</w:t>
      </w:r>
      <w:r>
        <w:t xml:space="preserve"> levels were within the normal range, </w:t>
      </w:r>
      <w:r w:rsidR="005F23CD">
        <w:t>showed similar results</w:t>
      </w:r>
      <w:r>
        <w:t xml:space="preserve">. Sensitivity analyses using WHO </w:t>
      </w:r>
      <w:r w:rsidR="00BA3A31">
        <w:t>criteria</w:t>
      </w:r>
      <w:r>
        <w:t xml:space="preserve"> for </w:t>
      </w:r>
      <w:r w:rsidR="000E7663">
        <w:t>NDH</w:t>
      </w:r>
      <w:r>
        <w:t xml:space="preserve"> </w:t>
      </w:r>
      <w:r w:rsidR="00EC4C02">
        <w:t>showed no evidence of a difference between groups for risk of NDH</w:t>
      </w:r>
      <w:r w:rsidR="00D14D81">
        <w:t xml:space="preserve"> </w:t>
      </w:r>
      <w:r>
        <w:t>[12-week programme vs brief intervention: RR</w:t>
      </w:r>
      <w:r w:rsidR="00C27BCF">
        <w:t>R</w:t>
      </w:r>
      <w:r>
        <w:t>=0.63 (95% CI 0.25, 1.61), p=0.338; 52-week programme vs brief intervention: RR</w:t>
      </w:r>
      <w:r w:rsidR="00C27BCF">
        <w:t>R</w:t>
      </w:r>
      <w:r>
        <w:t>=0.58 (95% CI 0.23, 1.50), p=0.262] and diabetes [12-week programme vs BI: RR</w:t>
      </w:r>
      <w:r w:rsidR="00C27BCF">
        <w:t>R</w:t>
      </w:r>
      <w:r>
        <w:t>=0.79 (95% CI 0.20, 3.10), p=0.736; 52-week programme vs brief intervention: RR</w:t>
      </w:r>
      <w:r w:rsidR="00C27BCF">
        <w:t>R</w:t>
      </w:r>
      <w:r>
        <w:t>=0.63 (CI 0.16, 2.51), p=0.510] at 12 months.</w:t>
      </w:r>
    </w:p>
    <w:p w14:paraId="745EA9B7" w14:textId="33625C97" w:rsidR="003907D1" w:rsidRDefault="00BA3A31" w:rsidP="003907D1">
      <w:r>
        <w:t>At baseline 387</w:t>
      </w:r>
      <w:r w:rsidR="005323D0">
        <w:t xml:space="preserve"> </w:t>
      </w:r>
      <w:r w:rsidR="0058735A">
        <w:t xml:space="preserve">participants </w:t>
      </w:r>
      <w:r w:rsidR="005323D0">
        <w:t>(46%) had HbA</w:t>
      </w:r>
      <w:r w:rsidR="005323D0" w:rsidRPr="0058735A">
        <w:rPr>
          <w:vertAlign w:val="subscript"/>
        </w:rPr>
        <w:t>1c</w:t>
      </w:r>
      <w:r w:rsidR="005323D0">
        <w:t xml:space="preserve"> levels within the non-diabetic hyperglycaemia </w:t>
      </w:r>
      <w:r>
        <w:t xml:space="preserve">(NDH) </w:t>
      </w:r>
      <w:r w:rsidR="005323D0">
        <w:t>category (</w:t>
      </w:r>
      <w:r w:rsidR="00C853C5">
        <w:t>b</w:t>
      </w:r>
      <w:r w:rsidR="005323D0">
        <w:t xml:space="preserve">rief intervention, N=66; 12-week programme, N=173; 52-week programme, N=148). Baseline characteristics of these participants are shown in Table </w:t>
      </w:r>
      <w:r w:rsidR="00D65938">
        <w:t>1</w:t>
      </w:r>
      <w:r w:rsidR="005323D0">
        <w:t>.</w:t>
      </w:r>
      <w:r w:rsidR="003A36F5">
        <w:t xml:space="preserve"> </w:t>
      </w:r>
      <w:r w:rsidR="0058735A">
        <w:t xml:space="preserve">Changes in weight, </w:t>
      </w:r>
      <w:r w:rsidR="005323D0">
        <w:t>fasting glucose and HbA</w:t>
      </w:r>
      <w:r w:rsidR="005323D0" w:rsidRPr="009D6876">
        <w:rPr>
          <w:vertAlign w:val="subscript"/>
        </w:rPr>
        <w:t>1c</w:t>
      </w:r>
      <w:r w:rsidR="005323D0">
        <w:t xml:space="preserve"> </w:t>
      </w:r>
      <w:r w:rsidR="0058735A">
        <w:t>between baseline and</w:t>
      </w:r>
      <w:r w:rsidR="005323D0">
        <w:t xml:space="preserve"> 12 months are shown by intervention group in Table </w:t>
      </w:r>
      <w:r w:rsidR="003F06FE">
        <w:t>3</w:t>
      </w:r>
      <w:r w:rsidR="005323D0">
        <w:t>.</w:t>
      </w:r>
      <w:r w:rsidR="003A36F5">
        <w:t xml:space="preserve"> </w:t>
      </w:r>
      <w:r w:rsidR="005323D0">
        <w:t>Participants in the 12-week and 52-week programme groups lost more weight than the brief intervention group after 12 months [12-week programme vs brief intervention: -</w:t>
      </w:r>
      <w:r w:rsidR="00E046A6">
        <w:t>3.00</w:t>
      </w:r>
      <w:r w:rsidR="005323D0">
        <w:t xml:space="preserve"> kg (95% CI -</w:t>
      </w:r>
      <w:r w:rsidR="00E046A6">
        <w:t>5.05</w:t>
      </w:r>
      <w:r w:rsidR="005323D0">
        <w:t>, -</w:t>
      </w:r>
      <w:r w:rsidR="00E046A6">
        <w:t>0.94</w:t>
      </w:r>
      <w:r w:rsidR="005323D0">
        <w:t>), p=0.</w:t>
      </w:r>
      <w:r w:rsidR="00E046A6">
        <w:t>00</w:t>
      </w:r>
      <w:r w:rsidR="002D1BD3">
        <w:t>44</w:t>
      </w:r>
      <w:r w:rsidR="005323D0">
        <w:t>; 52-week programme vs brief intervention: -</w:t>
      </w:r>
      <w:r w:rsidR="00D134D9">
        <w:t>4.27</w:t>
      </w:r>
      <w:r w:rsidR="005323D0">
        <w:t xml:space="preserve"> kg (95% CI -</w:t>
      </w:r>
      <w:r w:rsidR="00D134D9">
        <w:t>6.43</w:t>
      </w:r>
      <w:r w:rsidR="005323D0">
        <w:t>, -</w:t>
      </w:r>
      <w:r w:rsidR="00E046A6">
        <w:t>2.</w:t>
      </w:r>
      <w:r w:rsidR="00D134D9">
        <w:t>10</w:t>
      </w:r>
      <w:r w:rsidR="005323D0">
        <w:t>), p</w:t>
      </w:r>
      <w:r w:rsidR="00E046A6">
        <w:t>=</w:t>
      </w:r>
      <w:r w:rsidR="005323D0">
        <w:t xml:space="preserve">0.0001]. </w:t>
      </w:r>
      <w:r w:rsidR="007B4320">
        <w:t xml:space="preserve">There was no evidence of a difference between the </w:t>
      </w:r>
      <w:r w:rsidR="005323D0">
        <w:t xml:space="preserve">52-week programme </w:t>
      </w:r>
      <w:r w:rsidR="007B4320">
        <w:t xml:space="preserve">and the </w:t>
      </w:r>
      <w:proofErr w:type="gramStart"/>
      <w:r w:rsidR="007B4320">
        <w:t>12 week</w:t>
      </w:r>
      <w:proofErr w:type="gramEnd"/>
      <w:r w:rsidR="007B4320">
        <w:t xml:space="preserve"> programme</w:t>
      </w:r>
      <w:r w:rsidR="005323D0">
        <w:t xml:space="preserve"> [-1.</w:t>
      </w:r>
      <w:r w:rsidR="00D134D9">
        <w:t xml:space="preserve">27 </w:t>
      </w:r>
      <w:r w:rsidR="005323D0">
        <w:t>kg (95% CI -</w:t>
      </w:r>
      <w:r w:rsidR="002D1BD3">
        <w:t>2.76</w:t>
      </w:r>
      <w:r w:rsidR="005323D0">
        <w:t>, 0.</w:t>
      </w:r>
      <w:r w:rsidR="002D1BD3">
        <w:t>22</w:t>
      </w:r>
      <w:r w:rsidR="005323D0">
        <w:t>), p=0.</w:t>
      </w:r>
      <w:r w:rsidR="002D1BD3">
        <w:t>0958</w:t>
      </w:r>
      <w:r w:rsidR="007B4320">
        <w:t>]</w:t>
      </w:r>
      <w:r w:rsidR="005323D0">
        <w:t xml:space="preserve">. </w:t>
      </w:r>
      <w:r w:rsidR="006404AD">
        <w:t>There were mean reductions in</w:t>
      </w:r>
      <w:r w:rsidR="003907D1">
        <w:t xml:space="preserve"> HbA</w:t>
      </w:r>
      <w:r w:rsidR="003907D1" w:rsidRPr="009D6876">
        <w:rPr>
          <w:vertAlign w:val="subscript"/>
        </w:rPr>
        <w:t>1c</w:t>
      </w:r>
      <w:r w:rsidR="003907D1">
        <w:t xml:space="preserve"> and fasting blood glucose at 12 months </w:t>
      </w:r>
      <w:r w:rsidR="006404AD">
        <w:t xml:space="preserve">in all groups </w:t>
      </w:r>
      <w:r w:rsidR="003907D1">
        <w:t xml:space="preserve">(Table 3), </w:t>
      </w:r>
      <w:r w:rsidR="006404AD">
        <w:t>but no evidence of differences between the groups</w:t>
      </w:r>
      <w:r w:rsidR="003907D1">
        <w:t xml:space="preserve">. </w:t>
      </w:r>
    </w:p>
    <w:p w14:paraId="6EA1B4C2" w14:textId="5F86CE91" w:rsidR="005323D0" w:rsidRDefault="007B4320" w:rsidP="005323D0">
      <w:r>
        <w:t xml:space="preserve">Using </w:t>
      </w:r>
      <w:r w:rsidR="003907D1">
        <w:t>WHO criteria for HbA</w:t>
      </w:r>
      <w:r w:rsidR="003907D1" w:rsidRPr="00AC4521">
        <w:rPr>
          <w:vertAlign w:val="subscript"/>
        </w:rPr>
        <w:t>1c</w:t>
      </w:r>
      <w:r w:rsidR="003907D1">
        <w:t xml:space="preserve"> and fasting glucose to categorise glycaemic status</w:t>
      </w:r>
      <w:r>
        <w:t xml:space="preserve">, </w:t>
      </w:r>
      <w:r w:rsidR="002A3C56">
        <w:t>156</w:t>
      </w:r>
      <w:r>
        <w:t xml:space="preserve"> participants had NDH at baseline. Sensitivity analysis using WHO criteria</w:t>
      </w:r>
      <w:r w:rsidR="003907D1">
        <w:t xml:space="preserve"> showed very similar results, but there was a larger difference in weight loss between the 12-week and 52-week programmes at 12 months.</w:t>
      </w:r>
    </w:p>
    <w:p w14:paraId="4CA06A3E" w14:textId="3867E8A9" w:rsidR="005323D0" w:rsidRDefault="005323D0" w:rsidP="003A152F">
      <w:r>
        <w:t>P</w:t>
      </w:r>
      <w:r w:rsidRPr="00E0017F">
        <w:t xml:space="preserve">articipants </w:t>
      </w:r>
      <w:r w:rsidR="00BA3A31">
        <w:t xml:space="preserve">with NDH </w:t>
      </w:r>
      <w:r w:rsidRPr="00E0017F">
        <w:t xml:space="preserve">referred to the 12-week and 52-week programmes were </w:t>
      </w:r>
      <w:r>
        <w:t>more</w:t>
      </w:r>
      <w:r w:rsidRPr="00E0017F">
        <w:t xml:space="preserve"> likely than those in the brief intervention group to </w:t>
      </w:r>
      <w:r>
        <w:t>have reverted to</w:t>
      </w:r>
      <w:r w:rsidRPr="00E0017F">
        <w:t xml:space="preserve"> </w:t>
      </w:r>
      <w:proofErr w:type="spellStart"/>
      <w:r w:rsidR="00D134D9">
        <w:t>normoglycaemia</w:t>
      </w:r>
      <w:proofErr w:type="spellEnd"/>
      <w:r w:rsidRPr="00E0017F">
        <w:t xml:space="preserve"> at </w:t>
      </w:r>
      <w:r>
        <w:t>12 months</w:t>
      </w:r>
      <w:r w:rsidRPr="00E0017F">
        <w:t xml:space="preserve"> [12</w:t>
      </w:r>
      <w:r>
        <w:t>-</w:t>
      </w:r>
      <w:r w:rsidRPr="00E0017F">
        <w:t>week</w:t>
      </w:r>
      <w:r>
        <w:t xml:space="preserve"> programme vs brief intervention: RR</w:t>
      </w:r>
      <w:r w:rsidR="00A02D28">
        <w:t>R</w:t>
      </w:r>
      <w:r>
        <w:t>=3.</w:t>
      </w:r>
      <w:r w:rsidR="005A10F3">
        <w:t xml:space="preserve">57 </w:t>
      </w:r>
      <w:r w:rsidRPr="00E0017F">
        <w:t xml:space="preserve">(CI </w:t>
      </w:r>
      <w:r>
        <w:t>1.24</w:t>
      </w:r>
      <w:r w:rsidRPr="00E0017F">
        <w:t xml:space="preserve">, </w:t>
      </w:r>
      <w:r>
        <w:t>10.29</w:t>
      </w:r>
      <w:r w:rsidRPr="00E0017F">
        <w:t>)</w:t>
      </w:r>
      <w:r>
        <w:t>,</w:t>
      </w:r>
      <w:r w:rsidRPr="00E0017F">
        <w:t xml:space="preserve"> p=0.0</w:t>
      </w:r>
      <w:r>
        <w:t>19</w:t>
      </w:r>
      <w:r w:rsidRPr="00E0017F">
        <w:t xml:space="preserve">; </w:t>
      </w:r>
      <w:r>
        <w:t>52-week programme vs brief intervention</w:t>
      </w:r>
      <w:r w:rsidRPr="00E0017F">
        <w:t xml:space="preserve">: </w:t>
      </w:r>
      <w:r>
        <w:t>RR</w:t>
      </w:r>
      <w:r w:rsidR="00A02D28">
        <w:t>R</w:t>
      </w:r>
      <w:r>
        <w:t xml:space="preserve">=4.14 </w:t>
      </w:r>
      <w:r w:rsidRPr="00E0017F">
        <w:t xml:space="preserve">(CI </w:t>
      </w:r>
      <w:r>
        <w:t>1.42</w:t>
      </w:r>
      <w:r w:rsidRPr="00E0017F">
        <w:t xml:space="preserve">, </w:t>
      </w:r>
      <w:r>
        <w:t>12.12</w:t>
      </w:r>
      <w:r w:rsidRPr="00E0017F">
        <w:t>), p=0.0</w:t>
      </w:r>
      <w:r>
        <w:t>09</w:t>
      </w:r>
      <w:r w:rsidRPr="00E0017F">
        <w:t xml:space="preserve">] (Figure </w:t>
      </w:r>
      <w:r w:rsidR="005A10F3">
        <w:t>2a</w:t>
      </w:r>
      <w:r w:rsidRPr="00E0017F">
        <w:t>).</w:t>
      </w:r>
      <w:r w:rsidR="003A152F">
        <w:t xml:space="preserve"> </w:t>
      </w:r>
      <w:r w:rsidR="00EA05EE">
        <w:t>There was little evidence to suggest that those referred to these programmes were less likely to have diabetes at 12 months as</w:t>
      </w:r>
      <w:r w:rsidRPr="00E0017F">
        <w:t xml:space="preserve"> </w:t>
      </w:r>
      <w:r w:rsidR="00B5033D">
        <w:t>confidence intervals were wide and overlapped 1</w:t>
      </w:r>
      <w:r w:rsidR="00814EF8">
        <w:t xml:space="preserve"> </w:t>
      </w:r>
      <w:r w:rsidRPr="00E0017F">
        <w:t>[12</w:t>
      </w:r>
      <w:r>
        <w:t>-week programme vs brief intervention</w:t>
      </w:r>
      <w:r w:rsidRPr="00E0017F">
        <w:t>: RR</w:t>
      </w:r>
      <w:r w:rsidR="00A02D28">
        <w:t>R</w:t>
      </w:r>
      <w:r w:rsidRPr="00E0017F">
        <w:t>=0.</w:t>
      </w:r>
      <w:r>
        <w:t xml:space="preserve">90 </w:t>
      </w:r>
      <w:r w:rsidRPr="00E0017F">
        <w:t>(CI 0.1</w:t>
      </w:r>
      <w:r>
        <w:t>5</w:t>
      </w:r>
      <w:r w:rsidRPr="00E0017F">
        <w:t xml:space="preserve">, </w:t>
      </w:r>
      <w:r>
        <w:t>5.33</w:t>
      </w:r>
      <w:r w:rsidRPr="00E0017F">
        <w:t>)</w:t>
      </w:r>
      <w:r>
        <w:t>,</w:t>
      </w:r>
      <w:r w:rsidRPr="00E0017F">
        <w:t xml:space="preserve"> p=0.</w:t>
      </w:r>
      <w:r>
        <w:t>905</w:t>
      </w:r>
      <w:r w:rsidRPr="00E0017F">
        <w:t xml:space="preserve">; </w:t>
      </w:r>
      <w:r>
        <w:t>52-week programme vs brief intervention</w:t>
      </w:r>
      <w:r w:rsidRPr="00E0017F">
        <w:t>: RR</w:t>
      </w:r>
      <w:r w:rsidR="00A02D28">
        <w:t>R</w:t>
      </w:r>
      <w:r w:rsidRPr="00E0017F">
        <w:t>=0.</w:t>
      </w:r>
      <w:r>
        <w:t xml:space="preserve">25 </w:t>
      </w:r>
      <w:r w:rsidRPr="00E0017F">
        <w:t>(CI 0.</w:t>
      </w:r>
      <w:r w:rsidR="005A10F3">
        <w:t>02</w:t>
      </w:r>
      <w:r w:rsidRPr="00E0017F">
        <w:t xml:space="preserve">, </w:t>
      </w:r>
      <w:r>
        <w:t>3.04</w:t>
      </w:r>
      <w:r w:rsidRPr="00E0017F">
        <w:t>), p=0.</w:t>
      </w:r>
      <w:r>
        <w:t>279</w:t>
      </w:r>
      <w:r w:rsidRPr="00E0017F">
        <w:t xml:space="preserve">] (Figure </w:t>
      </w:r>
      <w:r w:rsidR="005A10F3">
        <w:t>2b</w:t>
      </w:r>
      <w:r w:rsidRPr="00E0017F">
        <w:t xml:space="preserve">). </w:t>
      </w:r>
    </w:p>
    <w:p w14:paraId="4118986D" w14:textId="77777777" w:rsidR="000271AB" w:rsidRDefault="000271AB" w:rsidP="0046518C"/>
    <w:p w14:paraId="679C6782" w14:textId="77777777" w:rsidR="001013A2" w:rsidRDefault="00A26CA6">
      <w:r>
        <w:t>Discussion</w:t>
      </w:r>
    </w:p>
    <w:p w14:paraId="3ABE8DA0" w14:textId="77777777" w:rsidR="00814EF8" w:rsidRDefault="00814EF8" w:rsidP="003907D1"/>
    <w:p w14:paraId="3FAEA761" w14:textId="77777777" w:rsidR="00814EF8" w:rsidRDefault="00814EF8" w:rsidP="003907D1">
      <w:r>
        <w:t>Summary</w:t>
      </w:r>
    </w:p>
    <w:p w14:paraId="763BE53A" w14:textId="50140624" w:rsidR="00E07A46" w:rsidRDefault="00F240B5" w:rsidP="003907D1">
      <w:r>
        <w:t>In this secondary analysis of data from the WRAP trial, we found that p</w:t>
      </w:r>
      <w:r w:rsidR="001013A2">
        <w:t xml:space="preserve">articipants </w:t>
      </w:r>
      <w:r w:rsidR="0076329D">
        <w:t xml:space="preserve">with overweight or obesity who were </w:t>
      </w:r>
      <w:r w:rsidR="00503173">
        <w:t xml:space="preserve">randomised </w:t>
      </w:r>
      <w:r w:rsidR="001013A2">
        <w:t xml:space="preserve">to </w:t>
      </w:r>
      <w:r w:rsidR="00503173">
        <w:t>a</w:t>
      </w:r>
      <w:r w:rsidR="00CD23AA">
        <w:t>n open-group</w:t>
      </w:r>
      <w:r w:rsidR="00F0025E">
        <w:t xml:space="preserve"> behavioural </w:t>
      </w:r>
      <w:r w:rsidR="00CD23AA">
        <w:t xml:space="preserve">weight management </w:t>
      </w:r>
      <w:r w:rsidR="00F0025E">
        <w:t xml:space="preserve">programme </w:t>
      </w:r>
      <w:r w:rsidR="00EB6575">
        <w:t>were</w:t>
      </w:r>
      <w:r w:rsidR="00927DE9">
        <w:t xml:space="preserve"> </w:t>
      </w:r>
      <w:r w:rsidR="00EA05EE">
        <w:t xml:space="preserve">61% </w:t>
      </w:r>
      <w:r w:rsidR="001013A2">
        <w:t xml:space="preserve">less likely to have </w:t>
      </w:r>
      <w:r w:rsidR="007503A0">
        <w:t>non-diabetic hyperglycaemia at 12 month</w:t>
      </w:r>
      <w:r w:rsidR="001629FF">
        <w:t>s</w:t>
      </w:r>
      <w:r w:rsidR="00927DE9">
        <w:t xml:space="preserve"> follow up than participants </w:t>
      </w:r>
      <w:r w:rsidR="008916D3">
        <w:t>allocated to</w:t>
      </w:r>
      <w:r w:rsidR="00927DE9">
        <w:t xml:space="preserve"> a brief intervention</w:t>
      </w:r>
      <w:r w:rsidR="007503A0">
        <w:t>.</w:t>
      </w:r>
      <w:r w:rsidR="004C01B6">
        <w:t xml:space="preserve"> </w:t>
      </w:r>
      <w:r w:rsidR="00A65CE1">
        <w:t>Few people were categorised as having diabetes</w:t>
      </w:r>
      <w:r w:rsidR="000E5A41">
        <w:t xml:space="preserve"> </w:t>
      </w:r>
      <w:r w:rsidR="00B93B89">
        <w:t>at</w:t>
      </w:r>
      <w:r w:rsidR="0076329D">
        <w:t xml:space="preserve"> </w:t>
      </w:r>
      <w:r w:rsidR="00B93B89">
        <w:t xml:space="preserve">the </w:t>
      </w:r>
      <w:r w:rsidR="00FE716A">
        <w:t>12 month</w:t>
      </w:r>
      <w:r w:rsidR="00B93B89">
        <w:t xml:space="preserve"> </w:t>
      </w:r>
      <w:r w:rsidR="0076329D">
        <w:t>follow</w:t>
      </w:r>
      <w:r w:rsidR="00302D86">
        <w:t xml:space="preserve"> up</w:t>
      </w:r>
      <w:r w:rsidR="00A65CE1">
        <w:t xml:space="preserve"> </w:t>
      </w:r>
      <w:r w:rsidR="000E5A41">
        <w:t xml:space="preserve">(7 people, 1%), which </w:t>
      </w:r>
      <w:r w:rsidR="008D13B0">
        <w:t xml:space="preserve">reduced our ability </w:t>
      </w:r>
      <w:r w:rsidR="000E5A41">
        <w:t>to detect differences</w:t>
      </w:r>
      <w:r w:rsidR="0076329D">
        <w:t xml:space="preserve"> between groups in </w:t>
      </w:r>
      <w:r>
        <w:t>T2D incidence</w:t>
      </w:r>
      <w:r w:rsidR="00EB5AA3">
        <w:t>,</w:t>
      </w:r>
      <w:r w:rsidR="001D662D">
        <w:t xml:space="preserve"> </w:t>
      </w:r>
      <w:r w:rsidR="007076EF">
        <w:t xml:space="preserve">and there was no evidence of a difference between groups in diabetes status </w:t>
      </w:r>
      <w:r w:rsidR="001D662D">
        <w:t xml:space="preserve"> </w:t>
      </w:r>
      <w:r w:rsidR="00FE716A">
        <w:t>at this time-point</w:t>
      </w:r>
      <w:r w:rsidR="005323D0">
        <w:t>.</w:t>
      </w:r>
      <w:r w:rsidR="007076EF">
        <w:t xml:space="preserve"> Among participants with NDH at baseline, participants in the behavioural weight management programmes were more likely to have </w:t>
      </w:r>
      <w:proofErr w:type="spellStart"/>
      <w:r w:rsidR="007076EF">
        <w:t>norm</w:t>
      </w:r>
      <w:r w:rsidR="00FE716A">
        <w:t>o</w:t>
      </w:r>
      <w:r w:rsidR="007076EF">
        <w:t>glycaemia</w:t>
      </w:r>
      <w:proofErr w:type="spellEnd"/>
      <w:r w:rsidR="007076EF">
        <w:t xml:space="preserve"> </w:t>
      </w:r>
      <w:r w:rsidR="00FE716A">
        <w:t xml:space="preserve">at 12 months </w:t>
      </w:r>
      <w:r w:rsidR="001D662D">
        <w:t>t</w:t>
      </w:r>
      <w:r w:rsidR="007076EF">
        <w:t>han those who received brief self-help materials.</w:t>
      </w:r>
      <w:r w:rsidR="0076329D">
        <w:t xml:space="preserve"> </w:t>
      </w:r>
    </w:p>
    <w:p w14:paraId="0DFBB422" w14:textId="77777777" w:rsidR="00814EF8" w:rsidRDefault="00814EF8" w:rsidP="004F508A"/>
    <w:p w14:paraId="636D0FA8" w14:textId="77777777" w:rsidR="00814EF8" w:rsidRDefault="00814EF8" w:rsidP="004F508A">
      <w:r>
        <w:t>Strengths and limitations</w:t>
      </w:r>
    </w:p>
    <w:p w14:paraId="72D5DDB3" w14:textId="438C04AA" w:rsidR="004F508A" w:rsidRDefault="004F508A" w:rsidP="004F508A">
      <w:r>
        <w:t xml:space="preserve">This study is limited by the relatively small proportion of </w:t>
      </w:r>
      <w:r w:rsidR="004007B0">
        <w:t xml:space="preserve">WRAP trial </w:t>
      </w:r>
      <w:r>
        <w:t>participants who provided blood samples at baseline and follow up</w:t>
      </w:r>
      <w:r w:rsidR="004007B0">
        <w:t xml:space="preserve"> and could be included in the analyses</w:t>
      </w:r>
      <w:r>
        <w:t xml:space="preserve">. However, no differences were identified between these participants and the whole WRAP sample. </w:t>
      </w:r>
      <w:r w:rsidR="00B00894">
        <w:t>B</w:t>
      </w:r>
      <w:r>
        <w:t xml:space="preserve">lood samples were only collected at baseline and 12 months. In contrast to the original explanatory </w:t>
      </w:r>
      <w:r w:rsidR="00C60AC5">
        <w:t xml:space="preserve">diabetes prevention </w:t>
      </w:r>
      <w:r>
        <w:t xml:space="preserve">trials few studies of pragmatic programmes have followed participants beyond one year. Nevertheless, this short follow up meant that only a small proportion of participants developed diabetes which reduced study power. The study is also limited </w:t>
      </w:r>
      <w:proofErr w:type="gramStart"/>
      <w:r>
        <w:t>by the use of</w:t>
      </w:r>
      <w:proofErr w:type="gramEnd"/>
      <w:r>
        <w:t xml:space="preserve"> a single measure of HbA</w:t>
      </w:r>
      <w:r w:rsidRPr="005D4EB8">
        <w:rPr>
          <w:vertAlign w:val="subscript"/>
        </w:rPr>
        <w:t>1c</w:t>
      </w:r>
      <w:r>
        <w:t>, glucose and/or medication to classify NDH and diabetes. Given the focus of this trial</w:t>
      </w:r>
      <w:r w:rsidR="008E0A0D">
        <w:t xml:space="preserve"> on the impact of programme duration on weight-loss</w:t>
      </w:r>
      <w:r>
        <w:t xml:space="preserve">, we did not </w:t>
      </w:r>
      <w:r w:rsidR="00C60AC5">
        <w:t xml:space="preserve">originally </w:t>
      </w:r>
      <w:r>
        <w:t xml:space="preserve">declare the incidence of hyperglycaemia or diabetes as outcomes.  Strengths of the </w:t>
      </w:r>
      <w:r w:rsidR="00CA5CDA">
        <w:t xml:space="preserve">study </w:t>
      </w:r>
      <w:r>
        <w:t>include the randomised trial design and the recruitment of a community</w:t>
      </w:r>
      <w:r w:rsidR="00C853C5">
        <w:t>-</w:t>
      </w:r>
      <w:r>
        <w:t xml:space="preserve">based sample with minimal exclusion criteria that is broadly generalizable to the UK population. While men where underrepresented, there is a higher proportion </w:t>
      </w:r>
      <w:r w:rsidR="00C853C5">
        <w:t>(</w:t>
      </w:r>
      <w:r w:rsidR="00CA5CDA">
        <w:t>32</w:t>
      </w:r>
      <w:r w:rsidR="00C853C5">
        <w:t xml:space="preserve">%) </w:t>
      </w:r>
      <w:r>
        <w:t>of men in this trial than is typically found in trials of weight management interventions and there was no evidence that gender moderated the effect of the intervention.</w:t>
      </w:r>
      <w:r w:rsidR="00CA5CDA">
        <w:fldChar w:fldCharType="begin" w:fldLock="1"/>
      </w:r>
      <w:r w:rsidR="00FE716A">
        <w:instrText>ADDIN CSL_CITATION {"citationItems":[{"id":"ITEM-1","itemData":{"DOI":"10.1016/S0140-6736(17)30647-5","ISBN":"01406736","ISSN":"1474547X","PMID":"28478041","abstract":"Background Evidence exist that primary care referral to an open-group behavioural programme is an effective strategy for management of obesity, but little evidence on optimal intervention duration is available. We aimed to establish whether 52-week referral to an open-group weight-management programme would achieve greater weight loss and improvements in a range of health outcomes and be more cost-effective than the current practice of 12-week referrals. Methods In this non-blinded, parallel-group, randomised controlled trial, we recruited participants who were aged 18 years or older and had body-mass index (BMI) of 28 kg/m2 or higher from 23 primary care practices in England. Participants were randomly assigned (2:5:5) to brief advice and self-help materials, a weight-management programme (Weight Watchers) for 12 weeks, or the same weight-management programme for 52 weeks. We followed-up participants over 2 years. The primary outcome was weight at 1 year of follow-up, analysed with mixed-effects models according to intention-to-treat principles and adjusted for centre and baseline weight. In a hierarchical closed-testing procedure, we compared combined behavioural programme arms with brief intervention, then compared the 12-week programme and 52-week programme. We did a within-trial cost-effectiveness analysis using person-level data and modelled outcomes over a 25-year time horizon using microsimulation. This study is registered with Current Controlled Trials, number ISRCTN82857232. Findings Between Oct 18, 2012, and Feb 10, 2014, we enrolled 1269 participants. 1267 eligible participants were randomly assigned to the brief intervention (n=211), the 12-week programme (n=528), and the 52-week programme (n=528). Two participants in the 12-week programme had been found to be ineligible shortly after randomisation and were excluded from the analysis. 823 (65%) of 1267 participants completed an assessment at 1 year and 856 (68%) participants at 2 years. All eligible participants were included in the analyses. At 1 year, mean weight changes in the groups were −3·26 kg (brief intervention), −4·75 kg (12-week programme), and −6·76 kg (52-week programme). Participants in the behavioural programme lost more weight than those in the brief intervention (adjusted difference −2·71 kg, 95% CI −3·86 to −1·55; p&lt;0·0001). The 52-week programme was more effective than the 12-week programme (−2·14 kg, −3·05 to −1·22; p&lt;0·0001). Differences between groups were still signif…","author":[{"dropping-particle":"","family":"Ahern","given":"Amy L.","non-dropping-particle":"","parse-names":false,"suffix":""},{"dropping-particle":"","family":"Wheeler","given":"Graham M.","non-dropping-particle":"","parse-names":false,"suffix":""},{"dropping-particle":"","family":"Aveyard","given":"Paul","non-dropping-particle":"","parse-names":false,"suffix":""},{"dropping-particle":"","family":"Boyland","given":"Emma J.","non-dropping-particle":"","parse-names":false,"suffix":""},{"dropping-particle":"","family":"Halford","given":"Jason C.G.","non-dropping-particle":"","parse-names":false,"suffix":""},{"dropping-particle":"","family":"Mander","given":"Adrian P.","non-dropping-particle":"","parse-names":false,"suffix":""},{"dropping-particle":"","family":"Woolston","given":"Jennifer","non-dropping-particle":"","parse-names":false,"suffix":""},{"dropping-particle":"","family":"Thomson","given":"Ann M.","non-dropping-particle":"","parse-names":false,"suffix":""},{"dropping-particle":"","family":"Tsiountsioura","given":"Melina","non-dropping-particle":"","parse-names":false,"suffix":""},{"dropping-particle":"","family":"Cole","given":"Darren","non-dropping-particle":"","parse-names":false,"suffix":""},{"dropping-particle":"","family":"Mead","given":"Bethan R.","non-dropping-particle":"","parse-names":false,"suffix":""},{"dropping-particle":"","family":"Irvine","given":"Lisa","non-dropping-particle":"","parse-names":false,"suffix":""},{"dropping-particle":"","family":"Turner","given":"David","non-dropping-particle":"","parse-names":false,"suffix":""},{"dropping-particle":"","family":"Suhrcke","given":"Marc","non-dropping-particle":"","parse-names":false,"suffix":""},{"dropping-particle":"","family":"Pimpin","given":"Laura","non-dropping-particle":"","parse-names":false,"suffix":""},{"dropping-particle":"","family":"Retat","given":"Lise","non-dropping-particle":"","parse-names":false,"suffix":""},{"dropping-particle":"","family":"Jaccard","given":"Abbygail","non-dropping-particle":"","parse-names":false,"suffix":""},{"dropping-particle":"","family":"Webber","given":"Laura","non-dropping-particle":"","parse-names":false,"suffix":""},{"dropping-particle":"","family":"Cohn","given":"Simon R.","non-dropping-particle":"","parse-names":false,"suffix":""},{"dropping-particle":"","family":"Jebb","given":"Susan A.","non-dropping-particle":"","parse-names":false,"suffix":""}],"container-title":"The Lancet","id":"ITEM-1","issue":"10085","issued":{"date-parts":[["2017"]]},"page":"2214-2225","title":"Extended and standard duration weight-loss programme referrals for adults in primary care (WRAP): a randomised controlled trial","type":"article-journal","volume":"389"},"uris":["http://www.mendeley.com/documents/?uuid=b3f918b6-e73e-43b2-8e08-7d9e14240621"]}],"mendeley":{"formattedCitation":"(9)","plainTextFormattedCitation":"(9)","previouslyFormattedCitation":"[9]"},"properties":{"noteIndex":0},"schema":"https://github.com/citation-style-language/schema/raw/master/csl-citation.json"}</w:instrText>
      </w:r>
      <w:r w:rsidR="00CA5CDA">
        <w:fldChar w:fldCharType="separate"/>
      </w:r>
      <w:r w:rsidR="00FE716A" w:rsidRPr="00FE716A">
        <w:rPr>
          <w:noProof/>
        </w:rPr>
        <w:t>(9)</w:t>
      </w:r>
      <w:r w:rsidR="00CA5CDA">
        <w:fldChar w:fldCharType="end"/>
      </w:r>
      <w:r>
        <w:t xml:space="preserve"> </w:t>
      </w:r>
      <w:r w:rsidR="00CA5CDA">
        <w:t xml:space="preserve"> </w:t>
      </w:r>
      <w:r>
        <w:t xml:space="preserve">Over half of participating practices were in areas with a high index of multiple deprivation. </w:t>
      </w:r>
      <w:r w:rsidR="00CA5CDA">
        <w:fldChar w:fldCharType="begin" w:fldLock="1"/>
      </w:r>
      <w:r w:rsidR="00FE716A">
        <w:instrText>ADDIN CSL_CITATION {"citationItems":[{"id":"ITEM-1","itemData":{"DOI":"10.3399/bjgp16X684337","ISSN":"09601643","abstract":"© 2015 British Journal of General Practice. Background Primary care referral to a commercial open-group behavioural weight-loss programme is a cost-effective intervention, but only 10% of patients receiving this intervention are male. Aim To explore whether observed biases in participation in these interventions reflect biases in the uptake of the invitation to participate. Design and setting Comparison of invited population and recruited participants in a multicentre randomised controlled trial of primary care referral to a commercial open-group behavioural weight-loss programme in England (WRAP [Weight loss Referrals for Adults in Primary care]). Method Between October 2012 and February 2014, participants were recruited through 23 primary care practices in England; 17 practices provided data on the characteristics of invited participants. Results Females were twice as likely as males to enrol in the trial (odds ratio [OR]  2.01, 95% confidence interval [CI] = 1.75 to 2.32). However, the proportion of males was threefold higher than seen in routine primary care referrals or similar trials that invited patients opportunistically. People from less deprived areas were more likely to enrol than those in more deprived areas (OR 1.77, 95% CI = 1.55 to 2.03). Older patients (≥40 years) were more likely to enrol than younger patients (OR 1.60, 95% CI = 1.34 to 1.91). Conclusion Males, younger people, and those from more deprived areas were less likely to take up the invitation to participate in this trial. The gender bias was smaller than observed in routine practice, suggesting that a substantial proportion of the inequity observed previously is a consequence of bias with regard to the offer of intervention. This study suggests that a simple way to overcome much of the gender bias is to write to patients who are overweight and offer referral. Uptake of the invitation to participate was lower in groups of lower socioeconomic status suggesting the need to preferentially offer referrals to this group to reduce health inequalities and for research to explore barriers to uptake.","author":[{"dropping-particle":"","family":"Ahern","given":"A.L.","non-dropping-particle":"","parse-names":false,"suffix":""},{"dropping-particle":"","family":"Aveyard","given":"P.","non-dropping-particle":"","parse-names":false,"suffix":""},{"dropping-particle":"","family":"Boyland","given":"E.J.","non-dropping-particle":"","parse-names":false,"suffix":""},{"dropping-particle":"","family":"Halford","given":"J.C.G.","non-dropping-particle":"","parse-names":false,"suffix":""},{"dropping-particle":"","family":"Jebb","given":"S.A.","non-dropping-particle":"","parse-names":false,"suffix":""}],"container-title":"British Journal of General Practice","id":"ITEM-1","issue":"645","issued":{"date-parts":[["2016"]]},"title":"Inequalities in the uptake of weight management interventions in a pragmatic trial: An observational study in primary care","type":"article-journal","volume":"66"},"uris":["http://www.mendeley.com/documents/?uuid=7004e0ee-5ad5-3336-a5a8-35c94a7caeb5"]}],"mendeley":{"formattedCitation":"(19)","plainTextFormattedCitation":"(19)","previouslyFormattedCitation":"[19]"},"properties":{"noteIndex":0},"schema":"https://github.com/citation-style-language/schema/raw/master/csl-citation.json"}</w:instrText>
      </w:r>
      <w:r w:rsidR="00CA5CDA">
        <w:fldChar w:fldCharType="separate"/>
      </w:r>
      <w:r w:rsidR="00FE716A" w:rsidRPr="00FE716A">
        <w:rPr>
          <w:noProof/>
        </w:rPr>
        <w:t>(19)</w:t>
      </w:r>
      <w:r w:rsidR="00CA5CDA">
        <w:fldChar w:fldCharType="end"/>
      </w:r>
    </w:p>
    <w:p w14:paraId="67CBF5AD" w14:textId="169CCD3C" w:rsidR="00814EF8" w:rsidRDefault="00814EF8" w:rsidP="0069652A"/>
    <w:p w14:paraId="187A330B" w14:textId="05813C6A" w:rsidR="00814EF8" w:rsidRDefault="00814EF8" w:rsidP="0069652A">
      <w:r>
        <w:t>Comparison with other literature</w:t>
      </w:r>
    </w:p>
    <w:p w14:paraId="11A71125" w14:textId="1295CB93" w:rsidR="00A838A7" w:rsidRDefault="0069652A" w:rsidP="0069652A">
      <w:r>
        <w:t>Overweight and obesity is one of the strongest risk factors for type 2 diabetes (T2D)</w:t>
      </w:r>
      <w:r w:rsidR="00407225">
        <w:fldChar w:fldCharType="begin" w:fldLock="1"/>
      </w:r>
      <w:r w:rsidR="00FE716A">
        <w:instrText>ADDIN CSL_CITATION {"citationItems":[{"id":"ITEM-1","itemData":{"DOI":"10.1016/j.diabres.2010.04.012","ISSN":"01688227","abstract":"The objectives of this meta-analysis were to examine the magnitude of the relative risk (RR) of developing type 2 diabetes for overweight and obese populations, compared to those with normal weight, and to determine causes of the variation in RR between various cohort studies.The magnitude of the RR was analyzed by combining 18 prospective cohort studies that matched defined criteria. The variance in RR between studies was explored. The overall RR of diabetes for obese persons compared to those with normal weight was 7.19, 95% CI: 5.74, 9.00 and for overweight was 2.99, 95% CI: 2.42, 3.72. The variation in RR among studies was explored and it was found that the effect of heterogeneity was highly related with sample size, method of assessment of body mass index (BMI) and method of ascertainment of type 2 diabetes. By combining only cohort studies with more than 400 cases of incident diabetes (&gt;median), adjusted by at least three main confounding variables (age, family history of type 2 diabetes, physical activity), measured BMI, and diabetes determined by clinical diagnosis, the RR was 7.28, 95% CI: 6.47, 8.28 for obesity and 2.92, 95% CI: 2.57, 3.32 for overweight. © 2010 Elsevier Ireland Ltd.","author":[{"dropping-particle":"","family":"Abdullah","given":"Asnawi","non-dropping-particle":"","parse-names":false,"suffix":""},{"dropping-particle":"","family":"Peeters","given":"Anna","non-dropping-particle":"","parse-names":false,"suffix":""},{"dropping-particle":"","family":"Courten","given":"Maximilian","non-dropping-particle":"de","parse-names":false,"suffix":""},{"dropping-particle":"","family":"Stoelwinder","given":"Johannes","non-dropping-particle":"","parse-names":false,"suffix":""}],"container-title":"Diabetes Research and Clinical Practice","id":"ITEM-1","issued":{"date-parts":[["2010"]]},"title":"The magnitude of association between overweight and obesity and the risk of diabetes: A meta-analysis of prospective cohort studies","type":"article-journal"},"uris":["http://www.mendeley.com/documents/?uuid=6239f94e-1524-4372-8c9b-b36897d27006"]}],"mendeley":{"formattedCitation":"(4)","plainTextFormattedCitation":"(4)","previouslyFormattedCitation":"[4]"},"properties":{"noteIndex":0},"schema":"https://github.com/citation-style-language/schema/raw/master/csl-citation.json"}</w:instrText>
      </w:r>
      <w:r w:rsidR="00407225">
        <w:fldChar w:fldCharType="separate"/>
      </w:r>
      <w:r w:rsidR="00FE716A" w:rsidRPr="00FE716A">
        <w:rPr>
          <w:noProof/>
        </w:rPr>
        <w:t>(4)</w:t>
      </w:r>
      <w:r w:rsidR="00407225">
        <w:fldChar w:fldCharType="end"/>
      </w:r>
      <w:r>
        <w:t>, and weight loss is the principal target of diabetes prevention programmes</w:t>
      </w:r>
      <w:r w:rsidR="00407225">
        <w:fldChar w:fldCharType="begin" w:fldLock="1"/>
      </w:r>
      <w:r w:rsidR="00FE716A">
        <w:instrText>ADDIN CSL_CITATION {"citationItems":[{"id":"ITEM-1","itemData":{"DOI":"10.1056/NEJMoa012512","ISBN":"1533-4406 (Electronic)\\n0028-4793 (Linking)","ISSN":"1533-4406","PMID":"11832527","abstract":"BACKGROUND: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 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 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 CONCLUSIONS: Lifestyle changes and treatment with metformin both reduced the incidence of diabetes in persons at high risk. The lifestyle intervention was more effective than metformin.","author":[{"dropping-particle":"","family":"Knowler","given":"William C","non-dropping-particle":"","parse-names":false,"suffix":""},{"dropping-particle":"","family":"Barrett-Connor","given":"Elizabeth","non-dropping-particle":"","parse-names":false,"suffix":""},{"dropping-particle":"","family":"Fowler","given":"Sarah E","non-dropping-particle":"","parse-names":false,"suffix":""},{"dropping-particle":"","family":"Hamman","given":"Richard F","non-dropping-particle":"","parse-names":false,"suffix":""},{"dropping-particle":"","family":"Lachin","given":"John M","non-dropping-particle":"","parse-names":false,"suffix":""},{"dropping-particle":"","family":"Walker","given":"Elizabeth A","non-dropping-particle":"","parse-names":false,"suffix":""},{"dropping-particle":"","family":"Nathan","given":"David M","non-dropping-particle":"","parse-names":false,"suffix":""}],"container-title":"The New England journal of medicine","id":"ITEM-1","issued":{"date-parts":[["2002"]]},"page":"393-403","title":"Reduction in the incidence of type 2 diabetes with lifestyle intervention or metformin.","type":"article-journal","volume":"346"},"uris":["http://www.mendeley.com/documents/?uuid=d736f1ed-4da3-44fa-998b-86d90ea1a43a"]},{"id":"ITEM-2","itemData":{"DOI":"10.2337/diacare.26.12.3230","ISBN":"0149-5992 (Print)\\n0149-5992 (Linking)","ISSN":"0149-5992","PMID":"14633807","abstract":"OBJECTIVE--To describe the 1) lifestyle intervention used in the Finnish Diabetes Prevention Study, 2) short- and long-term changes in diet and exercise behavior, and 3) effect of the intervention on glucose and lipid metabolism.  RESEARCH DESIGN AND METHODS--There were 522 middle-aged, overweight subjects with impaired glucose tolerance who were randomized to either a usual care control group or an intensive lifestyle intervention group. The control group received general dietary and exercise advice at baseline and had an annual physician's examination. The subjects in the intervention group received additional individualized dietary counseling from a nutritionist. They were also offered circuit-type resistance training sessions and advised to increase overall physical activity. The intervention was the most intensive during the first year, followed by a maintenance period. The intervention goals were to reduce body weight, reduce dietary and saturated fat, and increase physical activity and dietary fiber.  RESULTS--The intervention group showed significantly greater improvement in each intervention goal. After 1 and 3 years, weight reductions were 4.5 and 3.5 kg in the intervention group and 1.0 and 0.9 kg in the control group, respectively. Measures of glycemia and lipemia improved more in the intervention group.  CONCLUSIONS--The intensive lifestyle intervention produced long-term beneficial changes in diet, physical activity, and clinical and biochemical parameters and reduced diabetes risk. This type of intervention is a feasible option to prevent type 2 diabetes and should be implemented in the primary health care system.","author":[{"dropping-particle":"","family":"Lindstrom","given":"J.","non-dropping-particle":"","parse-names":false,"suffix":""},{"dropping-particle":"","family":"Louheranta","given":"a.","non-dropping-particle":"","parse-names":false,"suffix":""},{"dropping-particle":"","family":"Mannelin","given":"M.","non-dropping-particle":"","parse-names":false,"suffix":""},{"dropping-particle":"","family":"Rastas","given":"M.","non-dropping-particle":"","parse-names":false,"suffix":""},{"dropping-particle":"","family":"Salminen","given":"V.","non-dropping-particle":"","parse-names":false,"suffix":""},{"dropping-particle":"","family":"Eriksson","given":"J.","non-dropping-particle":"","parse-names":false,"suffix":""},{"dropping-particle":"","family":"Uusitupa","given":"M.","non-dropping-particle":"","parse-names":false,"suffix":""},{"dropping-particle":"","family":"Tuomilehto","given":"J.","non-dropping-particle":"","parse-names":false,"suffix":""}],"container-title":"Diabetes Care","id":"ITEM-2","issue":"12","issued":{"date-parts":[["2003"]]},"page":"3230-3236","title":"The Finnish Diabetes Prevention Study (DPS)","type":"article-journal","volume":"26"},"uris":["http://www.mendeley.com/documents/?uuid=55357ffe-22e0-4d9b-84c5-3eabffc7fa5e"]}],"mendeley":{"formattedCitation":"(7,20)","plainTextFormattedCitation":"(7,20)","previouslyFormattedCitation":"[7,20]"},"properties":{"noteIndex":0},"schema":"https://github.com/citation-style-language/schema/raw/master/csl-citation.json"}</w:instrText>
      </w:r>
      <w:r w:rsidR="00407225">
        <w:fldChar w:fldCharType="separate"/>
      </w:r>
      <w:r w:rsidR="00FE716A" w:rsidRPr="00FE716A">
        <w:rPr>
          <w:noProof/>
        </w:rPr>
        <w:t>(7,20)</w:t>
      </w:r>
      <w:r w:rsidR="00407225">
        <w:fldChar w:fldCharType="end"/>
      </w:r>
      <w:r>
        <w:t>. However, the dominant paradigm for diabetes prevention is identification of individuals at high risk (defined as those with non-diabetic hyperglycaemia) via population screening, and referral to a specialist diabetes prevention programme. T</w:t>
      </w:r>
      <w:r w:rsidR="00A838A7">
        <w:t xml:space="preserve">his study demonstrates that delivering </w:t>
      </w:r>
      <w:r w:rsidR="007B640C">
        <w:t>a behavioural weight management programme</w:t>
      </w:r>
      <w:r w:rsidR="00A838A7">
        <w:t xml:space="preserve"> to all people with overweight and obesity could be </w:t>
      </w:r>
      <w:r>
        <w:t xml:space="preserve">an effective approach to diabetes prevention, with a 60% reduction in risk of non-diabetic hyperglycaemia at 12 </w:t>
      </w:r>
      <w:proofErr w:type="gramStart"/>
      <w:r>
        <w:t>month</w:t>
      </w:r>
      <w:proofErr w:type="gramEnd"/>
      <w:r>
        <w:t xml:space="preserve"> follow up. The reduction in risk of </w:t>
      </w:r>
      <w:r w:rsidR="00951BAE">
        <w:t>diabetes was</w:t>
      </w:r>
      <w:r w:rsidR="00F70D6F">
        <w:t xml:space="preserve"> of a similar magnitude, but the width of the confidence intervals </w:t>
      </w:r>
      <w:proofErr w:type="gramStart"/>
      <w:r w:rsidR="00F70D6F">
        <w:t>suggest</w:t>
      </w:r>
      <w:proofErr w:type="gramEnd"/>
      <w:r w:rsidR="00F70D6F">
        <w:t xml:space="preserve"> this evidence is weak</w:t>
      </w:r>
      <w:r>
        <w:t xml:space="preserve">. </w:t>
      </w:r>
    </w:p>
    <w:p w14:paraId="51496852" w14:textId="5E601426" w:rsidR="00A51AD6" w:rsidRDefault="00C60AC5" w:rsidP="00A51AD6">
      <w:r>
        <w:t>I</w:t>
      </w:r>
      <w:r w:rsidR="00F2058E">
        <w:t>n a population based cohort of 30,000</w:t>
      </w:r>
      <w:r w:rsidR="007B640C">
        <w:t xml:space="preserve"> middle-aged</w:t>
      </w:r>
      <w:r w:rsidR="00F2058E">
        <w:t xml:space="preserve"> people, we have previously demonstrated that </w:t>
      </w:r>
      <w:r w:rsidR="009E54B3">
        <w:t>over a 10 year period</w:t>
      </w:r>
      <w:r w:rsidR="00D068B2">
        <w:t>, moderate weight loss (3-7%)</w:t>
      </w:r>
      <w:r w:rsidR="00F2058E">
        <w:t xml:space="preserve">, could prevent </w:t>
      </w:r>
      <w:r w:rsidR="009E54B3">
        <w:t>2</w:t>
      </w:r>
      <w:r w:rsidR="00F2058E">
        <w:t xml:space="preserve"> in </w:t>
      </w:r>
      <w:r w:rsidR="009E54B3">
        <w:t>5</w:t>
      </w:r>
      <w:r w:rsidR="00F2058E">
        <w:t xml:space="preserve"> cases</w:t>
      </w:r>
      <w:r w:rsidR="00A838A7">
        <w:t xml:space="preserve"> of type 2 diabetes</w:t>
      </w:r>
      <w:r w:rsidR="00F2058E">
        <w:t>.</w:t>
      </w:r>
      <w:r w:rsidR="001F1799">
        <w:fldChar w:fldCharType="begin" w:fldLock="1"/>
      </w:r>
      <w:r w:rsidR="00FE716A">
        <w:instrText>ADDIN CSL_CITATION {"citationItems":[{"id":"ITEM-1","itemData":{"DOI":"10.1186/s12889-017-4081-6","ISSN":"14712458","abstract":"© 2017 The Author(s). Background: Weight loss in individuals at high risk of diabetes is an effective prevention method and a major component of the currently prevailing diabetes prevention strategies. The aim of the present study was to investigate the public health potential for diabetes prevention of weight maintenance or moderate weight loss on a population level in an observational cohort with repeated measurements of weight and diabetes status. Methods: Height, weight and diabetes status were objectively measured at baseline and 10 year follow-up in a population-based cohort of 33,184 participants aged 30-60 years between 1990 and 2013 in Västerbotten County, Sweden. The association between risk of incident diabetes and change in BMI or relative weight was modelled using multivariate logistic regression. Population attributable fractions (PAF) were used to assess population impact of shift in weight. Results: Mean (SD) BMI at baseline was 25.0 (3.6) kg/m2. Increase in relative weight between baseline and follow-up was linearly associated with incident diabetes risk, odds ratio (OR) 1.05 (95% confidence interval (CI) 1.04-1.06) per 1% change in weight. Compared to weight maintenance (±1.0 kg/m2), weight gain of  &gt;  +1.0 kg/m2 was associated with an increased risk of incident diabetes, OR 1.52 (95% CI 1.32, 1.74), representing a PAF of 21.9% (95% CI 15.8, 27.6%). For moderate weight loss (−1.0 to −2.0 kg/m2) the OR was 0.72 (95% CI 0.52, 0.99). Conclusions: Weight maintenance in adulthood is strongly associated with reduced incident diabetes risk and there is considerable potential for diabetes prevention in promoting this as a whole population strategy.","author":[{"dropping-particle":"","family":"Feldman","given":"A.L.","non-dropping-particle":"","parse-names":false,"suffix":""},{"dropping-particle":"","family":"Griffin","given":"S.J.","non-dropping-particle":"","parse-names":false,"suffix":""},{"dropping-particle":"","family":"Ahern","given":"A.L.","non-dropping-particle":"","parse-names":false,"suffix":""},{"dropping-particle":"","family":"Long","given":"G.H.","non-dropping-particle":"","parse-names":false,"suffix":""},{"dropping-particle":"","family":"Weinehall","given":"L.","non-dropping-particle":"","parse-names":false,"suffix":""},{"dropping-particle":"","family":"Fhärm","given":"E.","non-dropping-particle":"","parse-names":false,"suffix":""},{"dropping-particle":"","family":"Norberg","given":"M.","non-dropping-particle":"","parse-names":false,"suffix":""},{"dropping-particle":"","family":"Wennberg","given":"P.","non-dropping-particle":"","parse-names":false,"suffix":""}],"container-title":"BMC Public Health","id":"ITEM-1","issue":"1","issued":{"date-parts":[["2017"]]},"title":"Impact of weight maintenance and loss on diabetes risk and burden: a population-based study in 33,184 participants","type":"article-journal","volume":"17"},"uris":["http://www.mendeley.com/documents/?uuid=2032bd01-c1c8-3e2a-959d-59c5436f6f88"]}],"mendeley":{"formattedCitation":"(5)","plainTextFormattedCitation":"(5)","previouslyFormattedCitation":"[5]"},"properties":{"noteIndex":0},"schema":"https://github.com/citation-style-language/schema/raw/master/csl-citation.json"}</w:instrText>
      </w:r>
      <w:r w:rsidR="001F1799">
        <w:fldChar w:fldCharType="separate"/>
      </w:r>
      <w:r w:rsidR="00FE716A" w:rsidRPr="00FE716A">
        <w:rPr>
          <w:noProof/>
        </w:rPr>
        <w:t>(5)</w:t>
      </w:r>
      <w:r w:rsidR="001F1799">
        <w:fldChar w:fldCharType="end"/>
      </w:r>
      <w:r w:rsidR="00F2058E">
        <w:t xml:space="preserve"> </w:t>
      </w:r>
      <w:r w:rsidR="00897231">
        <w:t>Using</w:t>
      </w:r>
      <w:r w:rsidR="007D211E">
        <w:t xml:space="preserve"> BMI to identify high risk </w:t>
      </w:r>
      <w:r w:rsidR="00FE30C3">
        <w:t>individual</w:t>
      </w:r>
      <w:r w:rsidR="007D211E">
        <w:t xml:space="preserve">s is cheaper and more </w:t>
      </w:r>
      <w:r w:rsidR="00CD23AA">
        <w:t>feasible</w:t>
      </w:r>
      <w:r w:rsidR="007D211E">
        <w:t xml:space="preserve"> than population level </w:t>
      </w:r>
      <w:r w:rsidR="00BB2FCD">
        <w:t>testing of blood glucose</w:t>
      </w:r>
      <w:r w:rsidR="00CD23AA">
        <w:t xml:space="preserve"> and</w:t>
      </w:r>
      <w:r w:rsidR="007D211E">
        <w:t xml:space="preserve"> could identify people earlier in the disease trajectory, </w:t>
      </w:r>
      <w:r w:rsidR="00BB2FCD">
        <w:t xml:space="preserve">thereby </w:t>
      </w:r>
      <w:r w:rsidR="007D211E">
        <w:t>preventing progression to non-diabetic hyperglycaemia</w:t>
      </w:r>
      <w:r w:rsidR="00A51AD6">
        <w:t xml:space="preserve">. </w:t>
      </w:r>
      <w:r w:rsidR="00B93B89">
        <w:t xml:space="preserve">This is important because </w:t>
      </w:r>
      <w:r w:rsidR="00BB2FCD">
        <w:t xml:space="preserve">glycaemia has an approximately linear association with cardiovascular </w:t>
      </w:r>
      <w:r w:rsidR="00D149B7">
        <w:t xml:space="preserve">events </w:t>
      </w:r>
      <w:r w:rsidR="00BB2FCD">
        <w:t>and mortality</w:t>
      </w:r>
      <w:r w:rsidR="00E53FDC">
        <w:t>.</w:t>
      </w:r>
      <w:r w:rsidR="00065DEE">
        <w:fldChar w:fldCharType="begin" w:fldLock="1"/>
      </w:r>
      <w:r w:rsidR="00FE716A">
        <w:instrText>ADDIN CSL_CITATION {"citationItems":[{"id":"ITEM-1","itemData":{"DOI":"10.2337/dc09-2326","ISBN":"0149-5992","ISSN":"01495992","PMID":"20622160","abstract":"OBJECTIVE: To evaluate the incidence and relative risk of type 2 diabetes defined by the newly proposed HbA(1c) diagnostic criteria in groups categorized by different baseline HbA(1c) levels.\\n\\nRESEARCH DESIGN AND METHODS: Using data from the European Prospective Investigation of Cancer (EPIC)-Norfolk cohort with repeat HbA(1c) measurements, we estimated the prevalence of known and previously undiagnosed diabetes at baseline (baseline HbA(1c) ≥6.5%) and the incidence of diabetes over 3 years. We also examined the incidence and corresponding odds ratios (ORs) by different levels of baseline HbA(1c). Incident diabetes was defined clinically (self-report at follow-up, prescribed diabetes medication, or inclusion on a diabetes register) or biochemically (HbA(1c) ≥6.5% at the second health assessment), or both.\\n\\nRESULTS: The overall prevalence of diabetes was 4.7%; 41% of prevalent cases were previously undiagnosed. Among 5,735 participants without diabetes at baseline (identified clinically or using HbA(1c) criteria, or both), 72 developed diabetes over 3 years (1.3% [95% CI 1.0-1.5]), of which 49% were identified using the HbA(1c) criteria. In 6% of the total population, the baseline HbA(1c) was 6.0-6.4%; 36% of incident cases arose in this group. The incidence of diabetes in this group was 15 times higher than in those with a baseline HbA(1c) of &lt;5.0% (OR 15.5 [95% CI 7.2-33.3]).\\n\\nCONCLUSIONS: The cumulative incidence of diabetes defined using a newly proposed HbA(1c) threshold in this middle-aged British cohort was 1.3% over 3 years. Targeting interventions to individuals with an HbA(1c) of 6.0-6.4% might represent a feasible preventive strategy, although complementary population-based preventive strategies are also needed to reduce the growing burden of diabetes.","author":[{"dropping-particle":"","family":"Chamnan","given":"Parinya","non-dropping-particle":"","parse-names":false,"suffix":""},{"dropping-particle":"","family":"Simmons","given":"Rebecca K.","non-dropping-particle":"","parse-names":false,"suffix":""},{"dropping-particle":"","family":"Forouhi","given":"Nita G.","non-dropping-particle":"","parse-names":false,"suffix":""},{"dropping-particle":"","family":"Luben","given":"Robert N.","non-dropping-particle":"","parse-names":false,"suffix":""},{"dropping-particle":"","family":"Khaw","given":"Kay Tee","non-dropping-particle":"","parse-names":false,"suffix":""},{"dropping-particle":"","family":"Wareham","given":"Nicholas J.","non-dropping-particle":"","parse-names":false,"suffix":""},{"dropping-particle":"","family":"Griffin","given":"Simon J.","non-dropping-particle":"","parse-names":false,"suffix":""}],"container-title":"Diabetes Care","id":"ITEM-1","issued":{"date-parts":[["2011"]]},"title":"Incidence of type 2 diabetes using proposed HbA1c diagnostic criteria in the european prospective investigation of cancer-norfolk cohort: Implications for preventive strategies","type":"article-journal"},"uris":["http://www.mendeley.com/documents/?uuid=3335c40e-b75f-4bd1-ba3c-f199ad2c8c68"]},{"id":"ITEM-2","itemData":{"DOI":"10.1001/archinte.168.11.1209","ISBN":"0003-9926","ISSN":"00039926","PMID":"18541829","abstract":"Background There is a continuous relationship between glycated hemoglobin (HbA1c) and coronary heart disease (CHD) risk, even below diagnostic thresholds for diabetes mellitus. Methods To evaluate the Framingham risk score in a UK population-based prospective cohort (European Prospective Investigation of Cancer [EPIC]-Norfolk) and to assess whether adding HbA1c improves the prediction of CHD. Participants aged 40 to 79 years were recruited from UK general practices, attended a health check, and were followed up for CHD events and death. The Framingham risk score was computed for 10 295 individuals with data on age, total cholesterol, high-density lipoprotein cholesterol, systolic blood pressure, diabetes mellitus, and smoking status. We developed a Cox proportional hazards regression model with the original Framingham covariates and then added HbA1c to determine whether this improved the prediction of CHD. Model discrimination was compared by using area under the receiver operating characteristic curves (AUROCs), and the correctness of reclassification was determined by calculating the net reclassification improvement and the integrated discrimination improvement. The main outcome measures were CHD-related hospital admission and death. Results A total of 430 men and 250 women developed CHD during 8.5 years of follow-up. The AUROC for the original Framingham risk score was 0.71. Using the Framingham variables with coefficients fitted from the EPIC-Norfolk data, the AUROC was 0.72 for men and 0.80 for women, compared with 0.73 and 0.80, respectively, in a score including HbA1c. This difference was significant for men only (P = .005). The net reclassification improvement was 3.4% (P = .06) in men and -2.2% (P = .27) in women. Conclusions The Framingham risk score predicts CHD in this cohort. The addition of HbA1c made a small but statistically significant improvement to discrimination in men but not in women, without significant improvement in reclassification of risk category.","author":[{"dropping-particle":"","family":"Simmons","given":"Rebecca K.","non-dropping-particle":"","parse-names":false,"suffix":""},{"dropping-particle":"","family":"Sharp","given":"Stephen","non-dropping-particle":"","parse-names":false,"suffix":""},{"dropping-particle":"","family":"Boekholdt","given":"S. Matthijs","non-dropping-particle":"","parse-names":false,"suffix":""},{"dropping-particle":"","family":"Sargeant","given":"Lincoln A.","non-dropping-particle":"","parse-names":false,"suffix":""},{"dropping-particle":"","family":"Khaw","given":"Kay Tee","non-dropping-particle":"","parse-names":false,"suffix":""},{"dropping-particle":"","family":"Wareham","given":"Nicholas J.","non-dropping-particle":"","parse-names":false,"suffix":""},{"dropping-particle":"","family":"Griffin","given":"Simon J.","non-dropping-particle":"","parse-names":false,"suffix":""}],"container-title":"Archives of Internal Medicine","id":"ITEM-2","issued":{"date-parts":[["2008"]]},"title":"Evaluation of the Framingham risk score in the European prospective investigation of cancer-Norfolk cohort: Does adding glycated hemoglobin improve the prediction of coronary heart disease events?","type":"article-journal"},"uris":["http://www.mendeley.com/documents/?uuid=501e292f-85c6-4987-b35a-cfd3a7b95e78"]}],"mendeley":{"formattedCitation":"(21,22)","plainTextFormattedCitation":"(21,22)","previouslyFormattedCitation":"[21,22]"},"properties":{"noteIndex":0},"schema":"https://github.com/citation-style-language/schema/raw/master/csl-citation.json"}</w:instrText>
      </w:r>
      <w:r w:rsidR="00065DEE">
        <w:fldChar w:fldCharType="separate"/>
      </w:r>
      <w:r w:rsidR="00FE716A" w:rsidRPr="00FE716A">
        <w:rPr>
          <w:noProof/>
        </w:rPr>
        <w:t>(21,22)</w:t>
      </w:r>
      <w:r w:rsidR="00065DEE">
        <w:fldChar w:fldCharType="end"/>
      </w:r>
      <w:r w:rsidR="00BB2FCD">
        <w:t xml:space="preserve"> Consequently, Geoffrey Rose’s prevention paradox </w:t>
      </w:r>
      <w:r w:rsidR="00A838A7">
        <w:t>may apply</w:t>
      </w:r>
      <w:r w:rsidR="00407225">
        <w:fldChar w:fldCharType="begin" w:fldLock="1"/>
      </w:r>
      <w:r w:rsidR="00FE716A">
        <w:instrText>ADDIN CSL_CITATION {"citationItems":[{"id":"ITEM-1","itemData":{"DOI":"10.1093/ije/30.3.427","ISSN":"03005771","abstract":"Aetiology confronts two distinct issues: the determinants of individual cases, and the determinants of incidence rate. If exposure to a necessary agent is homogeneous within a population, then case/control and cohort methods will fail to detect it: they will only identify markers of susceptibility. The corresponding strategies in control are the 'high-risk' approach, which seeks to protect susceptible individuals, and the population approach, which seeks to control the causes of incidence. The two approaches are not usually in competition, but the prior concern should always be to discover and control the causes of incidence.","author":[{"dropping-particle":"","family":"Rose","given":"G.","non-dropping-particle":"","parse-names":false,"suffix":""}],"container-title":"International Journal of Epidemiology","id":"ITEM-1","issue":"3","issued":{"date-parts":[["2001"]]},"page":"427-432","title":"Sick individuals and sick populations","type":"article-journal","volume":"30"},"uris":["http://www.mendeley.com/documents/?uuid=1994d2aa-5bd8-4119-9e9d-41eae8c41480"]}],"mendeley":{"formattedCitation":"(23)","plainTextFormattedCitation":"(23)","previouslyFormattedCitation":"[23]"},"properties":{"noteIndex":0},"schema":"https://github.com/citation-style-language/schema/raw/master/csl-citation.json"}</w:instrText>
      </w:r>
      <w:r w:rsidR="00407225">
        <w:fldChar w:fldCharType="separate"/>
      </w:r>
      <w:r w:rsidR="00FE716A" w:rsidRPr="00FE716A">
        <w:rPr>
          <w:noProof/>
        </w:rPr>
        <w:t>(23)</w:t>
      </w:r>
      <w:r w:rsidR="00407225">
        <w:fldChar w:fldCharType="end"/>
      </w:r>
      <w:r w:rsidR="00A838A7">
        <w:t xml:space="preserve">, such that </w:t>
      </w:r>
      <w:r w:rsidR="00BB2FCD">
        <w:t xml:space="preserve">more heart attacks will be prevented by </w:t>
      </w:r>
      <w:r w:rsidR="00E53FDC">
        <w:t xml:space="preserve">shifting the </w:t>
      </w:r>
      <w:r>
        <w:t xml:space="preserve">overall </w:t>
      </w:r>
      <w:r w:rsidR="00E53FDC">
        <w:t>population distribution of body mass index and glycaemia</w:t>
      </w:r>
      <w:r w:rsidR="00BB2FCD">
        <w:t xml:space="preserve"> </w:t>
      </w:r>
      <w:r w:rsidR="00E53FDC">
        <w:t>than by targeting scarce resources at the minority at highest risk</w:t>
      </w:r>
      <w:r w:rsidR="00B93B89">
        <w:t xml:space="preserve">. </w:t>
      </w:r>
      <w:r w:rsidR="00DB2627">
        <w:t>If the focus of diabetes prevention shifted to those with excess weight, commonly commissioned weight management programmes could be readily incorporated into diabetes prevention policy. We have previously estimated that the 12-week programme, costing approximately £55, is a more cost-effective intervention than the 52-week programme costing approximately £190</w:t>
      </w:r>
      <w:r w:rsidR="00407225">
        <w:fldChar w:fldCharType="begin" w:fldLock="1"/>
      </w:r>
      <w:r w:rsidR="00FE716A">
        <w:instrText>ADDIN CSL_CITATION {"citationItems":[{"id":"ITEM-1","itemData":{"DOI":"10.1016/S0140-6736(17)30647-5","ISBN":"01406736","ISSN":"1474547X","PMID":"28478041","abstract":"Background Evidence exist that primary care referral to an open-group behavioural programme is an effective strategy for management of obesity, but little evidence on optimal intervention duration is available. We aimed to establish whether 52-week referral to an open-group weight-management programme would achieve greater weight loss and improvements in a range of health outcomes and be more cost-effective than the current practice of 12-week referrals. Methods In this non-blinded, parallel-group, randomised controlled trial, we recruited participants who were aged 18 years or older and had body-mass index (BMI) of 28 kg/m2 or higher from 23 primary care practices in England. Participants were randomly assigned (2:5:5) to brief advice and self-help materials, a weight-management programme (Weight Watchers) for 12 weeks, or the same weight-management programme for 52 weeks. We followed-up participants over 2 years. The primary outcome was weight at 1 year of follow-up, analysed with mixed-effects models according to intention-to-treat principles and adjusted for centre and baseline weight. In a hierarchical closed-testing procedure, we compared combined behavioural programme arms with brief intervention, then compared the 12-week programme and 52-week programme. We did a within-trial cost-effectiveness analysis using person-level data and modelled outcomes over a 25-year time horizon using microsimulation. This study is registered with Current Controlled Trials, number ISRCTN82857232. Findings Between Oct 18, 2012, and Feb 10, 2014, we enrolled 1269 participants. 1267 eligible participants were randomly assigned to the brief intervention (n=211), the 12-week programme (n=528), and the 52-week programme (n=528). Two participants in the 12-week programme had been found to be ineligible shortly after randomisation and were excluded from the analysis. 823 (65%) of 1267 participants completed an assessment at 1 year and 856 (68%) participants at 2 years. All eligible participants were included in the analyses. At 1 year, mean weight changes in the groups were −3·26 kg (brief intervention), −4·75 kg (12-week programme), and −6·76 kg (52-week programme). Participants in the behavioural programme lost more weight than those in the brief intervention (adjusted difference −2·71 kg, 95% CI −3·86 to −1·55; p&lt;0·0001). The 52-week programme was more effective than the 12-week programme (−2·14 kg, −3·05 to −1·22; p&lt;0·0001). Differences between groups were still signif…","author":[{"dropping-particle":"","family":"Ahern","given":"Amy L.","non-dropping-particle":"","parse-names":false,"suffix":""},{"dropping-particle":"","family":"Wheeler","given":"Graham M.","non-dropping-particle":"","parse-names":false,"suffix":""},{"dropping-particle":"","family":"Aveyard","given":"Paul","non-dropping-particle":"","parse-names":false,"suffix":""},{"dropping-particle":"","family":"Boyland","given":"Emma J.","non-dropping-particle":"","parse-names":false,"suffix":""},{"dropping-particle":"","family":"Halford","given":"Jason C.G.","non-dropping-particle":"","parse-names":false,"suffix":""},{"dropping-particle":"","family":"Mander","given":"Adrian P.","non-dropping-particle":"","parse-names":false,"suffix":""},{"dropping-particle":"","family":"Woolston","given":"Jennifer","non-dropping-particle":"","parse-names":false,"suffix":""},{"dropping-particle":"","family":"Thomson","given":"Ann M.","non-dropping-particle":"","parse-names":false,"suffix":""},{"dropping-particle":"","family":"Tsiountsioura","given":"Melina","non-dropping-particle":"","parse-names":false,"suffix":""},{"dropping-particle":"","family":"Cole","given":"Darren","non-dropping-particle":"","parse-names":false,"suffix":""},{"dropping-particle":"","family":"Mead","given":"Bethan R.","non-dropping-particle":"","parse-names":false,"suffix":""},{"dropping-particle":"","family":"Irvine","given":"Lisa","non-dropping-particle":"","parse-names":false,"suffix":""},{"dropping-particle":"","family":"Turner","given":"David","non-dropping-particle":"","parse-names":false,"suffix":""},{"dropping-particle":"","family":"Suhrcke","given":"Marc","non-dropping-particle":"","parse-names":false,"suffix":""},{"dropping-particle":"","family":"Pimpin","given":"Laura","non-dropping-particle":"","parse-names":false,"suffix":""},{"dropping-particle":"","family":"Retat","given":"Lise","non-dropping-particle":"","parse-names":false,"suffix":""},{"dropping-particle":"","family":"Jaccard","given":"Abbygail","non-dropping-particle":"","parse-names":false,"suffix":""},{"dropping-particle":"","family":"Webber","given":"Laura","non-dropping-particle":"","parse-names":false,"suffix":""},{"dropping-particle":"","family":"Cohn","given":"Simon R.","non-dropping-particle":"","parse-names":false,"suffix":""},{"dropping-particle":"","family":"Jebb","given":"Susan A.","non-dropping-particle":"","parse-names":false,"suffix":""}],"container-title":"The Lancet","id":"ITEM-1","issue":"10085","issued":{"date-parts":[["2017"]]},"page":"2214-2225","title":"Extended and standard duration weight-loss programme referrals for adults in primary care (WRAP): a randomised controlled trial","type":"article-journal","volume":"389"},"uris":["http://www.mendeley.com/documents/?uuid=b3f918b6-e73e-43b2-8e08-7d9e14240621"]}],"mendeley":{"formattedCitation":"(9)","plainTextFormattedCitation":"(9)","previouslyFormattedCitation":"[9]"},"properties":{"noteIndex":0},"schema":"https://github.com/citation-style-language/schema/raw/master/csl-citation.json"}</w:instrText>
      </w:r>
      <w:r w:rsidR="00407225">
        <w:fldChar w:fldCharType="separate"/>
      </w:r>
      <w:r w:rsidR="00FE716A" w:rsidRPr="00FE716A">
        <w:rPr>
          <w:noProof/>
        </w:rPr>
        <w:t>(9)</w:t>
      </w:r>
      <w:r w:rsidR="00407225">
        <w:fldChar w:fldCharType="end"/>
      </w:r>
      <w:r w:rsidR="00DB2627">
        <w:t>, but this is still lower than the estimated average cost per person of the UK NHS diabetes prevention programmes (£270).</w:t>
      </w:r>
      <w:r w:rsidR="00DB2627">
        <w:fldChar w:fldCharType="begin" w:fldLock="1"/>
      </w:r>
      <w:r w:rsidR="00FE716A">
        <w:instrText>ADDIN CSL_CITATION {"citationItems":[{"id":"ITEM-1","itemData":{"DOI":"10.1136/bmjopen-2016-014953","ISBN":"2044-6055","ISSN":"20446055","PMID":"28827235","abstract":"OBJECTIVES To evaluate potential return on investment of the National Health Service Diabetes Prevention Programme (NHS DPP) in England and estimate which population subgroups are likely to benefit most in terms of cost-effectiveness, cost-savings and health benefits. DESIGN Economic analysis using the School for Public Health Research Diabetes Prevention Model. SETTING England 2015-2016. POPULATION Adults aged ≥16 with high risk of type 2 diabetes (HbA1c 6%-6.4%). Population subgroups defined by age, sex, ethnicity, socioeconomic deprivation, baseline body mass index, baseline HbA1c and working status. INTERVENTIONS The proposed NHS DPP: an intensive lifestyle intervention focusing on dietary advice, physical activity and weight loss. Comparator: no diabetes prevention intervention. MAIN OUTCOME MEASURES Incremental costs, savings and return on investment, quality-adjusted life-years (QALYs), diabetes cases, cardiovascular cases and net monetary benefit from an NHS perspective. RESULTS Intervention costs will be recouped through NHS savings within 12 years, with net NHS saving of £1.28 over 20 years for each £1 invested. Per 100 000 DPP interventions given, 3552 QALYs are gained. The DPP is most cost-effective and cost-saving in obese individuals, those with baseline HbA1c 6.2%-6.4% and those aged 40-74. QALY gains are lower in minority ethnic and low socioeconomic status subgroups. Probabilistic sensitivity analysis suggests that there is 97% probability that the DPP will be cost-effective within 20 years. NHS savings are highly sensitive to intervention cost, effectiveness and duration of effect. CONCLUSIONS The DPP is likely to be cost-effective and cost-saving under current assumptions. Prioritising obese individuals could create the most value for money and obtain the greatest health benefits per individual targeted. Low socioeconomic status or ethnic minority groups may gain fewer QALYs per intervention, so targeting strategies should ensure the DPP does not contribute to widening health inequalities. Further evidence is needed around the differential responsiveness of population subgroups to the DPP.","author":[{"dropping-particle":"","family":"Thomas","given":"Chloe","non-dropping-particle":"","parse-names":false,"suffix":""},{"dropping-particle":"","family":"Sadler","given":"Susi","non-dropping-particle":"","parse-names":false,"suffix":""},{"dropping-particle":"","family":"Breeze","given":"Penny","non-dropping-particle":"","parse-names":false,"suffix":""},{"dropping-particle":"","family":"Squires","given":"Hazel","non-dropping-particle":"","parse-names":false,"suffix":""},{"dropping-particle":"","family":"Gillett","given":"Michael","non-dropping-particle":"","parse-names":false,"suffix":""},{"dropping-particle":"","family":"Brennan","given":"Alan","non-dropping-particle":"","parse-names":false,"suffix":""}],"container-title":"BMJ Open","id":"ITEM-1","issued":{"date-parts":[["2017"]]},"title":"Assessing the potential return on investment of the proposed UK NHS diabetes prevention programme in different population subgroups: An economic evaluation","type":"article-journal"},"uris":["http://www.mendeley.com/documents/?uuid=e496cfe2-5fbf-4d57-a143-a9a149dcca89"]}],"mendeley":{"formattedCitation":"(8)","plainTextFormattedCitation":"(8)","previouslyFormattedCitation":"[8]"},"properties":{"noteIndex":0},"schema":"https://github.com/citation-style-language/schema/raw/master/csl-citation.json"}</w:instrText>
      </w:r>
      <w:r w:rsidR="00DB2627">
        <w:fldChar w:fldCharType="separate"/>
      </w:r>
      <w:r w:rsidR="00FE716A" w:rsidRPr="00FE716A">
        <w:rPr>
          <w:noProof/>
        </w:rPr>
        <w:t>(8)</w:t>
      </w:r>
      <w:r w:rsidR="00DB2627">
        <w:fldChar w:fldCharType="end"/>
      </w:r>
      <w:r w:rsidR="00DB2627">
        <w:t xml:space="preserve"> The large open-groups, rolling curriculum format, and variety of times and locations of meetings mean that people can start at any time, choose a time and location that suits them, and key information is  repeated if they miss sessions. This greater flexibility than the closed group sessions typical of diabetes prevention programmes may increase attendance and adherence.</w:t>
      </w:r>
      <w:r w:rsidR="00A838A7" w:rsidRPr="00A838A7">
        <w:t xml:space="preserve"> </w:t>
      </w:r>
      <w:r w:rsidR="00A838A7">
        <w:t xml:space="preserve">This study also demonstrated for the first time that a standalone open group behavioural weight management programme is a potentially effective option to reduce the risk of diabetes in people with non-diabetic hyperglycaemia. </w:t>
      </w:r>
      <w:r w:rsidR="00503173">
        <w:t>When we restrict</w:t>
      </w:r>
      <w:r w:rsidR="00E53FDC">
        <w:t>ed</w:t>
      </w:r>
      <w:r w:rsidR="00503173">
        <w:t xml:space="preserve"> the eligible population to </w:t>
      </w:r>
      <w:r w:rsidR="00EB6575">
        <w:t>participants w</w:t>
      </w:r>
      <w:r w:rsidR="00E53FDC">
        <w:t>ith</w:t>
      </w:r>
      <w:r w:rsidR="00EB6575">
        <w:t xml:space="preserve"> </w:t>
      </w:r>
      <w:r w:rsidR="005B217B">
        <w:t>NDH</w:t>
      </w:r>
      <w:r w:rsidR="00EB6575">
        <w:t xml:space="preserve"> at baseline</w:t>
      </w:r>
      <w:r w:rsidR="00CD23AA">
        <w:t>,</w:t>
      </w:r>
      <w:r w:rsidR="00503173">
        <w:t xml:space="preserve"> we show</w:t>
      </w:r>
      <w:r w:rsidR="005B217B">
        <w:t>ed</w:t>
      </w:r>
      <w:r w:rsidR="00503173">
        <w:t xml:space="preserve"> that </w:t>
      </w:r>
      <w:r w:rsidR="00267067">
        <w:t xml:space="preserve">the </w:t>
      </w:r>
      <w:r w:rsidR="00503173">
        <w:t>behavioural weight management programme</w:t>
      </w:r>
      <w:r w:rsidR="00267067">
        <w:t xml:space="preserve"> led to slightly greater weight loss than </w:t>
      </w:r>
      <w:r w:rsidR="00DB2627">
        <w:t xml:space="preserve">reported in </w:t>
      </w:r>
      <w:r w:rsidR="00407225">
        <w:t xml:space="preserve">a </w:t>
      </w:r>
      <w:r w:rsidR="00267067">
        <w:t>meta</w:t>
      </w:r>
      <w:r w:rsidR="00DB2627">
        <w:t>-</w:t>
      </w:r>
      <w:r w:rsidR="00267067">
        <w:t>analys</w:t>
      </w:r>
      <w:r w:rsidR="00407225">
        <w:t>is of pragmatic diabetes prevention programmes</w:t>
      </w:r>
      <w:r w:rsidR="00267067">
        <w:t>.</w:t>
      </w:r>
      <w:r w:rsidR="00407225">
        <w:fldChar w:fldCharType="begin" w:fldLock="1"/>
      </w:r>
      <w:r w:rsidR="00FE716A">
        <w:instrText>ADDIN CSL_CITATION {"citationItems":[{"id":"ITEM-1","itemData":{"author":[{"dropping-particle":"","family":"Nuzhat","given":"Ashra","non-dropping-particle":"","parse-names":false,"suffix":""},{"dropping-particle":"","family":"Spong","given":"Rebecca","non-dropping-particle":"","parse-names":false,"suffix":""},{"dropping-particle":"","family":"Carter","given":"Patrice","non-dropping-particle":"","parse-names":false,"suffix":""},{"dropping-particle":"","family":"Davies","given":"Melanie","non-dropping-particle":"","parse-names":false,"suffix":""},{"dropping-particle":"","family":"Dunkley","given":"Alison","non-dropping-particle":"","parse-names":false,"suffix":""},{"dropping-particle":"","family":"Gillies","given":"Clare","non-dropping-particle":"","parse-names":false,"suffix":""},{"dropping-particle":"","family":"Greaves","given":"Colin","non-dropping-particle":"","parse-names":false,"suffix":""},{"dropping-particle":"","family":"Khunti","given":"Kamlesh","non-dropping-particle":"","parse-names":false,"suffix":""},{"dropping-particle":"","family":"Sutton","given":"Sarah","non-dropping-particle":"","parse-names":false,"suffix":""},{"dropping-particle":"","family":"Yates","given":"Thomas","non-dropping-particle":"","parse-names":false,"suffix":""},{"dropping-particle":"","family":"Youssef","given":"Dalia","non-dropping-particle":"","parse-names":false,"suffix":""},{"dropping-particle":"","family":"Gray.","given":"Laura","non-dropping-particle":"","parse-names":false,"suffix":""}],"container-title":"England, Public Health","id":"ITEM-1","issued":{"date-parts":[["2015"]]},"number-of-pages":"1-172","title":"A systematic review and meta- analysis assessing the effectiveness of pragmatic lifestyle interventions for the prevention of type 2 diabetes mellitus in routine practice About Public Health England","type":"report"},"uris":["http://www.mendeley.com/documents/?uuid=44b98c56-a976-488e-93b0-9057d47c89f9"]}],"mendeley":{"formattedCitation":"(6)","plainTextFormattedCitation":"(6)","previouslyFormattedCitation":"[6]"},"properties":{"noteIndex":0},"schema":"https://github.com/citation-style-language/schema/raw/master/csl-citation.json"}</w:instrText>
      </w:r>
      <w:r w:rsidR="00407225">
        <w:fldChar w:fldCharType="separate"/>
      </w:r>
      <w:r w:rsidR="00FE716A" w:rsidRPr="00FE716A">
        <w:rPr>
          <w:noProof/>
        </w:rPr>
        <w:t>(6)</w:t>
      </w:r>
      <w:r w:rsidR="00407225">
        <w:fldChar w:fldCharType="end"/>
      </w:r>
      <w:r w:rsidR="00267067">
        <w:t xml:space="preserve"> However</w:t>
      </w:r>
      <w:r w:rsidR="00DB2627">
        <w:t>,</w:t>
      </w:r>
      <w:r w:rsidR="00267067">
        <w:t xml:space="preserve"> our results are </w:t>
      </w:r>
      <w:r w:rsidR="00814EF8">
        <w:t xml:space="preserve">similar </w:t>
      </w:r>
      <w:r w:rsidR="00CD23AA">
        <w:rPr>
          <w:sz w:val="23"/>
          <w:szCs w:val="23"/>
        </w:rPr>
        <w:t xml:space="preserve">to findings from </w:t>
      </w:r>
      <w:r w:rsidR="00267067">
        <w:rPr>
          <w:sz w:val="23"/>
          <w:szCs w:val="23"/>
        </w:rPr>
        <w:t xml:space="preserve">a </w:t>
      </w:r>
      <w:r w:rsidR="00CD23AA">
        <w:rPr>
          <w:sz w:val="23"/>
          <w:szCs w:val="23"/>
        </w:rPr>
        <w:t xml:space="preserve">US trial </w:t>
      </w:r>
      <w:r w:rsidR="00267067">
        <w:rPr>
          <w:sz w:val="23"/>
          <w:szCs w:val="23"/>
        </w:rPr>
        <w:t xml:space="preserve">comparing </w:t>
      </w:r>
      <w:r w:rsidR="00940A6B">
        <w:rPr>
          <w:sz w:val="23"/>
          <w:szCs w:val="23"/>
        </w:rPr>
        <w:t xml:space="preserve">attendance at </w:t>
      </w:r>
      <w:r w:rsidR="00267067">
        <w:rPr>
          <w:sz w:val="23"/>
          <w:szCs w:val="23"/>
        </w:rPr>
        <w:t>Weight Watchers</w:t>
      </w:r>
      <w:r w:rsidR="00940A6B">
        <w:rPr>
          <w:sz w:val="23"/>
          <w:szCs w:val="23"/>
        </w:rPr>
        <w:t xml:space="preserve"> meetings </w:t>
      </w:r>
      <w:r w:rsidR="008E3A74">
        <w:rPr>
          <w:sz w:val="23"/>
          <w:szCs w:val="23"/>
        </w:rPr>
        <w:t>combined with a</w:t>
      </w:r>
      <w:r w:rsidR="00CD23AA">
        <w:rPr>
          <w:sz w:val="23"/>
          <w:szCs w:val="23"/>
        </w:rPr>
        <w:t xml:space="preserve"> diabetes education session</w:t>
      </w:r>
      <w:r w:rsidR="00521C04">
        <w:rPr>
          <w:sz w:val="23"/>
          <w:szCs w:val="23"/>
        </w:rPr>
        <w:t xml:space="preserve"> </w:t>
      </w:r>
      <w:r w:rsidR="008E3A74">
        <w:rPr>
          <w:sz w:val="23"/>
          <w:szCs w:val="23"/>
        </w:rPr>
        <w:t xml:space="preserve">to </w:t>
      </w:r>
      <w:r w:rsidR="00F70D6F">
        <w:rPr>
          <w:sz w:val="23"/>
          <w:szCs w:val="23"/>
        </w:rPr>
        <w:t xml:space="preserve">a </w:t>
      </w:r>
      <w:r w:rsidR="008E3A74">
        <w:rPr>
          <w:sz w:val="23"/>
          <w:szCs w:val="23"/>
        </w:rPr>
        <w:t xml:space="preserve">US National Diabetes Education Program individual counselling session and </w:t>
      </w:r>
      <w:r w:rsidR="00814EF8">
        <w:rPr>
          <w:sz w:val="23"/>
          <w:szCs w:val="23"/>
        </w:rPr>
        <w:t>self-help</w:t>
      </w:r>
      <w:r w:rsidR="008E3A74">
        <w:rPr>
          <w:sz w:val="23"/>
          <w:szCs w:val="23"/>
        </w:rPr>
        <w:t xml:space="preserve"> materials</w:t>
      </w:r>
      <w:r w:rsidR="00C24B96">
        <w:t>.</w:t>
      </w:r>
      <w:r w:rsidR="00407225">
        <w:fldChar w:fldCharType="begin" w:fldLock="1"/>
      </w:r>
      <w:r w:rsidR="00FE716A">
        <w:instrText>ADDIN CSL_CITATION {"citationItems":[{"id":"ITEM-1","itemData":{"DOI":"10.2105/AJPH.2015.303035","ISBN":"0090-0036","ISSN":"15410048","PMID":"26890171","abstract":"OBJECTIVES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Health","id":"ITEM-1","issued":{"date-parts":[["2016"]]},"title":"Comparison of commercial and self-initiated weight loss programs in people with prediabetes: A randomized control trial","type":"article-journal"},"uris":["http://www.mendeley.com/documents/?uuid=62934eb5-266a-4dc5-b786-a8473577cd81"]}],"mendeley":{"formattedCitation":"(12)","plainTextFormattedCitation":"(12)","previouslyFormattedCitation":"[12]"},"properties":{"noteIndex":0},"schema":"https://github.com/citation-style-language/schema/raw/master/csl-citation.json"}</w:instrText>
      </w:r>
      <w:r w:rsidR="00407225">
        <w:fldChar w:fldCharType="separate"/>
      </w:r>
      <w:r w:rsidR="00FE716A" w:rsidRPr="00FE716A">
        <w:rPr>
          <w:noProof/>
        </w:rPr>
        <w:t>(12)</w:t>
      </w:r>
      <w:r w:rsidR="00407225">
        <w:fldChar w:fldCharType="end"/>
      </w:r>
      <w:r w:rsidR="00C24B96">
        <w:t xml:space="preserve"> Reductions in HbA</w:t>
      </w:r>
      <w:r w:rsidR="00C24B96" w:rsidRPr="00C24B96">
        <w:rPr>
          <w:vertAlign w:val="subscript"/>
        </w:rPr>
        <w:t>1c</w:t>
      </w:r>
      <w:r w:rsidR="00C24B96">
        <w:t xml:space="preserve"> were larger </w:t>
      </w:r>
      <w:r w:rsidR="00765F2C">
        <w:t xml:space="preserve">than </w:t>
      </w:r>
      <w:r w:rsidR="005B217B">
        <w:t xml:space="preserve">the </w:t>
      </w:r>
      <w:r w:rsidR="00940A6B">
        <w:t xml:space="preserve">pooled mean </w:t>
      </w:r>
      <w:r w:rsidR="00765F2C">
        <w:t xml:space="preserve">in the </w:t>
      </w:r>
      <w:r w:rsidR="00267067">
        <w:t>meta-analysis</w:t>
      </w:r>
      <w:r w:rsidR="00814EF8">
        <w:t xml:space="preserve"> of pragmatic interventions to prevent diabetes,</w:t>
      </w:r>
      <w:r w:rsidR="00407225">
        <w:fldChar w:fldCharType="begin" w:fldLock="1"/>
      </w:r>
      <w:r w:rsidR="00FE716A">
        <w:instrText>ADDIN CSL_CITATION {"citationItems":[{"id":"ITEM-1","itemData":{"author":[{"dropping-particle":"","family":"Nuzhat","given":"Ashra","non-dropping-particle":"","parse-names":false,"suffix":""},{"dropping-particle":"","family":"Spong","given":"Rebecca","non-dropping-particle":"","parse-names":false,"suffix":""},{"dropping-particle":"","family":"Carter","given":"Patrice","non-dropping-particle":"","parse-names":false,"suffix":""},{"dropping-particle":"","family":"Davies","given":"Melanie","non-dropping-particle":"","parse-names":false,"suffix":""},{"dropping-particle":"","family":"Dunkley","given":"Alison","non-dropping-particle":"","parse-names":false,"suffix":""},{"dropping-particle":"","family":"Gillies","given":"Clare","non-dropping-particle":"","parse-names":false,"suffix":""},{"dropping-particle":"","family":"Greaves","given":"Colin","non-dropping-particle":"","parse-names":false,"suffix":""},{"dropping-particle":"","family":"Khunti","given":"Kamlesh","non-dropping-particle":"","parse-names":false,"suffix":""},{"dropping-particle":"","family":"Sutton","given":"Sarah","non-dropping-particle":"","parse-names":false,"suffix":""},{"dropping-particle":"","family":"Yates","given":"Thomas","non-dropping-particle":"","parse-names":false,"suffix":""},{"dropping-particle":"","family":"Youssef","given":"Dalia","non-dropping-particle":"","parse-names":false,"suffix":""},{"dropping-particle":"","family":"Gray.","given":"Laura","non-dropping-particle":"","parse-names":false,"suffix":""}],"container-title":"England, Public Health","id":"ITEM-1","issued":{"date-parts":[["2015"]]},"number-of-pages":"1-172","title":"A systematic review and meta- analysis assessing the effectiveness of pragmatic lifestyle interventions for the prevention of type 2 diabetes mellitus in routine practice About Public Health England","type":"report"},"uris":["http://www.mendeley.com/documents/?uuid=44b98c56-a976-488e-93b0-9057d47c89f9"]}],"mendeley":{"formattedCitation":"(6)","plainTextFormattedCitation":"(6)","previouslyFormattedCitation":"[6]"},"properties":{"noteIndex":0},"schema":"https://github.com/citation-style-language/schema/raw/master/csl-citation.json"}</w:instrText>
      </w:r>
      <w:r w:rsidR="00407225">
        <w:fldChar w:fldCharType="separate"/>
      </w:r>
      <w:r w:rsidR="00FE716A" w:rsidRPr="00FE716A">
        <w:rPr>
          <w:noProof/>
        </w:rPr>
        <w:t>(6)</w:t>
      </w:r>
      <w:r w:rsidR="00407225">
        <w:fldChar w:fldCharType="end"/>
      </w:r>
      <w:r w:rsidR="00407225">
        <w:t xml:space="preserve"> </w:t>
      </w:r>
      <w:r w:rsidR="00940A6B">
        <w:t xml:space="preserve">and </w:t>
      </w:r>
      <w:r w:rsidR="00814EF8">
        <w:t>similar</w:t>
      </w:r>
      <w:r w:rsidR="00940A6B">
        <w:t xml:space="preserve"> to </w:t>
      </w:r>
      <w:r w:rsidR="00814EF8">
        <w:t>a</w:t>
      </w:r>
      <w:r w:rsidR="00940A6B">
        <w:t xml:space="preserve"> US trial of a</w:t>
      </w:r>
      <w:r w:rsidR="00814EF8">
        <w:t xml:space="preserve"> </w:t>
      </w:r>
      <w:r w:rsidR="005B217B">
        <w:t xml:space="preserve">commercial </w:t>
      </w:r>
      <w:r w:rsidR="00940A6B">
        <w:t>programme</w:t>
      </w:r>
      <w:r w:rsidR="00814EF8">
        <w:t xml:space="preserve"> adapted</w:t>
      </w:r>
      <w:r w:rsidR="00D14D81">
        <w:t xml:space="preserve"> to prevent diabetes</w:t>
      </w:r>
      <w:r w:rsidR="00407225">
        <w:t>.</w:t>
      </w:r>
      <w:r w:rsidR="00407225">
        <w:fldChar w:fldCharType="begin" w:fldLock="1"/>
      </w:r>
      <w:r w:rsidR="00FE716A">
        <w:instrText>ADDIN CSL_CITATION {"citationItems":[{"id":"ITEM-1","itemData":{"DOI":"10.2105/AJPH.2015.303035","ISBN":"0090-0036","ISSN":"15410048","PMID":"26890171","abstract":"OBJECTIVES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Health","id":"ITEM-1","issued":{"date-parts":[["2016"]]},"title":"Comparison of commercial and self-initiated weight loss programs in people with prediabetes: A randomized control trial","type":"article-journal"},"uris":["http://www.mendeley.com/documents/?uuid=62934eb5-266a-4dc5-b786-a8473577cd81"]}],"mendeley":{"formattedCitation":"(12)","plainTextFormattedCitation":"(12)","previouslyFormattedCitation":"[12]"},"properties":{"noteIndex":0},"schema":"https://github.com/citation-style-language/schema/raw/master/csl-citation.json"}</w:instrText>
      </w:r>
      <w:r w:rsidR="00407225">
        <w:fldChar w:fldCharType="separate"/>
      </w:r>
      <w:r w:rsidR="00FE716A" w:rsidRPr="00FE716A">
        <w:rPr>
          <w:noProof/>
        </w:rPr>
        <w:t>(12)</w:t>
      </w:r>
      <w:r w:rsidR="00407225">
        <w:fldChar w:fldCharType="end"/>
      </w:r>
      <w:r w:rsidR="00407225">
        <w:t xml:space="preserve"> However, </w:t>
      </w:r>
      <w:r w:rsidR="00940A6B">
        <w:t>the confidence intervals around th</w:t>
      </w:r>
      <w:r w:rsidR="00D14D81">
        <w:t xml:space="preserve">e estimate of this effect in our study </w:t>
      </w:r>
      <w:r w:rsidR="00940A6B">
        <w:t>were large and crossed zero</w:t>
      </w:r>
      <w:r w:rsidR="00267067">
        <w:t xml:space="preserve">, </w:t>
      </w:r>
      <w:r w:rsidR="00D14D81">
        <w:t xml:space="preserve">probably </w:t>
      </w:r>
      <w:r w:rsidR="00C24B96">
        <w:t>due to the relatively small sample</w:t>
      </w:r>
      <w:r w:rsidR="00765F2C">
        <w:t>/group</w:t>
      </w:r>
      <w:r w:rsidR="00C24B96">
        <w:t xml:space="preserve"> size</w:t>
      </w:r>
      <w:r w:rsidR="00765F2C">
        <w:t xml:space="preserve"> in th</w:t>
      </w:r>
      <w:r w:rsidR="00267067">
        <w:t>e present</w:t>
      </w:r>
      <w:r w:rsidR="00765F2C">
        <w:t xml:space="preserve"> study</w:t>
      </w:r>
      <w:r w:rsidR="00C24B96">
        <w:t>.</w:t>
      </w:r>
      <w:r w:rsidR="00940A6B">
        <w:t xml:space="preserve">  </w:t>
      </w:r>
      <w:r w:rsidR="00A51AD6">
        <w:t>Taken together</w:t>
      </w:r>
      <w:r w:rsidR="00940A6B">
        <w:t xml:space="preserve"> with </w:t>
      </w:r>
      <w:r w:rsidR="006425AF">
        <w:t>evidence from a similar combined intervention in a scheme running in the UK NHS which observed a mean reduction in weight of 10kg and in HbA</w:t>
      </w:r>
      <w:r w:rsidR="006425AF" w:rsidRPr="005323D0">
        <w:rPr>
          <w:vertAlign w:val="subscript"/>
        </w:rPr>
        <w:t>1c</w:t>
      </w:r>
      <w:r w:rsidR="006425AF">
        <w:t xml:space="preserve"> of 2.8mmol/mol</w:t>
      </w:r>
      <w:r w:rsidR="006425AF">
        <w:fldChar w:fldCharType="begin" w:fldLock="1"/>
      </w:r>
      <w:r w:rsidR="00FE716A">
        <w:instrText>ADDIN CSL_CITATION {"citationItems":[{"id":"ITEM-1","itemData":{"DOI":"10.1136/bmjdrc-2017-000418","ISBN":"2017000418","ISSN":"20524897","PMID":"29225891","abstract":"Objectives: To determine if a diabetes prevention program (DPP) delivered by a commercial weight management provider using a UK primary care referral pathway could reduce the progression to type 2 diabetes (T2D) in those diagnosed with non-diabetic hyperglycemia (NDH-being at high risk of developing T2D)., Research design: This is a quasi-experimental translational research study., Methods: 14 primary care practices identified, recruited and referred patients with NDH (fasting plasma glucose &gt;=5.5 to &lt;=6.9mmol/L and/or glycated hemoglobin (HbA1c) &gt;=42 to 47mmol/mol (6.0%-6.4%)) and a body mass index (BMI) &gt;=30kg/m2 to a DPP. Eligible patients were asked to contact Weight Watchers to book onto their DPP, an intensive lifestyle intervention which included a 90min activation session followed by the offer of 48 weekly Weight Watchers community group meetings. Patients' blood tests were repeated by primary care, weight change plus self-reported data was recorded by Weight Watchers., Results: 166 patients were referred to the program and 149 were eligible. 79% of eligible patients attended an activation session (117 eligible patients) and 77% started the weekly sessions. The study sample was primarily female (75%), white (90%), with 5% living in the most deprived quintile in the UK. Using intention-to-treat analysis, the DPP resulted in a mean reduction in HbA1c of 2.84mmol/mol at 12 months (from 43.42+/-1.28to 40.58+/-3.41, p&lt;0.01). 38% of patients returned to normoglycemia and 3% developed T2D at 12 months. There was a mean weight reduction in BMI of 3.2kg/m2 at 12 months (35.5kg/m2+/-5.4to 32.3kg/m2+/-5.2, p&lt;0.01)., Conclusion: A UK primary care referral route partnered with this commercial weight management provider can deliver an effective DPP. The lifestyle changes and weight loss achieved in the intervention translated into considerable reductions in diabetes risk, with an immediate and significant public health impact.","author":[{"dropping-particle":"","family":"Piper","given":"Carolyn","non-dropping-particle":"","parse-names":false,"suffix":""},{"dropping-particle":"","family":"Marossy","given":"Agnes","non-dropping-particle":"","parse-names":false,"suffix":""},{"dropping-particle":"","family":"Griffiths","given":"Zoe","non-dropping-particle":"","parse-names":false,"suffix":""},{"dropping-particle":"","family":"Adegboye","given":"Amanda","non-dropping-particle":"","parse-names":false,"suffix":""}],"container-title":"BMJ Open Diabetes Research and Care","id":"ITEM-1","issued":{"date-parts":[["2017"]]},"title":"Evaluation of a type 2 diabetes prevention program using a commercial weight management provider for nondiabetic hyperglycemic patients referred by primary care in the UK","type":"article-journal"},"uris":["http://www.mendeley.com/documents/?uuid=0b96c659-33d6-4043-80d4-c25816854cc4"]}],"mendeley":{"formattedCitation":"(13)","plainTextFormattedCitation":"(13)","previouslyFormattedCitation":"[13]"},"properties":{"noteIndex":0},"schema":"https://github.com/citation-style-language/schema/raw/master/csl-citation.json"}</w:instrText>
      </w:r>
      <w:r w:rsidR="006425AF">
        <w:fldChar w:fldCharType="separate"/>
      </w:r>
      <w:r w:rsidR="00FE716A" w:rsidRPr="00FE716A">
        <w:rPr>
          <w:noProof/>
        </w:rPr>
        <w:t>(13)</w:t>
      </w:r>
      <w:r w:rsidR="006425AF">
        <w:fldChar w:fldCharType="end"/>
      </w:r>
      <w:r w:rsidR="006425AF">
        <w:t xml:space="preserve"> </w:t>
      </w:r>
      <w:r w:rsidR="005B217B">
        <w:t>among people with NDH</w:t>
      </w:r>
      <w:r w:rsidR="00371A84">
        <w:rPr>
          <w:vertAlign w:val="subscript"/>
        </w:rPr>
        <w:t xml:space="preserve"> </w:t>
      </w:r>
      <w:r w:rsidR="00940A6B">
        <w:t>in primary care</w:t>
      </w:r>
      <w:r w:rsidR="00A51AD6">
        <w:t xml:space="preserve">, </w:t>
      </w:r>
      <w:r w:rsidR="006425AF">
        <w:t>these</w:t>
      </w:r>
      <w:r w:rsidR="00102BBF">
        <w:t xml:space="preserve"> </w:t>
      </w:r>
      <w:r w:rsidR="00A51AD6">
        <w:t xml:space="preserve">findings suggest that this open-group behavioural weight management programme has comparable effectiveness to dedicated diabetes prevention programmes in people </w:t>
      </w:r>
      <w:r w:rsidR="00102BBF">
        <w:t>with NDH,</w:t>
      </w:r>
      <w:r w:rsidR="00A51AD6">
        <w:t xml:space="preserve"> and c</w:t>
      </w:r>
      <w:r w:rsidR="00102BBF">
        <w:t>ould</w:t>
      </w:r>
      <w:r w:rsidR="00A51AD6">
        <w:t xml:space="preserve"> be incorporated into diabetes prevention pathways. </w:t>
      </w:r>
      <w:r w:rsidR="00940A6B">
        <w:t>I</w:t>
      </w:r>
      <w:r w:rsidR="00A51AD6">
        <w:t xml:space="preserve">t is unclear whether the education/activation session incorporated in the US </w:t>
      </w:r>
      <w:r w:rsidR="00F2058E">
        <w:t xml:space="preserve">trial </w:t>
      </w:r>
      <w:r w:rsidR="00A51AD6">
        <w:t>and UK NHS models adds value</w:t>
      </w:r>
      <w:r w:rsidR="004B44ED">
        <w:t xml:space="preserve">, but </w:t>
      </w:r>
      <w:proofErr w:type="gramStart"/>
      <w:r w:rsidR="004B44ED">
        <w:t>it is clear that the</w:t>
      </w:r>
      <w:proofErr w:type="gramEnd"/>
      <w:r w:rsidR="004B44ED">
        <w:t xml:space="preserve"> weight management programme itself is a crucial component</w:t>
      </w:r>
      <w:r w:rsidR="00A51AD6">
        <w:t>.</w:t>
      </w:r>
    </w:p>
    <w:p w14:paraId="1DE31FFC" w14:textId="77777777" w:rsidR="00D14D81" w:rsidRDefault="00D14D81" w:rsidP="00A51AD6"/>
    <w:p w14:paraId="6FE783DF" w14:textId="764C698B" w:rsidR="00D14D81" w:rsidRDefault="00D14D81" w:rsidP="005D3600">
      <w:r>
        <w:t>Implications for practice</w:t>
      </w:r>
    </w:p>
    <w:p w14:paraId="0833EE41" w14:textId="28192333" w:rsidR="005D3600" w:rsidRDefault="00DC3DB5" w:rsidP="005D3600">
      <w:r>
        <w:t xml:space="preserve">The weight losses </w:t>
      </w:r>
      <w:r w:rsidR="00F2058E">
        <w:t xml:space="preserve">and reductions in glycaemia </w:t>
      </w:r>
      <w:r>
        <w:t>are smaller than those offered by bariatric surgery or formula diet meal replacements</w:t>
      </w:r>
      <w:r w:rsidR="00407225">
        <w:fldChar w:fldCharType="begin" w:fldLock="1"/>
      </w:r>
      <w:r w:rsidR="00FE716A">
        <w:instrText>ADDIN CSL_CITATION {"citationItems":[{"id":"ITEM-1","itemData":{"DOI":"10.1016/S0140-6736(17)33102-1","ISSN":"1474547X","PMID":"29221645","abstract":"Background: Type 2 diabetes is a chronic disorder that requires lifelong treatment. We aimed to assess whether intensive weight management within routine primary care would achieve remission of type 2 diabetes. Methods: We did this open-label, cluster-randomised trial (DiRECT) at 49 primary care practices in Scotland and the Tyneside region of England. Practices were randomly assigned (1:1), via a computer-generated list, to provide either a weight management programme (intervention) or best-practice care by guidelines (control), with stratification for study site (Tyneside or Scotland) and practice list size (&gt;5700 or ≤5700). Participants, carers, and research assistants who collected outcome data were aware of group allocation; however, allocation was concealed from the study statistician. We recruited individuals aged 20-65 years who had been diagnosed with type 2 diabetes within the past 6 years, had a body-mass index of 27-45 kg/m2, and were not receiving insulin. The intervention comprised withdrawal of antidiabetic and antihypertensive drugs, total diet replacement (825-853 kcal/day formula diet for 3-5 months), stepped food reintroduction (2-8 weeks), and structured support for long-term weight loss maintenance. Co-primary outcomes were weight loss of 15 kg or more, and remission of diabetes, defined as glycated haemoglobin (HbA1c) of less than 6·5% (&lt;48 mmol/mol) after at least 2 months off all antidiabetic medications, from baseline to 12 months. These outcomes were analysed hierarchically. This trial is registered with the ISRCTN registry, number 03267836. Findings: Between July 25, 2014, and Aug 5, 2017, we recruited 306 individuals from 49 intervention (n=23) and control (n=26) general practices; 149 participants per group comprised the intention-to-treat population. At 12 months, we recorded weight loss of 15 kg or more in 36 (24%) participants in the intervention group and no participants in the control group (p&lt;0·0001). Diabetes remission was achieved in 68 (46%) participants in the intervention group and six (4%) participants in the control group (odds ratio 19·7, 95% CI 7·8-49·8; p&lt;0·0001). Remission varied with weight loss in the whole study population, with achievement in none of 76 participants who gained weight, six (7%) of 89 participants who maintained 0-5 kg weight loss, 19 (34%) of 56 participants with 5-10 kg loss, 16 (57%) of 28 participants with 10-15 kg loss, and 31 (86%) of 36 participants who lost 15 kg or more. Mean body…","author":[{"dropping-particle":"","family":"Lean","given":"Michael E.J.","non-dropping-particle":"","parse-names":false,"suffix":""},{"dropping-particle":"","family":"Leslie","given":"Wilma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Stefanetti","given":"Renae","non-dropping-particle":"","parse-names":false,"suffix":""},{"dropping-particle":"","family":"Trenell","given":"Michael","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Sattar","given":"Naveed","non-dropping-particle":"","parse-names":false,"suffix":""},{"dropping-particle":"","family":"Taylor","given":"Roy","non-dropping-particle":"","parse-names":false,"suffix":""}],"container-title":"The Lancet","id":"ITEM-1","issued":{"date-parts":[["2017"]]},"title":"Primary care-led weight management for remission of type 2 diabetes (DiRECT): An open-label, cluster-randomised trial","type":"article-newspaper"},"uris":["http://www.mendeley.com/documents/?uuid=4df1d261-0268-4a8e-9445-80f386c3c6da"]},{"id":"ITEM-2","itemData":{"DOI":"10.1136/bmj.k3760","ISSN":"17561833","abstract":"© Published by the BMJ Publishing Group Limited. Objective To test the effectiveness and safety of a total diet replacement (TDR) programme for routine treatment of obesity in a primary care setting. Design Pragmatic, two arm, parallel group, open label, individually randomised controlled trial. Setting 10 primary care practices in Oxfordshire, UK. Participants 278 adults who were obese and seeking support to lose weight: 138 were assigned to the TDR programme and 140 to usual care. 73% of participants were re-measured at 12 months. Interventions The TDR programme comprised weekly behavioural support for 12 weeks and monthly support for three months, with formula food products providing 810 kcal/day (3389 kJ/day) as the sole food during the first eight weeks followed by reintroduction of food. Usual care comprised behavioural support for weight loss from a practice nurse and a diet programme with modest energy restriction. Main outcome measures The primary outcome was weight change at 12 months analysed as intention to treat with mixed effects models. Secondary outcomes included biomarkers of cardiovascular and metabolic risk. Adverse events were recorded. Results Participants in the TDR group lost more weight (-10.7 kg) than those in the usual care group (-3.1 kg): adjusted mean difference -7.2 kg (95% confidence interval -9.4 to -4.9 kg). 45% of participants in the TDR group and 15% in the usual care group experienced weight losses of 10% or more. The TDR group showed greater improvements in biomarkers of cardiovascular and metabolic risk than the usual care group. 11% of participants in the TDR group and 12% in the usual care group experienced adverse events of moderate or greater severity. Conclusions Compared with regular weight loss support from a practice nurse, a programme of weekly behavioural support and total diet replacement providing 810 kcal/day seems to be tolerable, and leads to substantially greater weight loss and greater improvements in the risk of cardiometabolic disease. Trial registration International Standard Randomised Controlled Trials No ISRCTN75092026.","author":[{"dropping-particle":"","family":"Astbury","given":"Nerys M.","non-dropping-particle":"","parse-names":false,"suffix":""},{"dropping-particle":"","family":"Aveyard","given":"Paul","non-dropping-particle":"","parse-names":false,"suffix":""},{"dropping-particle":"","family":"Nickless","given":"Alecia","non-dropping-particle":"","parse-names":false,"suffix":""},{"dropping-particle":"","family":"Hood","given":"Kathryn","non-dropping-particle":"","parse-names":false,"suffix":""},{"dropping-particle":"","family":"Corfield","given":"Kate","non-dropping-particle":"","parse-names":false,"suffix":""},{"dropping-particle":"","family":"Lowe","given":"Rebecca","non-dropping-particle":"","parse-names":false,"suffix":""},{"dropping-particle":"","family":"Jebb","given":"Susan A.","non-dropping-particle":"","parse-names":false,"suffix":""}],"container-title":"BMJ (Online)","id":"ITEM-2","issued":{"date-parts":[["2018"]]},"title":"Doctor Referral of Overweight People to Low Energy total diet replacement Treatment (DROPLET): Pragmatic randomised controlled trial","type":"article-journal"},"uris":["http://www.mendeley.com/documents/?uuid=12d78f4b-5bf2-4457-b9fc-eaaf42ef142b"]}],"mendeley":{"formattedCitation":"(24,25)","plainTextFormattedCitation":"(24,25)","previouslyFormattedCitation":"[24,25]"},"properties":{"noteIndex":0},"schema":"https://github.com/citation-style-language/schema/raw/master/csl-citation.json"}</w:instrText>
      </w:r>
      <w:r w:rsidR="00407225">
        <w:fldChar w:fldCharType="separate"/>
      </w:r>
      <w:r w:rsidR="00FE716A" w:rsidRPr="00FE716A">
        <w:rPr>
          <w:noProof/>
        </w:rPr>
        <w:t>(24,25)</w:t>
      </w:r>
      <w:r w:rsidR="00407225">
        <w:fldChar w:fldCharType="end"/>
      </w:r>
      <w:r w:rsidR="00F2058E">
        <w:t xml:space="preserve">, but </w:t>
      </w:r>
      <w:r w:rsidR="006F61DD">
        <w:t>are clinically meaningful</w:t>
      </w:r>
      <w:r w:rsidR="009E54B3">
        <w:t xml:space="preserve"> and comparable to intensive, specialist led diabetes prevention programmes</w:t>
      </w:r>
      <w:r w:rsidR="006F61DD">
        <w:t>.</w:t>
      </w:r>
      <w:r w:rsidR="00407225">
        <w:fldChar w:fldCharType="begin" w:fldLock="1"/>
      </w:r>
      <w:r w:rsidR="00FE716A">
        <w:instrText>ADDIN CSL_CITATION {"citationItems":[{"id":"ITEM-1","itemData":{"DOI":"10.1056/NEJMoa012512","ISBN":"1533-4406 (Electronic)\\n0028-4793 (Linking)","ISSN":"1533-4406","PMID":"11832527","abstract":"BACKGROUND: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 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 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 CONCLUSIONS: Lifestyle changes and treatment with metformin both reduced the incidence of diabetes in persons at high risk. The lifestyle intervention was more effective than metformin.","author":[{"dropping-particle":"","family":"Knowler","given":"William C","non-dropping-particle":"","parse-names":false,"suffix":""},{"dropping-particle":"","family":"Barrett-Connor","given":"Elizabeth","non-dropping-particle":"","parse-names":false,"suffix":""},{"dropping-particle":"","family":"Fowler","given":"Sarah E","non-dropping-particle":"","parse-names":false,"suffix":""},{"dropping-particle":"","family":"Hamman","given":"Richard F","non-dropping-particle":"","parse-names":false,"suffix":""},{"dropping-particle":"","family":"Lachin","given":"John M","non-dropping-particle":"","parse-names":false,"suffix":""},{"dropping-particle":"","family":"Walker","given":"Elizabeth A","non-dropping-particle":"","parse-names":false,"suffix":""},{"dropping-particle":"","family":"Nathan","given":"David M","non-dropping-particle":"","parse-names":false,"suffix":""}],"container-title":"The New England journal of medicine","id":"ITEM-1","issued":{"date-parts":[["2002"]]},"page":"393-403","title":"Reduction in the incidence of type 2 diabetes with lifestyle intervention or metformin.","type":"article-journal","volume":"346"},"uris":["http://www.mendeley.com/documents/?uuid=d736f1ed-4da3-44fa-998b-86d90ea1a43a"]},{"id":"ITEM-2","itemData":{"DOI":"10.2337/diacare.26.12.3230","ISBN":"0149-5992 (Print)\\n0149-5992 (Linking)","ISSN":"0149-5992","PMID":"14633807","abstract":"OBJECTIVE--To describe the 1) lifestyle intervention used in the Finnish Diabetes Prevention Study, 2) short- and long-term changes in diet and exercise behavior, and 3) effect of the intervention on glucose and lipid metabolism.  RESEARCH DESIGN AND METHODS--There were 522 middle-aged, overweight subjects with impaired glucose tolerance who were randomized to either a usual care control group or an intensive lifestyle intervention group. The control group received general dietary and exercise advice at baseline and had an annual physician's examination. The subjects in the intervention group received additional individualized dietary counseling from a nutritionist. They were also offered circuit-type resistance training sessions and advised to increase overall physical activity. The intervention was the most intensive during the first year, followed by a maintenance period. The intervention goals were to reduce body weight, reduce dietary and saturated fat, and increase physical activity and dietary fiber.  RESULTS--The intervention group showed significantly greater improvement in each intervention goal. After 1 and 3 years, weight reductions were 4.5 and 3.5 kg in the intervention group and 1.0 and 0.9 kg in the control group, respectively. Measures of glycemia and lipemia improved more in the intervention group.  CONCLUSIONS--The intensive lifestyle intervention produced long-term beneficial changes in diet, physical activity, and clinical and biochemical parameters and reduced diabetes risk. This type of intervention is a feasible option to prevent type 2 diabetes and should be implemented in the primary health care system.","author":[{"dropping-particle":"","family":"Lindstrom","given":"J.","non-dropping-particle":"","parse-names":false,"suffix":""},{"dropping-particle":"","family":"Louheranta","given":"a.","non-dropping-particle":"","parse-names":false,"suffix":""},{"dropping-particle":"","family":"Mannelin","given":"M.","non-dropping-particle":"","parse-names":false,"suffix":""},{"dropping-particle":"","family":"Rastas","given":"M.","non-dropping-particle":"","parse-names":false,"suffix":""},{"dropping-particle":"","family":"Salminen","given":"V.","non-dropping-particle":"","parse-names":false,"suffix":""},{"dropping-particle":"","family":"Eriksson","given":"J.","non-dropping-particle":"","parse-names":false,"suffix":""},{"dropping-particle":"","family":"Uusitupa","given":"M.","non-dropping-particle":"","parse-names":false,"suffix":""},{"dropping-particle":"","family":"Tuomilehto","given":"J.","non-dropping-particle":"","parse-names":false,"suffix":""}],"container-title":"Diabetes Care","id":"ITEM-2","issue":"12","issued":{"date-parts":[["2003"]]},"page":"3230-3236","title":"The Finnish Diabetes Prevention Study (DPS)","type":"article-journal","volume":"26"},"uris":["http://www.mendeley.com/documents/?uuid=55357ffe-22e0-4d9b-84c5-3eabffc7fa5e"]},{"id":"ITEM-3","itemData":{"author":[{"dropping-particle":"","family":"Nuzhat","given":"Ashra","non-dropping-particle":"","parse-names":false,"suffix":""},{"dropping-particle":"","family":"Spong","given":"Rebecca","non-dropping-particle":"","parse-names":false,"suffix":""},{"dropping-particle":"","family":"Carter","given":"Patrice","non-dropping-particle":"","parse-names":false,"suffix":""},{"dropping-particle":"","family":"Davies","given":"Melanie","non-dropping-particle":"","parse-names":false,"suffix":""},{"dropping-particle":"","family":"Dunkley","given":"Alison","non-dropping-particle":"","parse-names":false,"suffix":""},{"dropping-particle":"","family":"Gillies","given":"Clare","non-dropping-particle":"","parse-names":false,"suffix":""},{"dropping-particle":"","family":"Greaves","given":"Colin","non-dropping-particle":"","parse-names":false,"suffix":""},{"dropping-particle":"","family":"Khunti","given":"Kamlesh","non-dropping-particle":"","parse-names":false,"suffix":""},{"dropping-particle":"","family":"Sutton","given":"Sarah","non-dropping-particle":"","parse-names":false,"suffix":""},{"dropping-particle":"","family":"Yates","given":"Thomas","non-dropping-particle":"","parse-names":false,"suffix":""},{"dropping-particle":"","family":"Youssef","given":"Dalia","non-dropping-particle":"","parse-names":false,"suffix":""},{"dropping-particle":"","family":"Gray.","given":"Laura","non-dropping-particle":"","parse-names":false,"suffix":""}],"container-title":"England, Public Health","id":"ITEM-3","issued":{"date-parts":[["2015"]]},"number-of-pages":"1-172","title":"A systematic review and meta- analysis assessing the effectiveness of pragmatic lifestyle interventions for the prevention of type 2 diabetes mellitus in routine practice About Public Health England","type":"report"},"uris":["http://www.mendeley.com/documents/?uuid=44b98c56-a976-488e-93b0-9057d47c89f9"]}],"mendeley":{"formattedCitation":"(6,7,20)","plainTextFormattedCitation":"(6,7,20)","previouslyFormattedCitation":"[6,7,20]"},"properties":{"noteIndex":0},"schema":"https://github.com/citation-style-language/schema/raw/master/csl-citation.json"}</w:instrText>
      </w:r>
      <w:r w:rsidR="00407225">
        <w:fldChar w:fldCharType="separate"/>
      </w:r>
      <w:r w:rsidR="00FE716A" w:rsidRPr="00FE716A">
        <w:rPr>
          <w:noProof/>
        </w:rPr>
        <w:t>(6,7,20)</w:t>
      </w:r>
      <w:r w:rsidR="00407225">
        <w:fldChar w:fldCharType="end"/>
      </w:r>
      <w:r w:rsidR="006F61DD">
        <w:t xml:space="preserve"> O</w:t>
      </w:r>
      <w:r w:rsidR="00F2058E">
        <w:t>ffering th</w:t>
      </w:r>
      <w:r w:rsidR="009E54B3">
        <w:t>ese programmes to all people</w:t>
      </w:r>
      <w:r w:rsidR="00F2058E">
        <w:t xml:space="preserve"> with overweight and obesity</w:t>
      </w:r>
      <w:r w:rsidR="009E54B3">
        <w:t xml:space="preserve"> would </w:t>
      </w:r>
      <w:r w:rsidR="00DB2627">
        <w:t>support</w:t>
      </w:r>
      <w:r w:rsidR="009E54B3">
        <w:t xml:space="preserve"> people </w:t>
      </w:r>
      <w:r w:rsidR="00F2058E">
        <w:t xml:space="preserve">early in the disease trajectory </w:t>
      </w:r>
      <w:r w:rsidR="009E54B3">
        <w:t xml:space="preserve">and </w:t>
      </w:r>
      <w:r w:rsidR="0035254B">
        <w:t xml:space="preserve">reduce risk of </w:t>
      </w:r>
      <w:r w:rsidR="009E54B3">
        <w:t xml:space="preserve">non-diabetic hyperglycaemia as well as diabetes. </w:t>
      </w:r>
      <w:r w:rsidR="00371A84">
        <w:t xml:space="preserve">The weight loss achieved through these programmes </w:t>
      </w:r>
      <w:r w:rsidR="009E54B3">
        <w:t>also ha</w:t>
      </w:r>
      <w:r w:rsidR="0035254B">
        <w:t>s</w:t>
      </w:r>
      <w:r w:rsidR="009E54B3">
        <w:t xml:space="preserve"> other physical and mental health benefits</w:t>
      </w:r>
      <w:r w:rsidR="00F2058E">
        <w:t>.</w:t>
      </w:r>
      <w:r w:rsidR="00407225">
        <w:fldChar w:fldCharType="begin" w:fldLock="1"/>
      </w:r>
      <w:r w:rsidR="00FE716A">
        <w:instrText>ADDIN CSL_CITATION {"citationItems":[{"id":"ITEM-1","itemData":{"DOI":"10.1038/sj.ijo.0802215","ISBN":"03070565","ISSN":"03070565","PMID":"12457296","abstract":"Obesity is associated with type 2 diabetes, hypertension and hyperlipidaemia. Modest weight loss has been shown to have a beneficial effect on these cardiovascular risk factors and to improve risk factor clustering. Recent lifestyle intervention studies also suggest that modest weight loss can help to prevent two of the most common conditions associated with obesity: hypertension and type 2 diabetes. The practical problem is how to translate results from these studies into daily practice. In the studies, only a limited number of individuals maintained substantial weight loss over the follow up period. New approaches are needed to achieve and maintain weight loss.","author":[{"dropping-particle":"","family":"Vidal","given":"J","non-dropping-particle":"","parse-names":false,"suffix":""}],"container-title":"International journal of obesity and related metabolic disorders : journal of the International Association for the Study of Obesity","id":"ITEM-1","issued":{"date-parts":[["2002"]]},"page":"S25-S28","title":"Updated review on the benefits of weight loss","type":"article-journal","volume":"26 Suppl 4"},"uris":["http://www.mendeley.com/documents/?uuid=0b52ae2c-f7e4-4d03-8753-439f7a00e2b0"]}],"mendeley":{"formattedCitation":"(26)","plainTextFormattedCitation":"(26)","previouslyFormattedCitation":"[26]"},"properties":{"noteIndex":0},"schema":"https://github.com/citation-style-language/schema/raw/master/csl-citation.json"}</w:instrText>
      </w:r>
      <w:r w:rsidR="00407225">
        <w:fldChar w:fldCharType="separate"/>
      </w:r>
      <w:r w:rsidR="00FE716A" w:rsidRPr="00FE716A">
        <w:rPr>
          <w:noProof/>
        </w:rPr>
        <w:t>(26)</w:t>
      </w:r>
      <w:r w:rsidR="00407225">
        <w:fldChar w:fldCharType="end"/>
      </w:r>
      <w:r>
        <w:t xml:space="preserve">  </w:t>
      </w:r>
      <w:r w:rsidR="009E54B3">
        <w:t xml:space="preserve">However, where limited resources necessitate a focus on people who already have </w:t>
      </w:r>
      <w:r w:rsidR="00DB2627">
        <w:t>NDH</w:t>
      </w:r>
      <w:r w:rsidR="009E54B3">
        <w:t xml:space="preserve">, </w:t>
      </w:r>
      <w:r w:rsidR="007D10C2">
        <w:t xml:space="preserve">these programmes still offer an effective approach. </w:t>
      </w:r>
      <w:r w:rsidR="00F2058E">
        <w:t xml:space="preserve">Commercial versions of these programmes already have the existing infrastructure to enable (inter)national rollout and there is evidence that they can be incorporated into existing models of </w:t>
      </w:r>
      <w:r w:rsidR="009E54B3">
        <w:t xml:space="preserve">weight management and </w:t>
      </w:r>
      <w:r w:rsidR="00F2058E">
        <w:t>diabetes prevention.</w:t>
      </w:r>
      <w:r w:rsidR="009E54B3">
        <w:t xml:space="preserve"> </w:t>
      </w:r>
    </w:p>
    <w:p w14:paraId="42263420" w14:textId="77777777" w:rsidR="00D14D81" w:rsidRDefault="00D14D81"/>
    <w:p w14:paraId="7F122FC7" w14:textId="650CF1F4" w:rsidR="00D14D81" w:rsidRDefault="00D14D81">
      <w:r>
        <w:t>Conclusions</w:t>
      </w:r>
    </w:p>
    <w:p w14:paraId="5ACD41F7" w14:textId="4EAA8737" w:rsidR="006E5B09" w:rsidRDefault="00A838A7">
      <w:r w:rsidRPr="00A838A7">
        <w:t>Among people known to have hyperglycaemia, a standalone open-group behavioural weight management programme leads to successful weight loss and reductions in glycaemia which appear comparable to specialist diabetes prevention programmes. Identifying individuals at risk of diabetes on the basis of BMI alone and offering them a widely available weight management programme might be a more pragmatic, scalable and efficient diabetes prevention strategy than screening for hyperglycaemia and referral to specialist programmes and might facilitate intervention earlier in the disease trajectory.</w:t>
      </w:r>
    </w:p>
    <w:p w14:paraId="37B15383" w14:textId="77777777" w:rsidR="006E5B09" w:rsidRDefault="006E5B09"/>
    <w:p w14:paraId="77BF41DB" w14:textId="77777777" w:rsidR="006E5B09" w:rsidRDefault="006E5B09" w:rsidP="006E5B09">
      <w:r>
        <w:t>Acknowledgments</w:t>
      </w:r>
    </w:p>
    <w:p w14:paraId="18CCFDDA" w14:textId="21F6C8C2" w:rsidR="006E5B09" w:rsidRDefault="006E5B09" w:rsidP="006E5B09">
      <w:r w:rsidRPr="006E5B09">
        <w:t xml:space="preserve">The WRAP trial is funded by the National Prevention Research Initiative through research grant MR/J000493/1. The funding partners relevant to this award are (in alphabetical order): Alzheimer’s Research Trust, Alzheimer’s Society, Biotechnology and Biological Sciences Research Council, British Heart Foundation, Cancer Research UK, Chief Scientist Office, Scottish Government Health Directorate, Department of Health, Diabetes UK, Economic and Social Research Council, Health and Social Care Research and Development Division of the Public Health Agency (HSC R&amp;D Division), UK Medical Research Council (MRC), The Stroke Association, </w:t>
      </w:r>
      <w:proofErr w:type="spellStart"/>
      <w:r w:rsidRPr="006E5B09">
        <w:t>Wellcome</w:t>
      </w:r>
      <w:proofErr w:type="spellEnd"/>
      <w:r w:rsidRPr="006E5B09">
        <w:t xml:space="preserve"> Trust, Welsh Assembly Government, and World Cancer Research Fund. The cost of the Weight Watchers programme</w:t>
      </w:r>
      <w:r w:rsidR="00BB2E0A">
        <w:t>, blood sampling and analysis</w:t>
      </w:r>
      <w:r w:rsidRPr="006E5B09">
        <w:t xml:space="preserve"> </w:t>
      </w:r>
      <w:r w:rsidR="00BB2E0A">
        <w:t>were</w:t>
      </w:r>
      <w:r w:rsidR="00BB2E0A" w:rsidRPr="006E5B09">
        <w:t xml:space="preserve"> </w:t>
      </w:r>
      <w:r w:rsidRPr="006E5B09">
        <w:t xml:space="preserve">funded by </w:t>
      </w:r>
      <w:r w:rsidR="00BB2E0A">
        <w:t xml:space="preserve">WW (formerly </w:t>
      </w:r>
      <w:r w:rsidRPr="006E5B09">
        <w:t>Weight Watchers International</w:t>
      </w:r>
      <w:r w:rsidR="00BB2E0A">
        <w:t>)</w:t>
      </w:r>
      <w:r w:rsidRPr="006E5B09">
        <w:t xml:space="preserve"> as part of an MRC Industrial Collaboration Award. During the conduct of the WRAP trial </w:t>
      </w:r>
      <w:r>
        <w:t>ALA</w:t>
      </w:r>
      <w:r w:rsidRPr="006E5B09">
        <w:t xml:space="preserve"> and </w:t>
      </w:r>
      <w:r>
        <w:t>SAJ</w:t>
      </w:r>
      <w:r w:rsidRPr="006E5B09">
        <w:t xml:space="preserve"> were supported by the MRC (grant number U105960389). </w:t>
      </w:r>
      <w:r>
        <w:t xml:space="preserve">ALA and SJG are supported by the MRC (grant MC_UU_12015/4). </w:t>
      </w:r>
      <w:r w:rsidRPr="006E5B09">
        <w:t xml:space="preserve">SAJ </w:t>
      </w:r>
      <w:r w:rsidR="00D14D81">
        <w:t xml:space="preserve">and PA are </w:t>
      </w:r>
      <w:r w:rsidRPr="006E5B09">
        <w:t>NIHR Senior Investigator</w:t>
      </w:r>
      <w:r w:rsidR="00D14D81">
        <w:t>s</w:t>
      </w:r>
      <w:r w:rsidRPr="006E5B09">
        <w:t xml:space="preserve"> and supported by the Oxford NIHR Biomedical Research Centre and Oxford NIHR</w:t>
      </w:r>
      <w:r w:rsidR="00D14D81">
        <w:t xml:space="preserve"> Applied Research Centre</w:t>
      </w:r>
      <w:r w:rsidRPr="006E5B09">
        <w:t>.</w:t>
      </w:r>
      <w:r w:rsidR="00F21C27">
        <w:t xml:space="preserve"> No funders were involved in the design or conduct of the study or the analysis or interpretation of data. ALA had access to all data in the study and had the final responsibility to submit for publication.</w:t>
      </w:r>
    </w:p>
    <w:p w14:paraId="218FF79B" w14:textId="77777777" w:rsidR="006E5B09" w:rsidRDefault="006E5B09" w:rsidP="006E5B09">
      <w:r>
        <w:t>We thank the practice staff and research assistants who conducted study visits and provided research support over the course of the trial;  the Nutritional Bioanalysis Laboratories at MRC Human Nutrition Research who did glucose and lipid assays; National Institute for Health Research Cambridge Biomedical Research Centre Core Biochemistry Assay Laboratory who did the HbA</w:t>
      </w:r>
      <w:r w:rsidRPr="006E5B09">
        <w:rPr>
          <w:vertAlign w:val="subscript"/>
        </w:rPr>
        <w:t xml:space="preserve">1c </w:t>
      </w:r>
      <w:r>
        <w:t>assays; the Volunteer Services and Clinical Studies team and the Data Management team at MRC Human Nutrition Research for supporting data collection, entry and management.</w:t>
      </w:r>
    </w:p>
    <w:p w14:paraId="38FAD67E" w14:textId="77777777" w:rsidR="006E5B09" w:rsidRDefault="006E5B09" w:rsidP="006E5B09"/>
    <w:p w14:paraId="64E8FC81" w14:textId="6F139513" w:rsidR="00996BA1" w:rsidRDefault="00996BA1" w:rsidP="006E5B09">
      <w:r>
        <w:t>Competing Interests Statement</w:t>
      </w:r>
    </w:p>
    <w:p w14:paraId="0BFFCACB" w14:textId="42C76723" w:rsidR="00996BA1" w:rsidRDefault="00996BA1" w:rsidP="006E5B09">
      <w:r w:rsidRPr="00996BA1">
        <w:t xml:space="preserve">ALA is Principal Investigator on </w:t>
      </w:r>
      <w:r>
        <w:t xml:space="preserve">an </w:t>
      </w:r>
      <w:r w:rsidRPr="00996BA1">
        <w:t xml:space="preserve">NIHR </w:t>
      </w:r>
      <w:proofErr w:type="spellStart"/>
      <w:r w:rsidRPr="00996BA1">
        <w:t>PGfAR</w:t>
      </w:r>
      <w:proofErr w:type="spellEnd"/>
      <w:r>
        <w:t>-</w:t>
      </w:r>
      <w:r w:rsidRPr="00996BA1">
        <w:t xml:space="preserve">funded trial in which the intervention is delivered by WW at no cost. PA and SAJ are principal investigators on a trial funded through a grant to the University of Oxford from Cambridge Weight Plan. </w:t>
      </w:r>
      <w:r w:rsidR="00D14D81">
        <w:t xml:space="preserve">PA has done half a day’s consultancy for Weight Watchers and spoken at a symposium at the Royal College of General Practitioners conference that was funded by Novo Nordisk. Neither led to payments to him personally.  </w:t>
      </w:r>
      <w:r w:rsidRPr="00996BA1">
        <w:t>JCGH has a trial funded by the American Beverage Association. All other authors declare no competing interests.</w:t>
      </w:r>
    </w:p>
    <w:p w14:paraId="584D9538" w14:textId="77777777" w:rsidR="0015114C" w:rsidRDefault="0015114C" w:rsidP="006E5B09">
      <w:r>
        <w:t>Authors Contributions</w:t>
      </w:r>
    </w:p>
    <w:p w14:paraId="4B47ECA2" w14:textId="2B9B5B33" w:rsidR="0075770D" w:rsidRDefault="00911B52" w:rsidP="006E5B09">
      <w:r>
        <w:t>AL</w:t>
      </w:r>
      <w:r w:rsidR="0015114C">
        <w:t>A, PA, JCGH, EJB &amp; SAJ are Investigators on the WRAP trial and designed and conducted the trial. ALA &amp; SJG conceived this study and ALA, SJG, GMW &amp; SJS designed the analysis. ALA &amp; GMW conducted the analysis. All authors were involved in data interpretation and critical revision of the manuscript and approved the final version.</w:t>
      </w:r>
    </w:p>
    <w:p w14:paraId="34E2D83F" w14:textId="77777777" w:rsidR="0015114C" w:rsidRDefault="0015114C" w:rsidP="006E5B09"/>
    <w:p w14:paraId="214DE576" w14:textId="77777777" w:rsidR="00A3609B" w:rsidRPr="0075770D" w:rsidRDefault="0075770D">
      <w:pPr>
        <w:rPr>
          <w:b/>
        </w:rPr>
      </w:pPr>
      <w:r w:rsidRPr="0075770D">
        <w:rPr>
          <w:b/>
        </w:rPr>
        <w:t>References</w:t>
      </w:r>
    </w:p>
    <w:p w14:paraId="7D62E9CF" w14:textId="37C9B836" w:rsidR="00FE716A" w:rsidRPr="00FE716A" w:rsidRDefault="006544AB" w:rsidP="00FE716A">
      <w:pPr>
        <w:widowControl w:val="0"/>
        <w:autoSpaceDE w:val="0"/>
        <w:autoSpaceDN w:val="0"/>
        <w:adjustRightInd w:val="0"/>
        <w:spacing w:after="140"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FE716A" w:rsidRPr="00FE716A">
        <w:rPr>
          <w:rFonts w:ascii="Calibri" w:hAnsi="Calibri" w:cs="Calibri"/>
          <w:noProof/>
          <w:szCs w:val="24"/>
        </w:rPr>
        <w:t xml:space="preserve">1. </w:t>
      </w:r>
      <w:r w:rsidR="00FE716A" w:rsidRPr="00FE716A">
        <w:rPr>
          <w:rFonts w:ascii="Calibri" w:hAnsi="Calibri" w:cs="Calibri"/>
          <w:noProof/>
          <w:szCs w:val="24"/>
        </w:rPr>
        <w:tab/>
        <w:t xml:space="preserve">Gillies CL, Abrams KR, Lambert PC, Cooper NJ, Sutton AJ, Hsu RT, et al. Pharmacological and lifestyle interventions to prevent or delay type 2 diabetes in people with impaired glucose tolerance: systematic review and meta-analysis. BMJ. 2007;334(7588):299. </w:t>
      </w:r>
    </w:p>
    <w:p w14:paraId="56B0986B"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2. </w:t>
      </w:r>
      <w:r w:rsidRPr="00FE716A">
        <w:rPr>
          <w:rFonts w:ascii="Calibri" w:hAnsi="Calibri" w:cs="Calibri"/>
          <w:noProof/>
          <w:szCs w:val="24"/>
        </w:rPr>
        <w:tab/>
        <w:t>World Health Organisation (WHO). Use of glycated haemoglobin (HbA1c) in the diagnosis of diabetes mellitus. Diabetes Res Clin Pract [Internet]. 2011;93(3):299–309. Available from: https://linkinghub.elsevier.com/retrieve/pii/S0168822711001318</w:t>
      </w:r>
    </w:p>
    <w:p w14:paraId="4FD42234"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3. </w:t>
      </w:r>
      <w:r w:rsidRPr="00FE716A">
        <w:rPr>
          <w:rFonts w:ascii="Calibri" w:hAnsi="Calibri" w:cs="Calibri"/>
          <w:noProof/>
          <w:szCs w:val="24"/>
        </w:rPr>
        <w:tab/>
        <w:t xml:space="preserve">Nathan DM, Balkau B, Bonora E, Borch-Johnsen K, Buse JB, Colagiuri S, et al. International expert committee report on the role of the A1C assay in the diagnosis of diabetes. Diabetes Care. 2009;32(7):1327–34. </w:t>
      </w:r>
    </w:p>
    <w:p w14:paraId="1830FCDC"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4. </w:t>
      </w:r>
      <w:r w:rsidRPr="00FE716A">
        <w:rPr>
          <w:rFonts w:ascii="Calibri" w:hAnsi="Calibri" w:cs="Calibri"/>
          <w:noProof/>
          <w:szCs w:val="24"/>
        </w:rPr>
        <w:tab/>
        <w:t xml:space="preserve">Abdullah A, Peeters A, de Courten M, Stoelwinder J. The magnitude of association between overweight and obesity and the risk of diabetes: A meta-analysis of prospective cohort studies. Diabetes Res Clin Pract. 2010; </w:t>
      </w:r>
    </w:p>
    <w:p w14:paraId="2A6140D7"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5. </w:t>
      </w:r>
      <w:r w:rsidRPr="00FE716A">
        <w:rPr>
          <w:rFonts w:ascii="Calibri" w:hAnsi="Calibri" w:cs="Calibri"/>
          <w:noProof/>
          <w:szCs w:val="24"/>
        </w:rPr>
        <w:tab/>
        <w:t xml:space="preserve">Feldman AL, Griffin SJ, Ahern AL, Long GH, Weinehall L, Fhärm E, et al. Impact of weight maintenance and loss on diabetes risk and burden: a population-based study in 33,184 participants. BMC Public Health. 2017;17(1). </w:t>
      </w:r>
    </w:p>
    <w:p w14:paraId="7001456E"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6. </w:t>
      </w:r>
      <w:r w:rsidRPr="00FE716A">
        <w:rPr>
          <w:rFonts w:ascii="Calibri" w:hAnsi="Calibri" w:cs="Calibri"/>
          <w:noProof/>
          <w:szCs w:val="24"/>
        </w:rPr>
        <w:tab/>
        <w:t>Nuzhat A, Spong R, Carter P, Davies M, Dunkley A, Gillies C, et al. A systematic review and meta- analysis assessing the effectiveness of pragmatic lifestyle interventions for the prevention of type 2 diabetes mellitus in routine practice About Public Health England [Internet]. England, Public Health. 2015. Available from: https://www.gov.uk/government/uploads/system/uploads/attachment_data/file/456147/PHE_Evidence_Review_of_diabetes_prevention_programmes-_FINAL.pdf</w:t>
      </w:r>
    </w:p>
    <w:p w14:paraId="7BD1782E"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7. </w:t>
      </w:r>
      <w:r w:rsidRPr="00FE716A">
        <w:rPr>
          <w:rFonts w:ascii="Calibri" w:hAnsi="Calibri" w:cs="Calibri"/>
          <w:noProof/>
          <w:szCs w:val="24"/>
        </w:rPr>
        <w:tab/>
        <w:t xml:space="preserve">Knowler WC, Barrett-Connor E, Fowler SE, Hamman RF, Lachin JM, Walker EA, et al. Reduction in the incidence of type 2 diabetes with lifestyle intervention or metformin. N Engl J Med. 2002;346:393–403. </w:t>
      </w:r>
    </w:p>
    <w:p w14:paraId="2DFC7A38"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8. </w:t>
      </w:r>
      <w:r w:rsidRPr="00FE716A">
        <w:rPr>
          <w:rFonts w:ascii="Calibri" w:hAnsi="Calibri" w:cs="Calibri"/>
          <w:noProof/>
          <w:szCs w:val="24"/>
        </w:rPr>
        <w:tab/>
        <w:t xml:space="preserve">Thomas C, Sadler S, Breeze P, Squires H, Gillett M, Brennan A. Assessing the potential return on investment of the proposed UK NHS diabetes prevention programme in different population subgroups: An economic evaluation. BMJ Open. 2017; </w:t>
      </w:r>
    </w:p>
    <w:p w14:paraId="49E97369"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9. </w:t>
      </w:r>
      <w:r w:rsidRPr="00FE716A">
        <w:rPr>
          <w:rFonts w:ascii="Calibri" w:hAnsi="Calibri" w:cs="Calibri"/>
          <w:noProof/>
          <w:szCs w:val="24"/>
        </w:rPr>
        <w:tab/>
        <w:t xml:space="preserve">Ahern AL, Wheeler GM, Aveyard P, Boyland EJ, Halford JCG, Mander AP, et al. Extended and standard duration weight-loss programme referrals for adults in primary care (WRAP): a randomised controlled trial. Lancet. 2017;389(10085):2214–25. </w:t>
      </w:r>
    </w:p>
    <w:p w14:paraId="1BFD5E69"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10. </w:t>
      </w:r>
      <w:r w:rsidRPr="00FE716A">
        <w:rPr>
          <w:rFonts w:ascii="Calibri" w:hAnsi="Calibri" w:cs="Calibri"/>
          <w:noProof/>
          <w:szCs w:val="24"/>
        </w:rPr>
        <w:tab/>
        <w:t>Jebb SA, Ahern AL, Olson AD, Aston LM, Holzapfel C, Stoll J, et al. Primary care referral to a commercial provider for weight loss treatment versus standard care: a randomised controlled trial. Lancet [Internet]. 2011;378(9801):1485–92. Available from: http://www.ncbi.nlm.nih.gov/pubmed/21906798</w:t>
      </w:r>
    </w:p>
    <w:p w14:paraId="621B9EC3"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11. </w:t>
      </w:r>
      <w:r w:rsidRPr="00FE716A">
        <w:rPr>
          <w:rFonts w:ascii="Calibri" w:hAnsi="Calibri" w:cs="Calibri"/>
          <w:noProof/>
          <w:szCs w:val="24"/>
        </w:rPr>
        <w:tab/>
        <w:t>Aveyard P, Lewis A, Tearne S, Hood K, Christian-Brown A, Adab P, et al. Screening and brief intervention for obesity in primary care: a parallel, two-arm, randomised trial. Lancet [Internet]. 2016;6736(16):1–9. Available from: http://linkinghub.elsevier.com/retrieve/pii/S0140673616318931</w:t>
      </w:r>
    </w:p>
    <w:p w14:paraId="58A676A8"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12. </w:t>
      </w:r>
      <w:r w:rsidRPr="00FE716A">
        <w:rPr>
          <w:rFonts w:ascii="Calibri" w:hAnsi="Calibri" w:cs="Calibri"/>
          <w:noProof/>
          <w:szCs w:val="24"/>
        </w:rPr>
        <w:tab/>
        <w:t xml:space="preserve">Marrero DG, Palmer KNB, Phillips EO, Miller-Kovach K, Foster GD, Saha CK. Comparison of commercial and self-initiated weight loss programs in people with prediabetes: A randomized control trial. Am J Public Health. 2016; </w:t>
      </w:r>
    </w:p>
    <w:p w14:paraId="0522E061"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13. </w:t>
      </w:r>
      <w:r w:rsidRPr="00FE716A">
        <w:rPr>
          <w:rFonts w:ascii="Calibri" w:hAnsi="Calibri" w:cs="Calibri"/>
          <w:noProof/>
          <w:szCs w:val="24"/>
        </w:rPr>
        <w:tab/>
        <w:t xml:space="preserve">Piper C, Marossy A, Griffiths Z, Adegboye A. Evaluation of a type 2 diabetes prevention program using a commercial weight management provider for nondiabetic hyperglycemic patients referred by primary care in the UK. BMJ Open Diabetes Res Care. 2017; </w:t>
      </w:r>
    </w:p>
    <w:p w14:paraId="26069872"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14. </w:t>
      </w:r>
      <w:r w:rsidRPr="00FE716A">
        <w:rPr>
          <w:rFonts w:ascii="Calibri" w:hAnsi="Calibri" w:cs="Calibri"/>
          <w:noProof/>
          <w:szCs w:val="24"/>
        </w:rPr>
        <w:tab/>
        <w:t>Ahern AL, Aveyard PN, Halford JC, Mander A, Cresswell L, Cohn SR, et al. Weight loss referrals for adults in primary care (WRAP): protocol for a multi-centre randomised controlled trial comparing the clinical and cost-effectiveness of primary care referral to a commercial weight loss provider for 12 weeks, referral for 52 week. BMC Public Health [Internet]. 2014 Jan [cited 2015 Jan 20];14(1):620. Available from: http://www.biomedcentral.com/1471-2458/14/620</w:t>
      </w:r>
    </w:p>
    <w:p w14:paraId="66131186"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15. </w:t>
      </w:r>
      <w:r w:rsidRPr="00FE716A">
        <w:rPr>
          <w:rFonts w:ascii="Calibri" w:hAnsi="Calibri" w:cs="Calibri"/>
          <w:noProof/>
          <w:szCs w:val="24"/>
        </w:rPr>
        <w:tab/>
        <w:t xml:space="preserve">Of D, Mellitus D. Diagnosis and classification of diabetes mellitus. Diabetes Care. 2014; </w:t>
      </w:r>
    </w:p>
    <w:p w14:paraId="04941FCB"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16. </w:t>
      </w:r>
      <w:r w:rsidRPr="00FE716A">
        <w:rPr>
          <w:rFonts w:ascii="Calibri" w:hAnsi="Calibri" w:cs="Calibri"/>
          <w:noProof/>
          <w:szCs w:val="24"/>
        </w:rPr>
        <w:tab/>
        <w:t xml:space="preserve">World Health Organisation (WHO), International Diabetes Federation (IDF). Definition and Diagnosis of Diabetes Mellitus and Intermediate Hyperglycemia. World Heal Organ. 2006; </w:t>
      </w:r>
    </w:p>
    <w:p w14:paraId="4194679E"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17. </w:t>
      </w:r>
      <w:r w:rsidRPr="00FE716A">
        <w:rPr>
          <w:rFonts w:ascii="Calibri" w:hAnsi="Calibri" w:cs="Calibri"/>
          <w:noProof/>
          <w:szCs w:val="24"/>
        </w:rPr>
        <w:tab/>
        <w:t xml:space="preserve">Rubin DB. Multiple Imputation for Nonresponse in Surveys. New York: John Wiley and Sons; 2004. </w:t>
      </w:r>
    </w:p>
    <w:p w14:paraId="7557ED11"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18. </w:t>
      </w:r>
      <w:r w:rsidRPr="00FE716A">
        <w:rPr>
          <w:rFonts w:ascii="Calibri" w:hAnsi="Calibri" w:cs="Calibri"/>
          <w:noProof/>
          <w:szCs w:val="24"/>
        </w:rPr>
        <w:tab/>
        <w:t xml:space="preserve">StataCorp. Stata Statistical Software: Release 14. College Station, TX: StataCorp LP. 2015. 2015. </w:t>
      </w:r>
    </w:p>
    <w:p w14:paraId="492E88C1"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19. </w:t>
      </w:r>
      <w:r w:rsidRPr="00FE716A">
        <w:rPr>
          <w:rFonts w:ascii="Calibri" w:hAnsi="Calibri" w:cs="Calibri"/>
          <w:noProof/>
          <w:szCs w:val="24"/>
        </w:rPr>
        <w:tab/>
        <w:t xml:space="preserve">Ahern AL, Aveyard P, Boyland EJ, Halford JCG, Jebb SA. Inequalities in the uptake of weight management interventions in a pragmatic trial: An observational study in primary care. Br J Gen Pract. 2016;66(645). </w:t>
      </w:r>
    </w:p>
    <w:p w14:paraId="19413D64"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20. </w:t>
      </w:r>
      <w:r w:rsidRPr="00FE716A">
        <w:rPr>
          <w:rFonts w:ascii="Calibri" w:hAnsi="Calibri" w:cs="Calibri"/>
          <w:noProof/>
          <w:szCs w:val="24"/>
        </w:rPr>
        <w:tab/>
        <w:t>Lindstrom J, Louheranta  a., Mannelin M, Rastas M, Salminen V, Eriksson J, et al. The Finnish Diabetes Prevention Study (DPS). Diabetes Care [Internet]. 2003;26(12):3230–6. Available from: http://care.diabetesjournals.org/content/26/12/3230.short</w:t>
      </w:r>
    </w:p>
    <w:p w14:paraId="76DCE0AB"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21. </w:t>
      </w:r>
      <w:r w:rsidRPr="00FE716A">
        <w:rPr>
          <w:rFonts w:ascii="Calibri" w:hAnsi="Calibri" w:cs="Calibri"/>
          <w:noProof/>
          <w:szCs w:val="24"/>
        </w:rPr>
        <w:tab/>
        <w:t xml:space="preserve">Chamnan P, Simmons RK, Forouhi NG, Luben RN, Khaw KT, Wareham NJ, et al. Incidence of type 2 diabetes using proposed HbA1c diagnostic criteria in the european prospective investigation of cancer-norfolk cohort: Implications for preventive strategies. Diabetes Care. 2011; </w:t>
      </w:r>
    </w:p>
    <w:p w14:paraId="12A3FAEF"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22. </w:t>
      </w:r>
      <w:r w:rsidRPr="00FE716A">
        <w:rPr>
          <w:rFonts w:ascii="Calibri" w:hAnsi="Calibri" w:cs="Calibri"/>
          <w:noProof/>
          <w:szCs w:val="24"/>
        </w:rPr>
        <w:tab/>
        <w:t xml:space="preserve">Simmons RK, Sharp S, Boekholdt SM, Sargeant LA, Khaw KT, Wareham NJ, et al. Evaluation of the Framingham risk score in the European prospective investigation of cancer-Norfolk cohort: Does adding glycated hemoglobin improve the prediction of coronary heart disease events? Arch Intern Med. 2008; </w:t>
      </w:r>
    </w:p>
    <w:p w14:paraId="37DE4B36"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23. </w:t>
      </w:r>
      <w:r w:rsidRPr="00FE716A">
        <w:rPr>
          <w:rFonts w:ascii="Calibri" w:hAnsi="Calibri" w:cs="Calibri"/>
          <w:noProof/>
          <w:szCs w:val="24"/>
        </w:rPr>
        <w:tab/>
        <w:t xml:space="preserve">Rose G. Sick individuals and sick populations. Int J Epidemiol. 2001;30(3):427–32. </w:t>
      </w:r>
    </w:p>
    <w:p w14:paraId="65F82CC8"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24. </w:t>
      </w:r>
      <w:r w:rsidRPr="00FE716A">
        <w:rPr>
          <w:rFonts w:ascii="Calibri" w:hAnsi="Calibri" w:cs="Calibri"/>
          <w:noProof/>
          <w:szCs w:val="24"/>
        </w:rPr>
        <w:tab/>
        <w:t xml:space="preserve">Lean MEJ, Leslie WS, Barnes AC, Brosnahan N, Thom G, McCombie L, et al. Primary care-led weight management for remission of type 2 diabetes (DiRECT): An open-label, cluster-randomised trial. The Lancet. 2017; </w:t>
      </w:r>
    </w:p>
    <w:p w14:paraId="7CDAF082"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szCs w:val="24"/>
        </w:rPr>
      </w:pPr>
      <w:r w:rsidRPr="00FE716A">
        <w:rPr>
          <w:rFonts w:ascii="Calibri" w:hAnsi="Calibri" w:cs="Calibri"/>
          <w:noProof/>
          <w:szCs w:val="24"/>
        </w:rPr>
        <w:t xml:space="preserve">25. </w:t>
      </w:r>
      <w:r w:rsidRPr="00FE716A">
        <w:rPr>
          <w:rFonts w:ascii="Calibri" w:hAnsi="Calibri" w:cs="Calibri"/>
          <w:noProof/>
          <w:szCs w:val="24"/>
        </w:rPr>
        <w:tab/>
        <w:t xml:space="preserve">Astbury NM, Aveyard P, Nickless A, Hood K, Corfield K, Lowe R, et al. Doctor Referral of Overweight People to Low Energy total diet replacement Treatment (DROPLET): Pragmatic randomised controlled trial. BMJ. 2018; </w:t>
      </w:r>
    </w:p>
    <w:p w14:paraId="7649B517" w14:textId="77777777" w:rsidR="00FE716A" w:rsidRPr="00FE716A" w:rsidRDefault="00FE716A" w:rsidP="00FE716A">
      <w:pPr>
        <w:widowControl w:val="0"/>
        <w:autoSpaceDE w:val="0"/>
        <w:autoSpaceDN w:val="0"/>
        <w:adjustRightInd w:val="0"/>
        <w:spacing w:after="140" w:line="240" w:lineRule="auto"/>
        <w:ind w:left="640" w:hanging="640"/>
        <w:rPr>
          <w:rFonts w:ascii="Calibri" w:hAnsi="Calibri" w:cs="Calibri"/>
          <w:noProof/>
        </w:rPr>
      </w:pPr>
      <w:r w:rsidRPr="00FE716A">
        <w:rPr>
          <w:rFonts w:ascii="Calibri" w:hAnsi="Calibri" w:cs="Calibri"/>
          <w:noProof/>
          <w:szCs w:val="24"/>
        </w:rPr>
        <w:t xml:space="preserve">26. </w:t>
      </w:r>
      <w:r w:rsidRPr="00FE716A">
        <w:rPr>
          <w:rFonts w:ascii="Calibri" w:hAnsi="Calibri" w:cs="Calibri"/>
          <w:noProof/>
          <w:szCs w:val="24"/>
        </w:rPr>
        <w:tab/>
        <w:t xml:space="preserve">Vidal J. Updated review on the benefits of weight loss. Int J Obes Relat Metab Disord. 2002;26 Suppl 4:S25–8. </w:t>
      </w:r>
    </w:p>
    <w:p w14:paraId="026155A4" w14:textId="447D3672" w:rsidR="007D2332" w:rsidRDefault="006544AB" w:rsidP="00EA05EE">
      <w:pPr>
        <w:widowControl w:val="0"/>
        <w:autoSpaceDE w:val="0"/>
        <w:autoSpaceDN w:val="0"/>
        <w:adjustRightInd w:val="0"/>
        <w:spacing w:after="140" w:line="240" w:lineRule="auto"/>
        <w:ind w:left="640" w:hanging="640"/>
      </w:pPr>
      <w:r>
        <w:fldChar w:fldCharType="end"/>
      </w:r>
    </w:p>
    <w:p w14:paraId="6204484B" w14:textId="77777777" w:rsidR="00E30863" w:rsidRDefault="00E30863">
      <w:pPr>
        <w:sectPr w:rsidR="00E30863" w:rsidSect="003F06FE">
          <w:footerReference w:type="default" r:id="rId7"/>
          <w:pgSz w:w="11906" w:h="16838"/>
          <w:pgMar w:top="1440" w:right="1440" w:bottom="1440" w:left="1440" w:header="708" w:footer="708" w:gutter="0"/>
          <w:cols w:space="708"/>
          <w:docGrid w:linePitch="360"/>
        </w:sectPr>
      </w:pPr>
    </w:p>
    <w:p w14:paraId="63E891C5" w14:textId="77777777" w:rsidR="00E30863" w:rsidRPr="00683A5D" w:rsidRDefault="00E30863" w:rsidP="00E30863">
      <w:pPr>
        <w:rPr>
          <w:rFonts w:cs="Arial"/>
          <w:b/>
          <w:sz w:val="20"/>
          <w:szCs w:val="20"/>
        </w:rPr>
      </w:pPr>
    </w:p>
    <w:p w14:paraId="6C2D2D39" w14:textId="77777777" w:rsidR="00E30863" w:rsidRPr="00683A5D" w:rsidRDefault="00E30863" w:rsidP="00E30863">
      <w:pPr>
        <w:ind w:left="-851"/>
        <w:rPr>
          <w:rFonts w:ascii="Arial" w:hAnsi="Arial" w:cs="Arial"/>
          <w:b/>
          <w:sz w:val="20"/>
          <w:szCs w:val="20"/>
        </w:rPr>
      </w:pPr>
      <w:r w:rsidRPr="00683A5D">
        <w:rPr>
          <w:rFonts w:ascii="Arial" w:hAnsi="Arial" w:cs="Arial"/>
          <w:b/>
          <w:sz w:val="20"/>
          <w:szCs w:val="20"/>
        </w:rPr>
        <w:t>Table 1. Baseline characteristics of participants.</w:t>
      </w:r>
    </w:p>
    <w:tbl>
      <w:tblPr>
        <w:tblStyle w:val="TableGrid"/>
        <w:tblW w:w="1616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2052"/>
        <w:gridCol w:w="2228"/>
        <w:gridCol w:w="2331"/>
        <w:gridCol w:w="2039"/>
        <w:gridCol w:w="2262"/>
        <w:gridCol w:w="2119"/>
      </w:tblGrid>
      <w:tr w:rsidR="00E30863" w:rsidRPr="00683A5D" w14:paraId="4DD90A0C" w14:textId="77777777" w:rsidTr="004C27A5">
        <w:tc>
          <w:tcPr>
            <w:tcW w:w="3129" w:type="dxa"/>
            <w:tcBorders>
              <w:top w:val="single" w:sz="4" w:space="0" w:color="auto"/>
              <w:bottom w:val="single" w:sz="4" w:space="0" w:color="auto"/>
            </w:tcBorders>
          </w:tcPr>
          <w:p w14:paraId="1C2CCAD0" w14:textId="77777777" w:rsidR="00E30863" w:rsidRPr="00683A5D" w:rsidRDefault="00E30863" w:rsidP="004C27A5">
            <w:pPr>
              <w:rPr>
                <w:rFonts w:ascii="Arial" w:hAnsi="Arial" w:cs="Arial"/>
                <w:sz w:val="19"/>
                <w:szCs w:val="19"/>
              </w:rPr>
            </w:pPr>
          </w:p>
        </w:tc>
        <w:tc>
          <w:tcPr>
            <w:tcW w:w="6611" w:type="dxa"/>
            <w:gridSpan w:val="3"/>
            <w:tcBorders>
              <w:top w:val="single" w:sz="4" w:space="0" w:color="auto"/>
              <w:bottom w:val="single" w:sz="4" w:space="0" w:color="auto"/>
            </w:tcBorders>
          </w:tcPr>
          <w:p w14:paraId="7D6D3EA3" w14:textId="77777777" w:rsidR="00E30863" w:rsidRPr="00683A5D" w:rsidRDefault="00E30863" w:rsidP="004C27A5">
            <w:pPr>
              <w:jc w:val="center"/>
              <w:rPr>
                <w:rFonts w:ascii="Arial" w:hAnsi="Arial" w:cs="Arial"/>
                <w:b/>
                <w:sz w:val="19"/>
                <w:szCs w:val="19"/>
              </w:rPr>
            </w:pPr>
            <w:r w:rsidRPr="00683A5D">
              <w:rPr>
                <w:rFonts w:ascii="Arial" w:hAnsi="Arial" w:cs="Arial"/>
                <w:b/>
                <w:sz w:val="19"/>
                <w:szCs w:val="19"/>
              </w:rPr>
              <w:t xml:space="preserve">Participants with assessment of glycaemic status </w:t>
            </w:r>
          </w:p>
          <w:p w14:paraId="6308F271" w14:textId="77777777" w:rsidR="00E30863" w:rsidRPr="00683A5D" w:rsidRDefault="00E30863" w:rsidP="004C27A5">
            <w:pPr>
              <w:jc w:val="center"/>
              <w:rPr>
                <w:rFonts w:ascii="Arial" w:hAnsi="Arial" w:cs="Arial"/>
                <w:sz w:val="19"/>
                <w:szCs w:val="19"/>
              </w:rPr>
            </w:pPr>
            <w:r w:rsidRPr="00683A5D">
              <w:rPr>
                <w:rFonts w:ascii="Arial" w:hAnsi="Arial" w:cs="Arial"/>
                <w:b/>
                <w:sz w:val="19"/>
                <w:szCs w:val="19"/>
              </w:rPr>
              <w:t>at baseline and 12 months</w:t>
            </w:r>
          </w:p>
        </w:tc>
        <w:tc>
          <w:tcPr>
            <w:tcW w:w="6420" w:type="dxa"/>
            <w:gridSpan w:val="3"/>
            <w:tcBorders>
              <w:top w:val="single" w:sz="4" w:space="0" w:color="auto"/>
              <w:bottom w:val="single" w:sz="4" w:space="0" w:color="auto"/>
            </w:tcBorders>
          </w:tcPr>
          <w:p w14:paraId="6949C35F" w14:textId="77777777" w:rsidR="00E30863" w:rsidRPr="00683A5D" w:rsidRDefault="00E30863" w:rsidP="004C27A5">
            <w:pPr>
              <w:jc w:val="center"/>
              <w:rPr>
                <w:rFonts w:ascii="Arial" w:hAnsi="Arial" w:cs="Arial"/>
                <w:b/>
                <w:sz w:val="19"/>
                <w:szCs w:val="19"/>
              </w:rPr>
            </w:pPr>
            <w:r w:rsidRPr="00683A5D">
              <w:rPr>
                <w:rFonts w:ascii="Arial" w:hAnsi="Arial" w:cs="Arial"/>
                <w:b/>
                <w:sz w:val="19"/>
                <w:szCs w:val="19"/>
              </w:rPr>
              <w:t>Participants with non-diabetic hyperglycaemia at baseline</w:t>
            </w:r>
          </w:p>
        </w:tc>
      </w:tr>
      <w:tr w:rsidR="00E30863" w:rsidRPr="00683A5D" w14:paraId="69BD44CB" w14:textId="77777777" w:rsidTr="004C27A5">
        <w:tc>
          <w:tcPr>
            <w:tcW w:w="3129" w:type="dxa"/>
            <w:tcBorders>
              <w:top w:val="single" w:sz="4" w:space="0" w:color="auto"/>
              <w:bottom w:val="single" w:sz="4" w:space="0" w:color="auto"/>
            </w:tcBorders>
          </w:tcPr>
          <w:p w14:paraId="1A6355D7" w14:textId="77777777" w:rsidR="00E30863" w:rsidRPr="00683A5D" w:rsidRDefault="00E30863" w:rsidP="004C27A5">
            <w:pPr>
              <w:rPr>
                <w:rFonts w:ascii="Arial" w:hAnsi="Arial" w:cs="Arial"/>
                <w:b/>
                <w:sz w:val="19"/>
                <w:szCs w:val="19"/>
              </w:rPr>
            </w:pPr>
          </w:p>
        </w:tc>
        <w:tc>
          <w:tcPr>
            <w:tcW w:w="2052" w:type="dxa"/>
            <w:tcBorders>
              <w:top w:val="single" w:sz="4" w:space="0" w:color="auto"/>
              <w:bottom w:val="single" w:sz="4" w:space="0" w:color="auto"/>
            </w:tcBorders>
          </w:tcPr>
          <w:p w14:paraId="6FE0C6A9" w14:textId="77777777" w:rsidR="00E30863" w:rsidRPr="00683A5D" w:rsidRDefault="00E30863" w:rsidP="004C27A5">
            <w:pPr>
              <w:jc w:val="center"/>
              <w:rPr>
                <w:rFonts w:ascii="Arial" w:hAnsi="Arial" w:cs="Arial"/>
                <w:b/>
                <w:sz w:val="19"/>
                <w:szCs w:val="19"/>
              </w:rPr>
            </w:pPr>
            <w:r w:rsidRPr="00683A5D">
              <w:rPr>
                <w:rFonts w:ascii="Arial" w:hAnsi="Arial" w:cs="Arial"/>
                <w:b/>
                <w:sz w:val="19"/>
                <w:szCs w:val="19"/>
              </w:rPr>
              <w:t>Brief Intervention</w:t>
            </w:r>
            <w:r w:rsidRPr="00683A5D">
              <w:rPr>
                <w:rFonts w:ascii="Arial" w:hAnsi="Arial" w:cs="Arial"/>
                <w:b/>
                <w:sz w:val="19"/>
                <w:szCs w:val="19"/>
              </w:rPr>
              <w:br/>
              <w:t>(N=70)</w:t>
            </w:r>
          </w:p>
        </w:tc>
        <w:tc>
          <w:tcPr>
            <w:tcW w:w="2228" w:type="dxa"/>
            <w:tcBorders>
              <w:top w:val="single" w:sz="4" w:space="0" w:color="auto"/>
              <w:bottom w:val="single" w:sz="4" w:space="0" w:color="auto"/>
            </w:tcBorders>
          </w:tcPr>
          <w:p w14:paraId="1D322C05" w14:textId="77777777" w:rsidR="00E30863" w:rsidRPr="00683A5D" w:rsidRDefault="00E30863" w:rsidP="004C27A5">
            <w:pPr>
              <w:jc w:val="center"/>
              <w:rPr>
                <w:rFonts w:ascii="Arial" w:hAnsi="Arial" w:cs="Arial"/>
                <w:b/>
                <w:sz w:val="19"/>
                <w:szCs w:val="19"/>
              </w:rPr>
            </w:pPr>
            <w:r w:rsidRPr="00683A5D">
              <w:rPr>
                <w:rFonts w:ascii="Arial" w:hAnsi="Arial" w:cs="Arial"/>
                <w:b/>
                <w:sz w:val="19"/>
                <w:szCs w:val="19"/>
              </w:rPr>
              <w:t>12-week programme</w:t>
            </w:r>
            <w:r w:rsidRPr="00683A5D">
              <w:rPr>
                <w:rFonts w:ascii="Arial" w:hAnsi="Arial" w:cs="Arial"/>
                <w:b/>
                <w:sz w:val="19"/>
                <w:szCs w:val="19"/>
              </w:rPr>
              <w:br/>
              <w:t>(N=210)</w:t>
            </w:r>
          </w:p>
        </w:tc>
        <w:tc>
          <w:tcPr>
            <w:tcW w:w="2331" w:type="dxa"/>
            <w:tcBorders>
              <w:top w:val="single" w:sz="4" w:space="0" w:color="auto"/>
              <w:bottom w:val="single" w:sz="4" w:space="0" w:color="auto"/>
            </w:tcBorders>
          </w:tcPr>
          <w:p w14:paraId="28CF8194" w14:textId="77777777" w:rsidR="00E30863" w:rsidRPr="00683A5D" w:rsidRDefault="00E30863" w:rsidP="004C27A5">
            <w:pPr>
              <w:jc w:val="center"/>
              <w:rPr>
                <w:rFonts w:ascii="Arial" w:hAnsi="Arial" w:cs="Arial"/>
                <w:b/>
                <w:sz w:val="19"/>
                <w:szCs w:val="19"/>
              </w:rPr>
            </w:pPr>
            <w:r w:rsidRPr="00683A5D">
              <w:rPr>
                <w:rFonts w:ascii="Arial" w:hAnsi="Arial" w:cs="Arial"/>
                <w:b/>
                <w:sz w:val="19"/>
                <w:szCs w:val="19"/>
              </w:rPr>
              <w:t>52-week programme</w:t>
            </w:r>
            <w:r w:rsidRPr="00683A5D">
              <w:rPr>
                <w:rFonts w:ascii="Arial" w:hAnsi="Arial" w:cs="Arial"/>
                <w:b/>
                <w:sz w:val="19"/>
                <w:szCs w:val="19"/>
              </w:rPr>
              <w:br/>
              <w:t>(N=200)</w:t>
            </w:r>
          </w:p>
        </w:tc>
        <w:tc>
          <w:tcPr>
            <w:tcW w:w="2039" w:type="dxa"/>
            <w:tcBorders>
              <w:top w:val="single" w:sz="4" w:space="0" w:color="auto"/>
              <w:bottom w:val="single" w:sz="4" w:space="0" w:color="auto"/>
            </w:tcBorders>
          </w:tcPr>
          <w:p w14:paraId="3BAAC25D" w14:textId="77777777" w:rsidR="00E30863" w:rsidRPr="00683A5D" w:rsidRDefault="00E30863" w:rsidP="004C27A5">
            <w:pPr>
              <w:jc w:val="center"/>
              <w:rPr>
                <w:rFonts w:ascii="Arial" w:hAnsi="Arial" w:cs="Arial"/>
                <w:b/>
                <w:sz w:val="19"/>
                <w:szCs w:val="19"/>
              </w:rPr>
            </w:pPr>
            <w:r w:rsidRPr="00683A5D">
              <w:rPr>
                <w:rFonts w:ascii="Arial" w:hAnsi="Arial" w:cs="Arial"/>
                <w:b/>
                <w:sz w:val="19"/>
                <w:szCs w:val="19"/>
              </w:rPr>
              <w:t xml:space="preserve"> Brief Intervention</w:t>
            </w:r>
          </w:p>
          <w:p w14:paraId="20EF3B16" w14:textId="77777777" w:rsidR="00E30863" w:rsidRPr="00683A5D" w:rsidRDefault="00E30863" w:rsidP="004C27A5">
            <w:pPr>
              <w:jc w:val="center"/>
              <w:rPr>
                <w:rFonts w:ascii="Arial" w:hAnsi="Arial" w:cs="Arial"/>
                <w:b/>
                <w:sz w:val="19"/>
                <w:szCs w:val="19"/>
              </w:rPr>
            </w:pPr>
            <w:r w:rsidRPr="00683A5D">
              <w:rPr>
                <w:rFonts w:ascii="Arial" w:hAnsi="Arial" w:cs="Arial"/>
                <w:b/>
                <w:sz w:val="19"/>
                <w:szCs w:val="19"/>
              </w:rPr>
              <w:t>(N=66)</w:t>
            </w:r>
          </w:p>
        </w:tc>
        <w:tc>
          <w:tcPr>
            <w:tcW w:w="2262" w:type="dxa"/>
            <w:tcBorders>
              <w:top w:val="single" w:sz="4" w:space="0" w:color="auto"/>
              <w:bottom w:val="single" w:sz="4" w:space="0" w:color="auto"/>
            </w:tcBorders>
          </w:tcPr>
          <w:p w14:paraId="14BA718B" w14:textId="77777777" w:rsidR="00E30863" w:rsidRPr="00683A5D" w:rsidRDefault="00E30863" w:rsidP="004C27A5">
            <w:pPr>
              <w:jc w:val="center"/>
              <w:rPr>
                <w:rFonts w:ascii="Arial" w:hAnsi="Arial" w:cs="Arial"/>
                <w:b/>
                <w:sz w:val="19"/>
                <w:szCs w:val="19"/>
              </w:rPr>
            </w:pPr>
            <w:r w:rsidRPr="00683A5D">
              <w:rPr>
                <w:rFonts w:ascii="Arial" w:hAnsi="Arial" w:cs="Arial"/>
                <w:b/>
                <w:sz w:val="19"/>
                <w:szCs w:val="19"/>
              </w:rPr>
              <w:t>12-week programme</w:t>
            </w:r>
          </w:p>
          <w:p w14:paraId="4FA29DF6" w14:textId="77777777" w:rsidR="00E30863" w:rsidRPr="00683A5D" w:rsidRDefault="00E30863" w:rsidP="004C27A5">
            <w:pPr>
              <w:jc w:val="center"/>
              <w:rPr>
                <w:rFonts w:ascii="Arial" w:hAnsi="Arial" w:cs="Arial"/>
                <w:b/>
                <w:sz w:val="19"/>
                <w:szCs w:val="19"/>
              </w:rPr>
            </w:pPr>
            <w:r w:rsidRPr="00683A5D">
              <w:rPr>
                <w:rFonts w:ascii="Arial" w:hAnsi="Arial" w:cs="Arial"/>
                <w:b/>
                <w:sz w:val="19"/>
                <w:szCs w:val="19"/>
              </w:rPr>
              <w:t>(N=173)</w:t>
            </w:r>
          </w:p>
        </w:tc>
        <w:tc>
          <w:tcPr>
            <w:tcW w:w="2119" w:type="dxa"/>
            <w:tcBorders>
              <w:top w:val="single" w:sz="4" w:space="0" w:color="auto"/>
              <w:bottom w:val="single" w:sz="4" w:space="0" w:color="auto"/>
            </w:tcBorders>
          </w:tcPr>
          <w:p w14:paraId="2C92D69C" w14:textId="77777777" w:rsidR="00E30863" w:rsidRPr="00683A5D" w:rsidRDefault="00E30863" w:rsidP="004C27A5">
            <w:pPr>
              <w:jc w:val="center"/>
              <w:rPr>
                <w:rFonts w:ascii="Arial" w:hAnsi="Arial" w:cs="Arial"/>
                <w:b/>
                <w:sz w:val="19"/>
                <w:szCs w:val="19"/>
              </w:rPr>
            </w:pPr>
            <w:r w:rsidRPr="00683A5D">
              <w:rPr>
                <w:rFonts w:ascii="Arial" w:hAnsi="Arial" w:cs="Arial"/>
                <w:b/>
                <w:sz w:val="19"/>
                <w:szCs w:val="19"/>
              </w:rPr>
              <w:t>52-week programme</w:t>
            </w:r>
          </w:p>
          <w:p w14:paraId="183FFC43" w14:textId="77777777" w:rsidR="00E30863" w:rsidRPr="00683A5D" w:rsidRDefault="00E30863" w:rsidP="004C27A5">
            <w:pPr>
              <w:jc w:val="center"/>
              <w:rPr>
                <w:rFonts w:ascii="Arial" w:hAnsi="Arial" w:cs="Arial"/>
                <w:b/>
                <w:sz w:val="19"/>
                <w:szCs w:val="19"/>
              </w:rPr>
            </w:pPr>
            <w:r w:rsidRPr="00683A5D">
              <w:rPr>
                <w:rFonts w:ascii="Arial" w:hAnsi="Arial" w:cs="Arial"/>
                <w:b/>
                <w:sz w:val="19"/>
                <w:szCs w:val="19"/>
              </w:rPr>
              <w:t>(N=148)</w:t>
            </w:r>
          </w:p>
        </w:tc>
      </w:tr>
      <w:tr w:rsidR="00E30863" w:rsidRPr="00683A5D" w14:paraId="3CB7647D" w14:textId="77777777" w:rsidTr="004C27A5">
        <w:tc>
          <w:tcPr>
            <w:tcW w:w="3129" w:type="dxa"/>
            <w:tcBorders>
              <w:top w:val="single" w:sz="4" w:space="0" w:color="auto"/>
            </w:tcBorders>
          </w:tcPr>
          <w:p w14:paraId="1D051144" w14:textId="77777777" w:rsidR="00E30863" w:rsidRPr="00683A5D" w:rsidRDefault="00E30863" w:rsidP="004C27A5">
            <w:pPr>
              <w:rPr>
                <w:rFonts w:ascii="Arial" w:hAnsi="Arial" w:cs="Arial"/>
                <w:sz w:val="19"/>
                <w:szCs w:val="19"/>
              </w:rPr>
            </w:pPr>
          </w:p>
        </w:tc>
        <w:tc>
          <w:tcPr>
            <w:tcW w:w="2052" w:type="dxa"/>
            <w:tcBorders>
              <w:top w:val="single" w:sz="4" w:space="0" w:color="auto"/>
            </w:tcBorders>
          </w:tcPr>
          <w:p w14:paraId="6674184C"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Mean (SD)</w:t>
            </w:r>
          </w:p>
        </w:tc>
        <w:tc>
          <w:tcPr>
            <w:tcW w:w="2228" w:type="dxa"/>
            <w:tcBorders>
              <w:top w:val="single" w:sz="4" w:space="0" w:color="auto"/>
            </w:tcBorders>
          </w:tcPr>
          <w:p w14:paraId="0ED4F71A" w14:textId="77777777" w:rsidR="00E30863" w:rsidRPr="00683A5D" w:rsidRDefault="00E30863" w:rsidP="004C27A5">
            <w:pPr>
              <w:jc w:val="center"/>
              <w:rPr>
                <w:rFonts w:ascii="Arial" w:hAnsi="Arial" w:cs="Arial"/>
                <w:b/>
                <w:sz w:val="19"/>
                <w:szCs w:val="19"/>
              </w:rPr>
            </w:pPr>
            <w:r w:rsidRPr="00683A5D">
              <w:rPr>
                <w:rFonts w:ascii="Arial" w:hAnsi="Arial" w:cs="Arial"/>
                <w:sz w:val="19"/>
                <w:szCs w:val="19"/>
              </w:rPr>
              <w:t>Mean (SD)</w:t>
            </w:r>
          </w:p>
        </w:tc>
        <w:tc>
          <w:tcPr>
            <w:tcW w:w="2331" w:type="dxa"/>
            <w:tcBorders>
              <w:top w:val="single" w:sz="4" w:space="0" w:color="auto"/>
            </w:tcBorders>
          </w:tcPr>
          <w:p w14:paraId="1B184B9B"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Mean (SD)</w:t>
            </w:r>
          </w:p>
        </w:tc>
        <w:tc>
          <w:tcPr>
            <w:tcW w:w="2039" w:type="dxa"/>
            <w:tcBorders>
              <w:top w:val="single" w:sz="4" w:space="0" w:color="auto"/>
            </w:tcBorders>
          </w:tcPr>
          <w:p w14:paraId="0E1944C4"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Mean (SD)</w:t>
            </w:r>
          </w:p>
        </w:tc>
        <w:tc>
          <w:tcPr>
            <w:tcW w:w="2262" w:type="dxa"/>
            <w:tcBorders>
              <w:top w:val="single" w:sz="4" w:space="0" w:color="auto"/>
            </w:tcBorders>
          </w:tcPr>
          <w:p w14:paraId="7A6FC34E"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Mean (SD)</w:t>
            </w:r>
          </w:p>
        </w:tc>
        <w:tc>
          <w:tcPr>
            <w:tcW w:w="2119" w:type="dxa"/>
            <w:tcBorders>
              <w:top w:val="single" w:sz="4" w:space="0" w:color="auto"/>
            </w:tcBorders>
          </w:tcPr>
          <w:p w14:paraId="2CA478B4"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Mean (SD)</w:t>
            </w:r>
          </w:p>
        </w:tc>
      </w:tr>
      <w:tr w:rsidR="00E30863" w:rsidRPr="00683A5D" w14:paraId="3BB932BA" w14:textId="77777777" w:rsidTr="004C27A5">
        <w:tc>
          <w:tcPr>
            <w:tcW w:w="3129" w:type="dxa"/>
          </w:tcPr>
          <w:p w14:paraId="6296D3BE" w14:textId="77777777" w:rsidR="00E30863" w:rsidRPr="00683A5D" w:rsidRDefault="00E30863" w:rsidP="004C27A5">
            <w:pPr>
              <w:rPr>
                <w:rFonts w:ascii="Arial" w:hAnsi="Arial" w:cs="Arial"/>
                <w:sz w:val="19"/>
                <w:szCs w:val="19"/>
              </w:rPr>
            </w:pPr>
            <w:r w:rsidRPr="00683A5D">
              <w:rPr>
                <w:rFonts w:ascii="Arial" w:hAnsi="Arial" w:cs="Arial"/>
                <w:sz w:val="19"/>
                <w:szCs w:val="19"/>
              </w:rPr>
              <w:t>Age (years)</w:t>
            </w:r>
          </w:p>
        </w:tc>
        <w:tc>
          <w:tcPr>
            <w:tcW w:w="2052" w:type="dxa"/>
          </w:tcPr>
          <w:p w14:paraId="4F46130A"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57.7 (13.2)</w:t>
            </w:r>
          </w:p>
        </w:tc>
        <w:tc>
          <w:tcPr>
            <w:tcW w:w="2228" w:type="dxa"/>
          </w:tcPr>
          <w:p w14:paraId="4E553981"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56.8 (12.3)</w:t>
            </w:r>
          </w:p>
        </w:tc>
        <w:tc>
          <w:tcPr>
            <w:tcW w:w="2331" w:type="dxa"/>
          </w:tcPr>
          <w:p w14:paraId="368BDFA8"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56.7 (12.6)</w:t>
            </w:r>
          </w:p>
        </w:tc>
        <w:tc>
          <w:tcPr>
            <w:tcW w:w="2039" w:type="dxa"/>
          </w:tcPr>
          <w:p w14:paraId="2F10090C"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54·6 (11·9)</w:t>
            </w:r>
          </w:p>
        </w:tc>
        <w:tc>
          <w:tcPr>
            <w:tcW w:w="2262" w:type="dxa"/>
          </w:tcPr>
          <w:p w14:paraId="1537E31C"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58·1 (12·0)</w:t>
            </w:r>
          </w:p>
        </w:tc>
        <w:tc>
          <w:tcPr>
            <w:tcW w:w="2119" w:type="dxa"/>
          </w:tcPr>
          <w:p w14:paraId="1C10632B"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56·7 (12·5)</w:t>
            </w:r>
          </w:p>
        </w:tc>
      </w:tr>
      <w:tr w:rsidR="00E30863" w:rsidRPr="00683A5D" w14:paraId="43B72DC6" w14:textId="77777777" w:rsidTr="004C27A5">
        <w:tc>
          <w:tcPr>
            <w:tcW w:w="3129" w:type="dxa"/>
          </w:tcPr>
          <w:p w14:paraId="4ADBD5B2" w14:textId="77777777" w:rsidR="00E30863" w:rsidRPr="00683A5D" w:rsidRDefault="00E30863" w:rsidP="004C27A5">
            <w:pPr>
              <w:rPr>
                <w:rFonts w:ascii="Arial" w:hAnsi="Arial" w:cs="Arial"/>
                <w:sz w:val="19"/>
                <w:szCs w:val="19"/>
              </w:rPr>
            </w:pPr>
            <w:r w:rsidRPr="00683A5D">
              <w:rPr>
                <w:rFonts w:ascii="Arial" w:hAnsi="Arial" w:cs="Arial"/>
                <w:sz w:val="19"/>
                <w:szCs w:val="19"/>
              </w:rPr>
              <w:t>Height (cm)</w:t>
            </w:r>
          </w:p>
        </w:tc>
        <w:tc>
          <w:tcPr>
            <w:tcW w:w="2052" w:type="dxa"/>
          </w:tcPr>
          <w:p w14:paraId="6EA1FC7B"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167.6 (9.6)</w:t>
            </w:r>
          </w:p>
        </w:tc>
        <w:tc>
          <w:tcPr>
            <w:tcW w:w="2228" w:type="dxa"/>
          </w:tcPr>
          <w:p w14:paraId="575FED53"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168.2 (8.6)</w:t>
            </w:r>
          </w:p>
        </w:tc>
        <w:tc>
          <w:tcPr>
            <w:tcW w:w="2331" w:type="dxa"/>
          </w:tcPr>
          <w:p w14:paraId="16205FB3"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166.5 (9.2)</w:t>
            </w:r>
          </w:p>
        </w:tc>
        <w:tc>
          <w:tcPr>
            <w:tcW w:w="2039" w:type="dxa"/>
          </w:tcPr>
          <w:p w14:paraId="730401A2"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167 (9·9)</w:t>
            </w:r>
          </w:p>
        </w:tc>
        <w:tc>
          <w:tcPr>
            <w:tcW w:w="2262" w:type="dxa"/>
          </w:tcPr>
          <w:p w14:paraId="7BBF991C"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167 (9·5)</w:t>
            </w:r>
          </w:p>
        </w:tc>
        <w:tc>
          <w:tcPr>
            <w:tcW w:w="2119" w:type="dxa"/>
          </w:tcPr>
          <w:p w14:paraId="0061D1B8"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166 (9·2)</w:t>
            </w:r>
          </w:p>
        </w:tc>
      </w:tr>
      <w:tr w:rsidR="00E30863" w:rsidRPr="00683A5D" w14:paraId="25133BD1" w14:textId="77777777" w:rsidTr="004C27A5">
        <w:tc>
          <w:tcPr>
            <w:tcW w:w="3129" w:type="dxa"/>
          </w:tcPr>
          <w:p w14:paraId="6563EC08" w14:textId="77777777" w:rsidR="00E30863" w:rsidRPr="00683A5D" w:rsidRDefault="00E30863" w:rsidP="004C27A5">
            <w:pPr>
              <w:rPr>
                <w:rFonts w:ascii="Arial" w:hAnsi="Arial" w:cs="Arial"/>
                <w:sz w:val="19"/>
                <w:szCs w:val="19"/>
              </w:rPr>
            </w:pPr>
            <w:r w:rsidRPr="00683A5D">
              <w:rPr>
                <w:rFonts w:ascii="Arial" w:hAnsi="Arial" w:cs="Arial"/>
                <w:sz w:val="19"/>
                <w:szCs w:val="19"/>
              </w:rPr>
              <w:t>Weight (kg)</w:t>
            </w:r>
          </w:p>
        </w:tc>
        <w:tc>
          <w:tcPr>
            <w:tcW w:w="2052" w:type="dxa"/>
          </w:tcPr>
          <w:p w14:paraId="4562D4BC"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95.3 (14.6)</w:t>
            </w:r>
          </w:p>
        </w:tc>
        <w:tc>
          <w:tcPr>
            <w:tcW w:w="2228" w:type="dxa"/>
          </w:tcPr>
          <w:p w14:paraId="7B88045D"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95.8 (16.6)</w:t>
            </w:r>
          </w:p>
        </w:tc>
        <w:tc>
          <w:tcPr>
            <w:tcW w:w="2331" w:type="dxa"/>
          </w:tcPr>
          <w:p w14:paraId="2C1C5C59"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95.2 (16.1)</w:t>
            </w:r>
          </w:p>
        </w:tc>
        <w:tc>
          <w:tcPr>
            <w:tcW w:w="2039" w:type="dxa"/>
          </w:tcPr>
          <w:p w14:paraId="570F7FD9"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97·1 (14·7)</w:t>
            </w:r>
          </w:p>
        </w:tc>
        <w:tc>
          <w:tcPr>
            <w:tcW w:w="2262" w:type="dxa"/>
          </w:tcPr>
          <w:p w14:paraId="08A8868C"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94·7 (14·8)</w:t>
            </w:r>
          </w:p>
        </w:tc>
        <w:tc>
          <w:tcPr>
            <w:tcW w:w="2119" w:type="dxa"/>
          </w:tcPr>
          <w:p w14:paraId="443E4CC0"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93·4 (16·5)</w:t>
            </w:r>
          </w:p>
        </w:tc>
      </w:tr>
      <w:tr w:rsidR="00E30863" w:rsidRPr="00683A5D" w14:paraId="43006349" w14:textId="77777777" w:rsidTr="004C27A5">
        <w:tc>
          <w:tcPr>
            <w:tcW w:w="3129" w:type="dxa"/>
          </w:tcPr>
          <w:p w14:paraId="6DEA8123" w14:textId="77777777" w:rsidR="00E30863" w:rsidRPr="00683A5D" w:rsidRDefault="00E30863" w:rsidP="004C27A5">
            <w:pPr>
              <w:rPr>
                <w:rFonts w:ascii="Arial" w:hAnsi="Arial" w:cs="Arial"/>
                <w:sz w:val="19"/>
                <w:szCs w:val="19"/>
              </w:rPr>
            </w:pPr>
            <w:r w:rsidRPr="00683A5D">
              <w:rPr>
                <w:rFonts w:ascii="Arial" w:hAnsi="Arial" w:cs="Arial"/>
                <w:sz w:val="19"/>
                <w:szCs w:val="19"/>
              </w:rPr>
              <w:t>HbA</w:t>
            </w:r>
            <w:r w:rsidRPr="00683A5D">
              <w:rPr>
                <w:rFonts w:ascii="Arial" w:hAnsi="Arial" w:cs="Arial"/>
                <w:sz w:val="19"/>
                <w:szCs w:val="19"/>
                <w:vertAlign w:val="subscript"/>
              </w:rPr>
              <w:t>1c</w:t>
            </w:r>
            <w:r w:rsidRPr="00683A5D">
              <w:rPr>
                <w:rFonts w:ascii="Arial" w:hAnsi="Arial" w:cs="Arial"/>
                <w:sz w:val="19"/>
                <w:szCs w:val="19"/>
              </w:rPr>
              <w:t xml:space="preserve"> (mmol/mol)</w:t>
            </w:r>
          </w:p>
        </w:tc>
        <w:tc>
          <w:tcPr>
            <w:tcW w:w="2052" w:type="dxa"/>
          </w:tcPr>
          <w:p w14:paraId="58690F1A"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42.5 (10.6)</w:t>
            </w:r>
          </w:p>
        </w:tc>
        <w:tc>
          <w:tcPr>
            <w:tcW w:w="2228" w:type="dxa"/>
          </w:tcPr>
          <w:p w14:paraId="51754E28"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42.0 (11.1)</w:t>
            </w:r>
          </w:p>
        </w:tc>
        <w:tc>
          <w:tcPr>
            <w:tcW w:w="2331" w:type="dxa"/>
          </w:tcPr>
          <w:p w14:paraId="1C443C16"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42.0 (10.4)</w:t>
            </w:r>
          </w:p>
        </w:tc>
        <w:tc>
          <w:tcPr>
            <w:tcW w:w="2039" w:type="dxa"/>
          </w:tcPr>
          <w:p w14:paraId="00C1CC85"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41·0 (2·4)</w:t>
            </w:r>
          </w:p>
        </w:tc>
        <w:tc>
          <w:tcPr>
            <w:tcW w:w="2262" w:type="dxa"/>
          </w:tcPr>
          <w:p w14:paraId="25CFCA75"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40·6 (2·6)</w:t>
            </w:r>
          </w:p>
        </w:tc>
        <w:tc>
          <w:tcPr>
            <w:tcW w:w="2119" w:type="dxa"/>
          </w:tcPr>
          <w:p w14:paraId="2F96B090"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40·7 (3·1)</w:t>
            </w:r>
          </w:p>
        </w:tc>
      </w:tr>
      <w:tr w:rsidR="00E30863" w:rsidRPr="00683A5D" w14:paraId="7F5F31BA" w14:textId="77777777" w:rsidTr="004C27A5">
        <w:tc>
          <w:tcPr>
            <w:tcW w:w="3129" w:type="dxa"/>
          </w:tcPr>
          <w:p w14:paraId="00EDB6FC" w14:textId="77777777" w:rsidR="00E30863" w:rsidRPr="00683A5D" w:rsidRDefault="00E30863" w:rsidP="004C27A5">
            <w:pPr>
              <w:rPr>
                <w:rFonts w:ascii="Arial" w:hAnsi="Arial" w:cs="Arial"/>
                <w:sz w:val="19"/>
                <w:szCs w:val="19"/>
              </w:rPr>
            </w:pPr>
            <w:r w:rsidRPr="00683A5D">
              <w:rPr>
                <w:rFonts w:ascii="Arial" w:hAnsi="Arial" w:cs="Arial"/>
                <w:sz w:val="19"/>
                <w:szCs w:val="19"/>
              </w:rPr>
              <w:t>Glucose (mmol/l)</w:t>
            </w:r>
          </w:p>
        </w:tc>
        <w:tc>
          <w:tcPr>
            <w:tcW w:w="2052" w:type="dxa"/>
          </w:tcPr>
          <w:p w14:paraId="3A919A0B"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5.8 (1.5)</w:t>
            </w:r>
          </w:p>
        </w:tc>
        <w:tc>
          <w:tcPr>
            <w:tcW w:w="2228" w:type="dxa"/>
          </w:tcPr>
          <w:p w14:paraId="7ECF702F"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5.8 (1.9)</w:t>
            </w:r>
          </w:p>
        </w:tc>
        <w:tc>
          <w:tcPr>
            <w:tcW w:w="2331" w:type="dxa"/>
          </w:tcPr>
          <w:p w14:paraId="770FBEB8"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5.9 (1.8)</w:t>
            </w:r>
          </w:p>
        </w:tc>
        <w:tc>
          <w:tcPr>
            <w:tcW w:w="2039" w:type="dxa"/>
          </w:tcPr>
          <w:p w14:paraId="32149E98"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5·4 (0·5)</w:t>
            </w:r>
          </w:p>
        </w:tc>
        <w:tc>
          <w:tcPr>
            <w:tcW w:w="2262" w:type="dxa"/>
          </w:tcPr>
          <w:p w14:paraId="5C14E989"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5·4 (0·5)</w:t>
            </w:r>
          </w:p>
        </w:tc>
        <w:tc>
          <w:tcPr>
            <w:tcW w:w="2119" w:type="dxa"/>
          </w:tcPr>
          <w:p w14:paraId="29500F14"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5·4 (0·5)</w:t>
            </w:r>
          </w:p>
        </w:tc>
      </w:tr>
      <w:tr w:rsidR="00E30863" w:rsidRPr="00683A5D" w14:paraId="14E3372A" w14:textId="77777777" w:rsidTr="004C27A5">
        <w:tc>
          <w:tcPr>
            <w:tcW w:w="3129" w:type="dxa"/>
          </w:tcPr>
          <w:p w14:paraId="0203A702" w14:textId="77777777" w:rsidR="00E30863" w:rsidRPr="00683A5D" w:rsidRDefault="00E30863" w:rsidP="004C27A5">
            <w:pPr>
              <w:rPr>
                <w:rFonts w:ascii="Arial" w:hAnsi="Arial" w:cs="Arial"/>
                <w:sz w:val="19"/>
                <w:szCs w:val="19"/>
              </w:rPr>
            </w:pPr>
            <w:r w:rsidRPr="00683A5D">
              <w:rPr>
                <w:rFonts w:ascii="Arial" w:hAnsi="Arial" w:cs="Arial"/>
                <w:sz w:val="19"/>
                <w:szCs w:val="19"/>
              </w:rPr>
              <w:t>Glycaemic Status (n; %*)</w:t>
            </w:r>
          </w:p>
        </w:tc>
        <w:tc>
          <w:tcPr>
            <w:tcW w:w="2052" w:type="dxa"/>
          </w:tcPr>
          <w:p w14:paraId="612AA3B5" w14:textId="77777777" w:rsidR="00E30863" w:rsidRPr="00683A5D" w:rsidRDefault="00E30863" w:rsidP="004C27A5">
            <w:pPr>
              <w:jc w:val="center"/>
              <w:rPr>
                <w:rFonts w:ascii="Arial" w:hAnsi="Arial" w:cs="Arial"/>
                <w:sz w:val="19"/>
                <w:szCs w:val="19"/>
              </w:rPr>
            </w:pPr>
          </w:p>
        </w:tc>
        <w:tc>
          <w:tcPr>
            <w:tcW w:w="2228" w:type="dxa"/>
          </w:tcPr>
          <w:p w14:paraId="3BD7487F" w14:textId="77777777" w:rsidR="00E30863" w:rsidRPr="00683A5D" w:rsidRDefault="00E30863" w:rsidP="004C27A5">
            <w:pPr>
              <w:jc w:val="center"/>
              <w:rPr>
                <w:rFonts w:ascii="Arial" w:hAnsi="Arial" w:cs="Arial"/>
                <w:sz w:val="19"/>
                <w:szCs w:val="19"/>
              </w:rPr>
            </w:pPr>
          </w:p>
        </w:tc>
        <w:tc>
          <w:tcPr>
            <w:tcW w:w="2331" w:type="dxa"/>
          </w:tcPr>
          <w:p w14:paraId="4D0516A3" w14:textId="77777777" w:rsidR="00E30863" w:rsidRPr="00683A5D" w:rsidRDefault="00E30863" w:rsidP="004C27A5">
            <w:pPr>
              <w:jc w:val="center"/>
              <w:rPr>
                <w:rFonts w:ascii="Arial" w:hAnsi="Arial" w:cs="Arial"/>
                <w:sz w:val="19"/>
                <w:szCs w:val="19"/>
              </w:rPr>
            </w:pPr>
          </w:p>
        </w:tc>
        <w:tc>
          <w:tcPr>
            <w:tcW w:w="2039" w:type="dxa"/>
          </w:tcPr>
          <w:p w14:paraId="574257A3" w14:textId="77777777" w:rsidR="00E30863" w:rsidRPr="00683A5D" w:rsidRDefault="00E30863" w:rsidP="004C27A5">
            <w:pPr>
              <w:jc w:val="center"/>
              <w:rPr>
                <w:rFonts w:ascii="Arial" w:hAnsi="Arial" w:cs="Arial"/>
                <w:sz w:val="19"/>
                <w:szCs w:val="19"/>
              </w:rPr>
            </w:pPr>
          </w:p>
        </w:tc>
        <w:tc>
          <w:tcPr>
            <w:tcW w:w="2262" w:type="dxa"/>
          </w:tcPr>
          <w:p w14:paraId="2728DBB0" w14:textId="77777777" w:rsidR="00E30863" w:rsidRPr="00683A5D" w:rsidRDefault="00E30863" w:rsidP="004C27A5">
            <w:pPr>
              <w:jc w:val="center"/>
              <w:rPr>
                <w:rFonts w:ascii="Arial" w:hAnsi="Arial" w:cs="Arial"/>
                <w:sz w:val="19"/>
                <w:szCs w:val="19"/>
              </w:rPr>
            </w:pPr>
          </w:p>
        </w:tc>
        <w:tc>
          <w:tcPr>
            <w:tcW w:w="2119" w:type="dxa"/>
          </w:tcPr>
          <w:p w14:paraId="6580AFC0" w14:textId="77777777" w:rsidR="00E30863" w:rsidRPr="00683A5D" w:rsidRDefault="00E30863" w:rsidP="004C27A5">
            <w:pPr>
              <w:jc w:val="center"/>
              <w:rPr>
                <w:rFonts w:ascii="Arial" w:hAnsi="Arial" w:cs="Arial"/>
                <w:sz w:val="19"/>
                <w:szCs w:val="19"/>
              </w:rPr>
            </w:pPr>
          </w:p>
        </w:tc>
      </w:tr>
      <w:tr w:rsidR="00E30863" w:rsidRPr="00683A5D" w14:paraId="6538F005" w14:textId="77777777" w:rsidTr="004C27A5">
        <w:tc>
          <w:tcPr>
            <w:tcW w:w="3129" w:type="dxa"/>
          </w:tcPr>
          <w:p w14:paraId="6BC7F4A3" w14:textId="77777777" w:rsidR="00E30863" w:rsidRPr="00683A5D" w:rsidRDefault="00E30863" w:rsidP="004C27A5">
            <w:pPr>
              <w:rPr>
                <w:rFonts w:ascii="Arial" w:hAnsi="Arial" w:cs="Arial"/>
                <w:sz w:val="19"/>
                <w:szCs w:val="19"/>
              </w:rPr>
            </w:pPr>
            <w:r w:rsidRPr="00683A5D">
              <w:rPr>
                <w:rFonts w:ascii="Arial" w:hAnsi="Arial" w:cs="Arial"/>
                <w:sz w:val="19"/>
                <w:szCs w:val="19"/>
              </w:rPr>
              <w:t xml:space="preserve">    Normal glycaemia</w:t>
            </w:r>
          </w:p>
        </w:tc>
        <w:tc>
          <w:tcPr>
            <w:tcW w:w="2052" w:type="dxa"/>
          </w:tcPr>
          <w:p w14:paraId="7100FBC3"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19 (27%)</w:t>
            </w:r>
          </w:p>
        </w:tc>
        <w:tc>
          <w:tcPr>
            <w:tcW w:w="2228" w:type="dxa"/>
          </w:tcPr>
          <w:p w14:paraId="4DC74D11"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68 (32%)</w:t>
            </w:r>
          </w:p>
        </w:tc>
        <w:tc>
          <w:tcPr>
            <w:tcW w:w="2331" w:type="dxa"/>
          </w:tcPr>
          <w:p w14:paraId="71E46E4C"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73 (37%)</w:t>
            </w:r>
          </w:p>
        </w:tc>
        <w:tc>
          <w:tcPr>
            <w:tcW w:w="2039" w:type="dxa"/>
          </w:tcPr>
          <w:p w14:paraId="636853BE"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w:t>
            </w:r>
          </w:p>
        </w:tc>
        <w:tc>
          <w:tcPr>
            <w:tcW w:w="2262" w:type="dxa"/>
          </w:tcPr>
          <w:p w14:paraId="34617CDC"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w:t>
            </w:r>
          </w:p>
        </w:tc>
        <w:tc>
          <w:tcPr>
            <w:tcW w:w="2119" w:type="dxa"/>
          </w:tcPr>
          <w:p w14:paraId="1AFFDFC9"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w:t>
            </w:r>
          </w:p>
        </w:tc>
      </w:tr>
      <w:tr w:rsidR="00E30863" w:rsidRPr="00683A5D" w14:paraId="5588F5BA" w14:textId="77777777" w:rsidTr="004C27A5">
        <w:tc>
          <w:tcPr>
            <w:tcW w:w="3129" w:type="dxa"/>
          </w:tcPr>
          <w:p w14:paraId="545CCD07" w14:textId="77777777" w:rsidR="00E30863" w:rsidRPr="00683A5D" w:rsidRDefault="00E30863" w:rsidP="004C27A5">
            <w:pPr>
              <w:rPr>
                <w:rFonts w:ascii="Arial" w:hAnsi="Arial" w:cs="Arial"/>
                <w:sz w:val="19"/>
                <w:szCs w:val="19"/>
              </w:rPr>
            </w:pPr>
            <w:r w:rsidRPr="00683A5D">
              <w:rPr>
                <w:rFonts w:ascii="Arial" w:hAnsi="Arial" w:cs="Arial"/>
                <w:sz w:val="19"/>
                <w:szCs w:val="19"/>
              </w:rPr>
              <w:t xml:space="preserve">    Non-diabetic hyperglycaemia</w:t>
            </w:r>
          </w:p>
        </w:tc>
        <w:tc>
          <w:tcPr>
            <w:tcW w:w="2052" w:type="dxa"/>
          </w:tcPr>
          <w:p w14:paraId="07325DE3"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32 (46%)</w:t>
            </w:r>
          </w:p>
        </w:tc>
        <w:tc>
          <w:tcPr>
            <w:tcW w:w="2228" w:type="dxa"/>
          </w:tcPr>
          <w:p w14:paraId="324886DC"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99 (47%)</w:t>
            </w:r>
          </w:p>
        </w:tc>
        <w:tc>
          <w:tcPr>
            <w:tcW w:w="2331" w:type="dxa"/>
          </w:tcPr>
          <w:p w14:paraId="236A8502"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86 (43%)</w:t>
            </w:r>
          </w:p>
        </w:tc>
        <w:tc>
          <w:tcPr>
            <w:tcW w:w="2039" w:type="dxa"/>
          </w:tcPr>
          <w:p w14:paraId="487D6475"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66 (100%)</w:t>
            </w:r>
          </w:p>
        </w:tc>
        <w:tc>
          <w:tcPr>
            <w:tcW w:w="2262" w:type="dxa"/>
          </w:tcPr>
          <w:p w14:paraId="0D83C854" w14:textId="2032E100" w:rsidR="00E30863" w:rsidRPr="00683A5D" w:rsidRDefault="00FE716A" w:rsidP="004C27A5">
            <w:pPr>
              <w:jc w:val="center"/>
              <w:rPr>
                <w:rFonts w:ascii="Arial" w:hAnsi="Arial" w:cs="Arial"/>
                <w:sz w:val="19"/>
                <w:szCs w:val="19"/>
              </w:rPr>
            </w:pPr>
            <w:r>
              <w:rPr>
                <w:rFonts w:ascii="Arial" w:hAnsi="Arial" w:cs="Arial"/>
                <w:sz w:val="19"/>
                <w:szCs w:val="19"/>
              </w:rPr>
              <w:t>173</w:t>
            </w:r>
            <w:r w:rsidR="00E30863" w:rsidRPr="00683A5D">
              <w:rPr>
                <w:rFonts w:ascii="Arial" w:hAnsi="Arial" w:cs="Arial"/>
                <w:sz w:val="19"/>
                <w:szCs w:val="19"/>
              </w:rPr>
              <w:t xml:space="preserve"> (100%)</w:t>
            </w:r>
          </w:p>
        </w:tc>
        <w:tc>
          <w:tcPr>
            <w:tcW w:w="2119" w:type="dxa"/>
          </w:tcPr>
          <w:p w14:paraId="13A9009B" w14:textId="5AEE7C77" w:rsidR="00E30863" w:rsidRPr="00683A5D" w:rsidRDefault="00FE716A" w:rsidP="004C27A5">
            <w:pPr>
              <w:jc w:val="center"/>
              <w:rPr>
                <w:rFonts w:ascii="Arial" w:hAnsi="Arial" w:cs="Arial"/>
                <w:sz w:val="19"/>
                <w:szCs w:val="19"/>
              </w:rPr>
            </w:pPr>
            <w:r>
              <w:rPr>
                <w:rFonts w:ascii="Arial" w:hAnsi="Arial" w:cs="Arial"/>
                <w:sz w:val="19"/>
                <w:szCs w:val="19"/>
              </w:rPr>
              <w:t>148</w:t>
            </w:r>
            <w:r w:rsidRPr="00683A5D">
              <w:rPr>
                <w:rFonts w:ascii="Arial" w:hAnsi="Arial" w:cs="Arial"/>
                <w:sz w:val="19"/>
                <w:szCs w:val="19"/>
              </w:rPr>
              <w:t xml:space="preserve"> </w:t>
            </w:r>
            <w:r w:rsidR="00E30863" w:rsidRPr="00683A5D">
              <w:rPr>
                <w:rFonts w:ascii="Arial" w:hAnsi="Arial" w:cs="Arial"/>
                <w:sz w:val="19"/>
                <w:szCs w:val="19"/>
              </w:rPr>
              <w:t>(100%)</w:t>
            </w:r>
          </w:p>
        </w:tc>
      </w:tr>
      <w:tr w:rsidR="00E30863" w:rsidRPr="00683A5D" w14:paraId="4D0454AF" w14:textId="77777777" w:rsidTr="004C27A5">
        <w:tc>
          <w:tcPr>
            <w:tcW w:w="3129" w:type="dxa"/>
            <w:tcBorders>
              <w:bottom w:val="single" w:sz="4" w:space="0" w:color="auto"/>
            </w:tcBorders>
          </w:tcPr>
          <w:p w14:paraId="0247BBFD" w14:textId="77777777" w:rsidR="00E30863" w:rsidRPr="00683A5D" w:rsidRDefault="00E30863" w:rsidP="004C27A5">
            <w:pPr>
              <w:rPr>
                <w:rFonts w:ascii="Arial" w:hAnsi="Arial" w:cs="Arial"/>
                <w:sz w:val="19"/>
                <w:szCs w:val="19"/>
              </w:rPr>
            </w:pPr>
            <w:r w:rsidRPr="00683A5D">
              <w:rPr>
                <w:rFonts w:ascii="Arial" w:hAnsi="Arial" w:cs="Arial"/>
                <w:sz w:val="19"/>
                <w:szCs w:val="19"/>
              </w:rPr>
              <w:t xml:space="preserve">    Diabetes</w:t>
            </w:r>
          </w:p>
        </w:tc>
        <w:tc>
          <w:tcPr>
            <w:tcW w:w="2052" w:type="dxa"/>
            <w:tcBorders>
              <w:bottom w:val="single" w:sz="4" w:space="0" w:color="auto"/>
            </w:tcBorders>
          </w:tcPr>
          <w:p w14:paraId="15037D1A"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19 (27%)</w:t>
            </w:r>
          </w:p>
        </w:tc>
        <w:tc>
          <w:tcPr>
            <w:tcW w:w="2228" w:type="dxa"/>
            <w:tcBorders>
              <w:bottom w:val="single" w:sz="4" w:space="0" w:color="auto"/>
            </w:tcBorders>
          </w:tcPr>
          <w:p w14:paraId="41E31E06"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43 (20%)</w:t>
            </w:r>
          </w:p>
        </w:tc>
        <w:tc>
          <w:tcPr>
            <w:tcW w:w="2331" w:type="dxa"/>
            <w:tcBorders>
              <w:bottom w:val="single" w:sz="4" w:space="0" w:color="auto"/>
            </w:tcBorders>
          </w:tcPr>
          <w:p w14:paraId="410392EA"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41(21%)</w:t>
            </w:r>
          </w:p>
        </w:tc>
        <w:tc>
          <w:tcPr>
            <w:tcW w:w="2039" w:type="dxa"/>
            <w:tcBorders>
              <w:bottom w:val="single" w:sz="4" w:space="0" w:color="auto"/>
            </w:tcBorders>
          </w:tcPr>
          <w:p w14:paraId="4127E077"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w:t>
            </w:r>
          </w:p>
        </w:tc>
        <w:tc>
          <w:tcPr>
            <w:tcW w:w="2262" w:type="dxa"/>
            <w:tcBorders>
              <w:bottom w:val="single" w:sz="4" w:space="0" w:color="auto"/>
            </w:tcBorders>
          </w:tcPr>
          <w:p w14:paraId="31DB1DAF"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w:t>
            </w:r>
          </w:p>
        </w:tc>
        <w:tc>
          <w:tcPr>
            <w:tcW w:w="2119" w:type="dxa"/>
            <w:tcBorders>
              <w:bottom w:val="single" w:sz="4" w:space="0" w:color="auto"/>
            </w:tcBorders>
          </w:tcPr>
          <w:p w14:paraId="3E0E7DFE" w14:textId="77777777" w:rsidR="00E30863" w:rsidRPr="00683A5D" w:rsidRDefault="00E30863" w:rsidP="004C27A5">
            <w:pPr>
              <w:jc w:val="center"/>
              <w:rPr>
                <w:rFonts w:ascii="Arial" w:hAnsi="Arial" w:cs="Arial"/>
                <w:sz w:val="19"/>
                <w:szCs w:val="19"/>
              </w:rPr>
            </w:pPr>
            <w:r w:rsidRPr="00683A5D">
              <w:rPr>
                <w:rFonts w:ascii="Arial" w:hAnsi="Arial" w:cs="Arial"/>
                <w:sz w:val="19"/>
                <w:szCs w:val="19"/>
              </w:rPr>
              <w:t>-</w:t>
            </w:r>
          </w:p>
        </w:tc>
      </w:tr>
    </w:tbl>
    <w:p w14:paraId="3A31AE7E" w14:textId="77777777" w:rsidR="00E30863" w:rsidRPr="00683A5D" w:rsidRDefault="00E30863" w:rsidP="00E30863">
      <w:pPr>
        <w:ind w:left="-851"/>
        <w:rPr>
          <w:rFonts w:ascii="Arial" w:hAnsi="Arial" w:cs="Arial"/>
          <w:sz w:val="20"/>
          <w:szCs w:val="20"/>
        </w:rPr>
      </w:pPr>
      <w:r w:rsidRPr="00683A5D">
        <w:rPr>
          <w:rFonts w:ascii="Arial" w:hAnsi="Arial" w:cs="Arial"/>
          <w:sz w:val="20"/>
          <w:szCs w:val="20"/>
        </w:rPr>
        <w:t>*May not add to 100% because of rounding to nearest whole number</w:t>
      </w:r>
    </w:p>
    <w:p w14:paraId="1EFFE75A" w14:textId="77777777" w:rsidR="00E30863" w:rsidRDefault="00E30863" w:rsidP="00E30863">
      <w:pPr>
        <w:rPr>
          <w:rFonts w:ascii="Arial" w:hAnsi="Arial" w:cs="Arial"/>
          <w:b/>
          <w:iCs/>
          <w:sz w:val="20"/>
          <w:szCs w:val="20"/>
        </w:rPr>
      </w:pPr>
      <w:r>
        <w:rPr>
          <w:rFonts w:ascii="Arial" w:hAnsi="Arial" w:cs="Arial"/>
          <w:b/>
          <w:iCs/>
          <w:sz w:val="20"/>
          <w:szCs w:val="20"/>
        </w:rPr>
        <w:br w:type="page"/>
      </w:r>
    </w:p>
    <w:p w14:paraId="5A5B176C" w14:textId="77777777" w:rsidR="00E30863" w:rsidRDefault="00E30863" w:rsidP="00E30863">
      <w:pPr>
        <w:rPr>
          <w:rFonts w:ascii="Arial" w:hAnsi="Arial" w:cs="Arial"/>
          <w:b/>
          <w:iCs/>
          <w:sz w:val="20"/>
          <w:szCs w:val="20"/>
        </w:rPr>
      </w:pPr>
    </w:p>
    <w:p w14:paraId="739E7F1F" w14:textId="389B479F" w:rsidR="00E30863" w:rsidRPr="00D23FD1" w:rsidRDefault="00E30863" w:rsidP="00E30863">
      <w:pPr>
        <w:rPr>
          <w:rFonts w:ascii="Arial" w:hAnsi="Arial" w:cs="Arial"/>
          <w:b/>
          <w:iCs/>
          <w:sz w:val="20"/>
          <w:szCs w:val="20"/>
        </w:rPr>
      </w:pPr>
      <w:r w:rsidRPr="00D23FD1">
        <w:rPr>
          <w:rFonts w:ascii="Arial" w:hAnsi="Arial" w:cs="Arial"/>
          <w:b/>
          <w:iCs/>
          <w:sz w:val="20"/>
          <w:szCs w:val="20"/>
        </w:rPr>
        <w:t>Table 2</w:t>
      </w:r>
      <w:r w:rsidR="002763EE">
        <w:rPr>
          <w:rFonts w:ascii="Arial" w:hAnsi="Arial" w:cs="Arial"/>
          <w:b/>
          <w:iCs/>
          <w:sz w:val="20"/>
          <w:szCs w:val="20"/>
        </w:rPr>
        <w:t>:</w:t>
      </w:r>
      <w:r w:rsidRPr="00D23FD1">
        <w:rPr>
          <w:rFonts w:ascii="Arial" w:hAnsi="Arial" w:cs="Arial"/>
          <w:b/>
          <w:iCs/>
          <w:sz w:val="20"/>
          <w:szCs w:val="20"/>
        </w:rPr>
        <w:t xml:space="preserve"> Frequency table of glycaemic status at baseline and 12 months by intervention group.</w:t>
      </w:r>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7"/>
        <w:gridCol w:w="1704"/>
        <w:gridCol w:w="1044"/>
        <w:gridCol w:w="993"/>
        <w:gridCol w:w="1138"/>
        <w:gridCol w:w="283"/>
        <w:gridCol w:w="1134"/>
        <w:gridCol w:w="1134"/>
        <w:gridCol w:w="1134"/>
        <w:gridCol w:w="236"/>
        <w:gridCol w:w="1040"/>
        <w:gridCol w:w="992"/>
        <w:gridCol w:w="1134"/>
      </w:tblGrid>
      <w:tr w:rsidR="002763EE" w:rsidRPr="00D23FD1" w14:paraId="6CD15C1C" w14:textId="77777777" w:rsidTr="009C5957">
        <w:tc>
          <w:tcPr>
            <w:tcW w:w="1217" w:type="dxa"/>
            <w:vMerge w:val="restart"/>
            <w:tcBorders>
              <w:top w:val="single" w:sz="4" w:space="0" w:color="auto"/>
            </w:tcBorders>
            <w:vAlign w:val="center"/>
          </w:tcPr>
          <w:p w14:paraId="227FAFE4" w14:textId="77777777" w:rsidR="002763EE" w:rsidRPr="00D23FD1" w:rsidRDefault="002763EE" w:rsidP="004C27A5">
            <w:pPr>
              <w:spacing w:line="276" w:lineRule="auto"/>
              <w:jc w:val="center"/>
              <w:rPr>
                <w:rFonts w:ascii="Arial" w:hAnsi="Arial" w:cs="Arial"/>
                <w:b/>
                <w:iCs/>
                <w:sz w:val="20"/>
                <w:szCs w:val="20"/>
              </w:rPr>
            </w:pPr>
            <w:r w:rsidRPr="00D23FD1">
              <w:rPr>
                <w:rFonts w:ascii="Arial" w:hAnsi="Arial" w:cs="Arial"/>
                <w:b/>
                <w:iCs/>
                <w:sz w:val="20"/>
                <w:szCs w:val="20"/>
              </w:rPr>
              <w:t>Glycaemic Status</w:t>
            </w:r>
          </w:p>
        </w:tc>
        <w:tc>
          <w:tcPr>
            <w:tcW w:w="1704" w:type="dxa"/>
            <w:tcBorders>
              <w:top w:val="single" w:sz="4" w:space="0" w:color="auto"/>
              <w:bottom w:val="single" w:sz="4" w:space="0" w:color="auto"/>
            </w:tcBorders>
          </w:tcPr>
          <w:p w14:paraId="178B7966" w14:textId="77777777" w:rsidR="002763EE" w:rsidRPr="00D23FD1" w:rsidRDefault="002763EE" w:rsidP="004C27A5">
            <w:pPr>
              <w:spacing w:line="276" w:lineRule="auto"/>
              <w:rPr>
                <w:rFonts w:ascii="Arial" w:hAnsi="Arial" w:cs="Arial"/>
                <w:b/>
                <w:iCs/>
                <w:sz w:val="20"/>
                <w:szCs w:val="20"/>
              </w:rPr>
            </w:pPr>
            <w:r w:rsidRPr="00D23FD1">
              <w:rPr>
                <w:rFonts w:ascii="Arial" w:hAnsi="Arial" w:cs="Arial"/>
                <w:b/>
                <w:iCs/>
                <w:sz w:val="20"/>
                <w:szCs w:val="20"/>
              </w:rPr>
              <w:t>Baseline</w:t>
            </w:r>
          </w:p>
        </w:tc>
        <w:tc>
          <w:tcPr>
            <w:tcW w:w="3175" w:type="dxa"/>
            <w:gridSpan w:val="3"/>
            <w:tcBorders>
              <w:top w:val="single" w:sz="4" w:space="0" w:color="auto"/>
              <w:bottom w:val="single" w:sz="4" w:space="0" w:color="auto"/>
            </w:tcBorders>
          </w:tcPr>
          <w:p w14:paraId="5CBD010A" w14:textId="0A29B54E" w:rsidR="002763EE" w:rsidRPr="00D23FD1" w:rsidRDefault="002763EE" w:rsidP="009C5957">
            <w:pPr>
              <w:spacing w:line="276" w:lineRule="auto"/>
              <w:jc w:val="center"/>
              <w:rPr>
                <w:rFonts w:ascii="Arial" w:hAnsi="Arial" w:cs="Arial"/>
                <w:b/>
                <w:iCs/>
                <w:sz w:val="20"/>
                <w:szCs w:val="20"/>
              </w:rPr>
            </w:pPr>
            <w:proofErr w:type="spellStart"/>
            <w:r>
              <w:rPr>
                <w:rFonts w:ascii="Arial" w:hAnsi="Arial" w:cs="Arial"/>
                <w:b/>
                <w:iCs/>
                <w:sz w:val="20"/>
                <w:szCs w:val="20"/>
              </w:rPr>
              <w:t>Normo</w:t>
            </w:r>
            <w:proofErr w:type="spellEnd"/>
          </w:p>
        </w:tc>
        <w:tc>
          <w:tcPr>
            <w:tcW w:w="283" w:type="dxa"/>
            <w:tcBorders>
              <w:top w:val="single" w:sz="4" w:space="0" w:color="auto"/>
              <w:bottom w:val="single" w:sz="4" w:space="0" w:color="FFFFFF"/>
            </w:tcBorders>
          </w:tcPr>
          <w:p w14:paraId="1C04384E" w14:textId="77777777" w:rsidR="002763EE" w:rsidRPr="00D23FD1" w:rsidDel="002763EE" w:rsidRDefault="002763EE" w:rsidP="002763EE">
            <w:pPr>
              <w:jc w:val="center"/>
              <w:rPr>
                <w:rFonts w:ascii="Arial" w:hAnsi="Arial" w:cs="Arial"/>
                <w:b/>
                <w:iCs/>
                <w:sz w:val="20"/>
                <w:szCs w:val="20"/>
              </w:rPr>
            </w:pPr>
          </w:p>
        </w:tc>
        <w:tc>
          <w:tcPr>
            <w:tcW w:w="3402" w:type="dxa"/>
            <w:gridSpan w:val="3"/>
            <w:tcBorders>
              <w:top w:val="single" w:sz="4" w:space="0" w:color="auto"/>
              <w:bottom w:val="single" w:sz="4" w:space="0" w:color="auto"/>
            </w:tcBorders>
          </w:tcPr>
          <w:p w14:paraId="2BE73806" w14:textId="2D05D357" w:rsidR="002763EE" w:rsidRPr="00D23FD1" w:rsidRDefault="002763EE" w:rsidP="009C5957">
            <w:pPr>
              <w:jc w:val="center"/>
              <w:rPr>
                <w:rFonts w:ascii="Arial" w:hAnsi="Arial" w:cs="Arial"/>
                <w:b/>
                <w:iCs/>
                <w:sz w:val="20"/>
                <w:szCs w:val="20"/>
              </w:rPr>
            </w:pPr>
            <w:r w:rsidRPr="00D23FD1">
              <w:rPr>
                <w:rFonts w:ascii="Arial" w:hAnsi="Arial" w:cs="Arial"/>
                <w:b/>
                <w:iCs/>
                <w:sz w:val="20"/>
                <w:szCs w:val="20"/>
              </w:rPr>
              <w:t>NDH</w:t>
            </w:r>
          </w:p>
        </w:tc>
        <w:tc>
          <w:tcPr>
            <w:tcW w:w="236" w:type="dxa"/>
            <w:tcBorders>
              <w:top w:val="single" w:sz="4" w:space="0" w:color="auto"/>
              <w:bottom w:val="single" w:sz="4" w:space="0" w:color="FFFFFF" w:themeColor="background1"/>
            </w:tcBorders>
          </w:tcPr>
          <w:p w14:paraId="71FAD578" w14:textId="77777777" w:rsidR="002763EE" w:rsidRPr="00D23FD1" w:rsidRDefault="002763EE" w:rsidP="002763EE">
            <w:pPr>
              <w:jc w:val="center"/>
              <w:rPr>
                <w:rFonts w:ascii="Arial" w:hAnsi="Arial" w:cs="Arial"/>
                <w:b/>
                <w:iCs/>
                <w:sz w:val="20"/>
                <w:szCs w:val="20"/>
              </w:rPr>
            </w:pPr>
          </w:p>
        </w:tc>
        <w:tc>
          <w:tcPr>
            <w:tcW w:w="3166" w:type="dxa"/>
            <w:gridSpan w:val="3"/>
            <w:tcBorders>
              <w:top w:val="single" w:sz="4" w:space="0" w:color="auto"/>
              <w:bottom w:val="single" w:sz="4" w:space="0" w:color="auto"/>
            </w:tcBorders>
          </w:tcPr>
          <w:p w14:paraId="605D0D3A" w14:textId="7C3AAC8F" w:rsidR="002763EE" w:rsidRPr="00D23FD1" w:rsidRDefault="002763EE" w:rsidP="009C5957">
            <w:pPr>
              <w:spacing w:line="276" w:lineRule="auto"/>
              <w:jc w:val="center"/>
              <w:rPr>
                <w:rFonts w:ascii="Arial" w:hAnsi="Arial" w:cs="Arial"/>
                <w:b/>
                <w:iCs/>
                <w:sz w:val="20"/>
                <w:szCs w:val="20"/>
              </w:rPr>
            </w:pPr>
            <w:r w:rsidRPr="00D23FD1">
              <w:rPr>
                <w:rFonts w:ascii="Arial" w:hAnsi="Arial" w:cs="Arial"/>
                <w:b/>
                <w:iCs/>
                <w:sz w:val="20"/>
                <w:szCs w:val="20"/>
              </w:rPr>
              <w:t>Diabetes</w:t>
            </w:r>
          </w:p>
        </w:tc>
      </w:tr>
      <w:tr w:rsidR="002763EE" w:rsidRPr="00D23FD1" w14:paraId="0EBABF7B" w14:textId="77777777" w:rsidTr="009C5957">
        <w:tc>
          <w:tcPr>
            <w:tcW w:w="1217" w:type="dxa"/>
            <w:vMerge/>
            <w:tcBorders>
              <w:bottom w:val="single" w:sz="4" w:space="0" w:color="auto"/>
            </w:tcBorders>
          </w:tcPr>
          <w:p w14:paraId="36C7898C" w14:textId="77777777" w:rsidR="002763EE" w:rsidRPr="00D23FD1" w:rsidRDefault="002763EE" w:rsidP="004C27A5">
            <w:pPr>
              <w:spacing w:after="200" w:line="276" w:lineRule="auto"/>
              <w:rPr>
                <w:rFonts w:ascii="Arial" w:hAnsi="Arial" w:cs="Arial"/>
                <w:b/>
                <w:iCs/>
                <w:sz w:val="20"/>
                <w:szCs w:val="20"/>
              </w:rPr>
            </w:pPr>
          </w:p>
        </w:tc>
        <w:tc>
          <w:tcPr>
            <w:tcW w:w="1704" w:type="dxa"/>
            <w:tcBorders>
              <w:top w:val="single" w:sz="4" w:space="0" w:color="auto"/>
              <w:bottom w:val="single" w:sz="4" w:space="0" w:color="auto"/>
            </w:tcBorders>
          </w:tcPr>
          <w:p w14:paraId="1FF47E94" w14:textId="77777777" w:rsidR="002763EE" w:rsidRPr="00D23FD1" w:rsidRDefault="002763EE" w:rsidP="004C27A5">
            <w:pPr>
              <w:spacing w:after="200" w:line="276" w:lineRule="auto"/>
              <w:rPr>
                <w:rFonts w:ascii="Arial" w:hAnsi="Arial" w:cs="Arial"/>
                <w:b/>
                <w:iCs/>
                <w:sz w:val="20"/>
                <w:szCs w:val="20"/>
              </w:rPr>
            </w:pPr>
            <w:r w:rsidRPr="00D23FD1">
              <w:rPr>
                <w:rFonts w:ascii="Arial" w:hAnsi="Arial" w:cs="Arial"/>
                <w:b/>
                <w:iCs/>
                <w:sz w:val="20"/>
                <w:szCs w:val="20"/>
              </w:rPr>
              <w:t>12 months</w:t>
            </w:r>
          </w:p>
        </w:tc>
        <w:tc>
          <w:tcPr>
            <w:tcW w:w="1044" w:type="dxa"/>
            <w:tcBorders>
              <w:top w:val="single" w:sz="4" w:space="0" w:color="auto"/>
              <w:bottom w:val="single" w:sz="4" w:space="0" w:color="auto"/>
            </w:tcBorders>
          </w:tcPr>
          <w:p w14:paraId="01A8A885" w14:textId="77777777" w:rsidR="002763EE" w:rsidRPr="00D23FD1" w:rsidRDefault="002763EE" w:rsidP="009C5957">
            <w:pPr>
              <w:spacing w:after="200" w:line="276" w:lineRule="auto"/>
              <w:jc w:val="center"/>
              <w:rPr>
                <w:rFonts w:ascii="Arial" w:hAnsi="Arial" w:cs="Arial"/>
                <w:b/>
                <w:iCs/>
                <w:sz w:val="20"/>
                <w:szCs w:val="20"/>
              </w:rPr>
            </w:pPr>
            <w:proofErr w:type="spellStart"/>
            <w:r w:rsidRPr="00D23FD1">
              <w:rPr>
                <w:rFonts w:ascii="Arial" w:hAnsi="Arial" w:cs="Arial"/>
                <w:b/>
                <w:iCs/>
                <w:sz w:val="20"/>
                <w:szCs w:val="20"/>
              </w:rPr>
              <w:t>Normo</w:t>
            </w:r>
            <w:proofErr w:type="spellEnd"/>
          </w:p>
        </w:tc>
        <w:tc>
          <w:tcPr>
            <w:tcW w:w="993" w:type="dxa"/>
            <w:tcBorders>
              <w:top w:val="single" w:sz="4" w:space="0" w:color="auto"/>
              <w:bottom w:val="single" w:sz="4" w:space="0" w:color="auto"/>
            </w:tcBorders>
          </w:tcPr>
          <w:p w14:paraId="3E55A4FF" w14:textId="77777777" w:rsidR="002763EE" w:rsidRPr="00D23FD1" w:rsidRDefault="002763EE" w:rsidP="009C5957">
            <w:pPr>
              <w:spacing w:after="200" w:line="276" w:lineRule="auto"/>
              <w:jc w:val="center"/>
              <w:rPr>
                <w:rFonts w:ascii="Arial" w:hAnsi="Arial" w:cs="Arial"/>
                <w:b/>
                <w:iCs/>
                <w:sz w:val="20"/>
                <w:szCs w:val="20"/>
              </w:rPr>
            </w:pPr>
            <w:r w:rsidRPr="00D23FD1">
              <w:rPr>
                <w:rFonts w:ascii="Arial" w:hAnsi="Arial" w:cs="Arial"/>
                <w:b/>
                <w:iCs/>
                <w:sz w:val="20"/>
                <w:szCs w:val="20"/>
              </w:rPr>
              <w:t>NDH</w:t>
            </w:r>
          </w:p>
        </w:tc>
        <w:tc>
          <w:tcPr>
            <w:tcW w:w="1138" w:type="dxa"/>
            <w:tcBorders>
              <w:top w:val="single" w:sz="4" w:space="0" w:color="auto"/>
              <w:bottom w:val="single" w:sz="4" w:space="0" w:color="auto"/>
            </w:tcBorders>
          </w:tcPr>
          <w:p w14:paraId="76A7AAB1" w14:textId="77777777" w:rsidR="002763EE" w:rsidRPr="00D23FD1" w:rsidRDefault="002763EE" w:rsidP="009C5957">
            <w:pPr>
              <w:spacing w:after="200" w:line="276" w:lineRule="auto"/>
              <w:jc w:val="center"/>
              <w:rPr>
                <w:rFonts w:ascii="Arial" w:hAnsi="Arial" w:cs="Arial"/>
                <w:b/>
                <w:iCs/>
                <w:sz w:val="20"/>
                <w:szCs w:val="20"/>
              </w:rPr>
            </w:pPr>
            <w:r w:rsidRPr="00D23FD1">
              <w:rPr>
                <w:rFonts w:ascii="Arial" w:hAnsi="Arial" w:cs="Arial"/>
                <w:b/>
                <w:iCs/>
                <w:sz w:val="20"/>
                <w:szCs w:val="20"/>
              </w:rPr>
              <w:t>Diabetes</w:t>
            </w:r>
          </w:p>
        </w:tc>
        <w:tc>
          <w:tcPr>
            <w:tcW w:w="283" w:type="dxa"/>
            <w:tcBorders>
              <w:top w:val="single" w:sz="4" w:space="0" w:color="FFFFFF"/>
              <w:bottom w:val="single" w:sz="4" w:space="0" w:color="FFFFFF"/>
            </w:tcBorders>
          </w:tcPr>
          <w:p w14:paraId="772B232E" w14:textId="77777777" w:rsidR="002763EE" w:rsidRPr="00D23FD1" w:rsidRDefault="002763EE" w:rsidP="009C5957">
            <w:pPr>
              <w:jc w:val="center"/>
              <w:rPr>
                <w:rFonts w:ascii="Arial" w:hAnsi="Arial" w:cs="Arial"/>
                <w:b/>
                <w:iCs/>
                <w:sz w:val="20"/>
                <w:szCs w:val="20"/>
              </w:rPr>
            </w:pPr>
          </w:p>
        </w:tc>
        <w:tc>
          <w:tcPr>
            <w:tcW w:w="1134" w:type="dxa"/>
            <w:tcBorders>
              <w:top w:val="single" w:sz="4" w:space="0" w:color="FFFFFF" w:themeColor="background1"/>
              <w:bottom w:val="single" w:sz="4" w:space="0" w:color="auto"/>
            </w:tcBorders>
          </w:tcPr>
          <w:p w14:paraId="194C4EBA" w14:textId="68F0C10E" w:rsidR="002763EE" w:rsidRPr="00D23FD1" w:rsidRDefault="002763EE" w:rsidP="009C5957">
            <w:pPr>
              <w:spacing w:after="200" w:line="276" w:lineRule="auto"/>
              <w:jc w:val="center"/>
              <w:rPr>
                <w:rFonts w:ascii="Arial" w:hAnsi="Arial" w:cs="Arial"/>
                <w:b/>
                <w:iCs/>
                <w:sz w:val="20"/>
                <w:szCs w:val="20"/>
              </w:rPr>
            </w:pPr>
            <w:proofErr w:type="spellStart"/>
            <w:r w:rsidRPr="00D23FD1">
              <w:rPr>
                <w:rFonts w:ascii="Arial" w:hAnsi="Arial" w:cs="Arial"/>
                <w:b/>
                <w:iCs/>
                <w:sz w:val="20"/>
                <w:szCs w:val="20"/>
              </w:rPr>
              <w:t>Normo</w:t>
            </w:r>
            <w:proofErr w:type="spellEnd"/>
          </w:p>
        </w:tc>
        <w:tc>
          <w:tcPr>
            <w:tcW w:w="1134" w:type="dxa"/>
            <w:tcBorders>
              <w:top w:val="single" w:sz="4" w:space="0" w:color="FFFFFF" w:themeColor="background1"/>
              <w:bottom w:val="single" w:sz="4" w:space="0" w:color="auto"/>
            </w:tcBorders>
          </w:tcPr>
          <w:p w14:paraId="1F74E3F4" w14:textId="77777777" w:rsidR="002763EE" w:rsidRPr="00D23FD1" w:rsidRDefault="002763EE" w:rsidP="009C5957">
            <w:pPr>
              <w:spacing w:after="200" w:line="276" w:lineRule="auto"/>
              <w:jc w:val="center"/>
              <w:rPr>
                <w:rFonts w:ascii="Arial" w:hAnsi="Arial" w:cs="Arial"/>
                <w:b/>
                <w:iCs/>
                <w:sz w:val="20"/>
                <w:szCs w:val="20"/>
              </w:rPr>
            </w:pPr>
            <w:r w:rsidRPr="00D23FD1">
              <w:rPr>
                <w:rFonts w:ascii="Arial" w:hAnsi="Arial" w:cs="Arial"/>
                <w:b/>
                <w:iCs/>
                <w:sz w:val="20"/>
                <w:szCs w:val="20"/>
              </w:rPr>
              <w:t>NDH</w:t>
            </w:r>
          </w:p>
        </w:tc>
        <w:tc>
          <w:tcPr>
            <w:tcW w:w="1134" w:type="dxa"/>
            <w:tcBorders>
              <w:top w:val="single" w:sz="4" w:space="0" w:color="FFFFFF" w:themeColor="background1"/>
              <w:bottom w:val="single" w:sz="4" w:space="0" w:color="auto"/>
            </w:tcBorders>
          </w:tcPr>
          <w:p w14:paraId="6259CBD3" w14:textId="77777777" w:rsidR="002763EE" w:rsidRPr="00D23FD1" w:rsidRDefault="002763EE" w:rsidP="009C5957">
            <w:pPr>
              <w:spacing w:after="200" w:line="276" w:lineRule="auto"/>
              <w:jc w:val="center"/>
              <w:rPr>
                <w:rFonts w:ascii="Arial" w:hAnsi="Arial" w:cs="Arial"/>
                <w:b/>
                <w:iCs/>
                <w:sz w:val="20"/>
                <w:szCs w:val="20"/>
              </w:rPr>
            </w:pPr>
            <w:r w:rsidRPr="00D23FD1">
              <w:rPr>
                <w:rFonts w:ascii="Arial" w:hAnsi="Arial" w:cs="Arial"/>
                <w:b/>
                <w:iCs/>
                <w:sz w:val="20"/>
                <w:szCs w:val="20"/>
              </w:rPr>
              <w:t>Diabetes</w:t>
            </w:r>
          </w:p>
        </w:tc>
        <w:tc>
          <w:tcPr>
            <w:tcW w:w="236" w:type="dxa"/>
            <w:tcBorders>
              <w:top w:val="single" w:sz="4" w:space="0" w:color="FFFFFF" w:themeColor="background1"/>
              <w:bottom w:val="single" w:sz="4" w:space="0" w:color="FFFFFF" w:themeColor="background1"/>
            </w:tcBorders>
          </w:tcPr>
          <w:p w14:paraId="24E6E69F" w14:textId="77777777" w:rsidR="002763EE" w:rsidRPr="00D23FD1" w:rsidRDefault="002763EE" w:rsidP="009C5957">
            <w:pPr>
              <w:jc w:val="center"/>
              <w:rPr>
                <w:rFonts w:ascii="Arial" w:hAnsi="Arial" w:cs="Arial"/>
                <w:b/>
                <w:iCs/>
                <w:sz w:val="20"/>
                <w:szCs w:val="20"/>
              </w:rPr>
            </w:pPr>
          </w:p>
        </w:tc>
        <w:tc>
          <w:tcPr>
            <w:tcW w:w="1040" w:type="dxa"/>
            <w:tcBorders>
              <w:top w:val="single" w:sz="4" w:space="0" w:color="auto"/>
              <w:bottom w:val="single" w:sz="4" w:space="0" w:color="auto"/>
            </w:tcBorders>
          </w:tcPr>
          <w:p w14:paraId="29ED42BB" w14:textId="3EDC4F9C" w:rsidR="002763EE" w:rsidRPr="00D23FD1" w:rsidRDefault="002763EE" w:rsidP="009C5957">
            <w:pPr>
              <w:spacing w:after="200" w:line="276" w:lineRule="auto"/>
              <w:jc w:val="center"/>
              <w:rPr>
                <w:rFonts w:ascii="Arial" w:hAnsi="Arial" w:cs="Arial"/>
                <w:b/>
                <w:iCs/>
                <w:sz w:val="20"/>
                <w:szCs w:val="20"/>
              </w:rPr>
            </w:pPr>
            <w:proofErr w:type="spellStart"/>
            <w:r w:rsidRPr="00D23FD1">
              <w:rPr>
                <w:rFonts w:ascii="Arial" w:hAnsi="Arial" w:cs="Arial"/>
                <w:b/>
                <w:iCs/>
                <w:sz w:val="20"/>
                <w:szCs w:val="20"/>
              </w:rPr>
              <w:t>Normo</w:t>
            </w:r>
            <w:proofErr w:type="spellEnd"/>
          </w:p>
        </w:tc>
        <w:tc>
          <w:tcPr>
            <w:tcW w:w="992" w:type="dxa"/>
            <w:tcBorders>
              <w:top w:val="single" w:sz="4" w:space="0" w:color="auto"/>
              <w:bottom w:val="single" w:sz="4" w:space="0" w:color="auto"/>
            </w:tcBorders>
          </w:tcPr>
          <w:p w14:paraId="0E25DB0D" w14:textId="77777777" w:rsidR="002763EE" w:rsidRPr="00D23FD1" w:rsidRDefault="002763EE" w:rsidP="009C5957">
            <w:pPr>
              <w:spacing w:after="200" w:line="276" w:lineRule="auto"/>
              <w:jc w:val="center"/>
              <w:rPr>
                <w:rFonts w:ascii="Arial" w:hAnsi="Arial" w:cs="Arial"/>
                <w:b/>
                <w:iCs/>
                <w:sz w:val="20"/>
                <w:szCs w:val="20"/>
              </w:rPr>
            </w:pPr>
            <w:r w:rsidRPr="00D23FD1">
              <w:rPr>
                <w:rFonts w:ascii="Arial" w:hAnsi="Arial" w:cs="Arial"/>
                <w:b/>
                <w:iCs/>
                <w:sz w:val="20"/>
                <w:szCs w:val="20"/>
              </w:rPr>
              <w:t>NDH</w:t>
            </w:r>
          </w:p>
        </w:tc>
        <w:tc>
          <w:tcPr>
            <w:tcW w:w="1134" w:type="dxa"/>
            <w:tcBorders>
              <w:top w:val="single" w:sz="4" w:space="0" w:color="auto"/>
              <w:bottom w:val="single" w:sz="4" w:space="0" w:color="auto"/>
            </w:tcBorders>
          </w:tcPr>
          <w:p w14:paraId="5D513067" w14:textId="77777777" w:rsidR="002763EE" w:rsidRPr="00D23FD1" w:rsidRDefault="002763EE" w:rsidP="009C5957">
            <w:pPr>
              <w:spacing w:after="200" w:line="276" w:lineRule="auto"/>
              <w:jc w:val="center"/>
              <w:rPr>
                <w:rFonts w:ascii="Arial" w:hAnsi="Arial" w:cs="Arial"/>
                <w:b/>
                <w:iCs/>
                <w:sz w:val="20"/>
                <w:szCs w:val="20"/>
              </w:rPr>
            </w:pPr>
            <w:r w:rsidRPr="00D23FD1">
              <w:rPr>
                <w:rFonts w:ascii="Arial" w:hAnsi="Arial" w:cs="Arial"/>
                <w:b/>
                <w:iCs/>
                <w:sz w:val="20"/>
                <w:szCs w:val="20"/>
              </w:rPr>
              <w:t>Diabetes</w:t>
            </w:r>
          </w:p>
        </w:tc>
      </w:tr>
      <w:tr w:rsidR="002763EE" w:rsidRPr="00D23FD1" w14:paraId="0599D112" w14:textId="77777777" w:rsidTr="009C5957">
        <w:tc>
          <w:tcPr>
            <w:tcW w:w="1217" w:type="dxa"/>
            <w:vMerge w:val="restart"/>
            <w:tcBorders>
              <w:top w:val="single" w:sz="4" w:space="0" w:color="auto"/>
            </w:tcBorders>
            <w:vAlign w:val="center"/>
          </w:tcPr>
          <w:p w14:paraId="2D507FEA" w14:textId="77777777" w:rsidR="002763EE" w:rsidRPr="00D23FD1" w:rsidRDefault="002763EE" w:rsidP="004C27A5">
            <w:pPr>
              <w:spacing w:after="200" w:line="276" w:lineRule="auto"/>
              <w:jc w:val="center"/>
              <w:rPr>
                <w:rFonts w:ascii="Arial" w:hAnsi="Arial" w:cs="Arial"/>
                <w:b/>
                <w:iCs/>
                <w:sz w:val="20"/>
                <w:szCs w:val="20"/>
              </w:rPr>
            </w:pPr>
            <w:r w:rsidRPr="00D23FD1">
              <w:rPr>
                <w:rFonts w:ascii="Arial" w:hAnsi="Arial" w:cs="Arial"/>
                <w:b/>
                <w:iCs/>
                <w:sz w:val="20"/>
                <w:szCs w:val="20"/>
              </w:rPr>
              <w:t>Treatment Group</w:t>
            </w:r>
          </w:p>
        </w:tc>
        <w:tc>
          <w:tcPr>
            <w:tcW w:w="1704" w:type="dxa"/>
            <w:tcBorders>
              <w:top w:val="single" w:sz="4" w:space="0" w:color="auto"/>
            </w:tcBorders>
          </w:tcPr>
          <w:p w14:paraId="044810A0" w14:textId="77777777" w:rsidR="002763EE" w:rsidRPr="00D23FD1" w:rsidRDefault="002763EE" w:rsidP="004C27A5">
            <w:pPr>
              <w:spacing w:after="200" w:line="276" w:lineRule="auto"/>
              <w:rPr>
                <w:rFonts w:ascii="Arial" w:hAnsi="Arial" w:cs="Arial"/>
                <w:b/>
                <w:iCs/>
                <w:sz w:val="20"/>
                <w:szCs w:val="20"/>
              </w:rPr>
            </w:pPr>
            <w:r w:rsidRPr="00D23FD1">
              <w:rPr>
                <w:rFonts w:ascii="Arial" w:hAnsi="Arial" w:cs="Arial"/>
                <w:b/>
                <w:iCs/>
                <w:sz w:val="20"/>
                <w:szCs w:val="20"/>
              </w:rPr>
              <w:t>Brief Intervention</w:t>
            </w:r>
          </w:p>
        </w:tc>
        <w:tc>
          <w:tcPr>
            <w:tcW w:w="1044" w:type="dxa"/>
            <w:tcBorders>
              <w:top w:val="single" w:sz="4" w:space="0" w:color="auto"/>
            </w:tcBorders>
          </w:tcPr>
          <w:p w14:paraId="5BB26AB8"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16 (84%)</w:t>
            </w:r>
          </w:p>
        </w:tc>
        <w:tc>
          <w:tcPr>
            <w:tcW w:w="993" w:type="dxa"/>
            <w:tcBorders>
              <w:top w:val="single" w:sz="4" w:space="0" w:color="auto"/>
            </w:tcBorders>
          </w:tcPr>
          <w:p w14:paraId="66B4EF35"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3 (16%)</w:t>
            </w:r>
          </w:p>
        </w:tc>
        <w:tc>
          <w:tcPr>
            <w:tcW w:w="1138" w:type="dxa"/>
            <w:tcBorders>
              <w:top w:val="single" w:sz="4" w:space="0" w:color="auto"/>
            </w:tcBorders>
          </w:tcPr>
          <w:p w14:paraId="4649A057"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0 (0%)</w:t>
            </w:r>
          </w:p>
        </w:tc>
        <w:tc>
          <w:tcPr>
            <w:tcW w:w="283" w:type="dxa"/>
            <w:tcBorders>
              <w:top w:val="single" w:sz="4" w:space="0" w:color="FFFFFF"/>
            </w:tcBorders>
          </w:tcPr>
          <w:p w14:paraId="68E954EE" w14:textId="77777777" w:rsidR="002763EE" w:rsidRPr="00D23FD1" w:rsidRDefault="002763EE" w:rsidP="009C5957">
            <w:pPr>
              <w:jc w:val="center"/>
              <w:rPr>
                <w:rFonts w:ascii="Arial" w:hAnsi="Arial" w:cs="Arial"/>
                <w:iCs/>
                <w:sz w:val="20"/>
                <w:szCs w:val="20"/>
              </w:rPr>
            </w:pPr>
          </w:p>
        </w:tc>
        <w:tc>
          <w:tcPr>
            <w:tcW w:w="1134" w:type="dxa"/>
            <w:tcBorders>
              <w:top w:val="single" w:sz="4" w:space="0" w:color="auto"/>
            </w:tcBorders>
          </w:tcPr>
          <w:p w14:paraId="11990C84" w14:textId="4CF18788"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5 (16%)</w:t>
            </w:r>
          </w:p>
        </w:tc>
        <w:tc>
          <w:tcPr>
            <w:tcW w:w="1134" w:type="dxa"/>
            <w:tcBorders>
              <w:top w:val="single" w:sz="4" w:space="0" w:color="auto"/>
            </w:tcBorders>
          </w:tcPr>
          <w:p w14:paraId="3781CE70"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25 (78%)</w:t>
            </w:r>
          </w:p>
        </w:tc>
        <w:tc>
          <w:tcPr>
            <w:tcW w:w="1134" w:type="dxa"/>
            <w:tcBorders>
              <w:top w:val="single" w:sz="4" w:space="0" w:color="auto"/>
            </w:tcBorders>
          </w:tcPr>
          <w:p w14:paraId="09D97828"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2 (6%)</w:t>
            </w:r>
          </w:p>
        </w:tc>
        <w:tc>
          <w:tcPr>
            <w:tcW w:w="236" w:type="dxa"/>
            <w:tcBorders>
              <w:top w:val="single" w:sz="4" w:space="0" w:color="FFFFFF" w:themeColor="background1"/>
            </w:tcBorders>
          </w:tcPr>
          <w:p w14:paraId="6EEDB1C9" w14:textId="77777777" w:rsidR="002763EE" w:rsidRPr="00D23FD1" w:rsidRDefault="002763EE" w:rsidP="009C5957">
            <w:pPr>
              <w:jc w:val="center"/>
              <w:rPr>
                <w:rFonts w:ascii="Arial" w:hAnsi="Arial" w:cs="Arial"/>
                <w:iCs/>
                <w:sz w:val="20"/>
                <w:szCs w:val="20"/>
              </w:rPr>
            </w:pPr>
          </w:p>
        </w:tc>
        <w:tc>
          <w:tcPr>
            <w:tcW w:w="1040" w:type="dxa"/>
            <w:tcBorders>
              <w:top w:val="single" w:sz="4" w:space="0" w:color="auto"/>
            </w:tcBorders>
          </w:tcPr>
          <w:p w14:paraId="76E3455C" w14:textId="492A1829"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2 (11%)</w:t>
            </w:r>
          </w:p>
        </w:tc>
        <w:tc>
          <w:tcPr>
            <w:tcW w:w="992" w:type="dxa"/>
            <w:tcBorders>
              <w:top w:val="single" w:sz="4" w:space="0" w:color="auto"/>
            </w:tcBorders>
          </w:tcPr>
          <w:p w14:paraId="07E8C86C"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2 (11%)</w:t>
            </w:r>
          </w:p>
        </w:tc>
        <w:tc>
          <w:tcPr>
            <w:tcW w:w="1134" w:type="dxa"/>
            <w:tcBorders>
              <w:top w:val="single" w:sz="4" w:space="0" w:color="auto"/>
            </w:tcBorders>
          </w:tcPr>
          <w:p w14:paraId="085D7D3A"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15 (79%)</w:t>
            </w:r>
          </w:p>
        </w:tc>
      </w:tr>
      <w:tr w:rsidR="002763EE" w:rsidRPr="00D23FD1" w14:paraId="668219AB" w14:textId="77777777" w:rsidTr="009C5957">
        <w:tc>
          <w:tcPr>
            <w:tcW w:w="1217" w:type="dxa"/>
            <w:vMerge/>
          </w:tcPr>
          <w:p w14:paraId="78F65F73" w14:textId="77777777" w:rsidR="002763EE" w:rsidRPr="00D23FD1" w:rsidRDefault="002763EE" w:rsidP="004C27A5">
            <w:pPr>
              <w:spacing w:after="200" w:line="276" w:lineRule="auto"/>
              <w:rPr>
                <w:rFonts w:ascii="Arial" w:hAnsi="Arial" w:cs="Arial"/>
                <w:b/>
                <w:iCs/>
                <w:sz w:val="20"/>
                <w:szCs w:val="20"/>
              </w:rPr>
            </w:pPr>
          </w:p>
        </w:tc>
        <w:tc>
          <w:tcPr>
            <w:tcW w:w="1704" w:type="dxa"/>
          </w:tcPr>
          <w:p w14:paraId="1EB8BCA9" w14:textId="77777777" w:rsidR="002763EE" w:rsidRPr="00D23FD1" w:rsidRDefault="002763EE" w:rsidP="004C27A5">
            <w:pPr>
              <w:spacing w:after="200" w:line="276" w:lineRule="auto"/>
              <w:rPr>
                <w:rFonts w:ascii="Arial" w:hAnsi="Arial" w:cs="Arial"/>
                <w:b/>
                <w:iCs/>
                <w:sz w:val="20"/>
                <w:szCs w:val="20"/>
              </w:rPr>
            </w:pPr>
            <w:proofErr w:type="gramStart"/>
            <w:r w:rsidRPr="00D23FD1">
              <w:rPr>
                <w:rFonts w:ascii="Arial" w:hAnsi="Arial" w:cs="Arial"/>
                <w:b/>
                <w:iCs/>
                <w:sz w:val="20"/>
                <w:szCs w:val="20"/>
              </w:rPr>
              <w:t>12 week</w:t>
            </w:r>
            <w:proofErr w:type="gramEnd"/>
            <w:r w:rsidRPr="00D23FD1">
              <w:rPr>
                <w:rFonts w:ascii="Arial" w:hAnsi="Arial" w:cs="Arial"/>
                <w:b/>
                <w:iCs/>
                <w:sz w:val="20"/>
                <w:szCs w:val="20"/>
              </w:rPr>
              <w:t xml:space="preserve"> programme</w:t>
            </w:r>
          </w:p>
        </w:tc>
        <w:tc>
          <w:tcPr>
            <w:tcW w:w="1044" w:type="dxa"/>
          </w:tcPr>
          <w:p w14:paraId="302A58DE"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63 (93%)</w:t>
            </w:r>
          </w:p>
        </w:tc>
        <w:tc>
          <w:tcPr>
            <w:tcW w:w="993" w:type="dxa"/>
          </w:tcPr>
          <w:p w14:paraId="639FFC56"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5 (7%)</w:t>
            </w:r>
          </w:p>
        </w:tc>
        <w:tc>
          <w:tcPr>
            <w:tcW w:w="1138" w:type="dxa"/>
          </w:tcPr>
          <w:p w14:paraId="0BA05838"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0 (0%)</w:t>
            </w:r>
          </w:p>
        </w:tc>
        <w:tc>
          <w:tcPr>
            <w:tcW w:w="283" w:type="dxa"/>
          </w:tcPr>
          <w:p w14:paraId="7FC349E8" w14:textId="77777777" w:rsidR="002763EE" w:rsidRPr="00D23FD1" w:rsidRDefault="002763EE" w:rsidP="009C5957">
            <w:pPr>
              <w:jc w:val="center"/>
              <w:rPr>
                <w:rFonts w:ascii="Arial" w:hAnsi="Arial" w:cs="Arial"/>
                <w:iCs/>
                <w:sz w:val="20"/>
                <w:szCs w:val="20"/>
              </w:rPr>
            </w:pPr>
          </w:p>
        </w:tc>
        <w:tc>
          <w:tcPr>
            <w:tcW w:w="1134" w:type="dxa"/>
          </w:tcPr>
          <w:p w14:paraId="2165222E" w14:textId="5A6C1736"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39 (39%)</w:t>
            </w:r>
          </w:p>
        </w:tc>
        <w:tc>
          <w:tcPr>
            <w:tcW w:w="1134" w:type="dxa"/>
          </w:tcPr>
          <w:p w14:paraId="3FDCFD47"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56 (57%)</w:t>
            </w:r>
          </w:p>
        </w:tc>
        <w:tc>
          <w:tcPr>
            <w:tcW w:w="1134" w:type="dxa"/>
          </w:tcPr>
          <w:p w14:paraId="1BED59F9"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4 (4%)</w:t>
            </w:r>
          </w:p>
        </w:tc>
        <w:tc>
          <w:tcPr>
            <w:tcW w:w="236" w:type="dxa"/>
          </w:tcPr>
          <w:p w14:paraId="027E85B4" w14:textId="77777777" w:rsidR="002763EE" w:rsidRPr="00D23FD1" w:rsidRDefault="002763EE" w:rsidP="009C5957">
            <w:pPr>
              <w:jc w:val="center"/>
              <w:rPr>
                <w:rFonts w:ascii="Arial" w:hAnsi="Arial" w:cs="Arial"/>
                <w:iCs/>
                <w:sz w:val="20"/>
                <w:szCs w:val="20"/>
              </w:rPr>
            </w:pPr>
          </w:p>
        </w:tc>
        <w:tc>
          <w:tcPr>
            <w:tcW w:w="1040" w:type="dxa"/>
          </w:tcPr>
          <w:p w14:paraId="7BA15C60" w14:textId="2FCA6481"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2 (5%)</w:t>
            </w:r>
          </w:p>
        </w:tc>
        <w:tc>
          <w:tcPr>
            <w:tcW w:w="992" w:type="dxa"/>
          </w:tcPr>
          <w:p w14:paraId="7861D48B"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7 (16%)</w:t>
            </w:r>
          </w:p>
        </w:tc>
        <w:tc>
          <w:tcPr>
            <w:tcW w:w="1134" w:type="dxa"/>
          </w:tcPr>
          <w:p w14:paraId="5C23DA7F"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34 (79%)</w:t>
            </w:r>
          </w:p>
        </w:tc>
      </w:tr>
      <w:tr w:rsidR="002763EE" w:rsidRPr="00D23FD1" w14:paraId="74868C49" w14:textId="77777777" w:rsidTr="009C5957">
        <w:tc>
          <w:tcPr>
            <w:tcW w:w="1217" w:type="dxa"/>
            <w:vMerge/>
            <w:tcBorders>
              <w:bottom w:val="single" w:sz="4" w:space="0" w:color="auto"/>
            </w:tcBorders>
          </w:tcPr>
          <w:p w14:paraId="281FA5AA" w14:textId="77777777" w:rsidR="002763EE" w:rsidRPr="00D23FD1" w:rsidRDefault="002763EE" w:rsidP="004C27A5">
            <w:pPr>
              <w:spacing w:after="200" w:line="276" w:lineRule="auto"/>
              <w:rPr>
                <w:rFonts w:ascii="Arial" w:hAnsi="Arial" w:cs="Arial"/>
                <w:b/>
                <w:iCs/>
                <w:sz w:val="20"/>
                <w:szCs w:val="20"/>
              </w:rPr>
            </w:pPr>
          </w:p>
        </w:tc>
        <w:tc>
          <w:tcPr>
            <w:tcW w:w="1704" w:type="dxa"/>
            <w:tcBorders>
              <w:bottom w:val="single" w:sz="4" w:space="0" w:color="auto"/>
            </w:tcBorders>
          </w:tcPr>
          <w:p w14:paraId="61233DDA" w14:textId="77777777" w:rsidR="002763EE" w:rsidRPr="00D23FD1" w:rsidRDefault="002763EE" w:rsidP="004C27A5">
            <w:pPr>
              <w:spacing w:after="200" w:line="276" w:lineRule="auto"/>
              <w:rPr>
                <w:rFonts w:ascii="Arial" w:hAnsi="Arial" w:cs="Arial"/>
                <w:b/>
                <w:iCs/>
                <w:sz w:val="20"/>
                <w:szCs w:val="20"/>
              </w:rPr>
            </w:pPr>
            <w:proofErr w:type="gramStart"/>
            <w:r w:rsidRPr="00D23FD1">
              <w:rPr>
                <w:rFonts w:ascii="Arial" w:hAnsi="Arial" w:cs="Arial"/>
                <w:b/>
                <w:iCs/>
                <w:sz w:val="20"/>
                <w:szCs w:val="20"/>
              </w:rPr>
              <w:t>52 week</w:t>
            </w:r>
            <w:proofErr w:type="gramEnd"/>
            <w:r w:rsidRPr="00D23FD1">
              <w:rPr>
                <w:rFonts w:ascii="Arial" w:hAnsi="Arial" w:cs="Arial"/>
                <w:b/>
                <w:iCs/>
                <w:sz w:val="20"/>
                <w:szCs w:val="20"/>
              </w:rPr>
              <w:t xml:space="preserve"> programme </w:t>
            </w:r>
          </w:p>
        </w:tc>
        <w:tc>
          <w:tcPr>
            <w:tcW w:w="1044" w:type="dxa"/>
            <w:tcBorders>
              <w:bottom w:val="single" w:sz="4" w:space="0" w:color="auto"/>
            </w:tcBorders>
          </w:tcPr>
          <w:p w14:paraId="2008BEE5"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67 (92%)</w:t>
            </w:r>
          </w:p>
        </w:tc>
        <w:tc>
          <w:tcPr>
            <w:tcW w:w="993" w:type="dxa"/>
            <w:tcBorders>
              <w:bottom w:val="single" w:sz="4" w:space="0" w:color="auto"/>
            </w:tcBorders>
          </w:tcPr>
          <w:p w14:paraId="0A9023D9" w14:textId="6400E578"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6 (8%)</w:t>
            </w:r>
          </w:p>
        </w:tc>
        <w:tc>
          <w:tcPr>
            <w:tcW w:w="1138" w:type="dxa"/>
            <w:tcBorders>
              <w:bottom w:val="single" w:sz="4" w:space="0" w:color="auto"/>
            </w:tcBorders>
          </w:tcPr>
          <w:p w14:paraId="56BBE857"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0 (0%)</w:t>
            </w:r>
          </w:p>
        </w:tc>
        <w:tc>
          <w:tcPr>
            <w:tcW w:w="283" w:type="dxa"/>
            <w:tcBorders>
              <w:bottom w:val="single" w:sz="4" w:space="0" w:color="auto"/>
            </w:tcBorders>
          </w:tcPr>
          <w:p w14:paraId="048EE575" w14:textId="77777777" w:rsidR="002763EE" w:rsidRPr="00D23FD1" w:rsidRDefault="002763EE" w:rsidP="009C5957">
            <w:pPr>
              <w:jc w:val="center"/>
              <w:rPr>
                <w:rFonts w:ascii="Arial" w:hAnsi="Arial" w:cs="Arial"/>
                <w:iCs/>
                <w:sz w:val="20"/>
                <w:szCs w:val="20"/>
              </w:rPr>
            </w:pPr>
          </w:p>
        </w:tc>
        <w:tc>
          <w:tcPr>
            <w:tcW w:w="1134" w:type="dxa"/>
            <w:tcBorders>
              <w:bottom w:val="single" w:sz="4" w:space="0" w:color="auto"/>
            </w:tcBorders>
          </w:tcPr>
          <w:p w14:paraId="01CD2767" w14:textId="01F73A94"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37 (43%)</w:t>
            </w:r>
          </w:p>
        </w:tc>
        <w:tc>
          <w:tcPr>
            <w:tcW w:w="1134" w:type="dxa"/>
            <w:tcBorders>
              <w:bottom w:val="single" w:sz="4" w:space="0" w:color="auto"/>
            </w:tcBorders>
          </w:tcPr>
          <w:p w14:paraId="366D4D12"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48 (56%)</w:t>
            </w:r>
          </w:p>
        </w:tc>
        <w:tc>
          <w:tcPr>
            <w:tcW w:w="1134" w:type="dxa"/>
            <w:tcBorders>
              <w:bottom w:val="single" w:sz="4" w:space="0" w:color="auto"/>
            </w:tcBorders>
          </w:tcPr>
          <w:p w14:paraId="1A327D4A"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1 (1%)</w:t>
            </w:r>
          </w:p>
        </w:tc>
        <w:tc>
          <w:tcPr>
            <w:tcW w:w="236" w:type="dxa"/>
            <w:tcBorders>
              <w:bottom w:val="single" w:sz="4" w:space="0" w:color="auto"/>
            </w:tcBorders>
          </w:tcPr>
          <w:p w14:paraId="74F49BD4" w14:textId="77777777" w:rsidR="002763EE" w:rsidRPr="00D23FD1" w:rsidRDefault="002763EE" w:rsidP="009C5957">
            <w:pPr>
              <w:jc w:val="center"/>
              <w:rPr>
                <w:rFonts w:ascii="Arial" w:hAnsi="Arial" w:cs="Arial"/>
                <w:iCs/>
                <w:sz w:val="20"/>
                <w:szCs w:val="20"/>
              </w:rPr>
            </w:pPr>
          </w:p>
        </w:tc>
        <w:tc>
          <w:tcPr>
            <w:tcW w:w="1040" w:type="dxa"/>
            <w:tcBorders>
              <w:bottom w:val="single" w:sz="4" w:space="0" w:color="auto"/>
            </w:tcBorders>
          </w:tcPr>
          <w:p w14:paraId="1DFD50E2" w14:textId="4ADBFFE4"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0 (0%)</w:t>
            </w:r>
          </w:p>
        </w:tc>
        <w:tc>
          <w:tcPr>
            <w:tcW w:w="992" w:type="dxa"/>
            <w:tcBorders>
              <w:bottom w:val="single" w:sz="4" w:space="0" w:color="auto"/>
            </w:tcBorders>
          </w:tcPr>
          <w:p w14:paraId="1A14AF24"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9 (22%)</w:t>
            </w:r>
          </w:p>
        </w:tc>
        <w:tc>
          <w:tcPr>
            <w:tcW w:w="1134" w:type="dxa"/>
            <w:tcBorders>
              <w:bottom w:val="single" w:sz="4" w:space="0" w:color="auto"/>
            </w:tcBorders>
          </w:tcPr>
          <w:p w14:paraId="268FC508" w14:textId="77777777" w:rsidR="002763EE" w:rsidRPr="00D23FD1" w:rsidRDefault="002763EE" w:rsidP="009C5957">
            <w:pPr>
              <w:spacing w:after="200" w:line="276" w:lineRule="auto"/>
              <w:jc w:val="center"/>
              <w:rPr>
                <w:rFonts w:ascii="Arial" w:hAnsi="Arial" w:cs="Arial"/>
                <w:iCs/>
                <w:sz w:val="20"/>
                <w:szCs w:val="20"/>
              </w:rPr>
            </w:pPr>
            <w:r w:rsidRPr="00D23FD1">
              <w:rPr>
                <w:rFonts w:ascii="Arial" w:hAnsi="Arial" w:cs="Arial"/>
                <w:iCs/>
                <w:sz w:val="20"/>
                <w:szCs w:val="20"/>
              </w:rPr>
              <w:t>32 (78%)</w:t>
            </w:r>
          </w:p>
        </w:tc>
      </w:tr>
    </w:tbl>
    <w:p w14:paraId="68C0B830" w14:textId="77777777" w:rsidR="00E30863" w:rsidRPr="00D23FD1" w:rsidRDefault="00E30863" w:rsidP="00E30863">
      <w:pPr>
        <w:rPr>
          <w:rFonts w:ascii="Arial" w:hAnsi="Arial" w:cs="Arial"/>
          <w:b/>
          <w:iCs/>
          <w:sz w:val="20"/>
          <w:szCs w:val="20"/>
        </w:rPr>
      </w:pPr>
      <w:proofErr w:type="spellStart"/>
      <w:r w:rsidRPr="00D23FD1">
        <w:rPr>
          <w:rFonts w:ascii="Arial" w:hAnsi="Arial" w:cs="Arial"/>
          <w:b/>
          <w:iCs/>
          <w:sz w:val="20"/>
          <w:szCs w:val="20"/>
        </w:rPr>
        <w:t>Normo</w:t>
      </w:r>
      <w:proofErr w:type="spellEnd"/>
      <w:r w:rsidRPr="00D23FD1">
        <w:rPr>
          <w:rFonts w:ascii="Arial" w:hAnsi="Arial" w:cs="Arial"/>
          <w:b/>
          <w:iCs/>
          <w:sz w:val="20"/>
          <w:szCs w:val="20"/>
        </w:rPr>
        <w:t xml:space="preserve"> = </w:t>
      </w:r>
      <w:proofErr w:type="spellStart"/>
      <w:r w:rsidRPr="00D23FD1">
        <w:rPr>
          <w:rFonts w:ascii="Arial" w:hAnsi="Arial" w:cs="Arial"/>
          <w:b/>
          <w:iCs/>
          <w:sz w:val="20"/>
          <w:szCs w:val="20"/>
        </w:rPr>
        <w:t>Normoglycaemia</w:t>
      </w:r>
      <w:proofErr w:type="spellEnd"/>
      <w:r w:rsidRPr="00D23FD1">
        <w:rPr>
          <w:rFonts w:ascii="Arial" w:hAnsi="Arial" w:cs="Arial"/>
          <w:b/>
          <w:iCs/>
          <w:sz w:val="20"/>
          <w:szCs w:val="20"/>
        </w:rPr>
        <w:t>; NDH = Non-diabetic hyperglycaemia</w:t>
      </w:r>
    </w:p>
    <w:p w14:paraId="44670A64" w14:textId="77777777" w:rsidR="00E30863" w:rsidRPr="00D23FD1" w:rsidRDefault="00E30863" w:rsidP="00E30863">
      <w:pPr>
        <w:rPr>
          <w:rFonts w:ascii="Arial" w:hAnsi="Arial" w:cs="Arial"/>
          <w:b/>
          <w:iCs/>
          <w:sz w:val="20"/>
          <w:szCs w:val="20"/>
        </w:rPr>
      </w:pPr>
      <w:r w:rsidRPr="00D23FD1">
        <w:rPr>
          <w:rFonts w:ascii="Arial" w:hAnsi="Arial" w:cs="Arial"/>
          <w:b/>
          <w:iCs/>
          <w:sz w:val="20"/>
          <w:szCs w:val="20"/>
        </w:rPr>
        <w:br w:type="page"/>
      </w:r>
    </w:p>
    <w:p w14:paraId="400668F5" w14:textId="77777777" w:rsidR="00E30863" w:rsidRPr="00683A5D" w:rsidRDefault="00E30863" w:rsidP="00E30863">
      <w:pPr>
        <w:rPr>
          <w:rFonts w:ascii="Arial" w:hAnsi="Arial" w:cs="Arial"/>
          <w:b/>
          <w:iCs/>
          <w:sz w:val="20"/>
          <w:szCs w:val="20"/>
        </w:rPr>
        <w:sectPr w:rsidR="00E30863" w:rsidRPr="00683A5D" w:rsidSect="004C27A5">
          <w:pgSz w:w="16838" w:h="11906" w:orient="landscape"/>
          <w:pgMar w:top="1440" w:right="1440" w:bottom="1440" w:left="1440" w:header="708" w:footer="708" w:gutter="0"/>
          <w:cols w:space="708"/>
          <w:docGrid w:linePitch="360"/>
        </w:sectPr>
      </w:pPr>
    </w:p>
    <w:p w14:paraId="50F5558C" w14:textId="77777777" w:rsidR="00E30863" w:rsidRPr="00683A5D" w:rsidRDefault="00E30863" w:rsidP="00E30863">
      <w:pPr>
        <w:rPr>
          <w:rFonts w:ascii="Arial" w:hAnsi="Arial" w:cs="Arial"/>
          <w:b/>
          <w:iCs/>
          <w:sz w:val="20"/>
          <w:szCs w:val="20"/>
        </w:rPr>
      </w:pPr>
      <w:r w:rsidRPr="00683A5D">
        <w:rPr>
          <w:rFonts w:ascii="Arial" w:hAnsi="Arial" w:cs="Arial"/>
          <w:b/>
          <w:iCs/>
          <w:sz w:val="20"/>
          <w:szCs w:val="20"/>
        </w:rPr>
        <w:t xml:space="preserve">Table </w:t>
      </w:r>
      <w:r>
        <w:rPr>
          <w:rFonts w:ascii="Arial" w:hAnsi="Arial" w:cs="Arial"/>
          <w:b/>
          <w:iCs/>
          <w:sz w:val="20"/>
          <w:szCs w:val="20"/>
        </w:rPr>
        <w:t>3</w:t>
      </w:r>
      <w:r w:rsidRPr="00683A5D">
        <w:rPr>
          <w:rFonts w:ascii="Arial" w:hAnsi="Arial" w:cs="Arial"/>
          <w:b/>
          <w:iCs/>
          <w:sz w:val="20"/>
          <w:szCs w:val="20"/>
        </w:rPr>
        <w:t>: Changes in weight from baseline (mean, SE) to 12 months by intervention group in participants with non-diabetic hyperglycaemia at baseline</w:t>
      </w:r>
    </w:p>
    <w:p w14:paraId="6EDFADD4" w14:textId="77777777" w:rsidR="00E30863" w:rsidRPr="00683A5D" w:rsidRDefault="00E30863" w:rsidP="00E30863">
      <w:pPr>
        <w:autoSpaceDE w:val="0"/>
        <w:autoSpaceDN w:val="0"/>
        <w:adjustRightInd w:val="0"/>
        <w:spacing w:after="0" w:line="240" w:lineRule="auto"/>
        <w:ind w:left="-709"/>
        <w:rPr>
          <w:rFonts w:ascii="Arial" w:hAnsi="Arial" w:cs="Arial"/>
          <w:b/>
          <w:iCs/>
          <w:sz w:val="20"/>
          <w:szCs w:val="20"/>
        </w:rPr>
      </w:pPr>
    </w:p>
    <w:tbl>
      <w:tblPr>
        <w:tblW w:w="16038" w:type="dxa"/>
        <w:tblInd w:w="-601" w:type="dxa"/>
        <w:tblLook w:val="04A0" w:firstRow="1" w:lastRow="0" w:firstColumn="1" w:lastColumn="0" w:noHBand="0" w:noVBand="1"/>
      </w:tblPr>
      <w:tblGrid>
        <w:gridCol w:w="1907"/>
        <w:gridCol w:w="580"/>
        <w:gridCol w:w="1361"/>
        <w:gridCol w:w="1317"/>
        <w:gridCol w:w="1317"/>
        <w:gridCol w:w="267"/>
        <w:gridCol w:w="1995"/>
        <w:gridCol w:w="1028"/>
        <w:gridCol w:w="267"/>
        <w:gridCol w:w="1922"/>
        <w:gridCol w:w="922"/>
        <w:gridCol w:w="258"/>
        <w:gridCol w:w="1875"/>
        <w:gridCol w:w="1022"/>
      </w:tblGrid>
      <w:tr w:rsidR="00E30863" w:rsidRPr="00683A5D" w14:paraId="0AB0F1EC" w14:textId="77777777" w:rsidTr="004C27A5">
        <w:trPr>
          <w:trHeight w:val="300"/>
        </w:trPr>
        <w:tc>
          <w:tcPr>
            <w:tcW w:w="1907" w:type="dxa"/>
            <w:tcBorders>
              <w:top w:val="single" w:sz="4" w:space="0" w:color="auto"/>
              <w:left w:val="nil"/>
              <w:bottom w:val="single" w:sz="4" w:space="0" w:color="auto"/>
              <w:right w:val="nil"/>
            </w:tcBorders>
            <w:shd w:val="clear" w:color="auto" w:fill="auto"/>
            <w:noWrap/>
            <w:vAlign w:val="bottom"/>
            <w:hideMark/>
          </w:tcPr>
          <w:p w14:paraId="161C9348"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p>
        </w:tc>
        <w:tc>
          <w:tcPr>
            <w:tcW w:w="580" w:type="dxa"/>
            <w:tcBorders>
              <w:top w:val="single" w:sz="4" w:space="0" w:color="auto"/>
              <w:left w:val="nil"/>
              <w:bottom w:val="single" w:sz="4" w:space="0" w:color="auto"/>
              <w:right w:val="nil"/>
            </w:tcBorders>
            <w:shd w:val="clear" w:color="auto" w:fill="auto"/>
            <w:noWrap/>
            <w:vAlign w:val="bottom"/>
            <w:hideMark/>
          </w:tcPr>
          <w:p w14:paraId="614AEEF8" w14:textId="77777777" w:rsidR="00E30863" w:rsidRPr="00683A5D" w:rsidRDefault="00E30863" w:rsidP="004C27A5">
            <w:pPr>
              <w:spacing w:after="0" w:line="240" w:lineRule="auto"/>
              <w:jc w:val="center"/>
              <w:rPr>
                <w:rFonts w:ascii="Arial" w:eastAsia="Times New Roman" w:hAnsi="Arial" w:cs="Arial"/>
                <w:sz w:val="20"/>
                <w:szCs w:val="20"/>
                <w:lang w:eastAsia="ja-JP"/>
              </w:rPr>
            </w:pPr>
          </w:p>
        </w:tc>
        <w:tc>
          <w:tcPr>
            <w:tcW w:w="3995" w:type="dxa"/>
            <w:gridSpan w:val="3"/>
            <w:tcBorders>
              <w:top w:val="single" w:sz="4" w:space="0" w:color="auto"/>
              <w:left w:val="nil"/>
              <w:bottom w:val="single" w:sz="4" w:space="0" w:color="auto"/>
              <w:right w:val="nil"/>
            </w:tcBorders>
            <w:shd w:val="clear" w:color="auto" w:fill="auto"/>
            <w:noWrap/>
            <w:vAlign w:val="bottom"/>
            <w:hideMark/>
          </w:tcPr>
          <w:p w14:paraId="12BE9AAE" w14:textId="77777777" w:rsidR="00E30863" w:rsidRPr="00683A5D" w:rsidRDefault="00E30863" w:rsidP="004C27A5">
            <w:pPr>
              <w:spacing w:after="0" w:line="240" w:lineRule="auto"/>
              <w:jc w:val="center"/>
              <w:rPr>
                <w:rFonts w:ascii="Arial" w:eastAsia="Times New Roman" w:hAnsi="Arial" w:cs="Arial"/>
                <w:sz w:val="20"/>
                <w:szCs w:val="20"/>
                <w:lang w:eastAsia="ja-JP"/>
              </w:rPr>
            </w:pPr>
            <w:r w:rsidRPr="00683A5D">
              <w:rPr>
                <w:rFonts w:ascii="Arial" w:eastAsia="Times New Roman" w:hAnsi="Arial" w:cs="Arial"/>
                <w:b/>
                <w:bCs/>
                <w:color w:val="000000"/>
                <w:sz w:val="20"/>
                <w:szCs w:val="20"/>
                <w:lang w:eastAsia="ja-JP"/>
              </w:rPr>
              <w:t>Intervention</w:t>
            </w:r>
          </w:p>
        </w:tc>
        <w:tc>
          <w:tcPr>
            <w:tcW w:w="267" w:type="dxa"/>
            <w:tcBorders>
              <w:top w:val="single" w:sz="4" w:space="0" w:color="auto"/>
              <w:left w:val="nil"/>
              <w:bottom w:val="single" w:sz="4" w:space="0" w:color="auto"/>
              <w:right w:val="nil"/>
            </w:tcBorders>
            <w:shd w:val="clear" w:color="auto" w:fill="auto"/>
            <w:noWrap/>
            <w:vAlign w:val="bottom"/>
            <w:hideMark/>
          </w:tcPr>
          <w:p w14:paraId="3540BEFB" w14:textId="77777777" w:rsidR="00E30863" w:rsidRPr="00683A5D" w:rsidRDefault="00E30863" w:rsidP="004C27A5">
            <w:pPr>
              <w:spacing w:after="0" w:line="240" w:lineRule="auto"/>
              <w:jc w:val="center"/>
              <w:rPr>
                <w:rFonts w:ascii="Arial" w:eastAsia="Times New Roman" w:hAnsi="Arial" w:cs="Arial"/>
                <w:sz w:val="20"/>
                <w:szCs w:val="20"/>
                <w:lang w:eastAsia="ja-JP"/>
              </w:rPr>
            </w:pPr>
          </w:p>
        </w:tc>
        <w:tc>
          <w:tcPr>
            <w:tcW w:w="3023" w:type="dxa"/>
            <w:gridSpan w:val="2"/>
            <w:tcBorders>
              <w:top w:val="single" w:sz="4" w:space="0" w:color="auto"/>
              <w:left w:val="nil"/>
              <w:bottom w:val="single" w:sz="4" w:space="0" w:color="auto"/>
              <w:right w:val="nil"/>
            </w:tcBorders>
            <w:shd w:val="clear" w:color="auto" w:fill="auto"/>
            <w:noWrap/>
            <w:vAlign w:val="bottom"/>
            <w:hideMark/>
          </w:tcPr>
          <w:p w14:paraId="0FEB7EC0"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 xml:space="preserve">52-week programme </w:t>
            </w:r>
          </w:p>
          <w:p w14:paraId="586A3DE0"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vs Brief Intervention</w:t>
            </w:r>
          </w:p>
        </w:tc>
        <w:tc>
          <w:tcPr>
            <w:tcW w:w="267" w:type="dxa"/>
            <w:tcBorders>
              <w:top w:val="single" w:sz="4" w:space="0" w:color="auto"/>
              <w:left w:val="nil"/>
              <w:bottom w:val="single" w:sz="4" w:space="0" w:color="auto"/>
              <w:right w:val="nil"/>
            </w:tcBorders>
            <w:shd w:val="clear" w:color="auto" w:fill="auto"/>
            <w:noWrap/>
            <w:vAlign w:val="bottom"/>
            <w:hideMark/>
          </w:tcPr>
          <w:p w14:paraId="7ED4A811" w14:textId="77777777" w:rsidR="00E30863" w:rsidRPr="00683A5D" w:rsidRDefault="00E30863" w:rsidP="004C27A5">
            <w:pPr>
              <w:spacing w:after="0" w:line="240" w:lineRule="auto"/>
              <w:jc w:val="center"/>
              <w:rPr>
                <w:rFonts w:ascii="Arial" w:eastAsia="Times New Roman" w:hAnsi="Arial" w:cs="Arial"/>
                <w:sz w:val="20"/>
                <w:szCs w:val="20"/>
                <w:lang w:eastAsia="ja-JP"/>
              </w:rPr>
            </w:pPr>
          </w:p>
        </w:tc>
        <w:tc>
          <w:tcPr>
            <w:tcW w:w="2844" w:type="dxa"/>
            <w:gridSpan w:val="2"/>
            <w:tcBorders>
              <w:top w:val="single" w:sz="4" w:space="0" w:color="auto"/>
              <w:left w:val="nil"/>
              <w:bottom w:val="single" w:sz="4" w:space="0" w:color="auto"/>
              <w:right w:val="nil"/>
            </w:tcBorders>
            <w:vAlign w:val="bottom"/>
          </w:tcPr>
          <w:p w14:paraId="3F409162"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 xml:space="preserve">12-week programme </w:t>
            </w:r>
          </w:p>
          <w:p w14:paraId="2B162429"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vs Brief Intervention</w:t>
            </w:r>
          </w:p>
        </w:tc>
        <w:tc>
          <w:tcPr>
            <w:tcW w:w="258" w:type="dxa"/>
            <w:tcBorders>
              <w:top w:val="single" w:sz="4" w:space="0" w:color="auto"/>
              <w:left w:val="nil"/>
              <w:bottom w:val="single" w:sz="4" w:space="0" w:color="auto"/>
              <w:right w:val="nil"/>
            </w:tcBorders>
            <w:vAlign w:val="bottom"/>
          </w:tcPr>
          <w:p w14:paraId="0B75FE48"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p>
        </w:tc>
        <w:tc>
          <w:tcPr>
            <w:tcW w:w="2897" w:type="dxa"/>
            <w:gridSpan w:val="2"/>
            <w:tcBorders>
              <w:top w:val="single" w:sz="4" w:space="0" w:color="auto"/>
              <w:left w:val="nil"/>
              <w:bottom w:val="single" w:sz="4" w:space="0" w:color="auto"/>
            </w:tcBorders>
            <w:vAlign w:val="bottom"/>
          </w:tcPr>
          <w:p w14:paraId="48A8CB46"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52</w:t>
            </w:r>
            <w:r w:rsidRPr="00683A5D">
              <w:rPr>
                <w:rFonts w:ascii="Arial" w:eastAsia="Times New Roman" w:hAnsi="Arial" w:cs="Arial"/>
                <w:b/>
                <w:bCs/>
                <w:color w:val="000000"/>
                <w:sz w:val="20"/>
                <w:szCs w:val="20"/>
                <w:lang w:eastAsia="ja-JP"/>
              </w:rPr>
              <w:t>-week programme</w:t>
            </w:r>
          </w:p>
          <w:p w14:paraId="0E8B2256"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 xml:space="preserve"> vs </w:t>
            </w:r>
            <w:r>
              <w:rPr>
                <w:rFonts w:ascii="Arial" w:eastAsia="Times New Roman" w:hAnsi="Arial" w:cs="Arial"/>
                <w:b/>
                <w:bCs/>
                <w:color w:val="000000"/>
                <w:sz w:val="20"/>
                <w:szCs w:val="20"/>
                <w:lang w:eastAsia="ja-JP"/>
              </w:rPr>
              <w:t>1</w:t>
            </w:r>
            <w:r w:rsidRPr="00683A5D">
              <w:rPr>
                <w:rFonts w:ascii="Arial" w:eastAsia="Times New Roman" w:hAnsi="Arial" w:cs="Arial"/>
                <w:b/>
                <w:bCs/>
                <w:color w:val="000000"/>
                <w:sz w:val="20"/>
                <w:szCs w:val="20"/>
                <w:lang w:eastAsia="ja-JP"/>
              </w:rPr>
              <w:t>2-week programme</w:t>
            </w:r>
          </w:p>
        </w:tc>
      </w:tr>
      <w:tr w:rsidR="00E30863" w:rsidRPr="00683A5D" w14:paraId="2318444A" w14:textId="77777777" w:rsidTr="004C27A5">
        <w:trPr>
          <w:trHeight w:val="300"/>
        </w:trPr>
        <w:tc>
          <w:tcPr>
            <w:tcW w:w="1907" w:type="dxa"/>
            <w:tcBorders>
              <w:top w:val="single" w:sz="4" w:space="0" w:color="auto"/>
              <w:left w:val="nil"/>
              <w:bottom w:val="single" w:sz="4" w:space="0" w:color="auto"/>
              <w:right w:val="nil"/>
            </w:tcBorders>
            <w:shd w:val="clear" w:color="auto" w:fill="auto"/>
            <w:noWrap/>
            <w:vAlign w:val="bottom"/>
            <w:hideMark/>
          </w:tcPr>
          <w:p w14:paraId="413D9272"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color w:val="000000"/>
                <w:sz w:val="20"/>
                <w:szCs w:val="20"/>
                <w:lang w:eastAsia="ja-JP"/>
              </w:rPr>
              <w:t> </w:t>
            </w:r>
          </w:p>
        </w:tc>
        <w:tc>
          <w:tcPr>
            <w:tcW w:w="580" w:type="dxa"/>
            <w:tcBorders>
              <w:top w:val="single" w:sz="4" w:space="0" w:color="auto"/>
              <w:left w:val="nil"/>
              <w:bottom w:val="single" w:sz="4" w:space="0" w:color="auto"/>
              <w:right w:val="nil"/>
            </w:tcBorders>
            <w:shd w:val="clear" w:color="auto" w:fill="auto"/>
            <w:noWrap/>
            <w:vAlign w:val="bottom"/>
            <w:hideMark/>
          </w:tcPr>
          <w:p w14:paraId="72280397"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N</w:t>
            </w:r>
          </w:p>
        </w:tc>
        <w:tc>
          <w:tcPr>
            <w:tcW w:w="1361" w:type="dxa"/>
            <w:tcBorders>
              <w:top w:val="single" w:sz="4" w:space="0" w:color="auto"/>
              <w:left w:val="nil"/>
              <w:bottom w:val="single" w:sz="4" w:space="0" w:color="auto"/>
              <w:right w:val="nil"/>
            </w:tcBorders>
            <w:shd w:val="clear" w:color="auto" w:fill="auto"/>
            <w:noWrap/>
            <w:vAlign w:val="bottom"/>
            <w:hideMark/>
          </w:tcPr>
          <w:p w14:paraId="041EB271"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Brief Intervention</w:t>
            </w:r>
          </w:p>
        </w:tc>
        <w:tc>
          <w:tcPr>
            <w:tcW w:w="1317" w:type="dxa"/>
            <w:tcBorders>
              <w:top w:val="single" w:sz="4" w:space="0" w:color="auto"/>
              <w:left w:val="nil"/>
              <w:bottom w:val="single" w:sz="4" w:space="0" w:color="auto"/>
              <w:right w:val="nil"/>
            </w:tcBorders>
            <w:shd w:val="clear" w:color="auto" w:fill="auto"/>
            <w:noWrap/>
            <w:vAlign w:val="bottom"/>
            <w:hideMark/>
          </w:tcPr>
          <w:p w14:paraId="28B052D2"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12- week programme</w:t>
            </w:r>
          </w:p>
        </w:tc>
        <w:tc>
          <w:tcPr>
            <w:tcW w:w="1317" w:type="dxa"/>
            <w:tcBorders>
              <w:top w:val="single" w:sz="4" w:space="0" w:color="auto"/>
              <w:left w:val="nil"/>
              <w:bottom w:val="single" w:sz="4" w:space="0" w:color="auto"/>
              <w:right w:val="nil"/>
            </w:tcBorders>
            <w:shd w:val="clear" w:color="auto" w:fill="auto"/>
            <w:noWrap/>
            <w:vAlign w:val="bottom"/>
            <w:hideMark/>
          </w:tcPr>
          <w:p w14:paraId="0F661DDB"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52-week programme</w:t>
            </w:r>
          </w:p>
        </w:tc>
        <w:tc>
          <w:tcPr>
            <w:tcW w:w="267" w:type="dxa"/>
            <w:tcBorders>
              <w:top w:val="single" w:sz="4" w:space="0" w:color="auto"/>
              <w:left w:val="nil"/>
              <w:bottom w:val="single" w:sz="4" w:space="0" w:color="auto"/>
              <w:right w:val="nil"/>
            </w:tcBorders>
            <w:shd w:val="clear" w:color="auto" w:fill="auto"/>
            <w:noWrap/>
            <w:vAlign w:val="bottom"/>
            <w:hideMark/>
          </w:tcPr>
          <w:p w14:paraId="5B940CAF"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p>
        </w:tc>
        <w:tc>
          <w:tcPr>
            <w:tcW w:w="1995" w:type="dxa"/>
            <w:tcBorders>
              <w:top w:val="single" w:sz="4" w:space="0" w:color="auto"/>
              <w:left w:val="nil"/>
              <w:bottom w:val="single" w:sz="4" w:space="0" w:color="auto"/>
              <w:right w:val="nil"/>
            </w:tcBorders>
            <w:shd w:val="clear" w:color="auto" w:fill="auto"/>
            <w:noWrap/>
            <w:vAlign w:val="bottom"/>
            <w:hideMark/>
          </w:tcPr>
          <w:p w14:paraId="59B78345"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 xml:space="preserve">Adjusted </w:t>
            </w:r>
          </w:p>
          <w:p w14:paraId="7033C4E8"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Difference</w:t>
            </w:r>
          </w:p>
        </w:tc>
        <w:tc>
          <w:tcPr>
            <w:tcW w:w="1028" w:type="dxa"/>
            <w:tcBorders>
              <w:top w:val="single" w:sz="4" w:space="0" w:color="auto"/>
              <w:left w:val="nil"/>
              <w:bottom w:val="single" w:sz="4" w:space="0" w:color="auto"/>
              <w:right w:val="nil"/>
            </w:tcBorders>
            <w:shd w:val="clear" w:color="auto" w:fill="auto"/>
            <w:noWrap/>
            <w:vAlign w:val="bottom"/>
            <w:hideMark/>
          </w:tcPr>
          <w:p w14:paraId="0D15E621"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p-value</w:t>
            </w:r>
          </w:p>
        </w:tc>
        <w:tc>
          <w:tcPr>
            <w:tcW w:w="267" w:type="dxa"/>
            <w:tcBorders>
              <w:top w:val="single" w:sz="4" w:space="0" w:color="auto"/>
              <w:left w:val="nil"/>
              <w:bottom w:val="single" w:sz="4" w:space="0" w:color="auto"/>
              <w:right w:val="nil"/>
            </w:tcBorders>
            <w:shd w:val="clear" w:color="auto" w:fill="auto"/>
            <w:noWrap/>
            <w:vAlign w:val="bottom"/>
            <w:hideMark/>
          </w:tcPr>
          <w:p w14:paraId="1C2A3E8E"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p>
        </w:tc>
        <w:tc>
          <w:tcPr>
            <w:tcW w:w="1922" w:type="dxa"/>
            <w:tcBorders>
              <w:top w:val="single" w:sz="4" w:space="0" w:color="auto"/>
              <w:left w:val="nil"/>
              <w:bottom w:val="single" w:sz="4" w:space="0" w:color="auto"/>
              <w:right w:val="nil"/>
            </w:tcBorders>
            <w:vAlign w:val="bottom"/>
          </w:tcPr>
          <w:p w14:paraId="1BAE9AC4"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 xml:space="preserve">Adjusted </w:t>
            </w:r>
          </w:p>
          <w:p w14:paraId="14740821"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Difference</w:t>
            </w:r>
          </w:p>
        </w:tc>
        <w:tc>
          <w:tcPr>
            <w:tcW w:w="922" w:type="dxa"/>
            <w:tcBorders>
              <w:top w:val="single" w:sz="4" w:space="0" w:color="auto"/>
              <w:left w:val="nil"/>
              <w:bottom w:val="single" w:sz="4" w:space="0" w:color="auto"/>
              <w:right w:val="nil"/>
            </w:tcBorders>
            <w:vAlign w:val="bottom"/>
          </w:tcPr>
          <w:p w14:paraId="426892EF"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p-value</w:t>
            </w:r>
          </w:p>
        </w:tc>
        <w:tc>
          <w:tcPr>
            <w:tcW w:w="258" w:type="dxa"/>
            <w:tcBorders>
              <w:top w:val="single" w:sz="4" w:space="0" w:color="auto"/>
              <w:left w:val="nil"/>
              <w:bottom w:val="single" w:sz="4" w:space="0" w:color="auto"/>
              <w:right w:val="nil"/>
            </w:tcBorders>
            <w:vAlign w:val="bottom"/>
          </w:tcPr>
          <w:p w14:paraId="40D9B676"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p>
        </w:tc>
        <w:tc>
          <w:tcPr>
            <w:tcW w:w="1875" w:type="dxa"/>
            <w:tcBorders>
              <w:top w:val="single" w:sz="4" w:space="0" w:color="auto"/>
              <w:left w:val="nil"/>
              <w:bottom w:val="single" w:sz="4" w:space="0" w:color="auto"/>
              <w:right w:val="nil"/>
            </w:tcBorders>
            <w:vAlign w:val="bottom"/>
          </w:tcPr>
          <w:p w14:paraId="7B39AC53"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 xml:space="preserve">Adjusted </w:t>
            </w:r>
          </w:p>
          <w:p w14:paraId="6E94D5B9" w14:textId="77777777" w:rsidR="00E30863" w:rsidRPr="00683A5D" w:rsidRDefault="00E30863" w:rsidP="004C27A5">
            <w:pPr>
              <w:spacing w:after="0" w:line="240" w:lineRule="auto"/>
              <w:jc w:val="center"/>
              <w:rPr>
                <w:rFonts w:ascii="Arial" w:eastAsia="Times New Roman" w:hAnsi="Arial" w:cs="Arial"/>
                <w:b/>
                <w:bCs/>
                <w:color w:val="000000"/>
                <w:sz w:val="20"/>
                <w:szCs w:val="20"/>
                <w:lang w:eastAsia="ja-JP"/>
              </w:rPr>
            </w:pPr>
            <w:r w:rsidRPr="00683A5D">
              <w:rPr>
                <w:rFonts w:ascii="Arial" w:eastAsia="Times New Roman" w:hAnsi="Arial" w:cs="Arial"/>
                <w:b/>
                <w:bCs/>
                <w:color w:val="000000"/>
                <w:sz w:val="20"/>
                <w:szCs w:val="20"/>
                <w:lang w:eastAsia="ja-JP"/>
              </w:rPr>
              <w:t>Difference</w:t>
            </w:r>
          </w:p>
        </w:tc>
        <w:tc>
          <w:tcPr>
            <w:tcW w:w="1022" w:type="dxa"/>
            <w:tcBorders>
              <w:top w:val="single" w:sz="4" w:space="0" w:color="auto"/>
              <w:bottom w:val="single" w:sz="4" w:space="0" w:color="auto"/>
            </w:tcBorders>
            <w:vAlign w:val="bottom"/>
          </w:tcPr>
          <w:p w14:paraId="5ED817DC" w14:textId="77777777" w:rsidR="00E30863" w:rsidRPr="00683A5D" w:rsidRDefault="00E30863" w:rsidP="004C27A5">
            <w:pPr>
              <w:spacing w:after="0" w:line="240" w:lineRule="auto"/>
              <w:rPr>
                <w:rFonts w:ascii="Arial" w:hAnsi="Arial" w:cs="Arial"/>
                <w:sz w:val="20"/>
                <w:szCs w:val="20"/>
              </w:rPr>
            </w:pPr>
            <w:r w:rsidRPr="00683A5D">
              <w:rPr>
                <w:rFonts w:ascii="Arial" w:eastAsia="Times New Roman" w:hAnsi="Arial" w:cs="Arial"/>
                <w:b/>
                <w:bCs/>
                <w:color w:val="000000"/>
                <w:sz w:val="20"/>
                <w:szCs w:val="20"/>
                <w:lang w:eastAsia="ja-JP"/>
              </w:rPr>
              <w:t>p-value</w:t>
            </w:r>
          </w:p>
        </w:tc>
      </w:tr>
      <w:tr w:rsidR="00E30863" w:rsidRPr="00683A5D" w14:paraId="64FF9210" w14:textId="77777777" w:rsidTr="004C27A5">
        <w:trPr>
          <w:trHeight w:val="300"/>
        </w:trPr>
        <w:tc>
          <w:tcPr>
            <w:tcW w:w="1907" w:type="dxa"/>
            <w:tcBorders>
              <w:top w:val="single" w:sz="4" w:space="0" w:color="auto"/>
              <w:left w:val="nil"/>
              <w:bottom w:val="nil"/>
              <w:right w:val="nil"/>
            </w:tcBorders>
            <w:shd w:val="clear" w:color="auto" w:fill="auto"/>
            <w:noWrap/>
            <w:vAlign w:val="bottom"/>
            <w:hideMark/>
          </w:tcPr>
          <w:p w14:paraId="75009DE7"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b/>
                <w:color w:val="000000"/>
                <w:sz w:val="20"/>
                <w:szCs w:val="20"/>
                <w:lang w:eastAsia="ja-JP"/>
              </w:rPr>
              <w:t>Weight (kg</w:t>
            </w:r>
            <w:r w:rsidRPr="00683A5D">
              <w:rPr>
                <w:rFonts w:ascii="Arial" w:eastAsia="Times New Roman" w:hAnsi="Arial" w:cs="Arial"/>
                <w:color w:val="000000"/>
                <w:sz w:val="20"/>
                <w:szCs w:val="20"/>
                <w:lang w:eastAsia="ja-JP"/>
              </w:rPr>
              <w:t>)</w:t>
            </w:r>
          </w:p>
        </w:tc>
        <w:tc>
          <w:tcPr>
            <w:tcW w:w="580" w:type="dxa"/>
            <w:tcBorders>
              <w:top w:val="single" w:sz="4" w:space="0" w:color="auto"/>
              <w:left w:val="nil"/>
              <w:bottom w:val="nil"/>
              <w:right w:val="nil"/>
            </w:tcBorders>
            <w:shd w:val="clear" w:color="auto" w:fill="auto"/>
            <w:noWrap/>
            <w:vAlign w:val="bottom"/>
            <w:hideMark/>
          </w:tcPr>
          <w:p w14:paraId="33B68AA6"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color w:val="000000"/>
                <w:sz w:val="20"/>
                <w:szCs w:val="20"/>
                <w:lang w:eastAsia="ja-JP"/>
              </w:rPr>
              <w:t>387</w:t>
            </w:r>
          </w:p>
        </w:tc>
        <w:tc>
          <w:tcPr>
            <w:tcW w:w="1361" w:type="dxa"/>
            <w:tcBorders>
              <w:top w:val="single" w:sz="4" w:space="0" w:color="auto"/>
              <w:left w:val="nil"/>
              <w:bottom w:val="nil"/>
              <w:right w:val="nil"/>
            </w:tcBorders>
            <w:shd w:val="clear" w:color="auto" w:fill="auto"/>
            <w:noWrap/>
            <w:vAlign w:val="bottom"/>
            <w:hideMark/>
          </w:tcPr>
          <w:p w14:paraId="7CF1D326"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color w:val="000000"/>
                <w:sz w:val="20"/>
                <w:szCs w:val="20"/>
                <w:lang w:eastAsia="ja-JP"/>
              </w:rPr>
              <w:t>-2.66 (0.95)</w:t>
            </w:r>
          </w:p>
        </w:tc>
        <w:tc>
          <w:tcPr>
            <w:tcW w:w="1317" w:type="dxa"/>
            <w:tcBorders>
              <w:top w:val="single" w:sz="4" w:space="0" w:color="auto"/>
              <w:left w:val="nil"/>
              <w:bottom w:val="nil"/>
              <w:right w:val="nil"/>
            </w:tcBorders>
            <w:shd w:val="clear" w:color="auto" w:fill="auto"/>
            <w:noWrap/>
            <w:vAlign w:val="bottom"/>
            <w:hideMark/>
          </w:tcPr>
          <w:p w14:paraId="643E58A1"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color w:val="000000"/>
                <w:sz w:val="20"/>
                <w:szCs w:val="20"/>
                <w:lang w:eastAsia="ja-JP"/>
              </w:rPr>
              <w:t>-5.66 (0.62)</w:t>
            </w:r>
          </w:p>
        </w:tc>
        <w:tc>
          <w:tcPr>
            <w:tcW w:w="1317" w:type="dxa"/>
            <w:tcBorders>
              <w:top w:val="single" w:sz="4" w:space="0" w:color="auto"/>
              <w:left w:val="nil"/>
              <w:bottom w:val="nil"/>
              <w:right w:val="nil"/>
            </w:tcBorders>
            <w:shd w:val="clear" w:color="auto" w:fill="auto"/>
            <w:noWrap/>
            <w:vAlign w:val="bottom"/>
            <w:hideMark/>
          </w:tcPr>
          <w:p w14:paraId="46DB1432"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color w:val="000000"/>
                <w:sz w:val="20"/>
                <w:szCs w:val="20"/>
                <w:lang w:eastAsia="ja-JP"/>
              </w:rPr>
              <w:t>-6.93 (0.67)</w:t>
            </w:r>
          </w:p>
        </w:tc>
        <w:tc>
          <w:tcPr>
            <w:tcW w:w="267" w:type="dxa"/>
            <w:tcBorders>
              <w:top w:val="single" w:sz="4" w:space="0" w:color="auto"/>
              <w:left w:val="nil"/>
              <w:bottom w:val="nil"/>
              <w:right w:val="nil"/>
            </w:tcBorders>
            <w:shd w:val="clear" w:color="auto" w:fill="auto"/>
            <w:noWrap/>
            <w:vAlign w:val="bottom"/>
            <w:hideMark/>
          </w:tcPr>
          <w:p w14:paraId="5DA297BB"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p>
        </w:tc>
        <w:tc>
          <w:tcPr>
            <w:tcW w:w="1995" w:type="dxa"/>
            <w:tcBorders>
              <w:top w:val="single" w:sz="4" w:space="0" w:color="auto"/>
              <w:left w:val="nil"/>
              <w:bottom w:val="nil"/>
              <w:right w:val="nil"/>
            </w:tcBorders>
            <w:shd w:val="clear" w:color="auto" w:fill="auto"/>
            <w:noWrap/>
            <w:vAlign w:val="bottom"/>
            <w:hideMark/>
          </w:tcPr>
          <w:p w14:paraId="41A3CB68"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-4.27 (-6.43, -2.10)</w:t>
            </w:r>
          </w:p>
        </w:tc>
        <w:tc>
          <w:tcPr>
            <w:tcW w:w="1028" w:type="dxa"/>
            <w:tcBorders>
              <w:top w:val="single" w:sz="4" w:space="0" w:color="auto"/>
              <w:left w:val="nil"/>
              <w:bottom w:val="nil"/>
              <w:right w:val="nil"/>
            </w:tcBorders>
            <w:shd w:val="clear" w:color="auto" w:fill="auto"/>
            <w:noWrap/>
            <w:vAlign w:val="bottom"/>
            <w:hideMark/>
          </w:tcPr>
          <w:p w14:paraId="43BF32E4"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0.0001</w:t>
            </w:r>
          </w:p>
        </w:tc>
        <w:tc>
          <w:tcPr>
            <w:tcW w:w="267" w:type="dxa"/>
            <w:tcBorders>
              <w:top w:val="single" w:sz="4" w:space="0" w:color="auto"/>
              <w:left w:val="nil"/>
              <w:bottom w:val="nil"/>
              <w:right w:val="nil"/>
            </w:tcBorders>
            <w:shd w:val="clear" w:color="auto" w:fill="auto"/>
            <w:noWrap/>
            <w:vAlign w:val="bottom"/>
            <w:hideMark/>
          </w:tcPr>
          <w:p w14:paraId="19103411"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p>
        </w:tc>
        <w:tc>
          <w:tcPr>
            <w:tcW w:w="1922" w:type="dxa"/>
            <w:tcBorders>
              <w:top w:val="single" w:sz="4" w:space="0" w:color="auto"/>
              <w:left w:val="nil"/>
              <w:bottom w:val="nil"/>
              <w:right w:val="nil"/>
            </w:tcBorders>
            <w:vAlign w:val="bottom"/>
          </w:tcPr>
          <w:p w14:paraId="1DAA1E7C"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color w:val="000000"/>
                <w:sz w:val="20"/>
                <w:szCs w:val="20"/>
                <w:lang w:eastAsia="ja-JP"/>
              </w:rPr>
              <w:t>-3.00 (-5.05, -0.94)</w:t>
            </w:r>
          </w:p>
        </w:tc>
        <w:tc>
          <w:tcPr>
            <w:tcW w:w="922" w:type="dxa"/>
            <w:tcBorders>
              <w:top w:val="single" w:sz="4" w:space="0" w:color="auto"/>
              <w:left w:val="nil"/>
              <w:bottom w:val="nil"/>
              <w:right w:val="nil"/>
            </w:tcBorders>
            <w:vAlign w:val="bottom"/>
          </w:tcPr>
          <w:p w14:paraId="22603844"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color w:val="000000"/>
                <w:sz w:val="20"/>
                <w:szCs w:val="20"/>
                <w:lang w:eastAsia="ja-JP"/>
              </w:rPr>
              <w:t>0.0044</w:t>
            </w:r>
          </w:p>
        </w:tc>
        <w:tc>
          <w:tcPr>
            <w:tcW w:w="258" w:type="dxa"/>
            <w:tcBorders>
              <w:top w:val="single" w:sz="4" w:space="0" w:color="auto"/>
              <w:left w:val="nil"/>
              <w:bottom w:val="nil"/>
              <w:right w:val="nil"/>
            </w:tcBorders>
            <w:vAlign w:val="bottom"/>
          </w:tcPr>
          <w:p w14:paraId="605B4B8A"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p>
        </w:tc>
        <w:tc>
          <w:tcPr>
            <w:tcW w:w="1875" w:type="dxa"/>
            <w:tcBorders>
              <w:top w:val="single" w:sz="4" w:space="0" w:color="auto"/>
              <w:left w:val="nil"/>
              <w:bottom w:val="nil"/>
              <w:right w:val="nil"/>
            </w:tcBorders>
            <w:vAlign w:val="bottom"/>
          </w:tcPr>
          <w:p w14:paraId="296DC7DF"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color w:val="000000"/>
                <w:sz w:val="20"/>
                <w:szCs w:val="20"/>
                <w:lang w:eastAsia="ja-JP"/>
              </w:rPr>
              <w:t>-1.27 (-2.76, 0.22)</w:t>
            </w:r>
          </w:p>
        </w:tc>
        <w:tc>
          <w:tcPr>
            <w:tcW w:w="1022" w:type="dxa"/>
            <w:tcBorders>
              <w:top w:val="single" w:sz="4" w:space="0" w:color="auto"/>
            </w:tcBorders>
            <w:vAlign w:val="bottom"/>
          </w:tcPr>
          <w:p w14:paraId="73998E93" w14:textId="77777777" w:rsidR="00E30863" w:rsidRPr="00683A5D" w:rsidRDefault="00E30863" w:rsidP="004C27A5">
            <w:pPr>
              <w:spacing w:after="0" w:line="240" w:lineRule="auto"/>
              <w:rPr>
                <w:rFonts w:ascii="Arial" w:hAnsi="Arial" w:cs="Arial"/>
                <w:sz w:val="20"/>
                <w:szCs w:val="20"/>
              </w:rPr>
            </w:pPr>
            <w:r w:rsidRPr="00683A5D">
              <w:rPr>
                <w:rFonts w:ascii="Arial" w:eastAsia="Times New Roman" w:hAnsi="Arial" w:cs="Arial"/>
                <w:color w:val="000000"/>
                <w:sz w:val="20"/>
                <w:szCs w:val="20"/>
                <w:lang w:eastAsia="ja-JP"/>
              </w:rPr>
              <w:t>0.0958</w:t>
            </w:r>
          </w:p>
        </w:tc>
      </w:tr>
      <w:tr w:rsidR="00E30863" w:rsidRPr="00683A5D" w14:paraId="798A454E" w14:textId="77777777" w:rsidTr="004C27A5">
        <w:trPr>
          <w:trHeight w:val="300"/>
        </w:trPr>
        <w:tc>
          <w:tcPr>
            <w:tcW w:w="1907" w:type="dxa"/>
            <w:tcBorders>
              <w:top w:val="nil"/>
              <w:left w:val="nil"/>
              <w:bottom w:val="nil"/>
              <w:right w:val="nil"/>
            </w:tcBorders>
            <w:shd w:val="clear" w:color="auto" w:fill="auto"/>
            <w:noWrap/>
            <w:vAlign w:val="bottom"/>
          </w:tcPr>
          <w:p w14:paraId="3B9368F9"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b/>
                <w:bCs/>
                <w:sz w:val="20"/>
                <w:szCs w:val="20"/>
                <w:lang w:eastAsia="ja-JP"/>
              </w:rPr>
              <w:t>Glucose (mmol/L)</w:t>
            </w:r>
          </w:p>
        </w:tc>
        <w:tc>
          <w:tcPr>
            <w:tcW w:w="580" w:type="dxa"/>
            <w:tcBorders>
              <w:top w:val="nil"/>
              <w:left w:val="nil"/>
              <w:bottom w:val="nil"/>
              <w:right w:val="nil"/>
            </w:tcBorders>
            <w:shd w:val="clear" w:color="auto" w:fill="auto"/>
            <w:noWrap/>
            <w:vAlign w:val="bottom"/>
          </w:tcPr>
          <w:p w14:paraId="212EE749"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203</w:t>
            </w:r>
          </w:p>
        </w:tc>
        <w:tc>
          <w:tcPr>
            <w:tcW w:w="1361" w:type="dxa"/>
            <w:tcBorders>
              <w:top w:val="nil"/>
              <w:left w:val="nil"/>
              <w:bottom w:val="nil"/>
              <w:right w:val="nil"/>
            </w:tcBorders>
            <w:shd w:val="clear" w:color="auto" w:fill="auto"/>
            <w:noWrap/>
            <w:vAlign w:val="bottom"/>
          </w:tcPr>
          <w:p w14:paraId="1F6B924B"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-0.19 (0.11)</w:t>
            </w:r>
          </w:p>
        </w:tc>
        <w:tc>
          <w:tcPr>
            <w:tcW w:w="1317" w:type="dxa"/>
            <w:tcBorders>
              <w:top w:val="nil"/>
              <w:left w:val="nil"/>
              <w:bottom w:val="nil"/>
              <w:right w:val="nil"/>
            </w:tcBorders>
            <w:shd w:val="clear" w:color="auto" w:fill="auto"/>
            <w:noWrap/>
            <w:vAlign w:val="bottom"/>
          </w:tcPr>
          <w:p w14:paraId="7CD8189D"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-0.30 (0.05)</w:t>
            </w:r>
          </w:p>
        </w:tc>
        <w:tc>
          <w:tcPr>
            <w:tcW w:w="1317" w:type="dxa"/>
            <w:tcBorders>
              <w:top w:val="nil"/>
              <w:left w:val="nil"/>
              <w:bottom w:val="nil"/>
              <w:right w:val="nil"/>
            </w:tcBorders>
            <w:shd w:val="clear" w:color="auto" w:fill="auto"/>
            <w:noWrap/>
            <w:vAlign w:val="bottom"/>
          </w:tcPr>
          <w:p w14:paraId="09354948"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-0.32 (0.06)</w:t>
            </w:r>
          </w:p>
        </w:tc>
        <w:tc>
          <w:tcPr>
            <w:tcW w:w="267" w:type="dxa"/>
            <w:tcBorders>
              <w:top w:val="nil"/>
              <w:left w:val="nil"/>
              <w:bottom w:val="nil"/>
              <w:right w:val="nil"/>
            </w:tcBorders>
            <w:shd w:val="clear" w:color="auto" w:fill="auto"/>
            <w:noWrap/>
            <w:vAlign w:val="bottom"/>
          </w:tcPr>
          <w:p w14:paraId="5C490793"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p>
        </w:tc>
        <w:tc>
          <w:tcPr>
            <w:tcW w:w="1995" w:type="dxa"/>
            <w:tcBorders>
              <w:top w:val="nil"/>
              <w:left w:val="nil"/>
              <w:bottom w:val="nil"/>
              <w:right w:val="nil"/>
            </w:tcBorders>
            <w:shd w:val="clear" w:color="auto" w:fill="auto"/>
            <w:noWrap/>
            <w:vAlign w:val="bottom"/>
          </w:tcPr>
          <w:p w14:paraId="78B489FC"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-0.12 (-0.33, 0.10)</w:t>
            </w:r>
          </w:p>
        </w:tc>
        <w:tc>
          <w:tcPr>
            <w:tcW w:w="1028" w:type="dxa"/>
            <w:tcBorders>
              <w:top w:val="nil"/>
              <w:left w:val="nil"/>
              <w:bottom w:val="nil"/>
              <w:right w:val="nil"/>
            </w:tcBorders>
            <w:shd w:val="clear" w:color="auto" w:fill="auto"/>
            <w:noWrap/>
            <w:vAlign w:val="bottom"/>
          </w:tcPr>
          <w:p w14:paraId="411E84DA"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0.286</w:t>
            </w:r>
          </w:p>
        </w:tc>
        <w:tc>
          <w:tcPr>
            <w:tcW w:w="267" w:type="dxa"/>
            <w:tcBorders>
              <w:top w:val="nil"/>
              <w:left w:val="nil"/>
              <w:bottom w:val="nil"/>
              <w:right w:val="nil"/>
            </w:tcBorders>
            <w:shd w:val="clear" w:color="auto" w:fill="auto"/>
            <w:noWrap/>
            <w:vAlign w:val="bottom"/>
          </w:tcPr>
          <w:p w14:paraId="4ADB8639"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p>
        </w:tc>
        <w:tc>
          <w:tcPr>
            <w:tcW w:w="1922" w:type="dxa"/>
            <w:tcBorders>
              <w:top w:val="nil"/>
              <w:left w:val="nil"/>
              <w:bottom w:val="nil"/>
              <w:right w:val="nil"/>
            </w:tcBorders>
            <w:vAlign w:val="bottom"/>
          </w:tcPr>
          <w:p w14:paraId="62B9092E"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-0.13 (-0.34, 0.08)</w:t>
            </w:r>
          </w:p>
        </w:tc>
        <w:tc>
          <w:tcPr>
            <w:tcW w:w="922" w:type="dxa"/>
            <w:tcBorders>
              <w:top w:val="nil"/>
              <w:left w:val="nil"/>
              <w:bottom w:val="nil"/>
              <w:right w:val="nil"/>
            </w:tcBorders>
            <w:vAlign w:val="bottom"/>
          </w:tcPr>
          <w:p w14:paraId="6FA206B2"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0.224</w:t>
            </w:r>
          </w:p>
        </w:tc>
        <w:tc>
          <w:tcPr>
            <w:tcW w:w="258" w:type="dxa"/>
            <w:tcBorders>
              <w:top w:val="nil"/>
              <w:left w:val="nil"/>
              <w:bottom w:val="nil"/>
              <w:right w:val="nil"/>
            </w:tcBorders>
            <w:vAlign w:val="bottom"/>
          </w:tcPr>
          <w:p w14:paraId="35E7C477"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p>
        </w:tc>
        <w:tc>
          <w:tcPr>
            <w:tcW w:w="1875" w:type="dxa"/>
            <w:tcBorders>
              <w:top w:val="nil"/>
              <w:left w:val="nil"/>
              <w:bottom w:val="nil"/>
              <w:right w:val="nil"/>
            </w:tcBorders>
            <w:vAlign w:val="bottom"/>
          </w:tcPr>
          <w:p w14:paraId="1768CEFE" w14:textId="77777777" w:rsidR="00E30863" w:rsidRPr="00683A5D" w:rsidRDefault="00E30863" w:rsidP="004C27A5">
            <w:pPr>
              <w:spacing w:after="0" w:line="240" w:lineRule="auto"/>
              <w:jc w:val="center"/>
              <w:rPr>
                <w:rFonts w:ascii="Arial" w:eastAsia="Times New Roman" w:hAnsi="Arial" w:cs="Arial"/>
                <w:sz w:val="20"/>
                <w:szCs w:val="20"/>
                <w:lang w:eastAsia="ja-JP"/>
              </w:rPr>
            </w:pPr>
            <w:r w:rsidRPr="00683A5D">
              <w:rPr>
                <w:rFonts w:ascii="Arial" w:eastAsia="Times New Roman" w:hAnsi="Arial" w:cs="Arial"/>
                <w:sz w:val="20"/>
                <w:szCs w:val="20"/>
                <w:lang w:eastAsia="ja-JP"/>
              </w:rPr>
              <w:t>0.01 (-0.13, 0.16)</w:t>
            </w:r>
          </w:p>
        </w:tc>
        <w:tc>
          <w:tcPr>
            <w:tcW w:w="1022" w:type="dxa"/>
            <w:vAlign w:val="bottom"/>
          </w:tcPr>
          <w:p w14:paraId="2AD99DDF" w14:textId="77777777" w:rsidR="00E30863" w:rsidRPr="00683A5D" w:rsidRDefault="00E30863" w:rsidP="004C27A5">
            <w:pPr>
              <w:spacing w:after="0" w:line="240" w:lineRule="auto"/>
              <w:rPr>
                <w:rFonts w:ascii="Arial" w:eastAsia="Times New Roman" w:hAnsi="Arial" w:cs="Arial"/>
                <w:sz w:val="20"/>
                <w:szCs w:val="20"/>
                <w:lang w:eastAsia="ja-JP"/>
              </w:rPr>
            </w:pPr>
            <w:r w:rsidRPr="00683A5D">
              <w:rPr>
                <w:rFonts w:ascii="Arial" w:eastAsia="Times New Roman" w:hAnsi="Arial" w:cs="Arial"/>
                <w:sz w:val="20"/>
                <w:szCs w:val="20"/>
                <w:lang w:eastAsia="ja-JP"/>
              </w:rPr>
              <w:t>0.853</w:t>
            </w:r>
          </w:p>
        </w:tc>
      </w:tr>
      <w:tr w:rsidR="00E30863" w:rsidRPr="00683A5D" w14:paraId="4DC7F4F4" w14:textId="77777777" w:rsidTr="004C27A5">
        <w:trPr>
          <w:trHeight w:val="300"/>
        </w:trPr>
        <w:tc>
          <w:tcPr>
            <w:tcW w:w="1907" w:type="dxa"/>
            <w:tcBorders>
              <w:top w:val="nil"/>
              <w:left w:val="nil"/>
              <w:right w:val="nil"/>
            </w:tcBorders>
            <w:shd w:val="clear" w:color="auto" w:fill="auto"/>
            <w:noWrap/>
            <w:vAlign w:val="bottom"/>
          </w:tcPr>
          <w:p w14:paraId="4891C49C"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b/>
                <w:bCs/>
                <w:sz w:val="20"/>
                <w:szCs w:val="20"/>
                <w:lang w:eastAsia="ja-JP"/>
              </w:rPr>
              <w:t>HbA1c (mmol/mol)</w:t>
            </w:r>
          </w:p>
        </w:tc>
        <w:tc>
          <w:tcPr>
            <w:tcW w:w="580" w:type="dxa"/>
            <w:tcBorders>
              <w:top w:val="nil"/>
              <w:left w:val="nil"/>
              <w:right w:val="nil"/>
            </w:tcBorders>
            <w:shd w:val="clear" w:color="auto" w:fill="auto"/>
            <w:noWrap/>
            <w:vAlign w:val="bottom"/>
          </w:tcPr>
          <w:p w14:paraId="1B307781"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387</w:t>
            </w:r>
          </w:p>
        </w:tc>
        <w:tc>
          <w:tcPr>
            <w:tcW w:w="1361" w:type="dxa"/>
            <w:tcBorders>
              <w:top w:val="nil"/>
              <w:left w:val="nil"/>
              <w:right w:val="nil"/>
            </w:tcBorders>
            <w:shd w:val="clear" w:color="auto" w:fill="auto"/>
            <w:noWrap/>
            <w:vAlign w:val="bottom"/>
          </w:tcPr>
          <w:p w14:paraId="2D6559BE"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-1.06 (0.55)</w:t>
            </w:r>
          </w:p>
        </w:tc>
        <w:tc>
          <w:tcPr>
            <w:tcW w:w="1317" w:type="dxa"/>
            <w:tcBorders>
              <w:top w:val="nil"/>
              <w:left w:val="nil"/>
              <w:right w:val="nil"/>
            </w:tcBorders>
            <w:shd w:val="clear" w:color="auto" w:fill="auto"/>
            <w:noWrap/>
            <w:vAlign w:val="bottom"/>
          </w:tcPr>
          <w:p w14:paraId="2430AB9C"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-1.37 (0.28)</w:t>
            </w:r>
          </w:p>
        </w:tc>
        <w:tc>
          <w:tcPr>
            <w:tcW w:w="1317" w:type="dxa"/>
            <w:tcBorders>
              <w:top w:val="nil"/>
              <w:left w:val="nil"/>
              <w:right w:val="nil"/>
            </w:tcBorders>
            <w:shd w:val="clear" w:color="auto" w:fill="auto"/>
            <w:noWrap/>
            <w:vAlign w:val="bottom"/>
          </w:tcPr>
          <w:p w14:paraId="7A34547D"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-1.94 (0.28)</w:t>
            </w:r>
          </w:p>
        </w:tc>
        <w:tc>
          <w:tcPr>
            <w:tcW w:w="267" w:type="dxa"/>
            <w:tcBorders>
              <w:top w:val="nil"/>
              <w:left w:val="nil"/>
              <w:right w:val="nil"/>
            </w:tcBorders>
            <w:shd w:val="clear" w:color="auto" w:fill="auto"/>
            <w:noWrap/>
            <w:vAlign w:val="bottom"/>
          </w:tcPr>
          <w:p w14:paraId="449A30ED"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p>
        </w:tc>
        <w:tc>
          <w:tcPr>
            <w:tcW w:w="1995" w:type="dxa"/>
            <w:tcBorders>
              <w:top w:val="nil"/>
              <w:left w:val="nil"/>
              <w:right w:val="nil"/>
            </w:tcBorders>
            <w:shd w:val="clear" w:color="auto" w:fill="auto"/>
            <w:noWrap/>
            <w:vAlign w:val="bottom"/>
          </w:tcPr>
          <w:p w14:paraId="6A53D521"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-1.03 (-2.21, 0.16)</w:t>
            </w:r>
          </w:p>
        </w:tc>
        <w:tc>
          <w:tcPr>
            <w:tcW w:w="1028" w:type="dxa"/>
            <w:tcBorders>
              <w:top w:val="nil"/>
              <w:left w:val="nil"/>
              <w:right w:val="nil"/>
            </w:tcBorders>
            <w:shd w:val="clear" w:color="auto" w:fill="auto"/>
            <w:noWrap/>
            <w:vAlign w:val="bottom"/>
          </w:tcPr>
          <w:p w14:paraId="2D243572"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0.0891</w:t>
            </w:r>
          </w:p>
        </w:tc>
        <w:tc>
          <w:tcPr>
            <w:tcW w:w="267" w:type="dxa"/>
            <w:tcBorders>
              <w:top w:val="nil"/>
              <w:left w:val="nil"/>
              <w:right w:val="nil"/>
            </w:tcBorders>
            <w:shd w:val="clear" w:color="auto" w:fill="auto"/>
            <w:noWrap/>
            <w:vAlign w:val="bottom"/>
          </w:tcPr>
          <w:p w14:paraId="612323D0"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p>
        </w:tc>
        <w:tc>
          <w:tcPr>
            <w:tcW w:w="1922" w:type="dxa"/>
            <w:tcBorders>
              <w:top w:val="nil"/>
              <w:left w:val="nil"/>
              <w:right w:val="nil"/>
            </w:tcBorders>
            <w:vAlign w:val="bottom"/>
          </w:tcPr>
          <w:p w14:paraId="1C21D4C1"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-0.45 (-1.63, 0.72)</w:t>
            </w:r>
          </w:p>
        </w:tc>
        <w:tc>
          <w:tcPr>
            <w:tcW w:w="922" w:type="dxa"/>
            <w:tcBorders>
              <w:top w:val="nil"/>
              <w:left w:val="nil"/>
              <w:right w:val="nil"/>
            </w:tcBorders>
            <w:vAlign w:val="bottom"/>
          </w:tcPr>
          <w:p w14:paraId="58EBC30F"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0.445</w:t>
            </w:r>
          </w:p>
        </w:tc>
        <w:tc>
          <w:tcPr>
            <w:tcW w:w="258" w:type="dxa"/>
            <w:tcBorders>
              <w:top w:val="nil"/>
              <w:left w:val="nil"/>
              <w:right w:val="nil"/>
            </w:tcBorders>
            <w:vAlign w:val="bottom"/>
          </w:tcPr>
          <w:p w14:paraId="67A6F335"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p>
        </w:tc>
        <w:tc>
          <w:tcPr>
            <w:tcW w:w="1875" w:type="dxa"/>
            <w:tcBorders>
              <w:top w:val="nil"/>
              <w:left w:val="nil"/>
              <w:right w:val="nil"/>
            </w:tcBorders>
            <w:vAlign w:val="bottom"/>
          </w:tcPr>
          <w:p w14:paraId="0ACD3384" w14:textId="77777777" w:rsidR="00E30863" w:rsidRPr="00683A5D" w:rsidRDefault="00E30863" w:rsidP="004C27A5">
            <w:pPr>
              <w:spacing w:after="0" w:line="240" w:lineRule="auto"/>
              <w:jc w:val="center"/>
              <w:rPr>
                <w:rFonts w:ascii="Arial" w:eastAsia="Times New Roman" w:hAnsi="Arial" w:cs="Arial"/>
                <w:sz w:val="20"/>
                <w:szCs w:val="20"/>
                <w:lang w:eastAsia="ja-JP"/>
              </w:rPr>
            </w:pPr>
            <w:r w:rsidRPr="00683A5D">
              <w:rPr>
                <w:rFonts w:ascii="Arial" w:eastAsia="Times New Roman" w:hAnsi="Arial" w:cs="Arial"/>
                <w:sz w:val="20"/>
                <w:szCs w:val="20"/>
                <w:lang w:eastAsia="ja-JP"/>
              </w:rPr>
              <w:t>-0.57 (-1.34, 0.20)</w:t>
            </w:r>
          </w:p>
        </w:tc>
        <w:tc>
          <w:tcPr>
            <w:tcW w:w="1022" w:type="dxa"/>
            <w:vAlign w:val="bottom"/>
          </w:tcPr>
          <w:p w14:paraId="7D3DFAB5" w14:textId="77777777" w:rsidR="00E30863" w:rsidRPr="00683A5D" w:rsidRDefault="00E30863" w:rsidP="004C27A5">
            <w:pPr>
              <w:spacing w:after="0" w:line="240" w:lineRule="auto"/>
              <w:rPr>
                <w:rFonts w:ascii="Arial" w:eastAsia="Times New Roman" w:hAnsi="Arial" w:cs="Arial"/>
                <w:sz w:val="20"/>
                <w:szCs w:val="20"/>
                <w:lang w:eastAsia="ja-JP"/>
              </w:rPr>
            </w:pPr>
            <w:r w:rsidRPr="00683A5D">
              <w:rPr>
                <w:rFonts w:ascii="Arial" w:eastAsia="Times New Roman" w:hAnsi="Arial" w:cs="Arial"/>
                <w:sz w:val="20"/>
                <w:szCs w:val="20"/>
                <w:lang w:eastAsia="ja-JP"/>
              </w:rPr>
              <w:t>0.143</w:t>
            </w:r>
          </w:p>
        </w:tc>
      </w:tr>
      <w:tr w:rsidR="00E30863" w:rsidRPr="00683A5D" w14:paraId="2F511BA5" w14:textId="77777777" w:rsidTr="004C27A5">
        <w:trPr>
          <w:trHeight w:val="300"/>
        </w:trPr>
        <w:tc>
          <w:tcPr>
            <w:tcW w:w="1907" w:type="dxa"/>
            <w:tcBorders>
              <w:top w:val="nil"/>
              <w:left w:val="nil"/>
              <w:bottom w:val="single" w:sz="4" w:space="0" w:color="auto"/>
              <w:right w:val="nil"/>
            </w:tcBorders>
            <w:shd w:val="clear" w:color="auto" w:fill="auto"/>
            <w:noWrap/>
            <w:vAlign w:val="bottom"/>
          </w:tcPr>
          <w:p w14:paraId="0B0D1095"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b/>
                <w:bCs/>
                <w:sz w:val="20"/>
                <w:szCs w:val="20"/>
                <w:lang w:eastAsia="ja-JP"/>
              </w:rPr>
              <w:t>HbA1c (%)</w:t>
            </w:r>
          </w:p>
        </w:tc>
        <w:tc>
          <w:tcPr>
            <w:tcW w:w="580" w:type="dxa"/>
            <w:tcBorders>
              <w:top w:val="nil"/>
              <w:left w:val="nil"/>
              <w:bottom w:val="single" w:sz="4" w:space="0" w:color="auto"/>
              <w:right w:val="nil"/>
            </w:tcBorders>
            <w:shd w:val="clear" w:color="auto" w:fill="auto"/>
            <w:noWrap/>
            <w:vAlign w:val="bottom"/>
          </w:tcPr>
          <w:p w14:paraId="0F41D2BD"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387</w:t>
            </w:r>
          </w:p>
        </w:tc>
        <w:tc>
          <w:tcPr>
            <w:tcW w:w="1361" w:type="dxa"/>
            <w:tcBorders>
              <w:top w:val="nil"/>
              <w:left w:val="nil"/>
              <w:bottom w:val="single" w:sz="4" w:space="0" w:color="auto"/>
              <w:right w:val="nil"/>
            </w:tcBorders>
            <w:shd w:val="clear" w:color="auto" w:fill="auto"/>
            <w:noWrap/>
            <w:vAlign w:val="bottom"/>
          </w:tcPr>
          <w:p w14:paraId="6B3E4F62"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-0.10 (0.05)</w:t>
            </w:r>
          </w:p>
        </w:tc>
        <w:tc>
          <w:tcPr>
            <w:tcW w:w="1317" w:type="dxa"/>
            <w:tcBorders>
              <w:top w:val="nil"/>
              <w:left w:val="nil"/>
              <w:bottom w:val="single" w:sz="4" w:space="0" w:color="auto"/>
              <w:right w:val="nil"/>
            </w:tcBorders>
            <w:shd w:val="clear" w:color="auto" w:fill="auto"/>
            <w:noWrap/>
            <w:vAlign w:val="bottom"/>
          </w:tcPr>
          <w:p w14:paraId="507861AE"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-0.13 (0.03)</w:t>
            </w:r>
          </w:p>
        </w:tc>
        <w:tc>
          <w:tcPr>
            <w:tcW w:w="1317" w:type="dxa"/>
            <w:tcBorders>
              <w:top w:val="nil"/>
              <w:left w:val="nil"/>
              <w:bottom w:val="single" w:sz="4" w:space="0" w:color="auto"/>
              <w:right w:val="nil"/>
            </w:tcBorders>
            <w:shd w:val="clear" w:color="auto" w:fill="auto"/>
            <w:noWrap/>
            <w:vAlign w:val="bottom"/>
          </w:tcPr>
          <w:p w14:paraId="35482C73"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-0.18 (0.03)</w:t>
            </w:r>
          </w:p>
        </w:tc>
        <w:tc>
          <w:tcPr>
            <w:tcW w:w="267" w:type="dxa"/>
            <w:tcBorders>
              <w:top w:val="nil"/>
              <w:left w:val="nil"/>
              <w:bottom w:val="single" w:sz="4" w:space="0" w:color="auto"/>
              <w:right w:val="nil"/>
            </w:tcBorders>
            <w:shd w:val="clear" w:color="auto" w:fill="auto"/>
            <w:noWrap/>
            <w:vAlign w:val="bottom"/>
          </w:tcPr>
          <w:p w14:paraId="2CDE0242"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p>
        </w:tc>
        <w:tc>
          <w:tcPr>
            <w:tcW w:w="1995" w:type="dxa"/>
            <w:tcBorders>
              <w:top w:val="nil"/>
              <w:left w:val="nil"/>
              <w:bottom w:val="single" w:sz="4" w:space="0" w:color="auto"/>
              <w:right w:val="nil"/>
            </w:tcBorders>
            <w:shd w:val="clear" w:color="auto" w:fill="auto"/>
            <w:noWrap/>
            <w:vAlign w:val="bottom"/>
          </w:tcPr>
          <w:p w14:paraId="5C096695"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-0.09 (-0.20, 0.01)</w:t>
            </w:r>
          </w:p>
        </w:tc>
        <w:tc>
          <w:tcPr>
            <w:tcW w:w="1028" w:type="dxa"/>
            <w:tcBorders>
              <w:top w:val="nil"/>
              <w:left w:val="nil"/>
              <w:bottom w:val="single" w:sz="4" w:space="0" w:color="auto"/>
              <w:right w:val="nil"/>
            </w:tcBorders>
            <w:shd w:val="clear" w:color="auto" w:fill="auto"/>
            <w:noWrap/>
            <w:vAlign w:val="bottom"/>
          </w:tcPr>
          <w:p w14:paraId="6FB13C57"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0.0891</w:t>
            </w:r>
          </w:p>
        </w:tc>
        <w:tc>
          <w:tcPr>
            <w:tcW w:w="267" w:type="dxa"/>
            <w:tcBorders>
              <w:top w:val="nil"/>
              <w:left w:val="nil"/>
              <w:bottom w:val="single" w:sz="4" w:space="0" w:color="auto"/>
              <w:right w:val="nil"/>
            </w:tcBorders>
            <w:shd w:val="clear" w:color="auto" w:fill="auto"/>
            <w:noWrap/>
            <w:vAlign w:val="bottom"/>
          </w:tcPr>
          <w:p w14:paraId="7D64CA1E"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p>
        </w:tc>
        <w:tc>
          <w:tcPr>
            <w:tcW w:w="1922" w:type="dxa"/>
            <w:tcBorders>
              <w:top w:val="nil"/>
              <w:left w:val="nil"/>
              <w:bottom w:val="single" w:sz="4" w:space="0" w:color="auto"/>
              <w:right w:val="nil"/>
            </w:tcBorders>
            <w:vAlign w:val="bottom"/>
          </w:tcPr>
          <w:p w14:paraId="1EAACC20"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-0.04 (-0.15, 0.07)</w:t>
            </w:r>
          </w:p>
        </w:tc>
        <w:tc>
          <w:tcPr>
            <w:tcW w:w="922" w:type="dxa"/>
            <w:tcBorders>
              <w:top w:val="nil"/>
              <w:left w:val="nil"/>
              <w:bottom w:val="single" w:sz="4" w:space="0" w:color="auto"/>
              <w:right w:val="nil"/>
            </w:tcBorders>
            <w:vAlign w:val="bottom"/>
          </w:tcPr>
          <w:p w14:paraId="19659868" w14:textId="77777777" w:rsidR="00E30863" w:rsidRPr="00683A5D" w:rsidRDefault="00E30863" w:rsidP="004C27A5">
            <w:pPr>
              <w:spacing w:after="0" w:line="240" w:lineRule="auto"/>
              <w:rPr>
                <w:rFonts w:ascii="Arial" w:eastAsia="Times New Roman" w:hAnsi="Arial" w:cs="Arial"/>
                <w:color w:val="000000"/>
                <w:sz w:val="20"/>
                <w:szCs w:val="20"/>
                <w:lang w:eastAsia="ja-JP"/>
              </w:rPr>
            </w:pPr>
            <w:r w:rsidRPr="00683A5D">
              <w:rPr>
                <w:rFonts w:ascii="Arial" w:eastAsia="Times New Roman" w:hAnsi="Arial" w:cs="Arial"/>
                <w:sz w:val="20"/>
                <w:szCs w:val="20"/>
                <w:lang w:eastAsia="ja-JP"/>
              </w:rPr>
              <w:t>0.445</w:t>
            </w:r>
          </w:p>
        </w:tc>
        <w:tc>
          <w:tcPr>
            <w:tcW w:w="258" w:type="dxa"/>
            <w:tcBorders>
              <w:top w:val="nil"/>
              <w:left w:val="nil"/>
              <w:bottom w:val="single" w:sz="4" w:space="0" w:color="auto"/>
              <w:right w:val="nil"/>
            </w:tcBorders>
            <w:vAlign w:val="bottom"/>
          </w:tcPr>
          <w:p w14:paraId="69948AC5" w14:textId="77777777" w:rsidR="00E30863" w:rsidRPr="00683A5D" w:rsidRDefault="00E30863" w:rsidP="004C27A5">
            <w:pPr>
              <w:spacing w:after="0" w:line="240" w:lineRule="auto"/>
              <w:jc w:val="center"/>
              <w:rPr>
                <w:rFonts w:ascii="Arial" w:eastAsia="Times New Roman" w:hAnsi="Arial" w:cs="Arial"/>
                <w:color w:val="000000"/>
                <w:sz w:val="20"/>
                <w:szCs w:val="20"/>
                <w:lang w:eastAsia="ja-JP"/>
              </w:rPr>
            </w:pPr>
          </w:p>
        </w:tc>
        <w:tc>
          <w:tcPr>
            <w:tcW w:w="1875" w:type="dxa"/>
            <w:tcBorders>
              <w:top w:val="nil"/>
              <w:left w:val="nil"/>
              <w:bottom w:val="single" w:sz="4" w:space="0" w:color="auto"/>
              <w:right w:val="nil"/>
            </w:tcBorders>
            <w:vAlign w:val="bottom"/>
          </w:tcPr>
          <w:p w14:paraId="029CA23A" w14:textId="77777777" w:rsidR="00E30863" w:rsidRPr="00683A5D" w:rsidRDefault="00E30863" w:rsidP="004C27A5">
            <w:pPr>
              <w:spacing w:after="0" w:line="240" w:lineRule="auto"/>
              <w:jc w:val="center"/>
              <w:rPr>
                <w:rFonts w:ascii="Arial" w:eastAsia="Times New Roman" w:hAnsi="Arial" w:cs="Arial"/>
                <w:sz w:val="20"/>
                <w:szCs w:val="20"/>
                <w:lang w:eastAsia="ja-JP"/>
              </w:rPr>
            </w:pPr>
            <w:r w:rsidRPr="00683A5D">
              <w:rPr>
                <w:rFonts w:ascii="Arial" w:eastAsia="Times New Roman" w:hAnsi="Arial" w:cs="Arial"/>
                <w:sz w:val="20"/>
                <w:szCs w:val="20"/>
                <w:lang w:eastAsia="ja-JP"/>
              </w:rPr>
              <w:t>-0.05 (-0.12, 0.02)</w:t>
            </w:r>
          </w:p>
        </w:tc>
        <w:tc>
          <w:tcPr>
            <w:tcW w:w="1022" w:type="dxa"/>
            <w:tcBorders>
              <w:bottom w:val="single" w:sz="4" w:space="0" w:color="auto"/>
            </w:tcBorders>
            <w:vAlign w:val="bottom"/>
          </w:tcPr>
          <w:p w14:paraId="4E084BCF" w14:textId="77777777" w:rsidR="00E30863" w:rsidRPr="00683A5D" w:rsidRDefault="00E30863" w:rsidP="004C27A5">
            <w:pPr>
              <w:spacing w:after="0" w:line="240" w:lineRule="auto"/>
              <w:rPr>
                <w:rFonts w:ascii="Arial" w:eastAsia="Times New Roman" w:hAnsi="Arial" w:cs="Arial"/>
                <w:sz w:val="20"/>
                <w:szCs w:val="20"/>
                <w:lang w:eastAsia="ja-JP"/>
              </w:rPr>
            </w:pPr>
            <w:r w:rsidRPr="00683A5D">
              <w:rPr>
                <w:rFonts w:ascii="Arial" w:eastAsia="Times New Roman" w:hAnsi="Arial" w:cs="Arial"/>
                <w:sz w:val="20"/>
                <w:szCs w:val="20"/>
                <w:lang w:eastAsia="ja-JP"/>
              </w:rPr>
              <w:t>0.143</w:t>
            </w:r>
          </w:p>
        </w:tc>
      </w:tr>
    </w:tbl>
    <w:p w14:paraId="559E5272" w14:textId="77777777" w:rsidR="00E30863" w:rsidRPr="00683A5D" w:rsidRDefault="00E30863" w:rsidP="00E30863">
      <w:pPr>
        <w:autoSpaceDE w:val="0"/>
        <w:autoSpaceDN w:val="0"/>
        <w:adjustRightInd w:val="0"/>
        <w:spacing w:after="0" w:line="240" w:lineRule="auto"/>
        <w:ind w:left="-709"/>
        <w:rPr>
          <w:sz w:val="20"/>
          <w:szCs w:val="20"/>
        </w:rPr>
      </w:pPr>
    </w:p>
    <w:p w14:paraId="35CDC086" w14:textId="77777777" w:rsidR="00E30863" w:rsidRPr="00683A5D" w:rsidRDefault="00E30863" w:rsidP="00E30863">
      <w:pPr>
        <w:autoSpaceDE w:val="0"/>
        <w:autoSpaceDN w:val="0"/>
        <w:adjustRightInd w:val="0"/>
        <w:spacing w:after="0" w:line="240" w:lineRule="auto"/>
        <w:ind w:left="-709"/>
        <w:rPr>
          <w:rFonts w:ascii="Verdana" w:hAnsi="Verdana" w:cs="Calibri,Italic"/>
          <w:iCs/>
          <w:sz w:val="20"/>
          <w:szCs w:val="20"/>
        </w:rPr>
      </w:pPr>
      <w:r w:rsidRPr="00683A5D">
        <w:rPr>
          <w:rFonts w:ascii="Verdana" w:hAnsi="Verdana" w:cs="Calibri,Italic"/>
          <w:iCs/>
          <w:sz w:val="20"/>
          <w:szCs w:val="20"/>
        </w:rPr>
        <w:t>Missing at random analysis; uses 50 imputed data sets obtained from multiple imputation via chained equations (MICE). Treatment effects obtained from mixed effects models with residuals structured as a first-order auto-regressive process stratified by treatment group. Adjusted differences are shown between treatment groups. Analyses are adjusted for baseline observation and centre.</w:t>
      </w:r>
    </w:p>
    <w:p w14:paraId="315F97BE" w14:textId="77777777" w:rsidR="00E30863" w:rsidRPr="00683A5D" w:rsidRDefault="00E30863" w:rsidP="00E30863">
      <w:pPr>
        <w:autoSpaceDE w:val="0"/>
        <w:autoSpaceDN w:val="0"/>
        <w:adjustRightInd w:val="0"/>
        <w:spacing w:after="0" w:line="240" w:lineRule="auto"/>
        <w:rPr>
          <w:rFonts w:ascii="Verdana" w:hAnsi="Verdana" w:cs="Calibri,Italic"/>
          <w:b/>
          <w:iCs/>
          <w:sz w:val="20"/>
          <w:szCs w:val="20"/>
        </w:rPr>
      </w:pPr>
    </w:p>
    <w:p w14:paraId="3B4D1D4E" w14:textId="77777777" w:rsidR="00E30863" w:rsidRPr="00683A5D" w:rsidRDefault="00E30863" w:rsidP="00E30863">
      <w:pPr>
        <w:rPr>
          <w:sz w:val="20"/>
          <w:szCs w:val="20"/>
        </w:rPr>
        <w:sectPr w:rsidR="00E30863" w:rsidRPr="00683A5D" w:rsidSect="004C27A5">
          <w:pgSz w:w="16838" w:h="11906" w:orient="landscape"/>
          <w:pgMar w:top="1440" w:right="1440" w:bottom="1440" w:left="1440" w:header="708" w:footer="708" w:gutter="0"/>
          <w:cols w:space="708"/>
          <w:docGrid w:linePitch="360"/>
        </w:sectPr>
      </w:pPr>
    </w:p>
    <w:p w14:paraId="186A058A" w14:textId="77777777" w:rsidR="00E30863" w:rsidRDefault="00E30863" w:rsidP="00E30863"/>
    <w:p w14:paraId="36634E8F" w14:textId="77777777" w:rsidR="00E30863" w:rsidRDefault="00E30863" w:rsidP="00E30863">
      <w:r w:rsidRPr="006A0ACA">
        <w:rPr>
          <w:noProof/>
          <w:lang w:val="en-US"/>
        </w:rPr>
        <w:drawing>
          <wp:inline distT="0" distB="0" distL="0" distR="0" wp14:anchorId="51AA08AC" wp14:editId="031B9358">
            <wp:extent cx="5731510" cy="2279639"/>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79639"/>
                    </a:xfrm>
                    <a:prstGeom prst="rect">
                      <a:avLst/>
                    </a:prstGeom>
                    <a:noFill/>
                    <a:ln>
                      <a:noFill/>
                    </a:ln>
                  </pic:spPr>
                </pic:pic>
              </a:graphicData>
            </a:graphic>
          </wp:inline>
        </w:drawing>
      </w:r>
    </w:p>
    <w:p w14:paraId="1AC98C1C" w14:textId="77777777" w:rsidR="00E30863" w:rsidRPr="00B74572" w:rsidRDefault="00E30863" w:rsidP="00E30863">
      <w:pPr>
        <w:rPr>
          <w:b/>
        </w:rPr>
      </w:pPr>
      <w:r w:rsidRPr="00B74572">
        <w:rPr>
          <w:b/>
        </w:rPr>
        <w:t xml:space="preserve">Figure 1a: Relative risk </w:t>
      </w:r>
      <w:r>
        <w:rPr>
          <w:b/>
        </w:rPr>
        <w:t xml:space="preserve">ratios (RRR) for </w:t>
      </w:r>
      <w:r w:rsidRPr="00B74572">
        <w:rPr>
          <w:b/>
        </w:rPr>
        <w:t>non-diabetic hyperglycaemia at 12 months</w:t>
      </w:r>
      <w:r>
        <w:rPr>
          <w:b/>
        </w:rPr>
        <w:t>.</w:t>
      </w:r>
      <w:r w:rsidRPr="00B74572">
        <w:rPr>
          <w:b/>
        </w:rPr>
        <w:t xml:space="preserve"> </w:t>
      </w:r>
      <w:r>
        <w:rPr>
          <w:b/>
        </w:rPr>
        <w:t xml:space="preserve">12 week and 52 week behavioural programmes </w:t>
      </w:r>
      <w:r w:rsidRPr="00B74572">
        <w:rPr>
          <w:b/>
        </w:rPr>
        <w:t xml:space="preserve">compared to brief intervention (BI), adjusted for baseline glycaemic status, baseline age, baseline weight, sex, and centre. </w:t>
      </w:r>
    </w:p>
    <w:p w14:paraId="4110BE93" w14:textId="77777777" w:rsidR="00E30863" w:rsidRDefault="00E30863" w:rsidP="00E30863">
      <w:r w:rsidRPr="006A0ACA">
        <w:rPr>
          <w:noProof/>
          <w:lang w:val="en-US"/>
        </w:rPr>
        <w:drawing>
          <wp:inline distT="0" distB="0" distL="0" distR="0" wp14:anchorId="53F036D0" wp14:editId="4173AAF9">
            <wp:extent cx="5731510" cy="236547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365471"/>
                    </a:xfrm>
                    <a:prstGeom prst="rect">
                      <a:avLst/>
                    </a:prstGeom>
                    <a:noFill/>
                    <a:ln>
                      <a:noFill/>
                    </a:ln>
                  </pic:spPr>
                </pic:pic>
              </a:graphicData>
            </a:graphic>
          </wp:inline>
        </w:drawing>
      </w:r>
    </w:p>
    <w:p w14:paraId="3A6BF448" w14:textId="77777777" w:rsidR="00E30863" w:rsidRPr="00B74572" w:rsidRDefault="00E30863" w:rsidP="00E30863">
      <w:pPr>
        <w:rPr>
          <w:b/>
        </w:rPr>
      </w:pPr>
      <w:r w:rsidRPr="00B74572">
        <w:rPr>
          <w:b/>
        </w:rPr>
        <w:t xml:space="preserve">Figure 1b: Relative risk </w:t>
      </w:r>
      <w:r>
        <w:rPr>
          <w:b/>
        </w:rPr>
        <w:t>ratios (RRR) for diabetes</w:t>
      </w:r>
      <w:r w:rsidRPr="00B74572">
        <w:rPr>
          <w:b/>
        </w:rPr>
        <w:t xml:space="preserve"> at 12 months</w:t>
      </w:r>
      <w:r>
        <w:rPr>
          <w:b/>
        </w:rPr>
        <w:t>.</w:t>
      </w:r>
      <w:r w:rsidRPr="00B74572">
        <w:rPr>
          <w:b/>
        </w:rPr>
        <w:t xml:space="preserve"> </w:t>
      </w:r>
      <w:r>
        <w:rPr>
          <w:b/>
        </w:rPr>
        <w:t xml:space="preserve">12 week and 52 week behavioural programmes </w:t>
      </w:r>
      <w:r w:rsidRPr="00B74572">
        <w:rPr>
          <w:b/>
        </w:rPr>
        <w:t>compared to brief intervention (BI)</w:t>
      </w:r>
      <w:r>
        <w:rPr>
          <w:b/>
        </w:rPr>
        <w:t xml:space="preserve">, </w:t>
      </w:r>
      <w:r w:rsidRPr="00B74572">
        <w:rPr>
          <w:b/>
        </w:rPr>
        <w:t xml:space="preserve">adjusted for baseline glycaemic status, baseline age, baseline weight, sex, and centre. </w:t>
      </w:r>
    </w:p>
    <w:p w14:paraId="5A8730B1" w14:textId="77777777" w:rsidR="00E30863" w:rsidRDefault="00E30863" w:rsidP="00E30863"/>
    <w:p w14:paraId="0F63DB88" w14:textId="77777777" w:rsidR="00E30863" w:rsidRDefault="00E30863" w:rsidP="00E30863">
      <w:pPr>
        <w:rPr>
          <w:b/>
        </w:rPr>
      </w:pPr>
      <w:r>
        <w:rPr>
          <w:b/>
        </w:rPr>
        <w:br w:type="page"/>
      </w:r>
    </w:p>
    <w:p w14:paraId="04E9B319" w14:textId="77777777" w:rsidR="00E30863" w:rsidRPr="00BC3DFA" w:rsidRDefault="00E30863" w:rsidP="00E30863"/>
    <w:p w14:paraId="14886C86" w14:textId="77777777" w:rsidR="00E30863" w:rsidRDefault="00E30863" w:rsidP="00E30863">
      <w:r w:rsidRPr="006A0ACA">
        <w:rPr>
          <w:noProof/>
          <w:lang w:val="en-US"/>
        </w:rPr>
        <w:drawing>
          <wp:inline distT="0" distB="0" distL="0" distR="0" wp14:anchorId="0D72E209" wp14:editId="0B562301">
            <wp:extent cx="5731510" cy="2341039"/>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341039"/>
                    </a:xfrm>
                    <a:prstGeom prst="rect">
                      <a:avLst/>
                    </a:prstGeom>
                    <a:noFill/>
                    <a:ln>
                      <a:noFill/>
                    </a:ln>
                  </pic:spPr>
                </pic:pic>
              </a:graphicData>
            </a:graphic>
          </wp:inline>
        </w:drawing>
      </w:r>
    </w:p>
    <w:p w14:paraId="50B80B20" w14:textId="77777777" w:rsidR="00E30863" w:rsidRPr="006A0ACA" w:rsidRDefault="00E30863" w:rsidP="00E30863">
      <w:pPr>
        <w:rPr>
          <w:b/>
        </w:rPr>
      </w:pPr>
      <w:r w:rsidRPr="006A0ACA">
        <w:rPr>
          <w:b/>
        </w:rPr>
        <w:t xml:space="preserve">Figure 2a: Relative risk ratios (RRR) for </w:t>
      </w:r>
      <w:proofErr w:type="spellStart"/>
      <w:r w:rsidRPr="006A0ACA">
        <w:rPr>
          <w:b/>
        </w:rPr>
        <w:t>normoglycaemia</w:t>
      </w:r>
      <w:proofErr w:type="spellEnd"/>
      <w:r w:rsidRPr="006A0ACA">
        <w:rPr>
          <w:b/>
        </w:rPr>
        <w:t xml:space="preserve"> at 12 months in participants with non-diabetic hyperglycaemia at baseline. 12 week and 52 week behavioural programmes compared to brief intervention (BI), adjusted for, baseline weight, age, sex and centre.</w:t>
      </w:r>
    </w:p>
    <w:p w14:paraId="3F8F982D" w14:textId="77777777" w:rsidR="00E30863" w:rsidRDefault="00E30863" w:rsidP="00E30863">
      <w:r w:rsidRPr="006A0ACA">
        <w:rPr>
          <w:noProof/>
          <w:lang w:val="en-US"/>
        </w:rPr>
        <w:drawing>
          <wp:inline distT="0" distB="0" distL="0" distR="0" wp14:anchorId="02898587" wp14:editId="70D44D4E">
            <wp:extent cx="5731510" cy="223550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235504"/>
                    </a:xfrm>
                    <a:prstGeom prst="rect">
                      <a:avLst/>
                    </a:prstGeom>
                    <a:noFill/>
                    <a:ln>
                      <a:noFill/>
                    </a:ln>
                  </pic:spPr>
                </pic:pic>
              </a:graphicData>
            </a:graphic>
          </wp:inline>
        </w:drawing>
      </w:r>
    </w:p>
    <w:p w14:paraId="02CDD01E" w14:textId="77777777" w:rsidR="00E30863" w:rsidRPr="006A0ACA" w:rsidRDefault="00E30863" w:rsidP="00E30863">
      <w:pPr>
        <w:rPr>
          <w:b/>
        </w:rPr>
      </w:pPr>
      <w:r w:rsidRPr="006A0ACA">
        <w:rPr>
          <w:b/>
        </w:rPr>
        <w:t>Figure 2</w:t>
      </w:r>
      <w:r>
        <w:rPr>
          <w:b/>
        </w:rPr>
        <w:t>b</w:t>
      </w:r>
      <w:r w:rsidRPr="006A0ACA">
        <w:rPr>
          <w:b/>
        </w:rPr>
        <w:t xml:space="preserve">: Relative risk ratios (RRR) for </w:t>
      </w:r>
      <w:r>
        <w:rPr>
          <w:b/>
        </w:rPr>
        <w:t>diabetes</w:t>
      </w:r>
      <w:r w:rsidRPr="006A0ACA">
        <w:rPr>
          <w:b/>
        </w:rPr>
        <w:t xml:space="preserve"> at 12 months in participants with non-diabetic hyperglycaemia at baseline. 12 week and 52 week behavioural programmes compared to brief intervention (BI), adjusted for, baseline weight, age, sex and centre.</w:t>
      </w:r>
    </w:p>
    <w:p w14:paraId="2CB5B33D" w14:textId="77777777" w:rsidR="00E30863" w:rsidRPr="00AC4521" w:rsidRDefault="00E30863" w:rsidP="00E30863">
      <w:pPr>
        <w:rPr>
          <w:b/>
          <w:sz w:val="20"/>
          <w:szCs w:val="20"/>
        </w:rPr>
      </w:pPr>
    </w:p>
    <w:p w14:paraId="16D6AB7A" w14:textId="77777777" w:rsidR="00FC0371" w:rsidRDefault="00FC0371" w:rsidP="009C5957"/>
    <w:sectPr w:rsidR="00FC03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72D44" w14:textId="77777777" w:rsidR="00683984" w:rsidRDefault="00683984" w:rsidP="001F1799">
      <w:pPr>
        <w:spacing w:after="0" w:line="240" w:lineRule="auto"/>
      </w:pPr>
      <w:r>
        <w:separator/>
      </w:r>
    </w:p>
  </w:endnote>
  <w:endnote w:type="continuationSeparator" w:id="0">
    <w:p w14:paraId="0EE4F95D" w14:textId="77777777" w:rsidR="00683984" w:rsidRDefault="00683984" w:rsidP="001F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190522"/>
      <w:docPartObj>
        <w:docPartGallery w:val="Page Numbers (Bottom of Page)"/>
        <w:docPartUnique/>
      </w:docPartObj>
    </w:sdtPr>
    <w:sdtEndPr>
      <w:rPr>
        <w:noProof/>
      </w:rPr>
    </w:sdtEndPr>
    <w:sdtContent>
      <w:p w14:paraId="72D23014" w14:textId="5C308400" w:rsidR="00E02F2B" w:rsidRDefault="00E02F2B">
        <w:pPr>
          <w:pStyle w:val="Footer"/>
        </w:pPr>
        <w:r>
          <w:fldChar w:fldCharType="begin"/>
        </w:r>
        <w:r>
          <w:instrText xml:space="preserve"> PAGE   \* MERGEFORMAT </w:instrText>
        </w:r>
        <w:r>
          <w:fldChar w:fldCharType="separate"/>
        </w:r>
        <w:r w:rsidR="001D662D">
          <w:rPr>
            <w:noProof/>
          </w:rPr>
          <w:t>10</w:t>
        </w:r>
        <w:r>
          <w:rPr>
            <w:noProof/>
          </w:rPr>
          <w:fldChar w:fldCharType="end"/>
        </w:r>
      </w:p>
    </w:sdtContent>
  </w:sdt>
  <w:p w14:paraId="048B6701" w14:textId="77777777" w:rsidR="00E02F2B" w:rsidRDefault="00E02F2B">
    <w:pPr>
      <w:pStyle w:val="Footer"/>
    </w:pPr>
  </w:p>
  <w:p w14:paraId="77ABFB73" w14:textId="77777777" w:rsidR="00E02F2B" w:rsidRDefault="00E02F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AC406" w14:textId="77777777" w:rsidR="00683984" w:rsidRDefault="00683984" w:rsidP="001F1799">
      <w:pPr>
        <w:spacing w:after="0" w:line="240" w:lineRule="auto"/>
      </w:pPr>
      <w:r>
        <w:separator/>
      </w:r>
    </w:p>
  </w:footnote>
  <w:footnote w:type="continuationSeparator" w:id="0">
    <w:p w14:paraId="29F22F2B" w14:textId="77777777" w:rsidR="00683984" w:rsidRDefault="00683984" w:rsidP="001F1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B0"/>
    <w:rsid w:val="00005AA7"/>
    <w:rsid w:val="00006D70"/>
    <w:rsid w:val="0001429B"/>
    <w:rsid w:val="00014517"/>
    <w:rsid w:val="00021C91"/>
    <w:rsid w:val="00024FEF"/>
    <w:rsid w:val="000271AB"/>
    <w:rsid w:val="000337AB"/>
    <w:rsid w:val="00045FFF"/>
    <w:rsid w:val="000509CD"/>
    <w:rsid w:val="00062DCF"/>
    <w:rsid w:val="00065B78"/>
    <w:rsid w:val="00065DEE"/>
    <w:rsid w:val="00081D05"/>
    <w:rsid w:val="00084E2B"/>
    <w:rsid w:val="0009010E"/>
    <w:rsid w:val="00092189"/>
    <w:rsid w:val="0009661F"/>
    <w:rsid w:val="000A77C5"/>
    <w:rsid w:val="000A7BF8"/>
    <w:rsid w:val="000B2778"/>
    <w:rsid w:val="000B49C5"/>
    <w:rsid w:val="000B65AA"/>
    <w:rsid w:val="000C6D95"/>
    <w:rsid w:val="000D17AD"/>
    <w:rsid w:val="000D1892"/>
    <w:rsid w:val="000E07BD"/>
    <w:rsid w:val="000E5A41"/>
    <w:rsid w:val="000E7663"/>
    <w:rsid w:val="000E7CFE"/>
    <w:rsid w:val="000F2584"/>
    <w:rsid w:val="001013A2"/>
    <w:rsid w:val="00102BBF"/>
    <w:rsid w:val="00104E59"/>
    <w:rsid w:val="00110666"/>
    <w:rsid w:val="001118CF"/>
    <w:rsid w:val="00130EB2"/>
    <w:rsid w:val="0015091D"/>
    <w:rsid w:val="0015114C"/>
    <w:rsid w:val="00151329"/>
    <w:rsid w:val="001523AD"/>
    <w:rsid w:val="00157DFA"/>
    <w:rsid w:val="0016195F"/>
    <w:rsid w:val="00162119"/>
    <w:rsid w:val="001629FF"/>
    <w:rsid w:val="00164E6A"/>
    <w:rsid w:val="0016572B"/>
    <w:rsid w:val="00177442"/>
    <w:rsid w:val="00184689"/>
    <w:rsid w:val="0018550D"/>
    <w:rsid w:val="001960D4"/>
    <w:rsid w:val="0019736A"/>
    <w:rsid w:val="001A139D"/>
    <w:rsid w:val="001A7BA6"/>
    <w:rsid w:val="001B1DEE"/>
    <w:rsid w:val="001B1E86"/>
    <w:rsid w:val="001B2E04"/>
    <w:rsid w:val="001C2EC2"/>
    <w:rsid w:val="001C402C"/>
    <w:rsid w:val="001C6F3F"/>
    <w:rsid w:val="001C72E9"/>
    <w:rsid w:val="001D662D"/>
    <w:rsid w:val="001E3345"/>
    <w:rsid w:val="001F0283"/>
    <w:rsid w:val="001F1799"/>
    <w:rsid w:val="00215327"/>
    <w:rsid w:val="002153E7"/>
    <w:rsid w:val="002203F7"/>
    <w:rsid w:val="00220BEA"/>
    <w:rsid w:val="00232DD9"/>
    <w:rsid w:val="00234104"/>
    <w:rsid w:val="00235190"/>
    <w:rsid w:val="00237F7B"/>
    <w:rsid w:val="00241287"/>
    <w:rsid w:val="002544EE"/>
    <w:rsid w:val="002623D5"/>
    <w:rsid w:val="00265D6A"/>
    <w:rsid w:val="00266A9C"/>
    <w:rsid w:val="00267067"/>
    <w:rsid w:val="002763EE"/>
    <w:rsid w:val="00293EBD"/>
    <w:rsid w:val="002A3C56"/>
    <w:rsid w:val="002B79AD"/>
    <w:rsid w:val="002D0A38"/>
    <w:rsid w:val="002D1BD3"/>
    <w:rsid w:val="002D620A"/>
    <w:rsid w:val="002F22C2"/>
    <w:rsid w:val="002F44AF"/>
    <w:rsid w:val="002F57D3"/>
    <w:rsid w:val="00302D86"/>
    <w:rsid w:val="003118AB"/>
    <w:rsid w:val="003140F8"/>
    <w:rsid w:val="003203B7"/>
    <w:rsid w:val="00321BD6"/>
    <w:rsid w:val="00322102"/>
    <w:rsid w:val="00327745"/>
    <w:rsid w:val="0034344C"/>
    <w:rsid w:val="0035254B"/>
    <w:rsid w:val="00362684"/>
    <w:rsid w:val="00371558"/>
    <w:rsid w:val="00371904"/>
    <w:rsid w:val="00371A84"/>
    <w:rsid w:val="00385482"/>
    <w:rsid w:val="003907D1"/>
    <w:rsid w:val="00392CCB"/>
    <w:rsid w:val="00397C94"/>
    <w:rsid w:val="003A04CE"/>
    <w:rsid w:val="003A152F"/>
    <w:rsid w:val="003A36F5"/>
    <w:rsid w:val="003A4C74"/>
    <w:rsid w:val="003B1CE3"/>
    <w:rsid w:val="003B5985"/>
    <w:rsid w:val="003C0F32"/>
    <w:rsid w:val="003D270E"/>
    <w:rsid w:val="003D4BEA"/>
    <w:rsid w:val="003D53DB"/>
    <w:rsid w:val="003D752F"/>
    <w:rsid w:val="003D7553"/>
    <w:rsid w:val="003E2951"/>
    <w:rsid w:val="003E6A88"/>
    <w:rsid w:val="003F06FE"/>
    <w:rsid w:val="004007B0"/>
    <w:rsid w:val="00406449"/>
    <w:rsid w:val="00407225"/>
    <w:rsid w:val="00410317"/>
    <w:rsid w:val="0041360B"/>
    <w:rsid w:val="0042085D"/>
    <w:rsid w:val="00422B8E"/>
    <w:rsid w:val="00426B3F"/>
    <w:rsid w:val="00427F98"/>
    <w:rsid w:val="004335C4"/>
    <w:rsid w:val="00450504"/>
    <w:rsid w:val="00460D6D"/>
    <w:rsid w:val="004610FB"/>
    <w:rsid w:val="0046518C"/>
    <w:rsid w:val="00465E0F"/>
    <w:rsid w:val="00467DDF"/>
    <w:rsid w:val="00475B98"/>
    <w:rsid w:val="00485CC3"/>
    <w:rsid w:val="00491238"/>
    <w:rsid w:val="004B3296"/>
    <w:rsid w:val="004B44ED"/>
    <w:rsid w:val="004C01B6"/>
    <w:rsid w:val="004C1013"/>
    <w:rsid w:val="004C27A5"/>
    <w:rsid w:val="004D1011"/>
    <w:rsid w:val="004E5E25"/>
    <w:rsid w:val="004F508A"/>
    <w:rsid w:val="005005F5"/>
    <w:rsid w:val="00503173"/>
    <w:rsid w:val="00512271"/>
    <w:rsid w:val="0051538A"/>
    <w:rsid w:val="00520AC9"/>
    <w:rsid w:val="00521C04"/>
    <w:rsid w:val="00530E93"/>
    <w:rsid w:val="005323D0"/>
    <w:rsid w:val="00535387"/>
    <w:rsid w:val="00535E16"/>
    <w:rsid w:val="005440C5"/>
    <w:rsid w:val="0054736E"/>
    <w:rsid w:val="005577BA"/>
    <w:rsid w:val="00561BF3"/>
    <w:rsid w:val="005651DA"/>
    <w:rsid w:val="00565BE3"/>
    <w:rsid w:val="00574214"/>
    <w:rsid w:val="005773FD"/>
    <w:rsid w:val="005800D7"/>
    <w:rsid w:val="005818F7"/>
    <w:rsid w:val="0058735A"/>
    <w:rsid w:val="005876B8"/>
    <w:rsid w:val="00592B91"/>
    <w:rsid w:val="00594E2F"/>
    <w:rsid w:val="00596582"/>
    <w:rsid w:val="005A10F3"/>
    <w:rsid w:val="005A518D"/>
    <w:rsid w:val="005B217B"/>
    <w:rsid w:val="005C0FA2"/>
    <w:rsid w:val="005D3600"/>
    <w:rsid w:val="005D4EB8"/>
    <w:rsid w:val="005D7EE0"/>
    <w:rsid w:val="005E43DC"/>
    <w:rsid w:val="005F23CD"/>
    <w:rsid w:val="005F4B28"/>
    <w:rsid w:val="0060681F"/>
    <w:rsid w:val="00614DC8"/>
    <w:rsid w:val="00620C4B"/>
    <w:rsid w:val="00624EDA"/>
    <w:rsid w:val="00624F2A"/>
    <w:rsid w:val="006404AD"/>
    <w:rsid w:val="006409F0"/>
    <w:rsid w:val="006425AF"/>
    <w:rsid w:val="00642A3B"/>
    <w:rsid w:val="0064458B"/>
    <w:rsid w:val="006544AB"/>
    <w:rsid w:val="0066598F"/>
    <w:rsid w:val="00683984"/>
    <w:rsid w:val="00690B5D"/>
    <w:rsid w:val="00691981"/>
    <w:rsid w:val="00692104"/>
    <w:rsid w:val="00693171"/>
    <w:rsid w:val="0069652A"/>
    <w:rsid w:val="006B3206"/>
    <w:rsid w:val="006B6A87"/>
    <w:rsid w:val="006D6E72"/>
    <w:rsid w:val="006E2F31"/>
    <w:rsid w:val="006E34BB"/>
    <w:rsid w:val="006E524A"/>
    <w:rsid w:val="006E5B09"/>
    <w:rsid w:val="006F61DD"/>
    <w:rsid w:val="007076EF"/>
    <w:rsid w:val="0072547D"/>
    <w:rsid w:val="00735C2D"/>
    <w:rsid w:val="00743274"/>
    <w:rsid w:val="007503A0"/>
    <w:rsid w:val="00755D6A"/>
    <w:rsid w:val="00756D68"/>
    <w:rsid w:val="0075770D"/>
    <w:rsid w:val="0076329D"/>
    <w:rsid w:val="0076523E"/>
    <w:rsid w:val="00765F2C"/>
    <w:rsid w:val="00774244"/>
    <w:rsid w:val="00775623"/>
    <w:rsid w:val="0077767D"/>
    <w:rsid w:val="007804D9"/>
    <w:rsid w:val="00781585"/>
    <w:rsid w:val="00781A6E"/>
    <w:rsid w:val="00782272"/>
    <w:rsid w:val="00784F39"/>
    <w:rsid w:val="00786B46"/>
    <w:rsid w:val="00791895"/>
    <w:rsid w:val="00792269"/>
    <w:rsid w:val="00794C19"/>
    <w:rsid w:val="007A5565"/>
    <w:rsid w:val="007B1A44"/>
    <w:rsid w:val="007B4320"/>
    <w:rsid w:val="007B640C"/>
    <w:rsid w:val="007C04DD"/>
    <w:rsid w:val="007D10C2"/>
    <w:rsid w:val="007D1BD7"/>
    <w:rsid w:val="007D211E"/>
    <w:rsid w:val="007D2332"/>
    <w:rsid w:val="007D2FF9"/>
    <w:rsid w:val="007E30EA"/>
    <w:rsid w:val="007E38CC"/>
    <w:rsid w:val="007E3DF2"/>
    <w:rsid w:val="007E51BA"/>
    <w:rsid w:val="007E7B8B"/>
    <w:rsid w:val="007F2726"/>
    <w:rsid w:val="00814EF8"/>
    <w:rsid w:val="008202EE"/>
    <w:rsid w:val="00824150"/>
    <w:rsid w:val="00827DAE"/>
    <w:rsid w:val="008305BF"/>
    <w:rsid w:val="0083286E"/>
    <w:rsid w:val="00854E9A"/>
    <w:rsid w:val="00861236"/>
    <w:rsid w:val="00867C1B"/>
    <w:rsid w:val="00874B93"/>
    <w:rsid w:val="008760C6"/>
    <w:rsid w:val="00877BFD"/>
    <w:rsid w:val="00882629"/>
    <w:rsid w:val="0088522A"/>
    <w:rsid w:val="008916D3"/>
    <w:rsid w:val="00894E16"/>
    <w:rsid w:val="00897231"/>
    <w:rsid w:val="008B662F"/>
    <w:rsid w:val="008C21A4"/>
    <w:rsid w:val="008D13B0"/>
    <w:rsid w:val="008E0A0D"/>
    <w:rsid w:val="008E1220"/>
    <w:rsid w:val="008E3A74"/>
    <w:rsid w:val="008E51A5"/>
    <w:rsid w:val="008E5BAC"/>
    <w:rsid w:val="008E6A18"/>
    <w:rsid w:val="008F62D9"/>
    <w:rsid w:val="00911B52"/>
    <w:rsid w:val="00916B98"/>
    <w:rsid w:val="00921754"/>
    <w:rsid w:val="009259B0"/>
    <w:rsid w:val="00927DE9"/>
    <w:rsid w:val="00932D8E"/>
    <w:rsid w:val="00936FC5"/>
    <w:rsid w:val="00940A6B"/>
    <w:rsid w:val="00940B35"/>
    <w:rsid w:val="00943D59"/>
    <w:rsid w:val="00946D87"/>
    <w:rsid w:val="00951BAE"/>
    <w:rsid w:val="00954B23"/>
    <w:rsid w:val="009666CC"/>
    <w:rsid w:val="00981B87"/>
    <w:rsid w:val="0098728F"/>
    <w:rsid w:val="00990C11"/>
    <w:rsid w:val="00991E45"/>
    <w:rsid w:val="009921D0"/>
    <w:rsid w:val="00996BA1"/>
    <w:rsid w:val="009A1B84"/>
    <w:rsid w:val="009B0D10"/>
    <w:rsid w:val="009B3F0F"/>
    <w:rsid w:val="009C01A6"/>
    <w:rsid w:val="009C23E7"/>
    <w:rsid w:val="009C5957"/>
    <w:rsid w:val="009E5438"/>
    <w:rsid w:val="009E54B3"/>
    <w:rsid w:val="009F4066"/>
    <w:rsid w:val="009F574D"/>
    <w:rsid w:val="009F66BC"/>
    <w:rsid w:val="009F66E8"/>
    <w:rsid w:val="009F6A18"/>
    <w:rsid w:val="009F7673"/>
    <w:rsid w:val="00A02D28"/>
    <w:rsid w:val="00A041DD"/>
    <w:rsid w:val="00A1387A"/>
    <w:rsid w:val="00A15649"/>
    <w:rsid w:val="00A26CA6"/>
    <w:rsid w:val="00A316D4"/>
    <w:rsid w:val="00A3609B"/>
    <w:rsid w:val="00A51AD6"/>
    <w:rsid w:val="00A57BFC"/>
    <w:rsid w:val="00A65CE1"/>
    <w:rsid w:val="00A679B9"/>
    <w:rsid w:val="00A72C40"/>
    <w:rsid w:val="00A76128"/>
    <w:rsid w:val="00A838A7"/>
    <w:rsid w:val="00A94938"/>
    <w:rsid w:val="00A97193"/>
    <w:rsid w:val="00AA48F3"/>
    <w:rsid w:val="00AA6564"/>
    <w:rsid w:val="00AC1483"/>
    <w:rsid w:val="00AD55C4"/>
    <w:rsid w:val="00AD6E4E"/>
    <w:rsid w:val="00AE15EA"/>
    <w:rsid w:val="00AF733E"/>
    <w:rsid w:val="00B00894"/>
    <w:rsid w:val="00B02D1B"/>
    <w:rsid w:val="00B129FA"/>
    <w:rsid w:val="00B15925"/>
    <w:rsid w:val="00B267B7"/>
    <w:rsid w:val="00B326CC"/>
    <w:rsid w:val="00B5033D"/>
    <w:rsid w:val="00B571BE"/>
    <w:rsid w:val="00B673E3"/>
    <w:rsid w:val="00B67697"/>
    <w:rsid w:val="00B71701"/>
    <w:rsid w:val="00B74A26"/>
    <w:rsid w:val="00B753D9"/>
    <w:rsid w:val="00B8343B"/>
    <w:rsid w:val="00B8424B"/>
    <w:rsid w:val="00B87E8E"/>
    <w:rsid w:val="00B91D3D"/>
    <w:rsid w:val="00B923F9"/>
    <w:rsid w:val="00B93B89"/>
    <w:rsid w:val="00B96F92"/>
    <w:rsid w:val="00BA3A31"/>
    <w:rsid w:val="00BB2E0A"/>
    <w:rsid w:val="00BB2FCD"/>
    <w:rsid w:val="00BC4CFB"/>
    <w:rsid w:val="00BC508C"/>
    <w:rsid w:val="00BC5B6D"/>
    <w:rsid w:val="00BD49C3"/>
    <w:rsid w:val="00BD4BD1"/>
    <w:rsid w:val="00BE0A83"/>
    <w:rsid w:val="00BF0FF0"/>
    <w:rsid w:val="00C000B9"/>
    <w:rsid w:val="00C0067C"/>
    <w:rsid w:val="00C02E66"/>
    <w:rsid w:val="00C04412"/>
    <w:rsid w:val="00C04E10"/>
    <w:rsid w:val="00C10683"/>
    <w:rsid w:val="00C107A2"/>
    <w:rsid w:val="00C226EC"/>
    <w:rsid w:val="00C24B96"/>
    <w:rsid w:val="00C274E7"/>
    <w:rsid w:val="00C27BCF"/>
    <w:rsid w:val="00C3249F"/>
    <w:rsid w:val="00C41085"/>
    <w:rsid w:val="00C54615"/>
    <w:rsid w:val="00C56A61"/>
    <w:rsid w:val="00C60AC5"/>
    <w:rsid w:val="00C638C3"/>
    <w:rsid w:val="00C70D87"/>
    <w:rsid w:val="00C73B2E"/>
    <w:rsid w:val="00C7723A"/>
    <w:rsid w:val="00C809D9"/>
    <w:rsid w:val="00C84AFE"/>
    <w:rsid w:val="00C853C5"/>
    <w:rsid w:val="00C85B89"/>
    <w:rsid w:val="00C9359C"/>
    <w:rsid w:val="00C961D8"/>
    <w:rsid w:val="00C96859"/>
    <w:rsid w:val="00CA2C99"/>
    <w:rsid w:val="00CA5CDA"/>
    <w:rsid w:val="00CA62C2"/>
    <w:rsid w:val="00CB0888"/>
    <w:rsid w:val="00CB0DFD"/>
    <w:rsid w:val="00CB6B5D"/>
    <w:rsid w:val="00CC1379"/>
    <w:rsid w:val="00CC3F55"/>
    <w:rsid w:val="00CD23AA"/>
    <w:rsid w:val="00CD2B53"/>
    <w:rsid w:val="00CE7E36"/>
    <w:rsid w:val="00CF03DA"/>
    <w:rsid w:val="00D068B2"/>
    <w:rsid w:val="00D10A22"/>
    <w:rsid w:val="00D134D9"/>
    <w:rsid w:val="00D149B7"/>
    <w:rsid w:val="00D14D81"/>
    <w:rsid w:val="00D406D5"/>
    <w:rsid w:val="00D47320"/>
    <w:rsid w:val="00D52BBC"/>
    <w:rsid w:val="00D563D1"/>
    <w:rsid w:val="00D57050"/>
    <w:rsid w:val="00D65938"/>
    <w:rsid w:val="00D75E31"/>
    <w:rsid w:val="00D77731"/>
    <w:rsid w:val="00D816E9"/>
    <w:rsid w:val="00D8361F"/>
    <w:rsid w:val="00D8489D"/>
    <w:rsid w:val="00D867D6"/>
    <w:rsid w:val="00D90FFD"/>
    <w:rsid w:val="00DA2FAD"/>
    <w:rsid w:val="00DA3C95"/>
    <w:rsid w:val="00DB2627"/>
    <w:rsid w:val="00DC3DB5"/>
    <w:rsid w:val="00DD25E5"/>
    <w:rsid w:val="00DD4116"/>
    <w:rsid w:val="00DD5782"/>
    <w:rsid w:val="00DD6D77"/>
    <w:rsid w:val="00DE4036"/>
    <w:rsid w:val="00DE7906"/>
    <w:rsid w:val="00DF41F1"/>
    <w:rsid w:val="00DF4C07"/>
    <w:rsid w:val="00E02F2B"/>
    <w:rsid w:val="00E046A6"/>
    <w:rsid w:val="00E07A46"/>
    <w:rsid w:val="00E113E1"/>
    <w:rsid w:val="00E14FBA"/>
    <w:rsid w:val="00E20538"/>
    <w:rsid w:val="00E20D42"/>
    <w:rsid w:val="00E3079F"/>
    <w:rsid w:val="00E30863"/>
    <w:rsid w:val="00E40971"/>
    <w:rsid w:val="00E4492F"/>
    <w:rsid w:val="00E50DB9"/>
    <w:rsid w:val="00E522B3"/>
    <w:rsid w:val="00E53D3C"/>
    <w:rsid w:val="00E53FDC"/>
    <w:rsid w:val="00E67C1B"/>
    <w:rsid w:val="00E85C9E"/>
    <w:rsid w:val="00E90400"/>
    <w:rsid w:val="00EA05EE"/>
    <w:rsid w:val="00EB0398"/>
    <w:rsid w:val="00EB394B"/>
    <w:rsid w:val="00EB5AA3"/>
    <w:rsid w:val="00EB6575"/>
    <w:rsid w:val="00EC4C02"/>
    <w:rsid w:val="00EC77CB"/>
    <w:rsid w:val="00EC79B2"/>
    <w:rsid w:val="00ED6650"/>
    <w:rsid w:val="00EE6530"/>
    <w:rsid w:val="00EF4E6E"/>
    <w:rsid w:val="00EF7590"/>
    <w:rsid w:val="00F0025E"/>
    <w:rsid w:val="00F0274A"/>
    <w:rsid w:val="00F2058E"/>
    <w:rsid w:val="00F21C27"/>
    <w:rsid w:val="00F22787"/>
    <w:rsid w:val="00F240B5"/>
    <w:rsid w:val="00F26BE5"/>
    <w:rsid w:val="00F33E31"/>
    <w:rsid w:val="00F40C43"/>
    <w:rsid w:val="00F41B5D"/>
    <w:rsid w:val="00F475FC"/>
    <w:rsid w:val="00F5449F"/>
    <w:rsid w:val="00F55C50"/>
    <w:rsid w:val="00F63AEA"/>
    <w:rsid w:val="00F652EE"/>
    <w:rsid w:val="00F70D6F"/>
    <w:rsid w:val="00F80184"/>
    <w:rsid w:val="00F905F9"/>
    <w:rsid w:val="00F91C89"/>
    <w:rsid w:val="00FA33FB"/>
    <w:rsid w:val="00FA5784"/>
    <w:rsid w:val="00FA6863"/>
    <w:rsid w:val="00FB01F9"/>
    <w:rsid w:val="00FC0057"/>
    <w:rsid w:val="00FC0371"/>
    <w:rsid w:val="00FC1FB0"/>
    <w:rsid w:val="00FD02FF"/>
    <w:rsid w:val="00FE30C3"/>
    <w:rsid w:val="00FE716A"/>
    <w:rsid w:val="00FF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14DC"/>
  <w15:docId w15:val="{0814002F-45FB-4E91-BFCF-0B3EF706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371"/>
    <w:rPr>
      <w:rFonts w:ascii="Tahoma" w:hAnsi="Tahoma" w:cs="Tahoma"/>
      <w:sz w:val="16"/>
      <w:szCs w:val="16"/>
    </w:rPr>
  </w:style>
  <w:style w:type="table" w:styleId="TableGrid">
    <w:name w:val="Table Grid"/>
    <w:basedOn w:val="TableNormal"/>
    <w:uiPriority w:val="59"/>
    <w:rsid w:val="00413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B84"/>
    <w:rPr>
      <w:sz w:val="16"/>
      <w:szCs w:val="16"/>
    </w:rPr>
  </w:style>
  <w:style w:type="paragraph" w:styleId="CommentText">
    <w:name w:val="annotation text"/>
    <w:basedOn w:val="Normal"/>
    <w:link w:val="CommentTextChar"/>
    <w:uiPriority w:val="99"/>
    <w:semiHidden/>
    <w:unhideWhenUsed/>
    <w:rsid w:val="009A1B84"/>
    <w:pPr>
      <w:spacing w:line="240" w:lineRule="auto"/>
    </w:pPr>
    <w:rPr>
      <w:sz w:val="20"/>
      <w:szCs w:val="20"/>
    </w:rPr>
  </w:style>
  <w:style w:type="character" w:customStyle="1" w:styleId="CommentTextChar">
    <w:name w:val="Comment Text Char"/>
    <w:basedOn w:val="DefaultParagraphFont"/>
    <w:link w:val="CommentText"/>
    <w:uiPriority w:val="99"/>
    <w:semiHidden/>
    <w:rsid w:val="009A1B84"/>
    <w:rPr>
      <w:sz w:val="20"/>
      <w:szCs w:val="20"/>
    </w:rPr>
  </w:style>
  <w:style w:type="paragraph" w:styleId="CommentSubject">
    <w:name w:val="annotation subject"/>
    <w:basedOn w:val="CommentText"/>
    <w:next w:val="CommentText"/>
    <w:link w:val="CommentSubjectChar"/>
    <w:uiPriority w:val="99"/>
    <w:semiHidden/>
    <w:unhideWhenUsed/>
    <w:rsid w:val="009A1B84"/>
    <w:rPr>
      <w:b/>
      <w:bCs/>
    </w:rPr>
  </w:style>
  <w:style w:type="character" w:customStyle="1" w:styleId="CommentSubjectChar">
    <w:name w:val="Comment Subject Char"/>
    <w:basedOn w:val="CommentTextChar"/>
    <w:link w:val="CommentSubject"/>
    <w:uiPriority w:val="99"/>
    <w:semiHidden/>
    <w:rsid w:val="009A1B84"/>
    <w:rPr>
      <w:b/>
      <w:bCs/>
      <w:sz w:val="20"/>
      <w:szCs w:val="20"/>
    </w:rPr>
  </w:style>
  <w:style w:type="paragraph" w:styleId="FootnoteText">
    <w:name w:val="footnote text"/>
    <w:basedOn w:val="Normal"/>
    <w:link w:val="FootnoteTextChar"/>
    <w:uiPriority w:val="99"/>
    <w:semiHidden/>
    <w:unhideWhenUsed/>
    <w:rsid w:val="001F17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799"/>
    <w:rPr>
      <w:sz w:val="20"/>
      <w:szCs w:val="20"/>
    </w:rPr>
  </w:style>
  <w:style w:type="character" w:styleId="FootnoteReference">
    <w:name w:val="footnote reference"/>
    <w:basedOn w:val="DefaultParagraphFont"/>
    <w:uiPriority w:val="99"/>
    <w:semiHidden/>
    <w:unhideWhenUsed/>
    <w:rsid w:val="001F1799"/>
    <w:rPr>
      <w:vertAlign w:val="superscript"/>
    </w:rPr>
  </w:style>
  <w:style w:type="paragraph" w:styleId="Header">
    <w:name w:val="header"/>
    <w:basedOn w:val="Normal"/>
    <w:link w:val="HeaderChar"/>
    <w:uiPriority w:val="99"/>
    <w:unhideWhenUsed/>
    <w:rsid w:val="00321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BD6"/>
  </w:style>
  <w:style w:type="paragraph" w:styleId="Footer">
    <w:name w:val="footer"/>
    <w:basedOn w:val="Normal"/>
    <w:link w:val="FooterChar"/>
    <w:uiPriority w:val="99"/>
    <w:unhideWhenUsed/>
    <w:rsid w:val="00321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BD6"/>
  </w:style>
  <w:style w:type="character" w:customStyle="1" w:styleId="ref-journal">
    <w:name w:val="ref-journal"/>
    <w:basedOn w:val="DefaultParagraphFont"/>
    <w:rsid w:val="00A97193"/>
  </w:style>
  <w:style w:type="paragraph" w:styleId="Revision">
    <w:name w:val="Revision"/>
    <w:hidden/>
    <w:uiPriority w:val="99"/>
    <w:semiHidden/>
    <w:rsid w:val="003B5985"/>
    <w:pPr>
      <w:spacing w:after="0" w:line="240" w:lineRule="auto"/>
    </w:pPr>
  </w:style>
  <w:style w:type="character" w:styleId="LineNumber">
    <w:name w:val="line number"/>
    <w:basedOn w:val="DefaultParagraphFont"/>
    <w:uiPriority w:val="99"/>
    <w:semiHidden/>
    <w:unhideWhenUsed/>
    <w:rsid w:val="00C2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588218">
      <w:bodyDiv w:val="1"/>
      <w:marLeft w:val="0"/>
      <w:marRight w:val="0"/>
      <w:marTop w:val="0"/>
      <w:marBottom w:val="0"/>
      <w:divBdr>
        <w:top w:val="none" w:sz="0" w:space="0" w:color="auto"/>
        <w:left w:val="none" w:sz="0" w:space="0" w:color="auto"/>
        <w:bottom w:val="none" w:sz="0" w:space="0" w:color="auto"/>
        <w:right w:val="none" w:sz="0" w:space="0" w:color="auto"/>
      </w:divBdr>
    </w:div>
    <w:div w:id="1674797067">
      <w:bodyDiv w:val="1"/>
      <w:marLeft w:val="0"/>
      <w:marRight w:val="0"/>
      <w:marTop w:val="0"/>
      <w:marBottom w:val="0"/>
      <w:divBdr>
        <w:top w:val="none" w:sz="0" w:space="0" w:color="auto"/>
        <w:left w:val="none" w:sz="0" w:space="0" w:color="auto"/>
        <w:bottom w:val="none" w:sz="0" w:space="0" w:color="auto"/>
        <w:right w:val="none" w:sz="0" w:space="0" w:color="auto"/>
      </w:divBdr>
      <w:divsChild>
        <w:div w:id="138347901">
          <w:marLeft w:val="0"/>
          <w:marRight w:val="0"/>
          <w:marTop w:val="150"/>
          <w:marBottom w:val="270"/>
          <w:divBdr>
            <w:top w:val="none" w:sz="0" w:space="0" w:color="auto"/>
            <w:left w:val="none" w:sz="0" w:space="0" w:color="auto"/>
            <w:bottom w:val="none" w:sz="0" w:space="0" w:color="auto"/>
            <w:right w:val="none" w:sz="0" w:space="0" w:color="auto"/>
          </w:divBdr>
        </w:div>
        <w:div w:id="662050093">
          <w:marLeft w:val="0"/>
          <w:marRight w:val="0"/>
          <w:marTop w:val="150"/>
          <w:marBottom w:val="270"/>
          <w:divBdr>
            <w:top w:val="none" w:sz="0" w:space="0" w:color="auto"/>
            <w:left w:val="none" w:sz="0" w:space="0" w:color="auto"/>
            <w:bottom w:val="none" w:sz="0" w:space="0" w:color="auto"/>
            <w:right w:val="none" w:sz="0" w:space="0" w:color="auto"/>
          </w:divBdr>
        </w:div>
      </w:divsChild>
    </w:div>
    <w:div w:id="21377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3CFF-903D-458A-9635-CA74EC1B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26321</Words>
  <Characters>150030</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176000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Ahern</dc:creator>
  <cp:lastModifiedBy>Boyland, Emma</cp:lastModifiedBy>
  <cp:revision>2</cp:revision>
  <cp:lastPrinted>2020-05-30T19:08:00Z</cp:lastPrinted>
  <dcterms:created xsi:type="dcterms:W3CDTF">2020-06-16T20:06:00Z</dcterms:created>
  <dcterms:modified xsi:type="dcterms:W3CDTF">2020-06-16T20:06:00Z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http://www.zotero.org/styles/bmj</vt:lpwstr>
  </property>
  <property fmtid="{D5CDD505-2E9C-101B-9397-08002B2CF9AE}" pid="12" name="Mendeley Recent Style Name 4_1">
    <vt:lpwstr>BMJ</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16th edition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_DocHome">
    <vt:i4>-600034070</vt:i4>
  </property>
  <property fmtid="{D5CDD505-2E9C-101B-9397-08002B2CF9AE}" pid="25" name="Mendeley Unique User Id_1">
    <vt:lpwstr>e10ded6f-9bce-3eab-b9b3-31c37f23d81c</vt:lpwstr>
  </property>
</Properties>
</file>