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E2A7F" w14:textId="77777777" w:rsidR="0063383E" w:rsidRPr="00B94873" w:rsidRDefault="0063383E" w:rsidP="004C293A">
      <w:pPr>
        <w:jc w:val="center"/>
        <w:rPr>
          <w:rFonts w:ascii="Arial" w:hAnsi="Arial" w:cs="Arial"/>
          <w:b/>
          <w:bCs/>
          <w:color w:val="000000" w:themeColor="text1"/>
          <w:lang w:val="en-GB"/>
        </w:rPr>
      </w:pPr>
      <w:bookmarkStart w:id="0" w:name="_GoBack"/>
      <w:bookmarkEnd w:id="0"/>
      <w:r w:rsidRPr="00B94873">
        <w:rPr>
          <w:rFonts w:ascii="Arial" w:hAnsi="Arial" w:cs="Arial"/>
          <w:b/>
          <w:bCs/>
          <w:color w:val="000000" w:themeColor="text1"/>
          <w:lang w:val="en-GB"/>
        </w:rPr>
        <w:t xml:space="preserve">The Euro Heart Survey and </w:t>
      </w:r>
      <w:proofErr w:type="spellStart"/>
      <w:r w:rsidRPr="00B94873">
        <w:rPr>
          <w:rFonts w:ascii="Arial" w:hAnsi="Arial" w:cs="Arial"/>
          <w:b/>
          <w:bCs/>
          <w:color w:val="000000" w:themeColor="text1"/>
          <w:lang w:val="en-GB"/>
        </w:rPr>
        <w:t>EURObservational</w:t>
      </w:r>
      <w:proofErr w:type="spellEnd"/>
      <w:r w:rsidRPr="00B94873">
        <w:rPr>
          <w:rFonts w:ascii="Arial" w:hAnsi="Arial" w:cs="Arial"/>
          <w:b/>
          <w:bCs/>
          <w:color w:val="000000" w:themeColor="text1"/>
          <w:lang w:val="en-GB"/>
        </w:rPr>
        <w:t xml:space="preserve"> Research Programme (EORP) in Atrial Fibrillation Registries: Contribution to Epidemiology, Clinical Management and Therapy of Atrial Fibrillation Patients over the Last 20 Years </w:t>
      </w:r>
    </w:p>
    <w:p w14:paraId="1FC1154B" w14:textId="77777777" w:rsidR="0063383E" w:rsidRPr="00B94873" w:rsidRDefault="0063383E" w:rsidP="004C293A">
      <w:pPr>
        <w:jc w:val="center"/>
        <w:rPr>
          <w:rFonts w:ascii="Arial" w:hAnsi="Arial" w:cs="Arial"/>
          <w:b/>
          <w:bCs/>
          <w:color w:val="000000" w:themeColor="text1"/>
          <w:lang w:val="en-GB"/>
        </w:rPr>
      </w:pPr>
    </w:p>
    <w:p w14:paraId="4D5A98D7" w14:textId="77777777" w:rsidR="0063383E" w:rsidRPr="00B94873" w:rsidRDefault="0063383E" w:rsidP="00324CC0">
      <w:pPr>
        <w:jc w:val="center"/>
        <w:rPr>
          <w:rFonts w:ascii="Arial" w:hAnsi="Arial" w:cs="Arial"/>
          <w:color w:val="000000" w:themeColor="text1"/>
          <w:lang w:val="en-GB"/>
        </w:rPr>
      </w:pPr>
    </w:p>
    <w:p w14:paraId="27A64B98" w14:textId="77777777" w:rsidR="0063383E" w:rsidRDefault="0063383E" w:rsidP="00324CC0">
      <w:pPr>
        <w:jc w:val="center"/>
        <w:rPr>
          <w:rFonts w:ascii="Arial" w:hAnsi="Arial" w:cs="Arial"/>
          <w:color w:val="000000" w:themeColor="text1"/>
        </w:rPr>
      </w:pPr>
      <w:r w:rsidRPr="00B94873">
        <w:rPr>
          <w:rFonts w:ascii="Arial" w:hAnsi="Arial" w:cs="Arial"/>
          <w:color w:val="000000" w:themeColor="text1"/>
        </w:rPr>
        <w:t>Marco Vitolo</w:t>
      </w:r>
      <w:r w:rsidRPr="00B94873">
        <w:rPr>
          <w:rFonts w:ascii="Arial" w:hAnsi="Arial" w:cs="Arial"/>
          <w:color w:val="000000" w:themeColor="text1"/>
          <w:vertAlign w:val="superscript"/>
        </w:rPr>
        <w:t>1,2</w:t>
      </w:r>
      <w:r w:rsidRPr="00B94873">
        <w:rPr>
          <w:rFonts w:ascii="Arial" w:hAnsi="Arial" w:cs="Arial"/>
          <w:color w:val="000000" w:themeColor="text1"/>
        </w:rPr>
        <w:t>, Marco Proietti</w:t>
      </w:r>
      <w:r w:rsidRPr="00B94873">
        <w:rPr>
          <w:rFonts w:ascii="Arial" w:hAnsi="Arial" w:cs="Arial"/>
          <w:color w:val="000000" w:themeColor="text1"/>
          <w:vertAlign w:val="superscript"/>
        </w:rPr>
        <w:t>1,3,4</w:t>
      </w:r>
      <w:r w:rsidRPr="00B94873">
        <w:rPr>
          <w:rFonts w:ascii="Arial" w:hAnsi="Arial" w:cs="Arial"/>
          <w:color w:val="000000" w:themeColor="text1"/>
        </w:rPr>
        <w:t>, Stephanie Harrison</w:t>
      </w:r>
      <w:r w:rsidRPr="00B94873">
        <w:rPr>
          <w:rFonts w:ascii="Arial" w:hAnsi="Arial" w:cs="Arial"/>
          <w:color w:val="000000" w:themeColor="text1"/>
          <w:vertAlign w:val="superscript"/>
        </w:rPr>
        <w:t>1</w:t>
      </w:r>
      <w:r w:rsidRPr="00B94873">
        <w:rPr>
          <w:rFonts w:ascii="Arial" w:hAnsi="Arial" w:cs="Arial"/>
          <w:color w:val="000000" w:themeColor="text1"/>
        </w:rPr>
        <w:t>, Deirdre A Lane</w:t>
      </w:r>
      <w:r w:rsidRPr="00B94873">
        <w:rPr>
          <w:rFonts w:ascii="Arial" w:hAnsi="Arial" w:cs="Arial"/>
          <w:color w:val="000000" w:themeColor="text1"/>
          <w:vertAlign w:val="superscript"/>
        </w:rPr>
        <w:t>1,</w:t>
      </w:r>
      <w:r>
        <w:rPr>
          <w:rFonts w:ascii="Arial" w:hAnsi="Arial" w:cs="Arial"/>
          <w:color w:val="000000" w:themeColor="text1"/>
          <w:vertAlign w:val="superscript"/>
        </w:rPr>
        <w:t>7</w:t>
      </w:r>
      <w:r w:rsidRPr="00B94873">
        <w:rPr>
          <w:rFonts w:ascii="Arial" w:hAnsi="Arial" w:cs="Arial"/>
          <w:color w:val="000000" w:themeColor="text1"/>
        </w:rPr>
        <w:t>,</w:t>
      </w:r>
      <w:r>
        <w:rPr>
          <w:rFonts w:ascii="Arial" w:hAnsi="Arial" w:cs="Arial"/>
          <w:color w:val="000000" w:themeColor="text1"/>
        </w:rPr>
        <w:t xml:space="preserve"> </w:t>
      </w:r>
    </w:p>
    <w:p w14:paraId="31AED7BE" w14:textId="77777777" w:rsidR="0063383E" w:rsidRPr="00B94873" w:rsidRDefault="0063383E" w:rsidP="00324CC0">
      <w:pPr>
        <w:jc w:val="center"/>
        <w:rPr>
          <w:rFonts w:ascii="Arial" w:hAnsi="Arial" w:cs="Arial"/>
          <w:color w:val="000000" w:themeColor="text1"/>
        </w:rPr>
      </w:pPr>
      <w:proofErr w:type="spellStart"/>
      <w:r>
        <w:rPr>
          <w:rFonts w:ascii="Arial" w:hAnsi="Arial" w:cs="Arial"/>
          <w:color w:val="000000" w:themeColor="text1"/>
        </w:rPr>
        <w:t>Tatjana</w:t>
      </w:r>
      <w:proofErr w:type="spellEnd"/>
      <w:r>
        <w:rPr>
          <w:rFonts w:ascii="Arial" w:hAnsi="Arial" w:cs="Arial"/>
          <w:color w:val="000000" w:themeColor="text1"/>
        </w:rPr>
        <w:t xml:space="preserve"> S Potpara</w:t>
      </w:r>
      <w:r w:rsidRPr="00324CC0">
        <w:rPr>
          <w:rFonts w:ascii="Arial" w:hAnsi="Arial" w:cs="Arial"/>
          <w:color w:val="000000" w:themeColor="text1"/>
          <w:vertAlign w:val="superscript"/>
        </w:rPr>
        <w:t>5,6</w:t>
      </w:r>
      <w:r>
        <w:rPr>
          <w:rFonts w:ascii="Arial" w:hAnsi="Arial" w:cs="Arial"/>
          <w:color w:val="000000" w:themeColor="text1"/>
        </w:rPr>
        <w:t>,</w:t>
      </w:r>
      <w:r w:rsidRPr="00B94873">
        <w:rPr>
          <w:rFonts w:ascii="Arial" w:hAnsi="Arial" w:cs="Arial"/>
          <w:color w:val="000000" w:themeColor="text1"/>
        </w:rPr>
        <w:t xml:space="preserve"> Giuseppe Boriani</w:t>
      </w:r>
      <w:r w:rsidRPr="00B94873">
        <w:rPr>
          <w:rFonts w:ascii="Arial" w:hAnsi="Arial" w:cs="Arial"/>
          <w:color w:val="000000" w:themeColor="text1"/>
          <w:vertAlign w:val="superscript"/>
        </w:rPr>
        <w:t>2</w:t>
      </w:r>
      <w:r w:rsidRPr="00B94873">
        <w:rPr>
          <w:rFonts w:ascii="Arial" w:hAnsi="Arial" w:cs="Arial"/>
          <w:color w:val="000000" w:themeColor="text1"/>
        </w:rPr>
        <w:t>, Gregory Y</w:t>
      </w:r>
      <w:r>
        <w:rPr>
          <w:rFonts w:ascii="Arial" w:hAnsi="Arial" w:cs="Arial"/>
          <w:color w:val="000000" w:themeColor="text1"/>
        </w:rPr>
        <w:t xml:space="preserve"> </w:t>
      </w:r>
      <w:r w:rsidRPr="00B94873">
        <w:rPr>
          <w:rFonts w:ascii="Arial" w:hAnsi="Arial" w:cs="Arial"/>
          <w:color w:val="000000" w:themeColor="text1"/>
        </w:rPr>
        <w:t>H Lip</w:t>
      </w:r>
      <w:r w:rsidRPr="00B94873">
        <w:rPr>
          <w:rFonts w:ascii="Arial" w:hAnsi="Arial" w:cs="Arial"/>
          <w:color w:val="000000" w:themeColor="text1"/>
          <w:vertAlign w:val="superscript"/>
        </w:rPr>
        <w:t>1,</w:t>
      </w:r>
      <w:r>
        <w:rPr>
          <w:rFonts w:ascii="Arial" w:hAnsi="Arial" w:cs="Arial"/>
          <w:color w:val="000000" w:themeColor="text1"/>
          <w:vertAlign w:val="superscript"/>
        </w:rPr>
        <w:t>7</w:t>
      </w:r>
    </w:p>
    <w:p w14:paraId="1B975F7B" w14:textId="77777777" w:rsidR="0063383E" w:rsidRPr="00B94873" w:rsidRDefault="0063383E" w:rsidP="00EA5A52">
      <w:pPr>
        <w:jc w:val="both"/>
        <w:rPr>
          <w:rFonts w:ascii="Arial" w:hAnsi="Arial" w:cs="Arial"/>
          <w:color w:val="000000" w:themeColor="text1"/>
          <w:sz w:val="22"/>
          <w:szCs w:val="22"/>
        </w:rPr>
      </w:pPr>
    </w:p>
    <w:p w14:paraId="1936A1CA" w14:textId="77777777" w:rsidR="0063383E" w:rsidRPr="001405D0" w:rsidRDefault="0063383E" w:rsidP="00EA5A52">
      <w:pPr>
        <w:jc w:val="both"/>
        <w:rPr>
          <w:rFonts w:ascii="Arial" w:hAnsi="Arial" w:cs="Arial"/>
          <w:color w:val="000000" w:themeColor="text1"/>
          <w:sz w:val="20"/>
          <w:szCs w:val="20"/>
          <w:lang w:val="en-GB"/>
        </w:rPr>
      </w:pPr>
      <w:r w:rsidRPr="001405D0">
        <w:rPr>
          <w:rFonts w:ascii="Arial" w:hAnsi="Arial" w:cs="Arial"/>
          <w:color w:val="000000" w:themeColor="text1"/>
          <w:sz w:val="20"/>
          <w:szCs w:val="20"/>
          <w:vertAlign w:val="superscript"/>
          <w:lang w:val="en-GB"/>
        </w:rPr>
        <w:t xml:space="preserve">1 </w:t>
      </w:r>
      <w:r w:rsidRPr="001405D0">
        <w:rPr>
          <w:rFonts w:ascii="Arial" w:hAnsi="Arial" w:cs="Arial"/>
          <w:color w:val="000000" w:themeColor="text1"/>
          <w:sz w:val="20"/>
          <w:szCs w:val="20"/>
          <w:lang w:val="en-GB"/>
        </w:rPr>
        <w:t>Liverpool Centre for Cardiovascular Science, University of Liverpool and Liverpool Heart &amp; Chest Hospital, Liverpool, United Kingdom</w:t>
      </w:r>
    </w:p>
    <w:p w14:paraId="5FE98D62" w14:textId="77777777" w:rsidR="0063383E" w:rsidRPr="001405D0" w:rsidRDefault="0063383E" w:rsidP="00EA5A52">
      <w:pPr>
        <w:jc w:val="both"/>
        <w:rPr>
          <w:rFonts w:ascii="Arial" w:hAnsi="Arial" w:cs="Arial"/>
          <w:color w:val="000000" w:themeColor="text1"/>
          <w:sz w:val="20"/>
          <w:szCs w:val="20"/>
          <w:vertAlign w:val="superscript"/>
          <w:lang w:val="en-GB"/>
        </w:rPr>
      </w:pPr>
    </w:p>
    <w:p w14:paraId="1DE1E1FD" w14:textId="77777777" w:rsidR="0063383E" w:rsidRPr="001405D0" w:rsidRDefault="0063383E" w:rsidP="00EA5A52">
      <w:pPr>
        <w:jc w:val="both"/>
        <w:rPr>
          <w:rFonts w:ascii="Arial" w:hAnsi="Arial" w:cs="Arial"/>
          <w:color w:val="000000" w:themeColor="text1"/>
          <w:sz w:val="20"/>
          <w:szCs w:val="20"/>
          <w:lang w:val="en-GB"/>
        </w:rPr>
      </w:pPr>
      <w:r w:rsidRPr="001405D0">
        <w:rPr>
          <w:rFonts w:ascii="Arial" w:hAnsi="Arial" w:cs="Arial"/>
          <w:color w:val="000000" w:themeColor="text1"/>
          <w:sz w:val="20"/>
          <w:szCs w:val="20"/>
          <w:vertAlign w:val="superscript"/>
          <w:lang w:val="en-GB"/>
        </w:rPr>
        <w:t xml:space="preserve">2 </w:t>
      </w:r>
      <w:r w:rsidRPr="001405D0">
        <w:rPr>
          <w:rFonts w:ascii="Arial" w:hAnsi="Arial" w:cs="Arial"/>
          <w:color w:val="000000" w:themeColor="text1"/>
          <w:sz w:val="20"/>
          <w:szCs w:val="20"/>
          <w:lang w:val="en-GB"/>
        </w:rPr>
        <w:t xml:space="preserve">Cardiology Division, Department of Biomedical, Metabolic and Neural Sciences, University of Modena and Reggio Emilia, </w:t>
      </w:r>
      <w:proofErr w:type="spellStart"/>
      <w:r w:rsidRPr="001405D0">
        <w:rPr>
          <w:rFonts w:ascii="Arial" w:hAnsi="Arial" w:cs="Arial"/>
          <w:color w:val="000000" w:themeColor="text1"/>
          <w:sz w:val="20"/>
          <w:szCs w:val="20"/>
          <w:lang w:val="en-GB"/>
        </w:rPr>
        <w:t>Policlinico</w:t>
      </w:r>
      <w:proofErr w:type="spellEnd"/>
      <w:r w:rsidRPr="001405D0">
        <w:rPr>
          <w:rFonts w:ascii="Arial" w:hAnsi="Arial" w:cs="Arial"/>
          <w:color w:val="000000" w:themeColor="text1"/>
          <w:sz w:val="20"/>
          <w:szCs w:val="20"/>
          <w:lang w:val="en-GB"/>
        </w:rPr>
        <w:t xml:space="preserve"> di Modena, Modena, Italy.</w:t>
      </w:r>
    </w:p>
    <w:p w14:paraId="7DA76446" w14:textId="77777777" w:rsidR="0063383E" w:rsidRPr="001405D0" w:rsidRDefault="0063383E" w:rsidP="00EA5A52">
      <w:pPr>
        <w:jc w:val="both"/>
        <w:rPr>
          <w:rFonts w:ascii="Arial" w:hAnsi="Arial" w:cs="Arial"/>
          <w:color w:val="000000" w:themeColor="text1"/>
          <w:sz w:val="20"/>
          <w:szCs w:val="20"/>
          <w:lang w:val="en-GB"/>
        </w:rPr>
      </w:pPr>
    </w:p>
    <w:p w14:paraId="19BEC891" w14:textId="77777777" w:rsidR="0063383E" w:rsidRPr="001405D0" w:rsidRDefault="0063383E" w:rsidP="00EA5A52">
      <w:pPr>
        <w:shd w:val="clear" w:color="auto" w:fill="FFFFFF"/>
        <w:jc w:val="both"/>
        <w:rPr>
          <w:rFonts w:ascii="Arial" w:hAnsi="Arial" w:cs="Arial"/>
          <w:color w:val="000000" w:themeColor="text1"/>
          <w:sz w:val="20"/>
          <w:szCs w:val="20"/>
          <w:lang w:val="en-GB"/>
        </w:rPr>
      </w:pPr>
      <w:r w:rsidRPr="001405D0">
        <w:rPr>
          <w:rFonts w:ascii="Arial" w:hAnsi="Arial" w:cs="Arial"/>
          <w:color w:val="000000" w:themeColor="text1"/>
          <w:sz w:val="20"/>
          <w:szCs w:val="20"/>
          <w:vertAlign w:val="superscript"/>
          <w:lang w:val="en-GB"/>
        </w:rPr>
        <w:t xml:space="preserve">3 </w:t>
      </w:r>
      <w:r w:rsidRPr="001405D0">
        <w:rPr>
          <w:rFonts w:ascii="Arial" w:hAnsi="Arial" w:cs="Arial"/>
          <w:color w:val="000000" w:themeColor="text1"/>
          <w:sz w:val="20"/>
          <w:szCs w:val="20"/>
          <w:lang w:val="en-GB"/>
        </w:rPr>
        <w:t>Department of Clinical Sciences and Community Health, University of Milan, Milan, Italy.</w:t>
      </w:r>
    </w:p>
    <w:p w14:paraId="47213552" w14:textId="77777777" w:rsidR="0063383E" w:rsidRPr="001405D0" w:rsidRDefault="0063383E" w:rsidP="00EA5A52">
      <w:pPr>
        <w:shd w:val="clear" w:color="auto" w:fill="FFFFFF"/>
        <w:jc w:val="both"/>
        <w:rPr>
          <w:rFonts w:ascii="Arial" w:hAnsi="Arial" w:cs="Arial"/>
          <w:color w:val="000000" w:themeColor="text1"/>
          <w:sz w:val="20"/>
          <w:szCs w:val="20"/>
          <w:lang w:val="en-GB"/>
        </w:rPr>
      </w:pPr>
    </w:p>
    <w:p w14:paraId="6007720A" w14:textId="77777777" w:rsidR="0063383E" w:rsidRPr="001405D0" w:rsidRDefault="0063383E" w:rsidP="00EA5A52">
      <w:pPr>
        <w:shd w:val="clear" w:color="auto" w:fill="FFFFFF"/>
        <w:jc w:val="both"/>
        <w:rPr>
          <w:rFonts w:ascii="Arial" w:hAnsi="Arial" w:cs="Arial"/>
          <w:color w:val="000000" w:themeColor="text1"/>
          <w:sz w:val="20"/>
          <w:szCs w:val="20"/>
        </w:rPr>
      </w:pPr>
      <w:r w:rsidRPr="001405D0">
        <w:rPr>
          <w:rFonts w:ascii="Arial" w:hAnsi="Arial" w:cs="Arial"/>
          <w:color w:val="000000" w:themeColor="text1"/>
          <w:sz w:val="20"/>
          <w:szCs w:val="20"/>
          <w:vertAlign w:val="superscript"/>
        </w:rPr>
        <w:t xml:space="preserve">4 </w:t>
      </w:r>
      <w:proofErr w:type="spellStart"/>
      <w:r w:rsidRPr="001405D0">
        <w:rPr>
          <w:rFonts w:ascii="Arial" w:hAnsi="Arial" w:cs="Arial"/>
          <w:color w:val="000000" w:themeColor="text1"/>
          <w:sz w:val="20"/>
          <w:szCs w:val="20"/>
        </w:rPr>
        <w:t>Geriatric</w:t>
      </w:r>
      <w:proofErr w:type="spellEnd"/>
      <w:r w:rsidRPr="001405D0">
        <w:rPr>
          <w:rFonts w:ascii="Arial" w:hAnsi="Arial" w:cs="Arial"/>
          <w:color w:val="000000" w:themeColor="text1"/>
          <w:sz w:val="20"/>
          <w:szCs w:val="20"/>
        </w:rPr>
        <w:t xml:space="preserve"> Unit, Fondazione IRCCS Ca' </w:t>
      </w:r>
      <w:proofErr w:type="spellStart"/>
      <w:r w:rsidRPr="001405D0">
        <w:rPr>
          <w:rFonts w:ascii="Arial" w:hAnsi="Arial" w:cs="Arial"/>
          <w:color w:val="000000" w:themeColor="text1"/>
          <w:sz w:val="20"/>
          <w:szCs w:val="20"/>
        </w:rPr>
        <w:t>Granda</w:t>
      </w:r>
      <w:proofErr w:type="spellEnd"/>
      <w:r w:rsidRPr="001405D0">
        <w:rPr>
          <w:rFonts w:ascii="Arial" w:hAnsi="Arial" w:cs="Arial"/>
          <w:color w:val="000000" w:themeColor="text1"/>
          <w:sz w:val="20"/>
          <w:szCs w:val="20"/>
        </w:rPr>
        <w:t xml:space="preserve">, Ospedale Maggiore Policlinico, Milan, </w:t>
      </w:r>
      <w:proofErr w:type="spellStart"/>
      <w:r w:rsidRPr="001405D0">
        <w:rPr>
          <w:rFonts w:ascii="Arial" w:hAnsi="Arial" w:cs="Arial"/>
          <w:color w:val="000000" w:themeColor="text1"/>
          <w:sz w:val="20"/>
          <w:szCs w:val="20"/>
        </w:rPr>
        <w:t>Italy</w:t>
      </w:r>
      <w:proofErr w:type="spellEnd"/>
      <w:r w:rsidRPr="001405D0">
        <w:rPr>
          <w:rFonts w:ascii="Arial" w:hAnsi="Arial" w:cs="Arial"/>
          <w:color w:val="000000" w:themeColor="text1"/>
          <w:sz w:val="20"/>
          <w:szCs w:val="20"/>
        </w:rPr>
        <w:t>.</w:t>
      </w:r>
    </w:p>
    <w:p w14:paraId="18AECF03" w14:textId="77777777" w:rsidR="0063383E" w:rsidRPr="001405D0" w:rsidRDefault="0063383E" w:rsidP="00324CC0">
      <w:pPr>
        <w:jc w:val="both"/>
        <w:rPr>
          <w:rFonts w:ascii="Arial" w:hAnsi="Arial" w:cs="Arial"/>
          <w:color w:val="000000" w:themeColor="text1"/>
          <w:sz w:val="20"/>
          <w:szCs w:val="20"/>
        </w:rPr>
      </w:pPr>
    </w:p>
    <w:p w14:paraId="054876B7" w14:textId="77777777" w:rsidR="0063383E" w:rsidRPr="001405D0" w:rsidRDefault="0063383E" w:rsidP="00324CC0">
      <w:pPr>
        <w:jc w:val="both"/>
        <w:rPr>
          <w:rFonts w:ascii="Arial" w:hAnsi="Arial" w:cs="Arial"/>
          <w:color w:val="000000" w:themeColor="text1"/>
          <w:sz w:val="20"/>
          <w:szCs w:val="20"/>
          <w:lang w:val="en-GB"/>
        </w:rPr>
      </w:pPr>
      <w:r w:rsidRPr="001405D0">
        <w:rPr>
          <w:rFonts w:ascii="Arial" w:hAnsi="Arial" w:cs="Arial"/>
          <w:color w:val="000000" w:themeColor="text1"/>
          <w:sz w:val="20"/>
          <w:szCs w:val="20"/>
          <w:vertAlign w:val="superscript"/>
          <w:lang w:val="en-GB"/>
        </w:rPr>
        <w:t>5</w:t>
      </w:r>
      <w:r w:rsidRPr="001405D0">
        <w:rPr>
          <w:rFonts w:ascii="Arial" w:hAnsi="Arial" w:cs="Arial"/>
          <w:color w:val="000000" w:themeColor="text1"/>
          <w:sz w:val="20"/>
          <w:szCs w:val="20"/>
          <w:lang w:val="en-GB"/>
        </w:rPr>
        <w:t xml:space="preserve">School of Medicine, University of Belgrade, Belgrade, Serbia </w:t>
      </w:r>
    </w:p>
    <w:p w14:paraId="47FF0F0A" w14:textId="77777777" w:rsidR="0063383E" w:rsidRPr="001405D0" w:rsidRDefault="0063383E" w:rsidP="00324CC0">
      <w:pPr>
        <w:jc w:val="both"/>
        <w:rPr>
          <w:rFonts w:ascii="Arial" w:hAnsi="Arial" w:cs="Arial"/>
          <w:color w:val="000000" w:themeColor="text1"/>
          <w:sz w:val="20"/>
          <w:szCs w:val="20"/>
          <w:lang w:val="en-GB"/>
        </w:rPr>
      </w:pPr>
    </w:p>
    <w:p w14:paraId="1EF0D431" w14:textId="77777777" w:rsidR="0063383E" w:rsidRPr="001405D0" w:rsidRDefault="0063383E" w:rsidP="00324CC0">
      <w:pPr>
        <w:jc w:val="both"/>
        <w:rPr>
          <w:rFonts w:ascii="Arial" w:hAnsi="Arial" w:cs="Arial"/>
          <w:color w:val="000000" w:themeColor="text1"/>
          <w:sz w:val="20"/>
          <w:szCs w:val="20"/>
          <w:lang w:val="en-GB"/>
        </w:rPr>
      </w:pPr>
      <w:r w:rsidRPr="001405D0">
        <w:rPr>
          <w:rFonts w:ascii="Arial" w:hAnsi="Arial" w:cs="Arial"/>
          <w:color w:val="000000" w:themeColor="text1"/>
          <w:sz w:val="20"/>
          <w:szCs w:val="20"/>
          <w:vertAlign w:val="superscript"/>
          <w:lang w:val="en-GB"/>
        </w:rPr>
        <w:t>6</w:t>
      </w:r>
      <w:r w:rsidRPr="001405D0">
        <w:rPr>
          <w:rFonts w:ascii="Arial" w:hAnsi="Arial" w:cs="Arial"/>
          <w:color w:val="000000" w:themeColor="text1"/>
          <w:sz w:val="20"/>
          <w:szCs w:val="20"/>
          <w:lang w:val="en-GB"/>
        </w:rPr>
        <w:t>Cardiology Clinic, Clinical Centre of Serbia, Belgrade, Serbia</w:t>
      </w:r>
    </w:p>
    <w:p w14:paraId="18092250" w14:textId="77777777" w:rsidR="0063383E" w:rsidRPr="001405D0" w:rsidRDefault="0063383E" w:rsidP="00EA5A52">
      <w:pPr>
        <w:jc w:val="both"/>
        <w:rPr>
          <w:rFonts w:ascii="Arial" w:hAnsi="Arial" w:cs="Arial"/>
          <w:color w:val="000000" w:themeColor="text1"/>
          <w:sz w:val="20"/>
          <w:szCs w:val="20"/>
          <w:shd w:val="clear" w:color="auto" w:fill="FFFFFF"/>
          <w:lang w:val="en-US"/>
        </w:rPr>
      </w:pPr>
    </w:p>
    <w:p w14:paraId="3176079E" w14:textId="77777777" w:rsidR="0063383E" w:rsidRPr="001405D0" w:rsidRDefault="0063383E" w:rsidP="00EA5A52">
      <w:pPr>
        <w:jc w:val="both"/>
        <w:rPr>
          <w:rFonts w:ascii="Arial" w:hAnsi="Arial" w:cs="Arial"/>
          <w:color w:val="000000" w:themeColor="text1"/>
          <w:sz w:val="20"/>
          <w:szCs w:val="20"/>
          <w:shd w:val="clear" w:color="auto" w:fill="FFFFFF"/>
          <w:lang w:val="en-GB"/>
        </w:rPr>
      </w:pPr>
      <w:r w:rsidRPr="001405D0">
        <w:rPr>
          <w:rFonts w:ascii="Arial" w:hAnsi="Arial" w:cs="Arial"/>
          <w:color w:val="000000" w:themeColor="text1"/>
          <w:sz w:val="20"/>
          <w:szCs w:val="20"/>
          <w:shd w:val="clear" w:color="auto" w:fill="FFFFFF"/>
          <w:vertAlign w:val="superscript"/>
          <w:lang w:val="en-GB"/>
        </w:rPr>
        <w:t>7</w:t>
      </w:r>
      <w:r w:rsidRPr="001405D0">
        <w:rPr>
          <w:rFonts w:ascii="Arial" w:hAnsi="Arial" w:cs="Arial"/>
          <w:color w:val="000000" w:themeColor="text1"/>
          <w:sz w:val="20"/>
          <w:szCs w:val="20"/>
          <w:shd w:val="clear" w:color="auto" w:fill="FFFFFF"/>
          <w:lang w:val="en-GB"/>
        </w:rPr>
        <w:t>Aalborg Thrombosis Research Unit, Department of Clinical Medicine, Aalborg University, Aalborg, Denmark.</w:t>
      </w:r>
    </w:p>
    <w:p w14:paraId="180F06DA" w14:textId="77777777" w:rsidR="0063383E" w:rsidRPr="00B94873" w:rsidRDefault="0063383E" w:rsidP="00EA5A52">
      <w:pPr>
        <w:pBdr>
          <w:bottom w:val="double" w:sz="4" w:space="0" w:color="auto"/>
        </w:pBdr>
        <w:rPr>
          <w:rFonts w:ascii="Arial" w:hAnsi="Arial" w:cs="Arial"/>
          <w:color w:val="000000" w:themeColor="text1"/>
          <w:lang w:val="en-GB"/>
        </w:rPr>
      </w:pPr>
    </w:p>
    <w:p w14:paraId="1386937E" w14:textId="77777777" w:rsidR="0063383E" w:rsidRPr="00B94873" w:rsidRDefault="0063383E" w:rsidP="00E01ADE">
      <w:pPr>
        <w:rPr>
          <w:rFonts w:ascii="Arial" w:hAnsi="Arial" w:cs="Arial"/>
          <w:color w:val="000000" w:themeColor="text1"/>
          <w:lang w:val="en-GB"/>
        </w:rPr>
      </w:pPr>
    </w:p>
    <w:p w14:paraId="2CD50864" w14:textId="77777777" w:rsidR="0063383E" w:rsidRPr="00B94873" w:rsidRDefault="0063383E" w:rsidP="00E01ADE">
      <w:pPr>
        <w:rPr>
          <w:rFonts w:ascii="Arial" w:hAnsi="Arial" w:cs="Arial"/>
          <w:color w:val="000000" w:themeColor="text1"/>
          <w:lang w:val="en-GB"/>
        </w:rPr>
      </w:pPr>
      <w:r w:rsidRPr="00E24D9D">
        <w:rPr>
          <w:rFonts w:ascii="Arial" w:hAnsi="Arial" w:cs="Arial"/>
          <w:b/>
          <w:bCs/>
          <w:color w:val="000000" w:themeColor="text1"/>
          <w:lang w:val="en-GB"/>
        </w:rPr>
        <w:t>Words</w:t>
      </w:r>
      <w:r w:rsidRPr="00B94873">
        <w:rPr>
          <w:rFonts w:ascii="Arial" w:hAnsi="Arial" w:cs="Arial"/>
          <w:color w:val="000000" w:themeColor="text1"/>
          <w:lang w:val="en-GB"/>
        </w:rPr>
        <w:t xml:space="preserve">: </w:t>
      </w:r>
      <w:r>
        <w:rPr>
          <w:rFonts w:ascii="Arial" w:hAnsi="Arial" w:cs="Arial"/>
          <w:color w:val="000000" w:themeColor="text1"/>
          <w:lang w:val="en-GB"/>
        </w:rPr>
        <w:t>2996 (20 738 characters)</w:t>
      </w:r>
    </w:p>
    <w:p w14:paraId="03AF9FFA" w14:textId="77777777" w:rsidR="0063383E" w:rsidRPr="00B94873" w:rsidRDefault="0063383E" w:rsidP="00E01ADE">
      <w:pPr>
        <w:rPr>
          <w:rFonts w:ascii="Arial" w:hAnsi="Arial" w:cs="Arial"/>
          <w:color w:val="000000" w:themeColor="text1"/>
          <w:lang w:val="en-GB"/>
        </w:rPr>
      </w:pPr>
    </w:p>
    <w:p w14:paraId="0398DD6A" w14:textId="77777777" w:rsidR="0063383E" w:rsidRPr="00B94873" w:rsidRDefault="0063383E" w:rsidP="00E01ADE">
      <w:pPr>
        <w:rPr>
          <w:rFonts w:ascii="Arial" w:hAnsi="Arial" w:cs="Arial"/>
          <w:color w:val="000000" w:themeColor="text1"/>
          <w:lang w:val="en-GB"/>
        </w:rPr>
      </w:pPr>
      <w:r w:rsidRPr="00E24D9D">
        <w:rPr>
          <w:rFonts w:ascii="Arial" w:hAnsi="Arial" w:cs="Arial"/>
          <w:b/>
          <w:bCs/>
          <w:color w:val="000000" w:themeColor="text1"/>
          <w:lang w:val="en-GB"/>
        </w:rPr>
        <w:t>Table</w:t>
      </w:r>
      <w:r w:rsidRPr="00B94873">
        <w:rPr>
          <w:rFonts w:ascii="Arial" w:hAnsi="Arial" w:cs="Arial"/>
          <w:color w:val="000000" w:themeColor="text1"/>
          <w:lang w:val="en-GB"/>
        </w:rPr>
        <w:t xml:space="preserve">: </w:t>
      </w:r>
      <w:r w:rsidRPr="00E24D9D">
        <w:rPr>
          <w:rFonts w:ascii="Arial" w:hAnsi="Arial" w:cs="Arial"/>
          <w:color w:val="000000" w:themeColor="text1"/>
          <w:lang w:val="en-GB"/>
        </w:rPr>
        <w:t>1</w:t>
      </w:r>
      <w:r w:rsidRPr="00B94873">
        <w:rPr>
          <w:rFonts w:ascii="Arial" w:hAnsi="Arial" w:cs="Arial"/>
          <w:color w:val="000000" w:themeColor="text1"/>
          <w:lang w:val="en-GB"/>
        </w:rPr>
        <w:t xml:space="preserve"> </w:t>
      </w:r>
    </w:p>
    <w:p w14:paraId="1A72E9B3" w14:textId="77777777" w:rsidR="0063383E" w:rsidRPr="00B94873" w:rsidRDefault="0063383E" w:rsidP="00E01ADE">
      <w:pPr>
        <w:rPr>
          <w:rFonts w:ascii="Arial" w:hAnsi="Arial" w:cs="Arial"/>
          <w:color w:val="000000" w:themeColor="text1"/>
          <w:lang w:val="en-GB"/>
        </w:rPr>
      </w:pPr>
    </w:p>
    <w:p w14:paraId="457C48BA" w14:textId="77777777" w:rsidR="0063383E" w:rsidRDefault="0063383E" w:rsidP="00E01ADE">
      <w:pPr>
        <w:rPr>
          <w:rFonts w:ascii="Arial" w:hAnsi="Arial" w:cs="Arial"/>
          <w:b/>
          <w:bCs/>
          <w:color w:val="000000" w:themeColor="text1"/>
          <w:lang w:val="en-GB"/>
        </w:rPr>
      </w:pPr>
      <w:r w:rsidRPr="00E24D9D">
        <w:rPr>
          <w:rFonts w:ascii="Arial" w:hAnsi="Arial" w:cs="Arial"/>
          <w:b/>
          <w:bCs/>
          <w:color w:val="000000" w:themeColor="text1"/>
          <w:lang w:val="en-GB"/>
        </w:rPr>
        <w:t>Figure</w:t>
      </w:r>
      <w:r w:rsidRPr="00B94873">
        <w:rPr>
          <w:rFonts w:ascii="Arial" w:hAnsi="Arial" w:cs="Arial"/>
          <w:color w:val="000000" w:themeColor="text1"/>
          <w:lang w:val="en-GB"/>
        </w:rPr>
        <w:t xml:space="preserve">: </w:t>
      </w:r>
      <w:r w:rsidRPr="00E24D9D">
        <w:rPr>
          <w:rFonts w:ascii="Arial" w:hAnsi="Arial" w:cs="Arial"/>
          <w:color w:val="000000" w:themeColor="text1"/>
          <w:lang w:val="en-GB"/>
        </w:rPr>
        <w:t>2</w:t>
      </w:r>
    </w:p>
    <w:p w14:paraId="4BFED319" w14:textId="77777777" w:rsidR="0063383E" w:rsidRDefault="0063383E" w:rsidP="00E01ADE">
      <w:pPr>
        <w:rPr>
          <w:rFonts w:ascii="Arial" w:hAnsi="Arial" w:cs="Arial"/>
          <w:b/>
          <w:bCs/>
          <w:color w:val="000000" w:themeColor="text1"/>
          <w:lang w:val="en-GB"/>
        </w:rPr>
      </w:pPr>
    </w:p>
    <w:p w14:paraId="09F54385" w14:textId="77777777" w:rsidR="0063383E" w:rsidRPr="00E24D9D" w:rsidRDefault="0063383E" w:rsidP="00E01ADE">
      <w:pPr>
        <w:rPr>
          <w:rFonts w:ascii="Arial" w:hAnsi="Arial" w:cs="Arial"/>
          <w:color w:val="000000" w:themeColor="text1"/>
          <w:lang w:val="en-GB"/>
        </w:rPr>
      </w:pPr>
      <w:r w:rsidRPr="00E24D9D">
        <w:rPr>
          <w:rFonts w:ascii="Arial" w:hAnsi="Arial" w:cs="Arial"/>
          <w:b/>
          <w:bCs/>
          <w:color w:val="000000" w:themeColor="text1"/>
          <w:lang w:val="en-GB"/>
        </w:rPr>
        <w:t>Short title</w:t>
      </w:r>
      <w:r w:rsidRPr="00E24D9D">
        <w:rPr>
          <w:rFonts w:ascii="Arial" w:hAnsi="Arial" w:cs="Arial"/>
          <w:color w:val="000000" w:themeColor="text1"/>
          <w:lang w:val="en-GB"/>
        </w:rPr>
        <w:t>:</w:t>
      </w:r>
      <w:r>
        <w:rPr>
          <w:rFonts w:ascii="Arial" w:hAnsi="Arial" w:cs="Arial"/>
          <w:b/>
          <w:bCs/>
          <w:color w:val="000000" w:themeColor="text1"/>
          <w:lang w:val="en-GB"/>
        </w:rPr>
        <w:t xml:space="preserve"> </w:t>
      </w:r>
      <w:r w:rsidRPr="00E24D9D">
        <w:rPr>
          <w:rFonts w:ascii="Arial" w:hAnsi="Arial" w:cs="Arial"/>
          <w:color w:val="000000" w:themeColor="text1"/>
          <w:lang w:val="en-GB"/>
        </w:rPr>
        <w:t xml:space="preserve">The Euro Heart Survey and </w:t>
      </w:r>
      <w:proofErr w:type="spellStart"/>
      <w:r w:rsidRPr="00E24D9D">
        <w:rPr>
          <w:rFonts w:ascii="Arial" w:hAnsi="Arial" w:cs="Arial"/>
          <w:color w:val="000000" w:themeColor="text1"/>
          <w:lang w:val="en-GB"/>
        </w:rPr>
        <w:t>EURObservational</w:t>
      </w:r>
      <w:proofErr w:type="spellEnd"/>
      <w:r w:rsidRPr="00E24D9D">
        <w:rPr>
          <w:rFonts w:ascii="Arial" w:hAnsi="Arial" w:cs="Arial"/>
          <w:color w:val="000000" w:themeColor="text1"/>
          <w:lang w:val="en-GB"/>
        </w:rPr>
        <w:t xml:space="preserve"> Research Programme (EORP) in Atrial Fibrillation Registries</w:t>
      </w:r>
    </w:p>
    <w:p w14:paraId="212C0C33" w14:textId="77777777" w:rsidR="0063383E" w:rsidRPr="00B94873" w:rsidRDefault="0063383E" w:rsidP="00E01ADE">
      <w:pPr>
        <w:rPr>
          <w:rFonts w:ascii="Arial" w:hAnsi="Arial" w:cs="Arial"/>
          <w:color w:val="000000" w:themeColor="text1"/>
          <w:lang w:val="en-GB"/>
        </w:rPr>
      </w:pPr>
    </w:p>
    <w:p w14:paraId="31DCD3EC" w14:textId="77777777" w:rsidR="0063383E" w:rsidRPr="00B94873" w:rsidRDefault="0063383E" w:rsidP="00C27CED">
      <w:pPr>
        <w:rPr>
          <w:rFonts w:ascii="Arial" w:hAnsi="Arial" w:cs="Arial"/>
          <w:b/>
          <w:bCs/>
          <w:color w:val="000000" w:themeColor="text1"/>
          <w:lang w:val="en-GB"/>
        </w:rPr>
      </w:pPr>
      <w:r w:rsidRPr="00B94873">
        <w:rPr>
          <w:rFonts w:ascii="Arial" w:hAnsi="Arial" w:cs="Arial"/>
          <w:b/>
          <w:bCs/>
          <w:color w:val="000000" w:themeColor="text1"/>
          <w:lang w:val="en-GB"/>
        </w:rPr>
        <w:t xml:space="preserve">Corresponding Author: </w:t>
      </w:r>
    </w:p>
    <w:p w14:paraId="7FBAE4F0" w14:textId="77777777" w:rsidR="0063383E" w:rsidRPr="00B94873" w:rsidRDefault="0063383E" w:rsidP="00C27CED">
      <w:pPr>
        <w:rPr>
          <w:rFonts w:ascii="Arial" w:hAnsi="Arial" w:cs="Arial"/>
          <w:color w:val="000000" w:themeColor="text1"/>
          <w:lang w:val="en-GB"/>
        </w:rPr>
      </w:pPr>
      <w:r w:rsidRPr="00B94873">
        <w:rPr>
          <w:rFonts w:ascii="Arial" w:hAnsi="Arial" w:cs="Arial"/>
          <w:color w:val="000000" w:themeColor="text1"/>
          <w:lang w:val="en-GB"/>
        </w:rPr>
        <w:t>Gregory Y. H. Lip, MD, FRCP</w:t>
      </w:r>
    </w:p>
    <w:p w14:paraId="3FEDD415" w14:textId="77777777" w:rsidR="0063383E" w:rsidRPr="00B94873" w:rsidRDefault="0063383E" w:rsidP="00C27CED">
      <w:pPr>
        <w:rPr>
          <w:rFonts w:ascii="Arial" w:hAnsi="Arial" w:cs="Arial"/>
          <w:color w:val="000000" w:themeColor="text1"/>
          <w:lang w:val="en-GB"/>
        </w:rPr>
      </w:pPr>
      <w:r w:rsidRPr="00B94873">
        <w:rPr>
          <w:rFonts w:ascii="Arial" w:hAnsi="Arial" w:cs="Arial"/>
          <w:color w:val="000000" w:themeColor="text1"/>
          <w:lang w:val="en-GB"/>
        </w:rPr>
        <w:t>Liverpool Centre for Cardiovascular Science</w:t>
      </w:r>
    </w:p>
    <w:p w14:paraId="21EDFE13" w14:textId="77777777" w:rsidR="0063383E" w:rsidRPr="00B94873" w:rsidRDefault="0063383E" w:rsidP="00C27CED">
      <w:pPr>
        <w:rPr>
          <w:rFonts w:ascii="Arial" w:hAnsi="Arial" w:cs="Arial"/>
          <w:color w:val="000000" w:themeColor="text1"/>
          <w:lang w:val="en-GB"/>
        </w:rPr>
      </w:pPr>
      <w:r w:rsidRPr="00B94873">
        <w:rPr>
          <w:rFonts w:ascii="Arial" w:hAnsi="Arial" w:cs="Arial"/>
          <w:color w:val="000000" w:themeColor="text1"/>
          <w:lang w:val="en-GB"/>
        </w:rPr>
        <w:t xml:space="preserve">University of Liverpool and Liverpool Heart &amp; Chest Hospital, Liverpool, United Kingdom. </w:t>
      </w:r>
    </w:p>
    <w:p w14:paraId="4238ED94" w14:textId="77777777" w:rsidR="0063383E" w:rsidRPr="00B94873" w:rsidRDefault="0063383E" w:rsidP="00C27CED">
      <w:pPr>
        <w:rPr>
          <w:rFonts w:ascii="Arial" w:hAnsi="Arial" w:cs="Arial"/>
          <w:color w:val="000000" w:themeColor="text1"/>
          <w:lang w:val="en-GB"/>
        </w:rPr>
      </w:pPr>
    </w:p>
    <w:p w14:paraId="1CFF15F8" w14:textId="77777777" w:rsidR="0063383E" w:rsidRPr="00B94873" w:rsidRDefault="0063383E" w:rsidP="00C27CED">
      <w:pPr>
        <w:rPr>
          <w:rFonts w:ascii="Arial" w:hAnsi="Arial" w:cs="Arial"/>
          <w:color w:val="000000" w:themeColor="text1"/>
          <w:lang w:val="en-GB"/>
        </w:rPr>
      </w:pPr>
      <w:r w:rsidRPr="00B94873">
        <w:rPr>
          <w:rFonts w:ascii="Arial" w:hAnsi="Arial" w:cs="Arial"/>
          <w:color w:val="000000" w:themeColor="text1"/>
          <w:lang w:val="en-GB"/>
        </w:rPr>
        <w:t>Email: gregory.lip@liverpool.ac.uk</w:t>
      </w:r>
    </w:p>
    <w:p w14:paraId="00FA7E59" w14:textId="77777777" w:rsidR="0063383E" w:rsidRPr="00B94873" w:rsidRDefault="0063383E" w:rsidP="00C27CED">
      <w:pPr>
        <w:rPr>
          <w:rFonts w:ascii="Arial" w:hAnsi="Arial" w:cs="Arial"/>
          <w:color w:val="000000" w:themeColor="text1"/>
          <w:lang w:val="en-GB"/>
        </w:rPr>
      </w:pPr>
    </w:p>
    <w:p w14:paraId="24CDD91A" w14:textId="77777777" w:rsidR="0063383E" w:rsidRDefault="0063383E" w:rsidP="00C27CED">
      <w:pPr>
        <w:rPr>
          <w:rFonts w:ascii="Arial" w:hAnsi="Arial" w:cs="Arial"/>
          <w:color w:val="000000" w:themeColor="text1"/>
          <w:lang w:val="en-GB"/>
        </w:rPr>
      </w:pPr>
      <w:r w:rsidRPr="00B94873">
        <w:rPr>
          <w:rFonts w:ascii="Arial" w:hAnsi="Arial" w:cs="Arial"/>
          <w:b/>
          <w:bCs/>
          <w:color w:val="000000" w:themeColor="text1"/>
          <w:lang w:val="en-GB"/>
        </w:rPr>
        <w:t xml:space="preserve">Funding: </w:t>
      </w:r>
      <w:r w:rsidRPr="00B94873">
        <w:rPr>
          <w:rFonts w:ascii="Arial" w:hAnsi="Arial" w:cs="Arial"/>
          <w:color w:val="000000" w:themeColor="text1"/>
          <w:lang w:val="en-GB"/>
        </w:rPr>
        <w:t>No funding was received for this work.</w:t>
      </w:r>
    </w:p>
    <w:p w14:paraId="080E79D7" w14:textId="77777777" w:rsidR="0063383E" w:rsidRDefault="0063383E" w:rsidP="00C27CED">
      <w:pPr>
        <w:rPr>
          <w:rFonts w:ascii="Arial" w:hAnsi="Arial" w:cs="Arial"/>
          <w:color w:val="000000" w:themeColor="text1"/>
          <w:lang w:val="en-GB"/>
        </w:rPr>
      </w:pPr>
    </w:p>
    <w:p w14:paraId="2E64DF59" w14:textId="77777777" w:rsidR="0063383E" w:rsidRPr="00753CA3" w:rsidRDefault="0063383E" w:rsidP="00E24D9D">
      <w:pPr>
        <w:spacing w:line="276" w:lineRule="auto"/>
        <w:jc w:val="both"/>
        <w:rPr>
          <w:rFonts w:ascii="Arial" w:hAnsi="Arial" w:cs="Arial"/>
          <w:color w:val="000000" w:themeColor="text1"/>
          <w:sz w:val="22"/>
          <w:szCs w:val="22"/>
          <w:lang w:val="en-US"/>
        </w:rPr>
      </w:pPr>
      <w:r w:rsidRPr="007147C3">
        <w:rPr>
          <w:rFonts w:ascii="Arial" w:hAnsi="Arial" w:cs="Arial"/>
          <w:b/>
          <w:bCs/>
          <w:color w:val="000000" w:themeColor="text1"/>
          <w:lang w:val="en-GB"/>
        </w:rPr>
        <w:t>Conflict of interest</w:t>
      </w:r>
      <w:r>
        <w:rPr>
          <w:rFonts w:ascii="Arial" w:hAnsi="Arial" w:cs="Arial"/>
          <w:b/>
          <w:bCs/>
          <w:color w:val="000000" w:themeColor="text1"/>
          <w:lang w:val="en-GB"/>
        </w:rPr>
        <w:t xml:space="preserve">: </w:t>
      </w:r>
      <w:r w:rsidRPr="00480073">
        <w:rPr>
          <w:rFonts w:ascii="Arial" w:hAnsi="Arial" w:cs="Arial"/>
          <w:color w:val="000000" w:themeColor="text1"/>
          <w:sz w:val="22"/>
          <w:szCs w:val="22"/>
          <w:lang w:val="en-GB"/>
        </w:rPr>
        <w:t xml:space="preserve">MV and SH declare no conflicts of interest. </w:t>
      </w:r>
      <w:r w:rsidRPr="00753CA3">
        <w:rPr>
          <w:rFonts w:ascii="Arial" w:hAnsi="Arial" w:cs="Arial"/>
          <w:color w:val="000000" w:themeColor="text1"/>
          <w:sz w:val="22"/>
          <w:szCs w:val="22"/>
          <w:lang w:val="en-US"/>
        </w:rPr>
        <w:t>MP: Consultant for Boehringer Ingelheim (small fees)</w:t>
      </w:r>
      <w:r w:rsidRPr="00480073">
        <w:rPr>
          <w:rFonts w:ascii="Arial" w:hAnsi="Arial" w:cs="Arial"/>
          <w:color w:val="000000" w:themeColor="text1"/>
          <w:sz w:val="22"/>
          <w:szCs w:val="22"/>
          <w:lang w:val="en-US"/>
        </w:rPr>
        <w:t>.</w:t>
      </w:r>
      <w:r w:rsidRPr="00480073">
        <w:rPr>
          <w:rFonts w:ascii="Arial" w:hAnsi="Arial" w:cs="Arial"/>
          <w:color w:val="000000" w:themeColor="text1"/>
          <w:sz w:val="22"/>
          <w:szCs w:val="22"/>
          <w:lang w:val="en-GB"/>
        </w:rPr>
        <w:t xml:space="preserve"> </w:t>
      </w:r>
      <w:r w:rsidRPr="00753CA3">
        <w:rPr>
          <w:rFonts w:ascii="Arial" w:hAnsi="Arial" w:cs="Arial"/>
          <w:color w:val="000000" w:themeColor="text1"/>
          <w:sz w:val="22"/>
          <w:szCs w:val="22"/>
          <w:lang w:val="en-US"/>
        </w:rPr>
        <w:t>DAL: has received investigator-initiated educational grants from Bristol-Myers Squibb (BMS) and Boehringer Ingelheim; has been a speaker for Boehringer Ingelheim</w:t>
      </w:r>
      <w:r>
        <w:rPr>
          <w:rFonts w:ascii="Arial" w:hAnsi="Arial" w:cs="Arial"/>
          <w:color w:val="000000" w:themeColor="text1"/>
          <w:sz w:val="22"/>
          <w:szCs w:val="22"/>
          <w:lang w:val="en-US"/>
        </w:rPr>
        <w:t xml:space="preserve"> </w:t>
      </w:r>
      <w:r w:rsidRPr="00753CA3">
        <w:rPr>
          <w:rFonts w:ascii="Arial" w:hAnsi="Arial" w:cs="Arial"/>
          <w:color w:val="000000" w:themeColor="text1"/>
          <w:sz w:val="22"/>
          <w:szCs w:val="22"/>
          <w:lang w:val="en-US"/>
        </w:rPr>
        <w:t>and BMS/Pfizer; and has consulted for BMS,</w:t>
      </w:r>
      <w:r>
        <w:rPr>
          <w:rFonts w:ascii="Arial" w:hAnsi="Arial" w:cs="Arial"/>
          <w:color w:val="000000" w:themeColor="text1"/>
          <w:sz w:val="22"/>
          <w:szCs w:val="22"/>
          <w:lang w:val="en-US"/>
        </w:rPr>
        <w:t xml:space="preserve"> </w:t>
      </w:r>
      <w:r w:rsidRPr="00753CA3">
        <w:rPr>
          <w:rFonts w:ascii="Arial" w:hAnsi="Arial" w:cs="Arial"/>
          <w:color w:val="000000" w:themeColor="text1"/>
          <w:sz w:val="22"/>
          <w:szCs w:val="22"/>
          <w:lang w:val="en-US"/>
        </w:rPr>
        <w:t>Boehringer Ingelheim, and Daiichi-Sankyo</w:t>
      </w:r>
      <w:r w:rsidRPr="00480073">
        <w:rPr>
          <w:rFonts w:ascii="Arial" w:hAnsi="Arial" w:cs="Arial"/>
          <w:color w:val="000000" w:themeColor="text1"/>
          <w:sz w:val="22"/>
          <w:szCs w:val="22"/>
          <w:lang w:val="en-US"/>
        </w:rPr>
        <w:t>. TSP: consultant for Bayer/Jansen and BMS/Pfizer (no fees).</w:t>
      </w:r>
      <w:r>
        <w:rPr>
          <w:rFonts w:ascii="Arial" w:hAnsi="Arial" w:cs="Arial"/>
          <w:color w:val="000000" w:themeColor="text1"/>
          <w:sz w:val="22"/>
          <w:szCs w:val="22"/>
          <w:lang w:val="en-US"/>
        </w:rPr>
        <w:t xml:space="preserve"> </w:t>
      </w:r>
      <w:r w:rsidRPr="00753CA3">
        <w:rPr>
          <w:rFonts w:ascii="Arial" w:hAnsi="Arial" w:cs="Arial"/>
          <w:color w:val="000000" w:themeColor="text1"/>
          <w:sz w:val="22"/>
          <w:szCs w:val="22"/>
          <w:lang w:val="en-US"/>
        </w:rPr>
        <w:t>GB: small speaker fee from Medtronic, Boston, Boehringer Ingelheim and Bayer</w:t>
      </w:r>
      <w:r>
        <w:rPr>
          <w:rFonts w:ascii="Arial" w:hAnsi="Arial" w:cs="Arial"/>
          <w:color w:val="000000" w:themeColor="text1"/>
          <w:sz w:val="22"/>
          <w:szCs w:val="22"/>
          <w:lang w:val="en-US"/>
        </w:rPr>
        <w:t xml:space="preserve">. </w:t>
      </w:r>
      <w:r w:rsidRPr="00753CA3">
        <w:rPr>
          <w:rFonts w:ascii="Arial" w:hAnsi="Arial" w:cs="Arial"/>
          <w:color w:val="000000" w:themeColor="text1"/>
          <w:sz w:val="22"/>
          <w:szCs w:val="22"/>
          <w:lang w:val="en-US"/>
        </w:rPr>
        <w:t xml:space="preserve">GYHL: Consultant for Bayer/ Janssen, BMS/Pfizer, Medtronic, </w:t>
      </w:r>
      <w:proofErr w:type="spellStart"/>
      <w:r w:rsidRPr="00753CA3">
        <w:rPr>
          <w:rFonts w:ascii="Arial" w:hAnsi="Arial" w:cs="Arial"/>
          <w:color w:val="000000" w:themeColor="text1"/>
          <w:sz w:val="22"/>
          <w:szCs w:val="22"/>
          <w:lang w:val="en-US"/>
        </w:rPr>
        <w:t>Boehringer</w:t>
      </w:r>
      <w:proofErr w:type="spellEnd"/>
      <w:r w:rsidRPr="00753CA3">
        <w:rPr>
          <w:rFonts w:ascii="Arial" w:hAnsi="Arial" w:cs="Arial"/>
          <w:color w:val="000000" w:themeColor="text1"/>
          <w:sz w:val="22"/>
          <w:szCs w:val="22"/>
          <w:lang w:val="en-US"/>
        </w:rPr>
        <w:t xml:space="preserve"> </w:t>
      </w:r>
      <w:proofErr w:type="spellStart"/>
      <w:r w:rsidRPr="00753CA3">
        <w:rPr>
          <w:rFonts w:ascii="Arial" w:hAnsi="Arial" w:cs="Arial"/>
          <w:color w:val="000000" w:themeColor="text1"/>
          <w:sz w:val="22"/>
          <w:szCs w:val="22"/>
          <w:lang w:val="en-US"/>
        </w:rPr>
        <w:t>Ingelheim</w:t>
      </w:r>
      <w:proofErr w:type="spellEnd"/>
      <w:r w:rsidRPr="00753CA3">
        <w:rPr>
          <w:rFonts w:ascii="Arial" w:hAnsi="Arial" w:cs="Arial"/>
          <w:color w:val="000000" w:themeColor="text1"/>
          <w:sz w:val="22"/>
          <w:szCs w:val="22"/>
          <w:lang w:val="en-US"/>
        </w:rPr>
        <w:t xml:space="preserve">, Novartis, </w:t>
      </w:r>
      <w:proofErr w:type="spellStart"/>
      <w:r w:rsidRPr="00753CA3">
        <w:rPr>
          <w:rFonts w:ascii="Arial" w:hAnsi="Arial" w:cs="Arial"/>
          <w:color w:val="000000" w:themeColor="text1"/>
          <w:sz w:val="22"/>
          <w:szCs w:val="22"/>
          <w:lang w:val="en-US"/>
        </w:rPr>
        <w:t>Verseon</w:t>
      </w:r>
      <w:proofErr w:type="spellEnd"/>
      <w:r w:rsidRPr="00753CA3">
        <w:rPr>
          <w:rFonts w:ascii="Arial" w:hAnsi="Arial" w:cs="Arial"/>
          <w:color w:val="000000" w:themeColor="text1"/>
          <w:sz w:val="22"/>
          <w:szCs w:val="22"/>
          <w:lang w:val="en-US"/>
        </w:rPr>
        <w:t xml:space="preserve"> and Daiichi-Sankyo. Speaker for Bayer, BMS/Pfizer, Medtronic, Boehringer Ingelheim, and Daiichi-Sankyo</w:t>
      </w:r>
      <w:r>
        <w:rPr>
          <w:rFonts w:ascii="Arial" w:hAnsi="Arial" w:cs="Arial"/>
          <w:color w:val="000000" w:themeColor="text1"/>
          <w:sz w:val="22"/>
          <w:szCs w:val="22"/>
          <w:lang w:val="en-US"/>
        </w:rPr>
        <w:t>;</w:t>
      </w:r>
      <w:r w:rsidRPr="00753CA3">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n</w:t>
      </w:r>
      <w:r w:rsidRPr="00753CA3">
        <w:rPr>
          <w:rFonts w:ascii="Arial" w:hAnsi="Arial" w:cs="Arial"/>
          <w:color w:val="000000" w:themeColor="text1"/>
          <w:sz w:val="22"/>
          <w:szCs w:val="22"/>
          <w:lang w:val="en-US"/>
        </w:rPr>
        <w:t>o fees are directly received personally</w:t>
      </w:r>
      <w:r>
        <w:rPr>
          <w:rFonts w:ascii="Arial" w:hAnsi="Arial" w:cs="Arial"/>
          <w:color w:val="000000" w:themeColor="text1"/>
          <w:sz w:val="22"/>
          <w:szCs w:val="22"/>
          <w:lang w:val="en-US"/>
        </w:rPr>
        <w:t xml:space="preserve">. </w:t>
      </w:r>
    </w:p>
    <w:p w14:paraId="6ED917EF" w14:textId="77777777" w:rsidR="0063383E" w:rsidRDefault="0063383E" w:rsidP="000A1294">
      <w:pPr>
        <w:pBdr>
          <w:bottom w:val="single" w:sz="4" w:space="1" w:color="auto"/>
        </w:pBdr>
        <w:rPr>
          <w:rFonts w:ascii="Arial" w:hAnsi="Arial" w:cs="Arial"/>
          <w:b/>
          <w:bCs/>
          <w:iCs/>
          <w:color w:val="000000" w:themeColor="text1"/>
          <w:lang w:val="en-GB"/>
        </w:rPr>
      </w:pPr>
    </w:p>
    <w:p w14:paraId="19780FAB" w14:textId="77777777" w:rsidR="0063383E" w:rsidRDefault="0063383E" w:rsidP="000A1294">
      <w:pPr>
        <w:pBdr>
          <w:bottom w:val="single" w:sz="4" w:space="1" w:color="auto"/>
        </w:pBdr>
        <w:rPr>
          <w:rFonts w:ascii="Arial" w:hAnsi="Arial" w:cs="Arial"/>
          <w:b/>
          <w:bCs/>
          <w:iCs/>
          <w:color w:val="000000" w:themeColor="text1"/>
          <w:lang w:val="en-GB"/>
        </w:rPr>
      </w:pPr>
    </w:p>
    <w:p w14:paraId="2DFDDB47" w14:textId="77777777" w:rsidR="0063383E" w:rsidRDefault="0063383E" w:rsidP="000A1294">
      <w:pPr>
        <w:pBdr>
          <w:bottom w:val="single" w:sz="4" w:space="1" w:color="auto"/>
        </w:pBdr>
        <w:rPr>
          <w:rFonts w:ascii="Arial" w:hAnsi="Arial" w:cs="Arial"/>
          <w:b/>
          <w:bCs/>
          <w:iCs/>
          <w:color w:val="000000" w:themeColor="text1"/>
          <w:lang w:val="en-GB"/>
        </w:rPr>
      </w:pPr>
      <w:r>
        <w:rPr>
          <w:rFonts w:ascii="Arial" w:hAnsi="Arial" w:cs="Arial"/>
          <w:b/>
          <w:bCs/>
          <w:iCs/>
          <w:color w:val="000000" w:themeColor="text1"/>
          <w:lang w:val="en-GB"/>
        </w:rPr>
        <w:lastRenderedPageBreak/>
        <w:t>ABSTRACT</w:t>
      </w:r>
    </w:p>
    <w:p w14:paraId="7ED2098E" w14:textId="77777777" w:rsidR="0063383E" w:rsidRDefault="0063383E">
      <w:pPr>
        <w:rPr>
          <w:rFonts w:ascii="Arial" w:hAnsi="Arial" w:cs="Arial"/>
          <w:b/>
          <w:bCs/>
          <w:iCs/>
          <w:color w:val="000000" w:themeColor="text1"/>
          <w:lang w:val="en-GB"/>
        </w:rPr>
      </w:pPr>
    </w:p>
    <w:p w14:paraId="5AC599D3" w14:textId="77777777" w:rsidR="0063383E" w:rsidRDefault="0063383E" w:rsidP="000A1294">
      <w:pPr>
        <w:autoSpaceDE w:val="0"/>
        <w:autoSpaceDN w:val="0"/>
        <w:adjustRightInd w:val="0"/>
        <w:rPr>
          <w:rFonts w:ascii="AppleSystemUIFont" w:eastAsiaTheme="minorHAnsi" w:hAnsi="AppleSystemUIFont" w:cs="AppleSystemUIFont"/>
          <w:lang w:val="en-US" w:eastAsia="en-US"/>
        </w:rPr>
      </w:pPr>
    </w:p>
    <w:p w14:paraId="69AB1CA0" w14:textId="77777777" w:rsidR="0063383E" w:rsidRDefault="0063383E" w:rsidP="00E24D9D">
      <w:pPr>
        <w:spacing w:line="480" w:lineRule="auto"/>
        <w:jc w:val="both"/>
        <w:rPr>
          <w:rFonts w:ascii="Arial" w:eastAsiaTheme="minorHAnsi" w:hAnsi="Arial" w:cs="Arial"/>
          <w:lang w:val="en-GB" w:eastAsia="en-US"/>
        </w:rPr>
      </w:pPr>
      <w:r w:rsidRPr="00BF676C">
        <w:rPr>
          <w:rFonts w:ascii="Arial" w:eastAsiaTheme="minorHAnsi" w:hAnsi="Arial" w:cs="Arial"/>
          <w:lang w:val="en-US" w:eastAsia="en-US"/>
        </w:rPr>
        <w:t xml:space="preserve">Management of atrial fibrillation (AF) may be challenging in clinical practice. Given </w:t>
      </w:r>
      <w:r w:rsidRPr="00BF676C">
        <w:rPr>
          <w:rFonts w:ascii="Arial" w:hAnsi="Arial" w:cs="Arial"/>
          <w:color w:val="000000" w:themeColor="text1"/>
          <w:lang w:val="en-GB"/>
        </w:rPr>
        <w:t xml:space="preserve">the complexity of AF patients and the continuous advances in AF clinical management, there is a need for standardized programmes aimed at collecting </w:t>
      </w:r>
      <w:r>
        <w:rPr>
          <w:rFonts w:ascii="Arial" w:hAnsi="Arial" w:cs="Arial"/>
          <w:color w:val="000000" w:themeColor="text1"/>
          <w:lang w:val="en-GB"/>
        </w:rPr>
        <w:t>so-</w:t>
      </w:r>
      <w:r w:rsidRPr="00BF676C">
        <w:rPr>
          <w:rFonts w:ascii="Arial" w:hAnsi="Arial" w:cs="Arial"/>
          <w:color w:val="000000" w:themeColor="text1"/>
          <w:lang w:val="en-GB"/>
        </w:rPr>
        <w:t xml:space="preserve">called </w:t>
      </w:r>
      <w:r>
        <w:rPr>
          <w:rFonts w:ascii="Arial" w:hAnsi="Arial" w:cs="Arial"/>
          <w:color w:val="000000" w:themeColor="text1"/>
          <w:lang w:val="en-GB"/>
        </w:rPr>
        <w:t>‘</w:t>
      </w:r>
      <w:r w:rsidRPr="00BF676C">
        <w:rPr>
          <w:rFonts w:ascii="Arial" w:hAnsi="Arial" w:cs="Arial"/>
          <w:color w:val="000000" w:themeColor="text1"/>
          <w:lang w:val="en-GB"/>
        </w:rPr>
        <w:t xml:space="preserve">real- world </w:t>
      </w:r>
      <w:r>
        <w:rPr>
          <w:rFonts w:ascii="Arial" w:hAnsi="Arial" w:cs="Arial"/>
          <w:color w:val="000000" w:themeColor="text1"/>
          <w:lang w:val="en-GB"/>
        </w:rPr>
        <w:t xml:space="preserve">clinical practice </w:t>
      </w:r>
      <w:r w:rsidRPr="00BF676C">
        <w:rPr>
          <w:rFonts w:ascii="Arial" w:hAnsi="Arial" w:cs="Arial"/>
          <w:color w:val="000000" w:themeColor="text1"/>
          <w:lang w:val="en-GB"/>
        </w:rPr>
        <w:t>data</w:t>
      </w:r>
      <w:r>
        <w:rPr>
          <w:rFonts w:ascii="Arial" w:hAnsi="Arial" w:cs="Arial"/>
          <w:color w:val="000000" w:themeColor="text1"/>
          <w:lang w:val="en-GB"/>
        </w:rPr>
        <w:t>’</w:t>
      </w:r>
      <w:r w:rsidRPr="00BF676C">
        <w:rPr>
          <w:rFonts w:ascii="Arial" w:hAnsi="Arial" w:cs="Arial"/>
          <w:color w:val="000000" w:themeColor="text1"/>
          <w:lang w:val="en-GB"/>
        </w:rPr>
        <w:t xml:space="preserve"> regarding</w:t>
      </w:r>
      <w:r>
        <w:rPr>
          <w:rFonts w:ascii="Arial" w:hAnsi="Arial" w:cs="Arial"/>
          <w:color w:val="000000" w:themeColor="text1"/>
          <w:lang w:val="en-GB"/>
        </w:rPr>
        <w:t xml:space="preserve"> the</w:t>
      </w:r>
      <w:r w:rsidRPr="00BF676C">
        <w:rPr>
          <w:rFonts w:ascii="Arial" w:hAnsi="Arial" w:cs="Arial"/>
          <w:color w:val="000000" w:themeColor="text1"/>
          <w:lang w:val="en-GB"/>
        </w:rPr>
        <w:t xml:space="preserve"> epidemiology</w:t>
      </w:r>
      <w:r>
        <w:rPr>
          <w:rFonts w:ascii="Arial" w:hAnsi="Arial" w:cs="Arial"/>
          <w:color w:val="000000" w:themeColor="text1"/>
          <w:lang w:val="en-GB"/>
        </w:rPr>
        <w:t xml:space="preserve">, </w:t>
      </w:r>
      <w:r w:rsidRPr="00BF676C">
        <w:rPr>
          <w:rFonts w:ascii="Arial" w:hAnsi="Arial" w:cs="Arial"/>
          <w:color w:val="000000" w:themeColor="text1"/>
          <w:lang w:val="en-GB"/>
        </w:rPr>
        <w:t>diagnostic/therapeutic</w:t>
      </w:r>
      <w:r>
        <w:rPr>
          <w:rFonts w:ascii="Arial" w:hAnsi="Arial" w:cs="Arial"/>
          <w:color w:val="000000" w:themeColor="text1"/>
          <w:lang w:val="en-GB"/>
        </w:rPr>
        <w:t xml:space="preserve">/management practices </w:t>
      </w:r>
      <w:r w:rsidRPr="00BF676C">
        <w:rPr>
          <w:rFonts w:ascii="Arial" w:hAnsi="Arial" w:cs="Arial"/>
          <w:color w:val="000000" w:themeColor="text1"/>
          <w:lang w:val="en-GB"/>
        </w:rPr>
        <w:t>and assessing adherence to guidelines</w:t>
      </w:r>
      <w:r w:rsidRPr="00BF676C">
        <w:rPr>
          <w:rFonts w:ascii="Arial" w:eastAsiaTheme="minorHAnsi" w:hAnsi="Arial" w:cs="Arial"/>
          <w:lang w:val="en-GB" w:eastAsia="en-US"/>
        </w:rPr>
        <w:t>.</w:t>
      </w:r>
      <w:r>
        <w:rPr>
          <w:rFonts w:ascii="Arial" w:eastAsiaTheme="minorHAnsi" w:hAnsi="Arial" w:cs="Arial"/>
          <w:lang w:val="en-GB" w:eastAsia="en-US"/>
        </w:rPr>
        <w:t xml:space="preserve"> </w:t>
      </w:r>
    </w:p>
    <w:p w14:paraId="64761252" w14:textId="77777777" w:rsidR="0063383E" w:rsidRDefault="0063383E" w:rsidP="00E24D9D">
      <w:pPr>
        <w:spacing w:line="480" w:lineRule="auto"/>
        <w:jc w:val="both"/>
        <w:rPr>
          <w:rFonts w:ascii="Arial" w:eastAsiaTheme="minorHAnsi" w:hAnsi="Arial" w:cs="Arial"/>
          <w:lang w:val="en-US" w:eastAsia="en-US"/>
        </w:rPr>
      </w:pPr>
      <w:r>
        <w:rPr>
          <w:rFonts w:ascii="Arial" w:eastAsiaTheme="minorHAnsi" w:hAnsi="Arial" w:cs="Arial"/>
          <w:lang w:val="en-GB" w:eastAsia="en-US"/>
        </w:rPr>
        <w:t>O</w:t>
      </w:r>
      <w:proofErr w:type="spellStart"/>
      <w:r w:rsidRPr="00BF676C">
        <w:rPr>
          <w:rFonts w:ascii="Arial" w:eastAsiaTheme="minorHAnsi" w:hAnsi="Arial" w:cs="Arial"/>
          <w:lang w:val="en-US" w:eastAsia="en-US"/>
        </w:rPr>
        <w:t>ver</w:t>
      </w:r>
      <w:proofErr w:type="spellEnd"/>
      <w:r w:rsidRPr="00BF676C">
        <w:rPr>
          <w:rFonts w:ascii="Arial" w:eastAsiaTheme="minorHAnsi" w:hAnsi="Arial" w:cs="Arial"/>
          <w:lang w:val="en-US" w:eastAsia="en-US"/>
        </w:rPr>
        <w:t xml:space="preserve"> the past 20 years, the number of registries and surveys based on </w:t>
      </w:r>
      <w:r w:rsidRPr="00BF676C">
        <w:rPr>
          <w:rFonts w:ascii="Arial" w:eastAsiaTheme="minorHAnsi" w:hAnsi="Arial" w:cs="Arial"/>
          <w:i/>
          <w:iCs/>
          <w:lang w:val="en-US" w:eastAsia="en-US"/>
        </w:rPr>
        <w:t>real-world</w:t>
      </w:r>
      <w:r w:rsidRPr="00BF676C">
        <w:rPr>
          <w:rFonts w:ascii="Arial" w:eastAsiaTheme="minorHAnsi" w:hAnsi="Arial" w:cs="Arial"/>
          <w:lang w:val="en-US" w:eastAsia="en-US"/>
        </w:rPr>
        <w:t xml:space="preserve"> atrial fibrillation patients has been dramatically increased. </w:t>
      </w:r>
      <w:r>
        <w:rPr>
          <w:rFonts w:ascii="Arial" w:eastAsiaTheme="minorHAnsi" w:hAnsi="Arial" w:cs="Arial"/>
          <w:lang w:val="en-US" w:eastAsia="en-US"/>
        </w:rPr>
        <w:t>In</w:t>
      </w:r>
      <w:r w:rsidRPr="00BF676C">
        <w:rPr>
          <w:rFonts w:ascii="Arial" w:eastAsiaTheme="minorHAnsi" w:hAnsi="Arial" w:cs="Arial"/>
          <w:lang w:val="en-US" w:eastAsia="en-US"/>
        </w:rPr>
        <w:t xml:space="preserve"> Europe, </w:t>
      </w:r>
      <w:r>
        <w:rPr>
          <w:rFonts w:ascii="Arial" w:eastAsiaTheme="minorHAnsi" w:hAnsi="Arial" w:cs="Arial"/>
          <w:lang w:val="en-US" w:eastAsia="en-US"/>
        </w:rPr>
        <w:t>based on</w:t>
      </w:r>
      <w:r w:rsidRPr="00BF676C">
        <w:rPr>
          <w:rFonts w:ascii="Arial" w:eastAsiaTheme="minorHAnsi" w:hAnsi="Arial" w:cs="Arial"/>
          <w:lang w:val="en-US" w:eastAsia="en-US"/>
        </w:rPr>
        <w:t xml:space="preserve"> the Euro Heart Survey (EHS) and the </w:t>
      </w:r>
      <w:proofErr w:type="spellStart"/>
      <w:r w:rsidRPr="00BF676C">
        <w:rPr>
          <w:rFonts w:ascii="Arial" w:eastAsiaTheme="minorHAnsi" w:hAnsi="Arial" w:cs="Arial"/>
          <w:lang w:val="en-US" w:eastAsia="en-US"/>
        </w:rPr>
        <w:t>EURObservational</w:t>
      </w:r>
      <w:proofErr w:type="spellEnd"/>
      <w:r w:rsidRPr="00BF676C">
        <w:rPr>
          <w:rFonts w:ascii="Arial" w:eastAsiaTheme="minorHAnsi" w:hAnsi="Arial" w:cs="Arial"/>
          <w:lang w:val="en-US" w:eastAsia="en-US"/>
        </w:rPr>
        <w:t xml:space="preserve"> Research </w:t>
      </w:r>
      <w:proofErr w:type="spellStart"/>
      <w:r w:rsidRPr="00BF676C">
        <w:rPr>
          <w:rFonts w:ascii="Arial" w:eastAsiaTheme="minorHAnsi" w:hAnsi="Arial" w:cs="Arial"/>
          <w:lang w:val="en-US" w:eastAsia="en-US"/>
        </w:rPr>
        <w:t>Programme</w:t>
      </w:r>
      <w:proofErr w:type="spellEnd"/>
      <w:r w:rsidRPr="00BF676C">
        <w:rPr>
          <w:rFonts w:ascii="Arial" w:eastAsiaTheme="minorHAnsi" w:hAnsi="Arial" w:cs="Arial"/>
          <w:lang w:val="en-US" w:eastAsia="en-US"/>
        </w:rPr>
        <w:t xml:space="preserve"> (EORP), a </w:t>
      </w:r>
      <w:r>
        <w:rPr>
          <w:rFonts w:ascii="Arial" w:eastAsiaTheme="minorHAnsi" w:hAnsi="Arial" w:cs="Arial"/>
          <w:lang w:val="en-US" w:eastAsia="en-US"/>
        </w:rPr>
        <w:t xml:space="preserve">large </w:t>
      </w:r>
      <w:r w:rsidRPr="00BF676C">
        <w:rPr>
          <w:rFonts w:ascii="Arial" w:eastAsiaTheme="minorHAnsi" w:hAnsi="Arial" w:cs="Arial"/>
          <w:lang w:val="en-US" w:eastAsia="en-US"/>
        </w:rPr>
        <w:t xml:space="preserve">series of </w:t>
      </w:r>
      <w:r>
        <w:rPr>
          <w:rFonts w:ascii="Arial" w:eastAsiaTheme="minorHAnsi" w:hAnsi="Arial" w:cs="Arial"/>
          <w:lang w:val="en-US" w:eastAsia="en-US"/>
        </w:rPr>
        <w:t xml:space="preserve">studies based on these </w:t>
      </w:r>
      <w:r w:rsidRPr="00BF676C">
        <w:rPr>
          <w:rFonts w:ascii="Arial" w:hAnsi="Arial" w:cs="Arial"/>
          <w:color w:val="000000" w:themeColor="text1"/>
          <w:lang w:val="en-GB"/>
        </w:rPr>
        <w:t xml:space="preserve">prospective, observational, large-scale multicentre registries on AF </w:t>
      </w:r>
      <w:r>
        <w:rPr>
          <w:rFonts w:ascii="Arial" w:eastAsiaTheme="minorHAnsi" w:hAnsi="Arial" w:cs="Arial"/>
          <w:lang w:val="en-US" w:eastAsia="en-US"/>
        </w:rPr>
        <w:t>have been published</w:t>
      </w:r>
      <w:r w:rsidRPr="00BF676C">
        <w:rPr>
          <w:rFonts w:ascii="Arial" w:eastAsiaTheme="minorHAnsi" w:hAnsi="Arial" w:cs="Arial"/>
          <w:lang w:val="en-US" w:eastAsia="en-US"/>
        </w:rPr>
        <w:t xml:space="preserve">.  </w:t>
      </w:r>
    </w:p>
    <w:p w14:paraId="20A9B8B8" w14:textId="77777777" w:rsidR="0063383E" w:rsidRPr="00BF676C" w:rsidRDefault="0063383E" w:rsidP="00E24D9D">
      <w:pPr>
        <w:spacing w:line="480" w:lineRule="auto"/>
        <w:jc w:val="both"/>
        <w:rPr>
          <w:rFonts w:ascii="Arial" w:eastAsiaTheme="minorHAnsi" w:hAnsi="Arial" w:cs="Arial"/>
          <w:lang w:val="en-US" w:eastAsia="en-US"/>
        </w:rPr>
      </w:pPr>
      <w:r w:rsidRPr="00BF676C">
        <w:rPr>
          <w:rFonts w:ascii="Arial" w:hAnsi="Arial" w:cs="Arial"/>
          <w:color w:val="000000" w:themeColor="text1"/>
          <w:lang w:val="en-GB"/>
        </w:rPr>
        <w:t xml:space="preserve">This narrative review gives an overview of these two projects on atrial fibrillation (AF) led by the European Society of Cardiology, focusing mainly on the contribution that these studies have provided to AF management and patient outcomes. Both the EHS and the EORP registries </w:t>
      </w:r>
      <w:r>
        <w:rPr>
          <w:rFonts w:ascii="Arial" w:hAnsi="Arial" w:cs="Arial"/>
          <w:color w:val="000000" w:themeColor="text1"/>
          <w:lang w:val="en-GB"/>
        </w:rPr>
        <w:t xml:space="preserve">have </w:t>
      </w:r>
      <w:r>
        <w:rPr>
          <w:rFonts w:ascii="Arial" w:eastAsiaTheme="minorHAnsi" w:hAnsi="Arial" w:cs="Arial"/>
          <w:lang w:val="en-US" w:eastAsia="en-US"/>
        </w:rPr>
        <w:t>collected</w:t>
      </w:r>
      <w:r w:rsidRPr="00BF676C">
        <w:rPr>
          <w:rFonts w:ascii="Arial" w:eastAsiaTheme="minorHAnsi" w:hAnsi="Arial" w:cs="Arial"/>
          <w:lang w:val="en-US" w:eastAsia="en-US"/>
        </w:rPr>
        <w:t xml:space="preserve"> a large </w:t>
      </w:r>
      <w:r>
        <w:rPr>
          <w:rFonts w:ascii="Arial" w:eastAsiaTheme="minorHAnsi" w:hAnsi="Arial" w:cs="Arial"/>
          <w:lang w:val="en-US" w:eastAsia="en-US"/>
        </w:rPr>
        <w:t>amount</w:t>
      </w:r>
      <w:r w:rsidRPr="00BF676C">
        <w:rPr>
          <w:rFonts w:ascii="Arial" w:eastAsiaTheme="minorHAnsi" w:hAnsi="Arial" w:cs="Arial"/>
          <w:lang w:val="en-US" w:eastAsia="en-US"/>
        </w:rPr>
        <w:t xml:space="preserve"> of data regarding contemporary clin</w:t>
      </w:r>
      <w:r>
        <w:rPr>
          <w:rFonts w:ascii="Arial" w:eastAsiaTheme="minorHAnsi" w:hAnsi="Arial" w:cs="Arial"/>
          <w:lang w:val="en-US" w:eastAsia="en-US"/>
        </w:rPr>
        <w:t>i</w:t>
      </w:r>
      <w:r w:rsidRPr="00BF676C">
        <w:rPr>
          <w:rFonts w:ascii="Arial" w:eastAsiaTheme="minorHAnsi" w:hAnsi="Arial" w:cs="Arial"/>
          <w:lang w:val="en-US" w:eastAsia="en-US"/>
        </w:rPr>
        <w:t>cal practic</w:t>
      </w:r>
      <w:r>
        <w:rPr>
          <w:rFonts w:ascii="Arial" w:eastAsiaTheme="minorHAnsi" w:hAnsi="Arial" w:cs="Arial"/>
          <w:lang w:val="en-US" w:eastAsia="en-US"/>
        </w:rPr>
        <w:t xml:space="preserve">e, and despite </w:t>
      </w:r>
      <w:r w:rsidRPr="00BF676C">
        <w:rPr>
          <w:rFonts w:ascii="Arial" w:hAnsi="Arial" w:cs="Arial"/>
          <w:color w:val="000000" w:themeColor="text1"/>
          <w:lang w:val="en-GB"/>
        </w:rPr>
        <w:t>some limitations, mainly related to their observational nature, these registries have</w:t>
      </w:r>
      <w:r>
        <w:rPr>
          <w:rFonts w:ascii="Arial" w:hAnsi="Arial" w:cs="Arial"/>
          <w:color w:val="000000" w:themeColor="text1"/>
          <w:lang w:val="en-GB"/>
        </w:rPr>
        <w:t xml:space="preserve"> contributed to our knowledge and </w:t>
      </w:r>
      <w:r w:rsidRPr="00BF676C">
        <w:rPr>
          <w:rFonts w:ascii="Arial" w:hAnsi="Arial" w:cs="Arial"/>
          <w:color w:val="000000" w:themeColor="text1"/>
          <w:lang w:val="en-GB"/>
        </w:rPr>
        <w:t xml:space="preserve">clinical management of AF patients. </w:t>
      </w:r>
    </w:p>
    <w:p w14:paraId="2A203806" w14:textId="77777777" w:rsidR="0063383E" w:rsidRDefault="0063383E" w:rsidP="00A0317E">
      <w:pPr>
        <w:autoSpaceDE w:val="0"/>
        <w:autoSpaceDN w:val="0"/>
        <w:adjustRightInd w:val="0"/>
        <w:rPr>
          <w:rFonts w:ascii="Arial" w:hAnsi="Arial" w:cs="Arial"/>
          <w:color w:val="000000" w:themeColor="text1"/>
          <w:lang w:val="en-GB"/>
        </w:rPr>
      </w:pPr>
    </w:p>
    <w:p w14:paraId="3111F51A" w14:textId="77777777" w:rsidR="0063383E" w:rsidRDefault="0063383E" w:rsidP="00A0317E">
      <w:pPr>
        <w:autoSpaceDE w:val="0"/>
        <w:autoSpaceDN w:val="0"/>
        <w:adjustRightInd w:val="0"/>
        <w:rPr>
          <w:rFonts w:ascii="Arial" w:hAnsi="Arial" w:cs="Arial"/>
          <w:color w:val="000000" w:themeColor="text1"/>
          <w:lang w:val="en-GB"/>
        </w:rPr>
      </w:pPr>
    </w:p>
    <w:p w14:paraId="18F4C5C2" w14:textId="77777777" w:rsidR="0063383E" w:rsidRDefault="0063383E" w:rsidP="003F4CF5">
      <w:pPr>
        <w:tabs>
          <w:tab w:val="left" w:pos="2714"/>
        </w:tabs>
        <w:rPr>
          <w:rFonts w:ascii="Arial" w:hAnsi="Arial" w:cs="Arial"/>
          <w:b/>
          <w:bCs/>
          <w:iCs/>
          <w:color w:val="000000" w:themeColor="text1"/>
          <w:lang w:val="en-GB"/>
        </w:rPr>
      </w:pPr>
    </w:p>
    <w:p w14:paraId="015358C1" w14:textId="77777777" w:rsidR="0063383E" w:rsidRPr="00B94873" w:rsidRDefault="0063383E" w:rsidP="000A1294">
      <w:pPr>
        <w:rPr>
          <w:rFonts w:ascii="Arial" w:hAnsi="Arial" w:cs="Arial"/>
          <w:b/>
          <w:bCs/>
          <w:color w:val="000000" w:themeColor="text1"/>
          <w:lang w:val="en-GB"/>
        </w:rPr>
      </w:pPr>
      <w:r>
        <w:rPr>
          <w:rFonts w:ascii="Arial" w:hAnsi="Arial" w:cs="Arial"/>
          <w:b/>
          <w:bCs/>
          <w:iCs/>
          <w:color w:val="000000" w:themeColor="text1"/>
          <w:lang w:val="en-GB"/>
        </w:rPr>
        <w:t>KEY WORDS:</w:t>
      </w:r>
      <w:r w:rsidRPr="000A1294">
        <w:rPr>
          <w:rFonts w:ascii="Arial" w:hAnsi="Arial" w:cs="Arial"/>
          <w:iCs/>
          <w:color w:val="000000" w:themeColor="text1"/>
          <w:lang w:val="en-GB"/>
        </w:rPr>
        <w:t xml:space="preserve"> </w:t>
      </w:r>
      <w:r w:rsidRPr="000A1294">
        <w:rPr>
          <w:rFonts w:ascii="Arial" w:hAnsi="Arial" w:cs="Arial"/>
          <w:color w:val="000000" w:themeColor="text1"/>
          <w:lang w:val="en-GB"/>
        </w:rPr>
        <w:t xml:space="preserve">atrial fibrillation; registry; survey; EORP; EHS; epidemiology </w:t>
      </w:r>
    </w:p>
    <w:p w14:paraId="75809D35" w14:textId="77777777" w:rsidR="0063383E" w:rsidRPr="00B94873" w:rsidRDefault="0063383E" w:rsidP="000A1294">
      <w:pPr>
        <w:rPr>
          <w:rFonts w:ascii="Arial" w:hAnsi="Arial" w:cs="Arial"/>
          <w:color w:val="000000" w:themeColor="text1"/>
          <w:lang w:val="en-GB"/>
        </w:rPr>
      </w:pPr>
    </w:p>
    <w:p w14:paraId="621BE3D4" w14:textId="77777777" w:rsidR="0063383E" w:rsidRDefault="0063383E" w:rsidP="00616ACE">
      <w:pPr>
        <w:pBdr>
          <w:bottom w:val="single" w:sz="4" w:space="1" w:color="auto"/>
        </w:pBdr>
        <w:spacing w:line="480" w:lineRule="auto"/>
        <w:rPr>
          <w:rFonts w:ascii="Arial" w:hAnsi="Arial" w:cs="Arial"/>
          <w:b/>
          <w:bCs/>
          <w:iCs/>
          <w:color w:val="000000" w:themeColor="text1"/>
          <w:lang w:val="en-GB"/>
        </w:rPr>
      </w:pPr>
    </w:p>
    <w:p w14:paraId="63001ED8" w14:textId="77777777" w:rsidR="0063383E" w:rsidRDefault="0063383E" w:rsidP="00616ACE">
      <w:pPr>
        <w:pBdr>
          <w:bottom w:val="single" w:sz="4" w:space="1" w:color="auto"/>
        </w:pBdr>
        <w:spacing w:line="480" w:lineRule="auto"/>
        <w:rPr>
          <w:rFonts w:ascii="Arial" w:hAnsi="Arial" w:cs="Arial"/>
          <w:b/>
          <w:bCs/>
          <w:iCs/>
          <w:color w:val="000000" w:themeColor="text1"/>
          <w:lang w:val="en-GB"/>
        </w:rPr>
      </w:pPr>
    </w:p>
    <w:p w14:paraId="16AC34B7" w14:textId="77777777" w:rsidR="0063383E" w:rsidRDefault="0063383E" w:rsidP="00616ACE">
      <w:pPr>
        <w:pBdr>
          <w:bottom w:val="single" w:sz="4" w:space="1" w:color="auto"/>
        </w:pBdr>
        <w:spacing w:line="480" w:lineRule="auto"/>
        <w:rPr>
          <w:rFonts w:ascii="Arial" w:hAnsi="Arial" w:cs="Arial"/>
          <w:b/>
          <w:bCs/>
          <w:iCs/>
          <w:color w:val="000000" w:themeColor="text1"/>
          <w:lang w:val="en-GB"/>
        </w:rPr>
        <w:sectPr w:rsidR="0063383E" w:rsidSect="00A82F23">
          <w:footerReference w:type="even" r:id="rId7"/>
          <w:footerReference w:type="default" r:id="rId8"/>
          <w:pgSz w:w="11900" w:h="16840"/>
          <w:pgMar w:top="1417" w:right="1134" w:bottom="1134" w:left="1134" w:header="708" w:footer="708" w:gutter="0"/>
          <w:cols w:space="708"/>
          <w:docGrid w:linePitch="360"/>
        </w:sectPr>
      </w:pPr>
    </w:p>
    <w:p w14:paraId="676F07B3" w14:textId="77777777" w:rsidR="0063383E" w:rsidRPr="00B94873" w:rsidRDefault="0063383E" w:rsidP="00616ACE">
      <w:pPr>
        <w:pBdr>
          <w:bottom w:val="single" w:sz="4" w:space="1" w:color="auto"/>
        </w:pBdr>
        <w:spacing w:line="480" w:lineRule="auto"/>
        <w:rPr>
          <w:rFonts w:ascii="Arial" w:hAnsi="Arial" w:cs="Arial"/>
          <w:b/>
          <w:bCs/>
          <w:iCs/>
          <w:color w:val="000000" w:themeColor="text1"/>
          <w:lang w:val="en-GB"/>
        </w:rPr>
      </w:pPr>
      <w:r w:rsidRPr="00B94873">
        <w:rPr>
          <w:rFonts w:ascii="Arial" w:hAnsi="Arial" w:cs="Arial"/>
          <w:b/>
          <w:bCs/>
          <w:iCs/>
          <w:color w:val="000000" w:themeColor="text1"/>
          <w:lang w:val="en-GB"/>
        </w:rPr>
        <w:lastRenderedPageBreak/>
        <w:t>INTRODUCTION</w:t>
      </w:r>
    </w:p>
    <w:p w14:paraId="29875936" w14:textId="77777777" w:rsidR="0063383E" w:rsidRPr="00B94873" w:rsidRDefault="0063383E" w:rsidP="00616ACE">
      <w:pPr>
        <w:spacing w:line="480" w:lineRule="auto"/>
        <w:rPr>
          <w:rFonts w:ascii="Arial" w:hAnsi="Arial" w:cs="Arial"/>
          <w:b/>
          <w:bCs/>
          <w:color w:val="000000" w:themeColor="text1"/>
          <w:lang w:val="en-GB"/>
        </w:rPr>
      </w:pPr>
    </w:p>
    <w:p w14:paraId="487637C5"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Atrial fibrillation</w:t>
      </w:r>
      <w:r>
        <w:rPr>
          <w:rFonts w:ascii="Arial" w:hAnsi="Arial" w:cs="Arial"/>
          <w:color w:val="000000" w:themeColor="text1"/>
          <w:lang w:val="en-GB"/>
        </w:rPr>
        <w:t xml:space="preserve"> (AF)</w:t>
      </w:r>
      <w:r w:rsidRPr="00B94873">
        <w:rPr>
          <w:rFonts w:ascii="Arial" w:hAnsi="Arial" w:cs="Arial"/>
          <w:color w:val="000000" w:themeColor="text1"/>
          <w:lang w:val="en-GB"/>
        </w:rPr>
        <w:t xml:space="preserve"> is the most common arrhythmia in clinical practice and is associated with significantly increased morbidity, mortality and several adverse clinical outcomes including a five-fold increased risk for stroke</w:t>
      </w:r>
      <w:r>
        <w:rPr>
          <w:rFonts w:ascii="Arial" w:hAnsi="Arial" w:cs="Arial"/>
          <w:noProof/>
          <w:color w:val="000000" w:themeColor="text1"/>
          <w:lang w:val="en-GB"/>
        </w:rPr>
        <w:t>[1, 2]</w:t>
      </w:r>
      <w:r w:rsidRPr="00B94873">
        <w:rPr>
          <w:rFonts w:ascii="Arial" w:hAnsi="Arial" w:cs="Arial"/>
          <w:color w:val="000000" w:themeColor="text1"/>
          <w:lang w:val="en-GB"/>
        </w:rPr>
        <w:t>. Prevalence and incidence of AF have increased rapidly, with future projections estimating a growth at least 3-fold by 2050.</w:t>
      </w:r>
      <w:r>
        <w:rPr>
          <w:rFonts w:ascii="Arial" w:hAnsi="Arial" w:cs="Arial"/>
          <w:noProof/>
          <w:color w:val="000000" w:themeColor="text1"/>
          <w:lang w:val="en-GB"/>
        </w:rPr>
        <w:t>[3]</w:t>
      </w:r>
      <w:r w:rsidRPr="00B94873">
        <w:rPr>
          <w:rFonts w:ascii="Arial" w:hAnsi="Arial" w:cs="Arial"/>
          <w:color w:val="000000" w:themeColor="text1"/>
          <w:lang w:val="en-GB"/>
        </w:rPr>
        <w:t xml:space="preserve"> Given the noticeable impact on public health, healthcare costs and the advances in AF clinical management, </w:t>
      </w:r>
      <w:r w:rsidRPr="00B94873">
        <w:rPr>
          <w:rFonts w:ascii="Arial" w:hAnsi="Arial" w:cs="Arial"/>
          <w:iCs/>
          <w:color w:val="000000" w:themeColor="text1"/>
          <w:lang w:val="en-GB"/>
        </w:rPr>
        <w:t xml:space="preserve">the European Society of Cardiology (ESC) </w:t>
      </w:r>
      <w:r w:rsidRPr="00B94873">
        <w:rPr>
          <w:rFonts w:ascii="Arial" w:hAnsi="Arial" w:cs="Arial"/>
          <w:color w:val="000000" w:themeColor="text1"/>
          <w:lang w:val="en-GB"/>
        </w:rPr>
        <w:t xml:space="preserve">promotes evidence-based scientific knowledge for education and training of cardiologists and other health care professionals through ESC-Guidelines. Guidelines help everyday clinicians in the decision-making process, being essential for clinical daily practice. Nevertheless, given the complexity of </w:t>
      </w:r>
      <w:r w:rsidRPr="00B94873">
        <w:rPr>
          <w:rFonts w:ascii="Arial" w:hAnsi="Arial" w:cs="Arial"/>
          <w:i/>
          <w:iCs/>
          <w:color w:val="000000" w:themeColor="text1"/>
          <w:lang w:val="en-GB"/>
        </w:rPr>
        <w:t>real-world</w:t>
      </w:r>
      <w:r w:rsidRPr="00B94873">
        <w:rPr>
          <w:rFonts w:ascii="Arial" w:hAnsi="Arial" w:cs="Arial"/>
          <w:color w:val="000000" w:themeColor="text1"/>
          <w:lang w:val="en-GB"/>
        </w:rPr>
        <w:t xml:space="preserve"> patients and the existing differences across European countries between epidemiology, healthcare and socio-economic systems, </w:t>
      </w:r>
      <w:bookmarkStart w:id="1" w:name="OLE_LINK1"/>
      <w:bookmarkStart w:id="2" w:name="OLE_LINK2"/>
      <w:r w:rsidRPr="00B94873">
        <w:rPr>
          <w:rFonts w:ascii="Arial" w:hAnsi="Arial" w:cs="Arial"/>
          <w:color w:val="000000" w:themeColor="text1"/>
          <w:lang w:val="en-GB"/>
        </w:rPr>
        <w:t xml:space="preserve">there is a need for programmes aimed </w:t>
      </w:r>
      <w:r>
        <w:rPr>
          <w:rFonts w:ascii="Arial" w:hAnsi="Arial" w:cs="Arial"/>
          <w:color w:val="000000" w:themeColor="text1"/>
          <w:lang w:val="en-GB"/>
        </w:rPr>
        <w:t>at</w:t>
      </w:r>
      <w:r w:rsidRPr="00B94873">
        <w:rPr>
          <w:rFonts w:ascii="Arial" w:hAnsi="Arial" w:cs="Arial"/>
          <w:color w:val="000000" w:themeColor="text1"/>
          <w:lang w:val="en-GB"/>
        </w:rPr>
        <w:t xml:space="preserve"> collect</w:t>
      </w:r>
      <w:r>
        <w:rPr>
          <w:rFonts w:ascii="Arial" w:hAnsi="Arial" w:cs="Arial"/>
          <w:color w:val="000000" w:themeColor="text1"/>
          <w:lang w:val="en-GB"/>
        </w:rPr>
        <w:t>ing</w:t>
      </w:r>
      <w:r w:rsidRPr="00B94873">
        <w:rPr>
          <w:rFonts w:ascii="Arial" w:hAnsi="Arial" w:cs="Arial"/>
          <w:color w:val="000000" w:themeColor="text1"/>
          <w:lang w:val="en-GB"/>
        </w:rPr>
        <w:t xml:space="preserve"> standardized data regarding epidemiology and diagnostic/therapeutic processes and assess</w:t>
      </w:r>
      <w:r>
        <w:rPr>
          <w:rFonts w:ascii="Arial" w:hAnsi="Arial" w:cs="Arial"/>
          <w:color w:val="000000" w:themeColor="text1"/>
          <w:lang w:val="en-GB"/>
        </w:rPr>
        <w:t>ing</w:t>
      </w:r>
      <w:r w:rsidRPr="00B94873">
        <w:rPr>
          <w:rFonts w:ascii="Arial" w:hAnsi="Arial" w:cs="Arial"/>
          <w:color w:val="000000" w:themeColor="text1"/>
          <w:lang w:val="en-GB"/>
        </w:rPr>
        <w:t xml:space="preserve"> adherence to </w:t>
      </w:r>
      <w:r>
        <w:rPr>
          <w:rFonts w:ascii="Arial" w:hAnsi="Arial" w:cs="Arial"/>
          <w:color w:val="000000" w:themeColor="text1"/>
          <w:lang w:val="en-GB"/>
        </w:rPr>
        <w:t>the g</w:t>
      </w:r>
      <w:r w:rsidRPr="00B94873">
        <w:rPr>
          <w:rFonts w:ascii="Arial" w:hAnsi="Arial" w:cs="Arial"/>
          <w:color w:val="000000" w:themeColor="text1"/>
          <w:lang w:val="en-GB"/>
        </w:rPr>
        <w:t>uidelines</w:t>
      </w:r>
      <w:bookmarkEnd w:id="1"/>
      <w:bookmarkEnd w:id="2"/>
      <w:r w:rsidRPr="00B94873">
        <w:rPr>
          <w:rFonts w:ascii="Arial" w:hAnsi="Arial" w:cs="Arial"/>
          <w:color w:val="000000" w:themeColor="text1"/>
          <w:lang w:val="en-GB"/>
        </w:rPr>
        <w:t>. For th</w:t>
      </w:r>
      <w:r>
        <w:rPr>
          <w:rFonts w:ascii="Arial" w:hAnsi="Arial" w:cs="Arial"/>
          <w:color w:val="000000" w:themeColor="text1"/>
          <w:lang w:val="en-GB"/>
        </w:rPr>
        <w:t>ese</w:t>
      </w:r>
      <w:r w:rsidRPr="00B94873">
        <w:rPr>
          <w:rFonts w:ascii="Arial" w:hAnsi="Arial" w:cs="Arial"/>
          <w:color w:val="000000" w:themeColor="text1"/>
          <w:lang w:val="en-GB"/>
        </w:rPr>
        <w:t xml:space="preserve"> reason</w:t>
      </w:r>
      <w:r>
        <w:rPr>
          <w:rFonts w:ascii="Arial" w:hAnsi="Arial" w:cs="Arial"/>
          <w:color w:val="000000" w:themeColor="text1"/>
          <w:lang w:val="en-GB"/>
        </w:rPr>
        <w:t>s,</w:t>
      </w:r>
      <w:r w:rsidRPr="00B94873">
        <w:rPr>
          <w:rFonts w:ascii="Arial" w:hAnsi="Arial" w:cs="Arial"/>
          <w:color w:val="000000" w:themeColor="text1"/>
          <w:lang w:val="en-GB"/>
        </w:rPr>
        <w:t xml:space="preserve"> over the past 20 years, the number of registries and surveys based on </w:t>
      </w:r>
      <w:r w:rsidRPr="00B94873">
        <w:rPr>
          <w:rFonts w:ascii="Arial" w:hAnsi="Arial" w:cs="Arial"/>
          <w:i/>
          <w:iCs/>
          <w:color w:val="000000" w:themeColor="text1"/>
          <w:lang w:val="en-GB"/>
        </w:rPr>
        <w:t>real-world</w:t>
      </w:r>
      <w:r w:rsidRPr="00B94873">
        <w:rPr>
          <w:rFonts w:ascii="Arial" w:hAnsi="Arial" w:cs="Arial"/>
          <w:color w:val="000000" w:themeColor="text1"/>
          <w:lang w:val="en-GB"/>
        </w:rPr>
        <w:t xml:space="preserve"> patients ha</w:t>
      </w:r>
      <w:r>
        <w:rPr>
          <w:rFonts w:ascii="Arial" w:hAnsi="Arial" w:cs="Arial"/>
          <w:color w:val="000000" w:themeColor="text1"/>
          <w:lang w:val="en-GB"/>
        </w:rPr>
        <w:t>s</w:t>
      </w:r>
      <w:r w:rsidRPr="00B94873">
        <w:rPr>
          <w:rFonts w:ascii="Arial" w:hAnsi="Arial" w:cs="Arial"/>
          <w:color w:val="000000" w:themeColor="text1"/>
          <w:lang w:val="en-GB"/>
        </w:rPr>
        <w:t xml:space="preserve"> been exponential.</w:t>
      </w:r>
      <w:r>
        <w:rPr>
          <w:rFonts w:ascii="Arial" w:hAnsi="Arial" w:cs="Arial"/>
          <w:noProof/>
          <w:color w:val="000000" w:themeColor="text1"/>
          <w:lang w:val="en-GB"/>
        </w:rPr>
        <w:t>[4, 5]</w:t>
      </w:r>
      <w:r w:rsidRPr="00B94873">
        <w:rPr>
          <w:rFonts w:ascii="Arial" w:hAnsi="Arial" w:cs="Arial"/>
          <w:color w:val="000000" w:themeColor="text1"/>
          <w:lang w:val="en-GB"/>
        </w:rPr>
        <w:t xml:space="preserve"> Even for atrial fibrillation, over the last 3 decades, the number of registries and surveys has increased considerably, leading to a growing number of related scientific publications (</w:t>
      </w:r>
      <w:r w:rsidRPr="00B94873">
        <w:rPr>
          <w:rFonts w:ascii="Arial" w:hAnsi="Arial" w:cs="Arial"/>
          <w:color w:val="000000" w:themeColor="text1"/>
          <w:lang w:val="en-GB"/>
        </w:rPr>
        <w:fldChar w:fldCharType="begin"/>
      </w:r>
      <w:r w:rsidRPr="00B94873">
        <w:rPr>
          <w:rFonts w:ascii="Arial" w:hAnsi="Arial" w:cs="Arial"/>
          <w:color w:val="000000" w:themeColor="text1"/>
          <w:lang w:val="en-GB"/>
        </w:rPr>
        <w:instrText xml:space="preserve"> REF _Ref32493564 \h </w:instrText>
      </w:r>
      <w:r>
        <w:rPr>
          <w:rFonts w:ascii="Arial" w:hAnsi="Arial" w:cs="Arial"/>
          <w:color w:val="000000" w:themeColor="text1"/>
          <w:lang w:val="en-GB"/>
        </w:rPr>
        <w:instrText xml:space="preserve"> \* MERGEFORMAT </w:instrText>
      </w:r>
      <w:r w:rsidRPr="00B94873">
        <w:rPr>
          <w:rFonts w:ascii="Arial" w:hAnsi="Arial" w:cs="Arial"/>
          <w:color w:val="000000" w:themeColor="text1"/>
          <w:lang w:val="en-GB"/>
        </w:rPr>
      </w:r>
      <w:r w:rsidRPr="00B94873">
        <w:rPr>
          <w:rFonts w:ascii="Arial" w:hAnsi="Arial" w:cs="Arial"/>
          <w:color w:val="000000" w:themeColor="text1"/>
          <w:lang w:val="en-GB"/>
        </w:rPr>
        <w:fldChar w:fldCharType="separate"/>
      </w:r>
      <w:r w:rsidRPr="0095304C">
        <w:rPr>
          <w:rFonts w:ascii="Arial" w:hAnsi="Arial" w:cs="Arial"/>
          <w:i/>
          <w:iCs/>
          <w:color w:val="000000" w:themeColor="text1"/>
          <w:lang w:val="en-GB"/>
        </w:rPr>
        <w:t xml:space="preserve">Figure </w:t>
      </w:r>
      <w:r>
        <w:rPr>
          <w:rFonts w:ascii="Arial" w:hAnsi="Arial" w:cs="Arial"/>
          <w:i/>
          <w:iCs/>
          <w:noProof/>
          <w:color w:val="000000" w:themeColor="text1"/>
          <w:lang w:val="en-GB"/>
        </w:rPr>
        <w:t>1</w:t>
      </w:r>
      <w:r w:rsidRPr="00B94873">
        <w:rPr>
          <w:rFonts w:ascii="Arial" w:hAnsi="Arial" w:cs="Arial"/>
          <w:color w:val="000000" w:themeColor="text1"/>
          <w:lang w:val="en-GB"/>
        </w:rPr>
        <w:fldChar w:fldCharType="end"/>
      </w:r>
      <w:r w:rsidRPr="00B94873">
        <w:rPr>
          <w:rFonts w:ascii="Arial" w:hAnsi="Arial" w:cs="Arial"/>
          <w:color w:val="000000" w:themeColor="text1"/>
          <w:lang w:val="en-GB"/>
        </w:rPr>
        <w:t>).</w:t>
      </w:r>
      <w:r>
        <w:rPr>
          <w:rFonts w:ascii="Arial" w:hAnsi="Arial" w:cs="Arial"/>
          <w:noProof/>
          <w:color w:val="000000" w:themeColor="text1"/>
          <w:lang w:val="en-GB"/>
        </w:rPr>
        <w:t>[6, 7]</w:t>
      </w:r>
      <w:r w:rsidRPr="00B94873">
        <w:rPr>
          <w:rFonts w:ascii="Arial" w:hAnsi="Arial" w:cs="Arial"/>
          <w:color w:val="000000" w:themeColor="text1"/>
          <w:lang w:val="en-GB"/>
        </w:rPr>
        <w:t xml:space="preserve"> The ESC, as well as other learned Societies, supports high-quality prospective surveys and registries which collect a variety of data giving us a “</w:t>
      </w:r>
      <w:r w:rsidRPr="00B94873">
        <w:rPr>
          <w:rFonts w:ascii="Arial" w:hAnsi="Arial" w:cs="Arial"/>
          <w:i/>
          <w:iCs/>
          <w:color w:val="000000" w:themeColor="text1"/>
          <w:lang w:val="en-GB"/>
        </w:rPr>
        <w:t>real-world</w:t>
      </w:r>
      <w:r w:rsidRPr="00B94873">
        <w:rPr>
          <w:rFonts w:ascii="Arial" w:hAnsi="Arial" w:cs="Arial"/>
          <w:color w:val="000000" w:themeColor="text1"/>
          <w:lang w:val="en-GB"/>
        </w:rPr>
        <w:t xml:space="preserve"> </w:t>
      </w:r>
      <w:r w:rsidRPr="00B94873">
        <w:rPr>
          <w:rFonts w:ascii="Arial" w:hAnsi="Arial" w:cs="Arial"/>
          <w:i/>
          <w:iCs/>
          <w:color w:val="000000" w:themeColor="text1"/>
          <w:lang w:val="en-GB"/>
        </w:rPr>
        <w:t>snapshot</w:t>
      </w:r>
      <w:r w:rsidRPr="00B94873">
        <w:rPr>
          <w:rFonts w:ascii="Arial" w:hAnsi="Arial" w:cs="Arial"/>
          <w:color w:val="000000" w:themeColor="text1"/>
          <w:lang w:val="en-GB"/>
        </w:rPr>
        <w:t xml:space="preserve">” on clinical practice across European </w:t>
      </w:r>
      <w:r>
        <w:rPr>
          <w:rFonts w:ascii="Arial" w:hAnsi="Arial" w:cs="Arial"/>
          <w:color w:val="000000" w:themeColor="text1"/>
          <w:lang w:val="en-GB"/>
        </w:rPr>
        <w:t>c</w:t>
      </w:r>
      <w:r w:rsidRPr="00B94873">
        <w:rPr>
          <w:rFonts w:ascii="Arial" w:hAnsi="Arial" w:cs="Arial"/>
          <w:color w:val="000000" w:themeColor="text1"/>
          <w:lang w:val="en-GB"/>
        </w:rPr>
        <w:t xml:space="preserve">ountries. This narrative review gives an overview of the two projects on atrial fibrillation (AF) </w:t>
      </w:r>
      <w:r>
        <w:rPr>
          <w:rFonts w:ascii="Arial" w:hAnsi="Arial" w:cs="Arial"/>
          <w:color w:val="000000" w:themeColor="text1"/>
          <w:lang w:val="en-GB"/>
        </w:rPr>
        <w:t>led</w:t>
      </w:r>
      <w:r w:rsidRPr="00B94873">
        <w:rPr>
          <w:rFonts w:ascii="Arial" w:hAnsi="Arial" w:cs="Arial"/>
          <w:color w:val="000000" w:themeColor="text1"/>
          <w:lang w:val="en-GB"/>
        </w:rPr>
        <w:t xml:space="preserve"> by the ESC, the Euro Heart Survey (EHS) and </w:t>
      </w:r>
      <w:r w:rsidRPr="00CC7360">
        <w:rPr>
          <w:rFonts w:ascii="Arial" w:hAnsi="Arial" w:cs="Arial"/>
          <w:color w:val="000000" w:themeColor="text1"/>
          <w:lang w:val="en-GB"/>
        </w:rPr>
        <w:t xml:space="preserve">the </w:t>
      </w:r>
      <w:proofErr w:type="spellStart"/>
      <w:r w:rsidRPr="00CC7360">
        <w:rPr>
          <w:rStyle w:val="Strong"/>
          <w:rFonts w:ascii="Arial" w:hAnsi="Arial" w:cs="Arial"/>
          <w:b w:val="0"/>
          <w:bCs w:val="0"/>
          <w:color w:val="000000" w:themeColor="text1"/>
          <w:lang w:val="en-GB"/>
        </w:rPr>
        <w:t>EURObservational</w:t>
      </w:r>
      <w:proofErr w:type="spellEnd"/>
      <w:r w:rsidRPr="00CC7360">
        <w:rPr>
          <w:rStyle w:val="Strong"/>
          <w:rFonts w:ascii="Arial" w:hAnsi="Arial" w:cs="Arial"/>
          <w:b w:val="0"/>
          <w:bCs w:val="0"/>
          <w:color w:val="000000" w:themeColor="text1"/>
          <w:lang w:val="en-GB"/>
        </w:rPr>
        <w:t xml:space="preserve"> Research Programme (</w:t>
      </w:r>
      <w:r w:rsidRPr="00CC7360">
        <w:rPr>
          <w:rFonts w:ascii="Arial" w:hAnsi="Arial" w:cs="Arial"/>
          <w:color w:val="000000" w:themeColor="text1"/>
          <w:lang w:val="en-GB"/>
        </w:rPr>
        <w:t>EORP) registries, focusing mainly on the c</w:t>
      </w:r>
      <w:r w:rsidRPr="00B94873">
        <w:rPr>
          <w:rFonts w:ascii="Arial" w:hAnsi="Arial" w:cs="Arial"/>
          <w:color w:val="000000" w:themeColor="text1"/>
          <w:lang w:val="en-GB"/>
        </w:rPr>
        <w:t xml:space="preserve">ontribution that these studies have provided to AF management and patient outcomes. </w:t>
      </w:r>
    </w:p>
    <w:p w14:paraId="7A466185" w14:textId="77777777" w:rsidR="0063383E" w:rsidRPr="00B94873" w:rsidRDefault="0063383E" w:rsidP="00E24D9D">
      <w:pPr>
        <w:pBdr>
          <w:bottom w:val="single" w:sz="4" w:space="1" w:color="auto"/>
        </w:pBdr>
        <w:spacing w:line="480" w:lineRule="auto"/>
        <w:jc w:val="both"/>
        <w:rPr>
          <w:rFonts w:ascii="Arial" w:hAnsi="Arial" w:cs="Arial"/>
          <w:b/>
          <w:bCs/>
          <w:color w:val="000000" w:themeColor="text1"/>
          <w:lang w:val="en-GB"/>
        </w:rPr>
      </w:pPr>
      <w:r w:rsidRPr="00B94873">
        <w:rPr>
          <w:rFonts w:ascii="Arial" w:hAnsi="Arial" w:cs="Arial"/>
          <w:b/>
          <w:bCs/>
          <w:color w:val="000000" w:themeColor="text1"/>
          <w:lang w:val="en-GB"/>
        </w:rPr>
        <w:lastRenderedPageBreak/>
        <w:t xml:space="preserve">THE EURO HEART SURVEY and THE EORP ATRIAL FIBRILLATION REGISTRIES </w:t>
      </w:r>
    </w:p>
    <w:p w14:paraId="79182D2A" w14:textId="77777777" w:rsidR="0063383E" w:rsidRPr="00B94873" w:rsidRDefault="0063383E" w:rsidP="00E24D9D">
      <w:pPr>
        <w:pStyle w:val="NormalWeb"/>
        <w:spacing w:before="0" w:beforeAutospacing="0" w:after="0" w:afterAutospacing="0" w:line="480" w:lineRule="auto"/>
        <w:jc w:val="both"/>
        <w:rPr>
          <w:rFonts w:ascii="Arial" w:hAnsi="Arial" w:cs="Arial"/>
          <w:color w:val="000000" w:themeColor="text1"/>
          <w:lang w:val="en-GB"/>
        </w:rPr>
      </w:pPr>
    </w:p>
    <w:p w14:paraId="2F899C38" w14:textId="77777777" w:rsidR="0063383E" w:rsidRPr="00B94873" w:rsidRDefault="0063383E" w:rsidP="00E24D9D">
      <w:pPr>
        <w:pStyle w:val="NormalWeb"/>
        <w:spacing w:before="0" w:beforeAutospacing="0" w:after="0" w:afterAutospacing="0" w:line="480" w:lineRule="auto"/>
        <w:jc w:val="both"/>
        <w:rPr>
          <w:rFonts w:ascii="Arial" w:hAnsi="Arial" w:cs="Arial"/>
          <w:color w:val="000000" w:themeColor="text1"/>
          <w:lang w:val="en-GB"/>
        </w:rPr>
      </w:pPr>
      <w:r w:rsidRPr="00B94873">
        <w:rPr>
          <w:rFonts w:ascii="Arial" w:hAnsi="Arial" w:cs="Arial"/>
          <w:color w:val="000000" w:themeColor="text1"/>
          <w:lang w:val="en-GB"/>
        </w:rPr>
        <w:t>A clinical registry is commonly defined as an observational database for the collection, storage, recall and analysis of a clinical condition, procedure and/or therapy.</w:t>
      </w:r>
      <w:r>
        <w:rPr>
          <w:rFonts w:ascii="Arial" w:hAnsi="Arial" w:cs="Arial"/>
          <w:noProof/>
          <w:color w:val="000000" w:themeColor="text1"/>
          <w:lang w:val="en-GB"/>
        </w:rPr>
        <w:t>[8]</w:t>
      </w:r>
      <w:r w:rsidRPr="00B94873">
        <w:rPr>
          <w:rFonts w:ascii="Arial" w:hAnsi="Arial" w:cs="Arial"/>
          <w:color w:val="000000" w:themeColor="text1"/>
          <w:lang w:val="en-GB"/>
        </w:rPr>
        <w:t xml:space="preserve"> As highlighted by numerous studies, large registries and surveys have the potential to improve guidelines adherence, patients outcomes, the effectiveness of treatments and healthcare economy.</w:t>
      </w:r>
      <w:r>
        <w:rPr>
          <w:rFonts w:ascii="Arial" w:hAnsi="Arial" w:cs="Arial"/>
          <w:noProof/>
          <w:color w:val="000000" w:themeColor="text1"/>
          <w:lang w:val="en-GB"/>
        </w:rPr>
        <w:t>[4]</w:t>
      </w:r>
      <w:r w:rsidRPr="00B94873">
        <w:rPr>
          <w:rFonts w:ascii="Arial" w:hAnsi="Arial" w:cs="Arial"/>
          <w:color w:val="000000" w:themeColor="text1"/>
          <w:lang w:val="en-GB"/>
        </w:rPr>
        <w:t xml:space="preserve"> Clinical registries and surveys are an essential part of the so-called “Quality Cycle” (</w:t>
      </w:r>
      <w:r w:rsidRPr="00B94873">
        <w:rPr>
          <w:rFonts w:ascii="Arial" w:hAnsi="Arial" w:cs="Arial"/>
          <w:color w:val="000000" w:themeColor="text1"/>
          <w:lang w:val="en-GB"/>
        </w:rPr>
        <w:fldChar w:fldCharType="begin"/>
      </w:r>
      <w:r w:rsidRPr="00B94873">
        <w:rPr>
          <w:rFonts w:ascii="Arial" w:hAnsi="Arial" w:cs="Arial"/>
          <w:color w:val="000000" w:themeColor="text1"/>
          <w:lang w:val="en-GB"/>
        </w:rPr>
        <w:instrText xml:space="preserve"> REF _Ref32494926 \h </w:instrText>
      </w:r>
      <w:r>
        <w:rPr>
          <w:rFonts w:ascii="Arial" w:hAnsi="Arial" w:cs="Arial"/>
          <w:color w:val="000000" w:themeColor="text1"/>
          <w:lang w:val="en-GB"/>
        </w:rPr>
        <w:instrText xml:space="preserve"> \* MERGEFORMAT </w:instrText>
      </w:r>
      <w:r w:rsidRPr="00B94873">
        <w:rPr>
          <w:rFonts w:ascii="Arial" w:hAnsi="Arial" w:cs="Arial"/>
          <w:color w:val="000000" w:themeColor="text1"/>
          <w:lang w:val="en-GB"/>
        </w:rPr>
      </w:r>
      <w:r w:rsidRPr="00B94873">
        <w:rPr>
          <w:rFonts w:ascii="Arial" w:hAnsi="Arial" w:cs="Arial"/>
          <w:color w:val="000000" w:themeColor="text1"/>
          <w:lang w:val="en-GB"/>
        </w:rPr>
        <w:fldChar w:fldCharType="separate"/>
      </w:r>
      <w:r w:rsidRPr="0095304C">
        <w:rPr>
          <w:rFonts w:ascii="Arial" w:hAnsi="Arial" w:cs="Arial"/>
          <w:i/>
          <w:iCs/>
          <w:color w:val="000000" w:themeColor="text1"/>
          <w:lang w:val="en-GB"/>
        </w:rPr>
        <w:t xml:space="preserve">Figure </w:t>
      </w:r>
      <w:r>
        <w:rPr>
          <w:rFonts w:ascii="Arial" w:hAnsi="Arial" w:cs="Arial"/>
          <w:i/>
          <w:iCs/>
          <w:noProof/>
          <w:color w:val="000000" w:themeColor="text1"/>
          <w:lang w:val="en-GB"/>
        </w:rPr>
        <w:t>2</w:t>
      </w:r>
      <w:r w:rsidRPr="00B94873">
        <w:rPr>
          <w:rFonts w:ascii="Arial" w:hAnsi="Arial" w:cs="Arial"/>
          <w:color w:val="000000" w:themeColor="text1"/>
          <w:lang w:val="en-GB"/>
        </w:rPr>
        <w:fldChar w:fldCharType="end"/>
      </w:r>
      <w:r w:rsidRPr="00B94873">
        <w:rPr>
          <w:rFonts w:ascii="Arial" w:hAnsi="Arial" w:cs="Arial"/>
          <w:color w:val="000000" w:themeColor="text1"/>
          <w:lang w:val="en-GB"/>
        </w:rPr>
        <w:t>).</w:t>
      </w:r>
      <w:r>
        <w:rPr>
          <w:rFonts w:ascii="Arial" w:hAnsi="Arial" w:cs="Arial"/>
          <w:noProof/>
          <w:color w:val="000000" w:themeColor="text1"/>
          <w:lang w:val="en-GB"/>
        </w:rPr>
        <w:t>[9]</w:t>
      </w:r>
      <w:r w:rsidRPr="00B94873">
        <w:rPr>
          <w:rFonts w:ascii="Arial" w:hAnsi="Arial" w:cs="Arial"/>
          <w:color w:val="000000" w:themeColor="text1"/>
          <w:lang w:val="en-GB"/>
        </w:rPr>
        <w:t xml:space="preserve"> Quality </w:t>
      </w:r>
      <w:r w:rsidRPr="00B94873">
        <w:rPr>
          <w:rFonts w:ascii="Arial" w:hAnsi="Arial" w:cs="Arial"/>
          <w:color w:val="000000" w:themeColor="text1"/>
          <w:shd w:val="clear" w:color="auto" w:fill="FFFFFF"/>
          <w:lang w:val="en-GB"/>
        </w:rPr>
        <w:t xml:space="preserve">assurance is a wide-ranging concept and continuous process in </w:t>
      </w:r>
      <w:r>
        <w:rPr>
          <w:rFonts w:ascii="Arial" w:hAnsi="Arial" w:cs="Arial"/>
          <w:color w:val="000000" w:themeColor="text1"/>
          <w:shd w:val="clear" w:color="auto" w:fill="FFFFFF"/>
          <w:lang w:val="en-GB"/>
        </w:rPr>
        <w:t>m</w:t>
      </w:r>
      <w:r w:rsidRPr="00B94873">
        <w:rPr>
          <w:rFonts w:ascii="Arial" w:hAnsi="Arial" w:cs="Arial"/>
          <w:color w:val="000000" w:themeColor="text1"/>
          <w:shd w:val="clear" w:color="auto" w:fill="FFFFFF"/>
          <w:lang w:val="en-GB"/>
        </w:rPr>
        <w:t xml:space="preserve">edicine: </w:t>
      </w:r>
      <w:r w:rsidRPr="00B94873">
        <w:rPr>
          <w:rFonts w:ascii="Arial" w:hAnsi="Arial" w:cs="Arial"/>
          <w:color w:val="000000" w:themeColor="text1"/>
          <w:lang w:val="en-GB"/>
        </w:rPr>
        <w:t>several strategies, including the use of clinical registries and surveys, are constantly being u</w:t>
      </w:r>
      <w:r>
        <w:rPr>
          <w:rFonts w:ascii="Arial" w:hAnsi="Arial" w:cs="Arial"/>
          <w:color w:val="000000" w:themeColor="text1"/>
          <w:lang w:val="en-GB"/>
        </w:rPr>
        <w:t>tilized</w:t>
      </w:r>
      <w:r w:rsidRPr="00B94873">
        <w:rPr>
          <w:rFonts w:ascii="Arial" w:hAnsi="Arial" w:cs="Arial"/>
          <w:color w:val="000000" w:themeColor="text1"/>
          <w:lang w:val="en-GB"/>
        </w:rPr>
        <w:t xml:space="preserve"> across healthcare systems to improve and measure quality o</w:t>
      </w:r>
      <w:r>
        <w:rPr>
          <w:rFonts w:ascii="Arial" w:hAnsi="Arial" w:cs="Arial"/>
          <w:color w:val="000000" w:themeColor="text1"/>
          <w:lang w:val="en-GB"/>
        </w:rPr>
        <w:t>f</w:t>
      </w:r>
      <w:r w:rsidRPr="00B94873">
        <w:rPr>
          <w:rFonts w:ascii="Arial" w:hAnsi="Arial" w:cs="Arial"/>
          <w:color w:val="000000" w:themeColor="text1"/>
          <w:lang w:val="en-GB"/>
        </w:rPr>
        <w:t xml:space="preserve"> patient care, health outcomes, cost-benefit, and cost-effectiveness ratio.</w:t>
      </w:r>
      <w:r>
        <w:rPr>
          <w:rFonts w:ascii="Arial" w:hAnsi="Arial" w:cs="Arial"/>
          <w:noProof/>
          <w:color w:val="000000" w:themeColor="text1"/>
          <w:lang w:val="en-GB"/>
        </w:rPr>
        <w:t>[10]</w:t>
      </w:r>
      <w:r w:rsidRPr="00B94873">
        <w:rPr>
          <w:rFonts w:ascii="Arial" w:hAnsi="Arial" w:cs="Arial"/>
          <w:color w:val="000000" w:themeColor="text1"/>
          <w:lang w:val="en-GB"/>
        </w:rPr>
        <w:t xml:space="preserve"> </w:t>
      </w:r>
      <w:bookmarkStart w:id="3" w:name="OLE_LINK3"/>
      <w:bookmarkStart w:id="4" w:name="OLE_LINK4"/>
      <w:r w:rsidRPr="00B94873">
        <w:rPr>
          <w:rFonts w:ascii="Arial" w:hAnsi="Arial" w:cs="Arial"/>
          <w:color w:val="000000" w:themeColor="text1"/>
          <w:lang w:val="en-GB"/>
        </w:rPr>
        <w:t>Notwithstanding randomized clinical trials (RCT)</w:t>
      </w:r>
      <w:r>
        <w:rPr>
          <w:rFonts w:ascii="Arial" w:hAnsi="Arial" w:cs="Arial"/>
          <w:color w:val="000000" w:themeColor="text1"/>
          <w:lang w:val="en-GB"/>
        </w:rPr>
        <w:t xml:space="preserve"> </w:t>
      </w:r>
      <w:r w:rsidRPr="00B94873">
        <w:rPr>
          <w:rFonts w:ascii="Arial" w:hAnsi="Arial" w:cs="Arial"/>
          <w:color w:val="000000" w:themeColor="text1"/>
          <w:lang w:val="en-GB"/>
        </w:rPr>
        <w:t>are top of the evidence-based medicine pyramid</w:t>
      </w:r>
      <w:bookmarkEnd w:id="3"/>
      <w:bookmarkEnd w:id="4"/>
      <w:r w:rsidRPr="00B94873">
        <w:rPr>
          <w:rFonts w:ascii="Arial" w:hAnsi="Arial" w:cs="Arial"/>
          <w:color w:val="000000" w:themeColor="text1"/>
          <w:lang w:val="en-GB"/>
        </w:rPr>
        <w:t xml:space="preserve">, they may not represent properly the general population because of the trial-specific inclusion and exclusion criteria. Although they have some limitations, mainly related to their observational nature, high-quality registries investigate subgroups of patients that are </w:t>
      </w:r>
      <w:r>
        <w:rPr>
          <w:rFonts w:ascii="Arial" w:hAnsi="Arial" w:cs="Arial"/>
          <w:color w:val="000000" w:themeColor="text1"/>
          <w:lang w:val="en-GB"/>
        </w:rPr>
        <w:t xml:space="preserve">often </w:t>
      </w:r>
      <w:r w:rsidRPr="00B94873">
        <w:rPr>
          <w:rFonts w:ascii="Arial" w:hAnsi="Arial" w:cs="Arial"/>
          <w:color w:val="000000" w:themeColor="text1"/>
          <w:lang w:val="en-GB"/>
        </w:rPr>
        <w:t xml:space="preserve">not well represented in RCTs, </w:t>
      </w:r>
      <w:r>
        <w:rPr>
          <w:rFonts w:ascii="Arial" w:hAnsi="Arial" w:cs="Arial"/>
          <w:color w:val="000000" w:themeColor="text1"/>
          <w:lang w:val="en-GB"/>
        </w:rPr>
        <w:t xml:space="preserve">adding to </w:t>
      </w:r>
      <w:r w:rsidRPr="00B94873">
        <w:rPr>
          <w:rFonts w:ascii="Arial" w:hAnsi="Arial" w:cs="Arial"/>
          <w:color w:val="000000" w:themeColor="text1"/>
          <w:lang w:val="en-GB"/>
        </w:rPr>
        <w:t xml:space="preserve">our knowledge </w:t>
      </w:r>
      <w:r>
        <w:rPr>
          <w:rFonts w:ascii="Arial" w:hAnsi="Arial" w:cs="Arial"/>
          <w:color w:val="000000" w:themeColor="text1"/>
          <w:lang w:val="en-GB"/>
        </w:rPr>
        <w:t xml:space="preserve">by reporting </w:t>
      </w:r>
      <w:r w:rsidRPr="00B94873">
        <w:rPr>
          <w:rFonts w:ascii="Arial" w:hAnsi="Arial" w:cs="Arial"/>
          <w:color w:val="000000" w:themeColor="text1"/>
          <w:lang w:val="en-GB"/>
        </w:rPr>
        <w:t>on real</w:t>
      </w:r>
      <w:r>
        <w:rPr>
          <w:rFonts w:ascii="Arial" w:hAnsi="Arial" w:cs="Arial"/>
          <w:color w:val="000000" w:themeColor="text1"/>
          <w:lang w:val="en-GB"/>
        </w:rPr>
        <w:t>-</w:t>
      </w:r>
      <w:r w:rsidRPr="00B94873">
        <w:rPr>
          <w:rFonts w:ascii="Arial" w:hAnsi="Arial" w:cs="Arial"/>
          <w:color w:val="000000" w:themeColor="text1"/>
          <w:lang w:val="en-GB"/>
        </w:rPr>
        <w:t>world care of patients. Nevertheless, surveys, clinical registries and RCTs are not mutually exclusive, rather they are complementary, fue</w:t>
      </w:r>
      <w:r>
        <w:rPr>
          <w:rFonts w:ascii="Arial" w:hAnsi="Arial" w:cs="Arial"/>
          <w:color w:val="000000" w:themeColor="text1"/>
          <w:lang w:val="en-GB"/>
        </w:rPr>
        <w:t>l</w:t>
      </w:r>
      <w:r w:rsidRPr="00B94873">
        <w:rPr>
          <w:rFonts w:ascii="Arial" w:hAnsi="Arial" w:cs="Arial"/>
          <w:color w:val="000000" w:themeColor="text1"/>
          <w:lang w:val="en-GB"/>
        </w:rPr>
        <w:t xml:space="preserve">ling each other with new questions to be elucidated from RCTs and new clinical subsets to be better investigated by observational studies, and their data need to be </w:t>
      </w:r>
      <w:r>
        <w:rPr>
          <w:rFonts w:ascii="Arial" w:hAnsi="Arial" w:cs="Arial"/>
          <w:color w:val="000000" w:themeColor="text1"/>
          <w:lang w:val="en-GB"/>
        </w:rPr>
        <w:t>assimilated appropriately</w:t>
      </w:r>
      <w:r w:rsidRPr="00B94873">
        <w:rPr>
          <w:rFonts w:ascii="Arial" w:hAnsi="Arial" w:cs="Arial"/>
          <w:color w:val="000000" w:themeColor="text1"/>
          <w:lang w:val="en-GB"/>
        </w:rPr>
        <w:t xml:space="preserve"> to achieve the best evidence</w:t>
      </w:r>
      <w:r>
        <w:rPr>
          <w:rFonts w:ascii="Arial" w:hAnsi="Arial" w:cs="Arial"/>
          <w:color w:val="000000" w:themeColor="text1"/>
          <w:lang w:val="en-GB"/>
        </w:rPr>
        <w:t>-</w:t>
      </w:r>
      <w:r w:rsidRPr="00B94873">
        <w:rPr>
          <w:rFonts w:ascii="Arial" w:hAnsi="Arial" w:cs="Arial"/>
          <w:color w:val="000000" w:themeColor="text1"/>
          <w:lang w:val="en-GB"/>
        </w:rPr>
        <w:t xml:space="preserve">based medicine results. </w:t>
      </w:r>
    </w:p>
    <w:p w14:paraId="4D3AE2D7" w14:textId="77777777" w:rsidR="0063383E" w:rsidRPr="00B94873" w:rsidRDefault="0063383E" w:rsidP="00E24D9D">
      <w:pPr>
        <w:pStyle w:val="NormalWeb"/>
        <w:spacing w:before="0" w:beforeAutospacing="0" w:after="0" w:afterAutospacing="0" w:line="480" w:lineRule="auto"/>
        <w:jc w:val="both"/>
        <w:rPr>
          <w:rFonts w:ascii="Arial" w:hAnsi="Arial" w:cs="Arial"/>
          <w:color w:val="000000" w:themeColor="text1"/>
          <w:lang w:val="en-GB"/>
        </w:rPr>
      </w:pPr>
      <w:r w:rsidRPr="00B94873">
        <w:rPr>
          <w:rFonts w:ascii="Arial" w:hAnsi="Arial" w:cs="Arial"/>
          <w:color w:val="000000" w:themeColor="text1"/>
          <w:shd w:val="clear" w:color="auto" w:fill="FFFFFF"/>
          <w:lang w:val="en-GB"/>
        </w:rPr>
        <w:t>In 2000, the ESC, initiated the Euro Heart Survey</w:t>
      </w:r>
      <w:r w:rsidRPr="00B94873">
        <w:rPr>
          <w:rFonts w:ascii="Arial" w:hAnsi="Arial" w:cs="Arial"/>
          <w:color w:val="000000" w:themeColor="text1"/>
          <w:lang w:val="en-GB"/>
        </w:rPr>
        <w:t xml:space="preserve"> (EHS) that includes a large series of surveys and registries in major cardiovascular fields of interest such as AF, heart failure, acute coronary syndromes, valvular heart disease, arrhythmias, diabetes. The EHS was developed to improve knowledge and practice of coronary interventions and prevention </w:t>
      </w:r>
      <w:r w:rsidRPr="00B94873">
        <w:rPr>
          <w:rFonts w:ascii="Arial" w:hAnsi="Arial" w:cs="Arial"/>
          <w:color w:val="000000" w:themeColor="text1"/>
          <w:lang w:val="en-GB"/>
        </w:rPr>
        <w:lastRenderedPageBreak/>
        <w:t xml:space="preserve">of CV diseases. Furthermore, the EHS was beneficial </w:t>
      </w:r>
      <w:r>
        <w:rPr>
          <w:rFonts w:ascii="Arial" w:hAnsi="Arial" w:cs="Arial"/>
          <w:color w:val="000000" w:themeColor="text1"/>
          <w:lang w:val="en-GB"/>
        </w:rPr>
        <w:t>in</w:t>
      </w:r>
      <w:r w:rsidRPr="00B94873">
        <w:rPr>
          <w:rFonts w:ascii="Arial" w:hAnsi="Arial" w:cs="Arial"/>
          <w:color w:val="000000" w:themeColor="text1"/>
          <w:lang w:val="en-GB"/>
        </w:rPr>
        <w:t xml:space="preserve"> check</w:t>
      </w:r>
      <w:r>
        <w:rPr>
          <w:rFonts w:ascii="Arial" w:hAnsi="Arial" w:cs="Arial"/>
          <w:color w:val="000000" w:themeColor="text1"/>
          <w:lang w:val="en-GB"/>
        </w:rPr>
        <w:t>ing</w:t>
      </w:r>
      <w:r w:rsidRPr="00B94873">
        <w:rPr>
          <w:rFonts w:ascii="Arial" w:hAnsi="Arial" w:cs="Arial"/>
          <w:color w:val="000000" w:themeColor="text1"/>
          <w:lang w:val="en-GB"/>
        </w:rPr>
        <w:t xml:space="preserve"> adherence to guidelines in clinical practice, investigat</w:t>
      </w:r>
      <w:r>
        <w:rPr>
          <w:rFonts w:ascii="Arial" w:hAnsi="Arial" w:cs="Arial"/>
          <w:color w:val="000000" w:themeColor="text1"/>
          <w:lang w:val="en-GB"/>
        </w:rPr>
        <w:t>ing</w:t>
      </w:r>
      <w:r w:rsidRPr="00B94873">
        <w:rPr>
          <w:rFonts w:ascii="Arial" w:hAnsi="Arial" w:cs="Arial"/>
          <w:color w:val="000000" w:themeColor="text1"/>
          <w:lang w:val="en-GB"/>
        </w:rPr>
        <w:t xml:space="preserve"> the reproducibility of the RCTs on patients seen in clinical practice and assess</w:t>
      </w:r>
      <w:r>
        <w:rPr>
          <w:rFonts w:ascii="Arial" w:hAnsi="Arial" w:cs="Arial"/>
          <w:color w:val="000000" w:themeColor="text1"/>
          <w:lang w:val="en-GB"/>
        </w:rPr>
        <w:t>ing</w:t>
      </w:r>
      <w:r w:rsidRPr="00B94873">
        <w:rPr>
          <w:rFonts w:ascii="Arial" w:hAnsi="Arial" w:cs="Arial"/>
          <w:color w:val="000000" w:themeColor="text1"/>
          <w:lang w:val="en-GB"/>
        </w:rPr>
        <w:t xml:space="preserve"> if different management among European centres is reflected </w:t>
      </w:r>
      <w:r>
        <w:rPr>
          <w:rFonts w:ascii="Arial" w:hAnsi="Arial" w:cs="Arial"/>
          <w:color w:val="000000" w:themeColor="text1"/>
          <w:lang w:val="en-GB"/>
        </w:rPr>
        <w:t>by</w:t>
      </w:r>
      <w:r w:rsidRPr="00B94873">
        <w:rPr>
          <w:rFonts w:ascii="Arial" w:hAnsi="Arial" w:cs="Arial"/>
          <w:color w:val="000000" w:themeColor="text1"/>
          <w:lang w:val="en-GB"/>
        </w:rPr>
        <w:t xml:space="preserve"> differen</w:t>
      </w:r>
      <w:r>
        <w:rPr>
          <w:rFonts w:ascii="Arial" w:hAnsi="Arial" w:cs="Arial"/>
          <w:color w:val="000000" w:themeColor="text1"/>
          <w:lang w:val="en-GB"/>
        </w:rPr>
        <w:t>ces in</w:t>
      </w:r>
      <w:r w:rsidRPr="00B94873">
        <w:rPr>
          <w:rFonts w:ascii="Arial" w:hAnsi="Arial" w:cs="Arial"/>
          <w:color w:val="000000" w:themeColor="text1"/>
          <w:lang w:val="en-GB"/>
        </w:rPr>
        <w:t xml:space="preserve"> outcomes. </w:t>
      </w:r>
    </w:p>
    <w:p w14:paraId="671D2B6B"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 xml:space="preserve">The EHS collected an impressive amount of clinical data on over 100,000 patients across 35 countries and published more than 70 scientific papers in indexed </w:t>
      </w:r>
      <w:r>
        <w:rPr>
          <w:rFonts w:ascii="Arial" w:hAnsi="Arial" w:cs="Arial"/>
          <w:color w:val="000000" w:themeColor="text1"/>
          <w:lang w:val="en-GB"/>
        </w:rPr>
        <w:t>j</w:t>
      </w:r>
      <w:r w:rsidRPr="00B94873">
        <w:rPr>
          <w:rFonts w:ascii="Arial" w:hAnsi="Arial" w:cs="Arial"/>
          <w:color w:val="000000" w:themeColor="text1"/>
          <w:lang w:val="en-GB"/>
        </w:rPr>
        <w:t xml:space="preserve">ournals. In addition to other cardiovascular conditions, the EHS committee performed a survey on the management of AF to verify routine clinical practice against AF guidelines. </w:t>
      </w:r>
    </w:p>
    <w:p w14:paraId="6517957D"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The EHS which focused on AF, is a multi-</w:t>
      </w:r>
      <w:r w:rsidRPr="00D84C7A">
        <w:rPr>
          <w:rFonts w:ascii="Arial" w:hAnsi="Arial" w:cs="Arial"/>
          <w:color w:val="000000" w:themeColor="text1"/>
          <w:lang w:val="en-GB"/>
        </w:rPr>
        <w:t>centre</w:t>
      </w:r>
      <w:r w:rsidRPr="00B94873">
        <w:rPr>
          <w:rFonts w:ascii="Arial" w:hAnsi="Arial" w:cs="Arial"/>
          <w:color w:val="000000" w:themeColor="text1"/>
          <w:lang w:val="en-GB"/>
        </w:rPr>
        <w:t xml:space="preserve"> prospective observational study of 5333 patients enrolled in 182 </w:t>
      </w:r>
      <w:r w:rsidRPr="00D84C7A">
        <w:rPr>
          <w:rFonts w:ascii="Arial" w:hAnsi="Arial" w:cs="Arial"/>
          <w:color w:val="000000" w:themeColor="text1"/>
          <w:lang w:val="en-GB"/>
        </w:rPr>
        <w:t>centres</w:t>
      </w:r>
      <w:r w:rsidRPr="00B94873">
        <w:rPr>
          <w:rFonts w:ascii="Arial" w:hAnsi="Arial" w:cs="Arial"/>
          <w:color w:val="000000" w:themeColor="text1"/>
          <w:lang w:val="en-GB"/>
        </w:rPr>
        <w:t xml:space="preserve"> from 35 ESC member countries. Enrolment started on September 2003, continued </w:t>
      </w:r>
      <w:r>
        <w:rPr>
          <w:rFonts w:ascii="Arial" w:hAnsi="Arial" w:cs="Arial"/>
          <w:color w:val="000000" w:themeColor="text1"/>
          <w:lang w:val="en-GB"/>
        </w:rPr>
        <w:t>until</w:t>
      </w:r>
      <w:r w:rsidRPr="00B94873">
        <w:rPr>
          <w:rFonts w:ascii="Arial" w:hAnsi="Arial" w:cs="Arial"/>
          <w:color w:val="000000" w:themeColor="text1"/>
          <w:lang w:val="en-GB"/>
        </w:rPr>
        <w:t xml:space="preserve"> July 2004 and first </w:t>
      </w:r>
      <w:r w:rsidRPr="00D84C7A">
        <w:rPr>
          <w:rFonts w:ascii="Arial" w:hAnsi="Arial" w:cs="Arial"/>
          <w:color w:val="000000" w:themeColor="text1"/>
          <w:lang w:val="en-GB"/>
        </w:rPr>
        <w:t>results</w:t>
      </w:r>
      <w:r w:rsidRPr="00B94873">
        <w:rPr>
          <w:rFonts w:ascii="Arial" w:hAnsi="Arial" w:cs="Arial"/>
          <w:color w:val="000000" w:themeColor="text1"/>
          <w:lang w:val="en-GB"/>
        </w:rPr>
        <w:t xml:space="preserve"> were presented in 2005. Patients were enrolled to the survey if they were 18 years or older and had AF detected on electrocardiogram (ECG) or Holter recording during the qualifying admission/consultation or in the preceding 12 months (patients with only atrial flutter on their ECGs were excluded).</w:t>
      </w:r>
      <w:r>
        <w:rPr>
          <w:rFonts w:ascii="Arial" w:hAnsi="Arial" w:cs="Arial"/>
          <w:noProof/>
          <w:color w:val="000000" w:themeColor="text1"/>
          <w:lang w:val="en-GB"/>
        </w:rPr>
        <w:t>[11]</w:t>
      </w:r>
    </w:p>
    <w:p w14:paraId="54CED2A5"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 xml:space="preserve">It is important to note that until 2005 there were no large-scale prospective studies on AF, and the EHS on AF was the first </w:t>
      </w:r>
      <w:r>
        <w:rPr>
          <w:rFonts w:ascii="Arial" w:hAnsi="Arial" w:cs="Arial"/>
          <w:color w:val="000000" w:themeColor="text1"/>
          <w:lang w:val="en-GB"/>
        </w:rPr>
        <w:t>such</w:t>
      </w:r>
      <w:r w:rsidRPr="00B94873">
        <w:rPr>
          <w:rFonts w:ascii="Arial" w:hAnsi="Arial" w:cs="Arial"/>
          <w:color w:val="000000" w:themeColor="text1"/>
          <w:lang w:val="en-GB"/>
        </w:rPr>
        <w:t xml:space="preserve"> study which compared AF management and therapy of real world patients in the member countries against the 2001 the American College of Cardiology (ACC)/American Heart Association (AHA)/</w:t>
      </w:r>
      <w:r w:rsidRPr="00B94873" w:rsidDel="0091349D">
        <w:rPr>
          <w:rFonts w:ascii="Arial" w:hAnsi="Arial" w:cs="Arial"/>
          <w:color w:val="000000" w:themeColor="text1"/>
          <w:lang w:val="en-GB"/>
        </w:rPr>
        <w:t xml:space="preserve"> </w:t>
      </w:r>
      <w:r w:rsidRPr="00B94873">
        <w:rPr>
          <w:rFonts w:ascii="Arial" w:hAnsi="Arial" w:cs="Arial"/>
          <w:color w:val="000000" w:themeColor="text1"/>
          <w:lang w:val="en-GB"/>
        </w:rPr>
        <w:t xml:space="preserve">ESC Guidelines for AF. </w:t>
      </w:r>
      <w:r>
        <w:rPr>
          <w:rFonts w:ascii="Arial" w:hAnsi="Arial" w:cs="Arial"/>
          <w:noProof/>
          <w:color w:val="000000" w:themeColor="text1"/>
          <w:lang w:val="en-GB"/>
        </w:rPr>
        <w:t>[11, 12]</w:t>
      </w:r>
    </w:p>
    <w:p w14:paraId="1D73F5E9"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 xml:space="preserve">Given the positive impact of the EHS, in 2009 the ESC decided to launch a novel </w:t>
      </w:r>
      <w:r>
        <w:rPr>
          <w:rFonts w:ascii="Arial" w:hAnsi="Arial" w:cs="Arial"/>
          <w:color w:val="000000" w:themeColor="text1"/>
          <w:lang w:val="en-GB"/>
        </w:rPr>
        <w:t>programme</w:t>
      </w:r>
      <w:r w:rsidRPr="00B94873">
        <w:rPr>
          <w:rFonts w:ascii="Arial" w:hAnsi="Arial" w:cs="Arial"/>
          <w:color w:val="000000" w:themeColor="text1"/>
          <w:lang w:val="en-GB"/>
        </w:rPr>
        <w:t xml:space="preserve">, the </w:t>
      </w:r>
      <w:proofErr w:type="spellStart"/>
      <w:r w:rsidRPr="00CC7360">
        <w:rPr>
          <w:rStyle w:val="Strong"/>
          <w:rFonts w:ascii="Arial" w:hAnsi="Arial" w:cs="Arial"/>
          <w:b w:val="0"/>
          <w:bCs w:val="0"/>
          <w:color w:val="000000" w:themeColor="text1"/>
          <w:lang w:val="en-GB"/>
        </w:rPr>
        <w:t>EURObservational</w:t>
      </w:r>
      <w:proofErr w:type="spellEnd"/>
      <w:r w:rsidRPr="00CC7360">
        <w:rPr>
          <w:rStyle w:val="Strong"/>
          <w:rFonts w:ascii="Arial" w:hAnsi="Arial" w:cs="Arial"/>
          <w:b w:val="0"/>
          <w:bCs w:val="0"/>
          <w:color w:val="000000" w:themeColor="text1"/>
          <w:lang w:val="en-GB"/>
        </w:rPr>
        <w:t xml:space="preserve"> Research Programme (EORP)</w:t>
      </w:r>
      <w:r w:rsidRPr="00CC7360">
        <w:rPr>
          <w:rFonts w:ascii="Arial" w:hAnsi="Arial" w:cs="Arial"/>
          <w:b/>
          <w:bCs/>
          <w:color w:val="000000" w:themeColor="text1"/>
          <w:lang w:val="en-GB"/>
        </w:rPr>
        <w:t>,</w:t>
      </w:r>
      <w:r w:rsidRPr="00B94873">
        <w:rPr>
          <w:rFonts w:ascii="Arial" w:hAnsi="Arial" w:cs="Arial"/>
          <w:b/>
          <w:bCs/>
          <w:color w:val="000000" w:themeColor="text1"/>
          <w:lang w:val="en-GB"/>
        </w:rPr>
        <w:t xml:space="preserve"> </w:t>
      </w:r>
      <w:r w:rsidRPr="00B94873">
        <w:rPr>
          <w:rFonts w:ascii="Arial" w:hAnsi="Arial" w:cs="Arial"/>
          <w:color w:val="000000" w:themeColor="text1"/>
          <w:lang w:val="en-GB"/>
        </w:rPr>
        <w:t>based on observational data collected with even stronger scientific methodology and independent from</w:t>
      </w:r>
      <w:r>
        <w:rPr>
          <w:rFonts w:ascii="Arial" w:hAnsi="Arial" w:cs="Arial"/>
          <w:color w:val="000000" w:themeColor="text1"/>
          <w:lang w:val="en-GB"/>
        </w:rPr>
        <w:t xml:space="preserve"> direct</w:t>
      </w:r>
      <w:r w:rsidRPr="00B94873">
        <w:rPr>
          <w:rFonts w:ascii="Arial" w:hAnsi="Arial" w:cs="Arial"/>
          <w:color w:val="000000" w:themeColor="text1"/>
          <w:lang w:val="en-GB"/>
        </w:rPr>
        <w:t xml:space="preserve"> </w:t>
      </w:r>
      <w:r>
        <w:rPr>
          <w:rFonts w:ascii="Arial" w:hAnsi="Arial" w:cs="Arial"/>
          <w:color w:val="000000" w:themeColor="text1"/>
          <w:lang w:val="en-GB"/>
        </w:rPr>
        <w:t xml:space="preserve">contribution from </w:t>
      </w:r>
      <w:r w:rsidRPr="00B94873">
        <w:rPr>
          <w:rFonts w:ascii="Arial" w:hAnsi="Arial" w:cs="Arial"/>
          <w:color w:val="000000" w:themeColor="text1"/>
          <w:lang w:val="en-GB"/>
        </w:rPr>
        <w:t>industr</w:t>
      </w:r>
      <w:r>
        <w:rPr>
          <w:rFonts w:ascii="Arial" w:hAnsi="Arial" w:cs="Arial"/>
          <w:color w:val="000000" w:themeColor="text1"/>
          <w:lang w:val="en-GB"/>
        </w:rPr>
        <w:t>y</w:t>
      </w:r>
      <w:r w:rsidRPr="00B94873">
        <w:rPr>
          <w:rFonts w:ascii="Arial" w:hAnsi="Arial" w:cs="Arial"/>
          <w:color w:val="000000" w:themeColor="text1"/>
          <w:lang w:val="en-GB"/>
        </w:rPr>
        <w:t xml:space="preserve">. </w:t>
      </w:r>
    </w:p>
    <w:p w14:paraId="04ADA9B0"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lastRenderedPageBreak/>
        <w:t>The EORP includes general registries to assess the management of major CV diseases, sentinel registries to assess the impact of new therapeutic or diagnostic procedures and specific registries to assess rare or highly demanding diseases. Similar to the EHS, in 2012 the EORP launched the AF Pilot General Registry on clinical epidemiology and medical management of AF. The design, protocol and objectives of the study were substantially comparable to those of the EHS-AF survey. From February 2012 to March 2014, 3119 in- and out-patients AF from 9 European Countries (Belgium, Denmark, Netherlands, Norway, Poland, Romania, Greece, Italy, and Portugal) were prospectively enrolled. A follow-up observation period was planned a</w:t>
      </w:r>
      <w:r>
        <w:rPr>
          <w:rFonts w:ascii="Arial" w:hAnsi="Arial" w:cs="Arial"/>
          <w:color w:val="000000" w:themeColor="text1"/>
          <w:lang w:val="en-GB"/>
        </w:rPr>
        <w:t>t</w:t>
      </w:r>
      <w:r w:rsidRPr="00B94873">
        <w:rPr>
          <w:rFonts w:ascii="Arial" w:hAnsi="Arial" w:cs="Arial"/>
          <w:color w:val="000000" w:themeColor="text1"/>
          <w:lang w:val="en-GB"/>
        </w:rPr>
        <w:t xml:space="preserve"> 1, 2 and 3 years after enrolment, </w:t>
      </w:r>
      <w:r>
        <w:rPr>
          <w:rFonts w:ascii="Arial" w:hAnsi="Arial" w:cs="Arial"/>
          <w:color w:val="000000" w:themeColor="text1"/>
          <w:lang w:val="en-GB"/>
        </w:rPr>
        <w:t>although</w:t>
      </w:r>
      <w:r w:rsidRPr="00B94873">
        <w:rPr>
          <w:rFonts w:ascii="Arial" w:hAnsi="Arial" w:cs="Arial"/>
          <w:color w:val="000000" w:themeColor="text1"/>
          <w:lang w:val="en-GB"/>
        </w:rPr>
        <w:t xml:space="preserve"> some centres did not participate in </w:t>
      </w:r>
      <w:r>
        <w:rPr>
          <w:rFonts w:ascii="Arial" w:hAnsi="Arial" w:cs="Arial"/>
          <w:color w:val="000000" w:themeColor="text1"/>
          <w:lang w:val="en-GB"/>
        </w:rPr>
        <w:t xml:space="preserve">the </w:t>
      </w:r>
      <w:r w:rsidRPr="00B94873">
        <w:rPr>
          <w:rFonts w:ascii="Arial" w:hAnsi="Arial" w:cs="Arial"/>
          <w:color w:val="000000" w:themeColor="text1"/>
          <w:lang w:val="en-GB"/>
        </w:rPr>
        <w:t>long-term follow-up leading to only 68% of the patients included in the 3-year follow-up analysis.</w:t>
      </w:r>
      <w:r>
        <w:rPr>
          <w:rFonts w:ascii="Arial" w:hAnsi="Arial" w:cs="Arial"/>
          <w:noProof/>
          <w:color w:val="000000" w:themeColor="text1"/>
          <w:lang w:val="en-GB"/>
        </w:rPr>
        <w:t>[13, 14]</w:t>
      </w:r>
      <w:r w:rsidRPr="00B94873">
        <w:rPr>
          <w:rFonts w:ascii="Arial" w:hAnsi="Arial" w:cs="Arial"/>
          <w:color w:val="000000" w:themeColor="text1"/>
          <w:lang w:val="en-GB"/>
        </w:rPr>
        <w:t xml:space="preserve"> Subsequently, in 2012, the EORP started the second AF registry, the EORP-AF Long-Term General Registry. The registry is a prospective, observational, large-scale multicent</w:t>
      </w:r>
      <w:r>
        <w:rPr>
          <w:rFonts w:ascii="Arial" w:hAnsi="Arial" w:cs="Arial"/>
          <w:color w:val="000000" w:themeColor="text1"/>
          <w:lang w:val="en-GB"/>
        </w:rPr>
        <w:t>re</w:t>
      </w:r>
      <w:r w:rsidRPr="00B94873">
        <w:rPr>
          <w:rFonts w:ascii="Arial" w:hAnsi="Arial" w:cs="Arial"/>
          <w:color w:val="000000" w:themeColor="text1"/>
          <w:lang w:val="en-GB"/>
        </w:rPr>
        <w:t xml:space="preserve"> registry collecting data from 250 Centres of 27 ESC countries. The ambitious programme enrolled more than 11000 patients from October 2013 to September 2016 and </w:t>
      </w:r>
      <w:r>
        <w:rPr>
          <w:rFonts w:ascii="Arial" w:hAnsi="Arial" w:cs="Arial"/>
          <w:color w:val="000000" w:themeColor="text1"/>
          <w:lang w:val="en-GB"/>
        </w:rPr>
        <w:t xml:space="preserve">the </w:t>
      </w:r>
      <w:r w:rsidRPr="00B94873">
        <w:rPr>
          <w:rFonts w:ascii="Arial" w:hAnsi="Arial" w:cs="Arial"/>
          <w:color w:val="000000" w:themeColor="text1"/>
          <w:shd w:val="clear" w:color="auto" w:fill="FFFFFF"/>
          <w:lang w:val="en-GB"/>
        </w:rPr>
        <w:t xml:space="preserve">1-year follow-up data were </w:t>
      </w:r>
      <w:r w:rsidRPr="00B94873">
        <w:rPr>
          <w:rFonts w:ascii="Arial" w:hAnsi="Arial" w:cs="Arial"/>
          <w:color w:val="000000" w:themeColor="text1"/>
          <w:lang w:val="en-GB"/>
        </w:rPr>
        <w:t xml:space="preserve">recently </w:t>
      </w:r>
      <w:r w:rsidRPr="00B94873">
        <w:rPr>
          <w:rFonts w:ascii="Arial" w:hAnsi="Arial" w:cs="Arial"/>
          <w:color w:val="000000" w:themeColor="text1"/>
          <w:shd w:val="clear" w:color="auto" w:fill="FFFFFF"/>
          <w:lang w:val="en-GB"/>
        </w:rPr>
        <w:t>published.</w:t>
      </w:r>
      <w:r>
        <w:rPr>
          <w:rFonts w:ascii="Arial" w:hAnsi="Arial" w:cs="Arial"/>
          <w:noProof/>
          <w:color w:val="000000" w:themeColor="text1"/>
          <w:shd w:val="clear" w:color="auto" w:fill="FFFFFF"/>
          <w:lang w:val="en-GB"/>
        </w:rPr>
        <w:t>[15, 16]</w:t>
      </w:r>
      <w:r w:rsidRPr="00B94873">
        <w:rPr>
          <w:rFonts w:ascii="Arial" w:hAnsi="Arial" w:cs="Arial"/>
          <w:color w:val="000000" w:themeColor="text1"/>
          <w:shd w:val="clear" w:color="auto" w:fill="FFFFFF"/>
          <w:lang w:val="en-GB"/>
        </w:rPr>
        <w:t xml:space="preserve"> Furthermore, i</w:t>
      </w:r>
      <w:r w:rsidRPr="00B94873">
        <w:rPr>
          <w:rFonts w:ascii="Arial" w:hAnsi="Arial" w:cs="Arial"/>
          <w:color w:val="000000" w:themeColor="text1"/>
          <w:lang w:val="en-GB"/>
        </w:rPr>
        <w:t>n response to the need for internationally standardized AF care, the EORP is also part of the International Collaborative Partnership for the Study of Atrial Fibrillation (INTER</w:t>
      </w:r>
      <w:r>
        <w:rPr>
          <w:rFonts w:ascii="Arial" w:hAnsi="Arial" w:cs="Arial"/>
          <w:color w:val="000000" w:themeColor="text1"/>
          <w:lang w:val="en-GB"/>
        </w:rPr>
        <w:t>-</w:t>
      </w:r>
      <w:r w:rsidRPr="00B94873">
        <w:rPr>
          <w:rFonts w:ascii="Arial" w:hAnsi="Arial" w:cs="Arial"/>
          <w:color w:val="000000" w:themeColor="text1"/>
          <w:lang w:val="en-GB"/>
        </w:rPr>
        <w:t>AF) that includes representatives from the United States, Europe, China, Brazil, South Korea, Taiwan, Singapore, Japan, and the Balkan countries.</w:t>
      </w:r>
      <w:r>
        <w:rPr>
          <w:rFonts w:ascii="Arial" w:hAnsi="Arial" w:cs="Arial"/>
          <w:noProof/>
          <w:color w:val="000000" w:themeColor="text1"/>
          <w:lang w:val="en-GB"/>
        </w:rPr>
        <w:t>[17, 18]</w:t>
      </w:r>
      <w:r w:rsidRPr="00B94873">
        <w:rPr>
          <w:rFonts w:ascii="Arial" w:hAnsi="Arial" w:cs="Arial"/>
          <w:color w:val="000000" w:themeColor="text1"/>
          <w:lang w:val="en-GB"/>
        </w:rPr>
        <w:t xml:space="preserve"> </w:t>
      </w:r>
    </w:p>
    <w:p w14:paraId="155387B4" w14:textId="77777777" w:rsidR="0063383E" w:rsidRDefault="0063383E" w:rsidP="00E24D9D">
      <w:pPr>
        <w:pBdr>
          <w:bottom w:val="single" w:sz="4" w:space="1" w:color="auto"/>
        </w:pBdr>
        <w:spacing w:line="480" w:lineRule="auto"/>
        <w:jc w:val="both"/>
        <w:rPr>
          <w:rFonts w:ascii="Arial" w:hAnsi="Arial" w:cs="Arial"/>
          <w:b/>
          <w:bCs/>
          <w:color w:val="000000" w:themeColor="text1"/>
          <w:shd w:val="clear" w:color="auto" w:fill="FFFFFF"/>
          <w:lang w:val="en-GB"/>
        </w:rPr>
      </w:pPr>
    </w:p>
    <w:p w14:paraId="4089B1CC" w14:textId="77777777" w:rsidR="0063383E" w:rsidRPr="00B94873" w:rsidRDefault="0063383E" w:rsidP="00E24D9D">
      <w:pPr>
        <w:pBdr>
          <w:bottom w:val="single" w:sz="4" w:space="1" w:color="auto"/>
        </w:pBdr>
        <w:spacing w:line="480" w:lineRule="auto"/>
        <w:jc w:val="both"/>
        <w:rPr>
          <w:rFonts w:ascii="Arial" w:hAnsi="Arial" w:cs="Arial"/>
          <w:b/>
          <w:bCs/>
          <w:color w:val="000000" w:themeColor="text1"/>
          <w:shd w:val="clear" w:color="auto" w:fill="FFFFFF"/>
          <w:lang w:val="en-GB"/>
        </w:rPr>
      </w:pPr>
      <w:r w:rsidRPr="00B94873">
        <w:rPr>
          <w:rFonts w:ascii="Arial" w:hAnsi="Arial" w:cs="Arial"/>
          <w:b/>
          <w:bCs/>
          <w:color w:val="000000" w:themeColor="text1"/>
          <w:shd w:val="clear" w:color="auto" w:fill="FFFFFF"/>
          <w:lang w:val="en-GB"/>
        </w:rPr>
        <w:t>WHAT DID WE LEARN FROM THE EHS AND EORP AF REGISTRIES</w:t>
      </w:r>
      <w:r>
        <w:rPr>
          <w:rFonts w:ascii="Arial" w:hAnsi="Arial" w:cs="Arial"/>
          <w:b/>
          <w:bCs/>
          <w:color w:val="000000" w:themeColor="text1"/>
          <w:shd w:val="clear" w:color="auto" w:fill="FFFFFF"/>
          <w:lang w:val="en-GB"/>
        </w:rPr>
        <w:t>?</w:t>
      </w:r>
    </w:p>
    <w:p w14:paraId="7D76BBCB" w14:textId="77777777" w:rsidR="0063383E" w:rsidRPr="00B94873" w:rsidRDefault="0063383E" w:rsidP="00E24D9D">
      <w:pPr>
        <w:spacing w:line="480" w:lineRule="auto"/>
        <w:jc w:val="both"/>
        <w:rPr>
          <w:rFonts w:ascii="Arial" w:hAnsi="Arial" w:cs="Arial"/>
          <w:color w:val="000000" w:themeColor="text1"/>
          <w:shd w:val="clear" w:color="auto" w:fill="FFFFFF"/>
          <w:lang w:val="en-GB"/>
        </w:rPr>
      </w:pPr>
    </w:p>
    <w:p w14:paraId="4F0F4F09" w14:textId="77777777" w:rsidR="0063383E" w:rsidRDefault="0063383E" w:rsidP="00E24D9D">
      <w:pPr>
        <w:spacing w:line="480" w:lineRule="auto"/>
        <w:jc w:val="both"/>
        <w:rPr>
          <w:rFonts w:ascii="Arial" w:hAnsi="Arial" w:cs="Arial"/>
          <w:color w:val="000000" w:themeColor="text1"/>
          <w:shd w:val="clear" w:color="auto" w:fill="FFFFFF"/>
          <w:lang w:val="en-GB"/>
        </w:rPr>
      </w:pPr>
      <w:r w:rsidRPr="00B94873">
        <w:rPr>
          <w:rFonts w:ascii="Arial" w:hAnsi="Arial" w:cs="Arial"/>
          <w:color w:val="000000" w:themeColor="text1"/>
          <w:shd w:val="clear" w:color="auto" w:fill="FFFFFF"/>
          <w:lang w:val="en-GB"/>
        </w:rPr>
        <w:t>Since the first publication of the Euro Heart Surveys</w:t>
      </w:r>
      <w:r>
        <w:rPr>
          <w:rFonts w:ascii="Arial" w:hAnsi="Arial" w:cs="Arial"/>
          <w:color w:val="000000" w:themeColor="text1"/>
          <w:shd w:val="clear" w:color="auto" w:fill="FFFFFF"/>
          <w:lang w:val="en-GB"/>
        </w:rPr>
        <w:t xml:space="preserve"> almost </w:t>
      </w:r>
      <w:r w:rsidRPr="00B94873">
        <w:rPr>
          <w:rFonts w:ascii="Arial" w:hAnsi="Arial" w:cs="Arial"/>
          <w:color w:val="000000" w:themeColor="text1"/>
          <w:shd w:val="clear" w:color="auto" w:fill="FFFFFF"/>
          <w:lang w:val="en-GB"/>
        </w:rPr>
        <w:t>20 years</w:t>
      </w:r>
      <w:r>
        <w:rPr>
          <w:rFonts w:ascii="Arial" w:hAnsi="Arial" w:cs="Arial"/>
          <w:color w:val="000000" w:themeColor="text1"/>
          <w:shd w:val="clear" w:color="auto" w:fill="FFFFFF"/>
          <w:lang w:val="en-GB"/>
        </w:rPr>
        <w:t xml:space="preserve"> ago,</w:t>
      </w:r>
      <w:r w:rsidRPr="00B94873">
        <w:rPr>
          <w:rFonts w:ascii="Arial" w:hAnsi="Arial" w:cs="Arial"/>
          <w:color w:val="000000" w:themeColor="text1"/>
          <w:shd w:val="clear" w:color="auto" w:fill="FFFFFF"/>
          <w:lang w:val="en-GB"/>
        </w:rPr>
        <w:t xml:space="preserve"> a considerable </w:t>
      </w:r>
      <w:r>
        <w:rPr>
          <w:rFonts w:ascii="Arial" w:hAnsi="Arial" w:cs="Arial"/>
          <w:color w:val="000000" w:themeColor="text1"/>
          <w:shd w:val="clear" w:color="auto" w:fill="FFFFFF"/>
          <w:lang w:val="en-GB"/>
        </w:rPr>
        <w:t>number</w:t>
      </w:r>
      <w:r w:rsidRPr="00B94873">
        <w:rPr>
          <w:rFonts w:ascii="Arial" w:hAnsi="Arial" w:cs="Arial"/>
          <w:color w:val="000000" w:themeColor="text1"/>
          <w:shd w:val="clear" w:color="auto" w:fill="FFFFFF"/>
          <w:lang w:val="en-GB"/>
        </w:rPr>
        <w:t xml:space="preserve"> of issues regarding atrial fibrillation </w:t>
      </w:r>
      <w:r>
        <w:rPr>
          <w:rFonts w:ascii="Arial" w:hAnsi="Arial" w:cs="Arial"/>
          <w:color w:val="000000" w:themeColor="text1"/>
          <w:shd w:val="clear" w:color="auto" w:fill="FFFFFF"/>
          <w:lang w:val="en-GB"/>
        </w:rPr>
        <w:t>have been</w:t>
      </w:r>
      <w:r w:rsidRPr="00B94873">
        <w:rPr>
          <w:rFonts w:ascii="Arial" w:hAnsi="Arial" w:cs="Arial"/>
          <w:color w:val="000000" w:themeColor="text1"/>
          <w:shd w:val="clear" w:color="auto" w:fill="FFFFFF"/>
          <w:lang w:val="en-GB"/>
        </w:rPr>
        <w:t xml:space="preserve"> </w:t>
      </w:r>
      <w:r>
        <w:rPr>
          <w:rFonts w:ascii="Arial" w:hAnsi="Arial" w:cs="Arial"/>
          <w:color w:val="000000" w:themeColor="text1"/>
          <w:shd w:val="clear" w:color="auto" w:fill="FFFFFF"/>
          <w:lang w:val="en-GB"/>
        </w:rPr>
        <w:t>investigated</w:t>
      </w:r>
      <w:r w:rsidRPr="00B94873">
        <w:rPr>
          <w:rFonts w:ascii="Arial" w:hAnsi="Arial" w:cs="Arial"/>
          <w:color w:val="000000" w:themeColor="text1"/>
          <w:shd w:val="clear" w:color="auto" w:fill="FFFFFF"/>
          <w:lang w:val="en-GB"/>
        </w:rPr>
        <w:t xml:space="preserve">, shedding new light </w:t>
      </w:r>
      <w:r w:rsidRPr="00B94873">
        <w:rPr>
          <w:rFonts w:ascii="Arial" w:hAnsi="Arial" w:cs="Arial"/>
          <w:color w:val="000000" w:themeColor="text1"/>
          <w:shd w:val="clear" w:color="auto" w:fill="FFFFFF"/>
          <w:lang w:val="en-GB"/>
        </w:rPr>
        <w:lastRenderedPageBreak/>
        <w:t>on AF prognosis, diagnosis, management, guidelines adherence and underlying physiopathology (</w:t>
      </w:r>
      <w:r w:rsidRPr="00B94873">
        <w:rPr>
          <w:rFonts w:ascii="Arial" w:hAnsi="Arial" w:cs="Arial"/>
          <w:color w:val="000000" w:themeColor="text1"/>
          <w:shd w:val="clear" w:color="auto" w:fill="FFFFFF"/>
          <w:lang w:val="en-GB"/>
        </w:rPr>
        <w:fldChar w:fldCharType="begin"/>
      </w:r>
      <w:r w:rsidRPr="00B94873">
        <w:rPr>
          <w:rFonts w:ascii="Arial" w:hAnsi="Arial" w:cs="Arial"/>
          <w:color w:val="000000" w:themeColor="text1"/>
          <w:shd w:val="clear" w:color="auto" w:fill="FFFFFF"/>
          <w:lang w:val="en-GB"/>
        </w:rPr>
        <w:instrText xml:space="preserve"> REF _Ref30407457 \h  \* MERGEFORMAT </w:instrText>
      </w:r>
      <w:r w:rsidRPr="00B94873">
        <w:rPr>
          <w:rFonts w:ascii="Arial" w:hAnsi="Arial" w:cs="Arial"/>
          <w:color w:val="000000" w:themeColor="text1"/>
          <w:shd w:val="clear" w:color="auto" w:fill="FFFFFF"/>
          <w:lang w:val="en-GB"/>
        </w:rPr>
      </w:r>
      <w:r w:rsidRPr="00B94873">
        <w:rPr>
          <w:rFonts w:ascii="Arial" w:hAnsi="Arial" w:cs="Arial"/>
          <w:color w:val="000000" w:themeColor="text1"/>
          <w:shd w:val="clear" w:color="auto" w:fill="FFFFFF"/>
          <w:lang w:val="en-GB"/>
        </w:rPr>
        <w:fldChar w:fldCharType="separate"/>
      </w:r>
      <w:r w:rsidRPr="009E6E56">
        <w:rPr>
          <w:rFonts w:ascii="Arial" w:hAnsi="Arial" w:cs="Arial"/>
          <w:color w:val="000000" w:themeColor="text1"/>
          <w:lang w:val="en-GB"/>
        </w:rPr>
        <w:t xml:space="preserve">Table </w:t>
      </w:r>
      <w:r>
        <w:rPr>
          <w:rFonts w:ascii="Arial" w:hAnsi="Arial" w:cs="Arial"/>
          <w:noProof/>
          <w:color w:val="000000" w:themeColor="text1"/>
          <w:lang w:val="en-GB"/>
        </w:rPr>
        <w:t>1</w:t>
      </w:r>
      <w:r w:rsidRPr="00B94873">
        <w:rPr>
          <w:rFonts w:ascii="Arial" w:hAnsi="Arial" w:cs="Arial"/>
          <w:color w:val="000000" w:themeColor="text1"/>
          <w:shd w:val="clear" w:color="auto" w:fill="FFFFFF"/>
          <w:lang w:val="en-GB"/>
        </w:rPr>
        <w:fldChar w:fldCharType="end"/>
      </w:r>
      <w:r w:rsidRPr="00B94873">
        <w:rPr>
          <w:rFonts w:ascii="Arial" w:hAnsi="Arial" w:cs="Arial"/>
          <w:color w:val="000000" w:themeColor="text1"/>
          <w:shd w:val="clear" w:color="auto" w:fill="FFFFFF"/>
          <w:lang w:val="en-GB"/>
        </w:rPr>
        <w:t>).</w:t>
      </w:r>
    </w:p>
    <w:p w14:paraId="1957E284" w14:textId="77777777" w:rsidR="0063383E" w:rsidRDefault="0063383E" w:rsidP="00E24D9D">
      <w:pPr>
        <w:spacing w:line="480" w:lineRule="auto"/>
        <w:jc w:val="both"/>
        <w:rPr>
          <w:rFonts w:ascii="Arial" w:hAnsi="Arial" w:cs="Arial"/>
          <w:color w:val="000000" w:themeColor="text1"/>
          <w:shd w:val="clear" w:color="auto" w:fill="FFFFFF"/>
          <w:lang w:val="en-GB"/>
        </w:rPr>
      </w:pPr>
    </w:p>
    <w:p w14:paraId="5B99980D" w14:textId="77777777" w:rsidR="0063383E" w:rsidRPr="00D84C7A" w:rsidRDefault="0063383E" w:rsidP="00E24D9D">
      <w:pPr>
        <w:spacing w:line="480" w:lineRule="auto"/>
        <w:jc w:val="both"/>
        <w:rPr>
          <w:rFonts w:ascii="Arial" w:hAnsi="Arial" w:cs="Arial"/>
          <w:b/>
          <w:bCs/>
          <w:color w:val="000000" w:themeColor="text1"/>
          <w:u w:val="single"/>
          <w:lang w:val="en-GB"/>
        </w:rPr>
      </w:pPr>
      <w:r w:rsidRPr="00D84C7A">
        <w:rPr>
          <w:rFonts w:ascii="Arial" w:hAnsi="Arial" w:cs="Arial"/>
          <w:b/>
          <w:bCs/>
          <w:color w:val="000000" w:themeColor="text1"/>
          <w:u w:val="single"/>
          <w:lang w:val="en-GB"/>
        </w:rPr>
        <w:t xml:space="preserve">Atrial fibrillation pathophysiology </w:t>
      </w:r>
    </w:p>
    <w:p w14:paraId="2E6B0A1C" w14:textId="77777777" w:rsidR="0063383E" w:rsidRPr="00B94873" w:rsidRDefault="0063383E" w:rsidP="00E24D9D">
      <w:pPr>
        <w:pStyle w:val="NormalWeb"/>
        <w:tabs>
          <w:tab w:val="left" w:pos="7655"/>
        </w:tabs>
        <w:spacing w:line="480" w:lineRule="auto"/>
        <w:jc w:val="both"/>
        <w:rPr>
          <w:rFonts w:ascii="Arial" w:hAnsi="Arial" w:cs="Arial"/>
          <w:color w:val="000000" w:themeColor="text1"/>
          <w:lang w:val="en-GB"/>
        </w:rPr>
      </w:pPr>
      <w:r w:rsidRPr="00D84C7A">
        <w:rPr>
          <w:rFonts w:ascii="Arial" w:hAnsi="Arial" w:cs="Arial"/>
          <w:color w:val="000000" w:themeColor="text1"/>
          <w:lang w:val="en-GB"/>
        </w:rPr>
        <w:t>The collection of such a large amount of data</w:t>
      </w:r>
      <w:r w:rsidRPr="00FD4288">
        <w:rPr>
          <w:rFonts w:ascii="Arial" w:hAnsi="Arial" w:cs="Arial"/>
          <w:color w:val="000000" w:themeColor="text1"/>
          <w:lang w:val="en-GB"/>
        </w:rPr>
        <w:t xml:space="preserve"> in the EHS and EORP has led to </w:t>
      </w:r>
      <w:r w:rsidRPr="00B94873">
        <w:rPr>
          <w:rFonts w:ascii="Arial" w:hAnsi="Arial" w:cs="Arial"/>
          <w:color w:val="000000" w:themeColor="text1"/>
          <w:shd w:val="clear" w:color="auto" w:fill="FFFFFF"/>
          <w:lang w:val="en-GB"/>
        </w:rPr>
        <w:t>new insights into AF pathophysiology and the natural progression of the disease.</w:t>
      </w:r>
      <w:r>
        <w:rPr>
          <w:rFonts w:ascii="Arial" w:hAnsi="Arial" w:cs="Arial"/>
          <w:noProof/>
          <w:color w:val="000000" w:themeColor="text1"/>
          <w:shd w:val="clear" w:color="auto" w:fill="FFFFFF"/>
          <w:lang w:val="en-GB"/>
        </w:rPr>
        <w:t>[19]</w:t>
      </w:r>
      <w:r w:rsidRPr="00B94873">
        <w:rPr>
          <w:rFonts w:ascii="Arial" w:hAnsi="Arial" w:cs="Arial"/>
          <w:color w:val="000000" w:themeColor="text1"/>
          <w:shd w:val="clear" w:color="auto" w:fill="FFFFFF"/>
          <w:lang w:val="en-GB"/>
        </w:rPr>
        <w:t xml:space="preserve"> </w:t>
      </w:r>
      <w:r w:rsidRPr="00B94873">
        <w:rPr>
          <w:rFonts w:ascii="Arial" w:hAnsi="Arial" w:cs="Arial"/>
          <w:color w:val="000000" w:themeColor="text1"/>
          <w:lang w:val="en-GB"/>
        </w:rPr>
        <w:t>The EHS provided one of the largest studies evaluating the clinical impact of AF progression, demonstrating that patients with AF progression had more major adverse cardiovascular events compared with patients with no AF progression.</w:t>
      </w:r>
      <w:r>
        <w:rPr>
          <w:rFonts w:ascii="Arial" w:hAnsi="Arial" w:cs="Arial"/>
          <w:noProof/>
          <w:color w:val="000000" w:themeColor="text1"/>
          <w:lang w:val="en-GB"/>
        </w:rPr>
        <w:t>[20, 21]</w:t>
      </w:r>
      <w:r w:rsidRPr="00B94873">
        <w:rPr>
          <w:rFonts w:ascii="Arial" w:hAnsi="Arial" w:cs="Arial"/>
          <w:color w:val="000000" w:themeColor="text1"/>
          <w:lang w:val="en-GB"/>
        </w:rPr>
        <w:t xml:space="preserve"> </w:t>
      </w:r>
    </w:p>
    <w:p w14:paraId="5B6F906A"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 xml:space="preserve">Known triggers and major mechanisms that cause AF should be taken into account when choosing therapy; for example, the correct identification of an autonomic trigger pattern (vagal or adrenergic) should be considered to achieve an optimal clinical management of atrial fibrillation. </w:t>
      </w:r>
      <w:r>
        <w:rPr>
          <w:rFonts w:ascii="Arial" w:hAnsi="Arial" w:cs="Arial"/>
          <w:color w:val="000000" w:themeColor="text1"/>
          <w:lang w:val="en-GB"/>
        </w:rPr>
        <w:t xml:space="preserve">Based </w:t>
      </w:r>
      <w:r w:rsidRPr="00B94873">
        <w:rPr>
          <w:rFonts w:ascii="Arial" w:hAnsi="Arial" w:cs="Arial"/>
          <w:color w:val="000000" w:themeColor="text1"/>
          <w:lang w:val="en-GB"/>
        </w:rPr>
        <w:t>on data collected by the EHS, autonomic trigger patterns, their clinical characteristics, management and outcomes were investigated for the first time in a large cohort of patients with paroxysmal AF increasing our knowledge on electrophysiological mechanisms of atrial fibrillation.</w:t>
      </w:r>
      <w:r>
        <w:rPr>
          <w:rFonts w:ascii="Arial" w:hAnsi="Arial" w:cs="Arial"/>
          <w:noProof/>
          <w:color w:val="000000" w:themeColor="text1"/>
          <w:lang w:val="en-GB"/>
        </w:rPr>
        <w:t>[22]</w:t>
      </w:r>
    </w:p>
    <w:p w14:paraId="62040DD8"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 xml:space="preserve">Pathophysiological changes in the structure of the atria were also </w:t>
      </w:r>
      <w:r>
        <w:rPr>
          <w:rFonts w:ascii="Arial" w:hAnsi="Arial" w:cs="Arial"/>
          <w:color w:val="000000" w:themeColor="text1"/>
          <w:lang w:val="en-GB"/>
        </w:rPr>
        <w:t>evaluated</w:t>
      </w:r>
      <w:r w:rsidRPr="00B94873">
        <w:rPr>
          <w:rFonts w:ascii="Arial" w:hAnsi="Arial" w:cs="Arial"/>
          <w:color w:val="000000" w:themeColor="text1"/>
          <w:lang w:val="en-GB"/>
        </w:rPr>
        <w:t xml:space="preserve"> in the Registries giving new insights into the modern concept of atrial cardiopathy.</w:t>
      </w:r>
      <w:r>
        <w:rPr>
          <w:rFonts w:ascii="Arial" w:hAnsi="Arial" w:cs="Arial"/>
          <w:noProof/>
          <w:color w:val="000000" w:themeColor="text1"/>
          <w:lang w:val="en-GB"/>
        </w:rPr>
        <w:t>[23, 24]</w:t>
      </w:r>
    </w:p>
    <w:p w14:paraId="5094016B" w14:textId="77777777" w:rsidR="0063383E" w:rsidRPr="00B94873" w:rsidRDefault="0063383E" w:rsidP="00E24D9D">
      <w:pPr>
        <w:spacing w:line="480" w:lineRule="auto"/>
        <w:jc w:val="both"/>
        <w:rPr>
          <w:rFonts w:ascii="Arial" w:hAnsi="Arial" w:cs="Arial"/>
          <w:color w:val="000000" w:themeColor="text1"/>
          <w:shd w:val="clear" w:color="auto" w:fill="FFFFFF"/>
          <w:lang w:val="en-GB"/>
        </w:rPr>
      </w:pPr>
    </w:p>
    <w:p w14:paraId="59073991" w14:textId="77777777" w:rsidR="0063383E" w:rsidRPr="00B94873" w:rsidRDefault="0063383E" w:rsidP="00E24D9D">
      <w:pPr>
        <w:spacing w:line="480" w:lineRule="auto"/>
        <w:jc w:val="both"/>
        <w:rPr>
          <w:rFonts w:ascii="Arial" w:hAnsi="Arial" w:cs="Arial"/>
          <w:b/>
          <w:bCs/>
          <w:color w:val="000000" w:themeColor="text1"/>
          <w:u w:val="single"/>
          <w:shd w:val="clear" w:color="auto" w:fill="FFFFFF"/>
          <w:lang w:val="en-GB"/>
        </w:rPr>
      </w:pPr>
      <w:r w:rsidRPr="00B94873">
        <w:rPr>
          <w:rFonts w:ascii="Arial" w:hAnsi="Arial" w:cs="Arial"/>
          <w:b/>
          <w:bCs/>
          <w:color w:val="000000" w:themeColor="text1"/>
          <w:u w:val="single"/>
          <w:shd w:val="clear" w:color="auto" w:fill="FFFFFF"/>
          <w:lang w:val="en-GB"/>
        </w:rPr>
        <w:t>Epidemiology</w:t>
      </w:r>
      <w:r>
        <w:rPr>
          <w:rFonts w:ascii="Arial" w:hAnsi="Arial" w:cs="Arial"/>
          <w:b/>
          <w:bCs/>
          <w:color w:val="000000" w:themeColor="text1"/>
          <w:u w:val="single"/>
          <w:shd w:val="clear" w:color="auto" w:fill="FFFFFF"/>
          <w:lang w:val="en-GB"/>
        </w:rPr>
        <w:t xml:space="preserve"> and </w:t>
      </w:r>
      <w:r w:rsidRPr="00B94873">
        <w:rPr>
          <w:rFonts w:ascii="Arial" w:hAnsi="Arial" w:cs="Arial"/>
          <w:b/>
          <w:bCs/>
          <w:color w:val="000000" w:themeColor="text1"/>
          <w:u w:val="single"/>
          <w:shd w:val="clear" w:color="auto" w:fill="FFFFFF"/>
          <w:lang w:val="en-GB"/>
        </w:rPr>
        <w:t>risk factors</w:t>
      </w:r>
      <w:r>
        <w:rPr>
          <w:rFonts w:ascii="Arial" w:hAnsi="Arial" w:cs="Arial"/>
          <w:b/>
          <w:bCs/>
          <w:color w:val="000000" w:themeColor="text1"/>
          <w:u w:val="single"/>
          <w:shd w:val="clear" w:color="auto" w:fill="FFFFFF"/>
          <w:lang w:val="en-GB"/>
        </w:rPr>
        <w:t xml:space="preserve"> o</w:t>
      </w:r>
      <w:r w:rsidRPr="00B94873">
        <w:rPr>
          <w:rFonts w:ascii="Arial" w:hAnsi="Arial" w:cs="Arial"/>
          <w:b/>
          <w:bCs/>
          <w:color w:val="000000" w:themeColor="text1"/>
          <w:u w:val="single"/>
          <w:shd w:val="clear" w:color="auto" w:fill="FFFFFF"/>
          <w:lang w:val="en-GB"/>
        </w:rPr>
        <w:t xml:space="preserve">f atrial fibrillation </w:t>
      </w:r>
    </w:p>
    <w:p w14:paraId="05384566" w14:textId="77777777" w:rsidR="0063383E" w:rsidRDefault="0063383E" w:rsidP="00E24D9D">
      <w:pPr>
        <w:spacing w:line="480" w:lineRule="auto"/>
        <w:jc w:val="both"/>
        <w:rPr>
          <w:rFonts w:ascii="Arial" w:hAnsi="Arial" w:cs="Arial"/>
          <w:lang w:val="en-GB"/>
        </w:rPr>
      </w:pPr>
      <w:r w:rsidRPr="00F629DE">
        <w:rPr>
          <w:rFonts w:ascii="Arial" w:hAnsi="Arial" w:cs="Arial"/>
          <w:color w:val="000000" w:themeColor="text1"/>
          <w:shd w:val="clear" w:color="auto" w:fill="FFFFFF"/>
          <w:lang w:val="en-GB"/>
        </w:rPr>
        <w:t>Atrial fibrillation is a highly prevalent, especially in the older population. Nevertheless, a comparison of the EORP-AF registries and the EHS, demonstrated that there were more older patients in EORP registries and the proportion of patients aged ≥ 75 has significantly increased over time.</w:t>
      </w:r>
      <w:r>
        <w:rPr>
          <w:rFonts w:ascii="Arial" w:hAnsi="Arial" w:cs="Arial"/>
          <w:noProof/>
          <w:color w:val="000000" w:themeColor="text1"/>
          <w:shd w:val="clear" w:color="auto" w:fill="FFFFFF"/>
          <w:lang w:val="en-GB"/>
        </w:rPr>
        <w:t>[25-27]</w:t>
      </w:r>
      <w:r>
        <w:rPr>
          <w:rFonts w:ascii="Arial" w:hAnsi="Arial" w:cs="Arial"/>
          <w:color w:val="000000" w:themeColor="text1"/>
          <w:shd w:val="clear" w:color="auto" w:fill="FFFFFF"/>
          <w:lang w:val="en-GB"/>
        </w:rPr>
        <w:t xml:space="preserve"> </w:t>
      </w:r>
      <w:r w:rsidRPr="00F629DE">
        <w:rPr>
          <w:rFonts w:ascii="Arial" w:hAnsi="Arial" w:cs="Arial"/>
          <w:color w:val="000000" w:themeColor="text1"/>
          <w:shd w:val="clear" w:color="auto" w:fill="FFFFFF"/>
          <w:lang w:val="en-GB"/>
        </w:rPr>
        <w:t xml:space="preserve">This could be related to several causes. First, the greater </w:t>
      </w:r>
      <w:r w:rsidRPr="00F629DE">
        <w:rPr>
          <w:rFonts w:ascii="Arial" w:hAnsi="Arial" w:cs="Arial"/>
          <w:color w:val="000000" w:themeColor="text1"/>
          <w:shd w:val="clear" w:color="auto" w:fill="FFFFFF"/>
          <w:lang w:val="en-GB"/>
        </w:rPr>
        <w:lastRenderedPageBreak/>
        <w:t>awareness and efforts at detection AF also in asymptomatic older patients significantly contributed to increase incidence and prevalence.</w:t>
      </w:r>
      <w:r>
        <w:rPr>
          <w:rFonts w:ascii="Arial" w:hAnsi="Arial" w:cs="Arial"/>
          <w:noProof/>
          <w:color w:val="000000" w:themeColor="text1"/>
          <w:shd w:val="clear" w:color="auto" w:fill="FFFFFF"/>
          <w:lang w:val="en-GB"/>
        </w:rPr>
        <w:t>[28]</w:t>
      </w:r>
      <w:r w:rsidRPr="00F629DE">
        <w:rPr>
          <w:rFonts w:ascii="Arial" w:hAnsi="Arial" w:cs="Arial"/>
          <w:color w:val="000000" w:themeColor="text1"/>
          <w:shd w:val="clear" w:color="auto" w:fill="FFFFFF"/>
          <w:lang w:val="en-GB"/>
        </w:rPr>
        <w:t xml:space="preserve"> </w:t>
      </w:r>
      <w:r w:rsidRPr="00F629DE">
        <w:rPr>
          <w:rFonts w:ascii="Arial" w:hAnsi="Arial" w:cs="Arial"/>
          <w:lang w:val="en-GB"/>
        </w:rPr>
        <w:t xml:space="preserve">Second, we should look at the changes in AF epidemiology in Europe </w:t>
      </w:r>
      <w:r w:rsidRPr="00F629DE">
        <w:rPr>
          <w:rFonts w:ascii="Arial" w:hAnsi="Arial" w:cs="Arial"/>
          <w:shd w:val="clear" w:color="auto" w:fill="FFFFFF"/>
          <w:lang w:val="en-GB"/>
        </w:rPr>
        <w:t>over the last decades: due to the so-called “</w:t>
      </w:r>
      <w:r w:rsidRPr="00F629DE">
        <w:rPr>
          <w:rFonts w:ascii="Arial" w:hAnsi="Arial" w:cs="Arial"/>
          <w:i/>
          <w:iCs/>
          <w:shd w:val="clear" w:color="auto" w:fill="FFFFFF"/>
          <w:lang w:val="en-GB"/>
        </w:rPr>
        <w:t>Demographic Transition</w:t>
      </w:r>
      <w:r w:rsidRPr="00F629DE">
        <w:rPr>
          <w:rFonts w:ascii="Arial" w:hAnsi="Arial" w:cs="Arial"/>
          <w:shd w:val="clear" w:color="auto" w:fill="FFFFFF"/>
          <w:lang w:val="en-GB"/>
        </w:rPr>
        <w:t>”, the decline in death rate and birth ra</w:t>
      </w:r>
      <w:r w:rsidRPr="00F629DE">
        <w:rPr>
          <w:rFonts w:ascii="Arial" w:hAnsi="Arial" w:cs="Arial"/>
          <w:lang w:val="en-GB"/>
        </w:rPr>
        <w:t>tes results in</w:t>
      </w:r>
      <w:r>
        <w:rPr>
          <w:rFonts w:ascii="Arial" w:hAnsi="Arial" w:cs="Arial"/>
          <w:lang w:val="en-GB"/>
        </w:rPr>
        <w:t xml:space="preserve"> a</w:t>
      </w:r>
      <w:r w:rsidRPr="00F629DE">
        <w:rPr>
          <w:rFonts w:ascii="Arial" w:hAnsi="Arial" w:cs="Arial"/>
          <w:lang w:val="en-GB"/>
        </w:rPr>
        <w:t xml:space="preserve"> substantive change in the age distribution of population.</w:t>
      </w:r>
      <w:r>
        <w:rPr>
          <w:rFonts w:ascii="Arial" w:hAnsi="Arial" w:cs="Arial"/>
          <w:noProof/>
          <w:lang w:val="en-GB"/>
        </w:rPr>
        <w:t>[29]</w:t>
      </w:r>
      <w:r>
        <w:rPr>
          <w:rFonts w:ascii="Arial" w:hAnsi="Arial" w:cs="Arial"/>
          <w:lang w:val="en-GB"/>
        </w:rPr>
        <w:t xml:space="preserve"> Indeed, i</w:t>
      </w:r>
      <w:r w:rsidRPr="00B44C7D">
        <w:rPr>
          <w:rFonts w:ascii="Arial" w:hAnsi="Arial" w:cs="Arial"/>
          <w:lang w:val="en-GB"/>
        </w:rPr>
        <w:t xml:space="preserve">mprovements in the management of patients with cardiovascular disease, such as percutaneous coronary interventions in </w:t>
      </w:r>
      <w:r>
        <w:rPr>
          <w:rFonts w:ascii="Arial" w:hAnsi="Arial" w:cs="Arial"/>
          <w:lang w:val="en-GB"/>
        </w:rPr>
        <w:t>a</w:t>
      </w:r>
      <w:r w:rsidRPr="00B44C7D">
        <w:rPr>
          <w:rFonts w:ascii="Arial" w:hAnsi="Arial" w:cs="Arial"/>
          <w:lang w:val="en-GB"/>
        </w:rPr>
        <w:t>cute coronary syndromes, have significantly improved outcomes and re</w:t>
      </w:r>
      <w:r>
        <w:rPr>
          <w:rFonts w:ascii="Arial" w:hAnsi="Arial" w:cs="Arial"/>
          <w:lang w:val="en-GB"/>
        </w:rPr>
        <w:t>duce</w:t>
      </w:r>
      <w:r w:rsidRPr="00B44C7D">
        <w:rPr>
          <w:rFonts w:ascii="Arial" w:hAnsi="Arial" w:cs="Arial"/>
          <w:lang w:val="en-GB"/>
        </w:rPr>
        <w:t xml:space="preserve"> mortality. As consequence, people are living longer to develop AF and </w:t>
      </w:r>
      <w:r>
        <w:rPr>
          <w:rFonts w:ascii="Arial" w:hAnsi="Arial" w:cs="Arial"/>
          <w:lang w:val="en-GB"/>
        </w:rPr>
        <w:t xml:space="preserve">also </w:t>
      </w:r>
      <w:r w:rsidRPr="00B44C7D">
        <w:rPr>
          <w:rFonts w:ascii="Arial" w:hAnsi="Arial" w:cs="Arial"/>
          <w:lang w:val="en-GB"/>
        </w:rPr>
        <w:t>have more comorbidities which increase</w:t>
      </w:r>
      <w:r>
        <w:rPr>
          <w:rFonts w:ascii="Arial" w:hAnsi="Arial" w:cs="Arial"/>
          <w:lang w:val="en-GB"/>
        </w:rPr>
        <w:t xml:space="preserve"> per se </w:t>
      </w:r>
      <w:r w:rsidRPr="00B44C7D">
        <w:rPr>
          <w:rFonts w:ascii="Arial" w:hAnsi="Arial" w:cs="Arial"/>
          <w:lang w:val="en-GB"/>
        </w:rPr>
        <w:t>the risk of AF</w:t>
      </w:r>
      <w:r>
        <w:rPr>
          <w:rFonts w:ascii="Arial" w:hAnsi="Arial" w:cs="Arial"/>
          <w:lang w:val="en-GB"/>
        </w:rPr>
        <w:t xml:space="preserve">. </w:t>
      </w:r>
    </w:p>
    <w:p w14:paraId="5ACB05BD" w14:textId="77777777" w:rsidR="0063383E" w:rsidRPr="00B94873" w:rsidRDefault="0063383E" w:rsidP="00E24D9D">
      <w:pPr>
        <w:pStyle w:val="NormalWeb"/>
        <w:spacing w:line="480" w:lineRule="auto"/>
        <w:jc w:val="both"/>
        <w:rPr>
          <w:rFonts w:ascii="Arial" w:hAnsi="Arial" w:cs="Arial"/>
          <w:color w:val="000000" w:themeColor="text1"/>
          <w:lang w:val="en-GB"/>
        </w:rPr>
      </w:pPr>
      <w:r w:rsidRPr="00B94873">
        <w:rPr>
          <w:rFonts w:ascii="Arial" w:hAnsi="Arial" w:cs="Arial"/>
          <w:color w:val="000000" w:themeColor="text1"/>
          <w:lang w:val="en-GB"/>
        </w:rPr>
        <w:t xml:space="preserve">As reported in different studies, analysis from the EHS and EORP dataset also </w:t>
      </w:r>
      <w:r>
        <w:rPr>
          <w:rFonts w:ascii="Arial" w:hAnsi="Arial" w:cs="Arial"/>
          <w:color w:val="000000" w:themeColor="text1"/>
          <w:lang w:val="en-GB"/>
        </w:rPr>
        <w:t>demonstrated</w:t>
      </w:r>
      <w:r w:rsidRPr="00B94873">
        <w:rPr>
          <w:rFonts w:ascii="Arial" w:hAnsi="Arial" w:cs="Arial"/>
          <w:color w:val="000000" w:themeColor="text1"/>
          <w:lang w:val="en-GB"/>
        </w:rPr>
        <w:t xml:space="preserve"> sex-related differences in the epidemiology and clinical management of AF.</w:t>
      </w:r>
      <w:r>
        <w:rPr>
          <w:rFonts w:ascii="Arial" w:hAnsi="Arial" w:cs="Arial"/>
          <w:noProof/>
          <w:color w:val="000000" w:themeColor="text1"/>
          <w:lang w:val="en-GB"/>
        </w:rPr>
        <w:t>[30-33]</w:t>
      </w:r>
      <w:r w:rsidRPr="00B94873">
        <w:rPr>
          <w:rFonts w:ascii="Arial" w:hAnsi="Arial" w:cs="Arial"/>
          <w:color w:val="000000" w:themeColor="text1"/>
          <w:lang w:val="en-GB"/>
        </w:rPr>
        <w:t xml:space="preserve"> </w:t>
      </w:r>
      <w:r w:rsidRPr="00D84C7A">
        <w:rPr>
          <w:rFonts w:ascii="Arial" w:hAnsi="Arial" w:cs="Arial"/>
          <w:color w:val="000000" w:themeColor="text1"/>
          <w:lang w:val="en-GB"/>
        </w:rPr>
        <w:t xml:space="preserve">Female </w:t>
      </w:r>
      <w:r>
        <w:rPr>
          <w:rFonts w:ascii="Arial" w:hAnsi="Arial" w:cs="Arial"/>
          <w:color w:val="000000" w:themeColor="text1"/>
          <w:lang w:val="en-GB"/>
        </w:rPr>
        <w:t>AF patients</w:t>
      </w:r>
      <w:r w:rsidRPr="00D84C7A">
        <w:rPr>
          <w:rFonts w:ascii="Arial" w:hAnsi="Arial" w:cs="Arial"/>
          <w:color w:val="000000" w:themeColor="text1"/>
          <w:lang w:val="en-GB"/>
        </w:rPr>
        <w:t xml:space="preserve"> tend to be</w:t>
      </w:r>
      <w:r w:rsidRPr="00FD4288">
        <w:rPr>
          <w:rFonts w:ascii="Arial" w:hAnsi="Arial" w:cs="Arial"/>
          <w:color w:val="000000" w:themeColor="text1"/>
          <w:lang w:val="en-GB"/>
        </w:rPr>
        <w:t xml:space="preserve"> older, more symptomatic, with more comorbidities</w:t>
      </w:r>
      <w:r w:rsidRPr="00025F1E">
        <w:rPr>
          <w:rFonts w:ascii="Arial" w:hAnsi="Arial" w:cs="Arial"/>
          <w:color w:val="000000" w:themeColor="text1"/>
          <w:lang w:val="en-GB"/>
        </w:rPr>
        <w:t xml:space="preserve"> and </w:t>
      </w:r>
      <w:r w:rsidRPr="00D84C7A">
        <w:rPr>
          <w:rFonts w:ascii="Arial" w:hAnsi="Arial" w:cs="Arial"/>
          <w:color w:val="000000" w:themeColor="text1"/>
          <w:lang w:val="en-GB"/>
        </w:rPr>
        <w:t>seem to be at higher stroke</w:t>
      </w:r>
      <w:r w:rsidRPr="00FD4288">
        <w:rPr>
          <w:rFonts w:ascii="Arial" w:hAnsi="Arial" w:cs="Arial"/>
          <w:color w:val="000000" w:themeColor="text1"/>
          <w:lang w:val="en-GB"/>
        </w:rPr>
        <w:t xml:space="preserve"> risk overall </w:t>
      </w:r>
      <w:r>
        <w:rPr>
          <w:rFonts w:ascii="Arial" w:hAnsi="Arial" w:cs="Arial"/>
          <w:color w:val="000000" w:themeColor="text1"/>
          <w:lang w:val="en-GB"/>
        </w:rPr>
        <w:t>when</w:t>
      </w:r>
      <w:r w:rsidRPr="00FD4288">
        <w:rPr>
          <w:rFonts w:ascii="Arial" w:hAnsi="Arial" w:cs="Arial"/>
          <w:color w:val="000000" w:themeColor="text1"/>
          <w:lang w:val="en-GB"/>
        </w:rPr>
        <w:t xml:space="preserve"> compared </w:t>
      </w:r>
      <w:r w:rsidRPr="00025F1E">
        <w:rPr>
          <w:rFonts w:ascii="Arial" w:hAnsi="Arial" w:cs="Arial"/>
          <w:color w:val="000000" w:themeColor="text1"/>
          <w:lang w:val="en-GB"/>
        </w:rPr>
        <w:t>to male patients</w:t>
      </w:r>
      <w:r>
        <w:rPr>
          <w:rFonts w:ascii="Arial" w:hAnsi="Arial" w:cs="Arial"/>
          <w:color w:val="000000" w:themeColor="text1"/>
          <w:lang w:val="en-GB"/>
        </w:rPr>
        <w:t>,</w:t>
      </w:r>
      <w:r w:rsidRPr="00025F1E">
        <w:rPr>
          <w:rFonts w:ascii="Arial" w:hAnsi="Arial" w:cs="Arial"/>
          <w:color w:val="000000" w:themeColor="text1"/>
          <w:lang w:val="en-GB"/>
        </w:rPr>
        <w:t xml:space="preserve"> especially </w:t>
      </w:r>
      <w:r>
        <w:rPr>
          <w:rFonts w:ascii="Arial" w:hAnsi="Arial" w:cs="Arial"/>
          <w:color w:val="000000" w:themeColor="text1"/>
          <w:lang w:val="en-GB"/>
        </w:rPr>
        <w:t>75 years old and older f</w:t>
      </w:r>
      <w:r w:rsidRPr="00D84C7A">
        <w:rPr>
          <w:rFonts w:ascii="Arial" w:hAnsi="Arial" w:cs="Arial"/>
          <w:color w:val="000000" w:themeColor="text1"/>
          <w:lang w:val="en-GB"/>
        </w:rPr>
        <w:t>emale patients. These data highlight that female gender is a prognostic factor for stroke, but it is still unclear the reasons for this gender-related difference. Although s</w:t>
      </w:r>
      <w:r>
        <w:rPr>
          <w:rFonts w:ascii="Arial" w:hAnsi="Arial" w:cs="Arial"/>
          <w:color w:val="000000" w:themeColor="text1"/>
          <w:lang w:val="en-GB"/>
        </w:rPr>
        <w:t>ome</w:t>
      </w:r>
      <w:r w:rsidRPr="00D84C7A">
        <w:rPr>
          <w:rFonts w:ascii="Arial" w:hAnsi="Arial" w:cs="Arial"/>
          <w:color w:val="000000" w:themeColor="text1"/>
          <w:lang w:val="en-GB"/>
        </w:rPr>
        <w:t xml:space="preserve"> studies suggest that patients characteristics, clinical and/or socio-economic factors could potentially explain the observed differences between males and females.</w:t>
      </w:r>
      <w:r>
        <w:rPr>
          <w:rFonts w:ascii="Arial" w:hAnsi="Arial" w:cs="Arial"/>
          <w:noProof/>
          <w:color w:val="000000" w:themeColor="text1"/>
          <w:lang w:val="en-GB"/>
        </w:rPr>
        <w:t>[34]</w:t>
      </w:r>
    </w:p>
    <w:p w14:paraId="39A7F987" w14:textId="77777777" w:rsidR="0063383E" w:rsidRPr="00FD4288" w:rsidRDefault="0063383E" w:rsidP="00E24D9D">
      <w:pPr>
        <w:spacing w:line="480" w:lineRule="auto"/>
        <w:jc w:val="both"/>
        <w:rPr>
          <w:rFonts w:ascii="Arial" w:hAnsi="Arial" w:cs="Arial"/>
          <w:color w:val="000000" w:themeColor="text1"/>
          <w:u w:val="single"/>
          <w:lang w:val="en-GB"/>
        </w:rPr>
      </w:pPr>
      <w:r w:rsidRPr="00D84C7A">
        <w:rPr>
          <w:rFonts w:ascii="Arial" w:hAnsi="Arial" w:cs="Arial"/>
          <w:b/>
          <w:bCs/>
          <w:color w:val="000000" w:themeColor="text1"/>
          <w:u w:val="single"/>
          <w:lang w:val="en-GB"/>
        </w:rPr>
        <w:t xml:space="preserve">Atrial fibrillation clinical </w:t>
      </w:r>
      <w:r w:rsidRPr="00FD4288">
        <w:rPr>
          <w:rFonts w:ascii="Arial" w:hAnsi="Arial" w:cs="Arial"/>
          <w:b/>
          <w:bCs/>
          <w:color w:val="000000" w:themeColor="text1"/>
          <w:u w:val="single"/>
          <w:lang w:val="en-GB"/>
        </w:rPr>
        <w:t>management</w:t>
      </w:r>
    </w:p>
    <w:p w14:paraId="7C1C9006" w14:textId="77777777" w:rsidR="0063383E" w:rsidRPr="00D84C7A" w:rsidRDefault="0063383E" w:rsidP="00E24D9D">
      <w:pPr>
        <w:spacing w:line="480" w:lineRule="auto"/>
        <w:jc w:val="both"/>
        <w:rPr>
          <w:rFonts w:ascii="Arial" w:hAnsi="Arial" w:cs="Arial"/>
          <w:color w:val="000000" w:themeColor="text1"/>
          <w:lang w:val="en-GB"/>
        </w:rPr>
      </w:pPr>
      <w:r w:rsidRPr="00025F1E">
        <w:rPr>
          <w:rFonts w:ascii="Arial" w:hAnsi="Arial" w:cs="Arial"/>
          <w:color w:val="000000" w:themeColor="text1"/>
          <w:lang w:val="en-GB"/>
        </w:rPr>
        <w:t xml:space="preserve">Over the last decade, the EHS and the EORP registries </w:t>
      </w:r>
      <w:r>
        <w:rPr>
          <w:rFonts w:ascii="Arial" w:hAnsi="Arial" w:cs="Arial"/>
          <w:color w:val="000000" w:themeColor="text1"/>
          <w:lang w:val="en-GB"/>
        </w:rPr>
        <w:t xml:space="preserve">have </w:t>
      </w:r>
      <w:r w:rsidRPr="00025F1E">
        <w:rPr>
          <w:rFonts w:ascii="Arial" w:hAnsi="Arial" w:cs="Arial"/>
          <w:color w:val="000000" w:themeColor="text1"/>
          <w:lang w:val="en-GB"/>
        </w:rPr>
        <w:t>reported interesting temporal changes in AF treatment strategies and guidelines adherence.</w:t>
      </w:r>
      <w:r w:rsidRPr="00D84C7A">
        <w:rPr>
          <w:rFonts w:ascii="Arial" w:hAnsi="Arial" w:cs="Arial"/>
          <w:color w:val="000000" w:themeColor="text1"/>
          <w:lang w:val="en-GB"/>
        </w:rPr>
        <w:t xml:space="preserve"> </w:t>
      </w:r>
      <w:r>
        <w:rPr>
          <w:rFonts w:ascii="Arial" w:hAnsi="Arial" w:cs="Arial"/>
          <w:noProof/>
          <w:color w:val="000000" w:themeColor="text1"/>
          <w:lang w:val="en-GB"/>
        </w:rPr>
        <w:t>[35-40]</w:t>
      </w:r>
      <w:r w:rsidRPr="00D84C7A">
        <w:rPr>
          <w:rFonts w:ascii="Arial" w:hAnsi="Arial" w:cs="Arial"/>
          <w:color w:val="000000" w:themeColor="text1"/>
          <w:lang w:val="en-GB"/>
        </w:rPr>
        <w:t xml:space="preserve"> </w:t>
      </w:r>
    </w:p>
    <w:p w14:paraId="6ECE2A2B"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The impact of rate and rhythm control strategies on AF patient outcomes was at the centre of the debate for many years</w:t>
      </w:r>
      <w:r>
        <w:rPr>
          <w:rFonts w:ascii="Arial" w:hAnsi="Arial" w:cs="Arial"/>
          <w:color w:val="000000" w:themeColor="text1"/>
          <w:lang w:val="en-GB"/>
        </w:rPr>
        <w:t>, although some</w:t>
      </w:r>
      <w:r w:rsidRPr="00B94873">
        <w:rPr>
          <w:rFonts w:ascii="Arial" w:hAnsi="Arial" w:cs="Arial"/>
          <w:color w:val="000000" w:themeColor="text1"/>
          <w:lang w:val="en-GB"/>
        </w:rPr>
        <w:t xml:space="preserve"> contradictory results still exist. </w:t>
      </w:r>
    </w:p>
    <w:p w14:paraId="7634945A"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lastRenderedPageBreak/>
        <w:t xml:space="preserve">Both the </w:t>
      </w:r>
      <w:r>
        <w:rPr>
          <w:rFonts w:ascii="Arial" w:hAnsi="Arial" w:cs="Arial"/>
          <w:color w:val="000000" w:themeColor="text1"/>
          <w:lang w:val="en-GB"/>
        </w:rPr>
        <w:t>EHS and EORP r</w:t>
      </w:r>
      <w:r w:rsidRPr="00B94873">
        <w:rPr>
          <w:rFonts w:ascii="Arial" w:hAnsi="Arial" w:cs="Arial"/>
          <w:color w:val="000000" w:themeColor="text1"/>
          <w:lang w:val="en-GB"/>
        </w:rPr>
        <w:t>egistries show heterogeneity in rhythm control management that included drug treatment and catheter ablation.</w:t>
      </w:r>
      <w:r>
        <w:rPr>
          <w:rFonts w:ascii="Arial" w:hAnsi="Arial" w:cs="Arial"/>
          <w:noProof/>
          <w:color w:val="000000" w:themeColor="text1"/>
          <w:lang w:val="en-GB"/>
        </w:rPr>
        <w:t>[21, 41, 42]</w:t>
      </w:r>
      <w:r w:rsidRPr="00B94873">
        <w:rPr>
          <w:rFonts w:ascii="Arial" w:hAnsi="Arial" w:cs="Arial"/>
          <w:color w:val="000000" w:themeColor="text1"/>
          <w:lang w:val="en-GB"/>
        </w:rPr>
        <w:t xml:space="preserve"> Nevertheless, in the majority of the European </w:t>
      </w:r>
      <w:r>
        <w:rPr>
          <w:rFonts w:ascii="Arial" w:hAnsi="Arial" w:cs="Arial"/>
          <w:color w:val="000000" w:themeColor="text1"/>
          <w:lang w:val="en-GB"/>
        </w:rPr>
        <w:t>c</w:t>
      </w:r>
      <w:r w:rsidRPr="00B94873">
        <w:rPr>
          <w:rFonts w:ascii="Arial" w:hAnsi="Arial" w:cs="Arial"/>
          <w:color w:val="000000" w:themeColor="text1"/>
          <w:lang w:val="en-GB"/>
        </w:rPr>
        <w:t xml:space="preserve">entres </w:t>
      </w:r>
      <w:proofErr w:type="spellStart"/>
      <w:r w:rsidRPr="00B94873">
        <w:rPr>
          <w:rFonts w:ascii="Arial" w:hAnsi="Arial" w:cs="Arial"/>
          <w:color w:val="000000" w:themeColor="text1"/>
          <w:lang w:val="en-GB"/>
        </w:rPr>
        <w:t>analyzed</w:t>
      </w:r>
      <w:proofErr w:type="spellEnd"/>
      <w:r w:rsidRPr="00B94873">
        <w:rPr>
          <w:rFonts w:ascii="Arial" w:hAnsi="Arial" w:cs="Arial"/>
          <w:color w:val="000000" w:themeColor="text1"/>
          <w:lang w:val="en-GB"/>
        </w:rPr>
        <w:t xml:space="preserve">, the most common anti-arrhythmic drug used was amiodarone and its use remained substantially unchanged </w:t>
      </w:r>
      <w:r>
        <w:rPr>
          <w:rFonts w:ascii="Arial" w:hAnsi="Arial" w:cs="Arial"/>
          <w:color w:val="000000" w:themeColor="text1"/>
          <w:lang w:val="en-GB"/>
        </w:rPr>
        <w:t>over</w:t>
      </w:r>
      <w:r w:rsidRPr="00B94873">
        <w:rPr>
          <w:rFonts w:ascii="Arial" w:hAnsi="Arial" w:cs="Arial"/>
          <w:color w:val="000000" w:themeColor="text1"/>
          <w:lang w:val="en-GB"/>
        </w:rPr>
        <w:t xml:space="preserve"> time, while beta-blockers were often prescribed as rate-control therapy, especially when heart failure was present.</w:t>
      </w:r>
      <w:r>
        <w:rPr>
          <w:rFonts w:ascii="Arial" w:hAnsi="Arial" w:cs="Arial"/>
          <w:noProof/>
          <w:color w:val="000000" w:themeColor="text1"/>
          <w:lang w:val="en-GB"/>
        </w:rPr>
        <w:t>[35, 36]</w:t>
      </w:r>
    </w:p>
    <w:p w14:paraId="5A2C2DB7"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 xml:space="preserve">Several RCTs comparing rate and rhythm control strategies have been conducted but </w:t>
      </w:r>
      <w:r>
        <w:rPr>
          <w:rFonts w:ascii="Arial" w:hAnsi="Arial" w:cs="Arial"/>
          <w:color w:val="000000" w:themeColor="text1"/>
          <w:lang w:val="en-GB"/>
        </w:rPr>
        <w:t xml:space="preserve">have </w:t>
      </w:r>
      <w:r w:rsidRPr="00B94873">
        <w:rPr>
          <w:rFonts w:ascii="Arial" w:hAnsi="Arial" w:cs="Arial"/>
          <w:color w:val="000000" w:themeColor="text1"/>
          <w:lang w:val="en-GB"/>
        </w:rPr>
        <w:t>not show</w:t>
      </w:r>
      <w:r>
        <w:rPr>
          <w:rFonts w:ascii="Arial" w:hAnsi="Arial" w:cs="Arial"/>
          <w:color w:val="000000" w:themeColor="text1"/>
          <w:lang w:val="en-GB"/>
        </w:rPr>
        <w:t>n</w:t>
      </w:r>
      <w:r w:rsidRPr="00B94873">
        <w:rPr>
          <w:rFonts w:ascii="Arial" w:hAnsi="Arial" w:cs="Arial"/>
          <w:color w:val="000000" w:themeColor="text1"/>
          <w:lang w:val="en-GB"/>
        </w:rPr>
        <w:t xml:space="preserve"> clear evidence of superiority in terms of all-cause mortality or systemic embolism with either strategy.</w:t>
      </w:r>
      <w:r>
        <w:rPr>
          <w:rFonts w:ascii="Arial" w:hAnsi="Arial" w:cs="Arial"/>
          <w:noProof/>
          <w:color w:val="000000" w:themeColor="text1"/>
          <w:lang w:val="en-GB"/>
        </w:rPr>
        <w:t>[43-47]</w:t>
      </w:r>
    </w:p>
    <w:p w14:paraId="6BE2AA68" w14:textId="77777777" w:rsidR="0063383E" w:rsidRPr="00B94873" w:rsidRDefault="0063383E" w:rsidP="00E24D9D">
      <w:pPr>
        <w:spacing w:line="480" w:lineRule="auto"/>
        <w:jc w:val="both"/>
        <w:rPr>
          <w:rFonts w:ascii="Arial" w:hAnsi="Arial" w:cs="Arial"/>
          <w:color w:val="000000" w:themeColor="text1"/>
          <w:lang w:val="en-GB"/>
        </w:rPr>
      </w:pPr>
      <w:r>
        <w:rPr>
          <w:rFonts w:ascii="Arial" w:hAnsi="Arial" w:cs="Arial"/>
          <w:color w:val="000000" w:themeColor="text1"/>
          <w:lang w:val="en-GB"/>
        </w:rPr>
        <w:t>A</w:t>
      </w:r>
      <w:r w:rsidRPr="00B94873">
        <w:rPr>
          <w:rFonts w:ascii="Arial" w:hAnsi="Arial" w:cs="Arial"/>
          <w:color w:val="000000" w:themeColor="text1"/>
          <w:lang w:val="en-GB"/>
        </w:rPr>
        <w:t>ssessment of the impact of rate or rhythm control strategies on adverse outcomes in real-world AF patients</w:t>
      </w:r>
      <w:r>
        <w:rPr>
          <w:rFonts w:ascii="Arial" w:hAnsi="Arial" w:cs="Arial"/>
          <w:color w:val="000000" w:themeColor="text1"/>
          <w:lang w:val="en-GB"/>
        </w:rPr>
        <w:t xml:space="preserve"> was undertaken using t</w:t>
      </w:r>
      <w:r w:rsidRPr="00B94873">
        <w:rPr>
          <w:rFonts w:ascii="Arial" w:hAnsi="Arial" w:cs="Arial"/>
          <w:color w:val="000000" w:themeColor="text1"/>
          <w:lang w:val="en-GB"/>
        </w:rPr>
        <w:t xml:space="preserve">he EHS and the EORP registries. When assessing the differences between rate and rhythm control, it </w:t>
      </w:r>
      <w:r>
        <w:rPr>
          <w:rFonts w:ascii="Arial" w:hAnsi="Arial" w:cs="Arial"/>
          <w:color w:val="000000" w:themeColor="text1"/>
          <w:lang w:val="en-GB"/>
        </w:rPr>
        <w:t xml:space="preserve">is important to remember </w:t>
      </w:r>
      <w:r w:rsidRPr="00B94873">
        <w:rPr>
          <w:rFonts w:ascii="Arial" w:hAnsi="Arial" w:cs="Arial"/>
          <w:color w:val="000000" w:themeColor="text1"/>
          <w:lang w:val="en-GB"/>
        </w:rPr>
        <w:t>that patients treated with rate</w:t>
      </w:r>
      <w:r>
        <w:rPr>
          <w:rFonts w:ascii="Arial" w:hAnsi="Arial" w:cs="Arial"/>
          <w:color w:val="000000" w:themeColor="text1"/>
          <w:lang w:val="en-GB"/>
        </w:rPr>
        <w:t>-</w:t>
      </w:r>
      <w:r w:rsidRPr="00B94873">
        <w:rPr>
          <w:rFonts w:ascii="Arial" w:hAnsi="Arial" w:cs="Arial"/>
          <w:color w:val="000000" w:themeColor="text1"/>
          <w:lang w:val="en-GB"/>
        </w:rPr>
        <w:t xml:space="preserve">control are generally older and </w:t>
      </w:r>
      <w:r>
        <w:rPr>
          <w:rFonts w:ascii="Arial" w:hAnsi="Arial" w:cs="Arial"/>
          <w:color w:val="000000" w:themeColor="text1"/>
          <w:lang w:val="en-GB"/>
        </w:rPr>
        <w:t>have</w:t>
      </w:r>
      <w:r w:rsidRPr="00B94873">
        <w:rPr>
          <w:rFonts w:ascii="Arial" w:hAnsi="Arial" w:cs="Arial"/>
          <w:color w:val="000000" w:themeColor="text1"/>
          <w:lang w:val="en-GB"/>
        </w:rPr>
        <w:t xml:space="preserve"> multiple comorbidities compared to patients treated with </w:t>
      </w:r>
      <w:r>
        <w:rPr>
          <w:rFonts w:ascii="Arial" w:hAnsi="Arial" w:cs="Arial"/>
          <w:color w:val="000000" w:themeColor="text1"/>
          <w:lang w:val="en-GB"/>
        </w:rPr>
        <w:t xml:space="preserve">a </w:t>
      </w:r>
      <w:r w:rsidRPr="00B94873">
        <w:rPr>
          <w:rFonts w:ascii="Arial" w:hAnsi="Arial" w:cs="Arial"/>
          <w:color w:val="000000" w:themeColor="text1"/>
          <w:lang w:val="en-GB"/>
        </w:rPr>
        <w:t>rhythm</w:t>
      </w:r>
      <w:r>
        <w:rPr>
          <w:rFonts w:ascii="Arial" w:hAnsi="Arial" w:cs="Arial"/>
          <w:color w:val="000000" w:themeColor="text1"/>
          <w:lang w:val="en-GB"/>
        </w:rPr>
        <w:t>-control</w:t>
      </w:r>
      <w:r w:rsidRPr="00B94873">
        <w:rPr>
          <w:rFonts w:ascii="Arial" w:hAnsi="Arial" w:cs="Arial"/>
          <w:color w:val="000000" w:themeColor="text1"/>
          <w:lang w:val="en-GB"/>
        </w:rPr>
        <w:t xml:space="preserve"> strategy. Nevertheless, in the AF General Pilot registry, after a propensity score-matched analysis, outcome</w:t>
      </w:r>
      <w:r>
        <w:rPr>
          <w:rFonts w:ascii="Arial" w:hAnsi="Arial" w:cs="Arial"/>
          <w:color w:val="000000" w:themeColor="text1"/>
          <w:lang w:val="en-GB"/>
        </w:rPr>
        <w:t>s of s</w:t>
      </w:r>
      <w:r w:rsidRPr="00FC1335">
        <w:rPr>
          <w:rFonts w:ascii="Arial" w:hAnsi="Arial" w:cs="Arial"/>
          <w:color w:val="000000" w:themeColor="text1"/>
          <w:lang w:val="en-GB"/>
        </w:rPr>
        <w:t>troke/</w:t>
      </w:r>
      <w:r w:rsidRPr="00684CD7">
        <w:rPr>
          <w:lang w:val="en-US"/>
        </w:rPr>
        <w:t xml:space="preserve"> </w:t>
      </w:r>
      <w:r w:rsidRPr="00FC1335">
        <w:rPr>
          <w:rFonts w:ascii="Arial" w:hAnsi="Arial" w:cs="Arial"/>
          <w:color w:val="000000" w:themeColor="text1"/>
          <w:lang w:val="en-GB"/>
        </w:rPr>
        <w:t xml:space="preserve">transient ischaemic attack, </w:t>
      </w:r>
      <w:r>
        <w:rPr>
          <w:rFonts w:ascii="Arial" w:hAnsi="Arial" w:cs="Arial"/>
          <w:color w:val="000000" w:themeColor="text1"/>
          <w:lang w:val="en-GB"/>
        </w:rPr>
        <w:t>a</w:t>
      </w:r>
      <w:r w:rsidRPr="00FC1335">
        <w:rPr>
          <w:rFonts w:ascii="Arial" w:hAnsi="Arial" w:cs="Arial"/>
          <w:color w:val="000000" w:themeColor="text1"/>
          <w:lang w:val="en-GB"/>
        </w:rPr>
        <w:t xml:space="preserve">ny </w:t>
      </w:r>
      <w:r>
        <w:rPr>
          <w:rFonts w:ascii="Arial" w:hAnsi="Arial" w:cs="Arial"/>
          <w:color w:val="000000" w:themeColor="text1"/>
          <w:lang w:val="en-GB"/>
        </w:rPr>
        <w:t>thrombo-embolic events</w:t>
      </w:r>
      <w:r w:rsidRPr="00FC1335">
        <w:rPr>
          <w:rFonts w:ascii="Arial" w:hAnsi="Arial" w:cs="Arial"/>
          <w:color w:val="000000" w:themeColor="text1"/>
          <w:lang w:val="en-GB"/>
        </w:rPr>
        <w:t xml:space="preserve">, </w:t>
      </w:r>
      <w:r>
        <w:rPr>
          <w:rFonts w:ascii="Arial" w:hAnsi="Arial" w:cs="Arial"/>
          <w:color w:val="000000" w:themeColor="text1"/>
          <w:lang w:val="en-GB"/>
        </w:rPr>
        <w:t>c</w:t>
      </w:r>
      <w:r w:rsidRPr="00FC1335">
        <w:rPr>
          <w:rFonts w:ascii="Arial" w:hAnsi="Arial" w:cs="Arial"/>
          <w:color w:val="000000" w:themeColor="text1"/>
          <w:lang w:val="en-GB"/>
        </w:rPr>
        <w:t>ardiovascular death</w:t>
      </w:r>
      <w:r>
        <w:rPr>
          <w:rFonts w:ascii="Arial" w:hAnsi="Arial" w:cs="Arial"/>
          <w:color w:val="000000" w:themeColor="text1"/>
          <w:lang w:val="en-GB"/>
        </w:rPr>
        <w:t xml:space="preserve"> and</w:t>
      </w:r>
      <w:r w:rsidRPr="00FC1335">
        <w:rPr>
          <w:rFonts w:ascii="Arial" w:hAnsi="Arial" w:cs="Arial"/>
          <w:color w:val="000000" w:themeColor="text1"/>
          <w:lang w:val="en-GB"/>
        </w:rPr>
        <w:t xml:space="preserve"> </w:t>
      </w:r>
      <w:r>
        <w:rPr>
          <w:rFonts w:ascii="Arial" w:hAnsi="Arial" w:cs="Arial"/>
          <w:color w:val="000000" w:themeColor="text1"/>
          <w:lang w:val="en-GB"/>
        </w:rPr>
        <w:t>a</w:t>
      </w:r>
      <w:r w:rsidRPr="00FC1335">
        <w:rPr>
          <w:rFonts w:ascii="Arial" w:hAnsi="Arial" w:cs="Arial"/>
          <w:color w:val="000000" w:themeColor="text1"/>
          <w:lang w:val="en-GB"/>
        </w:rPr>
        <w:t xml:space="preserve">ll-cause death </w:t>
      </w:r>
      <w:r w:rsidRPr="00B94873">
        <w:rPr>
          <w:rFonts w:ascii="Arial" w:hAnsi="Arial" w:cs="Arial"/>
          <w:color w:val="000000" w:themeColor="text1"/>
          <w:lang w:val="en-GB"/>
        </w:rPr>
        <w:t>at follow-up were not statistically different between the two strategies suggesting that regardless of the strategy adopted, comorbidities strongly affect the risk for cardiovascular death, all-cause death and thrombo-embolic events.</w:t>
      </w:r>
      <w:r>
        <w:rPr>
          <w:rFonts w:ascii="Arial" w:hAnsi="Arial" w:cs="Arial"/>
          <w:noProof/>
          <w:color w:val="000000" w:themeColor="text1"/>
          <w:lang w:val="en-GB"/>
        </w:rPr>
        <w:t>[36]</w:t>
      </w:r>
      <w:r w:rsidRPr="00B94873">
        <w:rPr>
          <w:rFonts w:ascii="Arial" w:hAnsi="Arial" w:cs="Arial"/>
          <w:color w:val="000000" w:themeColor="text1"/>
          <w:lang w:val="en-GB"/>
        </w:rPr>
        <w:t xml:space="preserve"> Regarding AF ablation, recent data from the Atrial Fibrillation Ablation Long-Term (ESC-EORP AFA-LT) registry and the AF population and the EORP AF-General pilot registry, reported that patients undergoing AF ablation procedures were more symptomatic but had less comorbidities, a lower stroke and bleeding risk as compared to general AF patient.</w:t>
      </w:r>
      <w:r>
        <w:rPr>
          <w:rFonts w:ascii="Arial" w:hAnsi="Arial" w:cs="Arial"/>
          <w:noProof/>
          <w:color w:val="000000" w:themeColor="text1"/>
          <w:lang w:val="en-GB"/>
        </w:rPr>
        <w:t>[37]</w:t>
      </w:r>
      <w:r w:rsidRPr="00B94873">
        <w:rPr>
          <w:rFonts w:ascii="Arial" w:hAnsi="Arial" w:cs="Arial"/>
          <w:color w:val="000000" w:themeColor="text1"/>
          <w:lang w:val="en-GB"/>
        </w:rPr>
        <w:t xml:space="preserve"> </w:t>
      </w:r>
    </w:p>
    <w:p w14:paraId="71B04B51" w14:textId="77777777" w:rsidR="0063383E" w:rsidRPr="0095304C" w:rsidRDefault="0063383E" w:rsidP="00E24D9D">
      <w:pPr>
        <w:spacing w:line="480" w:lineRule="auto"/>
        <w:jc w:val="both"/>
        <w:rPr>
          <w:rFonts w:ascii="Arial" w:hAnsi="Arial" w:cs="Arial"/>
          <w:color w:val="000000" w:themeColor="text1"/>
          <w:lang w:val="en-US"/>
        </w:rPr>
      </w:pPr>
      <w:r w:rsidRPr="00D84C7A">
        <w:rPr>
          <w:rFonts w:ascii="Arial" w:hAnsi="Arial" w:cs="Arial"/>
          <w:color w:val="000000" w:themeColor="text1"/>
          <w:lang w:val="en-GB"/>
        </w:rPr>
        <w:t>Another concern is that AF is often asymptomatic</w:t>
      </w:r>
      <w:r w:rsidRPr="00FD4288">
        <w:rPr>
          <w:rFonts w:ascii="Arial" w:hAnsi="Arial" w:cs="Arial"/>
          <w:color w:val="000000" w:themeColor="text1"/>
          <w:lang w:val="en-GB"/>
        </w:rPr>
        <w:t xml:space="preserve"> but clinical management of these patients is not always uniform.</w:t>
      </w:r>
      <w:r>
        <w:rPr>
          <w:rFonts w:ascii="Arial" w:hAnsi="Arial" w:cs="Arial"/>
          <w:noProof/>
          <w:color w:val="000000" w:themeColor="text1"/>
          <w:lang w:val="en-GB"/>
        </w:rPr>
        <w:t>[48]</w:t>
      </w:r>
      <w:r w:rsidRPr="00FD4288">
        <w:rPr>
          <w:rFonts w:ascii="Arial" w:hAnsi="Arial" w:cs="Arial"/>
          <w:color w:val="000000" w:themeColor="text1"/>
          <w:lang w:val="en-GB"/>
        </w:rPr>
        <w:t xml:space="preserve"> </w:t>
      </w:r>
      <w:r w:rsidRPr="00025F1E">
        <w:rPr>
          <w:rFonts w:ascii="Arial" w:hAnsi="Arial" w:cs="Arial"/>
          <w:color w:val="000000" w:themeColor="text1"/>
          <w:lang w:val="en-GB"/>
        </w:rPr>
        <w:t xml:space="preserve">An important contribution of the </w:t>
      </w:r>
      <w:r w:rsidRPr="00D84C7A">
        <w:rPr>
          <w:rFonts w:ascii="Arial" w:hAnsi="Arial" w:cs="Arial"/>
          <w:color w:val="000000" w:themeColor="text1"/>
          <w:lang w:val="en-GB"/>
        </w:rPr>
        <w:t xml:space="preserve">EORP General </w:t>
      </w:r>
      <w:r w:rsidRPr="00D84C7A">
        <w:rPr>
          <w:rFonts w:ascii="Arial" w:hAnsi="Arial" w:cs="Arial"/>
          <w:color w:val="000000" w:themeColor="text1"/>
          <w:lang w:val="en-GB"/>
        </w:rPr>
        <w:lastRenderedPageBreak/>
        <w:t xml:space="preserve">registry, where almost 40% of patients </w:t>
      </w:r>
      <w:r w:rsidRPr="00B94873">
        <w:rPr>
          <w:rFonts w:ascii="Arial" w:hAnsi="Arial" w:cs="Arial"/>
          <w:color w:val="000000" w:themeColor="text1"/>
          <w:lang w:val="en-GB"/>
        </w:rPr>
        <w:t>were asymptomatic (European Heart Rhythm Association score I), was to underline the prognostic implications of asymptomatic AF.</w:t>
      </w:r>
      <w:r>
        <w:rPr>
          <w:rFonts w:ascii="Arial" w:hAnsi="Arial" w:cs="Arial"/>
          <w:noProof/>
          <w:color w:val="000000" w:themeColor="text1"/>
          <w:lang w:val="en-GB"/>
        </w:rPr>
        <w:t>[49]</w:t>
      </w:r>
      <w:r w:rsidRPr="00B94873">
        <w:rPr>
          <w:rFonts w:ascii="Arial" w:hAnsi="Arial" w:cs="Arial"/>
          <w:color w:val="000000" w:themeColor="text1"/>
          <w:lang w:val="en-GB"/>
        </w:rPr>
        <w:t xml:space="preserve"> Mortality at 1 year was even higher in asymptomatic patients compared with symptomatic patients highlighting that asymptomatic AF is not a benign condition.</w:t>
      </w:r>
      <w:r>
        <w:rPr>
          <w:rFonts w:ascii="Arial" w:hAnsi="Arial" w:cs="Arial"/>
          <w:noProof/>
          <w:color w:val="000000" w:themeColor="text1"/>
          <w:lang w:val="en-GB"/>
        </w:rPr>
        <w:t>[49]</w:t>
      </w:r>
      <w:r w:rsidRPr="0095304C">
        <w:rPr>
          <w:rFonts w:ascii="Arial" w:hAnsi="Arial" w:cs="Arial"/>
          <w:color w:val="000000" w:themeColor="text1"/>
          <w:lang w:val="en-US"/>
        </w:rPr>
        <w:t xml:space="preserve"> </w:t>
      </w:r>
    </w:p>
    <w:p w14:paraId="1346663A" w14:textId="77777777" w:rsidR="0063383E" w:rsidRPr="0095304C" w:rsidRDefault="0063383E" w:rsidP="00E24D9D">
      <w:pPr>
        <w:pStyle w:val="NormalWeb"/>
        <w:spacing w:before="0" w:beforeAutospacing="0" w:after="0" w:afterAutospacing="0" w:line="480" w:lineRule="auto"/>
        <w:jc w:val="both"/>
        <w:rPr>
          <w:rFonts w:ascii="Arial" w:hAnsi="Arial" w:cs="Arial"/>
          <w:color w:val="000000" w:themeColor="text1"/>
          <w:lang w:val="en-US"/>
        </w:rPr>
      </w:pPr>
    </w:p>
    <w:p w14:paraId="0ECC8608" w14:textId="77777777" w:rsidR="0063383E" w:rsidRDefault="0063383E" w:rsidP="00E24D9D">
      <w:pPr>
        <w:pStyle w:val="NormalWeb"/>
        <w:spacing w:before="0" w:beforeAutospacing="0" w:after="0" w:afterAutospacing="0" w:line="480" w:lineRule="auto"/>
        <w:jc w:val="both"/>
        <w:rPr>
          <w:rFonts w:ascii="Arial" w:hAnsi="Arial" w:cs="Arial"/>
          <w:color w:val="000000" w:themeColor="text1"/>
          <w:lang w:val="en-GB"/>
        </w:rPr>
      </w:pPr>
      <w:r w:rsidRPr="0095304C">
        <w:rPr>
          <w:rFonts w:ascii="Arial" w:hAnsi="Arial" w:cs="Arial"/>
          <w:color w:val="000000" w:themeColor="text1"/>
          <w:lang w:val="en-US"/>
        </w:rPr>
        <w:t>In the EORP registries there was a significant increase in the prevalence of comorbidities when compared with the EHS registry reflecting the higher proportion of older patients.</w:t>
      </w:r>
      <w:r>
        <w:rPr>
          <w:rFonts w:ascii="Arial" w:hAnsi="Arial" w:cs="Arial"/>
          <w:noProof/>
          <w:color w:val="000000" w:themeColor="text1"/>
          <w:lang w:val="en-GB"/>
        </w:rPr>
        <w:t>[26]</w:t>
      </w:r>
      <w:r w:rsidRPr="0095304C">
        <w:rPr>
          <w:rFonts w:ascii="Arial" w:hAnsi="Arial" w:cs="Arial"/>
          <w:color w:val="000000" w:themeColor="text1"/>
          <w:lang w:val="en-US"/>
        </w:rPr>
        <w:t xml:space="preserve"> Atrial fibrillation, often occurs with identifiable causes and is generally associated with cardiovascular co-morbidities. Arterial hypertension, chronic kidney disease, chronic obstructive pulmonary disease (COPD), peripheral artery disease (PAD), diabetes, valvular heart disease and cardiomyopathy are common co-morbidities in European AF patients with important clinical implications.</w:t>
      </w:r>
      <w:r>
        <w:rPr>
          <w:rFonts w:ascii="Arial" w:hAnsi="Arial" w:cs="Arial"/>
          <w:noProof/>
          <w:color w:val="000000" w:themeColor="text1"/>
          <w:lang w:val="en-GB"/>
        </w:rPr>
        <w:t>[23, 26, 50-56]</w:t>
      </w:r>
    </w:p>
    <w:p w14:paraId="573E94E8" w14:textId="77777777" w:rsidR="0063383E" w:rsidRDefault="0063383E" w:rsidP="00E24D9D">
      <w:pPr>
        <w:pStyle w:val="NormalWeb"/>
        <w:spacing w:before="0" w:beforeAutospacing="0" w:after="0" w:afterAutospacing="0" w:line="480" w:lineRule="auto"/>
        <w:jc w:val="both"/>
        <w:rPr>
          <w:rFonts w:ascii="Arial" w:hAnsi="Arial" w:cs="Arial"/>
          <w:color w:val="000000" w:themeColor="text1"/>
          <w:lang w:val="en-GB"/>
        </w:rPr>
      </w:pPr>
      <w:r w:rsidRPr="00B94873">
        <w:rPr>
          <w:rFonts w:ascii="Arial" w:hAnsi="Arial" w:cs="Arial"/>
          <w:color w:val="000000" w:themeColor="text1"/>
          <w:lang w:val="en-GB"/>
        </w:rPr>
        <w:t>According to other surveys and registries, hypertension, coronary disease and heart failure are the most common comorbidities in ESC AF registries and are associated with worse outcomes.</w:t>
      </w:r>
      <w:r>
        <w:rPr>
          <w:rFonts w:ascii="Arial" w:hAnsi="Arial" w:cs="Arial"/>
          <w:noProof/>
          <w:color w:val="000000" w:themeColor="text1"/>
          <w:lang w:val="en-GB"/>
        </w:rPr>
        <w:t>[51, 52]</w:t>
      </w:r>
      <w:r>
        <w:rPr>
          <w:rFonts w:ascii="Arial" w:hAnsi="Arial" w:cs="Arial"/>
          <w:color w:val="000000" w:themeColor="text1"/>
          <w:lang w:val="en-GB"/>
        </w:rPr>
        <w:t xml:space="preserve"> </w:t>
      </w:r>
      <w:r w:rsidRPr="00B94873">
        <w:rPr>
          <w:rFonts w:ascii="Arial" w:hAnsi="Arial" w:cs="Arial"/>
          <w:color w:val="000000" w:themeColor="text1"/>
          <w:lang w:val="en-GB"/>
        </w:rPr>
        <w:t xml:space="preserve">Indeed, </w:t>
      </w:r>
      <w:r>
        <w:rPr>
          <w:rFonts w:ascii="Arial" w:hAnsi="Arial" w:cs="Arial"/>
          <w:color w:val="000000" w:themeColor="text1"/>
          <w:lang w:val="en-GB"/>
        </w:rPr>
        <w:t>i</w:t>
      </w:r>
      <w:r w:rsidRPr="00B94873">
        <w:rPr>
          <w:rFonts w:ascii="Arial" w:hAnsi="Arial" w:cs="Arial"/>
          <w:color w:val="000000" w:themeColor="text1"/>
          <w:lang w:val="en-GB"/>
        </w:rPr>
        <w:t>t should be emphasized that AF patients have become progressively more clinically complex</w:t>
      </w:r>
      <w:r>
        <w:rPr>
          <w:rFonts w:ascii="Arial" w:hAnsi="Arial" w:cs="Arial"/>
          <w:color w:val="000000" w:themeColor="text1"/>
          <w:lang w:val="en-GB"/>
        </w:rPr>
        <w:t>, with a significant impact on quality of life,</w:t>
      </w:r>
      <w:r w:rsidRPr="00B94873">
        <w:rPr>
          <w:rFonts w:ascii="Arial" w:hAnsi="Arial" w:cs="Arial"/>
          <w:color w:val="000000" w:themeColor="text1"/>
          <w:lang w:val="en-GB"/>
        </w:rPr>
        <w:t xml:space="preserve"> with a higher risk of adverse events and higher mortality despite the significant increase in oral anticoagulant (OAC) use reported </w:t>
      </w:r>
      <w:r>
        <w:rPr>
          <w:rFonts w:ascii="Arial" w:hAnsi="Arial" w:cs="Arial"/>
          <w:color w:val="000000" w:themeColor="text1"/>
          <w:lang w:val="en-GB"/>
        </w:rPr>
        <w:t xml:space="preserve">over </w:t>
      </w:r>
      <w:r w:rsidRPr="00B94873">
        <w:rPr>
          <w:rFonts w:ascii="Arial" w:hAnsi="Arial" w:cs="Arial"/>
          <w:color w:val="000000" w:themeColor="text1"/>
          <w:lang w:val="en-GB"/>
        </w:rPr>
        <w:t>the</w:t>
      </w:r>
      <w:r>
        <w:rPr>
          <w:rFonts w:ascii="Arial" w:hAnsi="Arial" w:cs="Arial"/>
          <w:color w:val="000000" w:themeColor="text1"/>
          <w:lang w:val="en-GB"/>
        </w:rPr>
        <w:t xml:space="preserve"> last</w:t>
      </w:r>
      <w:r w:rsidRPr="00B94873">
        <w:rPr>
          <w:rFonts w:ascii="Arial" w:hAnsi="Arial" w:cs="Arial"/>
          <w:color w:val="000000" w:themeColor="text1"/>
          <w:lang w:val="en-GB"/>
        </w:rPr>
        <w:t xml:space="preserve"> 10 years between EHS and EORP-AF</w:t>
      </w:r>
      <w:r>
        <w:rPr>
          <w:rFonts w:ascii="Arial" w:hAnsi="Arial" w:cs="Arial"/>
          <w:color w:val="000000" w:themeColor="text1"/>
          <w:lang w:val="en-GB"/>
        </w:rPr>
        <w:t xml:space="preserve">, apparently also modulated by other non-clinical factors </w:t>
      </w:r>
      <w:r>
        <w:rPr>
          <w:rFonts w:ascii="Arial" w:hAnsi="Arial" w:cs="Arial"/>
          <w:noProof/>
          <w:color w:val="000000" w:themeColor="text1"/>
          <w:lang w:val="en-GB"/>
        </w:rPr>
        <w:t>[26, 57, 58]</w:t>
      </w:r>
      <w:r w:rsidRPr="00B94873">
        <w:rPr>
          <w:rFonts w:ascii="Arial" w:hAnsi="Arial" w:cs="Arial"/>
          <w:color w:val="000000" w:themeColor="text1"/>
          <w:lang w:val="en-GB"/>
        </w:rPr>
        <w:t xml:space="preserve"> In line with several previous studies, despite a significant decrease in rates of both thromboembolic and major CV events, the EORP-AF General Long-Term Registry clearly showed a higher rate of CV death and all-cause </w:t>
      </w:r>
      <w:r>
        <w:rPr>
          <w:rFonts w:ascii="Arial" w:hAnsi="Arial" w:cs="Arial"/>
          <w:color w:val="000000" w:themeColor="text1"/>
          <w:lang w:val="en-GB"/>
        </w:rPr>
        <w:t>mortality</w:t>
      </w:r>
      <w:r w:rsidRPr="00B94873">
        <w:rPr>
          <w:rFonts w:ascii="Arial" w:hAnsi="Arial" w:cs="Arial"/>
          <w:color w:val="000000" w:themeColor="text1"/>
          <w:lang w:val="en-GB"/>
        </w:rPr>
        <w:t xml:space="preserve"> after</w:t>
      </w:r>
      <w:r>
        <w:rPr>
          <w:rFonts w:ascii="Arial" w:hAnsi="Arial" w:cs="Arial"/>
          <w:color w:val="000000" w:themeColor="text1"/>
          <w:lang w:val="en-GB"/>
        </w:rPr>
        <w:t xml:space="preserve"> </w:t>
      </w:r>
      <w:r w:rsidRPr="00B94873">
        <w:rPr>
          <w:rFonts w:ascii="Arial" w:hAnsi="Arial" w:cs="Arial"/>
          <w:color w:val="000000" w:themeColor="text1"/>
          <w:lang w:val="en-GB"/>
        </w:rPr>
        <w:t>1-year</w:t>
      </w:r>
      <w:r>
        <w:rPr>
          <w:rFonts w:ascii="Arial" w:hAnsi="Arial" w:cs="Arial"/>
          <w:color w:val="000000" w:themeColor="text1"/>
          <w:lang w:val="en-GB"/>
        </w:rPr>
        <w:t xml:space="preserve"> of</w:t>
      </w:r>
      <w:r w:rsidRPr="00B94873">
        <w:rPr>
          <w:rFonts w:ascii="Arial" w:hAnsi="Arial" w:cs="Arial"/>
          <w:color w:val="000000" w:themeColor="text1"/>
          <w:lang w:val="en-GB"/>
        </w:rPr>
        <w:t xml:space="preserve"> follow-up.</w:t>
      </w:r>
      <w:r>
        <w:rPr>
          <w:rFonts w:ascii="Arial" w:hAnsi="Arial" w:cs="Arial"/>
          <w:noProof/>
          <w:color w:val="000000" w:themeColor="text1"/>
          <w:lang w:val="en-GB"/>
        </w:rPr>
        <w:t>[59-61]</w:t>
      </w:r>
      <w:r w:rsidRPr="00B94873">
        <w:rPr>
          <w:rFonts w:ascii="Arial" w:hAnsi="Arial" w:cs="Arial"/>
          <w:color w:val="000000" w:themeColor="text1"/>
          <w:lang w:val="en-GB"/>
        </w:rPr>
        <w:t xml:space="preserve"> In </w:t>
      </w:r>
      <w:r>
        <w:rPr>
          <w:rFonts w:ascii="Arial" w:hAnsi="Arial" w:cs="Arial"/>
          <w:color w:val="000000" w:themeColor="text1"/>
          <w:lang w:val="en-GB"/>
        </w:rPr>
        <w:t xml:space="preserve">addressing </w:t>
      </w:r>
      <w:r w:rsidRPr="00B94873">
        <w:rPr>
          <w:rFonts w:ascii="Arial" w:hAnsi="Arial" w:cs="Arial"/>
          <w:color w:val="000000" w:themeColor="text1"/>
          <w:lang w:val="en-GB"/>
        </w:rPr>
        <w:t xml:space="preserve">this, an integrated </w:t>
      </w:r>
      <w:r>
        <w:rPr>
          <w:rFonts w:ascii="Arial" w:hAnsi="Arial" w:cs="Arial"/>
          <w:color w:val="000000" w:themeColor="text1"/>
          <w:lang w:val="en-GB"/>
        </w:rPr>
        <w:t xml:space="preserve">approach to the </w:t>
      </w:r>
      <w:r w:rsidRPr="00B94873">
        <w:rPr>
          <w:rFonts w:ascii="Arial" w:hAnsi="Arial" w:cs="Arial"/>
          <w:color w:val="000000" w:themeColor="text1"/>
          <w:lang w:val="en-GB"/>
        </w:rPr>
        <w:t xml:space="preserve">management of patients with AF </w:t>
      </w:r>
      <w:r>
        <w:rPr>
          <w:rFonts w:ascii="Arial" w:hAnsi="Arial" w:cs="Arial"/>
          <w:color w:val="000000" w:themeColor="text1"/>
          <w:lang w:val="en-GB"/>
        </w:rPr>
        <w:t xml:space="preserve">which </w:t>
      </w:r>
      <w:r w:rsidRPr="00B94873">
        <w:rPr>
          <w:rFonts w:ascii="Arial" w:hAnsi="Arial" w:cs="Arial"/>
          <w:color w:val="000000" w:themeColor="text1"/>
          <w:lang w:val="en-GB"/>
        </w:rPr>
        <w:t>focus</w:t>
      </w:r>
      <w:r>
        <w:rPr>
          <w:rFonts w:ascii="Arial" w:hAnsi="Arial" w:cs="Arial"/>
          <w:color w:val="000000" w:themeColor="text1"/>
          <w:lang w:val="en-GB"/>
        </w:rPr>
        <w:t>s</w:t>
      </w:r>
      <w:r w:rsidRPr="00B94873">
        <w:rPr>
          <w:rFonts w:ascii="Arial" w:hAnsi="Arial" w:cs="Arial"/>
          <w:color w:val="000000" w:themeColor="text1"/>
          <w:lang w:val="en-GB"/>
        </w:rPr>
        <w:t>e</w:t>
      </w:r>
      <w:r>
        <w:rPr>
          <w:rFonts w:ascii="Arial" w:hAnsi="Arial" w:cs="Arial"/>
          <w:color w:val="000000" w:themeColor="text1"/>
          <w:lang w:val="en-GB"/>
        </w:rPr>
        <w:t>s</w:t>
      </w:r>
      <w:r w:rsidRPr="00B94873">
        <w:rPr>
          <w:rFonts w:ascii="Arial" w:hAnsi="Arial" w:cs="Arial"/>
          <w:color w:val="000000" w:themeColor="text1"/>
          <w:lang w:val="en-GB"/>
        </w:rPr>
        <w:t xml:space="preserve"> on the reduction of mortality is necessary</w:t>
      </w:r>
      <w:r>
        <w:rPr>
          <w:rFonts w:ascii="Arial" w:hAnsi="Arial" w:cs="Arial"/>
          <w:color w:val="000000" w:themeColor="text1"/>
          <w:lang w:val="en-GB"/>
        </w:rPr>
        <w:t>. S</w:t>
      </w:r>
      <w:r w:rsidRPr="00B94873">
        <w:rPr>
          <w:rFonts w:ascii="Arial" w:hAnsi="Arial" w:cs="Arial"/>
          <w:color w:val="000000" w:themeColor="text1"/>
          <w:lang w:val="en-GB"/>
        </w:rPr>
        <w:t xml:space="preserve">treamlined approaches aimed </w:t>
      </w:r>
      <w:r>
        <w:rPr>
          <w:rFonts w:ascii="Arial" w:hAnsi="Arial" w:cs="Arial"/>
          <w:color w:val="000000" w:themeColor="text1"/>
          <w:lang w:val="en-GB"/>
        </w:rPr>
        <w:t>at</w:t>
      </w:r>
      <w:r w:rsidRPr="00B94873">
        <w:rPr>
          <w:rFonts w:ascii="Arial" w:hAnsi="Arial" w:cs="Arial"/>
          <w:color w:val="000000" w:themeColor="text1"/>
          <w:lang w:val="en-GB"/>
        </w:rPr>
        <w:t xml:space="preserve"> manag</w:t>
      </w:r>
      <w:r>
        <w:rPr>
          <w:rFonts w:ascii="Arial" w:hAnsi="Arial" w:cs="Arial"/>
          <w:color w:val="000000" w:themeColor="text1"/>
          <w:lang w:val="en-GB"/>
        </w:rPr>
        <w:t>ing</w:t>
      </w:r>
      <w:r w:rsidRPr="00B94873">
        <w:rPr>
          <w:rFonts w:ascii="Arial" w:hAnsi="Arial" w:cs="Arial"/>
          <w:color w:val="000000" w:themeColor="text1"/>
          <w:lang w:val="en-GB"/>
        </w:rPr>
        <w:t xml:space="preserve"> patients in a more holistic manner</w:t>
      </w:r>
      <w:r>
        <w:rPr>
          <w:rFonts w:ascii="Arial" w:hAnsi="Arial" w:cs="Arial"/>
          <w:color w:val="000000" w:themeColor="text1"/>
          <w:lang w:val="en-GB"/>
        </w:rPr>
        <w:t>,</w:t>
      </w:r>
      <w:r w:rsidRPr="00B94873">
        <w:rPr>
          <w:rFonts w:ascii="Arial" w:hAnsi="Arial" w:cs="Arial"/>
          <w:color w:val="000000" w:themeColor="text1"/>
          <w:lang w:val="en-GB"/>
        </w:rPr>
        <w:t xml:space="preserve"> such as the A</w:t>
      </w:r>
      <w:r>
        <w:rPr>
          <w:rFonts w:ascii="Arial" w:hAnsi="Arial" w:cs="Arial"/>
          <w:color w:val="000000" w:themeColor="text1"/>
          <w:lang w:val="en-GB"/>
        </w:rPr>
        <w:t xml:space="preserve">trial fibrillation </w:t>
      </w:r>
      <w:r w:rsidRPr="00B94873">
        <w:rPr>
          <w:rFonts w:ascii="Arial" w:hAnsi="Arial" w:cs="Arial"/>
          <w:color w:val="000000" w:themeColor="text1"/>
          <w:lang w:val="en-GB"/>
        </w:rPr>
        <w:t>B</w:t>
      </w:r>
      <w:r>
        <w:rPr>
          <w:rFonts w:ascii="Arial" w:hAnsi="Arial" w:cs="Arial"/>
          <w:color w:val="000000" w:themeColor="text1"/>
          <w:lang w:val="en-GB"/>
        </w:rPr>
        <w:t xml:space="preserve">etter </w:t>
      </w:r>
      <w:r w:rsidRPr="00B94873">
        <w:rPr>
          <w:rFonts w:ascii="Arial" w:hAnsi="Arial" w:cs="Arial"/>
          <w:color w:val="000000" w:themeColor="text1"/>
          <w:lang w:val="en-GB"/>
        </w:rPr>
        <w:t>C</w:t>
      </w:r>
      <w:r>
        <w:rPr>
          <w:rFonts w:ascii="Arial" w:hAnsi="Arial" w:cs="Arial"/>
          <w:color w:val="000000" w:themeColor="text1"/>
          <w:lang w:val="en-GB"/>
        </w:rPr>
        <w:t>are (ABC)</w:t>
      </w:r>
      <w:r w:rsidRPr="00B94873">
        <w:rPr>
          <w:rFonts w:ascii="Arial" w:hAnsi="Arial" w:cs="Arial"/>
          <w:color w:val="000000" w:themeColor="text1"/>
          <w:lang w:val="en-GB"/>
        </w:rPr>
        <w:t xml:space="preserve"> </w:t>
      </w:r>
      <w:r w:rsidRPr="00B94873">
        <w:rPr>
          <w:rFonts w:ascii="Arial" w:hAnsi="Arial" w:cs="Arial"/>
          <w:color w:val="000000" w:themeColor="text1"/>
          <w:lang w:val="en-GB"/>
        </w:rPr>
        <w:lastRenderedPageBreak/>
        <w:t xml:space="preserve">pathway (A, Avoid stroke with anticoagulation; B, Better symptom management with rate or rhythm control; C, Cardiovascular and comorbidity risk management) could </w:t>
      </w:r>
      <w:r>
        <w:rPr>
          <w:rFonts w:ascii="Arial" w:hAnsi="Arial" w:cs="Arial"/>
          <w:color w:val="000000" w:themeColor="text1"/>
          <w:lang w:val="en-GB"/>
        </w:rPr>
        <w:t xml:space="preserve">help to </w:t>
      </w:r>
      <w:r w:rsidRPr="00B94873">
        <w:rPr>
          <w:rFonts w:ascii="Arial" w:hAnsi="Arial" w:cs="Arial"/>
          <w:color w:val="000000" w:themeColor="text1"/>
          <w:lang w:val="en-GB"/>
        </w:rPr>
        <w:t>reduce mortality and hospitalizations.</w:t>
      </w:r>
      <w:r>
        <w:rPr>
          <w:rFonts w:ascii="Arial" w:hAnsi="Arial" w:cs="Arial"/>
          <w:noProof/>
          <w:color w:val="000000" w:themeColor="text1"/>
          <w:lang w:val="en-GB"/>
        </w:rPr>
        <w:t>[62, 63]</w:t>
      </w:r>
      <w:r w:rsidRPr="00B94873">
        <w:rPr>
          <w:rFonts w:ascii="Arial" w:hAnsi="Arial" w:cs="Arial"/>
          <w:color w:val="000000" w:themeColor="text1"/>
          <w:lang w:val="en-GB"/>
        </w:rPr>
        <w:t xml:space="preserve"> </w:t>
      </w:r>
    </w:p>
    <w:p w14:paraId="16E3645F" w14:textId="77777777" w:rsidR="0063383E" w:rsidRPr="00B94873" w:rsidRDefault="0063383E" w:rsidP="00E24D9D">
      <w:pPr>
        <w:pStyle w:val="NormalWeb"/>
        <w:spacing w:before="0" w:beforeAutospacing="0" w:after="0" w:afterAutospacing="0" w:line="480" w:lineRule="auto"/>
        <w:jc w:val="both"/>
        <w:rPr>
          <w:rFonts w:ascii="Arial" w:hAnsi="Arial" w:cs="Arial"/>
          <w:color w:val="000000" w:themeColor="text1"/>
          <w:lang w:val="en-GB"/>
        </w:rPr>
      </w:pPr>
    </w:p>
    <w:p w14:paraId="2C8E4D0E"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b/>
          <w:bCs/>
          <w:color w:val="000000" w:themeColor="text1"/>
          <w:u w:val="single"/>
          <w:lang w:val="en-GB"/>
        </w:rPr>
        <w:t>Atrial fibrillation stroke prevention: strategies and risk stratification</w:t>
      </w:r>
    </w:p>
    <w:p w14:paraId="6A2EE2EE"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One of the greatest contributions made by the EHS and EORP registries is undoubtedly on stroke prevention strategies and risk stratification. During the last 30 years, various risk stratification models have been proposed to assess stroke risk in patients with AF.</w:t>
      </w:r>
      <w:r>
        <w:rPr>
          <w:rFonts w:ascii="Arial" w:hAnsi="Arial" w:cs="Arial"/>
          <w:noProof/>
          <w:color w:val="000000" w:themeColor="text1"/>
          <w:lang w:val="en-GB"/>
        </w:rPr>
        <w:t>[64]</w:t>
      </w:r>
    </w:p>
    <w:p w14:paraId="23C4C44A" w14:textId="77777777" w:rsidR="0063383E" w:rsidRPr="00B94873" w:rsidRDefault="0063383E" w:rsidP="00E24D9D">
      <w:pPr>
        <w:spacing w:line="480" w:lineRule="auto"/>
        <w:jc w:val="both"/>
        <w:rPr>
          <w:rFonts w:ascii="Arial" w:hAnsi="Arial" w:cs="Arial"/>
          <w:color w:val="000000" w:themeColor="text1"/>
          <w:lang w:val="en-GB"/>
        </w:rPr>
      </w:pPr>
      <w:r>
        <w:rPr>
          <w:rFonts w:ascii="Arial" w:hAnsi="Arial" w:cs="Arial"/>
          <w:color w:val="000000" w:themeColor="text1"/>
          <w:lang w:val="en-GB"/>
        </w:rPr>
        <w:t>The</w:t>
      </w:r>
      <w:r w:rsidRPr="00B94873">
        <w:rPr>
          <w:rFonts w:ascii="Arial" w:hAnsi="Arial" w:cs="Arial"/>
          <w:color w:val="000000" w:themeColor="text1"/>
          <w:lang w:val="en-GB"/>
        </w:rPr>
        <w:t xml:space="preserve"> first clinical risk stratification schemes used to predict stroke or thromboembolic events in AF patients, </w:t>
      </w:r>
      <w:r>
        <w:rPr>
          <w:rFonts w:ascii="Arial" w:hAnsi="Arial" w:cs="Arial"/>
          <w:color w:val="000000" w:themeColor="text1"/>
          <w:lang w:val="en-GB"/>
        </w:rPr>
        <w:t>were</w:t>
      </w:r>
      <w:r w:rsidRPr="00B94873">
        <w:rPr>
          <w:rFonts w:ascii="Arial" w:hAnsi="Arial" w:cs="Arial"/>
          <w:color w:val="000000" w:themeColor="text1"/>
          <w:lang w:val="en-GB"/>
        </w:rPr>
        <w:t xml:space="preserve"> based on analysis of non-vitamin K antagonist trial arms or cohort studies such as the Framingham study</w:t>
      </w:r>
      <w:r>
        <w:rPr>
          <w:rFonts w:ascii="Arial" w:hAnsi="Arial" w:cs="Arial"/>
          <w:color w:val="000000" w:themeColor="text1"/>
          <w:lang w:val="en-GB"/>
        </w:rPr>
        <w:t xml:space="preserve"> but were</w:t>
      </w:r>
      <w:r w:rsidRPr="00B94873">
        <w:rPr>
          <w:rFonts w:ascii="Arial" w:hAnsi="Arial" w:cs="Arial"/>
          <w:color w:val="000000" w:themeColor="text1"/>
          <w:lang w:val="en-GB"/>
        </w:rPr>
        <w:t xml:space="preserve"> limit</w:t>
      </w:r>
      <w:r>
        <w:rPr>
          <w:rFonts w:ascii="Arial" w:hAnsi="Arial" w:cs="Arial"/>
          <w:color w:val="000000" w:themeColor="text1"/>
          <w:lang w:val="en-GB"/>
        </w:rPr>
        <w:t>ed by the</w:t>
      </w:r>
      <w:r w:rsidRPr="00B94873">
        <w:rPr>
          <w:rFonts w:ascii="Arial" w:hAnsi="Arial" w:cs="Arial"/>
          <w:color w:val="000000" w:themeColor="text1"/>
          <w:lang w:val="en-GB"/>
        </w:rPr>
        <w:t xml:space="preserve"> potential </w:t>
      </w:r>
      <w:r>
        <w:rPr>
          <w:rFonts w:ascii="Arial" w:hAnsi="Arial" w:cs="Arial"/>
          <w:color w:val="000000" w:themeColor="text1"/>
          <w:lang w:val="en-GB"/>
        </w:rPr>
        <w:t xml:space="preserve">number of </w:t>
      </w:r>
      <w:r w:rsidRPr="00B94873">
        <w:rPr>
          <w:rFonts w:ascii="Arial" w:hAnsi="Arial" w:cs="Arial"/>
          <w:color w:val="000000" w:themeColor="text1"/>
          <w:lang w:val="en-GB"/>
        </w:rPr>
        <w:t>risk factors.</w:t>
      </w:r>
      <w:r>
        <w:rPr>
          <w:rFonts w:ascii="Arial" w:hAnsi="Arial" w:cs="Arial"/>
          <w:noProof/>
          <w:color w:val="000000" w:themeColor="text1"/>
          <w:lang w:val="en-GB"/>
        </w:rPr>
        <w:t>[65-67]</w:t>
      </w:r>
    </w:p>
    <w:p w14:paraId="4EAB2013"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Between 2009 and 2010, emergent data on different risk factors not integrated into the CHADS</w:t>
      </w:r>
      <w:r w:rsidRPr="00B94873">
        <w:rPr>
          <w:rFonts w:ascii="Arial" w:hAnsi="Arial" w:cs="Arial"/>
          <w:color w:val="000000" w:themeColor="text1"/>
          <w:vertAlign w:val="subscript"/>
          <w:lang w:val="en-GB"/>
        </w:rPr>
        <w:t>2</w:t>
      </w:r>
      <w:r w:rsidRPr="00B94873">
        <w:rPr>
          <w:rFonts w:ascii="Arial" w:hAnsi="Arial" w:cs="Arial"/>
          <w:color w:val="000000" w:themeColor="text1"/>
          <w:lang w:val="en-GB"/>
        </w:rPr>
        <w:t xml:space="preserve"> score and the need to identify truly low risk patients, prompted the development of a novel </w:t>
      </w:r>
      <w:r>
        <w:rPr>
          <w:rFonts w:ascii="Arial" w:hAnsi="Arial" w:cs="Arial"/>
          <w:color w:val="000000" w:themeColor="text1"/>
          <w:lang w:val="en-GB"/>
        </w:rPr>
        <w:t xml:space="preserve">stroke </w:t>
      </w:r>
      <w:r w:rsidRPr="00B94873">
        <w:rPr>
          <w:rFonts w:ascii="Arial" w:hAnsi="Arial" w:cs="Arial"/>
          <w:color w:val="000000" w:themeColor="text1"/>
          <w:lang w:val="en-GB"/>
        </w:rPr>
        <w:t>risk stratification schema, the CHA</w:t>
      </w:r>
      <w:r w:rsidRPr="00B94873">
        <w:rPr>
          <w:rFonts w:ascii="Arial" w:hAnsi="Arial" w:cs="Arial"/>
          <w:color w:val="000000" w:themeColor="text1"/>
          <w:vertAlign w:val="subscript"/>
          <w:lang w:val="en-GB"/>
        </w:rPr>
        <w:t>2</w:t>
      </w:r>
      <w:r w:rsidRPr="00B94873">
        <w:rPr>
          <w:rFonts w:ascii="Arial" w:hAnsi="Arial" w:cs="Arial"/>
          <w:color w:val="000000" w:themeColor="text1"/>
          <w:lang w:val="en-GB"/>
        </w:rPr>
        <w:t>DS</w:t>
      </w:r>
      <w:r w:rsidRPr="00B94873">
        <w:rPr>
          <w:rFonts w:ascii="Arial" w:hAnsi="Arial" w:cs="Arial"/>
          <w:color w:val="000000" w:themeColor="text1"/>
          <w:vertAlign w:val="subscript"/>
          <w:lang w:val="en-GB"/>
        </w:rPr>
        <w:t>2</w:t>
      </w:r>
      <w:r w:rsidRPr="00684CD7">
        <w:rPr>
          <w:rFonts w:ascii="Arial" w:hAnsi="Arial" w:cs="Arial"/>
          <w:color w:val="000000" w:themeColor="text1"/>
          <w:lang w:val="en-GB"/>
        </w:rPr>
        <w:t>-</w:t>
      </w:r>
      <w:r w:rsidRPr="00B94873">
        <w:rPr>
          <w:rFonts w:ascii="Arial" w:hAnsi="Arial" w:cs="Arial"/>
          <w:color w:val="000000" w:themeColor="text1"/>
          <w:lang w:val="en-GB"/>
        </w:rPr>
        <w:t xml:space="preserve">VASc score, </w:t>
      </w:r>
      <w:r>
        <w:rPr>
          <w:rFonts w:ascii="Arial" w:hAnsi="Arial" w:cs="Arial"/>
          <w:color w:val="000000" w:themeColor="text1"/>
          <w:lang w:val="en-GB"/>
        </w:rPr>
        <w:t>which</w:t>
      </w:r>
      <w:r w:rsidRPr="00B94873">
        <w:rPr>
          <w:rFonts w:ascii="Arial" w:hAnsi="Arial" w:cs="Arial"/>
          <w:color w:val="000000" w:themeColor="text1"/>
          <w:lang w:val="en-GB"/>
        </w:rPr>
        <w:t xml:space="preserve"> was </w:t>
      </w:r>
      <w:r>
        <w:rPr>
          <w:rFonts w:ascii="Arial" w:hAnsi="Arial" w:cs="Arial"/>
          <w:color w:val="000000" w:themeColor="text1"/>
          <w:lang w:val="en-GB"/>
        </w:rPr>
        <w:t xml:space="preserve">derived and </w:t>
      </w:r>
      <w:r w:rsidRPr="00B94873">
        <w:rPr>
          <w:rFonts w:ascii="Arial" w:hAnsi="Arial" w:cs="Arial"/>
          <w:color w:val="000000" w:themeColor="text1"/>
          <w:lang w:val="en-GB"/>
        </w:rPr>
        <w:t xml:space="preserve">validated in the real world cohort of the EHS. </w:t>
      </w:r>
      <w:r>
        <w:rPr>
          <w:rFonts w:ascii="Arial" w:hAnsi="Arial" w:cs="Arial"/>
          <w:noProof/>
          <w:color w:val="000000" w:themeColor="text1"/>
          <w:lang w:val="en-GB"/>
        </w:rPr>
        <w:t>[68]</w:t>
      </w:r>
      <w:r w:rsidRPr="00B94873">
        <w:rPr>
          <w:rFonts w:ascii="Arial" w:hAnsi="Arial" w:cs="Arial"/>
          <w:color w:val="000000" w:themeColor="text1"/>
          <w:lang w:val="en-GB"/>
        </w:rPr>
        <w:t xml:space="preserve"> </w:t>
      </w:r>
    </w:p>
    <w:p w14:paraId="15FA66E6"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The CHA</w:t>
      </w:r>
      <w:r w:rsidRPr="00B94873">
        <w:rPr>
          <w:rFonts w:ascii="Arial" w:hAnsi="Arial" w:cs="Arial"/>
          <w:color w:val="000000" w:themeColor="text1"/>
          <w:vertAlign w:val="subscript"/>
          <w:lang w:val="en-GB"/>
        </w:rPr>
        <w:t>2</w:t>
      </w:r>
      <w:r w:rsidRPr="00B94873">
        <w:rPr>
          <w:rFonts w:ascii="Arial" w:hAnsi="Arial" w:cs="Arial"/>
          <w:color w:val="000000" w:themeColor="text1"/>
          <w:lang w:val="en-GB"/>
        </w:rPr>
        <w:t>DS</w:t>
      </w:r>
      <w:r w:rsidRPr="00B94873">
        <w:rPr>
          <w:rFonts w:ascii="Arial" w:hAnsi="Arial" w:cs="Arial"/>
          <w:color w:val="000000" w:themeColor="text1"/>
          <w:vertAlign w:val="subscript"/>
          <w:lang w:val="en-GB"/>
        </w:rPr>
        <w:t>2</w:t>
      </w:r>
      <w:r w:rsidRPr="00CC0673">
        <w:rPr>
          <w:rFonts w:ascii="Arial" w:hAnsi="Arial" w:cs="Arial"/>
          <w:color w:val="000000" w:themeColor="text1"/>
          <w:lang w:val="en-GB"/>
        </w:rPr>
        <w:t>-</w:t>
      </w:r>
      <w:r w:rsidRPr="00B94873">
        <w:rPr>
          <w:rFonts w:ascii="Arial" w:hAnsi="Arial" w:cs="Arial"/>
          <w:color w:val="000000" w:themeColor="text1"/>
          <w:lang w:val="en-GB"/>
        </w:rPr>
        <w:t xml:space="preserve">VASc score was able to better classify the low-risk patients as being only 9.2% compared to the Framingham scheme that categorized almost 50% as low-risk. This allowed the clinicians to spare low-risk patients who have stroke rates of 1% or lower per year </w:t>
      </w:r>
      <w:r>
        <w:rPr>
          <w:rFonts w:ascii="Arial" w:hAnsi="Arial" w:cs="Arial"/>
          <w:color w:val="000000" w:themeColor="text1"/>
          <w:lang w:val="en-GB"/>
        </w:rPr>
        <w:t xml:space="preserve">exposure to </w:t>
      </w:r>
      <w:r w:rsidRPr="00B94873">
        <w:rPr>
          <w:rFonts w:ascii="Arial" w:hAnsi="Arial" w:cs="Arial"/>
          <w:color w:val="000000" w:themeColor="text1"/>
          <w:lang w:val="en-GB"/>
        </w:rPr>
        <w:t xml:space="preserve">antithrombotic treatment </w:t>
      </w:r>
      <w:r>
        <w:rPr>
          <w:rFonts w:ascii="Arial" w:hAnsi="Arial" w:cs="Arial"/>
          <w:color w:val="000000" w:themeColor="text1"/>
          <w:lang w:val="en-GB"/>
        </w:rPr>
        <w:t>and the associated increased risk of bleeding.</w:t>
      </w:r>
      <w:r>
        <w:rPr>
          <w:rFonts w:ascii="Arial" w:hAnsi="Arial" w:cs="Arial"/>
          <w:noProof/>
          <w:color w:val="000000" w:themeColor="text1"/>
          <w:lang w:val="en-GB"/>
        </w:rPr>
        <w:t>[68]</w:t>
      </w:r>
    </w:p>
    <w:p w14:paraId="424A51E8" w14:textId="77777777" w:rsidR="0063383E" w:rsidRPr="00B94873" w:rsidRDefault="0063383E" w:rsidP="00E24D9D">
      <w:pPr>
        <w:spacing w:line="480" w:lineRule="auto"/>
        <w:jc w:val="both"/>
        <w:rPr>
          <w:rFonts w:ascii="Arial" w:hAnsi="Arial" w:cs="Arial"/>
          <w:color w:val="000000" w:themeColor="text1"/>
          <w:lang w:val="en-GB"/>
        </w:rPr>
      </w:pPr>
      <w:r>
        <w:rPr>
          <w:rFonts w:ascii="Arial" w:hAnsi="Arial" w:cs="Arial"/>
          <w:color w:val="000000" w:themeColor="text1"/>
          <w:lang w:val="en-GB"/>
        </w:rPr>
        <w:t>T</w:t>
      </w:r>
      <w:r w:rsidRPr="00B94873">
        <w:rPr>
          <w:rFonts w:ascii="Arial" w:hAnsi="Arial" w:cs="Arial"/>
          <w:color w:val="000000" w:themeColor="text1"/>
          <w:lang w:val="en-GB"/>
        </w:rPr>
        <w:t xml:space="preserve">he introduction of </w:t>
      </w:r>
      <w:r>
        <w:rPr>
          <w:rFonts w:ascii="Arial" w:hAnsi="Arial" w:cs="Arial"/>
          <w:color w:val="000000" w:themeColor="text1"/>
          <w:lang w:val="en-GB"/>
        </w:rPr>
        <w:t xml:space="preserve">the </w:t>
      </w:r>
      <w:r w:rsidRPr="00B94873">
        <w:rPr>
          <w:rFonts w:ascii="Arial" w:hAnsi="Arial" w:cs="Arial"/>
          <w:color w:val="000000" w:themeColor="text1"/>
          <w:lang w:val="en-GB"/>
        </w:rPr>
        <w:t>CHA</w:t>
      </w:r>
      <w:r w:rsidRPr="00B94873">
        <w:rPr>
          <w:rFonts w:ascii="Arial" w:hAnsi="Arial" w:cs="Arial"/>
          <w:color w:val="000000" w:themeColor="text1"/>
          <w:vertAlign w:val="subscript"/>
          <w:lang w:val="en-GB"/>
        </w:rPr>
        <w:t>2</w:t>
      </w:r>
      <w:r w:rsidRPr="00B94873">
        <w:rPr>
          <w:rFonts w:ascii="Arial" w:hAnsi="Arial" w:cs="Arial"/>
          <w:color w:val="000000" w:themeColor="text1"/>
          <w:lang w:val="en-GB"/>
        </w:rPr>
        <w:t>DS</w:t>
      </w:r>
      <w:r w:rsidRPr="00B94873">
        <w:rPr>
          <w:rFonts w:ascii="Arial" w:hAnsi="Arial" w:cs="Arial"/>
          <w:color w:val="000000" w:themeColor="text1"/>
          <w:vertAlign w:val="subscript"/>
          <w:lang w:val="en-GB"/>
        </w:rPr>
        <w:t>2</w:t>
      </w:r>
      <w:r w:rsidRPr="00CC0673">
        <w:rPr>
          <w:rFonts w:ascii="Arial" w:hAnsi="Arial" w:cs="Arial"/>
          <w:color w:val="000000" w:themeColor="text1"/>
          <w:lang w:val="en-GB"/>
        </w:rPr>
        <w:t>-</w:t>
      </w:r>
      <w:r w:rsidRPr="00B94873">
        <w:rPr>
          <w:rFonts w:ascii="Arial" w:hAnsi="Arial" w:cs="Arial"/>
          <w:color w:val="000000" w:themeColor="text1"/>
          <w:lang w:val="en-GB"/>
        </w:rPr>
        <w:t>VASc score</w:t>
      </w:r>
      <w:r>
        <w:rPr>
          <w:rFonts w:ascii="Arial" w:hAnsi="Arial" w:cs="Arial"/>
          <w:color w:val="000000" w:themeColor="text1"/>
          <w:lang w:val="en-GB"/>
        </w:rPr>
        <w:t xml:space="preserve">, </w:t>
      </w:r>
      <w:r w:rsidRPr="00B94873">
        <w:rPr>
          <w:rFonts w:ascii="Arial" w:hAnsi="Arial" w:cs="Arial"/>
          <w:color w:val="000000" w:themeColor="text1"/>
          <w:lang w:val="en-GB"/>
        </w:rPr>
        <w:t>a well-validated tool</w:t>
      </w:r>
      <w:r>
        <w:rPr>
          <w:rFonts w:ascii="Arial" w:hAnsi="Arial" w:cs="Arial"/>
          <w:color w:val="000000" w:themeColor="text1"/>
          <w:lang w:val="en-GB"/>
        </w:rPr>
        <w:t>,</w:t>
      </w:r>
      <w:r w:rsidRPr="00B94873">
        <w:rPr>
          <w:rFonts w:ascii="Arial" w:hAnsi="Arial" w:cs="Arial"/>
          <w:color w:val="000000" w:themeColor="text1"/>
          <w:lang w:val="en-GB"/>
        </w:rPr>
        <w:t xml:space="preserve"> </w:t>
      </w:r>
      <w:r>
        <w:rPr>
          <w:rFonts w:ascii="Arial" w:hAnsi="Arial" w:cs="Arial"/>
          <w:color w:val="000000" w:themeColor="text1"/>
          <w:lang w:val="en-GB"/>
        </w:rPr>
        <w:t>h</w:t>
      </w:r>
      <w:r w:rsidRPr="00B94873">
        <w:rPr>
          <w:rFonts w:ascii="Arial" w:hAnsi="Arial" w:cs="Arial"/>
          <w:color w:val="000000" w:themeColor="text1"/>
          <w:lang w:val="en-GB"/>
        </w:rPr>
        <w:t xml:space="preserve">as improved the approach to stroke risk stratification in patients with AF and is currently the most recommended </w:t>
      </w:r>
      <w:r>
        <w:rPr>
          <w:rFonts w:ascii="Arial" w:hAnsi="Arial" w:cs="Arial"/>
          <w:color w:val="000000" w:themeColor="text1"/>
          <w:lang w:val="en-GB"/>
        </w:rPr>
        <w:t xml:space="preserve">stroke risk </w:t>
      </w:r>
      <w:r w:rsidRPr="00B94873">
        <w:rPr>
          <w:rFonts w:ascii="Arial" w:hAnsi="Arial" w:cs="Arial"/>
          <w:color w:val="000000" w:themeColor="text1"/>
          <w:lang w:val="en-GB"/>
        </w:rPr>
        <w:t>schem</w:t>
      </w:r>
      <w:r>
        <w:rPr>
          <w:rFonts w:ascii="Arial" w:hAnsi="Arial" w:cs="Arial"/>
          <w:color w:val="000000" w:themeColor="text1"/>
          <w:lang w:val="en-GB"/>
        </w:rPr>
        <w:t>a</w:t>
      </w:r>
      <w:r w:rsidRPr="00B94873">
        <w:rPr>
          <w:rFonts w:ascii="Arial" w:hAnsi="Arial" w:cs="Arial"/>
          <w:color w:val="000000" w:themeColor="text1"/>
          <w:lang w:val="en-GB"/>
        </w:rPr>
        <w:t xml:space="preserve"> in most </w:t>
      </w:r>
      <w:r>
        <w:rPr>
          <w:rFonts w:ascii="Arial" w:hAnsi="Arial" w:cs="Arial"/>
          <w:color w:val="000000" w:themeColor="text1"/>
          <w:lang w:val="en-GB"/>
        </w:rPr>
        <w:t>major international g</w:t>
      </w:r>
      <w:r w:rsidRPr="00B94873">
        <w:rPr>
          <w:rFonts w:ascii="Arial" w:hAnsi="Arial" w:cs="Arial"/>
          <w:color w:val="000000" w:themeColor="text1"/>
          <w:lang w:val="en-GB"/>
        </w:rPr>
        <w:t xml:space="preserve">uidelines. </w:t>
      </w:r>
    </w:p>
    <w:p w14:paraId="38350EA5"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lastRenderedPageBreak/>
        <w:t>Similarly, the Euro Heart Survey AF cohort</w:t>
      </w:r>
      <w:r>
        <w:rPr>
          <w:rFonts w:ascii="Arial" w:hAnsi="Arial" w:cs="Arial"/>
          <w:color w:val="000000" w:themeColor="text1"/>
          <w:lang w:val="en-GB"/>
        </w:rPr>
        <w:t xml:space="preserve"> was used to develop a</w:t>
      </w:r>
      <w:r w:rsidRPr="00B94873">
        <w:rPr>
          <w:rFonts w:ascii="Arial" w:hAnsi="Arial" w:cs="Arial"/>
          <w:color w:val="000000" w:themeColor="text1"/>
          <w:lang w:val="en-GB"/>
        </w:rPr>
        <w:t xml:space="preserve"> </w:t>
      </w:r>
      <w:r>
        <w:rPr>
          <w:rFonts w:ascii="Arial" w:hAnsi="Arial" w:cs="Arial"/>
          <w:color w:val="000000" w:themeColor="text1"/>
          <w:lang w:val="en-GB"/>
        </w:rPr>
        <w:t xml:space="preserve">contemporary </w:t>
      </w:r>
      <w:r w:rsidRPr="00B94873">
        <w:rPr>
          <w:rFonts w:ascii="Arial" w:hAnsi="Arial" w:cs="Arial"/>
          <w:color w:val="000000" w:themeColor="text1"/>
          <w:lang w:val="en-GB"/>
        </w:rPr>
        <w:t>bleeding risk score</w:t>
      </w:r>
      <w:r>
        <w:rPr>
          <w:rFonts w:ascii="Arial" w:hAnsi="Arial" w:cs="Arial"/>
          <w:color w:val="000000" w:themeColor="text1"/>
          <w:lang w:val="en-GB"/>
        </w:rPr>
        <w:t>,</w:t>
      </w:r>
      <w:r w:rsidRPr="00B94873">
        <w:rPr>
          <w:rFonts w:ascii="Arial" w:hAnsi="Arial" w:cs="Arial"/>
          <w:color w:val="000000" w:themeColor="text1"/>
          <w:lang w:val="en-GB"/>
        </w:rPr>
        <w:t xml:space="preserve"> </w:t>
      </w:r>
      <w:r>
        <w:rPr>
          <w:rFonts w:ascii="Arial" w:hAnsi="Arial" w:cs="Arial"/>
          <w:color w:val="000000" w:themeColor="text1"/>
          <w:lang w:val="en-GB"/>
        </w:rPr>
        <w:t>nam</w:t>
      </w:r>
      <w:r w:rsidRPr="00B94873">
        <w:rPr>
          <w:rFonts w:ascii="Arial" w:hAnsi="Arial" w:cs="Arial"/>
          <w:color w:val="000000" w:themeColor="text1"/>
          <w:lang w:val="en-GB"/>
        </w:rPr>
        <w:t>ed HAS-BLED (Hypertension, Abnormal renal/liver function, Stroke, Bleeding history or predisposition, Labile international normalized ratio, Elderly (&gt;65 years), Drugs/alcohol concomitantly).</w:t>
      </w:r>
      <w:r>
        <w:rPr>
          <w:rFonts w:ascii="Arial" w:hAnsi="Arial" w:cs="Arial"/>
          <w:noProof/>
          <w:color w:val="000000" w:themeColor="text1"/>
          <w:lang w:val="en-GB"/>
        </w:rPr>
        <w:t>[69]</w:t>
      </w:r>
      <w:r w:rsidRPr="00B94873">
        <w:rPr>
          <w:rFonts w:ascii="Arial" w:hAnsi="Arial" w:cs="Arial"/>
          <w:color w:val="000000" w:themeColor="text1"/>
          <w:lang w:val="en-GB"/>
        </w:rPr>
        <w:t xml:space="preserve"> </w:t>
      </w:r>
      <w:r w:rsidRPr="00684CD7">
        <w:rPr>
          <w:rFonts w:ascii="Arial" w:hAnsi="Arial" w:cs="Arial"/>
          <w:color w:val="000000" w:themeColor="text1"/>
          <w:lang w:val="en-GB"/>
        </w:rPr>
        <w:t xml:space="preserve">Based on patients in the </w:t>
      </w:r>
      <w:r>
        <w:rPr>
          <w:rFonts w:ascii="Arial" w:hAnsi="Arial" w:cs="Arial"/>
          <w:color w:val="000000" w:themeColor="text1"/>
          <w:lang w:val="en-GB"/>
        </w:rPr>
        <w:t xml:space="preserve">EHS, the </w:t>
      </w:r>
      <w:r w:rsidRPr="00B94873">
        <w:rPr>
          <w:rFonts w:ascii="Arial" w:hAnsi="Arial" w:cs="Arial"/>
          <w:color w:val="000000" w:themeColor="text1"/>
          <w:lang w:val="en-GB"/>
        </w:rPr>
        <w:t xml:space="preserve">score showed a good predictive accuracy </w:t>
      </w:r>
      <w:r>
        <w:rPr>
          <w:rFonts w:ascii="Arial" w:hAnsi="Arial" w:cs="Arial"/>
          <w:color w:val="000000" w:themeColor="text1"/>
          <w:lang w:val="en-GB"/>
        </w:rPr>
        <w:t xml:space="preserve">for major bleeding </w:t>
      </w:r>
      <w:r w:rsidRPr="00B94873">
        <w:rPr>
          <w:rFonts w:ascii="Arial" w:hAnsi="Arial" w:cs="Arial"/>
          <w:color w:val="000000" w:themeColor="text1"/>
          <w:lang w:val="en-GB"/>
        </w:rPr>
        <w:t xml:space="preserve">in the overall cohort (C-statistic 0.72) and it is today the most </w:t>
      </w:r>
      <w:r>
        <w:rPr>
          <w:rFonts w:ascii="Arial" w:hAnsi="Arial" w:cs="Arial"/>
          <w:color w:val="000000" w:themeColor="text1"/>
          <w:lang w:val="en-GB"/>
        </w:rPr>
        <w:t xml:space="preserve">reliable and </w:t>
      </w:r>
      <w:r w:rsidRPr="00B94873">
        <w:rPr>
          <w:rFonts w:ascii="Arial" w:hAnsi="Arial" w:cs="Arial"/>
          <w:color w:val="000000" w:themeColor="text1"/>
          <w:lang w:val="en-GB"/>
        </w:rPr>
        <w:t>recommended scheme for estimating the risk of bleeding in AF patients.</w:t>
      </w:r>
      <w:r>
        <w:rPr>
          <w:rFonts w:ascii="Arial" w:hAnsi="Arial" w:cs="Arial"/>
          <w:noProof/>
          <w:color w:val="000000" w:themeColor="text1"/>
          <w:lang w:val="en-GB"/>
        </w:rPr>
        <w:t>[70]</w:t>
      </w:r>
    </w:p>
    <w:p w14:paraId="667F8FDA"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Schem</w:t>
      </w:r>
      <w:r>
        <w:rPr>
          <w:rFonts w:ascii="Arial" w:hAnsi="Arial" w:cs="Arial"/>
          <w:color w:val="000000" w:themeColor="text1"/>
          <w:lang w:val="en-GB"/>
        </w:rPr>
        <w:t>a</w:t>
      </w:r>
      <w:r w:rsidRPr="00B94873">
        <w:rPr>
          <w:rFonts w:ascii="Arial" w:hAnsi="Arial" w:cs="Arial"/>
          <w:color w:val="000000" w:themeColor="text1"/>
          <w:lang w:val="en-GB"/>
        </w:rPr>
        <w:t xml:space="preserve">s for thrombotic and bleeding risk assessment share some risk factors and this </w:t>
      </w:r>
      <w:r>
        <w:rPr>
          <w:rFonts w:ascii="Arial" w:hAnsi="Arial" w:cs="Arial"/>
          <w:color w:val="000000" w:themeColor="text1"/>
          <w:lang w:val="en-GB"/>
        </w:rPr>
        <w:t>needs to</w:t>
      </w:r>
      <w:r w:rsidRPr="00B94873">
        <w:rPr>
          <w:rFonts w:ascii="Arial" w:hAnsi="Arial" w:cs="Arial"/>
          <w:color w:val="000000" w:themeColor="text1"/>
          <w:lang w:val="en-GB"/>
        </w:rPr>
        <w:t xml:space="preserve"> be taken into account in clinical practice. </w:t>
      </w:r>
      <w:r>
        <w:rPr>
          <w:rFonts w:ascii="Arial" w:hAnsi="Arial" w:cs="Arial"/>
          <w:color w:val="000000" w:themeColor="text1"/>
          <w:lang w:val="en-GB"/>
        </w:rPr>
        <w:t>An</w:t>
      </w:r>
      <w:r w:rsidRPr="00B94873">
        <w:rPr>
          <w:rFonts w:ascii="Arial" w:hAnsi="Arial" w:cs="Arial"/>
          <w:color w:val="000000" w:themeColor="text1"/>
          <w:lang w:val="en-GB"/>
        </w:rPr>
        <w:t xml:space="preserve"> analysis of the EHS, </w:t>
      </w:r>
      <w:r>
        <w:rPr>
          <w:rFonts w:ascii="Arial" w:hAnsi="Arial" w:cs="Arial"/>
          <w:color w:val="000000" w:themeColor="text1"/>
          <w:lang w:val="en-GB"/>
        </w:rPr>
        <w:t xml:space="preserve">evaluated </w:t>
      </w:r>
      <w:r w:rsidRPr="00B94873">
        <w:rPr>
          <w:rFonts w:ascii="Arial" w:hAnsi="Arial" w:cs="Arial"/>
          <w:color w:val="000000" w:themeColor="text1"/>
          <w:lang w:val="en-GB"/>
        </w:rPr>
        <w:t>stroke and bleeding risk co-distribution</w:t>
      </w:r>
      <w:r>
        <w:rPr>
          <w:rFonts w:ascii="Arial" w:hAnsi="Arial" w:cs="Arial"/>
          <w:color w:val="000000" w:themeColor="text1"/>
          <w:lang w:val="en-GB"/>
        </w:rPr>
        <w:t>,</w:t>
      </w:r>
      <w:r w:rsidRPr="00B94873">
        <w:rPr>
          <w:rFonts w:ascii="Arial" w:hAnsi="Arial" w:cs="Arial"/>
          <w:color w:val="000000" w:themeColor="text1"/>
          <w:lang w:val="en-GB"/>
        </w:rPr>
        <w:t xml:space="preserve"> </w:t>
      </w:r>
      <w:r>
        <w:rPr>
          <w:rFonts w:ascii="Arial" w:hAnsi="Arial" w:cs="Arial"/>
          <w:color w:val="000000" w:themeColor="text1"/>
          <w:lang w:val="en-GB"/>
        </w:rPr>
        <w:t>and w</w:t>
      </w:r>
      <w:r w:rsidRPr="00B94873">
        <w:rPr>
          <w:rFonts w:ascii="Arial" w:hAnsi="Arial" w:cs="Arial"/>
          <w:color w:val="000000" w:themeColor="text1"/>
          <w:lang w:val="en-GB"/>
        </w:rPr>
        <w:t xml:space="preserve">hilst the available cardioembolic and bleeding risk classifications </w:t>
      </w:r>
      <w:r>
        <w:rPr>
          <w:rFonts w:ascii="Arial" w:hAnsi="Arial" w:cs="Arial"/>
          <w:color w:val="000000" w:themeColor="text1"/>
          <w:lang w:val="en-GB"/>
        </w:rPr>
        <w:t>were</w:t>
      </w:r>
      <w:r w:rsidRPr="00B94873">
        <w:rPr>
          <w:rFonts w:ascii="Arial" w:hAnsi="Arial" w:cs="Arial"/>
          <w:color w:val="000000" w:themeColor="text1"/>
          <w:lang w:val="en-GB"/>
        </w:rPr>
        <w:t xml:space="preserve"> significantly correlated, they </w:t>
      </w:r>
      <w:r>
        <w:rPr>
          <w:rFonts w:ascii="Arial" w:hAnsi="Arial" w:cs="Arial"/>
          <w:color w:val="000000" w:themeColor="text1"/>
          <w:lang w:val="en-GB"/>
        </w:rPr>
        <w:t>were</w:t>
      </w:r>
      <w:r w:rsidRPr="00B94873">
        <w:rPr>
          <w:rFonts w:ascii="Arial" w:hAnsi="Arial" w:cs="Arial"/>
          <w:color w:val="000000" w:themeColor="text1"/>
          <w:lang w:val="en-GB"/>
        </w:rPr>
        <w:t xml:space="preserve"> not </w:t>
      </w:r>
      <w:r>
        <w:rPr>
          <w:rFonts w:ascii="Arial" w:hAnsi="Arial" w:cs="Arial"/>
          <w:color w:val="000000" w:themeColor="text1"/>
          <w:lang w:val="en-GB"/>
        </w:rPr>
        <w:t>inter</w:t>
      </w:r>
      <w:r w:rsidRPr="00B94873">
        <w:rPr>
          <w:rFonts w:ascii="Arial" w:hAnsi="Arial" w:cs="Arial"/>
          <w:color w:val="000000" w:themeColor="text1"/>
          <w:lang w:val="en-GB"/>
        </w:rPr>
        <w:t>changeable in th</w:t>
      </w:r>
      <w:r>
        <w:rPr>
          <w:rFonts w:ascii="Arial" w:hAnsi="Arial" w:cs="Arial"/>
          <w:color w:val="000000" w:themeColor="text1"/>
          <w:lang w:val="en-GB"/>
        </w:rPr>
        <w:t>is</w:t>
      </w:r>
      <w:r w:rsidRPr="00B94873">
        <w:rPr>
          <w:rFonts w:ascii="Arial" w:hAnsi="Arial" w:cs="Arial"/>
          <w:color w:val="000000" w:themeColor="text1"/>
          <w:lang w:val="en-GB"/>
        </w:rPr>
        <w:t xml:space="preserve"> </w:t>
      </w:r>
      <w:r>
        <w:rPr>
          <w:rFonts w:ascii="Arial" w:hAnsi="Arial" w:cs="Arial"/>
          <w:color w:val="000000" w:themeColor="text1"/>
          <w:lang w:val="en-GB"/>
        </w:rPr>
        <w:t>observational cohort of</w:t>
      </w:r>
      <w:r w:rsidRPr="00B94873">
        <w:rPr>
          <w:rFonts w:ascii="Arial" w:hAnsi="Arial" w:cs="Arial"/>
          <w:color w:val="000000" w:themeColor="text1"/>
          <w:lang w:val="en-GB"/>
        </w:rPr>
        <w:t xml:space="preserve"> AF patients, highlighting the importance </w:t>
      </w:r>
      <w:r>
        <w:rPr>
          <w:rFonts w:ascii="Arial" w:hAnsi="Arial" w:cs="Arial"/>
          <w:color w:val="000000" w:themeColor="text1"/>
          <w:lang w:val="en-GB"/>
        </w:rPr>
        <w:t>of</w:t>
      </w:r>
      <w:r w:rsidRPr="00B94873">
        <w:rPr>
          <w:rFonts w:ascii="Arial" w:hAnsi="Arial" w:cs="Arial"/>
          <w:color w:val="000000" w:themeColor="text1"/>
          <w:lang w:val="en-GB"/>
        </w:rPr>
        <w:t xml:space="preserve"> assess separately </w:t>
      </w:r>
      <w:r>
        <w:rPr>
          <w:rFonts w:ascii="Arial" w:hAnsi="Arial" w:cs="Arial"/>
          <w:color w:val="000000" w:themeColor="text1"/>
          <w:lang w:val="en-GB"/>
        </w:rPr>
        <w:t xml:space="preserve">both </w:t>
      </w:r>
      <w:r w:rsidRPr="00B94873">
        <w:rPr>
          <w:rFonts w:ascii="Arial" w:hAnsi="Arial" w:cs="Arial"/>
          <w:color w:val="000000" w:themeColor="text1"/>
          <w:lang w:val="en-GB"/>
        </w:rPr>
        <w:t xml:space="preserve">thrombotic and bleeding risk in </w:t>
      </w:r>
      <w:r>
        <w:rPr>
          <w:rFonts w:ascii="Arial" w:hAnsi="Arial" w:cs="Arial"/>
          <w:color w:val="000000" w:themeColor="text1"/>
          <w:lang w:val="en-GB"/>
        </w:rPr>
        <w:t xml:space="preserve">everyday </w:t>
      </w:r>
      <w:r w:rsidRPr="00B94873">
        <w:rPr>
          <w:rFonts w:ascii="Arial" w:hAnsi="Arial" w:cs="Arial"/>
          <w:color w:val="000000" w:themeColor="text1"/>
          <w:lang w:val="en-GB"/>
        </w:rPr>
        <w:t>clinical practice.</w:t>
      </w:r>
      <w:r>
        <w:rPr>
          <w:rFonts w:ascii="Arial" w:hAnsi="Arial" w:cs="Arial"/>
          <w:noProof/>
          <w:color w:val="000000" w:themeColor="text1"/>
          <w:lang w:val="en-GB"/>
        </w:rPr>
        <w:t>[71]</w:t>
      </w:r>
    </w:p>
    <w:p w14:paraId="46BE9C13" w14:textId="77777777" w:rsidR="0063383E" w:rsidRPr="00B94873"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 xml:space="preserve">It is clear that data from EHS and EORP registries </w:t>
      </w:r>
      <w:r>
        <w:rPr>
          <w:rFonts w:ascii="Arial" w:hAnsi="Arial" w:cs="Arial"/>
          <w:color w:val="000000" w:themeColor="text1"/>
          <w:lang w:val="en-GB"/>
        </w:rPr>
        <w:t xml:space="preserve">has </w:t>
      </w:r>
      <w:r w:rsidRPr="00B94873">
        <w:rPr>
          <w:rFonts w:ascii="Arial" w:hAnsi="Arial" w:cs="Arial"/>
          <w:color w:val="000000" w:themeColor="text1"/>
          <w:lang w:val="en-GB"/>
        </w:rPr>
        <w:t>provide</w:t>
      </w:r>
      <w:r>
        <w:rPr>
          <w:rFonts w:ascii="Arial" w:hAnsi="Arial" w:cs="Arial"/>
          <w:color w:val="000000" w:themeColor="text1"/>
          <w:lang w:val="en-GB"/>
        </w:rPr>
        <w:t>d</w:t>
      </w:r>
      <w:r w:rsidRPr="00B94873">
        <w:rPr>
          <w:rFonts w:ascii="Arial" w:hAnsi="Arial" w:cs="Arial"/>
          <w:color w:val="000000" w:themeColor="text1"/>
          <w:lang w:val="en-GB"/>
        </w:rPr>
        <w:t xml:space="preserve"> a comprehensive and unique picture of AF patients </w:t>
      </w:r>
      <w:r>
        <w:rPr>
          <w:rFonts w:ascii="Arial" w:hAnsi="Arial" w:cs="Arial"/>
          <w:color w:val="000000" w:themeColor="text1"/>
          <w:lang w:val="en-GB"/>
        </w:rPr>
        <w:t>and has provided a forum to garner</w:t>
      </w:r>
      <w:r w:rsidRPr="00B94873">
        <w:rPr>
          <w:rFonts w:ascii="Arial" w:hAnsi="Arial" w:cs="Arial"/>
          <w:color w:val="000000" w:themeColor="text1"/>
          <w:lang w:val="en-GB"/>
        </w:rPr>
        <w:t xml:space="preserve"> feedback on guideline adherence in real-world clinical practice</w:t>
      </w:r>
      <w:r>
        <w:rPr>
          <w:rFonts w:ascii="Arial" w:hAnsi="Arial" w:cs="Arial"/>
          <w:color w:val="000000" w:themeColor="text1"/>
          <w:lang w:val="en-GB"/>
        </w:rPr>
        <w:t>, particularly</w:t>
      </w:r>
      <w:r w:rsidRPr="00B94873">
        <w:rPr>
          <w:rFonts w:ascii="Arial" w:hAnsi="Arial" w:cs="Arial"/>
          <w:color w:val="000000" w:themeColor="text1"/>
          <w:lang w:val="en-GB"/>
        </w:rPr>
        <w:t xml:space="preserve"> regarding stroke prevention.</w:t>
      </w:r>
      <w:r>
        <w:rPr>
          <w:rFonts w:ascii="Arial" w:hAnsi="Arial" w:cs="Arial"/>
          <w:noProof/>
          <w:color w:val="000000" w:themeColor="text1"/>
          <w:lang w:val="en-GB"/>
        </w:rPr>
        <w:t>[72, 73]</w:t>
      </w:r>
      <w:r w:rsidRPr="00B94873">
        <w:rPr>
          <w:rFonts w:ascii="Arial" w:hAnsi="Arial" w:cs="Arial"/>
          <w:color w:val="000000" w:themeColor="text1"/>
          <w:lang w:val="en-GB"/>
        </w:rPr>
        <w:t xml:space="preserve"> Since the first data from the EHS, oral anticoagulation treatment has increased greatly over the last decade among European </w:t>
      </w:r>
      <w:r>
        <w:rPr>
          <w:rFonts w:ascii="Arial" w:hAnsi="Arial" w:cs="Arial"/>
          <w:color w:val="000000" w:themeColor="text1"/>
          <w:lang w:val="en-GB"/>
        </w:rPr>
        <w:t>c</w:t>
      </w:r>
      <w:r w:rsidRPr="00B94873">
        <w:rPr>
          <w:rFonts w:ascii="Arial" w:hAnsi="Arial" w:cs="Arial"/>
          <w:color w:val="000000" w:themeColor="text1"/>
          <w:lang w:val="en-GB"/>
        </w:rPr>
        <w:t>ountries, from 67% in the EHS to almost 85% in the EORP</w:t>
      </w:r>
      <w:r>
        <w:rPr>
          <w:rFonts w:ascii="Arial" w:hAnsi="Arial" w:cs="Arial"/>
          <w:color w:val="000000" w:themeColor="text1"/>
          <w:lang w:val="en-GB"/>
        </w:rPr>
        <w:t xml:space="preserve"> (</w:t>
      </w:r>
      <w:r w:rsidRPr="00B94873">
        <w:rPr>
          <w:rFonts w:ascii="Arial" w:hAnsi="Arial" w:cs="Arial"/>
          <w:color w:val="000000" w:themeColor="text1"/>
          <w:lang w:val="en-GB"/>
        </w:rPr>
        <w:t>80% in the General Pilot Registry and 84.9% in the Long Term Registry</w:t>
      </w:r>
      <w:r>
        <w:rPr>
          <w:rFonts w:ascii="Arial" w:hAnsi="Arial" w:cs="Arial"/>
          <w:color w:val="000000" w:themeColor="text1"/>
          <w:lang w:val="en-GB"/>
        </w:rPr>
        <w:t>, respectively)</w:t>
      </w:r>
      <w:r w:rsidRPr="00B94873">
        <w:rPr>
          <w:rFonts w:ascii="Arial" w:hAnsi="Arial" w:cs="Arial"/>
          <w:color w:val="000000" w:themeColor="text1"/>
          <w:lang w:val="en-GB"/>
        </w:rPr>
        <w:t>.</w:t>
      </w:r>
      <w:r>
        <w:rPr>
          <w:rFonts w:ascii="Arial" w:hAnsi="Arial" w:cs="Arial"/>
          <w:noProof/>
          <w:color w:val="000000" w:themeColor="text1"/>
          <w:lang w:val="en-GB"/>
        </w:rPr>
        <w:t>[13, 15, 74]</w:t>
      </w:r>
      <w:r w:rsidRPr="00B94873">
        <w:rPr>
          <w:rFonts w:ascii="Arial" w:hAnsi="Arial" w:cs="Arial"/>
          <w:color w:val="000000" w:themeColor="text1"/>
          <w:lang w:val="en-GB"/>
        </w:rPr>
        <w:t xml:space="preserve"> </w:t>
      </w:r>
    </w:p>
    <w:p w14:paraId="197664BD" w14:textId="77777777" w:rsidR="0063383E" w:rsidRDefault="0063383E" w:rsidP="00E24D9D">
      <w:pPr>
        <w:spacing w:line="480" w:lineRule="auto"/>
        <w:jc w:val="both"/>
        <w:rPr>
          <w:rFonts w:ascii="Arial" w:hAnsi="Arial" w:cs="Arial"/>
          <w:color w:val="000000" w:themeColor="text1"/>
          <w:lang w:val="en-GB"/>
        </w:rPr>
      </w:pPr>
      <w:r w:rsidRPr="00B94873">
        <w:rPr>
          <w:rFonts w:ascii="Arial" w:hAnsi="Arial" w:cs="Arial"/>
          <w:color w:val="000000" w:themeColor="text1"/>
          <w:lang w:val="en-GB"/>
        </w:rPr>
        <w:t xml:space="preserve">Regarding the type of OAC prescribed, EHS and EORP reflect temporal changes </w:t>
      </w:r>
      <w:r>
        <w:rPr>
          <w:rFonts w:ascii="Arial" w:hAnsi="Arial" w:cs="Arial"/>
          <w:color w:val="000000" w:themeColor="text1"/>
          <w:lang w:val="en-GB"/>
        </w:rPr>
        <w:t xml:space="preserve">and analyses have demonstrated </w:t>
      </w:r>
      <w:r w:rsidRPr="00B94873">
        <w:rPr>
          <w:rFonts w:ascii="Arial" w:hAnsi="Arial" w:cs="Arial"/>
          <w:color w:val="000000" w:themeColor="text1"/>
          <w:lang w:val="en-GB"/>
        </w:rPr>
        <w:t xml:space="preserve"> the significant increase in the use of Non-vitamin K antagonist oral anticoagulants (NOACs)</w:t>
      </w:r>
      <w:r>
        <w:rPr>
          <w:rFonts w:ascii="Arial" w:hAnsi="Arial" w:cs="Arial"/>
          <w:color w:val="000000" w:themeColor="text1"/>
          <w:lang w:val="en-GB"/>
        </w:rPr>
        <w:t xml:space="preserve"> across Europe over the last decade</w:t>
      </w:r>
      <w:r w:rsidRPr="00B94873">
        <w:rPr>
          <w:rFonts w:ascii="Arial" w:hAnsi="Arial" w:cs="Arial"/>
          <w:color w:val="000000" w:themeColor="text1"/>
          <w:lang w:val="en-GB"/>
        </w:rPr>
        <w:t>.</w:t>
      </w:r>
      <w:r>
        <w:rPr>
          <w:rFonts w:ascii="Arial" w:hAnsi="Arial" w:cs="Arial"/>
          <w:noProof/>
          <w:color w:val="000000" w:themeColor="text1"/>
          <w:lang w:val="en-GB"/>
        </w:rPr>
        <w:t>[13, 15]</w:t>
      </w:r>
      <w:r w:rsidRPr="00B94873">
        <w:rPr>
          <w:rFonts w:ascii="Arial" w:hAnsi="Arial" w:cs="Arial"/>
          <w:color w:val="000000" w:themeColor="text1"/>
          <w:lang w:val="en-GB"/>
        </w:rPr>
        <w:t xml:space="preserve"> </w:t>
      </w:r>
      <w:r w:rsidRPr="00B94873">
        <w:rPr>
          <w:rFonts w:ascii="Arial" w:hAnsi="Arial" w:cs="Arial"/>
          <w:color w:val="000000" w:themeColor="text1"/>
          <w:lang w:val="en-GB"/>
        </w:rPr>
        <w:br/>
      </w:r>
      <w:r>
        <w:rPr>
          <w:rFonts w:ascii="Arial" w:hAnsi="Arial" w:cs="Arial"/>
          <w:color w:val="000000" w:themeColor="text1"/>
          <w:lang w:val="en-GB"/>
        </w:rPr>
        <w:t xml:space="preserve">When </w:t>
      </w:r>
      <w:r w:rsidRPr="000A4D6D">
        <w:rPr>
          <w:rFonts w:ascii="Arial" w:hAnsi="Arial" w:cs="Arial"/>
          <w:color w:val="000000" w:themeColor="text1"/>
          <w:lang w:val="en-GB"/>
        </w:rPr>
        <w:t xml:space="preserve">compared to </w:t>
      </w:r>
      <w:r>
        <w:rPr>
          <w:rFonts w:ascii="Arial" w:hAnsi="Arial" w:cs="Arial"/>
          <w:color w:val="000000" w:themeColor="text1"/>
          <w:lang w:val="en-GB"/>
        </w:rPr>
        <w:t xml:space="preserve">the </w:t>
      </w:r>
      <w:r w:rsidRPr="000A4D6D">
        <w:rPr>
          <w:rFonts w:ascii="Arial" w:hAnsi="Arial" w:cs="Arial"/>
          <w:color w:val="000000" w:themeColor="text1"/>
          <w:lang w:val="en-GB"/>
        </w:rPr>
        <w:t xml:space="preserve">EORP Pilot registry, the Long-Term Registry reported an increase in the prescription of NOACs from </w:t>
      </w:r>
      <w:r>
        <w:rPr>
          <w:rFonts w:ascii="Arial" w:hAnsi="Arial" w:cs="Arial"/>
          <w:color w:val="000000" w:themeColor="text1"/>
          <w:lang w:val="en-GB"/>
        </w:rPr>
        <w:t>&lt;</w:t>
      </w:r>
      <w:r w:rsidRPr="000A4D6D">
        <w:rPr>
          <w:rFonts w:ascii="Arial" w:hAnsi="Arial" w:cs="Arial"/>
          <w:color w:val="000000" w:themeColor="text1"/>
          <w:lang w:val="en-GB"/>
        </w:rPr>
        <w:t>10% to 35% of patients.</w:t>
      </w:r>
      <w:r>
        <w:rPr>
          <w:rFonts w:ascii="Arial" w:hAnsi="Arial" w:cs="Arial"/>
          <w:noProof/>
          <w:color w:val="000000" w:themeColor="text1"/>
          <w:lang w:val="en-GB"/>
        </w:rPr>
        <w:t>[15, 16]</w:t>
      </w:r>
      <w:r>
        <w:rPr>
          <w:rFonts w:ascii="Arial" w:hAnsi="Arial" w:cs="Arial"/>
          <w:color w:val="000000" w:themeColor="text1"/>
          <w:lang w:val="en-GB"/>
        </w:rPr>
        <w:t xml:space="preserve"> </w:t>
      </w:r>
      <w:r w:rsidRPr="009E6E56">
        <w:rPr>
          <w:rFonts w:ascii="Arial" w:hAnsi="Arial" w:cs="Arial"/>
          <w:color w:val="000000" w:themeColor="text1"/>
          <w:lang w:val="en-GB"/>
        </w:rPr>
        <w:t xml:space="preserve">Both in the EHS </w:t>
      </w:r>
      <w:r w:rsidRPr="009E6E56">
        <w:rPr>
          <w:rFonts w:ascii="Arial" w:hAnsi="Arial" w:cs="Arial"/>
          <w:color w:val="000000" w:themeColor="text1"/>
          <w:lang w:val="en-GB"/>
        </w:rPr>
        <w:lastRenderedPageBreak/>
        <w:t>survey and the EORP registries, guideline-adheren</w:t>
      </w:r>
      <w:r>
        <w:rPr>
          <w:rFonts w:ascii="Arial" w:hAnsi="Arial" w:cs="Arial"/>
          <w:color w:val="000000" w:themeColor="text1"/>
          <w:lang w:val="en-GB"/>
        </w:rPr>
        <w:t>t</w:t>
      </w:r>
      <w:r w:rsidRPr="009E6E56">
        <w:rPr>
          <w:rFonts w:ascii="Arial" w:hAnsi="Arial" w:cs="Arial"/>
          <w:color w:val="000000" w:themeColor="text1"/>
          <w:lang w:val="en-GB"/>
        </w:rPr>
        <w:t xml:space="preserve"> antithrombotic treatment was associated with significantly better </w:t>
      </w:r>
      <w:r>
        <w:rPr>
          <w:rFonts w:ascii="Arial" w:hAnsi="Arial" w:cs="Arial"/>
          <w:color w:val="000000" w:themeColor="text1"/>
          <w:lang w:val="en-GB"/>
        </w:rPr>
        <w:t xml:space="preserve">clinical </w:t>
      </w:r>
      <w:r w:rsidRPr="009E6E56">
        <w:rPr>
          <w:rFonts w:ascii="Arial" w:hAnsi="Arial" w:cs="Arial"/>
          <w:color w:val="000000" w:themeColor="text1"/>
          <w:lang w:val="en-GB"/>
        </w:rPr>
        <w:t>outcomes.</w:t>
      </w:r>
      <w:r>
        <w:rPr>
          <w:rFonts w:ascii="Arial" w:hAnsi="Arial" w:cs="Arial"/>
          <w:noProof/>
          <w:color w:val="000000" w:themeColor="text1"/>
          <w:lang w:val="en-GB"/>
        </w:rPr>
        <w:t>[75, 76]</w:t>
      </w:r>
      <w:r w:rsidRPr="009E6E56">
        <w:rPr>
          <w:rFonts w:ascii="Arial" w:hAnsi="Arial" w:cs="Arial"/>
          <w:color w:val="000000" w:themeColor="text1"/>
          <w:lang w:val="en-GB"/>
        </w:rPr>
        <w:t xml:space="preserve"> Specifically, in the EORP Pilot General registry, </w:t>
      </w:r>
      <w:r w:rsidRPr="00723F47">
        <w:rPr>
          <w:rFonts w:ascii="Arial" w:hAnsi="Arial" w:cs="Arial"/>
          <w:color w:val="000000" w:themeColor="text1"/>
          <w:lang w:val="en-GB"/>
        </w:rPr>
        <w:t>under</w:t>
      </w:r>
      <w:r>
        <w:rPr>
          <w:rFonts w:ascii="Arial" w:hAnsi="Arial" w:cs="Arial"/>
          <w:color w:val="000000" w:themeColor="text1"/>
          <w:lang w:val="en-GB"/>
        </w:rPr>
        <w:t>-</w:t>
      </w:r>
      <w:r w:rsidRPr="00723F47">
        <w:rPr>
          <w:rFonts w:ascii="Arial" w:hAnsi="Arial" w:cs="Arial"/>
          <w:color w:val="000000" w:themeColor="text1"/>
          <w:lang w:val="en-GB"/>
        </w:rPr>
        <w:t>treatment</w:t>
      </w:r>
      <w:r w:rsidRPr="000A4D6D">
        <w:rPr>
          <w:rFonts w:ascii="Arial" w:hAnsi="Arial" w:cs="Arial"/>
          <w:color w:val="000000" w:themeColor="text1"/>
          <w:lang w:val="en-GB"/>
        </w:rPr>
        <w:t xml:space="preserve"> </w:t>
      </w:r>
      <w:r>
        <w:rPr>
          <w:rFonts w:ascii="Arial" w:hAnsi="Arial" w:cs="Arial"/>
          <w:color w:val="000000" w:themeColor="text1"/>
          <w:lang w:val="en-GB"/>
        </w:rPr>
        <w:t xml:space="preserve">was associated with to an increased risk of all-cause death/any TE outcome </w:t>
      </w:r>
      <w:r w:rsidRPr="009E6E56">
        <w:rPr>
          <w:rFonts w:ascii="Arial" w:hAnsi="Arial" w:cs="Arial"/>
          <w:color w:val="000000" w:themeColor="text1"/>
          <w:lang w:val="en-GB"/>
        </w:rPr>
        <w:t>[hazard ratio 1.6</w:t>
      </w:r>
      <w:r>
        <w:rPr>
          <w:rFonts w:ascii="Arial" w:hAnsi="Arial" w:cs="Arial"/>
          <w:color w:val="000000" w:themeColor="text1"/>
          <w:lang w:val="en-GB"/>
        </w:rPr>
        <w:t>8</w:t>
      </w:r>
      <w:r w:rsidRPr="009E6E56">
        <w:rPr>
          <w:rFonts w:ascii="Arial" w:hAnsi="Arial" w:cs="Arial"/>
          <w:color w:val="000000" w:themeColor="text1"/>
          <w:lang w:val="en-GB"/>
        </w:rPr>
        <w:t xml:space="preserve"> (95% confidence interval 1.20–2.3</w:t>
      </w:r>
      <w:r>
        <w:rPr>
          <w:rFonts w:ascii="Arial" w:hAnsi="Arial" w:cs="Arial"/>
          <w:color w:val="000000" w:themeColor="text1"/>
          <w:lang w:val="en-GB"/>
        </w:rPr>
        <w:t>5</w:t>
      </w:r>
      <w:r w:rsidRPr="009E6E56">
        <w:rPr>
          <w:rFonts w:ascii="Arial" w:hAnsi="Arial" w:cs="Arial"/>
          <w:color w:val="000000" w:themeColor="text1"/>
          <w:lang w:val="en-GB"/>
        </w:rPr>
        <w:t>)].</w:t>
      </w:r>
      <w:r>
        <w:rPr>
          <w:rFonts w:ascii="Arial" w:hAnsi="Arial" w:cs="Arial"/>
          <w:noProof/>
          <w:color w:val="000000" w:themeColor="text1"/>
          <w:lang w:val="en-GB"/>
        </w:rPr>
        <w:t>[75]</w:t>
      </w:r>
      <w:r w:rsidRPr="009E6E56">
        <w:rPr>
          <w:rFonts w:ascii="Arial" w:hAnsi="Arial" w:cs="Arial"/>
          <w:color w:val="000000" w:themeColor="text1"/>
          <w:lang w:val="en-GB"/>
        </w:rPr>
        <w:t xml:space="preserve"> </w:t>
      </w:r>
      <w:r>
        <w:rPr>
          <w:rFonts w:ascii="Arial" w:hAnsi="Arial" w:cs="Arial"/>
          <w:color w:val="000000" w:themeColor="text1"/>
          <w:lang w:val="en-GB"/>
        </w:rPr>
        <w:t>H</w:t>
      </w:r>
      <w:r w:rsidRPr="009E6E56">
        <w:rPr>
          <w:rFonts w:ascii="Arial" w:hAnsi="Arial" w:cs="Arial"/>
          <w:color w:val="000000" w:themeColor="text1"/>
          <w:lang w:val="en-GB"/>
        </w:rPr>
        <w:t xml:space="preserve">owever, </w:t>
      </w:r>
      <w:r>
        <w:rPr>
          <w:rFonts w:ascii="Arial" w:hAnsi="Arial" w:cs="Arial"/>
          <w:color w:val="000000" w:themeColor="text1"/>
          <w:lang w:val="en-GB"/>
        </w:rPr>
        <w:t xml:space="preserve">it is important to note </w:t>
      </w:r>
      <w:r w:rsidRPr="009E6E56">
        <w:rPr>
          <w:rFonts w:ascii="Arial" w:hAnsi="Arial" w:cs="Arial"/>
          <w:color w:val="000000" w:themeColor="text1"/>
          <w:lang w:val="en-GB"/>
        </w:rPr>
        <w:t xml:space="preserve">that </w:t>
      </w:r>
      <w:r>
        <w:rPr>
          <w:rFonts w:ascii="Arial" w:hAnsi="Arial" w:cs="Arial"/>
          <w:color w:val="000000" w:themeColor="text1"/>
          <w:lang w:val="en-GB"/>
        </w:rPr>
        <w:t xml:space="preserve">there still exists </w:t>
      </w:r>
      <w:r w:rsidRPr="009E6E56">
        <w:rPr>
          <w:rFonts w:ascii="Arial" w:hAnsi="Arial" w:cs="Arial"/>
          <w:color w:val="000000" w:themeColor="text1"/>
          <w:lang w:val="en-GB"/>
        </w:rPr>
        <w:t>large variability in the use of NOACs across the European regions, especially in Eastern and Southern Europe</w:t>
      </w:r>
      <w:r>
        <w:rPr>
          <w:rFonts w:ascii="Arial" w:hAnsi="Arial" w:cs="Arial"/>
          <w:color w:val="000000" w:themeColor="text1"/>
          <w:lang w:val="en-GB"/>
        </w:rPr>
        <w:t>,</w:t>
      </w:r>
      <w:r w:rsidRPr="009E6E56">
        <w:rPr>
          <w:rFonts w:ascii="Arial" w:hAnsi="Arial" w:cs="Arial"/>
          <w:color w:val="000000" w:themeColor="text1"/>
          <w:lang w:val="en-GB"/>
        </w:rPr>
        <w:t xml:space="preserve"> where a discordance between guidelines and clinical practice can be seen, </w:t>
      </w:r>
      <w:r>
        <w:rPr>
          <w:rFonts w:ascii="Arial" w:hAnsi="Arial" w:cs="Arial"/>
          <w:color w:val="000000" w:themeColor="text1"/>
          <w:lang w:val="en-GB"/>
        </w:rPr>
        <w:t xml:space="preserve">which may also reflect </w:t>
      </w:r>
      <w:r w:rsidRPr="009E6E56">
        <w:rPr>
          <w:rFonts w:ascii="Arial" w:hAnsi="Arial" w:cs="Arial"/>
          <w:color w:val="000000" w:themeColor="text1"/>
          <w:lang w:val="en-GB"/>
        </w:rPr>
        <w:t>existing differences in health care systems and socio-economic conditions</w:t>
      </w:r>
      <w:r>
        <w:rPr>
          <w:rFonts w:ascii="Arial" w:hAnsi="Arial" w:cs="Arial"/>
          <w:color w:val="000000" w:themeColor="text1"/>
          <w:lang w:val="en-GB"/>
        </w:rPr>
        <w:t>.</w:t>
      </w:r>
      <w:r>
        <w:rPr>
          <w:rFonts w:ascii="Arial" w:hAnsi="Arial" w:cs="Arial"/>
          <w:noProof/>
          <w:color w:val="000000" w:themeColor="text1"/>
          <w:lang w:val="en-GB"/>
        </w:rPr>
        <w:t>[75, 77-80]</w:t>
      </w:r>
    </w:p>
    <w:p w14:paraId="6E036659" w14:textId="77777777" w:rsidR="0063383E" w:rsidRDefault="0063383E" w:rsidP="00E24D9D">
      <w:pPr>
        <w:spacing w:line="480" w:lineRule="auto"/>
        <w:jc w:val="both"/>
        <w:rPr>
          <w:rFonts w:ascii="Arial" w:hAnsi="Arial" w:cs="Arial"/>
          <w:color w:val="000000" w:themeColor="text1"/>
          <w:lang w:val="en-GB"/>
        </w:rPr>
      </w:pPr>
      <w:r>
        <w:rPr>
          <w:rFonts w:ascii="Arial" w:hAnsi="Arial" w:cs="Arial"/>
          <w:color w:val="000000" w:themeColor="text1"/>
          <w:lang w:val="en-GB"/>
        </w:rPr>
        <w:t xml:space="preserve">The latest EORP AF-III Registry with 1-year follow-up has recently completed the enrolment phase. The registry will provide insight into contemporary management of AF patients, guideline implementation in clinical </w:t>
      </w:r>
      <w:r w:rsidRPr="00895CEF">
        <w:rPr>
          <w:rFonts w:ascii="Arial" w:hAnsi="Arial" w:cs="Arial"/>
          <w:color w:val="000000" w:themeColor="text1"/>
          <w:lang w:val="en-GB"/>
        </w:rPr>
        <w:t>practice and patient outcomes</w:t>
      </w:r>
      <w:r>
        <w:rPr>
          <w:rFonts w:ascii="Arial" w:hAnsi="Arial" w:cs="Arial"/>
          <w:color w:val="000000" w:themeColor="text1"/>
          <w:lang w:val="en-GB"/>
        </w:rPr>
        <w:t xml:space="preserve">. In addition, data compatibility across EORP AF registries </w:t>
      </w:r>
      <w:r w:rsidRPr="001405D0">
        <w:rPr>
          <w:rFonts w:ascii="Arial" w:hAnsi="Arial" w:cs="Arial"/>
          <w:lang w:val="en-GB"/>
        </w:rPr>
        <w:t>will enable modelling of time trends in various aspects of the management and outcomes of AF patients</w:t>
      </w:r>
      <w:r>
        <w:rPr>
          <w:rFonts w:ascii="Arial" w:hAnsi="Arial" w:cs="Arial"/>
          <w:lang w:val="en-GB"/>
        </w:rPr>
        <w:t>.</w:t>
      </w:r>
      <w:r>
        <w:rPr>
          <w:rFonts w:ascii="Arial" w:hAnsi="Arial" w:cs="Arial"/>
          <w:color w:val="000000" w:themeColor="text1"/>
          <w:lang w:val="en-GB"/>
        </w:rPr>
        <w:t xml:space="preserve"> </w:t>
      </w:r>
    </w:p>
    <w:p w14:paraId="137A4D4F" w14:textId="77777777" w:rsidR="0063383E" w:rsidRDefault="0063383E" w:rsidP="00E24D9D">
      <w:pPr>
        <w:pBdr>
          <w:bottom w:val="single" w:sz="4" w:space="1" w:color="000000"/>
        </w:pBdr>
        <w:spacing w:line="480" w:lineRule="auto"/>
        <w:jc w:val="both"/>
        <w:rPr>
          <w:rFonts w:ascii="Arial" w:hAnsi="Arial" w:cs="Arial"/>
          <w:color w:val="000000" w:themeColor="text1"/>
          <w:lang w:val="en-GB"/>
        </w:rPr>
      </w:pPr>
    </w:p>
    <w:p w14:paraId="55F4959B" w14:textId="77777777" w:rsidR="0063383E" w:rsidRPr="009E6E56" w:rsidRDefault="0063383E" w:rsidP="00E24D9D">
      <w:pPr>
        <w:pBdr>
          <w:bottom w:val="single" w:sz="4" w:space="1" w:color="000000"/>
        </w:pBdr>
        <w:spacing w:line="480" w:lineRule="auto"/>
        <w:jc w:val="both"/>
        <w:rPr>
          <w:rFonts w:ascii="Arial" w:hAnsi="Arial" w:cs="Arial"/>
          <w:b/>
          <w:bCs/>
          <w:color w:val="000000" w:themeColor="text1"/>
          <w:lang w:val="en-GB"/>
        </w:rPr>
      </w:pPr>
      <w:r w:rsidRPr="009E6E56">
        <w:rPr>
          <w:rFonts w:ascii="Arial" w:hAnsi="Arial" w:cs="Arial"/>
          <w:b/>
          <w:bCs/>
          <w:color w:val="000000" w:themeColor="text1"/>
          <w:lang w:val="en-GB"/>
        </w:rPr>
        <w:t>CONCLUSION</w:t>
      </w:r>
      <w:r>
        <w:rPr>
          <w:rFonts w:ascii="Arial" w:hAnsi="Arial" w:cs="Arial"/>
          <w:b/>
          <w:bCs/>
          <w:color w:val="000000" w:themeColor="text1"/>
          <w:lang w:val="en-GB"/>
        </w:rPr>
        <w:t>S</w:t>
      </w:r>
      <w:r w:rsidRPr="009E6E56">
        <w:rPr>
          <w:rFonts w:ascii="Arial" w:hAnsi="Arial" w:cs="Arial"/>
          <w:b/>
          <w:bCs/>
          <w:color w:val="000000" w:themeColor="text1"/>
          <w:lang w:val="en-GB"/>
        </w:rPr>
        <w:t xml:space="preserve"> </w:t>
      </w:r>
    </w:p>
    <w:p w14:paraId="231C4735" w14:textId="77777777" w:rsidR="0063383E" w:rsidRDefault="0063383E" w:rsidP="00E24D9D">
      <w:pPr>
        <w:spacing w:line="480" w:lineRule="auto"/>
        <w:jc w:val="both"/>
        <w:rPr>
          <w:rFonts w:ascii="Arial" w:hAnsi="Arial" w:cs="Arial"/>
          <w:color w:val="000000" w:themeColor="text1"/>
          <w:lang w:val="en-GB"/>
        </w:rPr>
      </w:pPr>
    </w:p>
    <w:p w14:paraId="0EE48550" w14:textId="77777777" w:rsidR="0063383E" w:rsidRPr="009E6E56" w:rsidRDefault="0063383E" w:rsidP="00E24D9D">
      <w:pPr>
        <w:spacing w:line="480" w:lineRule="auto"/>
        <w:jc w:val="both"/>
        <w:rPr>
          <w:rFonts w:ascii="Arial" w:hAnsi="Arial" w:cs="Arial"/>
          <w:color w:val="000000" w:themeColor="text1"/>
          <w:lang w:val="en-GB"/>
        </w:rPr>
      </w:pPr>
      <w:r w:rsidRPr="009E6E56">
        <w:rPr>
          <w:rFonts w:ascii="Arial" w:hAnsi="Arial" w:cs="Arial"/>
          <w:color w:val="000000" w:themeColor="text1"/>
          <w:lang w:val="en-GB"/>
        </w:rPr>
        <w:t xml:space="preserve">Clinical registries aim to collect large amounts of data that reflect </w:t>
      </w:r>
      <w:r>
        <w:rPr>
          <w:rFonts w:ascii="Arial" w:hAnsi="Arial" w:cs="Arial"/>
          <w:color w:val="000000" w:themeColor="text1"/>
          <w:lang w:val="en-GB"/>
        </w:rPr>
        <w:t>contemporary</w:t>
      </w:r>
      <w:r w:rsidRPr="009E6E56">
        <w:rPr>
          <w:rFonts w:ascii="Arial" w:hAnsi="Arial" w:cs="Arial"/>
          <w:color w:val="000000" w:themeColor="text1"/>
          <w:lang w:val="en-GB"/>
        </w:rPr>
        <w:t xml:space="preserve"> clinical practice. The EHS and EORP </w:t>
      </w:r>
      <w:r>
        <w:rPr>
          <w:rFonts w:ascii="Arial" w:hAnsi="Arial" w:cs="Arial"/>
          <w:color w:val="000000" w:themeColor="text1"/>
          <w:lang w:val="en-GB"/>
        </w:rPr>
        <w:t xml:space="preserve">AF </w:t>
      </w:r>
      <w:r w:rsidRPr="009E6E56">
        <w:rPr>
          <w:rFonts w:ascii="Arial" w:hAnsi="Arial" w:cs="Arial"/>
          <w:color w:val="000000" w:themeColor="text1"/>
          <w:lang w:val="en-GB"/>
        </w:rPr>
        <w:t xml:space="preserve">registries </w:t>
      </w:r>
      <w:r>
        <w:rPr>
          <w:rFonts w:ascii="Arial" w:hAnsi="Arial" w:cs="Arial"/>
          <w:color w:val="000000" w:themeColor="text1"/>
          <w:lang w:val="en-GB"/>
        </w:rPr>
        <w:t xml:space="preserve">have provided an invaluable resource with which to </w:t>
      </w:r>
      <w:r w:rsidRPr="009E6E56">
        <w:rPr>
          <w:rFonts w:ascii="Arial" w:hAnsi="Arial" w:cs="Arial"/>
          <w:color w:val="000000" w:themeColor="text1"/>
          <w:lang w:val="en-GB"/>
        </w:rPr>
        <w:t xml:space="preserve">monitor </w:t>
      </w:r>
      <w:r>
        <w:rPr>
          <w:rFonts w:ascii="Arial" w:hAnsi="Arial" w:cs="Arial"/>
          <w:color w:val="000000" w:themeColor="text1"/>
          <w:lang w:val="en-GB"/>
        </w:rPr>
        <w:t xml:space="preserve">the changing pathophysiology, epidemiology, and management of AF over the last 2 decades, identify where care is not guideline-adherent and where treatment gaps exist, </w:t>
      </w:r>
      <w:r w:rsidRPr="009E6E56">
        <w:rPr>
          <w:rFonts w:ascii="Arial" w:hAnsi="Arial" w:cs="Arial"/>
          <w:color w:val="000000" w:themeColor="text1"/>
          <w:lang w:val="en-GB"/>
        </w:rPr>
        <w:t xml:space="preserve">and </w:t>
      </w:r>
      <w:r>
        <w:rPr>
          <w:rFonts w:ascii="Arial" w:hAnsi="Arial" w:cs="Arial"/>
          <w:color w:val="000000" w:themeColor="text1"/>
          <w:lang w:val="en-GB"/>
        </w:rPr>
        <w:t xml:space="preserve">demonstrate </w:t>
      </w:r>
      <w:r w:rsidRPr="009E6E56">
        <w:rPr>
          <w:rFonts w:ascii="Arial" w:hAnsi="Arial" w:cs="Arial"/>
          <w:color w:val="000000" w:themeColor="text1"/>
          <w:lang w:val="en-GB"/>
        </w:rPr>
        <w:t>improve</w:t>
      </w:r>
      <w:r>
        <w:rPr>
          <w:rFonts w:ascii="Arial" w:hAnsi="Arial" w:cs="Arial"/>
          <w:color w:val="000000" w:themeColor="text1"/>
          <w:lang w:val="en-GB"/>
        </w:rPr>
        <w:t>ments in</w:t>
      </w:r>
      <w:r w:rsidRPr="009E6E56">
        <w:rPr>
          <w:rFonts w:ascii="Arial" w:hAnsi="Arial" w:cs="Arial"/>
          <w:color w:val="000000" w:themeColor="text1"/>
          <w:lang w:val="en-GB"/>
        </w:rPr>
        <w:t xml:space="preserve"> patient outcomes among European </w:t>
      </w:r>
      <w:r>
        <w:rPr>
          <w:rFonts w:ascii="Arial" w:hAnsi="Arial" w:cs="Arial"/>
          <w:color w:val="000000" w:themeColor="text1"/>
          <w:lang w:val="en-GB"/>
        </w:rPr>
        <w:t>c</w:t>
      </w:r>
      <w:r w:rsidRPr="009E6E56">
        <w:rPr>
          <w:rFonts w:ascii="Arial" w:hAnsi="Arial" w:cs="Arial"/>
          <w:color w:val="000000" w:themeColor="text1"/>
          <w:lang w:val="en-GB"/>
        </w:rPr>
        <w:t xml:space="preserve">entres. Despite some limitations, mainly related to their observational nature, these </w:t>
      </w:r>
      <w:r>
        <w:rPr>
          <w:rFonts w:ascii="Arial" w:hAnsi="Arial" w:cs="Arial"/>
          <w:color w:val="000000" w:themeColor="text1"/>
          <w:lang w:val="en-GB"/>
        </w:rPr>
        <w:t>r</w:t>
      </w:r>
      <w:r w:rsidRPr="009E6E56">
        <w:rPr>
          <w:rFonts w:ascii="Arial" w:hAnsi="Arial" w:cs="Arial"/>
          <w:color w:val="000000" w:themeColor="text1"/>
          <w:lang w:val="en-GB"/>
        </w:rPr>
        <w:t xml:space="preserve">egistries </w:t>
      </w:r>
      <w:r>
        <w:rPr>
          <w:rFonts w:ascii="Arial" w:hAnsi="Arial" w:cs="Arial"/>
          <w:color w:val="000000" w:themeColor="text1"/>
          <w:lang w:val="en-GB"/>
        </w:rPr>
        <w:t xml:space="preserve">have </w:t>
      </w:r>
      <w:r w:rsidRPr="009E6E56">
        <w:rPr>
          <w:rFonts w:ascii="Arial" w:hAnsi="Arial" w:cs="Arial"/>
          <w:color w:val="000000" w:themeColor="text1"/>
          <w:lang w:val="en-GB"/>
        </w:rPr>
        <w:t xml:space="preserve">contributed </w:t>
      </w:r>
      <w:r>
        <w:rPr>
          <w:rFonts w:ascii="Arial" w:hAnsi="Arial" w:cs="Arial"/>
          <w:color w:val="000000" w:themeColor="text1"/>
          <w:lang w:val="en-GB"/>
        </w:rPr>
        <w:t xml:space="preserve">significantly </w:t>
      </w:r>
      <w:r w:rsidRPr="009E6E56">
        <w:rPr>
          <w:rFonts w:ascii="Arial" w:hAnsi="Arial" w:cs="Arial"/>
          <w:color w:val="000000" w:themeColor="text1"/>
          <w:lang w:val="en-GB"/>
        </w:rPr>
        <w:t>to</w:t>
      </w:r>
      <w:r>
        <w:rPr>
          <w:rFonts w:ascii="Arial" w:hAnsi="Arial" w:cs="Arial"/>
          <w:color w:val="000000" w:themeColor="text1"/>
          <w:lang w:val="en-GB"/>
        </w:rPr>
        <w:t>wards</w:t>
      </w:r>
      <w:r w:rsidRPr="009E6E56">
        <w:rPr>
          <w:rFonts w:ascii="Arial" w:hAnsi="Arial" w:cs="Arial"/>
          <w:color w:val="000000" w:themeColor="text1"/>
          <w:lang w:val="en-GB"/>
        </w:rPr>
        <w:t xml:space="preserve"> better clinical management of AF patients</w:t>
      </w:r>
      <w:r>
        <w:rPr>
          <w:rFonts w:ascii="Arial" w:hAnsi="Arial" w:cs="Arial"/>
          <w:color w:val="000000" w:themeColor="text1"/>
          <w:lang w:val="en-GB"/>
        </w:rPr>
        <w:t>.</w:t>
      </w:r>
    </w:p>
    <w:p w14:paraId="6FDB055B" w14:textId="77777777" w:rsidR="0063383E" w:rsidRPr="009E6E56" w:rsidRDefault="0063383E" w:rsidP="00E24D9D">
      <w:pPr>
        <w:pBdr>
          <w:bottom w:val="single" w:sz="4" w:space="1" w:color="000000"/>
        </w:pBdr>
        <w:jc w:val="both"/>
        <w:rPr>
          <w:rFonts w:asciiTheme="majorHAnsi" w:hAnsiTheme="majorHAnsi" w:cstheme="majorHAnsi"/>
          <w:b/>
          <w:bCs/>
          <w:color w:val="000000" w:themeColor="text1"/>
          <w:lang w:val="en-GB"/>
        </w:rPr>
      </w:pPr>
      <w:r w:rsidRPr="009E6E56">
        <w:rPr>
          <w:rFonts w:asciiTheme="majorHAnsi" w:hAnsiTheme="majorHAnsi" w:cstheme="majorHAnsi"/>
          <w:b/>
          <w:bCs/>
          <w:color w:val="000000" w:themeColor="text1"/>
          <w:lang w:val="en-GB"/>
        </w:rPr>
        <w:br w:type="page"/>
      </w:r>
      <w:r w:rsidRPr="009E6E56">
        <w:rPr>
          <w:rFonts w:ascii="Arial" w:hAnsi="Arial" w:cs="Arial"/>
          <w:b/>
          <w:bCs/>
          <w:color w:val="000000" w:themeColor="text1"/>
          <w:lang w:val="en-GB"/>
        </w:rPr>
        <w:lastRenderedPageBreak/>
        <w:t xml:space="preserve">FIGURES </w:t>
      </w:r>
    </w:p>
    <w:p w14:paraId="40697636" w14:textId="77777777" w:rsidR="0063383E" w:rsidRPr="009E6E56" w:rsidRDefault="0063383E" w:rsidP="00616ACE">
      <w:pPr>
        <w:spacing w:line="480" w:lineRule="auto"/>
        <w:rPr>
          <w:rFonts w:ascii="Arial" w:hAnsi="Arial" w:cs="Arial"/>
          <w:b/>
          <w:bCs/>
          <w:color w:val="000000" w:themeColor="text1"/>
          <w:lang w:val="en-GB"/>
        </w:rPr>
      </w:pPr>
    </w:p>
    <w:p w14:paraId="28E8BCBA" w14:textId="77777777" w:rsidR="0063383E" w:rsidRDefault="0063383E" w:rsidP="00616ACE">
      <w:pPr>
        <w:pStyle w:val="Caption"/>
        <w:spacing w:line="480" w:lineRule="auto"/>
        <w:jc w:val="both"/>
        <w:rPr>
          <w:rFonts w:ascii="Arial" w:hAnsi="Arial" w:cs="Arial"/>
          <w:i w:val="0"/>
          <w:iCs w:val="0"/>
          <w:color w:val="000000" w:themeColor="text1"/>
          <w:sz w:val="24"/>
          <w:szCs w:val="24"/>
          <w:lang w:val="en-GB"/>
        </w:rPr>
      </w:pPr>
      <w:r w:rsidRPr="009E6E56">
        <w:rPr>
          <w:rFonts w:ascii="Arial" w:hAnsi="Arial" w:cs="Arial"/>
          <w:b/>
          <w:bCs/>
          <w:i w:val="0"/>
          <w:iCs w:val="0"/>
          <w:color w:val="000000" w:themeColor="text1"/>
          <w:sz w:val="24"/>
          <w:szCs w:val="24"/>
          <w:lang w:val="en-GB"/>
        </w:rPr>
        <w:fldChar w:fldCharType="begin"/>
      </w:r>
      <w:r w:rsidRPr="009E6E56">
        <w:rPr>
          <w:rFonts w:ascii="Arial" w:hAnsi="Arial" w:cs="Arial"/>
          <w:b/>
          <w:bCs/>
          <w:i w:val="0"/>
          <w:iCs w:val="0"/>
          <w:color w:val="000000" w:themeColor="text1"/>
          <w:sz w:val="24"/>
          <w:szCs w:val="24"/>
          <w:lang w:val="en-GB"/>
        </w:rPr>
        <w:instrText xml:space="preserve"> REF _Ref32493564 \h  \* MERGEFORMAT </w:instrText>
      </w:r>
      <w:r w:rsidRPr="009E6E56">
        <w:rPr>
          <w:rFonts w:ascii="Arial" w:hAnsi="Arial" w:cs="Arial"/>
          <w:b/>
          <w:bCs/>
          <w:i w:val="0"/>
          <w:iCs w:val="0"/>
          <w:color w:val="000000" w:themeColor="text1"/>
          <w:sz w:val="24"/>
          <w:szCs w:val="24"/>
          <w:lang w:val="en-GB"/>
        </w:rPr>
      </w:r>
      <w:r w:rsidRPr="009E6E56">
        <w:rPr>
          <w:rFonts w:ascii="Arial" w:hAnsi="Arial" w:cs="Arial"/>
          <w:b/>
          <w:bCs/>
          <w:i w:val="0"/>
          <w:iCs w:val="0"/>
          <w:color w:val="000000" w:themeColor="text1"/>
          <w:sz w:val="24"/>
          <w:szCs w:val="24"/>
          <w:lang w:val="en-GB"/>
        </w:rPr>
        <w:fldChar w:fldCharType="separate"/>
      </w:r>
      <w:r w:rsidRPr="0095304C">
        <w:rPr>
          <w:rFonts w:ascii="Arial" w:hAnsi="Arial" w:cs="Arial"/>
          <w:b/>
          <w:bCs/>
          <w:i w:val="0"/>
          <w:iCs w:val="0"/>
          <w:color w:val="000000" w:themeColor="text1"/>
          <w:sz w:val="24"/>
          <w:szCs w:val="24"/>
          <w:lang w:val="en-GB"/>
        </w:rPr>
        <w:t xml:space="preserve">Figure </w:t>
      </w:r>
      <w:r w:rsidRPr="0095304C">
        <w:rPr>
          <w:rFonts w:ascii="Arial" w:hAnsi="Arial" w:cs="Arial"/>
          <w:b/>
          <w:bCs/>
          <w:i w:val="0"/>
          <w:iCs w:val="0"/>
          <w:noProof/>
          <w:color w:val="000000" w:themeColor="text1"/>
          <w:sz w:val="24"/>
          <w:szCs w:val="24"/>
          <w:lang w:val="en-GB"/>
        </w:rPr>
        <w:t>1</w:t>
      </w:r>
      <w:r w:rsidRPr="009E6E56">
        <w:rPr>
          <w:rFonts w:ascii="Arial" w:hAnsi="Arial" w:cs="Arial"/>
          <w:b/>
          <w:bCs/>
          <w:i w:val="0"/>
          <w:iCs w:val="0"/>
          <w:color w:val="000000" w:themeColor="text1"/>
          <w:sz w:val="24"/>
          <w:szCs w:val="24"/>
          <w:lang w:val="en-GB"/>
        </w:rPr>
        <w:fldChar w:fldCharType="end"/>
      </w:r>
      <w:r w:rsidRPr="009E6E56">
        <w:rPr>
          <w:rFonts w:ascii="Arial" w:hAnsi="Arial" w:cs="Arial"/>
          <w:i w:val="0"/>
          <w:iCs w:val="0"/>
          <w:color w:val="000000" w:themeColor="text1"/>
          <w:sz w:val="24"/>
          <w:szCs w:val="24"/>
          <w:lang w:val="en-GB"/>
        </w:rPr>
        <w:t xml:space="preserve"> </w:t>
      </w:r>
      <w:r>
        <w:rPr>
          <w:rFonts w:ascii="Arial" w:hAnsi="Arial" w:cs="Arial"/>
          <w:i w:val="0"/>
          <w:iCs w:val="0"/>
          <w:color w:val="000000" w:themeColor="text1"/>
          <w:sz w:val="24"/>
          <w:szCs w:val="24"/>
          <w:lang w:val="en-GB"/>
        </w:rPr>
        <w:t>Cumulative n</w:t>
      </w:r>
      <w:r w:rsidRPr="009E6E56">
        <w:rPr>
          <w:rFonts w:ascii="Arial" w:hAnsi="Arial" w:cs="Arial"/>
          <w:i w:val="0"/>
          <w:iCs w:val="0"/>
          <w:color w:val="000000" w:themeColor="text1"/>
          <w:sz w:val="24"/>
          <w:szCs w:val="24"/>
          <w:lang w:val="en-GB"/>
        </w:rPr>
        <w:t>umber of publications based on AF registries or surveys in Pub</w:t>
      </w:r>
      <w:r>
        <w:rPr>
          <w:rFonts w:ascii="Arial" w:hAnsi="Arial" w:cs="Arial"/>
          <w:i w:val="0"/>
          <w:iCs w:val="0"/>
          <w:color w:val="000000" w:themeColor="text1"/>
          <w:sz w:val="24"/>
          <w:szCs w:val="24"/>
          <w:lang w:val="en-GB"/>
        </w:rPr>
        <w:t>M</w:t>
      </w:r>
      <w:r w:rsidRPr="009E6E56">
        <w:rPr>
          <w:rFonts w:ascii="Arial" w:hAnsi="Arial" w:cs="Arial"/>
          <w:i w:val="0"/>
          <w:iCs w:val="0"/>
          <w:color w:val="000000" w:themeColor="text1"/>
          <w:sz w:val="24"/>
          <w:szCs w:val="24"/>
          <w:lang w:val="en-GB"/>
        </w:rPr>
        <w:t xml:space="preserve">ed from 1990 to 2019 </w:t>
      </w:r>
    </w:p>
    <w:p w14:paraId="039CED83" w14:textId="77777777" w:rsidR="0063383E" w:rsidRDefault="0063383E" w:rsidP="00616ACE">
      <w:pPr>
        <w:pStyle w:val="Caption"/>
        <w:spacing w:line="480" w:lineRule="auto"/>
        <w:jc w:val="both"/>
        <w:rPr>
          <w:rFonts w:ascii="Arial" w:hAnsi="Arial" w:cs="Arial"/>
          <w:i w:val="0"/>
          <w:iCs w:val="0"/>
          <w:color w:val="000000" w:themeColor="text1"/>
          <w:sz w:val="24"/>
          <w:szCs w:val="24"/>
          <w:lang w:val="en-GB"/>
        </w:rPr>
      </w:pPr>
    </w:p>
    <w:p w14:paraId="36506812" w14:textId="77777777" w:rsidR="0063383E" w:rsidRDefault="0063383E" w:rsidP="00616ACE">
      <w:pPr>
        <w:pStyle w:val="Caption"/>
        <w:spacing w:line="480" w:lineRule="auto"/>
        <w:jc w:val="both"/>
        <w:rPr>
          <w:rFonts w:ascii="Arial" w:hAnsi="Arial" w:cs="Arial"/>
          <w:i w:val="0"/>
          <w:iCs w:val="0"/>
          <w:color w:val="000000" w:themeColor="text1"/>
          <w:sz w:val="24"/>
          <w:szCs w:val="24"/>
          <w:lang w:val="en-GB"/>
        </w:rPr>
      </w:pPr>
      <w:r w:rsidRPr="009E6E56">
        <w:rPr>
          <w:rFonts w:ascii="Arial" w:hAnsi="Arial" w:cs="Arial"/>
          <w:b/>
          <w:bCs/>
          <w:i w:val="0"/>
          <w:iCs w:val="0"/>
          <w:color w:val="000000" w:themeColor="text1"/>
          <w:sz w:val="24"/>
          <w:szCs w:val="24"/>
          <w:lang w:val="en-GB"/>
        </w:rPr>
        <w:fldChar w:fldCharType="begin"/>
      </w:r>
      <w:r w:rsidRPr="009E6E56">
        <w:rPr>
          <w:rFonts w:ascii="Arial" w:hAnsi="Arial" w:cs="Arial"/>
          <w:b/>
          <w:bCs/>
          <w:i w:val="0"/>
          <w:iCs w:val="0"/>
          <w:color w:val="000000" w:themeColor="text1"/>
          <w:sz w:val="24"/>
          <w:szCs w:val="24"/>
          <w:lang w:val="en-GB"/>
        </w:rPr>
        <w:instrText xml:space="preserve"> REF _Ref32494926 \h  \* MERGEFORMAT </w:instrText>
      </w:r>
      <w:r w:rsidRPr="009E6E56">
        <w:rPr>
          <w:rFonts w:ascii="Arial" w:hAnsi="Arial" w:cs="Arial"/>
          <w:b/>
          <w:bCs/>
          <w:i w:val="0"/>
          <w:iCs w:val="0"/>
          <w:color w:val="000000" w:themeColor="text1"/>
          <w:sz w:val="24"/>
          <w:szCs w:val="24"/>
          <w:lang w:val="en-GB"/>
        </w:rPr>
      </w:r>
      <w:r w:rsidRPr="009E6E56">
        <w:rPr>
          <w:rFonts w:ascii="Arial" w:hAnsi="Arial" w:cs="Arial"/>
          <w:b/>
          <w:bCs/>
          <w:i w:val="0"/>
          <w:iCs w:val="0"/>
          <w:color w:val="000000" w:themeColor="text1"/>
          <w:sz w:val="24"/>
          <w:szCs w:val="24"/>
          <w:lang w:val="en-GB"/>
        </w:rPr>
        <w:fldChar w:fldCharType="separate"/>
      </w:r>
      <w:r w:rsidRPr="0095304C">
        <w:rPr>
          <w:rFonts w:ascii="Arial" w:hAnsi="Arial" w:cs="Arial"/>
          <w:b/>
          <w:bCs/>
          <w:i w:val="0"/>
          <w:iCs w:val="0"/>
          <w:color w:val="000000" w:themeColor="text1"/>
          <w:sz w:val="24"/>
          <w:szCs w:val="24"/>
          <w:lang w:val="en-GB"/>
        </w:rPr>
        <w:t xml:space="preserve">Figure </w:t>
      </w:r>
      <w:r w:rsidRPr="0095304C">
        <w:rPr>
          <w:rFonts w:ascii="Arial" w:hAnsi="Arial" w:cs="Arial"/>
          <w:b/>
          <w:bCs/>
          <w:i w:val="0"/>
          <w:iCs w:val="0"/>
          <w:noProof/>
          <w:color w:val="000000" w:themeColor="text1"/>
          <w:sz w:val="24"/>
          <w:szCs w:val="24"/>
          <w:lang w:val="en-GB"/>
        </w:rPr>
        <w:t>2</w:t>
      </w:r>
      <w:r w:rsidRPr="009E6E56">
        <w:rPr>
          <w:rFonts w:ascii="Arial" w:hAnsi="Arial" w:cs="Arial"/>
          <w:b/>
          <w:bCs/>
          <w:i w:val="0"/>
          <w:iCs w:val="0"/>
          <w:color w:val="000000" w:themeColor="text1"/>
          <w:sz w:val="24"/>
          <w:szCs w:val="24"/>
          <w:lang w:val="en-GB"/>
        </w:rPr>
        <w:fldChar w:fldCharType="end"/>
      </w:r>
      <w:r w:rsidRPr="009E6E56">
        <w:rPr>
          <w:rFonts w:ascii="Arial" w:hAnsi="Arial" w:cs="Arial"/>
          <w:b/>
          <w:bCs/>
          <w:i w:val="0"/>
          <w:iCs w:val="0"/>
          <w:color w:val="000000" w:themeColor="text1"/>
          <w:sz w:val="24"/>
          <w:szCs w:val="24"/>
          <w:lang w:val="en-GB"/>
        </w:rPr>
        <w:t xml:space="preserve"> </w:t>
      </w:r>
      <w:r w:rsidRPr="00224C38">
        <w:rPr>
          <w:rFonts w:ascii="Arial" w:hAnsi="Arial" w:cs="Arial"/>
          <w:i w:val="0"/>
          <w:iCs w:val="0"/>
          <w:color w:val="000000" w:themeColor="text1"/>
          <w:sz w:val="24"/>
          <w:szCs w:val="24"/>
          <w:lang w:val="en-GB"/>
        </w:rPr>
        <w:t>The Quality Cycle</w:t>
      </w:r>
      <w:r>
        <w:rPr>
          <w:rFonts w:ascii="Arial" w:hAnsi="Arial" w:cs="Arial"/>
          <w:i w:val="0"/>
          <w:iCs w:val="0"/>
          <w:color w:val="000000" w:themeColor="text1"/>
          <w:sz w:val="24"/>
          <w:szCs w:val="24"/>
          <w:lang w:val="en-GB"/>
        </w:rPr>
        <w:t xml:space="preserve">, summarizing the positive interplay between Guidelines, Clinical Practice and Surveys/Registries. </w:t>
      </w:r>
    </w:p>
    <w:p w14:paraId="45B55E32" w14:textId="77777777" w:rsidR="0063383E" w:rsidRDefault="0063383E" w:rsidP="00224C38">
      <w:pPr>
        <w:rPr>
          <w:lang w:val="en-GB"/>
        </w:rPr>
      </w:pPr>
    </w:p>
    <w:p w14:paraId="59EB6DF8" w14:textId="77777777" w:rsidR="0063383E" w:rsidRDefault="0063383E" w:rsidP="00224C38">
      <w:pPr>
        <w:rPr>
          <w:lang w:val="en-GB"/>
        </w:rPr>
      </w:pPr>
    </w:p>
    <w:p w14:paraId="37E699B6" w14:textId="77777777" w:rsidR="0063383E" w:rsidRDefault="0063383E" w:rsidP="00224C38">
      <w:pPr>
        <w:rPr>
          <w:lang w:val="en-GB"/>
        </w:rPr>
      </w:pPr>
    </w:p>
    <w:p w14:paraId="24A3B40F" w14:textId="77777777" w:rsidR="0063383E" w:rsidRPr="00224C38" w:rsidRDefault="0063383E" w:rsidP="00224C38">
      <w:pPr>
        <w:rPr>
          <w:lang w:val="en-GB"/>
        </w:rPr>
      </w:pPr>
    </w:p>
    <w:p w14:paraId="373F6E3B" w14:textId="77777777" w:rsidR="0063383E" w:rsidRPr="009E6E56" w:rsidRDefault="0063383E" w:rsidP="00616ACE">
      <w:pPr>
        <w:rPr>
          <w:rFonts w:ascii="Arial" w:hAnsi="Arial" w:cs="Arial"/>
          <w:lang w:val="en-GB"/>
        </w:rPr>
      </w:pPr>
    </w:p>
    <w:p w14:paraId="17748B8D" w14:textId="77777777" w:rsidR="0063383E" w:rsidRPr="009E6E56" w:rsidRDefault="0063383E" w:rsidP="00616ACE">
      <w:pPr>
        <w:rPr>
          <w:rFonts w:ascii="Arial" w:hAnsi="Arial" w:cs="Arial"/>
          <w:lang w:val="en-GB"/>
        </w:rPr>
      </w:pPr>
    </w:p>
    <w:p w14:paraId="6D1A69F3" w14:textId="77777777" w:rsidR="0063383E" w:rsidRPr="009E6E56" w:rsidRDefault="0063383E" w:rsidP="00616ACE">
      <w:pPr>
        <w:rPr>
          <w:rFonts w:ascii="Arial" w:hAnsi="Arial" w:cs="Arial"/>
          <w:lang w:val="en-GB"/>
        </w:rPr>
      </w:pPr>
    </w:p>
    <w:p w14:paraId="295F854B" w14:textId="77777777" w:rsidR="0063383E" w:rsidRPr="009E6E56" w:rsidRDefault="0063383E" w:rsidP="00616ACE">
      <w:pPr>
        <w:rPr>
          <w:lang w:val="en-GB"/>
        </w:rPr>
      </w:pPr>
    </w:p>
    <w:p w14:paraId="50894505" w14:textId="77777777" w:rsidR="0063383E" w:rsidRPr="009E6E56" w:rsidRDefault="0063383E" w:rsidP="00616ACE">
      <w:pPr>
        <w:rPr>
          <w:lang w:val="en-GB"/>
        </w:rPr>
      </w:pPr>
    </w:p>
    <w:p w14:paraId="3D29A230" w14:textId="77777777" w:rsidR="0063383E" w:rsidRPr="009E6E56" w:rsidRDefault="0063383E" w:rsidP="00616ACE">
      <w:pPr>
        <w:rPr>
          <w:lang w:val="en-GB"/>
        </w:rPr>
      </w:pPr>
    </w:p>
    <w:p w14:paraId="013FEF52" w14:textId="77777777" w:rsidR="0063383E" w:rsidRPr="009E6E56" w:rsidRDefault="0063383E" w:rsidP="00616ACE">
      <w:pPr>
        <w:rPr>
          <w:lang w:val="en-GB"/>
        </w:rPr>
      </w:pPr>
    </w:p>
    <w:p w14:paraId="0CCCD523" w14:textId="77777777" w:rsidR="0063383E" w:rsidRPr="009E6E56" w:rsidRDefault="0063383E" w:rsidP="00616ACE">
      <w:pPr>
        <w:rPr>
          <w:lang w:val="en-GB"/>
        </w:rPr>
      </w:pPr>
    </w:p>
    <w:p w14:paraId="291969F9" w14:textId="77777777" w:rsidR="0063383E" w:rsidRPr="009E6E56" w:rsidRDefault="0063383E" w:rsidP="00616ACE">
      <w:pPr>
        <w:rPr>
          <w:lang w:val="en-GB"/>
        </w:rPr>
      </w:pPr>
    </w:p>
    <w:p w14:paraId="4F0334A9" w14:textId="77777777" w:rsidR="0063383E" w:rsidRPr="009E6E56" w:rsidRDefault="0063383E" w:rsidP="00616ACE">
      <w:pPr>
        <w:rPr>
          <w:lang w:val="en-GB"/>
        </w:rPr>
      </w:pPr>
    </w:p>
    <w:p w14:paraId="49080642" w14:textId="77777777" w:rsidR="0063383E" w:rsidRPr="009E6E56" w:rsidRDefault="0063383E" w:rsidP="00616ACE">
      <w:pPr>
        <w:rPr>
          <w:lang w:val="en-GB"/>
        </w:rPr>
      </w:pPr>
    </w:p>
    <w:p w14:paraId="53E4DF74" w14:textId="77777777" w:rsidR="0063383E" w:rsidRPr="009E6E56" w:rsidRDefault="0063383E" w:rsidP="00616ACE">
      <w:pPr>
        <w:rPr>
          <w:lang w:val="en-GB"/>
        </w:rPr>
      </w:pPr>
    </w:p>
    <w:p w14:paraId="0E5D37F1" w14:textId="77777777" w:rsidR="0063383E" w:rsidRPr="009E6E56" w:rsidRDefault="0063383E" w:rsidP="00616ACE">
      <w:pPr>
        <w:rPr>
          <w:lang w:val="en-GB"/>
        </w:rPr>
      </w:pPr>
    </w:p>
    <w:p w14:paraId="2937C104" w14:textId="77777777" w:rsidR="0063383E" w:rsidRPr="009E6E56" w:rsidRDefault="0063383E" w:rsidP="0072395A">
      <w:pPr>
        <w:keepNext/>
        <w:jc w:val="both"/>
        <w:rPr>
          <w:lang w:val="en-GB"/>
        </w:rPr>
      </w:pPr>
      <w:r w:rsidRPr="009E6E56">
        <w:rPr>
          <w:noProof/>
          <w:color w:val="000000" w:themeColor="text1"/>
          <w:lang w:val="en-US" w:eastAsia="en-US"/>
        </w:rPr>
        <w:lastRenderedPageBreak/>
        <w:drawing>
          <wp:inline distT="0" distB="0" distL="0" distR="0" wp14:anchorId="7497FAEA" wp14:editId="0581CCBC">
            <wp:extent cx="5935980" cy="3857127"/>
            <wp:effectExtent l="0" t="0" r="7620" b="10160"/>
            <wp:docPr id="1" name="Grafico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C95254-15F4-354A-95C5-176BBDED4F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AF46D39" w14:textId="77777777" w:rsidR="0063383E" w:rsidRPr="009E6E56" w:rsidRDefault="0063383E" w:rsidP="0072395A">
      <w:pPr>
        <w:pStyle w:val="Caption"/>
        <w:jc w:val="both"/>
        <w:rPr>
          <w:rFonts w:ascii="Arial" w:hAnsi="Arial" w:cs="Arial"/>
          <w:b/>
          <w:bCs/>
          <w:i w:val="0"/>
          <w:iCs w:val="0"/>
          <w:color w:val="000000" w:themeColor="text1"/>
          <w:sz w:val="28"/>
          <w:szCs w:val="28"/>
          <w:lang w:val="en-GB"/>
        </w:rPr>
      </w:pPr>
      <w:bookmarkStart w:id="5" w:name="_Ref32493564"/>
      <w:r w:rsidRPr="009E6E56">
        <w:rPr>
          <w:rFonts w:ascii="Arial" w:hAnsi="Arial" w:cs="Arial"/>
          <w:i w:val="0"/>
          <w:iCs w:val="0"/>
          <w:color w:val="000000" w:themeColor="text1"/>
          <w:lang w:val="en-GB"/>
        </w:rPr>
        <w:t xml:space="preserve">Figure </w:t>
      </w:r>
      <w:r w:rsidRPr="009E6E56">
        <w:rPr>
          <w:rFonts w:ascii="Arial" w:hAnsi="Arial" w:cs="Arial"/>
          <w:i w:val="0"/>
          <w:iCs w:val="0"/>
          <w:color w:val="000000" w:themeColor="text1"/>
          <w:lang w:val="en-GB"/>
        </w:rPr>
        <w:fldChar w:fldCharType="begin"/>
      </w:r>
      <w:r w:rsidRPr="009E6E56">
        <w:rPr>
          <w:rFonts w:ascii="Arial" w:hAnsi="Arial" w:cs="Arial"/>
          <w:i w:val="0"/>
          <w:iCs w:val="0"/>
          <w:color w:val="000000" w:themeColor="text1"/>
          <w:lang w:val="en-GB"/>
        </w:rPr>
        <w:instrText xml:space="preserve"> SEQ Figure \* ARABIC </w:instrText>
      </w:r>
      <w:r w:rsidRPr="009E6E56">
        <w:rPr>
          <w:rFonts w:ascii="Arial" w:hAnsi="Arial" w:cs="Arial"/>
          <w:i w:val="0"/>
          <w:iCs w:val="0"/>
          <w:color w:val="000000" w:themeColor="text1"/>
          <w:lang w:val="en-GB"/>
        </w:rPr>
        <w:fldChar w:fldCharType="separate"/>
      </w:r>
      <w:r>
        <w:rPr>
          <w:rFonts w:ascii="Arial" w:hAnsi="Arial" w:cs="Arial"/>
          <w:i w:val="0"/>
          <w:iCs w:val="0"/>
          <w:noProof/>
          <w:color w:val="000000" w:themeColor="text1"/>
          <w:lang w:val="en-GB"/>
        </w:rPr>
        <w:t>1</w:t>
      </w:r>
      <w:r w:rsidRPr="009E6E56">
        <w:rPr>
          <w:rFonts w:ascii="Arial" w:hAnsi="Arial" w:cs="Arial"/>
          <w:i w:val="0"/>
          <w:iCs w:val="0"/>
          <w:color w:val="000000" w:themeColor="text1"/>
          <w:lang w:val="en-GB"/>
        </w:rPr>
        <w:fldChar w:fldCharType="end"/>
      </w:r>
      <w:bookmarkEnd w:id="5"/>
    </w:p>
    <w:p w14:paraId="6E0F1B71" w14:textId="77777777" w:rsidR="0063383E" w:rsidRPr="009E6E56" w:rsidRDefault="0063383E">
      <w:pPr>
        <w:rPr>
          <w:rFonts w:asciiTheme="majorHAnsi" w:hAnsiTheme="majorHAnsi" w:cstheme="majorHAnsi"/>
          <w:color w:val="000000" w:themeColor="text1"/>
          <w:sz w:val="18"/>
          <w:szCs w:val="18"/>
          <w:lang w:val="en-GB"/>
        </w:rPr>
      </w:pPr>
    </w:p>
    <w:p w14:paraId="549CA1EE" w14:textId="77777777" w:rsidR="0063383E" w:rsidRPr="009E6E56" w:rsidRDefault="0063383E" w:rsidP="002D4ACE">
      <w:pPr>
        <w:keepNext/>
        <w:jc w:val="center"/>
        <w:rPr>
          <w:lang w:val="en-GB"/>
        </w:rPr>
      </w:pPr>
      <w:r w:rsidRPr="009E6E56">
        <w:rPr>
          <w:noProof/>
          <w:color w:val="000000" w:themeColor="text1"/>
          <w:lang w:val="en-US" w:eastAsia="en-US"/>
        </w:rPr>
        <w:lastRenderedPageBreak/>
        <w:drawing>
          <wp:inline distT="0" distB="0" distL="0" distR="0" wp14:anchorId="5F980729" wp14:editId="665798F1">
            <wp:extent cx="5774642" cy="5831653"/>
            <wp:effectExtent l="12700" t="12700" r="17145" b="1079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2103" r="22197"/>
                    <a:stretch/>
                  </pic:blipFill>
                  <pic:spPr bwMode="auto">
                    <a:xfrm>
                      <a:off x="0" y="0"/>
                      <a:ext cx="5781329" cy="58384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7FD063F" w14:textId="77777777" w:rsidR="0063383E" w:rsidRPr="009E6E56" w:rsidRDefault="0063383E" w:rsidP="0072395A">
      <w:pPr>
        <w:pStyle w:val="Caption"/>
        <w:jc w:val="both"/>
        <w:rPr>
          <w:rFonts w:ascii="Arial" w:hAnsi="Arial" w:cs="Arial"/>
          <w:i w:val="0"/>
          <w:iCs w:val="0"/>
          <w:color w:val="000000" w:themeColor="text1"/>
          <w:lang w:val="en-GB"/>
        </w:rPr>
      </w:pPr>
    </w:p>
    <w:p w14:paraId="60E5701B" w14:textId="77777777" w:rsidR="0063383E" w:rsidRPr="009E6E56" w:rsidRDefault="0063383E" w:rsidP="0072395A">
      <w:pPr>
        <w:pStyle w:val="Caption"/>
        <w:jc w:val="both"/>
        <w:rPr>
          <w:rFonts w:ascii="Arial" w:hAnsi="Arial" w:cs="Arial"/>
          <w:i w:val="0"/>
          <w:iCs w:val="0"/>
          <w:color w:val="000000" w:themeColor="text1"/>
          <w:lang w:val="en-GB"/>
        </w:rPr>
      </w:pPr>
      <w:bookmarkStart w:id="6" w:name="_Ref32494926"/>
      <w:r w:rsidRPr="009E6E56">
        <w:rPr>
          <w:rFonts w:ascii="Arial" w:hAnsi="Arial" w:cs="Arial"/>
          <w:i w:val="0"/>
          <w:iCs w:val="0"/>
          <w:color w:val="000000" w:themeColor="text1"/>
          <w:lang w:val="en-GB"/>
        </w:rPr>
        <w:t xml:space="preserve">Figure </w:t>
      </w:r>
      <w:r w:rsidRPr="009E6E56">
        <w:rPr>
          <w:rFonts w:ascii="Arial" w:hAnsi="Arial" w:cs="Arial"/>
          <w:i w:val="0"/>
          <w:iCs w:val="0"/>
          <w:color w:val="000000" w:themeColor="text1"/>
          <w:lang w:val="en-GB"/>
        </w:rPr>
        <w:fldChar w:fldCharType="begin"/>
      </w:r>
      <w:r w:rsidRPr="009E6E56">
        <w:rPr>
          <w:rFonts w:ascii="Arial" w:hAnsi="Arial" w:cs="Arial"/>
          <w:i w:val="0"/>
          <w:iCs w:val="0"/>
          <w:color w:val="000000" w:themeColor="text1"/>
          <w:lang w:val="en-GB"/>
        </w:rPr>
        <w:instrText xml:space="preserve"> SEQ Figure \* ARABIC </w:instrText>
      </w:r>
      <w:r w:rsidRPr="009E6E56">
        <w:rPr>
          <w:rFonts w:ascii="Arial" w:hAnsi="Arial" w:cs="Arial"/>
          <w:i w:val="0"/>
          <w:iCs w:val="0"/>
          <w:color w:val="000000" w:themeColor="text1"/>
          <w:lang w:val="en-GB"/>
        </w:rPr>
        <w:fldChar w:fldCharType="separate"/>
      </w:r>
      <w:r>
        <w:rPr>
          <w:rFonts w:ascii="Arial" w:hAnsi="Arial" w:cs="Arial"/>
          <w:i w:val="0"/>
          <w:iCs w:val="0"/>
          <w:noProof/>
          <w:color w:val="000000" w:themeColor="text1"/>
          <w:lang w:val="en-GB"/>
        </w:rPr>
        <w:t>2</w:t>
      </w:r>
      <w:r w:rsidRPr="009E6E56">
        <w:rPr>
          <w:rFonts w:ascii="Arial" w:hAnsi="Arial" w:cs="Arial"/>
          <w:i w:val="0"/>
          <w:iCs w:val="0"/>
          <w:color w:val="000000" w:themeColor="text1"/>
          <w:lang w:val="en-GB"/>
        </w:rPr>
        <w:fldChar w:fldCharType="end"/>
      </w:r>
      <w:bookmarkEnd w:id="6"/>
    </w:p>
    <w:p w14:paraId="5D0AB81D" w14:textId="77777777" w:rsidR="0063383E" w:rsidRPr="009E6E56" w:rsidRDefault="0063383E" w:rsidP="00BA4B22">
      <w:pPr>
        <w:pStyle w:val="Caption"/>
        <w:jc w:val="center"/>
        <w:rPr>
          <w:color w:val="000000" w:themeColor="text1"/>
          <w:lang w:val="en-GB"/>
        </w:rPr>
      </w:pPr>
      <w:bookmarkStart w:id="7" w:name="_Ref29907466"/>
    </w:p>
    <w:p w14:paraId="7F46177C" w14:textId="77777777" w:rsidR="0063383E" w:rsidRPr="009E6E56" w:rsidRDefault="0063383E" w:rsidP="00BA4B22">
      <w:pPr>
        <w:pStyle w:val="Caption"/>
        <w:jc w:val="center"/>
        <w:rPr>
          <w:color w:val="000000" w:themeColor="text1"/>
          <w:lang w:val="en-GB"/>
        </w:rPr>
      </w:pPr>
    </w:p>
    <w:bookmarkEnd w:id="7"/>
    <w:p w14:paraId="3EFFDFEA" w14:textId="77777777" w:rsidR="0063383E" w:rsidRPr="009E6E56" w:rsidRDefault="0063383E" w:rsidP="00BA4B22">
      <w:pPr>
        <w:jc w:val="center"/>
        <w:rPr>
          <w:rFonts w:asciiTheme="majorHAnsi" w:hAnsiTheme="majorHAnsi" w:cstheme="majorHAnsi"/>
          <w:i/>
          <w:color w:val="000000" w:themeColor="text1"/>
          <w:sz w:val="18"/>
          <w:szCs w:val="18"/>
          <w:lang w:val="en-GB"/>
        </w:rPr>
      </w:pPr>
    </w:p>
    <w:p w14:paraId="793DF530" w14:textId="77777777" w:rsidR="0063383E" w:rsidRPr="009E6E56" w:rsidRDefault="0063383E">
      <w:pPr>
        <w:rPr>
          <w:rFonts w:asciiTheme="majorHAnsi" w:hAnsiTheme="majorHAnsi" w:cstheme="majorHAnsi"/>
          <w:i/>
          <w:color w:val="000000" w:themeColor="text1"/>
          <w:sz w:val="18"/>
          <w:szCs w:val="18"/>
          <w:lang w:val="en-GB"/>
        </w:rPr>
      </w:pPr>
    </w:p>
    <w:p w14:paraId="58F422D4" w14:textId="77777777" w:rsidR="0063383E" w:rsidRPr="009E6E56" w:rsidRDefault="0063383E">
      <w:pPr>
        <w:rPr>
          <w:rFonts w:asciiTheme="majorHAnsi" w:hAnsiTheme="majorHAnsi" w:cstheme="majorHAnsi"/>
          <w:i/>
          <w:color w:val="000000" w:themeColor="text1"/>
          <w:sz w:val="18"/>
          <w:szCs w:val="18"/>
          <w:lang w:val="en-GB"/>
        </w:rPr>
      </w:pPr>
    </w:p>
    <w:p w14:paraId="28E90A8A" w14:textId="77777777" w:rsidR="0063383E" w:rsidRPr="009E6E56" w:rsidRDefault="0063383E">
      <w:pPr>
        <w:rPr>
          <w:rFonts w:asciiTheme="majorHAnsi" w:hAnsiTheme="majorHAnsi" w:cstheme="majorHAnsi"/>
          <w:i/>
          <w:color w:val="000000" w:themeColor="text1"/>
          <w:sz w:val="18"/>
          <w:szCs w:val="18"/>
          <w:lang w:val="en-GB"/>
        </w:rPr>
      </w:pPr>
    </w:p>
    <w:p w14:paraId="0F461CB6" w14:textId="77777777" w:rsidR="0063383E" w:rsidRPr="009E6E56" w:rsidRDefault="0063383E">
      <w:pPr>
        <w:rPr>
          <w:rFonts w:asciiTheme="majorHAnsi" w:hAnsiTheme="majorHAnsi" w:cstheme="majorHAnsi"/>
          <w:i/>
          <w:color w:val="000000" w:themeColor="text1"/>
          <w:sz w:val="18"/>
          <w:szCs w:val="18"/>
          <w:lang w:val="en-GB"/>
        </w:rPr>
      </w:pPr>
    </w:p>
    <w:p w14:paraId="0FC83E06" w14:textId="77777777" w:rsidR="0063383E" w:rsidRPr="009E6E56" w:rsidRDefault="0063383E">
      <w:pPr>
        <w:rPr>
          <w:rFonts w:asciiTheme="majorHAnsi" w:hAnsiTheme="majorHAnsi" w:cstheme="majorHAnsi"/>
          <w:i/>
          <w:color w:val="000000" w:themeColor="text1"/>
          <w:sz w:val="18"/>
          <w:szCs w:val="18"/>
          <w:lang w:val="en-GB"/>
        </w:rPr>
      </w:pPr>
    </w:p>
    <w:p w14:paraId="10001FBC" w14:textId="77777777" w:rsidR="0063383E" w:rsidRPr="009E6E56" w:rsidRDefault="0063383E">
      <w:pPr>
        <w:rPr>
          <w:rFonts w:asciiTheme="majorHAnsi" w:hAnsiTheme="majorHAnsi" w:cstheme="majorHAnsi"/>
          <w:i/>
          <w:color w:val="000000" w:themeColor="text1"/>
          <w:sz w:val="18"/>
          <w:szCs w:val="18"/>
          <w:lang w:val="en-GB"/>
        </w:rPr>
      </w:pPr>
    </w:p>
    <w:p w14:paraId="6FCE2192" w14:textId="77777777" w:rsidR="0063383E" w:rsidRPr="009E6E56" w:rsidRDefault="0063383E">
      <w:pPr>
        <w:rPr>
          <w:rFonts w:asciiTheme="majorHAnsi" w:hAnsiTheme="majorHAnsi" w:cstheme="majorHAnsi"/>
          <w:i/>
          <w:color w:val="000000" w:themeColor="text1"/>
          <w:sz w:val="18"/>
          <w:szCs w:val="18"/>
          <w:lang w:val="en-GB"/>
        </w:rPr>
      </w:pPr>
    </w:p>
    <w:p w14:paraId="51EAD9AC" w14:textId="77777777" w:rsidR="0063383E" w:rsidRPr="009E6E56" w:rsidRDefault="0063383E">
      <w:pPr>
        <w:rPr>
          <w:rFonts w:asciiTheme="majorHAnsi" w:hAnsiTheme="majorHAnsi" w:cstheme="majorHAnsi"/>
          <w:i/>
          <w:color w:val="000000" w:themeColor="text1"/>
          <w:sz w:val="18"/>
          <w:szCs w:val="18"/>
          <w:lang w:val="en-GB"/>
        </w:rPr>
      </w:pPr>
    </w:p>
    <w:p w14:paraId="39AD6A3C" w14:textId="77777777" w:rsidR="0063383E" w:rsidRPr="009E6E56" w:rsidRDefault="0063383E">
      <w:pPr>
        <w:rPr>
          <w:rFonts w:asciiTheme="majorHAnsi" w:hAnsiTheme="majorHAnsi" w:cstheme="majorHAnsi"/>
          <w:i/>
          <w:color w:val="000000" w:themeColor="text1"/>
          <w:sz w:val="18"/>
          <w:szCs w:val="18"/>
          <w:lang w:val="en-GB"/>
        </w:rPr>
      </w:pPr>
    </w:p>
    <w:p w14:paraId="4CD155F7" w14:textId="77777777" w:rsidR="0063383E" w:rsidRPr="009E6E56" w:rsidRDefault="0063383E">
      <w:pPr>
        <w:rPr>
          <w:rFonts w:asciiTheme="majorHAnsi" w:hAnsiTheme="majorHAnsi" w:cstheme="majorHAnsi"/>
          <w:i/>
          <w:color w:val="000000" w:themeColor="text1"/>
          <w:sz w:val="18"/>
          <w:szCs w:val="18"/>
          <w:lang w:val="en-GB"/>
        </w:rPr>
        <w:sectPr w:rsidR="0063383E" w:rsidRPr="009E6E56" w:rsidSect="00111152">
          <w:pgSz w:w="11900" w:h="16840"/>
          <w:pgMar w:top="1429" w:right="1134" w:bottom="1617" w:left="1418" w:header="708" w:footer="708" w:gutter="0"/>
          <w:cols w:space="708"/>
          <w:docGrid w:linePitch="360"/>
        </w:sectPr>
      </w:pPr>
      <w:r w:rsidRPr="009E6E56">
        <w:rPr>
          <w:color w:val="000000" w:themeColor="text1"/>
          <w:lang w:val="en-GB"/>
        </w:rPr>
        <w:br/>
      </w:r>
    </w:p>
    <w:p w14:paraId="15DBBA3A" w14:textId="77777777" w:rsidR="0063383E" w:rsidRPr="009E6E56" w:rsidRDefault="0063383E">
      <w:pPr>
        <w:rPr>
          <w:rFonts w:asciiTheme="majorHAnsi" w:hAnsiTheme="majorHAnsi" w:cstheme="majorHAnsi"/>
          <w:i/>
          <w:color w:val="000000" w:themeColor="text1"/>
          <w:sz w:val="18"/>
          <w:szCs w:val="18"/>
          <w:lang w:val="en-GB"/>
        </w:rPr>
      </w:pPr>
    </w:p>
    <w:p w14:paraId="29840037" w14:textId="77777777" w:rsidR="0063383E" w:rsidRPr="009E6E56" w:rsidRDefault="0063383E" w:rsidP="00C90B7A">
      <w:pPr>
        <w:jc w:val="center"/>
        <w:rPr>
          <w:rFonts w:ascii="Arial" w:hAnsi="Arial" w:cs="Arial"/>
          <w:b/>
          <w:bCs/>
          <w:i/>
          <w:color w:val="000000" w:themeColor="text1"/>
          <w:sz w:val="18"/>
          <w:szCs w:val="18"/>
          <w:lang w:val="en-GB"/>
        </w:rPr>
      </w:pPr>
      <w:bookmarkStart w:id="8" w:name="_Ref30407457"/>
      <w:r w:rsidRPr="009E6E56">
        <w:rPr>
          <w:rFonts w:ascii="Arial" w:hAnsi="Arial" w:cs="Arial"/>
          <w:color w:val="000000" w:themeColor="text1"/>
          <w:lang w:val="en-GB"/>
        </w:rPr>
        <w:t xml:space="preserve">Table </w:t>
      </w:r>
      <w:r w:rsidRPr="009E6E56">
        <w:rPr>
          <w:rFonts w:ascii="Arial" w:hAnsi="Arial" w:cs="Arial"/>
          <w:color w:val="000000" w:themeColor="text1"/>
          <w:lang w:val="en-GB"/>
        </w:rPr>
        <w:fldChar w:fldCharType="begin"/>
      </w:r>
      <w:r w:rsidRPr="009E6E56">
        <w:rPr>
          <w:rFonts w:ascii="Arial" w:hAnsi="Arial" w:cs="Arial"/>
          <w:color w:val="000000" w:themeColor="text1"/>
          <w:lang w:val="en-GB"/>
        </w:rPr>
        <w:instrText xml:space="preserve"> SEQ Table \* ARABIC </w:instrText>
      </w:r>
      <w:r w:rsidRPr="009E6E56">
        <w:rPr>
          <w:rFonts w:ascii="Arial" w:hAnsi="Arial" w:cs="Arial"/>
          <w:color w:val="000000" w:themeColor="text1"/>
          <w:lang w:val="en-GB"/>
        </w:rPr>
        <w:fldChar w:fldCharType="separate"/>
      </w:r>
      <w:r>
        <w:rPr>
          <w:rFonts w:ascii="Arial" w:hAnsi="Arial" w:cs="Arial"/>
          <w:noProof/>
          <w:color w:val="000000" w:themeColor="text1"/>
          <w:lang w:val="en-GB"/>
        </w:rPr>
        <w:t>1</w:t>
      </w:r>
      <w:r w:rsidRPr="009E6E56">
        <w:rPr>
          <w:rFonts w:ascii="Arial" w:hAnsi="Arial" w:cs="Arial"/>
          <w:color w:val="000000" w:themeColor="text1"/>
          <w:lang w:val="en-GB"/>
        </w:rPr>
        <w:fldChar w:fldCharType="end"/>
      </w:r>
      <w:bookmarkEnd w:id="8"/>
      <w:r w:rsidRPr="009E6E56">
        <w:rPr>
          <w:rFonts w:ascii="Arial" w:hAnsi="Arial" w:cs="Arial"/>
          <w:b/>
          <w:bCs/>
          <w:color w:val="000000" w:themeColor="text1"/>
          <w:lang w:val="en-GB"/>
        </w:rPr>
        <w:t xml:space="preserve"> Published papers on AF patients from the Euro Heart Survey and </w:t>
      </w:r>
      <w:proofErr w:type="spellStart"/>
      <w:r w:rsidRPr="009E6E56">
        <w:rPr>
          <w:rFonts w:ascii="Arial" w:hAnsi="Arial" w:cs="Arial"/>
          <w:b/>
          <w:bCs/>
          <w:color w:val="000000" w:themeColor="text1"/>
          <w:lang w:val="en-GB"/>
        </w:rPr>
        <w:t>EURObservational</w:t>
      </w:r>
      <w:proofErr w:type="spellEnd"/>
      <w:r w:rsidRPr="009E6E56">
        <w:rPr>
          <w:rFonts w:ascii="Arial" w:hAnsi="Arial" w:cs="Arial"/>
          <w:b/>
          <w:bCs/>
          <w:color w:val="000000" w:themeColor="text1"/>
          <w:lang w:val="en-GB"/>
        </w:rPr>
        <w:t xml:space="preserve"> Registry Programme</w:t>
      </w:r>
    </w:p>
    <w:p w14:paraId="4808F9D9" w14:textId="77777777" w:rsidR="0063383E" w:rsidRPr="009E6E56" w:rsidRDefault="0063383E" w:rsidP="00E01ADE">
      <w:pPr>
        <w:rPr>
          <w:rFonts w:asciiTheme="majorHAnsi" w:hAnsiTheme="majorHAnsi" w:cstheme="majorHAnsi"/>
          <w:i/>
          <w:color w:val="000000" w:themeColor="text1"/>
          <w:sz w:val="18"/>
          <w:szCs w:val="18"/>
          <w:lang w:val="en-GB"/>
        </w:rPr>
      </w:pPr>
    </w:p>
    <w:tbl>
      <w:tblPr>
        <w:tblStyle w:val="ListTable7Colorful"/>
        <w:tblW w:w="14596" w:type="dxa"/>
        <w:tblLook w:val="04A0" w:firstRow="1" w:lastRow="0" w:firstColumn="1" w:lastColumn="0" w:noHBand="0" w:noVBand="1"/>
      </w:tblPr>
      <w:tblGrid>
        <w:gridCol w:w="2379"/>
        <w:gridCol w:w="2433"/>
        <w:gridCol w:w="2324"/>
        <w:gridCol w:w="2380"/>
        <w:gridCol w:w="2380"/>
        <w:gridCol w:w="2700"/>
      </w:tblGrid>
      <w:tr w:rsidR="0063383E" w:rsidRPr="00D34851" w14:paraId="36CF55A1" w14:textId="77777777" w:rsidTr="00777EF7">
        <w:trPr>
          <w:cnfStyle w:val="100000000000" w:firstRow="1" w:lastRow="0" w:firstColumn="0" w:lastColumn="0" w:oddVBand="0" w:evenVBand="0" w:oddHBand="0" w:evenHBand="0" w:firstRowFirstColumn="0" w:firstRowLastColumn="0" w:lastRowFirstColumn="0" w:lastRowLastColumn="0"/>
          <w:trHeight w:val="116"/>
        </w:trPr>
        <w:tc>
          <w:tcPr>
            <w:cnfStyle w:val="001000000100" w:firstRow="0" w:lastRow="0" w:firstColumn="1" w:lastColumn="0" w:oddVBand="0" w:evenVBand="0" w:oddHBand="0" w:evenHBand="0" w:firstRowFirstColumn="1" w:firstRowLastColumn="0" w:lastRowFirstColumn="0" w:lastRowLastColumn="0"/>
            <w:tcW w:w="2379" w:type="dxa"/>
            <w:tcBorders>
              <w:top w:val="single" w:sz="4" w:space="0" w:color="000000"/>
              <w:left w:val="single" w:sz="4" w:space="0" w:color="000000"/>
              <w:bottom w:val="none" w:sz="0" w:space="0" w:color="auto"/>
            </w:tcBorders>
          </w:tcPr>
          <w:p w14:paraId="1B65D8B2" w14:textId="77777777" w:rsidR="0063383E" w:rsidRPr="00D34851" w:rsidRDefault="0063383E" w:rsidP="00D11F2C">
            <w:pPr>
              <w:jc w:val="center"/>
              <w:rPr>
                <w:rFonts w:ascii="Arial" w:hAnsi="Arial" w:cs="Arial"/>
                <w:b w:val="0"/>
                <w:i w:val="0"/>
                <w:iCs w:val="0"/>
                <w:sz w:val="18"/>
                <w:szCs w:val="18"/>
                <w:lang w:val="en-GB"/>
              </w:rPr>
            </w:pPr>
          </w:p>
        </w:tc>
        <w:tc>
          <w:tcPr>
            <w:tcW w:w="2433" w:type="dxa"/>
            <w:tcBorders>
              <w:top w:val="single" w:sz="4" w:space="0" w:color="000000"/>
            </w:tcBorders>
            <w:vAlign w:val="center"/>
          </w:tcPr>
          <w:p w14:paraId="2D36D67E" w14:textId="77777777" w:rsidR="0063383E" w:rsidRPr="00D34851" w:rsidRDefault="0063383E" w:rsidP="009E3EBA">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iCs w:val="0"/>
                <w:sz w:val="18"/>
                <w:szCs w:val="18"/>
                <w:lang w:val="en-GB"/>
              </w:rPr>
            </w:pPr>
            <w:r w:rsidRPr="00D34851">
              <w:rPr>
                <w:rFonts w:ascii="Arial" w:hAnsi="Arial" w:cs="Arial"/>
                <w:i w:val="0"/>
                <w:iCs w:val="0"/>
                <w:sz w:val="18"/>
                <w:szCs w:val="18"/>
                <w:lang w:val="en-GB"/>
              </w:rPr>
              <w:t xml:space="preserve">EPIDEMIOLOGY </w:t>
            </w:r>
          </w:p>
          <w:p w14:paraId="2BCF7199" w14:textId="77777777" w:rsidR="0063383E" w:rsidRPr="00D34851" w:rsidRDefault="0063383E" w:rsidP="009503DF">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iCs w:val="0"/>
                <w:sz w:val="18"/>
                <w:szCs w:val="18"/>
                <w:lang w:val="en-GB"/>
              </w:rPr>
            </w:pPr>
            <w:r w:rsidRPr="00D34851">
              <w:rPr>
                <w:rFonts w:ascii="Arial" w:hAnsi="Arial" w:cs="Arial"/>
                <w:i w:val="0"/>
                <w:iCs w:val="0"/>
                <w:sz w:val="18"/>
                <w:szCs w:val="18"/>
                <w:lang w:val="en-GB"/>
              </w:rPr>
              <w:t>AND RISK FACTORS</w:t>
            </w:r>
          </w:p>
          <w:p w14:paraId="5045BB8B" w14:textId="77777777" w:rsidR="0063383E" w:rsidRPr="00D34851" w:rsidRDefault="0063383E">
            <w:pPr>
              <w:jc w:val="center"/>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18"/>
                <w:szCs w:val="18"/>
                <w:lang w:val="en-GB"/>
              </w:rPr>
            </w:pPr>
          </w:p>
        </w:tc>
        <w:tc>
          <w:tcPr>
            <w:tcW w:w="2324" w:type="dxa"/>
            <w:tcBorders>
              <w:top w:val="single" w:sz="4" w:space="0" w:color="000000"/>
            </w:tcBorders>
            <w:vAlign w:val="center"/>
          </w:tcPr>
          <w:p w14:paraId="1E38AFD8" w14:textId="77777777" w:rsidR="0063383E" w:rsidRPr="00D34851" w:rsidRDefault="0063383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iCs w:val="0"/>
                <w:sz w:val="18"/>
                <w:szCs w:val="18"/>
                <w:lang w:val="en-GB"/>
              </w:rPr>
            </w:pPr>
          </w:p>
          <w:p w14:paraId="7FBEBDF8" w14:textId="77777777" w:rsidR="0063383E" w:rsidRPr="00D34851" w:rsidRDefault="0063383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iCs w:val="0"/>
                <w:sz w:val="18"/>
                <w:szCs w:val="18"/>
                <w:lang w:val="en-GB"/>
              </w:rPr>
            </w:pPr>
            <w:r w:rsidRPr="00D34851">
              <w:rPr>
                <w:rFonts w:ascii="Arial" w:hAnsi="Arial" w:cs="Arial"/>
                <w:i w:val="0"/>
                <w:iCs w:val="0"/>
                <w:sz w:val="18"/>
                <w:szCs w:val="18"/>
                <w:lang w:val="en-GB"/>
              </w:rPr>
              <w:t>COMORBIDITIES</w:t>
            </w:r>
          </w:p>
          <w:p w14:paraId="538ABE64" w14:textId="77777777" w:rsidR="0063383E" w:rsidRPr="00D34851" w:rsidRDefault="0063383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iCs w:val="0"/>
                <w:sz w:val="18"/>
                <w:szCs w:val="18"/>
                <w:lang w:val="en-GB"/>
              </w:rPr>
            </w:pPr>
            <w:r w:rsidRPr="00D34851">
              <w:rPr>
                <w:rFonts w:ascii="Arial" w:hAnsi="Arial" w:cs="Arial"/>
                <w:i w:val="0"/>
                <w:iCs w:val="0"/>
                <w:sz w:val="18"/>
                <w:szCs w:val="18"/>
                <w:lang w:val="en-GB"/>
              </w:rPr>
              <w:t>AND OTHER CV DISEASES</w:t>
            </w:r>
          </w:p>
          <w:p w14:paraId="0CB6E05E" w14:textId="77777777" w:rsidR="0063383E" w:rsidRPr="00D34851" w:rsidRDefault="0063383E">
            <w:pPr>
              <w:jc w:val="center"/>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18"/>
                <w:szCs w:val="18"/>
                <w:lang w:val="en-GB"/>
              </w:rPr>
            </w:pPr>
          </w:p>
        </w:tc>
        <w:tc>
          <w:tcPr>
            <w:tcW w:w="2380" w:type="dxa"/>
            <w:tcBorders>
              <w:top w:val="single" w:sz="4" w:space="0" w:color="000000"/>
            </w:tcBorders>
            <w:vAlign w:val="center"/>
          </w:tcPr>
          <w:p w14:paraId="5ECA280D" w14:textId="77777777" w:rsidR="0063383E" w:rsidRPr="00D34851" w:rsidRDefault="0063383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iCs w:val="0"/>
                <w:sz w:val="18"/>
                <w:szCs w:val="18"/>
                <w:lang w:val="en-GB"/>
              </w:rPr>
            </w:pPr>
            <w:r w:rsidRPr="00D34851">
              <w:rPr>
                <w:rFonts w:ascii="Arial" w:hAnsi="Arial" w:cs="Arial"/>
                <w:i w:val="0"/>
                <w:iCs w:val="0"/>
                <w:sz w:val="18"/>
                <w:szCs w:val="18"/>
                <w:lang w:val="en-GB"/>
              </w:rPr>
              <w:t>AF MANAGEMENT</w:t>
            </w:r>
          </w:p>
          <w:p w14:paraId="0C6F5384" w14:textId="77777777" w:rsidR="0063383E" w:rsidRPr="00D34851" w:rsidRDefault="0063383E">
            <w:pPr>
              <w:jc w:val="center"/>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18"/>
                <w:szCs w:val="18"/>
                <w:lang w:val="en-GB"/>
              </w:rPr>
            </w:pPr>
          </w:p>
        </w:tc>
        <w:tc>
          <w:tcPr>
            <w:tcW w:w="2380" w:type="dxa"/>
            <w:tcBorders>
              <w:top w:val="single" w:sz="4" w:space="0" w:color="000000"/>
            </w:tcBorders>
            <w:vAlign w:val="center"/>
          </w:tcPr>
          <w:p w14:paraId="25E3ABCC" w14:textId="77777777" w:rsidR="0063383E" w:rsidRPr="00D34851" w:rsidRDefault="0063383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iCs w:val="0"/>
                <w:sz w:val="18"/>
                <w:szCs w:val="18"/>
                <w:lang w:val="en-GB"/>
              </w:rPr>
            </w:pPr>
            <w:r w:rsidRPr="00D34851">
              <w:rPr>
                <w:rFonts w:ascii="Arial" w:hAnsi="Arial" w:cs="Arial"/>
                <w:i w:val="0"/>
                <w:iCs w:val="0"/>
                <w:sz w:val="18"/>
                <w:szCs w:val="18"/>
                <w:lang w:val="en-GB"/>
              </w:rPr>
              <w:t>STROKE/BLEEDING RISK AND STROKE PREVENTION</w:t>
            </w:r>
          </w:p>
          <w:p w14:paraId="2A427778" w14:textId="77777777" w:rsidR="0063383E" w:rsidRPr="00D34851" w:rsidRDefault="0063383E">
            <w:pPr>
              <w:jc w:val="center"/>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18"/>
                <w:szCs w:val="18"/>
                <w:lang w:val="en-GB"/>
              </w:rPr>
            </w:pPr>
          </w:p>
        </w:tc>
        <w:tc>
          <w:tcPr>
            <w:tcW w:w="2700" w:type="dxa"/>
            <w:tcBorders>
              <w:top w:val="single" w:sz="4" w:space="0" w:color="000000"/>
              <w:right w:val="single" w:sz="4" w:space="0" w:color="000000"/>
            </w:tcBorders>
            <w:vAlign w:val="center"/>
          </w:tcPr>
          <w:p w14:paraId="52EDFF93" w14:textId="77777777" w:rsidR="0063383E" w:rsidRPr="00D34851" w:rsidRDefault="0063383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i w:val="0"/>
                <w:iCs w:val="0"/>
                <w:sz w:val="18"/>
                <w:szCs w:val="18"/>
                <w:lang w:val="en-GB"/>
              </w:rPr>
            </w:pPr>
            <w:r w:rsidRPr="00D34851">
              <w:rPr>
                <w:rFonts w:ascii="Arial" w:hAnsi="Arial" w:cs="Arial"/>
                <w:i w:val="0"/>
                <w:iCs w:val="0"/>
                <w:sz w:val="18"/>
                <w:szCs w:val="18"/>
                <w:lang w:val="en-GB"/>
              </w:rPr>
              <w:t>MISCELLANEOUS</w:t>
            </w:r>
          </w:p>
          <w:p w14:paraId="0F728119" w14:textId="77777777" w:rsidR="0063383E" w:rsidRPr="00D34851" w:rsidRDefault="0063383E">
            <w:pPr>
              <w:jc w:val="center"/>
              <w:cnfStyle w:val="100000000000" w:firstRow="1" w:lastRow="0" w:firstColumn="0" w:lastColumn="0" w:oddVBand="0" w:evenVBand="0" w:oddHBand="0" w:evenHBand="0" w:firstRowFirstColumn="0" w:firstRowLastColumn="0" w:lastRowFirstColumn="0" w:lastRowLastColumn="0"/>
              <w:rPr>
                <w:rFonts w:ascii="Arial" w:hAnsi="Arial" w:cs="Arial"/>
                <w:i w:val="0"/>
                <w:iCs w:val="0"/>
                <w:sz w:val="18"/>
                <w:szCs w:val="18"/>
                <w:lang w:val="en-GB"/>
              </w:rPr>
            </w:pPr>
          </w:p>
        </w:tc>
      </w:tr>
      <w:tr w:rsidR="0063383E" w:rsidRPr="00D34851" w14:paraId="090262C5" w14:textId="77777777" w:rsidTr="00777EF7">
        <w:trPr>
          <w:cnfStyle w:val="000000100000" w:firstRow="0" w:lastRow="0" w:firstColumn="0" w:lastColumn="0" w:oddVBand="0" w:evenVBand="0" w:oddHBand="1" w:evenHBand="0" w:firstRowFirstColumn="0" w:firstRowLastColumn="0" w:lastRowFirstColumn="0" w:lastRowLastColumn="0"/>
          <w:trHeight w:val="1000"/>
        </w:trPr>
        <w:tc>
          <w:tcPr>
            <w:cnfStyle w:val="001000000000" w:firstRow="0" w:lastRow="0" w:firstColumn="1" w:lastColumn="0" w:oddVBand="0" w:evenVBand="0" w:oddHBand="0" w:evenHBand="0" w:firstRowFirstColumn="0" w:firstRowLastColumn="0" w:lastRowFirstColumn="0" w:lastRowLastColumn="0"/>
            <w:tcW w:w="2379" w:type="dxa"/>
            <w:tcBorders>
              <w:left w:val="single" w:sz="4" w:space="0" w:color="000000"/>
            </w:tcBorders>
            <w:vAlign w:val="center"/>
          </w:tcPr>
          <w:p w14:paraId="4B14C825" w14:textId="77777777" w:rsidR="0063383E" w:rsidRPr="00D34851" w:rsidRDefault="0063383E" w:rsidP="00D11F2C">
            <w:pPr>
              <w:jc w:val="left"/>
              <w:rPr>
                <w:rFonts w:ascii="Arial" w:hAnsi="Arial" w:cs="Arial"/>
                <w:i w:val="0"/>
                <w:iCs w:val="0"/>
                <w:sz w:val="18"/>
                <w:szCs w:val="18"/>
                <w:lang w:val="en-GB"/>
              </w:rPr>
            </w:pPr>
            <w:r w:rsidRPr="00D34851">
              <w:rPr>
                <w:rFonts w:ascii="Arial" w:hAnsi="Arial" w:cs="Arial"/>
                <w:i w:val="0"/>
                <w:iCs w:val="0"/>
                <w:sz w:val="18"/>
                <w:szCs w:val="18"/>
                <w:lang w:val="en-GB"/>
              </w:rPr>
              <w:t>EURO HEART SURVEY</w:t>
            </w:r>
          </w:p>
        </w:tc>
        <w:tc>
          <w:tcPr>
            <w:tcW w:w="2433" w:type="dxa"/>
            <w:vAlign w:val="center"/>
          </w:tcPr>
          <w:p w14:paraId="774F184B" w14:textId="77777777" w:rsidR="0063383E" w:rsidRPr="00482C2B" w:rsidRDefault="0063383E" w:rsidP="009E3E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p w14:paraId="3063E1D2" w14:textId="77777777" w:rsidR="0063383E" w:rsidRPr="00482C2B" w:rsidRDefault="0063383E" w:rsidP="009503D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Age related differences</w:t>
            </w:r>
            <w:r>
              <w:rPr>
                <w:rFonts w:ascii="Arial" w:hAnsi="Arial" w:cs="Arial"/>
                <w:noProof/>
                <w:sz w:val="16"/>
                <w:szCs w:val="16"/>
                <w:lang w:val="en-GB"/>
              </w:rPr>
              <w:t>[24, 25]</w:t>
            </w:r>
          </w:p>
          <w:p w14:paraId="02DAF069"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p w14:paraId="2445ABB0"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Gender related differences</w:t>
            </w:r>
            <w:r>
              <w:rPr>
                <w:rFonts w:ascii="Arial" w:hAnsi="Arial" w:cs="Arial"/>
                <w:noProof/>
                <w:sz w:val="16"/>
                <w:szCs w:val="16"/>
                <w:lang w:val="en-GB"/>
              </w:rPr>
              <w:t>[31]</w:t>
            </w:r>
          </w:p>
        </w:tc>
        <w:tc>
          <w:tcPr>
            <w:tcW w:w="2324" w:type="dxa"/>
            <w:vAlign w:val="center"/>
          </w:tcPr>
          <w:p w14:paraId="1FD8339E"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Hypertension</w:t>
            </w:r>
            <w:r w:rsidRPr="00947543">
              <w:rPr>
                <w:rFonts w:ascii="Arial" w:hAnsi="Arial" w:cs="Arial"/>
                <w:noProof/>
                <w:sz w:val="16"/>
                <w:szCs w:val="16"/>
                <w:lang w:val="en-US"/>
              </w:rPr>
              <w:t>[23]</w:t>
            </w:r>
          </w:p>
          <w:p w14:paraId="4440F31D"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p w14:paraId="0ABB7AA7"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Heart Failure</w:t>
            </w:r>
            <w:r w:rsidRPr="00947543">
              <w:rPr>
                <w:rFonts w:ascii="Arial" w:hAnsi="Arial" w:cs="Arial"/>
                <w:noProof/>
                <w:sz w:val="16"/>
                <w:szCs w:val="16"/>
                <w:lang w:val="en-US"/>
              </w:rPr>
              <w:t>[50]</w:t>
            </w:r>
          </w:p>
          <w:p w14:paraId="555D0759"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p w14:paraId="6CEFC163"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 xml:space="preserve">Comorbidities </w:t>
            </w:r>
          </w:p>
          <w:p w14:paraId="44DAEDEC"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and risk of CV death</w:t>
            </w:r>
            <w:r w:rsidRPr="00947543">
              <w:rPr>
                <w:rFonts w:ascii="Arial" w:hAnsi="Arial" w:cs="Arial"/>
                <w:noProof/>
                <w:sz w:val="16"/>
                <w:szCs w:val="16"/>
                <w:lang w:val="en-US"/>
              </w:rPr>
              <w:t>[26]</w:t>
            </w:r>
          </w:p>
        </w:tc>
        <w:tc>
          <w:tcPr>
            <w:tcW w:w="2380" w:type="dxa"/>
            <w:vAlign w:val="center"/>
          </w:tcPr>
          <w:p w14:paraId="1DE6536C"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Cardioversion</w:t>
            </w:r>
            <w:r w:rsidRPr="00947543">
              <w:rPr>
                <w:rFonts w:ascii="Arial" w:hAnsi="Arial" w:cs="Arial"/>
                <w:noProof/>
                <w:sz w:val="16"/>
                <w:szCs w:val="16"/>
                <w:lang w:val="en-US"/>
              </w:rPr>
              <w:t>[35]</w:t>
            </w:r>
          </w:p>
          <w:p w14:paraId="281B2429"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p w14:paraId="34470F23"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Guideline adherence</w:t>
            </w:r>
            <w:r w:rsidRPr="00B850E7">
              <w:rPr>
                <w:rFonts w:ascii="Arial" w:hAnsi="Arial" w:cs="Arial"/>
                <w:noProof/>
                <w:sz w:val="16"/>
                <w:szCs w:val="16"/>
                <w:lang w:val="en-US"/>
              </w:rPr>
              <w:t>[39, 76]</w:t>
            </w:r>
          </w:p>
          <w:p w14:paraId="251C8E2E"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p w14:paraId="538733BB"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AF treatment changes</w:t>
            </w:r>
            <w:r>
              <w:rPr>
                <w:rFonts w:ascii="Arial" w:hAnsi="Arial" w:cs="Arial"/>
                <w:noProof/>
                <w:sz w:val="16"/>
                <w:szCs w:val="16"/>
                <w:lang w:val="en-GB"/>
              </w:rPr>
              <w:t>[11, 21]</w:t>
            </w:r>
          </w:p>
          <w:p w14:paraId="04D86F8B"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tc>
        <w:tc>
          <w:tcPr>
            <w:tcW w:w="2380" w:type="dxa"/>
            <w:vAlign w:val="center"/>
          </w:tcPr>
          <w:p w14:paraId="7E3BDC78"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p w14:paraId="5985D18B"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CHA</w:t>
            </w:r>
            <w:r w:rsidRPr="00482C2B">
              <w:rPr>
                <w:rFonts w:ascii="Arial" w:hAnsi="Arial" w:cs="Arial"/>
                <w:sz w:val="16"/>
                <w:szCs w:val="16"/>
                <w:vertAlign w:val="subscript"/>
                <w:lang w:val="en-GB"/>
              </w:rPr>
              <w:t>2</w:t>
            </w:r>
            <w:r w:rsidRPr="00482C2B">
              <w:rPr>
                <w:rFonts w:ascii="Arial" w:hAnsi="Arial" w:cs="Arial"/>
                <w:sz w:val="16"/>
                <w:szCs w:val="16"/>
                <w:lang w:val="en-GB"/>
              </w:rPr>
              <w:t>DS</w:t>
            </w:r>
            <w:r w:rsidRPr="00482C2B">
              <w:rPr>
                <w:rFonts w:ascii="Arial" w:hAnsi="Arial" w:cs="Arial"/>
                <w:sz w:val="16"/>
                <w:szCs w:val="16"/>
                <w:vertAlign w:val="subscript"/>
                <w:lang w:val="en-GB"/>
              </w:rPr>
              <w:t>2</w:t>
            </w:r>
            <w:r w:rsidRPr="00482C2B">
              <w:rPr>
                <w:rFonts w:ascii="Arial" w:hAnsi="Arial" w:cs="Arial"/>
                <w:sz w:val="16"/>
                <w:szCs w:val="16"/>
                <w:lang w:val="en-GB"/>
              </w:rPr>
              <w:t xml:space="preserve">VASc score development and </w:t>
            </w:r>
          </w:p>
          <w:p w14:paraId="7DC49556"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validation</w:t>
            </w:r>
            <w:r>
              <w:rPr>
                <w:rFonts w:ascii="Arial" w:hAnsi="Arial" w:cs="Arial"/>
                <w:noProof/>
                <w:sz w:val="16"/>
                <w:szCs w:val="16"/>
                <w:lang w:val="en-GB"/>
              </w:rPr>
              <w:t>[68]</w:t>
            </w:r>
          </w:p>
          <w:p w14:paraId="79A20E42"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p w14:paraId="5909EA4B" w14:textId="77777777" w:rsidR="0003227E" w:rsidRDefault="0003227E">
            <w:pPr>
              <w:jc w:val="center"/>
              <w:cnfStyle w:val="000000100000" w:firstRow="0" w:lastRow="0" w:firstColumn="0" w:lastColumn="0" w:oddVBand="0" w:evenVBand="0" w:oddHBand="1" w:evenHBand="0" w:firstRowFirstColumn="0" w:firstRowLastColumn="0" w:lastRowFirstColumn="0" w:lastRowLastColumn="0"/>
              <w:rPr>
                <w:rFonts w:ascii="Arial" w:hAnsi="Arial" w:cs="Arial"/>
                <w:noProof/>
                <w:sz w:val="16"/>
                <w:szCs w:val="16"/>
                <w:lang w:val="en-GB"/>
              </w:rPr>
            </w:pPr>
            <w:r w:rsidRPr="00482C2B">
              <w:rPr>
                <w:rFonts w:ascii="Arial" w:hAnsi="Arial" w:cs="Arial"/>
                <w:sz w:val="16"/>
                <w:szCs w:val="16"/>
                <w:lang w:val="en-GB"/>
              </w:rPr>
              <w:t>HASBLED score development and validation</w:t>
            </w:r>
            <w:r>
              <w:rPr>
                <w:rFonts w:ascii="Arial" w:hAnsi="Arial" w:cs="Arial"/>
                <w:noProof/>
                <w:sz w:val="16"/>
                <w:szCs w:val="16"/>
                <w:lang w:val="en-GB"/>
              </w:rPr>
              <w:t>[69]</w:t>
            </w:r>
          </w:p>
          <w:p w14:paraId="6C6E23DF" w14:textId="77777777" w:rsidR="0003227E" w:rsidRDefault="0003227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p w14:paraId="5863200A"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CHA</w:t>
            </w:r>
            <w:r w:rsidRPr="00482C2B">
              <w:rPr>
                <w:rFonts w:ascii="Arial" w:hAnsi="Arial" w:cs="Arial"/>
                <w:sz w:val="16"/>
                <w:szCs w:val="16"/>
                <w:vertAlign w:val="subscript"/>
                <w:lang w:val="en-GB"/>
              </w:rPr>
              <w:t>2</w:t>
            </w:r>
            <w:r w:rsidRPr="00482C2B">
              <w:rPr>
                <w:rFonts w:ascii="Arial" w:hAnsi="Arial" w:cs="Arial"/>
                <w:sz w:val="16"/>
                <w:szCs w:val="16"/>
                <w:lang w:val="en-GB"/>
              </w:rPr>
              <w:t>DS</w:t>
            </w:r>
            <w:r w:rsidRPr="00482C2B">
              <w:rPr>
                <w:rFonts w:ascii="Arial" w:hAnsi="Arial" w:cs="Arial"/>
                <w:sz w:val="16"/>
                <w:szCs w:val="16"/>
                <w:vertAlign w:val="subscript"/>
                <w:lang w:val="en-GB"/>
              </w:rPr>
              <w:t>2</w:t>
            </w:r>
            <w:r w:rsidRPr="00482C2B">
              <w:rPr>
                <w:rFonts w:ascii="Arial" w:hAnsi="Arial" w:cs="Arial"/>
                <w:sz w:val="16"/>
                <w:szCs w:val="16"/>
                <w:lang w:val="en-GB"/>
              </w:rPr>
              <w:t>VASc /HASBLED</w:t>
            </w:r>
          </w:p>
          <w:p w14:paraId="6DD10D8D"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co-distribution</w:t>
            </w:r>
            <w:r>
              <w:rPr>
                <w:rFonts w:ascii="Arial" w:hAnsi="Arial" w:cs="Arial"/>
                <w:noProof/>
                <w:sz w:val="16"/>
                <w:szCs w:val="16"/>
                <w:lang w:val="en-GB"/>
              </w:rPr>
              <w:t>[71]</w:t>
            </w:r>
          </w:p>
          <w:p w14:paraId="0801C5F9"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p w14:paraId="47149CBA"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NOACs implementation</w:t>
            </w:r>
            <w:r>
              <w:rPr>
                <w:rFonts w:ascii="Arial" w:hAnsi="Arial" w:cs="Arial"/>
                <w:noProof/>
                <w:sz w:val="16"/>
                <w:szCs w:val="16"/>
                <w:lang w:val="en-GB"/>
              </w:rPr>
              <w:t>[40]</w:t>
            </w:r>
          </w:p>
          <w:p w14:paraId="7CCD590B"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p w14:paraId="6CDDF427"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AF subtype and TE events</w:t>
            </w:r>
            <w:r>
              <w:rPr>
                <w:rFonts w:ascii="Arial" w:hAnsi="Arial" w:cs="Arial"/>
                <w:noProof/>
                <w:sz w:val="16"/>
                <w:szCs w:val="16"/>
                <w:lang w:val="en-GB"/>
              </w:rPr>
              <w:t>[72]</w:t>
            </w:r>
          </w:p>
          <w:p w14:paraId="19EC716F"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p w14:paraId="1EC86D24"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Guideline adherence and application of different stroke risk stratification schemes</w:t>
            </w:r>
            <w:r>
              <w:rPr>
                <w:rFonts w:ascii="Arial" w:hAnsi="Arial" w:cs="Arial"/>
                <w:noProof/>
                <w:sz w:val="16"/>
                <w:szCs w:val="16"/>
                <w:lang w:val="en-GB"/>
              </w:rPr>
              <w:t>[74]</w:t>
            </w:r>
          </w:p>
          <w:p w14:paraId="0A0FD24D"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p w14:paraId="1C038DBF"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p>
        </w:tc>
        <w:tc>
          <w:tcPr>
            <w:tcW w:w="2700" w:type="dxa"/>
            <w:tcBorders>
              <w:right w:val="single" w:sz="4" w:space="0" w:color="000000"/>
            </w:tcBorders>
            <w:vAlign w:val="center"/>
          </w:tcPr>
          <w:p w14:paraId="4F618D96"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AF costs</w:t>
            </w:r>
            <w:r>
              <w:rPr>
                <w:rFonts w:ascii="Arial" w:hAnsi="Arial" w:cs="Arial"/>
                <w:noProof/>
                <w:sz w:val="16"/>
                <w:szCs w:val="16"/>
                <w:lang w:val="en-GB"/>
              </w:rPr>
              <w:t>[77, 78]</w:t>
            </w:r>
          </w:p>
          <w:p w14:paraId="6C818BFB"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AF progression</w:t>
            </w:r>
            <w:r>
              <w:rPr>
                <w:rFonts w:ascii="Arial" w:hAnsi="Arial" w:cs="Arial"/>
                <w:noProof/>
                <w:sz w:val="16"/>
                <w:szCs w:val="16"/>
                <w:lang w:val="en-GB"/>
              </w:rPr>
              <w:t>[20]</w:t>
            </w:r>
          </w:p>
          <w:p w14:paraId="40E409E1"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Autonomic trigger patterns</w:t>
            </w:r>
            <w:r>
              <w:rPr>
                <w:rFonts w:ascii="Arial" w:hAnsi="Arial" w:cs="Arial"/>
                <w:noProof/>
                <w:sz w:val="16"/>
                <w:szCs w:val="16"/>
                <w:lang w:val="en-GB"/>
              </w:rPr>
              <w:t>[22]</w:t>
            </w:r>
          </w:p>
          <w:p w14:paraId="075BD395"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Predictors of symptomatic AF</w:t>
            </w:r>
            <w:r>
              <w:rPr>
                <w:rFonts w:ascii="Arial" w:hAnsi="Arial" w:cs="Arial"/>
                <w:noProof/>
                <w:sz w:val="16"/>
                <w:szCs w:val="16"/>
                <w:lang w:val="en-GB"/>
              </w:rPr>
              <w:t>[48]</w:t>
            </w:r>
          </w:p>
          <w:p w14:paraId="68D0C29C"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QoL</w:t>
            </w:r>
            <w:r>
              <w:rPr>
                <w:rFonts w:ascii="Arial" w:hAnsi="Arial" w:cs="Arial"/>
                <w:noProof/>
                <w:sz w:val="16"/>
                <w:szCs w:val="16"/>
                <w:lang w:val="en-GB"/>
              </w:rPr>
              <w:t>[19, 57]</w:t>
            </w:r>
          </w:p>
          <w:p w14:paraId="2BC6BF74"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LVH</w:t>
            </w:r>
            <w:r>
              <w:rPr>
                <w:rFonts w:ascii="Arial" w:hAnsi="Arial" w:cs="Arial"/>
                <w:noProof/>
                <w:sz w:val="16"/>
                <w:szCs w:val="16"/>
                <w:lang w:val="en-GB"/>
              </w:rPr>
              <w:t>[23]</w:t>
            </w:r>
          </w:p>
          <w:p w14:paraId="02AB8462"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LA size</w:t>
            </w:r>
            <w:r>
              <w:rPr>
                <w:rFonts w:ascii="Arial" w:hAnsi="Arial" w:cs="Arial"/>
                <w:noProof/>
                <w:sz w:val="16"/>
                <w:szCs w:val="16"/>
                <w:lang w:val="en-GB"/>
              </w:rPr>
              <w:t>[24]</w:t>
            </w:r>
          </w:p>
        </w:tc>
      </w:tr>
      <w:tr w:rsidR="0063383E" w:rsidRPr="0003227E" w14:paraId="6311394A" w14:textId="77777777" w:rsidTr="00777EF7">
        <w:trPr>
          <w:trHeight w:val="1114"/>
        </w:trPr>
        <w:tc>
          <w:tcPr>
            <w:cnfStyle w:val="001000000000" w:firstRow="0" w:lastRow="0" w:firstColumn="1" w:lastColumn="0" w:oddVBand="0" w:evenVBand="0" w:oddHBand="0" w:evenHBand="0" w:firstRowFirstColumn="0" w:firstRowLastColumn="0" w:lastRowFirstColumn="0" w:lastRowLastColumn="0"/>
            <w:tcW w:w="2379" w:type="dxa"/>
            <w:tcBorders>
              <w:left w:val="single" w:sz="4" w:space="0" w:color="000000"/>
            </w:tcBorders>
            <w:vAlign w:val="center"/>
          </w:tcPr>
          <w:p w14:paraId="3B93D7C4" w14:textId="77777777" w:rsidR="0063383E" w:rsidRPr="00D34851" w:rsidRDefault="0063383E" w:rsidP="00D11F2C">
            <w:pPr>
              <w:jc w:val="left"/>
              <w:rPr>
                <w:rFonts w:ascii="Arial" w:hAnsi="Arial" w:cs="Arial"/>
                <w:i w:val="0"/>
                <w:iCs w:val="0"/>
                <w:sz w:val="18"/>
                <w:szCs w:val="18"/>
                <w:lang w:val="en-GB"/>
              </w:rPr>
            </w:pPr>
            <w:r w:rsidRPr="00D34851">
              <w:rPr>
                <w:rFonts w:ascii="Arial" w:hAnsi="Arial" w:cs="Arial"/>
                <w:i w:val="0"/>
                <w:iCs w:val="0"/>
                <w:sz w:val="18"/>
                <w:szCs w:val="18"/>
                <w:lang w:val="en-GB"/>
              </w:rPr>
              <w:t>EORP AF PILOT REGISTRY</w:t>
            </w:r>
          </w:p>
        </w:tc>
        <w:tc>
          <w:tcPr>
            <w:tcW w:w="2433" w:type="dxa"/>
            <w:vAlign w:val="center"/>
          </w:tcPr>
          <w:p w14:paraId="31C94D84" w14:textId="77777777" w:rsidR="0063383E" w:rsidRPr="00482C2B" w:rsidRDefault="0063383E" w:rsidP="009E3EBA">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Age related differences</w:t>
            </w:r>
            <w:r>
              <w:rPr>
                <w:rFonts w:ascii="Arial" w:hAnsi="Arial" w:cs="Arial"/>
                <w:noProof/>
                <w:sz w:val="16"/>
                <w:szCs w:val="16"/>
                <w:lang w:val="en-GB"/>
              </w:rPr>
              <w:t>[27]</w:t>
            </w:r>
          </w:p>
          <w:p w14:paraId="12AF8AE9"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7370CAD5"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Gender related differences</w:t>
            </w:r>
            <w:r>
              <w:rPr>
                <w:rFonts w:ascii="Arial" w:hAnsi="Arial" w:cs="Arial"/>
                <w:noProof/>
                <w:sz w:val="16"/>
                <w:szCs w:val="16"/>
                <w:lang w:val="en-GB"/>
              </w:rPr>
              <w:t>[30]</w:t>
            </w:r>
          </w:p>
          <w:p w14:paraId="49224471"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42A86EA7"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Diabetes</w:t>
            </w:r>
            <w:r>
              <w:rPr>
                <w:rFonts w:ascii="Arial" w:hAnsi="Arial" w:cs="Arial"/>
                <w:noProof/>
                <w:sz w:val="16"/>
                <w:szCs w:val="16"/>
                <w:lang w:val="en-GB"/>
              </w:rPr>
              <w:t>[56]</w:t>
            </w:r>
          </w:p>
          <w:p w14:paraId="52A9E112"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5A2C58AA"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Overweight and obesity</w:t>
            </w:r>
            <w:r>
              <w:rPr>
                <w:rFonts w:ascii="Arial" w:hAnsi="Arial" w:cs="Arial"/>
                <w:noProof/>
                <w:sz w:val="16"/>
                <w:szCs w:val="16"/>
                <w:lang w:val="en-GB"/>
              </w:rPr>
              <w:t>[33]</w:t>
            </w:r>
          </w:p>
          <w:p w14:paraId="72524586"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594228BA"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Physical Activity</w:t>
            </w:r>
            <w:r>
              <w:rPr>
                <w:rFonts w:ascii="Arial" w:hAnsi="Arial" w:cs="Arial"/>
                <w:noProof/>
                <w:sz w:val="16"/>
                <w:szCs w:val="16"/>
                <w:lang w:val="en-GB"/>
              </w:rPr>
              <w:t>[58]</w:t>
            </w:r>
          </w:p>
        </w:tc>
        <w:tc>
          <w:tcPr>
            <w:tcW w:w="2324" w:type="dxa"/>
            <w:vAlign w:val="center"/>
          </w:tcPr>
          <w:p w14:paraId="5A215BEF"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Hypertension</w:t>
            </w:r>
            <w:r>
              <w:rPr>
                <w:rFonts w:ascii="Arial" w:hAnsi="Arial" w:cs="Arial"/>
                <w:noProof/>
                <w:sz w:val="16"/>
                <w:szCs w:val="16"/>
                <w:lang w:val="en-GB"/>
              </w:rPr>
              <w:t>[51]</w:t>
            </w:r>
          </w:p>
          <w:p w14:paraId="4CD0BD09"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7EF0DA9B"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Heart Failure</w:t>
            </w:r>
            <w:r>
              <w:rPr>
                <w:rFonts w:ascii="Arial" w:hAnsi="Arial" w:cs="Arial"/>
                <w:noProof/>
                <w:sz w:val="16"/>
                <w:szCs w:val="16"/>
                <w:lang w:val="en-GB"/>
              </w:rPr>
              <w:t>[52]</w:t>
            </w:r>
          </w:p>
          <w:p w14:paraId="78FF726D"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7AD5C531"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COPD</w:t>
            </w:r>
            <w:r>
              <w:rPr>
                <w:rFonts w:ascii="Arial" w:hAnsi="Arial" w:cs="Arial"/>
                <w:noProof/>
                <w:sz w:val="16"/>
                <w:szCs w:val="16"/>
                <w:lang w:val="en-GB"/>
              </w:rPr>
              <w:t>[53]</w:t>
            </w:r>
          </w:p>
          <w:p w14:paraId="75FAE3E8"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350625E8"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PAD</w:t>
            </w:r>
            <w:r>
              <w:rPr>
                <w:rFonts w:ascii="Arial" w:hAnsi="Arial" w:cs="Arial"/>
                <w:noProof/>
                <w:sz w:val="16"/>
                <w:szCs w:val="16"/>
                <w:lang w:val="en-GB"/>
              </w:rPr>
              <w:t>[55]</w:t>
            </w:r>
          </w:p>
          <w:p w14:paraId="47E8FB0A"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4FF38C98"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Chronic Kidney Disease</w:t>
            </w:r>
            <w:r>
              <w:rPr>
                <w:rFonts w:ascii="Arial" w:hAnsi="Arial" w:cs="Arial"/>
                <w:noProof/>
                <w:sz w:val="16"/>
                <w:szCs w:val="16"/>
                <w:lang w:val="en-GB"/>
              </w:rPr>
              <w:t>[54]</w:t>
            </w:r>
          </w:p>
          <w:p w14:paraId="4D657484"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4833C8DD"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 xml:space="preserve">Comorbidities </w:t>
            </w:r>
          </w:p>
          <w:p w14:paraId="05ADA91F"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and risk of CV death</w:t>
            </w:r>
            <w:r>
              <w:rPr>
                <w:rFonts w:ascii="Arial" w:hAnsi="Arial" w:cs="Arial"/>
                <w:noProof/>
                <w:sz w:val="16"/>
                <w:szCs w:val="16"/>
                <w:lang w:val="en-GB"/>
              </w:rPr>
              <w:t>[26]</w:t>
            </w:r>
          </w:p>
        </w:tc>
        <w:tc>
          <w:tcPr>
            <w:tcW w:w="2380" w:type="dxa"/>
            <w:vAlign w:val="center"/>
          </w:tcPr>
          <w:p w14:paraId="723DADC6"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Rate vs. Rhythm control</w:t>
            </w:r>
            <w:r>
              <w:rPr>
                <w:rFonts w:ascii="Arial" w:hAnsi="Arial" w:cs="Arial"/>
                <w:noProof/>
                <w:sz w:val="16"/>
                <w:szCs w:val="16"/>
                <w:lang w:val="en-GB"/>
              </w:rPr>
              <w:t>[36]</w:t>
            </w:r>
          </w:p>
          <w:p w14:paraId="434088E1"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1DCFF4A2"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AF ablation</w:t>
            </w:r>
            <w:r>
              <w:rPr>
                <w:rFonts w:ascii="Arial" w:hAnsi="Arial" w:cs="Arial"/>
                <w:noProof/>
                <w:sz w:val="16"/>
                <w:szCs w:val="16"/>
                <w:lang w:val="en-GB"/>
              </w:rPr>
              <w:t>[37]</w:t>
            </w:r>
          </w:p>
          <w:p w14:paraId="4DE8BCF9"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74A6794A"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Lipid lowering therapy (statins)</w:t>
            </w:r>
            <w:r>
              <w:rPr>
                <w:rFonts w:ascii="Arial" w:hAnsi="Arial" w:cs="Arial"/>
                <w:noProof/>
                <w:sz w:val="16"/>
                <w:szCs w:val="16"/>
                <w:lang w:val="en-GB"/>
              </w:rPr>
              <w:t>[38]</w:t>
            </w:r>
          </w:p>
          <w:p w14:paraId="31880E1C"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4B921652"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Paroxysmal vs. non-paroxysmal AF</w:t>
            </w:r>
            <w:r>
              <w:rPr>
                <w:rFonts w:ascii="Arial" w:hAnsi="Arial" w:cs="Arial"/>
                <w:noProof/>
                <w:sz w:val="16"/>
                <w:szCs w:val="16"/>
                <w:lang w:val="en-GB"/>
              </w:rPr>
              <w:t>[41]</w:t>
            </w:r>
          </w:p>
          <w:p w14:paraId="3E6F32F0"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4B01F149"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AF treatment changes</w:t>
            </w:r>
            <w:r>
              <w:rPr>
                <w:rFonts w:ascii="Arial" w:hAnsi="Arial" w:cs="Arial"/>
                <w:noProof/>
                <w:sz w:val="16"/>
                <w:szCs w:val="16"/>
                <w:lang w:val="en-GB"/>
              </w:rPr>
              <w:t>[14, 42]</w:t>
            </w:r>
          </w:p>
        </w:tc>
        <w:tc>
          <w:tcPr>
            <w:tcW w:w="2380" w:type="dxa"/>
            <w:vAlign w:val="center"/>
          </w:tcPr>
          <w:p w14:paraId="24925E07"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OACs changes and long-term outcomes</w:t>
            </w:r>
            <w:r>
              <w:rPr>
                <w:rFonts w:ascii="Arial" w:hAnsi="Arial" w:cs="Arial"/>
                <w:noProof/>
                <w:sz w:val="16"/>
                <w:szCs w:val="16"/>
                <w:lang w:val="en-GB"/>
              </w:rPr>
              <w:t>[13, 61]</w:t>
            </w:r>
          </w:p>
          <w:p w14:paraId="1E2E0A96"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6758E060"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Guideline-adherent antithrombotic treatment</w:t>
            </w:r>
            <w:r>
              <w:rPr>
                <w:rFonts w:ascii="Arial" w:hAnsi="Arial" w:cs="Arial"/>
                <w:noProof/>
                <w:sz w:val="16"/>
                <w:szCs w:val="16"/>
                <w:lang w:val="en-GB"/>
              </w:rPr>
              <w:t>[75]</w:t>
            </w:r>
          </w:p>
          <w:p w14:paraId="57A4B271"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p>
          <w:p w14:paraId="645E84A5"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OAC and antiplatelet therapy use</w:t>
            </w:r>
            <w:r>
              <w:rPr>
                <w:rFonts w:ascii="Arial" w:hAnsi="Arial" w:cs="Arial"/>
                <w:noProof/>
                <w:sz w:val="16"/>
                <w:szCs w:val="16"/>
                <w:lang w:val="en-GB"/>
              </w:rPr>
              <w:t>[73]</w:t>
            </w:r>
          </w:p>
        </w:tc>
        <w:tc>
          <w:tcPr>
            <w:tcW w:w="2700" w:type="dxa"/>
            <w:tcBorders>
              <w:right w:val="single" w:sz="4" w:space="0" w:color="000000"/>
            </w:tcBorders>
            <w:vAlign w:val="center"/>
          </w:tcPr>
          <w:p w14:paraId="1913A7DA"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Regional differences</w:t>
            </w:r>
          </w:p>
          <w:p w14:paraId="221B1DFB"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in AF management</w:t>
            </w:r>
            <w:r>
              <w:rPr>
                <w:rFonts w:ascii="Arial" w:hAnsi="Arial" w:cs="Arial"/>
                <w:noProof/>
                <w:sz w:val="16"/>
                <w:szCs w:val="16"/>
                <w:lang w:val="en-GB"/>
              </w:rPr>
              <w:t>[79, 80]</w:t>
            </w:r>
          </w:p>
          <w:p w14:paraId="0559DA1D" w14:textId="77777777" w:rsidR="0063383E" w:rsidRPr="00482C2B" w:rsidRDefault="0063383E">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Clinical implication of asymptomatic AF</w:t>
            </w:r>
            <w:r>
              <w:rPr>
                <w:rFonts w:ascii="Arial" w:hAnsi="Arial" w:cs="Arial"/>
                <w:noProof/>
                <w:sz w:val="16"/>
                <w:szCs w:val="16"/>
                <w:lang w:val="en-GB"/>
              </w:rPr>
              <w:t>[49]</w:t>
            </w:r>
          </w:p>
        </w:tc>
      </w:tr>
      <w:tr w:rsidR="0063383E" w:rsidRPr="0003227E" w14:paraId="5021A27F" w14:textId="77777777" w:rsidTr="00777EF7">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2379" w:type="dxa"/>
            <w:tcBorders>
              <w:left w:val="single" w:sz="4" w:space="0" w:color="000000"/>
              <w:bottom w:val="single" w:sz="4" w:space="0" w:color="000000"/>
            </w:tcBorders>
            <w:vAlign w:val="center"/>
          </w:tcPr>
          <w:p w14:paraId="26CFB2E9" w14:textId="77777777" w:rsidR="0063383E" w:rsidRPr="00D34851" w:rsidRDefault="0063383E" w:rsidP="00D11F2C">
            <w:pPr>
              <w:jc w:val="left"/>
              <w:rPr>
                <w:rFonts w:ascii="Arial" w:hAnsi="Arial" w:cs="Arial"/>
                <w:i w:val="0"/>
                <w:iCs w:val="0"/>
                <w:sz w:val="18"/>
                <w:szCs w:val="18"/>
                <w:lang w:val="en-GB"/>
              </w:rPr>
            </w:pPr>
            <w:r w:rsidRPr="00D34851">
              <w:rPr>
                <w:rFonts w:ascii="Arial" w:hAnsi="Arial" w:cs="Arial"/>
                <w:i w:val="0"/>
                <w:iCs w:val="0"/>
                <w:sz w:val="18"/>
                <w:szCs w:val="18"/>
                <w:lang w:val="en-GB"/>
              </w:rPr>
              <w:t>EORP AF LONG TERM REGISTRY</w:t>
            </w:r>
          </w:p>
        </w:tc>
        <w:tc>
          <w:tcPr>
            <w:tcW w:w="2433" w:type="dxa"/>
            <w:tcBorders>
              <w:bottom w:val="single" w:sz="4" w:space="0" w:color="000000"/>
            </w:tcBorders>
            <w:vAlign w:val="center"/>
          </w:tcPr>
          <w:p w14:paraId="090F651F" w14:textId="77777777" w:rsidR="0063383E" w:rsidRPr="00482C2B" w:rsidRDefault="0063383E" w:rsidP="009E3EBA">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Patient characteristics according to AF subtypes</w:t>
            </w:r>
            <w:r>
              <w:rPr>
                <w:rFonts w:ascii="Arial" w:hAnsi="Arial" w:cs="Arial"/>
                <w:noProof/>
                <w:sz w:val="16"/>
                <w:szCs w:val="16"/>
                <w:lang w:val="en-GB"/>
              </w:rPr>
              <w:t>[16]</w:t>
            </w:r>
          </w:p>
        </w:tc>
        <w:tc>
          <w:tcPr>
            <w:tcW w:w="2324" w:type="dxa"/>
            <w:tcBorders>
              <w:bottom w:val="single" w:sz="4" w:space="0" w:color="000000"/>
            </w:tcBorders>
            <w:vAlign w:val="center"/>
          </w:tcPr>
          <w:p w14:paraId="2EA70CE3"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All data about hospital admission (any admission, AF-related, and CV-related)</w:t>
            </w:r>
            <w:r>
              <w:rPr>
                <w:rFonts w:ascii="Arial" w:hAnsi="Arial" w:cs="Arial"/>
                <w:noProof/>
                <w:sz w:val="16"/>
                <w:szCs w:val="16"/>
                <w:lang w:val="en-GB"/>
              </w:rPr>
              <w:t>[15]</w:t>
            </w:r>
          </w:p>
        </w:tc>
        <w:tc>
          <w:tcPr>
            <w:tcW w:w="2380" w:type="dxa"/>
            <w:tcBorders>
              <w:bottom w:val="single" w:sz="4" w:space="0" w:color="000000"/>
            </w:tcBorders>
            <w:vAlign w:val="center"/>
          </w:tcPr>
          <w:p w14:paraId="59A623E6"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Pharmacological treatments at discharge and after consultation</w:t>
            </w:r>
            <w:r>
              <w:rPr>
                <w:rFonts w:ascii="Arial" w:hAnsi="Arial" w:cs="Arial"/>
                <w:noProof/>
                <w:sz w:val="16"/>
                <w:szCs w:val="16"/>
                <w:lang w:val="en-GB"/>
              </w:rPr>
              <w:t>[16]</w:t>
            </w:r>
          </w:p>
        </w:tc>
        <w:tc>
          <w:tcPr>
            <w:tcW w:w="2380" w:type="dxa"/>
            <w:tcBorders>
              <w:bottom w:val="single" w:sz="4" w:space="0" w:color="000000"/>
            </w:tcBorders>
            <w:vAlign w:val="center"/>
          </w:tcPr>
          <w:p w14:paraId="55BC1AAD"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Antithrombotic treatment and outcomes</w:t>
            </w:r>
            <w:r>
              <w:rPr>
                <w:rFonts w:ascii="Arial" w:hAnsi="Arial" w:cs="Arial"/>
                <w:noProof/>
                <w:sz w:val="16"/>
                <w:szCs w:val="16"/>
                <w:lang w:val="en-GB"/>
              </w:rPr>
              <w:t>[15, 16]</w:t>
            </w:r>
          </w:p>
        </w:tc>
        <w:tc>
          <w:tcPr>
            <w:tcW w:w="2700" w:type="dxa"/>
            <w:tcBorders>
              <w:bottom w:val="single" w:sz="4" w:space="0" w:color="000000"/>
              <w:right w:val="single" w:sz="4" w:space="0" w:color="000000"/>
            </w:tcBorders>
            <w:vAlign w:val="center"/>
          </w:tcPr>
          <w:p w14:paraId="2C583CCF" w14:textId="77777777" w:rsidR="0063383E" w:rsidRPr="00482C2B" w:rsidRDefault="0063383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n-GB"/>
              </w:rPr>
            </w:pPr>
            <w:r w:rsidRPr="00482C2B">
              <w:rPr>
                <w:rFonts w:ascii="Arial" w:hAnsi="Arial" w:cs="Arial"/>
                <w:sz w:val="16"/>
                <w:szCs w:val="16"/>
                <w:lang w:val="en-GB"/>
              </w:rPr>
              <w:t>Regional variability of OAC treatment</w:t>
            </w:r>
            <w:r>
              <w:rPr>
                <w:rFonts w:ascii="Arial" w:hAnsi="Arial" w:cs="Arial"/>
                <w:noProof/>
                <w:sz w:val="16"/>
                <w:szCs w:val="16"/>
                <w:lang w:val="en-GB"/>
              </w:rPr>
              <w:t>[16]</w:t>
            </w:r>
          </w:p>
        </w:tc>
      </w:tr>
    </w:tbl>
    <w:p w14:paraId="3563BF0C" w14:textId="77777777" w:rsidR="0063383E" w:rsidRPr="009E6E56" w:rsidRDefault="0063383E" w:rsidP="00A92171">
      <w:pPr>
        <w:rPr>
          <w:color w:val="000000" w:themeColor="text1"/>
          <w:sz w:val="22"/>
          <w:szCs w:val="22"/>
          <w:lang w:val="en-GB"/>
        </w:rPr>
      </w:pPr>
    </w:p>
    <w:p w14:paraId="4EA51230" w14:textId="77777777" w:rsidR="0063383E" w:rsidRPr="009E6E56" w:rsidRDefault="0063383E" w:rsidP="00C90B7A">
      <w:pPr>
        <w:jc w:val="center"/>
        <w:rPr>
          <w:rFonts w:ascii="Arial" w:hAnsi="Arial" w:cs="Arial"/>
          <w:b/>
          <w:bCs/>
          <w:color w:val="000000" w:themeColor="text1"/>
          <w:lang w:val="en-GB"/>
        </w:rPr>
      </w:pPr>
    </w:p>
    <w:p w14:paraId="2DB7ABAE" w14:textId="77777777" w:rsidR="0063383E" w:rsidRPr="009E6E56" w:rsidRDefault="0063383E" w:rsidP="00C90B7A">
      <w:pPr>
        <w:pStyle w:val="Caption"/>
        <w:jc w:val="center"/>
        <w:rPr>
          <w:rFonts w:ascii="Arial" w:hAnsi="Arial" w:cs="Arial"/>
          <w:i w:val="0"/>
          <w:iCs w:val="0"/>
          <w:color w:val="000000" w:themeColor="text1"/>
          <w:sz w:val="16"/>
          <w:szCs w:val="16"/>
          <w:lang w:val="en-GB"/>
        </w:rPr>
        <w:sectPr w:rsidR="0063383E" w:rsidRPr="009E6E56" w:rsidSect="00C90B7A">
          <w:pgSz w:w="16840" w:h="11900" w:orient="landscape" w:code="9"/>
          <w:pgMar w:top="28" w:right="1134" w:bottom="0" w:left="1418" w:header="709" w:footer="709" w:gutter="0"/>
          <w:cols w:space="708"/>
          <w:docGrid w:linePitch="360"/>
        </w:sectPr>
      </w:pPr>
      <w:r w:rsidRPr="009E6E56">
        <w:rPr>
          <w:rFonts w:ascii="Arial" w:hAnsi="Arial" w:cs="Arial"/>
          <w:b/>
          <w:bCs/>
          <w:i w:val="0"/>
          <w:iCs w:val="0"/>
          <w:color w:val="000000" w:themeColor="text1"/>
          <w:sz w:val="16"/>
          <w:szCs w:val="16"/>
          <w:lang w:val="en-GB"/>
        </w:rPr>
        <w:t>Legend</w:t>
      </w:r>
      <w:r w:rsidRPr="009E6E56">
        <w:rPr>
          <w:rFonts w:ascii="Arial" w:hAnsi="Arial" w:cs="Arial"/>
          <w:i w:val="0"/>
          <w:iCs w:val="0"/>
          <w:color w:val="000000" w:themeColor="text1"/>
          <w:sz w:val="16"/>
          <w:szCs w:val="16"/>
          <w:lang w:val="en-GB"/>
        </w:rPr>
        <w:t>: AF=atrial fibrillation; CV=cardiovascular; COPD= Chronic obstructive pulmonary disease; EORP=</w:t>
      </w:r>
      <w:proofErr w:type="spellStart"/>
      <w:r w:rsidRPr="009E6E56">
        <w:rPr>
          <w:rFonts w:ascii="Arial" w:hAnsi="Arial" w:cs="Arial"/>
          <w:i w:val="0"/>
          <w:iCs w:val="0"/>
          <w:color w:val="000000" w:themeColor="text1"/>
          <w:sz w:val="16"/>
          <w:szCs w:val="16"/>
          <w:lang w:val="en-GB"/>
        </w:rPr>
        <w:t>EURObservational</w:t>
      </w:r>
      <w:proofErr w:type="spellEnd"/>
      <w:r w:rsidRPr="009E6E56">
        <w:rPr>
          <w:rFonts w:ascii="Arial" w:hAnsi="Arial" w:cs="Arial"/>
          <w:i w:val="0"/>
          <w:iCs w:val="0"/>
          <w:color w:val="000000" w:themeColor="text1"/>
          <w:sz w:val="16"/>
          <w:szCs w:val="16"/>
          <w:lang w:val="en-GB"/>
        </w:rPr>
        <w:t xml:space="preserve"> Research Programme LA=left atrium; LVH =left ventricular hypertrophy; NOAC= Non-vitamin K antagonist oral anticoagulants; OAC= oral anticoagulant; PAD= Peripheral artery disease; QoL= quality of life; TE= thrombo-embolic. </w:t>
      </w:r>
    </w:p>
    <w:p w14:paraId="7A420FCB" w14:textId="77777777" w:rsidR="0063383E" w:rsidRPr="00CC7360" w:rsidRDefault="0063383E" w:rsidP="00A92171">
      <w:pPr>
        <w:rPr>
          <w:rFonts w:ascii="Arial" w:hAnsi="Arial" w:cs="Arial"/>
          <w:b/>
          <w:bCs/>
          <w:color w:val="000000" w:themeColor="text1"/>
          <w:lang w:val="en-US"/>
        </w:rPr>
      </w:pPr>
      <w:r w:rsidRPr="00CC7360">
        <w:rPr>
          <w:rFonts w:ascii="Arial" w:hAnsi="Arial" w:cs="Arial"/>
          <w:b/>
          <w:bCs/>
          <w:color w:val="000000" w:themeColor="text1"/>
          <w:lang w:val="en-US"/>
        </w:rPr>
        <w:lastRenderedPageBreak/>
        <w:t xml:space="preserve">REFERENCES </w:t>
      </w:r>
    </w:p>
    <w:p w14:paraId="5364D9ED" w14:textId="77777777" w:rsidR="0063383E" w:rsidRPr="00CC7360" w:rsidRDefault="0063383E" w:rsidP="00A92171">
      <w:pPr>
        <w:rPr>
          <w:rFonts w:ascii="Arial" w:hAnsi="Arial" w:cs="Arial"/>
          <w:color w:val="000000" w:themeColor="text1"/>
          <w:lang w:val="en-US"/>
        </w:rPr>
      </w:pPr>
    </w:p>
    <w:p w14:paraId="5F094A9D" w14:textId="77777777" w:rsidR="0063383E" w:rsidRPr="00A82F23" w:rsidRDefault="0063383E" w:rsidP="003022E7">
      <w:pPr>
        <w:pStyle w:val="EndNoteBibliography"/>
        <w:spacing w:after="240"/>
        <w:ind w:left="720" w:hanging="720"/>
        <w:jc w:val="both"/>
        <w:rPr>
          <w:noProof/>
        </w:rPr>
      </w:pPr>
      <w:r w:rsidRPr="00A82F23">
        <w:rPr>
          <w:noProof/>
        </w:rPr>
        <w:t>1.</w:t>
      </w:r>
      <w:r w:rsidRPr="00A82F23">
        <w:rPr>
          <w:noProof/>
        </w:rPr>
        <w:tab/>
        <w:t>Proietti M, Lane DA, Boriani G, Lip GYH (2019) Stroke Prevention, Evaluation of Bleeding Risk, and Anticoagulant Treatment Management in Atrial Fibrillation Contemporary International Guidelines. Can J Cardiol 35:619-633.</w:t>
      </w:r>
    </w:p>
    <w:p w14:paraId="028049FF" w14:textId="77777777" w:rsidR="0063383E" w:rsidRPr="00A82F23" w:rsidRDefault="0063383E" w:rsidP="003022E7">
      <w:pPr>
        <w:pStyle w:val="EndNoteBibliography"/>
        <w:spacing w:after="240"/>
        <w:ind w:left="720" w:hanging="720"/>
        <w:jc w:val="both"/>
        <w:rPr>
          <w:noProof/>
        </w:rPr>
      </w:pPr>
      <w:r w:rsidRPr="00A82F23">
        <w:rPr>
          <w:noProof/>
        </w:rPr>
        <w:t>2.</w:t>
      </w:r>
      <w:r w:rsidRPr="00A82F23">
        <w:rPr>
          <w:noProof/>
        </w:rPr>
        <w:tab/>
        <w:t>Pastori D, Farcomeni A, Saliola M, Del Sole F, Pignatelli P, Violi F, Lip GYH</w:t>
      </w:r>
      <w:r>
        <w:rPr>
          <w:noProof/>
        </w:rPr>
        <w:t xml:space="preserve"> </w:t>
      </w:r>
      <w:r w:rsidRPr="00A82F23">
        <w:rPr>
          <w:noProof/>
        </w:rPr>
        <w:t>(2018) Temporal trends of time in therapeutic range and incidence of cardiovascular events in patients with non-valvular atrial fibrillation. Eur J Intern Med 54:34-39.</w:t>
      </w:r>
    </w:p>
    <w:p w14:paraId="0EA370C4" w14:textId="77777777" w:rsidR="0063383E" w:rsidRPr="00A82F23" w:rsidRDefault="0063383E" w:rsidP="003022E7">
      <w:pPr>
        <w:pStyle w:val="EndNoteBibliography"/>
        <w:spacing w:after="240"/>
        <w:ind w:left="720" w:hanging="720"/>
        <w:jc w:val="both"/>
        <w:rPr>
          <w:noProof/>
        </w:rPr>
      </w:pPr>
      <w:r w:rsidRPr="00A82F23">
        <w:rPr>
          <w:noProof/>
        </w:rPr>
        <w:t>3.</w:t>
      </w:r>
      <w:r w:rsidRPr="00A82F23">
        <w:rPr>
          <w:noProof/>
        </w:rPr>
        <w:tab/>
        <w:t>Miyasaka Y, Barnes ME, Gersh BJ, Cha SS, Bailey KR, Abhayaratna WP, Seward JB, Tsang TS (2006) Secular trends in incidence of atrial fibrillation in Olmsted County, Minnesota, 1980 to 2000, and implications on the projections for future prevalence. Circulation 114:119-125.</w:t>
      </w:r>
    </w:p>
    <w:p w14:paraId="2F29BA5E" w14:textId="77777777" w:rsidR="0063383E" w:rsidRPr="00A82F23" w:rsidRDefault="0063383E" w:rsidP="003022E7">
      <w:pPr>
        <w:pStyle w:val="EndNoteBibliography"/>
        <w:spacing w:after="240"/>
        <w:ind w:left="720" w:hanging="720"/>
        <w:jc w:val="both"/>
        <w:rPr>
          <w:noProof/>
        </w:rPr>
      </w:pPr>
      <w:r w:rsidRPr="00A82F23">
        <w:rPr>
          <w:noProof/>
        </w:rPr>
        <w:t>4.</w:t>
      </w:r>
      <w:r w:rsidRPr="00A82F23">
        <w:rPr>
          <w:noProof/>
        </w:rPr>
        <w:tab/>
        <w:t>Gitt AK, Bueno H, Danchin N, Fox K, Hochadel M, Kearney P, Maggioni AP, Opolski G, Seabra-Gomes R, Weidinger F (2010) The role of cardiac registries in evidence-based medicine. Eur Heart J 31:525-529.</w:t>
      </w:r>
    </w:p>
    <w:p w14:paraId="6EDF643D" w14:textId="77777777" w:rsidR="0063383E" w:rsidRPr="00A82F23" w:rsidRDefault="0063383E" w:rsidP="003022E7">
      <w:pPr>
        <w:pStyle w:val="EndNoteBibliography"/>
        <w:spacing w:after="240"/>
        <w:ind w:left="720" w:hanging="720"/>
        <w:jc w:val="both"/>
        <w:rPr>
          <w:noProof/>
        </w:rPr>
      </w:pPr>
      <w:r w:rsidRPr="00A82F23">
        <w:rPr>
          <w:noProof/>
        </w:rPr>
        <w:t>5.</w:t>
      </w:r>
      <w:r w:rsidRPr="00A82F23">
        <w:rPr>
          <w:noProof/>
        </w:rPr>
        <w:tab/>
        <w:t>Hirsh J, Eikelboom JW, Chan NC (2019) Fifty years of research on antithrombotic therapy: Achievements and disappointments. Eur J Intern Med 70:1-7.</w:t>
      </w:r>
    </w:p>
    <w:p w14:paraId="0B156BEE" w14:textId="77777777" w:rsidR="0063383E" w:rsidRPr="00A82F23" w:rsidRDefault="0063383E" w:rsidP="003022E7">
      <w:pPr>
        <w:pStyle w:val="EndNoteBibliography"/>
        <w:spacing w:after="240"/>
        <w:ind w:left="720" w:hanging="720"/>
        <w:jc w:val="both"/>
        <w:rPr>
          <w:noProof/>
        </w:rPr>
      </w:pPr>
      <w:r w:rsidRPr="00A82F23">
        <w:rPr>
          <w:noProof/>
        </w:rPr>
        <w:t>6.</w:t>
      </w:r>
      <w:r w:rsidRPr="00A82F23">
        <w:rPr>
          <w:noProof/>
        </w:rPr>
        <w:tab/>
        <w:t xml:space="preserve">Lip GY, Al-Khatib SM, Cosio FG, Banerjee A, Savelieva I, Ruskin J, Blendea D, Nattel S, De Bono J, Conroy JM, Hess PL, Guasch E, Halperin JL, Kirchhof P, Cosio MD, Camm AJ (2014) Contemporary management of atrial fibrillation: what can clinical registries tell us about stroke prevention and current therapeutic approaches? J Am Heart Assoc </w:t>
      </w:r>
      <w:r w:rsidR="00D85757" w:rsidRPr="00D85757">
        <w:rPr>
          <w:noProof/>
        </w:rPr>
        <w:t>3(4):e001179</w:t>
      </w:r>
    </w:p>
    <w:p w14:paraId="4FDA2F00" w14:textId="77777777" w:rsidR="0063383E" w:rsidRPr="00A82F23" w:rsidRDefault="0063383E" w:rsidP="003022E7">
      <w:pPr>
        <w:pStyle w:val="EndNoteBibliography"/>
        <w:spacing w:after="240"/>
        <w:ind w:left="720" w:hanging="720"/>
        <w:jc w:val="both"/>
        <w:rPr>
          <w:noProof/>
        </w:rPr>
      </w:pPr>
      <w:r w:rsidRPr="00A82F23">
        <w:rPr>
          <w:noProof/>
        </w:rPr>
        <w:t>7.</w:t>
      </w:r>
      <w:r w:rsidRPr="00A82F23">
        <w:rPr>
          <w:noProof/>
        </w:rPr>
        <w:tab/>
        <w:t>Mazurek M, Huisman MV, Lip GYH (2017) Registries in Atrial Fibrillation: From Trials to Real-Life Clinical Practice. Am J Med 130:135-145.</w:t>
      </w:r>
    </w:p>
    <w:p w14:paraId="0049ECEB" w14:textId="77777777" w:rsidR="0063383E" w:rsidRPr="00A82F23" w:rsidRDefault="0063383E" w:rsidP="003022E7">
      <w:pPr>
        <w:pStyle w:val="EndNoteBibliography"/>
        <w:spacing w:after="240"/>
        <w:ind w:left="720" w:hanging="720"/>
        <w:jc w:val="both"/>
        <w:rPr>
          <w:noProof/>
        </w:rPr>
      </w:pPr>
      <w:r w:rsidRPr="00A82F23">
        <w:rPr>
          <w:noProof/>
        </w:rPr>
        <w:t>8.</w:t>
      </w:r>
      <w:r w:rsidRPr="00A82F23">
        <w:rPr>
          <w:noProof/>
        </w:rPr>
        <w:tab/>
        <w:t>Bufalino VJ, Masoudi FA, Stranne SK, Horton K, Albert NM, Beam C, Bonow RO, Davenport RL, Girgus M, Fonarow GC, Krumholz HM, Legnini MW, Lewis WR, Nichol G, Peterson ED, Rumsfeld JS, Schwamm LH, Shahian DM, Spertus JA, Woodard PK, Yancy CW</w:t>
      </w:r>
      <w:r w:rsidR="00D85757">
        <w:rPr>
          <w:noProof/>
        </w:rPr>
        <w:t xml:space="preserve"> </w:t>
      </w:r>
      <w:r w:rsidRPr="00A82F23">
        <w:rPr>
          <w:noProof/>
        </w:rPr>
        <w:t>(2011) The American Heart Association's recommendations for expanding the applications of existing and future clinical registries: a policy statement from the American Heart Association. Circulation 123:2167-2179.</w:t>
      </w:r>
    </w:p>
    <w:p w14:paraId="2F12A5A6" w14:textId="77777777" w:rsidR="0063383E" w:rsidRPr="00A82F23" w:rsidRDefault="0063383E" w:rsidP="003022E7">
      <w:pPr>
        <w:pStyle w:val="EndNoteBibliography"/>
        <w:spacing w:after="240"/>
        <w:ind w:left="720" w:hanging="720"/>
        <w:jc w:val="both"/>
        <w:rPr>
          <w:noProof/>
        </w:rPr>
      </w:pPr>
      <w:r w:rsidRPr="00A82F23">
        <w:rPr>
          <w:noProof/>
        </w:rPr>
        <w:t>9.</w:t>
      </w:r>
      <w:r w:rsidRPr="00A82F23">
        <w:rPr>
          <w:noProof/>
        </w:rPr>
        <w:tab/>
        <w:t>Scholte op Reimer WJM GA, Boersma E, Simoons ML (eds.)</w:t>
      </w:r>
      <w:r>
        <w:rPr>
          <w:noProof/>
        </w:rPr>
        <w:t xml:space="preserve"> (2006) </w:t>
      </w:r>
      <w:r w:rsidRPr="00A82F23">
        <w:rPr>
          <w:noProof/>
        </w:rPr>
        <w:t>Cardiovascular Diseases in Europe. Euro Heart Survey – 2006. Sophia Antipolis; European Society of Cardiology; 2006.</w:t>
      </w:r>
    </w:p>
    <w:p w14:paraId="7969A692" w14:textId="77777777" w:rsidR="0063383E" w:rsidRPr="00A82F23" w:rsidRDefault="0063383E" w:rsidP="003022E7">
      <w:pPr>
        <w:pStyle w:val="EndNoteBibliography"/>
        <w:spacing w:after="240"/>
        <w:ind w:left="720" w:hanging="720"/>
        <w:jc w:val="both"/>
        <w:rPr>
          <w:noProof/>
        </w:rPr>
      </w:pPr>
      <w:r w:rsidRPr="00A82F23">
        <w:rPr>
          <w:noProof/>
        </w:rPr>
        <w:t>10.</w:t>
      </w:r>
      <w:r w:rsidRPr="00A82F23">
        <w:rPr>
          <w:noProof/>
        </w:rPr>
        <w:tab/>
        <w:t>Lee P, Chin K, Liew D, Stub D, Brennan AL, Lefkovits J, Zomer E (2019) Economic evaluation of clinical quality registries: a systematic review. BMJ Open 9:e030984.</w:t>
      </w:r>
    </w:p>
    <w:p w14:paraId="65283263" w14:textId="77777777" w:rsidR="0063383E" w:rsidRPr="00A82F23" w:rsidRDefault="0063383E" w:rsidP="003022E7">
      <w:pPr>
        <w:pStyle w:val="EndNoteBibliography"/>
        <w:spacing w:after="240"/>
        <w:ind w:left="720" w:hanging="720"/>
        <w:jc w:val="both"/>
        <w:rPr>
          <w:noProof/>
        </w:rPr>
      </w:pPr>
      <w:r w:rsidRPr="00A82F23">
        <w:rPr>
          <w:noProof/>
        </w:rPr>
        <w:t>11.</w:t>
      </w:r>
      <w:r w:rsidRPr="00A82F23">
        <w:rPr>
          <w:noProof/>
        </w:rPr>
        <w:tab/>
        <w:t>Nieuwlaat R, Capucci A, Camm AJ, Olsson SB, Andresen D, Davies DW, Cobbe S, Breithardt G, Le Heuzey JY, Prins MH, Levy S, Crijns HJ (2005) Atrial fibrillation management: a prospective survey in ESC member countries: the Euro Heart Survey on Atrial Fibrillation. Eur Heart J 26:2422-2434.</w:t>
      </w:r>
    </w:p>
    <w:p w14:paraId="5221E9D6" w14:textId="77777777" w:rsidR="0063383E" w:rsidRPr="00A82F23" w:rsidRDefault="0063383E" w:rsidP="003022E7">
      <w:pPr>
        <w:pStyle w:val="EndNoteBibliography"/>
        <w:spacing w:after="240"/>
        <w:ind w:left="720" w:hanging="720"/>
        <w:jc w:val="both"/>
        <w:rPr>
          <w:noProof/>
        </w:rPr>
      </w:pPr>
      <w:r w:rsidRPr="00A82F23">
        <w:rPr>
          <w:noProof/>
        </w:rPr>
        <w:t>12.</w:t>
      </w:r>
      <w:r w:rsidRPr="00A82F23">
        <w:rPr>
          <w:noProof/>
        </w:rPr>
        <w:tab/>
        <w:t>Fuster V, Rydén LE, Asinger RW, Cannom DS, Crijns HJ, Frye RL, Halperin JL, Kay GN, Klein WW, Lévy S, McNamara RL, Prystowsky EN, Wann LS, Wyse DG, Gibbons RJ, Antman EM, Alpert JS, Faxon DP, Gregoratos G, Hiratzka LF, Jacobs AK, Russell RO, Smith SC, Alonso-Garcia A, Blomström-Lundqvist C, de Backer G, Flather M, Hradec J, Oto A, Parkhomenko A, Silber S, Torbicki A</w:t>
      </w:r>
      <w:r>
        <w:rPr>
          <w:noProof/>
        </w:rPr>
        <w:t xml:space="preserve"> </w:t>
      </w:r>
      <w:r w:rsidRPr="00A82F23">
        <w:rPr>
          <w:noProof/>
        </w:rPr>
        <w:t xml:space="preserve">(2001) </w:t>
      </w:r>
      <w:r w:rsidRPr="00A82F23">
        <w:rPr>
          <w:noProof/>
        </w:rPr>
        <w:lastRenderedPageBreak/>
        <w:t>ACC/AHA/ESC Guidelines for the Management of Patients With Atrial Fibrillation: Executive Summary A Report of the American College of Cardiology/American Heart Association Task Force on Practice Guidelines and the European Society of Cardiology Committee for Practice Guidelines and Policy Conferences (Committee to Develop Guidelines for the Management of Patients With Atrial Fibrillation) Developed in Collaboration With the North American Society of Pacing and Electrophysiology. Circulation 104:2118-2150.</w:t>
      </w:r>
    </w:p>
    <w:p w14:paraId="7A14A9D4" w14:textId="77777777" w:rsidR="0063383E" w:rsidRPr="00A82F23" w:rsidRDefault="0063383E" w:rsidP="003022E7">
      <w:pPr>
        <w:pStyle w:val="EndNoteBibliography"/>
        <w:spacing w:after="240"/>
        <w:ind w:left="720" w:hanging="720"/>
        <w:jc w:val="both"/>
        <w:rPr>
          <w:noProof/>
        </w:rPr>
      </w:pPr>
      <w:r w:rsidRPr="00A82F23">
        <w:rPr>
          <w:noProof/>
        </w:rPr>
        <w:t>13.</w:t>
      </w:r>
      <w:r w:rsidRPr="00A82F23">
        <w:rPr>
          <w:noProof/>
        </w:rPr>
        <w:tab/>
        <w:t>Boriani G, Proietti M, Laroche C, Diemberger I, Popescu MI, Riahi S, Shantsila A, Dan GA, Tavazzi L, Maggioni AP, Lip GYH</w:t>
      </w:r>
      <w:r>
        <w:rPr>
          <w:noProof/>
        </w:rPr>
        <w:t xml:space="preserve"> </w:t>
      </w:r>
      <w:r w:rsidRPr="00A82F23">
        <w:rPr>
          <w:noProof/>
        </w:rPr>
        <w:t>(2018) Changes to oral anticoagulant therapy and risk of death over a 3-year follow-up of a contemporary cohort of European patients with atrial fibrillation final report of the EURObservational Research Programme on Atrial Fibrillation (EORP-AF) pilot general registry. Int J Cardiol 271:68-74.</w:t>
      </w:r>
    </w:p>
    <w:p w14:paraId="05C42A39" w14:textId="77777777" w:rsidR="0063383E" w:rsidRPr="00A82F23" w:rsidRDefault="0063383E" w:rsidP="003022E7">
      <w:pPr>
        <w:pStyle w:val="EndNoteBibliography"/>
        <w:spacing w:after="240"/>
        <w:ind w:left="720" w:hanging="720"/>
        <w:jc w:val="both"/>
        <w:rPr>
          <w:noProof/>
        </w:rPr>
      </w:pPr>
      <w:r w:rsidRPr="00A82F23">
        <w:rPr>
          <w:noProof/>
        </w:rPr>
        <w:t>14.</w:t>
      </w:r>
      <w:r w:rsidRPr="00A82F23">
        <w:rPr>
          <w:noProof/>
        </w:rPr>
        <w:tab/>
        <w:t>Lip GY</w:t>
      </w:r>
      <w:r w:rsidR="00D85757">
        <w:rPr>
          <w:noProof/>
        </w:rPr>
        <w:t>H</w:t>
      </w:r>
      <w:r w:rsidRPr="00A82F23">
        <w:rPr>
          <w:noProof/>
        </w:rPr>
        <w:t>, Laroche C, Dan GA, Santini M, Kalarus Z, Rasmussen LH, Oliveira MM, Mairesse G, Crijns HJ, Simantirakis E, Atar D, Kirchhof P, Vardas P, Tavazzi L, Maggioni AP (2014) A prospective survey in European Society of Cardiology member countries of atrial fibrillation management: baseline results of EURObservational Research Programme Atrial Fibrillation (EORP-AF) Pilot General Registry. Europace 16:308-319.</w:t>
      </w:r>
    </w:p>
    <w:p w14:paraId="51947817" w14:textId="77777777" w:rsidR="0063383E" w:rsidRPr="00A82F23" w:rsidRDefault="0063383E" w:rsidP="003022E7">
      <w:pPr>
        <w:pStyle w:val="EndNoteBibliography"/>
        <w:spacing w:after="240"/>
        <w:ind w:left="720" w:hanging="720"/>
        <w:jc w:val="both"/>
        <w:rPr>
          <w:noProof/>
        </w:rPr>
      </w:pPr>
      <w:r w:rsidRPr="00A82F23">
        <w:rPr>
          <w:noProof/>
        </w:rPr>
        <w:t>15.</w:t>
      </w:r>
      <w:r w:rsidRPr="00A82F23">
        <w:rPr>
          <w:noProof/>
        </w:rPr>
        <w:tab/>
        <w:t>Boriani G, Proietti M, Laroche C, Fauchier L, Marin F, Nabauer M, Potpara T, Dan GA, Kalarus Z, Tavazzi L, Maggioni AP, Lip GYH</w:t>
      </w:r>
      <w:r>
        <w:rPr>
          <w:noProof/>
        </w:rPr>
        <w:t xml:space="preserve"> </w:t>
      </w:r>
      <w:r w:rsidRPr="00A82F23">
        <w:rPr>
          <w:noProof/>
        </w:rPr>
        <w:t>(2019) Association between antithrombotic treatment and outcomes at 1-year follow-up in patients with atrial fibrillation: the EORP-AF General Long-Term Registry. Europace 21:1013-1022.</w:t>
      </w:r>
    </w:p>
    <w:p w14:paraId="47CFEAB7" w14:textId="77777777" w:rsidR="0063383E" w:rsidRPr="00A82F23" w:rsidRDefault="0063383E" w:rsidP="003022E7">
      <w:pPr>
        <w:pStyle w:val="EndNoteBibliography"/>
        <w:spacing w:after="240"/>
        <w:ind w:left="720" w:hanging="720"/>
        <w:jc w:val="both"/>
        <w:rPr>
          <w:noProof/>
        </w:rPr>
      </w:pPr>
      <w:r w:rsidRPr="00A82F23">
        <w:rPr>
          <w:noProof/>
        </w:rPr>
        <w:t>16.</w:t>
      </w:r>
      <w:r w:rsidRPr="00A82F23">
        <w:rPr>
          <w:noProof/>
        </w:rPr>
        <w:tab/>
        <w:t>Boriani G, Proietti M, Laroche C, Fauchier L, Marin F, Nabauer M, Potpara T, Dan GA, Kalarus Z, Diemberger I, Tavazzi L, Maggioni AP, Lip GYH</w:t>
      </w:r>
      <w:r>
        <w:rPr>
          <w:noProof/>
        </w:rPr>
        <w:t xml:space="preserve"> </w:t>
      </w:r>
      <w:r w:rsidRPr="00A82F23">
        <w:rPr>
          <w:noProof/>
        </w:rPr>
        <w:t>(2018) Contemporary stroke prevention strategies in 11 096 European patients with atrial fibrillation: a report from the EURObservational Research Programme on Atrial Fibrillation (EORP-AF) Long-Term General Registry. Europace 20:747-757.</w:t>
      </w:r>
    </w:p>
    <w:p w14:paraId="0E6C3897" w14:textId="77777777" w:rsidR="0063383E" w:rsidRPr="00A82F23" w:rsidRDefault="0063383E" w:rsidP="003022E7">
      <w:pPr>
        <w:pStyle w:val="EndNoteBibliography"/>
        <w:spacing w:after="240"/>
        <w:ind w:left="720" w:hanging="720"/>
        <w:jc w:val="both"/>
        <w:rPr>
          <w:noProof/>
        </w:rPr>
      </w:pPr>
      <w:r w:rsidRPr="00A82F23">
        <w:rPr>
          <w:noProof/>
        </w:rPr>
        <w:t>17.</w:t>
      </w:r>
      <w:r w:rsidRPr="00A82F23">
        <w:rPr>
          <w:noProof/>
        </w:rPr>
        <w:tab/>
        <w:t>Lip GY</w:t>
      </w:r>
      <w:r w:rsidR="00D85757">
        <w:rPr>
          <w:noProof/>
        </w:rPr>
        <w:t>H</w:t>
      </w:r>
      <w:r w:rsidRPr="00A82F23">
        <w:rPr>
          <w:noProof/>
        </w:rPr>
        <w:t xml:space="preserve"> (2013) EUR Observational research programme: atrial fibrillation general registry pilot phase. Eur Heart J 34:794.</w:t>
      </w:r>
    </w:p>
    <w:p w14:paraId="68C39E9E" w14:textId="77777777" w:rsidR="0063383E" w:rsidRPr="00A82F23" w:rsidRDefault="0063383E" w:rsidP="003022E7">
      <w:pPr>
        <w:pStyle w:val="EndNoteBibliography"/>
        <w:spacing w:after="240"/>
        <w:ind w:left="720" w:hanging="720"/>
        <w:jc w:val="both"/>
        <w:rPr>
          <w:noProof/>
        </w:rPr>
      </w:pPr>
      <w:r w:rsidRPr="00A82F23">
        <w:rPr>
          <w:noProof/>
        </w:rPr>
        <w:t>18.</w:t>
      </w:r>
      <w:r w:rsidRPr="00A82F23">
        <w:rPr>
          <w:noProof/>
        </w:rPr>
        <w:tab/>
        <w:t>Hsu JC, Akao M, Abe M, Anderson KL, Avezum A, Glusenkamp N, Kohsaka S, Lane DA, Lip GY</w:t>
      </w:r>
      <w:r w:rsidR="00D85757">
        <w:rPr>
          <w:noProof/>
        </w:rPr>
        <w:t>H</w:t>
      </w:r>
      <w:r w:rsidRPr="00A82F23">
        <w:rPr>
          <w:noProof/>
        </w:rPr>
        <w:t>, Ma CS, Masoudi FA, Potpara TS, Siong TW, Turakhia MP, Tse HF, Rumsfeld JS, Maddox TM (2016) International Collaborative Partnership for the Study of Atrial Fibrillation (INTERAF): Rationale, Design, and Initial Descriptives. J Am Heart Assoc 5</w:t>
      </w:r>
      <w:r>
        <w:rPr>
          <w:noProof/>
        </w:rPr>
        <w:t xml:space="preserve"> </w:t>
      </w:r>
      <w:r w:rsidRPr="0063383E">
        <w:rPr>
          <w:noProof/>
        </w:rPr>
        <w:t>(11):e004037</w:t>
      </w:r>
    </w:p>
    <w:p w14:paraId="33A90238" w14:textId="77777777" w:rsidR="0063383E" w:rsidRPr="00A82F23" w:rsidRDefault="0063383E" w:rsidP="003022E7">
      <w:pPr>
        <w:pStyle w:val="EndNoteBibliography"/>
        <w:spacing w:after="240"/>
        <w:ind w:left="720" w:hanging="720"/>
        <w:jc w:val="both"/>
        <w:rPr>
          <w:noProof/>
        </w:rPr>
      </w:pPr>
      <w:r w:rsidRPr="00A82F23">
        <w:rPr>
          <w:noProof/>
        </w:rPr>
        <w:t>19.</w:t>
      </w:r>
      <w:r w:rsidRPr="00A82F23">
        <w:rPr>
          <w:noProof/>
        </w:rPr>
        <w:tab/>
        <w:t>Dudink EAMP, Erküner Ö, Berg J, Nieuwlaat R, de Vos CB, Weijs B, Capucci A, Camm AJ, Breithardt G, Le Heuzey JY, Luermans JGLM, Crijns HJ (2018) The influence of progression of atrial fibrillation on quality of life: a report from the Euro Heart Survey. Europace 20:929-934.</w:t>
      </w:r>
    </w:p>
    <w:p w14:paraId="75C6EA9E" w14:textId="77777777" w:rsidR="0063383E" w:rsidRPr="00A82F23" w:rsidRDefault="0063383E" w:rsidP="003022E7">
      <w:pPr>
        <w:pStyle w:val="EndNoteBibliography"/>
        <w:spacing w:after="240"/>
        <w:ind w:left="720" w:hanging="720"/>
        <w:jc w:val="both"/>
        <w:rPr>
          <w:noProof/>
        </w:rPr>
      </w:pPr>
      <w:r w:rsidRPr="00A82F23">
        <w:rPr>
          <w:noProof/>
        </w:rPr>
        <w:t>20.</w:t>
      </w:r>
      <w:r w:rsidRPr="00A82F23">
        <w:rPr>
          <w:noProof/>
        </w:rPr>
        <w:tab/>
        <w:t>de Vos CB, Pisters R, Nieuwlaat R, Prins MH, Tieleman RG, Coelen RJ, van den Heijkant AC, Allessie MA, Crijns HJ (2010) Progression from paroxysmal to persistent atrial fibrillation clinical correlates and prognosis. J Am Coll Cardiol 55:725-731.</w:t>
      </w:r>
    </w:p>
    <w:p w14:paraId="6B23AC27" w14:textId="77777777" w:rsidR="0063383E" w:rsidRPr="00A82F23" w:rsidRDefault="0063383E" w:rsidP="003022E7">
      <w:pPr>
        <w:pStyle w:val="EndNoteBibliography"/>
        <w:spacing w:after="240"/>
        <w:ind w:left="720" w:hanging="720"/>
        <w:jc w:val="both"/>
        <w:rPr>
          <w:noProof/>
        </w:rPr>
      </w:pPr>
      <w:r w:rsidRPr="00A82F23">
        <w:rPr>
          <w:noProof/>
        </w:rPr>
        <w:t>21.</w:t>
      </w:r>
      <w:r w:rsidRPr="00A82F23">
        <w:rPr>
          <w:noProof/>
        </w:rPr>
        <w:tab/>
        <w:t>Nieuwlaat R, Prins MH, Le Heuzey JY, Vardas PE, Aliot E, Santini M, Cobbe SM, Widdershoven JW, Baur LH, Lévy S, Crijns HJ (2008) Prognosis, disease progression, and treatment of atrial fibrillation patients during 1 year: follow-up of the Euro Heart Survey on atrial fibrillation. Eur Heart J 29:1181-1189.</w:t>
      </w:r>
    </w:p>
    <w:p w14:paraId="52903EA4" w14:textId="77777777" w:rsidR="0063383E" w:rsidRPr="00A82F23" w:rsidRDefault="0063383E" w:rsidP="003022E7">
      <w:pPr>
        <w:pStyle w:val="EndNoteBibliography"/>
        <w:spacing w:after="240"/>
        <w:ind w:left="720" w:hanging="720"/>
        <w:jc w:val="both"/>
        <w:rPr>
          <w:noProof/>
        </w:rPr>
      </w:pPr>
      <w:r w:rsidRPr="00A82F23">
        <w:rPr>
          <w:noProof/>
        </w:rPr>
        <w:lastRenderedPageBreak/>
        <w:t>22.</w:t>
      </w:r>
      <w:r w:rsidRPr="00A82F23">
        <w:rPr>
          <w:noProof/>
        </w:rPr>
        <w:tab/>
        <w:t>de Vos CB, Nieuwlaat R, Crijns HJ, Camm AJ, LeHeuzey JY, Kirchhof CJ, Capucci A, Breithardt G, Vardas PE, Pisters R, Tieleman RG (2008) Autonomic trigger patterns and anti-arrhythmic treatment of paroxysmal atrial fibrillation: data from the Euro Heart Survey. Eur Heart J 29:632-639.</w:t>
      </w:r>
    </w:p>
    <w:p w14:paraId="02BFF7C4" w14:textId="77777777" w:rsidR="0063383E" w:rsidRPr="00A82F23" w:rsidRDefault="0063383E" w:rsidP="003022E7">
      <w:pPr>
        <w:pStyle w:val="EndNoteBibliography"/>
        <w:spacing w:after="240"/>
        <w:ind w:left="720" w:hanging="720"/>
        <w:jc w:val="both"/>
        <w:rPr>
          <w:noProof/>
        </w:rPr>
      </w:pPr>
      <w:r w:rsidRPr="00A82F23">
        <w:rPr>
          <w:noProof/>
        </w:rPr>
        <w:t>23.</w:t>
      </w:r>
      <w:r w:rsidRPr="00A82F23">
        <w:rPr>
          <w:noProof/>
        </w:rPr>
        <w:tab/>
        <w:t>Erküner Ö, Dudink EAMP, Nieuwlaat R, Rienstra M, Van Gelder IC, Camm AJ, Capucci A, Breithardt G, LeHeuzey JY, Lip GYH, Crijns HJ, Luermans JGLM (2018) Effect of Systemic Hypertension With Versus Without Left Ventricular Hypertrophy on the Progression of Atrial Fibrillation (from the Euro Heart Survey). Am J Cardiol 122:578-583.</w:t>
      </w:r>
    </w:p>
    <w:p w14:paraId="1990DA0B" w14:textId="77777777" w:rsidR="0063383E" w:rsidRPr="00A82F23" w:rsidRDefault="0063383E" w:rsidP="003022E7">
      <w:pPr>
        <w:pStyle w:val="EndNoteBibliography"/>
        <w:spacing w:after="240"/>
        <w:ind w:left="720" w:hanging="720"/>
        <w:jc w:val="both"/>
        <w:rPr>
          <w:noProof/>
        </w:rPr>
      </w:pPr>
      <w:r w:rsidRPr="00A82F23">
        <w:rPr>
          <w:noProof/>
        </w:rPr>
        <w:t>24.</w:t>
      </w:r>
      <w:r w:rsidRPr="00A82F23">
        <w:rPr>
          <w:noProof/>
        </w:rPr>
        <w:tab/>
        <w:t>Weijs B, Pisters R, Nieuwlaat R, Breithardt G, Le Heuzey JY, Vardas PE, Limantoro I, Schotten U, Lip GY</w:t>
      </w:r>
      <w:r w:rsidR="00D85757">
        <w:rPr>
          <w:noProof/>
        </w:rPr>
        <w:t>H</w:t>
      </w:r>
      <w:r w:rsidRPr="00A82F23">
        <w:rPr>
          <w:noProof/>
        </w:rPr>
        <w:t>, Crijns HJ (2012) Idiopathic atrial fibrillation revisited in a large longitudinal clinical cohort. Europace 14:184-190.</w:t>
      </w:r>
    </w:p>
    <w:p w14:paraId="6509A88B" w14:textId="77777777" w:rsidR="0063383E" w:rsidRPr="00A82F23" w:rsidRDefault="0063383E" w:rsidP="003022E7">
      <w:pPr>
        <w:pStyle w:val="EndNoteBibliography"/>
        <w:spacing w:after="240"/>
        <w:ind w:left="720" w:hanging="720"/>
        <w:jc w:val="both"/>
        <w:rPr>
          <w:noProof/>
        </w:rPr>
      </w:pPr>
      <w:r w:rsidRPr="00A82F23">
        <w:rPr>
          <w:noProof/>
        </w:rPr>
        <w:t>25.</w:t>
      </w:r>
      <w:r w:rsidRPr="00A82F23">
        <w:rPr>
          <w:noProof/>
        </w:rPr>
        <w:tab/>
        <w:t>Fumagalli S, Nieuwlaat R, Tarantini F, de Vos CB, Werter CJ, Le Heuzey JY, Marchionni N, Crijns HJ (2012) Characteristics, management and prognosis of elderly patients in the Euro Heart Survey on atrial fibrillation. Aging Clin Exp Res 24:517-523.</w:t>
      </w:r>
    </w:p>
    <w:p w14:paraId="3E93D774" w14:textId="77777777" w:rsidR="0063383E" w:rsidRPr="00A82F23" w:rsidRDefault="0063383E" w:rsidP="003022E7">
      <w:pPr>
        <w:pStyle w:val="EndNoteBibliography"/>
        <w:spacing w:after="240"/>
        <w:ind w:left="720" w:hanging="720"/>
        <w:jc w:val="both"/>
        <w:rPr>
          <w:noProof/>
        </w:rPr>
      </w:pPr>
      <w:r w:rsidRPr="00A82F23">
        <w:rPr>
          <w:noProof/>
        </w:rPr>
        <w:t>26.</w:t>
      </w:r>
      <w:r w:rsidRPr="00A82F23">
        <w:rPr>
          <w:noProof/>
        </w:rPr>
        <w:tab/>
        <w:t>Proietti M, Laroche C, Nieuwlaat R, Crijns HJ, Maggioni AP, Lane DA, Boriani G, Lip GYH</w:t>
      </w:r>
      <w:r w:rsidR="00D85757">
        <w:rPr>
          <w:noProof/>
        </w:rPr>
        <w:t xml:space="preserve"> </w:t>
      </w:r>
      <w:r w:rsidRPr="00A82F23">
        <w:rPr>
          <w:noProof/>
        </w:rPr>
        <w:t>(2018) Increased burden of comorbidities and risk of cardiovascular death in atrial fibrillation patients in Europe over ten years: A comparison between EORP-AF pilot and EHS-AF registries. Eur J Intern Med 55:28-34.</w:t>
      </w:r>
    </w:p>
    <w:p w14:paraId="48BD59C0" w14:textId="77777777" w:rsidR="0063383E" w:rsidRPr="00A82F23" w:rsidRDefault="0063383E" w:rsidP="003022E7">
      <w:pPr>
        <w:pStyle w:val="EndNoteBibliography"/>
        <w:spacing w:after="240"/>
        <w:ind w:left="720" w:hanging="720"/>
        <w:jc w:val="both"/>
        <w:rPr>
          <w:noProof/>
        </w:rPr>
      </w:pPr>
      <w:r w:rsidRPr="00A82F23">
        <w:rPr>
          <w:noProof/>
        </w:rPr>
        <w:t>27.</w:t>
      </w:r>
      <w:r w:rsidRPr="00A82F23">
        <w:rPr>
          <w:noProof/>
        </w:rPr>
        <w:tab/>
        <w:t>Fumagalli S, Said SAM, Laroche C, Gabbai D, Marchionni N, Boriani G, Maggioni AP, Popescu MI, Rasmussen LH, Crijns HJ, Lip GYH</w:t>
      </w:r>
      <w:r>
        <w:rPr>
          <w:noProof/>
        </w:rPr>
        <w:t xml:space="preserve"> </w:t>
      </w:r>
      <w:r w:rsidRPr="00A82F23">
        <w:rPr>
          <w:noProof/>
        </w:rPr>
        <w:t>(2015) Age-Related Differences in Presentation, Treatment, and Outcome of Patients With Atrial Fibrillation in Europe: The EORP-AF General Pilot Registry (EURObservational Research Programme-Atrial Fibrillation). JACC Clin Electrophysiol 1:326-334.</w:t>
      </w:r>
    </w:p>
    <w:p w14:paraId="23290813" w14:textId="77777777" w:rsidR="0063383E" w:rsidRPr="00A82F23" w:rsidRDefault="0063383E" w:rsidP="003022E7">
      <w:pPr>
        <w:pStyle w:val="EndNoteBibliography"/>
        <w:spacing w:after="240"/>
        <w:ind w:left="720" w:hanging="720"/>
        <w:jc w:val="both"/>
        <w:rPr>
          <w:noProof/>
        </w:rPr>
      </w:pPr>
      <w:r w:rsidRPr="00A82F23">
        <w:rPr>
          <w:noProof/>
        </w:rPr>
        <w:t>28.</w:t>
      </w:r>
      <w:r w:rsidRPr="00A82F23">
        <w:rPr>
          <w:noProof/>
        </w:rPr>
        <w:tab/>
        <w:t>Freedman B, Camm J, Calkins H, Healey JS, Rosenqvist M, Wang J, Albert CM, Anderson CS, Antoniou S, Benjamin EJ, Boriani G, Brachmann J, Brandes A, Chao TF, Conen D, Engdahl J, Fauchier L, Fitzmaurice DA, Friberg L, Gersh BJ, Gladstone DJ, Glotzer TV, Gwynne K, Hankey GJ, Harbison J, Hillis GS, Hills MT, Kamel H, Kirchhof P, Kowey PR, Krieger D, Lee VWY, Levin L, Lip GYH, Lobban T, Lowres N, Mairesse GH, Martinez C, Neubeck L, Orchard J, Piccini JP, Poppe K, Potpara TS, Puererfellner H, Rienstra M, Sandhu RK, Schnabel RB, Siu CW, Steinhubl S, Svendsen JH, Svennberg E, Themistoclakis S, Tieleman RG, Turakhia MP, Tveit A, Uittenbogaart SB, Van Gelder IC, Verma A, Wachter R, Yan BP</w:t>
      </w:r>
      <w:r>
        <w:rPr>
          <w:noProof/>
        </w:rPr>
        <w:t xml:space="preserve"> </w:t>
      </w:r>
      <w:r w:rsidRPr="00A82F23">
        <w:rPr>
          <w:noProof/>
        </w:rPr>
        <w:t>(2017) Screening for Atrial Fibrillation: A Report of the AF-SCREEN International Collaboration. Circulation 135:1851-1867.</w:t>
      </w:r>
    </w:p>
    <w:p w14:paraId="782774E6" w14:textId="77777777" w:rsidR="0063383E" w:rsidRPr="00A82F23" w:rsidRDefault="0063383E" w:rsidP="003022E7">
      <w:pPr>
        <w:pStyle w:val="EndNoteBibliography"/>
        <w:spacing w:after="240"/>
        <w:ind w:left="720" w:hanging="720"/>
        <w:jc w:val="both"/>
        <w:rPr>
          <w:noProof/>
        </w:rPr>
      </w:pPr>
      <w:r w:rsidRPr="00A82F23">
        <w:rPr>
          <w:noProof/>
        </w:rPr>
        <w:t>29.</w:t>
      </w:r>
      <w:r w:rsidRPr="00A82F23">
        <w:rPr>
          <w:noProof/>
        </w:rPr>
        <w:tab/>
        <w:t>Krijthe BP, Kunst A, Benjamin EJ, Lip GY, Franco OH, Hofman A, Witteman JC, Stricker BH, Heeringa J (2013) Projections on the number of individuals with atrial fibrillation in the European Union, from 2000 to 2060. Eur Heart J 34:2746-2751.</w:t>
      </w:r>
    </w:p>
    <w:p w14:paraId="1CBC9E02" w14:textId="77777777" w:rsidR="0063383E" w:rsidRPr="00A82F23" w:rsidRDefault="0063383E" w:rsidP="003022E7">
      <w:pPr>
        <w:pStyle w:val="EndNoteBibliography"/>
        <w:spacing w:after="240"/>
        <w:ind w:left="720" w:hanging="720"/>
        <w:jc w:val="both"/>
        <w:rPr>
          <w:noProof/>
        </w:rPr>
      </w:pPr>
      <w:r w:rsidRPr="00A82F23">
        <w:rPr>
          <w:noProof/>
        </w:rPr>
        <w:t>30.</w:t>
      </w:r>
      <w:r w:rsidRPr="00A82F23">
        <w:rPr>
          <w:noProof/>
        </w:rPr>
        <w:tab/>
        <w:t>Lip GY, Laroche C, Boriani G, Cimaglia P, Dan GA, Santini M, Kalarus Z, Rasmussen LH, Popescu MI, Tica O, Hellum CF, Mortensen B, Tavazzi L, Maggioni AP (2015) Sex-related differences in presentation, treatment, and outcome of patients with atrial fibrillation in Europe: a report from the Euro Observational Research Programme Pilot survey on Atrial Fibrillation. Europace 17:24-31.</w:t>
      </w:r>
    </w:p>
    <w:p w14:paraId="0B066F59" w14:textId="77777777" w:rsidR="0063383E" w:rsidRPr="00A82F23" w:rsidRDefault="0063383E" w:rsidP="003022E7">
      <w:pPr>
        <w:pStyle w:val="EndNoteBibliography"/>
        <w:spacing w:after="240"/>
        <w:ind w:left="720" w:hanging="720"/>
        <w:jc w:val="both"/>
        <w:rPr>
          <w:noProof/>
        </w:rPr>
      </w:pPr>
      <w:r w:rsidRPr="00A82F23">
        <w:rPr>
          <w:noProof/>
        </w:rPr>
        <w:lastRenderedPageBreak/>
        <w:t>31.</w:t>
      </w:r>
      <w:r w:rsidRPr="00A82F23">
        <w:rPr>
          <w:noProof/>
        </w:rPr>
        <w:tab/>
        <w:t>Dagres N, Nieuwlaat R, Vardas PE, Andresen D, Lévy S, Cobbe S, Kremastinos DT, Breithardt G, Cokkinos DV, Crijns HJ (2007) Gender-related differences in presentation, treatment, and outcome of patients with atrial fibrillation in Europe: a report from the Euro Heart Survey on Atrial Fibrillation. J Am Coll Cardiol 49:572-577.</w:t>
      </w:r>
    </w:p>
    <w:p w14:paraId="10EA5ACA" w14:textId="77777777" w:rsidR="0063383E" w:rsidRPr="00A82F23" w:rsidRDefault="0063383E" w:rsidP="003022E7">
      <w:pPr>
        <w:pStyle w:val="EndNoteBibliography"/>
        <w:spacing w:after="240"/>
        <w:ind w:left="720" w:hanging="720"/>
        <w:jc w:val="both"/>
        <w:rPr>
          <w:noProof/>
        </w:rPr>
      </w:pPr>
      <w:r w:rsidRPr="00A82F23">
        <w:rPr>
          <w:noProof/>
        </w:rPr>
        <w:t>32.</w:t>
      </w:r>
      <w:r w:rsidRPr="00A82F23">
        <w:rPr>
          <w:noProof/>
        </w:rPr>
        <w:tab/>
        <w:t>Boriani G, Colella J, Imberti J, Fantecchi E, Vitolo M (2019) Female sex and stroke in atrial fibrillation: an intriguing relationship. Intern Emerg Med</w:t>
      </w:r>
      <w:r>
        <w:rPr>
          <w:noProof/>
        </w:rPr>
        <w:t>. 1</w:t>
      </w:r>
      <w:r w:rsidRPr="0063383E">
        <w:rPr>
          <w:noProof/>
        </w:rPr>
        <w:t>5(2):175-179</w:t>
      </w:r>
    </w:p>
    <w:p w14:paraId="09A9A65E" w14:textId="77777777" w:rsidR="0063383E" w:rsidRPr="00A82F23" w:rsidRDefault="0063383E" w:rsidP="003022E7">
      <w:pPr>
        <w:pStyle w:val="EndNoteBibliography"/>
        <w:spacing w:after="240"/>
        <w:ind w:left="720" w:hanging="720"/>
        <w:jc w:val="both"/>
        <w:rPr>
          <w:noProof/>
        </w:rPr>
      </w:pPr>
      <w:r w:rsidRPr="00A82F23">
        <w:rPr>
          <w:noProof/>
        </w:rPr>
        <w:t>33.</w:t>
      </w:r>
      <w:r w:rsidRPr="00A82F23">
        <w:rPr>
          <w:noProof/>
        </w:rPr>
        <w:tab/>
        <w:t>Boriani G, Laroche C, Diemberger I, Fantecchi E, Meeder J, Kurpesa M, Baluta MM, Proietti M, Tavazzi L, Maggioni AP, Lip GYH</w:t>
      </w:r>
      <w:r>
        <w:rPr>
          <w:noProof/>
        </w:rPr>
        <w:t xml:space="preserve"> </w:t>
      </w:r>
      <w:r w:rsidRPr="00A82F23">
        <w:rPr>
          <w:noProof/>
        </w:rPr>
        <w:t>(2018) Overweight and obesity in patients with atrial fibrillation: Sex differences in 1-year outcomes in the EORP-AF General Pilot Registry. J Cardiovasc Electrophysiol 29:566-572.</w:t>
      </w:r>
    </w:p>
    <w:p w14:paraId="4C60135A" w14:textId="77777777" w:rsidR="0063383E" w:rsidRPr="00A82F23" w:rsidRDefault="0063383E" w:rsidP="003022E7">
      <w:pPr>
        <w:pStyle w:val="EndNoteBibliography"/>
        <w:spacing w:after="240"/>
        <w:ind w:left="720" w:hanging="720"/>
        <w:jc w:val="both"/>
        <w:rPr>
          <w:noProof/>
        </w:rPr>
      </w:pPr>
      <w:r w:rsidRPr="00A82F23">
        <w:rPr>
          <w:noProof/>
        </w:rPr>
        <w:t>34.</w:t>
      </w:r>
      <w:r w:rsidRPr="00A82F23">
        <w:rPr>
          <w:noProof/>
        </w:rPr>
        <w:tab/>
        <w:t>Marzona I, Proietti M, Farcomeni A, Romiti GF, Romanazzi I, Raparelli V, Basili S, Lip GYH, Nobili A, Roncaglioni MC (2018) Sex differences in stroke and major adverse clinical events in patients with atrial fibrillation: A systematic review and meta-analysis of 993,600 patients. Int J Cardiol 269:182-191.</w:t>
      </w:r>
    </w:p>
    <w:p w14:paraId="1CD34E2C" w14:textId="77777777" w:rsidR="0063383E" w:rsidRPr="00A82F23" w:rsidRDefault="0063383E" w:rsidP="003022E7">
      <w:pPr>
        <w:pStyle w:val="EndNoteBibliography"/>
        <w:spacing w:after="240"/>
        <w:ind w:left="720" w:hanging="720"/>
        <w:jc w:val="both"/>
        <w:rPr>
          <w:noProof/>
        </w:rPr>
      </w:pPr>
      <w:r w:rsidRPr="00A82F23">
        <w:rPr>
          <w:noProof/>
        </w:rPr>
        <w:t>35.</w:t>
      </w:r>
      <w:r w:rsidRPr="00A82F23">
        <w:rPr>
          <w:noProof/>
        </w:rPr>
        <w:tab/>
        <w:t>Pisters R, Nieuwlaat R, Prins MH, Le Heuzey JY, Maggioni AP, Camm AJ, Crijns HJ</w:t>
      </w:r>
      <w:r>
        <w:rPr>
          <w:noProof/>
        </w:rPr>
        <w:t xml:space="preserve"> </w:t>
      </w:r>
      <w:r w:rsidRPr="00A82F23">
        <w:rPr>
          <w:noProof/>
        </w:rPr>
        <w:t>(2012) Clinical correlates of immediate success and outcome at 1-year follow-up of real-world cardioversion of atrial fibrillation: the Euro Heart Survey. Europace 14:666-674.</w:t>
      </w:r>
    </w:p>
    <w:p w14:paraId="716AA5BA" w14:textId="77777777" w:rsidR="0063383E" w:rsidRPr="00A82F23" w:rsidRDefault="0063383E" w:rsidP="003022E7">
      <w:pPr>
        <w:pStyle w:val="EndNoteBibliography"/>
        <w:spacing w:after="240"/>
        <w:ind w:left="720" w:hanging="720"/>
        <w:jc w:val="both"/>
        <w:rPr>
          <w:noProof/>
        </w:rPr>
      </w:pPr>
      <w:r w:rsidRPr="00A82F23">
        <w:rPr>
          <w:noProof/>
        </w:rPr>
        <w:t>36.</w:t>
      </w:r>
      <w:r w:rsidRPr="00A82F23">
        <w:rPr>
          <w:noProof/>
        </w:rPr>
        <w:tab/>
        <w:t>Purmah Y, Proietti M, Laroche C, Mazurek M, Tahmatzidis D, Boriani G, Novo S, Lip GYH</w:t>
      </w:r>
      <w:r>
        <w:rPr>
          <w:noProof/>
        </w:rPr>
        <w:t xml:space="preserve"> </w:t>
      </w:r>
      <w:r w:rsidRPr="00A82F23">
        <w:rPr>
          <w:noProof/>
        </w:rPr>
        <w:t>(2018) Rate vs. rhythm control and adverse outcomes among European patients with atrial fibrillation. Europace 20:243-252.</w:t>
      </w:r>
    </w:p>
    <w:p w14:paraId="2364D62B" w14:textId="77777777" w:rsidR="0063383E" w:rsidRPr="00A82F23" w:rsidRDefault="0063383E" w:rsidP="003022E7">
      <w:pPr>
        <w:pStyle w:val="EndNoteBibliography"/>
        <w:spacing w:after="240"/>
        <w:ind w:left="720" w:hanging="720"/>
        <w:jc w:val="both"/>
        <w:rPr>
          <w:noProof/>
        </w:rPr>
      </w:pPr>
      <w:r w:rsidRPr="00A82F23">
        <w:rPr>
          <w:noProof/>
        </w:rPr>
        <w:t>37.</w:t>
      </w:r>
      <w:r w:rsidRPr="00A82F23">
        <w:rPr>
          <w:noProof/>
        </w:rPr>
        <w:tab/>
        <w:t>Tilz RR, Dagres N, Arbelo E, Blomström-Lundqvist C, Crijns HJ, Kirchhof P, Kautzner J, Temporelli PL, Laroche C, Roberts PR, Pehrson S, Lip GYH, Brugada J, Tavazzi L (2019) Which patients with atrial fibrillation undergo an ablation procedure today in Europe? A report from the ESC-EHRA-EORP Atrial Fibrillation Ablation Long-Term and Atrial Fibrillation General Pilot Registries. Europace.</w:t>
      </w:r>
      <w:r w:rsidRPr="0063383E">
        <w:t xml:space="preserve"> </w:t>
      </w:r>
      <w:r w:rsidRPr="0063383E">
        <w:rPr>
          <w:noProof/>
        </w:rPr>
        <w:t>22(2):250-258</w:t>
      </w:r>
    </w:p>
    <w:p w14:paraId="6E79045D" w14:textId="77777777" w:rsidR="0063383E" w:rsidRPr="00A82F23" w:rsidRDefault="0063383E" w:rsidP="003022E7">
      <w:pPr>
        <w:pStyle w:val="EndNoteBibliography"/>
        <w:spacing w:after="240"/>
        <w:ind w:left="720" w:hanging="720"/>
        <w:jc w:val="both"/>
        <w:rPr>
          <w:noProof/>
        </w:rPr>
      </w:pPr>
      <w:r w:rsidRPr="00A82F23">
        <w:rPr>
          <w:noProof/>
        </w:rPr>
        <w:t>38.</w:t>
      </w:r>
      <w:r w:rsidRPr="00A82F23">
        <w:rPr>
          <w:noProof/>
        </w:rPr>
        <w:tab/>
        <w:t>Proietti M, Laroche C, Nyvad O, Haberka M, Vassilikos VP, Maggioni AP, Boriani G, Lip GYH</w:t>
      </w:r>
      <w:r>
        <w:rPr>
          <w:noProof/>
        </w:rPr>
        <w:t xml:space="preserve"> </w:t>
      </w:r>
      <w:r w:rsidRPr="00A82F23">
        <w:rPr>
          <w:noProof/>
        </w:rPr>
        <w:t>(2017) Use of statins and adverse outcomes in patients with atrial fibrillation: An analysis from the EURObservational Research Programme Atrial Fibrillation (EORP-AF) general registry pilot phase. Int J Cardiol 248:166-172.</w:t>
      </w:r>
    </w:p>
    <w:p w14:paraId="33A94E56" w14:textId="77777777" w:rsidR="0063383E" w:rsidRPr="00A82F23" w:rsidRDefault="0063383E" w:rsidP="003022E7">
      <w:pPr>
        <w:pStyle w:val="EndNoteBibliography"/>
        <w:spacing w:after="240"/>
        <w:ind w:left="720" w:hanging="720"/>
        <w:jc w:val="both"/>
        <w:rPr>
          <w:noProof/>
        </w:rPr>
      </w:pPr>
      <w:r w:rsidRPr="00A82F23">
        <w:rPr>
          <w:noProof/>
        </w:rPr>
        <w:t>39.</w:t>
      </w:r>
      <w:r w:rsidRPr="00A82F23">
        <w:rPr>
          <w:noProof/>
        </w:rPr>
        <w:tab/>
        <w:t>Hendriks JL, Nieuwlaat R, Vrijhoef HJ, de Wit R, Crijns HJ, Tieleman RG (2010) Improving guideline adherence in the treatment of atrial fibrillation by implementing an integrated chronic care program. Neth Heart J 18:471-477.</w:t>
      </w:r>
    </w:p>
    <w:p w14:paraId="012EF81C" w14:textId="77777777" w:rsidR="0063383E" w:rsidRPr="00A82F23" w:rsidRDefault="0063383E" w:rsidP="003022E7">
      <w:pPr>
        <w:pStyle w:val="EndNoteBibliography"/>
        <w:spacing w:after="240"/>
        <w:ind w:left="720" w:hanging="720"/>
        <w:jc w:val="both"/>
        <w:rPr>
          <w:noProof/>
        </w:rPr>
      </w:pPr>
      <w:r w:rsidRPr="00A82F23">
        <w:rPr>
          <w:noProof/>
        </w:rPr>
        <w:t>40.</w:t>
      </w:r>
      <w:r w:rsidRPr="00A82F23">
        <w:rPr>
          <w:noProof/>
        </w:rPr>
        <w:tab/>
        <w:t>Pisters R, Nieuwlaat R, Lane DA, Crijns HJ, Lip GY</w:t>
      </w:r>
      <w:r w:rsidR="00601C9B">
        <w:rPr>
          <w:noProof/>
        </w:rPr>
        <w:t>H</w:t>
      </w:r>
      <w:r w:rsidRPr="00A82F23">
        <w:rPr>
          <w:noProof/>
        </w:rPr>
        <w:t xml:space="preserve"> (2013) Potential net clinical benefit of population-wide implementation of apixaban and dabigatran among European patients with atrial fibrillation. A modelling analysis from the Euro Heart Survey. Thromb Haemost 109:328-336.</w:t>
      </w:r>
    </w:p>
    <w:p w14:paraId="01F10CDD" w14:textId="77777777" w:rsidR="0063383E" w:rsidRPr="00A82F23" w:rsidRDefault="0063383E" w:rsidP="003022E7">
      <w:pPr>
        <w:pStyle w:val="EndNoteBibliography"/>
        <w:spacing w:after="240"/>
        <w:ind w:left="720" w:hanging="720"/>
        <w:jc w:val="both"/>
        <w:rPr>
          <w:noProof/>
        </w:rPr>
      </w:pPr>
      <w:r w:rsidRPr="00A82F23">
        <w:rPr>
          <w:noProof/>
        </w:rPr>
        <w:t>41.</w:t>
      </w:r>
      <w:r w:rsidRPr="00A82F23">
        <w:rPr>
          <w:noProof/>
        </w:rPr>
        <w:tab/>
        <w:t>Boriani G, Laroche C, Diemberger I, Fantecchi E, Popescu MI, Rasmussen LH, Dan GA, Kalarus Z, Tavazzi L, Maggioni AP, Lip GY</w:t>
      </w:r>
      <w:r w:rsidR="00601C9B">
        <w:rPr>
          <w:noProof/>
        </w:rPr>
        <w:t>H</w:t>
      </w:r>
      <w:r w:rsidRPr="00A82F23">
        <w:rPr>
          <w:noProof/>
        </w:rPr>
        <w:t xml:space="preserve"> (2016) 'Real-world' management and outcomes of patients with paroxysmal vs. non-paroxysmal atrial fibrillation in Europe: the EURObservational Research Programme-Atrial Fibrillation (EORP-AF) General Pilot Registry. Europace 18:648-657.</w:t>
      </w:r>
    </w:p>
    <w:p w14:paraId="178720BA" w14:textId="77777777" w:rsidR="0063383E" w:rsidRPr="00A82F23" w:rsidRDefault="0063383E" w:rsidP="003022E7">
      <w:pPr>
        <w:pStyle w:val="EndNoteBibliography"/>
        <w:spacing w:after="240"/>
        <w:ind w:left="720" w:hanging="720"/>
        <w:jc w:val="both"/>
        <w:rPr>
          <w:noProof/>
        </w:rPr>
      </w:pPr>
      <w:r w:rsidRPr="00A82F23">
        <w:rPr>
          <w:noProof/>
        </w:rPr>
        <w:lastRenderedPageBreak/>
        <w:t>42.</w:t>
      </w:r>
      <w:r w:rsidRPr="00A82F23">
        <w:rPr>
          <w:noProof/>
        </w:rPr>
        <w:tab/>
        <w:t>Lip GY, Laroche C, Ioachim PM, Rasmussen LH, Vitali-Serdoz L, Petrescu L, Darabantiu D, Crijns HJ, Kirchhof P, Vardas P, Tavazzi L, Maggioni AP, Boriani G (2014) Prognosis and treatment of atrial fibrillation patients by European cardiologists: one year follow-up of the EURObservational Research Programme-Atrial Fibrillation General Registry Pilot Phase (EORP-AF Pilot registry). Eur Heart J 35:3365-3376.</w:t>
      </w:r>
    </w:p>
    <w:p w14:paraId="35FF4584" w14:textId="77777777" w:rsidR="0063383E" w:rsidRPr="00A82F23" w:rsidRDefault="0063383E" w:rsidP="003022E7">
      <w:pPr>
        <w:pStyle w:val="EndNoteBibliography"/>
        <w:spacing w:after="240"/>
        <w:ind w:left="720" w:hanging="720"/>
        <w:jc w:val="both"/>
        <w:rPr>
          <w:noProof/>
        </w:rPr>
      </w:pPr>
      <w:r w:rsidRPr="00A82F23">
        <w:rPr>
          <w:noProof/>
        </w:rPr>
        <w:t>43.</w:t>
      </w:r>
      <w:r w:rsidRPr="00A82F23">
        <w:rPr>
          <w:noProof/>
        </w:rPr>
        <w:tab/>
        <w:t>Wyse DG, Waldo AL, DiMarco JP, Domanski MJ, Rosenberg Y, Schron EB, Kellen JC, Greene HL, Mickel MC, Dalquist JE, Corley SD</w:t>
      </w:r>
      <w:r>
        <w:rPr>
          <w:noProof/>
        </w:rPr>
        <w:t xml:space="preserve"> </w:t>
      </w:r>
      <w:r w:rsidRPr="00A82F23">
        <w:rPr>
          <w:noProof/>
        </w:rPr>
        <w:t>(2002) A comparison of rate control and rhythm control in patients with atrial fibrillation. N Engl J Med 347:1825-1833.</w:t>
      </w:r>
    </w:p>
    <w:p w14:paraId="1D1A9E27" w14:textId="77777777" w:rsidR="0063383E" w:rsidRPr="00A82F23" w:rsidRDefault="0063383E" w:rsidP="003022E7">
      <w:pPr>
        <w:pStyle w:val="EndNoteBibliography"/>
        <w:spacing w:after="240"/>
        <w:ind w:left="720" w:hanging="720"/>
        <w:jc w:val="both"/>
        <w:rPr>
          <w:noProof/>
        </w:rPr>
      </w:pPr>
      <w:r w:rsidRPr="00A82F23">
        <w:rPr>
          <w:noProof/>
        </w:rPr>
        <w:t>44.</w:t>
      </w:r>
      <w:r w:rsidRPr="00A82F23">
        <w:rPr>
          <w:noProof/>
        </w:rPr>
        <w:tab/>
        <w:t>Packer DL, Mark DB, Robb RA, Monahan KH, Bahnson TD, Poole JE, Noseworthy PA, Rosenberg YD, Jeffries N, Mitchell LB, Flaker GC, Pokushalov E, Romanov A, Bunch TJ, Noelker G, Ardashev A, Revishvili A, Wilber DJ, Cappato R, Kuck KH, Hindricks G, Davies DW, Kowey PR, Naccarelli GV, Reiffel JA, Piccini JP, Silverstein AP, Al-Khalidi HR, Lee KL</w:t>
      </w:r>
      <w:r>
        <w:rPr>
          <w:noProof/>
        </w:rPr>
        <w:t xml:space="preserve"> </w:t>
      </w:r>
      <w:r w:rsidRPr="00A82F23">
        <w:rPr>
          <w:noProof/>
        </w:rPr>
        <w:t>(2019) Effect of Catheter Ablation vs Antiarrhythmic Drug Therapy on Mortality, Stroke, Bleeding, and Cardiac Arrest Among Patients With Atrial Fibrillation: The CABANA Randomized Clinical Trial. JAMA 321:1261-1274.</w:t>
      </w:r>
    </w:p>
    <w:p w14:paraId="2131FB03" w14:textId="77777777" w:rsidR="0063383E" w:rsidRPr="00A82F23" w:rsidRDefault="0063383E" w:rsidP="003022E7">
      <w:pPr>
        <w:pStyle w:val="EndNoteBibliography"/>
        <w:spacing w:after="240"/>
        <w:ind w:left="720" w:hanging="720"/>
        <w:jc w:val="both"/>
        <w:rPr>
          <w:noProof/>
        </w:rPr>
      </w:pPr>
      <w:r w:rsidRPr="00A82F23">
        <w:rPr>
          <w:noProof/>
        </w:rPr>
        <w:t>45.</w:t>
      </w:r>
      <w:r w:rsidRPr="00A82F23">
        <w:rPr>
          <w:noProof/>
        </w:rPr>
        <w:tab/>
        <w:t>Lane DA, Apostolakis S, Boos CJ, Lip GY</w:t>
      </w:r>
      <w:r w:rsidR="00601C9B">
        <w:rPr>
          <w:noProof/>
        </w:rPr>
        <w:t>H</w:t>
      </w:r>
      <w:r w:rsidRPr="00A82F23">
        <w:rPr>
          <w:noProof/>
        </w:rPr>
        <w:t xml:space="preserve"> (2011) Atrial fibrillation (chronic). BMJ Clin Evid 2011</w:t>
      </w:r>
      <w:r>
        <w:t>:</w:t>
      </w:r>
      <w:r w:rsidRPr="0063383E">
        <w:rPr>
          <w:noProof/>
        </w:rPr>
        <w:t>0217.</w:t>
      </w:r>
    </w:p>
    <w:p w14:paraId="15776873" w14:textId="77777777" w:rsidR="0063383E" w:rsidRPr="00A82F23" w:rsidRDefault="0063383E" w:rsidP="003022E7">
      <w:pPr>
        <w:pStyle w:val="EndNoteBibliography"/>
        <w:spacing w:after="240"/>
        <w:ind w:left="720" w:hanging="720"/>
        <w:jc w:val="both"/>
        <w:rPr>
          <w:noProof/>
        </w:rPr>
      </w:pPr>
      <w:r w:rsidRPr="00A82F23">
        <w:rPr>
          <w:noProof/>
        </w:rPr>
        <w:t>46.</w:t>
      </w:r>
      <w:r w:rsidRPr="00A82F23">
        <w:rPr>
          <w:noProof/>
        </w:rPr>
        <w:tab/>
        <w:t>Marrouche NF, Brachmann J, Andresen D, Siebels J, Boersma L, Jordaens L, Merkely B, Pokushalov E, Sanders P, Proff J, Schunkert H, Christ H, Vogt J, Bänsch D</w:t>
      </w:r>
      <w:r>
        <w:rPr>
          <w:noProof/>
        </w:rPr>
        <w:t xml:space="preserve"> </w:t>
      </w:r>
      <w:r w:rsidRPr="00A82F23">
        <w:rPr>
          <w:noProof/>
        </w:rPr>
        <w:t>(2018) Catheter Ablation for Atrial Fibrillation with Heart Failure. N Engl J Med 378:417-427.</w:t>
      </w:r>
    </w:p>
    <w:p w14:paraId="20EECCC2" w14:textId="77777777" w:rsidR="0063383E" w:rsidRPr="00A82F23" w:rsidRDefault="0063383E" w:rsidP="003022E7">
      <w:pPr>
        <w:pStyle w:val="EndNoteBibliography"/>
        <w:spacing w:after="240"/>
        <w:ind w:left="720" w:hanging="720"/>
        <w:jc w:val="both"/>
        <w:rPr>
          <w:noProof/>
        </w:rPr>
      </w:pPr>
      <w:r w:rsidRPr="00A82F23">
        <w:rPr>
          <w:noProof/>
        </w:rPr>
        <w:t>47.</w:t>
      </w:r>
      <w:r w:rsidRPr="00A82F23">
        <w:rPr>
          <w:noProof/>
        </w:rPr>
        <w:tab/>
        <w:t>Boriani G, Imberti JF, Valenti AC, Malavasi VL, Vitolo M (2020) Managing atrial fibrillation: the need for an individualized approach even in the emergency department. Intern Emerg Med 15:9-12.</w:t>
      </w:r>
    </w:p>
    <w:p w14:paraId="0432052C" w14:textId="77777777" w:rsidR="0063383E" w:rsidRPr="00A82F23" w:rsidRDefault="0063383E" w:rsidP="003022E7">
      <w:pPr>
        <w:pStyle w:val="EndNoteBibliography"/>
        <w:spacing w:after="240"/>
        <w:ind w:left="720" w:hanging="720"/>
        <w:jc w:val="both"/>
        <w:rPr>
          <w:noProof/>
        </w:rPr>
      </w:pPr>
      <w:r w:rsidRPr="00A82F23">
        <w:rPr>
          <w:noProof/>
        </w:rPr>
        <w:t>48.</w:t>
      </w:r>
      <w:r w:rsidRPr="00A82F23">
        <w:rPr>
          <w:noProof/>
        </w:rPr>
        <w:tab/>
        <w:t>Guerra F, Brambatti M, Nieuwlaat R, Marcucci M, Dudink E, Crijns HJ, Matassini MV, Capucci A (2017) Symptomatic atrial fibrillation and risk of cardiovascular events: data from the Euro Heart Survey. Europace 19:1922-1929.</w:t>
      </w:r>
    </w:p>
    <w:p w14:paraId="0DFD2288" w14:textId="77777777" w:rsidR="0063383E" w:rsidRPr="00A82F23" w:rsidRDefault="0063383E" w:rsidP="003022E7">
      <w:pPr>
        <w:pStyle w:val="EndNoteBibliography"/>
        <w:spacing w:after="240"/>
        <w:ind w:left="720" w:hanging="720"/>
        <w:jc w:val="both"/>
        <w:rPr>
          <w:noProof/>
        </w:rPr>
      </w:pPr>
      <w:r w:rsidRPr="00A82F23">
        <w:rPr>
          <w:noProof/>
        </w:rPr>
        <w:t>49.</w:t>
      </w:r>
      <w:r w:rsidRPr="00A82F23">
        <w:rPr>
          <w:noProof/>
        </w:rPr>
        <w:tab/>
        <w:t>Boriani G, Laroche C, Diemberger I, Fantecchi E, Popescu MI, Rasmussen LH, Sinagra G, Petrescu L, Tavazzi L, Maggioni AP, Lip GY (2015) Asymptomatic atrial fibrillation: clinical correlates, management, and outcomes in the EORP-AF Pilot General Registry. Am J Med 128:509-518.e502.</w:t>
      </w:r>
    </w:p>
    <w:p w14:paraId="43228210" w14:textId="77777777" w:rsidR="0063383E" w:rsidRPr="00A82F23" w:rsidRDefault="0063383E" w:rsidP="003022E7">
      <w:pPr>
        <w:pStyle w:val="EndNoteBibliography"/>
        <w:spacing w:after="240"/>
        <w:ind w:left="720" w:hanging="720"/>
        <w:jc w:val="both"/>
        <w:rPr>
          <w:noProof/>
        </w:rPr>
      </w:pPr>
      <w:r w:rsidRPr="00A82F23">
        <w:rPr>
          <w:noProof/>
        </w:rPr>
        <w:t>50.</w:t>
      </w:r>
      <w:r w:rsidRPr="00A82F23">
        <w:rPr>
          <w:noProof/>
        </w:rPr>
        <w:tab/>
        <w:t>Nieuwlaat R, Eurlings LW, Cleland JG, Cobbe SM, Vardas PE, Capucci A, López-Sendòn JL, Meeder JG, Pinto YM, Crijns HJ (2009) Atrial fibrillation and heart failure in cardiology practice: reciprocal impact and combined management from the perspective of atrial fibrillation: results of the Euro Heart Survey on atrial fibrillation. J Am Coll Cardiol 53:1690-1698.</w:t>
      </w:r>
    </w:p>
    <w:p w14:paraId="1DE484AB" w14:textId="77777777" w:rsidR="0063383E" w:rsidRPr="00A82F23" w:rsidRDefault="0063383E" w:rsidP="003022E7">
      <w:pPr>
        <w:pStyle w:val="EndNoteBibliography"/>
        <w:spacing w:after="240"/>
        <w:ind w:left="720" w:hanging="720"/>
        <w:jc w:val="both"/>
        <w:rPr>
          <w:noProof/>
        </w:rPr>
      </w:pPr>
      <w:r w:rsidRPr="00A82F23">
        <w:rPr>
          <w:noProof/>
        </w:rPr>
        <w:t>51.</w:t>
      </w:r>
      <w:r w:rsidRPr="00A82F23">
        <w:rPr>
          <w:noProof/>
        </w:rPr>
        <w:tab/>
        <w:t>Dan GA, Badila E, Weiss E, Laroche C, Boriani G, Dan A, Tavazzi L, Maggioni AP, Crijns HJ, Popescu R, Blommaert D, Streb W, Lip GYH</w:t>
      </w:r>
      <w:r>
        <w:rPr>
          <w:noProof/>
        </w:rPr>
        <w:t xml:space="preserve"> </w:t>
      </w:r>
      <w:r w:rsidRPr="00A82F23">
        <w:rPr>
          <w:noProof/>
        </w:rPr>
        <w:t>(2018) Arterial hypertension in patients with atrial fibrillation in Europe: A report from the EURObservational Research Programme pilot survey on atrial fibrillation. Int J Cardiol 254:136-141.</w:t>
      </w:r>
    </w:p>
    <w:p w14:paraId="62C25A54" w14:textId="77777777" w:rsidR="0063383E" w:rsidRPr="00A82F23" w:rsidRDefault="0063383E" w:rsidP="003022E7">
      <w:pPr>
        <w:pStyle w:val="EndNoteBibliography"/>
        <w:spacing w:after="240"/>
        <w:ind w:left="720" w:hanging="720"/>
        <w:jc w:val="both"/>
        <w:rPr>
          <w:noProof/>
        </w:rPr>
      </w:pPr>
      <w:r w:rsidRPr="00A82F23">
        <w:rPr>
          <w:noProof/>
        </w:rPr>
        <w:t>52.</w:t>
      </w:r>
      <w:r w:rsidRPr="00A82F23">
        <w:rPr>
          <w:noProof/>
        </w:rPr>
        <w:tab/>
        <w:t>Lip GY</w:t>
      </w:r>
      <w:r w:rsidR="00601C9B">
        <w:rPr>
          <w:noProof/>
        </w:rPr>
        <w:t>H</w:t>
      </w:r>
      <w:r w:rsidRPr="00A82F23">
        <w:rPr>
          <w:noProof/>
        </w:rPr>
        <w:t xml:space="preserve">, Laroche C, Popescu MI, Rasmussen LH, Vitali-Serdoz L, Dan GA, Kalarus Z, Crijns HJ, Oliveira MM, Tavazzi L, Maggioni AP, Boriani G (2015) Heart </w:t>
      </w:r>
      <w:r w:rsidRPr="00A82F23">
        <w:rPr>
          <w:noProof/>
        </w:rPr>
        <w:lastRenderedPageBreak/>
        <w:t>failure in patients with atrial fibrillation in Europe: a report from the EURObservational Research Programme Pilot survey on Atrial Fibrillation. Eur J Heart Fail 17:570-582.</w:t>
      </w:r>
    </w:p>
    <w:p w14:paraId="551029EC" w14:textId="77777777" w:rsidR="0063383E" w:rsidRPr="00A82F23" w:rsidRDefault="0063383E" w:rsidP="003022E7">
      <w:pPr>
        <w:pStyle w:val="EndNoteBibliography"/>
        <w:spacing w:after="240"/>
        <w:ind w:left="720" w:hanging="720"/>
        <w:jc w:val="both"/>
        <w:rPr>
          <w:noProof/>
        </w:rPr>
      </w:pPr>
      <w:r w:rsidRPr="00A82F23">
        <w:rPr>
          <w:noProof/>
        </w:rPr>
        <w:t>53.</w:t>
      </w:r>
      <w:r w:rsidRPr="00A82F23">
        <w:rPr>
          <w:noProof/>
        </w:rPr>
        <w:tab/>
        <w:t>Proietti M, Laroche C, Drozd M, Vijgen J, Cozma DC, Drozdz J, Maggioni AP, Boriani G, Lip GY</w:t>
      </w:r>
      <w:r>
        <w:rPr>
          <w:noProof/>
        </w:rPr>
        <w:t xml:space="preserve">H </w:t>
      </w:r>
      <w:r w:rsidRPr="00A82F23">
        <w:rPr>
          <w:noProof/>
        </w:rPr>
        <w:t>(2016) Impact of chronic obstructive pulmonary disease on prognosis in atrial fibrillation: A report from the EURObservational Research Programme Pilot Survey on Atrial Fibrillation (EORP-AF) General Registry. Am Heart J 181:83-91.</w:t>
      </w:r>
    </w:p>
    <w:p w14:paraId="682521AB" w14:textId="77777777" w:rsidR="0063383E" w:rsidRPr="00A82F23" w:rsidRDefault="0063383E" w:rsidP="003022E7">
      <w:pPr>
        <w:pStyle w:val="EndNoteBibliography"/>
        <w:spacing w:after="240"/>
        <w:ind w:left="720" w:hanging="720"/>
        <w:jc w:val="both"/>
        <w:rPr>
          <w:noProof/>
        </w:rPr>
      </w:pPr>
      <w:r w:rsidRPr="00A82F23">
        <w:rPr>
          <w:noProof/>
        </w:rPr>
        <w:t>54.</w:t>
      </w:r>
      <w:r w:rsidRPr="00A82F23">
        <w:rPr>
          <w:noProof/>
        </w:rPr>
        <w:tab/>
        <w:t>Boriani G, Laroche C, Diemberger I, Popescu MI, Rasmussen LH, Petrescu L, Crijns HJ, Tavazzi L, Maggioni AP, Lip GYH (2016) Glomerular filtration rate in patients with atrial fibrillation and 1-year outcomes. Sci Rep 6:30271.</w:t>
      </w:r>
    </w:p>
    <w:p w14:paraId="73897C47" w14:textId="77777777" w:rsidR="0063383E" w:rsidRPr="00A82F23" w:rsidRDefault="0063383E" w:rsidP="003022E7">
      <w:pPr>
        <w:pStyle w:val="EndNoteBibliography"/>
        <w:spacing w:after="240"/>
        <w:ind w:left="720" w:hanging="720"/>
        <w:jc w:val="both"/>
        <w:rPr>
          <w:noProof/>
        </w:rPr>
      </w:pPr>
      <w:r w:rsidRPr="00A82F23">
        <w:rPr>
          <w:noProof/>
        </w:rPr>
        <w:t>55.</w:t>
      </w:r>
      <w:r w:rsidRPr="00A82F23">
        <w:rPr>
          <w:noProof/>
        </w:rPr>
        <w:tab/>
        <w:t>Proietti M, Raparelli V, Laroche C, Dan GA, Janion M, Popescu R, Sinagra G, Vijgen J, Boriani G, Maggioni AP, Tavazzi L, Lip GYH</w:t>
      </w:r>
      <w:r>
        <w:rPr>
          <w:noProof/>
        </w:rPr>
        <w:t xml:space="preserve"> </w:t>
      </w:r>
      <w:r w:rsidRPr="00A82F23">
        <w:rPr>
          <w:noProof/>
        </w:rPr>
        <w:t>(2017) Adverse outcomes in patients with atrial fibrillation and peripheral arterial disease: a report from the EURObservational research programme pilot survey on atrial fibrillation. Europace 19:1439-1448.</w:t>
      </w:r>
    </w:p>
    <w:p w14:paraId="7C71A3DB" w14:textId="77777777" w:rsidR="0063383E" w:rsidRPr="00A82F23" w:rsidRDefault="0063383E" w:rsidP="003022E7">
      <w:pPr>
        <w:pStyle w:val="EndNoteBibliography"/>
        <w:spacing w:after="240"/>
        <w:ind w:left="720" w:hanging="720"/>
        <w:jc w:val="both"/>
        <w:rPr>
          <w:noProof/>
        </w:rPr>
      </w:pPr>
      <w:r w:rsidRPr="00A82F23">
        <w:rPr>
          <w:noProof/>
        </w:rPr>
        <w:t>56.</w:t>
      </w:r>
      <w:r w:rsidRPr="00A82F23">
        <w:rPr>
          <w:noProof/>
        </w:rPr>
        <w:tab/>
        <w:t>Fumagalli S, Said SA, Laroche C, Gabbai D, Boni S, Marchionni N, Boriani G, Maggioni AP, Musialik-Lydka A, Sokal A, Petersen J, Crijns HJ, Lip GYH</w:t>
      </w:r>
      <w:r>
        <w:rPr>
          <w:noProof/>
        </w:rPr>
        <w:t xml:space="preserve"> </w:t>
      </w:r>
      <w:r w:rsidRPr="00A82F23">
        <w:rPr>
          <w:noProof/>
        </w:rPr>
        <w:t>(2018) Management and prognosis of atrial fibrillation in diabetic patients: an EORP-AF General Pilot Registry report. Eur Heart J Cardiovasc Pharmacother 4:172-179.</w:t>
      </w:r>
    </w:p>
    <w:p w14:paraId="2EA7F056" w14:textId="77777777" w:rsidR="0063383E" w:rsidRPr="00A82F23" w:rsidRDefault="0063383E" w:rsidP="003022E7">
      <w:pPr>
        <w:pStyle w:val="EndNoteBibliography"/>
        <w:spacing w:after="240"/>
        <w:ind w:left="720" w:hanging="720"/>
        <w:jc w:val="both"/>
        <w:rPr>
          <w:noProof/>
        </w:rPr>
      </w:pPr>
      <w:r w:rsidRPr="00A82F23">
        <w:rPr>
          <w:noProof/>
        </w:rPr>
        <w:t>57.</w:t>
      </w:r>
      <w:r w:rsidRPr="00A82F23">
        <w:rPr>
          <w:noProof/>
        </w:rPr>
        <w:tab/>
        <w:t>Berg J, Lindgren P, Nieuwlaat R, Bouin O, Crijns H</w:t>
      </w:r>
      <w:r w:rsidR="00601C9B">
        <w:rPr>
          <w:noProof/>
        </w:rPr>
        <w:t>J</w:t>
      </w:r>
      <w:r w:rsidRPr="00A82F23">
        <w:rPr>
          <w:noProof/>
        </w:rPr>
        <w:t xml:space="preserve"> (2010) Factors determining utility measured with the EQ-5D in patients with atrial fibrillation. Qual Life Res 19:381-390.</w:t>
      </w:r>
    </w:p>
    <w:p w14:paraId="7BBBDCBE" w14:textId="77777777" w:rsidR="0063383E" w:rsidRPr="00A82F23" w:rsidRDefault="0063383E" w:rsidP="003022E7">
      <w:pPr>
        <w:pStyle w:val="EndNoteBibliography"/>
        <w:spacing w:after="240"/>
        <w:ind w:left="720" w:hanging="720"/>
        <w:jc w:val="both"/>
        <w:rPr>
          <w:noProof/>
        </w:rPr>
      </w:pPr>
      <w:r w:rsidRPr="00A82F23">
        <w:rPr>
          <w:noProof/>
        </w:rPr>
        <w:t>58.</w:t>
      </w:r>
      <w:r w:rsidRPr="00A82F23">
        <w:rPr>
          <w:noProof/>
        </w:rPr>
        <w:tab/>
        <w:t>Proietti M, Boriani G, Laroche C, Diemberger I, Popescu MI, Rasmussen LH, Sinagra G, Dan GA, Maggioni AP, Tavazzi L, Lane DA, Lip GYH</w:t>
      </w:r>
      <w:r>
        <w:rPr>
          <w:noProof/>
        </w:rPr>
        <w:t xml:space="preserve"> </w:t>
      </w:r>
      <w:r w:rsidRPr="00A82F23">
        <w:rPr>
          <w:noProof/>
        </w:rPr>
        <w:t>(2017) Self-reported physical activity and major adverse events in patients with atrial fibrillation: a report from the EURObservational Research Programme Pilot Survey on Atrial Fibrillation (EORP-AF) General Registry. Europace 19:535-543.</w:t>
      </w:r>
    </w:p>
    <w:p w14:paraId="71106C7E" w14:textId="77777777" w:rsidR="0063383E" w:rsidRPr="00A82F23" w:rsidRDefault="0063383E" w:rsidP="003022E7">
      <w:pPr>
        <w:pStyle w:val="EndNoteBibliography"/>
        <w:spacing w:after="240"/>
        <w:ind w:left="720" w:hanging="720"/>
        <w:jc w:val="both"/>
        <w:rPr>
          <w:noProof/>
        </w:rPr>
      </w:pPr>
      <w:r w:rsidRPr="00A82F23">
        <w:rPr>
          <w:noProof/>
        </w:rPr>
        <w:t>59.</w:t>
      </w:r>
      <w:r w:rsidRPr="00A82F23">
        <w:rPr>
          <w:noProof/>
        </w:rPr>
        <w:tab/>
        <w:t>Proietti M, Raparelli V, Olshansky B, Lip GY</w:t>
      </w:r>
      <w:r w:rsidR="00601C9B">
        <w:rPr>
          <w:noProof/>
        </w:rPr>
        <w:t>H</w:t>
      </w:r>
      <w:r w:rsidRPr="00A82F23">
        <w:rPr>
          <w:noProof/>
        </w:rPr>
        <w:t xml:space="preserve"> (2016) Polypharmacy and major adverse events in atrial fibrillation: observations from the AFFIRM trial. Clin Res Cardiol 105:412-420.</w:t>
      </w:r>
    </w:p>
    <w:p w14:paraId="1E1F0733" w14:textId="77777777" w:rsidR="0063383E" w:rsidRPr="00A82F23" w:rsidRDefault="0063383E" w:rsidP="003022E7">
      <w:pPr>
        <w:pStyle w:val="EndNoteBibliography"/>
        <w:spacing w:after="240"/>
        <w:ind w:left="720" w:hanging="720"/>
        <w:jc w:val="both"/>
        <w:rPr>
          <w:noProof/>
        </w:rPr>
      </w:pPr>
      <w:r w:rsidRPr="00A82F23">
        <w:rPr>
          <w:noProof/>
        </w:rPr>
        <w:t>60.</w:t>
      </w:r>
      <w:r w:rsidRPr="00A82F23">
        <w:rPr>
          <w:noProof/>
        </w:rPr>
        <w:tab/>
        <w:t>Fauchier L, Villejoubert O, Clementy N, Bernard A, Pierre B, Angoulvant D, Ivanes F, Babuty D, Lip GY</w:t>
      </w:r>
      <w:r w:rsidR="00601C9B">
        <w:rPr>
          <w:noProof/>
        </w:rPr>
        <w:t>H</w:t>
      </w:r>
      <w:r w:rsidRPr="00A82F23">
        <w:rPr>
          <w:noProof/>
        </w:rPr>
        <w:t xml:space="preserve"> (2016) Causes of Death and Influencing Factors in Patients with Atrial Fibrillation. Am J Med 129:1278-1287.</w:t>
      </w:r>
    </w:p>
    <w:p w14:paraId="2763F8E2" w14:textId="77777777" w:rsidR="0063383E" w:rsidRPr="00A82F23" w:rsidRDefault="0063383E" w:rsidP="003022E7">
      <w:pPr>
        <w:pStyle w:val="EndNoteBibliography"/>
        <w:spacing w:after="240"/>
        <w:ind w:left="720" w:hanging="720"/>
        <w:jc w:val="both"/>
        <w:rPr>
          <w:noProof/>
        </w:rPr>
      </w:pPr>
      <w:r w:rsidRPr="00A82F23">
        <w:rPr>
          <w:noProof/>
        </w:rPr>
        <w:t>61.</w:t>
      </w:r>
      <w:r w:rsidRPr="00A82F23">
        <w:rPr>
          <w:noProof/>
        </w:rPr>
        <w:tab/>
        <w:t>Proietti M, Laroche C, Opolski G, Maggioni AP, Boriani G, Lip GY</w:t>
      </w:r>
      <w:r>
        <w:rPr>
          <w:noProof/>
        </w:rPr>
        <w:t>H</w:t>
      </w:r>
      <w:r w:rsidRPr="00A82F23">
        <w:rPr>
          <w:noProof/>
        </w:rPr>
        <w:t xml:space="preserve"> (2017) 'Real-world' atrial fibrillation management in Europe: observations from the 2-year follow-up of the EURObservational Research Programme-Atrial Fibrillation General Registry Pilot Phase. Europace 19:722-733.</w:t>
      </w:r>
    </w:p>
    <w:p w14:paraId="414FC946" w14:textId="77777777" w:rsidR="0063383E" w:rsidRPr="00A82F23" w:rsidRDefault="0063383E" w:rsidP="003022E7">
      <w:pPr>
        <w:pStyle w:val="EndNoteBibliography"/>
        <w:spacing w:after="240"/>
        <w:ind w:left="720" w:hanging="720"/>
        <w:jc w:val="both"/>
        <w:rPr>
          <w:noProof/>
        </w:rPr>
      </w:pPr>
      <w:r w:rsidRPr="00A82F23">
        <w:rPr>
          <w:noProof/>
        </w:rPr>
        <w:t>62.</w:t>
      </w:r>
      <w:r w:rsidRPr="00A82F23">
        <w:rPr>
          <w:noProof/>
        </w:rPr>
        <w:tab/>
        <w:t>Proietti M, Romiti GF, Olshansky B, Lane DA, Lip GYH (2018) Improved Outcomes by Integrated Care of Anticoagulated Patients with Atrial Fibrillation Using the Simple ABC (Atrial Fibrillation Better Care) Pathway. Am J Med 131:1359-1366.e1356.</w:t>
      </w:r>
    </w:p>
    <w:p w14:paraId="2CE94DBC" w14:textId="77777777" w:rsidR="0063383E" w:rsidRPr="00A82F23" w:rsidRDefault="0063383E" w:rsidP="003022E7">
      <w:pPr>
        <w:pStyle w:val="EndNoteBibliography"/>
        <w:spacing w:after="240"/>
        <w:ind w:left="720" w:hanging="720"/>
        <w:jc w:val="both"/>
        <w:rPr>
          <w:noProof/>
        </w:rPr>
      </w:pPr>
      <w:r w:rsidRPr="00A82F23">
        <w:rPr>
          <w:noProof/>
        </w:rPr>
        <w:t>63.</w:t>
      </w:r>
      <w:r w:rsidRPr="00A82F23">
        <w:rPr>
          <w:noProof/>
        </w:rPr>
        <w:tab/>
        <w:t>Lip GYH (2017) The ABC pathway: an integrated approach to improve AF management. Nat Rev Cardiol 14:627-628.</w:t>
      </w:r>
    </w:p>
    <w:p w14:paraId="0D57EDD5" w14:textId="77777777" w:rsidR="0063383E" w:rsidRPr="00A82F23" w:rsidRDefault="0063383E" w:rsidP="003022E7">
      <w:pPr>
        <w:pStyle w:val="EndNoteBibliography"/>
        <w:spacing w:after="240"/>
        <w:ind w:left="720" w:hanging="720"/>
        <w:jc w:val="both"/>
        <w:rPr>
          <w:noProof/>
        </w:rPr>
      </w:pPr>
      <w:r w:rsidRPr="00A82F23">
        <w:rPr>
          <w:noProof/>
        </w:rPr>
        <w:lastRenderedPageBreak/>
        <w:t>64.</w:t>
      </w:r>
      <w:r w:rsidRPr="00A82F23">
        <w:rPr>
          <w:noProof/>
        </w:rPr>
        <w:tab/>
        <w:t>Freedman B, Potpara TS, Lip GY</w:t>
      </w:r>
      <w:r w:rsidR="00601C9B">
        <w:rPr>
          <w:noProof/>
        </w:rPr>
        <w:t>H</w:t>
      </w:r>
      <w:r w:rsidRPr="00A82F23">
        <w:rPr>
          <w:noProof/>
        </w:rPr>
        <w:t xml:space="preserve"> (2016) Stroke prevention in atrial fibrillation. Lancet 388:806-817.</w:t>
      </w:r>
    </w:p>
    <w:p w14:paraId="014BB144" w14:textId="77777777" w:rsidR="0063383E" w:rsidRPr="00A82F23" w:rsidRDefault="0063383E" w:rsidP="003022E7">
      <w:pPr>
        <w:pStyle w:val="EndNoteBibliography"/>
        <w:spacing w:after="240"/>
        <w:ind w:left="720" w:hanging="720"/>
        <w:jc w:val="both"/>
        <w:rPr>
          <w:noProof/>
        </w:rPr>
      </w:pPr>
      <w:r w:rsidRPr="00A82F23">
        <w:rPr>
          <w:noProof/>
        </w:rPr>
        <w:t>65.</w:t>
      </w:r>
      <w:r w:rsidRPr="00A82F23">
        <w:rPr>
          <w:noProof/>
        </w:rPr>
        <w:tab/>
      </w:r>
      <w:r>
        <w:rPr>
          <w:noProof/>
        </w:rPr>
        <w:t xml:space="preserve">Atrial Fibrillation Investigators </w:t>
      </w:r>
      <w:r w:rsidRPr="00A82F23">
        <w:rPr>
          <w:noProof/>
        </w:rPr>
        <w:t>(1994) Risk factors for stroke and efficacy of antithrombotic therapy in atrial fibrillation. Analysis of pooled data from five randomized controlled trials. Arch Intern Med 154:1449-1457.</w:t>
      </w:r>
    </w:p>
    <w:p w14:paraId="4FDC299C" w14:textId="77777777" w:rsidR="0063383E" w:rsidRPr="00A82F23" w:rsidRDefault="0063383E" w:rsidP="003022E7">
      <w:pPr>
        <w:pStyle w:val="EndNoteBibliography"/>
        <w:spacing w:after="240"/>
        <w:ind w:left="720" w:hanging="720"/>
        <w:jc w:val="both"/>
        <w:rPr>
          <w:noProof/>
        </w:rPr>
      </w:pPr>
      <w:r w:rsidRPr="00A82F23">
        <w:rPr>
          <w:noProof/>
        </w:rPr>
        <w:t>66.</w:t>
      </w:r>
      <w:r w:rsidRPr="00A82F23">
        <w:rPr>
          <w:noProof/>
        </w:rPr>
        <w:tab/>
        <w:t>Hart RG, Pearce LA, McBride R, Rothbart RM, Asinger RW (1999) Factors associated with ischemic stroke during aspirin therapy in atrial fibrillation: analysis of 2012 participants in the SPAF I-III clinical trials. The Stroke Prevention in Atrial Fibrillation (SPAF) Investigators. Stroke 30:1223-1229.</w:t>
      </w:r>
    </w:p>
    <w:p w14:paraId="4C353072" w14:textId="77777777" w:rsidR="0063383E" w:rsidRPr="00A82F23" w:rsidRDefault="0063383E" w:rsidP="003022E7">
      <w:pPr>
        <w:pStyle w:val="EndNoteBibliography"/>
        <w:spacing w:after="240"/>
        <w:ind w:left="720" w:hanging="720"/>
        <w:jc w:val="both"/>
        <w:rPr>
          <w:noProof/>
        </w:rPr>
      </w:pPr>
      <w:r w:rsidRPr="00A82F23">
        <w:rPr>
          <w:noProof/>
        </w:rPr>
        <w:t>67.</w:t>
      </w:r>
      <w:r w:rsidRPr="00A82F23">
        <w:rPr>
          <w:noProof/>
        </w:rPr>
        <w:tab/>
        <w:t>Wang TJ, Massaro JM, Levy D, Vasan RS, Wolf PA, D'Agostino RB, Larson MG, Kannel WB, Benjamin EJ (2003) A risk score for predicting stroke or death in individuals with new-onset atrial fibrillation in the community: the Framingham Heart Study. JAMA 290:1049-1056.</w:t>
      </w:r>
    </w:p>
    <w:p w14:paraId="2F906480" w14:textId="77777777" w:rsidR="0063383E" w:rsidRPr="00A82F23" w:rsidRDefault="0063383E" w:rsidP="003022E7">
      <w:pPr>
        <w:pStyle w:val="EndNoteBibliography"/>
        <w:spacing w:after="240"/>
        <w:ind w:left="720" w:hanging="720"/>
        <w:jc w:val="both"/>
        <w:rPr>
          <w:noProof/>
        </w:rPr>
      </w:pPr>
      <w:r w:rsidRPr="00A82F23">
        <w:rPr>
          <w:noProof/>
        </w:rPr>
        <w:t>68.</w:t>
      </w:r>
      <w:r w:rsidRPr="00A82F23">
        <w:rPr>
          <w:noProof/>
        </w:rPr>
        <w:tab/>
        <w:t>Lip GY, Nieuwlaat R, Pisters R, Lane DA, Crijns HJ (2010) Refining clinical risk stratification for predicting stroke and thromboembolism in atrial fibrillation using a novel risk factor-based approach: the euro heart survey on atrial fibrillation. Chest 137:263-272.</w:t>
      </w:r>
    </w:p>
    <w:p w14:paraId="516C493B" w14:textId="77777777" w:rsidR="0063383E" w:rsidRPr="00A82F23" w:rsidRDefault="0063383E" w:rsidP="003022E7">
      <w:pPr>
        <w:pStyle w:val="EndNoteBibliography"/>
        <w:spacing w:after="240"/>
        <w:ind w:left="720" w:hanging="720"/>
        <w:jc w:val="both"/>
        <w:rPr>
          <w:noProof/>
        </w:rPr>
      </w:pPr>
      <w:r w:rsidRPr="00A82F23">
        <w:rPr>
          <w:noProof/>
        </w:rPr>
        <w:t>69.</w:t>
      </w:r>
      <w:r w:rsidRPr="00A82F23">
        <w:rPr>
          <w:noProof/>
        </w:rPr>
        <w:tab/>
        <w:t>Pisters R, Lane DA, Nieuwlaat R, de Vos CB, Crijns HJ, Lip GY</w:t>
      </w:r>
      <w:r w:rsidR="00601C9B">
        <w:rPr>
          <w:noProof/>
        </w:rPr>
        <w:t>H</w:t>
      </w:r>
      <w:r w:rsidRPr="00A82F23">
        <w:rPr>
          <w:noProof/>
        </w:rPr>
        <w:t xml:space="preserve"> (2010) A novel user-friendly score (HAS-BLED) to assess 1-year risk of major bleeding in patients with atrial fibrillation: the Euro Heart Survey. Chest 138:1093-1100.</w:t>
      </w:r>
    </w:p>
    <w:p w14:paraId="42424841" w14:textId="77777777" w:rsidR="0063383E" w:rsidRPr="00A82F23" w:rsidRDefault="0063383E" w:rsidP="003022E7">
      <w:pPr>
        <w:pStyle w:val="EndNoteBibliography"/>
        <w:spacing w:after="240"/>
        <w:ind w:left="720" w:hanging="720"/>
        <w:jc w:val="both"/>
        <w:rPr>
          <w:noProof/>
        </w:rPr>
      </w:pPr>
      <w:r w:rsidRPr="00A82F23">
        <w:rPr>
          <w:noProof/>
        </w:rPr>
        <w:t>70.</w:t>
      </w:r>
      <w:r w:rsidRPr="00A82F23">
        <w:rPr>
          <w:noProof/>
        </w:rPr>
        <w:tab/>
        <w:t>Lip GYH, Skjøth F, Nielsen PB, Kjældgaard JN, Larsen TB (2018) The HAS-BLED, ATRIA, and ORBIT Bleeding Scores in Atrial Fibrillation Patients Using Non-Vitamin K Antagonist Oral Anticoagulants. Am J Med 131:574.e513-574.e527.</w:t>
      </w:r>
    </w:p>
    <w:p w14:paraId="03DACE11" w14:textId="77777777" w:rsidR="0063383E" w:rsidRPr="00A82F23" w:rsidRDefault="0063383E" w:rsidP="003022E7">
      <w:pPr>
        <w:pStyle w:val="EndNoteBibliography"/>
        <w:spacing w:after="240"/>
        <w:ind w:left="720" w:hanging="720"/>
        <w:jc w:val="both"/>
        <w:rPr>
          <w:noProof/>
        </w:rPr>
      </w:pPr>
      <w:r w:rsidRPr="00A82F23">
        <w:rPr>
          <w:noProof/>
        </w:rPr>
        <w:t>71.</w:t>
      </w:r>
      <w:r w:rsidRPr="00A82F23">
        <w:rPr>
          <w:noProof/>
        </w:rPr>
        <w:tab/>
        <w:t>Marcucci M, Lip GY, Nieuwlaat R, Pisters R, Crijns HJ, Iorio A (2014) Stroke and bleeding risk co-distribution in real-world patients with atrial fibrillation: the Euro Heart Survey. Am J Med 127:979-986.e972.</w:t>
      </w:r>
    </w:p>
    <w:p w14:paraId="7C201D97" w14:textId="77777777" w:rsidR="0063383E" w:rsidRPr="00A82F23" w:rsidRDefault="0063383E" w:rsidP="003022E7">
      <w:pPr>
        <w:pStyle w:val="EndNoteBibliography"/>
        <w:spacing w:after="240"/>
        <w:ind w:left="720" w:hanging="720"/>
        <w:jc w:val="both"/>
        <w:rPr>
          <w:noProof/>
        </w:rPr>
      </w:pPr>
      <w:r w:rsidRPr="00A82F23">
        <w:rPr>
          <w:noProof/>
        </w:rPr>
        <w:t>72.</w:t>
      </w:r>
      <w:r w:rsidRPr="00A82F23">
        <w:rPr>
          <w:noProof/>
        </w:rPr>
        <w:tab/>
        <w:t>Nieuwlaat R, Dinh T, Olsson SB, Camm AJ, Capucci A, Tieleman RG, Lip GY, Crijns HJ, Investigators EHS (2008) Should we abandon the common practice of withholding oral anticoagulation in paroxysmal atrial fibrillation? Eur Heart J 29:915-922.</w:t>
      </w:r>
    </w:p>
    <w:p w14:paraId="771C2BA1" w14:textId="77777777" w:rsidR="0063383E" w:rsidRPr="00A82F23" w:rsidRDefault="0063383E" w:rsidP="003022E7">
      <w:pPr>
        <w:pStyle w:val="EndNoteBibliography"/>
        <w:spacing w:after="240"/>
        <w:ind w:left="720" w:hanging="720"/>
        <w:jc w:val="both"/>
        <w:rPr>
          <w:noProof/>
        </w:rPr>
      </w:pPr>
      <w:r w:rsidRPr="00A82F23">
        <w:rPr>
          <w:noProof/>
        </w:rPr>
        <w:t>73.</w:t>
      </w:r>
      <w:r w:rsidRPr="00A82F23">
        <w:rPr>
          <w:noProof/>
        </w:rPr>
        <w:tab/>
        <w:t>Lip GY</w:t>
      </w:r>
      <w:r w:rsidR="00601C9B">
        <w:rPr>
          <w:noProof/>
        </w:rPr>
        <w:t>H</w:t>
      </w:r>
      <w:r w:rsidRPr="00A82F23">
        <w:rPr>
          <w:noProof/>
        </w:rPr>
        <w:t>, Laroche C, Dan GA, Santini M, Kalarus Z, Rasmussen LH, Ioachim PM, Tica O, Boriani G, Cimaglia P, Diemberger I, Hellum CF, Mortensen B, Maggioni AP (2014) 'Real-world' antithrombotic treatment in atrial fibrillation: The EORP-AF pilot survey. Am J Med 127:519-529.e511.</w:t>
      </w:r>
    </w:p>
    <w:p w14:paraId="0EC2B069" w14:textId="77777777" w:rsidR="0063383E" w:rsidRPr="00A82F23" w:rsidRDefault="0063383E" w:rsidP="003022E7">
      <w:pPr>
        <w:pStyle w:val="EndNoteBibliography"/>
        <w:spacing w:after="240"/>
        <w:ind w:left="720" w:hanging="720"/>
        <w:jc w:val="both"/>
        <w:rPr>
          <w:noProof/>
        </w:rPr>
      </w:pPr>
      <w:r w:rsidRPr="00A82F23">
        <w:rPr>
          <w:noProof/>
        </w:rPr>
        <w:t>74.</w:t>
      </w:r>
      <w:r w:rsidRPr="00A82F23">
        <w:rPr>
          <w:noProof/>
        </w:rPr>
        <w:tab/>
        <w:t>Nieuwlaat R, Capucci A, Lip GY</w:t>
      </w:r>
      <w:r w:rsidR="00601C9B">
        <w:rPr>
          <w:noProof/>
        </w:rPr>
        <w:t>H</w:t>
      </w:r>
      <w:r w:rsidRPr="00A82F23">
        <w:rPr>
          <w:noProof/>
        </w:rPr>
        <w:t>, Olsson SB, Prins MH, Nieman FH, Lopez-Sendon J, Vardas PE, Aliot E, Santini M, Crijns HJ (2006) Antithrombotic treatment in real-life atrial fibrillation patients: a report from the Euro Heart Survey on Atrial Fibrillation. Eur Heart J 27:3018-3026.</w:t>
      </w:r>
    </w:p>
    <w:p w14:paraId="5DF6556E" w14:textId="77777777" w:rsidR="0063383E" w:rsidRPr="00A82F23" w:rsidRDefault="0063383E" w:rsidP="003022E7">
      <w:pPr>
        <w:pStyle w:val="EndNoteBibliography"/>
        <w:spacing w:after="240"/>
        <w:ind w:left="720" w:hanging="720"/>
        <w:jc w:val="both"/>
        <w:rPr>
          <w:noProof/>
        </w:rPr>
      </w:pPr>
      <w:r w:rsidRPr="00A82F23">
        <w:rPr>
          <w:noProof/>
        </w:rPr>
        <w:t>75.</w:t>
      </w:r>
      <w:r w:rsidRPr="00A82F23">
        <w:rPr>
          <w:noProof/>
        </w:rPr>
        <w:tab/>
        <w:t>Lip GY</w:t>
      </w:r>
      <w:r w:rsidR="00601C9B">
        <w:rPr>
          <w:noProof/>
        </w:rPr>
        <w:t>H</w:t>
      </w:r>
      <w:r w:rsidRPr="00A82F23">
        <w:rPr>
          <w:noProof/>
        </w:rPr>
        <w:t>, Laroche C, Popescu MI, Rasmussen LH, Vitali-Serdoz L, Dan GA, Kalarus Z, Crijns HJ, Oliveira MM, Tavazzi L, Maggioni AP, Boriani G (2015) Improved outcomes with European Society of Cardiology guideline-adherent antithrombotic treatment in high-risk patients with atrial fibrillation: a report from the EORP-AF General Pilot Registry. Europace 17:1777-1786.</w:t>
      </w:r>
    </w:p>
    <w:p w14:paraId="4E383A05" w14:textId="77777777" w:rsidR="0063383E" w:rsidRPr="00A82F23" w:rsidRDefault="0063383E" w:rsidP="003022E7">
      <w:pPr>
        <w:pStyle w:val="EndNoteBibliography"/>
        <w:spacing w:after="240"/>
        <w:ind w:left="720" w:hanging="720"/>
        <w:jc w:val="both"/>
        <w:rPr>
          <w:noProof/>
        </w:rPr>
      </w:pPr>
      <w:r w:rsidRPr="00A82F23">
        <w:rPr>
          <w:noProof/>
        </w:rPr>
        <w:lastRenderedPageBreak/>
        <w:t>76.</w:t>
      </w:r>
      <w:r w:rsidRPr="00A82F23">
        <w:rPr>
          <w:noProof/>
        </w:rPr>
        <w:tab/>
        <w:t>Nieuwlaat R, Olsson SB, Lip GY</w:t>
      </w:r>
      <w:r w:rsidR="00601C9B">
        <w:rPr>
          <w:noProof/>
        </w:rPr>
        <w:t>H</w:t>
      </w:r>
      <w:r w:rsidRPr="00A82F23">
        <w:rPr>
          <w:noProof/>
        </w:rPr>
        <w:t>, Camm AJ, Breithardt G, Capucci A, Meeder JG, Prins MH, Lévy S, Crijns HJ</w:t>
      </w:r>
      <w:r>
        <w:rPr>
          <w:noProof/>
        </w:rPr>
        <w:t xml:space="preserve"> </w:t>
      </w:r>
      <w:r w:rsidRPr="00A82F23">
        <w:rPr>
          <w:noProof/>
        </w:rPr>
        <w:t>(2007) Guideline-adherent antithrombotic treatment is associated with improved outcomes compared with undertreatment in high-risk patients with atrial fibrillation. The Euro Heart Survey on Atrial Fibrillation. Am Heart J 153:1006-1012.</w:t>
      </w:r>
    </w:p>
    <w:p w14:paraId="5E16C295" w14:textId="77777777" w:rsidR="0063383E" w:rsidRPr="00A82F23" w:rsidRDefault="0063383E" w:rsidP="003022E7">
      <w:pPr>
        <w:pStyle w:val="EndNoteBibliography"/>
        <w:spacing w:after="240"/>
        <w:ind w:left="720" w:hanging="720"/>
        <w:jc w:val="both"/>
        <w:rPr>
          <w:noProof/>
        </w:rPr>
      </w:pPr>
      <w:r w:rsidRPr="00A82F23">
        <w:rPr>
          <w:noProof/>
        </w:rPr>
        <w:t>77.</w:t>
      </w:r>
      <w:r w:rsidRPr="00A82F23">
        <w:rPr>
          <w:noProof/>
        </w:rPr>
        <w:tab/>
        <w:t>Holstenson E, Ringborg A, Lindgren P, Coste F, Diamand F, Nieuwlaat R, Crijns H</w:t>
      </w:r>
      <w:r w:rsidR="00601C9B">
        <w:rPr>
          <w:noProof/>
        </w:rPr>
        <w:t>j</w:t>
      </w:r>
      <w:r w:rsidRPr="00A82F23">
        <w:rPr>
          <w:noProof/>
        </w:rPr>
        <w:t xml:space="preserve"> (2011) Predictors of costs related to cardiovascular disease among patients with atrial fibrillation in five European countries. Europace 13:23-30.</w:t>
      </w:r>
    </w:p>
    <w:p w14:paraId="2A33B622" w14:textId="77777777" w:rsidR="0063383E" w:rsidRPr="00A82F23" w:rsidRDefault="0063383E" w:rsidP="003022E7">
      <w:pPr>
        <w:pStyle w:val="EndNoteBibliography"/>
        <w:spacing w:after="240"/>
        <w:ind w:left="720" w:hanging="720"/>
        <w:jc w:val="both"/>
        <w:rPr>
          <w:noProof/>
        </w:rPr>
      </w:pPr>
      <w:r w:rsidRPr="00A82F23">
        <w:rPr>
          <w:noProof/>
        </w:rPr>
        <w:t>78.</w:t>
      </w:r>
      <w:r w:rsidRPr="00A82F23">
        <w:rPr>
          <w:noProof/>
        </w:rPr>
        <w:tab/>
        <w:t>Ringborg A, Nieuwlaat R, Lindgren P, Jonsson B, Fidan D, Maggioni AP, Lopez-Sendon J, Stepinska J, Cokkinos DV, Crijns HJ (2008) Costs of atrial fibrillation in five European countries: results from the Euro Heart Survey on atrial fibrillation. Europace 10:403-411.</w:t>
      </w:r>
    </w:p>
    <w:p w14:paraId="1CDEEE53" w14:textId="77777777" w:rsidR="0063383E" w:rsidRPr="00A82F23" w:rsidRDefault="0063383E" w:rsidP="003022E7">
      <w:pPr>
        <w:pStyle w:val="EndNoteBibliography"/>
        <w:spacing w:after="240"/>
        <w:ind w:left="720" w:hanging="720"/>
        <w:jc w:val="both"/>
        <w:rPr>
          <w:noProof/>
        </w:rPr>
      </w:pPr>
      <w:r w:rsidRPr="00A82F23">
        <w:rPr>
          <w:noProof/>
        </w:rPr>
        <w:t>79.</w:t>
      </w:r>
      <w:r w:rsidRPr="00A82F23">
        <w:rPr>
          <w:noProof/>
        </w:rPr>
        <w:tab/>
        <w:t>Lenarczyk R, Mitręga K, Mazurek M, Janion M, Opolski G, Drożdż J, Streb W, Fuglewicz A, Sokal A, Laroche C, Lip G</w:t>
      </w:r>
      <w:r w:rsidR="00601C9B">
        <w:rPr>
          <w:noProof/>
        </w:rPr>
        <w:t>H</w:t>
      </w:r>
      <w:r w:rsidRPr="00A82F23">
        <w:rPr>
          <w:noProof/>
        </w:rPr>
        <w:t>Y, Kalarus Z (2016) Polish and European management strategies in patients with atrial fibrillation. Data from the EURObservational Research Programme-Atrial Fibrillation General Registry Pilot Phase (EORP-AF Pilot). Pol Arch Med Wewn 126:138-148.</w:t>
      </w:r>
    </w:p>
    <w:p w14:paraId="2F69B3EE" w14:textId="77777777" w:rsidR="0063383E" w:rsidRPr="00A82F23" w:rsidRDefault="0063383E" w:rsidP="003022E7">
      <w:pPr>
        <w:pStyle w:val="EndNoteBibliography"/>
        <w:ind w:left="720" w:hanging="720"/>
        <w:jc w:val="both"/>
        <w:rPr>
          <w:noProof/>
        </w:rPr>
      </w:pPr>
      <w:r w:rsidRPr="00A82F23">
        <w:rPr>
          <w:noProof/>
        </w:rPr>
        <w:t>80.</w:t>
      </w:r>
      <w:r w:rsidRPr="00A82F23">
        <w:rPr>
          <w:noProof/>
        </w:rPr>
        <w:tab/>
        <w:t>Lip GY</w:t>
      </w:r>
      <w:r w:rsidR="00601C9B">
        <w:rPr>
          <w:noProof/>
        </w:rPr>
        <w:t>H</w:t>
      </w:r>
      <w:r w:rsidRPr="00A82F23">
        <w:rPr>
          <w:noProof/>
        </w:rPr>
        <w:t>, Laroche C, Boriani G, Dan GA, Santini M, Kalarus Z, Rasmussen LH, Oliveira MM, Mairesse G, Crijns HJ, Simantirakis E, Atar D, Maggioni AP, Tavazzi L (2015) Regional differences in presentation and treatment of patients with atrial fibrillation in Europe: a report from the EURObservational Research Programme Atrial Fibrillation (EORP-AF) Pilot General Registry. Europace 17:194-206.</w:t>
      </w:r>
    </w:p>
    <w:p w14:paraId="052879C5" w14:textId="77777777" w:rsidR="0063383E" w:rsidRPr="009E6E56" w:rsidRDefault="0063383E" w:rsidP="00A92171">
      <w:pPr>
        <w:rPr>
          <w:rFonts w:ascii="Arial" w:hAnsi="Arial" w:cs="Arial"/>
          <w:color w:val="000000" w:themeColor="text1"/>
          <w:lang w:val="en-GB"/>
        </w:rPr>
      </w:pPr>
    </w:p>
    <w:p w14:paraId="7CD438E7" w14:textId="77777777" w:rsidR="00077072" w:rsidRPr="00601C9B" w:rsidRDefault="00077072">
      <w:pPr>
        <w:rPr>
          <w:lang w:val="en-US"/>
        </w:rPr>
      </w:pPr>
    </w:p>
    <w:sectPr w:rsidR="00077072" w:rsidRPr="00601C9B" w:rsidSect="00656990">
      <w:pgSz w:w="11900" w:h="16840"/>
      <w:pgMar w:top="709" w:right="1134" w:bottom="312"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1F42C" w14:textId="77777777" w:rsidR="00777276" w:rsidRDefault="00777276">
      <w:r>
        <w:separator/>
      </w:r>
    </w:p>
  </w:endnote>
  <w:endnote w:type="continuationSeparator" w:id="0">
    <w:p w14:paraId="0E954932" w14:textId="77777777" w:rsidR="00777276" w:rsidRDefault="007772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048604554"/>
      <w:docPartObj>
        <w:docPartGallery w:val="Page Numbers (Bottom of Page)"/>
        <w:docPartUnique/>
      </w:docPartObj>
    </w:sdtPr>
    <w:sdtEndPr>
      <w:rPr>
        <w:rStyle w:val="PageNumber"/>
      </w:rPr>
    </w:sdtEndPr>
    <w:sdtContent>
      <w:p w14:paraId="240359FC" w14:textId="77777777" w:rsidR="00777EF7" w:rsidRDefault="00601C9B" w:rsidP="00524E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9FD132" w14:textId="77777777" w:rsidR="00777EF7" w:rsidRDefault="00777276" w:rsidP="0059538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88625912"/>
      <w:docPartObj>
        <w:docPartGallery w:val="Page Numbers (Bottom of Page)"/>
        <w:docPartUnique/>
      </w:docPartObj>
    </w:sdtPr>
    <w:sdtEndPr>
      <w:rPr>
        <w:rStyle w:val="PageNumber"/>
      </w:rPr>
    </w:sdtEndPr>
    <w:sdtContent>
      <w:p w14:paraId="4360B60A" w14:textId="77777777" w:rsidR="00777EF7" w:rsidRDefault="00601C9B" w:rsidP="00524E6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D108A">
          <w:rPr>
            <w:rStyle w:val="PageNumber"/>
            <w:noProof/>
          </w:rPr>
          <w:t>2</w:t>
        </w:r>
        <w:r>
          <w:rPr>
            <w:rStyle w:val="PageNumber"/>
          </w:rPr>
          <w:fldChar w:fldCharType="end"/>
        </w:r>
      </w:p>
    </w:sdtContent>
  </w:sdt>
  <w:p w14:paraId="703485B5" w14:textId="77777777" w:rsidR="00777EF7" w:rsidRDefault="00777276" w:rsidP="0059538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C5DB7D" w14:textId="77777777" w:rsidR="00777276" w:rsidRDefault="00777276">
      <w:r>
        <w:separator/>
      </w:r>
    </w:p>
  </w:footnote>
  <w:footnote w:type="continuationSeparator" w:id="0">
    <w:p w14:paraId="1D6FD1FD" w14:textId="77777777" w:rsidR="00777276" w:rsidRDefault="0077727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67F0A"/>
    <w:multiLevelType w:val="multilevel"/>
    <w:tmpl w:val="04F4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FE0125"/>
    <w:multiLevelType w:val="multilevel"/>
    <w:tmpl w:val="0932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C2F26"/>
    <w:multiLevelType w:val="multilevel"/>
    <w:tmpl w:val="E4E8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123B3E"/>
    <w:multiLevelType w:val="multilevel"/>
    <w:tmpl w:val="FA9A9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8B4A92"/>
    <w:multiLevelType w:val="multilevel"/>
    <w:tmpl w:val="2B0E3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5B3298"/>
    <w:multiLevelType w:val="multilevel"/>
    <w:tmpl w:val="64082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AA25CA7"/>
    <w:multiLevelType w:val="multilevel"/>
    <w:tmpl w:val="7D96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002E53"/>
    <w:multiLevelType w:val="multilevel"/>
    <w:tmpl w:val="EA66E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A7B7679"/>
    <w:multiLevelType w:val="multilevel"/>
    <w:tmpl w:val="A144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14752D"/>
    <w:multiLevelType w:val="multilevel"/>
    <w:tmpl w:val="FB42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8"/>
  </w:num>
  <w:num w:numId="3">
    <w:abstractNumId w:val="6"/>
  </w:num>
  <w:num w:numId="4">
    <w:abstractNumId w:val="2"/>
  </w:num>
  <w:num w:numId="5">
    <w:abstractNumId w:val="4"/>
  </w:num>
  <w:num w:numId="6">
    <w:abstractNumId w:val="7"/>
  </w:num>
  <w:num w:numId="7">
    <w:abstractNumId w:val="5"/>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3383E"/>
    <w:rsid w:val="000013DE"/>
    <w:rsid w:val="00010AF4"/>
    <w:rsid w:val="000115C7"/>
    <w:rsid w:val="00011E41"/>
    <w:rsid w:val="00026596"/>
    <w:rsid w:val="0003227E"/>
    <w:rsid w:val="00035CFA"/>
    <w:rsid w:val="00054FAD"/>
    <w:rsid w:val="00057161"/>
    <w:rsid w:val="00077072"/>
    <w:rsid w:val="00083603"/>
    <w:rsid w:val="000A244F"/>
    <w:rsid w:val="000C5B98"/>
    <w:rsid w:val="000C6BFF"/>
    <w:rsid w:val="000D27C9"/>
    <w:rsid w:val="000D546D"/>
    <w:rsid w:val="000D5E97"/>
    <w:rsid w:val="000E57BF"/>
    <w:rsid w:val="000F067C"/>
    <w:rsid w:val="000F101C"/>
    <w:rsid w:val="00123AF8"/>
    <w:rsid w:val="001711A0"/>
    <w:rsid w:val="001754B2"/>
    <w:rsid w:val="00185456"/>
    <w:rsid w:val="001A3D86"/>
    <w:rsid w:val="001C57D2"/>
    <w:rsid w:val="001D659D"/>
    <w:rsid w:val="0021002B"/>
    <w:rsid w:val="00255FF2"/>
    <w:rsid w:val="002759E1"/>
    <w:rsid w:val="0027730E"/>
    <w:rsid w:val="00277609"/>
    <w:rsid w:val="002D387B"/>
    <w:rsid w:val="002F3FD4"/>
    <w:rsid w:val="003022E7"/>
    <w:rsid w:val="003042B2"/>
    <w:rsid w:val="00311BF7"/>
    <w:rsid w:val="003306D6"/>
    <w:rsid w:val="00336C7F"/>
    <w:rsid w:val="0037573A"/>
    <w:rsid w:val="00395A97"/>
    <w:rsid w:val="003A4D0A"/>
    <w:rsid w:val="003B5DE3"/>
    <w:rsid w:val="003B6C35"/>
    <w:rsid w:val="003C0DF0"/>
    <w:rsid w:val="003C17C4"/>
    <w:rsid w:val="003E2F5B"/>
    <w:rsid w:val="003E6170"/>
    <w:rsid w:val="003F7762"/>
    <w:rsid w:val="00407088"/>
    <w:rsid w:val="00415DAF"/>
    <w:rsid w:val="0043720C"/>
    <w:rsid w:val="0043743B"/>
    <w:rsid w:val="004407A2"/>
    <w:rsid w:val="00447132"/>
    <w:rsid w:val="00451C81"/>
    <w:rsid w:val="0045286A"/>
    <w:rsid w:val="004A7C18"/>
    <w:rsid w:val="004A7F64"/>
    <w:rsid w:val="004D5768"/>
    <w:rsid w:val="004E0E30"/>
    <w:rsid w:val="004E20A2"/>
    <w:rsid w:val="005433B6"/>
    <w:rsid w:val="005671AF"/>
    <w:rsid w:val="0057213D"/>
    <w:rsid w:val="005969D0"/>
    <w:rsid w:val="005A3E0E"/>
    <w:rsid w:val="005A56D2"/>
    <w:rsid w:val="005A709F"/>
    <w:rsid w:val="005E71BD"/>
    <w:rsid w:val="00601C9B"/>
    <w:rsid w:val="00603140"/>
    <w:rsid w:val="00605BD6"/>
    <w:rsid w:val="006305D4"/>
    <w:rsid w:val="0063383E"/>
    <w:rsid w:val="00652B64"/>
    <w:rsid w:val="006A3206"/>
    <w:rsid w:val="006A337B"/>
    <w:rsid w:val="006A4358"/>
    <w:rsid w:val="006A6CB1"/>
    <w:rsid w:val="006D004C"/>
    <w:rsid w:val="006E3B38"/>
    <w:rsid w:val="006F48AE"/>
    <w:rsid w:val="00725A4F"/>
    <w:rsid w:val="007276C6"/>
    <w:rsid w:val="00744C62"/>
    <w:rsid w:val="00752421"/>
    <w:rsid w:val="00763EC2"/>
    <w:rsid w:val="00777276"/>
    <w:rsid w:val="00787F37"/>
    <w:rsid w:val="007A3169"/>
    <w:rsid w:val="007D2A5A"/>
    <w:rsid w:val="007D2CE7"/>
    <w:rsid w:val="00810C7D"/>
    <w:rsid w:val="00864E2D"/>
    <w:rsid w:val="00871006"/>
    <w:rsid w:val="0087669A"/>
    <w:rsid w:val="00891D62"/>
    <w:rsid w:val="008E46F8"/>
    <w:rsid w:val="008F0B5F"/>
    <w:rsid w:val="00915BDF"/>
    <w:rsid w:val="00921D70"/>
    <w:rsid w:val="00925A9F"/>
    <w:rsid w:val="009369E5"/>
    <w:rsid w:val="00953D17"/>
    <w:rsid w:val="00986E54"/>
    <w:rsid w:val="009A2ADB"/>
    <w:rsid w:val="009C17F7"/>
    <w:rsid w:val="009D0DA5"/>
    <w:rsid w:val="00A0504C"/>
    <w:rsid w:val="00A2180E"/>
    <w:rsid w:val="00A672CA"/>
    <w:rsid w:val="00A75C16"/>
    <w:rsid w:val="00A775A6"/>
    <w:rsid w:val="00A96729"/>
    <w:rsid w:val="00AE6CF4"/>
    <w:rsid w:val="00AF14A5"/>
    <w:rsid w:val="00AF2F18"/>
    <w:rsid w:val="00AF40C2"/>
    <w:rsid w:val="00AF4A96"/>
    <w:rsid w:val="00B05F97"/>
    <w:rsid w:val="00BC17E2"/>
    <w:rsid w:val="00BC5B28"/>
    <w:rsid w:val="00BD5C52"/>
    <w:rsid w:val="00BE0A13"/>
    <w:rsid w:val="00BF5CDC"/>
    <w:rsid w:val="00C44771"/>
    <w:rsid w:val="00C44996"/>
    <w:rsid w:val="00C572F7"/>
    <w:rsid w:val="00C80FF8"/>
    <w:rsid w:val="00CC7360"/>
    <w:rsid w:val="00CE1111"/>
    <w:rsid w:val="00CE3F3C"/>
    <w:rsid w:val="00D548F8"/>
    <w:rsid w:val="00D74557"/>
    <w:rsid w:val="00D76F16"/>
    <w:rsid w:val="00D85757"/>
    <w:rsid w:val="00DB7453"/>
    <w:rsid w:val="00E42D14"/>
    <w:rsid w:val="00E505A2"/>
    <w:rsid w:val="00E67F7A"/>
    <w:rsid w:val="00E732D2"/>
    <w:rsid w:val="00E84340"/>
    <w:rsid w:val="00E95FA8"/>
    <w:rsid w:val="00EA236F"/>
    <w:rsid w:val="00EB6963"/>
    <w:rsid w:val="00EC301A"/>
    <w:rsid w:val="00EC37F7"/>
    <w:rsid w:val="00EE045C"/>
    <w:rsid w:val="00EE55A9"/>
    <w:rsid w:val="00EF2375"/>
    <w:rsid w:val="00F16207"/>
    <w:rsid w:val="00F23810"/>
    <w:rsid w:val="00F74864"/>
    <w:rsid w:val="00FC0416"/>
    <w:rsid w:val="00FC6AC9"/>
    <w:rsid w:val="00FD108A"/>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8DE6CFC"/>
  <w15:chartTrackingRefBased/>
  <w15:docId w15:val="{8C4A0F93-AEC7-334E-9310-F896B479C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3383E"/>
    <w:rPr>
      <w:rFonts w:ascii="Times New Roman" w:eastAsia="Times New Roman" w:hAnsi="Times New Roman" w:cs="Times New Roman"/>
      <w:lang w:eastAsia="it-IT"/>
    </w:rPr>
  </w:style>
  <w:style w:type="paragraph" w:styleId="Heading1">
    <w:name w:val="heading 1"/>
    <w:basedOn w:val="Normal"/>
    <w:next w:val="Normal"/>
    <w:link w:val="Heading1Char"/>
    <w:uiPriority w:val="9"/>
    <w:qFormat/>
    <w:rsid w:val="0063383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63383E"/>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63383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383E"/>
    <w:rPr>
      <w:rFonts w:asciiTheme="majorHAnsi" w:eastAsiaTheme="majorEastAsia" w:hAnsiTheme="majorHAnsi" w:cstheme="majorBidi"/>
      <w:color w:val="2F5496" w:themeColor="accent1" w:themeShade="BF"/>
      <w:sz w:val="32"/>
      <w:szCs w:val="32"/>
      <w:lang w:eastAsia="it-IT"/>
    </w:rPr>
  </w:style>
  <w:style w:type="character" w:customStyle="1" w:styleId="Heading3Char">
    <w:name w:val="Heading 3 Char"/>
    <w:basedOn w:val="DefaultParagraphFont"/>
    <w:link w:val="Heading3"/>
    <w:uiPriority w:val="9"/>
    <w:rsid w:val="0063383E"/>
    <w:rPr>
      <w:rFonts w:ascii="Times New Roman" w:eastAsia="Times New Roman" w:hAnsi="Times New Roman" w:cs="Times New Roman"/>
      <w:b/>
      <w:bCs/>
      <w:sz w:val="27"/>
      <w:szCs w:val="27"/>
      <w:lang w:eastAsia="it-IT"/>
    </w:rPr>
  </w:style>
  <w:style w:type="character" w:customStyle="1" w:styleId="Heading4Char">
    <w:name w:val="Heading 4 Char"/>
    <w:basedOn w:val="DefaultParagraphFont"/>
    <w:link w:val="Heading4"/>
    <w:uiPriority w:val="9"/>
    <w:semiHidden/>
    <w:rsid w:val="0063383E"/>
    <w:rPr>
      <w:rFonts w:asciiTheme="majorHAnsi" w:eastAsiaTheme="majorEastAsia" w:hAnsiTheme="majorHAnsi" w:cstheme="majorBidi"/>
      <w:i/>
      <w:iCs/>
      <w:color w:val="2F5496" w:themeColor="accent1" w:themeShade="BF"/>
      <w:lang w:eastAsia="it-IT"/>
    </w:rPr>
  </w:style>
  <w:style w:type="table" w:styleId="TableGrid">
    <w:name w:val="Table Grid"/>
    <w:basedOn w:val="TableNormal"/>
    <w:uiPriority w:val="39"/>
    <w:rsid w:val="006338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3">
    <w:name w:val="Plain Table 3"/>
    <w:basedOn w:val="TableNormal"/>
    <w:uiPriority w:val="43"/>
    <w:rsid w:val="0063383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rful-Accent1">
    <w:name w:val="List Table 7 Colorful Accent 1"/>
    <w:basedOn w:val="TableNormal"/>
    <w:uiPriority w:val="52"/>
    <w:rsid w:val="0063383E"/>
    <w:rPr>
      <w:color w:val="2F5496"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63383E"/>
    <w:rPr>
      <w:color w:val="C45911"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63383E"/>
    <w:rPr>
      <w:color w:val="538135" w:themeColor="accent6" w:themeShade="BF"/>
    </w:rPr>
    <w:tblPr>
      <w:tblStyleRowBandSize w:val="1"/>
      <w:tblStyleColBandSize w:val="1"/>
      <w:tblInd w:w="0" w:type="dxa"/>
      <w:tblBorders>
        <w:top w:val="single" w:sz="4" w:space="0" w:color="70AD47" w:themeColor="accent6"/>
        <w:bottom w:val="single" w:sz="4" w:space="0" w:color="70AD47" w:themeColor="accent6"/>
      </w:tblBorders>
      <w:tblCellMar>
        <w:top w:w="0" w:type="dxa"/>
        <w:left w:w="108" w:type="dxa"/>
        <w:bottom w:w="0" w:type="dxa"/>
        <w:right w:w="108" w:type="dxa"/>
      </w:tblCellMar>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4">
    <w:name w:val="Grid Table 5 Dark Accent 4"/>
    <w:basedOn w:val="TableNormal"/>
    <w:uiPriority w:val="50"/>
    <w:rsid w:val="006338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2">
    <w:name w:val="Grid Table 5 Dark Accent 2"/>
    <w:basedOn w:val="TableNormal"/>
    <w:uiPriority w:val="50"/>
    <w:rsid w:val="006338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6338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Table7Colorful">
    <w:name w:val="List Table 7 Colorful"/>
    <w:basedOn w:val="TableNormal"/>
    <w:uiPriority w:val="52"/>
    <w:rsid w:val="0063383E"/>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b/>
        <w:bCs/>
        <w:i/>
        <w:iCs/>
        <w:cap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b/>
        <w:bCs/>
        <w:i/>
        <w:iCs/>
        <w:cap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b/>
        <w:bCs/>
        <w:i/>
        <w:iCs/>
        <w:cap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b/>
        <w:bCs/>
        <w:i/>
        <w:iCs/>
        <w:cap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arattere"/>
    <w:rsid w:val="0063383E"/>
    <w:pPr>
      <w:jc w:val="center"/>
    </w:pPr>
    <w:rPr>
      <w:rFonts w:ascii="Arial" w:eastAsiaTheme="minorHAnsi" w:hAnsi="Arial" w:cs="Arial"/>
      <w:lang w:val="en-US" w:eastAsia="en-US"/>
    </w:rPr>
  </w:style>
  <w:style w:type="character" w:customStyle="1" w:styleId="EndNoteBibliographyTitleCarattere">
    <w:name w:val="EndNote Bibliography Title Carattere"/>
    <w:basedOn w:val="DefaultParagraphFont"/>
    <w:link w:val="EndNoteBibliographyTitle"/>
    <w:rsid w:val="0063383E"/>
    <w:rPr>
      <w:rFonts w:ascii="Arial" w:hAnsi="Arial" w:cs="Arial"/>
      <w:lang w:val="en-US"/>
    </w:rPr>
  </w:style>
  <w:style w:type="paragraph" w:customStyle="1" w:styleId="EndNoteBibliography">
    <w:name w:val="EndNote Bibliography"/>
    <w:basedOn w:val="Normal"/>
    <w:link w:val="EndNoteBibliographyCarattere"/>
    <w:rsid w:val="0063383E"/>
    <w:rPr>
      <w:rFonts w:ascii="Arial" w:eastAsiaTheme="minorHAnsi" w:hAnsi="Arial" w:cs="Arial"/>
      <w:lang w:val="en-US" w:eastAsia="en-US"/>
    </w:rPr>
  </w:style>
  <w:style w:type="character" w:customStyle="1" w:styleId="EndNoteBibliographyCarattere">
    <w:name w:val="EndNote Bibliography Carattere"/>
    <w:basedOn w:val="DefaultParagraphFont"/>
    <w:link w:val="EndNoteBibliography"/>
    <w:rsid w:val="0063383E"/>
    <w:rPr>
      <w:rFonts w:ascii="Arial" w:hAnsi="Arial" w:cs="Arial"/>
      <w:lang w:val="en-US"/>
    </w:rPr>
  </w:style>
  <w:style w:type="paragraph" w:styleId="Caption">
    <w:name w:val="caption"/>
    <w:basedOn w:val="Normal"/>
    <w:next w:val="Normal"/>
    <w:uiPriority w:val="35"/>
    <w:unhideWhenUsed/>
    <w:qFormat/>
    <w:rsid w:val="0063383E"/>
    <w:pPr>
      <w:spacing w:after="200"/>
    </w:pPr>
    <w:rPr>
      <w:i/>
      <w:iCs/>
      <w:color w:val="44546A" w:themeColor="text2"/>
      <w:sz w:val="18"/>
      <w:szCs w:val="18"/>
    </w:rPr>
  </w:style>
  <w:style w:type="table" w:styleId="ListTable7Colorful-Accent3">
    <w:name w:val="List Table 7 Colorful Accent 3"/>
    <w:basedOn w:val="TableNormal"/>
    <w:uiPriority w:val="52"/>
    <w:rsid w:val="0063383E"/>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link w:val="NormalWebChar"/>
    <w:uiPriority w:val="99"/>
    <w:unhideWhenUsed/>
    <w:rsid w:val="0063383E"/>
    <w:pPr>
      <w:spacing w:before="100" w:beforeAutospacing="1" w:after="100" w:afterAutospacing="1"/>
    </w:pPr>
  </w:style>
  <w:style w:type="table" w:styleId="GridTable1Light-Accent5">
    <w:name w:val="Grid Table 1 Light Accent 5"/>
    <w:basedOn w:val="TableNormal"/>
    <w:uiPriority w:val="46"/>
    <w:rsid w:val="0063383E"/>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63383E"/>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63383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3383E"/>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63383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63383E"/>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3">
    <w:name w:val="Grid Table 3 Accent 3"/>
    <w:basedOn w:val="TableNormal"/>
    <w:uiPriority w:val="48"/>
    <w:rsid w:val="0063383E"/>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
    <w:name w:val="Grid Table 7 Colorful"/>
    <w:basedOn w:val="TableNormal"/>
    <w:uiPriority w:val="52"/>
    <w:rsid w:val="0063383E"/>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3">
    <w:name w:val="Grid Table 7 Colorful Accent 3"/>
    <w:basedOn w:val="TableNormal"/>
    <w:uiPriority w:val="52"/>
    <w:rsid w:val="0063383E"/>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2">
    <w:name w:val="List Table 2"/>
    <w:basedOn w:val="TableNormal"/>
    <w:uiPriority w:val="47"/>
    <w:rsid w:val="0063383E"/>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63383E"/>
    <w:pPr>
      <w:tabs>
        <w:tab w:val="center" w:pos="4513"/>
        <w:tab w:val="right" w:pos="9026"/>
      </w:tabs>
    </w:pPr>
  </w:style>
  <w:style w:type="character" w:customStyle="1" w:styleId="HeaderChar">
    <w:name w:val="Header Char"/>
    <w:basedOn w:val="DefaultParagraphFont"/>
    <w:link w:val="Header"/>
    <w:uiPriority w:val="99"/>
    <w:rsid w:val="0063383E"/>
    <w:rPr>
      <w:rFonts w:ascii="Times New Roman" w:eastAsia="Times New Roman" w:hAnsi="Times New Roman" w:cs="Times New Roman"/>
      <w:lang w:eastAsia="it-IT"/>
    </w:rPr>
  </w:style>
  <w:style w:type="paragraph" w:styleId="Footer">
    <w:name w:val="footer"/>
    <w:basedOn w:val="Normal"/>
    <w:link w:val="FooterChar"/>
    <w:uiPriority w:val="99"/>
    <w:unhideWhenUsed/>
    <w:rsid w:val="0063383E"/>
    <w:pPr>
      <w:tabs>
        <w:tab w:val="center" w:pos="4513"/>
        <w:tab w:val="right" w:pos="9026"/>
      </w:tabs>
    </w:pPr>
  </w:style>
  <w:style w:type="character" w:customStyle="1" w:styleId="FooterChar">
    <w:name w:val="Footer Char"/>
    <w:basedOn w:val="DefaultParagraphFont"/>
    <w:link w:val="Footer"/>
    <w:uiPriority w:val="99"/>
    <w:rsid w:val="0063383E"/>
    <w:rPr>
      <w:rFonts w:ascii="Times New Roman" w:eastAsia="Times New Roman" w:hAnsi="Times New Roman" w:cs="Times New Roman"/>
      <w:lang w:eastAsia="it-IT"/>
    </w:rPr>
  </w:style>
  <w:style w:type="character" w:customStyle="1" w:styleId="NormalWebChar">
    <w:name w:val="Normal (Web) Char"/>
    <w:basedOn w:val="DefaultParagraphFont"/>
    <w:link w:val="NormalWeb"/>
    <w:uiPriority w:val="99"/>
    <w:rsid w:val="0063383E"/>
    <w:rPr>
      <w:rFonts w:ascii="Times New Roman" w:eastAsia="Times New Roman" w:hAnsi="Times New Roman" w:cs="Times New Roman"/>
      <w:lang w:eastAsia="it-IT"/>
    </w:rPr>
  </w:style>
  <w:style w:type="character" w:styleId="PageNumber">
    <w:name w:val="page number"/>
    <w:basedOn w:val="DefaultParagraphFont"/>
    <w:uiPriority w:val="99"/>
    <w:semiHidden/>
    <w:unhideWhenUsed/>
    <w:rsid w:val="0063383E"/>
  </w:style>
  <w:style w:type="character" w:styleId="Hyperlink">
    <w:name w:val="Hyperlink"/>
    <w:basedOn w:val="DefaultParagraphFont"/>
    <w:uiPriority w:val="99"/>
    <w:unhideWhenUsed/>
    <w:rsid w:val="0063383E"/>
    <w:rPr>
      <w:color w:val="0000FF"/>
      <w:u w:val="single"/>
    </w:rPr>
  </w:style>
  <w:style w:type="character" w:styleId="Strong">
    <w:name w:val="Strong"/>
    <w:basedOn w:val="DefaultParagraphFont"/>
    <w:uiPriority w:val="22"/>
    <w:qFormat/>
    <w:rsid w:val="0063383E"/>
    <w:rPr>
      <w:b/>
      <w:bCs/>
    </w:rPr>
  </w:style>
  <w:style w:type="character" w:styleId="Emphasis">
    <w:name w:val="Emphasis"/>
    <w:basedOn w:val="DefaultParagraphFont"/>
    <w:uiPriority w:val="20"/>
    <w:qFormat/>
    <w:rsid w:val="0063383E"/>
    <w:rPr>
      <w:i/>
      <w:iCs/>
    </w:rPr>
  </w:style>
  <w:style w:type="paragraph" w:styleId="TOCHeading">
    <w:name w:val="TOC Heading"/>
    <w:basedOn w:val="Heading1"/>
    <w:next w:val="Normal"/>
    <w:uiPriority w:val="39"/>
    <w:unhideWhenUsed/>
    <w:qFormat/>
    <w:rsid w:val="0063383E"/>
    <w:pPr>
      <w:spacing w:before="480" w:line="276" w:lineRule="auto"/>
      <w:outlineLvl w:val="9"/>
    </w:pPr>
    <w:rPr>
      <w:b/>
      <w:bCs/>
      <w:sz w:val="28"/>
      <w:szCs w:val="28"/>
    </w:rPr>
  </w:style>
  <w:style w:type="paragraph" w:styleId="TOC1">
    <w:name w:val="toc 1"/>
    <w:basedOn w:val="Normal"/>
    <w:next w:val="Normal"/>
    <w:autoRedefine/>
    <w:uiPriority w:val="39"/>
    <w:semiHidden/>
    <w:unhideWhenUsed/>
    <w:rsid w:val="0063383E"/>
    <w:pPr>
      <w:spacing w:before="120"/>
    </w:pPr>
    <w:rPr>
      <w:rFonts w:asciiTheme="minorHAnsi" w:hAnsiTheme="minorHAnsi"/>
      <w:b/>
      <w:bCs/>
      <w:i/>
      <w:iCs/>
    </w:rPr>
  </w:style>
  <w:style w:type="paragraph" w:styleId="TOC2">
    <w:name w:val="toc 2"/>
    <w:basedOn w:val="Normal"/>
    <w:next w:val="Normal"/>
    <w:autoRedefine/>
    <w:uiPriority w:val="39"/>
    <w:semiHidden/>
    <w:unhideWhenUsed/>
    <w:rsid w:val="0063383E"/>
    <w:pPr>
      <w:spacing w:before="12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63383E"/>
    <w:pPr>
      <w:ind w:left="480"/>
    </w:pPr>
    <w:rPr>
      <w:rFonts w:asciiTheme="minorHAnsi" w:hAnsiTheme="minorHAnsi"/>
      <w:sz w:val="20"/>
      <w:szCs w:val="20"/>
    </w:rPr>
  </w:style>
  <w:style w:type="paragraph" w:styleId="TOC4">
    <w:name w:val="toc 4"/>
    <w:basedOn w:val="Normal"/>
    <w:next w:val="Normal"/>
    <w:autoRedefine/>
    <w:uiPriority w:val="39"/>
    <w:semiHidden/>
    <w:unhideWhenUsed/>
    <w:rsid w:val="0063383E"/>
    <w:pPr>
      <w:ind w:left="720"/>
    </w:pPr>
    <w:rPr>
      <w:rFonts w:asciiTheme="minorHAnsi" w:hAnsiTheme="minorHAnsi"/>
      <w:sz w:val="20"/>
      <w:szCs w:val="20"/>
    </w:rPr>
  </w:style>
  <w:style w:type="paragraph" w:styleId="TOC5">
    <w:name w:val="toc 5"/>
    <w:basedOn w:val="Normal"/>
    <w:next w:val="Normal"/>
    <w:autoRedefine/>
    <w:uiPriority w:val="39"/>
    <w:semiHidden/>
    <w:unhideWhenUsed/>
    <w:rsid w:val="0063383E"/>
    <w:pPr>
      <w:ind w:left="960"/>
    </w:pPr>
    <w:rPr>
      <w:rFonts w:asciiTheme="minorHAnsi" w:hAnsiTheme="minorHAnsi"/>
      <w:sz w:val="20"/>
      <w:szCs w:val="20"/>
    </w:rPr>
  </w:style>
  <w:style w:type="paragraph" w:styleId="TOC6">
    <w:name w:val="toc 6"/>
    <w:basedOn w:val="Normal"/>
    <w:next w:val="Normal"/>
    <w:autoRedefine/>
    <w:uiPriority w:val="39"/>
    <w:semiHidden/>
    <w:unhideWhenUsed/>
    <w:rsid w:val="0063383E"/>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63383E"/>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63383E"/>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63383E"/>
    <w:pPr>
      <w:ind w:left="1920"/>
    </w:pPr>
    <w:rPr>
      <w:rFonts w:asciiTheme="minorHAnsi" w:hAnsiTheme="minorHAnsi"/>
      <w:sz w:val="20"/>
      <w:szCs w:val="20"/>
    </w:rPr>
  </w:style>
  <w:style w:type="character" w:customStyle="1" w:styleId="mixed-citation">
    <w:name w:val="mixed-citation"/>
    <w:basedOn w:val="DefaultParagraphFont"/>
    <w:rsid w:val="0063383E"/>
  </w:style>
  <w:style w:type="character" w:customStyle="1" w:styleId="highlight">
    <w:name w:val="highlight"/>
    <w:basedOn w:val="DefaultParagraphFont"/>
    <w:rsid w:val="0063383E"/>
  </w:style>
  <w:style w:type="paragraph" w:styleId="BalloonText">
    <w:name w:val="Balloon Text"/>
    <w:basedOn w:val="Normal"/>
    <w:link w:val="BalloonTextChar"/>
    <w:uiPriority w:val="99"/>
    <w:semiHidden/>
    <w:unhideWhenUsed/>
    <w:rsid w:val="0063383E"/>
    <w:rPr>
      <w:sz w:val="18"/>
      <w:szCs w:val="18"/>
    </w:rPr>
  </w:style>
  <w:style w:type="character" w:customStyle="1" w:styleId="BalloonTextChar">
    <w:name w:val="Balloon Text Char"/>
    <w:basedOn w:val="DefaultParagraphFont"/>
    <w:link w:val="BalloonText"/>
    <w:uiPriority w:val="99"/>
    <w:semiHidden/>
    <w:rsid w:val="0063383E"/>
    <w:rPr>
      <w:rFonts w:ascii="Times New Roman" w:eastAsia="Times New Roman" w:hAnsi="Times New Roman" w:cs="Times New Roman"/>
      <w:sz w:val="18"/>
      <w:szCs w:val="18"/>
      <w:lang w:eastAsia="it-IT"/>
    </w:rPr>
  </w:style>
  <w:style w:type="character" w:styleId="CommentReference">
    <w:name w:val="annotation reference"/>
    <w:basedOn w:val="DefaultParagraphFont"/>
    <w:uiPriority w:val="99"/>
    <w:semiHidden/>
    <w:unhideWhenUsed/>
    <w:rsid w:val="0063383E"/>
    <w:rPr>
      <w:sz w:val="16"/>
      <w:szCs w:val="16"/>
    </w:rPr>
  </w:style>
  <w:style w:type="paragraph" w:styleId="CommentText">
    <w:name w:val="annotation text"/>
    <w:basedOn w:val="Normal"/>
    <w:link w:val="CommentTextChar"/>
    <w:uiPriority w:val="99"/>
    <w:semiHidden/>
    <w:unhideWhenUsed/>
    <w:rsid w:val="0063383E"/>
    <w:rPr>
      <w:sz w:val="20"/>
      <w:szCs w:val="20"/>
    </w:rPr>
  </w:style>
  <w:style w:type="character" w:customStyle="1" w:styleId="CommentTextChar">
    <w:name w:val="Comment Text Char"/>
    <w:basedOn w:val="DefaultParagraphFont"/>
    <w:link w:val="CommentText"/>
    <w:uiPriority w:val="99"/>
    <w:semiHidden/>
    <w:rsid w:val="0063383E"/>
    <w:rPr>
      <w:rFonts w:ascii="Times New Roman" w:eastAsia="Times New Roman" w:hAnsi="Times New Roman" w:cs="Times New Roman"/>
      <w:sz w:val="20"/>
      <w:szCs w:val="20"/>
      <w:lang w:eastAsia="it-IT"/>
    </w:rPr>
  </w:style>
  <w:style w:type="paragraph" w:styleId="CommentSubject">
    <w:name w:val="annotation subject"/>
    <w:basedOn w:val="CommentText"/>
    <w:next w:val="CommentText"/>
    <w:link w:val="CommentSubjectChar"/>
    <w:uiPriority w:val="99"/>
    <w:semiHidden/>
    <w:unhideWhenUsed/>
    <w:rsid w:val="0063383E"/>
    <w:rPr>
      <w:b/>
      <w:bCs/>
    </w:rPr>
  </w:style>
  <w:style w:type="character" w:customStyle="1" w:styleId="CommentSubjectChar">
    <w:name w:val="Comment Subject Char"/>
    <w:basedOn w:val="CommentTextChar"/>
    <w:link w:val="CommentSubject"/>
    <w:uiPriority w:val="99"/>
    <w:semiHidden/>
    <w:rsid w:val="0063383E"/>
    <w:rPr>
      <w:rFonts w:ascii="Times New Roman" w:eastAsia="Times New Roman" w:hAnsi="Times New Roman" w:cs="Times New Roman"/>
      <w:b/>
      <w:bCs/>
      <w:sz w:val="20"/>
      <w:szCs w:val="20"/>
      <w:lang w:eastAsia="it-IT"/>
    </w:rPr>
  </w:style>
  <w:style w:type="paragraph" w:styleId="Revision">
    <w:name w:val="Revision"/>
    <w:hidden/>
    <w:uiPriority w:val="99"/>
    <w:semiHidden/>
    <w:rsid w:val="0063383E"/>
    <w:rPr>
      <w:rFonts w:ascii="Times New Roman" w:eastAsia="Times New Roman" w:hAnsi="Times New Roman" w:cs="Times New Roman"/>
      <w:lang w:eastAsia="it-IT"/>
    </w:rPr>
  </w:style>
  <w:style w:type="character" w:customStyle="1" w:styleId="Menzionenonrisolta1">
    <w:name w:val="Menzione non risolta1"/>
    <w:basedOn w:val="DefaultParagraphFont"/>
    <w:uiPriority w:val="99"/>
    <w:semiHidden/>
    <w:unhideWhenUsed/>
    <w:rsid w:val="0063383E"/>
    <w:rPr>
      <w:color w:val="605E5C"/>
      <w:shd w:val="clear" w:color="auto" w:fill="E1DFDD"/>
    </w:rPr>
  </w:style>
  <w:style w:type="character" w:styleId="FollowedHyperlink">
    <w:name w:val="FollowedHyperlink"/>
    <w:basedOn w:val="DefaultParagraphFont"/>
    <w:uiPriority w:val="99"/>
    <w:semiHidden/>
    <w:unhideWhenUsed/>
    <w:rsid w:val="006338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8972683">
      <w:bodyDiv w:val="1"/>
      <w:marLeft w:val="0"/>
      <w:marRight w:val="0"/>
      <w:marTop w:val="0"/>
      <w:marBottom w:val="0"/>
      <w:divBdr>
        <w:top w:val="none" w:sz="0" w:space="0" w:color="auto"/>
        <w:left w:val="none" w:sz="0" w:space="0" w:color="auto"/>
        <w:bottom w:val="none" w:sz="0" w:space="0" w:color="auto"/>
        <w:right w:val="none" w:sz="0" w:space="0" w:color="auto"/>
      </w:divBdr>
    </w:div>
    <w:div w:id="510295823">
      <w:bodyDiv w:val="1"/>
      <w:marLeft w:val="0"/>
      <w:marRight w:val="0"/>
      <w:marTop w:val="0"/>
      <w:marBottom w:val="0"/>
      <w:divBdr>
        <w:top w:val="none" w:sz="0" w:space="0" w:color="auto"/>
        <w:left w:val="none" w:sz="0" w:space="0" w:color="auto"/>
        <w:bottom w:val="none" w:sz="0" w:space="0" w:color="auto"/>
        <w:right w:val="none" w:sz="0" w:space="0" w:color="auto"/>
      </w:divBdr>
    </w:div>
    <w:div w:id="710035443">
      <w:bodyDiv w:val="1"/>
      <w:marLeft w:val="0"/>
      <w:marRight w:val="0"/>
      <w:marTop w:val="0"/>
      <w:marBottom w:val="0"/>
      <w:divBdr>
        <w:top w:val="none" w:sz="0" w:space="0" w:color="auto"/>
        <w:left w:val="none" w:sz="0" w:space="0" w:color="auto"/>
        <w:bottom w:val="none" w:sz="0" w:space="0" w:color="auto"/>
        <w:right w:val="none" w:sz="0" w:space="0" w:color="auto"/>
      </w:divBdr>
    </w:div>
    <w:div w:id="1034381556">
      <w:bodyDiv w:val="1"/>
      <w:marLeft w:val="0"/>
      <w:marRight w:val="0"/>
      <w:marTop w:val="0"/>
      <w:marBottom w:val="0"/>
      <w:divBdr>
        <w:top w:val="none" w:sz="0" w:space="0" w:color="auto"/>
        <w:left w:val="none" w:sz="0" w:space="0" w:color="auto"/>
        <w:bottom w:val="none" w:sz="0" w:space="0" w:color="auto"/>
        <w:right w:val="none" w:sz="0" w:space="0" w:color="auto"/>
      </w:divBdr>
    </w:div>
    <w:div w:id="178422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chart" Target="charts/chart1.xml"/><Relationship Id="rId10"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Cartel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2060">
                <a:alpha val="85000"/>
              </a:srgbClr>
            </a:solidFill>
            <a:ln>
              <a:noFill/>
            </a:ln>
            <a:effectLst/>
          </c:spPr>
          <c:invertIfNegative val="0"/>
          <c:dLbls>
            <c:delete val="1"/>
          </c:dLbls>
          <c:cat>
            <c:numRef>
              <c:f>Foglio4!$A$1:$A$30</c:f>
              <c:numCache>
                <c:formatCode>General</c:formatCode>
                <c:ptCount val="30"/>
                <c:pt idx="0">
                  <c:v>1990.0</c:v>
                </c:pt>
                <c:pt idx="1">
                  <c:v>1991.0</c:v>
                </c:pt>
                <c:pt idx="2">
                  <c:v>1992.0</c:v>
                </c:pt>
                <c:pt idx="3">
                  <c:v>1993.0</c:v>
                </c:pt>
                <c:pt idx="4">
                  <c:v>1994.0</c:v>
                </c:pt>
                <c:pt idx="5">
                  <c:v>1995.0</c:v>
                </c:pt>
                <c:pt idx="6">
                  <c:v>1996.0</c:v>
                </c:pt>
                <c:pt idx="7">
                  <c:v>1997.0</c:v>
                </c:pt>
                <c:pt idx="8">
                  <c:v>1998.0</c:v>
                </c:pt>
                <c:pt idx="9">
                  <c:v>1999.0</c:v>
                </c:pt>
                <c:pt idx="10">
                  <c:v>2000.0</c:v>
                </c:pt>
                <c:pt idx="11">
                  <c:v>2001.0</c:v>
                </c:pt>
                <c:pt idx="12">
                  <c:v>2002.0</c:v>
                </c:pt>
                <c:pt idx="13">
                  <c:v>2003.0</c:v>
                </c:pt>
                <c:pt idx="14">
                  <c:v>2004.0</c:v>
                </c:pt>
                <c:pt idx="15">
                  <c:v>2005.0</c:v>
                </c:pt>
                <c:pt idx="16">
                  <c:v>2006.0</c:v>
                </c:pt>
                <c:pt idx="17">
                  <c:v>2007.0</c:v>
                </c:pt>
                <c:pt idx="18">
                  <c:v>2008.0</c:v>
                </c:pt>
                <c:pt idx="19">
                  <c:v>2009.0</c:v>
                </c:pt>
                <c:pt idx="20">
                  <c:v>2010.0</c:v>
                </c:pt>
                <c:pt idx="21">
                  <c:v>2011.0</c:v>
                </c:pt>
                <c:pt idx="22">
                  <c:v>2012.0</c:v>
                </c:pt>
                <c:pt idx="23">
                  <c:v>2013.0</c:v>
                </c:pt>
                <c:pt idx="24">
                  <c:v>2014.0</c:v>
                </c:pt>
                <c:pt idx="25">
                  <c:v>2015.0</c:v>
                </c:pt>
                <c:pt idx="26">
                  <c:v>2016.0</c:v>
                </c:pt>
                <c:pt idx="27">
                  <c:v>2017.0</c:v>
                </c:pt>
                <c:pt idx="28">
                  <c:v>2018.0</c:v>
                </c:pt>
                <c:pt idx="29">
                  <c:v>2019.0</c:v>
                </c:pt>
              </c:numCache>
            </c:numRef>
          </c:cat>
          <c:val>
            <c:numRef>
              <c:f>Foglio4!$B$1:$B$30</c:f>
              <c:numCache>
                <c:formatCode>General</c:formatCode>
                <c:ptCount val="30"/>
                <c:pt idx="0">
                  <c:v>6.0</c:v>
                </c:pt>
                <c:pt idx="1">
                  <c:v>5.0</c:v>
                </c:pt>
                <c:pt idx="2">
                  <c:v>6.0</c:v>
                </c:pt>
                <c:pt idx="3">
                  <c:v>6.0</c:v>
                </c:pt>
                <c:pt idx="4">
                  <c:v>3.0</c:v>
                </c:pt>
                <c:pt idx="5">
                  <c:v>7.0</c:v>
                </c:pt>
                <c:pt idx="6">
                  <c:v>16.0</c:v>
                </c:pt>
                <c:pt idx="7">
                  <c:v>16.0</c:v>
                </c:pt>
                <c:pt idx="8">
                  <c:v>21.0</c:v>
                </c:pt>
                <c:pt idx="9">
                  <c:v>20.0</c:v>
                </c:pt>
                <c:pt idx="10">
                  <c:v>27.0</c:v>
                </c:pt>
                <c:pt idx="11">
                  <c:v>21.0</c:v>
                </c:pt>
                <c:pt idx="12">
                  <c:v>32.0</c:v>
                </c:pt>
                <c:pt idx="13">
                  <c:v>38.0</c:v>
                </c:pt>
                <c:pt idx="14">
                  <c:v>42.0</c:v>
                </c:pt>
                <c:pt idx="15">
                  <c:v>52.0</c:v>
                </c:pt>
                <c:pt idx="16">
                  <c:v>59.0</c:v>
                </c:pt>
                <c:pt idx="17">
                  <c:v>51.0</c:v>
                </c:pt>
                <c:pt idx="18">
                  <c:v>76.0</c:v>
                </c:pt>
                <c:pt idx="19">
                  <c:v>84.0</c:v>
                </c:pt>
                <c:pt idx="20">
                  <c:v>100.0</c:v>
                </c:pt>
                <c:pt idx="21">
                  <c:v>87.0</c:v>
                </c:pt>
                <c:pt idx="22">
                  <c:v>145.0</c:v>
                </c:pt>
                <c:pt idx="23">
                  <c:v>206.0</c:v>
                </c:pt>
                <c:pt idx="24">
                  <c:v>245.0</c:v>
                </c:pt>
                <c:pt idx="25">
                  <c:v>266.0</c:v>
                </c:pt>
                <c:pt idx="26">
                  <c:v>318.0</c:v>
                </c:pt>
                <c:pt idx="27">
                  <c:v>324.0</c:v>
                </c:pt>
                <c:pt idx="28">
                  <c:v>390.0</c:v>
                </c:pt>
                <c:pt idx="29">
                  <c:v>416.0</c:v>
                </c:pt>
              </c:numCache>
            </c:numRef>
          </c:val>
          <c:extLst xmlns:c16r2="http://schemas.microsoft.com/office/drawing/2015/06/chart">
            <c:ext xmlns:c16="http://schemas.microsoft.com/office/drawing/2014/chart" uri="{C3380CC4-5D6E-409C-BE32-E72D297353CC}">
              <c16:uniqueId val="{00000000-87B8-EB40-B63E-6393397E68F3}"/>
            </c:ext>
          </c:extLst>
        </c:ser>
        <c:dLbls>
          <c:dLblPos val="outEnd"/>
          <c:showLegendKey val="0"/>
          <c:showVal val="1"/>
          <c:showCatName val="0"/>
          <c:showSerName val="0"/>
          <c:showPercent val="0"/>
          <c:showBubbleSize val="0"/>
        </c:dLbls>
        <c:gapWidth val="80"/>
        <c:overlap val="25"/>
        <c:axId val="2141786864"/>
        <c:axId val="2141794016"/>
      </c:barChart>
      <c:catAx>
        <c:axId val="2141786864"/>
        <c:scaling>
          <c:orientation val="minMax"/>
        </c:scaling>
        <c:delete val="0"/>
        <c:axPos val="b"/>
        <c:title>
          <c:tx>
            <c:rich>
              <a:bodyPr rot="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r>
                  <a:rPr lang="it-IT" cap="none"/>
                  <a:t>Year</a:t>
                </a:r>
              </a:p>
            </c:rich>
          </c:tx>
          <c:overlay val="0"/>
          <c:spPr>
            <a:noFill/>
            <a:ln>
              <a:noFill/>
            </a:ln>
            <a:effectLst/>
          </c:spPr>
          <c:txPr>
            <a:bodyPr rot="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ysClr val="windowText" lastClr="000000"/>
                </a:solidFill>
                <a:latin typeface="+mn-lt"/>
                <a:ea typeface="+mn-ea"/>
                <a:cs typeface="+mn-cs"/>
              </a:defRPr>
            </a:pPr>
            <a:endParaRPr lang="en-US"/>
          </a:p>
        </c:txPr>
        <c:crossAx val="2141794016"/>
        <c:crosses val="autoZero"/>
        <c:auto val="1"/>
        <c:lblAlgn val="ctr"/>
        <c:lblOffset val="100"/>
        <c:noMultiLvlLbl val="0"/>
      </c:catAx>
      <c:valAx>
        <c:axId val="2141794016"/>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r>
                  <a:rPr lang="it-IT" cap="none"/>
                  <a:t>Cumulative number of publications</a:t>
                </a:r>
              </a:p>
            </c:rich>
          </c:tx>
          <c:overlay val="0"/>
          <c:spPr>
            <a:noFill/>
            <a:ln>
              <a:noFill/>
            </a:ln>
            <a:effectLst/>
          </c:spPr>
          <c:txPr>
            <a:bodyPr rot="-5400000" spcFirstLastPara="1" vertOverflow="ellipsis" vert="horz" wrap="square" anchor="ctr" anchorCtr="1"/>
            <a:lstStyle/>
            <a:p>
              <a:pPr>
                <a:defRPr sz="900" b="0" i="0" u="none" strike="noStrike" kern="1200" cap="none"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en-US"/>
          </a:p>
        </c:txPr>
        <c:crossAx val="214178686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7611</Words>
  <Characters>43383</Characters>
  <Application>Microsoft Macintosh Word</Application>
  <DocSecurity>0</DocSecurity>
  <Lines>361</Lines>
  <Paragraphs>101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Vitolo</dc:creator>
  <cp:keywords/>
  <dc:description/>
  <cp:lastModifiedBy>Deirdre Lane</cp:lastModifiedBy>
  <cp:revision>2</cp:revision>
  <dcterms:created xsi:type="dcterms:W3CDTF">2020-06-25T13:50:00Z</dcterms:created>
  <dcterms:modified xsi:type="dcterms:W3CDTF">2020-06-25T13:50:00Z</dcterms:modified>
</cp:coreProperties>
</file>