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B6510" w14:textId="3963C8E8" w:rsidR="005D6B4F" w:rsidRPr="006F2C28" w:rsidRDefault="00B4776E" w:rsidP="006F2C28">
      <w:pPr>
        <w:widowControl w:val="0"/>
        <w:spacing w:before="0" w:after="0" w:line="240" w:lineRule="auto"/>
        <w:jc w:val="both"/>
        <w:rPr>
          <w:rFonts w:asciiTheme="minorHAnsi" w:hAnsiTheme="minorHAnsi" w:cstheme="minorHAnsi"/>
          <w:u w:val="single"/>
        </w:rPr>
      </w:pPr>
      <w:bookmarkStart w:id="0" w:name="_GoBack"/>
      <w:bookmarkEnd w:id="0"/>
      <w:r>
        <w:rPr>
          <w:rFonts w:ascii="Arial" w:hAnsi="Arial" w:cs="Arial"/>
          <w:b/>
        </w:rPr>
        <w:t xml:space="preserve">ASSESSING THE </w:t>
      </w:r>
      <w:r w:rsidRPr="009E4D26">
        <w:rPr>
          <w:rFonts w:ascii="Arial" w:hAnsi="Arial" w:cs="Arial"/>
          <w:b/>
        </w:rPr>
        <w:t>PUBLIC</w:t>
      </w:r>
      <w:r>
        <w:rPr>
          <w:rFonts w:ascii="Arial" w:hAnsi="Arial" w:cs="Arial"/>
          <w:b/>
        </w:rPr>
        <w:t xml:space="preserve"> </w:t>
      </w:r>
      <w:r w:rsidRPr="009E4D26">
        <w:rPr>
          <w:rFonts w:ascii="Arial" w:hAnsi="Arial" w:cs="Arial"/>
          <w:b/>
        </w:rPr>
        <w:t>HEALTH EFFECTS OF CANNABIS</w:t>
      </w:r>
      <w:r>
        <w:rPr>
          <w:rFonts w:ascii="Arial" w:hAnsi="Arial" w:cs="Arial"/>
          <w:b/>
        </w:rPr>
        <w:t xml:space="preserve"> USE</w:t>
      </w:r>
      <w:r w:rsidR="00AB30DD">
        <w:rPr>
          <w:rFonts w:ascii="Arial" w:hAnsi="Arial" w:cs="Arial"/>
          <w:b/>
        </w:rPr>
        <w:t>: CAN LEGALISATION IMPROVE THE EVIDENCE BASE?</w:t>
      </w:r>
    </w:p>
    <w:p w14:paraId="57BB312B" w14:textId="77777777" w:rsidR="007405FA" w:rsidRPr="006F2C28" w:rsidRDefault="007405FA" w:rsidP="006F2C28">
      <w:pPr>
        <w:widowControl w:val="0"/>
        <w:spacing w:before="0" w:after="0" w:line="240" w:lineRule="auto"/>
        <w:jc w:val="both"/>
        <w:rPr>
          <w:rFonts w:asciiTheme="minorHAnsi" w:hAnsiTheme="minorHAnsi" w:cstheme="minorHAnsi"/>
        </w:rPr>
      </w:pPr>
    </w:p>
    <w:p w14:paraId="0C64595F" w14:textId="25EBD05D" w:rsidR="00F12D5B" w:rsidRDefault="00A71884" w:rsidP="006F2C28">
      <w:pPr>
        <w:widowControl w:val="0"/>
        <w:spacing w:before="0" w:after="0" w:line="240" w:lineRule="auto"/>
        <w:ind w:firstLine="426"/>
        <w:jc w:val="both"/>
        <w:rPr>
          <w:rFonts w:asciiTheme="minorHAnsi" w:hAnsiTheme="minorHAnsi" w:cstheme="minorHAnsi"/>
        </w:rPr>
      </w:pPr>
      <w:r w:rsidRPr="006F2C28">
        <w:rPr>
          <w:rFonts w:asciiTheme="minorHAnsi" w:hAnsiTheme="minorHAnsi" w:cstheme="minorHAnsi"/>
        </w:rPr>
        <w:t>Hall and Lynskey</w:t>
      </w:r>
      <w:r w:rsidR="00F12D5B">
        <w:rPr>
          <w:rFonts w:asciiTheme="minorHAnsi" w:hAnsiTheme="minorHAnsi" w:cstheme="minorHAnsi"/>
          <w:vertAlign w:val="superscript"/>
        </w:rPr>
        <w:t xml:space="preserve">1 </w:t>
      </w:r>
      <w:r w:rsidRPr="006F2C28">
        <w:rPr>
          <w:rFonts w:asciiTheme="minorHAnsi" w:hAnsiTheme="minorHAnsi" w:cstheme="minorHAnsi"/>
        </w:rPr>
        <w:t>elegantly review</w:t>
      </w:r>
      <w:r w:rsidR="00F12D5B">
        <w:rPr>
          <w:rFonts w:asciiTheme="minorHAnsi" w:hAnsiTheme="minorHAnsi" w:cstheme="minorHAnsi"/>
        </w:rPr>
        <w:t xml:space="preserve"> </w:t>
      </w:r>
      <w:r w:rsidR="005A106E" w:rsidRPr="006F2C28">
        <w:rPr>
          <w:rFonts w:asciiTheme="minorHAnsi" w:hAnsiTheme="minorHAnsi" w:cstheme="minorHAnsi"/>
        </w:rPr>
        <w:t xml:space="preserve">evidence on </w:t>
      </w:r>
      <w:r w:rsidR="00F12D5B">
        <w:rPr>
          <w:rFonts w:asciiTheme="minorHAnsi" w:hAnsiTheme="minorHAnsi" w:cstheme="minorHAnsi"/>
        </w:rPr>
        <w:t xml:space="preserve">the </w:t>
      </w:r>
      <w:r w:rsidR="005A106E" w:rsidRPr="006F2C28">
        <w:rPr>
          <w:rFonts w:asciiTheme="minorHAnsi" w:hAnsiTheme="minorHAnsi" w:cstheme="minorHAnsi"/>
        </w:rPr>
        <w:t>effects of legali</w:t>
      </w:r>
      <w:r w:rsidR="00F12D5B">
        <w:rPr>
          <w:rFonts w:asciiTheme="minorHAnsi" w:hAnsiTheme="minorHAnsi" w:cstheme="minorHAnsi"/>
        </w:rPr>
        <w:t>z</w:t>
      </w:r>
      <w:r w:rsidR="005A106E" w:rsidRPr="006F2C28">
        <w:rPr>
          <w:rFonts w:asciiTheme="minorHAnsi" w:hAnsiTheme="minorHAnsi" w:cstheme="minorHAnsi"/>
        </w:rPr>
        <w:t xml:space="preserve">ation of recreational </w:t>
      </w:r>
      <w:r w:rsidR="00702CE3" w:rsidRPr="006F2C28">
        <w:rPr>
          <w:rFonts w:asciiTheme="minorHAnsi" w:hAnsiTheme="minorHAnsi" w:cstheme="minorHAnsi"/>
        </w:rPr>
        <w:t xml:space="preserve">cannabis. The trouble is – as they conclude </w:t>
      </w:r>
      <w:r w:rsidR="00B707ED" w:rsidRPr="006F2C28">
        <w:rPr>
          <w:rFonts w:asciiTheme="minorHAnsi" w:hAnsiTheme="minorHAnsi" w:cstheme="minorHAnsi"/>
        </w:rPr>
        <w:t xml:space="preserve">– </w:t>
      </w:r>
      <w:r w:rsidR="00F12D5B">
        <w:rPr>
          <w:rFonts w:asciiTheme="minorHAnsi" w:hAnsiTheme="minorHAnsi" w:cstheme="minorHAnsi"/>
        </w:rPr>
        <w:t xml:space="preserve">that </w:t>
      </w:r>
      <w:r w:rsidR="00B707ED" w:rsidRPr="006F2C28">
        <w:rPr>
          <w:rFonts w:asciiTheme="minorHAnsi" w:hAnsiTheme="minorHAnsi" w:cstheme="minorHAnsi"/>
        </w:rPr>
        <w:t>it is too early to tell</w:t>
      </w:r>
      <w:r w:rsidR="003E1D3F" w:rsidRPr="006F2C28">
        <w:rPr>
          <w:rFonts w:asciiTheme="minorHAnsi" w:hAnsiTheme="minorHAnsi" w:cstheme="minorHAnsi"/>
        </w:rPr>
        <w:t>.</w:t>
      </w:r>
      <w:r w:rsidR="006F2C28">
        <w:rPr>
          <w:rFonts w:asciiTheme="minorHAnsi" w:hAnsiTheme="minorHAnsi" w:cstheme="minorHAnsi"/>
        </w:rPr>
        <w:t xml:space="preserve"> </w:t>
      </w:r>
      <w:r w:rsidR="000E17E6" w:rsidRPr="006F2C28">
        <w:rPr>
          <w:rFonts w:asciiTheme="minorHAnsi" w:hAnsiTheme="minorHAnsi" w:cstheme="minorHAnsi"/>
        </w:rPr>
        <w:t>So</w:t>
      </w:r>
      <w:r w:rsidR="00F12D5B">
        <w:rPr>
          <w:rFonts w:asciiTheme="minorHAnsi" w:hAnsiTheme="minorHAnsi" w:cstheme="minorHAnsi"/>
        </w:rPr>
        <w:t>,</w:t>
      </w:r>
      <w:r w:rsidR="000E17E6" w:rsidRPr="006F2C28">
        <w:rPr>
          <w:rFonts w:asciiTheme="minorHAnsi" w:hAnsiTheme="minorHAnsi" w:cstheme="minorHAnsi"/>
        </w:rPr>
        <w:t xml:space="preserve"> what matters </w:t>
      </w:r>
      <w:r w:rsidR="005D7B10" w:rsidRPr="006F2C28">
        <w:rPr>
          <w:rFonts w:asciiTheme="minorHAnsi" w:hAnsiTheme="minorHAnsi" w:cstheme="minorHAnsi"/>
        </w:rPr>
        <w:t xml:space="preserve">going forwards </w:t>
      </w:r>
      <w:r w:rsidR="000E17E6" w:rsidRPr="006F2C28">
        <w:rPr>
          <w:rFonts w:asciiTheme="minorHAnsi" w:hAnsiTheme="minorHAnsi" w:cstheme="minorHAnsi"/>
        </w:rPr>
        <w:t xml:space="preserve">is </w:t>
      </w:r>
      <w:r w:rsidR="003C3BBC" w:rsidRPr="006F2C28">
        <w:rPr>
          <w:rFonts w:asciiTheme="minorHAnsi" w:hAnsiTheme="minorHAnsi" w:cstheme="minorHAnsi"/>
        </w:rPr>
        <w:t xml:space="preserve">whether there will be sufficient </w:t>
      </w:r>
      <w:r w:rsidR="00287E90" w:rsidRPr="006F2C28">
        <w:rPr>
          <w:rFonts w:asciiTheme="minorHAnsi" w:hAnsiTheme="minorHAnsi" w:cstheme="minorHAnsi"/>
        </w:rPr>
        <w:t xml:space="preserve">investment in generating </w:t>
      </w:r>
      <w:r w:rsidR="006C225F" w:rsidRPr="006F2C28">
        <w:rPr>
          <w:rFonts w:asciiTheme="minorHAnsi" w:hAnsiTheme="minorHAnsi" w:cstheme="minorHAnsi"/>
        </w:rPr>
        <w:t>evidence</w:t>
      </w:r>
      <w:r w:rsidR="00287E90" w:rsidRPr="006F2C28">
        <w:rPr>
          <w:rFonts w:asciiTheme="minorHAnsi" w:hAnsiTheme="minorHAnsi" w:cstheme="minorHAnsi"/>
        </w:rPr>
        <w:t xml:space="preserve"> and conducting research into</w:t>
      </w:r>
      <w:r w:rsidR="00A36CEB" w:rsidRPr="006F2C28">
        <w:rPr>
          <w:rFonts w:asciiTheme="minorHAnsi" w:hAnsiTheme="minorHAnsi" w:cstheme="minorHAnsi"/>
        </w:rPr>
        <w:t xml:space="preserve"> both</w:t>
      </w:r>
      <w:r w:rsidR="00287E90" w:rsidRPr="006F2C28">
        <w:rPr>
          <w:rFonts w:asciiTheme="minorHAnsi" w:hAnsiTheme="minorHAnsi" w:cstheme="minorHAnsi"/>
        </w:rPr>
        <w:t xml:space="preserve"> the</w:t>
      </w:r>
      <w:r w:rsidR="008706B1">
        <w:rPr>
          <w:rFonts w:asciiTheme="minorHAnsi" w:hAnsiTheme="minorHAnsi" w:cstheme="minorHAnsi"/>
        </w:rPr>
        <w:t xml:space="preserve"> association of cannabis use with</w:t>
      </w:r>
      <w:r w:rsidR="0082725E" w:rsidRPr="006F2C28">
        <w:rPr>
          <w:rFonts w:asciiTheme="minorHAnsi" w:hAnsiTheme="minorHAnsi" w:cstheme="minorHAnsi"/>
        </w:rPr>
        <w:t xml:space="preserve"> health </w:t>
      </w:r>
      <w:r w:rsidR="00311E6B" w:rsidRPr="006F2C28">
        <w:rPr>
          <w:rFonts w:asciiTheme="minorHAnsi" w:hAnsiTheme="minorHAnsi" w:cstheme="minorHAnsi"/>
        </w:rPr>
        <w:t>and social harms and the impact of alternative methods of legi</w:t>
      </w:r>
      <w:r w:rsidR="00922609" w:rsidRPr="006F2C28">
        <w:rPr>
          <w:rFonts w:asciiTheme="minorHAnsi" w:hAnsiTheme="minorHAnsi" w:cstheme="minorHAnsi"/>
        </w:rPr>
        <w:t>slating</w:t>
      </w:r>
      <w:r w:rsidR="004A2611" w:rsidRPr="006F2C28">
        <w:rPr>
          <w:rFonts w:asciiTheme="minorHAnsi" w:hAnsiTheme="minorHAnsi" w:cstheme="minorHAnsi"/>
        </w:rPr>
        <w:t xml:space="preserve"> cannabis consumption on the </w:t>
      </w:r>
      <w:r w:rsidR="00922609" w:rsidRPr="006F2C28">
        <w:rPr>
          <w:rFonts w:asciiTheme="minorHAnsi" w:hAnsiTheme="minorHAnsi" w:cstheme="minorHAnsi"/>
        </w:rPr>
        <w:t>preventi</w:t>
      </w:r>
      <w:r w:rsidR="004A2611" w:rsidRPr="006F2C28">
        <w:rPr>
          <w:rFonts w:asciiTheme="minorHAnsi" w:hAnsiTheme="minorHAnsi" w:cstheme="minorHAnsi"/>
        </w:rPr>
        <w:t>on of</w:t>
      </w:r>
      <w:r w:rsidR="00922609" w:rsidRPr="006F2C28">
        <w:rPr>
          <w:rFonts w:asciiTheme="minorHAnsi" w:hAnsiTheme="minorHAnsi" w:cstheme="minorHAnsi"/>
        </w:rPr>
        <w:t xml:space="preserve"> </w:t>
      </w:r>
      <w:r w:rsidR="00700F87" w:rsidRPr="006F2C28">
        <w:rPr>
          <w:rFonts w:asciiTheme="minorHAnsi" w:hAnsiTheme="minorHAnsi" w:cstheme="minorHAnsi"/>
        </w:rPr>
        <w:t>those harms</w:t>
      </w:r>
      <w:r w:rsidR="00DF0644" w:rsidRPr="006F2C28">
        <w:rPr>
          <w:rFonts w:asciiTheme="minorHAnsi" w:hAnsiTheme="minorHAnsi" w:cstheme="minorHAnsi"/>
        </w:rPr>
        <w:t>.</w:t>
      </w:r>
      <w:r w:rsidR="006F2C28">
        <w:rPr>
          <w:rFonts w:asciiTheme="minorHAnsi" w:hAnsiTheme="minorHAnsi" w:cstheme="minorHAnsi"/>
        </w:rPr>
        <w:t xml:space="preserve"> </w:t>
      </w:r>
    </w:p>
    <w:p w14:paraId="7548C9E5" w14:textId="572C03AB" w:rsidR="00F12D5B" w:rsidRDefault="006E5EE0" w:rsidP="006F2C28">
      <w:pPr>
        <w:widowControl w:val="0"/>
        <w:spacing w:before="0" w:after="0" w:line="240" w:lineRule="auto"/>
        <w:ind w:firstLine="426"/>
        <w:jc w:val="both"/>
        <w:rPr>
          <w:rFonts w:asciiTheme="minorHAnsi" w:hAnsiTheme="minorHAnsi" w:cstheme="minorHAnsi"/>
        </w:rPr>
      </w:pPr>
      <w:r w:rsidRPr="006F2C28">
        <w:rPr>
          <w:rFonts w:asciiTheme="minorHAnsi" w:hAnsiTheme="minorHAnsi" w:cstheme="minorHAnsi"/>
        </w:rPr>
        <w:t xml:space="preserve">As Hall predicted in earlier </w:t>
      </w:r>
      <w:r w:rsidR="00B00879" w:rsidRPr="006F2C28">
        <w:rPr>
          <w:rFonts w:asciiTheme="minorHAnsi" w:hAnsiTheme="minorHAnsi" w:cstheme="minorHAnsi"/>
        </w:rPr>
        <w:t>review</w:t>
      </w:r>
      <w:r w:rsidR="00492421" w:rsidRPr="006F2C28">
        <w:rPr>
          <w:rFonts w:asciiTheme="minorHAnsi" w:hAnsiTheme="minorHAnsi" w:cstheme="minorHAnsi"/>
        </w:rPr>
        <w:t>s</w:t>
      </w:r>
      <w:r w:rsidR="00B00879" w:rsidRPr="006F2C28">
        <w:rPr>
          <w:rFonts w:asciiTheme="minorHAnsi" w:hAnsiTheme="minorHAnsi" w:cstheme="minorHAnsi"/>
        </w:rPr>
        <w:t xml:space="preserve"> of cannabis</w:t>
      </w:r>
      <w:r w:rsidR="00835EE9" w:rsidRPr="006F2C28">
        <w:rPr>
          <w:rFonts w:asciiTheme="minorHAnsi" w:hAnsiTheme="minorHAnsi" w:cstheme="minorHAnsi"/>
        </w:rPr>
        <w:t xml:space="preserve"> policy and health</w:t>
      </w:r>
      <w:r w:rsidR="00F12D5B">
        <w:rPr>
          <w:rFonts w:asciiTheme="minorHAnsi" w:hAnsiTheme="minorHAnsi" w:cstheme="minorHAnsi"/>
        </w:rPr>
        <w:t>,</w:t>
      </w:r>
      <w:r w:rsidR="004B6A58" w:rsidRPr="006F2C28">
        <w:rPr>
          <w:rFonts w:asciiTheme="minorHAnsi" w:hAnsiTheme="minorHAnsi" w:cstheme="minorHAnsi"/>
        </w:rPr>
        <w:t xml:space="preserve"> </w:t>
      </w:r>
      <w:r w:rsidR="00605B33" w:rsidRPr="006F2C28">
        <w:rPr>
          <w:rFonts w:asciiTheme="minorHAnsi" w:hAnsiTheme="minorHAnsi" w:cstheme="minorHAnsi"/>
        </w:rPr>
        <w:t>permitting “medical use</w:t>
      </w:r>
      <w:r w:rsidR="007352CA" w:rsidRPr="006F2C28">
        <w:rPr>
          <w:rFonts w:asciiTheme="minorHAnsi" w:hAnsiTheme="minorHAnsi" w:cstheme="minorHAnsi"/>
        </w:rPr>
        <w:t>” of cannabis</w:t>
      </w:r>
      <w:r w:rsidR="004B6A58" w:rsidRPr="006F2C28">
        <w:rPr>
          <w:rFonts w:asciiTheme="minorHAnsi" w:hAnsiTheme="minorHAnsi" w:cstheme="minorHAnsi"/>
        </w:rPr>
        <w:t xml:space="preserve">, </w:t>
      </w:r>
      <w:r w:rsidR="007352CA" w:rsidRPr="006F2C28">
        <w:rPr>
          <w:rFonts w:asciiTheme="minorHAnsi" w:hAnsiTheme="minorHAnsi" w:cstheme="minorHAnsi"/>
        </w:rPr>
        <w:t xml:space="preserve">especially in an under-regulated </w:t>
      </w:r>
      <w:r w:rsidR="00D40E90" w:rsidRPr="006F2C28">
        <w:rPr>
          <w:rFonts w:asciiTheme="minorHAnsi" w:hAnsiTheme="minorHAnsi" w:cstheme="minorHAnsi"/>
        </w:rPr>
        <w:t>commercially driven health system</w:t>
      </w:r>
      <w:r w:rsidR="004B6A58" w:rsidRPr="006F2C28">
        <w:rPr>
          <w:rFonts w:asciiTheme="minorHAnsi" w:hAnsiTheme="minorHAnsi" w:cstheme="minorHAnsi"/>
        </w:rPr>
        <w:t>,</w:t>
      </w:r>
      <w:r w:rsidR="008B7AD2" w:rsidRPr="006F2C28">
        <w:rPr>
          <w:rFonts w:asciiTheme="minorHAnsi" w:hAnsiTheme="minorHAnsi" w:cstheme="minorHAnsi"/>
        </w:rPr>
        <w:t xml:space="preserve"> was the thin edge of the wedge to </w:t>
      </w:r>
      <w:r w:rsidR="00D34725" w:rsidRPr="006F2C28">
        <w:rPr>
          <w:rFonts w:asciiTheme="minorHAnsi" w:hAnsiTheme="minorHAnsi" w:cstheme="minorHAnsi"/>
        </w:rPr>
        <w:t>promoting “de-criminali</w:t>
      </w:r>
      <w:r w:rsidR="00F12D5B">
        <w:rPr>
          <w:rFonts w:asciiTheme="minorHAnsi" w:hAnsiTheme="minorHAnsi" w:cstheme="minorHAnsi"/>
        </w:rPr>
        <w:t>z</w:t>
      </w:r>
      <w:r w:rsidR="00D34725" w:rsidRPr="006F2C28">
        <w:rPr>
          <w:rFonts w:asciiTheme="minorHAnsi" w:hAnsiTheme="minorHAnsi" w:cstheme="minorHAnsi"/>
        </w:rPr>
        <w:t xml:space="preserve">ation” and </w:t>
      </w:r>
      <w:r w:rsidR="00581CB4" w:rsidRPr="006F2C28">
        <w:rPr>
          <w:rFonts w:asciiTheme="minorHAnsi" w:hAnsiTheme="minorHAnsi" w:cstheme="minorHAnsi"/>
        </w:rPr>
        <w:t>full legali</w:t>
      </w:r>
      <w:r w:rsidR="00F12D5B">
        <w:rPr>
          <w:rFonts w:asciiTheme="minorHAnsi" w:hAnsiTheme="minorHAnsi" w:cstheme="minorHAnsi"/>
        </w:rPr>
        <w:t>z</w:t>
      </w:r>
      <w:r w:rsidR="00581CB4" w:rsidRPr="006F2C28">
        <w:rPr>
          <w:rFonts w:asciiTheme="minorHAnsi" w:hAnsiTheme="minorHAnsi" w:cstheme="minorHAnsi"/>
        </w:rPr>
        <w:t>ation</w:t>
      </w:r>
      <w:r w:rsidR="00262645" w:rsidRPr="006F2C28">
        <w:rPr>
          <w:rFonts w:asciiTheme="minorHAnsi" w:hAnsiTheme="minorHAnsi" w:cstheme="minorHAnsi"/>
        </w:rPr>
        <w:t>.</w:t>
      </w:r>
      <w:r w:rsidR="00F12D5B">
        <w:rPr>
          <w:rFonts w:asciiTheme="minorHAnsi" w:hAnsiTheme="minorHAnsi" w:cstheme="minorHAnsi"/>
        </w:rPr>
        <w:t xml:space="preserve"> This was</w:t>
      </w:r>
      <w:r w:rsidR="00262645" w:rsidRPr="006F2C28">
        <w:rPr>
          <w:rFonts w:asciiTheme="minorHAnsi" w:hAnsiTheme="minorHAnsi" w:cstheme="minorHAnsi"/>
        </w:rPr>
        <w:t xml:space="preserve"> </w:t>
      </w:r>
      <w:r w:rsidR="00F12D5B">
        <w:rPr>
          <w:rFonts w:asciiTheme="minorHAnsi" w:hAnsiTheme="minorHAnsi" w:cstheme="minorHAnsi"/>
        </w:rPr>
        <w:t>i</w:t>
      </w:r>
      <w:r w:rsidR="0042175B" w:rsidRPr="006F2C28">
        <w:rPr>
          <w:rFonts w:asciiTheme="minorHAnsi" w:hAnsiTheme="minorHAnsi" w:cstheme="minorHAnsi"/>
        </w:rPr>
        <w:t xml:space="preserve">llustrated in some </w:t>
      </w:r>
      <w:r w:rsidR="00822CC0" w:rsidRPr="006F2C28">
        <w:rPr>
          <w:rFonts w:asciiTheme="minorHAnsi" w:hAnsiTheme="minorHAnsi" w:cstheme="minorHAnsi"/>
        </w:rPr>
        <w:t xml:space="preserve">US </w:t>
      </w:r>
      <w:r w:rsidR="0042175B" w:rsidRPr="006F2C28">
        <w:rPr>
          <w:rFonts w:asciiTheme="minorHAnsi" w:hAnsiTheme="minorHAnsi" w:cstheme="minorHAnsi"/>
        </w:rPr>
        <w:t>states</w:t>
      </w:r>
      <w:r w:rsidR="004B6A58" w:rsidRPr="006F2C28">
        <w:rPr>
          <w:rFonts w:asciiTheme="minorHAnsi" w:hAnsiTheme="minorHAnsi" w:cstheme="minorHAnsi"/>
        </w:rPr>
        <w:t xml:space="preserve"> – prior</w:t>
      </w:r>
      <w:r w:rsidR="006F2C28">
        <w:rPr>
          <w:rFonts w:asciiTheme="minorHAnsi" w:hAnsiTheme="minorHAnsi" w:cstheme="minorHAnsi"/>
        </w:rPr>
        <w:t xml:space="preserve"> </w:t>
      </w:r>
      <w:r w:rsidR="004B6A58" w:rsidRPr="006F2C28">
        <w:rPr>
          <w:rFonts w:asciiTheme="minorHAnsi" w:hAnsiTheme="minorHAnsi" w:cstheme="minorHAnsi"/>
        </w:rPr>
        <w:t>to legali</w:t>
      </w:r>
      <w:r w:rsidR="00F12D5B">
        <w:rPr>
          <w:rFonts w:asciiTheme="minorHAnsi" w:hAnsiTheme="minorHAnsi" w:cstheme="minorHAnsi"/>
        </w:rPr>
        <w:t>z</w:t>
      </w:r>
      <w:r w:rsidR="004B6A58" w:rsidRPr="006F2C28">
        <w:rPr>
          <w:rFonts w:asciiTheme="minorHAnsi" w:hAnsiTheme="minorHAnsi" w:cstheme="minorHAnsi"/>
        </w:rPr>
        <w:t xml:space="preserve">ation </w:t>
      </w:r>
      <w:r w:rsidR="006F2C28">
        <w:rPr>
          <w:rFonts w:asciiTheme="minorHAnsi" w:hAnsiTheme="minorHAnsi" w:cstheme="minorHAnsi"/>
        </w:rPr>
        <w:t>–</w:t>
      </w:r>
      <w:r w:rsidR="0042175B" w:rsidRPr="006F2C28">
        <w:rPr>
          <w:rFonts w:asciiTheme="minorHAnsi" w:hAnsiTheme="minorHAnsi" w:cstheme="minorHAnsi"/>
        </w:rPr>
        <w:t xml:space="preserve"> by</w:t>
      </w:r>
      <w:r w:rsidR="006F2C28">
        <w:rPr>
          <w:rFonts w:asciiTheme="minorHAnsi" w:hAnsiTheme="minorHAnsi" w:cstheme="minorHAnsi"/>
        </w:rPr>
        <w:t xml:space="preserve"> </w:t>
      </w:r>
      <w:r w:rsidR="0042175B" w:rsidRPr="006F2C28">
        <w:rPr>
          <w:rFonts w:asciiTheme="minorHAnsi" w:hAnsiTheme="minorHAnsi" w:cstheme="minorHAnsi"/>
        </w:rPr>
        <w:t xml:space="preserve">the growth in young people </w:t>
      </w:r>
      <w:r w:rsidR="006F0BB4" w:rsidRPr="006F2C28">
        <w:rPr>
          <w:rFonts w:asciiTheme="minorHAnsi" w:hAnsiTheme="minorHAnsi" w:cstheme="minorHAnsi"/>
        </w:rPr>
        <w:t xml:space="preserve">requiring and obtaining cannabis prescription to manage </w:t>
      </w:r>
      <w:r w:rsidR="0042175B" w:rsidRPr="006F2C28">
        <w:rPr>
          <w:rFonts w:asciiTheme="minorHAnsi" w:hAnsiTheme="minorHAnsi" w:cstheme="minorHAnsi"/>
        </w:rPr>
        <w:t>idiopathic neuropathic complications</w:t>
      </w:r>
      <w:r w:rsidR="00581CB4" w:rsidRPr="006F2C28">
        <w:rPr>
          <w:rFonts w:asciiTheme="minorHAnsi" w:hAnsiTheme="minorHAnsi" w:cstheme="minorHAnsi"/>
        </w:rPr>
        <w:t>.</w:t>
      </w:r>
      <w:r w:rsidR="006F2C28">
        <w:rPr>
          <w:rFonts w:asciiTheme="minorHAnsi" w:hAnsiTheme="minorHAnsi" w:cstheme="minorHAnsi"/>
        </w:rPr>
        <w:t xml:space="preserve"> </w:t>
      </w:r>
    </w:p>
    <w:p w14:paraId="08259ACA" w14:textId="075CA0F3" w:rsidR="007078C5" w:rsidRDefault="00904054" w:rsidP="006F2C28">
      <w:pPr>
        <w:widowControl w:val="0"/>
        <w:spacing w:before="0" w:after="0" w:line="240" w:lineRule="auto"/>
        <w:ind w:firstLine="426"/>
        <w:jc w:val="both"/>
        <w:rPr>
          <w:rFonts w:asciiTheme="minorHAnsi" w:hAnsiTheme="minorHAnsi" w:cstheme="minorHAnsi"/>
        </w:rPr>
      </w:pPr>
      <w:r>
        <w:rPr>
          <w:rFonts w:asciiTheme="minorHAnsi" w:hAnsiTheme="minorHAnsi" w:cstheme="minorHAnsi"/>
        </w:rPr>
        <w:t>Permitting m</w:t>
      </w:r>
      <w:r w:rsidR="00AC0151" w:rsidRPr="006F2C28">
        <w:rPr>
          <w:rFonts w:asciiTheme="minorHAnsi" w:hAnsiTheme="minorHAnsi" w:cstheme="minorHAnsi"/>
        </w:rPr>
        <w:t>edical</w:t>
      </w:r>
      <w:r>
        <w:rPr>
          <w:rFonts w:asciiTheme="minorHAnsi" w:hAnsiTheme="minorHAnsi" w:cstheme="minorHAnsi"/>
        </w:rPr>
        <w:t xml:space="preserve"> use </w:t>
      </w:r>
      <w:r w:rsidR="00AC0151" w:rsidRPr="006F2C28">
        <w:rPr>
          <w:rFonts w:asciiTheme="minorHAnsi" w:hAnsiTheme="minorHAnsi" w:cstheme="minorHAnsi"/>
        </w:rPr>
        <w:t>and legali</w:t>
      </w:r>
      <w:r w:rsidR="00F12D5B">
        <w:rPr>
          <w:rFonts w:asciiTheme="minorHAnsi" w:hAnsiTheme="minorHAnsi" w:cstheme="minorHAnsi"/>
        </w:rPr>
        <w:t>z</w:t>
      </w:r>
      <w:r w:rsidR="00AC0151" w:rsidRPr="006F2C28">
        <w:rPr>
          <w:rFonts w:asciiTheme="minorHAnsi" w:hAnsiTheme="minorHAnsi" w:cstheme="minorHAnsi"/>
        </w:rPr>
        <w:t xml:space="preserve">ation </w:t>
      </w:r>
      <w:r>
        <w:rPr>
          <w:rFonts w:asciiTheme="minorHAnsi" w:hAnsiTheme="minorHAnsi" w:cstheme="minorHAnsi"/>
        </w:rPr>
        <w:t xml:space="preserve">of cannabis </w:t>
      </w:r>
      <w:r w:rsidR="00141367">
        <w:rPr>
          <w:rFonts w:asciiTheme="minorHAnsi" w:hAnsiTheme="minorHAnsi" w:cstheme="minorHAnsi"/>
        </w:rPr>
        <w:t xml:space="preserve">importantly </w:t>
      </w:r>
      <w:r w:rsidR="00AC0151" w:rsidRPr="006F2C28">
        <w:rPr>
          <w:rFonts w:asciiTheme="minorHAnsi" w:hAnsiTheme="minorHAnsi" w:cstheme="minorHAnsi"/>
        </w:rPr>
        <w:t xml:space="preserve">also </w:t>
      </w:r>
      <w:r w:rsidR="00884140">
        <w:rPr>
          <w:rFonts w:asciiTheme="minorHAnsi" w:hAnsiTheme="minorHAnsi" w:cstheme="minorHAnsi"/>
        </w:rPr>
        <w:t>challenge</w:t>
      </w:r>
      <w:r w:rsidR="00141367">
        <w:rPr>
          <w:rFonts w:asciiTheme="minorHAnsi" w:hAnsiTheme="minorHAnsi" w:cstheme="minorHAnsi"/>
        </w:rPr>
        <w:t>s</w:t>
      </w:r>
      <w:r w:rsidR="00884140">
        <w:rPr>
          <w:rFonts w:asciiTheme="minorHAnsi" w:hAnsiTheme="minorHAnsi" w:cstheme="minorHAnsi"/>
        </w:rPr>
        <w:t xml:space="preserve"> </w:t>
      </w:r>
      <w:r w:rsidR="00F1192D">
        <w:rPr>
          <w:rFonts w:asciiTheme="minorHAnsi" w:hAnsiTheme="minorHAnsi" w:cstheme="minorHAnsi"/>
        </w:rPr>
        <w:t xml:space="preserve">the </w:t>
      </w:r>
      <w:r w:rsidR="00502C5B" w:rsidRPr="008706B1">
        <w:rPr>
          <w:rFonts w:asciiTheme="minorHAnsi" w:hAnsiTheme="minorHAnsi" w:cstheme="minorHAnsi"/>
          <w:i/>
        </w:rPr>
        <w:t xml:space="preserve">stance of </w:t>
      </w:r>
      <w:r w:rsidR="00141367">
        <w:rPr>
          <w:rFonts w:asciiTheme="minorHAnsi" w:hAnsiTheme="minorHAnsi" w:cstheme="minorHAnsi"/>
          <w:i/>
        </w:rPr>
        <w:t xml:space="preserve">many </w:t>
      </w:r>
      <w:r w:rsidR="00502C5B" w:rsidRPr="008706B1">
        <w:rPr>
          <w:rFonts w:asciiTheme="minorHAnsi" w:hAnsiTheme="minorHAnsi" w:cstheme="minorHAnsi"/>
          <w:i/>
        </w:rPr>
        <w:t xml:space="preserve">politicians and </w:t>
      </w:r>
      <w:r w:rsidR="00E10D9A" w:rsidRPr="008706B1">
        <w:rPr>
          <w:rFonts w:asciiTheme="minorHAnsi" w:hAnsiTheme="minorHAnsi" w:cstheme="minorHAnsi"/>
          <w:i/>
        </w:rPr>
        <w:t xml:space="preserve">policy makers in other countries </w:t>
      </w:r>
      <w:r w:rsidR="008331EF" w:rsidRPr="008706B1">
        <w:rPr>
          <w:rFonts w:asciiTheme="minorHAnsi" w:hAnsiTheme="minorHAnsi" w:cstheme="minorHAnsi"/>
          <w:i/>
        </w:rPr>
        <w:t xml:space="preserve">– such as the UK </w:t>
      </w:r>
      <w:r w:rsidR="007078C5" w:rsidRPr="008706B1">
        <w:rPr>
          <w:rFonts w:asciiTheme="minorHAnsi" w:hAnsiTheme="minorHAnsi" w:cstheme="minorHAnsi"/>
          <w:i/>
        </w:rPr>
        <w:t>–</w:t>
      </w:r>
      <w:r w:rsidR="004B6A58" w:rsidRPr="008706B1">
        <w:rPr>
          <w:rFonts w:asciiTheme="minorHAnsi" w:hAnsiTheme="minorHAnsi" w:cstheme="minorHAnsi"/>
          <w:i/>
        </w:rPr>
        <w:t xml:space="preserve"> </w:t>
      </w:r>
      <w:r w:rsidR="00154003" w:rsidRPr="008706B1">
        <w:rPr>
          <w:rFonts w:asciiTheme="minorHAnsi" w:hAnsiTheme="minorHAnsi" w:cstheme="minorHAnsi"/>
          <w:i/>
        </w:rPr>
        <w:t xml:space="preserve">for not removing criminal sanction on cannabis possession </w:t>
      </w:r>
      <w:r w:rsidR="00D6446A">
        <w:rPr>
          <w:rFonts w:asciiTheme="minorHAnsi" w:hAnsiTheme="minorHAnsi" w:cstheme="minorHAnsi"/>
          <w:i/>
        </w:rPr>
        <w:t xml:space="preserve">due to a </w:t>
      </w:r>
      <w:r w:rsidR="00A144ED" w:rsidRPr="008706B1">
        <w:rPr>
          <w:rFonts w:asciiTheme="minorHAnsi" w:hAnsiTheme="minorHAnsi" w:cstheme="minorHAnsi"/>
          <w:i/>
        </w:rPr>
        <w:t>“precautionary principle”</w:t>
      </w:r>
      <w:r w:rsidR="004D693C">
        <w:rPr>
          <w:rFonts w:asciiTheme="minorHAnsi" w:hAnsiTheme="minorHAnsi" w:cstheme="minorHAnsi"/>
          <w:i/>
        </w:rPr>
        <w:t xml:space="preserve">.  That is </w:t>
      </w:r>
      <w:r w:rsidR="00EE121B">
        <w:rPr>
          <w:rFonts w:asciiTheme="minorHAnsi" w:hAnsiTheme="minorHAnsi" w:cstheme="minorHAnsi"/>
          <w:i/>
        </w:rPr>
        <w:t xml:space="preserve">– that </w:t>
      </w:r>
      <w:r w:rsidR="00C761DE">
        <w:rPr>
          <w:rFonts w:asciiTheme="minorHAnsi" w:hAnsiTheme="minorHAnsi" w:cstheme="minorHAnsi"/>
          <w:i/>
        </w:rPr>
        <w:t>there remain sufficient reasons and uncertainties over the risks of cannabis to peoples</w:t>
      </w:r>
      <w:r w:rsidR="00A91408">
        <w:rPr>
          <w:rFonts w:asciiTheme="minorHAnsi" w:hAnsiTheme="minorHAnsi" w:cstheme="minorHAnsi"/>
          <w:i/>
        </w:rPr>
        <w:t>’</w:t>
      </w:r>
      <w:r w:rsidR="00C761DE">
        <w:rPr>
          <w:rFonts w:asciiTheme="minorHAnsi" w:hAnsiTheme="minorHAnsi" w:cstheme="minorHAnsi"/>
          <w:i/>
        </w:rPr>
        <w:t xml:space="preserve"> health </w:t>
      </w:r>
      <w:r w:rsidR="00A91408">
        <w:rPr>
          <w:rFonts w:asciiTheme="minorHAnsi" w:hAnsiTheme="minorHAnsi" w:cstheme="minorHAnsi"/>
          <w:i/>
        </w:rPr>
        <w:t xml:space="preserve">– especially in relation to </w:t>
      </w:r>
      <w:r w:rsidR="00C40B9F">
        <w:rPr>
          <w:rFonts w:asciiTheme="minorHAnsi" w:hAnsiTheme="minorHAnsi" w:cstheme="minorHAnsi"/>
          <w:i/>
        </w:rPr>
        <w:t xml:space="preserve">psychosis/schizophrenia </w:t>
      </w:r>
      <w:r w:rsidR="00C90D0F">
        <w:rPr>
          <w:rFonts w:asciiTheme="minorHAnsi" w:hAnsiTheme="minorHAnsi" w:cstheme="minorHAnsi"/>
          <w:i/>
        </w:rPr>
        <w:t xml:space="preserve">– </w:t>
      </w:r>
      <w:r w:rsidR="00C761DE">
        <w:rPr>
          <w:rFonts w:asciiTheme="minorHAnsi" w:hAnsiTheme="minorHAnsi" w:cstheme="minorHAnsi"/>
          <w:i/>
        </w:rPr>
        <w:t>that</w:t>
      </w:r>
      <w:r w:rsidR="00C90D0F">
        <w:rPr>
          <w:rFonts w:asciiTheme="minorHAnsi" w:hAnsiTheme="minorHAnsi" w:cstheme="minorHAnsi"/>
          <w:i/>
        </w:rPr>
        <w:t xml:space="preserve"> </w:t>
      </w:r>
      <w:r w:rsidR="00663108">
        <w:rPr>
          <w:rFonts w:asciiTheme="minorHAnsi" w:hAnsiTheme="minorHAnsi" w:cstheme="minorHAnsi"/>
          <w:i/>
        </w:rPr>
        <w:t xml:space="preserve">cannabis should continue to be </w:t>
      </w:r>
      <w:r w:rsidR="00E77743">
        <w:rPr>
          <w:rFonts w:asciiTheme="minorHAnsi" w:hAnsiTheme="minorHAnsi" w:cstheme="minorHAnsi"/>
          <w:i/>
        </w:rPr>
        <w:t xml:space="preserve">controlled as a harmful illegal substance. </w:t>
      </w:r>
      <w:r w:rsidR="004541A0">
        <w:rPr>
          <w:rFonts w:asciiTheme="minorHAnsi" w:hAnsiTheme="minorHAnsi" w:cstheme="minorHAnsi"/>
          <w:i/>
        </w:rPr>
        <w:t xml:space="preserve">With </w:t>
      </w:r>
      <w:r w:rsidR="00E8187A">
        <w:rPr>
          <w:rFonts w:asciiTheme="minorHAnsi" w:hAnsiTheme="minorHAnsi" w:cstheme="minorHAnsi"/>
          <w:i/>
        </w:rPr>
        <w:t xml:space="preserve">legalization </w:t>
      </w:r>
      <w:r w:rsidR="00E8187A">
        <w:rPr>
          <w:rFonts w:asciiTheme="minorHAnsi" w:hAnsiTheme="minorHAnsi" w:cstheme="minorHAnsi"/>
        </w:rPr>
        <w:t>v c</w:t>
      </w:r>
      <w:r w:rsidR="003A3BA0" w:rsidRPr="006F2C28">
        <w:rPr>
          <w:rFonts w:asciiTheme="minorHAnsi" w:hAnsiTheme="minorHAnsi" w:cstheme="minorHAnsi"/>
        </w:rPr>
        <w:t>annabis has</w:t>
      </w:r>
      <w:r w:rsidR="007078C5">
        <w:rPr>
          <w:rFonts w:asciiTheme="minorHAnsi" w:hAnsiTheme="minorHAnsi" w:cstheme="minorHAnsi"/>
        </w:rPr>
        <w:t xml:space="preserve"> </w:t>
      </w:r>
      <w:r w:rsidR="003A3BA0" w:rsidRPr="006F2C28">
        <w:rPr>
          <w:rFonts w:asciiTheme="minorHAnsi" w:hAnsiTheme="minorHAnsi" w:cstheme="minorHAnsi"/>
        </w:rPr>
        <w:t>n</w:t>
      </w:r>
      <w:r w:rsidR="007078C5">
        <w:rPr>
          <w:rFonts w:asciiTheme="minorHAnsi" w:hAnsiTheme="minorHAnsi" w:cstheme="minorHAnsi"/>
        </w:rPr>
        <w:t>o</w:t>
      </w:r>
      <w:r w:rsidR="003A3BA0" w:rsidRPr="006F2C28">
        <w:rPr>
          <w:rFonts w:asciiTheme="minorHAnsi" w:hAnsiTheme="minorHAnsi" w:cstheme="minorHAnsi"/>
        </w:rPr>
        <w:t xml:space="preserve">t become risk free </w:t>
      </w:r>
      <w:r w:rsidR="00682D07" w:rsidRPr="006F2C28">
        <w:rPr>
          <w:rFonts w:asciiTheme="minorHAnsi" w:hAnsiTheme="minorHAnsi" w:cstheme="minorHAnsi"/>
        </w:rPr>
        <w:t>as Hall and Lynskey</w:t>
      </w:r>
      <w:r w:rsidR="00411B67" w:rsidRPr="006F2C28">
        <w:rPr>
          <w:rFonts w:asciiTheme="minorHAnsi" w:hAnsiTheme="minorHAnsi" w:cstheme="minorHAnsi"/>
        </w:rPr>
        <w:t xml:space="preserve"> </w:t>
      </w:r>
      <w:r w:rsidR="00604460">
        <w:rPr>
          <w:rFonts w:asciiTheme="minorHAnsi" w:hAnsiTheme="minorHAnsi" w:cstheme="minorHAnsi"/>
        </w:rPr>
        <w:t>argue</w:t>
      </w:r>
      <w:r w:rsidR="00E8187A">
        <w:rPr>
          <w:rFonts w:asciiTheme="minorHAnsi" w:hAnsiTheme="minorHAnsi" w:cstheme="minorHAnsi"/>
        </w:rPr>
        <w:t xml:space="preserve"> – but the </w:t>
      </w:r>
      <w:r w:rsidR="00E60370">
        <w:rPr>
          <w:rFonts w:asciiTheme="minorHAnsi" w:hAnsiTheme="minorHAnsi" w:cstheme="minorHAnsi"/>
        </w:rPr>
        <w:t xml:space="preserve">experiment of using legal sanction to control use </w:t>
      </w:r>
      <w:r w:rsidR="00636F3B">
        <w:rPr>
          <w:rFonts w:asciiTheme="minorHAnsi" w:hAnsiTheme="minorHAnsi" w:cstheme="minorHAnsi"/>
        </w:rPr>
        <w:t>and prevent harm is no longer</w:t>
      </w:r>
      <w:r w:rsidR="003C73AF">
        <w:rPr>
          <w:rFonts w:asciiTheme="minorHAnsi" w:hAnsiTheme="minorHAnsi" w:cstheme="minorHAnsi"/>
        </w:rPr>
        <w:t xml:space="preserve"> </w:t>
      </w:r>
      <w:r w:rsidR="00B506A1">
        <w:rPr>
          <w:rFonts w:asciiTheme="minorHAnsi" w:hAnsiTheme="minorHAnsi" w:cstheme="minorHAnsi"/>
        </w:rPr>
        <w:t>out of the question</w:t>
      </w:r>
      <w:r w:rsidR="00411B67" w:rsidRPr="006F2C28">
        <w:rPr>
          <w:rFonts w:asciiTheme="minorHAnsi" w:hAnsiTheme="minorHAnsi" w:cstheme="minorHAnsi"/>
        </w:rPr>
        <w:t>.</w:t>
      </w:r>
      <w:r w:rsidR="006F2C28">
        <w:rPr>
          <w:rFonts w:asciiTheme="minorHAnsi" w:hAnsiTheme="minorHAnsi" w:cstheme="minorHAnsi"/>
        </w:rPr>
        <w:t xml:space="preserve"> </w:t>
      </w:r>
    </w:p>
    <w:p w14:paraId="5B2C02EB" w14:textId="517657C8" w:rsidR="00241148" w:rsidRPr="006F2C28" w:rsidRDefault="00C075B2" w:rsidP="006F2C28">
      <w:pPr>
        <w:widowControl w:val="0"/>
        <w:spacing w:before="0" w:after="0" w:line="240" w:lineRule="auto"/>
        <w:ind w:firstLine="426"/>
        <w:jc w:val="both"/>
        <w:rPr>
          <w:rFonts w:asciiTheme="minorHAnsi" w:hAnsiTheme="minorHAnsi" w:cstheme="minorHAnsi"/>
        </w:rPr>
      </w:pPr>
      <w:r w:rsidRPr="006F2C28">
        <w:rPr>
          <w:rFonts w:asciiTheme="minorHAnsi" w:hAnsiTheme="minorHAnsi" w:cstheme="minorHAnsi"/>
        </w:rPr>
        <w:t xml:space="preserve">Cannabis exposure is associated with </w:t>
      </w:r>
      <w:r w:rsidR="007571F4" w:rsidRPr="006F2C28">
        <w:rPr>
          <w:rFonts w:asciiTheme="minorHAnsi" w:hAnsiTheme="minorHAnsi" w:cstheme="minorHAnsi"/>
        </w:rPr>
        <w:t>poor school performance</w:t>
      </w:r>
      <w:r w:rsidR="0011360F" w:rsidRPr="006F2C28">
        <w:rPr>
          <w:rFonts w:asciiTheme="minorHAnsi" w:hAnsiTheme="minorHAnsi" w:cstheme="minorHAnsi"/>
        </w:rPr>
        <w:t xml:space="preserve"> (underemphasi</w:t>
      </w:r>
      <w:r w:rsidR="007078C5">
        <w:rPr>
          <w:rFonts w:asciiTheme="minorHAnsi" w:hAnsiTheme="minorHAnsi" w:cstheme="minorHAnsi"/>
        </w:rPr>
        <w:t>z</w:t>
      </w:r>
      <w:r w:rsidR="0011360F" w:rsidRPr="006F2C28">
        <w:rPr>
          <w:rFonts w:asciiTheme="minorHAnsi" w:hAnsiTheme="minorHAnsi" w:cstheme="minorHAnsi"/>
        </w:rPr>
        <w:t xml:space="preserve">ed in </w:t>
      </w:r>
      <w:r w:rsidR="009666FE" w:rsidRPr="006F2C28">
        <w:rPr>
          <w:rFonts w:asciiTheme="minorHAnsi" w:hAnsiTheme="minorHAnsi" w:cstheme="minorHAnsi"/>
        </w:rPr>
        <w:t>Hall and Lynskey’s review)</w:t>
      </w:r>
      <w:r w:rsidR="007078C5">
        <w:rPr>
          <w:rFonts w:asciiTheme="minorHAnsi" w:hAnsiTheme="minorHAnsi" w:cstheme="minorHAnsi"/>
          <w:vertAlign w:val="superscript"/>
        </w:rPr>
        <w:t>,4</w:t>
      </w:r>
      <w:r w:rsidR="007571F4" w:rsidRPr="006F2C28">
        <w:rPr>
          <w:rFonts w:asciiTheme="minorHAnsi" w:hAnsiTheme="minorHAnsi" w:cstheme="minorHAnsi"/>
        </w:rPr>
        <w:t xml:space="preserve">, </w:t>
      </w:r>
      <w:r w:rsidR="00451300" w:rsidRPr="006F2C28">
        <w:rPr>
          <w:rFonts w:asciiTheme="minorHAnsi" w:hAnsiTheme="minorHAnsi" w:cstheme="minorHAnsi"/>
        </w:rPr>
        <w:t xml:space="preserve">drug dependence, </w:t>
      </w:r>
      <w:r w:rsidR="009666FE" w:rsidRPr="006F2C28">
        <w:rPr>
          <w:rFonts w:asciiTheme="minorHAnsi" w:hAnsiTheme="minorHAnsi" w:cstheme="minorHAnsi"/>
        </w:rPr>
        <w:t>mental health and physical morbidity</w:t>
      </w:r>
      <w:r w:rsidR="00EB383A" w:rsidRPr="006F2C28">
        <w:rPr>
          <w:rFonts w:asciiTheme="minorHAnsi" w:hAnsiTheme="minorHAnsi" w:cstheme="minorHAnsi"/>
        </w:rPr>
        <w:t xml:space="preserve">. </w:t>
      </w:r>
      <w:r w:rsidR="00B07B54" w:rsidRPr="008706B1">
        <w:rPr>
          <w:rFonts w:asciiTheme="minorHAnsi" w:hAnsiTheme="minorHAnsi" w:cstheme="minorHAnsi"/>
          <w:i/>
        </w:rPr>
        <w:t xml:space="preserve">There is little </w:t>
      </w:r>
      <w:r w:rsidR="00E136A7">
        <w:rPr>
          <w:rFonts w:asciiTheme="minorHAnsi" w:hAnsiTheme="minorHAnsi" w:cstheme="minorHAnsi"/>
          <w:i/>
        </w:rPr>
        <w:t xml:space="preserve">trial or observational </w:t>
      </w:r>
      <w:r w:rsidR="00B07B54" w:rsidRPr="008706B1">
        <w:rPr>
          <w:rFonts w:asciiTheme="minorHAnsi" w:hAnsiTheme="minorHAnsi" w:cstheme="minorHAnsi"/>
          <w:i/>
        </w:rPr>
        <w:t>evidence that c</w:t>
      </w:r>
      <w:r w:rsidR="006000B3" w:rsidRPr="008706B1">
        <w:rPr>
          <w:rFonts w:asciiTheme="minorHAnsi" w:hAnsiTheme="minorHAnsi" w:cstheme="minorHAnsi"/>
          <w:i/>
        </w:rPr>
        <w:t xml:space="preserve">riminal sanction </w:t>
      </w:r>
      <w:r w:rsidR="00B07B54" w:rsidRPr="008706B1">
        <w:rPr>
          <w:rFonts w:asciiTheme="minorHAnsi" w:hAnsiTheme="minorHAnsi" w:cstheme="minorHAnsi"/>
          <w:i/>
        </w:rPr>
        <w:t>prevented cannabis use</w:t>
      </w:r>
      <w:r w:rsidR="0039206C">
        <w:rPr>
          <w:rFonts w:asciiTheme="minorHAnsi" w:hAnsiTheme="minorHAnsi" w:cstheme="minorHAnsi"/>
          <w:i/>
        </w:rPr>
        <w:t xml:space="preserve"> in the population</w:t>
      </w:r>
      <w:r w:rsidR="007078C5" w:rsidRPr="008706B1">
        <w:rPr>
          <w:rFonts w:asciiTheme="minorHAnsi" w:hAnsiTheme="minorHAnsi" w:cstheme="minorHAnsi"/>
          <w:i/>
        </w:rPr>
        <w:t>,</w:t>
      </w:r>
      <w:r w:rsidR="00B07B54" w:rsidRPr="008706B1">
        <w:rPr>
          <w:rFonts w:asciiTheme="minorHAnsi" w:hAnsiTheme="minorHAnsi" w:cstheme="minorHAnsi"/>
          <w:i/>
        </w:rPr>
        <w:t xml:space="preserve"> </w:t>
      </w:r>
      <w:r w:rsidR="0077540C" w:rsidRPr="008706B1">
        <w:rPr>
          <w:rFonts w:asciiTheme="minorHAnsi" w:hAnsiTheme="minorHAnsi" w:cstheme="minorHAnsi"/>
          <w:i/>
        </w:rPr>
        <w:t>and</w:t>
      </w:r>
      <w:r w:rsidR="007078C5" w:rsidRPr="008706B1">
        <w:rPr>
          <w:rFonts w:asciiTheme="minorHAnsi" w:hAnsiTheme="minorHAnsi" w:cstheme="minorHAnsi"/>
          <w:i/>
        </w:rPr>
        <w:t xml:space="preserve"> </w:t>
      </w:r>
      <w:r w:rsidR="0077540C" w:rsidRPr="008706B1">
        <w:rPr>
          <w:rFonts w:asciiTheme="minorHAnsi" w:hAnsiTheme="minorHAnsi" w:cstheme="minorHAnsi"/>
          <w:i/>
        </w:rPr>
        <w:t xml:space="preserve">for a significant minority of people – often the most vulnerable in society </w:t>
      </w:r>
      <w:r w:rsidR="00474442" w:rsidRPr="008706B1">
        <w:rPr>
          <w:rFonts w:asciiTheme="minorHAnsi" w:hAnsiTheme="minorHAnsi" w:cstheme="minorHAnsi"/>
          <w:i/>
        </w:rPr>
        <w:t>–</w:t>
      </w:r>
      <w:r w:rsidR="00D34F3E" w:rsidRPr="008706B1">
        <w:rPr>
          <w:rFonts w:asciiTheme="minorHAnsi" w:hAnsiTheme="minorHAnsi" w:cstheme="minorHAnsi"/>
          <w:i/>
        </w:rPr>
        <w:t xml:space="preserve"> </w:t>
      </w:r>
      <w:r w:rsidR="00470F76">
        <w:rPr>
          <w:rFonts w:asciiTheme="minorHAnsi" w:hAnsiTheme="minorHAnsi" w:cstheme="minorHAnsi"/>
          <w:i/>
        </w:rPr>
        <w:t xml:space="preserve">being penalised </w:t>
      </w:r>
      <w:r w:rsidR="000D21D1">
        <w:rPr>
          <w:rFonts w:asciiTheme="minorHAnsi" w:hAnsiTheme="minorHAnsi" w:cstheme="minorHAnsi"/>
          <w:i/>
        </w:rPr>
        <w:t xml:space="preserve">through </w:t>
      </w:r>
      <w:r w:rsidR="00474442" w:rsidRPr="008706B1">
        <w:rPr>
          <w:rFonts w:asciiTheme="minorHAnsi" w:hAnsiTheme="minorHAnsi" w:cstheme="minorHAnsi"/>
          <w:i/>
        </w:rPr>
        <w:t>drug law offences</w:t>
      </w:r>
      <w:r w:rsidR="00C711DF" w:rsidRPr="008706B1">
        <w:rPr>
          <w:rFonts w:asciiTheme="minorHAnsi" w:hAnsiTheme="minorHAnsi" w:cstheme="minorHAnsi"/>
          <w:i/>
        </w:rPr>
        <w:t xml:space="preserve"> </w:t>
      </w:r>
      <w:r w:rsidR="000D21D1">
        <w:rPr>
          <w:rFonts w:asciiTheme="minorHAnsi" w:hAnsiTheme="minorHAnsi" w:cstheme="minorHAnsi"/>
          <w:i/>
        </w:rPr>
        <w:t xml:space="preserve">decreases future </w:t>
      </w:r>
      <w:r w:rsidR="008B1A9F">
        <w:rPr>
          <w:rFonts w:asciiTheme="minorHAnsi" w:hAnsiTheme="minorHAnsi" w:cstheme="minorHAnsi"/>
          <w:i/>
        </w:rPr>
        <w:t xml:space="preserve">employment opportunities and may </w:t>
      </w:r>
      <w:r w:rsidR="00C711DF" w:rsidRPr="008706B1">
        <w:rPr>
          <w:rFonts w:asciiTheme="minorHAnsi" w:hAnsiTheme="minorHAnsi" w:cstheme="minorHAnsi"/>
          <w:i/>
        </w:rPr>
        <w:t>increase social and health inequalities.</w:t>
      </w:r>
      <w:r w:rsidR="000D1094">
        <w:rPr>
          <w:rFonts w:asciiTheme="minorHAnsi" w:hAnsiTheme="minorHAnsi" w:cstheme="minorHAnsi"/>
        </w:rPr>
        <w:t xml:space="preserve"> However,</w:t>
      </w:r>
      <w:r w:rsidR="006F2C28">
        <w:rPr>
          <w:rFonts w:asciiTheme="minorHAnsi" w:hAnsiTheme="minorHAnsi" w:cstheme="minorHAnsi"/>
        </w:rPr>
        <w:t xml:space="preserve"> </w:t>
      </w:r>
      <w:r w:rsidR="000D1094">
        <w:rPr>
          <w:rFonts w:asciiTheme="minorHAnsi" w:hAnsiTheme="minorHAnsi" w:cstheme="minorHAnsi"/>
        </w:rPr>
        <w:t>w</w:t>
      </w:r>
      <w:r w:rsidR="00D413E6" w:rsidRPr="006F2C28">
        <w:rPr>
          <w:rFonts w:asciiTheme="minorHAnsi" w:hAnsiTheme="minorHAnsi" w:cstheme="minorHAnsi"/>
        </w:rPr>
        <w:t xml:space="preserve">e now have an opportunity to assess </w:t>
      </w:r>
      <w:r w:rsidR="00251E22" w:rsidRPr="006F2C28">
        <w:rPr>
          <w:rFonts w:asciiTheme="minorHAnsi" w:hAnsiTheme="minorHAnsi" w:cstheme="minorHAnsi"/>
        </w:rPr>
        <w:t>properly what strategies are more likely to reduce cannabis related harm.</w:t>
      </w:r>
      <w:r w:rsidR="003C1D82">
        <w:rPr>
          <w:rFonts w:asciiTheme="minorHAnsi" w:hAnsiTheme="minorHAnsi" w:cstheme="minorHAnsi"/>
        </w:rPr>
        <w:t xml:space="preserve"> Here w</w:t>
      </w:r>
      <w:r w:rsidR="00251E22" w:rsidRPr="006F2C28">
        <w:rPr>
          <w:rFonts w:asciiTheme="minorHAnsi" w:hAnsiTheme="minorHAnsi" w:cstheme="minorHAnsi"/>
        </w:rPr>
        <w:t xml:space="preserve">e focus on two areas – potency and </w:t>
      </w:r>
      <w:r w:rsidR="00734E42" w:rsidRPr="006F2C28">
        <w:rPr>
          <w:rFonts w:asciiTheme="minorHAnsi" w:hAnsiTheme="minorHAnsi" w:cstheme="minorHAnsi"/>
        </w:rPr>
        <w:t>natural experiments.</w:t>
      </w:r>
    </w:p>
    <w:p w14:paraId="4485EB86" w14:textId="5477C0CA" w:rsidR="007078C5" w:rsidRDefault="005D6B4F" w:rsidP="006F2C28">
      <w:pPr>
        <w:widowControl w:val="0"/>
        <w:spacing w:before="0" w:after="0" w:line="240" w:lineRule="auto"/>
        <w:ind w:firstLine="426"/>
        <w:jc w:val="both"/>
        <w:rPr>
          <w:rFonts w:asciiTheme="minorHAnsi" w:hAnsiTheme="minorHAnsi" w:cstheme="minorHAnsi"/>
        </w:rPr>
      </w:pPr>
      <w:r w:rsidRPr="006F2C28">
        <w:rPr>
          <w:rFonts w:asciiTheme="minorHAnsi" w:hAnsiTheme="minorHAnsi" w:cstheme="minorHAnsi"/>
        </w:rPr>
        <w:t>There is evidence</w:t>
      </w:r>
      <w:r w:rsidR="003C1D82">
        <w:rPr>
          <w:rFonts w:asciiTheme="minorHAnsi" w:hAnsiTheme="minorHAnsi" w:cstheme="minorHAnsi"/>
        </w:rPr>
        <w:t xml:space="preserve"> that</w:t>
      </w:r>
      <w:r w:rsidRPr="006F2C28">
        <w:rPr>
          <w:rFonts w:asciiTheme="minorHAnsi" w:hAnsiTheme="minorHAnsi" w:cstheme="minorHAnsi"/>
        </w:rPr>
        <w:t xml:space="preserve"> use of higher potency cannabis is associated with higher risks for mental health outcomes and dependence</w:t>
      </w:r>
      <w:r w:rsidR="007078C5">
        <w:rPr>
          <w:rFonts w:asciiTheme="minorHAnsi" w:hAnsiTheme="minorHAnsi" w:cstheme="minorHAnsi"/>
          <w:vertAlign w:val="superscript"/>
        </w:rPr>
        <w:t>5</w:t>
      </w:r>
      <w:r w:rsidRPr="006F2C28">
        <w:rPr>
          <w:rFonts w:asciiTheme="minorHAnsi" w:hAnsiTheme="minorHAnsi" w:cstheme="minorHAnsi"/>
        </w:rPr>
        <w:t>. The observed increase in</w:t>
      </w:r>
      <w:r w:rsidR="003C1D82">
        <w:rPr>
          <w:rFonts w:asciiTheme="minorHAnsi" w:hAnsiTheme="minorHAnsi" w:cstheme="minorHAnsi"/>
        </w:rPr>
        <w:t xml:space="preserve"> tetra</w:t>
      </w:r>
      <w:r w:rsidR="007078C5">
        <w:rPr>
          <w:rFonts w:asciiTheme="minorHAnsi" w:hAnsiTheme="minorHAnsi" w:cstheme="minorHAnsi"/>
        </w:rPr>
        <w:t>hydrocannabinol</w:t>
      </w:r>
      <w:r w:rsidRPr="006F2C28">
        <w:rPr>
          <w:rFonts w:asciiTheme="minorHAnsi" w:hAnsiTheme="minorHAnsi" w:cstheme="minorHAnsi"/>
        </w:rPr>
        <w:t xml:space="preserve"> content in legali</w:t>
      </w:r>
      <w:r w:rsidR="007078C5">
        <w:rPr>
          <w:rFonts w:asciiTheme="minorHAnsi" w:hAnsiTheme="minorHAnsi" w:cstheme="minorHAnsi"/>
        </w:rPr>
        <w:t>z</w:t>
      </w:r>
      <w:r w:rsidRPr="006F2C28">
        <w:rPr>
          <w:rFonts w:asciiTheme="minorHAnsi" w:hAnsiTheme="minorHAnsi" w:cstheme="minorHAnsi"/>
        </w:rPr>
        <w:t>ed states is of concern</w:t>
      </w:r>
      <w:r w:rsidR="00C355CD" w:rsidRPr="006F2C28">
        <w:rPr>
          <w:rFonts w:asciiTheme="minorHAnsi" w:hAnsiTheme="minorHAnsi" w:cstheme="minorHAnsi"/>
        </w:rPr>
        <w:t>,</w:t>
      </w:r>
      <w:r w:rsidRPr="006F2C28">
        <w:rPr>
          <w:rFonts w:asciiTheme="minorHAnsi" w:hAnsiTheme="minorHAnsi" w:cstheme="minorHAnsi"/>
        </w:rPr>
        <w:t xml:space="preserve"> but legali</w:t>
      </w:r>
      <w:r w:rsidR="007078C5">
        <w:rPr>
          <w:rFonts w:asciiTheme="minorHAnsi" w:hAnsiTheme="minorHAnsi" w:cstheme="minorHAnsi"/>
        </w:rPr>
        <w:t>z</w:t>
      </w:r>
      <w:r w:rsidRPr="006F2C28">
        <w:rPr>
          <w:rFonts w:asciiTheme="minorHAnsi" w:hAnsiTheme="minorHAnsi" w:cstheme="minorHAnsi"/>
        </w:rPr>
        <w:t>ation does provide consumers with access to accurate information about the potency of the product the</w:t>
      </w:r>
      <w:r w:rsidR="00BA79CE" w:rsidRPr="006F2C28">
        <w:rPr>
          <w:rFonts w:asciiTheme="minorHAnsi" w:hAnsiTheme="minorHAnsi" w:cstheme="minorHAnsi"/>
        </w:rPr>
        <w:t>y are</w:t>
      </w:r>
      <w:r w:rsidRPr="006F2C28">
        <w:rPr>
          <w:rFonts w:asciiTheme="minorHAnsi" w:hAnsiTheme="minorHAnsi" w:cstheme="minorHAnsi"/>
        </w:rPr>
        <w:t xml:space="preserve"> using. The resultant increase in accuracy in assessments of cannabis potency in legal markets will be vital for improving our understanding of the relationship between cannabis potency and mental health.</w:t>
      </w:r>
      <w:r w:rsidR="006F2C28">
        <w:rPr>
          <w:rFonts w:asciiTheme="minorHAnsi" w:hAnsiTheme="minorHAnsi" w:cstheme="minorHAnsi"/>
        </w:rPr>
        <w:t xml:space="preserve"> </w:t>
      </w:r>
    </w:p>
    <w:p w14:paraId="6D75AAD9" w14:textId="15078FE5" w:rsidR="005D6B4F" w:rsidRPr="006F2C28" w:rsidRDefault="005D6B4F" w:rsidP="006F2C28">
      <w:pPr>
        <w:widowControl w:val="0"/>
        <w:spacing w:before="0" w:after="0" w:line="240" w:lineRule="auto"/>
        <w:ind w:firstLine="426"/>
        <w:jc w:val="both"/>
        <w:rPr>
          <w:rFonts w:asciiTheme="minorHAnsi" w:hAnsiTheme="minorHAnsi" w:cstheme="minorHAnsi"/>
        </w:rPr>
      </w:pPr>
      <w:r w:rsidRPr="006F2C28">
        <w:rPr>
          <w:rFonts w:asciiTheme="minorHAnsi" w:eastAsia="Times New Roman" w:hAnsiTheme="minorHAnsi" w:cstheme="minorHAnsi"/>
          <w:iCs/>
          <w:lang w:eastAsia="en-AU"/>
        </w:rPr>
        <w:t>One effect of the legali</w:t>
      </w:r>
      <w:r w:rsidR="007078C5">
        <w:rPr>
          <w:rFonts w:asciiTheme="minorHAnsi" w:eastAsia="Times New Roman" w:hAnsiTheme="minorHAnsi" w:cstheme="minorHAnsi"/>
          <w:iCs/>
          <w:lang w:eastAsia="en-AU"/>
        </w:rPr>
        <w:t>z</w:t>
      </w:r>
      <w:r w:rsidRPr="006F2C28">
        <w:rPr>
          <w:rFonts w:asciiTheme="minorHAnsi" w:eastAsia="Times New Roman" w:hAnsiTheme="minorHAnsi" w:cstheme="minorHAnsi"/>
          <w:iCs/>
          <w:lang w:eastAsia="en-AU"/>
        </w:rPr>
        <w:t xml:space="preserve">ation of cannabis in the US is the proliferation of different products, such as </w:t>
      </w:r>
      <w:r w:rsidRPr="006F2C28">
        <w:rPr>
          <w:rFonts w:asciiTheme="minorHAnsi" w:eastAsia="Times New Roman" w:hAnsiTheme="minorHAnsi" w:cstheme="minorHAnsi"/>
          <w:kern w:val="24"/>
          <w:lang w:eastAsia="en-AU"/>
        </w:rPr>
        <w:t xml:space="preserve">edible cannabis (e.g., gummy bears, candy and chocolates) </w:t>
      </w:r>
      <w:r w:rsidRPr="006F2C28">
        <w:rPr>
          <w:rFonts w:asciiTheme="minorHAnsi" w:eastAsia="Times New Roman" w:hAnsiTheme="minorHAnsi" w:cstheme="minorHAnsi"/>
          <w:iCs/>
          <w:lang w:eastAsia="en-AU"/>
        </w:rPr>
        <w:t xml:space="preserve">and </w:t>
      </w:r>
      <w:r w:rsidRPr="006F2C28">
        <w:rPr>
          <w:rFonts w:asciiTheme="minorHAnsi" w:eastAsia="Times New Roman" w:hAnsiTheme="minorHAnsi" w:cstheme="minorHAnsi"/>
          <w:kern w:val="24"/>
          <w:lang w:eastAsia="en-AU"/>
        </w:rPr>
        <w:t>high-potency cannabis extracts (wax, shatter)</w:t>
      </w:r>
      <w:r w:rsidRPr="006F2C28">
        <w:rPr>
          <w:rFonts w:asciiTheme="minorHAnsi" w:eastAsia="Times New Roman" w:hAnsiTheme="minorHAnsi" w:cstheme="minorHAnsi"/>
          <w:iCs/>
          <w:lang w:eastAsia="en-AU"/>
        </w:rPr>
        <w:t xml:space="preserve">. Such products allow cannabis consumption without the need for combustion. </w:t>
      </w:r>
      <w:r w:rsidR="00604460">
        <w:rPr>
          <w:rFonts w:asciiTheme="minorHAnsi" w:eastAsia="Times New Roman" w:hAnsiTheme="minorHAnsi" w:cstheme="minorHAnsi"/>
          <w:iCs/>
          <w:lang w:eastAsia="en-AU"/>
        </w:rPr>
        <w:t>In the absence</w:t>
      </w:r>
      <w:r w:rsidRPr="006F2C28">
        <w:rPr>
          <w:rFonts w:asciiTheme="minorHAnsi" w:eastAsia="Times New Roman" w:hAnsiTheme="minorHAnsi" w:cstheme="minorHAnsi"/>
          <w:iCs/>
          <w:lang w:eastAsia="en-AU"/>
        </w:rPr>
        <w:t xml:space="preserve"> of these products, cannabis is commonly consumed in combination with tobacco</w:t>
      </w:r>
      <w:r w:rsidR="007078C5">
        <w:rPr>
          <w:rFonts w:asciiTheme="minorHAnsi" w:eastAsia="Times New Roman" w:hAnsiTheme="minorHAnsi" w:cstheme="minorHAnsi"/>
          <w:iCs/>
          <w:lang w:eastAsia="en-AU"/>
        </w:rPr>
        <w:t>,</w:t>
      </w:r>
      <w:r w:rsidRPr="006F2C28">
        <w:rPr>
          <w:rFonts w:asciiTheme="minorHAnsi" w:eastAsia="Times New Roman" w:hAnsiTheme="minorHAnsi" w:cstheme="minorHAnsi"/>
          <w:iCs/>
          <w:lang w:eastAsia="en-AU"/>
        </w:rPr>
        <w:t xml:space="preserve"> which may confound the relationship between cannabis and mental health</w:t>
      </w:r>
      <w:r w:rsidR="007078C5">
        <w:rPr>
          <w:rFonts w:asciiTheme="minorHAnsi" w:eastAsia="Times New Roman" w:hAnsiTheme="minorHAnsi" w:cstheme="minorHAnsi"/>
          <w:iCs/>
          <w:vertAlign w:val="superscript"/>
          <w:lang w:eastAsia="en-AU"/>
        </w:rPr>
        <w:t>6</w:t>
      </w:r>
      <w:r w:rsidRPr="006F2C28">
        <w:rPr>
          <w:rFonts w:asciiTheme="minorHAnsi" w:eastAsia="Times New Roman" w:hAnsiTheme="minorHAnsi" w:cstheme="minorHAnsi"/>
          <w:iCs/>
          <w:lang w:eastAsia="en-AU"/>
        </w:rPr>
        <w:t xml:space="preserve">. </w:t>
      </w:r>
      <w:r w:rsidRPr="006F2C28">
        <w:rPr>
          <w:rFonts w:asciiTheme="minorHAnsi" w:hAnsiTheme="minorHAnsi" w:cstheme="minorHAnsi"/>
        </w:rPr>
        <w:t>However, given that factors such as the route of administration will affect the bioavailability of the drug, and there will be variation in amount contained in self-rolled joints amongst those not us</w:t>
      </w:r>
      <w:r w:rsidR="00BA79CE" w:rsidRPr="006F2C28">
        <w:rPr>
          <w:rFonts w:asciiTheme="minorHAnsi" w:hAnsiTheme="minorHAnsi" w:cstheme="minorHAnsi"/>
        </w:rPr>
        <w:t>ing</w:t>
      </w:r>
      <w:r w:rsidRPr="006F2C28">
        <w:rPr>
          <w:rFonts w:asciiTheme="minorHAnsi" w:hAnsiTheme="minorHAnsi" w:cstheme="minorHAnsi"/>
        </w:rPr>
        <w:t xml:space="preserve"> edibles, </w:t>
      </w:r>
      <w:r w:rsidRPr="008706B1">
        <w:rPr>
          <w:rFonts w:asciiTheme="minorHAnsi" w:hAnsiTheme="minorHAnsi" w:cstheme="minorHAnsi"/>
          <w:i/>
        </w:rPr>
        <w:t>there is a need</w:t>
      </w:r>
      <w:r w:rsidR="00424E6C">
        <w:rPr>
          <w:rFonts w:asciiTheme="minorHAnsi" w:hAnsiTheme="minorHAnsi" w:cstheme="minorHAnsi"/>
          <w:i/>
        </w:rPr>
        <w:t xml:space="preserve"> to</w:t>
      </w:r>
      <w:r w:rsidR="00C90C1D">
        <w:rPr>
          <w:rFonts w:asciiTheme="minorHAnsi" w:hAnsiTheme="minorHAnsi" w:cstheme="minorHAnsi"/>
          <w:i/>
        </w:rPr>
        <w:t xml:space="preserve"> develop</w:t>
      </w:r>
      <w:r w:rsidRPr="008706B1">
        <w:rPr>
          <w:rFonts w:asciiTheme="minorHAnsi" w:hAnsiTheme="minorHAnsi" w:cstheme="minorHAnsi"/>
          <w:i/>
        </w:rPr>
        <w:t xml:space="preserve"> a standard unit </w:t>
      </w:r>
      <w:r w:rsidR="003A7795">
        <w:rPr>
          <w:rFonts w:asciiTheme="minorHAnsi" w:hAnsiTheme="minorHAnsi" w:cstheme="minorHAnsi"/>
          <w:i/>
        </w:rPr>
        <w:t xml:space="preserve">of cannabis exposure </w:t>
      </w:r>
      <w:r w:rsidR="00B0377E">
        <w:rPr>
          <w:rFonts w:asciiTheme="minorHAnsi" w:hAnsiTheme="minorHAnsi" w:cstheme="minorHAnsi"/>
          <w:i/>
        </w:rPr>
        <w:t xml:space="preserve">– </w:t>
      </w:r>
      <w:r w:rsidR="00424E6C">
        <w:rPr>
          <w:rFonts w:asciiTheme="minorHAnsi" w:hAnsiTheme="minorHAnsi" w:cstheme="minorHAnsi"/>
          <w:i/>
        </w:rPr>
        <w:t xml:space="preserve">similar to </w:t>
      </w:r>
      <w:r w:rsidR="00EE642B">
        <w:rPr>
          <w:rFonts w:asciiTheme="minorHAnsi" w:hAnsiTheme="minorHAnsi" w:cstheme="minorHAnsi"/>
          <w:i/>
        </w:rPr>
        <w:t xml:space="preserve">alcohol </w:t>
      </w:r>
      <w:r w:rsidR="00C90C1D">
        <w:rPr>
          <w:rFonts w:asciiTheme="minorHAnsi" w:hAnsiTheme="minorHAnsi" w:cstheme="minorHAnsi"/>
          <w:i/>
        </w:rPr>
        <w:t>–</w:t>
      </w:r>
      <w:r w:rsidR="00EE642B">
        <w:rPr>
          <w:rFonts w:asciiTheme="minorHAnsi" w:hAnsiTheme="minorHAnsi" w:cstheme="minorHAnsi"/>
          <w:i/>
        </w:rPr>
        <w:t xml:space="preserve"> </w:t>
      </w:r>
      <w:r w:rsidR="00C90C1D">
        <w:rPr>
          <w:rFonts w:asciiTheme="minorHAnsi" w:hAnsiTheme="minorHAnsi" w:cstheme="minorHAnsi"/>
          <w:i/>
        </w:rPr>
        <w:t xml:space="preserve">so that we can better understand and measure the </w:t>
      </w:r>
      <w:r w:rsidR="008529AE">
        <w:rPr>
          <w:rFonts w:asciiTheme="minorHAnsi" w:hAnsiTheme="minorHAnsi" w:cstheme="minorHAnsi"/>
          <w:i/>
        </w:rPr>
        <w:t xml:space="preserve">acute and long-term </w:t>
      </w:r>
      <w:r w:rsidR="00846896">
        <w:rPr>
          <w:rFonts w:asciiTheme="minorHAnsi" w:hAnsiTheme="minorHAnsi" w:cstheme="minorHAnsi"/>
          <w:i/>
        </w:rPr>
        <w:t>effects of cannabis exposure</w:t>
      </w:r>
      <w:r w:rsidR="007078C5" w:rsidRPr="008706B1">
        <w:rPr>
          <w:rFonts w:asciiTheme="minorHAnsi" w:hAnsiTheme="minorHAnsi" w:cstheme="minorHAnsi"/>
          <w:i/>
          <w:vertAlign w:val="superscript"/>
        </w:rPr>
        <w:t>7</w:t>
      </w:r>
      <w:r w:rsidRPr="006F2C28">
        <w:rPr>
          <w:rFonts w:asciiTheme="minorHAnsi" w:hAnsiTheme="minorHAnsi" w:cstheme="minorHAnsi"/>
        </w:rPr>
        <w:t>.</w:t>
      </w:r>
      <w:r w:rsidRPr="006F2C28">
        <w:rPr>
          <w:rFonts w:asciiTheme="minorHAnsi" w:eastAsia="Times New Roman" w:hAnsiTheme="minorHAnsi" w:cstheme="minorHAnsi"/>
          <w:iCs/>
          <w:lang w:eastAsia="en-AU"/>
        </w:rPr>
        <w:t xml:space="preserve"> </w:t>
      </w:r>
    </w:p>
    <w:p w14:paraId="0D3D521B" w14:textId="5E27F711" w:rsidR="007078C5" w:rsidRDefault="005D6B4F" w:rsidP="006F2C28">
      <w:pPr>
        <w:widowControl w:val="0"/>
        <w:spacing w:before="0" w:after="0" w:line="240" w:lineRule="auto"/>
        <w:ind w:firstLine="426"/>
        <w:jc w:val="both"/>
        <w:rPr>
          <w:rFonts w:asciiTheme="minorHAnsi" w:eastAsia="Times New Roman" w:hAnsiTheme="minorHAnsi" w:cstheme="minorHAnsi"/>
          <w:iCs/>
          <w:lang w:eastAsia="en-AU"/>
        </w:rPr>
      </w:pPr>
      <w:r w:rsidRPr="006F2C28">
        <w:rPr>
          <w:rFonts w:asciiTheme="minorHAnsi" w:eastAsia="Times New Roman" w:hAnsiTheme="minorHAnsi" w:cstheme="minorHAnsi"/>
          <w:iCs/>
          <w:lang w:eastAsia="en-AU"/>
        </w:rPr>
        <w:t>Hall and Lynskey suggest that legali</w:t>
      </w:r>
      <w:r w:rsidR="007078C5">
        <w:rPr>
          <w:rFonts w:asciiTheme="minorHAnsi" w:eastAsia="Times New Roman" w:hAnsiTheme="minorHAnsi" w:cstheme="minorHAnsi"/>
          <w:iCs/>
          <w:lang w:eastAsia="en-AU"/>
        </w:rPr>
        <w:t>z</w:t>
      </w:r>
      <w:r w:rsidRPr="006F2C28">
        <w:rPr>
          <w:rFonts w:asciiTheme="minorHAnsi" w:eastAsia="Times New Roman" w:hAnsiTheme="minorHAnsi" w:cstheme="minorHAnsi"/>
          <w:iCs/>
          <w:lang w:eastAsia="en-AU"/>
        </w:rPr>
        <w:t>ation provides opportunities to minimi</w:t>
      </w:r>
      <w:r w:rsidR="007078C5">
        <w:rPr>
          <w:rFonts w:asciiTheme="minorHAnsi" w:eastAsia="Times New Roman" w:hAnsiTheme="minorHAnsi" w:cstheme="minorHAnsi"/>
          <w:iCs/>
          <w:lang w:eastAsia="en-AU"/>
        </w:rPr>
        <w:t>z</w:t>
      </w:r>
      <w:r w:rsidRPr="006F2C28">
        <w:rPr>
          <w:rFonts w:asciiTheme="minorHAnsi" w:eastAsia="Times New Roman" w:hAnsiTheme="minorHAnsi" w:cstheme="minorHAnsi"/>
          <w:iCs/>
          <w:lang w:eastAsia="en-AU"/>
        </w:rPr>
        <w:t>e adolescent access to cannabis</w:t>
      </w:r>
      <w:r w:rsidR="00BA1F6D" w:rsidRPr="006F2C28">
        <w:rPr>
          <w:rFonts w:asciiTheme="minorHAnsi" w:eastAsia="Times New Roman" w:hAnsiTheme="minorHAnsi" w:cstheme="minorHAnsi"/>
          <w:iCs/>
          <w:lang w:eastAsia="en-AU"/>
        </w:rPr>
        <w:t>. H</w:t>
      </w:r>
      <w:r w:rsidRPr="006F2C28">
        <w:rPr>
          <w:rFonts w:asciiTheme="minorHAnsi" w:eastAsia="Times New Roman" w:hAnsiTheme="minorHAnsi" w:cstheme="minorHAnsi"/>
          <w:iCs/>
          <w:lang w:eastAsia="en-AU"/>
        </w:rPr>
        <w:t xml:space="preserve">owever, </w:t>
      </w:r>
      <w:r w:rsidR="008529AE">
        <w:rPr>
          <w:rFonts w:asciiTheme="minorHAnsi" w:eastAsia="Times New Roman" w:hAnsiTheme="minorHAnsi" w:cstheme="minorHAnsi"/>
          <w:iCs/>
          <w:lang w:eastAsia="en-AU"/>
        </w:rPr>
        <w:t xml:space="preserve">as noted above there has been </w:t>
      </w:r>
      <w:r w:rsidRPr="006F2C28">
        <w:rPr>
          <w:rFonts w:asciiTheme="minorHAnsi" w:eastAsia="Times New Roman" w:hAnsiTheme="minorHAnsi" w:cstheme="minorHAnsi"/>
          <w:iCs/>
          <w:lang w:eastAsia="en-AU"/>
        </w:rPr>
        <w:t>a rise in cannabis products (chocolates and candy) that may be attractive to children</w:t>
      </w:r>
      <w:r w:rsidR="000D1094">
        <w:rPr>
          <w:rFonts w:asciiTheme="minorHAnsi" w:eastAsia="Times New Roman" w:hAnsiTheme="minorHAnsi" w:cstheme="minorHAnsi"/>
          <w:iCs/>
          <w:lang w:eastAsia="en-AU"/>
        </w:rPr>
        <w:t>,</w:t>
      </w:r>
      <w:r w:rsidRPr="006F2C28">
        <w:rPr>
          <w:rFonts w:asciiTheme="minorHAnsi" w:eastAsia="Times New Roman" w:hAnsiTheme="minorHAnsi" w:cstheme="minorHAnsi"/>
          <w:iCs/>
          <w:lang w:eastAsia="en-AU"/>
        </w:rPr>
        <w:t xml:space="preserve"> and little evidence for a fall in adolescent cannabis use in states where cannabis is legali</w:t>
      </w:r>
      <w:r w:rsidR="007078C5">
        <w:rPr>
          <w:rFonts w:asciiTheme="minorHAnsi" w:eastAsia="Times New Roman" w:hAnsiTheme="minorHAnsi" w:cstheme="minorHAnsi"/>
          <w:iCs/>
          <w:lang w:eastAsia="en-AU"/>
        </w:rPr>
        <w:t>z</w:t>
      </w:r>
      <w:r w:rsidRPr="006F2C28">
        <w:rPr>
          <w:rFonts w:asciiTheme="minorHAnsi" w:eastAsia="Times New Roman" w:hAnsiTheme="minorHAnsi" w:cstheme="minorHAnsi"/>
          <w:iCs/>
          <w:lang w:eastAsia="en-AU"/>
        </w:rPr>
        <w:t>ed. Additionally, adolescents will also be exposed to increased marketing and perceived societal acceptability of cannabis use. Given restrictions on purchase age (21 years and over)</w:t>
      </w:r>
      <w:r w:rsidR="007078C5">
        <w:rPr>
          <w:rFonts w:asciiTheme="minorHAnsi" w:eastAsia="Times New Roman" w:hAnsiTheme="minorHAnsi" w:cstheme="minorHAnsi"/>
          <w:iCs/>
          <w:lang w:eastAsia="en-AU"/>
        </w:rPr>
        <w:t>,</w:t>
      </w:r>
      <w:r w:rsidRPr="006F2C28">
        <w:rPr>
          <w:rFonts w:asciiTheme="minorHAnsi" w:eastAsia="Times New Roman" w:hAnsiTheme="minorHAnsi" w:cstheme="minorHAnsi"/>
          <w:iCs/>
          <w:lang w:eastAsia="en-AU"/>
        </w:rPr>
        <w:t xml:space="preserve"> adolescents are excluded from legal </w:t>
      </w:r>
      <w:r w:rsidRPr="006F2C28">
        <w:rPr>
          <w:rFonts w:asciiTheme="minorHAnsi" w:eastAsia="Times New Roman" w:hAnsiTheme="minorHAnsi" w:cstheme="minorHAnsi"/>
          <w:iCs/>
          <w:lang w:eastAsia="en-AU"/>
        </w:rPr>
        <w:lastRenderedPageBreak/>
        <w:t>purchase</w:t>
      </w:r>
      <w:r w:rsidR="007078C5">
        <w:rPr>
          <w:rFonts w:asciiTheme="minorHAnsi" w:eastAsia="Times New Roman" w:hAnsiTheme="minorHAnsi" w:cstheme="minorHAnsi"/>
          <w:iCs/>
          <w:lang w:eastAsia="en-AU"/>
        </w:rPr>
        <w:t>,</w:t>
      </w:r>
      <w:r w:rsidRPr="006F2C28">
        <w:rPr>
          <w:rFonts w:asciiTheme="minorHAnsi" w:eastAsia="Times New Roman" w:hAnsiTheme="minorHAnsi" w:cstheme="minorHAnsi"/>
          <w:iCs/>
          <w:lang w:eastAsia="en-AU"/>
        </w:rPr>
        <w:t xml:space="preserve"> but will still have access to an illicit market which may now include diverted products.</w:t>
      </w:r>
      <w:r w:rsidR="006F2C28">
        <w:rPr>
          <w:rFonts w:asciiTheme="minorHAnsi" w:eastAsia="Times New Roman" w:hAnsiTheme="minorHAnsi" w:cstheme="minorHAnsi"/>
          <w:iCs/>
          <w:lang w:eastAsia="en-AU"/>
        </w:rPr>
        <w:t xml:space="preserve"> </w:t>
      </w:r>
    </w:p>
    <w:p w14:paraId="562841CA" w14:textId="3E3E2DD4" w:rsidR="005D6B4F" w:rsidRPr="006F2C28" w:rsidRDefault="00E53D0C" w:rsidP="006F2C28">
      <w:pPr>
        <w:widowControl w:val="0"/>
        <w:spacing w:before="0" w:after="0" w:line="240" w:lineRule="auto"/>
        <w:ind w:firstLine="426"/>
        <w:jc w:val="both"/>
        <w:rPr>
          <w:rFonts w:asciiTheme="minorHAnsi" w:eastAsia="Times New Roman" w:hAnsiTheme="minorHAnsi" w:cstheme="minorHAnsi"/>
          <w:iCs/>
          <w:lang w:eastAsia="en-AU"/>
        </w:rPr>
      </w:pPr>
      <w:r w:rsidRPr="006F2C28">
        <w:rPr>
          <w:rFonts w:asciiTheme="minorHAnsi" w:eastAsia="Times New Roman" w:hAnsiTheme="minorHAnsi" w:cstheme="minorHAnsi"/>
          <w:iCs/>
          <w:lang w:eastAsia="en-AU"/>
        </w:rPr>
        <w:t xml:space="preserve">We know </w:t>
      </w:r>
      <w:r w:rsidR="0010135C" w:rsidRPr="006F2C28">
        <w:rPr>
          <w:rFonts w:asciiTheme="minorHAnsi" w:eastAsia="Times New Roman" w:hAnsiTheme="minorHAnsi" w:cstheme="minorHAnsi"/>
          <w:iCs/>
          <w:lang w:eastAsia="en-AU"/>
        </w:rPr>
        <w:t>that r</w:t>
      </w:r>
      <w:r w:rsidR="005D6B4F" w:rsidRPr="006F2C28">
        <w:rPr>
          <w:rFonts w:asciiTheme="minorHAnsi" w:eastAsia="Times New Roman" w:hAnsiTheme="minorHAnsi" w:cstheme="minorHAnsi"/>
          <w:iCs/>
          <w:lang w:eastAsia="en-AU"/>
        </w:rPr>
        <w:t xml:space="preserve">isks for dependence, mental health problems and negative socioeconomic outcomes are associated with initiation of </w:t>
      </w:r>
      <w:r w:rsidR="00D46011" w:rsidRPr="006F2C28">
        <w:rPr>
          <w:rFonts w:asciiTheme="minorHAnsi" w:eastAsia="Times New Roman" w:hAnsiTheme="minorHAnsi" w:cstheme="minorHAnsi"/>
          <w:iCs/>
          <w:lang w:eastAsia="en-AU"/>
        </w:rPr>
        <w:t xml:space="preserve">drug </w:t>
      </w:r>
      <w:r w:rsidR="005D6B4F" w:rsidRPr="006F2C28">
        <w:rPr>
          <w:rFonts w:asciiTheme="minorHAnsi" w:eastAsia="Times New Roman" w:hAnsiTheme="minorHAnsi" w:cstheme="minorHAnsi"/>
          <w:iCs/>
          <w:lang w:eastAsia="en-AU"/>
        </w:rPr>
        <w:t>use during adolescence</w:t>
      </w:r>
      <w:r w:rsidR="00BD419B" w:rsidRPr="006F2C28">
        <w:rPr>
          <w:rFonts w:asciiTheme="minorHAnsi" w:eastAsia="Times New Roman" w:hAnsiTheme="minorHAnsi" w:cstheme="minorHAnsi"/>
          <w:iCs/>
          <w:lang w:eastAsia="en-AU"/>
        </w:rPr>
        <w:t xml:space="preserve"> </w:t>
      </w:r>
      <w:r w:rsidR="007078C5">
        <w:rPr>
          <w:rFonts w:asciiTheme="minorHAnsi" w:eastAsia="Times New Roman" w:hAnsiTheme="minorHAnsi" w:cstheme="minorHAnsi"/>
          <w:iCs/>
          <w:lang w:eastAsia="en-AU"/>
        </w:rPr>
        <w:t>–</w:t>
      </w:r>
      <w:r w:rsidR="00BD419B" w:rsidRPr="006F2C28">
        <w:rPr>
          <w:rFonts w:asciiTheme="minorHAnsi" w:eastAsia="Times New Roman" w:hAnsiTheme="minorHAnsi" w:cstheme="minorHAnsi"/>
          <w:iCs/>
          <w:lang w:eastAsia="en-AU"/>
        </w:rPr>
        <w:t xml:space="preserve"> </w:t>
      </w:r>
      <w:r w:rsidR="005D6B4F" w:rsidRPr="006F2C28">
        <w:rPr>
          <w:rFonts w:asciiTheme="minorHAnsi" w:eastAsia="Times New Roman" w:hAnsiTheme="minorHAnsi" w:cstheme="minorHAnsi"/>
          <w:iCs/>
          <w:lang w:eastAsia="en-AU"/>
        </w:rPr>
        <w:t>and</w:t>
      </w:r>
      <w:r w:rsidR="007078C5">
        <w:rPr>
          <w:rFonts w:asciiTheme="minorHAnsi" w:eastAsia="Times New Roman" w:hAnsiTheme="minorHAnsi" w:cstheme="minorHAnsi"/>
          <w:iCs/>
          <w:lang w:eastAsia="en-AU"/>
        </w:rPr>
        <w:t xml:space="preserve"> </w:t>
      </w:r>
      <w:r w:rsidR="005D6B4F" w:rsidRPr="006F2C28">
        <w:rPr>
          <w:rFonts w:asciiTheme="minorHAnsi" w:eastAsia="Times New Roman" w:hAnsiTheme="minorHAnsi" w:cstheme="minorHAnsi"/>
          <w:iCs/>
          <w:lang w:eastAsia="en-AU"/>
        </w:rPr>
        <w:t>that progression to cannabis dependence occurs as part of a profile of other drug dependencies and mental health issues</w:t>
      </w:r>
      <w:r w:rsidR="007078C5">
        <w:rPr>
          <w:rFonts w:asciiTheme="minorHAnsi" w:eastAsia="Times New Roman" w:hAnsiTheme="minorHAnsi" w:cstheme="minorHAnsi"/>
          <w:iCs/>
          <w:vertAlign w:val="superscript"/>
          <w:lang w:eastAsia="en-AU"/>
        </w:rPr>
        <w:t>8</w:t>
      </w:r>
      <w:r w:rsidR="005D6B4F" w:rsidRPr="006F2C28">
        <w:rPr>
          <w:rFonts w:asciiTheme="minorHAnsi" w:eastAsia="Times New Roman" w:hAnsiTheme="minorHAnsi" w:cstheme="minorHAnsi"/>
          <w:iCs/>
          <w:lang w:eastAsia="en-AU"/>
        </w:rPr>
        <w:t>. Cannabis regulation provides new opportunities to instigate public health intervention</w:t>
      </w:r>
      <w:r w:rsidR="00BA79CE" w:rsidRPr="006F2C28">
        <w:rPr>
          <w:rFonts w:asciiTheme="minorHAnsi" w:eastAsia="Times New Roman" w:hAnsiTheme="minorHAnsi" w:cstheme="minorHAnsi"/>
          <w:iCs/>
          <w:lang w:eastAsia="en-AU"/>
        </w:rPr>
        <w:t>s</w:t>
      </w:r>
      <w:r w:rsidR="005D6B4F" w:rsidRPr="006F2C28">
        <w:rPr>
          <w:rFonts w:asciiTheme="minorHAnsi" w:eastAsia="Times New Roman" w:hAnsiTheme="minorHAnsi" w:cstheme="minorHAnsi"/>
          <w:iCs/>
          <w:lang w:eastAsia="en-AU"/>
        </w:rPr>
        <w:t xml:space="preserve"> and information campaigns related to cannabis and </w:t>
      </w:r>
      <w:r w:rsidR="00C355CD" w:rsidRPr="006F2C28">
        <w:rPr>
          <w:rFonts w:asciiTheme="minorHAnsi" w:eastAsia="Times New Roman" w:hAnsiTheme="minorHAnsi" w:cstheme="minorHAnsi"/>
          <w:iCs/>
          <w:lang w:eastAsia="en-AU"/>
        </w:rPr>
        <w:t>monitor the effect of these</w:t>
      </w:r>
      <w:r w:rsidR="005D6B4F" w:rsidRPr="006F2C28">
        <w:rPr>
          <w:rFonts w:asciiTheme="minorHAnsi" w:eastAsia="Times New Roman" w:hAnsiTheme="minorHAnsi" w:cstheme="minorHAnsi"/>
          <w:iCs/>
          <w:lang w:eastAsia="en-AU"/>
        </w:rPr>
        <w:t xml:space="preserve"> on preventing harms amongst adolescents who are most vulnerable to developing problem use.</w:t>
      </w:r>
    </w:p>
    <w:p w14:paraId="5B673C25" w14:textId="77777777" w:rsidR="003C1D82" w:rsidRDefault="00AD0D84" w:rsidP="006F2C28">
      <w:pPr>
        <w:spacing w:before="0" w:after="0" w:line="240" w:lineRule="auto"/>
        <w:ind w:firstLine="426"/>
        <w:jc w:val="both"/>
        <w:rPr>
          <w:rFonts w:asciiTheme="minorHAnsi" w:hAnsiTheme="minorHAnsi" w:cstheme="minorHAnsi"/>
        </w:rPr>
      </w:pPr>
      <w:r w:rsidRPr="006F2C28">
        <w:rPr>
          <w:rFonts w:asciiTheme="minorHAnsi" w:hAnsiTheme="minorHAnsi" w:cstheme="minorHAnsi"/>
        </w:rPr>
        <w:t>Furthermore, there are research opportunities afforded by changes in legislation and policy that can enable us to generate better evidence as to the causal nature of some of the associations between cannabis and negative outcomes, such as poor mental health</w:t>
      </w:r>
      <w:r w:rsidR="00BA79CE" w:rsidRPr="006F2C28">
        <w:rPr>
          <w:rFonts w:asciiTheme="minorHAnsi" w:hAnsiTheme="minorHAnsi" w:cstheme="minorHAnsi"/>
        </w:rPr>
        <w:t xml:space="preserve"> and </w:t>
      </w:r>
      <w:r w:rsidRPr="006F2C28">
        <w:rPr>
          <w:rFonts w:asciiTheme="minorHAnsi" w:hAnsiTheme="minorHAnsi" w:cstheme="minorHAnsi"/>
        </w:rPr>
        <w:t>memory impairment. For example, within the US</w:t>
      </w:r>
      <w:r w:rsidR="007078C5">
        <w:rPr>
          <w:rFonts w:asciiTheme="minorHAnsi" w:hAnsiTheme="minorHAnsi" w:cstheme="minorHAnsi"/>
        </w:rPr>
        <w:t>,</w:t>
      </w:r>
      <w:r w:rsidR="00B46C65" w:rsidRPr="006F2C28">
        <w:rPr>
          <w:rFonts w:asciiTheme="minorHAnsi" w:hAnsiTheme="minorHAnsi" w:cstheme="minorHAnsi"/>
        </w:rPr>
        <w:t xml:space="preserve"> where neighbouring states can have vastly different policies in place, </w:t>
      </w:r>
      <w:r w:rsidR="00BA79CE" w:rsidRPr="006F2C28">
        <w:rPr>
          <w:rFonts w:asciiTheme="minorHAnsi" w:hAnsiTheme="minorHAnsi" w:cstheme="minorHAnsi"/>
        </w:rPr>
        <w:t>the conditions making it</w:t>
      </w:r>
      <w:r w:rsidR="00194615" w:rsidRPr="006F2C28">
        <w:rPr>
          <w:rFonts w:asciiTheme="minorHAnsi" w:hAnsiTheme="minorHAnsi" w:cstheme="minorHAnsi"/>
        </w:rPr>
        <w:t xml:space="preserve"> possible to conduct a</w:t>
      </w:r>
      <w:r w:rsidR="00B46C65" w:rsidRPr="006F2C28">
        <w:rPr>
          <w:rFonts w:asciiTheme="minorHAnsi" w:hAnsiTheme="minorHAnsi" w:cstheme="minorHAnsi"/>
        </w:rPr>
        <w:t xml:space="preserve"> natural experiment ha</w:t>
      </w:r>
      <w:r w:rsidR="00BA79CE" w:rsidRPr="006F2C28">
        <w:rPr>
          <w:rFonts w:asciiTheme="minorHAnsi" w:hAnsiTheme="minorHAnsi" w:cstheme="minorHAnsi"/>
        </w:rPr>
        <w:t>ve</w:t>
      </w:r>
      <w:r w:rsidR="00B46C65" w:rsidRPr="006F2C28">
        <w:rPr>
          <w:rFonts w:asciiTheme="minorHAnsi" w:hAnsiTheme="minorHAnsi" w:cstheme="minorHAnsi"/>
        </w:rPr>
        <w:t xml:space="preserve"> arisen. This could be</w:t>
      </w:r>
      <w:r w:rsidR="00BA79CE" w:rsidRPr="006F2C28">
        <w:rPr>
          <w:rFonts w:asciiTheme="minorHAnsi" w:hAnsiTheme="minorHAnsi" w:cstheme="minorHAnsi"/>
        </w:rPr>
        <w:t xml:space="preserve"> conceptuali</w:t>
      </w:r>
      <w:r w:rsidR="007078C5">
        <w:rPr>
          <w:rFonts w:asciiTheme="minorHAnsi" w:hAnsiTheme="minorHAnsi" w:cstheme="minorHAnsi"/>
        </w:rPr>
        <w:t>z</w:t>
      </w:r>
      <w:r w:rsidR="00BA79CE" w:rsidRPr="006F2C28">
        <w:rPr>
          <w:rFonts w:asciiTheme="minorHAnsi" w:hAnsiTheme="minorHAnsi" w:cstheme="minorHAnsi"/>
        </w:rPr>
        <w:t>ed</w:t>
      </w:r>
      <w:r w:rsidR="00B46C65" w:rsidRPr="006F2C28">
        <w:rPr>
          <w:rFonts w:asciiTheme="minorHAnsi" w:hAnsiTheme="minorHAnsi" w:cstheme="minorHAnsi"/>
        </w:rPr>
        <w:t xml:space="preserve"> as a cross-contextual study, whereby the demographics (or other potential confounding factors) of individuals choosing to use cannabis in the different regions may differ due to these policy differences. </w:t>
      </w:r>
    </w:p>
    <w:p w14:paraId="6CDBF4C8" w14:textId="7D63A329" w:rsidR="003C1D82" w:rsidRDefault="00B46C65" w:rsidP="006F2C28">
      <w:pPr>
        <w:spacing w:before="0" w:after="0" w:line="240" w:lineRule="auto"/>
        <w:ind w:firstLine="426"/>
        <w:jc w:val="both"/>
        <w:rPr>
          <w:rFonts w:asciiTheme="minorHAnsi" w:hAnsiTheme="minorHAnsi" w:cstheme="minorHAnsi"/>
        </w:rPr>
      </w:pPr>
      <w:r w:rsidRPr="006F2C28">
        <w:rPr>
          <w:rFonts w:asciiTheme="minorHAnsi" w:hAnsiTheme="minorHAnsi" w:cstheme="minorHAnsi"/>
        </w:rPr>
        <w:t xml:space="preserve">If associations seen between cannabis and health outcomes remain the same </w:t>
      </w:r>
      <w:r w:rsidR="00BA79CE" w:rsidRPr="006F2C28">
        <w:rPr>
          <w:rFonts w:asciiTheme="minorHAnsi" w:hAnsiTheme="minorHAnsi" w:cstheme="minorHAnsi"/>
        </w:rPr>
        <w:t>under</w:t>
      </w:r>
      <w:r w:rsidRPr="006F2C28">
        <w:rPr>
          <w:rFonts w:asciiTheme="minorHAnsi" w:hAnsiTheme="minorHAnsi" w:cstheme="minorHAnsi"/>
        </w:rPr>
        <w:t xml:space="preserve"> these different conditions</w:t>
      </w:r>
      <w:r w:rsidR="00BA79CE" w:rsidRPr="006F2C28">
        <w:rPr>
          <w:rFonts w:asciiTheme="minorHAnsi" w:hAnsiTheme="minorHAnsi" w:cstheme="minorHAnsi"/>
        </w:rPr>
        <w:t>,</w:t>
      </w:r>
      <w:r w:rsidR="00AD0D84" w:rsidRPr="006F2C28">
        <w:rPr>
          <w:rFonts w:asciiTheme="minorHAnsi" w:hAnsiTheme="minorHAnsi" w:cstheme="minorHAnsi"/>
        </w:rPr>
        <w:t xml:space="preserve"> </w:t>
      </w:r>
      <w:r w:rsidRPr="006F2C28">
        <w:rPr>
          <w:rFonts w:asciiTheme="minorHAnsi" w:hAnsiTheme="minorHAnsi" w:cstheme="minorHAnsi"/>
        </w:rPr>
        <w:t xml:space="preserve">this is stronger evidence </w:t>
      </w:r>
      <w:r w:rsidR="00BA79CE" w:rsidRPr="006F2C28">
        <w:rPr>
          <w:rFonts w:asciiTheme="minorHAnsi" w:hAnsiTheme="minorHAnsi" w:cstheme="minorHAnsi"/>
        </w:rPr>
        <w:t>that the associations seen are causal</w:t>
      </w:r>
      <w:r w:rsidRPr="006F2C28">
        <w:rPr>
          <w:rFonts w:asciiTheme="minorHAnsi" w:hAnsiTheme="minorHAnsi" w:cstheme="minorHAnsi"/>
        </w:rPr>
        <w:t>.</w:t>
      </w:r>
      <w:r w:rsidR="00BA79CE" w:rsidRPr="006F2C28">
        <w:rPr>
          <w:rFonts w:asciiTheme="minorHAnsi" w:hAnsiTheme="minorHAnsi" w:cstheme="minorHAnsi"/>
        </w:rPr>
        <w:t xml:space="preserve"> If, conversely, associations are seen only in conditions where prohibition is in place, this could provide evidence that some of these associations are likely to be confounded by factors either related to prohibition, such as an increased risk of punishments for use, or factors related to the demographics of who is likely to use cannabis under these different circumstances. </w:t>
      </w:r>
    </w:p>
    <w:p w14:paraId="791BB6F8" w14:textId="420E1E9C" w:rsidR="00B27107" w:rsidRDefault="00F93848" w:rsidP="006F2C28">
      <w:pPr>
        <w:spacing w:before="0" w:after="0" w:line="240" w:lineRule="auto"/>
        <w:ind w:firstLine="426"/>
        <w:jc w:val="both"/>
        <w:rPr>
          <w:rFonts w:asciiTheme="minorHAnsi" w:hAnsiTheme="minorHAnsi" w:cstheme="minorHAnsi"/>
        </w:rPr>
      </w:pPr>
      <w:r w:rsidRPr="006F2C28">
        <w:rPr>
          <w:rFonts w:asciiTheme="minorHAnsi" w:hAnsiTheme="minorHAnsi" w:cstheme="minorHAnsi"/>
        </w:rPr>
        <w:t xml:space="preserve">We have argued before that there needs to be </w:t>
      </w:r>
      <w:r w:rsidR="00294108" w:rsidRPr="006F2C28">
        <w:rPr>
          <w:rFonts w:asciiTheme="minorHAnsi" w:hAnsiTheme="minorHAnsi" w:cstheme="minorHAnsi"/>
        </w:rPr>
        <w:t xml:space="preserve">better use of </w:t>
      </w:r>
      <w:r w:rsidR="00F822B5" w:rsidRPr="006F2C28">
        <w:rPr>
          <w:rFonts w:asciiTheme="minorHAnsi" w:hAnsiTheme="minorHAnsi" w:cstheme="minorHAnsi"/>
        </w:rPr>
        <w:t xml:space="preserve">alternative </w:t>
      </w:r>
      <w:r w:rsidR="008C45EA" w:rsidRPr="006F2C28">
        <w:rPr>
          <w:rFonts w:asciiTheme="minorHAnsi" w:hAnsiTheme="minorHAnsi" w:cstheme="minorHAnsi"/>
        </w:rPr>
        <w:t xml:space="preserve">methods to </w:t>
      </w:r>
      <w:r w:rsidR="004E401B" w:rsidRPr="006F2C28">
        <w:rPr>
          <w:rFonts w:asciiTheme="minorHAnsi" w:hAnsiTheme="minorHAnsi" w:cstheme="minorHAnsi"/>
        </w:rPr>
        <w:t xml:space="preserve">establish causal association between cannabis and </w:t>
      </w:r>
      <w:r w:rsidR="00D078EC" w:rsidRPr="006F2C28">
        <w:rPr>
          <w:rFonts w:asciiTheme="minorHAnsi" w:hAnsiTheme="minorHAnsi" w:cstheme="minorHAnsi"/>
        </w:rPr>
        <w:t xml:space="preserve">health and other harms – </w:t>
      </w:r>
      <w:r w:rsidR="00D078EC" w:rsidRPr="008706B1">
        <w:rPr>
          <w:rFonts w:asciiTheme="minorHAnsi" w:hAnsiTheme="minorHAnsi" w:cstheme="minorHAnsi"/>
          <w:i/>
        </w:rPr>
        <w:t>such as the use of</w:t>
      </w:r>
      <w:r w:rsidR="00B9108A">
        <w:rPr>
          <w:rFonts w:asciiTheme="minorHAnsi" w:hAnsiTheme="minorHAnsi" w:cstheme="minorHAnsi"/>
          <w:i/>
        </w:rPr>
        <w:t xml:space="preserve"> </w:t>
      </w:r>
      <w:r w:rsidR="00B9108A" w:rsidRPr="008706B1">
        <w:rPr>
          <w:rFonts w:asciiTheme="minorHAnsi" w:hAnsiTheme="minorHAnsi" w:cstheme="minorHAnsi"/>
          <w:i/>
        </w:rPr>
        <w:t>Mendelian randomization studies</w:t>
      </w:r>
      <w:r w:rsidR="00D078EC" w:rsidRPr="008706B1">
        <w:rPr>
          <w:rFonts w:asciiTheme="minorHAnsi" w:hAnsiTheme="minorHAnsi" w:cstheme="minorHAnsi"/>
          <w:i/>
        </w:rPr>
        <w:t xml:space="preserve"> </w:t>
      </w:r>
      <w:r w:rsidR="00B9108A">
        <w:rPr>
          <w:rFonts w:asciiTheme="minorHAnsi" w:hAnsiTheme="minorHAnsi" w:cstheme="minorHAnsi"/>
          <w:i/>
        </w:rPr>
        <w:t xml:space="preserve">that identify and use </w:t>
      </w:r>
      <w:r w:rsidR="00D078EC" w:rsidRPr="008706B1">
        <w:rPr>
          <w:rFonts w:asciiTheme="minorHAnsi" w:hAnsiTheme="minorHAnsi" w:cstheme="minorHAnsi"/>
          <w:i/>
        </w:rPr>
        <w:t xml:space="preserve">genetic instruments of </w:t>
      </w:r>
      <w:r w:rsidR="00B4263B">
        <w:rPr>
          <w:rFonts w:asciiTheme="minorHAnsi" w:hAnsiTheme="minorHAnsi" w:cstheme="minorHAnsi"/>
          <w:i/>
        </w:rPr>
        <w:t xml:space="preserve">specific exposures – such as alcohol, tobacco, </w:t>
      </w:r>
      <w:r w:rsidR="00D078EC" w:rsidRPr="008706B1">
        <w:rPr>
          <w:rFonts w:asciiTheme="minorHAnsi" w:hAnsiTheme="minorHAnsi" w:cstheme="minorHAnsi"/>
          <w:i/>
        </w:rPr>
        <w:t>cannabis</w:t>
      </w:r>
      <w:r w:rsidR="00E81597">
        <w:rPr>
          <w:rFonts w:asciiTheme="minorHAnsi" w:hAnsiTheme="minorHAnsi" w:cstheme="minorHAnsi"/>
          <w:i/>
        </w:rPr>
        <w:t xml:space="preserve">, high </w:t>
      </w:r>
      <w:r w:rsidR="00A61937">
        <w:rPr>
          <w:rFonts w:asciiTheme="minorHAnsi" w:hAnsiTheme="minorHAnsi" w:cstheme="minorHAnsi"/>
          <w:i/>
        </w:rPr>
        <w:t xml:space="preserve">BMI, </w:t>
      </w:r>
      <w:r w:rsidR="008A0B94">
        <w:rPr>
          <w:rFonts w:asciiTheme="minorHAnsi" w:hAnsiTheme="minorHAnsi" w:cstheme="minorHAnsi"/>
          <w:i/>
        </w:rPr>
        <w:t>folate or Vitamin D</w:t>
      </w:r>
      <w:r w:rsidR="00D078EC" w:rsidRPr="008706B1">
        <w:rPr>
          <w:rFonts w:asciiTheme="minorHAnsi" w:hAnsiTheme="minorHAnsi" w:cstheme="minorHAnsi"/>
          <w:i/>
        </w:rPr>
        <w:t xml:space="preserve"> exposure </w:t>
      </w:r>
      <w:r w:rsidR="007078C5" w:rsidRPr="008706B1">
        <w:rPr>
          <w:rFonts w:asciiTheme="minorHAnsi" w:hAnsiTheme="minorHAnsi" w:cstheme="minorHAnsi"/>
          <w:i/>
          <w:vertAlign w:val="superscript"/>
        </w:rPr>
        <w:t>9</w:t>
      </w:r>
      <w:r w:rsidR="00D078EC" w:rsidRPr="008706B1">
        <w:rPr>
          <w:rFonts w:asciiTheme="minorHAnsi" w:hAnsiTheme="minorHAnsi" w:cstheme="minorHAnsi"/>
          <w:i/>
        </w:rPr>
        <w:t>.</w:t>
      </w:r>
      <w:r w:rsidR="006F2C28" w:rsidRPr="008706B1">
        <w:rPr>
          <w:rFonts w:asciiTheme="minorHAnsi" w:hAnsiTheme="minorHAnsi" w:cstheme="minorHAnsi"/>
          <w:i/>
        </w:rPr>
        <w:t xml:space="preserve"> </w:t>
      </w:r>
      <w:r w:rsidR="00DB0A39">
        <w:rPr>
          <w:rFonts w:asciiTheme="minorHAnsi" w:hAnsiTheme="minorHAnsi" w:cstheme="minorHAnsi"/>
          <w:i/>
        </w:rPr>
        <w:t xml:space="preserve">Genetic </w:t>
      </w:r>
      <w:r w:rsidR="0061264B">
        <w:rPr>
          <w:rFonts w:asciiTheme="minorHAnsi" w:hAnsiTheme="minorHAnsi" w:cstheme="minorHAnsi"/>
          <w:i/>
        </w:rPr>
        <w:t xml:space="preserve">variants or </w:t>
      </w:r>
      <w:r w:rsidR="00DA339C">
        <w:rPr>
          <w:rFonts w:asciiTheme="minorHAnsi" w:hAnsiTheme="minorHAnsi" w:cstheme="minorHAnsi"/>
          <w:i/>
        </w:rPr>
        <w:t>markers</w:t>
      </w:r>
      <w:r w:rsidR="00B27271">
        <w:rPr>
          <w:rFonts w:asciiTheme="minorHAnsi" w:hAnsiTheme="minorHAnsi" w:cstheme="minorHAnsi"/>
          <w:i/>
        </w:rPr>
        <w:t xml:space="preserve"> can be shown to be </w:t>
      </w:r>
      <w:r w:rsidR="00DB0A39">
        <w:rPr>
          <w:rFonts w:asciiTheme="minorHAnsi" w:hAnsiTheme="minorHAnsi" w:cstheme="minorHAnsi"/>
          <w:i/>
        </w:rPr>
        <w:t xml:space="preserve">not confounded </w:t>
      </w:r>
      <w:r w:rsidR="001725E9">
        <w:rPr>
          <w:rFonts w:asciiTheme="minorHAnsi" w:hAnsiTheme="minorHAnsi" w:cstheme="minorHAnsi"/>
          <w:i/>
        </w:rPr>
        <w:t xml:space="preserve">by other exposures or </w:t>
      </w:r>
      <w:r w:rsidR="001E29CB">
        <w:rPr>
          <w:rFonts w:asciiTheme="minorHAnsi" w:hAnsiTheme="minorHAnsi" w:cstheme="minorHAnsi"/>
          <w:i/>
        </w:rPr>
        <w:t>subject to selection bias or reverse causation</w:t>
      </w:r>
      <w:r w:rsidR="00DE2BFF">
        <w:rPr>
          <w:rFonts w:asciiTheme="minorHAnsi" w:hAnsiTheme="minorHAnsi" w:cstheme="minorHAnsi"/>
          <w:i/>
        </w:rPr>
        <w:t xml:space="preserve">. </w:t>
      </w:r>
      <w:r w:rsidR="00724D89">
        <w:rPr>
          <w:rFonts w:asciiTheme="minorHAnsi" w:hAnsiTheme="minorHAnsi" w:cstheme="minorHAnsi"/>
          <w:i/>
        </w:rPr>
        <w:t xml:space="preserve"> </w:t>
      </w:r>
      <w:r w:rsidR="00C3471D" w:rsidRPr="008706B1">
        <w:rPr>
          <w:rFonts w:asciiTheme="minorHAnsi" w:hAnsiTheme="minorHAnsi" w:cstheme="minorHAnsi"/>
          <w:i/>
        </w:rPr>
        <w:t xml:space="preserve">We do not yet </w:t>
      </w:r>
      <w:r w:rsidR="006048B0" w:rsidRPr="008706B1">
        <w:rPr>
          <w:rFonts w:asciiTheme="minorHAnsi" w:hAnsiTheme="minorHAnsi" w:cstheme="minorHAnsi"/>
          <w:i/>
        </w:rPr>
        <w:t xml:space="preserve">have robust </w:t>
      </w:r>
      <w:r w:rsidR="007647EA" w:rsidRPr="008706B1">
        <w:rPr>
          <w:rFonts w:asciiTheme="minorHAnsi" w:hAnsiTheme="minorHAnsi" w:cstheme="minorHAnsi"/>
          <w:i/>
        </w:rPr>
        <w:t xml:space="preserve">genetic instruments of </w:t>
      </w:r>
      <w:r w:rsidR="007D6D75" w:rsidRPr="008706B1">
        <w:rPr>
          <w:rFonts w:asciiTheme="minorHAnsi" w:hAnsiTheme="minorHAnsi" w:cstheme="minorHAnsi"/>
          <w:i/>
        </w:rPr>
        <w:t>cannabis dependence and/or</w:t>
      </w:r>
      <w:r w:rsidR="00771442" w:rsidRPr="008706B1">
        <w:rPr>
          <w:rFonts w:asciiTheme="minorHAnsi" w:hAnsiTheme="minorHAnsi" w:cstheme="minorHAnsi"/>
          <w:i/>
        </w:rPr>
        <w:t xml:space="preserve"> hazardous use</w:t>
      </w:r>
      <w:r w:rsidR="004C2FB4" w:rsidRPr="008706B1">
        <w:rPr>
          <w:rFonts w:asciiTheme="minorHAnsi" w:hAnsiTheme="minorHAnsi" w:cstheme="minorHAnsi"/>
          <w:i/>
        </w:rPr>
        <w:t xml:space="preserve"> – moving beyond measures of </w:t>
      </w:r>
      <w:r w:rsidR="00D730EF" w:rsidRPr="008706B1">
        <w:rPr>
          <w:rFonts w:asciiTheme="minorHAnsi" w:hAnsiTheme="minorHAnsi" w:cstheme="minorHAnsi"/>
          <w:i/>
        </w:rPr>
        <w:t>early first or lifetime use</w:t>
      </w:r>
      <w:proofErr w:type="gramStart"/>
      <w:r w:rsidR="006F2C28" w:rsidRPr="008706B1">
        <w:rPr>
          <w:rFonts w:asciiTheme="minorHAnsi" w:hAnsiTheme="minorHAnsi" w:cstheme="minorHAnsi"/>
          <w:i/>
          <w:vertAlign w:val="superscript"/>
        </w:rPr>
        <w:t>1</w:t>
      </w:r>
      <w:r w:rsidR="00634418" w:rsidRPr="008706B1">
        <w:rPr>
          <w:rFonts w:asciiTheme="minorHAnsi" w:hAnsiTheme="minorHAnsi" w:cstheme="minorHAnsi"/>
          <w:i/>
          <w:vertAlign w:val="superscript"/>
        </w:rPr>
        <w:t>0</w:t>
      </w:r>
      <w:r w:rsidR="00724D89">
        <w:rPr>
          <w:rFonts w:asciiTheme="minorHAnsi" w:hAnsiTheme="minorHAnsi" w:cstheme="minorHAnsi"/>
          <w:i/>
          <w:vertAlign w:val="superscript"/>
        </w:rPr>
        <w:t xml:space="preserve"> </w:t>
      </w:r>
      <w:r w:rsidR="00724D89">
        <w:rPr>
          <w:rFonts w:asciiTheme="minorHAnsi" w:hAnsiTheme="minorHAnsi" w:cstheme="minorHAnsi"/>
        </w:rPr>
        <w:t xml:space="preserve"> but</w:t>
      </w:r>
      <w:proofErr w:type="gramEnd"/>
      <w:r w:rsidR="00724D89">
        <w:rPr>
          <w:rFonts w:asciiTheme="minorHAnsi" w:hAnsiTheme="minorHAnsi" w:cstheme="minorHAnsi"/>
        </w:rPr>
        <w:t xml:space="preserve"> with legalisation </w:t>
      </w:r>
      <w:r w:rsidR="00593C74">
        <w:rPr>
          <w:rFonts w:asciiTheme="minorHAnsi" w:hAnsiTheme="minorHAnsi" w:cstheme="minorHAnsi"/>
        </w:rPr>
        <w:t xml:space="preserve">there is an opportunity to generate larger studies of </w:t>
      </w:r>
      <w:r w:rsidR="00724D89">
        <w:rPr>
          <w:rFonts w:asciiTheme="minorHAnsi" w:hAnsiTheme="minorHAnsi" w:cstheme="minorHAnsi"/>
        </w:rPr>
        <w:t xml:space="preserve">richer phenotypes </w:t>
      </w:r>
      <w:r w:rsidR="00593C74">
        <w:rPr>
          <w:rFonts w:asciiTheme="minorHAnsi" w:hAnsiTheme="minorHAnsi" w:cstheme="minorHAnsi"/>
        </w:rPr>
        <w:t xml:space="preserve">of levels of cannabis exposure. </w:t>
      </w:r>
    </w:p>
    <w:p w14:paraId="1C942D03" w14:textId="27EE395F" w:rsidR="000E3EB5" w:rsidRPr="006F2C28" w:rsidRDefault="00B46C65" w:rsidP="006F2C28">
      <w:pPr>
        <w:spacing w:before="0" w:after="0" w:line="240" w:lineRule="auto"/>
        <w:ind w:firstLine="426"/>
        <w:jc w:val="both"/>
        <w:rPr>
          <w:rFonts w:asciiTheme="minorHAnsi" w:hAnsiTheme="minorHAnsi" w:cstheme="minorHAnsi"/>
        </w:rPr>
      </w:pPr>
      <w:r w:rsidRPr="006F2C28">
        <w:rPr>
          <w:rFonts w:asciiTheme="minorHAnsi" w:hAnsiTheme="minorHAnsi" w:cstheme="minorHAnsi"/>
        </w:rPr>
        <w:t xml:space="preserve">Given the research and public debate around the strength of evidence for public health risks from cannabis use, the research community </w:t>
      </w:r>
      <w:r w:rsidR="00B143EB" w:rsidRPr="006F2C28">
        <w:rPr>
          <w:rFonts w:asciiTheme="minorHAnsi" w:hAnsiTheme="minorHAnsi" w:cstheme="minorHAnsi"/>
        </w:rPr>
        <w:t xml:space="preserve">can now </w:t>
      </w:r>
      <w:r w:rsidRPr="006F2C28">
        <w:rPr>
          <w:rFonts w:asciiTheme="minorHAnsi" w:hAnsiTheme="minorHAnsi" w:cstheme="minorHAnsi"/>
        </w:rPr>
        <w:t>capitalize on the unique opportunity that these changes in legislation present to us, and use the findings to inform evidence-based policy changes throughout the rest of the world.</w:t>
      </w:r>
    </w:p>
    <w:p w14:paraId="240EF0FA" w14:textId="6C3F5EF0" w:rsidR="006F2C28" w:rsidRDefault="006F2C28" w:rsidP="006F2C28">
      <w:pPr>
        <w:spacing w:before="0" w:after="0" w:line="240" w:lineRule="auto"/>
        <w:jc w:val="both"/>
        <w:rPr>
          <w:rFonts w:asciiTheme="minorHAnsi" w:hAnsiTheme="minorHAnsi" w:cstheme="minorHAnsi"/>
        </w:rPr>
      </w:pPr>
    </w:p>
    <w:p w14:paraId="28FE33C5" w14:textId="77777777" w:rsidR="006F2C28" w:rsidRPr="006F2C28" w:rsidRDefault="006F2C28" w:rsidP="006F2C28">
      <w:pPr>
        <w:widowControl w:val="0"/>
        <w:spacing w:before="0" w:after="0" w:line="240" w:lineRule="auto"/>
        <w:jc w:val="both"/>
        <w:rPr>
          <w:rFonts w:asciiTheme="minorHAnsi" w:hAnsiTheme="minorHAnsi" w:cstheme="minorHAnsi"/>
          <w:vertAlign w:val="superscript"/>
        </w:rPr>
      </w:pPr>
      <w:r w:rsidRPr="006F2C28">
        <w:rPr>
          <w:rFonts w:asciiTheme="minorHAnsi" w:hAnsiTheme="minorHAnsi" w:cstheme="minorHAnsi"/>
        </w:rPr>
        <w:t>Matthew Hickman</w:t>
      </w:r>
      <w:r w:rsidRPr="006F2C28">
        <w:rPr>
          <w:rFonts w:asciiTheme="minorHAnsi" w:hAnsiTheme="minorHAnsi" w:cstheme="minorHAnsi"/>
          <w:vertAlign w:val="superscript"/>
        </w:rPr>
        <w:t>1</w:t>
      </w:r>
      <w:r w:rsidRPr="006F2C28">
        <w:rPr>
          <w:rFonts w:asciiTheme="minorHAnsi" w:hAnsiTheme="minorHAnsi" w:cstheme="minorHAnsi"/>
        </w:rPr>
        <w:t>, Lindsey Hines</w:t>
      </w:r>
      <w:r w:rsidRPr="006F2C28">
        <w:rPr>
          <w:rFonts w:asciiTheme="minorHAnsi" w:hAnsiTheme="minorHAnsi" w:cstheme="minorHAnsi"/>
          <w:vertAlign w:val="superscript"/>
        </w:rPr>
        <w:t>1</w:t>
      </w:r>
      <w:r w:rsidRPr="006F2C28">
        <w:rPr>
          <w:rFonts w:asciiTheme="minorHAnsi" w:hAnsiTheme="minorHAnsi" w:cstheme="minorHAnsi"/>
        </w:rPr>
        <w:t>, Suzie Gage</w:t>
      </w:r>
      <w:r w:rsidRPr="006F2C28">
        <w:rPr>
          <w:rFonts w:asciiTheme="minorHAnsi" w:hAnsiTheme="minorHAnsi" w:cstheme="minorHAnsi"/>
          <w:vertAlign w:val="superscript"/>
        </w:rPr>
        <w:t>2</w:t>
      </w:r>
    </w:p>
    <w:p w14:paraId="27D5C3A0" w14:textId="5CCE3285" w:rsidR="006F2C28" w:rsidRPr="006F2C28" w:rsidRDefault="006F2C28" w:rsidP="006F2C28">
      <w:pPr>
        <w:widowControl w:val="0"/>
        <w:spacing w:before="0" w:after="0" w:line="240" w:lineRule="auto"/>
        <w:jc w:val="both"/>
        <w:rPr>
          <w:rFonts w:asciiTheme="minorHAnsi" w:hAnsiTheme="minorHAnsi" w:cstheme="minorHAnsi"/>
          <w:sz w:val="20"/>
          <w:szCs w:val="20"/>
        </w:rPr>
      </w:pPr>
      <w:r w:rsidRPr="006F2C28">
        <w:rPr>
          <w:rFonts w:asciiTheme="minorHAnsi" w:hAnsiTheme="minorHAnsi" w:cstheme="minorHAnsi"/>
          <w:sz w:val="20"/>
          <w:szCs w:val="20"/>
          <w:vertAlign w:val="superscript"/>
        </w:rPr>
        <w:t>1</w:t>
      </w:r>
      <w:r w:rsidRPr="006F2C28">
        <w:rPr>
          <w:rFonts w:asciiTheme="minorHAnsi" w:hAnsiTheme="minorHAnsi" w:cstheme="minorHAnsi"/>
          <w:sz w:val="20"/>
          <w:szCs w:val="20"/>
        </w:rPr>
        <w:t xml:space="preserve">Population Health Sciences, Bristol Medical School, University of Bristol, Bristol, UK; </w:t>
      </w:r>
      <w:r w:rsidRPr="006F2C28">
        <w:rPr>
          <w:rFonts w:asciiTheme="minorHAnsi" w:hAnsiTheme="minorHAnsi" w:cstheme="minorHAnsi"/>
          <w:sz w:val="20"/>
          <w:szCs w:val="20"/>
          <w:vertAlign w:val="superscript"/>
        </w:rPr>
        <w:t>2</w:t>
      </w:r>
      <w:r w:rsidRPr="006F2C28">
        <w:rPr>
          <w:rFonts w:asciiTheme="minorHAnsi" w:hAnsiTheme="minorHAnsi" w:cstheme="minorHAnsi"/>
          <w:sz w:val="20"/>
          <w:szCs w:val="20"/>
        </w:rPr>
        <w:t>Department of Psychological Sciences, University of Liverpool, Liverpool, UK</w:t>
      </w:r>
    </w:p>
    <w:p w14:paraId="562A1F43" w14:textId="328F4DBB" w:rsidR="006F2C28" w:rsidRDefault="006F2C28" w:rsidP="006F2C28">
      <w:pPr>
        <w:spacing w:before="0" w:after="0" w:line="240" w:lineRule="auto"/>
        <w:jc w:val="both"/>
        <w:rPr>
          <w:rFonts w:asciiTheme="minorHAnsi" w:hAnsiTheme="minorHAnsi" w:cstheme="minorHAnsi"/>
          <w:sz w:val="20"/>
          <w:szCs w:val="20"/>
        </w:rPr>
      </w:pPr>
    </w:p>
    <w:p w14:paraId="53764144" w14:textId="3C180AC9" w:rsidR="006F2C28" w:rsidRDefault="006F2C28" w:rsidP="006F2C28">
      <w:pPr>
        <w:pStyle w:val="ListParagraph"/>
        <w:numPr>
          <w:ilvl w:val="0"/>
          <w:numId w:val="3"/>
        </w:numPr>
        <w:spacing w:before="0" w:after="0" w:line="24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Hall W, </w:t>
      </w:r>
      <w:r w:rsidRPr="006F2C28">
        <w:rPr>
          <w:rFonts w:asciiTheme="minorHAnsi" w:hAnsiTheme="minorHAnsi" w:cstheme="minorHAnsi"/>
          <w:sz w:val="20"/>
          <w:szCs w:val="20"/>
        </w:rPr>
        <w:t xml:space="preserve">Lynskey M. World Psychiatry 2020;19:  </w:t>
      </w:r>
      <w:proofErr w:type="gramStart"/>
      <w:r w:rsidRPr="006F2C28">
        <w:rPr>
          <w:rFonts w:asciiTheme="minorHAnsi" w:hAnsiTheme="minorHAnsi" w:cstheme="minorHAnsi"/>
          <w:sz w:val="20"/>
          <w:szCs w:val="20"/>
        </w:rPr>
        <w:t xml:space="preserve">  .</w:t>
      </w:r>
      <w:proofErr w:type="gramEnd"/>
    </w:p>
    <w:p w14:paraId="6958863D" w14:textId="0FE23B91" w:rsidR="006F2C28" w:rsidRPr="002A5437" w:rsidRDefault="006F2C28" w:rsidP="006F2C28">
      <w:pPr>
        <w:pStyle w:val="ListParagraph"/>
        <w:numPr>
          <w:ilvl w:val="0"/>
          <w:numId w:val="3"/>
        </w:numPr>
        <w:spacing w:before="0" w:after="0" w:line="240" w:lineRule="auto"/>
        <w:ind w:left="284" w:hanging="284"/>
        <w:jc w:val="both"/>
        <w:rPr>
          <w:rFonts w:asciiTheme="minorHAnsi" w:hAnsiTheme="minorHAnsi" w:cstheme="minorHAnsi"/>
          <w:sz w:val="20"/>
          <w:szCs w:val="20"/>
          <w:lang w:val="en-GB"/>
        </w:rPr>
      </w:pPr>
      <w:proofErr w:type="spellStart"/>
      <w:r w:rsidRPr="006F2C28">
        <w:rPr>
          <w:rFonts w:asciiTheme="minorHAnsi" w:hAnsiTheme="minorHAnsi" w:cstheme="minorHAnsi"/>
          <w:sz w:val="20"/>
          <w:szCs w:val="20"/>
        </w:rPr>
        <w:t>Stiby</w:t>
      </w:r>
      <w:proofErr w:type="spellEnd"/>
      <w:r w:rsidRPr="006F2C28">
        <w:rPr>
          <w:rFonts w:asciiTheme="minorHAnsi" w:hAnsiTheme="minorHAnsi" w:cstheme="minorHAnsi"/>
          <w:sz w:val="20"/>
          <w:szCs w:val="20"/>
        </w:rPr>
        <w:t xml:space="preserve"> AI, Hickman M, </w:t>
      </w:r>
      <w:proofErr w:type="spellStart"/>
      <w:r w:rsidRPr="006F2C28">
        <w:rPr>
          <w:rFonts w:asciiTheme="minorHAnsi" w:hAnsiTheme="minorHAnsi" w:cstheme="minorHAnsi"/>
          <w:sz w:val="20"/>
          <w:szCs w:val="20"/>
        </w:rPr>
        <w:t>Munafò</w:t>
      </w:r>
      <w:proofErr w:type="spellEnd"/>
      <w:r w:rsidRPr="006F2C28">
        <w:rPr>
          <w:rFonts w:asciiTheme="minorHAnsi" w:hAnsiTheme="minorHAnsi" w:cstheme="minorHAnsi"/>
          <w:sz w:val="20"/>
          <w:szCs w:val="20"/>
        </w:rPr>
        <w:t xml:space="preserve"> MR et al. </w:t>
      </w:r>
      <w:r w:rsidRPr="002A5437">
        <w:rPr>
          <w:rFonts w:asciiTheme="minorHAnsi" w:hAnsiTheme="minorHAnsi" w:cstheme="minorHAnsi"/>
          <w:sz w:val="20"/>
          <w:szCs w:val="20"/>
          <w:lang w:val="en-GB"/>
        </w:rPr>
        <w:t xml:space="preserve">Addiction </w:t>
      </w:r>
      <w:r w:rsidR="002A5437">
        <w:rPr>
          <w:rFonts w:asciiTheme="minorHAnsi" w:hAnsiTheme="minorHAnsi" w:cstheme="minorHAnsi"/>
          <w:sz w:val="20"/>
          <w:szCs w:val="20"/>
        </w:rPr>
        <w:t>2015;110</w:t>
      </w:r>
      <w:r w:rsidR="002A5437" w:rsidRPr="002A5437">
        <w:rPr>
          <w:rFonts w:asciiTheme="minorHAnsi" w:hAnsiTheme="minorHAnsi" w:cstheme="minorHAnsi"/>
          <w:sz w:val="20"/>
          <w:szCs w:val="20"/>
        </w:rPr>
        <w:t>:658-68</w:t>
      </w:r>
    </w:p>
    <w:p w14:paraId="0422B1EC" w14:textId="3CA0F430" w:rsidR="006F2C28" w:rsidRPr="006F2C28" w:rsidRDefault="006F2C28" w:rsidP="006F2C28">
      <w:pPr>
        <w:pStyle w:val="ListParagraph"/>
        <w:numPr>
          <w:ilvl w:val="0"/>
          <w:numId w:val="3"/>
        </w:numPr>
        <w:spacing w:before="0" w:after="0" w:line="240" w:lineRule="auto"/>
        <w:ind w:left="284" w:hanging="284"/>
        <w:jc w:val="both"/>
        <w:rPr>
          <w:rFonts w:asciiTheme="minorHAnsi" w:hAnsiTheme="minorHAnsi" w:cstheme="minorHAnsi"/>
          <w:sz w:val="20"/>
          <w:szCs w:val="20"/>
        </w:rPr>
      </w:pPr>
      <w:r w:rsidRPr="006F2C28">
        <w:rPr>
          <w:rFonts w:asciiTheme="minorHAnsi" w:hAnsiTheme="minorHAnsi" w:cstheme="minorHAnsi"/>
          <w:sz w:val="20"/>
          <w:szCs w:val="20"/>
          <w:lang w:val="it-IT"/>
        </w:rPr>
        <w:t xml:space="preserve">Di Forti M, Quattrone D, Freeman TP et al. </w:t>
      </w:r>
      <w:r w:rsidRPr="006F2C28">
        <w:rPr>
          <w:rFonts w:asciiTheme="minorHAnsi" w:hAnsiTheme="minorHAnsi" w:cstheme="minorHAnsi"/>
          <w:sz w:val="20"/>
          <w:szCs w:val="20"/>
        </w:rPr>
        <w:t xml:space="preserve">Lancet Psychiatry </w:t>
      </w:r>
      <w:proofErr w:type="gramStart"/>
      <w:r w:rsidRPr="006F2C28">
        <w:rPr>
          <w:rFonts w:asciiTheme="minorHAnsi" w:hAnsiTheme="minorHAnsi" w:cstheme="minorHAnsi"/>
          <w:sz w:val="20"/>
          <w:szCs w:val="20"/>
        </w:rPr>
        <w:t>2019;6:427</w:t>
      </w:r>
      <w:proofErr w:type="gramEnd"/>
      <w:r w:rsidRPr="006F2C28">
        <w:rPr>
          <w:rFonts w:asciiTheme="minorHAnsi" w:hAnsiTheme="minorHAnsi" w:cstheme="minorHAnsi"/>
          <w:sz w:val="20"/>
          <w:szCs w:val="20"/>
        </w:rPr>
        <w:t xml:space="preserve">-36. </w:t>
      </w:r>
    </w:p>
    <w:p w14:paraId="42106375" w14:textId="0922031D" w:rsidR="006F2C28" w:rsidRPr="006F2C28" w:rsidRDefault="006F2C28" w:rsidP="006F2C28">
      <w:pPr>
        <w:pStyle w:val="ListParagraph"/>
        <w:numPr>
          <w:ilvl w:val="0"/>
          <w:numId w:val="3"/>
        </w:numPr>
        <w:spacing w:before="0" w:after="0" w:line="240" w:lineRule="auto"/>
        <w:ind w:left="284" w:hanging="284"/>
        <w:jc w:val="both"/>
        <w:rPr>
          <w:rFonts w:asciiTheme="minorHAnsi" w:hAnsiTheme="minorHAnsi" w:cstheme="minorHAnsi"/>
          <w:sz w:val="20"/>
          <w:szCs w:val="20"/>
        </w:rPr>
      </w:pPr>
      <w:r w:rsidRPr="006F2C28">
        <w:rPr>
          <w:rFonts w:asciiTheme="minorHAnsi" w:hAnsiTheme="minorHAnsi" w:cstheme="minorHAnsi"/>
          <w:sz w:val="20"/>
          <w:szCs w:val="20"/>
        </w:rPr>
        <w:t xml:space="preserve">Gage SH, Hickman M, Heron J et al. </w:t>
      </w:r>
      <w:proofErr w:type="spellStart"/>
      <w:r w:rsidRPr="006F2C28">
        <w:rPr>
          <w:rFonts w:asciiTheme="minorHAnsi" w:hAnsiTheme="minorHAnsi" w:cstheme="minorHAnsi"/>
          <w:sz w:val="20"/>
          <w:szCs w:val="20"/>
        </w:rPr>
        <w:t>PLoS</w:t>
      </w:r>
      <w:proofErr w:type="spellEnd"/>
      <w:r w:rsidRPr="006F2C28">
        <w:rPr>
          <w:rFonts w:asciiTheme="minorHAnsi" w:hAnsiTheme="minorHAnsi" w:cstheme="minorHAnsi"/>
          <w:sz w:val="20"/>
          <w:szCs w:val="20"/>
        </w:rPr>
        <w:t xml:space="preserve"> One 2015;</w:t>
      </w:r>
      <w:proofErr w:type="gramStart"/>
      <w:r w:rsidRPr="006F2C28">
        <w:rPr>
          <w:rFonts w:asciiTheme="minorHAnsi" w:hAnsiTheme="minorHAnsi" w:cstheme="minorHAnsi"/>
          <w:sz w:val="20"/>
          <w:szCs w:val="20"/>
        </w:rPr>
        <w:t>10:e</w:t>
      </w:r>
      <w:proofErr w:type="gramEnd"/>
      <w:r w:rsidRPr="006F2C28">
        <w:rPr>
          <w:rFonts w:asciiTheme="minorHAnsi" w:hAnsiTheme="minorHAnsi" w:cstheme="minorHAnsi"/>
          <w:sz w:val="20"/>
          <w:szCs w:val="20"/>
        </w:rPr>
        <w:t xml:space="preserve">0122896. </w:t>
      </w:r>
    </w:p>
    <w:p w14:paraId="09C4463D" w14:textId="2E9796D2" w:rsidR="006F2C28" w:rsidRPr="006F2C28" w:rsidRDefault="006F2C28" w:rsidP="006F2C28">
      <w:pPr>
        <w:pStyle w:val="ListParagraph"/>
        <w:numPr>
          <w:ilvl w:val="0"/>
          <w:numId w:val="3"/>
        </w:numPr>
        <w:spacing w:before="0" w:after="0" w:line="240" w:lineRule="auto"/>
        <w:ind w:left="284" w:hanging="284"/>
        <w:jc w:val="both"/>
        <w:rPr>
          <w:rFonts w:asciiTheme="minorHAnsi" w:hAnsiTheme="minorHAnsi" w:cstheme="minorHAnsi"/>
          <w:sz w:val="20"/>
          <w:szCs w:val="20"/>
        </w:rPr>
      </w:pPr>
      <w:r w:rsidRPr="006F2C28">
        <w:rPr>
          <w:rFonts w:asciiTheme="minorHAnsi" w:hAnsiTheme="minorHAnsi" w:cstheme="minorHAnsi"/>
          <w:sz w:val="20"/>
          <w:szCs w:val="20"/>
        </w:rPr>
        <w:t xml:space="preserve">Freeman TP, Lorenzetti V. Addiction </w:t>
      </w:r>
      <w:r w:rsidR="002A5437">
        <w:rPr>
          <w:rFonts w:asciiTheme="minorHAnsi" w:hAnsiTheme="minorHAnsi" w:cstheme="minorHAnsi"/>
          <w:sz w:val="20"/>
          <w:szCs w:val="20"/>
        </w:rPr>
        <w:t>(in press).</w:t>
      </w:r>
    </w:p>
    <w:p w14:paraId="49C7579E" w14:textId="5E697DC5" w:rsidR="006F2C28" w:rsidRPr="006F2C28" w:rsidRDefault="006F2C28" w:rsidP="006F2C28">
      <w:pPr>
        <w:pStyle w:val="ListParagraph"/>
        <w:numPr>
          <w:ilvl w:val="0"/>
          <w:numId w:val="3"/>
        </w:numPr>
        <w:spacing w:before="0" w:after="0" w:line="240" w:lineRule="auto"/>
        <w:ind w:left="284" w:hanging="284"/>
        <w:jc w:val="both"/>
        <w:rPr>
          <w:rFonts w:asciiTheme="minorHAnsi" w:hAnsiTheme="minorHAnsi" w:cstheme="minorHAnsi"/>
          <w:sz w:val="20"/>
          <w:szCs w:val="20"/>
        </w:rPr>
      </w:pPr>
      <w:r w:rsidRPr="006F2C28">
        <w:rPr>
          <w:rFonts w:asciiTheme="minorHAnsi" w:hAnsiTheme="minorHAnsi" w:cstheme="minorHAnsi"/>
          <w:sz w:val="20"/>
          <w:szCs w:val="20"/>
          <w:lang w:val="fr-FR"/>
        </w:rPr>
        <w:t xml:space="preserve">Hines LA, Morley KI, Strang J et al. </w:t>
      </w:r>
      <w:r w:rsidRPr="006F2C28">
        <w:rPr>
          <w:rFonts w:asciiTheme="minorHAnsi" w:hAnsiTheme="minorHAnsi" w:cstheme="minorHAnsi"/>
          <w:sz w:val="20"/>
          <w:szCs w:val="20"/>
        </w:rPr>
        <w:t xml:space="preserve">Drug Alcohol Depend </w:t>
      </w:r>
      <w:proofErr w:type="gramStart"/>
      <w:r w:rsidRPr="006F2C28">
        <w:rPr>
          <w:rFonts w:asciiTheme="minorHAnsi" w:hAnsiTheme="minorHAnsi" w:cstheme="minorHAnsi"/>
          <w:sz w:val="20"/>
          <w:szCs w:val="20"/>
        </w:rPr>
        <w:t>2016;160:57</w:t>
      </w:r>
      <w:proofErr w:type="gramEnd"/>
      <w:r w:rsidRPr="006F2C28">
        <w:rPr>
          <w:rFonts w:asciiTheme="minorHAnsi" w:hAnsiTheme="minorHAnsi" w:cstheme="minorHAnsi"/>
          <w:sz w:val="20"/>
          <w:szCs w:val="20"/>
        </w:rPr>
        <w:t xml:space="preserve">-64. </w:t>
      </w:r>
    </w:p>
    <w:p w14:paraId="6753D69D" w14:textId="7DA19662" w:rsidR="006F2C28" w:rsidRPr="006F2C28" w:rsidRDefault="006F2C28" w:rsidP="00634418">
      <w:pPr>
        <w:pStyle w:val="ListParagraph"/>
        <w:numPr>
          <w:ilvl w:val="0"/>
          <w:numId w:val="3"/>
        </w:numPr>
        <w:spacing w:before="0" w:after="0" w:line="240" w:lineRule="auto"/>
        <w:ind w:left="284" w:hanging="284"/>
        <w:jc w:val="both"/>
        <w:rPr>
          <w:rFonts w:asciiTheme="minorHAnsi" w:hAnsiTheme="minorHAnsi" w:cstheme="minorHAnsi"/>
          <w:sz w:val="20"/>
          <w:szCs w:val="20"/>
        </w:rPr>
      </w:pPr>
      <w:r w:rsidRPr="006F2C28">
        <w:rPr>
          <w:rFonts w:asciiTheme="minorHAnsi" w:hAnsiTheme="minorHAnsi" w:cstheme="minorHAnsi"/>
          <w:sz w:val="20"/>
          <w:szCs w:val="20"/>
        </w:rPr>
        <w:t xml:space="preserve">Gage SH, Hickman M, Zammit S. Biol Psychiatry 2016;79:549-56. </w:t>
      </w:r>
    </w:p>
    <w:p w14:paraId="165D2087" w14:textId="0F3996F6" w:rsidR="006F2C28" w:rsidRPr="006F2C28" w:rsidRDefault="006F2C28" w:rsidP="002A5437">
      <w:pPr>
        <w:pStyle w:val="ListParagraph"/>
        <w:numPr>
          <w:ilvl w:val="0"/>
          <w:numId w:val="3"/>
        </w:numPr>
        <w:spacing w:before="0" w:after="0" w:line="240" w:lineRule="auto"/>
        <w:ind w:left="284" w:hanging="426"/>
        <w:jc w:val="both"/>
        <w:rPr>
          <w:rFonts w:asciiTheme="minorHAnsi" w:hAnsiTheme="minorHAnsi" w:cstheme="minorHAnsi"/>
          <w:sz w:val="20"/>
          <w:szCs w:val="20"/>
        </w:rPr>
      </w:pPr>
      <w:proofErr w:type="spellStart"/>
      <w:r w:rsidRPr="006F2C28">
        <w:rPr>
          <w:rFonts w:asciiTheme="minorHAnsi" w:hAnsiTheme="minorHAnsi" w:cstheme="minorHAnsi"/>
          <w:sz w:val="20"/>
          <w:szCs w:val="20"/>
        </w:rPr>
        <w:t>Minica</w:t>
      </w:r>
      <w:proofErr w:type="spellEnd"/>
      <w:r w:rsidRPr="006F2C28">
        <w:rPr>
          <w:rFonts w:asciiTheme="minorHAnsi" w:hAnsiTheme="minorHAnsi" w:cstheme="minorHAnsi"/>
          <w:sz w:val="20"/>
          <w:szCs w:val="20"/>
        </w:rPr>
        <w:t xml:space="preserve"> CC, Verweij KJH, van der Most PJ et al. Addiction 2018;113:2073-86. </w:t>
      </w:r>
    </w:p>
    <w:p w14:paraId="3EA5DFE4" w14:textId="2E421FB9" w:rsidR="006F2C28" w:rsidRPr="006F2C28" w:rsidRDefault="006F2C28" w:rsidP="006F2C28">
      <w:pPr>
        <w:spacing w:before="0" w:after="0" w:line="240" w:lineRule="auto"/>
        <w:jc w:val="both"/>
        <w:rPr>
          <w:rFonts w:asciiTheme="minorHAnsi" w:hAnsiTheme="minorHAnsi" w:cstheme="minorHAnsi"/>
          <w:sz w:val="20"/>
          <w:szCs w:val="20"/>
        </w:rPr>
      </w:pPr>
    </w:p>
    <w:sectPr w:rsidR="006F2C28" w:rsidRPr="006F2C28" w:rsidSect="006F2C2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723D4" w14:textId="77777777" w:rsidR="00EC6216" w:rsidRDefault="00EC6216" w:rsidP="005D6B4F">
      <w:pPr>
        <w:spacing w:before="0" w:after="0" w:line="240" w:lineRule="auto"/>
      </w:pPr>
      <w:r>
        <w:separator/>
      </w:r>
    </w:p>
  </w:endnote>
  <w:endnote w:type="continuationSeparator" w:id="0">
    <w:p w14:paraId="297F8F80" w14:textId="77777777" w:rsidR="00EC6216" w:rsidRDefault="00EC6216" w:rsidP="005D6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429DC" w14:textId="77777777" w:rsidR="00EC6216" w:rsidRDefault="00EC6216" w:rsidP="005D6B4F">
      <w:pPr>
        <w:spacing w:before="0" w:after="0" w:line="240" w:lineRule="auto"/>
      </w:pPr>
      <w:r>
        <w:separator/>
      </w:r>
    </w:p>
  </w:footnote>
  <w:footnote w:type="continuationSeparator" w:id="0">
    <w:p w14:paraId="1A8D551E" w14:textId="77777777" w:rsidR="00EC6216" w:rsidRDefault="00EC6216" w:rsidP="005D6B4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7EA"/>
    <w:multiLevelType w:val="hybridMultilevel"/>
    <w:tmpl w:val="82986F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292F73"/>
    <w:multiLevelType w:val="hybridMultilevel"/>
    <w:tmpl w:val="81180A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6373F4"/>
    <w:multiLevelType w:val="hybridMultilevel"/>
    <w:tmpl w:val="BFB63A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9zr5pp39xrvzex52rv5rs95ve55vsf0rra&quot;&gt;cannabis&lt;record-ids&gt;&lt;item&gt;396&lt;/item&gt;&lt;item&gt;966&lt;/item&gt;&lt;item&gt;992&lt;/item&gt;&lt;item&gt;995&lt;/item&gt;&lt;item&gt;997&lt;/item&gt;&lt;item&gt;1001&lt;/item&gt;&lt;item&gt;1002&lt;/item&gt;&lt;item&gt;1004&lt;/item&gt;&lt;item&gt;1009&lt;/item&gt;&lt;item&gt;1011&lt;/item&gt;&lt;item&gt;1012&lt;/item&gt;&lt;/record-ids&gt;&lt;/item&gt;&lt;/Libraries&gt;"/>
  </w:docVars>
  <w:rsids>
    <w:rsidRoot w:val="005D6B4F"/>
    <w:rsid w:val="00077DB8"/>
    <w:rsid w:val="000A6CFE"/>
    <w:rsid w:val="000B6C21"/>
    <w:rsid w:val="000D1094"/>
    <w:rsid w:val="000D21D1"/>
    <w:rsid w:val="000E17E6"/>
    <w:rsid w:val="000E3830"/>
    <w:rsid w:val="000E3EB5"/>
    <w:rsid w:val="000E7B56"/>
    <w:rsid w:val="000F2233"/>
    <w:rsid w:val="0010135C"/>
    <w:rsid w:val="0011360F"/>
    <w:rsid w:val="00141367"/>
    <w:rsid w:val="00143644"/>
    <w:rsid w:val="001512A0"/>
    <w:rsid w:val="00154003"/>
    <w:rsid w:val="001725E9"/>
    <w:rsid w:val="00175D93"/>
    <w:rsid w:val="00194615"/>
    <w:rsid w:val="001E29CB"/>
    <w:rsid w:val="00200BF1"/>
    <w:rsid w:val="00213439"/>
    <w:rsid w:val="00226812"/>
    <w:rsid w:val="00231749"/>
    <w:rsid w:val="00241148"/>
    <w:rsid w:val="00251E22"/>
    <w:rsid w:val="00262645"/>
    <w:rsid w:val="002701AB"/>
    <w:rsid w:val="00287E90"/>
    <w:rsid w:val="00290D7A"/>
    <w:rsid w:val="00294108"/>
    <w:rsid w:val="002A5437"/>
    <w:rsid w:val="002B1DD2"/>
    <w:rsid w:val="002B5644"/>
    <w:rsid w:val="002D2C16"/>
    <w:rsid w:val="002E7B16"/>
    <w:rsid w:val="00311E6B"/>
    <w:rsid w:val="00330586"/>
    <w:rsid w:val="00343C2A"/>
    <w:rsid w:val="00351917"/>
    <w:rsid w:val="00375AEC"/>
    <w:rsid w:val="0039206C"/>
    <w:rsid w:val="003A3BA0"/>
    <w:rsid w:val="003A7795"/>
    <w:rsid w:val="003B7576"/>
    <w:rsid w:val="003C1D82"/>
    <w:rsid w:val="003C3BBC"/>
    <w:rsid w:val="003C73AF"/>
    <w:rsid w:val="003D168A"/>
    <w:rsid w:val="003E1D3F"/>
    <w:rsid w:val="003E257F"/>
    <w:rsid w:val="00404C7E"/>
    <w:rsid w:val="00411B67"/>
    <w:rsid w:val="004213AC"/>
    <w:rsid w:val="0042175B"/>
    <w:rsid w:val="00422D4F"/>
    <w:rsid w:val="00424E6C"/>
    <w:rsid w:val="00451300"/>
    <w:rsid w:val="004541A0"/>
    <w:rsid w:val="00470F76"/>
    <w:rsid w:val="00474442"/>
    <w:rsid w:val="0047504B"/>
    <w:rsid w:val="0048175B"/>
    <w:rsid w:val="0048642B"/>
    <w:rsid w:val="00492421"/>
    <w:rsid w:val="00496957"/>
    <w:rsid w:val="004A2611"/>
    <w:rsid w:val="004B6A58"/>
    <w:rsid w:val="004C2FB4"/>
    <w:rsid w:val="004D693C"/>
    <w:rsid w:val="004E401B"/>
    <w:rsid w:val="004E70D7"/>
    <w:rsid w:val="00502C5B"/>
    <w:rsid w:val="005221DD"/>
    <w:rsid w:val="005271BF"/>
    <w:rsid w:val="005378FD"/>
    <w:rsid w:val="00581455"/>
    <w:rsid w:val="00581CB4"/>
    <w:rsid w:val="00593C74"/>
    <w:rsid w:val="005A001F"/>
    <w:rsid w:val="005A106E"/>
    <w:rsid w:val="005A360B"/>
    <w:rsid w:val="005A60DB"/>
    <w:rsid w:val="005A641F"/>
    <w:rsid w:val="005D3C66"/>
    <w:rsid w:val="005D6B4F"/>
    <w:rsid w:val="005D7B10"/>
    <w:rsid w:val="005E1DD2"/>
    <w:rsid w:val="005F484D"/>
    <w:rsid w:val="006000B3"/>
    <w:rsid w:val="00604460"/>
    <w:rsid w:val="006048B0"/>
    <w:rsid w:val="00605B33"/>
    <w:rsid w:val="0061264B"/>
    <w:rsid w:val="0063124E"/>
    <w:rsid w:val="00634418"/>
    <w:rsid w:val="00636F3B"/>
    <w:rsid w:val="00663108"/>
    <w:rsid w:val="006645BB"/>
    <w:rsid w:val="00682D07"/>
    <w:rsid w:val="006A5BE3"/>
    <w:rsid w:val="006C225F"/>
    <w:rsid w:val="006C5E16"/>
    <w:rsid w:val="006E5EE0"/>
    <w:rsid w:val="006F0BB4"/>
    <w:rsid w:val="006F2C28"/>
    <w:rsid w:val="00700F87"/>
    <w:rsid w:val="0070121B"/>
    <w:rsid w:val="00702CE3"/>
    <w:rsid w:val="007078C5"/>
    <w:rsid w:val="00724D89"/>
    <w:rsid w:val="00734E42"/>
    <w:rsid w:val="007352CA"/>
    <w:rsid w:val="007405FA"/>
    <w:rsid w:val="007571F4"/>
    <w:rsid w:val="007573AE"/>
    <w:rsid w:val="007647EA"/>
    <w:rsid w:val="00771442"/>
    <w:rsid w:val="0077540C"/>
    <w:rsid w:val="007C102A"/>
    <w:rsid w:val="007D6D75"/>
    <w:rsid w:val="00822CC0"/>
    <w:rsid w:val="0082725E"/>
    <w:rsid w:val="008331EF"/>
    <w:rsid w:val="00835EE9"/>
    <w:rsid w:val="00846896"/>
    <w:rsid w:val="008529AE"/>
    <w:rsid w:val="008557DB"/>
    <w:rsid w:val="008706B1"/>
    <w:rsid w:val="0087527B"/>
    <w:rsid w:val="00884140"/>
    <w:rsid w:val="00894D38"/>
    <w:rsid w:val="008A0B94"/>
    <w:rsid w:val="008A0EA6"/>
    <w:rsid w:val="008B1A9F"/>
    <w:rsid w:val="008B7AD2"/>
    <w:rsid w:val="008C45EA"/>
    <w:rsid w:val="008C4E9D"/>
    <w:rsid w:val="00904054"/>
    <w:rsid w:val="00922609"/>
    <w:rsid w:val="0096309E"/>
    <w:rsid w:val="009666FE"/>
    <w:rsid w:val="0097491E"/>
    <w:rsid w:val="009925D6"/>
    <w:rsid w:val="009B2255"/>
    <w:rsid w:val="009D516B"/>
    <w:rsid w:val="00A144ED"/>
    <w:rsid w:val="00A24074"/>
    <w:rsid w:val="00A36CEB"/>
    <w:rsid w:val="00A61937"/>
    <w:rsid w:val="00A71884"/>
    <w:rsid w:val="00A91408"/>
    <w:rsid w:val="00AB30DD"/>
    <w:rsid w:val="00AC0151"/>
    <w:rsid w:val="00AC02EF"/>
    <w:rsid w:val="00AC47A7"/>
    <w:rsid w:val="00AD0D84"/>
    <w:rsid w:val="00B00879"/>
    <w:rsid w:val="00B0377E"/>
    <w:rsid w:val="00B07B54"/>
    <w:rsid w:val="00B143EB"/>
    <w:rsid w:val="00B27107"/>
    <w:rsid w:val="00B27271"/>
    <w:rsid w:val="00B4263B"/>
    <w:rsid w:val="00B46C65"/>
    <w:rsid w:val="00B4776E"/>
    <w:rsid w:val="00B506A1"/>
    <w:rsid w:val="00B707ED"/>
    <w:rsid w:val="00B90ECC"/>
    <w:rsid w:val="00B9108A"/>
    <w:rsid w:val="00BA1F6D"/>
    <w:rsid w:val="00BA2CCF"/>
    <w:rsid w:val="00BA79CE"/>
    <w:rsid w:val="00BB68D8"/>
    <w:rsid w:val="00BD419B"/>
    <w:rsid w:val="00C075B2"/>
    <w:rsid w:val="00C3471D"/>
    <w:rsid w:val="00C355CD"/>
    <w:rsid w:val="00C40B9F"/>
    <w:rsid w:val="00C4504B"/>
    <w:rsid w:val="00C54389"/>
    <w:rsid w:val="00C711DF"/>
    <w:rsid w:val="00C716E6"/>
    <w:rsid w:val="00C761DE"/>
    <w:rsid w:val="00C90C1D"/>
    <w:rsid w:val="00C90D0F"/>
    <w:rsid w:val="00C91002"/>
    <w:rsid w:val="00D078EC"/>
    <w:rsid w:val="00D109EB"/>
    <w:rsid w:val="00D118C7"/>
    <w:rsid w:val="00D23478"/>
    <w:rsid w:val="00D2468E"/>
    <w:rsid w:val="00D31324"/>
    <w:rsid w:val="00D34725"/>
    <w:rsid w:val="00D34F3E"/>
    <w:rsid w:val="00D40E90"/>
    <w:rsid w:val="00D413E6"/>
    <w:rsid w:val="00D46011"/>
    <w:rsid w:val="00D6446A"/>
    <w:rsid w:val="00D730EF"/>
    <w:rsid w:val="00D740B8"/>
    <w:rsid w:val="00DA339C"/>
    <w:rsid w:val="00DA4555"/>
    <w:rsid w:val="00DB0A39"/>
    <w:rsid w:val="00DE1BF0"/>
    <w:rsid w:val="00DE2BFF"/>
    <w:rsid w:val="00DE32D7"/>
    <w:rsid w:val="00DE6066"/>
    <w:rsid w:val="00DF0644"/>
    <w:rsid w:val="00DF7210"/>
    <w:rsid w:val="00E10D9A"/>
    <w:rsid w:val="00E136A7"/>
    <w:rsid w:val="00E529A6"/>
    <w:rsid w:val="00E53D0C"/>
    <w:rsid w:val="00E60370"/>
    <w:rsid w:val="00E77743"/>
    <w:rsid w:val="00E81597"/>
    <w:rsid w:val="00E8187A"/>
    <w:rsid w:val="00EB383A"/>
    <w:rsid w:val="00EC6216"/>
    <w:rsid w:val="00EE121B"/>
    <w:rsid w:val="00EE642B"/>
    <w:rsid w:val="00F10782"/>
    <w:rsid w:val="00F1192D"/>
    <w:rsid w:val="00F12D5B"/>
    <w:rsid w:val="00F22310"/>
    <w:rsid w:val="00F54D43"/>
    <w:rsid w:val="00F822B5"/>
    <w:rsid w:val="00F83723"/>
    <w:rsid w:val="00F93848"/>
    <w:rsid w:val="00FA61FA"/>
    <w:rsid w:val="00FB66B2"/>
    <w:rsid w:val="00FE7E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A3933"/>
  <w15:chartTrackingRefBased/>
  <w15:docId w15:val="{35BEB8F1-07AD-49AA-B37F-86CCFDE5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B4F"/>
    <w:pPr>
      <w:spacing w:before="240" w:after="440" w:line="276" w:lineRule="auto"/>
    </w:pPr>
    <w:rPr>
      <w:rFonts w:ascii="Calibri" w:eastAsia="Calibri" w:hAnsi="Calibri" w:cs="Times New Roma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B4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B4F"/>
    <w:rPr>
      <w:rFonts w:ascii="Segoe UI" w:eastAsia="Calibri" w:hAnsi="Segoe UI" w:cs="Segoe UI"/>
      <w:sz w:val="18"/>
      <w:szCs w:val="18"/>
      <w:lang w:val="en-AU" w:eastAsia="en-US"/>
    </w:rPr>
  </w:style>
  <w:style w:type="paragraph" w:styleId="Bibliography">
    <w:name w:val="Bibliography"/>
    <w:basedOn w:val="Normal"/>
    <w:next w:val="Normal"/>
    <w:uiPriority w:val="37"/>
    <w:unhideWhenUsed/>
    <w:rsid w:val="005D6B4F"/>
    <w:pPr>
      <w:tabs>
        <w:tab w:val="left" w:pos="504"/>
      </w:tabs>
      <w:spacing w:after="240" w:line="240" w:lineRule="auto"/>
      <w:ind w:left="504" w:hanging="504"/>
    </w:pPr>
  </w:style>
  <w:style w:type="character" w:styleId="CommentReference">
    <w:name w:val="annotation reference"/>
    <w:basedOn w:val="DefaultParagraphFont"/>
    <w:uiPriority w:val="99"/>
    <w:semiHidden/>
    <w:unhideWhenUsed/>
    <w:rsid w:val="00DE1BF0"/>
    <w:rPr>
      <w:sz w:val="16"/>
      <w:szCs w:val="16"/>
    </w:rPr>
  </w:style>
  <w:style w:type="paragraph" w:styleId="CommentText">
    <w:name w:val="annotation text"/>
    <w:basedOn w:val="Normal"/>
    <w:link w:val="CommentTextChar"/>
    <w:uiPriority w:val="99"/>
    <w:semiHidden/>
    <w:unhideWhenUsed/>
    <w:rsid w:val="00DE1BF0"/>
    <w:pPr>
      <w:spacing w:line="240" w:lineRule="auto"/>
    </w:pPr>
    <w:rPr>
      <w:sz w:val="20"/>
      <w:szCs w:val="20"/>
    </w:rPr>
  </w:style>
  <w:style w:type="character" w:customStyle="1" w:styleId="CommentTextChar">
    <w:name w:val="Comment Text Char"/>
    <w:basedOn w:val="DefaultParagraphFont"/>
    <w:link w:val="CommentText"/>
    <w:uiPriority w:val="99"/>
    <w:semiHidden/>
    <w:rsid w:val="00DE1BF0"/>
    <w:rPr>
      <w:rFonts w:ascii="Calibri" w:eastAsia="Calibri" w:hAnsi="Calibri" w:cs="Times New Roman"/>
      <w:sz w:val="20"/>
      <w:szCs w:val="20"/>
      <w:lang w:val="en-AU" w:eastAsia="en-US"/>
    </w:rPr>
  </w:style>
  <w:style w:type="paragraph" w:styleId="CommentSubject">
    <w:name w:val="annotation subject"/>
    <w:basedOn w:val="CommentText"/>
    <w:next w:val="CommentText"/>
    <w:link w:val="CommentSubjectChar"/>
    <w:uiPriority w:val="99"/>
    <w:semiHidden/>
    <w:unhideWhenUsed/>
    <w:rsid w:val="00DE1BF0"/>
    <w:rPr>
      <w:b/>
      <w:bCs/>
    </w:rPr>
  </w:style>
  <w:style w:type="character" w:customStyle="1" w:styleId="CommentSubjectChar">
    <w:name w:val="Comment Subject Char"/>
    <w:basedOn w:val="CommentTextChar"/>
    <w:link w:val="CommentSubject"/>
    <w:uiPriority w:val="99"/>
    <w:semiHidden/>
    <w:rsid w:val="00DE1BF0"/>
    <w:rPr>
      <w:rFonts w:ascii="Calibri" w:eastAsia="Calibri" w:hAnsi="Calibri" w:cs="Times New Roman"/>
      <w:b/>
      <w:bCs/>
      <w:sz w:val="20"/>
      <w:szCs w:val="20"/>
      <w:lang w:val="en-AU" w:eastAsia="en-US"/>
    </w:rPr>
  </w:style>
  <w:style w:type="paragraph" w:styleId="ListParagraph">
    <w:name w:val="List Paragraph"/>
    <w:basedOn w:val="Normal"/>
    <w:uiPriority w:val="34"/>
    <w:qFormat/>
    <w:rsid w:val="009B2255"/>
    <w:pPr>
      <w:ind w:left="720"/>
      <w:contextualSpacing/>
    </w:pPr>
  </w:style>
  <w:style w:type="paragraph" w:customStyle="1" w:styleId="EndNoteBibliographyTitle">
    <w:name w:val="EndNote Bibliography Title"/>
    <w:basedOn w:val="Normal"/>
    <w:link w:val="EndNoteBibliographyTitleChar"/>
    <w:rsid w:val="000E3EB5"/>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0E3EB5"/>
    <w:rPr>
      <w:rFonts w:ascii="Calibri" w:eastAsia="Calibri" w:hAnsi="Calibri" w:cs="Calibri"/>
      <w:noProof/>
      <w:lang w:val="en-US" w:eastAsia="en-US"/>
    </w:rPr>
  </w:style>
  <w:style w:type="paragraph" w:customStyle="1" w:styleId="EndNoteBibliography">
    <w:name w:val="EndNote Bibliography"/>
    <w:basedOn w:val="Normal"/>
    <w:link w:val="EndNoteBibliographyChar"/>
    <w:rsid w:val="000E3EB5"/>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0E3EB5"/>
    <w:rPr>
      <w:rFonts w:ascii="Calibri" w:eastAsia="Calibri" w:hAnsi="Calibri" w:cs="Calibr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1200</Words>
  <Characters>6842</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Bristol</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Hines</dc:creator>
  <cp:keywords/>
  <dc:description/>
  <cp:lastModifiedBy>Gage, Suzanne</cp:lastModifiedBy>
  <cp:revision>2</cp:revision>
  <cp:lastPrinted>2019-12-23T12:15:00Z</cp:lastPrinted>
  <dcterms:created xsi:type="dcterms:W3CDTF">2020-06-26T14:37:00Z</dcterms:created>
  <dcterms:modified xsi:type="dcterms:W3CDTF">2020-06-26T14:37:00Z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id="EDQpK5t0"/&gt;&lt;style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