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370947" w14:textId="73986F8D" w:rsidR="003B7396" w:rsidRDefault="005C2F30" w:rsidP="00F22BA5">
      <w:pPr>
        <w:spacing w:line="480" w:lineRule="auto"/>
        <w:rPr>
          <w:rFonts w:ascii="Times" w:hAnsi="Times"/>
          <w:lang w:val="en-GB"/>
        </w:rPr>
      </w:pPr>
      <w:r>
        <w:rPr>
          <w:rFonts w:ascii="Times" w:hAnsi="Times"/>
          <w:lang w:val="en-GB"/>
        </w:rPr>
        <w:t xml:space="preserve">THE CONFLICT BETWEEN MARKET COMPETITION AND WORKER SOLIDARITY: MOVING FROM THE CONSUMER TO </w:t>
      </w:r>
      <w:r w:rsidR="00B868A2">
        <w:rPr>
          <w:rFonts w:ascii="Times" w:hAnsi="Times"/>
          <w:lang w:val="en-GB"/>
        </w:rPr>
        <w:t xml:space="preserve">A </w:t>
      </w:r>
      <w:r>
        <w:rPr>
          <w:rFonts w:ascii="Times" w:hAnsi="Times"/>
          <w:lang w:val="en-GB"/>
        </w:rPr>
        <w:t xml:space="preserve">CITIZEN WELFARE STANDARD IN COMPETITION LAW </w:t>
      </w:r>
    </w:p>
    <w:p w14:paraId="39FC7B65" w14:textId="26169F3E" w:rsidR="009F2591" w:rsidRDefault="009F2591" w:rsidP="00F22BA5">
      <w:pPr>
        <w:spacing w:line="480" w:lineRule="auto"/>
        <w:rPr>
          <w:rFonts w:ascii="Times" w:hAnsi="Times"/>
          <w:lang w:val="en-GB"/>
        </w:rPr>
      </w:pPr>
    </w:p>
    <w:p w14:paraId="4CE7E749" w14:textId="6A9F648D" w:rsidR="009F2591" w:rsidRDefault="009F2591" w:rsidP="009F2591">
      <w:pPr>
        <w:spacing w:line="480" w:lineRule="auto"/>
        <w:jc w:val="both"/>
        <w:rPr>
          <w:rFonts w:ascii="Times" w:hAnsi="Times"/>
          <w:lang w:val="en-GB"/>
        </w:rPr>
      </w:pPr>
      <w:r>
        <w:rPr>
          <w:rFonts w:ascii="Times" w:hAnsi="Times"/>
          <w:lang w:val="en-GB"/>
        </w:rPr>
        <w:t xml:space="preserve">ABSTRACT: </w:t>
      </w:r>
      <w:r w:rsidRPr="009F2591">
        <w:rPr>
          <w:rFonts w:ascii="Times" w:hAnsi="Times"/>
          <w:lang w:val="en-GB"/>
        </w:rPr>
        <w:t xml:space="preserve">This article critically investigates the law and economics of competition law enforcement in conflicts between workers and employers in the EU and the US. The conflict between worker solidarity and market competition attracts significant public attention due to the legal conundrum facing precariously employed gig workers. This article reveals that in light of the strict consumer welfare standard underlying competition rules, competition law has become an overall disciplining mechanism impeding collective worker action beyond the limited case of the gig economy. Using a holistic theoretical framework comprising of neoclassical and Marxist exploitation theories, the article shows that sound economic analysis justifies resolving the competition–solidarity conflict in favour of solidarity. After showing that the consumer welfare standard overlooks the idiosyncratic qualities of labour as a ‘fictitious’ commodity, the article offers an original and inclusive ‘citizen welfare’ standard that takes into consideration how anticompetitive </w:t>
      </w:r>
      <w:proofErr w:type="spellStart"/>
      <w:r w:rsidRPr="009F2591">
        <w:rPr>
          <w:rFonts w:ascii="Times" w:hAnsi="Times"/>
          <w:lang w:val="en-GB"/>
        </w:rPr>
        <w:t>behavior</w:t>
      </w:r>
      <w:proofErr w:type="spellEnd"/>
      <w:r w:rsidRPr="009F2591">
        <w:rPr>
          <w:rFonts w:ascii="Times" w:hAnsi="Times"/>
          <w:lang w:val="en-GB"/>
        </w:rPr>
        <w:t xml:space="preserve"> affects workers as well as consumers. As a result, the article also contributes to the post-2008 debate on whether and how competition law could contribute to equality by shedding light on competition law’s treatment of workers and their welfare.</w:t>
      </w:r>
    </w:p>
    <w:p w14:paraId="4924109F" w14:textId="671BA91B" w:rsidR="003B7396" w:rsidRPr="005C2F30" w:rsidRDefault="003B7396" w:rsidP="00F22BA5">
      <w:pPr>
        <w:spacing w:line="480" w:lineRule="auto"/>
        <w:rPr>
          <w:rFonts w:ascii="Times" w:hAnsi="Times"/>
          <w:lang w:val="en-GB"/>
        </w:rPr>
      </w:pPr>
    </w:p>
    <w:p w14:paraId="7F70A7C6" w14:textId="548F9BD0" w:rsidR="00501DD7" w:rsidRPr="00C95777" w:rsidRDefault="00C95777" w:rsidP="00F22BA5">
      <w:pPr>
        <w:pStyle w:val="ListParagraph"/>
        <w:numPr>
          <w:ilvl w:val="0"/>
          <w:numId w:val="1"/>
        </w:numPr>
        <w:spacing w:line="480" w:lineRule="auto"/>
        <w:rPr>
          <w:rFonts w:ascii="Times" w:hAnsi="Times"/>
          <w:lang w:val="en-GB"/>
        </w:rPr>
      </w:pPr>
      <w:r w:rsidRPr="00C95777">
        <w:rPr>
          <w:rFonts w:ascii="Times" w:hAnsi="Times"/>
          <w:lang w:val="en-GB"/>
        </w:rPr>
        <w:t>INTRODUCTION</w:t>
      </w:r>
    </w:p>
    <w:p w14:paraId="1FE15A6E" w14:textId="77777777" w:rsidR="00501DD7" w:rsidRPr="00A639AB" w:rsidRDefault="00501DD7" w:rsidP="00F22BA5">
      <w:pPr>
        <w:spacing w:line="480" w:lineRule="auto"/>
        <w:rPr>
          <w:rFonts w:ascii="Times" w:hAnsi="Times"/>
          <w:b/>
          <w:lang w:val="en-GB"/>
        </w:rPr>
      </w:pPr>
    </w:p>
    <w:p w14:paraId="2356FF69" w14:textId="1C27D9B0" w:rsidR="00AE67D3" w:rsidRDefault="00501DD7" w:rsidP="00F22BA5">
      <w:pPr>
        <w:spacing w:line="480" w:lineRule="auto"/>
        <w:jc w:val="both"/>
        <w:rPr>
          <w:rFonts w:ascii="Times" w:hAnsi="Times"/>
          <w:lang w:val="en-GB"/>
        </w:rPr>
      </w:pPr>
      <w:r w:rsidRPr="00A639AB">
        <w:rPr>
          <w:rFonts w:ascii="Times" w:hAnsi="Times"/>
          <w:lang w:val="en-GB"/>
        </w:rPr>
        <w:t xml:space="preserve">This article offers a critical investigation of the law and economics of competition law enforcement in conflicts </w:t>
      </w:r>
      <w:r>
        <w:rPr>
          <w:rFonts w:ascii="Times" w:hAnsi="Times"/>
          <w:lang w:val="en-GB"/>
        </w:rPr>
        <w:t>between</w:t>
      </w:r>
      <w:r w:rsidRPr="00A639AB">
        <w:rPr>
          <w:rFonts w:ascii="Times" w:hAnsi="Times"/>
          <w:lang w:val="en-GB"/>
        </w:rPr>
        <w:t xml:space="preserve"> workers and employers in the E</w:t>
      </w:r>
      <w:r>
        <w:rPr>
          <w:rFonts w:ascii="Times" w:hAnsi="Times"/>
          <w:lang w:val="en-GB"/>
        </w:rPr>
        <w:t xml:space="preserve">uropean </w:t>
      </w:r>
      <w:r w:rsidRPr="00A639AB">
        <w:rPr>
          <w:rFonts w:ascii="Times" w:hAnsi="Times"/>
          <w:lang w:val="en-GB"/>
        </w:rPr>
        <w:t>U</w:t>
      </w:r>
      <w:r>
        <w:rPr>
          <w:rFonts w:ascii="Times" w:hAnsi="Times"/>
          <w:lang w:val="en-GB"/>
        </w:rPr>
        <w:t xml:space="preserve">nion </w:t>
      </w:r>
      <w:r>
        <w:rPr>
          <w:rFonts w:ascii="Times" w:hAnsi="Times"/>
          <w:lang w:val="en-GB"/>
        </w:rPr>
        <w:lastRenderedPageBreak/>
        <w:t>(hereinafter ‘EU’)</w:t>
      </w:r>
      <w:r w:rsidRPr="00A639AB">
        <w:rPr>
          <w:rFonts w:ascii="Times" w:hAnsi="Times"/>
          <w:lang w:val="en-GB"/>
        </w:rPr>
        <w:t xml:space="preserve"> and the US. </w:t>
      </w:r>
      <w:r>
        <w:rPr>
          <w:rFonts w:ascii="Times" w:hAnsi="Times"/>
          <w:lang w:val="en-GB"/>
        </w:rPr>
        <w:t xml:space="preserve">In such cases competition law comes into direct conflict with the principle of worker solidarity: </w:t>
      </w:r>
      <w:r w:rsidR="00D879B0">
        <w:rPr>
          <w:rFonts w:ascii="Times" w:hAnsi="Times"/>
          <w:lang w:val="en-GB"/>
        </w:rPr>
        <w:t>according to</w:t>
      </w:r>
      <w:r>
        <w:rPr>
          <w:rFonts w:ascii="Times" w:hAnsi="Times"/>
          <w:lang w:val="en-GB"/>
        </w:rPr>
        <w:t xml:space="preserve"> the principle of market competition individuals are expected to take independent economic decisions and actions, whereas workers need to take collective economic actions and decisions to protect their interests. </w:t>
      </w:r>
      <w:r w:rsidR="00AE67D3">
        <w:rPr>
          <w:rFonts w:ascii="Times" w:hAnsi="Times"/>
          <w:lang w:val="en-GB"/>
        </w:rPr>
        <w:t>This conflict is particularly obvious in the context of the so-called gig economy</w:t>
      </w:r>
      <w:r w:rsidR="00AF1B25">
        <w:rPr>
          <w:rFonts w:ascii="Times" w:hAnsi="Times"/>
          <w:lang w:val="en-GB"/>
        </w:rPr>
        <w:t>,</w:t>
      </w:r>
      <w:r w:rsidR="00AE67D3" w:rsidRPr="00A639AB">
        <w:rPr>
          <w:rStyle w:val="FootnoteReference"/>
          <w:rFonts w:ascii="Times" w:hAnsi="Times"/>
          <w:lang w:val="en-GB"/>
        </w:rPr>
        <w:footnoteReference w:id="1"/>
      </w:r>
      <w:r w:rsidR="00AE67D3">
        <w:rPr>
          <w:rFonts w:ascii="Times" w:hAnsi="Times"/>
          <w:lang w:val="en-GB"/>
        </w:rPr>
        <w:t xml:space="preserve"> in which employers keep </w:t>
      </w:r>
      <w:proofErr w:type="spellStart"/>
      <w:r w:rsidR="00AE67D3">
        <w:rPr>
          <w:rFonts w:ascii="Times" w:hAnsi="Times"/>
          <w:lang w:val="en-GB"/>
        </w:rPr>
        <w:t>casualised</w:t>
      </w:r>
      <w:proofErr w:type="spellEnd"/>
      <w:r w:rsidR="00AE67D3">
        <w:rPr>
          <w:rFonts w:ascii="Times" w:hAnsi="Times"/>
          <w:lang w:val="en-GB"/>
        </w:rPr>
        <w:t xml:space="preserve"> workers</w:t>
      </w:r>
      <w:r w:rsidR="00AE67D3" w:rsidRPr="00AE67D3">
        <w:rPr>
          <w:rFonts w:ascii="Times" w:hAnsi="Times"/>
          <w:lang w:val="en-GB"/>
        </w:rPr>
        <w:t xml:space="preserve"> </w:t>
      </w:r>
      <w:r w:rsidR="00AE67D3">
        <w:rPr>
          <w:rFonts w:ascii="Times" w:hAnsi="Times"/>
          <w:lang w:val="en-GB"/>
        </w:rPr>
        <w:t xml:space="preserve">at </w:t>
      </w:r>
      <w:r w:rsidR="00AE67D3" w:rsidRPr="00A639AB">
        <w:rPr>
          <w:rFonts w:ascii="Times" w:hAnsi="Times"/>
          <w:lang w:val="en-GB"/>
        </w:rPr>
        <w:t>legal arms’ length</w:t>
      </w:r>
      <w:r w:rsidR="00AE67D3">
        <w:rPr>
          <w:rFonts w:ascii="Times" w:hAnsi="Times"/>
          <w:lang w:val="en-GB"/>
        </w:rPr>
        <w:t xml:space="preserve"> to reduce labour and regulatory costs.</w:t>
      </w:r>
      <w:r w:rsidR="00AE67D3" w:rsidRPr="00A639AB">
        <w:rPr>
          <w:rStyle w:val="FootnoteReference"/>
          <w:rFonts w:ascii="Times" w:hAnsi="Times"/>
          <w:lang w:val="en-GB"/>
        </w:rPr>
        <w:footnoteReference w:id="2"/>
      </w:r>
      <w:r w:rsidR="00AE67D3">
        <w:rPr>
          <w:rFonts w:ascii="Times" w:hAnsi="Times"/>
          <w:lang w:val="en-GB"/>
        </w:rPr>
        <w:t xml:space="preserve"> If </w:t>
      </w:r>
      <w:r w:rsidR="00CC2E03">
        <w:rPr>
          <w:rFonts w:ascii="Times" w:hAnsi="Times"/>
          <w:lang w:val="en-GB"/>
        </w:rPr>
        <w:t>gig workers</w:t>
      </w:r>
      <w:r w:rsidR="00AE67D3">
        <w:rPr>
          <w:rFonts w:ascii="Times" w:hAnsi="Times"/>
          <w:lang w:val="en-GB"/>
        </w:rPr>
        <w:t xml:space="preserve"> take collective action</w:t>
      </w:r>
      <w:r w:rsidR="00CC2E03">
        <w:rPr>
          <w:rFonts w:ascii="Times" w:hAnsi="Times"/>
          <w:lang w:val="en-GB"/>
        </w:rPr>
        <w:t xml:space="preserve"> against their working conditions</w:t>
      </w:r>
      <w:r w:rsidR="00AE67D3">
        <w:rPr>
          <w:rFonts w:ascii="Times" w:hAnsi="Times"/>
          <w:lang w:val="en-GB"/>
        </w:rPr>
        <w:t xml:space="preserve">, </w:t>
      </w:r>
      <w:r w:rsidR="00CC2E03">
        <w:rPr>
          <w:rFonts w:ascii="Times" w:hAnsi="Times"/>
          <w:lang w:val="en-GB"/>
        </w:rPr>
        <w:t>they</w:t>
      </w:r>
      <w:r w:rsidR="00AE67D3">
        <w:rPr>
          <w:rFonts w:ascii="Times" w:hAnsi="Times"/>
          <w:lang w:val="en-GB"/>
        </w:rPr>
        <w:t xml:space="preserve"> might face </w:t>
      </w:r>
      <w:r w:rsidR="00861843">
        <w:rPr>
          <w:rFonts w:ascii="Times" w:hAnsi="Times"/>
          <w:lang w:val="en-GB"/>
        </w:rPr>
        <w:t xml:space="preserve">attack from </w:t>
      </w:r>
      <w:r w:rsidR="00AE67D3">
        <w:rPr>
          <w:rFonts w:ascii="Times" w:hAnsi="Times"/>
          <w:lang w:val="en-GB"/>
        </w:rPr>
        <w:t>competition law, because legally they might be considere</w:t>
      </w:r>
      <w:r w:rsidR="00586DC2">
        <w:rPr>
          <w:rFonts w:ascii="Times" w:hAnsi="Times"/>
          <w:lang w:val="en-GB"/>
        </w:rPr>
        <w:t>d independent service providers, rather than workers.</w:t>
      </w:r>
      <w:r w:rsidR="00857BA7">
        <w:rPr>
          <w:rStyle w:val="FootnoteReference"/>
          <w:rFonts w:ascii="Times" w:hAnsi="Times"/>
          <w:lang w:val="en-GB"/>
        </w:rPr>
        <w:footnoteReference w:id="3"/>
      </w:r>
    </w:p>
    <w:p w14:paraId="5B9123A1" w14:textId="77777777" w:rsidR="00A32EDE" w:rsidRDefault="00A32EDE" w:rsidP="00F22BA5">
      <w:pPr>
        <w:spacing w:line="480" w:lineRule="auto"/>
        <w:jc w:val="both"/>
        <w:rPr>
          <w:rFonts w:ascii="Times" w:hAnsi="Times"/>
          <w:lang w:val="en-GB"/>
        </w:rPr>
      </w:pPr>
    </w:p>
    <w:p w14:paraId="6A10B213" w14:textId="527C86CD" w:rsidR="00796F0E" w:rsidRDefault="0051571C" w:rsidP="00F22BA5">
      <w:pPr>
        <w:spacing w:line="480" w:lineRule="auto"/>
        <w:jc w:val="both"/>
        <w:rPr>
          <w:rFonts w:ascii="Times" w:hAnsi="Times"/>
          <w:lang w:val="en-GB"/>
        </w:rPr>
      </w:pPr>
      <w:r>
        <w:rPr>
          <w:rFonts w:ascii="Times" w:hAnsi="Times"/>
          <w:lang w:val="en-GB"/>
        </w:rPr>
        <w:t>The</w:t>
      </w:r>
      <w:r w:rsidR="00A32EDE">
        <w:rPr>
          <w:rFonts w:ascii="Times" w:hAnsi="Times"/>
          <w:lang w:val="en-GB"/>
        </w:rPr>
        <w:t xml:space="preserve"> legal conundrum facing gig workers </w:t>
      </w:r>
      <w:r>
        <w:rPr>
          <w:rFonts w:ascii="Times" w:hAnsi="Times"/>
          <w:lang w:val="en-GB"/>
        </w:rPr>
        <w:t>has become an increasingly popular subject in the law and economics literature.</w:t>
      </w:r>
      <w:r>
        <w:rPr>
          <w:rStyle w:val="FootnoteReference"/>
          <w:rFonts w:ascii="Times" w:hAnsi="Times"/>
          <w:lang w:val="en-GB"/>
        </w:rPr>
        <w:footnoteReference w:id="4"/>
      </w:r>
      <w:r>
        <w:rPr>
          <w:rFonts w:ascii="Times" w:hAnsi="Times"/>
          <w:lang w:val="en-GB"/>
        </w:rPr>
        <w:t xml:space="preserve"> Nevertheless, the </w:t>
      </w:r>
      <w:r w:rsidR="00DB68CD">
        <w:rPr>
          <w:rFonts w:ascii="Times" w:hAnsi="Times"/>
          <w:lang w:val="en-GB"/>
        </w:rPr>
        <w:t xml:space="preserve">more fundamental question of how the enforcement of competition rules affect the overall position of workers beyond the </w:t>
      </w:r>
      <w:r>
        <w:rPr>
          <w:rFonts w:ascii="Times" w:hAnsi="Times"/>
          <w:lang w:val="en-GB"/>
        </w:rPr>
        <w:t>limited case of the gig economy remains largely unexplored.</w:t>
      </w:r>
      <w:r w:rsidR="00D64866">
        <w:rPr>
          <w:rFonts w:ascii="Times" w:hAnsi="Times"/>
          <w:lang w:val="en-GB"/>
        </w:rPr>
        <w:t xml:space="preserve"> This article aims to investigate this broader and more fundamental question. In order to provide a sufficiently global answer, the article </w:t>
      </w:r>
      <w:r w:rsidR="003F216A">
        <w:rPr>
          <w:rFonts w:ascii="Times" w:hAnsi="Times"/>
          <w:lang w:val="en-GB"/>
        </w:rPr>
        <w:t xml:space="preserve">focuses on the legal positions of the EU and US, as the leading competition law jurisdictions and primary competition policy </w:t>
      </w:r>
      <w:r w:rsidR="00C80AA6">
        <w:rPr>
          <w:rFonts w:ascii="Times" w:hAnsi="Times"/>
          <w:lang w:val="en-GB"/>
        </w:rPr>
        <w:t>exporters</w:t>
      </w:r>
      <w:r w:rsidR="00D64866">
        <w:rPr>
          <w:rFonts w:ascii="Times" w:hAnsi="Times"/>
          <w:lang w:val="en-GB"/>
        </w:rPr>
        <w:t>.</w:t>
      </w:r>
      <w:r w:rsidR="003F216A" w:rsidRPr="00A639AB">
        <w:rPr>
          <w:rStyle w:val="FootnoteReference"/>
          <w:rFonts w:ascii="Times" w:hAnsi="Times"/>
          <w:lang w:val="en-GB"/>
        </w:rPr>
        <w:footnoteReference w:id="5"/>
      </w:r>
      <w:r w:rsidR="003F216A">
        <w:rPr>
          <w:rFonts w:ascii="Times" w:hAnsi="Times"/>
          <w:lang w:val="en-GB"/>
        </w:rPr>
        <w:t xml:space="preserve"> The EU</w:t>
      </w:r>
      <w:r w:rsidR="004C5592">
        <w:rPr>
          <w:rFonts w:ascii="Times" w:hAnsi="Times" w:cs="Times"/>
          <w:lang w:val="en-GB"/>
        </w:rPr>
        <w:t>–</w:t>
      </w:r>
      <w:r w:rsidR="003F216A">
        <w:rPr>
          <w:rFonts w:ascii="Times" w:hAnsi="Times"/>
          <w:lang w:val="en-GB"/>
        </w:rPr>
        <w:t>US comparison shows that despite the slightly different legal tests</w:t>
      </w:r>
      <w:r w:rsidR="00997F71">
        <w:rPr>
          <w:rFonts w:ascii="Times" w:hAnsi="Times"/>
          <w:lang w:val="en-GB"/>
        </w:rPr>
        <w:t xml:space="preserve"> applied </w:t>
      </w:r>
      <w:r w:rsidR="00796F0E">
        <w:rPr>
          <w:rFonts w:ascii="Times" w:hAnsi="Times"/>
          <w:lang w:val="en-GB"/>
        </w:rPr>
        <w:t>in these polities</w:t>
      </w:r>
      <w:r w:rsidR="003F216A">
        <w:rPr>
          <w:rFonts w:ascii="Times" w:hAnsi="Times"/>
          <w:lang w:val="en-GB"/>
        </w:rPr>
        <w:t xml:space="preserve">, </w:t>
      </w:r>
      <w:r w:rsidR="00796F0E">
        <w:rPr>
          <w:rFonts w:ascii="Times" w:hAnsi="Times"/>
          <w:lang w:val="en-GB"/>
        </w:rPr>
        <w:t>competition rules constitute nearly equally disciplining mechanisms against collective worker action on either side of the Atlantic.</w:t>
      </w:r>
    </w:p>
    <w:p w14:paraId="1D8C73E6" w14:textId="77777777" w:rsidR="006B0B0E" w:rsidRDefault="006B0B0E" w:rsidP="00F22BA5">
      <w:pPr>
        <w:spacing w:line="480" w:lineRule="auto"/>
        <w:jc w:val="both"/>
        <w:rPr>
          <w:rFonts w:ascii="Times" w:hAnsi="Times"/>
          <w:lang w:val="en-GB"/>
        </w:rPr>
      </w:pPr>
    </w:p>
    <w:p w14:paraId="3046EEBC" w14:textId="2065968D" w:rsidR="0059271F" w:rsidRDefault="00A32EDE" w:rsidP="00F22BA5">
      <w:pPr>
        <w:spacing w:line="480" w:lineRule="auto"/>
        <w:jc w:val="both"/>
        <w:rPr>
          <w:rFonts w:ascii="Times" w:hAnsi="Times"/>
          <w:lang w:val="en-GB"/>
        </w:rPr>
      </w:pPr>
      <w:r>
        <w:rPr>
          <w:rFonts w:ascii="Times" w:hAnsi="Times"/>
          <w:lang w:val="en-GB"/>
        </w:rPr>
        <w:t xml:space="preserve">This </w:t>
      </w:r>
      <w:r w:rsidR="00501DD7" w:rsidRPr="00A639AB">
        <w:rPr>
          <w:rFonts w:ascii="Times" w:hAnsi="Times"/>
          <w:lang w:val="en-GB"/>
        </w:rPr>
        <w:t xml:space="preserve">article </w:t>
      </w:r>
      <w:r>
        <w:rPr>
          <w:rFonts w:ascii="Times" w:hAnsi="Times"/>
          <w:lang w:val="en-GB"/>
        </w:rPr>
        <w:t xml:space="preserve">also </w:t>
      </w:r>
      <w:r w:rsidR="00501DD7" w:rsidRPr="00A639AB">
        <w:rPr>
          <w:rFonts w:ascii="Times" w:hAnsi="Times"/>
          <w:lang w:val="en-GB"/>
        </w:rPr>
        <w:t>makes a</w:t>
      </w:r>
      <w:r>
        <w:rPr>
          <w:rFonts w:ascii="Times" w:hAnsi="Times"/>
          <w:lang w:val="en-GB"/>
        </w:rPr>
        <w:t>n</w:t>
      </w:r>
      <w:r w:rsidR="00501DD7" w:rsidRPr="00A639AB">
        <w:rPr>
          <w:rFonts w:ascii="Times" w:hAnsi="Times"/>
          <w:lang w:val="en-GB"/>
        </w:rPr>
        <w:t xml:space="preserve"> </w:t>
      </w:r>
      <w:r w:rsidR="006B0B0E">
        <w:rPr>
          <w:rFonts w:ascii="Times" w:hAnsi="Times"/>
          <w:lang w:val="en-GB"/>
        </w:rPr>
        <w:t xml:space="preserve">original </w:t>
      </w:r>
      <w:r w:rsidR="00501DD7" w:rsidRPr="00A639AB">
        <w:rPr>
          <w:rFonts w:ascii="Times" w:hAnsi="Times"/>
          <w:lang w:val="en-GB"/>
        </w:rPr>
        <w:t xml:space="preserve">contribution to the emerging debate on whether and how competition law can contribute to wealth equality between citizens in the post-2008 crisis economy. The existing debate on </w:t>
      </w:r>
      <w:r w:rsidR="004C5592">
        <w:rPr>
          <w:rFonts w:ascii="Times" w:hAnsi="Times"/>
          <w:lang w:val="en-GB"/>
        </w:rPr>
        <w:t xml:space="preserve">the </w:t>
      </w:r>
      <w:r w:rsidR="00501DD7" w:rsidRPr="00A639AB">
        <w:rPr>
          <w:rFonts w:ascii="Times" w:hAnsi="Times"/>
          <w:lang w:val="en-GB"/>
        </w:rPr>
        <w:t>competition law</w:t>
      </w:r>
      <w:r w:rsidR="004C5592">
        <w:rPr>
          <w:rFonts w:ascii="Times" w:hAnsi="Times" w:cs="Times"/>
          <w:lang w:val="en-GB"/>
        </w:rPr>
        <w:t>–</w:t>
      </w:r>
      <w:r w:rsidR="00501DD7" w:rsidRPr="00A639AB">
        <w:rPr>
          <w:rFonts w:ascii="Times" w:hAnsi="Times"/>
          <w:lang w:val="en-GB"/>
        </w:rPr>
        <w:t>equality relationship takes the ‘consumer welfare’ stand</w:t>
      </w:r>
      <w:r w:rsidR="00501DD7">
        <w:rPr>
          <w:rFonts w:ascii="Times" w:hAnsi="Times"/>
          <w:lang w:val="en-GB"/>
        </w:rPr>
        <w:t>ard as its main reference point:</w:t>
      </w:r>
      <w:r w:rsidR="00501DD7" w:rsidRPr="00A639AB">
        <w:rPr>
          <w:rFonts w:ascii="Times" w:hAnsi="Times"/>
          <w:lang w:val="en-GB"/>
        </w:rPr>
        <w:t xml:space="preserve"> it focuses exclusively on the distribution of wealth between consumers and producers</w:t>
      </w:r>
      <w:r w:rsidR="00501DD7">
        <w:rPr>
          <w:rFonts w:ascii="Times" w:hAnsi="Times"/>
          <w:lang w:val="en-GB"/>
        </w:rPr>
        <w:t xml:space="preserve">; as a result, it </w:t>
      </w:r>
      <w:r w:rsidR="00501DD7" w:rsidRPr="00A639AB">
        <w:rPr>
          <w:rFonts w:ascii="Times" w:hAnsi="Times"/>
          <w:lang w:val="en-GB"/>
        </w:rPr>
        <w:t xml:space="preserve">overlooks the production process that takes place before consumers meet </w:t>
      </w:r>
      <w:r w:rsidR="00501DD7" w:rsidRPr="00A639AB">
        <w:rPr>
          <w:rFonts w:ascii="Times" w:hAnsi="Times"/>
          <w:lang w:val="en-GB"/>
        </w:rPr>
        <w:lastRenderedPageBreak/>
        <w:t xml:space="preserve">products and services and the position of workers within </w:t>
      </w:r>
      <w:r w:rsidR="00501DD7">
        <w:rPr>
          <w:rFonts w:ascii="Times" w:hAnsi="Times"/>
          <w:lang w:val="en-GB"/>
        </w:rPr>
        <w:t>it.</w:t>
      </w:r>
      <w:r w:rsidR="00501DD7" w:rsidRPr="00A639AB">
        <w:rPr>
          <w:rStyle w:val="FootnoteReference"/>
          <w:rFonts w:ascii="Times" w:hAnsi="Times"/>
          <w:lang w:val="en-GB"/>
        </w:rPr>
        <w:footnoteReference w:id="6"/>
      </w:r>
      <w:r w:rsidR="00501DD7">
        <w:rPr>
          <w:rFonts w:ascii="Times" w:hAnsi="Times"/>
          <w:lang w:val="en-GB"/>
        </w:rPr>
        <w:t xml:space="preserve"> </w:t>
      </w:r>
      <w:r w:rsidR="00501DD7" w:rsidRPr="00A639AB">
        <w:rPr>
          <w:rFonts w:ascii="Times" w:hAnsi="Times"/>
          <w:lang w:val="en-GB"/>
        </w:rPr>
        <w:t xml:space="preserve">This is a natural </w:t>
      </w:r>
      <w:r w:rsidR="00501DD7">
        <w:rPr>
          <w:rFonts w:ascii="Times" w:hAnsi="Times"/>
          <w:lang w:val="en-GB"/>
        </w:rPr>
        <w:t>result</w:t>
      </w:r>
      <w:r w:rsidR="00501DD7" w:rsidRPr="00A639AB">
        <w:rPr>
          <w:rFonts w:ascii="Times" w:hAnsi="Times"/>
          <w:lang w:val="en-GB"/>
        </w:rPr>
        <w:t xml:space="preserve"> of competition law’s reliance on a limited area of neoclassical economics called ‘equilibrium economics’ that understands </w:t>
      </w:r>
      <w:r w:rsidR="00501DD7" w:rsidRPr="00A639AB">
        <w:rPr>
          <w:rFonts w:ascii="Times" w:hAnsi="Times"/>
          <w:i/>
          <w:lang w:val="en-GB"/>
        </w:rPr>
        <w:t>efficiency</w:t>
      </w:r>
      <w:r w:rsidR="00501DD7" w:rsidRPr="00A639AB">
        <w:rPr>
          <w:rFonts w:ascii="Times" w:hAnsi="Times"/>
          <w:lang w:val="en-GB"/>
        </w:rPr>
        <w:t xml:space="preserve"> exclusively as a market mechanism in which the price manifests itself where supply meets demand.</w:t>
      </w:r>
      <w:r w:rsidR="00501DD7" w:rsidRPr="00A639AB">
        <w:rPr>
          <w:rStyle w:val="FootnoteReference"/>
          <w:rFonts w:ascii="Times" w:hAnsi="Times"/>
          <w:lang w:val="en-GB"/>
        </w:rPr>
        <w:footnoteReference w:id="7"/>
      </w:r>
      <w:r w:rsidR="0059271F">
        <w:rPr>
          <w:rFonts w:ascii="Times" w:hAnsi="Times"/>
          <w:lang w:val="en-GB"/>
        </w:rPr>
        <w:t xml:space="preserve"> Departing from the mainstream competition law and economics methodology, </w:t>
      </w:r>
      <w:r w:rsidR="00501DD7" w:rsidRPr="00A639AB">
        <w:rPr>
          <w:rFonts w:ascii="Times" w:hAnsi="Times"/>
          <w:lang w:val="en-GB"/>
        </w:rPr>
        <w:t xml:space="preserve">this article builds its investigation on a holistic theoretical foundation looking beyond equilibrium economics </w:t>
      </w:r>
      <w:r w:rsidR="00501DD7">
        <w:rPr>
          <w:rFonts w:ascii="Times" w:hAnsi="Times"/>
          <w:lang w:val="en-GB"/>
        </w:rPr>
        <w:t>at</w:t>
      </w:r>
      <w:r w:rsidR="00501DD7" w:rsidRPr="00A639AB">
        <w:rPr>
          <w:rFonts w:ascii="Times" w:hAnsi="Times"/>
          <w:lang w:val="en-GB"/>
        </w:rPr>
        <w:t xml:space="preserve"> labour exploitation </w:t>
      </w:r>
      <w:r w:rsidR="00B55E5B">
        <w:rPr>
          <w:rFonts w:ascii="Times" w:hAnsi="Times"/>
          <w:lang w:val="en-GB"/>
        </w:rPr>
        <w:t xml:space="preserve">theory </w:t>
      </w:r>
      <w:r w:rsidR="00501DD7" w:rsidRPr="00A639AB">
        <w:rPr>
          <w:rFonts w:ascii="Times" w:hAnsi="Times"/>
          <w:lang w:val="en-GB"/>
        </w:rPr>
        <w:t xml:space="preserve">as </w:t>
      </w:r>
      <w:r w:rsidR="00501DD7">
        <w:rPr>
          <w:rFonts w:ascii="Times" w:hAnsi="Times"/>
          <w:lang w:val="en-GB"/>
        </w:rPr>
        <w:t xml:space="preserve">established in neoclassical as well as Marxian models. This analysis shows that despite standing at opposing ends of the political spectrum and whilst having some fundamental differences, Marxist and neoclassical models agree that collective worker action is economically beneficial and socially necessary. </w:t>
      </w:r>
      <w:r w:rsidR="009D1996">
        <w:rPr>
          <w:rFonts w:ascii="Times" w:hAnsi="Times"/>
          <w:lang w:val="en-GB"/>
        </w:rPr>
        <w:t xml:space="preserve">As a result, a critical analysis of the current legal situation on both sides of the Atlantic </w:t>
      </w:r>
      <w:r w:rsidR="00AF1B25">
        <w:rPr>
          <w:rFonts w:ascii="Times" w:hAnsi="Times"/>
          <w:lang w:val="en-GB"/>
        </w:rPr>
        <w:t>in light of</w:t>
      </w:r>
      <w:r w:rsidR="009D1996">
        <w:rPr>
          <w:rFonts w:ascii="Times" w:hAnsi="Times"/>
          <w:lang w:val="en-GB"/>
        </w:rPr>
        <w:t xml:space="preserve"> this holistic framework illustrates how competition law’s hostility towards collective worker action is not only unjust but also economically unsound.</w:t>
      </w:r>
    </w:p>
    <w:p w14:paraId="2C417445" w14:textId="77777777" w:rsidR="00501DD7" w:rsidRDefault="00501DD7" w:rsidP="00F22BA5">
      <w:pPr>
        <w:spacing w:line="480" w:lineRule="auto"/>
        <w:jc w:val="both"/>
        <w:rPr>
          <w:rFonts w:ascii="Times" w:hAnsi="Times"/>
          <w:lang w:val="en-GB"/>
        </w:rPr>
      </w:pPr>
    </w:p>
    <w:p w14:paraId="661649F7" w14:textId="367EFBA8" w:rsidR="00501DD7" w:rsidRPr="00A639AB" w:rsidRDefault="005D7F06" w:rsidP="00F22BA5">
      <w:pPr>
        <w:spacing w:line="480" w:lineRule="auto"/>
        <w:jc w:val="both"/>
        <w:rPr>
          <w:rFonts w:ascii="Times" w:hAnsi="Times"/>
          <w:lang w:val="en-GB"/>
        </w:rPr>
      </w:pPr>
      <w:r>
        <w:rPr>
          <w:rFonts w:ascii="Times" w:hAnsi="Times"/>
          <w:lang w:val="en-GB"/>
        </w:rPr>
        <w:t xml:space="preserve">This article demonstrates that the key problem in competition law’s treatment of </w:t>
      </w:r>
      <w:r w:rsidR="00426CBE">
        <w:rPr>
          <w:rFonts w:ascii="Times" w:hAnsi="Times"/>
          <w:lang w:val="en-GB"/>
        </w:rPr>
        <w:t>labour</w:t>
      </w:r>
      <w:r>
        <w:rPr>
          <w:rFonts w:ascii="Times" w:hAnsi="Times"/>
          <w:lang w:val="en-GB"/>
        </w:rPr>
        <w:t xml:space="preserve"> stem</w:t>
      </w:r>
      <w:r w:rsidR="004C5592">
        <w:rPr>
          <w:rFonts w:ascii="Times" w:hAnsi="Times"/>
          <w:lang w:val="en-GB"/>
        </w:rPr>
        <w:t>s</w:t>
      </w:r>
      <w:r>
        <w:rPr>
          <w:rFonts w:ascii="Times" w:hAnsi="Times"/>
          <w:lang w:val="en-GB"/>
        </w:rPr>
        <w:t xml:space="preserve"> from the application of the consumer welfare standard in cases involving the competition</w:t>
      </w:r>
      <w:r w:rsidR="004C5592">
        <w:rPr>
          <w:rFonts w:ascii="Times" w:hAnsi="Times" w:cs="Times"/>
          <w:lang w:val="en-GB"/>
        </w:rPr>
        <w:t>–</w:t>
      </w:r>
      <w:r>
        <w:rPr>
          <w:rFonts w:ascii="Times" w:hAnsi="Times"/>
          <w:lang w:val="en-GB"/>
        </w:rPr>
        <w:t xml:space="preserve">solidarity conflict without paying any attention to the </w:t>
      </w:r>
      <w:r w:rsidRPr="00A639AB">
        <w:rPr>
          <w:rFonts w:ascii="Times" w:hAnsi="Times"/>
          <w:lang w:val="en-GB"/>
        </w:rPr>
        <w:t xml:space="preserve">idiosyncratic qualities </w:t>
      </w:r>
      <w:r>
        <w:rPr>
          <w:rFonts w:ascii="Times" w:hAnsi="Times"/>
          <w:lang w:val="en-GB"/>
        </w:rPr>
        <w:t xml:space="preserve">of labour </w:t>
      </w:r>
      <w:r w:rsidRPr="00A639AB">
        <w:rPr>
          <w:rFonts w:ascii="Times" w:hAnsi="Times"/>
          <w:lang w:val="en-GB"/>
        </w:rPr>
        <w:t>that render it naturally open to exploitation.</w:t>
      </w:r>
      <w:r>
        <w:rPr>
          <w:rFonts w:ascii="Times" w:hAnsi="Times"/>
          <w:lang w:val="en-GB"/>
        </w:rPr>
        <w:t xml:space="preserve"> </w:t>
      </w:r>
      <w:r w:rsidR="00501DD7" w:rsidRPr="00A639AB">
        <w:rPr>
          <w:rFonts w:ascii="Times" w:hAnsi="Times"/>
          <w:lang w:val="en-GB"/>
        </w:rPr>
        <w:t xml:space="preserve">Similarly, </w:t>
      </w:r>
      <w:r w:rsidR="00501DD7">
        <w:rPr>
          <w:rFonts w:ascii="Times" w:hAnsi="Times"/>
          <w:lang w:val="en-GB"/>
        </w:rPr>
        <w:t>the consumer welfare standard</w:t>
      </w:r>
      <w:r w:rsidR="00501DD7" w:rsidRPr="00A639AB">
        <w:rPr>
          <w:rFonts w:ascii="Times" w:hAnsi="Times"/>
          <w:lang w:val="en-GB"/>
        </w:rPr>
        <w:t xml:space="preserve"> overlook</w:t>
      </w:r>
      <w:r w:rsidR="00501DD7">
        <w:rPr>
          <w:rFonts w:ascii="Times" w:hAnsi="Times"/>
          <w:lang w:val="en-GB"/>
        </w:rPr>
        <w:t>s</w:t>
      </w:r>
      <w:r w:rsidR="00501DD7" w:rsidRPr="00A639AB">
        <w:rPr>
          <w:rFonts w:ascii="Times" w:hAnsi="Times"/>
          <w:lang w:val="en-GB"/>
        </w:rPr>
        <w:t xml:space="preserve"> </w:t>
      </w:r>
      <w:r w:rsidR="00AF1B25">
        <w:rPr>
          <w:rFonts w:ascii="Times" w:hAnsi="Times"/>
          <w:lang w:val="en-GB"/>
        </w:rPr>
        <w:t xml:space="preserve">the fact </w:t>
      </w:r>
      <w:r w:rsidR="00501DD7" w:rsidRPr="00A639AB">
        <w:rPr>
          <w:rFonts w:ascii="Times" w:hAnsi="Times"/>
          <w:lang w:val="en-GB"/>
        </w:rPr>
        <w:t>that consumers and workers are essen</w:t>
      </w:r>
      <w:r w:rsidR="00501DD7">
        <w:rPr>
          <w:rFonts w:ascii="Times" w:hAnsi="Times"/>
          <w:lang w:val="en-GB"/>
        </w:rPr>
        <w:t xml:space="preserve">tially the same group of people and one’s welfare cannot be increased or </w:t>
      </w:r>
      <w:r w:rsidR="00501DD7">
        <w:rPr>
          <w:rFonts w:ascii="Times" w:hAnsi="Times"/>
          <w:lang w:val="en-GB"/>
        </w:rPr>
        <w:lastRenderedPageBreak/>
        <w:t>decreased without affecting the other</w:t>
      </w:r>
      <w:r w:rsidR="004C5592">
        <w:rPr>
          <w:rFonts w:ascii="Times" w:hAnsi="Times"/>
          <w:lang w:val="en-GB"/>
        </w:rPr>
        <w:t>’s</w:t>
      </w:r>
      <w:r w:rsidR="00501DD7">
        <w:rPr>
          <w:rFonts w:ascii="Times" w:hAnsi="Times"/>
          <w:lang w:val="en-GB"/>
        </w:rPr>
        <w:t>.</w:t>
      </w:r>
      <w:r w:rsidR="00501DD7" w:rsidRPr="00A639AB">
        <w:rPr>
          <w:rStyle w:val="FootnoteReference"/>
          <w:rFonts w:ascii="Times" w:hAnsi="Times"/>
          <w:lang w:val="en-GB"/>
        </w:rPr>
        <w:footnoteReference w:id="8"/>
      </w:r>
      <w:r w:rsidR="00501DD7" w:rsidRPr="00A639AB">
        <w:rPr>
          <w:rFonts w:ascii="Times" w:hAnsi="Times"/>
          <w:lang w:val="en-GB"/>
        </w:rPr>
        <w:t xml:space="preserve"> Even if </w:t>
      </w:r>
      <w:r w:rsidR="00501DD7">
        <w:rPr>
          <w:rFonts w:ascii="Times" w:hAnsi="Times"/>
          <w:lang w:val="en-GB"/>
        </w:rPr>
        <w:t>worker</w:t>
      </w:r>
      <w:r w:rsidR="00501DD7" w:rsidRPr="00A639AB">
        <w:rPr>
          <w:rFonts w:ascii="Times" w:hAnsi="Times"/>
          <w:lang w:val="en-GB"/>
        </w:rPr>
        <w:t xml:space="preserve"> exploitation could result in </w:t>
      </w:r>
      <w:r w:rsidR="00501DD7">
        <w:rPr>
          <w:rFonts w:ascii="Times" w:hAnsi="Times"/>
          <w:lang w:val="en-GB"/>
        </w:rPr>
        <w:t xml:space="preserve">reduced labour costs and decreased prices, this cannot be deemed efficient as it reduces the workers’ welfare and results in broader negative socio-economic effects. </w:t>
      </w:r>
      <w:r w:rsidR="00501DD7" w:rsidRPr="00A639AB">
        <w:rPr>
          <w:rFonts w:ascii="Times" w:hAnsi="Times"/>
          <w:lang w:val="en-GB"/>
        </w:rPr>
        <w:t>Similarly,</w:t>
      </w:r>
      <w:r w:rsidR="00501DD7">
        <w:rPr>
          <w:rFonts w:ascii="Times" w:hAnsi="Times"/>
          <w:lang w:val="en-GB"/>
        </w:rPr>
        <w:t xml:space="preserve"> collective worker action resulting</w:t>
      </w:r>
      <w:r w:rsidR="00501DD7" w:rsidRPr="00A639AB">
        <w:rPr>
          <w:rFonts w:ascii="Times" w:hAnsi="Times"/>
          <w:lang w:val="en-GB"/>
        </w:rPr>
        <w:t xml:space="preserve"> </w:t>
      </w:r>
      <w:r w:rsidR="00501DD7">
        <w:rPr>
          <w:rFonts w:ascii="Times" w:hAnsi="Times"/>
          <w:lang w:val="en-GB"/>
        </w:rPr>
        <w:t xml:space="preserve">in </w:t>
      </w:r>
      <w:r w:rsidR="00501DD7" w:rsidRPr="00A639AB">
        <w:rPr>
          <w:rFonts w:ascii="Times" w:hAnsi="Times"/>
          <w:lang w:val="en-GB"/>
        </w:rPr>
        <w:t xml:space="preserve">higher labour costs </w:t>
      </w:r>
      <w:r w:rsidR="00501DD7">
        <w:rPr>
          <w:rFonts w:ascii="Times" w:hAnsi="Times"/>
          <w:lang w:val="en-GB"/>
        </w:rPr>
        <w:t xml:space="preserve">and potentially higher prices </w:t>
      </w:r>
      <w:r w:rsidR="00501DD7" w:rsidRPr="00A639AB">
        <w:rPr>
          <w:rFonts w:ascii="Times" w:hAnsi="Times"/>
          <w:lang w:val="en-GB"/>
        </w:rPr>
        <w:t xml:space="preserve">cannot automatically be deemed </w:t>
      </w:r>
      <w:r w:rsidR="00501DD7">
        <w:rPr>
          <w:rFonts w:ascii="Times" w:hAnsi="Times"/>
          <w:lang w:val="en-GB"/>
        </w:rPr>
        <w:t>inefficient</w:t>
      </w:r>
      <w:r w:rsidR="00501DD7" w:rsidRPr="00A639AB">
        <w:rPr>
          <w:rFonts w:ascii="Times" w:hAnsi="Times"/>
          <w:lang w:val="en-GB"/>
        </w:rPr>
        <w:t xml:space="preserve">, because although this might increase the prices consumers pay, they benefit from higher wages </w:t>
      </w:r>
      <w:r w:rsidR="00501DD7">
        <w:rPr>
          <w:rFonts w:ascii="Times" w:hAnsi="Times"/>
          <w:lang w:val="en-GB"/>
        </w:rPr>
        <w:t xml:space="preserve">and better working conditions </w:t>
      </w:r>
      <w:r w:rsidR="00501DD7" w:rsidRPr="00A639AB">
        <w:rPr>
          <w:rFonts w:ascii="Times" w:hAnsi="Times"/>
          <w:lang w:val="en-GB"/>
        </w:rPr>
        <w:t xml:space="preserve">in their </w:t>
      </w:r>
      <w:r w:rsidR="00501DD7">
        <w:rPr>
          <w:rFonts w:ascii="Times" w:hAnsi="Times"/>
          <w:lang w:val="en-GB"/>
        </w:rPr>
        <w:t>position</w:t>
      </w:r>
      <w:r w:rsidR="00501DD7" w:rsidRPr="00A639AB">
        <w:rPr>
          <w:rFonts w:ascii="Times" w:hAnsi="Times"/>
          <w:lang w:val="en-GB"/>
        </w:rPr>
        <w:t xml:space="preserve"> as workers. </w:t>
      </w:r>
      <w:r>
        <w:rPr>
          <w:rFonts w:ascii="Times" w:hAnsi="Times"/>
          <w:lang w:val="en-GB"/>
        </w:rPr>
        <w:t>As a result of this critical analysis</w:t>
      </w:r>
      <w:r w:rsidR="003B7396">
        <w:rPr>
          <w:rFonts w:ascii="Times" w:hAnsi="Times"/>
          <w:lang w:val="en-GB"/>
        </w:rPr>
        <w:t>,</w:t>
      </w:r>
      <w:r>
        <w:rPr>
          <w:rFonts w:ascii="Times" w:hAnsi="Times"/>
          <w:lang w:val="en-GB"/>
        </w:rPr>
        <w:t xml:space="preserve"> the article proposes an original and more inclusive ‘citizen welfare’ standard that </w:t>
      </w:r>
      <w:r w:rsidR="00501DD7" w:rsidRPr="00A639AB">
        <w:rPr>
          <w:rFonts w:ascii="Times" w:hAnsi="Times"/>
          <w:lang w:val="en-GB"/>
        </w:rPr>
        <w:t xml:space="preserve">takes into account the economic effects of anticompetitive behaviour on workers as well as consumers. </w:t>
      </w:r>
      <w:r w:rsidR="005E544D">
        <w:rPr>
          <w:rFonts w:ascii="Times" w:hAnsi="Times"/>
          <w:lang w:val="en-GB"/>
        </w:rPr>
        <w:t>The citizen welfare standard could also potentially be applied in other contexts to solve long-standing conflicts between competition and other policy objectives, such as industrial, environmental and social policy objectives</w:t>
      </w:r>
      <w:r w:rsidR="004C5592">
        <w:rPr>
          <w:rFonts w:ascii="Times" w:hAnsi="Times"/>
          <w:lang w:val="en-GB"/>
        </w:rPr>
        <w:t>,</w:t>
      </w:r>
      <w:r w:rsidR="004D0BBB">
        <w:rPr>
          <w:rStyle w:val="FootnoteReference"/>
          <w:rFonts w:ascii="Times" w:hAnsi="Times"/>
          <w:lang w:val="en-GB"/>
        </w:rPr>
        <w:footnoteReference w:id="9"/>
      </w:r>
      <w:r w:rsidR="005E544D">
        <w:rPr>
          <w:rFonts w:ascii="Times" w:hAnsi="Times"/>
          <w:lang w:val="en-GB"/>
        </w:rPr>
        <w:t xml:space="preserve"> although this article primarily focuses on the application of citizen welfare to the competition</w:t>
      </w:r>
      <w:r w:rsidR="004C5592">
        <w:rPr>
          <w:rFonts w:ascii="Times" w:hAnsi="Times" w:cs="Times"/>
          <w:lang w:val="en-GB"/>
        </w:rPr>
        <w:t>–</w:t>
      </w:r>
      <w:r w:rsidR="005E544D">
        <w:rPr>
          <w:rFonts w:ascii="Times" w:hAnsi="Times"/>
          <w:lang w:val="en-GB"/>
        </w:rPr>
        <w:t>solidarity conflict.</w:t>
      </w:r>
    </w:p>
    <w:p w14:paraId="00206CD7" w14:textId="77777777" w:rsidR="00501DD7" w:rsidRPr="00A639AB" w:rsidRDefault="00501DD7" w:rsidP="00F22BA5">
      <w:pPr>
        <w:spacing w:line="480" w:lineRule="auto"/>
        <w:jc w:val="both"/>
        <w:rPr>
          <w:rFonts w:ascii="Times" w:hAnsi="Times"/>
          <w:lang w:val="en-GB"/>
        </w:rPr>
      </w:pPr>
    </w:p>
    <w:p w14:paraId="76FC1AFD" w14:textId="288A1EAF" w:rsidR="00501DD7" w:rsidRDefault="00501DD7" w:rsidP="00F22BA5">
      <w:pPr>
        <w:spacing w:line="480" w:lineRule="auto"/>
        <w:jc w:val="both"/>
        <w:rPr>
          <w:rFonts w:ascii="Times" w:hAnsi="Times"/>
          <w:lang w:val="en-GB"/>
        </w:rPr>
      </w:pPr>
      <w:r w:rsidRPr="00A639AB">
        <w:rPr>
          <w:rFonts w:ascii="Times" w:hAnsi="Times"/>
          <w:lang w:val="en-GB"/>
        </w:rPr>
        <w:t xml:space="preserve">The structure of </w:t>
      </w:r>
      <w:r>
        <w:rPr>
          <w:rFonts w:ascii="Times" w:hAnsi="Times"/>
          <w:lang w:val="en-GB"/>
        </w:rPr>
        <w:t>the</w:t>
      </w:r>
      <w:r w:rsidRPr="00A639AB">
        <w:rPr>
          <w:rFonts w:ascii="Times" w:hAnsi="Times"/>
          <w:lang w:val="en-GB"/>
        </w:rPr>
        <w:t xml:space="preserve"> article is as follows: the </w:t>
      </w:r>
      <w:r>
        <w:rPr>
          <w:rFonts w:ascii="Times" w:hAnsi="Times"/>
          <w:lang w:val="en-GB"/>
        </w:rPr>
        <w:t>next</w:t>
      </w:r>
      <w:r w:rsidRPr="00A639AB">
        <w:rPr>
          <w:rFonts w:ascii="Times" w:hAnsi="Times"/>
          <w:lang w:val="en-GB"/>
        </w:rPr>
        <w:t xml:space="preserve"> section provides an opening discussion of competition law, consumer welfare and equality. This is followed by a discussion of the </w:t>
      </w:r>
      <w:r>
        <w:rPr>
          <w:rFonts w:ascii="Times" w:hAnsi="Times"/>
          <w:lang w:val="en-GB"/>
        </w:rPr>
        <w:t xml:space="preserve">economic </w:t>
      </w:r>
      <w:r w:rsidRPr="00A639AB">
        <w:rPr>
          <w:rFonts w:ascii="Times" w:hAnsi="Times"/>
          <w:lang w:val="en-GB"/>
        </w:rPr>
        <w:t xml:space="preserve">theory of labour exploitation. Then, the article investigates </w:t>
      </w:r>
      <w:r>
        <w:rPr>
          <w:rFonts w:ascii="Times" w:hAnsi="Times"/>
          <w:lang w:val="en-GB"/>
        </w:rPr>
        <w:t xml:space="preserve">how competition law approaches the </w:t>
      </w:r>
      <w:r w:rsidRPr="00A639AB">
        <w:rPr>
          <w:rFonts w:ascii="Times" w:hAnsi="Times"/>
          <w:lang w:val="en-GB"/>
        </w:rPr>
        <w:t>competition</w:t>
      </w:r>
      <w:r w:rsidR="004C5592">
        <w:rPr>
          <w:rFonts w:ascii="Times" w:hAnsi="Times" w:cs="Times"/>
          <w:lang w:val="en-GB"/>
        </w:rPr>
        <w:t>–</w:t>
      </w:r>
      <w:r>
        <w:rPr>
          <w:rFonts w:ascii="Times" w:hAnsi="Times"/>
          <w:lang w:val="en-GB"/>
        </w:rPr>
        <w:t>solidarity</w:t>
      </w:r>
      <w:r w:rsidRPr="00A639AB">
        <w:rPr>
          <w:rFonts w:ascii="Times" w:hAnsi="Times"/>
          <w:lang w:val="en-GB"/>
        </w:rPr>
        <w:t xml:space="preserve"> conflict in the EU and the US. The fourth section critically </w:t>
      </w:r>
      <w:r>
        <w:rPr>
          <w:rFonts w:ascii="Times" w:hAnsi="Times"/>
          <w:lang w:val="en-GB"/>
        </w:rPr>
        <w:t>discusses</w:t>
      </w:r>
      <w:r w:rsidRPr="00A639AB">
        <w:rPr>
          <w:rFonts w:ascii="Times" w:hAnsi="Times"/>
          <w:lang w:val="en-GB"/>
        </w:rPr>
        <w:t xml:space="preserve"> the EU and US legal positions </w:t>
      </w:r>
      <w:r w:rsidR="00AF1B25">
        <w:rPr>
          <w:rFonts w:ascii="Times" w:hAnsi="Times"/>
          <w:lang w:val="en-GB"/>
        </w:rPr>
        <w:t>in light of</w:t>
      </w:r>
      <w:r w:rsidRPr="00A639AB">
        <w:rPr>
          <w:rFonts w:ascii="Times" w:hAnsi="Times"/>
          <w:lang w:val="en-GB"/>
        </w:rPr>
        <w:t xml:space="preserve"> economic theory. This section also </w:t>
      </w:r>
      <w:r w:rsidR="009874A0">
        <w:rPr>
          <w:rFonts w:ascii="Times" w:hAnsi="Times"/>
          <w:lang w:val="en-GB"/>
        </w:rPr>
        <w:t>develops the</w:t>
      </w:r>
      <w:r w:rsidRPr="00A639AB">
        <w:rPr>
          <w:rFonts w:ascii="Times" w:hAnsi="Times"/>
          <w:lang w:val="en-GB"/>
        </w:rPr>
        <w:t xml:space="preserve"> citizen welfare </w:t>
      </w:r>
      <w:r w:rsidR="00607835">
        <w:rPr>
          <w:rFonts w:ascii="Times" w:hAnsi="Times"/>
          <w:lang w:val="en-GB"/>
        </w:rPr>
        <w:t>approach</w:t>
      </w:r>
      <w:r w:rsidRPr="00A639AB">
        <w:rPr>
          <w:rFonts w:ascii="Times" w:hAnsi="Times"/>
          <w:lang w:val="en-GB"/>
        </w:rPr>
        <w:t xml:space="preserve"> as an </w:t>
      </w:r>
      <w:r w:rsidRPr="00A639AB">
        <w:rPr>
          <w:rFonts w:ascii="Times" w:hAnsi="Times"/>
          <w:lang w:val="en-GB"/>
        </w:rPr>
        <w:lastRenderedPageBreak/>
        <w:t xml:space="preserve">alternative to consumer welfare for the resolution of </w:t>
      </w:r>
      <w:r w:rsidR="004C5592">
        <w:rPr>
          <w:rFonts w:ascii="Times" w:hAnsi="Times"/>
          <w:lang w:val="en-GB"/>
        </w:rPr>
        <w:t xml:space="preserve">the </w:t>
      </w:r>
      <w:r w:rsidRPr="00A639AB">
        <w:rPr>
          <w:rFonts w:ascii="Times" w:hAnsi="Times"/>
          <w:lang w:val="en-GB"/>
        </w:rPr>
        <w:t>competition</w:t>
      </w:r>
      <w:r w:rsidR="004C5592">
        <w:rPr>
          <w:rFonts w:ascii="Times" w:hAnsi="Times" w:cs="Times"/>
          <w:lang w:val="en-GB"/>
        </w:rPr>
        <w:t>–</w:t>
      </w:r>
      <w:r w:rsidRPr="00A639AB">
        <w:rPr>
          <w:rFonts w:ascii="Times" w:hAnsi="Times"/>
          <w:lang w:val="en-GB"/>
        </w:rPr>
        <w:t xml:space="preserve">solidarity conflict. This is finally followed </w:t>
      </w:r>
      <w:r>
        <w:rPr>
          <w:rFonts w:ascii="Times" w:hAnsi="Times"/>
          <w:lang w:val="en-GB"/>
        </w:rPr>
        <w:t>with</w:t>
      </w:r>
      <w:r w:rsidRPr="00A639AB">
        <w:rPr>
          <w:rFonts w:ascii="Times" w:hAnsi="Times"/>
          <w:lang w:val="en-GB"/>
        </w:rPr>
        <w:t xml:space="preserve"> conclusions.</w:t>
      </w:r>
      <w:r>
        <w:rPr>
          <w:rFonts w:ascii="Times" w:hAnsi="Times"/>
          <w:lang w:val="en-GB"/>
        </w:rPr>
        <w:t xml:space="preserve"> </w:t>
      </w:r>
      <w:r w:rsidR="004C5592">
        <w:rPr>
          <w:rFonts w:ascii="Times" w:hAnsi="Times"/>
          <w:lang w:val="en-GB"/>
        </w:rPr>
        <w:t>Regarding</w:t>
      </w:r>
      <w:r>
        <w:rPr>
          <w:rFonts w:ascii="Times" w:hAnsi="Times"/>
          <w:lang w:val="en-GB"/>
        </w:rPr>
        <w:t xml:space="preserve"> terminology, this article uses the term ‘worker’ (rather than employee) as a non-legal, generic term encompassing all individuals who make a living by providing labour power as a production factor in the production process of goods and services. </w:t>
      </w:r>
      <w:r w:rsidR="009874A0">
        <w:rPr>
          <w:rFonts w:ascii="Times" w:hAnsi="Times"/>
          <w:lang w:val="en-GB"/>
        </w:rPr>
        <w:t xml:space="preserve">Similarly, the term ‘labour’ is used to refer to the contribution of the workers to </w:t>
      </w:r>
      <w:r w:rsidR="00507390">
        <w:rPr>
          <w:rFonts w:ascii="Times" w:hAnsi="Times"/>
          <w:lang w:val="en-GB"/>
        </w:rPr>
        <w:t>the production process as an abstract human factor.</w:t>
      </w:r>
      <w:r w:rsidR="009874A0">
        <w:rPr>
          <w:rFonts w:ascii="Times" w:hAnsi="Times"/>
          <w:lang w:val="en-GB"/>
        </w:rPr>
        <w:t xml:space="preserve"> </w:t>
      </w:r>
      <w:r>
        <w:rPr>
          <w:rFonts w:ascii="Times" w:hAnsi="Times"/>
          <w:lang w:val="en-GB"/>
        </w:rPr>
        <w:t>However, if the courts or authorities in question use a different term (such as employee) in a specific case, the article uses the same term in the discussion of that specific case.</w:t>
      </w:r>
    </w:p>
    <w:p w14:paraId="40A46687" w14:textId="77777777" w:rsidR="00501DD7" w:rsidRPr="00A639AB" w:rsidRDefault="00501DD7" w:rsidP="00F22BA5">
      <w:pPr>
        <w:spacing w:line="480" w:lineRule="auto"/>
        <w:jc w:val="both"/>
        <w:rPr>
          <w:rFonts w:ascii="Times" w:hAnsi="Times"/>
          <w:lang w:val="en-GB"/>
        </w:rPr>
      </w:pPr>
    </w:p>
    <w:p w14:paraId="7DFE329D" w14:textId="55C7DA2B" w:rsidR="00501DD7" w:rsidRPr="00846AA3" w:rsidRDefault="00846AA3" w:rsidP="00F22BA5">
      <w:pPr>
        <w:pStyle w:val="ListParagraph"/>
        <w:numPr>
          <w:ilvl w:val="0"/>
          <w:numId w:val="1"/>
        </w:numPr>
        <w:spacing w:line="480" w:lineRule="auto"/>
        <w:jc w:val="both"/>
        <w:rPr>
          <w:rFonts w:ascii="Times" w:hAnsi="Times"/>
          <w:lang w:val="en-GB"/>
        </w:rPr>
      </w:pPr>
      <w:r w:rsidRPr="00846AA3">
        <w:rPr>
          <w:rFonts w:ascii="Times" w:hAnsi="Times"/>
          <w:lang w:val="en-GB"/>
        </w:rPr>
        <w:t>PROBLEMATISING THE COMPETITION</w:t>
      </w:r>
      <w:r w:rsidR="00F16C34">
        <w:rPr>
          <w:rFonts w:ascii="Times" w:hAnsi="Times" w:cs="Times"/>
          <w:lang w:val="en-GB"/>
        </w:rPr>
        <w:t>–</w:t>
      </w:r>
      <w:r w:rsidRPr="00846AA3">
        <w:rPr>
          <w:rFonts w:ascii="Times" w:hAnsi="Times"/>
          <w:lang w:val="en-GB"/>
        </w:rPr>
        <w:t>SOLIDARITY CONFLICT: COMPETITION LAW, CONSUMER WELFARE AND EQUALITY</w:t>
      </w:r>
    </w:p>
    <w:p w14:paraId="1BE8AE9E" w14:textId="77777777" w:rsidR="00501DD7" w:rsidRPr="00A639AB" w:rsidRDefault="00501DD7" w:rsidP="00F22BA5">
      <w:pPr>
        <w:spacing w:line="480" w:lineRule="auto"/>
        <w:jc w:val="both"/>
        <w:rPr>
          <w:rFonts w:ascii="Times" w:hAnsi="Times"/>
          <w:lang w:val="en-GB"/>
        </w:rPr>
      </w:pPr>
    </w:p>
    <w:p w14:paraId="487FA75C" w14:textId="68FF461D" w:rsidR="00501DD7" w:rsidRPr="00A639AB" w:rsidRDefault="00501DD7" w:rsidP="00F22BA5">
      <w:pPr>
        <w:spacing w:line="480" w:lineRule="auto"/>
        <w:jc w:val="both"/>
        <w:rPr>
          <w:rFonts w:ascii="Times" w:hAnsi="Times"/>
          <w:lang w:val="en-GB"/>
        </w:rPr>
      </w:pPr>
      <w:r w:rsidRPr="00A639AB">
        <w:rPr>
          <w:rFonts w:ascii="Times" w:hAnsi="Times"/>
          <w:lang w:val="en-GB"/>
        </w:rPr>
        <w:t xml:space="preserve">The enforcement of competition rules present courts and competition authorities with increasingly complex problems </w:t>
      </w:r>
      <w:r w:rsidR="00AF1B25">
        <w:rPr>
          <w:rFonts w:ascii="Times" w:hAnsi="Times"/>
          <w:lang w:val="en-GB"/>
        </w:rPr>
        <w:t xml:space="preserve">in </w:t>
      </w:r>
      <w:r w:rsidR="00750144">
        <w:rPr>
          <w:rFonts w:ascii="Times" w:hAnsi="Times"/>
          <w:lang w:val="en-GB"/>
        </w:rPr>
        <w:t>the context</w:t>
      </w:r>
      <w:r w:rsidR="00AF1B25">
        <w:rPr>
          <w:rFonts w:ascii="Times" w:hAnsi="Times"/>
          <w:lang w:val="en-GB"/>
        </w:rPr>
        <w:t xml:space="preserve"> of</w:t>
      </w:r>
      <w:r w:rsidRPr="00A639AB">
        <w:rPr>
          <w:rFonts w:ascii="Times" w:hAnsi="Times"/>
          <w:lang w:val="en-GB"/>
        </w:rPr>
        <w:t xml:space="preserve"> the fundamental state versus the market dichotomy underlying neoclassical economics</w:t>
      </w:r>
      <w:r w:rsidR="001767A7">
        <w:rPr>
          <w:rFonts w:ascii="Times" w:hAnsi="Times"/>
          <w:lang w:val="en-GB"/>
        </w:rPr>
        <w:t>.</w:t>
      </w:r>
      <w:r w:rsidRPr="00A639AB">
        <w:rPr>
          <w:rStyle w:val="FootnoteReference"/>
          <w:rFonts w:ascii="Times" w:hAnsi="Times"/>
          <w:lang w:val="en-GB"/>
        </w:rPr>
        <w:footnoteReference w:id="10"/>
      </w:r>
      <w:r w:rsidR="001767A7">
        <w:rPr>
          <w:rFonts w:ascii="Times" w:hAnsi="Times"/>
          <w:lang w:val="en-GB"/>
        </w:rPr>
        <w:t xml:space="preserve"> O</w:t>
      </w:r>
      <w:r w:rsidRPr="00A639AB">
        <w:rPr>
          <w:rFonts w:ascii="Times" w:hAnsi="Times"/>
          <w:lang w:val="en-GB"/>
        </w:rPr>
        <w:t>n the one hand, courts and state authorities need to intervene and enforce competition rules in cases where economic agents diverge from equilibrium economics. Equilibrium economics presumes that price and output materiali</w:t>
      </w:r>
      <w:r w:rsidR="004B6783">
        <w:rPr>
          <w:rFonts w:ascii="Times" w:hAnsi="Times"/>
          <w:lang w:val="en-GB"/>
        </w:rPr>
        <w:t>s</w:t>
      </w:r>
      <w:r w:rsidRPr="00A639AB">
        <w:rPr>
          <w:rFonts w:ascii="Times" w:hAnsi="Times"/>
          <w:lang w:val="en-GB"/>
        </w:rPr>
        <w:t>e at the exact point where demand meets supply.</w:t>
      </w:r>
      <w:r w:rsidRPr="00A639AB">
        <w:rPr>
          <w:rStyle w:val="FootnoteReference"/>
          <w:rFonts w:ascii="Times" w:hAnsi="Times"/>
          <w:lang w:val="en-GB"/>
        </w:rPr>
        <w:footnoteReference w:id="11"/>
      </w:r>
      <w:r w:rsidRPr="00A639AB">
        <w:rPr>
          <w:rFonts w:ascii="Times" w:hAnsi="Times"/>
          <w:lang w:val="en-GB"/>
        </w:rPr>
        <w:t xml:space="preserve"> On the other hand, the intrusion of courts and state authorities using competition law must be minimal and precisely target those proven cases of explicit divergence from equilibrium economics, because neoclassical economics considers </w:t>
      </w:r>
      <w:r w:rsidR="00F16C34">
        <w:rPr>
          <w:rFonts w:ascii="Times" w:hAnsi="Times"/>
          <w:lang w:val="en-GB"/>
        </w:rPr>
        <w:lastRenderedPageBreak/>
        <w:t xml:space="preserve">the </w:t>
      </w:r>
      <w:r w:rsidRPr="00A639AB">
        <w:rPr>
          <w:rFonts w:ascii="Times" w:hAnsi="Times"/>
          <w:lang w:val="en-GB"/>
        </w:rPr>
        <w:t xml:space="preserve">state’s intrusion to equilibrium economics </w:t>
      </w:r>
      <w:r w:rsidR="00750144">
        <w:rPr>
          <w:rFonts w:ascii="Times" w:hAnsi="Times"/>
          <w:lang w:val="en-GB"/>
        </w:rPr>
        <w:t xml:space="preserve">to be </w:t>
      </w:r>
      <w:r w:rsidR="003476DA">
        <w:rPr>
          <w:rFonts w:ascii="Times" w:hAnsi="Times"/>
          <w:lang w:val="en-GB"/>
        </w:rPr>
        <w:t>at least as</w:t>
      </w:r>
      <w:r w:rsidRPr="00A639AB">
        <w:rPr>
          <w:rFonts w:ascii="Times" w:hAnsi="Times"/>
          <w:lang w:val="en-GB"/>
        </w:rPr>
        <w:t xml:space="preserve"> harmful </w:t>
      </w:r>
      <w:r w:rsidR="003476DA">
        <w:rPr>
          <w:rFonts w:ascii="Times" w:hAnsi="Times"/>
          <w:lang w:val="en-GB"/>
        </w:rPr>
        <w:t>as</w:t>
      </w:r>
      <w:r w:rsidRPr="00A639AB">
        <w:rPr>
          <w:rFonts w:ascii="Times" w:hAnsi="Times"/>
          <w:lang w:val="en-GB"/>
        </w:rPr>
        <w:t xml:space="preserve"> the divergence of economic agents from it.</w:t>
      </w:r>
      <w:r w:rsidRPr="00A639AB">
        <w:rPr>
          <w:rStyle w:val="FootnoteReference"/>
          <w:rFonts w:ascii="Times" w:hAnsi="Times"/>
          <w:lang w:val="en-GB"/>
        </w:rPr>
        <w:footnoteReference w:id="12"/>
      </w:r>
      <w:r w:rsidRPr="00A639AB">
        <w:rPr>
          <w:rFonts w:ascii="Times" w:hAnsi="Times"/>
          <w:lang w:val="en-GB"/>
        </w:rPr>
        <w:t xml:space="preserve"> The overarching objectives of competition law play a fundamental role in guiding courts and competition authorities towards behaviour that is accepted as </w:t>
      </w:r>
      <w:r w:rsidR="00F16C34">
        <w:rPr>
          <w:rFonts w:ascii="Times" w:hAnsi="Times"/>
          <w:lang w:val="en-GB"/>
        </w:rPr>
        <w:t xml:space="preserve">being </w:t>
      </w:r>
      <w:r w:rsidRPr="00A639AB">
        <w:rPr>
          <w:rFonts w:ascii="Times" w:hAnsi="Times"/>
          <w:lang w:val="en-GB"/>
        </w:rPr>
        <w:t xml:space="preserve">in conflict with equilibrium economics </w:t>
      </w:r>
      <w:r w:rsidR="00AF1B25">
        <w:rPr>
          <w:rFonts w:ascii="Times" w:hAnsi="Times"/>
          <w:lang w:val="en-GB"/>
        </w:rPr>
        <w:t>in light of</w:t>
      </w:r>
      <w:r w:rsidRPr="00A639AB">
        <w:rPr>
          <w:rFonts w:ascii="Times" w:hAnsi="Times"/>
          <w:lang w:val="en-GB"/>
        </w:rPr>
        <w:t xml:space="preserve"> neoclassical principles.</w:t>
      </w:r>
    </w:p>
    <w:p w14:paraId="64444498" w14:textId="77777777" w:rsidR="00501DD7" w:rsidRPr="00A639AB" w:rsidRDefault="00501DD7" w:rsidP="00F22BA5">
      <w:pPr>
        <w:spacing w:line="480" w:lineRule="auto"/>
        <w:jc w:val="both"/>
        <w:rPr>
          <w:rFonts w:ascii="Times" w:hAnsi="Times"/>
          <w:lang w:val="en-GB"/>
        </w:rPr>
      </w:pPr>
    </w:p>
    <w:p w14:paraId="2A0862B2" w14:textId="77C7BE64" w:rsidR="00501DD7" w:rsidRPr="00A639AB" w:rsidRDefault="00501DD7" w:rsidP="00F22BA5">
      <w:pPr>
        <w:spacing w:line="480" w:lineRule="auto"/>
        <w:jc w:val="both"/>
        <w:rPr>
          <w:rFonts w:ascii="Times" w:hAnsi="Times"/>
          <w:lang w:val="en-GB"/>
        </w:rPr>
      </w:pPr>
      <w:r w:rsidRPr="00A639AB">
        <w:rPr>
          <w:rFonts w:ascii="Times" w:hAnsi="Times"/>
          <w:lang w:val="en-GB"/>
        </w:rPr>
        <w:t xml:space="preserve">In the US since the prominence of the Chicago and post-Chicago Schools, there is agreement within </w:t>
      </w:r>
      <w:r>
        <w:rPr>
          <w:rFonts w:ascii="Times" w:hAnsi="Times"/>
          <w:lang w:val="en-GB"/>
        </w:rPr>
        <w:t xml:space="preserve">the mainstream </w:t>
      </w:r>
      <w:r w:rsidRPr="00A639AB">
        <w:rPr>
          <w:rFonts w:ascii="Times" w:hAnsi="Times"/>
          <w:lang w:val="en-GB"/>
        </w:rPr>
        <w:t>competition law and economics scholarship that economic efficiency and consumer welfare constitute the primary objectives of competition law.</w:t>
      </w:r>
      <w:r w:rsidRPr="00A639AB">
        <w:rPr>
          <w:rStyle w:val="FootnoteReference"/>
          <w:rFonts w:ascii="Times" w:hAnsi="Times"/>
          <w:lang w:val="en-GB"/>
        </w:rPr>
        <w:footnoteReference w:id="13"/>
      </w:r>
      <w:r w:rsidRPr="00A639AB">
        <w:rPr>
          <w:rFonts w:ascii="Times" w:hAnsi="Times"/>
          <w:lang w:val="en-GB"/>
        </w:rPr>
        <w:t xml:space="preserve"> </w:t>
      </w:r>
      <w:r w:rsidR="00AF1B25">
        <w:rPr>
          <w:rFonts w:ascii="Times" w:hAnsi="Times"/>
          <w:lang w:val="en-GB"/>
        </w:rPr>
        <w:t>In</w:t>
      </w:r>
      <w:r w:rsidRPr="00A639AB">
        <w:rPr>
          <w:rFonts w:ascii="Times" w:hAnsi="Times"/>
          <w:lang w:val="en-GB"/>
        </w:rPr>
        <w:t xml:space="preserve"> this</w:t>
      </w:r>
      <w:r w:rsidR="00750144">
        <w:rPr>
          <w:rFonts w:ascii="Times" w:hAnsi="Times"/>
          <w:lang w:val="en-GB"/>
        </w:rPr>
        <w:t xml:space="preserve"> regard</w:t>
      </w:r>
      <w:r w:rsidRPr="00A639AB">
        <w:rPr>
          <w:rFonts w:ascii="Times" w:hAnsi="Times"/>
          <w:lang w:val="en-GB"/>
        </w:rPr>
        <w:t>, competition rules need to target those economic activities that are proven to reduce efficiency and/or result in consumer harm, for instance in the form of increased prices or reduced output and quality.</w:t>
      </w:r>
      <w:r w:rsidRPr="00A639AB">
        <w:rPr>
          <w:rStyle w:val="FootnoteReference"/>
          <w:rFonts w:ascii="Times" w:hAnsi="Times"/>
          <w:lang w:val="en-GB"/>
        </w:rPr>
        <w:footnoteReference w:id="14"/>
      </w:r>
      <w:r w:rsidRPr="00A639AB">
        <w:rPr>
          <w:rFonts w:ascii="Times" w:hAnsi="Times"/>
          <w:lang w:val="en-GB"/>
        </w:rPr>
        <w:t xml:space="preserve"> Whilst being influenced by ordoliberal ideals of economic freedom in its inception, EU competition law has also moved in</w:t>
      </w:r>
      <w:r w:rsidR="00750144">
        <w:rPr>
          <w:rFonts w:ascii="Times" w:hAnsi="Times"/>
          <w:lang w:val="en-GB"/>
        </w:rPr>
        <w:t>to</w:t>
      </w:r>
      <w:r w:rsidRPr="00A639AB">
        <w:rPr>
          <w:rFonts w:ascii="Times" w:hAnsi="Times"/>
          <w:lang w:val="en-GB"/>
        </w:rPr>
        <w:t xml:space="preserve"> a similar neoclassical dimension </w:t>
      </w:r>
      <w:r w:rsidR="00D879B0">
        <w:rPr>
          <w:rFonts w:ascii="Times" w:hAnsi="Times"/>
          <w:lang w:val="en-GB"/>
        </w:rPr>
        <w:t>following</w:t>
      </w:r>
      <w:r w:rsidRPr="00A639AB">
        <w:rPr>
          <w:rFonts w:ascii="Times" w:hAnsi="Times"/>
          <w:lang w:val="en-GB"/>
        </w:rPr>
        <w:t xml:space="preserve"> the reform of competition laws advocated by the </w:t>
      </w:r>
      <w:r>
        <w:rPr>
          <w:rFonts w:ascii="Times" w:hAnsi="Times"/>
          <w:lang w:val="en-GB"/>
        </w:rPr>
        <w:t xml:space="preserve">European </w:t>
      </w:r>
      <w:r w:rsidRPr="00A639AB">
        <w:rPr>
          <w:rFonts w:ascii="Times" w:hAnsi="Times"/>
          <w:lang w:val="en-GB"/>
        </w:rPr>
        <w:t xml:space="preserve">Commission since the late 1990s with </w:t>
      </w:r>
      <w:r w:rsidRPr="00A639AB">
        <w:rPr>
          <w:rFonts w:ascii="Times" w:hAnsi="Times"/>
          <w:lang w:val="en-GB"/>
        </w:rPr>
        <w:lastRenderedPageBreak/>
        <w:t>the motto of a ‘more economic approach’.</w:t>
      </w:r>
      <w:r w:rsidRPr="00A639AB">
        <w:rPr>
          <w:rStyle w:val="FootnoteReference"/>
          <w:rFonts w:ascii="Times" w:hAnsi="Times"/>
          <w:lang w:val="en-GB"/>
        </w:rPr>
        <w:footnoteReference w:id="15"/>
      </w:r>
      <w:r w:rsidRPr="00A639AB">
        <w:rPr>
          <w:rFonts w:ascii="Times" w:hAnsi="Times"/>
          <w:lang w:val="en-GB"/>
        </w:rPr>
        <w:t xml:space="preserve"> The reform of competition rules in the EU took place </w:t>
      </w:r>
      <w:r w:rsidR="00750144">
        <w:rPr>
          <w:rFonts w:ascii="Times" w:hAnsi="Times"/>
          <w:lang w:val="en-GB"/>
        </w:rPr>
        <w:t>against a backdrop</w:t>
      </w:r>
      <w:r w:rsidR="00AF1B25">
        <w:rPr>
          <w:rFonts w:ascii="Times" w:hAnsi="Times"/>
          <w:lang w:val="en-GB"/>
        </w:rPr>
        <w:t xml:space="preserve"> of</w:t>
      </w:r>
      <w:r w:rsidRPr="00A639AB">
        <w:rPr>
          <w:rFonts w:ascii="Times" w:hAnsi="Times"/>
          <w:lang w:val="en-GB"/>
        </w:rPr>
        <w:t xml:space="preserve"> the general entrenchment of the policy objectives of efficiency and minimal state intervention to the economy advocated by the Lisbon and the Europe 2020 Agendas.</w:t>
      </w:r>
      <w:r w:rsidRPr="00A639AB">
        <w:rPr>
          <w:rStyle w:val="FootnoteReference"/>
          <w:rFonts w:ascii="Times" w:hAnsi="Times"/>
          <w:lang w:val="en-GB"/>
        </w:rPr>
        <w:footnoteReference w:id="16"/>
      </w:r>
    </w:p>
    <w:p w14:paraId="1EBF1A96" w14:textId="77777777" w:rsidR="00501DD7" w:rsidRPr="00A639AB" w:rsidRDefault="00501DD7" w:rsidP="00F22BA5">
      <w:pPr>
        <w:spacing w:line="480" w:lineRule="auto"/>
        <w:jc w:val="both"/>
        <w:rPr>
          <w:rFonts w:ascii="Times" w:hAnsi="Times"/>
          <w:lang w:val="en-GB"/>
        </w:rPr>
      </w:pPr>
    </w:p>
    <w:p w14:paraId="246BB0C1" w14:textId="201B483E" w:rsidR="00501DD7" w:rsidRPr="00A639AB" w:rsidRDefault="00501DD7" w:rsidP="00F22BA5">
      <w:pPr>
        <w:spacing w:line="480" w:lineRule="auto"/>
        <w:jc w:val="both"/>
        <w:rPr>
          <w:rFonts w:ascii="Times" w:hAnsi="Times"/>
          <w:lang w:val="en-GB"/>
        </w:rPr>
      </w:pPr>
      <w:r w:rsidRPr="00A639AB">
        <w:rPr>
          <w:rFonts w:ascii="Times" w:hAnsi="Times"/>
          <w:lang w:val="en-GB"/>
        </w:rPr>
        <w:t>Particularly since the 2008 financial and economic crisis, the legitimacy and accuracy of neoclassical economics as well as those of policies that take equilibrium economics as their underlying foundation have been increasingly questioned. Under the shadow of rapidly increasing inequality</w:t>
      </w:r>
      <w:r w:rsidR="00EE3DB2">
        <w:rPr>
          <w:rFonts w:ascii="Times" w:hAnsi="Times"/>
          <w:lang w:val="en-GB"/>
        </w:rPr>
        <w:t>,</w:t>
      </w:r>
      <w:r w:rsidRPr="00A639AB">
        <w:rPr>
          <w:rFonts w:ascii="Times" w:hAnsi="Times"/>
          <w:lang w:val="en-GB"/>
        </w:rPr>
        <w:t xml:space="preserve"> particularly after the most recent economic and financial crisis, </w:t>
      </w:r>
      <w:r w:rsidR="00EE3DB2">
        <w:rPr>
          <w:rFonts w:ascii="Times" w:hAnsi="Times"/>
          <w:lang w:val="en-GB"/>
        </w:rPr>
        <w:t xml:space="preserve">political economists increasingly argue that </w:t>
      </w:r>
      <w:r w:rsidRPr="00A639AB">
        <w:rPr>
          <w:rFonts w:ascii="Times" w:hAnsi="Times"/>
          <w:lang w:val="en-GB"/>
        </w:rPr>
        <w:t xml:space="preserve">policies’ legitimacy </w:t>
      </w:r>
      <w:r w:rsidR="00EE3DB2">
        <w:rPr>
          <w:rFonts w:ascii="Times" w:hAnsi="Times"/>
          <w:lang w:val="en-GB"/>
        </w:rPr>
        <w:t>should</w:t>
      </w:r>
      <w:r w:rsidRPr="00A639AB">
        <w:rPr>
          <w:rFonts w:ascii="Times" w:hAnsi="Times"/>
          <w:lang w:val="en-GB"/>
        </w:rPr>
        <w:t xml:space="preserve"> not </w:t>
      </w:r>
      <w:r w:rsidR="00EE3DB2">
        <w:rPr>
          <w:rFonts w:ascii="Times" w:hAnsi="Times"/>
          <w:lang w:val="en-GB"/>
        </w:rPr>
        <w:t xml:space="preserve">be </w:t>
      </w:r>
      <w:r w:rsidRPr="00A639AB">
        <w:rPr>
          <w:rFonts w:ascii="Times" w:hAnsi="Times"/>
          <w:lang w:val="en-GB"/>
        </w:rPr>
        <w:t xml:space="preserve">measured only </w:t>
      </w:r>
      <w:r w:rsidR="00F16C34">
        <w:rPr>
          <w:rFonts w:ascii="Times" w:hAnsi="Times"/>
          <w:lang w:val="en-GB"/>
        </w:rPr>
        <w:t>by</w:t>
      </w:r>
      <w:r w:rsidRPr="00A639AB">
        <w:rPr>
          <w:rFonts w:ascii="Times" w:hAnsi="Times"/>
          <w:lang w:val="en-GB"/>
        </w:rPr>
        <w:t xml:space="preserve"> their contribution to economic growth and efficiency but also to equality and other common goods, such as health and wellbeing of citizens.</w:t>
      </w:r>
      <w:r w:rsidRPr="00A639AB">
        <w:rPr>
          <w:rStyle w:val="FootnoteReference"/>
          <w:rFonts w:ascii="Times" w:hAnsi="Times"/>
          <w:lang w:val="en-GB"/>
        </w:rPr>
        <w:footnoteReference w:id="17"/>
      </w:r>
      <w:r w:rsidR="00EE3DB2">
        <w:rPr>
          <w:rFonts w:ascii="Times" w:hAnsi="Times"/>
          <w:lang w:val="en-GB"/>
        </w:rPr>
        <w:t xml:space="preserve"> </w:t>
      </w:r>
      <w:r w:rsidRPr="00A639AB">
        <w:rPr>
          <w:rFonts w:ascii="Times" w:hAnsi="Times"/>
          <w:lang w:val="en-GB"/>
        </w:rPr>
        <w:t xml:space="preserve">Competition law has also been a subject in this debate. </w:t>
      </w:r>
      <w:r>
        <w:rPr>
          <w:rFonts w:ascii="Times" w:hAnsi="Times"/>
          <w:lang w:val="en-GB"/>
        </w:rPr>
        <w:t xml:space="preserve">Among others, </w:t>
      </w:r>
      <w:r w:rsidRPr="00A639AB">
        <w:rPr>
          <w:rFonts w:ascii="Times" w:hAnsi="Times"/>
          <w:lang w:val="en-GB"/>
        </w:rPr>
        <w:t>Nobel priz</w:t>
      </w:r>
      <w:r>
        <w:rPr>
          <w:rFonts w:ascii="Times" w:hAnsi="Times"/>
          <w:lang w:val="en-GB"/>
        </w:rPr>
        <w:t>e-</w:t>
      </w:r>
      <w:r w:rsidRPr="00A639AB">
        <w:rPr>
          <w:rFonts w:ascii="Times" w:hAnsi="Times"/>
          <w:lang w:val="en-GB"/>
        </w:rPr>
        <w:t>winning Keynesian economist Joseph Stiglitz openly called for a more aggressive competition policy targeting monopolies and cartels with a view to increasing wealth equality.</w:t>
      </w:r>
      <w:r w:rsidRPr="00A639AB">
        <w:rPr>
          <w:rStyle w:val="FootnoteReference"/>
          <w:rFonts w:ascii="Times" w:hAnsi="Times"/>
          <w:lang w:val="en-GB"/>
        </w:rPr>
        <w:footnoteReference w:id="18"/>
      </w:r>
      <w:r w:rsidRPr="00A639AB">
        <w:rPr>
          <w:rFonts w:ascii="Times" w:hAnsi="Times"/>
          <w:lang w:val="en-GB"/>
        </w:rPr>
        <w:t xml:space="preserve"> Within competition law scholarship it has been argued </w:t>
      </w:r>
      <w:r w:rsidRPr="00A639AB">
        <w:rPr>
          <w:rFonts w:ascii="Times" w:hAnsi="Times"/>
          <w:lang w:val="en-GB"/>
        </w:rPr>
        <w:lastRenderedPageBreak/>
        <w:t>that competition law could be utilised to decrease inequality</w:t>
      </w:r>
      <w:r w:rsidR="00F16C34">
        <w:rPr>
          <w:rFonts w:ascii="Times" w:hAnsi="Times"/>
          <w:lang w:val="en-GB"/>
        </w:rPr>
        <w:t>,</w:t>
      </w:r>
      <w:r w:rsidRPr="00A639AB">
        <w:rPr>
          <w:rFonts w:ascii="Times" w:hAnsi="Times"/>
          <w:lang w:val="en-GB"/>
        </w:rPr>
        <w:t xml:space="preserve"> for instance by taking strong action against anticompetitive behaviour that causes harm to the most vulnerable consumers or those with </w:t>
      </w:r>
      <w:r w:rsidR="00F16C34">
        <w:rPr>
          <w:rFonts w:ascii="Times" w:hAnsi="Times"/>
          <w:lang w:val="en-GB"/>
        </w:rPr>
        <w:t xml:space="preserve">the </w:t>
      </w:r>
      <w:r w:rsidRPr="00A639AB">
        <w:rPr>
          <w:rFonts w:ascii="Times" w:hAnsi="Times"/>
          <w:lang w:val="en-GB"/>
        </w:rPr>
        <w:t>low</w:t>
      </w:r>
      <w:r w:rsidR="00E45CE7">
        <w:rPr>
          <w:rFonts w:ascii="Times" w:hAnsi="Times"/>
          <w:lang w:val="en-GB"/>
        </w:rPr>
        <w:t>est</w:t>
      </w:r>
      <w:r w:rsidRPr="00A639AB">
        <w:rPr>
          <w:rFonts w:ascii="Times" w:hAnsi="Times"/>
          <w:lang w:val="en-GB"/>
        </w:rPr>
        <w:t xml:space="preserve"> disposable income, such as anticompetitive practices in food retail markets.</w:t>
      </w:r>
      <w:r w:rsidRPr="00A639AB">
        <w:rPr>
          <w:rStyle w:val="FootnoteReference"/>
          <w:rFonts w:ascii="Times" w:hAnsi="Times"/>
          <w:lang w:val="en-GB"/>
        </w:rPr>
        <w:footnoteReference w:id="19"/>
      </w:r>
      <w:r w:rsidRPr="00A639AB">
        <w:rPr>
          <w:rFonts w:ascii="Times" w:hAnsi="Times"/>
          <w:lang w:val="en-GB"/>
        </w:rPr>
        <w:t xml:space="preserve"> According to the opposite view</w:t>
      </w:r>
      <w:r w:rsidR="00F16C34">
        <w:rPr>
          <w:rFonts w:ascii="Times" w:hAnsi="Times"/>
          <w:lang w:val="en-GB"/>
        </w:rPr>
        <w:t>,</w:t>
      </w:r>
      <w:r w:rsidRPr="00A639AB">
        <w:rPr>
          <w:rFonts w:ascii="Times" w:hAnsi="Times"/>
          <w:lang w:val="en-GB"/>
        </w:rPr>
        <w:t xml:space="preserve"> competition law is not equipped with the right tools to tackle inequality, as this is not competition law’s primary purpose; thus, decreasing inequality should be left to redistributive tax and social policies which are fit for this purpose.</w:t>
      </w:r>
      <w:r w:rsidRPr="00A639AB">
        <w:rPr>
          <w:rStyle w:val="FootnoteReference"/>
          <w:rFonts w:ascii="Times" w:hAnsi="Times"/>
          <w:lang w:val="en-GB"/>
        </w:rPr>
        <w:footnoteReference w:id="20"/>
      </w:r>
      <w:r w:rsidRPr="00A639AB">
        <w:rPr>
          <w:rFonts w:ascii="Times" w:hAnsi="Times"/>
          <w:lang w:val="en-GB"/>
        </w:rPr>
        <w:t xml:space="preserve"> </w:t>
      </w:r>
    </w:p>
    <w:p w14:paraId="5268A1CC" w14:textId="77777777" w:rsidR="00501DD7" w:rsidRPr="00A639AB" w:rsidRDefault="00501DD7" w:rsidP="00F22BA5">
      <w:pPr>
        <w:spacing w:line="480" w:lineRule="auto"/>
        <w:jc w:val="both"/>
        <w:rPr>
          <w:rFonts w:ascii="Times" w:hAnsi="Times"/>
          <w:lang w:val="en-GB"/>
        </w:rPr>
      </w:pPr>
    </w:p>
    <w:p w14:paraId="1313E61B" w14:textId="6C2CE840" w:rsidR="00501DD7" w:rsidRDefault="00501DD7" w:rsidP="00F22BA5">
      <w:pPr>
        <w:spacing w:line="480" w:lineRule="auto"/>
        <w:jc w:val="both"/>
        <w:rPr>
          <w:rFonts w:ascii="Times" w:hAnsi="Times"/>
          <w:lang w:val="en-GB"/>
        </w:rPr>
      </w:pPr>
      <w:r w:rsidRPr="00A639AB">
        <w:rPr>
          <w:rFonts w:ascii="Times" w:hAnsi="Times"/>
          <w:lang w:val="en-GB"/>
        </w:rPr>
        <w:t>Nevertheless, the debate on competition law and equality still takes neoclassical economic principles as the main reference point</w:t>
      </w:r>
      <w:r w:rsidR="00D57A8D">
        <w:rPr>
          <w:rFonts w:ascii="Times" w:hAnsi="Times"/>
          <w:lang w:val="en-GB"/>
        </w:rPr>
        <w:t>,</w:t>
      </w:r>
      <w:r w:rsidRPr="00A639AB">
        <w:rPr>
          <w:rFonts w:ascii="Times" w:hAnsi="Times"/>
          <w:lang w:val="en-GB"/>
        </w:rPr>
        <w:t xml:space="preserve"> which is paradoxical given that it is those principles that are primarily responsible for the increasing levels of inequality in the first place. As a result, the debate suffers from two fundamental weaknesses: firstly, equality between citizens is not perceived as a public good and an objective on its own but it is considered useful and necessary to the extent </w:t>
      </w:r>
      <w:r>
        <w:rPr>
          <w:rFonts w:ascii="Times" w:hAnsi="Times"/>
          <w:lang w:val="en-GB"/>
        </w:rPr>
        <w:t xml:space="preserve">that </w:t>
      </w:r>
      <w:r w:rsidRPr="00A639AB">
        <w:rPr>
          <w:rFonts w:ascii="Times" w:hAnsi="Times"/>
          <w:lang w:val="en-GB"/>
        </w:rPr>
        <w:t>it contributes to economic growth.</w:t>
      </w:r>
      <w:r w:rsidRPr="00A639AB">
        <w:rPr>
          <w:rStyle w:val="FootnoteReference"/>
          <w:rFonts w:ascii="Times" w:hAnsi="Times"/>
          <w:lang w:val="en-GB"/>
        </w:rPr>
        <w:footnoteReference w:id="21"/>
      </w:r>
      <w:r w:rsidRPr="00A639AB">
        <w:rPr>
          <w:rFonts w:ascii="Times" w:hAnsi="Times"/>
          <w:lang w:val="en-GB"/>
        </w:rPr>
        <w:t xml:space="preserve"> Secondly, whether or not competition law and policy actually or potentially contribute to equality is discussed within the limits drawn by neoclassical principles; and the wealth distribution relationship is perceived as exclusively between producers and consumers. As a result, the entire production process that product</w:t>
      </w:r>
      <w:r>
        <w:rPr>
          <w:rFonts w:ascii="Times" w:hAnsi="Times"/>
          <w:lang w:val="en-GB"/>
        </w:rPr>
        <w:t xml:space="preserve">s and services </w:t>
      </w:r>
      <w:r w:rsidRPr="00A639AB">
        <w:rPr>
          <w:rFonts w:ascii="Times" w:hAnsi="Times"/>
          <w:lang w:val="en-GB"/>
        </w:rPr>
        <w:t xml:space="preserve">go through before </w:t>
      </w:r>
      <w:r>
        <w:rPr>
          <w:rFonts w:ascii="Times" w:hAnsi="Times"/>
          <w:lang w:val="en-GB"/>
        </w:rPr>
        <w:t>they are</w:t>
      </w:r>
      <w:r w:rsidRPr="00A639AB">
        <w:rPr>
          <w:rFonts w:ascii="Times" w:hAnsi="Times"/>
          <w:lang w:val="en-GB"/>
        </w:rPr>
        <w:t xml:space="preserve"> placed on the market is completely </w:t>
      </w:r>
      <w:r w:rsidRPr="00A639AB">
        <w:rPr>
          <w:rFonts w:ascii="Times" w:hAnsi="Times"/>
          <w:lang w:val="en-GB"/>
        </w:rPr>
        <w:lastRenderedPageBreak/>
        <w:t xml:space="preserve">overlooked. </w:t>
      </w:r>
      <w:r w:rsidR="00820355">
        <w:rPr>
          <w:rFonts w:ascii="Times" w:hAnsi="Times"/>
          <w:lang w:val="en-GB"/>
        </w:rPr>
        <w:t>With</w:t>
      </w:r>
      <w:r w:rsidR="00820355" w:rsidRPr="00A639AB">
        <w:rPr>
          <w:rFonts w:ascii="Times" w:hAnsi="Times"/>
          <w:lang w:val="en-GB"/>
        </w:rPr>
        <w:t xml:space="preserve"> </w:t>
      </w:r>
      <w:r w:rsidRPr="00A639AB">
        <w:rPr>
          <w:rFonts w:ascii="Times" w:hAnsi="Times"/>
          <w:lang w:val="en-GB"/>
        </w:rPr>
        <w:t xml:space="preserve">producers and consumers perceived as the only </w:t>
      </w:r>
      <w:r>
        <w:rPr>
          <w:rFonts w:ascii="Times" w:hAnsi="Times"/>
          <w:lang w:val="en-GB"/>
        </w:rPr>
        <w:t>groups of individuals</w:t>
      </w:r>
      <w:r w:rsidRPr="00A639AB">
        <w:rPr>
          <w:rFonts w:ascii="Times" w:hAnsi="Times"/>
          <w:lang w:val="en-GB"/>
        </w:rPr>
        <w:t xml:space="preserve"> potentially affected by the enforcement of competition rules as parties to the equality relationship, workers who create goods and services utilising their labour power are absent in the debate. This also overlooks </w:t>
      </w:r>
      <w:r w:rsidR="00820355">
        <w:rPr>
          <w:rFonts w:ascii="Times" w:hAnsi="Times"/>
          <w:lang w:val="en-GB"/>
        </w:rPr>
        <w:t xml:space="preserve">the fact </w:t>
      </w:r>
      <w:r w:rsidRPr="00A639AB">
        <w:rPr>
          <w:rFonts w:ascii="Times" w:hAnsi="Times"/>
          <w:lang w:val="en-GB"/>
        </w:rPr>
        <w:t>that in complex modern societies, individuals have multiple overlapping social and economic roles and identities: most importantly</w:t>
      </w:r>
      <w:r>
        <w:rPr>
          <w:rFonts w:ascii="Times" w:hAnsi="Times"/>
          <w:lang w:val="en-GB"/>
        </w:rPr>
        <w:t xml:space="preserve"> for the purposes of this article</w:t>
      </w:r>
      <w:r w:rsidRPr="00A639AB">
        <w:rPr>
          <w:rFonts w:ascii="Times" w:hAnsi="Times"/>
          <w:lang w:val="en-GB"/>
        </w:rPr>
        <w:t xml:space="preserve">, as will be discussed in the next section, most consumers are also workers. Thus, the overall economic effect of competition law on equality will </w:t>
      </w:r>
      <w:r>
        <w:rPr>
          <w:rFonts w:ascii="Times" w:hAnsi="Times"/>
          <w:lang w:val="en-GB"/>
        </w:rPr>
        <w:t xml:space="preserve">be negative or neutral at very best </w:t>
      </w:r>
      <w:r w:rsidRPr="00A639AB">
        <w:rPr>
          <w:rFonts w:ascii="Times" w:hAnsi="Times"/>
          <w:lang w:val="en-GB"/>
        </w:rPr>
        <w:t xml:space="preserve">if the welfare of consumers </w:t>
      </w:r>
      <w:r>
        <w:rPr>
          <w:rFonts w:ascii="Times" w:hAnsi="Times"/>
          <w:lang w:val="en-GB"/>
        </w:rPr>
        <w:t>increases</w:t>
      </w:r>
      <w:r w:rsidRPr="00A639AB">
        <w:rPr>
          <w:rFonts w:ascii="Times" w:hAnsi="Times"/>
          <w:lang w:val="en-GB"/>
        </w:rPr>
        <w:t xml:space="preserve"> as a result of a reduction in the welfare of workers.</w:t>
      </w:r>
    </w:p>
    <w:p w14:paraId="02A61BCC" w14:textId="5C85C494" w:rsidR="001D6EC9" w:rsidRDefault="001D6EC9" w:rsidP="00F22BA5">
      <w:pPr>
        <w:spacing w:line="480" w:lineRule="auto"/>
        <w:jc w:val="both"/>
        <w:rPr>
          <w:rFonts w:ascii="Times" w:hAnsi="Times"/>
          <w:lang w:val="en-GB"/>
        </w:rPr>
      </w:pPr>
    </w:p>
    <w:p w14:paraId="314B22D3" w14:textId="77777777" w:rsidR="00303D9D" w:rsidRPr="00F06200" w:rsidRDefault="00F06200" w:rsidP="00F22BA5">
      <w:pPr>
        <w:pStyle w:val="ListParagraph"/>
        <w:numPr>
          <w:ilvl w:val="0"/>
          <w:numId w:val="1"/>
        </w:numPr>
        <w:spacing w:line="480" w:lineRule="auto"/>
        <w:rPr>
          <w:rFonts w:ascii="Times" w:hAnsi="Times" w:cs="Times New Roman"/>
        </w:rPr>
      </w:pPr>
      <w:r w:rsidRPr="00F06200">
        <w:rPr>
          <w:rFonts w:ascii="Times" w:hAnsi="Times" w:cs="Times New Roman"/>
        </w:rPr>
        <w:t>LABOUR EXPLOITATION IN MARXIAN AND NEOCLASSICAL ECONOMICS</w:t>
      </w:r>
    </w:p>
    <w:p w14:paraId="2A83B8B8" w14:textId="77777777" w:rsidR="00303D9D" w:rsidRPr="00A639AB" w:rsidRDefault="00303D9D" w:rsidP="00F22BA5">
      <w:pPr>
        <w:spacing w:line="480" w:lineRule="auto"/>
        <w:jc w:val="both"/>
        <w:rPr>
          <w:rFonts w:ascii="Times" w:hAnsi="Times" w:cs="Times New Roman"/>
        </w:rPr>
      </w:pPr>
    </w:p>
    <w:p w14:paraId="1A5229F0" w14:textId="7910F070" w:rsidR="00303D9D" w:rsidRPr="00A639AB" w:rsidRDefault="00303D9D" w:rsidP="00F22BA5">
      <w:pPr>
        <w:spacing w:line="480" w:lineRule="auto"/>
        <w:jc w:val="both"/>
        <w:rPr>
          <w:rFonts w:ascii="Times" w:hAnsi="Times" w:cs="Times New Roman"/>
        </w:rPr>
      </w:pPr>
      <w:r w:rsidRPr="00A639AB">
        <w:rPr>
          <w:rFonts w:ascii="Times" w:hAnsi="Times" w:cs="Times New Roman"/>
        </w:rPr>
        <w:t xml:space="preserve">Both Marxian </w:t>
      </w:r>
      <w:r w:rsidR="00737064">
        <w:rPr>
          <w:rFonts w:ascii="Times" w:hAnsi="Times" w:cs="Times New Roman"/>
        </w:rPr>
        <w:t>and</w:t>
      </w:r>
      <w:r w:rsidRPr="00A639AB">
        <w:rPr>
          <w:rFonts w:ascii="Times" w:hAnsi="Times" w:cs="Times New Roman"/>
        </w:rPr>
        <w:t xml:space="preserve"> neoclassical economic</w:t>
      </w:r>
      <w:r>
        <w:rPr>
          <w:rFonts w:ascii="Times" w:hAnsi="Times" w:cs="Times New Roman"/>
        </w:rPr>
        <w:t>s</w:t>
      </w:r>
      <w:r w:rsidRPr="00A639AB">
        <w:rPr>
          <w:rFonts w:ascii="Times" w:hAnsi="Times" w:cs="Times New Roman"/>
        </w:rPr>
        <w:t xml:space="preserve"> accept that there are social and economic reasons to treat </w:t>
      </w:r>
      <w:proofErr w:type="spellStart"/>
      <w:r w:rsidRPr="00A639AB">
        <w:rPr>
          <w:rFonts w:ascii="Times" w:hAnsi="Times" w:cs="Times New Roman"/>
        </w:rPr>
        <w:t>labour</w:t>
      </w:r>
      <w:proofErr w:type="spellEnd"/>
      <w:r w:rsidRPr="00A639AB">
        <w:rPr>
          <w:rFonts w:ascii="Times" w:hAnsi="Times" w:cs="Times New Roman"/>
        </w:rPr>
        <w:t xml:space="preserve"> different</w:t>
      </w:r>
      <w:r>
        <w:rPr>
          <w:rFonts w:ascii="Times" w:hAnsi="Times" w:cs="Times New Roman"/>
        </w:rPr>
        <w:t>ly</w:t>
      </w:r>
      <w:r w:rsidRPr="00A639AB">
        <w:rPr>
          <w:rFonts w:ascii="Times" w:hAnsi="Times" w:cs="Times New Roman"/>
        </w:rPr>
        <w:t xml:space="preserve"> from other commodities and to not subject </w:t>
      </w:r>
      <w:proofErr w:type="spellStart"/>
      <w:r w:rsidRPr="00A639AB">
        <w:rPr>
          <w:rFonts w:ascii="Times" w:hAnsi="Times" w:cs="Times New Roman"/>
        </w:rPr>
        <w:t>labour</w:t>
      </w:r>
      <w:proofErr w:type="spellEnd"/>
      <w:r w:rsidRPr="00A639AB">
        <w:rPr>
          <w:rFonts w:ascii="Times" w:hAnsi="Times" w:cs="Times New Roman"/>
        </w:rPr>
        <w:t xml:space="preserve"> to simple cost</w:t>
      </w:r>
      <w:r w:rsidR="00820355">
        <w:rPr>
          <w:rFonts w:ascii="Times" w:hAnsi="Times" w:cs="Times"/>
        </w:rPr>
        <w:t>–</w:t>
      </w:r>
      <w:r w:rsidRPr="00A639AB">
        <w:rPr>
          <w:rFonts w:ascii="Times" w:hAnsi="Times" w:cs="Times New Roman"/>
        </w:rPr>
        <w:t xml:space="preserve">benefit analyses. As a major difference between the two approaches, Marxian economics perceives the exploitation of </w:t>
      </w:r>
      <w:r>
        <w:rPr>
          <w:rFonts w:ascii="Times" w:hAnsi="Times" w:cs="Times New Roman"/>
        </w:rPr>
        <w:t>workers</w:t>
      </w:r>
      <w:r w:rsidRPr="00A639AB">
        <w:rPr>
          <w:rFonts w:ascii="Times" w:hAnsi="Times" w:cs="Times New Roman"/>
        </w:rPr>
        <w:t xml:space="preserve"> as a problem </w:t>
      </w:r>
      <w:r w:rsidRPr="00A639AB">
        <w:rPr>
          <w:rFonts w:ascii="Times" w:hAnsi="Times" w:cs="Times New Roman"/>
          <w:i/>
        </w:rPr>
        <w:t>of</w:t>
      </w:r>
      <w:r w:rsidRPr="00A639AB">
        <w:rPr>
          <w:rFonts w:ascii="Times" w:hAnsi="Times" w:cs="Times New Roman"/>
        </w:rPr>
        <w:t xml:space="preserve"> markets, whereas neoclassical economics see</w:t>
      </w:r>
      <w:r w:rsidR="00820355">
        <w:rPr>
          <w:rFonts w:ascii="Times" w:hAnsi="Times" w:cs="Times New Roman"/>
        </w:rPr>
        <w:t>s</w:t>
      </w:r>
      <w:r w:rsidRPr="00A639AB">
        <w:rPr>
          <w:rFonts w:ascii="Times" w:hAnsi="Times" w:cs="Times New Roman"/>
        </w:rPr>
        <w:t xml:space="preserve"> it as a problem </w:t>
      </w:r>
      <w:r w:rsidRPr="00A639AB">
        <w:rPr>
          <w:rFonts w:ascii="Times" w:hAnsi="Times" w:cs="Times New Roman"/>
          <w:i/>
        </w:rPr>
        <w:t>in</w:t>
      </w:r>
      <w:r w:rsidRPr="00A639AB">
        <w:rPr>
          <w:rFonts w:ascii="Times" w:hAnsi="Times" w:cs="Times New Roman"/>
        </w:rPr>
        <w:t xml:space="preserve"> markets. Accordingly, the former proposes the </w:t>
      </w:r>
      <w:r w:rsidR="00E6786E">
        <w:rPr>
          <w:rFonts w:ascii="Times" w:hAnsi="Times" w:cs="Times New Roman"/>
        </w:rPr>
        <w:t>abolition</w:t>
      </w:r>
      <w:r w:rsidRPr="00A639AB">
        <w:rPr>
          <w:rFonts w:ascii="Times" w:hAnsi="Times" w:cs="Times New Roman"/>
        </w:rPr>
        <w:t xml:space="preserve"> of class relationships underlying the market mechanism altogether, whereas the latter finds solutions within the market which would tilt the balance of power </w:t>
      </w:r>
      <w:r w:rsidR="00820355">
        <w:rPr>
          <w:rFonts w:ascii="Times" w:hAnsi="Times" w:cs="Times New Roman"/>
        </w:rPr>
        <w:t>in</w:t>
      </w:r>
      <w:r w:rsidRPr="00A639AB">
        <w:rPr>
          <w:rFonts w:ascii="Times" w:hAnsi="Times" w:cs="Times New Roman"/>
        </w:rPr>
        <w:t xml:space="preserve"> the workers’ </w:t>
      </w:r>
      <w:proofErr w:type="spellStart"/>
      <w:r w:rsidRPr="00A639AB">
        <w:rPr>
          <w:rFonts w:ascii="Times" w:hAnsi="Times" w:cs="Times New Roman"/>
        </w:rPr>
        <w:t>favour</w:t>
      </w:r>
      <w:proofErr w:type="spellEnd"/>
      <w:r w:rsidRPr="00A639AB">
        <w:rPr>
          <w:rFonts w:ascii="Times" w:hAnsi="Times" w:cs="Times New Roman"/>
        </w:rPr>
        <w:t xml:space="preserve">. Nevertheless, the idiosyncratic qualities of </w:t>
      </w:r>
      <w:proofErr w:type="spellStart"/>
      <w:r w:rsidRPr="00A639AB">
        <w:rPr>
          <w:rFonts w:ascii="Times" w:hAnsi="Times" w:cs="Times New Roman"/>
        </w:rPr>
        <w:t>labour</w:t>
      </w:r>
      <w:proofErr w:type="spellEnd"/>
      <w:r w:rsidRPr="00A639AB">
        <w:rPr>
          <w:rFonts w:ascii="Times" w:hAnsi="Times" w:cs="Times New Roman"/>
        </w:rPr>
        <w:t xml:space="preserve"> as specified </w:t>
      </w:r>
      <w:r>
        <w:rPr>
          <w:rFonts w:ascii="Times" w:hAnsi="Times" w:cs="Times New Roman"/>
        </w:rPr>
        <w:t>not only in Marxian but also</w:t>
      </w:r>
      <w:r w:rsidRPr="00A639AB">
        <w:rPr>
          <w:rFonts w:ascii="Times" w:hAnsi="Times" w:cs="Times New Roman"/>
        </w:rPr>
        <w:t xml:space="preserve"> neoclassical </w:t>
      </w:r>
      <w:r>
        <w:rPr>
          <w:rFonts w:ascii="Times" w:hAnsi="Times" w:cs="Times New Roman"/>
        </w:rPr>
        <w:t xml:space="preserve">exploitation </w:t>
      </w:r>
      <w:r w:rsidRPr="00A639AB">
        <w:rPr>
          <w:rFonts w:ascii="Times" w:hAnsi="Times" w:cs="Times New Roman"/>
        </w:rPr>
        <w:t xml:space="preserve">theories imply that there are fundamental social and economic reasons for protecting collective </w:t>
      </w:r>
      <w:r>
        <w:rPr>
          <w:rFonts w:ascii="Times" w:hAnsi="Times" w:cs="Times New Roman"/>
        </w:rPr>
        <w:t>worker</w:t>
      </w:r>
      <w:r w:rsidRPr="00A639AB">
        <w:rPr>
          <w:rFonts w:ascii="Times" w:hAnsi="Times" w:cs="Times New Roman"/>
        </w:rPr>
        <w:t xml:space="preserve"> action as a matter of common good, although this </w:t>
      </w:r>
      <w:r>
        <w:rPr>
          <w:rFonts w:ascii="Times" w:hAnsi="Times" w:cs="Times New Roman"/>
        </w:rPr>
        <w:t>may come</w:t>
      </w:r>
      <w:r w:rsidRPr="00A639AB">
        <w:rPr>
          <w:rFonts w:ascii="Times" w:hAnsi="Times" w:cs="Times New Roman"/>
        </w:rPr>
        <w:t xml:space="preserve"> into direct conflict with the principle of </w:t>
      </w:r>
      <w:r>
        <w:rPr>
          <w:rFonts w:ascii="Times" w:hAnsi="Times" w:cs="Times New Roman"/>
        </w:rPr>
        <w:t>market</w:t>
      </w:r>
      <w:r w:rsidRPr="00A639AB">
        <w:rPr>
          <w:rFonts w:ascii="Times" w:hAnsi="Times" w:cs="Times New Roman"/>
        </w:rPr>
        <w:t xml:space="preserve"> competition.</w:t>
      </w:r>
    </w:p>
    <w:p w14:paraId="5D1F8D6A" w14:textId="77777777" w:rsidR="00303D9D" w:rsidRPr="00A639AB" w:rsidRDefault="00303D9D" w:rsidP="00F22BA5">
      <w:pPr>
        <w:spacing w:line="480" w:lineRule="auto"/>
        <w:jc w:val="both"/>
        <w:rPr>
          <w:rFonts w:ascii="Times" w:hAnsi="Times" w:cs="Times New Roman"/>
        </w:rPr>
      </w:pPr>
    </w:p>
    <w:p w14:paraId="1E810250" w14:textId="278425E2" w:rsidR="00303D9D" w:rsidRPr="00A639AB" w:rsidRDefault="00303D9D" w:rsidP="00F22BA5">
      <w:pPr>
        <w:spacing w:line="480" w:lineRule="auto"/>
        <w:jc w:val="both"/>
        <w:rPr>
          <w:rFonts w:ascii="Times" w:hAnsi="Times" w:cs="Times New Roman"/>
        </w:rPr>
      </w:pPr>
      <w:r w:rsidRPr="00A639AB">
        <w:rPr>
          <w:rFonts w:ascii="Times" w:hAnsi="Times" w:cs="Times New Roman"/>
        </w:rPr>
        <w:t xml:space="preserve">Marxian approaches perceive the exploitation of </w:t>
      </w:r>
      <w:r>
        <w:rPr>
          <w:rFonts w:ascii="Times" w:hAnsi="Times" w:cs="Times New Roman"/>
        </w:rPr>
        <w:t>workers</w:t>
      </w:r>
      <w:r w:rsidRPr="00A639AB">
        <w:rPr>
          <w:rFonts w:ascii="Times" w:hAnsi="Times" w:cs="Times New Roman"/>
        </w:rPr>
        <w:t xml:space="preserve"> as a natural result of the class relationships between capitalists and workers underlying the production processes of goods and services. According to Marxian economics, working classes who do not enjoy access to </w:t>
      </w:r>
      <w:r w:rsidR="00DB042F">
        <w:rPr>
          <w:rFonts w:ascii="Times" w:hAnsi="Times" w:cs="Times New Roman"/>
        </w:rPr>
        <w:t xml:space="preserve">the </w:t>
      </w:r>
      <w:r w:rsidRPr="00A639AB">
        <w:rPr>
          <w:rFonts w:ascii="Times" w:hAnsi="Times" w:cs="Times New Roman"/>
        </w:rPr>
        <w:t xml:space="preserve">capital necessary for the production of goods and services need to surrender their </w:t>
      </w:r>
      <w:proofErr w:type="spellStart"/>
      <w:r w:rsidRPr="00A639AB">
        <w:rPr>
          <w:rFonts w:ascii="Times" w:hAnsi="Times" w:cs="Times New Roman"/>
        </w:rPr>
        <w:t>labour</w:t>
      </w:r>
      <w:proofErr w:type="spellEnd"/>
      <w:r w:rsidRPr="00A639AB">
        <w:rPr>
          <w:rFonts w:ascii="Times" w:hAnsi="Times" w:cs="Times New Roman"/>
        </w:rPr>
        <w:t xml:space="preserve"> power to the capitalist in order to survive. This is necessarily a relationship of exploitation by its nature because the </w:t>
      </w:r>
      <w:r w:rsidRPr="00A639AB">
        <w:rPr>
          <w:rFonts w:ascii="Times" w:hAnsi="Times" w:cs="Times New Roman"/>
          <w:i/>
        </w:rPr>
        <w:t>surplus value</w:t>
      </w:r>
      <w:r w:rsidRPr="00A639AB">
        <w:rPr>
          <w:rFonts w:ascii="Times" w:hAnsi="Times" w:cs="Times New Roman"/>
        </w:rPr>
        <w:t xml:space="preserve"> created by the worker during the process of production belongs to the capitalist.</w:t>
      </w:r>
      <w:r w:rsidRPr="00A639AB">
        <w:rPr>
          <w:rStyle w:val="FootnoteReference"/>
          <w:rFonts w:ascii="Times" w:hAnsi="Times" w:cs="Times New Roman"/>
        </w:rPr>
        <w:footnoteReference w:id="22"/>
      </w:r>
      <w:r w:rsidRPr="00A639AB">
        <w:rPr>
          <w:rFonts w:ascii="Times" w:hAnsi="Times" w:cs="Times New Roman"/>
        </w:rPr>
        <w:t xml:space="preserve"> It cannot be argued that the worker </w:t>
      </w:r>
      <w:r w:rsidR="00BD43EF">
        <w:rPr>
          <w:rFonts w:ascii="Times" w:hAnsi="Times" w:cs="Times New Roman"/>
        </w:rPr>
        <w:t xml:space="preserve">enjoys the freedom to choose to </w:t>
      </w:r>
      <w:r w:rsidRPr="00A639AB">
        <w:rPr>
          <w:rFonts w:ascii="Times" w:hAnsi="Times" w:cs="Times New Roman"/>
        </w:rPr>
        <w:t xml:space="preserve">surrender his </w:t>
      </w:r>
      <w:proofErr w:type="spellStart"/>
      <w:r w:rsidRPr="00A639AB">
        <w:rPr>
          <w:rFonts w:ascii="Times" w:hAnsi="Times" w:cs="Times New Roman"/>
        </w:rPr>
        <w:t>labour</w:t>
      </w:r>
      <w:proofErr w:type="spellEnd"/>
      <w:r w:rsidRPr="00A639AB">
        <w:rPr>
          <w:rFonts w:ascii="Times" w:hAnsi="Times" w:cs="Times New Roman"/>
        </w:rPr>
        <w:t xml:space="preserve"> power, since as long as </w:t>
      </w:r>
      <w:r w:rsidR="006438C7">
        <w:rPr>
          <w:rFonts w:ascii="Times" w:hAnsi="Times" w:cs="Times New Roman"/>
        </w:rPr>
        <w:t>they</w:t>
      </w:r>
      <w:r w:rsidRPr="00A639AB">
        <w:rPr>
          <w:rFonts w:ascii="Times" w:hAnsi="Times" w:cs="Times New Roman"/>
        </w:rPr>
        <w:t xml:space="preserve"> </w:t>
      </w:r>
      <w:r w:rsidR="006438C7">
        <w:rPr>
          <w:rFonts w:ascii="Times" w:hAnsi="Times" w:cs="Times New Roman"/>
        </w:rPr>
        <w:t xml:space="preserve">do </w:t>
      </w:r>
      <w:r w:rsidRPr="00A639AB">
        <w:rPr>
          <w:rFonts w:ascii="Times" w:hAnsi="Times" w:cs="Times New Roman"/>
        </w:rPr>
        <w:t xml:space="preserve">not enjoy access to capital, </w:t>
      </w:r>
      <w:r w:rsidR="00820355">
        <w:rPr>
          <w:rFonts w:ascii="Times" w:hAnsi="Times" w:cs="Times New Roman"/>
        </w:rPr>
        <w:t xml:space="preserve">the </w:t>
      </w:r>
      <w:r w:rsidR="006438C7">
        <w:rPr>
          <w:rFonts w:ascii="Times" w:hAnsi="Times" w:cs="Times New Roman"/>
        </w:rPr>
        <w:t>worker</w:t>
      </w:r>
      <w:r w:rsidRPr="00A639AB">
        <w:rPr>
          <w:rFonts w:ascii="Times" w:hAnsi="Times" w:cs="Times New Roman"/>
        </w:rPr>
        <w:t>s</w:t>
      </w:r>
      <w:r w:rsidR="006438C7">
        <w:rPr>
          <w:rFonts w:ascii="Times" w:hAnsi="Times" w:cs="Times New Roman"/>
        </w:rPr>
        <w:t>’</w:t>
      </w:r>
      <w:r w:rsidRPr="00A639AB">
        <w:rPr>
          <w:rFonts w:ascii="Times" w:hAnsi="Times" w:cs="Times New Roman"/>
        </w:rPr>
        <w:t xml:space="preserve"> ch</w:t>
      </w:r>
      <w:r w:rsidR="006438C7">
        <w:rPr>
          <w:rFonts w:ascii="Times" w:hAnsi="Times" w:cs="Times New Roman"/>
        </w:rPr>
        <w:t xml:space="preserve">oice is merely to surrender </w:t>
      </w:r>
      <w:proofErr w:type="spellStart"/>
      <w:r w:rsidRPr="00A639AB">
        <w:rPr>
          <w:rFonts w:ascii="Times" w:hAnsi="Times" w:cs="Times New Roman"/>
        </w:rPr>
        <w:t>labour</w:t>
      </w:r>
      <w:proofErr w:type="spellEnd"/>
      <w:r w:rsidRPr="00A639AB">
        <w:rPr>
          <w:rFonts w:ascii="Times" w:hAnsi="Times" w:cs="Times New Roman"/>
        </w:rPr>
        <w:t xml:space="preserve"> power to one capitalist or another.</w:t>
      </w:r>
      <w:r w:rsidRPr="00A639AB">
        <w:rPr>
          <w:rStyle w:val="FootnoteReference"/>
          <w:rFonts w:ascii="Times" w:hAnsi="Times" w:cs="Times New Roman"/>
        </w:rPr>
        <w:footnoteReference w:id="23"/>
      </w:r>
      <w:r w:rsidRPr="00A639AB">
        <w:rPr>
          <w:rFonts w:ascii="Times" w:hAnsi="Times" w:cs="Times New Roman"/>
        </w:rPr>
        <w:t xml:space="preserve"> Alternatively, </w:t>
      </w:r>
      <w:r w:rsidR="006438C7">
        <w:rPr>
          <w:rFonts w:ascii="Times" w:hAnsi="Times" w:cs="Times New Roman"/>
        </w:rPr>
        <w:t>they</w:t>
      </w:r>
      <w:r w:rsidRPr="00A639AB">
        <w:rPr>
          <w:rFonts w:ascii="Times" w:hAnsi="Times" w:cs="Times New Roman"/>
        </w:rPr>
        <w:t xml:space="preserve"> can return to the ‘reserve army’ of precariousness from which the capitalist can choose another worker.</w:t>
      </w:r>
      <w:r w:rsidRPr="00A639AB">
        <w:rPr>
          <w:rStyle w:val="FootnoteReference"/>
          <w:rFonts w:ascii="Times" w:hAnsi="Times" w:cs="Times New Roman"/>
        </w:rPr>
        <w:footnoteReference w:id="24"/>
      </w:r>
      <w:r w:rsidRPr="00A639AB">
        <w:rPr>
          <w:rFonts w:ascii="Times" w:hAnsi="Times" w:cs="Times New Roman"/>
        </w:rPr>
        <w:t xml:space="preserve"> </w:t>
      </w:r>
    </w:p>
    <w:p w14:paraId="564272A1" w14:textId="77777777" w:rsidR="00303D9D" w:rsidRPr="00A639AB" w:rsidRDefault="00303D9D" w:rsidP="00F22BA5">
      <w:pPr>
        <w:spacing w:line="480" w:lineRule="auto"/>
        <w:jc w:val="both"/>
        <w:rPr>
          <w:rFonts w:ascii="Times" w:hAnsi="Times" w:cs="Times New Roman"/>
        </w:rPr>
      </w:pPr>
    </w:p>
    <w:p w14:paraId="4E3473D6" w14:textId="1C12D646" w:rsidR="00303D9D" w:rsidRPr="00A639AB" w:rsidRDefault="00303D9D" w:rsidP="00F22BA5">
      <w:pPr>
        <w:spacing w:line="480" w:lineRule="auto"/>
        <w:jc w:val="both"/>
        <w:rPr>
          <w:rFonts w:ascii="Times" w:hAnsi="Times" w:cs="Times New Roman"/>
        </w:rPr>
      </w:pPr>
      <w:r w:rsidRPr="00A639AB">
        <w:rPr>
          <w:rFonts w:ascii="Times" w:hAnsi="Times" w:cs="Times New Roman"/>
        </w:rPr>
        <w:t>Marxian economics does not perceive the relationship of exploitation from a moral perspective: capitalists do not exploit workers because they are evil</w:t>
      </w:r>
      <w:r w:rsidR="00EF03CF">
        <w:rPr>
          <w:rFonts w:ascii="Times" w:hAnsi="Times" w:cs="Times New Roman"/>
        </w:rPr>
        <w:t>, but rather</w:t>
      </w:r>
      <w:r w:rsidRPr="00A639AB">
        <w:rPr>
          <w:rFonts w:ascii="Times" w:hAnsi="Times" w:cs="Times New Roman"/>
        </w:rPr>
        <w:t xml:space="preserve"> because they are subject to the disciplining forces of the capitalist market competition. Under those forces, the primary incentive of each capitalist is to continue the process </w:t>
      </w:r>
      <w:r w:rsidRPr="00A639AB">
        <w:rPr>
          <w:rFonts w:ascii="Times" w:hAnsi="Times" w:cs="Times New Roman"/>
        </w:rPr>
        <w:lastRenderedPageBreak/>
        <w:t>of so-called capitalist accumulation with the eventual aim of reaching</w:t>
      </w:r>
      <w:r w:rsidR="00EF03CF">
        <w:rPr>
          <w:rFonts w:ascii="Times" w:hAnsi="Times" w:cs="Times New Roman"/>
        </w:rPr>
        <w:t xml:space="preserve"> a</w:t>
      </w:r>
      <w:r w:rsidRPr="00A639AB">
        <w:rPr>
          <w:rFonts w:ascii="Times" w:hAnsi="Times" w:cs="Times New Roman"/>
        </w:rPr>
        <w:t xml:space="preserve"> monopoly position.</w:t>
      </w:r>
      <w:r w:rsidRPr="00A639AB">
        <w:rPr>
          <w:rStyle w:val="FootnoteReference"/>
          <w:rFonts w:ascii="Times" w:hAnsi="Times" w:cs="Times New Roman"/>
        </w:rPr>
        <w:footnoteReference w:id="25"/>
      </w:r>
      <w:r w:rsidRPr="00A639AB">
        <w:rPr>
          <w:rFonts w:ascii="Times" w:hAnsi="Times" w:cs="Times New Roman"/>
        </w:rPr>
        <w:t xml:space="preserve"> In the shadow of the same forces, capitalists force workers to increase their productivity so that the production costs of each individual capitalist are lower than their competitors</w:t>
      </w:r>
      <w:r w:rsidR="00EF03CF">
        <w:rPr>
          <w:rFonts w:ascii="Times" w:hAnsi="Times" w:cs="Times New Roman"/>
        </w:rPr>
        <w:t>’</w:t>
      </w:r>
      <w:r w:rsidRPr="00A639AB">
        <w:rPr>
          <w:rFonts w:ascii="Times" w:hAnsi="Times" w:cs="Times New Roman"/>
        </w:rPr>
        <w:t>. This means that as the competitive process intensifies the worker surrenders more and more of the surplus value</w:t>
      </w:r>
      <w:r w:rsidR="00EF03CF">
        <w:rPr>
          <w:rFonts w:ascii="Times" w:hAnsi="Times" w:cs="Times New Roman"/>
        </w:rPr>
        <w:t>,</w:t>
      </w:r>
      <w:r w:rsidRPr="00A639AB">
        <w:rPr>
          <w:rFonts w:ascii="Times" w:hAnsi="Times" w:cs="Times New Roman"/>
        </w:rPr>
        <w:t xml:space="preserve"> </w:t>
      </w:r>
      <w:r>
        <w:rPr>
          <w:rFonts w:ascii="Times" w:hAnsi="Times" w:cs="Times New Roman"/>
        </w:rPr>
        <w:t>increasing</w:t>
      </w:r>
      <w:r w:rsidRPr="00A639AB">
        <w:rPr>
          <w:rFonts w:ascii="Times" w:hAnsi="Times" w:cs="Times New Roman"/>
        </w:rPr>
        <w:t xml:space="preserve"> the rate of exploitation.</w:t>
      </w:r>
      <w:r w:rsidRPr="00A639AB">
        <w:rPr>
          <w:rStyle w:val="FootnoteReference"/>
          <w:rFonts w:ascii="Times" w:hAnsi="Times" w:cs="Times New Roman"/>
        </w:rPr>
        <w:footnoteReference w:id="26"/>
      </w:r>
      <w:r>
        <w:rPr>
          <w:rFonts w:ascii="Times" w:hAnsi="Times" w:cs="Times New Roman"/>
        </w:rPr>
        <w:t xml:space="preserve"> This ‘cheapening’ of </w:t>
      </w:r>
      <w:proofErr w:type="spellStart"/>
      <w:r>
        <w:rPr>
          <w:rFonts w:ascii="Times" w:hAnsi="Times" w:cs="Times New Roman"/>
        </w:rPr>
        <w:t>labour</w:t>
      </w:r>
      <w:proofErr w:type="spellEnd"/>
      <w:r w:rsidRPr="00A639AB">
        <w:rPr>
          <w:rFonts w:ascii="Times" w:hAnsi="Times" w:cs="Times New Roman"/>
        </w:rPr>
        <w:t xml:space="preserve">, however, is not necessarily more ‘efficient’ in the neoclassical sense, because it creates a social cost consisting of </w:t>
      </w:r>
      <w:r>
        <w:rPr>
          <w:rFonts w:ascii="Times" w:hAnsi="Times" w:cs="Times New Roman"/>
        </w:rPr>
        <w:t>detriments</w:t>
      </w:r>
      <w:r w:rsidRPr="00A639AB">
        <w:rPr>
          <w:rFonts w:ascii="Times" w:hAnsi="Times" w:cs="Times New Roman"/>
        </w:rPr>
        <w:t xml:space="preserve"> </w:t>
      </w:r>
      <w:r>
        <w:rPr>
          <w:rFonts w:ascii="Times" w:hAnsi="Times" w:cs="Times New Roman"/>
        </w:rPr>
        <w:t xml:space="preserve">to </w:t>
      </w:r>
      <w:r w:rsidRPr="00A639AB">
        <w:rPr>
          <w:rFonts w:ascii="Times" w:hAnsi="Times" w:cs="Times New Roman"/>
        </w:rPr>
        <w:t>the health and wellbeing of the working class and society as a whole that is not borne by the capitalist.</w:t>
      </w:r>
      <w:r w:rsidRPr="00A639AB">
        <w:rPr>
          <w:rStyle w:val="FootnoteReference"/>
          <w:rFonts w:ascii="Times" w:hAnsi="Times" w:cs="Times New Roman"/>
        </w:rPr>
        <w:footnoteReference w:id="27"/>
      </w:r>
      <w:r>
        <w:rPr>
          <w:rFonts w:ascii="Times" w:hAnsi="Times" w:cs="Times New Roman"/>
        </w:rPr>
        <w:t xml:space="preserve"> Empirical studies confirm that </w:t>
      </w:r>
      <w:proofErr w:type="spellStart"/>
      <w:r>
        <w:rPr>
          <w:rFonts w:ascii="Times" w:hAnsi="Times" w:cs="Times New Roman"/>
        </w:rPr>
        <w:t>labour</w:t>
      </w:r>
      <w:proofErr w:type="spellEnd"/>
      <w:r>
        <w:rPr>
          <w:rFonts w:ascii="Times" w:hAnsi="Times" w:cs="Times New Roman"/>
        </w:rPr>
        <w:t xml:space="preserve"> exploitation </w:t>
      </w:r>
      <w:r w:rsidR="007224BA">
        <w:rPr>
          <w:rFonts w:ascii="Times" w:hAnsi="Times" w:cs="Times New Roman"/>
        </w:rPr>
        <w:t xml:space="preserve">has </w:t>
      </w:r>
      <w:r>
        <w:rPr>
          <w:rFonts w:ascii="Times" w:hAnsi="Times" w:cs="Times New Roman"/>
        </w:rPr>
        <w:t>consistently intensified since the 1950s: whilst production processes</w:t>
      </w:r>
      <w:r w:rsidR="007224BA">
        <w:rPr>
          <w:rFonts w:ascii="Times" w:hAnsi="Times" w:cs="Times New Roman"/>
        </w:rPr>
        <w:t xml:space="preserve"> have</w:t>
      </w:r>
      <w:r>
        <w:rPr>
          <w:rFonts w:ascii="Times" w:hAnsi="Times" w:cs="Times New Roman"/>
        </w:rPr>
        <w:t xml:space="preserve"> bec</w:t>
      </w:r>
      <w:r w:rsidR="007224BA">
        <w:rPr>
          <w:rFonts w:ascii="Times" w:hAnsi="Times" w:cs="Times New Roman"/>
        </w:rPr>
        <w:t>o</w:t>
      </w:r>
      <w:r>
        <w:rPr>
          <w:rFonts w:ascii="Times" w:hAnsi="Times" w:cs="Times New Roman"/>
        </w:rPr>
        <w:t>me increasingly more productive</w:t>
      </w:r>
      <w:r w:rsidR="007224BA">
        <w:rPr>
          <w:rFonts w:ascii="Times" w:hAnsi="Times" w:cs="Times New Roman"/>
        </w:rPr>
        <w:t>,</w:t>
      </w:r>
      <w:r>
        <w:rPr>
          <w:rFonts w:ascii="Times" w:hAnsi="Times" w:cs="Times New Roman"/>
        </w:rPr>
        <w:t xml:space="preserve"> contributing to larger profits, the wages paid to workers </w:t>
      </w:r>
      <w:r w:rsidR="007224BA">
        <w:rPr>
          <w:rFonts w:ascii="Times" w:hAnsi="Times" w:cs="Times New Roman"/>
        </w:rPr>
        <w:t>ha</w:t>
      </w:r>
      <w:r w:rsidR="00DB042F">
        <w:rPr>
          <w:rFonts w:ascii="Times" w:hAnsi="Times" w:cs="Times New Roman"/>
        </w:rPr>
        <w:t>ve</w:t>
      </w:r>
      <w:r w:rsidR="007224BA">
        <w:rPr>
          <w:rFonts w:ascii="Times" w:hAnsi="Times" w:cs="Times New Roman"/>
        </w:rPr>
        <w:t xml:space="preserve"> </w:t>
      </w:r>
      <w:r>
        <w:rPr>
          <w:rFonts w:ascii="Times" w:hAnsi="Times" w:cs="Times New Roman"/>
        </w:rPr>
        <w:t>continuously decreased.</w:t>
      </w:r>
      <w:r>
        <w:rPr>
          <w:rStyle w:val="FootnoteReference"/>
          <w:rFonts w:ascii="Times" w:hAnsi="Times" w:cs="Times New Roman"/>
        </w:rPr>
        <w:footnoteReference w:id="28"/>
      </w:r>
    </w:p>
    <w:p w14:paraId="4D4CC16B" w14:textId="77777777" w:rsidR="00303D9D" w:rsidRPr="00A639AB" w:rsidRDefault="00303D9D" w:rsidP="00F22BA5">
      <w:pPr>
        <w:spacing w:line="480" w:lineRule="auto"/>
        <w:jc w:val="both"/>
        <w:rPr>
          <w:rFonts w:ascii="Times" w:hAnsi="Times" w:cs="Times New Roman"/>
        </w:rPr>
      </w:pPr>
    </w:p>
    <w:p w14:paraId="14A4F632" w14:textId="2D98A588" w:rsidR="00303D9D" w:rsidRPr="00A639AB" w:rsidRDefault="00303D9D" w:rsidP="00F22BA5">
      <w:pPr>
        <w:spacing w:line="480" w:lineRule="auto"/>
        <w:jc w:val="both"/>
        <w:rPr>
          <w:rFonts w:ascii="Times" w:hAnsi="Times" w:cs="Times New Roman"/>
        </w:rPr>
      </w:pPr>
      <w:r w:rsidRPr="00A639AB">
        <w:rPr>
          <w:rFonts w:ascii="Times" w:hAnsi="Times" w:cs="Times New Roman"/>
        </w:rPr>
        <w:t xml:space="preserve">As argued by Karl Polanyi, </w:t>
      </w:r>
      <w:proofErr w:type="spellStart"/>
      <w:r w:rsidRPr="00A639AB">
        <w:rPr>
          <w:rFonts w:ascii="Times" w:hAnsi="Times" w:cs="Times New Roman"/>
        </w:rPr>
        <w:t>labour</w:t>
      </w:r>
      <w:proofErr w:type="spellEnd"/>
      <w:r w:rsidRPr="00A639AB">
        <w:rPr>
          <w:rFonts w:ascii="Times" w:hAnsi="Times" w:cs="Times New Roman"/>
        </w:rPr>
        <w:t xml:space="preserve"> constitutes a so-called fictitious commodity.</w:t>
      </w:r>
      <w:r w:rsidRPr="00A639AB">
        <w:rPr>
          <w:rStyle w:val="FootnoteReference"/>
          <w:rFonts w:ascii="Times" w:hAnsi="Times" w:cs="Times New Roman"/>
        </w:rPr>
        <w:footnoteReference w:id="29"/>
      </w:r>
      <w:r w:rsidRPr="00A639AB">
        <w:rPr>
          <w:rFonts w:ascii="Times" w:hAnsi="Times" w:cs="Times New Roman"/>
        </w:rPr>
        <w:t xml:space="preserve"> This is because the </w:t>
      </w:r>
      <w:proofErr w:type="spellStart"/>
      <w:r w:rsidRPr="00A639AB">
        <w:rPr>
          <w:rFonts w:ascii="Times" w:hAnsi="Times" w:cs="Times New Roman"/>
        </w:rPr>
        <w:t>labour</w:t>
      </w:r>
      <w:proofErr w:type="spellEnd"/>
      <w:r w:rsidRPr="00A639AB">
        <w:rPr>
          <w:rFonts w:ascii="Times" w:hAnsi="Times" w:cs="Times New Roman"/>
        </w:rPr>
        <w:t xml:space="preserve"> power provided by the worker is attached to and inseparable from the human. Unl</w:t>
      </w:r>
      <w:r>
        <w:rPr>
          <w:rFonts w:ascii="Times" w:hAnsi="Times" w:cs="Times New Roman"/>
        </w:rPr>
        <w:t xml:space="preserve">ike other commodities, workers </w:t>
      </w:r>
      <w:r w:rsidRPr="00A639AB">
        <w:rPr>
          <w:rFonts w:ascii="Times" w:hAnsi="Times" w:cs="Times New Roman"/>
        </w:rPr>
        <w:t xml:space="preserve">are not produced with the aim of being exchanged in the market for profit. As a result, the argument for self-regulating markets and for equilibrium economics predicting that price (i.e. wage) </w:t>
      </w:r>
      <w:proofErr w:type="spellStart"/>
      <w:r w:rsidRPr="00A639AB">
        <w:rPr>
          <w:rFonts w:ascii="Times" w:hAnsi="Times" w:cs="Times New Roman"/>
        </w:rPr>
        <w:t>materialises</w:t>
      </w:r>
      <w:proofErr w:type="spellEnd"/>
      <w:r w:rsidRPr="00A639AB">
        <w:rPr>
          <w:rFonts w:ascii="Times" w:hAnsi="Times" w:cs="Times New Roman"/>
        </w:rPr>
        <w:t xml:space="preserve"> where supply meets demand loses all credibility when it comes to </w:t>
      </w:r>
      <w:proofErr w:type="spellStart"/>
      <w:r w:rsidRPr="00A639AB">
        <w:rPr>
          <w:rFonts w:ascii="Times" w:hAnsi="Times" w:cs="Times New Roman"/>
        </w:rPr>
        <w:t>labour</w:t>
      </w:r>
      <w:proofErr w:type="spellEnd"/>
      <w:r w:rsidRPr="00A639AB">
        <w:rPr>
          <w:rFonts w:ascii="Times" w:hAnsi="Times" w:cs="Times New Roman"/>
        </w:rPr>
        <w:t>. Polanyi argues that:</w:t>
      </w:r>
    </w:p>
    <w:p w14:paraId="1785AB37" w14:textId="77777777" w:rsidR="00303D9D" w:rsidRPr="00A639AB" w:rsidRDefault="00303D9D" w:rsidP="00F22BA5">
      <w:pPr>
        <w:spacing w:line="480" w:lineRule="auto"/>
        <w:jc w:val="both"/>
        <w:rPr>
          <w:rFonts w:ascii="Times" w:hAnsi="Times" w:cs="Times New Roman"/>
        </w:rPr>
      </w:pPr>
    </w:p>
    <w:p w14:paraId="7E0628A8" w14:textId="14334ACE" w:rsidR="00303D9D" w:rsidRPr="00A639AB" w:rsidRDefault="00303D9D" w:rsidP="00F22BA5">
      <w:pPr>
        <w:spacing w:line="480" w:lineRule="auto"/>
        <w:ind w:left="567" w:right="804"/>
        <w:jc w:val="both"/>
        <w:rPr>
          <w:rFonts w:ascii="Times" w:hAnsi="Times" w:cs="Times New Roman"/>
        </w:rPr>
      </w:pPr>
      <w:r w:rsidRPr="00A639AB">
        <w:rPr>
          <w:rFonts w:ascii="Times" w:hAnsi="Times" w:cs="Times New Roman"/>
        </w:rPr>
        <w:t>For the alleged commodity ‘</w:t>
      </w:r>
      <w:proofErr w:type="spellStart"/>
      <w:r w:rsidRPr="00A639AB">
        <w:rPr>
          <w:rFonts w:ascii="Times" w:hAnsi="Times" w:cs="Times New Roman"/>
        </w:rPr>
        <w:t>labour</w:t>
      </w:r>
      <w:proofErr w:type="spellEnd"/>
      <w:r w:rsidRPr="00A639AB">
        <w:rPr>
          <w:rFonts w:ascii="Times" w:hAnsi="Times" w:cs="Times New Roman"/>
        </w:rPr>
        <w:t xml:space="preserve"> power’ cannot be shoved about, used indiscriminately, or even left unused without affecting also the individual who happens to be the bearer of this peculiar commodity. In disposing of a man’s </w:t>
      </w:r>
      <w:proofErr w:type="spellStart"/>
      <w:r w:rsidRPr="00A639AB">
        <w:rPr>
          <w:rFonts w:ascii="Times" w:hAnsi="Times" w:cs="Times New Roman"/>
        </w:rPr>
        <w:t>labour</w:t>
      </w:r>
      <w:proofErr w:type="spellEnd"/>
      <w:r w:rsidRPr="00A639AB">
        <w:rPr>
          <w:rFonts w:ascii="Times" w:hAnsi="Times" w:cs="Times New Roman"/>
        </w:rPr>
        <w:t xml:space="preserve"> power the system would, incidentally, dispose of the physical, psychological, and moral entity ‘man’ attached to that tag.</w:t>
      </w:r>
      <w:r w:rsidRPr="00A639AB">
        <w:rPr>
          <w:rStyle w:val="FootnoteReference"/>
          <w:rFonts w:ascii="Times" w:hAnsi="Times" w:cs="Times New Roman"/>
        </w:rPr>
        <w:footnoteReference w:id="30"/>
      </w:r>
      <w:r w:rsidRPr="00A639AB">
        <w:rPr>
          <w:rFonts w:ascii="Times" w:hAnsi="Times" w:cs="Times New Roman"/>
        </w:rPr>
        <w:t xml:space="preserve">   </w:t>
      </w:r>
    </w:p>
    <w:p w14:paraId="4D52A067" w14:textId="77777777" w:rsidR="00303D9D" w:rsidRPr="00A639AB" w:rsidRDefault="00303D9D" w:rsidP="00F22BA5">
      <w:pPr>
        <w:spacing w:line="480" w:lineRule="auto"/>
        <w:ind w:left="567" w:right="804"/>
        <w:jc w:val="both"/>
        <w:rPr>
          <w:rFonts w:ascii="Times" w:hAnsi="Times" w:cs="Times New Roman"/>
        </w:rPr>
      </w:pPr>
    </w:p>
    <w:p w14:paraId="75E0747E" w14:textId="54132C9F" w:rsidR="00303D9D" w:rsidRPr="00A639AB" w:rsidRDefault="00303D9D" w:rsidP="00F22BA5">
      <w:pPr>
        <w:spacing w:line="480" w:lineRule="auto"/>
        <w:ind w:right="95"/>
        <w:jc w:val="both"/>
        <w:rPr>
          <w:rFonts w:ascii="Times" w:hAnsi="Times" w:cs="Times New Roman"/>
        </w:rPr>
      </w:pPr>
      <w:r w:rsidRPr="00A639AB">
        <w:rPr>
          <w:rFonts w:ascii="Times" w:hAnsi="Times" w:cs="Times New Roman"/>
        </w:rPr>
        <w:t>Whilst being considered as part of the classical, rather than Marxian, political economy, Amartya Sen’s capability-based equality framework</w:t>
      </w:r>
      <w:r w:rsidRPr="00A639AB">
        <w:rPr>
          <w:rStyle w:val="FootnoteReference"/>
          <w:rFonts w:ascii="Times" w:hAnsi="Times" w:cs="Times New Roman"/>
        </w:rPr>
        <w:footnoteReference w:id="31"/>
      </w:r>
      <w:r w:rsidRPr="00A639AB">
        <w:rPr>
          <w:rFonts w:ascii="Times" w:hAnsi="Times" w:cs="Times New Roman"/>
        </w:rPr>
        <w:t xml:space="preserve"> also supports the perception of </w:t>
      </w:r>
      <w:proofErr w:type="spellStart"/>
      <w:r w:rsidRPr="00A639AB">
        <w:rPr>
          <w:rFonts w:ascii="Times" w:hAnsi="Times" w:cs="Times New Roman"/>
        </w:rPr>
        <w:t>labour</w:t>
      </w:r>
      <w:proofErr w:type="spellEnd"/>
      <w:r w:rsidRPr="00A639AB">
        <w:rPr>
          <w:rFonts w:ascii="Times" w:hAnsi="Times" w:cs="Times New Roman"/>
        </w:rPr>
        <w:t xml:space="preserve"> as a fictitious commodity. In the context of this framework, work is considered not only as paid </w:t>
      </w:r>
      <w:proofErr w:type="spellStart"/>
      <w:r w:rsidRPr="00A639AB">
        <w:rPr>
          <w:rFonts w:ascii="Times" w:hAnsi="Times" w:cs="Times New Roman"/>
        </w:rPr>
        <w:t>labour</w:t>
      </w:r>
      <w:proofErr w:type="spellEnd"/>
      <w:r w:rsidRPr="00A639AB">
        <w:rPr>
          <w:rFonts w:ascii="Times" w:hAnsi="Times" w:cs="Times New Roman"/>
        </w:rPr>
        <w:t xml:space="preserve"> which is necessary for one’s economic survival, but also as a </w:t>
      </w:r>
      <w:r w:rsidRPr="00A639AB">
        <w:rPr>
          <w:rFonts w:ascii="Times" w:hAnsi="Times" w:cs="Times New Roman"/>
          <w:i/>
        </w:rPr>
        <w:t>capability</w:t>
      </w:r>
      <w:r w:rsidRPr="00A639AB">
        <w:rPr>
          <w:rFonts w:ascii="Times" w:hAnsi="Times" w:cs="Times New Roman"/>
        </w:rPr>
        <w:t xml:space="preserve"> that is essentially connected to one’s socio</w:t>
      </w:r>
      <w:r w:rsidR="00DB042F">
        <w:rPr>
          <w:rFonts w:ascii="Times" w:hAnsi="Times" w:cs="Times New Roman"/>
        </w:rPr>
        <w:noBreakHyphen/>
      </w:r>
      <w:r w:rsidRPr="00A639AB">
        <w:rPr>
          <w:rFonts w:ascii="Times" w:hAnsi="Times" w:cs="Times New Roman"/>
        </w:rPr>
        <w:t>economic as well as physical and mental well-being. When carried out as a self-determined, self-</w:t>
      </w:r>
      <w:proofErr w:type="spellStart"/>
      <w:r w:rsidRPr="00A639AB">
        <w:rPr>
          <w:rFonts w:ascii="Times" w:hAnsi="Times" w:cs="Times New Roman"/>
        </w:rPr>
        <w:t>realising</w:t>
      </w:r>
      <w:proofErr w:type="spellEnd"/>
      <w:r w:rsidRPr="00A639AB">
        <w:rPr>
          <w:rFonts w:ascii="Times" w:hAnsi="Times" w:cs="Times New Roman"/>
        </w:rPr>
        <w:t xml:space="preserve"> activity, work contributes to a satisfactory and dignified life.</w:t>
      </w:r>
      <w:r w:rsidRPr="00A639AB">
        <w:rPr>
          <w:rStyle w:val="FootnoteReference"/>
          <w:rFonts w:ascii="Times" w:hAnsi="Times" w:cs="Times New Roman"/>
        </w:rPr>
        <w:footnoteReference w:id="32"/>
      </w:r>
      <w:r w:rsidRPr="00A639AB">
        <w:rPr>
          <w:rFonts w:ascii="Times" w:hAnsi="Times" w:cs="Times New Roman"/>
        </w:rPr>
        <w:t xml:space="preserve"> </w:t>
      </w:r>
    </w:p>
    <w:p w14:paraId="3EE20740" w14:textId="77777777" w:rsidR="00303D9D" w:rsidRPr="00A639AB" w:rsidRDefault="00303D9D" w:rsidP="00F22BA5">
      <w:pPr>
        <w:spacing w:line="480" w:lineRule="auto"/>
        <w:ind w:right="95"/>
        <w:jc w:val="both"/>
        <w:rPr>
          <w:rFonts w:ascii="Times" w:hAnsi="Times" w:cs="Times New Roman"/>
        </w:rPr>
      </w:pPr>
    </w:p>
    <w:p w14:paraId="003CF74C" w14:textId="01027567" w:rsidR="00303D9D" w:rsidRPr="00A639AB" w:rsidRDefault="00AF1B25" w:rsidP="00F22BA5">
      <w:pPr>
        <w:spacing w:line="480" w:lineRule="auto"/>
        <w:ind w:right="95"/>
        <w:jc w:val="both"/>
        <w:rPr>
          <w:rFonts w:ascii="Times" w:hAnsi="Times" w:cs="Times New Roman"/>
        </w:rPr>
      </w:pPr>
      <w:r>
        <w:rPr>
          <w:rFonts w:ascii="Times" w:hAnsi="Times" w:cs="Times New Roman"/>
        </w:rPr>
        <w:t>In light of</w:t>
      </w:r>
      <w:r w:rsidR="00303D9D" w:rsidRPr="00A639AB">
        <w:rPr>
          <w:rFonts w:ascii="Times" w:hAnsi="Times" w:cs="Times New Roman"/>
        </w:rPr>
        <w:t xml:space="preserve"> Marxian economics, workers and consumers belong to one and the same group of people from a class perspective. This is exemplified in the Marxian theory of </w:t>
      </w:r>
      <w:proofErr w:type="spellStart"/>
      <w:r w:rsidR="00303D9D" w:rsidRPr="00A639AB">
        <w:rPr>
          <w:rFonts w:ascii="Times" w:hAnsi="Times" w:cs="Times New Roman"/>
        </w:rPr>
        <w:t>labour</w:t>
      </w:r>
      <w:proofErr w:type="spellEnd"/>
      <w:r w:rsidR="00303D9D" w:rsidRPr="00A639AB">
        <w:rPr>
          <w:rFonts w:ascii="Times" w:hAnsi="Times" w:cs="Times New Roman"/>
        </w:rPr>
        <w:t xml:space="preserve"> fetish.</w:t>
      </w:r>
      <w:r w:rsidR="00303D9D" w:rsidRPr="00A639AB">
        <w:rPr>
          <w:rStyle w:val="FootnoteReference"/>
          <w:rFonts w:ascii="Times" w:hAnsi="Times" w:cs="Times New Roman"/>
        </w:rPr>
        <w:footnoteReference w:id="33"/>
      </w:r>
      <w:r w:rsidR="00303D9D" w:rsidRPr="00A639AB">
        <w:rPr>
          <w:rFonts w:ascii="Times" w:hAnsi="Times" w:cs="Times New Roman"/>
        </w:rPr>
        <w:t xml:space="preserve"> According to this, the real producers of products, in other words </w:t>
      </w:r>
      <w:r w:rsidR="00303D9D" w:rsidRPr="00A639AB">
        <w:rPr>
          <w:rFonts w:ascii="Times" w:hAnsi="Times" w:cs="Times New Roman"/>
        </w:rPr>
        <w:lastRenderedPageBreak/>
        <w:t>workers, come into contact with the</w:t>
      </w:r>
      <w:r w:rsidR="00303D9D">
        <w:rPr>
          <w:rFonts w:ascii="Times" w:hAnsi="Times" w:cs="Times New Roman"/>
        </w:rPr>
        <w:t xml:space="preserve"> result of the</w:t>
      </w:r>
      <w:r w:rsidR="00303D9D" w:rsidRPr="00A639AB">
        <w:rPr>
          <w:rFonts w:ascii="Times" w:hAnsi="Times" w:cs="Times New Roman"/>
        </w:rPr>
        <w:t xml:space="preserve"> production process embodying their </w:t>
      </w:r>
      <w:proofErr w:type="spellStart"/>
      <w:r w:rsidR="00303D9D" w:rsidRPr="00A639AB">
        <w:rPr>
          <w:rFonts w:ascii="Times" w:hAnsi="Times" w:cs="Times New Roman"/>
        </w:rPr>
        <w:t>labour</w:t>
      </w:r>
      <w:proofErr w:type="spellEnd"/>
      <w:r w:rsidR="00303D9D" w:rsidRPr="00A639AB">
        <w:rPr>
          <w:rFonts w:ascii="Times" w:hAnsi="Times" w:cs="Times New Roman"/>
        </w:rPr>
        <w:t xml:space="preserve"> power only in the market. The market system creates a highly complex web of exchange relations rendering it impossible for workers to see </w:t>
      </w:r>
      <w:r w:rsidR="00DB042F">
        <w:rPr>
          <w:rFonts w:ascii="Times" w:hAnsi="Times" w:cs="Times New Roman"/>
        </w:rPr>
        <w:t xml:space="preserve">either </w:t>
      </w:r>
      <w:r w:rsidR="00303D9D" w:rsidRPr="00A639AB">
        <w:rPr>
          <w:rFonts w:ascii="Times" w:hAnsi="Times" w:cs="Times New Roman"/>
        </w:rPr>
        <w:t xml:space="preserve">their individual role </w:t>
      </w:r>
      <w:r w:rsidR="00DB042F">
        <w:rPr>
          <w:rFonts w:ascii="Times" w:hAnsi="Times" w:cs="Times New Roman"/>
        </w:rPr>
        <w:t>or</w:t>
      </w:r>
      <w:r w:rsidR="00303D9D" w:rsidRPr="00A639AB">
        <w:rPr>
          <w:rFonts w:ascii="Times" w:hAnsi="Times" w:cs="Times New Roman"/>
        </w:rPr>
        <w:t xml:space="preserve"> th</w:t>
      </w:r>
      <w:r w:rsidR="00DB042F">
        <w:rPr>
          <w:rFonts w:ascii="Times" w:hAnsi="Times" w:cs="Times New Roman"/>
        </w:rPr>
        <w:t>ose</w:t>
      </w:r>
      <w:r w:rsidR="00303D9D" w:rsidRPr="00A639AB">
        <w:rPr>
          <w:rFonts w:ascii="Times" w:hAnsi="Times" w:cs="Times New Roman"/>
        </w:rPr>
        <w:t xml:space="preserve"> of other workers in the production process, which is now concealed in the exchange value of the product.</w:t>
      </w:r>
      <w:r w:rsidR="00303D9D" w:rsidRPr="00A639AB">
        <w:rPr>
          <w:rStyle w:val="FootnoteReference"/>
          <w:rFonts w:ascii="Times" w:hAnsi="Times" w:cs="Times New Roman"/>
        </w:rPr>
        <w:footnoteReference w:id="34"/>
      </w:r>
      <w:r w:rsidR="00303D9D" w:rsidRPr="00A639AB">
        <w:rPr>
          <w:rFonts w:ascii="Times" w:hAnsi="Times" w:cs="Times New Roman"/>
        </w:rPr>
        <w:t xml:space="preserve"> This also means that what should normally be a social relationship between individuals turns into a materialistic relationship between things, because workers connect with each other through the exchange relationship in the market. As argued by Marx:</w:t>
      </w:r>
    </w:p>
    <w:p w14:paraId="3DE7D84E" w14:textId="77777777" w:rsidR="00303D9D" w:rsidRPr="00A639AB" w:rsidRDefault="00303D9D" w:rsidP="00F22BA5">
      <w:pPr>
        <w:spacing w:line="480" w:lineRule="auto"/>
        <w:ind w:right="95"/>
        <w:jc w:val="both"/>
        <w:rPr>
          <w:rFonts w:ascii="Times" w:hAnsi="Times" w:cs="Times New Roman"/>
        </w:rPr>
      </w:pPr>
    </w:p>
    <w:p w14:paraId="0261FCEF" w14:textId="77777777" w:rsidR="00303D9D" w:rsidRPr="00A639AB" w:rsidRDefault="00303D9D" w:rsidP="00F22BA5">
      <w:pPr>
        <w:spacing w:line="480" w:lineRule="auto"/>
        <w:ind w:left="709" w:right="1229"/>
        <w:jc w:val="both"/>
        <w:rPr>
          <w:rFonts w:ascii="Times" w:eastAsia="Times New Roman" w:hAnsi="Times" w:cs="Arial"/>
        </w:rPr>
      </w:pPr>
      <w:r w:rsidRPr="00A639AB">
        <w:rPr>
          <w:rFonts w:ascii="Times" w:eastAsia="Times New Roman" w:hAnsi="Times" w:cs="Arial"/>
        </w:rPr>
        <w:t xml:space="preserve">…the producers do not come into social contact with each other until they exchange their products, the specific social character of each producer’s </w:t>
      </w:r>
      <w:proofErr w:type="spellStart"/>
      <w:r w:rsidRPr="00A639AB">
        <w:rPr>
          <w:rFonts w:ascii="Times" w:eastAsia="Times New Roman" w:hAnsi="Times" w:cs="Arial"/>
        </w:rPr>
        <w:t>labour</w:t>
      </w:r>
      <w:proofErr w:type="spellEnd"/>
      <w:r w:rsidRPr="00A639AB">
        <w:rPr>
          <w:rFonts w:ascii="Times" w:eastAsia="Times New Roman" w:hAnsi="Times" w:cs="Arial"/>
        </w:rPr>
        <w:t xml:space="preserve"> does not show itself except in the act of exchange. In other words, the </w:t>
      </w:r>
      <w:proofErr w:type="spellStart"/>
      <w:r w:rsidRPr="00A639AB">
        <w:rPr>
          <w:rFonts w:ascii="Times" w:eastAsia="Times New Roman" w:hAnsi="Times" w:cs="Arial"/>
        </w:rPr>
        <w:t>labour</w:t>
      </w:r>
      <w:proofErr w:type="spellEnd"/>
      <w:r w:rsidRPr="00A639AB">
        <w:rPr>
          <w:rFonts w:ascii="Times" w:eastAsia="Times New Roman" w:hAnsi="Times" w:cs="Arial"/>
        </w:rPr>
        <w:t xml:space="preserve"> of the individual asserts itself as a part of the </w:t>
      </w:r>
      <w:proofErr w:type="spellStart"/>
      <w:r w:rsidRPr="00A639AB">
        <w:rPr>
          <w:rFonts w:ascii="Times" w:eastAsia="Times New Roman" w:hAnsi="Times" w:cs="Arial"/>
        </w:rPr>
        <w:t>labour</w:t>
      </w:r>
      <w:proofErr w:type="spellEnd"/>
      <w:r w:rsidRPr="00A639AB">
        <w:rPr>
          <w:rFonts w:ascii="Times" w:eastAsia="Times New Roman" w:hAnsi="Times" w:cs="Arial"/>
        </w:rPr>
        <w:t xml:space="preserve"> of society, only by means of the relations which the act of exchange establishes directly between the products, and indirectly, through them, bet</w:t>
      </w:r>
      <w:r>
        <w:rPr>
          <w:rFonts w:ascii="Times" w:eastAsia="Times New Roman" w:hAnsi="Times" w:cs="Arial"/>
        </w:rPr>
        <w:t>ween the producers</w:t>
      </w:r>
      <w:r w:rsidRPr="00A639AB">
        <w:rPr>
          <w:rFonts w:ascii="Times" w:eastAsia="Times New Roman" w:hAnsi="Times" w:cs="Arial"/>
        </w:rPr>
        <w:t>.</w:t>
      </w:r>
      <w:r w:rsidRPr="00A639AB">
        <w:rPr>
          <w:rStyle w:val="FootnoteReference"/>
          <w:rFonts w:ascii="Times" w:eastAsia="Times New Roman" w:hAnsi="Times" w:cs="Arial"/>
        </w:rPr>
        <w:footnoteReference w:id="35"/>
      </w:r>
    </w:p>
    <w:p w14:paraId="04312176" w14:textId="77777777" w:rsidR="00303D9D" w:rsidRPr="00A639AB" w:rsidRDefault="00303D9D" w:rsidP="00F22BA5">
      <w:pPr>
        <w:spacing w:line="480" w:lineRule="auto"/>
        <w:ind w:left="709" w:right="1229"/>
        <w:jc w:val="both"/>
        <w:rPr>
          <w:rFonts w:ascii="Times" w:eastAsia="Times New Roman" w:hAnsi="Times" w:cs="Arial"/>
        </w:rPr>
      </w:pPr>
    </w:p>
    <w:p w14:paraId="6BDD6E07" w14:textId="65658204" w:rsidR="00303D9D" w:rsidRPr="00A639AB" w:rsidRDefault="00303D9D" w:rsidP="00F22BA5">
      <w:pPr>
        <w:spacing w:line="480" w:lineRule="auto"/>
        <w:ind w:right="95"/>
        <w:jc w:val="both"/>
        <w:rPr>
          <w:rFonts w:ascii="Times" w:eastAsia="Times New Roman" w:hAnsi="Times" w:cs="Arial"/>
        </w:rPr>
      </w:pPr>
      <w:r w:rsidRPr="00A639AB">
        <w:rPr>
          <w:rFonts w:ascii="Times" w:eastAsia="Times New Roman" w:hAnsi="Times" w:cs="Arial"/>
        </w:rPr>
        <w:t xml:space="preserve">Neoclassical economics also acknowledges that due to its idiosyncratic qualities </w:t>
      </w:r>
      <w:proofErr w:type="spellStart"/>
      <w:r w:rsidRPr="00A639AB">
        <w:rPr>
          <w:rFonts w:ascii="Times" w:eastAsia="Times New Roman" w:hAnsi="Times" w:cs="Arial"/>
        </w:rPr>
        <w:t>labour</w:t>
      </w:r>
      <w:proofErr w:type="spellEnd"/>
      <w:r w:rsidRPr="00A639AB">
        <w:rPr>
          <w:rFonts w:ascii="Times" w:eastAsia="Times New Roman" w:hAnsi="Times" w:cs="Arial"/>
        </w:rPr>
        <w:t xml:space="preserve"> is naturally open to exploitation. Although without using the term ‘exploitation’, Adam Smith argued that employers would be likely to enter into collusion to keep wages down when the bargaining power tilts </w:t>
      </w:r>
      <w:r w:rsidR="00781803">
        <w:rPr>
          <w:rFonts w:ascii="Times" w:eastAsia="Times New Roman" w:hAnsi="Times" w:cs="Arial"/>
        </w:rPr>
        <w:t xml:space="preserve">in </w:t>
      </w:r>
      <w:proofErr w:type="spellStart"/>
      <w:r w:rsidR="00781803">
        <w:rPr>
          <w:rFonts w:ascii="Times" w:eastAsia="Times New Roman" w:hAnsi="Times" w:cs="Arial"/>
        </w:rPr>
        <w:t>favour</w:t>
      </w:r>
      <w:proofErr w:type="spellEnd"/>
      <w:r w:rsidRPr="00A639AB">
        <w:rPr>
          <w:rFonts w:ascii="Times" w:eastAsia="Times New Roman" w:hAnsi="Times" w:cs="Arial"/>
        </w:rPr>
        <w:t xml:space="preserve"> of workers; and he also suggested that the provision of </w:t>
      </w:r>
      <w:proofErr w:type="spellStart"/>
      <w:r w:rsidRPr="00A639AB">
        <w:rPr>
          <w:rFonts w:ascii="Times" w:eastAsia="Times New Roman" w:hAnsi="Times" w:cs="Arial"/>
        </w:rPr>
        <w:t>labour</w:t>
      </w:r>
      <w:proofErr w:type="spellEnd"/>
      <w:r w:rsidRPr="00A639AB">
        <w:rPr>
          <w:rFonts w:ascii="Times" w:eastAsia="Times New Roman" w:hAnsi="Times" w:cs="Arial"/>
        </w:rPr>
        <w:t xml:space="preserve"> in advanced societies necessarily </w:t>
      </w:r>
      <w:r w:rsidRPr="00A639AB">
        <w:rPr>
          <w:rFonts w:ascii="Times" w:eastAsia="Times New Roman" w:hAnsi="Times" w:cs="Arial"/>
        </w:rPr>
        <w:lastRenderedPageBreak/>
        <w:t xml:space="preserve">involves an unfair element, because the provider of </w:t>
      </w:r>
      <w:proofErr w:type="spellStart"/>
      <w:r w:rsidRPr="00A639AB">
        <w:rPr>
          <w:rFonts w:ascii="Times" w:eastAsia="Times New Roman" w:hAnsi="Times" w:cs="Arial"/>
        </w:rPr>
        <w:t>labour</w:t>
      </w:r>
      <w:proofErr w:type="spellEnd"/>
      <w:r w:rsidRPr="00A639AB">
        <w:rPr>
          <w:rFonts w:ascii="Times" w:eastAsia="Times New Roman" w:hAnsi="Times" w:cs="Arial"/>
        </w:rPr>
        <w:t xml:space="preserve"> does not share the result of the </w:t>
      </w:r>
      <w:proofErr w:type="spellStart"/>
      <w:r w:rsidRPr="00A639AB">
        <w:rPr>
          <w:rFonts w:ascii="Times" w:eastAsia="Times New Roman" w:hAnsi="Times" w:cs="Arial"/>
        </w:rPr>
        <w:t>labour</w:t>
      </w:r>
      <w:proofErr w:type="spellEnd"/>
      <w:r w:rsidRPr="00A639AB">
        <w:rPr>
          <w:rFonts w:ascii="Times" w:eastAsia="Times New Roman" w:hAnsi="Times" w:cs="Arial"/>
        </w:rPr>
        <w:t xml:space="preserve"> with the master.</w:t>
      </w:r>
      <w:r w:rsidRPr="00A639AB">
        <w:rPr>
          <w:rStyle w:val="FootnoteReference"/>
          <w:rFonts w:ascii="Times" w:eastAsia="Times New Roman" w:hAnsi="Times" w:cs="Arial"/>
        </w:rPr>
        <w:footnoteReference w:id="36"/>
      </w:r>
      <w:r w:rsidRPr="00A639AB">
        <w:rPr>
          <w:rFonts w:ascii="Times" w:eastAsia="Times New Roman" w:hAnsi="Times" w:cs="Arial"/>
        </w:rPr>
        <w:t xml:space="preserve"> Similarly, Alfred Marshall argued that </w:t>
      </w:r>
      <w:proofErr w:type="spellStart"/>
      <w:r w:rsidRPr="00A639AB">
        <w:rPr>
          <w:rFonts w:ascii="Times" w:eastAsia="Times New Roman" w:hAnsi="Times" w:cs="Arial"/>
        </w:rPr>
        <w:t>labour</w:t>
      </w:r>
      <w:proofErr w:type="spellEnd"/>
      <w:r w:rsidRPr="00A639AB">
        <w:rPr>
          <w:rFonts w:ascii="Times" w:eastAsia="Times New Roman" w:hAnsi="Times" w:cs="Arial"/>
        </w:rPr>
        <w:t xml:space="preserve"> was open to exploitation by its nature because it is highly perishable (meaning that the economic value of any time that </w:t>
      </w:r>
      <w:proofErr w:type="spellStart"/>
      <w:r w:rsidRPr="00A639AB">
        <w:rPr>
          <w:rFonts w:ascii="Times" w:eastAsia="Times New Roman" w:hAnsi="Times" w:cs="Arial"/>
        </w:rPr>
        <w:t>labour</w:t>
      </w:r>
      <w:proofErr w:type="spellEnd"/>
      <w:r w:rsidRPr="00A639AB">
        <w:rPr>
          <w:rFonts w:ascii="Times" w:eastAsia="Times New Roman" w:hAnsi="Times" w:cs="Arial"/>
        </w:rPr>
        <w:t xml:space="preserve"> is withh</w:t>
      </w:r>
      <w:r w:rsidR="00781803">
        <w:rPr>
          <w:rFonts w:ascii="Times" w:eastAsia="Times New Roman" w:hAnsi="Times" w:cs="Arial"/>
        </w:rPr>
        <w:t>e</w:t>
      </w:r>
      <w:r w:rsidRPr="00A639AB">
        <w:rPr>
          <w:rFonts w:ascii="Times" w:eastAsia="Times New Roman" w:hAnsi="Times" w:cs="Arial"/>
        </w:rPr>
        <w:t xml:space="preserve">ld will be lost forever); and that workers do not have access to reserve funds to enable them to withhold their </w:t>
      </w:r>
      <w:proofErr w:type="spellStart"/>
      <w:r w:rsidRPr="00A639AB">
        <w:rPr>
          <w:rFonts w:ascii="Times" w:eastAsia="Times New Roman" w:hAnsi="Times" w:cs="Arial"/>
        </w:rPr>
        <w:t>labour</w:t>
      </w:r>
      <w:proofErr w:type="spellEnd"/>
      <w:r w:rsidRPr="00A639AB">
        <w:rPr>
          <w:rFonts w:ascii="Times" w:eastAsia="Times New Roman" w:hAnsi="Times" w:cs="Arial"/>
        </w:rPr>
        <w:t xml:space="preserve"> power until the conditions for its supply are advantageous.</w:t>
      </w:r>
      <w:r w:rsidRPr="00A639AB">
        <w:rPr>
          <w:rStyle w:val="FootnoteReference"/>
          <w:rFonts w:ascii="Times" w:eastAsia="Times New Roman" w:hAnsi="Times" w:cs="Arial"/>
        </w:rPr>
        <w:footnoteReference w:id="37"/>
      </w:r>
      <w:r w:rsidRPr="00A639AB">
        <w:rPr>
          <w:rFonts w:ascii="Times" w:eastAsia="Times New Roman" w:hAnsi="Times" w:cs="Arial"/>
        </w:rPr>
        <w:t xml:space="preserve"> </w:t>
      </w:r>
    </w:p>
    <w:p w14:paraId="28D3024A" w14:textId="77777777" w:rsidR="00303D9D" w:rsidRPr="00A639AB" w:rsidRDefault="00303D9D" w:rsidP="00F22BA5">
      <w:pPr>
        <w:spacing w:line="480" w:lineRule="auto"/>
        <w:ind w:right="95"/>
        <w:jc w:val="both"/>
        <w:rPr>
          <w:rFonts w:ascii="Times" w:eastAsia="Times New Roman" w:hAnsi="Times" w:cs="Arial"/>
        </w:rPr>
      </w:pPr>
      <w:r w:rsidRPr="00A639AB">
        <w:rPr>
          <w:rFonts w:ascii="Times" w:eastAsia="Times New Roman" w:hAnsi="Times" w:cs="Arial"/>
        </w:rPr>
        <w:t xml:space="preserve">  </w:t>
      </w:r>
    </w:p>
    <w:p w14:paraId="420B8FE6" w14:textId="04DEF0B9" w:rsidR="00303D9D" w:rsidRPr="00A639AB" w:rsidRDefault="00303D9D" w:rsidP="00F22BA5">
      <w:pPr>
        <w:spacing w:line="480" w:lineRule="auto"/>
        <w:ind w:right="95"/>
        <w:jc w:val="both"/>
        <w:rPr>
          <w:rFonts w:ascii="Times" w:eastAsia="Times New Roman" w:hAnsi="Times" w:cs="Arial"/>
        </w:rPr>
      </w:pPr>
      <w:r w:rsidRPr="00A639AB">
        <w:rPr>
          <w:rFonts w:ascii="Times" w:eastAsia="Times New Roman" w:hAnsi="Times" w:cs="Arial"/>
        </w:rPr>
        <w:t>Nevertheless</w:t>
      </w:r>
      <w:r w:rsidR="00781803">
        <w:rPr>
          <w:rFonts w:ascii="Times" w:eastAsia="Times New Roman" w:hAnsi="Times" w:cs="Arial"/>
        </w:rPr>
        <w:t>,</w:t>
      </w:r>
      <w:r w:rsidRPr="00A639AB">
        <w:rPr>
          <w:rFonts w:ascii="Times" w:eastAsia="Times New Roman" w:hAnsi="Times" w:cs="Arial"/>
        </w:rPr>
        <w:t xml:space="preserve"> it was Arthur Pigou who developed the neoclassical theory of </w:t>
      </w:r>
      <w:proofErr w:type="spellStart"/>
      <w:r w:rsidRPr="00A639AB">
        <w:rPr>
          <w:rFonts w:ascii="Times" w:eastAsia="Times New Roman" w:hAnsi="Times" w:cs="Arial"/>
        </w:rPr>
        <w:t>labour</w:t>
      </w:r>
      <w:proofErr w:type="spellEnd"/>
      <w:r w:rsidRPr="00A639AB">
        <w:rPr>
          <w:rFonts w:ascii="Times" w:eastAsia="Times New Roman" w:hAnsi="Times" w:cs="Arial"/>
        </w:rPr>
        <w:t xml:space="preserve"> exploitation. According to Pigou, if wages </w:t>
      </w:r>
      <w:r w:rsidR="00781803">
        <w:rPr>
          <w:rFonts w:ascii="Times" w:eastAsia="Times New Roman" w:hAnsi="Times" w:cs="Arial"/>
        </w:rPr>
        <w:t>a</w:t>
      </w:r>
      <w:r w:rsidRPr="00A639AB">
        <w:rPr>
          <w:rFonts w:ascii="Times" w:eastAsia="Times New Roman" w:hAnsi="Times" w:cs="Arial"/>
        </w:rPr>
        <w:t>re below marginal net product (i.e. the resulting change in output when one more worker is employed) the wage relationship between the worker and the employer should be deemed exploitative.</w:t>
      </w:r>
      <w:r w:rsidRPr="00A639AB">
        <w:rPr>
          <w:rStyle w:val="FootnoteReference"/>
          <w:rFonts w:ascii="Times" w:eastAsia="Times New Roman" w:hAnsi="Times" w:cs="Arial"/>
        </w:rPr>
        <w:footnoteReference w:id="38"/>
      </w:r>
      <w:r w:rsidRPr="00A639AB">
        <w:rPr>
          <w:rFonts w:ascii="Times" w:eastAsia="Times New Roman" w:hAnsi="Times" w:cs="Arial"/>
        </w:rPr>
        <w:t xml:space="preserve"> In neoclassical theory, exploitation takes place because workers fail to switch jobs as quickly as they should </w:t>
      </w:r>
      <w:r w:rsidR="00781803">
        <w:rPr>
          <w:rFonts w:ascii="Times" w:eastAsia="Times New Roman" w:hAnsi="Times" w:cs="Arial"/>
        </w:rPr>
        <w:t xml:space="preserve">when </w:t>
      </w:r>
      <w:r w:rsidRPr="00A639AB">
        <w:rPr>
          <w:rFonts w:ascii="Times" w:eastAsia="Times New Roman" w:hAnsi="Times" w:cs="Arial"/>
        </w:rPr>
        <w:t>responding to a decrease in wages</w:t>
      </w:r>
      <w:r w:rsidR="00781803">
        <w:rPr>
          <w:rFonts w:ascii="Times" w:eastAsia="Times New Roman" w:hAnsi="Times" w:cs="Arial"/>
        </w:rPr>
        <w:t>;</w:t>
      </w:r>
      <w:r w:rsidRPr="00A639AB">
        <w:rPr>
          <w:rFonts w:ascii="Times" w:eastAsia="Times New Roman" w:hAnsi="Times" w:cs="Arial"/>
        </w:rPr>
        <w:t xml:space="preserve"> in other words, </w:t>
      </w:r>
      <w:r w:rsidR="00781803">
        <w:rPr>
          <w:rFonts w:ascii="Times" w:eastAsia="Times New Roman" w:hAnsi="Times" w:cs="Arial"/>
        </w:rPr>
        <w:t xml:space="preserve">it takes place </w:t>
      </w:r>
      <w:r w:rsidRPr="00A639AB">
        <w:rPr>
          <w:rFonts w:ascii="Times" w:eastAsia="Times New Roman" w:hAnsi="Times" w:cs="Arial"/>
        </w:rPr>
        <w:t xml:space="preserve">because the price elasticity of </w:t>
      </w:r>
      <w:proofErr w:type="spellStart"/>
      <w:r w:rsidRPr="00A639AB">
        <w:rPr>
          <w:rFonts w:ascii="Times" w:eastAsia="Times New Roman" w:hAnsi="Times" w:cs="Arial"/>
        </w:rPr>
        <w:t>labour</w:t>
      </w:r>
      <w:proofErr w:type="spellEnd"/>
      <w:r w:rsidRPr="00A639AB">
        <w:rPr>
          <w:rFonts w:ascii="Times" w:eastAsia="Times New Roman" w:hAnsi="Times" w:cs="Arial"/>
        </w:rPr>
        <w:t xml:space="preserve"> is less than perfect.</w:t>
      </w:r>
      <w:r w:rsidRPr="00A639AB">
        <w:rPr>
          <w:rStyle w:val="FootnoteReference"/>
          <w:rFonts w:ascii="Times" w:eastAsia="Times New Roman" w:hAnsi="Times" w:cs="Arial"/>
        </w:rPr>
        <w:footnoteReference w:id="39"/>
      </w:r>
      <w:r w:rsidRPr="00A639AB">
        <w:rPr>
          <w:rFonts w:ascii="Times" w:eastAsia="Times New Roman" w:hAnsi="Times" w:cs="Arial"/>
        </w:rPr>
        <w:t xml:space="preserve"> In more recent models, exploitation is also explained with workers’ and employers’ asymmetrical experience of frictions. Unless the individual </w:t>
      </w:r>
      <w:r w:rsidR="00781803">
        <w:rPr>
          <w:rFonts w:ascii="Times" w:eastAsia="Times New Roman" w:hAnsi="Times" w:cs="Arial"/>
        </w:rPr>
        <w:t xml:space="preserve">worker </w:t>
      </w:r>
      <w:r w:rsidRPr="00A639AB">
        <w:rPr>
          <w:rFonts w:ascii="Times" w:eastAsia="Times New Roman" w:hAnsi="Times" w:cs="Arial"/>
        </w:rPr>
        <w:t>or the specific group of worker</w:t>
      </w:r>
      <w:r w:rsidR="00E95E09">
        <w:rPr>
          <w:rFonts w:ascii="Times" w:eastAsia="Times New Roman" w:hAnsi="Times" w:cs="Arial"/>
        </w:rPr>
        <w:t>s</w:t>
      </w:r>
      <w:r w:rsidRPr="00A639AB">
        <w:rPr>
          <w:rFonts w:ascii="Times" w:eastAsia="Times New Roman" w:hAnsi="Times" w:cs="Arial"/>
        </w:rPr>
        <w:t xml:space="preserve"> in question can offer a highly valued skill that is in low supply, it is less costly for employers to change workers than it is for workers to switch jobs. As a result, in general, employers enjoy stronger bargaining power than workers. Overall, empirical </w:t>
      </w:r>
      <w:r w:rsidRPr="00A639AB">
        <w:rPr>
          <w:rFonts w:ascii="Times" w:eastAsia="Times New Roman" w:hAnsi="Times" w:cs="Arial"/>
        </w:rPr>
        <w:lastRenderedPageBreak/>
        <w:t xml:space="preserve">studies show that </w:t>
      </w:r>
      <w:proofErr w:type="spellStart"/>
      <w:r w:rsidRPr="00A639AB">
        <w:rPr>
          <w:rFonts w:ascii="Times" w:eastAsia="Times New Roman" w:hAnsi="Times" w:cs="Arial"/>
        </w:rPr>
        <w:t>labour</w:t>
      </w:r>
      <w:proofErr w:type="spellEnd"/>
      <w:r w:rsidRPr="00A639AB">
        <w:rPr>
          <w:rFonts w:ascii="Times" w:eastAsia="Times New Roman" w:hAnsi="Times" w:cs="Arial"/>
        </w:rPr>
        <w:t xml:space="preserve"> is paid substantially less than its marginal product.</w:t>
      </w:r>
      <w:r w:rsidRPr="00A639AB">
        <w:rPr>
          <w:rStyle w:val="FootnoteReference"/>
          <w:rFonts w:ascii="Times" w:eastAsia="Times New Roman" w:hAnsi="Times" w:cs="Arial"/>
        </w:rPr>
        <w:footnoteReference w:id="40"/>
      </w:r>
      <w:r w:rsidRPr="00A639AB">
        <w:rPr>
          <w:rFonts w:ascii="Times" w:eastAsia="Times New Roman" w:hAnsi="Times" w:cs="Arial"/>
        </w:rPr>
        <w:t xml:space="preserve"> Key reasons for this are problems facing </w:t>
      </w:r>
      <w:proofErr w:type="spellStart"/>
      <w:r w:rsidRPr="00A639AB">
        <w:rPr>
          <w:rFonts w:ascii="Times" w:eastAsia="Times New Roman" w:hAnsi="Times" w:cs="Arial"/>
        </w:rPr>
        <w:t>organised</w:t>
      </w:r>
      <w:proofErr w:type="spellEnd"/>
      <w:r w:rsidRPr="00A639AB">
        <w:rPr>
          <w:rFonts w:ascii="Times" w:eastAsia="Times New Roman" w:hAnsi="Times" w:cs="Arial"/>
        </w:rPr>
        <w:t xml:space="preserve"> and collective </w:t>
      </w:r>
      <w:r>
        <w:rPr>
          <w:rFonts w:ascii="Times" w:eastAsia="Times New Roman" w:hAnsi="Times" w:cs="Arial"/>
        </w:rPr>
        <w:t>worker</w:t>
      </w:r>
      <w:r w:rsidRPr="00A639AB">
        <w:rPr>
          <w:rFonts w:ascii="Times" w:eastAsia="Times New Roman" w:hAnsi="Times" w:cs="Arial"/>
        </w:rPr>
        <w:t xml:space="preserve"> action, ignorance, heterogeneous preferences and mobility costs.</w:t>
      </w:r>
      <w:r w:rsidRPr="00A639AB">
        <w:rPr>
          <w:rStyle w:val="FootnoteReference"/>
          <w:rFonts w:ascii="Times" w:eastAsia="Times New Roman" w:hAnsi="Times" w:cs="Arial"/>
        </w:rPr>
        <w:footnoteReference w:id="41"/>
      </w:r>
      <w:r>
        <w:rPr>
          <w:rFonts w:ascii="Times" w:eastAsia="Times New Roman" w:hAnsi="Times" w:cs="Arial"/>
        </w:rPr>
        <w:t xml:space="preserve"> For instance, in the US between the 1940s and the 1950s when the majority of workers belonged to a union, the income inequality was at its lowest.</w:t>
      </w:r>
      <w:r>
        <w:rPr>
          <w:rStyle w:val="FootnoteReference"/>
          <w:rFonts w:ascii="Times" w:eastAsia="Times New Roman" w:hAnsi="Times" w:cs="Arial"/>
        </w:rPr>
        <w:footnoteReference w:id="42"/>
      </w:r>
    </w:p>
    <w:p w14:paraId="509C3B2D" w14:textId="77777777" w:rsidR="00303D9D" w:rsidRPr="00A639AB" w:rsidRDefault="00303D9D" w:rsidP="00F22BA5">
      <w:pPr>
        <w:spacing w:line="480" w:lineRule="auto"/>
        <w:ind w:right="95"/>
        <w:jc w:val="both"/>
        <w:rPr>
          <w:rFonts w:ascii="Times" w:eastAsia="Times New Roman" w:hAnsi="Times" w:cs="Arial"/>
        </w:rPr>
      </w:pPr>
    </w:p>
    <w:p w14:paraId="14971846" w14:textId="71A0282F" w:rsidR="00303D9D" w:rsidRPr="00A639AB" w:rsidRDefault="00303D9D" w:rsidP="00F22BA5">
      <w:pPr>
        <w:spacing w:line="480" w:lineRule="auto"/>
        <w:ind w:right="95"/>
        <w:jc w:val="both"/>
        <w:rPr>
          <w:rFonts w:ascii="Times" w:eastAsia="Times New Roman" w:hAnsi="Times" w:cs="Arial"/>
        </w:rPr>
      </w:pPr>
      <w:r w:rsidRPr="00A639AB">
        <w:rPr>
          <w:rFonts w:ascii="Times" w:eastAsia="Times New Roman" w:hAnsi="Times" w:cs="Arial"/>
        </w:rPr>
        <w:t xml:space="preserve">Unlike Marxian theory, neoclassical theory does not see </w:t>
      </w:r>
      <w:proofErr w:type="spellStart"/>
      <w:r w:rsidRPr="00A639AB">
        <w:rPr>
          <w:rFonts w:ascii="Times" w:eastAsia="Times New Roman" w:hAnsi="Times" w:cs="Arial"/>
        </w:rPr>
        <w:t>labour</w:t>
      </w:r>
      <w:proofErr w:type="spellEnd"/>
      <w:r w:rsidRPr="00A639AB">
        <w:rPr>
          <w:rFonts w:ascii="Times" w:eastAsia="Times New Roman" w:hAnsi="Times" w:cs="Arial"/>
        </w:rPr>
        <w:t xml:space="preserve"> exploitation as a direct result of class relations. Nevertheless, neoclassical theory perceives exploitation as unfair by its very nature, because on the one hand workers receive wages that </w:t>
      </w:r>
      <w:r w:rsidR="00781803">
        <w:rPr>
          <w:rFonts w:ascii="Times" w:eastAsia="Times New Roman" w:hAnsi="Times" w:cs="Arial"/>
        </w:rPr>
        <w:t>are</w:t>
      </w:r>
      <w:r w:rsidRPr="00A639AB">
        <w:rPr>
          <w:rFonts w:ascii="Times" w:eastAsia="Times New Roman" w:hAnsi="Times" w:cs="Arial"/>
        </w:rPr>
        <w:t xml:space="preserve"> less than their contribution to the revenue of the employer, and on the other hand, </w:t>
      </w:r>
      <w:r w:rsidR="00781803">
        <w:rPr>
          <w:rFonts w:ascii="Times" w:eastAsia="Times New Roman" w:hAnsi="Times" w:cs="Arial"/>
        </w:rPr>
        <w:t xml:space="preserve">the </w:t>
      </w:r>
      <w:r w:rsidRPr="00A639AB">
        <w:rPr>
          <w:rFonts w:ascii="Times" w:eastAsia="Times New Roman" w:hAnsi="Times" w:cs="Arial"/>
        </w:rPr>
        <w:t xml:space="preserve">employer makes a profit that is the direct result of the </w:t>
      </w:r>
      <w:proofErr w:type="spellStart"/>
      <w:r w:rsidRPr="00A639AB">
        <w:rPr>
          <w:rFonts w:ascii="Times" w:eastAsia="Times New Roman" w:hAnsi="Times" w:cs="Arial"/>
        </w:rPr>
        <w:t>labour</w:t>
      </w:r>
      <w:proofErr w:type="spellEnd"/>
      <w:r w:rsidRPr="00A639AB">
        <w:rPr>
          <w:rFonts w:ascii="Times" w:eastAsia="Times New Roman" w:hAnsi="Times" w:cs="Arial"/>
        </w:rPr>
        <w:t xml:space="preserve"> of the worker.</w:t>
      </w:r>
      <w:r w:rsidRPr="00A639AB">
        <w:rPr>
          <w:rStyle w:val="FootnoteReference"/>
          <w:rFonts w:ascii="Times" w:eastAsia="Times New Roman" w:hAnsi="Times" w:cs="Arial"/>
        </w:rPr>
        <w:footnoteReference w:id="43"/>
      </w:r>
      <w:r w:rsidRPr="00A639AB">
        <w:rPr>
          <w:rFonts w:ascii="Times" w:eastAsia="Times New Roman" w:hAnsi="Times" w:cs="Arial"/>
        </w:rPr>
        <w:t xml:space="preserve"> Additionally, similar to the Marxian theory, neoclassical theory sees a direct relationship between competition and the level of exploitation. To begin with, the worker</w:t>
      </w:r>
      <w:r w:rsidR="00AF6D98">
        <w:rPr>
          <w:rFonts w:ascii="Times" w:eastAsia="Times New Roman" w:hAnsi="Times" w:cs="Times"/>
        </w:rPr>
        <w:t>–</w:t>
      </w:r>
      <w:r w:rsidRPr="00A639AB">
        <w:rPr>
          <w:rFonts w:ascii="Times" w:eastAsia="Times New Roman" w:hAnsi="Times" w:cs="Arial"/>
        </w:rPr>
        <w:t xml:space="preserve">employer relationship is one of bilateral monopoly which gives the employer considerable power as the monopsonist buyer of the </w:t>
      </w:r>
      <w:proofErr w:type="spellStart"/>
      <w:r w:rsidRPr="00A639AB">
        <w:rPr>
          <w:rFonts w:ascii="Times" w:eastAsia="Times New Roman" w:hAnsi="Times" w:cs="Arial"/>
        </w:rPr>
        <w:t>labour</w:t>
      </w:r>
      <w:proofErr w:type="spellEnd"/>
      <w:r w:rsidRPr="00A639AB">
        <w:rPr>
          <w:rFonts w:ascii="Times" w:eastAsia="Times New Roman" w:hAnsi="Times" w:cs="Arial"/>
        </w:rPr>
        <w:t xml:space="preserve"> power.</w:t>
      </w:r>
      <w:r w:rsidRPr="00A639AB">
        <w:rPr>
          <w:rStyle w:val="FootnoteReference"/>
          <w:rFonts w:ascii="Times" w:eastAsia="Times New Roman" w:hAnsi="Times" w:cs="Arial"/>
        </w:rPr>
        <w:footnoteReference w:id="44"/>
      </w:r>
      <w:r w:rsidRPr="00A639AB">
        <w:rPr>
          <w:rFonts w:ascii="Times" w:eastAsia="Times New Roman" w:hAnsi="Times" w:cs="Arial"/>
        </w:rPr>
        <w:t xml:space="preserve"> Additionally, the larger the market power of the employer the stronger will be the bargaining power against the worker because there will be fewer other work </w:t>
      </w:r>
      <w:r w:rsidRPr="00A639AB">
        <w:rPr>
          <w:rFonts w:ascii="Times" w:eastAsia="Times New Roman" w:hAnsi="Times" w:cs="Arial"/>
        </w:rPr>
        <w:lastRenderedPageBreak/>
        <w:t>alternatives for the worker to switch to.</w:t>
      </w:r>
      <w:r w:rsidRPr="00A639AB">
        <w:rPr>
          <w:rStyle w:val="FootnoteReference"/>
          <w:rFonts w:ascii="Times" w:eastAsia="Times New Roman" w:hAnsi="Times" w:cs="Arial"/>
        </w:rPr>
        <w:footnoteReference w:id="45"/>
      </w:r>
      <w:r w:rsidRPr="00A639AB">
        <w:rPr>
          <w:rFonts w:ascii="Times" w:eastAsia="Times New Roman" w:hAnsi="Times" w:cs="Arial"/>
        </w:rPr>
        <w:t xml:space="preserve"> Nevertheless, extensive competition could also result in super-exploitation because employers would be under immense pressure to keep their production costs down.</w:t>
      </w:r>
      <w:r w:rsidRPr="00A639AB">
        <w:rPr>
          <w:rStyle w:val="FootnoteReference"/>
          <w:rFonts w:ascii="Times" w:eastAsia="Times New Roman" w:hAnsi="Times" w:cs="Arial"/>
        </w:rPr>
        <w:footnoteReference w:id="46"/>
      </w:r>
      <w:r w:rsidRPr="00A639AB">
        <w:rPr>
          <w:rFonts w:ascii="Times" w:eastAsia="Times New Roman" w:hAnsi="Times" w:cs="Arial"/>
        </w:rPr>
        <w:t xml:space="preserve"> </w:t>
      </w:r>
    </w:p>
    <w:p w14:paraId="038AF0A1" w14:textId="77777777" w:rsidR="00303D9D" w:rsidRPr="00A639AB" w:rsidRDefault="00303D9D" w:rsidP="00F22BA5">
      <w:pPr>
        <w:spacing w:line="480" w:lineRule="auto"/>
        <w:ind w:right="95"/>
        <w:jc w:val="both"/>
        <w:rPr>
          <w:rFonts w:ascii="Times" w:eastAsia="Times New Roman" w:hAnsi="Times" w:cs="Arial"/>
        </w:rPr>
      </w:pPr>
    </w:p>
    <w:p w14:paraId="043DF0A3" w14:textId="17C0A822" w:rsidR="00947426" w:rsidRDefault="00F54143" w:rsidP="00F22BA5">
      <w:pPr>
        <w:spacing w:line="480" w:lineRule="auto"/>
        <w:ind w:right="95"/>
        <w:jc w:val="both"/>
        <w:rPr>
          <w:rFonts w:ascii="Times" w:eastAsia="Times New Roman" w:hAnsi="Times" w:cs="Arial"/>
        </w:rPr>
      </w:pPr>
      <w:r w:rsidRPr="001D6EC9">
        <w:rPr>
          <w:rFonts w:ascii="Times New Roman" w:hAnsi="Times New Roman" w:cs="Times New Roman"/>
        </w:rPr>
        <w:t xml:space="preserve">Notwithstanding the fact that the Marxian model views worker exploitation as a problem </w:t>
      </w:r>
      <w:r w:rsidRPr="001D6EC9">
        <w:rPr>
          <w:rFonts w:ascii="Times New Roman" w:hAnsi="Times New Roman" w:cs="Times New Roman"/>
          <w:i/>
          <w:iCs/>
        </w:rPr>
        <w:t>of</w:t>
      </w:r>
      <w:r w:rsidRPr="001D6EC9">
        <w:rPr>
          <w:rFonts w:ascii="Times New Roman" w:hAnsi="Times New Roman" w:cs="Times New Roman"/>
        </w:rPr>
        <w:t xml:space="preserve"> markets and the neoclassical model sees it as a problem </w:t>
      </w:r>
      <w:r w:rsidRPr="001D6EC9">
        <w:rPr>
          <w:rFonts w:ascii="Times New Roman" w:hAnsi="Times New Roman" w:cs="Times New Roman"/>
          <w:i/>
          <w:iCs/>
        </w:rPr>
        <w:t>in</w:t>
      </w:r>
      <w:r w:rsidRPr="001D6EC9">
        <w:rPr>
          <w:rFonts w:ascii="Times New Roman" w:hAnsi="Times New Roman" w:cs="Times New Roman"/>
        </w:rPr>
        <w:t xml:space="preserve"> markets</w:t>
      </w:r>
      <w:r w:rsidR="00890B70">
        <w:rPr>
          <w:rFonts w:ascii="Times New Roman" w:hAnsi="Times New Roman" w:cs="Times New Roman"/>
        </w:rPr>
        <w:t>,</w:t>
      </w:r>
      <w:r>
        <w:t xml:space="preserve"> </w:t>
      </w:r>
      <w:r w:rsidR="00303D9D">
        <w:rPr>
          <w:rFonts w:ascii="Times" w:eastAsia="Times New Roman" w:hAnsi="Times" w:cs="Arial"/>
        </w:rPr>
        <w:t xml:space="preserve">both perceive </w:t>
      </w:r>
      <w:proofErr w:type="spellStart"/>
      <w:r w:rsidR="00303D9D">
        <w:rPr>
          <w:rFonts w:ascii="Times" w:eastAsia="Times New Roman" w:hAnsi="Times" w:cs="Arial"/>
        </w:rPr>
        <w:t>labour</w:t>
      </w:r>
      <w:proofErr w:type="spellEnd"/>
      <w:r w:rsidR="00303D9D">
        <w:rPr>
          <w:rFonts w:ascii="Times" w:eastAsia="Times New Roman" w:hAnsi="Times" w:cs="Arial"/>
        </w:rPr>
        <w:t xml:space="preserve"> as fundamentally different from commodities and highly open to exploitation </w:t>
      </w:r>
      <w:r w:rsidR="00303D9D" w:rsidRPr="00A639AB">
        <w:rPr>
          <w:rFonts w:ascii="Times" w:eastAsia="Times New Roman" w:hAnsi="Times" w:cs="Arial"/>
        </w:rPr>
        <w:t>due to its idiosyncratic characteristics.</w:t>
      </w:r>
      <w:r w:rsidR="00303D9D">
        <w:rPr>
          <w:rFonts w:ascii="Times" w:eastAsia="Times New Roman" w:hAnsi="Times" w:cs="Arial"/>
        </w:rPr>
        <w:t xml:space="preserve"> Thus, it could be concluded that beyond the limited field of equilibrium economics, economic theories from different ends of the political spectrum agree that </w:t>
      </w:r>
      <w:r w:rsidR="00303D9D" w:rsidRPr="00A639AB">
        <w:rPr>
          <w:rFonts w:ascii="Times" w:eastAsia="Times New Roman" w:hAnsi="Times" w:cs="Arial"/>
        </w:rPr>
        <w:t xml:space="preserve">there are </w:t>
      </w:r>
      <w:r w:rsidR="00303D9D">
        <w:rPr>
          <w:rFonts w:ascii="Times" w:eastAsia="Times New Roman" w:hAnsi="Times" w:cs="Arial"/>
        </w:rPr>
        <w:t>fundamental</w:t>
      </w:r>
      <w:r w:rsidR="00303D9D" w:rsidRPr="00A639AB">
        <w:rPr>
          <w:rFonts w:ascii="Times" w:eastAsia="Times New Roman" w:hAnsi="Times" w:cs="Arial"/>
        </w:rPr>
        <w:t xml:space="preserve"> </w:t>
      </w:r>
      <w:r w:rsidR="00947426">
        <w:rPr>
          <w:rFonts w:ascii="Times" w:eastAsia="Times New Roman" w:hAnsi="Times" w:cs="Arial"/>
        </w:rPr>
        <w:t xml:space="preserve">social and economic </w:t>
      </w:r>
      <w:r w:rsidR="00303D9D" w:rsidRPr="00A639AB">
        <w:rPr>
          <w:rFonts w:ascii="Times" w:eastAsia="Times New Roman" w:hAnsi="Times" w:cs="Arial"/>
        </w:rPr>
        <w:t xml:space="preserve">reasons </w:t>
      </w:r>
      <w:r w:rsidR="00947426">
        <w:rPr>
          <w:rFonts w:ascii="Times" w:eastAsia="Times New Roman" w:hAnsi="Times" w:cs="Arial"/>
        </w:rPr>
        <w:t>to protect worker solidarity and collective action as a matter of common good.</w:t>
      </w:r>
    </w:p>
    <w:p w14:paraId="57454DC4" w14:textId="77777777" w:rsidR="009B1CDA" w:rsidRDefault="009B1CDA" w:rsidP="00F22BA5">
      <w:pPr>
        <w:spacing w:line="480" w:lineRule="auto"/>
        <w:ind w:right="95"/>
        <w:jc w:val="both"/>
        <w:rPr>
          <w:rFonts w:ascii="Times" w:eastAsia="Times New Roman" w:hAnsi="Times" w:cs="Arial"/>
        </w:rPr>
      </w:pPr>
    </w:p>
    <w:p w14:paraId="18C54D05" w14:textId="283295AD" w:rsidR="009B1CDA" w:rsidRPr="00154D66" w:rsidRDefault="00F85A98" w:rsidP="00F22BA5">
      <w:pPr>
        <w:pStyle w:val="ListParagraph"/>
        <w:numPr>
          <w:ilvl w:val="0"/>
          <w:numId w:val="1"/>
        </w:numPr>
        <w:spacing w:line="480" w:lineRule="auto"/>
        <w:jc w:val="both"/>
        <w:rPr>
          <w:rFonts w:ascii="Times" w:hAnsi="Times"/>
          <w:lang w:val="en-GB"/>
        </w:rPr>
      </w:pPr>
      <w:r>
        <w:rPr>
          <w:rFonts w:ascii="Times" w:hAnsi="Times"/>
          <w:lang w:val="en-GB"/>
        </w:rPr>
        <w:t xml:space="preserve">THE </w:t>
      </w:r>
      <w:r w:rsidR="00154D66" w:rsidRPr="00154D66">
        <w:rPr>
          <w:rFonts w:ascii="Times" w:hAnsi="Times"/>
          <w:lang w:val="en-GB"/>
        </w:rPr>
        <w:t>COMPETITION</w:t>
      </w:r>
      <w:r>
        <w:rPr>
          <w:rFonts w:ascii="Times" w:hAnsi="Times" w:cs="Times"/>
          <w:lang w:val="en-GB"/>
        </w:rPr>
        <w:t>–</w:t>
      </w:r>
      <w:r w:rsidR="00154D66" w:rsidRPr="00154D66">
        <w:rPr>
          <w:rFonts w:ascii="Times" w:hAnsi="Times"/>
          <w:lang w:val="en-GB"/>
        </w:rPr>
        <w:t xml:space="preserve">SOLIDARITY CONFLICT IN THE EU AND THE US </w:t>
      </w:r>
    </w:p>
    <w:p w14:paraId="6428731C" w14:textId="77777777" w:rsidR="009B1CDA" w:rsidRPr="00A639AB" w:rsidRDefault="009B1CDA" w:rsidP="00F22BA5">
      <w:pPr>
        <w:spacing w:line="480" w:lineRule="auto"/>
        <w:jc w:val="both"/>
        <w:rPr>
          <w:rFonts w:ascii="Times" w:hAnsi="Times"/>
          <w:b/>
          <w:lang w:val="en-GB"/>
        </w:rPr>
      </w:pPr>
      <w:r w:rsidRPr="00A639AB">
        <w:rPr>
          <w:rFonts w:ascii="Times" w:hAnsi="Times"/>
          <w:b/>
          <w:lang w:val="en-GB"/>
        </w:rPr>
        <w:t xml:space="preserve"> </w:t>
      </w:r>
    </w:p>
    <w:p w14:paraId="7ED4DF25" w14:textId="734E6207" w:rsidR="009B1CDA" w:rsidRDefault="009B1CDA" w:rsidP="00F22BA5">
      <w:pPr>
        <w:spacing w:line="480" w:lineRule="auto"/>
        <w:jc w:val="both"/>
        <w:rPr>
          <w:rFonts w:ascii="Times" w:hAnsi="Times"/>
          <w:lang w:val="en-GB"/>
        </w:rPr>
      </w:pPr>
      <w:r w:rsidRPr="00A639AB">
        <w:rPr>
          <w:rFonts w:ascii="Times" w:hAnsi="Times"/>
          <w:lang w:val="en-GB"/>
        </w:rPr>
        <w:t xml:space="preserve">This section of the article critically investigates </w:t>
      </w:r>
      <w:r>
        <w:rPr>
          <w:rFonts w:ascii="Times" w:hAnsi="Times"/>
          <w:lang w:val="en-GB"/>
        </w:rPr>
        <w:t>how competition law approaches the</w:t>
      </w:r>
      <w:r w:rsidRPr="00A639AB">
        <w:rPr>
          <w:rFonts w:ascii="Times" w:hAnsi="Times"/>
          <w:lang w:val="en-GB"/>
        </w:rPr>
        <w:t xml:space="preserve"> competition</w:t>
      </w:r>
      <w:r w:rsidR="00F85A98">
        <w:rPr>
          <w:rFonts w:ascii="Times" w:hAnsi="Times" w:cs="Times"/>
          <w:lang w:val="en-GB"/>
        </w:rPr>
        <w:t>–</w:t>
      </w:r>
      <w:r w:rsidRPr="00A639AB">
        <w:rPr>
          <w:rFonts w:ascii="Times" w:hAnsi="Times"/>
          <w:lang w:val="en-GB"/>
        </w:rPr>
        <w:t xml:space="preserve">solidarity conflict in the EU and the US. In both </w:t>
      </w:r>
      <w:r>
        <w:rPr>
          <w:rFonts w:ascii="Times" w:hAnsi="Times"/>
          <w:lang w:val="en-GB"/>
        </w:rPr>
        <w:t>polities</w:t>
      </w:r>
      <w:r w:rsidRPr="00A639AB">
        <w:rPr>
          <w:rFonts w:ascii="Times" w:hAnsi="Times"/>
          <w:lang w:val="en-GB"/>
        </w:rPr>
        <w:t>, it is possible for employers to rely on competition rules to prevent effective collective action by workers. Also, in both polities, workers can invoke competition rules against collusive employer behaviour</w:t>
      </w:r>
      <w:r w:rsidR="00F85A98">
        <w:rPr>
          <w:rFonts w:ascii="Times" w:hAnsi="Times"/>
          <w:lang w:val="en-GB"/>
        </w:rPr>
        <w:t>, such as th</w:t>
      </w:r>
      <w:r w:rsidR="00E95E09">
        <w:rPr>
          <w:rFonts w:ascii="Times" w:hAnsi="Times"/>
          <w:lang w:val="en-GB"/>
        </w:rPr>
        <w:t>ose</w:t>
      </w:r>
      <w:r w:rsidR="00F85A98">
        <w:rPr>
          <w:rFonts w:ascii="Times" w:hAnsi="Times"/>
          <w:lang w:val="en-GB"/>
        </w:rPr>
        <w:t xml:space="preserve"> </w:t>
      </w:r>
      <w:r w:rsidRPr="00A639AB">
        <w:rPr>
          <w:rFonts w:ascii="Times" w:hAnsi="Times"/>
          <w:lang w:val="en-GB"/>
        </w:rPr>
        <w:t xml:space="preserve">suppressing wages and other working conditions. Nevertheless, although it is theoretically and legally possible to </w:t>
      </w:r>
      <w:r w:rsidR="005E7CA2">
        <w:rPr>
          <w:rFonts w:ascii="Times" w:hAnsi="Times"/>
          <w:lang w:val="en-GB"/>
        </w:rPr>
        <w:t>initiate</w:t>
      </w:r>
      <w:r w:rsidRPr="00A639AB">
        <w:rPr>
          <w:rFonts w:ascii="Times" w:hAnsi="Times"/>
          <w:lang w:val="en-GB"/>
        </w:rPr>
        <w:t xml:space="preserve"> the latter type of action in the EU, there has not been an example of competition rules </w:t>
      </w:r>
      <w:r w:rsidRPr="00A639AB">
        <w:rPr>
          <w:rFonts w:ascii="Times" w:hAnsi="Times"/>
          <w:lang w:val="en-GB"/>
        </w:rPr>
        <w:lastRenderedPageBreak/>
        <w:t>being enforced against collusive employee behaviour at the EU level. This might be due</w:t>
      </w:r>
      <w:r w:rsidR="008176A2">
        <w:rPr>
          <w:rFonts w:ascii="Times" w:hAnsi="Times"/>
          <w:lang w:val="en-GB"/>
        </w:rPr>
        <w:t xml:space="preserve"> to</w:t>
      </w:r>
      <w:r w:rsidRPr="00A639AB">
        <w:rPr>
          <w:rFonts w:ascii="Times" w:hAnsi="Times"/>
          <w:lang w:val="en-GB"/>
        </w:rPr>
        <w:t xml:space="preserve"> a few alternative factors such as nationally segregated labour markets</w:t>
      </w:r>
      <w:r w:rsidR="00C7143B">
        <w:rPr>
          <w:rFonts w:ascii="Times" w:hAnsi="Times"/>
          <w:lang w:val="en-GB"/>
        </w:rPr>
        <w:t>,</w:t>
      </w:r>
      <w:r w:rsidRPr="00A639AB">
        <w:rPr>
          <w:rFonts w:ascii="Times" w:hAnsi="Times"/>
          <w:lang w:val="en-GB"/>
        </w:rPr>
        <w:t xml:space="preserve"> which does not trigger EU jurisdiction</w:t>
      </w:r>
      <w:r w:rsidR="00F85A98">
        <w:rPr>
          <w:rFonts w:ascii="Times" w:hAnsi="Times"/>
          <w:lang w:val="en-GB"/>
        </w:rPr>
        <w:t>;</w:t>
      </w:r>
      <w:r w:rsidRPr="00A639AB">
        <w:rPr>
          <w:rFonts w:ascii="Times" w:hAnsi="Times"/>
          <w:lang w:val="en-GB"/>
        </w:rPr>
        <w:t xml:space="preserve"> lack of knowledge and resources of labour organisations to raise the issue at the EU level</w:t>
      </w:r>
      <w:r w:rsidR="00F85A98">
        <w:rPr>
          <w:rFonts w:ascii="Times" w:hAnsi="Times"/>
          <w:lang w:val="en-GB"/>
        </w:rPr>
        <w:t>;</w:t>
      </w:r>
      <w:r w:rsidRPr="00A639AB">
        <w:rPr>
          <w:rFonts w:ascii="Times" w:hAnsi="Times"/>
          <w:lang w:val="en-GB"/>
        </w:rPr>
        <w:t xml:space="preserve"> or simply the absence of cross-border employer collusion. The first sub-section below looks into actions brought by employers against workers in the EU</w:t>
      </w:r>
      <w:r w:rsidR="00F85A98">
        <w:rPr>
          <w:rFonts w:ascii="Times" w:hAnsi="Times"/>
          <w:lang w:val="en-GB"/>
        </w:rPr>
        <w:t>,</w:t>
      </w:r>
      <w:r w:rsidRPr="00A639AB">
        <w:rPr>
          <w:rFonts w:ascii="Times" w:hAnsi="Times"/>
          <w:lang w:val="en-GB"/>
        </w:rPr>
        <w:t xml:space="preserve"> followed by </w:t>
      </w:r>
      <w:r>
        <w:rPr>
          <w:rFonts w:ascii="Times" w:hAnsi="Times"/>
          <w:lang w:val="en-GB"/>
        </w:rPr>
        <w:t>discussions</w:t>
      </w:r>
      <w:r w:rsidRPr="00A639AB">
        <w:rPr>
          <w:rFonts w:ascii="Times" w:hAnsi="Times"/>
          <w:lang w:val="en-GB"/>
        </w:rPr>
        <w:t xml:space="preserve"> of actions against workers and employers</w:t>
      </w:r>
      <w:r w:rsidR="00B178AE">
        <w:rPr>
          <w:rFonts w:ascii="Times" w:hAnsi="Times"/>
          <w:lang w:val="en-GB"/>
        </w:rPr>
        <w:t xml:space="preserve"> in the US respectively</w:t>
      </w:r>
      <w:r w:rsidR="00C826D9">
        <w:rPr>
          <w:rFonts w:ascii="Times" w:hAnsi="Times"/>
          <w:lang w:val="en-GB"/>
        </w:rPr>
        <w:t>,</w:t>
      </w:r>
      <w:r w:rsidR="00B178AE">
        <w:rPr>
          <w:rFonts w:ascii="Times" w:hAnsi="Times"/>
          <w:lang w:val="en-GB"/>
        </w:rPr>
        <w:t xml:space="preserve"> </w:t>
      </w:r>
      <w:r w:rsidR="00C826D9">
        <w:rPr>
          <w:rFonts w:ascii="Times" w:hAnsi="Times"/>
          <w:lang w:val="en-GB"/>
        </w:rPr>
        <w:t>as well as</w:t>
      </w:r>
      <w:r w:rsidR="00B178AE">
        <w:rPr>
          <w:rFonts w:ascii="Times" w:hAnsi="Times"/>
          <w:lang w:val="en-GB"/>
        </w:rPr>
        <w:t xml:space="preserve"> a brief comparison of the legal position </w:t>
      </w:r>
      <w:r w:rsidR="00C826D9">
        <w:rPr>
          <w:rFonts w:ascii="Times" w:hAnsi="Times"/>
          <w:lang w:val="en-GB"/>
        </w:rPr>
        <w:t>o</w:t>
      </w:r>
      <w:r w:rsidR="00B178AE">
        <w:rPr>
          <w:rFonts w:ascii="Times" w:hAnsi="Times"/>
          <w:lang w:val="en-GB"/>
        </w:rPr>
        <w:t>n both sides of the Atlantic.</w:t>
      </w:r>
    </w:p>
    <w:p w14:paraId="478196D0" w14:textId="77777777" w:rsidR="00B178AE" w:rsidRPr="0068405C" w:rsidRDefault="00B178AE" w:rsidP="00F22BA5">
      <w:pPr>
        <w:spacing w:line="480" w:lineRule="auto"/>
        <w:jc w:val="both"/>
        <w:rPr>
          <w:rFonts w:ascii="Times" w:hAnsi="Times"/>
          <w:lang w:val="en-GB"/>
        </w:rPr>
      </w:pPr>
    </w:p>
    <w:p w14:paraId="51837384" w14:textId="7F03FF7E" w:rsidR="009B1CDA" w:rsidRPr="004A333A" w:rsidRDefault="009B1CDA" w:rsidP="00F22BA5">
      <w:pPr>
        <w:pStyle w:val="ListParagraph"/>
        <w:numPr>
          <w:ilvl w:val="0"/>
          <w:numId w:val="2"/>
        </w:numPr>
        <w:spacing w:line="480" w:lineRule="auto"/>
        <w:jc w:val="both"/>
        <w:rPr>
          <w:rFonts w:ascii="Times" w:hAnsi="Times"/>
          <w:b/>
          <w:lang w:val="en-GB"/>
        </w:rPr>
      </w:pPr>
      <w:r w:rsidRPr="004A333A">
        <w:rPr>
          <w:rFonts w:ascii="Times" w:hAnsi="Times"/>
          <w:b/>
          <w:lang w:val="en-GB"/>
        </w:rPr>
        <w:t xml:space="preserve">Competition law against workers in </w:t>
      </w:r>
      <w:r w:rsidR="00C826D9">
        <w:rPr>
          <w:rFonts w:ascii="Times" w:hAnsi="Times"/>
          <w:b/>
          <w:lang w:val="en-GB"/>
        </w:rPr>
        <w:t xml:space="preserve">the </w:t>
      </w:r>
      <w:r w:rsidRPr="004A333A">
        <w:rPr>
          <w:rFonts w:ascii="Times" w:hAnsi="Times"/>
          <w:b/>
          <w:lang w:val="en-GB"/>
        </w:rPr>
        <w:t>EU</w:t>
      </w:r>
    </w:p>
    <w:p w14:paraId="3AF37382" w14:textId="77777777" w:rsidR="009B1CDA" w:rsidRPr="00A639AB" w:rsidRDefault="009B1CDA" w:rsidP="00F22BA5">
      <w:pPr>
        <w:spacing w:line="480" w:lineRule="auto"/>
        <w:jc w:val="both"/>
        <w:rPr>
          <w:rFonts w:ascii="Times" w:hAnsi="Times"/>
          <w:lang w:val="en-GB"/>
        </w:rPr>
      </w:pPr>
    </w:p>
    <w:p w14:paraId="28A312ED" w14:textId="057E725A" w:rsidR="009B1CDA" w:rsidRPr="00A639AB" w:rsidRDefault="009B1CDA" w:rsidP="00F22BA5">
      <w:pPr>
        <w:spacing w:line="480" w:lineRule="auto"/>
        <w:jc w:val="both"/>
        <w:rPr>
          <w:rFonts w:ascii="Times" w:hAnsi="Times"/>
          <w:lang w:val="en-GB"/>
        </w:rPr>
      </w:pPr>
      <w:r w:rsidRPr="00A639AB">
        <w:rPr>
          <w:rFonts w:ascii="Times" w:hAnsi="Times"/>
          <w:lang w:val="en-GB"/>
        </w:rPr>
        <w:t>EU competition rules that are relevant to worker</w:t>
      </w:r>
      <w:r w:rsidR="00C826D9">
        <w:rPr>
          <w:rFonts w:ascii="Times" w:hAnsi="Times" w:cs="Times"/>
          <w:lang w:val="en-GB"/>
        </w:rPr>
        <w:t>–</w:t>
      </w:r>
      <w:r>
        <w:rPr>
          <w:rFonts w:ascii="Times" w:hAnsi="Times"/>
          <w:lang w:val="en-GB"/>
        </w:rPr>
        <w:t>employer</w:t>
      </w:r>
      <w:r w:rsidRPr="00A639AB">
        <w:rPr>
          <w:rFonts w:ascii="Times" w:hAnsi="Times"/>
          <w:lang w:val="en-GB"/>
        </w:rPr>
        <w:t xml:space="preserve"> conflicts are set forth in Arts.101 and 102 of the Treaty on the Functioning of the European Union (TFEU), which</w:t>
      </w:r>
      <w:r w:rsidR="00C826D9">
        <w:rPr>
          <w:rFonts w:ascii="Times" w:hAnsi="Times"/>
          <w:lang w:val="en-GB"/>
        </w:rPr>
        <w:t>,</w:t>
      </w:r>
      <w:r w:rsidRPr="00A639AB">
        <w:rPr>
          <w:rFonts w:ascii="Times" w:hAnsi="Times"/>
          <w:lang w:val="en-GB"/>
        </w:rPr>
        <w:t xml:space="preserve"> respectively</w:t>
      </w:r>
      <w:r w:rsidR="00C826D9">
        <w:rPr>
          <w:rFonts w:ascii="Times" w:hAnsi="Times"/>
          <w:lang w:val="en-GB"/>
        </w:rPr>
        <w:t>,</w:t>
      </w:r>
      <w:r w:rsidRPr="00A639AB">
        <w:rPr>
          <w:rFonts w:ascii="Times" w:hAnsi="Times"/>
          <w:lang w:val="en-GB"/>
        </w:rPr>
        <w:t xml:space="preserve"> prohibit anti-competitive agreements and abuses of dominance. In order to be a subject of EU competition rules, the legal or natural person in question needs to be an ‘undertaking’. This is a generic EU law concept that does not overlap with any specific legal or economic category of entities. The ‘undertaking’ covers anyone, including companies and legal persons, who provide</w:t>
      </w:r>
      <w:r w:rsidR="00C826D9">
        <w:rPr>
          <w:rFonts w:ascii="Times" w:hAnsi="Times"/>
          <w:lang w:val="en-GB"/>
        </w:rPr>
        <w:t>s</w:t>
      </w:r>
      <w:r w:rsidRPr="00A639AB">
        <w:rPr>
          <w:rFonts w:ascii="Times" w:hAnsi="Times"/>
          <w:lang w:val="en-GB"/>
        </w:rPr>
        <w:t xml:space="preserve"> goods and services in the market in competition with others notwithstanding their individual motives and goals in doing so.</w:t>
      </w:r>
      <w:r w:rsidRPr="00A639AB">
        <w:rPr>
          <w:rStyle w:val="FootnoteReference"/>
          <w:rFonts w:ascii="Times" w:hAnsi="Times"/>
          <w:lang w:val="en-GB"/>
        </w:rPr>
        <w:footnoteReference w:id="47"/>
      </w:r>
      <w:r w:rsidRPr="00A639AB">
        <w:rPr>
          <w:rFonts w:ascii="Times" w:hAnsi="Times"/>
          <w:lang w:val="en-GB"/>
        </w:rPr>
        <w:t xml:space="preserve"> Thus, one key </w:t>
      </w:r>
      <w:r w:rsidR="00467BA3">
        <w:rPr>
          <w:rFonts w:ascii="Times" w:hAnsi="Times"/>
          <w:lang w:val="en-GB"/>
        </w:rPr>
        <w:t>question</w:t>
      </w:r>
      <w:r w:rsidRPr="00A639AB">
        <w:rPr>
          <w:rFonts w:ascii="Times" w:hAnsi="Times"/>
          <w:lang w:val="en-GB"/>
        </w:rPr>
        <w:t xml:space="preserve"> that needs to be addressed in order to determine whether EU competition law could apply to collective worker action is whether workers and organisations representing their interests constitute </w:t>
      </w:r>
      <w:r w:rsidRPr="00A639AB">
        <w:rPr>
          <w:rFonts w:ascii="Times" w:hAnsi="Times"/>
          <w:lang w:val="en-GB"/>
        </w:rPr>
        <w:lastRenderedPageBreak/>
        <w:t xml:space="preserve">‘undertakings’ as defined in EU competition law. If this question is addressed in a positive way, the second question that needs to be addressed is what kind of a solution, if any, EU law and in particular Treaty provisions, which envisage different social and economic policy goals, offer </w:t>
      </w:r>
      <w:r w:rsidR="00201C0D">
        <w:rPr>
          <w:rFonts w:ascii="Times" w:hAnsi="Times"/>
          <w:lang w:val="en-GB"/>
        </w:rPr>
        <w:t>for</w:t>
      </w:r>
      <w:r w:rsidRPr="00A639AB">
        <w:rPr>
          <w:rFonts w:ascii="Times" w:hAnsi="Times"/>
          <w:lang w:val="en-GB"/>
        </w:rPr>
        <w:t xml:space="preserve"> the resolution of the competition</w:t>
      </w:r>
      <w:r w:rsidR="00C826D9">
        <w:rPr>
          <w:rFonts w:ascii="Times" w:hAnsi="Times" w:cs="Times"/>
          <w:lang w:val="en-GB"/>
        </w:rPr>
        <w:t>–</w:t>
      </w:r>
      <w:r w:rsidRPr="00A639AB">
        <w:rPr>
          <w:rFonts w:ascii="Times" w:hAnsi="Times"/>
          <w:lang w:val="en-GB"/>
        </w:rPr>
        <w:t xml:space="preserve">solidarity conflict. This is the legal landscape that </w:t>
      </w:r>
      <w:r>
        <w:rPr>
          <w:rFonts w:ascii="Times" w:hAnsi="Times"/>
          <w:lang w:val="en-GB"/>
        </w:rPr>
        <w:t xml:space="preserve">the </w:t>
      </w:r>
      <w:r w:rsidRPr="00A639AB">
        <w:rPr>
          <w:rFonts w:ascii="Times" w:hAnsi="Times"/>
          <w:lang w:val="en-GB"/>
        </w:rPr>
        <w:t>EU courts navigated through whilst constructing a fragile and imprecise judge-made labour exemption to the enforcement of competition rules.</w:t>
      </w:r>
      <w:r w:rsidRPr="00A639AB">
        <w:rPr>
          <w:rStyle w:val="FootnoteReference"/>
          <w:rFonts w:ascii="Times" w:hAnsi="Times"/>
          <w:lang w:val="en-GB"/>
        </w:rPr>
        <w:footnoteReference w:id="48"/>
      </w:r>
    </w:p>
    <w:p w14:paraId="1319D9A1" w14:textId="77777777" w:rsidR="009B1CDA" w:rsidRPr="00A639AB" w:rsidRDefault="009B1CDA" w:rsidP="00F22BA5">
      <w:pPr>
        <w:spacing w:line="480" w:lineRule="auto"/>
        <w:jc w:val="both"/>
        <w:rPr>
          <w:rFonts w:ascii="Times" w:hAnsi="Times"/>
          <w:lang w:val="en-GB"/>
        </w:rPr>
      </w:pPr>
    </w:p>
    <w:p w14:paraId="61BEAC8F" w14:textId="6B5573B6" w:rsidR="009B1CDA" w:rsidRPr="00A639AB" w:rsidRDefault="009B1CDA" w:rsidP="00F22BA5">
      <w:pPr>
        <w:spacing w:line="480" w:lineRule="auto"/>
        <w:jc w:val="both"/>
        <w:rPr>
          <w:rFonts w:ascii="Times" w:hAnsi="Times"/>
          <w:lang w:val="en-GB"/>
        </w:rPr>
      </w:pPr>
      <w:r w:rsidRPr="00A639AB">
        <w:rPr>
          <w:rFonts w:ascii="Times" w:hAnsi="Times"/>
          <w:i/>
          <w:lang w:val="en-GB"/>
        </w:rPr>
        <w:t>Albany</w:t>
      </w:r>
      <w:r w:rsidRPr="00A639AB">
        <w:rPr>
          <w:rStyle w:val="FootnoteReference"/>
          <w:rFonts w:ascii="Times" w:hAnsi="Times"/>
          <w:i/>
          <w:lang w:val="en-GB"/>
        </w:rPr>
        <w:footnoteReference w:id="49"/>
      </w:r>
      <w:r w:rsidRPr="00A639AB">
        <w:rPr>
          <w:rFonts w:ascii="Times" w:hAnsi="Times"/>
          <w:lang w:val="en-GB"/>
        </w:rPr>
        <w:t xml:space="preserve"> was the first case in which the Court of the Justice of the European Union faced a question regarding the enforcement of competition rules against collective </w:t>
      </w:r>
      <w:r>
        <w:rPr>
          <w:rFonts w:ascii="Times" w:hAnsi="Times"/>
          <w:lang w:val="en-GB"/>
        </w:rPr>
        <w:t>worker</w:t>
      </w:r>
      <w:r w:rsidRPr="00A639AB">
        <w:rPr>
          <w:rFonts w:ascii="Times" w:hAnsi="Times"/>
          <w:lang w:val="en-GB"/>
        </w:rPr>
        <w:t xml:space="preserve"> action. The Dutch pension regime set low compulsory contributions to worker pension funds. In order to address this, worker</w:t>
      </w:r>
      <w:r>
        <w:rPr>
          <w:rFonts w:ascii="Times" w:hAnsi="Times"/>
          <w:lang w:val="en-GB"/>
        </w:rPr>
        <w:t xml:space="preserve"> and employer</w:t>
      </w:r>
      <w:r w:rsidRPr="00A639AB">
        <w:rPr>
          <w:rFonts w:ascii="Times" w:hAnsi="Times"/>
          <w:lang w:val="en-GB"/>
        </w:rPr>
        <w:t xml:space="preserve"> unions signed a collective agreement, which established compulsory complementary pension contributions to be paid to and managed by a single provider. This system was built on the principle of solidarity so that individual employers could not seek lower contributions for low</w:t>
      </w:r>
      <w:r w:rsidR="00C826D9">
        <w:rPr>
          <w:rFonts w:ascii="Times" w:hAnsi="Times"/>
          <w:lang w:val="en-GB"/>
        </w:rPr>
        <w:t>-</w:t>
      </w:r>
      <w:r w:rsidRPr="00A639AB">
        <w:rPr>
          <w:rFonts w:ascii="Times" w:hAnsi="Times"/>
          <w:lang w:val="en-GB"/>
        </w:rPr>
        <w:t>risk workers, which could eventually push the high-risk workers out of the pension scheme. Albany argued that the scheme was anti-</w:t>
      </w:r>
      <w:r w:rsidR="00FB3A2B" w:rsidRPr="00A639AB">
        <w:rPr>
          <w:rFonts w:ascii="Times" w:hAnsi="Times"/>
          <w:lang w:val="en-GB"/>
        </w:rPr>
        <w:t>competitive,</w:t>
      </w:r>
      <w:r w:rsidRPr="00A639AB">
        <w:rPr>
          <w:rFonts w:ascii="Times" w:hAnsi="Times"/>
          <w:lang w:val="en-GB"/>
        </w:rPr>
        <w:t xml:space="preserve"> as it did not allow employers to access other pension schemes offered by competing providers in the market.  </w:t>
      </w:r>
    </w:p>
    <w:p w14:paraId="6AEED731" w14:textId="77777777" w:rsidR="009B1CDA" w:rsidRPr="00A639AB" w:rsidRDefault="009B1CDA" w:rsidP="00F22BA5">
      <w:pPr>
        <w:spacing w:line="480" w:lineRule="auto"/>
        <w:jc w:val="both"/>
        <w:rPr>
          <w:rFonts w:ascii="Times" w:hAnsi="Times"/>
          <w:lang w:val="en-GB"/>
        </w:rPr>
      </w:pPr>
    </w:p>
    <w:p w14:paraId="67C26C8F" w14:textId="7659EE8C" w:rsidR="009B1CDA" w:rsidRPr="00A639AB" w:rsidRDefault="009B1CDA" w:rsidP="00F22BA5">
      <w:pPr>
        <w:spacing w:line="480" w:lineRule="auto"/>
        <w:jc w:val="both"/>
        <w:rPr>
          <w:rFonts w:ascii="Times" w:hAnsi="Times"/>
          <w:lang w:val="en-GB"/>
        </w:rPr>
      </w:pPr>
      <w:r w:rsidRPr="00A639AB">
        <w:rPr>
          <w:rFonts w:ascii="Times" w:hAnsi="Times"/>
          <w:lang w:val="en-GB"/>
        </w:rPr>
        <w:lastRenderedPageBreak/>
        <w:t>Whilst considering whether the compulsory pension scheme was anticompetitive, the Court first observed that the Treaty did not only envisage establish</w:t>
      </w:r>
      <w:r w:rsidR="00C826D9">
        <w:rPr>
          <w:rFonts w:ascii="Times" w:hAnsi="Times"/>
          <w:lang w:val="en-GB"/>
        </w:rPr>
        <w:t>ing</w:t>
      </w:r>
      <w:r w:rsidRPr="00A639AB">
        <w:rPr>
          <w:rFonts w:ascii="Times" w:hAnsi="Times"/>
          <w:lang w:val="en-GB"/>
        </w:rPr>
        <w:t xml:space="preserve"> ‘a system ensuring that competition in the internal market is not distorted’ but also </w:t>
      </w:r>
      <w:r w:rsidR="00C826D9">
        <w:rPr>
          <w:rFonts w:ascii="Times" w:hAnsi="Times"/>
          <w:lang w:val="en-GB"/>
        </w:rPr>
        <w:t xml:space="preserve">envisaged </w:t>
      </w:r>
      <w:r w:rsidRPr="00A639AB">
        <w:rPr>
          <w:rFonts w:ascii="Times" w:hAnsi="Times"/>
          <w:lang w:val="en-GB"/>
        </w:rPr>
        <w:t>promot</w:t>
      </w:r>
      <w:r w:rsidR="00C826D9">
        <w:rPr>
          <w:rFonts w:ascii="Times" w:hAnsi="Times"/>
          <w:lang w:val="en-GB"/>
        </w:rPr>
        <w:t>ing</w:t>
      </w:r>
      <w:r w:rsidRPr="00A639AB">
        <w:rPr>
          <w:rFonts w:ascii="Times" w:hAnsi="Times"/>
          <w:lang w:val="en-GB"/>
        </w:rPr>
        <w:t xml:space="preserve"> ‘a harmonious and balanced development of economic activities’ and ‘a high level of employment and social protection’.</w:t>
      </w:r>
      <w:r w:rsidRPr="00A639AB">
        <w:rPr>
          <w:rStyle w:val="FootnoteReference"/>
          <w:rFonts w:ascii="Times" w:hAnsi="Times"/>
          <w:lang w:val="en-GB"/>
        </w:rPr>
        <w:footnoteReference w:id="50"/>
      </w:r>
      <w:r w:rsidRPr="00A639AB">
        <w:rPr>
          <w:rFonts w:ascii="Times" w:hAnsi="Times"/>
          <w:lang w:val="en-GB"/>
        </w:rPr>
        <w:t xml:space="preserve"> After evaluating the social and economic policy objectives envisaged in the Treaty</w:t>
      </w:r>
      <w:r w:rsidR="00C826D9">
        <w:rPr>
          <w:rFonts w:ascii="Times" w:hAnsi="Times"/>
          <w:lang w:val="en-GB"/>
        </w:rPr>
        <w:t>,</w:t>
      </w:r>
      <w:r w:rsidRPr="00A639AB">
        <w:rPr>
          <w:rFonts w:ascii="Times" w:hAnsi="Times"/>
          <w:lang w:val="en-GB"/>
        </w:rPr>
        <w:t xml:space="preserve"> the Court came to the conclusion</w:t>
      </w:r>
      <w:r w:rsidR="00C826D9">
        <w:rPr>
          <w:rFonts w:ascii="Times" w:hAnsi="Times"/>
          <w:lang w:val="en-GB"/>
        </w:rPr>
        <w:t xml:space="preserve"> that</w:t>
      </w:r>
      <w:r w:rsidRPr="00A639AB">
        <w:rPr>
          <w:rFonts w:ascii="Times" w:hAnsi="Times"/>
          <w:lang w:val="en-GB"/>
        </w:rPr>
        <w:t xml:space="preserve">: </w:t>
      </w:r>
    </w:p>
    <w:p w14:paraId="28CB8A3C" w14:textId="77777777" w:rsidR="009B1CDA" w:rsidRPr="00A639AB" w:rsidRDefault="009B1CDA" w:rsidP="00F22BA5">
      <w:pPr>
        <w:spacing w:line="480" w:lineRule="auto"/>
        <w:jc w:val="both"/>
        <w:rPr>
          <w:rFonts w:ascii="Times" w:hAnsi="Times"/>
          <w:lang w:val="en-GB"/>
        </w:rPr>
      </w:pPr>
    </w:p>
    <w:p w14:paraId="2382E2EF" w14:textId="77777777" w:rsidR="009B1CDA" w:rsidRPr="00A639AB" w:rsidRDefault="009B1CDA" w:rsidP="00F22BA5">
      <w:pPr>
        <w:spacing w:line="480" w:lineRule="auto"/>
        <w:ind w:left="567" w:right="1354"/>
        <w:jc w:val="both"/>
        <w:rPr>
          <w:rFonts w:ascii="Times" w:hAnsi="Times"/>
          <w:lang w:val="en-GB"/>
        </w:rPr>
      </w:pPr>
      <w:r w:rsidRPr="00A639AB">
        <w:rPr>
          <w:rFonts w:ascii="Times" w:hAnsi="Times"/>
          <w:lang w:val="en-GB"/>
        </w:rPr>
        <w:t>It is beyond question that certain restrictions of competition are inherent in collective agreements between organisations representing employers and workers. However, the social policy objectives pursued by such agreements would be seriously undermined if management and labour were subject to [Article 101(1)] of the Treaty when seeking jointly to adopt measures to improve conditions of work and employment.</w:t>
      </w:r>
      <w:r w:rsidRPr="00A639AB">
        <w:rPr>
          <w:rStyle w:val="FootnoteReference"/>
          <w:rFonts w:ascii="Times" w:hAnsi="Times"/>
          <w:lang w:val="en-GB"/>
        </w:rPr>
        <w:footnoteReference w:id="51"/>
      </w:r>
    </w:p>
    <w:p w14:paraId="6F48BB12" w14:textId="77777777" w:rsidR="009B1CDA" w:rsidRPr="00A639AB" w:rsidRDefault="009B1CDA" w:rsidP="00F22BA5">
      <w:pPr>
        <w:spacing w:line="480" w:lineRule="auto"/>
        <w:ind w:right="1354"/>
        <w:jc w:val="both"/>
        <w:rPr>
          <w:rFonts w:ascii="Times" w:hAnsi="Times"/>
          <w:lang w:val="en-GB"/>
        </w:rPr>
      </w:pPr>
    </w:p>
    <w:p w14:paraId="543D8FFC" w14:textId="2673D189" w:rsidR="009B1CDA" w:rsidRPr="00A639AB" w:rsidRDefault="009B1CDA" w:rsidP="00F22BA5">
      <w:pPr>
        <w:spacing w:line="480" w:lineRule="auto"/>
        <w:ind w:right="78"/>
        <w:jc w:val="both"/>
        <w:rPr>
          <w:rFonts w:ascii="Times" w:hAnsi="Times"/>
          <w:lang w:val="en-GB"/>
        </w:rPr>
      </w:pPr>
      <w:r w:rsidRPr="00A639AB">
        <w:rPr>
          <w:rFonts w:ascii="Times" w:hAnsi="Times"/>
          <w:lang w:val="en-GB"/>
        </w:rPr>
        <w:t xml:space="preserve">Nevertheless, </w:t>
      </w:r>
      <w:r>
        <w:rPr>
          <w:rFonts w:ascii="Times" w:hAnsi="Times"/>
          <w:lang w:val="en-GB"/>
        </w:rPr>
        <w:t>in</w:t>
      </w:r>
      <w:r w:rsidRPr="00A639AB">
        <w:rPr>
          <w:rFonts w:ascii="Times" w:hAnsi="Times"/>
          <w:lang w:val="en-GB"/>
        </w:rPr>
        <w:t xml:space="preserve"> the same case the Court also resolved the competition</w:t>
      </w:r>
      <w:r w:rsidR="00C826D9">
        <w:rPr>
          <w:rFonts w:ascii="Times" w:hAnsi="Times" w:cs="Times"/>
          <w:lang w:val="en-GB"/>
        </w:rPr>
        <w:t>–</w:t>
      </w:r>
      <w:r w:rsidRPr="00A639AB">
        <w:rPr>
          <w:rFonts w:ascii="Times" w:hAnsi="Times"/>
          <w:lang w:val="en-GB"/>
        </w:rPr>
        <w:t xml:space="preserve">solidarity conflict in favour of competition; and it decided that despite the principle of solidarity underlying it, the compulsory pension scheme in question and other similar organisations constituted ‘undertakings’ </w:t>
      </w:r>
      <w:r w:rsidR="00AF1B25">
        <w:rPr>
          <w:rFonts w:ascii="Times" w:hAnsi="Times"/>
          <w:lang w:val="en-GB"/>
        </w:rPr>
        <w:t xml:space="preserve">in </w:t>
      </w:r>
      <w:r w:rsidR="00D879B0">
        <w:rPr>
          <w:rFonts w:ascii="Times" w:hAnsi="Times"/>
          <w:lang w:val="en-GB"/>
        </w:rPr>
        <w:t>the eyes</w:t>
      </w:r>
      <w:r w:rsidR="00AF1B25">
        <w:rPr>
          <w:rFonts w:ascii="Times" w:hAnsi="Times"/>
          <w:lang w:val="en-GB"/>
        </w:rPr>
        <w:t xml:space="preserve"> of</w:t>
      </w:r>
      <w:r w:rsidRPr="00A639AB">
        <w:rPr>
          <w:rFonts w:ascii="Times" w:hAnsi="Times"/>
          <w:lang w:val="en-GB"/>
        </w:rPr>
        <w:t xml:space="preserve"> EU competition law, because they provided a good or a service in competition with others which employers and workers would have to buy from another provider in the a</w:t>
      </w:r>
      <w:r w:rsidR="00E30219">
        <w:rPr>
          <w:rFonts w:ascii="Times" w:hAnsi="Times"/>
          <w:lang w:val="en-GB"/>
        </w:rPr>
        <w:t xml:space="preserve">bsence of the compulsory </w:t>
      </w:r>
      <w:r w:rsidR="00E30219">
        <w:rPr>
          <w:rFonts w:ascii="Times" w:hAnsi="Times"/>
          <w:lang w:val="en-GB"/>
        </w:rPr>
        <w:lastRenderedPageBreak/>
        <w:t>scheme.</w:t>
      </w:r>
      <w:r w:rsidRPr="00A639AB">
        <w:rPr>
          <w:rStyle w:val="FootnoteReference"/>
          <w:rFonts w:ascii="Times" w:hAnsi="Times"/>
          <w:lang w:val="en-GB"/>
        </w:rPr>
        <w:footnoteReference w:id="52"/>
      </w:r>
      <w:r w:rsidR="00E30219">
        <w:rPr>
          <w:rFonts w:ascii="Times" w:hAnsi="Times"/>
          <w:lang w:val="en-GB"/>
        </w:rPr>
        <w:t xml:space="preserve"> </w:t>
      </w:r>
      <w:r w:rsidRPr="00A639AB">
        <w:rPr>
          <w:rFonts w:ascii="Times" w:hAnsi="Times"/>
          <w:lang w:val="en-GB"/>
        </w:rPr>
        <w:t xml:space="preserve">This implies that public goods offered for the wellbeing of workers, such as the pension scheme in question, </w:t>
      </w:r>
      <w:r w:rsidR="00C826D9">
        <w:rPr>
          <w:rFonts w:ascii="Times" w:hAnsi="Times"/>
          <w:lang w:val="en-GB"/>
        </w:rPr>
        <w:t>are</w:t>
      </w:r>
      <w:r w:rsidRPr="00A639AB">
        <w:rPr>
          <w:rFonts w:ascii="Times" w:hAnsi="Times"/>
          <w:lang w:val="en-GB"/>
        </w:rPr>
        <w:t xml:space="preserve"> considered no different from commodities that are produced with the purpose of making profit. Additionally, the categorisation of a collective workers’ organisation as an undertaking means that similar organisations could potentially be targeted by competition rules in the future if the circumstances are different. The Court repeated the same labour exemption in a few similar cases arising out of conflicts regarding compulsory </w:t>
      </w:r>
      <w:r>
        <w:rPr>
          <w:rFonts w:ascii="Times" w:hAnsi="Times"/>
          <w:lang w:val="en-GB"/>
        </w:rPr>
        <w:t>pension</w:t>
      </w:r>
      <w:r w:rsidRPr="00A639AB">
        <w:rPr>
          <w:rFonts w:ascii="Times" w:hAnsi="Times"/>
          <w:lang w:val="en-GB"/>
        </w:rPr>
        <w:t xml:space="preserve"> and healthcare systems in different Member States.</w:t>
      </w:r>
      <w:r w:rsidRPr="00A639AB">
        <w:rPr>
          <w:rStyle w:val="FootnoteReference"/>
          <w:rFonts w:ascii="Times" w:hAnsi="Times"/>
          <w:lang w:val="en-GB"/>
        </w:rPr>
        <w:footnoteReference w:id="53"/>
      </w:r>
      <w:r w:rsidRPr="00A639AB">
        <w:rPr>
          <w:rFonts w:ascii="Times" w:hAnsi="Times"/>
          <w:lang w:val="en-GB"/>
        </w:rPr>
        <w:t xml:space="preserve"> Among those cases </w:t>
      </w:r>
      <w:r w:rsidRPr="00A639AB">
        <w:rPr>
          <w:rFonts w:ascii="Times" w:hAnsi="Times"/>
          <w:i/>
          <w:lang w:val="en-GB"/>
        </w:rPr>
        <w:t xml:space="preserve">van der </w:t>
      </w:r>
      <w:proofErr w:type="spellStart"/>
      <w:r w:rsidRPr="00A639AB">
        <w:rPr>
          <w:rFonts w:ascii="Times" w:hAnsi="Times"/>
          <w:i/>
          <w:lang w:val="en-GB"/>
        </w:rPr>
        <w:t>Woude</w:t>
      </w:r>
      <w:proofErr w:type="spellEnd"/>
      <w:r w:rsidRPr="00A639AB">
        <w:rPr>
          <w:rFonts w:ascii="Times" w:hAnsi="Times"/>
          <w:lang w:val="en-GB"/>
        </w:rPr>
        <w:t xml:space="preserve"> was particularly important because in this case the Court made a specific reference to the fact that the agreement in question was the result of a collective bargaining process between employers and workers whilst deciding whether the labour exemption applied or not.</w:t>
      </w:r>
      <w:r w:rsidRPr="00A639AB">
        <w:rPr>
          <w:rStyle w:val="FootnoteReference"/>
          <w:rFonts w:ascii="Times" w:hAnsi="Times"/>
          <w:lang w:val="en-GB"/>
        </w:rPr>
        <w:footnoteReference w:id="54"/>
      </w:r>
    </w:p>
    <w:p w14:paraId="58C9867F" w14:textId="77777777" w:rsidR="009B1CDA" w:rsidRPr="00A639AB" w:rsidRDefault="009B1CDA" w:rsidP="00F22BA5">
      <w:pPr>
        <w:spacing w:line="480" w:lineRule="auto"/>
        <w:ind w:right="78"/>
        <w:jc w:val="both"/>
        <w:rPr>
          <w:rFonts w:ascii="Times" w:hAnsi="Times"/>
          <w:lang w:val="en-GB"/>
        </w:rPr>
      </w:pPr>
    </w:p>
    <w:p w14:paraId="463988B5" w14:textId="1C67DFEF" w:rsidR="009B1CDA" w:rsidRPr="00A639AB" w:rsidRDefault="009B1CDA" w:rsidP="00F22BA5">
      <w:pPr>
        <w:spacing w:line="480" w:lineRule="auto"/>
        <w:ind w:right="78"/>
        <w:jc w:val="both"/>
        <w:rPr>
          <w:rFonts w:ascii="Times" w:hAnsi="Times"/>
          <w:lang w:val="en-GB"/>
        </w:rPr>
      </w:pPr>
      <w:r w:rsidRPr="00A639AB">
        <w:rPr>
          <w:rFonts w:ascii="Times" w:hAnsi="Times"/>
          <w:lang w:val="en-GB"/>
        </w:rPr>
        <w:t>In a case involving a compulsory health insurance scheme, the EFTA Court clarified the conditions of the labour exemption as: an agreement entered in</w:t>
      </w:r>
      <w:r w:rsidR="00C826D9">
        <w:rPr>
          <w:rFonts w:ascii="Times" w:hAnsi="Times"/>
          <w:lang w:val="en-GB"/>
        </w:rPr>
        <w:t>to under</w:t>
      </w:r>
      <w:r w:rsidRPr="00A639AB">
        <w:rPr>
          <w:rFonts w:ascii="Times" w:hAnsi="Times"/>
          <w:lang w:val="en-GB"/>
        </w:rPr>
        <w:t xml:space="preserve"> the framework of collective bargaining between </w:t>
      </w:r>
      <w:r>
        <w:rPr>
          <w:rFonts w:ascii="Times" w:hAnsi="Times"/>
          <w:lang w:val="en-GB"/>
        </w:rPr>
        <w:t>workers</w:t>
      </w:r>
      <w:r w:rsidRPr="00A639AB">
        <w:rPr>
          <w:rFonts w:ascii="Times" w:hAnsi="Times"/>
          <w:lang w:val="en-GB"/>
        </w:rPr>
        <w:t xml:space="preserve"> and </w:t>
      </w:r>
      <w:r>
        <w:rPr>
          <w:rFonts w:ascii="Times" w:hAnsi="Times"/>
          <w:lang w:val="en-GB"/>
        </w:rPr>
        <w:t>employers</w:t>
      </w:r>
      <w:r w:rsidRPr="00A639AB">
        <w:rPr>
          <w:rFonts w:ascii="Times" w:hAnsi="Times"/>
          <w:lang w:val="en-GB"/>
        </w:rPr>
        <w:t xml:space="preserve"> that is concluded in pursuit of the objective of improving conditions of work and employment.</w:t>
      </w:r>
      <w:r w:rsidRPr="00A639AB">
        <w:rPr>
          <w:rStyle w:val="FootnoteReference"/>
          <w:rFonts w:ascii="Times" w:hAnsi="Times"/>
          <w:lang w:val="en-GB"/>
        </w:rPr>
        <w:footnoteReference w:id="55"/>
      </w:r>
      <w:r w:rsidRPr="00A639AB">
        <w:rPr>
          <w:rFonts w:ascii="Times" w:hAnsi="Times"/>
          <w:lang w:val="en-GB"/>
        </w:rPr>
        <w:t xml:space="preserve"> Whilst these strict conditions seemingly limit the scope of the labour </w:t>
      </w:r>
      <w:r w:rsidRPr="00A639AB">
        <w:rPr>
          <w:rFonts w:ascii="Times" w:hAnsi="Times"/>
          <w:lang w:val="en-GB"/>
        </w:rPr>
        <w:lastRenderedPageBreak/>
        <w:t xml:space="preserve">exemption, in the same case the Court used vague language leaving key issues to be addressed by the national court. The Court opined that conditions of work and employment should be interpreted broadly and should include, </w:t>
      </w:r>
      <w:r w:rsidRPr="00F54143">
        <w:rPr>
          <w:rFonts w:ascii="Times" w:hAnsi="Times"/>
          <w:iCs/>
          <w:lang w:val="en-GB"/>
        </w:rPr>
        <w:t>inter alia</w:t>
      </w:r>
      <w:r w:rsidRPr="00A639AB">
        <w:rPr>
          <w:rFonts w:ascii="Times" w:hAnsi="Times"/>
          <w:lang w:val="en-GB"/>
        </w:rPr>
        <w:t>, wages, working hours and other working conditions such as safety, the workplace environment, holidays, training and continuing education, and consultation and co-determination between workers and management.</w:t>
      </w:r>
      <w:r w:rsidRPr="00A639AB">
        <w:rPr>
          <w:rStyle w:val="FootnoteReference"/>
          <w:rFonts w:ascii="Times" w:hAnsi="Times"/>
          <w:lang w:val="en-GB"/>
        </w:rPr>
        <w:footnoteReference w:id="56"/>
      </w:r>
      <w:r w:rsidRPr="00A639AB">
        <w:rPr>
          <w:rFonts w:ascii="Times" w:hAnsi="Times"/>
          <w:lang w:val="en-GB"/>
        </w:rPr>
        <w:t xml:space="preserve"> The Court also stated that: ‘Even if individually, the provisions would not lead to any certain resolution of the status of the collective agreement in relation to the applicability of [competition rules] their aggregate effect may bring the agreement within the scope of [competition rules].’</w:t>
      </w:r>
      <w:r w:rsidRPr="00A639AB">
        <w:rPr>
          <w:rStyle w:val="FootnoteReference"/>
          <w:rFonts w:ascii="Times" w:hAnsi="Times"/>
          <w:lang w:val="en-GB"/>
        </w:rPr>
        <w:footnoteReference w:id="57"/>
      </w:r>
      <w:r w:rsidRPr="00A639AB">
        <w:rPr>
          <w:rFonts w:ascii="Times" w:hAnsi="Times"/>
          <w:lang w:val="en-GB"/>
        </w:rPr>
        <w:t xml:space="preserve"> Not only does this exceptionally vague formulation further limit the scope of the already fragile labour exemption, it does not provide any clarification or assistance to national courts in determining whether a certain type of collective labour action breaches EU competition rules. </w:t>
      </w:r>
    </w:p>
    <w:p w14:paraId="283E680A" w14:textId="77777777" w:rsidR="009B1CDA" w:rsidRPr="00A639AB" w:rsidRDefault="009B1CDA" w:rsidP="00F22BA5">
      <w:pPr>
        <w:spacing w:line="480" w:lineRule="auto"/>
        <w:ind w:right="78"/>
        <w:jc w:val="both"/>
        <w:rPr>
          <w:rFonts w:ascii="Times" w:hAnsi="Times"/>
          <w:lang w:val="en-GB"/>
        </w:rPr>
      </w:pPr>
    </w:p>
    <w:p w14:paraId="7D2A0AC4" w14:textId="10CE80A0" w:rsidR="009B1CDA" w:rsidRPr="00A639AB" w:rsidRDefault="009B1CDA" w:rsidP="00F22BA5">
      <w:pPr>
        <w:spacing w:line="480" w:lineRule="auto"/>
        <w:ind w:right="78"/>
        <w:jc w:val="both"/>
        <w:rPr>
          <w:rFonts w:ascii="Times" w:hAnsi="Times"/>
          <w:lang w:val="en-GB"/>
        </w:rPr>
      </w:pPr>
      <w:r w:rsidRPr="00A639AB">
        <w:rPr>
          <w:rFonts w:ascii="Times" w:hAnsi="Times"/>
          <w:lang w:val="en-GB"/>
        </w:rPr>
        <w:t xml:space="preserve">One year after </w:t>
      </w:r>
      <w:r w:rsidRPr="00A639AB">
        <w:rPr>
          <w:rFonts w:ascii="Times" w:hAnsi="Times"/>
          <w:i/>
          <w:lang w:val="en-GB"/>
        </w:rPr>
        <w:t>Albany</w:t>
      </w:r>
      <w:r w:rsidRPr="00A639AB">
        <w:rPr>
          <w:rFonts w:ascii="Times" w:hAnsi="Times"/>
          <w:lang w:val="en-GB"/>
        </w:rPr>
        <w:t>, the Court faced the competition</w:t>
      </w:r>
      <w:r w:rsidR="00D200A5">
        <w:rPr>
          <w:rFonts w:ascii="Times" w:hAnsi="Times" w:cs="Times"/>
          <w:lang w:val="en-GB"/>
        </w:rPr>
        <w:t>–</w:t>
      </w:r>
      <w:r w:rsidRPr="00A639AB">
        <w:rPr>
          <w:rFonts w:ascii="Times" w:hAnsi="Times"/>
          <w:lang w:val="en-GB"/>
        </w:rPr>
        <w:t>solidarity conflict in a case involving the organisation of dockworkers in Belgium.</w:t>
      </w:r>
      <w:r w:rsidRPr="00A639AB">
        <w:rPr>
          <w:rStyle w:val="FootnoteReference"/>
          <w:rFonts w:ascii="Times" w:hAnsi="Times"/>
          <w:lang w:val="en-GB"/>
        </w:rPr>
        <w:footnoteReference w:id="58"/>
      </w:r>
      <w:r w:rsidRPr="00A639AB">
        <w:rPr>
          <w:rFonts w:ascii="Times" w:hAnsi="Times"/>
          <w:lang w:val="en-GB"/>
        </w:rPr>
        <w:t xml:space="preserve"> The Belgian state made it illegal for employees to hire non-registered workers</w:t>
      </w:r>
      <w:r w:rsidR="00BF084E">
        <w:rPr>
          <w:rFonts w:ascii="Times" w:hAnsi="Times"/>
          <w:lang w:val="en-GB"/>
        </w:rPr>
        <w:t>,</w:t>
      </w:r>
      <w:r w:rsidRPr="00A639AB">
        <w:rPr>
          <w:rFonts w:ascii="Times" w:hAnsi="Times"/>
          <w:lang w:val="en-GB"/>
        </w:rPr>
        <w:t xml:space="preserve"> which </w:t>
      </w:r>
      <w:proofErr w:type="spellStart"/>
      <w:r w:rsidRPr="00A639AB">
        <w:rPr>
          <w:rFonts w:ascii="Times" w:hAnsi="Times"/>
          <w:i/>
          <w:lang w:val="en-GB"/>
        </w:rPr>
        <w:t>Becu</w:t>
      </w:r>
      <w:proofErr w:type="spellEnd"/>
      <w:r w:rsidRPr="00A639AB">
        <w:rPr>
          <w:rFonts w:ascii="Times" w:hAnsi="Times"/>
          <w:lang w:val="en-GB"/>
        </w:rPr>
        <w:t xml:space="preserve"> and others disregarded to lower their labour costs; and as a result, they faced criminal proceedings. In the criminal proceedings</w:t>
      </w:r>
      <w:r w:rsidR="00BF084E">
        <w:rPr>
          <w:rFonts w:ascii="Times" w:hAnsi="Times"/>
          <w:lang w:val="en-GB"/>
        </w:rPr>
        <w:t>,</w:t>
      </w:r>
      <w:r w:rsidRPr="00A639AB">
        <w:rPr>
          <w:rFonts w:ascii="Times" w:hAnsi="Times"/>
          <w:lang w:val="en-GB"/>
        </w:rPr>
        <w:t xml:space="preserve"> they argued that the national law in question violated EU competition rules. In this case</w:t>
      </w:r>
      <w:r w:rsidR="00BF084E">
        <w:rPr>
          <w:rFonts w:ascii="Times" w:hAnsi="Times"/>
          <w:lang w:val="en-GB"/>
        </w:rPr>
        <w:t>,</w:t>
      </w:r>
      <w:r w:rsidRPr="00A639AB">
        <w:rPr>
          <w:rFonts w:ascii="Times" w:hAnsi="Times"/>
          <w:lang w:val="en-GB"/>
        </w:rPr>
        <w:t xml:space="preserve"> the Court directly dealt with the question </w:t>
      </w:r>
      <w:r w:rsidR="00D200A5">
        <w:rPr>
          <w:rFonts w:ascii="Times" w:hAnsi="Times"/>
          <w:lang w:val="en-GB"/>
        </w:rPr>
        <w:t xml:space="preserve">of </w:t>
      </w:r>
      <w:r w:rsidRPr="00A639AB">
        <w:rPr>
          <w:rFonts w:ascii="Times" w:hAnsi="Times"/>
          <w:lang w:val="en-GB"/>
        </w:rPr>
        <w:t xml:space="preserve">whether workers qualified as ‘undertakings’ as individuals who sell their labour in the market in competition with other workers. The Court decided that </w:t>
      </w:r>
      <w:r w:rsidRPr="00A639AB">
        <w:rPr>
          <w:rFonts w:ascii="Times" w:hAnsi="Times"/>
          <w:lang w:val="en-GB"/>
        </w:rPr>
        <w:lastRenderedPageBreak/>
        <w:t>workers did not constitute undertakings; thus, they could not be a subject of the EU competition rules. This significant judgment protected workers as well as the Member State’s prerogative of regulating work from the potential attack of EU competition rules. Nevertheless, in the same judgment when deciding who qualifies as a ‘worker’, the Court placed a significant emphasis on the element of control enjoyed by employers over the worker.</w:t>
      </w:r>
      <w:r w:rsidRPr="00A639AB">
        <w:rPr>
          <w:rStyle w:val="FootnoteReference"/>
          <w:rFonts w:ascii="Times" w:hAnsi="Times"/>
          <w:lang w:val="en-GB"/>
        </w:rPr>
        <w:footnoteReference w:id="59"/>
      </w:r>
      <w:r w:rsidRPr="00A639AB">
        <w:rPr>
          <w:rFonts w:ascii="Times" w:hAnsi="Times"/>
          <w:lang w:val="en-GB"/>
        </w:rPr>
        <w:t xml:space="preserve"> This rendered </w:t>
      </w:r>
      <w:proofErr w:type="spellStart"/>
      <w:r w:rsidRPr="00A639AB">
        <w:rPr>
          <w:rFonts w:ascii="Times" w:hAnsi="Times"/>
          <w:lang w:val="en-GB"/>
        </w:rPr>
        <w:t>casualised</w:t>
      </w:r>
      <w:proofErr w:type="spellEnd"/>
      <w:r w:rsidRPr="00A639AB">
        <w:rPr>
          <w:rFonts w:ascii="Times" w:hAnsi="Times"/>
          <w:lang w:val="en-GB"/>
        </w:rPr>
        <w:t xml:space="preserve"> individuals </w:t>
      </w:r>
      <w:r w:rsidR="00861843">
        <w:rPr>
          <w:rFonts w:ascii="Times" w:hAnsi="Times"/>
          <w:lang w:val="en-GB"/>
        </w:rPr>
        <w:t xml:space="preserve">– </w:t>
      </w:r>
      <w:r w:rsidRPr="00A639AB">
        <w:rPr>
          <w:rFonts w:ascii="Times" w:hAnsi="Times"/>
          <w:lang w:val="en-GB"/>
        </w:rPr>
        <w:t>who are deliberately employed subject to more flexible working conditions</w:t>
      </w:r>
      <w:r w:rsidR="00861843">
        <w:rPr>
          <w:rFonts w:ascii="Times" w:hAnsi="Times"/>
          <w:lang w:val="en-GB"/>
        </w:rPr>
        <w:t xml:space="preserve"> –</w:t>
      </w:r>
      <w:r w:rsidRPr="00A639AB">
        <w:rPr>
          <w:rFonts w:ascii="Times" w:hAnsi="Times"/>
          <w:lang w:val="en-GB"/>
        </w:rPr>
        <w:t xml:space="preserve"> potentially open to </w:t>
      </w:r>
      <w:r w:rsidR="00861843">
        <w:rPr>
          <w:rFonts w:ascii="Times" w:hAnsi="Times"/>
          <w:lang w:val="en-GB"/>
        </w:rPr>
        <w:t xml:space="preserve">attack from </w:t>
      </w:r>
      <w:r w:rsidRPr="00A639AB">
        <w:rPr>
          <w:rFonts w:ascii="Times" w:hAnsi="Times"/>
          <w:lang w:val="en-GB"/>
        </w:rPr>
        <w:t>competition law if they attempt to take collective action against the</w:t>
      </w:r>
      <w:r>
        <w:rPr>
          <w:rFonts w:ascii="Times" w:hAnsi="Times"/>
          <w:lang w:val="en-GB"/>
        </w:rPr>
        <w:t>ir</w:t>
      </w:r>
      <w:r w:rsidRPr="00A639AB">
        <w:rPr>
          <w:rFonts w:ascii="Times" w:hAnsi="Times"/>
          <w:lang w:val="en-GB"/>
        </w:rPr>
        <w:t xml:space="preserve"> working conditions.  </w:t>
      </w:r>
    </w:p>
    <w:p w14:paraId="50EBF7D0" w14:textId="77777777" w:rsidR="009B1CDA" w:rsidRPr="00A639AB" w:rsidRDefault="009B1CDA" w:rsidP="00F22BA5">
      <w:pPr>
        <w:spacing w:line="480" w:lineRule="auto"/>
        <w:ind w:right="78"/>
        <w:jc w:val="both"/>
        <w:rPr>
          <w:rFonts w:ascii="Times" w:hAnsi="Times"/>
          <w:lang w:val="en-GB"/>
        </w:rPr>
      </w:pPr>
    </w:p>
    <w:p w14:paraId="078ED516" w14:textId="7CB443B8" w:rsidR="009B1CDA" w:rsidRDefault="009B1CDA" w:rsidP="00F22BA5">
      <w:pPr>
        <w:spacing w:line="480" w:lineRule="auto"/>
        <w:ind w:right="78"/>
        <w:jc w:val="both"/>
        <w:rPr>
          <w:rFonts w:ascii="Times" w:hAnsi="Times"/>
          <w:lang w:val="en-GB"/>
        </w:rPr>
      </w:pPr>
      <w:r w:rsidRPr="00A639AB">
        <w:rPr>
          <w:rFonts w:ascii="Times" w:hAnsi="Times"/>
          <w:lang w:val="en-GB"/>
        </w:rPr>
        <w:t xml:space="preserve">In </w:t>
      </w:r>
      <w:r w:rsidR="00265E3C">
        <w:rPr>
          <w:rFonts w:ascii="Times" w:hAnsi="Times"/>
          <w:lang w:val="en-GB"/>
        </w:rPr>
        <w:t>subsequent</w:t>
      </w:r>
      <w:r w:rsidR="00265E3C" w:rsidRPr="00A639AB">
        <w:rPr>
          <w:rFonts w:ascii="Times" w:hAnsi="Times"/>
          <w:lang w:val="en-GB"/>
        </w:rPr>
        <w:t xml:space="preserve"> </w:t>
      </w:r>
      <w:r w:rsidRPr="00A639AB">
        <w:rPr>
          <w:rFonts w:ascii="Times" w:hAnsi="Times"/>
          <w:lang w:val="en-GB"/>
        </w:rPr>
        <w:t xml:space="preserve">cases, the Court had to create novel categories of </w:t>
      </w:r>
      <w:r>
        <w:rPr>
          <w:rFonts w:ascii="Times" w:hAnsi="Times"/>
          <w:lang w:val="en-GB"/>
        </w:rPr>
        <w:t>workers</w:t>
      </w:r>
      <w:r w:rsidRPr="00A639AB">
        <w:rPr>
          <w:rFonts w:ascii="Times" w:hAnsi="Times"/>
          <w:lang w:val="en-GB"/>
        </w:rPr>
        <w:t xml:space="preserve"> when deciding on the legal position of </w:t>
      </w:r>
      <w:proofErr w:type="spellStart"/>
      <w:r w:rsidRPr="00A639AB">
        <w:rPr>
          <w:rFonts w:ascii="Times" w:hAnsi="Times"/>
          <w:lang w:val="en-GB"/>
        </w:rPr>
        <w:t>casualised</w:t>
      </w:r>
      <w:proofErr w:type="spellEnd"/>
      <w:r w:rsidRPr="00A639AB">
        <w:rPr>
          <w:rFonts w:ascii="Times" w:hAnsi="Times"/>
          <w:lang w:val="en-GB"/>
        </w:rPr>
        <w:t xml:space="preserve"> individuals who did not fit within the strict conditions of the labour exemption. In </w:t>
      </w:r>
      <w:r w:rsidRPr="00A639AB">
        <w:rPr>
          <w:rFonts w:ascii="Times" w:hAnsi="Times"/>
          <w:i/>
          <w:lang w:val="en-GB"/>
        </w:rPr>
        <w:t xml:space="preserve">FNV </w:t>
      </w:r>
      <w:proofErr w:type="spellStart"/>
      <w:r w:rsidRPr="00A639AB">
        <w:rPr>
          <w:rFonts w:ascii="Times" w:hAnsi="Times"/>
          <w:i/>
          <w:lang w:val="en-GB"/>
        </w:rPr>
        <w:t>Kunsten</w:t>
      </w:r>
      <w:proofErr w:type="spellEnd"/>
      <w:r w:rsidRPr="00A639AB">
        <w:rPr>
          <w:rStyle w:val="FootnoteReference"/>
          <w:rFonts w:ascii="Times" w:hAnsi="Times"/>
          <w:lang w:val="en-GB"/>
        </w:rPr>
        <w:footnoteReference w:id="60"/>
      </w:r>
      <w:r w:rsidRPr="00A639AB">
        <w:rPr>
          <w:rFonts w:ascii="Times" w:hAnsi="Times"/>
          <w:lang w:val="en-GB"/>
        </w:rPr>
        <w:t xml:space="preserve"> the Court faced a collective agreement concluded in the Netherlands that addressed the working conditions of substitute orchestra players who </w:t>
      </w:r>
      <w:r>
        <w:rPr>
          <w:rFonts w:ascii="Times" w:hAnsi="Times"/>
          <w:lang w:val="en-GB"/>
        </w:rPr>
        <w:t>did</w:t>
      </w:r>
      <w:r w:rsidRPr="00A639AB">
        <w:rPr>
          <w:rFonts w:ascii="Times" w:hAnsi="Times"/>
          <w:lang w:val="en-GB"/>
        </w:rPr>
        <w:t xml:space="preserve"> not have a regular employment relationship with orchestras. </w:t>
      </w:r>
      <w:r w:rsidR="00AF1B25">
        <w:rPr>
          <w:rFonts w:ascii="Times" w:hAnsi="Times"/>
          <w:lang w:val="en-GB"/>
        </w:rPr>
        <w:t>In light of</w:t>
      </w:r>
      <w:r w:rsidRPr="00A639AB">
        <w:rPr>
          <w:rFonts w:ascii="Times" w:hAnsi="Times"/>
          <w:lang w:val="en-GB"/>
        </w:rPr>
        <w:t xml:space="preserve"> the previous case-law, the agreement in question should not have benefitted from competition law exemption, since it was not concluded between workers and employers. In order to protect substitute players from the attack of EU competition rules, in this case the Court observed that ‘in today’s economy it is not always easy to establish the status of self-employed contractors as “undertakings”’, and it created a so-called category of false self-employed individuals whose situation is ‘comparable to that of employees’.</w:t>
      </w:r>
      <w:r w:rsidRPr="00A639AB">
        <w:rPr>
          <w:rStyle w:val="FootnoteReference"/>
          <w:rFonts w:ascii="Times" w:hAnsi="Times"/>
          <w:lang w:val="en-GB"/>
        </w:rPr>
        <w:footnoteReference w:id="61"/>
      </w:r>
      <w:r w:rsidRPr="00A639AB">
        <w:rPr>
          <w:rFonts w:ascii="Times" w:hAnsi="Times"/>
          <w:lang w:val="en-GB"/>
        </w:rPr>
        <w:t xml:space="preserve"> </w:t>
      </w:r>
      <w:r w:rsidRPr="00A639AB">
        <w:rPr>
          <w:rFonts w:ascii="Times" w:hAnsi="Times"/>
          <w:lang w:val="en-GB"/>
        </w:rPr>
        <w:lastRenderedPageBreak/>
        <w:t xml:space="preserve">Nevertheless, whilst doing so the Court relied on a strict relationship of control and defined the labour </w:t>
      </w:r>
      <w:r w:rsidR="00265E3C">
        <w:rPr>
          <w:rFonts w:ascii="Times" w:hAnsi="Times"/>
          <w:lang w:val="en-GB"/>
        </w:rPr>
        <w:t>exemption</w:t>
      </w:r>
      <w:r w:rsidRPr="00A639AB">
        <w:rPr>
          <w:rFonts w:ascii="Times" w:hAnsi="Times"/>
          <w:lang w:val="en-GB"/>
        </w:rPr>
        <w:t xml:space="preserve"> narrowly for the ‘false self-employed’ ‘who…perform for an employer, under a works or service contract, the same activity as that employer’s employed workers.’</w:t>
      </w:r>
      <w:r w:rsidRPr="00A639AB">
        <w:rPr>
          <w:rStyle w:val="FootnoteReference"/>
          <w:rFonts w:ascii="Times" w:hAnsi="Times"/>
          <w:lang w:val="en-GB"/>
        </w:rPr>
        <w:footnoteReference w:id="62"/>
      </w:r>
      <w:r w:rsidRPr="00A639AB">
        <w:rPr>
          <w:rFonts w:ascii="Times" w:hAnsi="Times"/>
          <w:lang w:val="en-GB"/>
        </w:rPr>
        <w:t xml:space="preserve"> </w:t>
      </w:r>
    </w:p>
    <w:p w14:paraId="0D915D66" w14:textId="77777777" w:rsidR="009B1CDA" w:rsidRDefault="009B1CDA" w:rsidP="00F22BA5">
      <w:pPr>
        <w:spacing w:line="480" w:lineRule="auto"/>
        <w:ind w:right="78"/>
        <w:jc w:val="both"/>
        <w:rPr>
          <w:rFonts w:ascii="Times" w:hAnsi="Times"/>
          <w:lang w:val="en-GB"/>
        </w:rPr>
      </w:pPr>
    </w:p>
    <w:p w14:paraId="1CB8D292" w14:textId="273634B6" w:rsidR="009B1CDA" w:rsidRDefault="009B1CDA" w:rsidP="00F22BA5">
      <w:pPr>
        <w:spacing w:line="480" w:lineRule="auto"/>
        <w:ind w:right="78"/>
        <w:jc w:val="both"/>
        <w:rPr>
          <w:rFonts w:ascii="Times" w:hAnsi="Times"/>
          <w:lang w:val="en-GB"/>
        </w:rPr>
      </w:pPr>
      <w:r>
        <w:rPr>
          <w:rFonts w:ascii="Times" w:hAnsi="Times"/>
          <w:lang w:val="en-GB"/>
        </w:rPr>
        <w:t xml:space="preserve">As a result of the Court’s decision to treat worker organisations as undertakings </w:t>
      </w:r>
      <w:r w:rsidR="00BF084E">
        <w:rPr>
          <w:rFonts w:ascii="Times" w:hAnsi="Times"/>
          <w:lang w:val="en-GB"/>
        </w:rPr>
        <w:t>in</w:t>
      </w:r>
      <w:r>
        <w:rPr>
          <w:rFonts w:ascii="Times" w:hAnsi="Times"/>
          <w:lang w:val="en-GB"/>
        </w:rPr>
        <w:t xml:space="preserve"> </w:t>
      </w:r>
      <w:r w:rsidRPr="00B54AC9">
        <w:rPr>
          <w:rFonts w:ascii="Times" w:hAnsi="Times"/>
          <w:i/>
          <w:lang w:val="en-GB"/>
        </w:rPr>
        <w:t>Albany</w:t>
      </w:r>
      <w:r>
        <w:rPr>
          <w:rFonts w:ascii="Times" w:hAnsi="Times"/>
          <w:lang w:val="en-GB"/>
        </w:rPr>
        <w:t>, competition law bec</w:t>
      </w:r>
      <w:r w:rsidR="00861843">
        <w:rPr>
          <w:rFonts w:ascii="Times" w:hAnsi="Times"/>
          <w:lang w:val="en-GB"/>
        </w:rPr>
        <w:t>a</w:t>
      </w:r>
      <w:r>
        <w:rPr>
          <w:rFonts w:ascii="Times" w:hAnsi="Times"/>
          <w:lang w:val="en-GB"/>
        </w:rPr>
        <w:t xml:space="preserve">me a potential disciplining </w:t>
      </w:r>
      <w:r w:rsidR="0068425B">
        <w:rPr>
          <w:rFonts w:ascii="Times" w:hAnsi="Times"/>
          <w:lang w:val="en-GB"/>
        </w:rPr>
        <w:t>mechanism</w:t>
      </w:r>
      <w:r>
        <w:rPr>
          <w:rFonts w:ascii="Times" w:hAnsi="Times"/>
          <w:lang w:val="en-GB"/>
        </w:rPr>
        <w:t xml:space="preserve"> against collective worker action. As a result, the Court had to formulate imprecise and generic tests in order to protect </w:t>
      </w:r>
      <w:r w:rsidR="00861843">
        <w:rPr>
          <w:rFonts w:ascii="Times" w:hAnsi="Times"/>
          <w:lang w:val="en-GB"/>
        </w:rPr>
        <w:t xml:space="preserve">from competition law attack </w:t>
      </w:r>
      <w:r w:rsidR="00023EE7">
        <w:rPr>
          <w:rFonts w:ascii="Times" w:hAnsi="Times"/>
          <w:lang w:val="en-GB"/>
        </w:rPr>
        <w:t xml:space="preserve">those </w:t>
      </w:r>
      <w:r>
        <w:rPr>
          <w:rFonts w:ascii="Times" w:hAnsi="Times"/>
          <w:lang w:val="en-GB"/>
        </w:rPr>
        <w:t>individuals who</w:t>
      </w:r>
      <w:r w:rsidR="00861843">
        <w:rPr>
          <w:rFonts w:ascii="Times" w:hAnsi="Times"/>
          <w:lang w:val="en-GB"/>
        </w:rPr>
        <w:t>,</w:t>
      </w:r>
      <w:r>
        <w:rPr>
          <w:rFonts w:ascii="Times" w:hAnsi="Times"/>
          <w:lang w:val="en-GB"/>
        </w:rPr>
        <w:t xml:space="preserve"> whilst not satisfying the formal criteria of workers</w:t>
      </w:r>
      <w:r w:rsidR="00861843">
        <w:rPr>
          <w:rFonts w:ascii="Times" w:hAnsi="Times"/>
          <w:lang w:val="en-GB"/>
        </w:rPr>
        <w:t>,</w:t>
      </w:r>
      <w:r>
        <w:rPr>
          <w:rFonts w:ascii="Times" w:hAnsi="Times"/>
          <w:lang w:val="en-GB"/>
        </w:rPr>
        <w:t xml:space="preserve"> also do not act as undertakings providing goods and services. The </w:t>
      </w:r>
      <w:r w:rsidRPr="00A639AB">
        <w:rPr>
          <w:rFonts w:ascii="Times" w:hAnsi="Times"/>
          <w:i/>
          <w:lang w:val="en-GB"/>
        </w:rPr>
        <w:t xml:space="preserve">FNV </w:t>
      </w:r>
      <w:proofErr w:type="spellStart"/>
      <w:r w:rsidRPr="00A639AB">
        <w:rPr>
          <w:rFonts w:ascii="Times" w:hAnsi="Times"/>
          <w:i/>
          <w:lang w:val="en-GB"/>
        </w:rPr>
        <w:t>Kunsten</w:t>
      </w:r>
      <w:proofErr w:type="spellEnd"/>
      <w:r>
        <w:rPr>
          <w:rFonts w:ascii="Times" w:hAnsi="Times"/>
          <w:i/>
          <w:lang w:val="en-GB"/>
        </w:rPr>
        <w:t xml:space="preserve"> </w:t>
      </w:r>
      <w:r w:rsidRPr="00DF41E4">
        <w:rPr>
          <w:rFonts w:ascii="Times" w:hAnsi="Times"/>
          <w:lang w:val="en-GB"/>
        </w:rPr>
        <w:t xml:space="preserve">test </w:t>
      </w:r>
      <w:r>
        <w:rPr>
          <w:rFonts w:ascii="Times" w:hAnsi="Times"/>
          <w:lang w:val="en-GB"/>
        </w:rPr>
        <w:t xml:space="preserve">is unlikely to provide protection to </w:t>
      </w:r>
      <w:proofErr w:type="spellStart"/>
      <w:r>
        <w:rPr>
          <w:rFonts w:ascii="Times" w:hAnsi="Times"/>
          <w:lang w:val="en-GB"/>
        </w:rPr>
        <w:t>casualised</w:t>
      </w:r>
      <w:proofErr w:type="spellEnd"/>
      <w:r>
        <w:rPr>
          <w:rFonts w:ascii="Times" w:hAnsi="Times"/>
          <w:lang w:val="en-GB"/>
        </w:rPr>
        <w:t xml:space="preserve"> workers in the future, as it defines the category of ‘false self-employed’ using workers formally employed under a work contract as a primary reference point. Most problematically and imminently, this test will not provide any protection to gig workers, since companies operating in the gig economy rely on a service relationship, rather than an employment contract, to keep workers at arms’ length and to place them in the alleged position of self-employed individuals. Since these companies do not employ any workers under an official work contract to begin with, gig workers would not fit into the Court’s formulation of ‘false self-employed’. As a result, </w:t>
      </w:r>
      <w:r w:rsidRPr="0084467A">
        <w:rPr>
          <w:rFonts w:ascii="Times" w:hAnsi="Times"/>
          <w:i/>
          <w:lang w:val="en-GB"/>
        </w:rPr>
        <w:t>ad hoc</w:t>
      </w:r>
      <w:r>
        <w:rPr>
          <w:rFonts w:ascii="Times" w:hAnsi="Times"/>
          <w:lang w:val="en-GB"/>
        </w:rPr>
        <w:t xml:space="preserve"> formulations of who constitutes an undertaking fail to provide a secure harbour for collective worker action. A more inclusive welfare test of what constitutes a violation of competition rules, as suggested in the next section of this article, is necessary to achieve this end.  </w:t>
      </w:r>
    </w:p>
    <w:p w14:paraId="7972ED92" w14:textId="77777777" w:rsidR="009B1CDA" w:rsidRPr="00A639AB" w:rsidRDefault="009B1CDA" w:rsidP="00F22BA5">
      <w:pPr>
        <w:spacing w:line="480" w:lineRule="auto"/>
        <w:ind w:right="78"/>
        <w:jc w:val="both"/>
        <w:rPr>
          <w:rFonts w:ascii="Times" w:hAnsi="Times"/>
          <w:lang w:val="en-GB"/>
        </w:rPr>
      </w:pPr>
    </w:p>
    <w:p w14:paraId="491105A1" w14:textId="77777777" w:rsidR="009B1CDA" w:rsidRPr="00BB547E" w:rsidRDefault="009B1CDA" w:rsidP="00F22BA5">
      <w:pPr>
        <w:pStyle w:val="ListParagraph"/>
        <w:numPr>
          <w:ilvl w:val="0"/>
          <w:numId w:val="2"/>
        </w:numPr>
        <w:spacing w:line="480" w:lineRule="auto"/>
        <w:ind w:right="78"/>
        <w:jc w:val="both"/>
        <w:rPr>
          <w:rFonts w:ascii="Times" w:hAnsi="Times"/>
          <w:b/>
          <w:lang w:val="en-GB"/>
        </w:rPr>
      </w:pPr>
      <w:r w:rsidRPr="00BB547E">
        <w:rPr>
          <w:rFonts w:ascii="Times" w:hAnsi="Times"/>
          <w:b/>
          <w:lang w:val="en-GB"/>
        </w:rPr>
        <w:lastRenderedPageBreak/>
        <w:t>Antitrust law against workers in the US</w:t>
      </w:r>
    </w:p>
    <w:p w14:paraId="2D11DA9D" w14:textId="77777777" w:rsidR="009B1CDA" w:rsidRPr="00A639AB" w:rsidRDefault="009B1CDA" w:rsidP="00F22BA5">
      <w:pPr>
        <w:spacing w:line="480" w:lineRule="auto"/>
        <w:ind w:right="78"/>
        <w:jc w:val="both"/>
        <w:rPr>
          <w:rFonts w:ascii="Times" w:hAnsi="Times"/>
          <w:lang w:val="en-GB"/>
        </w:rPr>
      </w:pPr>
    </w:p>
    <w:p w14:paraId="20FC8CCF" w14:textId="3EDC8EAB" w:rsidR="009B1CDA" w:rsidRPr="00A639AB" w:rsidRDefault="009B1CDA" w:rsidP="00F22BA5">
      <w:pPr>
        <w:spacing w:line="480" w:lineRule="auto"/>
        <w:jc w:val="both"/>
        <w:rPr>
          <w:rFonts w:ascii="Times" w:hAnsi="Times"/>
          <w:lang w:val="en-GB"/>
        </w:rPr>
      </w:pPr>
      <w:r w:rsidRPr="00A639AB">
        <w:rPr>
          <w:rFonts w:ascii="Times" w:hAnsi="Times"/>
          <w:lang w:val="en-GB"/>
        </w:rPr>
        <w:t>Competition rules – or anti</w:t>
      </w:r>
      <w:r w:rsidR="00023EE7">
        <w:rPr>
          <w:rFonts w:ascii="Times" w:hAnsi="Times"/>
          <w:lang w:val="en-GB"/>
        </w:rPr>
        <w:t>t</w:t>
      </w:r>
      <w:r w:rsidRPr="00A639AB">
        <w:rPr>
          <w:rFonts w:ascii="Times" w:hAnsi="Times"/>
          <w:lang w:val="en-GB"/>
        </w:rPr>
        <w:t xml:space="preserve">rust rules as they are called in </w:t>
      </w:r>
      <w:r>
        <w:rPr>
          <w:rFonts w:ascii="Times" w:hAnsi="Times"/>
          <w:lang w:val="en-GB"/>
        </w:rPr>
        <w:t xml:space="preserve">the </w:t>
      </w:r>
      <w:r w:rsidRPr="00A639AB">
        <w:rPr>
          <w:rFonts w:ascii="Times" w:hAnsi="Times"/>
          <w:lang w:val="en-GB"/>
        </w:rPr>
        <w:t>US</w:t>
      </w:r>
      <w:r>
        <w:rPr>
          <w:rFonts w:ascii="Times" w:hAnsi="Times"/>
          <w:lang w:val="en-GB"/>
        </w:rPr>
        <w:t xml:space="preserve"> </w:t>
      </w:r>
      <w:r w:rsidRPr="00A639AB">
        <w:rPr>
          <w:rFonts w:ascii="Times" w:hAnsi="Times"/>
          <w:lang w:val="en-GB"/>
        </w:rPr>
        <w:t xml:space="preserve">– that employers can invoke to attack collective worker action are codified in the Sherman Act’s Sections I and II, which, similar to EU competition rules, declare anticompetitive agreements and monopolisation </w:t>
      </w:r>
      <w:r w:rsidR="00023EE7">
        <w:rPr>
          <w:rFonts w:ascii="Times" w:hAnsi="Times"/>
          <w:lang w:val="en-GB"/>
        </w:rPr>
        <w:t xml:space="preserve">to be </w:t>
      </w:r>
      <w:r w:rsidRPr="00A639AB">
        <w:rPr>
          <w:rFonts w:ascii="Times" w:hAnsi="Times"/>
          <w:lang w:val="en-GB"/>
        </w:rPr>
        <w:t>‘conspiracies in restraint of trade’.</w:t>
      </w:r>
      <w:r w:rsidRPr="00A639AB">
        <w:rPr>
          <w:rStyle w:val="FootnoteReference"/>
          <w:rFonts w:ascii="Times" w:hAnsi="Times"/>
          <w:lang w:val="en-GB"/>
        </w:rPr>
        <w:footnoteReference w:id="63"/>
      </w:r>
      <w:r w:rsidRPr="00A639AB">
        <w:rPr>
          <w:rFonts w:ascii="Times" w:hAnsi="Times"/>
          <w:lang w:val="en-GB"/>
        </w:rPr>
        <w:t xml:space="preserve"> Nevertheless, unlike EU competition rules, </w:t>
      </w:r>
      <w:r w:rsidR="00992829">
        <w:rPr>
          <w:rFonts w:ascii="Times" w:hAnsi="Times"/>
          <w:lang w:val="en-GB"/>
        </w:rPr>
        <w:t xml:space="preserve">the </w:t>
      </w:r>
      <w:r w:rsidRPr="00A639AB">
        <w:rPr>
          <w:rFonts w:ascii="Times" w:hAnsi="Times"/>
          <w:lang w:val="en-GB"/>
        </w:rPr>
        <w:t xml:space="preserve">Sherman Act does not apply to any specific group of individuals or entities. In the absence of any judicial or legislative exemption, </w:t>
      </w:r>
      <w:r w:rsidR="00023EE7">
        <w:rPr>
          <w:rFonts w:ascii="Times" w:hAnsi="Times"/>
          <w:lang w:val="en-GB"/>
        </w:rPr>
        <w:t xml:space="preserve">the </w:t>
      </w:r>
      <w:r w:rsidRPr="00A639AB">
        <w:rPr>
          <w:rFonts w:ascii="Times" w:hAnsi="Times"/>
          <w:lang w:val="en-GB"/>
        </w:rPr>
        <w:t>Sherman Act and other US antitrust rules can potentially target anyone.</w:t>
      </w:r>
    </w:p>
    <w:p w14:paraId="13B29786" w14:textId="77777777" w:rsidR="009B1CDA" w:rsidRPr="00A639AB" w:rsidRDefault="009B1CDA" w:rsidP="00F22BA5">
      <w:pPr>
        <w:spacing w:line="480" w:lineRule="auto"/>
        <w:jc w:val="both"/>
        <w:rPr>
          <w:rFonts w:ascii="Times" w:hAnsi="Times"/>
          <w:lang w:val="en-GB"/>
        </w:rPr>
      </w:pPr>
    </w:p>
    <w:p w14:paraId="456BBD9B" w14:textId="7E9ABA8D" w:rsidR="009B1CDA" w:rsidRPr="00A639AB" w:rsidRDefault="009B1CDA" w:rsidP="00F22BA5">
      <w:pPr>
        <w:spacing w:line="480" w:lineRule="auto"/>
        <w:jc w:val="both"/>
        <w:rPr>
          <w:rFonts w:ascii="Times" w:hAnsi="Times"/>
          <w:lang w:val="en-GB"/>
        </w:rPr>
      </w:pPr>
      <w:r w:rsidRPr="00A639AB">
        <w:rPr>
          <w:rFonts w:ascii="Times" w:hAnsi="Times"/>
          <w:lang w:val="en-GB"/>
        </w:rPr>
        <w:t xml:space="preserve">The application of antitrust rules to collective </w:t>
      </w:r>
      <w:r>
        <w:rPr>
          <w:rFonts w:ascii="Times" w:hAnsi="Times"/>
          <w:lang w:val="en-GB"/>
        </w:rPr>
        <w:t>worker</w:t>
      </w:r>
      <w:r w:rsidRPr="00A639AB">
        <w:rPr>
          <w:rFonts w:ascii="Times" w:hAnsi="Times"/>
          <w:lang w:val="en-GB"/>
        </w:rPr>
        <w:t xml:space="preserve"> action in the US has been subject to continuous disagreement between the Supreme Court and Congress. The Court opened collective labour action </w:t>
      </w:r>
      <w:r w:rsidR="00023EE7">
        <w:rPr>
          <w:rFonts w:ascii="Times" w:hAnsi="Times"/>
          <w:lang w:val="en-GB"/>
        </w:rPr>
        <w:t xml:space="preserve">up </w:t>
      </w:r>
      <w:r w:rsidRPr="00A639AB">
        <w:rPr>
          <w:rFonts w:ascii="Times" w:hAnsi="Times"/>
          <w:lang w:val="en-GB"/>
        </w:rPr>
        <w:t xml:space="preserve">to antitrust attack through generous readings of the scope of antitrust rules; and when Congress attempted to protect collective labour action by enacting legal exemptions, the Court interpreted those exemptions narrowly. Similarly, the legal history and discourse of </w:t>
      </w:r>
      <w:r w:rsidR="00023EE7">
        <w:rPr>
          <w:rFonts w:ascii="Times" w:hAnsi="Times"/>
          <w:lang w:val="en-GB"/>
        </w:rPr>
        <w:t xml:space="preserve">the </w:t>
      </w:r>
      <w:r w:rsidRPr="00A639AB">
        <w:rPr>
          <w:rFonts w:ascii="Times" w:hAnsi="Times"/>
          <w:lang w:val="en-GB"/>
        </w:rPr>
        <w:t>competition</w:t>
      </w:r>
      <w:r w:rsidR="00023EE7">
        <w:rPr>
          <w:rFonts w:ascii="Times" w:hAnsi="Times" w:cs="Times"/>
          <w:lang w:val="en-GB"/>
        </w:rPr>
        <w:t>–</w:t>
      </w:r>
      <w:r w:rsidRPr="00A639AB">
        <w:rPr>
          <w:rFonts w:ascii="Times" w:hAnsi="Times"/>
          <w:lang w:val="en-GB"/>
        </w:rPr>
        <w:t xml:space="preserve">solidarity conflict in the US is extremely political, since Supreme Court justices did not hide their personal political opinions in favour </w:t>
      </w:r>
      <w:r w:rsidR="00023EE7">
        <w:rPr>
          <w:rFonts w:ascii="Times" w:hAnsi="Times"/>
          <w:lang w:val="en-GB"/>
        </w:rPr>
        <w:t xml:space="preserve">of </w:t>
      </w:r>
      <w:r w:rsidRPr="00A639AB">
        <w:rPr>
          <w:rFonts w:ascii="Times" w:hAnsi="Times"/>
          <w:lang w:val="en-GB"/>
        </w:rPr>
        <w:t xml:space="preserve">or against collective </w:t>
      </w:r>
      <w:r>
        <w:rPr>
          <w:rFonts w:ascii="Times" w:hAnsi="Times"/>
          <w:lang w:val="en-GB"/>
        </w:rPr>
        <w:t>worker</w:t>
      </w:r>
      <w:r w:rsidRPr="00A639AB">
        <w:rPr>
          <w:rFonts w:ascii="Times" w:hAnsi="Times"/>
          <w:lang w:val="en-GB"/>
        </w:rPr>
        <w:t xml:space="preserve"> action when drafting judgments or dissenting opinions. Secondary boycotts</w:t>
      </w:r>
      <w:r w:rsidRPr="00A639AB">
        <w:rPr>
          <w:rStyle w:val="FootnoteReference"/>
          <w:rFonts w:ascii="Times" w:hAnsi="Times"/>
          <w:lang w:val="en-GB"/>
        </w:rPr>
        <w:footnoteReference w:id="64"/>
      </w:r>
      <w:r w:rsidRPr="00A639AB">
        <w:rPr>
          <w:rFonts w:ascii="Times" w:hAnsi="Times"/>
          <w:lang w:val="en-GB"/>
        </w:rPr>
        <w:t xml:space="preserve"> and collective actions in which unions collaborate with non-union actors, most notably employers, to </w:t>
      </w:r>
      <w:r w:rsidRPr="00A639AB">
        <w:rPr>
          <w:rFonts w:ascii="Times" w:hAnsi="Times"/>
          <w:lang w:val="en-GB"/>
        </w:rPr>
        <w:lastRenderedPageBreak/>
        <w:t xml:space="preserve">achieve their goals, were subject to particular disagreement between the Supreme Court and Congress as well as amongst Supreme Court justices.  </w:t>
      </w:r>
    </w:p>
    <w:p w14:paraId="5155B98D" w14:textId="77777777" w:rsidR="009B1CDA" w:rsidRPr="00A639AB" w:rsidRDefault="009B1CDA" w:rsidP="00F22BA5">
      <w:pPr>
        <w:spacing w:line="480" w:lineRule="auto"/>
        <w:jc w:val="both"/>
        <w:rPr>
          <w:rFonts w:ascii="Times" w:hAnsi="Times"/>
          <w:lang w:val="en-GB"/>
        </w:rPr>
      </w:pPr>
    </w:p>
    <w:p w14:paraId="60BC32AF" w14:textId="1E75E09E" w:rsidR="009B1CDA" w:rsidRPr="00A639AB" w:rsidRDefault="009B1CDA" w:rsidP="00F22BA5">
      <w:pPr>
        <w:spacing w:line="480" w:lineRule="auto"/>
        <w:jc w:val="both"/>
        <w:rPr>
          <w:rFonts w:ascii="Times" w:hAnsi="Times"/>
          <w:lang w:val="en-GB"/>
        </w:rPr>
      </w:pPr>
      <w:r w:rsidRPr="00A639AB">
        <w:rPr>
          <w:rFonts w:ascii="Times" w:hAnsi="Times"/>
          <w:lang w:val="en-GB"/>
        </w:rPr>
        <w:t xml:space="preserve">Soon after the entry into force of the Sherman Act in 1890, the Supreme Court decided in the case of </w:t>
      </w:r>
      <w:r w:rsidRPr="00A639AB">
        <w:rPr>
          <w:rFonts w:ascii="Times" w:hAnsi="Times"/>
          <w:i/>
          <w:lang w:val="en-GB"/>
        </w:rPr>
        <w:t>Danbury Hatters</w:t>
      </w:r>
      <w:r w:rsidRPr="00A639AB">
        <w:rPr>
          <w:rStyle w:val="FootnoteReference"/>
          <w:rFonts w:ascii="Times" w:hAnsi="Times"/>
          <w:lang w:val="en-GB"/>
        </w:rPr>
        <w:footnoteReference w:id="65"/>
      </w:r>
      <w:r w:rsidRPr="00A639AB">
        <w:rPr>
          <w:rFonts w:ascii="Times" w:hAnsi="Times"/>
          <w:lang w:val="en-GB"/>
        </w:rPr>
        <w:t xml:space="preserve"> that secondary boycotts were illegal </w:t>
      </w:r>
      <w:r w:rsidR="00AF1B25">
        <w:rPr>
          <w:rFonts w:ascii="Times" w:hAnsi="Times"/>
          <w:lang w:val="en-GB"/>
        </w:rPr>
        <w:t>in light of</w:t>
      </w:r>
      <w:r w:rsidRPr="00A639AB">
        <w:rPr>
          <w:rFonts w:ascii="Times" w:hAnsi="Times"/>
          <w:lang w:val="en-GB"/>
        </w:rPr>
        <w:t xml:space="preserve"> the Sherman Antitrust Act. Using particularly political language the Court defined secondary boycotts as ‘a system of petty tyrannies that might be tolerated in Siberia, but could not be borne by independent Americans’.</w:t>
      </w:r>
      <w:r w:rsidRPr="00A639AB">
        <w:rPr>
          <w:rStyle w:val="FootnoteReference"/>
          <w:rFonts w:ascii="Times" w:hAnsi="Times"/>
          <w:lang w:val="en-GB"/>
        </w:rPr>
        <w:footnoteReference w:id="66"/>
      </w:r>
      <w:r w:rsidRPr="00A639AB">
        <w:rPr>
          <w:rFonts w:ascii="Times" w:hAnsi="Times"/>
          <w:lang w:val="en-GB"/>
        </w:rPr>
        <w:t xml:space="preserve"> In response, in 1914 Congress enacted the Clayton Act, which </w:t>
      </w:r>
      <w:r w:rsidRPr="00F54143">
        <w:rPr>
          <w:rFonts w:ascii="Times" w:hAnsi="Times"/>
          <w:iCs/>
          <w:lang w:val="en-GB"/>
        </w:rPr>
        <w:t>inter</w:t>
      </w:r>
      <w:r w:rsidRPr="00A273CE">
        <w:rPr>
          <w:rFonts w:ascii="Times" w:hAnsi="Times"/>
          <w:iCs/>
          <w:lang w:val="en-GB"/>
        </w:rPr>
        <w:t xml:space="preserve"> </w:t>
      </w:r>
      <w:r w:rsidRPr="00F54143">
        <w:rPr>
          <w:rFonts w:ascii="Times" w:hAnsi="Times"/>
          <w:iCs/>
          <w:lang w:val="en-GB"/>
        </w:rPr>
        <w:t>alia</w:t>
      </w:r>
      <w:r w:rsidRPr="00A639AB">
        <w:rPr>
          <w:rFonts w:ascii="Times" w:hAnsi="Times"/>
          <w:lang w:val="en-GB"/>
        </w:rPr>
        <w:t xml:space="preserve"> brought forward an extensive labour exemption in sections 6 and 20.</w:t>
      </w:r>
      <w:r w:rsidRPr="00A639AB">
        <w:rPr>
          <w:rStyle w:val="FootnoteReference"/>
          <w:rFonts w:ascii="Times" w:hAnsi="Times"/>
          <w:lang w:val="en-GB"/>
        </w:rPr>
        <w:footnoteReference w:id="67"/>
      </w:r>
      <w:r w:rsidRPr="00A639AB">
        <w:rPr>
          <w:rFonts w:ascii="Times" w:hAnsi="Times"/>
          <w:lang w:val="en-GB"/>
        </w:rPr>
        <w:t xml:space="preserve"> </w:t>
      </w:r>
      <w:r w:rsidR="00023EE7">
        <w:rPr>
          <w:rFonts w:ascii="Times" w:hAnsi="Times"/>
          <w:lang w:val="en-GB"/>
        </w:rPr>
        <w:t>The p</w:t>
      </w:r>
      <w:r w:rsidRPr="00A639AB">
        <w:rPr>
          <w:rFonts w:ascii="Times" w:hAnsi="Times"/>
          <w:lang w:val="en-GB"/>
        </w:rPr>
        <w:t xml:space="preserve">olitical position of Congress in favour of </w:t>
      </w:r>
      <w:r>
        <w:rPr>
          <w:rFonts w:ascii="Times" w:hAnsi="Times"/>
          <w:lang w:val="en-GB"/>
        </w:rPr>
        <w:t>collective worker action</w:t>
      </w:r>
      <w:r w:rsidRPr="00A639AB">
        <w:rPr>
          <w:rFonts w:ascii="Times" w:hAnsi="Times"/>
          <w:lang w:val="en-GB"/>
        </w:rPr>
        <w:t xml:space="preserve"> was particularly obvious from the wording of Section 6 </w:t>
      </w:r>
      <w:r>
        <w:rPr>
          <w:rFonts w:ascii="Times" w:hAnsi="Times"/>
          <w:lang w:val="en-GB"/>
        </w:rPr>
        <w:t xml:space="preserve">which </w:t>
      </w:r>
      <w:r w:rsidRPr="00A639AB">
        <w:rPr>
          <w:rFonts w:ascii="Times" w:hAnsi="Times"/>
          <w:lang w:val="en-GB"/>
        </w:rPr>
        <w:t>declared that: ‘</w:t>
      </w:r>
      <w:r w:rsidRPr="00A639AB">
        <w:rPr>
          <w:rFonts w:ascii="Times" w:eastAsia="Times New Roman" w:hAnsi="Times" w:cs="Times New Roman"/>
          <w:shd w:val="clear" w:color="auto" w:fill="FFFFFF"/>
          <w:lang w:val="en-GB"/>
        </w:rPr>
        <w:t xml:space="preserve">The </w:t>
      </w:r>
      <w:proofErr w:type="spellStart"/>
      <w:r w:rsidRPr="00A639AB">
        <w:rPr>
          <w:rFonts w:ascii="Times" w:eastAsia="Times New Roman" w:hAnsi="Times" w:cs="Times New Roman"/>
          <w:shd w:val="clear" w:color="auto" w:fill="FFFFFF"/>
          <w:lang w:val="en-GB"/>
        </w:rPr>
        <w:t>labor</w:t>
      </w:r>
      <w:proofErr w:type="spellEnd"/>
      <w:r w:rsidRPr="00A639AB">
        <w:rPr>
          <w:rFonts w:ascii="Times" w:eastAsia="Times New Roman" w:hAnsi="Times" w:cs="Times New Roman"/>
          <w:shd w:val="clear" w:color="auto" w:fill="FFFFFF"/>
          <w:lang w:val="en-GB"/>
        </w:rPr>
        <w:t xml:space="preserve"> of a human being is not a </w:t>
      </w:r>
      <w:r w:rsidRPr="00A639AB">
        <w:rPr>
          <w:rFonts w:ascii="Times" w:eastAsia="Times New Roman" w:hAnsi="Times" w:cs="Times New Roman"/>
          <w:i/>
          <w:shd w:val="clear" w:color="auto" w:fill="FFFFFF"/>
          <w:lang w:val="en-GB"/>
        </w:rPr>
        <w:t>commodity</w:t>
      </w:r>
      <w:r w:rsidRPr="00A639AB">
        <w:rPr>
          <w:rFonts w:ascii="Times" w:eastAsia="Times New Roman" w:hAnsi="Times" w:cs="Times New Roman"/>
          <w:shd w:val="clear" w:color="auto" w:fill="FFFFFF"/>
          <w:lang w:val="en-GB"/>
        </w:rPr>
        <w:t xml:space="preserve"> or article of commerce’.</w:t>
      </w:r>
      <w:r w:rsidRPr="00A639AB">
        <w:rPr>
          <w:rStyle w:val="FootnoteReference"/>
          <w:rFonts w:ascii="Times" w:eastAsia="Times New Roman" w:hAnsi="Times" w:cs="Times New Roman"/>
          <w:shd w:val="clear" w:color="auto" w:fill="FFFFFF"/>
          <w:lang w:val="en-GB"/>
        </w:rPr>
        <w:footnoteReference w:id="68"/>
      </w:r>
      <w:r w:rsidRPr="00A639AB">
        <w:rPr>
          <w:rFonts w:ascii="Times" w:eastAsia="Times New Roman" w:hAnsi="Times" w:cs="Times New Roman"/>
          <w:shd w:val="clear" w:color="auto" w:fill="FFFFFF"/>
          <w:lang w:val="en-GB"/>
        </w:rPr>
        <w:t xml:space="preserve"> Section 6 further declared that antitrust laws should not forbid the existence and operation of </w:t>
      </w:r>
      <w:r>
        <w:rPr>
          <w:rFonts w:ascii="Times" w:eastAsia="Times New Roman" w:hAnsi="Times" w:cs="Times New Roman"/>
          <w:shd w:val="clear" w:color="auto" w:fill="FFFFFF"/>
          <w:lang w:val="en-GB"/>
        </w:rPr>
        <w:t>worker</w:t>
      </w:r>
      <w:r w:rsidRPr="00A639AB">
        <w:rPr>
          <w:rFonts w:ascii="Times" w:eastAsia="Times New Roman" w:hAnsi="Times" w:cs="Times New Roman"/>
          <w:shd w:val="clear" w:color="auto" w:fill="FFFFFF"/>
          <w:lang w:val="en-GB"/>
        </w:rPr>
        <w:t xml:space="preserve"> organisations instituted for the purposes of mutual help and their members from pursuing the legitimate objectives of such organisations.</w:t>
      </w:r>
    </w:p>
    <w:p w14:paraId="2EF142F6" w14:textId="77777777" w:rsidR="009B1CDA" w:rsidRPr="00A639AB" w:rsidRDefault="009B1CDA" w:rsidP="00F22BA5">
      <w:pPr>
        <w:spacing w:line="480" w:lineRule="auto"/>
        <w:jc w:val="both"/>
        <w:rPr>
          <w:rFonts w:ascii="Times" w:eastAsia="Times New Roman" w:hAnsi="Times" w:cs="Times New Roman"/>
          <w:shd w:val="clear" w:color="auto" w:fill="FFFFFF"/>
          <w:lang w:val="en-GB"/>
        </w:rPr>
      </w:pPr>
    </w:p>
    <w:p w14:paraId="78A2939B" w14:textId="2B36BE2E" w:rsidR="009B1CDA" w:rsidRPr="00A639AB" w:rsidRDefault="009B1CDA" w:rsidP="00F22BA5">
      <w:pPr>
        <w:spacing w:line="480" w:lineRule="auto"/>
        <w:jc w:val="both"/>
        <w:rPr>
          <w:rFonts w:ascii="Times" w:eastAsia="Times New Roman" w:hAnsi="Times" w:cs="Times New Roman"/>
          <w:shd w:val="clear" w:color="auto" w:fill="FFFFFF"/>
          <w:lang w:val="en-GB"/>
        </w:rPr>
      </w:pPr>
      <w:r w:rsidRPr="00A639AB">
        <w:rPr>
          <w:rFonts w:ascii="Times" w:eastAsia="Times New Roman" w:hAnsi="Times" w:cs="Times New Roman"/>
          <w:shd w:val="clear" w:color="auto" w:fill="FFFFFF"/>
          <w:lang w:val="en-GB"/>
        </w:rPr>
        <w:t xml:space="preserve">According to the Senate debate, the purpose of this law was to remove all doubt that </w:t>
      </w:r>
      <w:r>
        <w:rPr>
          <w:rFonts w:ascii="Times" w:eastAsia="Times New Roman" w:hAnsi="Times" w:cs="Times New Roman"/>
          <w:shd w:val="clear" w:color="auto" w:fill="FFFFFF"/>
          <w:lang w:val="en-GB"/>
        </w:rPr>
        <w:t>worker</w:t>
      </w:r>
      <w:r w:rsidRPr="00A639AB">
        <w:rPr>
          <w:rFonts w:ascii="Times" w:eastAsia="Times New Roman" w:hAnsi="Times" w:cs="Times New Roman"/>
          <w:shd w:val="clear" w:color="auto" w:fill="FFFFFF"/>
          <w:lang w:val="en-GB"/>
        </w:rPr>
        <w:t xml:space="preserve"> organisations were not within the scope of the antitrust laws.</w:t>
      </w:r>
      <w:r w:rsidRPr="00A639AB">
        <w:rPr>
          <w:rStyle w:val="FootnoteReference"/>
          <w:rFonts w:ascii="Times" w:eastAsia="Times New Roman" w:hAnsi="Times" w:cs="Times New Roman"/>
          <w:shd w:val="clear" w:color="auto" w:fill="FFFFFF"/>
          <w:lang w:val="en-GB"/>
        </w:rPr>
        <w:footnoteReference w:id="69"/>
      </w:r>
      <w:r w:rsidRPr="00A639AB">
        <w:rPr>
          <w:rFonts w:ascii="Times" w:eastAsia="Times New Roman" w:hAnsi="Times" w:cs="Times New Roman"/>
          <w:shd w:val="clear" w:color="auto" w:fill="FFFFFF"/>
          <w:lang w:val="en-GB"/>
        </w:rPr>
        <w:t xml:space="preserve"> Using language akin to Karl Polanyi’s theory of fictitious labour</w:t>
      </w:r>
      <w:r w:rsidR="00023EE7">
        <w:rPr>
          <w:rFonts w:ascii="Times" w:eastAsia="Times New Roman" w:hAnsi="Times" w:cs="Times New Roman"/>
          <w:shd w:val="clear" w:color="auto" w:fill="FFFFFF"/>
          <w:lang w:val="en-GB"/>
        </w:rPr>
        <w:t>,</w:t>
      </w:r>
      <w:r w:rsidRPr="00A639AB">
        <w:rPr>
          <w:rFonts w:ascii="Times" w:eastAsia="Times New Roman" w:hAnsi="Times" w:cs="Times New Roman"/>
          <w:shd w:val="clear" w:color="auto" w:fill="FFFFFF"/>
          <w:lang w:val="en-GB"/>
        </w:rPr>
        <w:t xml:space="preserve"> the minority report on the bill stated that: </w:t>
      </w:r>
    </w:p>
    <w:p w14:paraId="1005A303" w14:textId="6E2AA7B3" w:rsidR="009B1CDA" w:rsidRPr="00A639AB" w:rsidRDefault="009B1CDA" w:rsidP="00F22BA5">
      <w:pPr>
        <w:tabs>
          <w:tab w:val="left" w:pos="7513"/>
        </w:tabs>
        <w:spacing w:line="480" w:lineRule="auto"/>
        <w:ind w:left="1134" w:right="362"/>
        <w:jc w:val="both"/>
        <w:rPr>
          <w:rFonts w:ascii="Times" w:eastAsia="Times New Roman" w:hAnsi="Times" w:cs="Times New Roman"/>
          <w:shd w:val="clear" w:color="auto" w:fill="FFFFFF"/>
          <w:lang w:val="en-GB"/>
        </w:rPr>
      </w:pPr>
      <w:r w:rsidRPr="00A639AB">
        <w:rPr>
          <w:rFonts w:ascii="Times" w:eastAsia="Times New Roman" w:hAnsi="Times" w:cs="Times New Roman"/>
          <w:shd w:val="clear" w:color="auto" w:fill="FFFFFF"/>
          <w:lang w:val="en-GB"/>
        </w:rPr>
        <w:lastRenderedPageBreak/>
        <w:t>…If labour is a commodity, it is entirely different from every other commodity, inasmuch as the commodity can never be divorced from the human being – the labourer…[Labour] organizations aim to protect the people against the evils of monopoly not to enhance those evils.</w:t>
      </w:r>
      <w:r w:rsidRPr="00A639AB">
        <w:rPr>
          <w:rStyle w:val="FootnoteReference"/>
          <w:rFonts w:ascii="Times" w:eastAsia="Times New Roman" w:hAnsi="Times" w:cs="Times New Roman"/>
          <w:shd w:val="clear" w:color="auto" w:fill="FFFFFF"/>
          <w:lang w:val="en-GB"/>
        </w:rPr>
        <w:footnoteReference w:id="70"/>
      </w:r>
      <w:r w:rsidRPr="00A639AB">
        <w:rPr>
          <w:rFonts w:ascii="Times" w:eastAsia="Times New Roman" w:hAnsi="Times" w:cs="Times New Roman"/>
          <w:shd w:val="clear" w:color="auto" w:fill="FFFFFF"/>
          <w:lang w:val="en-GB"/>
        </w:rPr>
        <w:t xml:space="preserve"> </w:t>
      </w:r>
    </w:p>
    <w:p w14:paraId="434B6DC0" w14:textId="77777777" w:rsidR="009B1CDA" w:rsidRPr="00A639AB" w:rsidRDefault="009B1CDA" w:rsidP="00F22BA5">
      <w:pPr>
        <w:spacing w:line="480" w:lineRule="auto"/>
        <w:ind w:right="362"/>
        <w:jc w:val="both"/>
        <w:rPr>
          <w:rFonts w:ascii="Times" w:eastAsia="Times New Roman" w:hAnsi="Times" w:cs="Times New Roman"/>
          <w:shd w:val="clear" w:color="auto" w:fill="FFFFFF"/>
          <w:lang w:val="en-GB"/>
        </w:rPr>
      </w:pPr>
    </w:p>
    <w:p w14:paraId="3FBE396A" w14:textId="76D2B8BF" w:rsidR="009B1CDA" w:rsidRPr="00A639AB" w:rsidRDefault="009B1CDA" w:rsidP="00F22BA5">
      <w:pPr>
        <w:spacing w:line="480" w:lineRule="auto"/>
        <w:ind w:right="78"/>
        <w:jc w:val="both"/>
        <w:rPr>
          <w:rFonts w:ascii="Times" w:eastAsia="Times New Roman" w:hAnsi="Times" w:cs="Times New Roman"/>
          <w:shd w:val="clear" w:color="auto" w:fill="FFFFFF"/>
          <w:lang w:val="en-GB"/>
        </w:rPr>
      </w:pPr>
      <w:r w:rsidRPr="00A639AB">
        <w:rPr>
          <w:rFonts w:ascii="Times" w:eastAsia="Times New Roman" w:hAnsi="Times" w:cs="Times New Roman"/>
          <w:shd w:val="clear" w:color="auto" w:fill="FFFFFF"/>
          <w:lang w:val="en-GB"/>
        </w:rPr>
        <w:t xml:space="preserve">Nevertheless, whilst protecting </w:t>
      </w:r>
      <w:r>
        <w:rPr>
          <w:rFonts w:ascii="Times" w:eastAsia="Times New Roman" w:hAnsi="Times" w:cs="Times New Roman"/>
          <w:shd w:val="clear" w:color="auto" w:fill="FFFFFF"/>
          <w:lang w:val="en-GB"/>
        </w:rPr>
        <w:t>collective worker action</w:t>
      </w:r>
      <w:r w:rsidRPr="00A639AB">
        <w:rPr>
          <w:rFonts w:ascii="Times" w:eastAsia="Times New Roman" w:hAnsi="Times" w:cs="Times New Roman"/>
          <w:shd w:val="clear" w:color="auto" w:fill="FFFFFF"/>
          <w:lang w:val="en-GB"/>
        </w:rPr>
        <w:t xml:space="preserve"> from antitrust attack, this ‘statutory labour exemption’ did not clarify whether or not antitrust rules would apply to </w:t>
      </w:r>
      <w:r>
        <w:rPr>
          <w:rFonts w:ascii="Times" w:eastAsia="Times New Roman" w:hAnsi="Times" w:cs="Times New Roman"/>
          <w:shd w:val="clear" w:color="auto" w:fill="FFFFFF"/>
          <w:lang w:val="en-GB"/>
        </w:rPr>
        <w:t>worker</w:t>
      </w:r>
      <w:r w:rsidRPr="00A639AB">
        <w:rPr>
          <w:rFonts w:ascii="Times" w:eastAsia="Times New Roman" w:hAnsi="Times" w:cs="Times New Roman"/>
          <w:shd w:val="clear" w:color="auto" w:fill="FFFFFF"/>
          <w:lang w:val="en-GB"/>
        </w:rPr>
        <w:t xml:space="preserve"> organisations when they act jointly with other parties, most notably with employers, to pursue their objectives. This was rather ironic, since collective bargaining in which </w:t>
      </w:r>
      <w:r>
        <w:rPr>
          <w:rFonts w:ascii="Times" w:eastAsia="Times New Roman" w:hAnsi="Times" w:cs="Times New Roman"/>
          <w:shd w:val="clear" w:color="auto" w:fill="FFFFFF"/>
          <w:lang w:val="en-GB"/>
        </w:rPr>
        <w:t>worker</w:t>
      </w:r>
      <w:r w:rsidRPr="00A639AB">
        <w:rPr>
          <w:rFonts w:ascii="Times" w:eastAsia="Times New Roman" w:hAnsi="Times" w:cs="Times New Roman"/>
          <w:shd w:val="clear" w:color="auto" w:fill="FFFFFF"/>
          <w:lang w:val="en-GB"/>
        </w:rPr>
        <w:t xml:space="preserve"> and employer organisations act jointly </w:t>
      </w:r>
      <w:r w:rsidR="00673BC6" w:rsidRPr="00A639AB">
        <w:rPr>
          <w:rFonts w:ascii="Times" w:eastAsia="Times New Roman" w:hAnsi="Times" w:cs="Times New Roman"/>
          <w:shd w:val="clear" w:color="auto" w:fill="FFFFFF"/>
          <w:lang w:val="en-GB"/>
        </w:rPr>
        <w:t>constitutes</w:t>
      </w:r>
      <w:r w:rsidRPr="00A639AB">
        <w:rPr>
          <w:rFonts w:ascii="Times" w:eastAsia="Times New Roman" w:hAnsi="Times" w:cs="Times New Roman"/>
          <w:shd w:val="clear" w:color="auto" w:fill="FFFFFF"/>
          <w:lang w:val="en-GB"/>
        </w:rPr>
        <w:t xml:space="preserve"> one of the most essential functions of a workers’ union. As a result, after</w:t>
      </w:r>
      <w:r w:rsidR="00023EE7">
        <w:rPr>
          <w:rFonts w:ascii="Times" w:eastAsia="Times New Roman" w:hAnsi="Times" w:cs="Times New Roman"/>
          <w:shd w:val="clear" w:color="auto" w:fill="FFFFFF"/>
          <w:lang w:val="en-GB"/>
        </w:rPr>
        <w:t xml:space="preserve"> the</w:t>
      </w:r>
      <w:r w:rsidRPr="00A639AB">
        <w:rPr>
          <w:rFonts w:ascii="Times" w:eastAsia="Times New Roman" w:hAnsi="Times" w:cs="Times New Roman"/>
          <w:shd w:val="clear" w:color="auto" w:fill="FFFFFF"/>
          <w:lang w:val="en-GB"/>
        </w:rPr>
        <w:t xml:space="preserve"> Clayton Act, the limits of the so-called non-statutory labour exemption that protects joint actions of </w:t>
      </w:r>
      <w:r>
        <w:rPr>
          <w:rFonts w:ascii="Times" w:eastAsia="Times New Roman" w:hAnsi="Times" w:cs="Times New Roman"/>
          <w:shd w:val="clear" w:color="auto" w:fill="FFFFFF"/>
          <w:lang w:val="en-GB"/>
        </w:rPr>
        <w:t>worker</w:t>
      </w:r>
      <w:r w:rsidRPr="00A639AB">
        <w:rPr>
          <w:rFonts w:ascii="Times" w:eastAsia="Times New Roman" w:hAnsi="Times" w:cs="Times New Roman"/>
          <w:shd w:val="clear" w:color="auto" w:fill="FFFFFF"/>
          <w:lang w:val="en-GB"/>
        </w:rPr>
        <w:t xml:space="preserve"> organisations and third parties from antitrust attack became the most fundamental legal question.</w:t>
      </w:r>
      <w:r w:rsidRPr="00A639AB">
        <w:rPr>
          <w:rStyle w:val="FootnoteReference"/>
          <w:rFonts w:ascii="Times" w:eastAsia="Times New Roman" w:hAnsi="Times" w:cs="Times New Roman"/>
          <w:shd w:val="clear" w:color="auto" w:fill="FFFFFF"/>
          <w:lang w:val="en-GB"/>
        </w:rPr>
        <w:footnoteReference w:id="71"/>
      </w:r>
      <w:r w:rsidRPr="00A639AB">
        <w:rPr>
          <w:rFonts w:ascii="Times" w:eastAsia="Times New Roman" w:hAnsi="Times" w:cs="Times New Roman"/>
          <w:shd w:val="clear" w:color="auto" w:fill="FFFFFF"/>
          <w:lang w:val="en-GB"/>
        </w:rPr>
        <w:t xml:space="preserve"> </w:t>
      </w:r>
    </w:p>
    <w:p w14:paraId="7FAD691A" w14:textId="77777777" w:rsidR="009B1CDA" w:rsidRPr="00A639AB" w:rsidRDefault="009B1CDA" w:rsidP="00F22BA5">
      <w:pPr>
        <w:spacing w:line="480" w:lineRule="auto"/>
        <w:ind w:right="78"/>
        <w:jc w:val="both"/>
        <w:rPr>
          <w:rFonts w:ascii="Times" w:eastAsia="Times New Roman" w:hAnsi="Times" w:cs="Times New Roman"/>
          <w:shd w:val="clear" w:color="auto" w:fill="FFFFFF"/>
          <w:lang w:val="en-GB"/>
        </w:rPr>
      </w:pPr>
    </w:p>
    <w:p w14:paraId="3AA6033B" w14:textId="57956746" w:rsidR="00D95FB2" w:rsidRDefault="009B1CDA" w:rsidP="00F22BA5">
      <w:pPr>
        <w:spacing w:line="480" w:lineRule="auto"/>
        <w:ind w:right="78"/>
        <w:jc w:val="both"/>
        <w:rPr>
          <w:rFonts w:ascii="Times" w:eastAsia="Times New Roman" w:hAnsi="Times" w:cs="Times New Roman"/>
          <w:shd w:val="clear" w:color="auto" w:fill="FFFFFF"/>
          <w:lang w:val="en-GB"/>
        </w:rPr>
      </w:pPr>
      <w:r w:rsidRPr="00A639AB">
        <w:rPr>
          <w:rFonts w:ascii="Times" w:eastAsia="Times New Roman" w:hAnsi="Times" w:cs="Times New Roman"/>
          <w:shd w:val="clear" w:color="auto" w:fill="FFFFFF"/>
          <w:lang w:val="en-GB"/>
        </w:rPr>
        <w:t xml:space="preserve">In another case with similar facts to </w:t>
      </w:r>
      <w:r w:rsidRPr="00A639AB">
        <w:rPr>
          <w:rFonts w:ascii="Times" w:eastAsia="Times New Roman" w:hAnsi="Times" w:cs="Times New Roman"/>
          <w:i/>
          <w:shd w:val="clear" w:color="auto" w:fill="FFFFFF"/>
          <w:lang w:val="en-GB"/>
        </w:rPr>
        <w:t>Danbury Hatters</w:t>
      </w:r>
      <w:r w:rsidRPr="00A639AB">
        <w:rPr>
          <w:rFonts w:ascii="Times" w:eastAsia="Times New Roman" w:hAnsi="Times" w:cs="Times New Roman"/>
          <w:shd w:val="clear" w:color="auto" w:fill="FFFFFF"/>
          <w:lang w:val="en-GB"/>
        </w:rPr>
        <w:t xml:space="preserve">, </w:t>
      </w:r>
      <w:r w:rsidR="00023EE7">
        <w:rPr>
          <w:rFonts w:ascii="Times" w:eastAsia="Times New Roman" w:hAnsi="Times" w:cs="Times New Roman"/>
          <w:shd w:val="clear" w:color="auto" w:fill="FFFFFF"/>
          <w:lang w:val="en-GB"/>
        </w:rPr>
        <w:t xml:space="preserve">the </w:t>
      </w:r>
      <w:r w:rsidRPr="00A639AB">
        <w:rPr>
          <w:rFonts w:ascii="Times" w:eastAsia="Times New Roman" w:hAnsi="Times" w:cs="Times New Roman"/>
          <w:shd w:val="clear" w:color="auto" w:fill="FFFFFF"/>
          <w:lang w:val="en-GB"/>
        </w:rPr>
        <w:t xml:space="preserve">Supreme Court interpreted the labour exemption narrowly deciding that a secondary boycott with the intention of creating a closed shop for unionised workers could not escape antitrust liability, </w:t>
      </w:r>
      <w:r w:rsidRPr="00A639AB">
        <w:rPr>
          <w:rFonts w:ascii="Times" w:eastAsia="Times New Roman" w:hAnsi="Times" w:cs="Times New Roman"/>
          <w:shd w:val="clear" w:color="auto" w:fill="FFFFFF"/>
          <w:lang w:val="en-GB"/>
        </w:rPr>
        <w:lastRenderedPageBreak/>
        <w:t xml:space="preserve">because it departed from the ‘normal or legitimate objectives’ of </w:t>
      </w:r>
      <w:r>
        <w:rPr>
          <w:rFonts w:ascii="Times" w:eastAsia="Times New Roman" w:hAnsi="Times" w:cs="Times New Roman"/>
          <w:shd w:val="clear" w:color="auto" w:fill="FFFFFF"/>
          <w:lang w:val="en-GB"/>
        </w:rPr>
        <w:t>worker</w:t>
      </w:r>
      <w:r w:rsidRPr="00A639AB">
        <w:rPr>
          <w:rFonts w:ascii="Times" w:eastAsia="Times New Roman" w:hAnsi="Times" w:cs="Times New Roman"/>
          <w:shd w:val="clear" w:color="auto" w:fill="FFFFFF"/>
          <w:lang w:val="en-GB"/>
        </w:rPr>
        <w:t xml:space="preserve"> organisations.</w:t>
      </w:r>
      <w:r w:rsidRPr="00A639AB">
        <w:rPr>
          <w:rStyle w:val="FootnoteReference"/>
          <w:rFonts w:ascii="Times" w:eastAsia="Times New Roman" w:hAnsi="Times" w:cs="Times New Roman"/>
          <w:shd w:val="clear" w:color="auto" w:fill="FFFFFF"/>
          <w:lang w:val="en-GB"/>
        </w:rPr>
        <w:footnoteReference w:id="72"/>
      </w:r>
      <w:r w:rsidRPr="00A639AB">
        <w:rPr>
          <w:rFonts w:ascii="Times" w:eastAsia="Times New Roman" w:hAnsi="Times" w:cs="Times New Roman"/>
          <w:shd w:val="clear" w:color="auto" w:fill="FFFFFF"/>
          <w:lang w:val="en-GB"/>
        </w:rPr>
        <w:t xml:space="preserve"> </w:t>
      </w:r>
    </w:p>
    <w:p w14:paraId="0DD6C0C8" w14:textId="77777777" w:rsidR="00D95FB2" w:rsidRDefault="00D95FB2" w:rsidP="00F22BA5">
      <w:pPr>
        <w:spacing w:line="480" w:lineRule="auto"/>
        <w:ind w:right="78"/>
        <w:jc w:val="both"/>
        <w:rPr>
          <w:rFonts w:ascii="Times" w:eastAsia="Times New Roman" w:hAnsi="Times" w:cs="Times New Roman"/>
          <w:shd w:val="clear" w:color="auto" w:fill="FFFFFF"/>
          <w:lang w:val="en-GB"/>
        </w:rPr>
      </w:pPr>
    </w:p>
    <w:p w14:paraId="02AE840A" w14:textId="0D067C3D" w:rsidR="009B1CDA" w:rsidRPr="00A639AB" w:rsidRDefault="009B1CDA" w:rsidP="00F22BA5">
      <w:pPr>
        <w:spacing w:line="480" w:lineRule="auto"/>
        <w:ind w:right="78"/>
        <w:jc w:val="both"/>
        <w:rPr>
          <w:rFonts w:ascii="Times" w:eastAsia="Times New Roman" w:hAnsi="Times" w:cs="Times New Roman"/>
          <w:shd w:val="clear" w:color="auto" w:fill="FFFFFF"/>
          <w:lang w:val="en-GB"/>
        </w:rPr>
      </w:pPr>
      <w:r w:rsidRPr="00A639AB">
        <w:rPr>
          <w:rFonts w:ascii="Times" w:eastAsia="Times New Roman" w:hAnsi="Times" w:cs="Times New Roman"/>
          <w:shd w:val="clear" w:color="auto" w:fill="FFFFFF"/>
          <w:lang w:val="en-GB"/>
        </w:rPr>
        <w:t xml:space="preserve">In response to the Court’s restrictive readings of the labour exemption, Congress intervened once again with the Norris-La Guardia Act (1932) and the Wagner Act (1935), which extended the scope of legitimate and legal union activity as part of President Roosevelt’s New Deal package. The purpose of this legal framework was </w:t>
      </w:r>
      <w:r w:rsidRPr="00F54143">
        <w:rPr>
          <w:rFonts w:ascii="Times" w:eastAsia="Times New Roman" w:hAnsi="Times" w:cs="Times New Roman"/>
          <w:iCs/>
          <w:shd w:val="clear" w:color="auto" w:fill="FFFFFF"/>
          <w:lang w:val="en-GB"/>
        </w:rPr>
        <w:t>inter alia</w:t>
      </w:r>
      <w:r w:rsidRPr="00A639AB">
        <w:rPr>
          <w:rFonts w:ascii="Times" w:eastAsia="Times New Roman" w:hAnsi="Times" w:cs="Times New Roman"/>
          <w:shd w:val="clear" w:color="auto" w:fill="FFFFFF"/>
          <w:lang w:val="en-GB"/>
        </w:rPr>
        <w:t xml:space="preserve"> to protect the collective bargaining process from judicial </w:t>
      </w:r>
      <w:r>
        <w:rPr>
          <w:rFonts w:ascii="Times" w:eastAsia="Times New Roman" w:hAnsi="Times" w:cs="Times New Roman"/>
          <w:shd w:val="clear" w:color="auto" w:fill="FFFFFF"/>
          <w:lang w:val="en-GB"/>
        </w:rPr>
        <w:t>intervention</w:t>
      </w:r>
      <w:r w:rsidRPr="00A639AB">
        <w:rPr>
          <w:rFonts w:ascii="Times" w:eastAsia="Times New Roman" w:hAnsi="Times" w:cs="Times New Roman"/>
          <w:shd w:val="clear" w:color="auto" w:fill="FFFFFF"/>
          <w:lang w:val="en-GB"/>
        </w:rPr>
        <w:t>.</w:t>
      </w:r>
    </w:p>
    <w:p w14:paraId="7C0C1CC4" w14:textId="77777777" w:rsidR="009B1CDA" w:rsidRPr="00A639AB" w:rsidRDefault="009B1CDA" w:rsidP="00F22BA5">
      <w:pPr>
        <w:spacing w:line="480" w:lineRule="auto"/>
        <w:ind w:right="78"/>
        <w:jc w:val="both"/>
        <w:rPr>
          <w:rFonts w:ascii="Times" w:eastAsia="Times New Roman" w:hAnsi="Times" w:cs="Times New Roman"/>
          <w:shd w:val="clear" w:color="auto" w:fill="FFFFFF"/>
          <w:lang w:val="en-GB"/>
        </w:rPr>
      </w:pPr>
    </w:p>
    <w:p w14:paraId="77B880B1" w14:textId="04F26004" w:rsidR="009B1CDA" w:rsidRPr="00A639AB" w:rsidRDefault="009B1CDA" w:rsidP="00F22BA5">
      <w:pPr>
        <w:spacing w:line="480" w:lineRule="auto"/>
        <w:ind w:right="78"/>
        <w:jc w:val="both"/>
        <w:rPr>
          <w:rFonts w:ascii="Times" w:eastAsia="Times New Roman" w:hAnsi="Times" w:cs="Times New Roman"/>
          <w:shd w:val="clear" w:color="auto" w:fill="FFFFFF"/>
          <w:lang w:val="en-GB"/>
        </w:rPr>
      </w:pPr>
      <w:r w:rsidRPr="00A639AB">
        <w:rPr>
          <w:rFonts w:ascii="Times" w:eastAsia="Times New Roman" w:hAnsi="Times" w:cs="Times New Roman"/>
          <w:shd w:val="clear" w:color="auto" w:fill="FFFFFF"/>
          <w:lang w:val="en-GB"/>
        </w:rPr>
        <w:t xml:space="preserve">In response, in </w:t>
      </w:r>
      <w:r w:rsidRPr="00A639AB">
        <w:rPr>
          <w:rFonts w:ascii="Times" w:eastAsia="Times New Roman" w:hAnsi="Times" w:cs="Times New Roman"/>
          <w:i/>
          <w:shd w:val="clear" w:color="auto" w:fill="FFFFFF"/>
          <w:lang w:val="en-GB"/>
        </w:rPr>
        <w:t>Hutcheson</w:t>
      </w:r>
      <w:r w:rsidRPr="00A639AB">
        <w:rPr>
          <w:rFonts w:ascii="Times" w:eastAsia="Times New Roman" w:hAnsi="Times" w:cs="Times New Roman"/>
          <w:shd w:val="clear" w:color="auto" w:fill="FFFFFF"/>
          <w:lang w:val="en-GB"/>
        </w:rPr>
        <w:t xml:space="preserve"> the Supreme Court decided that the labour exemption not only cover</w:t>
      </w:r>
      <w:r>
        <w:rPr>
          <w:rFonts w:ascii="Times" w:eastAsia="Times New Roman" w:hAnsi="Times" w:cs="Times New Roman"/>
          <w:shd w:val="clear" w:color="auto" w:fill="FFFFFF"/>
          <w:lang w:val="en-GB"/>
        </w:rPr>
        <w:t>ed the immediate worker</w:t>
      </w:r>
      <w:r w:rsidR="006700A1">
        <w:rPr>
          <w:rFonts w:ascii="Times" w:eastAsia="Times New Roman" w:hAnsi="Times" w:cs="Times"/>
          <w:shd w:val="clear" w:color="auto" w:fill="FFFFFF"/>
          <w:lang w:val="en-GB"/>
        </w:rPr>
        <w:t>–</w:t>
      </w:r>
      <w:r>
        <w:rPr>
          <w:rFonts w:ascii="Times" w:eastAsia="Times New Roman" w:hAnsi="Times" w:cs="Times New Roman"/>
          <w:shd w:val="clear" w:color="auto" w:fill="FFFFFF"/>
          <w:lang w:val="en-GB"/>
        </w:rPr>
        <w:t>employer</w:t>
      </w:r>
      <w:r w:rsidRPr="00A639AB">
        <w:rPr>
          <w:rFonts w:ascii="Times" w:eastAsia="Times New Roman" w:hAnsi="Times" w:cs="Times New Roman"/>
          <w:shd w:val="clear" w:color="auto" w:fill="FFFFFF"/>
          <w:lang w:val="en-GB"/>
        </w:rPr>
        <w:t xml:space="preserve"> relationship but also secondary boycotts and similar acts as long as the unions acted in their own self-interest and did not combine with non-labour groups.</w:t>
      </w:r>
      <w:r w:rsidRPr="00A639AB">
        <w:rPr>
          <w:rStyle w:val="FootnoteReference"/>
          <w:rFonts w:ascii="Times" w:eastAsia="Times New Roman" w:hAnsi="Times" w:cs="Times New Roman"/>
          <w:shd w:val="clear" w:color="auto" w:fill="FFFFFF"/>
          <w:lang w:val="en-GB"/>
        </w:rPr>
        <w:footnoteReference w:id="73"/>
      </w:r>
      <w:r w:rsidRPr="00A639AB">
        <w:rPr>
          <w:rFonts w:ascii="Times" w:eastAsia="Times New Roman" w:hAnsi="Times" w:cs="Times New Roman"/>
          <w:shd w:val="clear" w:color="auto" w:fill="FFFFFF"/>
          <w:lang w:val="en-GB"/>
        </w:rPr>
        <w:t>In the following decades, the Court’s interpretation of the labour exemption was not entirely consistent</w:t>
      </w:r>
      <w:r w:rsidR="006700A1">
        <w:rPr>
          <w:rFonts w:ascii="Times" w:eastAsia="Times New Roman" w:hAnsi="Times" w:cs="Times New Roman"/>
          <w:shd w:val="clear" w:color="auto" w:fill="FFFFFF"/>
          <w:lang w:val="en-GB"/>
        </w:rPr>
        <w:t>,</w:t>
      </w:r>
      <w:r w:rsidRPr="00A639AB">
        <w:rPr>
          <w:rFonts w:ascii="Times" w:eastAsia="Times New Roman" w:hAnsi="Times" w:cs="Times New Roman"/>
          <w:shd w:val="clear" w:color="auto" w:fill="FFFFFF"/>
          <w:lang w:val="en-GB"/>
        </w:rPr>
        <w:t xml:space="preserve"> and was at times considerably restrictive despite the legislative support for collective </w:t>
      </w:r>
      <w:r>
        <w:rPr>
          <w:rFonts w:ascii="Times" w:eastAsia="Times New Roman" w:hAnsi="Times" w:cs="Times New Roman"/>
          <w:shd w:val="clear" w:color="auto" w:fill="FFFFFF"/>
          <w:lang w:val="en-GB"/>
        </w:rPr>
        <w:t>worker</w:t>
      </w:r>
      <w:r w:rsidRPr="00A639AB">
        <w:rPr>
          <w:rFonts w:ascii="Times" w:eastAsia="Times New Roman" w:hAnsi="Times" w:cs="Times New Roman"/>
          <w:shd w:val="clear" w:color="auto" w:fill="FFFFFF"/>
          <w:lang w:val="en-GB"/>
        </w:rPr>
        <w:t xml:space="preserve"> action. The Court’s approach became particularly conservative after the political support for </w:t>
      </w:r>
      <w:r>
        <w:rPr>
          <w:rFonts w:ascii="Times" w:eastAsia="Times New Roman" w:hAnsi="Times" w:cs="Times New Roman"/>
          <w:shd w:val="clear" w:color="auto" w:fill="FFFFFF"/>
          <w:lang w:val="en-GB"/>
        </w:rPr>
        <w:t>collective worker action</w:t>
      </w:r>
      <w:r w:rsidRPr="00A639AB">
        <w:rPr>
          <w:rFonts w:ascii="Times" w:eastAsia="Times New Roman" w:hAnsi="Times" w:cs="Times New Roman"/>
          <w:shd w:val="clear" w:color="auto" w:fill="FFFFFF"/>
          <w:lang w:val="en-GB"/>
        </w:rPr>
        <w:t xml:space="preserve"> diminished once President Roosevelt left office and the extensive legal protection provided to collective worker action was partially withdrawn with the Taft-Hartley Act (1947).</w:t>
      </w:r>
      <w:r w:rsidRPr="00A639AB">
        <w:rPr>
          <w:rStyle w:val="FootnoteReference"/>
          <w:rFonts w:ascii="Times" w:eastAsia="Times New Roman" w:hAnsi="Times" w:cs="Times New Roman"/>
          <w:shd w:val="clear" w:color="auto" w:fill="FFFFFF"/>
          <w:lang w:val="en-GB"/>
        </w:rPr>
        <w:footnoteReference w:id="74"/>
      </w:r>
      <w:r w:rsidRPr="00A639AB">
        <w:rPr>
          <w:rFonts w:ascii="Times" w:eastAsia="Times New Roman" w:hAnsi="Times" w:cs="Times New Roman"/>
          <w:shd w:val="clear" w:color="auto" w:fill="FFFFFF"/>
          <w:lang w:val="en-GB"/>
        </w:rPr>
        <w:t xml:space="preserve"> </w:t>
      </w:r>
    </w:p>
    <w:p w14:paraId="7C2DF005" w14:textId="77777777" w:rsidR="009B1CDA" w:rsidRPr="00A639AB" w:rsidRDefault="009B1CDA" w:rsidP="00F22BA5">
      <w:pPr>
        <w:spacing w:line="480" w:lineRule="auto"/>
        <w:jc w:val="both"/>
        <w:rPr>
          <w:rFonts w:ascii="Times" w:eastAsia="Times New Roman" w:hAnsi="Times" w:cs="Times New Roman"/>
          <w:shd w:val="clear" w:color="auto" w:fill="FFFFFF"/>
          <w:lang w:val="en-GB"/>
        </w:rPr>
      </w:pPr>
    </w:p>
    <w:p w14:paraId="095DFB69" w14:textId="31B76C20" w:rsidR="009B1CDA" w:rsidRPr="00A639AB" w:rsidRDefault="009B1CDA" w:rsidP="00F22BA5">
      <w:pPr>
        <w:spacing w:line="480" w:lineRule="auto"/>
        <w:jc w:val="both"/>
        <w:rPr>
          <w:rFonts w:ascii="Times" w:eastAsia="Times New Roman" w:hAnsi="Times" w:cs="Times New Roman"/>
          <w:shd w:val="clear" w:color="auto" w:fill="FFFFFF"/>
          <w:lang w:val="en-GB"/>
        </w:rPr>
      </w:pPr>
      <w:r w:rsidRPr="00A639AB">
        <w:rPr>
          <w:rFonts w:ascii="Times" w:eastAsia="Times New Roman" w:hAnsi="Times" w:cs="Times New Roman"/>
          <w:shd w:val="clear" w:color="auto" w:fill="FFFFFF"/>
          <w:lang w:val="en-GB"/>
        </w:rPr>
        <w:lastRenderedPageBreak/>
        <w:t xml:space="preserve">In </w:t>
      </w:r>
      <w:r w:rsidRPr="00A639AB">
        <w:rPr>
          <w:rFonts w:ascii="Times" w:eastAsia="Times New Roman" w:hAnsi="Times" w:cs="Times New Roman"/>
          <w:i/>
          <w:shd w:val="clear" w:color="auto" w:fill="FFFFFF"/>
          <w:lang w:val="en-GB"/>
        </w:rPr>
        <w:t>Apex Hosiery</w:t>
      </w:r>
      <w:r w:rsidRPr="00A639AB">
        <w:rPr>
          <w:rFonts w:ascii="Times" w:eastAsia="Times New Roman" w:hAnsi="Times" w:cs="Times New Roman"/>
          <w:shd w:val="clear" w:color="auto" w:fill="FFFFFF"/>
          <w:lang w:val="en-GB"/>
        </w:rPr>
        <w:t xml:space="preserve"> the Court decided that a sit-down strike against the employer was not a violation of the Sherman Act, because although ‘an elimination of price competition based on differences in labour standards [was] the objective of any labour organisation’, this type of restraint had not been shown to have actual or intended effect on price competition.</w:t>
      </w:r>
      <w:r w:rsidRPr="00A639AB">
        <w:rPr>
          <w:rStyle w:val="FootnoteReference"/>
          <w:rFonts w:ascii="Times" w:eastAsia="Times New Roman" w:hAnsi="Times" w:cs="Times New Roman"/>
          <w:shd w:val="clear" w:color="auto" w:fill="FFFFFF"/>
          <w:lang w:val="en-GB"/>
        </w:rPr>
        <w:footnoteReference w:id="75"/>
      </w:r>
      <w:r w:rsidRPr="00A639AB">
        <w:rPr>
          <w:rFonts w:ascii="Times" w:eastAsia="Times New Roman" w:hAnsi="Times" w:cs="Times New Roman"/>
          <w:shd w:val="clear" w:color="auto" w:fill="FFFFFF"/>
          <w:lang w:val="en-GB"/>
        </w:rPr>
        <w:t xml:space="preserve"> The Court stated that to be found illegal under the Sherman Act the ‘conspiracy and combination must be aimed or directed at the kind of restraint which the Act prohibits’</w:t>
      </w:r>
      <w:r w:rsidRPr="00A639AB">
        <w:rPr>
          <w:rStyle w:val="FootnoteReference"/>
          <w:rFonts w:ascii="Times" w:eastAsia="Times New Roman" w:hAnsi="Times" w:cs="Times New Roman"/>
          <w:shd w:val="clear" w:color="auto" w:fill="FFFFFF"/>
          <w:lang w:val="en-GB"/>
        </w:rPr>
        <w:footnoteReference w:id="76"/>
      </w:r>
      <w:r w:rsidRPr="00A639AB">
        <w:rPr>
          <w:rFonts w:ascii="Times" w:eastAsia="Times New Roman" w:hAnsi="Times" w:cs="Times New Roman"/>
          <w:shd w:val="clear" w:color="auto" w:fill="FFFFFF"/>
          <w:lang w:val="en-GB"/>
        </w:rPr>
        <w:t xml:space="preserve"> implicitly recognising the effect on prices as a necessary requisite for the withdrawal of labour exemption. Although the Court did not withdraw the labour exemption in this case, establishing a direct relationship between price competition and the labour exemption did not make legal sense, because actions that do not affect competition do not fall within the scope of</w:t>
      </w:r>
      <w:r w:rsidR="00A273CE">
        <w:rPr>
          <w:rFonts w:ascii="Times" w:eastAsia="Times New Roman" w:hAnsi="Times" w:cs="Times New Roman"/>
          <w:shd w:val="clear" w:color="auto" w:fill="FFFFFF"/>
          <w:lang w:val="en-GB"/>
        </w:rPr>
        <w:t xml:space="preserve"> the</w:t>
      </w:r>
      <w:r w:rsidRPr="00A639AB">
        <w:rPr>
          <w:rFonts w:ascii="Times" w:eastAsia="Times New Roman" w:hAnsi="Times" w:cs="Times New Roman"/>
          <w:shd w:val="clear" w:color="auto" w:fill="FFFFFF"/>
          <w:lang w:val="en-GB"/>
        </w:rPr>
        <w:t xml:space="preserve"> Sherman Act in the first place. Also in the case, the Court explicitly referred to the ‘sale of the employee’s services to the employer’ and the effects of this on price competition against the text and the spirit of the Clayton Act, which declares that the labour of a human is not a commodity.</w:t>
      </w:r>
      <w:r w:rsidRPr="00A639AB">
        <w:rPr>
          <w:rStyle w:val="FootnoteReference"/>
          <w:rFonts w:ascii="Times" w:eastAsia="Times New Roman" w:hAnsi="Times" w:cs="Times New Roman"/>
          <w:shd w:val="clear" w:color="auto" w:fill="FFFFFF"/>
          <w:lang w:val="en-GB"/>
        </w:rPr>
        <w:footnoteReference w:id="77"/>
      </w:r>
      <w:r w:rsidRPr="00A639AB">
        <w:rPr>
          <w:rFonts w:ascii="Times" w:eastAsia="Times New Roman" w:hAnsi="Times" w:cs="Times New Roman"/>
          <w:shd w:val="clear" w:color="auto" w:fill="FFFFFF"/>
          <w:lang w:val="en-GB"/>
        </w:rPr>
        <w:t xml:space="preserve"> </w:t>
      </w:r>
    </w:p>
    <w:p w14:paraId="7582ADE7" w14:textId="77777777" w:rsidR="009B1CDA" w:rsidRPr="00A639AB" w:rsidRDefault="009B1CDA" w:rsidP="00F22BA5">
      <w:pPr>
        <w:spacing w:line="480" w:lineRule="auto"/>
        <w:jc w:val="both"/>
        <w:rPr>
          <w:rFonts w:ascii="Times" w:eastAsia="Times New Roman" w:hAnsi="Times" w:cs="Times New Roman"/>
          <w:shd w:val="clear" w:color="auto" w:fill="FFFFFF"/>
          <w:lang w:val="en-GB"/>
        </w:rPr>
      </w:pPr>
    </w:p>
    <w:p w14:paraId="3156710D" w14:textId="0DC0372F" w:rsidR="009B1CDA" w:rsidRPr="00A639AB" w:rsidRDefault="009B1CDA" w:rsidP="00F22BA5">
      <w:pPr>
        <w:spacing w:line="480" w:lineRule="auto"/>
        <w:jc w:val="both"/>
        <w:rPr>
          <w:rFonts w:ascii="Times" w:eastAsia="Times New Roman" w:hAnsi="Times" w:cs="Times New Roman"/>
          <w:shd w:val="clear" w:color="auto" w:fill="FFFFFF"/>
          <w:lang w:val="en-GB"/>
        </w:rPr>
      </w:pPr>
      <w:r w:rsidRPr="00A639AB">
        <w:rPr>
          <w:rFonts w:ascii="Times" w:eastAsia="Times New Roman" w:hAnsi="Times" w:cs="Times New Roman"/>
          <w:shd w:val="clear" w:color="auto" w:fill="FFFFFF"/>
          <w:lang w:val="en-GB"/>
        </w:rPr>
        <w:t xml:space="preserve">In </w:t>
      </w:r>
      <w:r w:rsidRPr="00A639AB">
        <w:rPr>
          <w:rFonts w:ascii="Times" w:eastAsia="Times New Roman" w:hAnsi="Times" w:cs="Times New Roman"/>
          <w:i/>
          <w:shd w:val="clear" w:color="auto" w:fill="FFFFFF"/>
          <w:lang w:val="en-GB"/>
        </w:rPr>
        <w:t>Allen Bradley</w:t>
      </w:r>
      <w:r w:rsidRPr="00A639AB">
        <w:rPr>
          <w:rFonts w:ascii="Times" w:eastAsia="Times New Roman" w:hAnsi="Times" w:cs="Times New Roman"/>
          <w:shd w:val="clear" w:color="auto" w:fill="FFFFFF"/>
          <w:lang w:val="en-GB"/>
        </w:rPr>
        <w:t xml:space="preserve"> the Court condemned a closed shop agreement imposing a condition on employers to only do business with other employers who are also running a closed shop. According to the Court ‘the Congress never intended that Unions could, consistently with the Sherman Act, aid non-labour groups to create business monopolies and to control the marketing of goods and services.’</w:t>
      </w:r>
      <w:r w:rsidRPr="00A639AB">
        <w:rPr>
          <w:rStyle w:val="FootnoteReference"/>
          <w:rFonts w:ascii="Times" w:eastAsia="Times New Roman" w:hAnsi="Times" w:cs="Times New Roman"/>
          <w:shd w:val="clear" w:color="auto" w:fill="FFFFFF"/>
          <w:lang w:val="en-GB"/>
        </w:rPr>
        <w:footnoteReference w:id="78"/>
      </w:r>
      <w:r w:rsidRPr="00A639AB">
        <w:rPr>
          <w:rFonts w:ascii="Times" w:eastAsia="Times New Roman" w:hAnsi="Times" w:cs="Times New Roman"/>
          <w:shd w:val="clear" w:color="auto" w:fill="FFFFFF"/>
          <w:lang w:val="en-GB"/>
        </w:rPr>
        <w:t xml:space="preserve"> In the similar case </w:t>
      </w:r>
      <w:r w:rsidRPr="00A639AB">
        <w:rPr>
          <w:rFonts w:ascii="Times" w:eastAsia="Times New Roman" w:hAnsi="Times" w:cs="Times New Roman"/>
          <w:shd w:val="clear" w:color="auto" w:fill="FFFFFF"/>
          <w:lang w:val="en-GB"/>
        </w:rPr>
        <w:lastRenderedPageBreak/>
        <w:t xml:space="preserve">of </w:t>
      </w:r>
      <w:r w:rsidRPr="00A639AB">
        <w:rPr>
          <w:rFonts w:ascii="Times" w:eastAsia="Times New Roman" w:hAnsi="Times" w:cs="Times New Roman"/>
          <w:i/>
          <w:shd w:val="clear" w:color="auto" w:fill="FFFFFF"/>
          <w:lang w:val="en-GB"/>
        </w:rPr>
        <w:t>Pennington</w:t>
      </w:r>
      <w:r w:rsidRPr="00A639AB">
        <w:rPr>
          <w:rFonts w:ascii="Times" w:eastAsia="Times New Roman" w:hAnsi="Times" w:cs="Times New Roman"/>
          <w:shd w:val="clear" w:color="auto" w:fill="FFFFFF"/>
          <w:lang w:val="en-GB"/>
        </w:rPr>
        <w:t>, the union considered that in the shadow of the declining coal industry it would be in the workers’ best interest</w:t>
      </w:r>
      <w:r w:rsidR="006700A1">
        <w:rPr>
          <w:rFonts w:ascii="Times" w:eastAsia="Times New Roman" w:hAnsi="Times" w:cs="Times New Roman"/>
          <w:shd w:val="clear" w:color="auto" w:fill="FFFFFF"/>
          <w:lang w:val="en-GB"/>
        </w:rPr>
        <w:t>s</w:t>
      </w:r>
      <w:r w:rsidRPr="00A639AB">
        <w:rPr>
          <w:rFonts w:ascii="Times" w:eastAsia="Times New Roman" w:hAnsi="Times" w:cs="Times New Roman"/>
          <w:shd w:val="clear" w:color="auto" w:fill="FFFFFF"/>
          <w:lang w:val="en-GB"/>
        </w:rPr>
        <w:t xml:space="preserve"> if only those employers able to pay higher wages </w:t>
      </w:r>
      <w:r w:rsidR="00A273CE">
        <w:rPr>
          <w:rFonts w:ascii="Times" w:eastAsia="Times New Roman" w:hAnsi="Times" w:cs="Times New Roman"/>
          <w:shd w:val="clear" w:color="auto" w:fill="FFFFFF"/>
          <w:lang w:val="en-GB"/>
        </w:rPr>
        <w:t xml:space="preserve">were to </w:t>
      </w:r>
      <w:r w:rsidRPr="00A639AB">
        <w:rPr>
          <w:rFonts w:ascii="Times" w:eastAsia="Times New Roman" w:hAnsi="Times" w:cs="Times New Roman"/>
          <w:shd w:val="clear" w:color="auto" w:fill="FFFFFF"/>
          <w:lang w:val="en-GB"/>
        </w:rPr>
        <w:t>stay in the market. Accordingly, the union collaborated with those employers against the sale of non-union coal.</w:t>
      </w:r>
      <w:r w:rsidRPr="00A639AB">
        <w:rPr>
          <w:rStyle w:val="FootnoteReference"/>
          <w:rFonts w:ascii="Times" w:eastAsia="Times New Roman" w:hAnsi="Times" w:cs="Times New Roman"/>
          <w:shd w:val="clear" w:color="auto" w:fill="FFFFFF"/>
          <w:lang w:val="en-GB"/>
        </w:rPr>
        <w:footnoteReference w:id="79"/>
      </w:r>
      <w:r w:rsidRPr="00A639AB">
        <w:rPr>
          <w:rFonts w:ascii="Times" w:eastAsia="Times New Roman" w:hAnsi="Times" w:cs="Times New Roman"/>
          <w:shd w:val="clear" w:color="auto" w:fill="FFFFFF"/>
          <w:lang w:val="en-GB"/>
        </w:rPr>
        <w:t xml:space="preserve"> The Court withdrew the labour exemption in this case, because the restraint on the product market was ‘direct and immediate’ and of the type ‘characteristically deemed unreasonable under the Sherman Act’.</w:t>
      </w:r>
      <w:r w:rsidRPr="00A639AB">
        <w:rPr>
          <w:rStyle w:val="FootnoteReference"/>
          <w:rFonts w:ascii="Times" w:eastAsia="Times New Roman" w:hAnsi="Times" w:cs="Times New Roman"/>
          <w:shd w:val="clear" w:color="auto" w:fill="FFFFFF"/>
          <w:lang w:val="en-GB"/>
        </w:rPr>
        <w:footnoteReference w:id="80"/>
      </w:r>
      <w:r w:rsidRPr="00A639AB">
        <w:rPr>
          <w:rFonts w:ascii="Times" w:eastAsia="Times New Roman" w:hAnsi="Times" w:cs="Times New Roman"/>
          <w:shd w:val="clear" w:color="auto" w:fill="FFFFFF"/>
          <w:lang w:val="en-GB"/>
        </w:rPr>
        <w:t xml:space="preserve"> This was followed by the </w:t>
      </w:r>
      <w:r w:rsidRPr="00A639AB">
        <w:rPr>
          <w:rFonts w:ascii="Times" w:eastAsia="Times New Roman" w:hAnsi="Times" w:cs="Times New Roman"/>
          <w:i/>
          <w:shd w:val="clear" w:color="auto" w:fill="FFFFFF"/>
          <w:lang w:val="en-GB"/>
        </w:rPr>
        <w:t>Meat Cutters</w:t>
      </w:r>
      <w:r w:rsidRPr="00A639AB">
        <w:rPr>
          <w:rFonts w:ascii="Times" w:eastAsia="Times New Roman" w:hAnsi="Times" w:cs="Times New Roman"/>
          <w:shd w:val="clear" w:color="auto" w:fill="FFFFFF"/>
          <w:lang w:val="en-GB"/>
        </w:rPr>
        <w:t xml:space="preserve"> case in which the Court decided that the union workers’ refusal to work at certain times could not be considered a violation of </w:t>
      </w:r>
      <w:r w:rsidR="006700A1">
        <w:rPr>
          <w:rFonts w:ascii="Times" w:eastAsia="Times New Roman" w:hAnsi="Times" w:cs="Times New Roman"/>
          <w:shd w:val="clear" w:color="auto" w:fill="FFFFFF"/>
          <w:lang w:val="en-GB"/>
        </w:rPr>
        <w:t xml:space="preserve">the </w:t>
      </w:r>
      <w:r w:rsidRPr="00A639AB">
        <w:rPr>
          <w:rFonts w:ascii="Times" w:eastAsia="Times New Roman" w:hAnsi="Times" w:cs="Times New Roman"/>
          <w:shd w:val="clear" w:color="auto" w:fill="FFFFFF"/>
          <w:lang w:val="en-GB"/>
        </w:rPr>
        <w:t>Sherman Act</w:t>
      </w:r>
      <w:r w:rsidR="006700A1">
        <w:rPr>
          <w:rFonts w:ascii="Times" w:eastAsia="Times New Roman" w:hAnsi="Times" w:cs="Times New Roman"/>
          <w:shd w:val="clear" w:color="auto" w:fill="FFFFFF"/>
          <w:lang w:val="en-GB"/>
        </w:rPr>
        <w:t>,</w:t>
      </w:r>
      <w:r w:rsidRPr="00A639AB">
        <w:rPr>
          <w:rFonts w:ascii="Times" w:eastAsia="Times New Roman" w:hAnsi="Times" w:cs="Times New Roman"/>
          <w:shd w:val="clear" w:color="auto" w:fill="FFFFFF"/>
          <w:lang w:val="en-GB"/>
        </w:rPr>
        <w:t xml:space="preserve"> emphasising that in this case the union achieved its objective </w:t>
      </w:r>
      <w:r w:rsidRPr="00A639AB">
        <w:rPr>
          <w:rFonts w:ascii="Times" w:eastAsia="Times New Roman" w:hAnsi="Times" w:cs="Times New Roman"/>
          <w:i/>
          <w:shd w:val="clear" w:color="auto" w:fill="FFFFFF"/>
          <w:lang w:val="en-GB"/>
        </w:rPr>
        <w:t>on its own</w:t>
      </w:r>
      <w:r w:rsidRPr="00A639AB">
        <w:rPr>
          <w:rFonts w:ascii="Times" w:eastAsia="Times New Roman" w:hAnsi="Times" w:cs="Times New Roman"/>
          <w:shd w:val="clear" w:color="auto" w:fill="FFFFFF"/>
          <w:lang w:val="en-GB"/>
        </w:rPr>
        <w:t xml:space="preserve"> and </w:t>
      </w:r>
      <w:r w:rsidRPr="00A639AB">
        <w:rPr>
          <w:rFonts w:ascii="Times" w:eastAsia="Times New Roman" w:hAnsi="Times" w:cs="Times New Roman"/>
          <w:i/>
          <w:shd w:val="clear" w:color="auto" w:fill="FFFFFF"/>
          <w:lang w:val="en-GB"/>
        </w:rPr>
        <w:t>not in collaboration with others</w:t>
      </w:r>
      <w:r w:rsidRPr="00A639AB">
        <w:rPr>
          <w:rFonts w:ascii="Times" w:eastAsia="Times New Roman" w:hAnsi="Times" w:cs="Times New Roman"/>
          <w:shd w:val="clear" w:color="auto" w:fill="FFFFFF"/>
          <w:lang w:val="en-GB"/>
        </w:rPr>
        <w:t>.</w:t>
      </w:r>
      <w:r w:rsidRPr="00A639AB">
        <w:rPr>
          <w:rStyle w:val="FootnoteReference"/>
          <w:rFonts w:ascii="Times" w:eastAsia="Times New Roman" w:hAnsi="Times" w:cs="Times New Roman"/>
          <w:shd w:val="clear" w:color="auto" w:fill="FFFFFF"/>
          <w:lang w:val="en-GB"/>
        </w:rPr>
        <w:footnoteReference w:id="81"/>
      </w:r>
    </w:p>
    <w:p w14:paraId="5C3BDC8F" w14:textId="77777777" w:rsidR="009B1CDA" w:rsidRPr="00A639AB" w:rsidRDefault="009B1CDA" w:rsidP="00F22BA5">
      <w:pPr>
        <w:spacing w:line="480" w:lineRule="auto"/>
        <w:jc w:val="both"/>
        <w:rPr>
          <w:rFonts w:ascii="Times" w:eastAsia="Times New Roman" w:hAnsi="Times" w:cs="Times New Roman"/>
          <w:shd w:val="clear" w:color="auto" w:fill="FFFFFF"/>
          <w:lang w:val="en-GB"/>
        </w:rPr>
      </w:pPr>
    </w:p>
    <w:p w14:paraId="7F8935CF" w14:textId="65F80EF3" w:rsidR="009B1CDA" w:rsidRDefault="009B1CDA" w:rsidP="00F22BA5">
      <w:pPr>
        <w:spacing w:line="480" w:lineRule="auto"/>
        <w:jc w:val="both"/>
        <w:rPr>
          <w:rFonts w:ascii="Times" w:eastAsia="Times New Roman" w:hAnsi="Times" w:cs="Times New Roman"/>
          <w:shd w:val="clear" w:color="auto" w:fill="FFFFFF"/>
          <w:lang w:val="en-GB"/>
        </w:rPr>
      </w:pPr>
      <w:r w:rsidRPr="00A639AB">
        <w:rPr>
          <w:rFonts w:ascii="Times" w:eastAsia="Times New Roman" w:hAnsi="Times" w:cs="Times New Roman"/>
          <w:shd w:val="clear" w:color="auto" w:fill="FFFFFF"/>
          <w:lang w:val="en-GB"/>
        </w:rPr>
        <w:t xml:space="preserve">In the case of </w:t>
      </w:r>
      <w:r w:rsidRPr="00A639AB">
        <w:rPr>
          <w:rFonts w:ascii="Times" w:eastAsia="Times New Roman" w:hAnsi="Times" w:cs="Times New Roman"/>
          <w:i/>
          <w:shd w:val="clear" w:color="auto" w:fill="FFFFFF"/>
          <w:lang w:val="en-GB"/>
        </w:rPr>
        <w:t>Connell Construction</w:t>
      </w:r>
      <w:r w:rsidR="006700A1">
        <w:rPr>
          <w:rFonts w:ascii="Times" w:eastAsia="Times New Roman" w:hAnsi="Times" w:cs="Times New Roman"/>
          <w:i/>
          <w:shd w:val="clear" w:color="auto" w:fill="FFFFFF"/>
          <w:lang w:val="en-GB"/>
        </w:rPr>
        <w:t>,</w:t>
      </w:r>
      <w:r w:rsidRPr="00A639AB">
        <w:rPr>
          <w:rStyle w:val="FootnoteReference"/>
          <w:rFonts w:ascii="Times" w:eastAsia="Times New Roman" w:hAnsi="Times" w:cs="Times New Roman"/>
          <w:shd w:val="clear" w:color="auto" w:fill="FFFFFF"/>
          <w:lang w:val="en-GB"/>
        </w:rPr>
        <w:footnoteReference w:id="82"/>
      </w:r>
      <w:r w:rsidRPr="00A639AB">
        <w:rPr>
          <w:rFonts w:ascii="Times" w:eastAsia="Times New Roman" w:hAnsi="Times" w:cs="Times New Roman"/>
          <w:shd w:val="clear" w:color="auto" w:fill="FFFFFF"/>
          <w:lang w:val="en-GB"/>
        </w:rPr>
        <w:t xml:space="preserve"> following a more conservative approach than previous cases such as </w:t>
      </w:r>
      <w:r w:rsidRPr="00A639AB">
        <w:rPr>
          <w:rFonts w:ascii="Times" w:eastAsia="Times New Roman" w:hAnsi="Times" w:cs="Times New Roman"/>
          <w:i/>
          <w:shd w:val="clear" w:color="auto" w:fill="FFFFFF"/>
          <w:lang w:val="en-GB"/>
        </w:rPr>
        <w:t>Hutcheson</w:t>
      </w:r>
      <w:r w:rsidRPr="00A639AB">
        <w:rPr>
          <w:rFonts w:ascii="Times" w:eastAsia="Times New Roman" w:hAnsi="Times" w:cs="Times New Roman"/>
          <w:shd w:val="clear" w:color="auto" w:fill="FFFFFF"/>
          <w:lang w:val="en-GB"/>
        </w:rPr>
        <w:t xml:space="preserve">, the Court condemned an agreement between the union and a contractor in which the contractor agreed to deal only with mechanical sub-contractors who </w:t>
      </w:r>
      <w:r w:rsidR="006700A1">
        <w:rPr>
          <w:rFonts w:ascii="Times" w:eastAsia="Times New Roman" w:hAnsi="Times" w:cs="Times New Roman"/>
          <w:shd w:val="clear" w:color="auto" w:fill="FFFFFF"/>
          <w:lang w:val="en-GB"/>
        </w:rPr>
        <w:t>we</w:t>
      </w:r>
      <w:r w:rsidRPr="00A639AB">
        <w:rPr>
          <w:rFonts w:ascii="Times" w:eastAsia="Times New Roman" w:hAnsi="Times" w:cs="Times New Roman"/>
          <w:shd w:val="clear" w:color="auto" w:fill="FFFFFF"/>
          <w:lang w:val="en-GB"/>
        </w:rPr>
        <w:t>re part</w:t>
      </w:r>
      <w:r w:rsidR="006700A1">
        <w:rPr>
          <w:rFonts w:ascii="Times" w:eastAsia="Times New Roman" w:hAnsi="Times" w:cs="Times New Roman"/>
          <w:shd w:val="clear" w:color="auto" w:fill="FFFFFF"/>
          <w:lang w:val="en-GB"/>
        </w:rPr>
        <w:t>y</w:t>
      </w:r>
      <w:r w:rsidRPr="00A639AB">
        <w:rPr>
          <w:rFonts w:ascii="Times" w:eastAsia="Times New Roman" w:hAnsi="Times" w:cs="Times New Roman"/>
          <w:shd w:val="clear" w:color="auto" w:fill="FFFFFF"/>
          <w:lang w:val="en-GB"/>
        </w:rPr>
        <w:t xml:space="preserve"> to the union’s multi-employer collective bargaining agreement. In this case, the Court did not take into consideration whether the union followed its own legitimate objectives whilst taking collective action with the employer. In his dissent Justice Douglas argued that even if there was a violation in </w:t>
      </w:r>
      <w:r w:rsidRPr="00A639AB">
        <w:rPr>
          <w:rFonts w:ascii="Times" w:eastAsia="Times New Roman" w:hAnsi="Times" w:cs="Times New Roman"/>
          <w:shd w:val="clear" w:color="auto" w:fill="FFFFFF"/>
          <w:lang w:val="en-GB"/>
        </w:rPr>
        <w:lastRenderedPageBreak/>
        <w:t xml:space="preserve">this case, it should be considered a violation </w:t>
      </w:r>
      <w:r w:rsidR="006700A1">
        <w:rPr>
          <w:rFonts w:ascii="Times" w:eastAsia="Times New Roman" w:hAnsi="Times" w:cs="Times New Roman"/>
          <w:shd w:val="clear" w:color="auto" w:fill="FFFFFF"/>
          <w:lang w:val="en-GB"/>
        </w:rPr>
        <w:t xml:space="preserve">not of antitrust law but </w:t>
      </w:r>
      <w:r w:rsidRPr="00A639AB">
        <w:rPr>
          <w:rFonts w:ascii="Times" w:eastAsia="Times New Roman" w:hAnsi="Times" w:cs="Times New Roman"/>
          <w:shd w:val="clear" w:color="auto" w:fill="FFFFFF"/>
          <w:lang w:val="en-GB"/>
        </w:rPr>
        <w:t>of federal labour law</w:t>
      </w:r>
      <w:r w:rsidR="006700A1">
        <w:rPr>
          <w:rFonts w:ascii="Times" w:eastAsia="Times New Roman" w:hAnsi="Times" w:cs="Times New Roman"/>
          <w:shd w:val="clear" w:color="auto" w:fill="FFFFFF"/>
          <w:lang w:val="en-GB"/>
        </w:rPr>
        <w:t xml:space="preserve"> </w:t>
      </w:r>
      <w:r w:rsidR="006700A1">
        <w:rPr>
          <w:rFonts w:ascii="Times" w:eastAsia="Times New Roman" w:hAnsi="Times" w:cs="Times"/>
          <w:shd w:val="clear" w:color="auto" w:fill="FFFFFF"/>
          <w:lang w:val="en-GB"/>
        </w:rPr>
        <w:t>–</w:t>
      </w:r>
      <w:r w:rsidRPr="00A639AB">
        <w:rPr>
          <w:rFonts w:ascii="Times" w:eastAsia="Times New Roman" w:hAnsi="Times" w:cs="Times New Roman"/>
          <w:shd w:val="clear" w:color="auto" w:fill="FFFFFF"/>
          <w:lang w:val="en-GB"/>
        </w:rPr>
        <w:t xml:space="preserve"> </w:t>
      </w:r>
      <w:r w:rsidR="006700A1">
        <w:rPr>
          <w:rFonts w:ascii="Times" w:eastAsia="Times New Roman" w:hAnsi="Times" w:cs="Times New Roman"/>
          <w:shd w:val="clear" w:color="auto" w:fill="FFFFFF"/>
          <w:lang w:val="en-GB"/>
        </w:rPr>
        <w:t>which should also therefore provide</w:t>
      </w:r>
      <w:r w:rsidRPr="00A639AB">
        <w:rPr>
          <w:rFonts w:ascii="Times" w:eastAsia="Times New Roman" w:hAnsi="Times" w:cs="Times New Roman"/>
          <w:shd w:val="clear" w:color="auto" w:fill="FFFFFF"/>
          <w:lang w:val="en-GB"/>
        </w:rPr>
        <w:t xml:space="preserve"> the remedy.</w:t>
      </w:r>
      <w:r w:rsidRPr="00A639AB">
        <w:rPr>
          <w:rStyle w:val="FootnoteReference"/>
          <w:rFonts w:ascii="Times" w:eastAsia="Times New Roman" w:hAnsi="Times" w:cs="Times New Roman"/>
          <w:shd w:val="clear" w:color="auto" w:fill="FFFFFF"/>
          <w:lang w:val="en-GB"/>
        </w:rPr>
        <w:footnoteReference w:id="83"/>
      </w:r>
      <w:r w:rsidRPr="00A639AB">
        <w:rPr>
          <w:rFonts w:ascii="Times" w:eastAsia="Times New Roman" w:hAnsi="Times" w:cs="Times New Roman"/>
          <w:shd w:val="clear" w:color="auto" w:fill="FFFFFF"/>
          <w:lang w:val="en-GB"/>
        </w:rPr>
        <w:t xml:space="preserve">  </w:t>
      </w:r>
    </w:p>
    <w:p w14:paraId="4DE23A90" w14:textId="77777777" w:rsidR="00921C73" w:rsidRDefault="00921C73" w:rsidP="00F22BA5">
      <w:pPr>
        <w:spacing w:line="480" w:lineRule="auto"/>
        <w:jc w:val="both"/>
        <w:rPr>
          <w:rFonts w:ascii="Times" w:eastAsia="Times New Roman" w:hAnsi="Times" w:cs="Times New Roman"/>
          <w:b/>
          <w:shd w:val="clear" w:color="auto" w:fill="FFFFFF"/>
          <w:lang w:val="en-GB"/>
        </w:rPr>
      </w:pPr>
    </w:p>
    <w:p w14:paraId="7AED8398" w14:textId="245E9671" w:rsidR="002F3E3C" w:rsidRDefault="002F3E3C" w:rsidP="00F22BA5">
      <w:pPr>
        <w:spacing w:line="480" w:lineRule="auto"/>
        <w:jc w:val="both"/>
        <w:rPr>
          <w:rFonts w:ascii="Times" w:eastAsia="Times New Roman" w:hAnsi="Times" w:cs="Times New Roman"/>
          <w:shd w:val="clear" w:color="auto" w:fill="FFFFFF"/>
          <w:lang w:val="en-GB"/>
        </w:rPr>
      </w:pPr>
      <w:r w:rsidRPr="00A639AB">
        <w:rPr>
          <w:rFonts w:ascii="Times" w:eastAsia="Times New Roman" w:hAnsi="Times" w:cs="Times New Roman"/>
          <w:shd w:val="clear" w:color="auto" w:fill="FFFFFF"/>
          <w:lang w:val="en-GB"/>
        </w:rPr>
        <w:t xml:space="preserve">In the case of </w:t>
      </w:r>
      <w:r w:rsidRPr="00A639AB">
        <w:rPr>
          <w:rFonts w:ascii="Times" w:eastAsia="Times New Roman" w:hAnsi="Times" w:cs="Times New Roman"/>
          <w:i/>
          <w:shd w:val="clear" w:color="auto" w:fill="FFFFFF"/>
          <w:lang w:val="en-GB"/>
        </w:rPr>
        <w:t>USS-</w:t>
      </w:r>
      <w:proofErr w:type="spellStart"/>
      <w:r w:rsidRPr="00A639AB">
        <w:rPr>
          <w:rFonts w:ascii="Times" w:eastAsia="Times New Roman" w:hAnsi="Times" w:cs="Times New Roman"/>
          <w:i/>
          <w:shd w:val="clear" w:color="auto" w:fill="FFFFFF"/>
          <w:lang w:val="en-GB"/>
        </w:rPr>
        <w:t>Posco</w:t>
      </w:r>
      <w:proofErr w:type="spellEnd"/>
      <w:r w:rsidR="00C3001D">
        <w:rPr>
          <w:rFonts w:ascii="Times" w:eastAsia="Times New Roman" w:hAnsi="Times" w:cs="Times New Roman"/>
          <w:i/>
          <w:shd w:val="clear" w:color="auto" w:fill="FFFFFF"/>
          <w:lang w:val="en-GB"/>
        </w:rPr>
        <w:t>,</w:t>
      </w:r>
      <w:r w:rsidRPr="00A639AB">
        <w:rPr>
          <w:rStyle w:val="FootnoteReference"/>
          <w:rFonts w:ascii="Times" w:eastAsia="Times New Roman" w:hAnsi="Times" w:cs="Times New Roman"/>
          <w:shd w:val="clear" w:color="auto" w:fill="FFFFFF"/>
          <w:lang w:val="en-GB"/>
        </w:rPr>
        <w:footnoteReference w:id="84"/>
      </w:r>
      <w:r w:rsidRPr="00A639AB">
        <w:rPr>
          <w:rFonts w:ascii="Times" w:eastAsia="Times New Roman" w:hAnsi="Times" w:cs="Times New Roman"/>
          <w:shd w:val="clear" w:color="auto" w:fill="FFFFFF"/>
          <w:lang w:val="en-GB"/>
        </w:rPr>
        <w:t xml:space="preserve"> the federal court </w:t>
      </w:r>
      <w:r w:rsidR="00C3001D">
        <w:rPr>
          <w:rFonts w:ascii="Times" w:eastAsia="Times New Roman" w:hAnsi="Times" w:cs="Times New Roman"/>
          <w:shd w:val="clear" w:color="auto" w:fill="FFFFFF"/>
          <w:lang w:val="en-GB"/>
        </w:rPr>
        <w:t xml:space="preserve">came into </w:t>
      </w:r>
      <w:r w:rsidRPr="00A639AB">
        <w:rPr>
          <w:rFonts w:ascii="Times" w:eastAsia="Times New Roman" w:hAnsi="Times" w:cs="Times New Roman"/>
          <w:shd w:val="clear" w:color="auto" w:fill="FFFFFF"/>
          <w:lang w:val="en-GB"/>
        </w:rPr>
        <w:t xml:space="preserve">conflict with the Supreme Court and stated that for the non-statutory labour exemption to be withdrawn the plaintiff needed to prove both the combination </w:t>
      </w:r>
      <w:r w:rsidR="00C3001D">
        <w:rPr>
          <w:rFonts w:ascii="Times" w:eastAsia="Times New Roman" w:hAnsi="Times" w:cs="Times New Roman"/>
          <w:shd w:val="clear" w:color="auto" w:fill="FFFFFF"/>
          <w:lang w:val="en-GB"/>
        </w:rPr>
        <w:t>of</w:t>
      </w:r>
      <w:r w:rsidRPr="00A639AB">
        <w:rPr>
          <w:rFonts w:ascii="Times" w:eastAsia="Times New Roman" w:hAnsi="Times" w:cs="Times New Roman"/>
          <w:shd w:val="clear" w:color="auto" w:fill="FFFFFF"/>
          <w:lang w:val="en-GB"/>
        </w:rPr>
        <w:t xml:space="preserve"> a </w:t>
      </w:r>
      <w:r>
        <w:rPr>
          <w:rFonts w:ascii="Times" w:eastAsia="Times New Roman" w:hAnsi="Times" w:cs="Times New Roman"/>
          <w:shd w:val="clear" w:color="auto" w:fill="FFFFFF"/>
          <w:lang w:val="en-GB"/>
        </w:rPr>
        <w:t>worker</w:t>
      </w:r>
      <w:r w:rsidRPr="00A639AB">
        <w:rPr>
          <w:rFonts w:ascii="Times" w:eastAsia="Times New Roman" w:hAnsi="Times" w:cs="Times New Roman"/>
          <w:shd w:val="clear" w:color="auto" w:fill="FFFFFF"/>
          <w:lang w:val="en-GB"/>
        </w:rPr>
        <w:t xml:space="preserve"> and a non-</w:t>
      </w:r>
      <w:r>
        <w:rPr>
          <w:rFonts w:ascii="Times" w:eastAsia="Times New Roman" w:hAnsi="Times" w:cs="Times New Roman"/>
          <w:shd w:val="clear" w:color="auto" w:fill="FFFFFF"/>
          <w:lang w:val="en-GB"/>
        </w:rPr>
        <w:t>worker</w:t>
      </w:r>
      <w:r w:rsidRPr="00A639AB">
        <w:rPr>
          <w:rFonts w:ascii="Times" w:eastAsia="Times New Roman" w:hAnsi="Times" w:cs="Times New Roman"/>
          <w:shd w:val="clear" w:color="auto" w:fill="FFFFFF"/>
          <w:lang w:val="en-GB"/>
        </w:rPr>
        <w:t xml:space="preserve"> group and an illegitimate purpose in this combination. According to the Court, as long as the union aimed to achieve the traditional objectives of </w:t>
      </w:r>
      <w:r>
        <w:rPr>
          <w:rFonts w:ascii="Times" w:eastAsia="Times New Roman" w:hAnsi="Times" w:cs="Times New Roman"/>
          <w:shd w:val="clear" w:color="auto" w:fill="FFFFFF"/>
          <w:lang w:val="en-GB"/>
        </w:rPr>
        <w:t>worker</w:t>
      </w:r>
      <w:r w:rsidRPr="00A639AB">
        <w:rPr>
          <w:rFonts w:ascii="Times" w:eastAsia="Times New Roman" w:hAnsi="Times" w:cs="Times New Roman"/>
          <w:shd w:val="clear" w:color="auto" w:fill="FFFFFF"/>
          <w:lang w:val="en-GB"/>
        </w:rPr>
        <w:t xml:space="preserve"> organisations normally associated with </w:t>
      </w:r>
      <w:r>
        <w:rPr>
          <w:rFonts w:ascii="Times" w:eastAsia="Times New Roman" w:hAnsi="Times" w:cs="Times New Roman"/>
          <w:shd w:val="clear" w:color="auto" w:fill="FFFFFF"/>
          <w:lang w:val="en-GB"/>
        </w:rPr>
        <w:t>work-related</w:t>
      </w:r>
      <w:r w:rsidRPr="00A639AB">
        <w:rPr>
          <w:rFonts w:ascii="Times" w:eastAsia="Times New Roman" w:hAnsi="Times" w:cs="Times New Roman"/>
          <w:shd w:val="clear" w:color="auto" w:fill="FFFFFF"/>
          <w:lang w:val="en-GB"/>
        </w:rPr>
        <w:t xml:space="preserve"> disputes, it would benefit from the non-statutory labour exemption.</w:t>
      </w:r>
      <w:r w:rsidRPr="00A639AB">
        <w:rPr>
          <w:rStyle w:val="FootnoteReference"/>
          <w:rFonts w:ascii="Times" w:eastAsia="Times New Roman" w:hAnsi="Times" w:cs="Times New Roman"/>
          <w:shd w:val="clear" w:color="auto" w:fill="FFFFFF"/>
          <w:lang w:val="en-GB"/>
        </w:rPr>
        <w:footnoteReference w:id="85"/>
      </w:r>
      <w:r w:rsidRPr="00A639AB">
        <w:rPr>
          <w:rFonts w:ascii="Times" w:eastAsia="Times New Roman" w:hAnsi="Times" w:cs="Times New Roman"/>
          <w:shd w:val="clear" w:color="auto" w:fill="FFFFFF"/>
          <w:lang w:val="en-GB"/>
        </w:rPr>
        <w:t xml:space="preserve"> Nevertheless, this more generous </w:t>
      </w:r>
      <w:r>
        <w:rPr>
          <w:rFonts w:ascii="Times" w:eastAsia="Times New Roman" w:hAnsi="Times" w:cs="Times New Roman"/>
          <w:shd w:val="clear" w:color="auto" w:fill="FFFFFF"/>
          <w:lang w:val="en-GB"/>
        </w:rPr>
        <w:t>formulation</w:t>
      </w:r>
      <w:r w:rsidRPr="00A639AB">
        <w:rPr>
          <w:rFonts w:ascii="Times" w:eastAsia="Times New Roman" w:hAnsi="Times" w:cs="Times New Roman"/>
          <w:shd w:val="clear" w:color="auto" w:fill="FFFFFF"/>
          <w:lang w:val="en-GB"/>
        </w:rPr>
        <w:t xml:space="preserve"> received negative treatment in </w:t>
      </w:r>
      <w:r w:rsidR="00C3001D">
        <w:rPr>
          <w:rFonts w:ascii="Times" w:eastAsia="Times New Roman" w:hAnsi="Times" w:cs="Times New Roman"/>
          <w:shd w:val="clear" w:color="auto" w:fill="FFFFFF"/>
          <w:lang w:val="en-GB"/>
        </w:rPr>
        <w:t>subsequent</w:t>
      </w:r>
      <w:r w:rsidR="00C3001D" w:rsidRPr="00A639AB">
        <w:rPr>
          <w:rFonts w:ascii="Times" w:eastAsia="Times New Roman" w:hAnsi="Times" w:cs="Times New Roman"/>
          <w:shd w:val="clear" w:color="auto" w:fill="FFFFFF"/>
          <w:lang w:val="en-GB"/>
        </w:rPr>
        <w:t xml:space="preserve"> </w:t>
      </w:r>
      <w:r w:rsidRPr="00A639AB">
        <w:rPr>
          <w:rFonts w:ascii="Times" w:eastAsia="Times New Roman" w:hAnsi="Times" w:cs="Times New Roman"/>
          <w:shd w:val="clear" w:color="auto" w:fill="FFFFFF"/>
          <w:lang w:val="en-GB"/>
        </w:rPr>
        <w:t>cases.</w:t>
      </w:r>
      <w:r w:rsidRPr="00A639AB">
        <w:rPr>
          <w:rStyle w:val="FootnoteReference"/>
          <w:rFonts w:ascii="Times" w:eastAsia="Times New Roman" w:hAnsi="Times" w:cs="Times New Roman"/>
          <w:shd w:val="clear" w:color="auto" w:fill="FFFFFF"/>
          <w:lang w:val="en-GB"/>
        </w:rPr>
        <w:footnoteReference w:id="86"/>
      </w:r>
      <w:r w:rsidRPr="00A639AB">
        <w:rPr>
          <w:rFonts w:ascii="Times" w:eastAsia="Times New Roman" w:hAnsi="Times" w:cs="Times New Roman"/>
          <w:shd w:val="clear" w:color="auto" w:fill="FFFFFF"/>
          <w:lang w:val="en-GB"/>
        </w:rPr>
        <w:t xml:space="preserve"> As a result, whether or not the union acts with its own legitimate objectives does not constitute an official part of the non-statutory labour exemption and notwithstanding the objectives of the union, if it collaborates with third parties, it will come under the attack of antitrust rules.</w:t>
      </w:r>
    </w:p>
    <w:p w14:paraId="04DE63E5" w14:textId="77777777" w:rsidR="00921C73" w:rsidRDefault="00921C73" w:rsidP="00F22BA5">
      <w:pPr>
        <w:spacing w:line="480" w:lineRule="auto"/>
        <w:jc w:val="both"/>
        <w:rPr>
          <w:rFonts w:ascii="Times" w:eastAsia="Times New Roman" w:hAnsi="Times" w:cs="Times New Roman"/>
          <w:b/>
          <w:shd w:val="clear" w:color="auto" w:fill="FFFFFF"/>
          <w:lang w:val="en-GB"/>
        </w:rPr>
      </w:pPr>
    </w:p>
    <w:p w14:paraId="62AAFD77" w14:textId="77777777" w:rsidR="00921C73" w:rsidRPr="000F210B" w:rsidRDefault="00921C73" w:rsidP="00F22BA5">
      <w:pPr>
        <w:pStyle w:val="ListParagraph"/>
        <w:numPr>
          <w:ilvl w:val="0"/>
          <w:numId w:val="2"/>
        </w:numPr>
        <w:spacing w:line="480" w:lineRule="auto"/>
        <w:jc w:val="both"/>
        <w:rPr>
          <w:rFonts w:ascii="Times" w:eastAsia="Times New Roman" w:hAnsi="Times" w:cs="Times New Roman"/>
          <w:b/>
          <w:shd w:val="clear" w:color="auto" w:fill="FFFFFF"/>
          <w:lang w:val="en-GB"/>
        </w:rPr>
      </w:pPr>
      <w:r w:rsidRPr="000F210B">
        <w:rPr>
          <w:rFonts w:ascii="Times" w:eastAsia="Times New Roman" w:hAnsi="Times" w:cs="Times New Roman"/>
          <w:b/>
          <w:shd w:val="clear" w:color="auto" w:fill="FFFFFF"/>
          <w:lang w:val="en-GB"/>
        </w:rPr>
        <w:t>Antitrust law against employers in the US</w:t>
      </w:r>
    </w:p>
    <w:p w14:paraId="54CA9DB0" w14:textId="77777777" w:rsidR="00921C73" w:rsidRDefault="00921C73" w:rsidP="00F22BA5">
      <w:pPr>
        <w:spacing w:line="480" w:lineRule="auto"/>
        <w:jc w:val="both"/>
        <w:rPr>
          <w:rFonts w:ascii="Times" w:eastAsia="Times New Roman" w:hAnsi="Times" w:cs="Times New Roman"/>
          <w:shd w:val="clear" w:color="auto" w:fill="FFFFFF"/>
          <w:lang w:val="en-GB"/>
        </w:rPr>
      </w:pPr>
    </w:p>
    <w:p w14:paraId="7C105282" w14:textId="77777777" w:rsidR="00921C73" w:rsidRPr="00A639AB" w:rsidRDefault="00921C73" w:rsidP="00F22BA5">
      <w:pPr>
        <w:spacing w:line="480" w:lineRule="auto"/>
        <w:jc w:val="both"/>
        <w:rPr>
          <w:rFonts w:ascii="Times" w:eastAsia="Times New Roman" w:hAnsi="Times" w:cs="Times New Roman"/>
          <w:shd w:val="clear" w:color="auto" w:fill="FFFFFF"/>
          <w:lang w:val="en-GB"/>
        </w:rPr>
      </w:pPr>
      <w:r w:rsidRPr="00A639AB">
        <w:rPr>
          <w:rFonts w:ascii="Times" w:eastAsia="Times New Roman" w:hAnsi="Times" w:cs="Times New Roman"/>
          <w:shd w:val="clear" w:color="auto" w:fill="FFFFFF"/>
          <w:lang w:val="en-GB"/>
        </w:rPr>
        <w:t xml:space="preserve">In the US there is also an antitrust history consisting of cases in which workers attempted to use antitrust rules to challenge collusive employer behaviour aiming to supress wages and other working conditions. This type of employer collusion </w:t>
      </w:r>
      <w:r w:rsidRPr="00A639AB">
        <w:rPr>
          <w:rFonts w:ascii="Times" w:eastAsia="Times New Roman" w:hAnsi="Times" w:cs="Times New Roman"/>
          <w:shd w:val="clear" w:color="auto" w:fill="FFFFFF"/>
          <w:lang w:val="en-GB"/>
        </w:rPr>
        <w:lastRenderedPageBreak/>
        <w:t xml:space="preserve">primarily takes place in markets where highly skilled labour is high in demand but low in supply resulting in increased worker bargaining power. Nevertheless, </w:t>
      </w:r>
      <w:r>
        <w:rPr>
          <w:rFonts w:ascii="Times" w:eastAsia="Times New Roman" w:hAnsi="Times" w:cs="Times New Roman"/>
          <w:shd w:val="clear" w:color="auto" w:fill="FFFFFF"/>
          <w:lang w:val="en-GB"/>
        </w:rPr>
        <w:t>as the cases discussed below illustrate</w:t>
      </w:r>
      <w:r w:rsidRPr="00A639AB">
        <w:rPr>
          <w:rFonts w:ascii="Times" w:eastAsia="Times New Roman" w:hAnsi="Times" w:cs="Times New Roman"/>
          <w:shd w:val="clear" w:color="auto" w:fill="FFFFFF"/>
          <w:lang w:val="en-GB"/>
        </w:rPr>
        <w:t xml:space="preserve">, workers have not been particularly successful in utilising antitrust law against collusive employer behaviour. </w:t>
      </w:r>
    </w:p>
    <w:p w14:paraId="193A42CF" w14:textId="77777777" w:rsidR="00921C73" w:rsidRPr="00A639AB" w:rsidRDefault="00921C73" w:rsidP="00F22BA5">
      <w:pPr>
        <w:spacing w:line="480" w:lineRule="auto"/>
        <w:jc w:val="both"/>
        <w:rPr>
          <w:rFonts w:ascii="Times" w:eastAsia="Times New Roman" w:hAnsi="Times" w:cs="Times New Roman"/>
          <w:shd w:val="clear" w:color="auto" w:fill="FFFFFF"/>
          <w:lang w:val="en-GB"/>
        </w:rPr>
      </w:pPr>
    </w:p>
    <w:p w14:paraId="6B21C328" w14:textId="77777777" w:rsidR="00921C73" w:rsidRPr="00A639AB" w:rsidRDefault="00921C73" w:rsidP="00F22BA5">
      <w:pPr>
        <w:spacing w:line="480" w:lineRule="auto"/>
        <w:jc w:val="both"/>
        <w:rPr>
          <w:rFonts w:ascii="Times" w:eastAsia="Times New Roman" w:hAnsi="Times" w:cs="Times New Roman"/>
          <w:shd w:val="clear" w:color="auto" w:fill="FFFFFF"/>
          <w:lang w:val="en-GB"/>
        </w:rPr>
      </w:pPr>
      <w:r w:rsidRPr="00A639AB">
        <w:rPr>
          <w:rFonts w:ascii="Times" w:eastAsia="Times New Roman" w:hAnsi="Times" w:cs="Times New Roman"/>
          <w:shd w:val="clear" w:color="auto" w:fill="FFFFFF"/>
          <w:lang w:val="en-GB"/>
        </w:rPr>
        <w:t xml:space="preserve">This is due to two key reasons: firstly, in cases against employers, federal courts apply the stricter </w:t>
      </w:r>
      <w:r w:rsidRPr="00A639AB">
        <w:rPr>
          <w:rFonts w:ascii="Times" w:eastAsia="Times New Roman" w:hAnsi="Times" w:cs="Times New Roman"/>
          <w:i/>
          <w:shd w:val="clear" w:color="auto" w:fill="FFFFFF"/>
          <w:lang w:val="en-GB"/>
        </w:rPr>
        <w:t xml:space="preserve">rule of reason </w:t>
      </w:r>
      <w:r w:rsidRPr="00A639AB">
        <w:rPr>
          <w:rFonts w:ascii="Times" w:eastAsia="Times New Roman" w:hAnsi="Times" w:cs="Times New Roman"/>
          <w:shd w:val="clear" w:color="auto" w:fill="FFFFFF"/>
          <w:lang w:val="en-GB"/>
        </w:rPr>
        <w:t xml:space="preserve">test which requires the proving of adverse effects on competition in the product market and on consumer welfare in the form of </w:t>
      </w:r>
      <w:r w:rsidRPr="00F54143">
        <w:rPr>
          <w:rFonts w:ascii="Times" w:eastAsia="Times New Roman" w:hAnsi="Times" w:cs="Times New Roman"/>
          <w:iCs/>
          <w:shd w:val="clear" w:color="auto" w:fill="FFFFFF"/>
          <w:lang w:val="en-GB"/>
        </w:rPr>
        <w:t>inter alia</w:t>
      </w:r>
      <w:r w:rsidRPr="00A639AB">
        <w:rPr>
          <w:rFonts w:ascii="Times" w:eastAsia="Times New Roman" w:hAnsi="Times" w:cs="Times New Roman"/>
          <w:shd w:val="clear" w:color="auto" w:fill="FFFFFF"/>
          <w:lang w:val="en-GB"/>
        </w:rPr>
        <w:t xml:space="preserve"> increased prices or reduced output, rather than the more lenient </w:t>
      </w:r>
      <w:r w:rsidRPr="00A639AB">
        <w:rPr>
          <w:rFonts w:ascii="Times" w:eastAsia="Times New Roman" w:hAnsi="Times" w:cs="Times New Roman"/>
          <w:i/>
          <w:shd w:val="clear" w:color="auto" w:fill="FFFFFF"/>
          <w:lang w:val="en-GB"/>
        </w:rPr>
        <w:t>per se</w:t>
      </w:r>
      <w:r w:rsidRPr="00A639AB">
        <w:rPr>
          <w:rFonts w:ascii="Times" w:eastAsia="Times New Roman" w:hAnsi="Times" w:cs="Times New Roman"/>
          <w:shd w:val="clear" w:color="auto" w:fill="FFFFFF"/>
          <w:lang w:val="en-GB"/>
        </w:rPr>
        <w:t xml:space="preserve"> test which presumes that the type of collusive behaviour in question is more than likely to result in an adverse effect on competition.</w:t>
      </w:r>
      <w:r w:rsidRPr="00A639AB">
        <w:rPr>
          <w:rStyle w:val="FootnoteReference"/>
          <w:rFonts w:ascii="Times" w:eastAsia="Times New Roman" w:hAnsi="Times" w:cs="Times New Roman"/>
          <w:shd w:val="clear" w:color="auto" w:fill="FFFFFF"/>
          <w:lang w:val="en-GB"/>
        </w:rPr>
        <w:t xml:space="preserve"> </w:t>
      </w:r>
      <w:r w:rsidRPr="00A639AB">
        <w:rPr>
          <w:rStyle w:val="FootnoteReference"/>
          <w:rFonts w:ascii="Times" w:eastAsia="Times New Roman" w:hAnsi="Times" w:cs="Times New Roman"/>
          <w:shd w:val="clear" w:color="auto" w:fill="FFFFFF"/>
          <w:lang w:val="en-GB"/>
        </w:rPr>
        <w:footnoteReference w:id="87"/>
      </w:r>
    </w:p>
    <w:p w14:paraId="0948CC12" w14:textId="77777777" w:rsidR="00921C73" w:rsidRPr="00A639AB" w:rsidRDefault="00921C73" w:rsidP="00F22BA5">
      <w:pPr>
        <w:spacing w:line="480" w:lineRule="auto"/>
        <w:jc w:val="both"/>
        <w:rPr>
          <w:rFonts w:ascii="Times" w:eastAsia="Times New Roman" w:hAnsi="Times" w:cs="Times New Roman"/>
          <w:shd w:val="clear" w:color="auto" w:fill="FFFFFF"/>
          <w:lang w:val="en-GB"/>
        </w:rPr>
      </w:pPr>
    </w:p>
    <w:p w14:paraId="48C98FCD" w14:textId="77777777" w:rsidR="00921C73" w:rsidRPr="00A639AB" w:rsidRDefault="00921C73" w:rsidP="00F22BA5">
      <w:pPr>
        <w:spacing w:line="480" w:lineRule="auto"/>
        <w:jc w:val="both"/>
        <w:rPr>
          <w:rFonts w:ascii="Times" w:eastAsia="Times New Roman" w:hAnsi="Times" w:cs="Times New Roman"/>
          <w:shd w:val="clear" w:color="auto" w:fill="FFFFFF"/>
          <w:lang w:val="en-GB"/>
        </w:rPr>
      </w:pPr>
      <w:r w:rsidRPr="00A639AB">
        <w:rPr>
          <w:rFonts w:ascii="Times" w:eastAsia="Times New Roman" w:hAnsi="Times" w:cs="Times New Roman"/>
          <w:shd w:val="clear" w:color="auto" w:fill="FFFFFF"/>
          <w:lang w:val="en-GB"/>
        </w:rPr>
        <w:t>Secondly, when evaluating the potential effects on competition, courts at times apply</w:t>
      </w:r>
      <w:r>
        <w:rPr>
          <w:rFonts w:ascii="Times" w:eastAsia="Times New Roman" w:hAnsi="Times" w:cs="Times New Roman"/>
          <w:shd w:val="clear" w:color="auto" w:fill="FFFFFF"/>
          <w:lang w:val="en-GB"/>
        </w:rPr>
        <w:t xml:space="preserve"> a confusing</w:t>
      </w:r>
      <w:r w:rsidRPr="00A639AB">
        <w:rPr>
          <w:rFonts w:ascii="Times" w:eastAsia="Times New Roman" w:hAnsi="Times" w:cs="Times New Roman"/>
          <w:shd w:val="clear" w:color="auto" w:fill="FFFFFF"/>
          <w:lang w:val="en-GB"/>
        </w:rPr>
        <w:t xml:space="preserve"> legal and economic standard looking for increased prices or reduced output in the market for goods and services rather than focusing on the competition in the labour market. Such legal and economic analysis makes little sense because employers are unlikely to increase the prices of their products and services as a result of collusive behaviour reducing labour costs. In fact, reduced labour costs might trigger more competitive prices in the product market notwithstanding the softening or elimination of competition in the labour market. As an incidental effect of applying the consumer welfare test without any acknowledgement of the idiosyncrasy of labour as a fictitious commodity, in many cases courts attempted to establish a relationship </w:t>
      </w:r>
      <w:r w:rsidRPr="00A639AB">
        <w:rPr>
          <w:rFonts w:ascii="Times" w:eastAsia="Times New Roman" w:hAnsi="Times" w:cs="Times New Roman"/>
          <w:shd w:val="clear" w:color="auto" w:fill="FFFFFF"/>
          <w:lang w:val="en-GB"/>
        </w:rPr>
        <w:lastRenderedPageBreak/>
        <w:t xml:space="preserve">between labour costs and competition and prices, and as a result, they treated labour as a commodity against the text and the spirit of the Clayton Act. </w:t>
      </w:r>
    </w:p>
    <w:p w14:paraId="779E8D53" w14:textId="77777777" w:rsidR="00921C73" w:rsidRPr="00A639AB" w:rsidRDefault="00921C73" w:rsidP="00F22BA5">
      <w:pPr>
        <w:spacing w:line="480" w:lineRule="auto"/>
        <w:jc w:val="both"/>
        <w:rPr>
          <w:rFonts w:ascii="Times" w:eastAsia="Times New Roman" w:hAnsi="Times" w:cs="Times New Roman"/>
          <w:shd w:val="clear" w:color="auto" w:fill="FFFFFF"/>
          <w:lang w:val="en-GB"/>
        </w:rPr>
      </w:pPr>
    </w:p>
    <w:p w14:paraId="18A0B1E6" w14:textId="2906ABCE" w:rsidR="00921C73" w:rsidRPr="00A639AB" w:rsidRDefault="0039541E" w:rsidP="00F22BA5">
      <w:pPr>
        <w:spacing w:line="480" w:lineRule="auto"/>
        <w:jc w:val="both"/>
        <w:rPr>
          <w:rFonts w:ascii="Times" w:eastAsia="Times New Roman" w:hAnsi="Times" w:cs="Times New Roman"/>
          <w:shd w:val="clear" w:color="auto" w:fill="FFFFFF"/>
          <w:lang w:val="en-GB"/>
        </w:rPr>
      </w:pPr>
      <w:r>
        <w:rPr>
          <w:rFonts w:ascii="Times" w:eastAsia="Times New Roman" w:hAnsi="Times" w:cs="Times New Roman"/>
          <w:shd w:val="clear" w:color="auto" w:fill="FFFFFF"/>
          <w:lang w:val="en-GB"/>
        </w:rPr>
        <w:t xml:space="preserve">For instance, </w:t>
      </w:r>
      <w:r w:rsidR="000210E6">
        <w:rPr>
          <w:rFonts w:ascii="Times" w:eastAsia="Times New Roman" w:hAnsi="Times" w:cs="Times New Roman"/>
          <w:shd w:val="clear" w:color="auto" w:fill="FFFFFF"/>
          <w:lang w:val="en-GB"/>
        </w:rPr>
        <w:t xml:space="preserve">in the case of </w:t>
      </w:r>
      <w:r w:rsidR="000210E6" w:rsidRPr="000210E6">
        <w:rPr>
          <w:rFonts w:ascii="Times" w:eastAsia="Times New Roman" w:hAnsi="Times" w:cs="Times New Roman"/>
          <w:i/>
          <w:shd w:val="clear" w:color="auto" w:fill="FFFFFF"/>
          <w:lang w:val="en-GB"/>
        </w:rPr>
        <w:t>United Circulation Company</w:t>
      </w:r>
      <w:r w:rsidR="00C3001D">
        <w:rPr>
          <w:rFonts w:ascii="Times" w:eastAsia="Times New Roman" w:hAnsi="Times" w:cs="Times New Roman"/>
          <w:i/>
          <w:shd w:val="clear" w:color="auto" w:fill="FFFFFF"/>
          <w:lang w:val="en-GB"/>
        </w:rPr>
        <w:t>,</w:t>
      </w:r>
      <w:r w:rsidR="00585A44" w:rsidRPr="00A639AB">
        <w:rPr>
          <w:rStyle w:val="FootnoteReference"/>
          <w:rFonts w:ascii="Times" w:eastAsia="Times New Roman" w:hAnsi="Times" w:cs="Times New Roman"/>
          <w:shd w:val="clear" w:color="auto" w:fill="FFFFFF"/>
          <w:lang w:val="en-GB"/>
        </w:rPr>
        <w:footnoteReference w:id="88"/>
      </w:r>
      <w:r w:rsidR="00781D1F">
        <w:rPr>
          <w:rFonts w:ascii="Times" w:eastAsia="Times New Roman" w:hAnsi="Times" w:cs="Times New Roman"/>
          <w:shd w:val="clear" w:color="auto" w:fill="FFFFFF"/>
          <w:lang w:val="en-GB"/>
        </w:rPr>
        <w:t xml:space="preserve"> </w:t>
      </w:r>
      <w:r w:rsidR="00781D1F" w:rsidRPr="00A639AB">
        <w:rPr>
          <w:rFonts w:ascii="Times" w:eastAsia="Times New Roman" w:hAnsi="Times" w:cs="Times New Roman"/>
          <w:shd w:val="clear" w:color="auto" w:fill="FFFFFF"/>
          <w:lang w:val="en-GB"/>
        </w:rPr>
        <w:t>magazine subscription agencies</w:t>
      </w:r>
      <w:r w:rsidR="00781D1F">
        <w:rPr>
          <w:rFonts w:ascii="Times" w:eastAsia="Times New Roman" w:hAnsi="Times" w:cs="Times New Roman"/>
          <w:shd w:val="clear" w:color="auto" w:fill="FFFFFF"/>
          <w:lang w:val="en-GB"/>
        </w:rPr>
        <w:t xml:space="preserve"> had entered into a no-hire agreement </w:t>
      </w:r>
      <w:r w:rsidR="00585A44" w:rsidRPr="00A639AB">
        <w:rPr>
          <w:rFonts w:ascii="Times" w:eastAsia="Times New Roman" w:hAnsi="Times" w:cs="Times New Roman"/>
          <w:shd w:val="clear" w:color="auto" w:fill="FFFFFF"/>
          <w:lang w:val="en-GB"/>
        </w:rPr>
        <w:t xml:space="preserve">to </w:t>
      </w:r>
      <w:r w:rsidR="00585A44">
        <w:rPr>
          <w:rFonts w:ascii="Times" w:eastAsia="Times New Roman" w:hAnsi="Times" w:cs="Times New Roman"/>
          <w:shd w:val="clear" w:color="auto" w:fill="FFFFFF"/>
          <w:lang w:val="en-GB"/>
        </w:rPr>
        <w:t>make it difficult for workers to switch</w:t>
      </w:r>
      <w:r w:rsidR="00585A44" w:rsidRPr="00A639AB">
        <w:rPr>
          <w:rFonts w:ascii="Times" w:eastAsia="Times New Roman" w:hAnsi="Times" w:cs="Times New Roman"/>
          <w:shd w:val="clear" w:color="auto" w:fill="FFFFFF"/>
          <w:lang w:val="en-GB"/>
        </w:rPr>
        <w:t xml:space="preserve"> to an entrant company </w:t>
      </w:r>
      <w:r w:rsidR="00585A44">
        <w:rPr>
          <w:rFonts w:ascii="Times" w:eastAsia="Times New Roman" w:hAnsi="Times" w:cs="Times New Roman"/>
          <w:shd w:val="clear" w:color="auto" w:fill="FFFFFF"/>
          <w:lang w:val="en-GB"/>
        </w:rPr>
        <w:t>with the eventual aim of</w:t>
      </w:r>
      <w:r w:rsidR="00585A44" w:rsidRPr="00A639AB">
        <w:rPr>
          <w:rFonts w:ascii="Times" w:eastAsia="Times New Roman" w:hAnsi="Times" w:cs="Times New Roman"/>
          <w:shd w:val="clear" w:color="auto" w:fill="FFFFFF"/>
          <w:lang w:val="en-GB"/>
        </w:rPr>
        <w:t xml:space="preserve"> </w:t>
      </w:r>
      <w:r w:rsidR="00585A44">
        <w:rPr>
          <w:rFonts w:ascii="Times" w:eastAsia="Times New Roman" w:hAnsi="Times" w:cs="Times New Roman"/>
          <w:shd w:val="clear" w:color="auto" w:fill="FFFFFF"/>
          <w:lang w:val="en-GB"/>
        </w:rPr>
        <w:t>pushing the</w:t>
      </w:r>
      <w:r w:rsidR="00585A44" w:rsidRPr="00A639AB">
        <w:rPr>
          <w:rFonts w:ascii="Times" w:eastAsia="Times New Roman" w:hAnsi="Times" w:cs="Times New Roman"/>
          <w:shd w:val="clear" w:color="auto" w:fill="FFFFFF"/>
          <w:lang w:val="en-GB"/>
        </w:rPr>
        <w:t xml:space="preserve"> company out of the market.</w:t>
      </w:r>
      <w:r w:rsidR="00585A44">
        <w:rPr>
          <w:rFonts w:ascii="Times" w:eastAsia="Times New Roman" w:hAnsi="Times" w:cs="Times New Roman"/>
          <w:shd w:val="clear" w:color="auto" w:fill="FFFFFF"/>
          <w:lang w:val="en-GB"/>
        </w:rPr>
        <w:t xml:space="preserve"> </w:t>
      </w:r>
      <w:r w:rsidR="00921C73" w:rsidRPr="00A639AB">
        <w:rPr>
          <w:rFonts w:ascii="Times" w:eastAsia="Times New Roman" w:hAnsi="Times" w:cs="Times New Roman"/>
          <w:shd w:val="clear" w:color="auto" w:fill="FFFFFF"/>
          <w:lang w:val="en-GB"/>
        </w:rPr>
        <w:t xml:space="preserve">In this case, whilst acknowledging that the agreement in question might ‘freeze labour supply’ in the market and discourage </w:t>
      </w:r>
      <w:r w:rsidR="00921C73">
        <w:rPr>
          <w:rFonts w:ascii="Times" w:eastAsia="Times New Roman" w:hAnsi="Times" w:cs="Times New Roman"/>
          <w:shd w:val="clear" w:color="auto" w:fill="FFFFFF"/>
          <w:lang w:val="en-GB"/>
        </w:rPr>
        <w:t>worker</w:t>
      </w:r>
      <w:r w:rsidR="00921C73" w:rsidRPr="00A639AB">
        <w:rPr>
          <w:rFonts w:ascii="Times" w:eastAsia="Times New Roman" w:hAnsi="Times" w:cs="Times New Roman"/>
          <w:shd w:val="clear" w:color="auto" w:fill="FFFFFF"/>
          <w:lang w:val="en-GB"/>
        </w:rPr>
        <w:t xml:space="preserve"> mobility, the federal court did not investigate how the agreement in question affected workers and the labour market but applied the rule of reason standard to competition between magazine subscription agencies exclusively. As a result, in this analysis, the court treated labour as a commodity in the economic competition between producers. </w:t>
      </w:r>
      <w:r w:rsidR="007E3BE1">
        <w:rPr>
          <w:rFonts w:ascii="Times" w:eastAsia="Times New Roman" w:hAnsi="Times" w:cs="Times New Roman"/>
          <w:shd w:val="clear" w:color="auto" w:fill="FFFFFF"/>
          <w:lang w:val="en-GB"/>
        </w:rPr>
        <w:t xml:space="preserve">In </w:t>
      </w:r>
      <w:r w:rsidR="009C56AB">
        <w:rPr>
          <w:rFonts w:ascii="Times" w:eastAsia="Times New Roman" w:hAnsi="Times" w:cs="Times New Roman"/>
          <w:shd w:val="clear" w:color="auto" w:fill="FFFFFF"/>
          <w:lang w:val="en-GB"/>
        </w:rPr>
        <w:t xml:space="preserve">subsequent </w:t>
      </w:r>
      <w:r w:rsidR="007E3BE1">
        <w:rPr>
          <w:rFonts w:ascii="Times" w:eastAsia="Times New Roman" w:hAnsi="Times" w:cs="Times New Roman"/>
          <w:shd w:val="clear" w:color="auto" w:fill="FFFFFF"/>
          <w:lang w:val="en-GB"/>
        </w:rPr>
        <w:t>cases with similar dynamics, federal courts continued treating labour as a commodity, as they emphasised the role of worker mobility in the process of competition</w:t>
      </w:r>
      <w:r w:rsidR="007E3BE1" w:rsidRPr="00A639AB">
        <w:rPr>
          <w:rStyle w:val="FootnoteReference"/>
          <w:rFonts w:ascii="Times" w:eastAsia="Times New Roman" w:hAnsi="Times" w:cs="Times New Roman"/>
          <w:shd w:val="clear" w:color="auto" w:fill="FFFFFF"/>
          <w:lang w:val="en-GB"/>
        </w:rPr>
        <w:footnoteReference w:id="89"/>
      </w:r>
      <w:r w:rsidR="007E3BE1">
        <w:rPr>
          <w:rFonts w:ascii="Times" w:eastAsia="Times New Roman" w:hAnsi="Times" w:cs="Times New Roman"/>
          <w:shd w:val="clear" w:color="auto" w:fill="FFFFFF"/>
          <w:lang w:val="en-GB"/>
        </w:rPr>
        <w:t xml:space="preserve"> and openly discussed the economics of </w:t>
      </w:r>
      <w:r w:rsidR="007E3BE1" w:rsidRPr="00A639AB">
        <w:rPr>
          <w:rFonts w:ascii="Times" w:eastAsia="Times New Roman" w:hAnsi="Times" w:cs="Times New Roman"/>
          <w:shd w:val="clear" w:color="auto" w:fill="FFFFFF"/>
          <w:lang w:val="en-GB"/>
        </w:rPr>
        <w:t>‘selling’ and ‘buying’ of labour, the costs of labour in the industry and the effects of this on competition.</w:t>
      </w:r>
      <w:r w:rsidR="007E3BE1" w:rsidRPr="00A639AB">
        <w:rPr>
          <w:rStyle w:val="FootnoteReference"/>
          <w:rFonts w:ascii="Times" w:eastAsia="Times New Roman" w:hAnsi="Times" w:cs="Times New Roman"/>
          <w:shd w:val="clear" w:color="auto" w:fill="FFFFFF"/>
          <w:lang w:val="en-GB"/>
        </w:rPr>
        <w:footnoteReference w:id="90"/>
      </w:r>
    </w:p>
    <w:p w14:paraId="67D58B0F" w14:textId="77777777" w:rsidR="00921C73" w:rsidRPr="00A639AB" w:rsidRDefault="00921C73" w:rsidP="00F22BA5">
      <w:pPr>
        <w:spacing w:line="480" w:lineRule="auto"/>
        <w:jc w:val="both"/>
        <w:rPr>
          <w:rFonts w:ascii="Times" w:eastAsia="Times New Roman" w:hAnsi="Times" w:cs="Times New Roman"/>
          <w:shd w:val="clear" w:color="auto" w:fill="FFFFFF"/>
          <w:lang w:val="en-GB"/>
        </w:rPr>
      </w:pPr>
    </w:p>
    <w:p w14:paraId="0644BBBC" w14:textId="296777FC" w:rsidR="00921C73" w:rsidRPr="00A639AB" w:rsidRDefault="00921C73" w:rsidP="00F22BA5">
      <w:pPr>
        <w:spacing w:line="480" w:lineRule="auto"/>
        <w:jc w:val="both"/>
        <w:rPr>
          <w:rFonts w:ascii="Times" w:eastAsia="Times New Roman" w:hAnsi="Times" w:cs="Times New Roman"/>
          <w:shd w:val="clear" w:color="auto" w:fill="FFFFFF"/>
          <w:lang w:val="en-GB"/>
        </w:rPr>
      </w:pPr>
      <w:r w:rsidRPr="00A639AB">
        <w:rPr>
          <w:rFonts w:ascii="Times" w:eastAsia="Times New Roman" w:hAnsi="Times" w:cs="Times New Roman"/>
          <w:shd w:val="clear" w:color="auto" w:fill="FFFFFF"/>
          <w:lang w:val="en-GB"/>
        </w:rPr>
        <w:t>Another legal question facing federal courts with</w:t>
      </w:r>
      <w:r w:rsidR="009C56AB">
        <w:rPr>
          <w:rFonts w:ascii="Times" w:eastAsia="Times New Roman" w:hAnsi="Times" w:cs="Times New Roman"/>
          <w:shd w:val="clear" w:color="auto" w:fill="FFFFFF"/>
          <w:lang w:val="en-GB"/>
        </w:rPr>
        <w:t xml:space="preserve"> a</w:t>
      </w:r>
      <w:r w:rsidRPr="00A639AB">
        <w:rPr>
          <w:rFonts w:ascii="Times" w:eastAsia="Times New Roman" w:hAnsi="Times" w:cs="Times New Roman"/>
          <w:shd w:val="clear" w:color="auto" w:fill="FFFFFF"/>
          <w:lang w:val="en-GB"/>
        </w:rPr>
        <w:t xml:space="preserve"> fundamental effect on the position of workers in antitrust was whether and to what extent the</w:t>
      </w:r>
      <w:r w:rsidR="00DF7C60">
        <w:rPr>
          <w:rFonts w:ascii="Times" w:eastAsia="Times New Roman" w:hAnsi="Times" w:cs="Times New Roman"/>
          <w:shd w:val="clear" w:color="auto" w:fill="FFFFFF"/>
          <w:lang w:val="en-GB"/>
        </w:rPr>
        <w:t xml:space="preserve"> Clayton Act</w:t>
      </w:r>
      <w:r w:rsidRPr="00A639AB">
        <w:rPr>
          <w:rFonts w:ascii="Times" w:eastAsia="Times New Roman" w:hAnsi="Times" w:cs="Times New Roman"/>
          <w:shd w:val="clear" w:color="auto" w:fill="FFFFFF"/>
          <w:lang w:val="en-GB"/>
        </w:rPr>
        <w:t xml:space="preserve"> </w:t>
      </w:r>
      <w:r w:rsidR="003D1B89">
        <w:rPr>
          <w:rFonts w:ascii="Times" w:eastAsia="Times New Roman" w:hAnsi="Times" w:cs="Times New Roman"/>
          <w:shd w:val="clear" w:color="auto" w:fill="FFFFFF"/>
          <w:lang w:val="en-GB"/>
        </w:rPr>
        <w:t xml:space="preserve">labour exemption </w:t>
      </w:r>
      <w:r w:rsidRPr="00A639AB">
        <w:rPr>
          <w:rFonts w:ascii="Times" w:eastAsia="Times New Roman" w:hAnsi="Times" w:cs="Times New Roman"/>
          <w:shd w:val="clear" w:color="auto" w:fill="FFFFFF"/>
          <w:lang w:val="en-GB"/>
        </w:rPr>
        <w:t>protect</w:t>
      </w:r>
      <w:r w:rsidR="00DF7C60">
        <w:rPr>
          <w:rFonts w:ascii="Times" w:eastAsia="Times New Roman" w:hAnsi="Times" w:cs="Times New Roman"/>
          <w:shd w:val="clear" w:color="auto" w:fill="FFFFFF"/>
          <w:lang w:val="en-GB"/>
        </w:rPr>
        <w:t>s</w:t>
      </w:r>
      <w:r w:rsidRPr="00A639AB">
        <w:rPr>
          <w:rFonts w:ascii="Times" w:eastAsia="Times New Roman" w:hAnsi="Times" w:cs="Times New Roman"/>
          <w:shd w:val="clear" w:color="auto" w:fill="FFFFFF"/>
          <w:lang w:val="en-GB"/>
        </w:rPr>
        <w:t xml:space="preserve"> collusive employer action from antitrust attack. In </w:t>
      </w:r>
      <w:r w:rsidRPr="00A639AB">
        <w:rPr>
          <w:rFonts w:ascii="Times" w:eastAsia="Times New Roman" w:hAnsi="Times" w:cs="Times New Roman"/>
          <w:i/>
          <w:shd w:val="clear" w:color="auto" w:fill="FFFFFF"/>
          <w:lang w:val="en-GB"/>
        </w:rPr>
        <w:t>Sam Cordova</w:t>
      </w:r>
      <w:r w:rsidRPr="00A639AB">
        <w:rPr>
          <w:rFonts w:ascii="Times" w:eastAsia="Times New Roman" w:hAnsi="Times" w:cs="Times New Roman"/>
          <w:shd w:val="clear" w:color="auto" w:fill="FFFFFF"/>
          <w:lang w:val="en-GB"/>
        </w:rPr>
        <w:t>,</w:t>
      </w:r>
      <w:r w:rsidRPr="00A639AB">
        <w:rPr>
          <w:rStyle w:val="FootnoteReference"/>
          <w:rFonts w:ascii="Times" w:eastAsia="Times New Roman" w:hAnsi="Times" w:cs="Times New Roman"/>
          <w:shd w:val="clear" w:color="auto" w:fill="FFFFFF"/>
          <w:lang w:val="en-GB"/>
        </w:rPr>
        <w:footnoteReference w:id="91"/>
      </w:r>
      <w:r w:rsidRPr="00A639AB">
        <w:rPr>
          <w:rFonts w:ascii="Times" w:eastAsia="Times New Roman" w:hAnsi="Times" w:cs="Times New Roman"/>
          <w:shd w:val="clear" w:color="auto" w:fill="FFFFFF"/>
          <w:lang w:val="en-GB"/>
        </w:rPr>
        <w:t xml:space="preserve"> brokers working in the stock exchange market accused their employers of colluding to </w:t>
      </w:r>
      <w:r w:rsidRPr="00A639AB">
        <w:rPr>
          <w:rFonts w:ascii="Times" w:eastAsia="Times New Roman" w:hAnsi="Times" w:cs="Times New Roman"/>
          <w:shd w:val="clear" w:color="auto" w:fill="FFFFFF"/>
          <w:lang w:val="en-GB"/>
        </w:rPr>
        <w:lastRenderedPageBreak/>
        <w:t xml:space="preserve">artificially lower the commissions paid to brokers. The federal court rejected the employers’ </w:t>
      </w:r>
      <w:r w:rsidR="00FF622F">
        <w:rPr>
          <w:rFonts w:ascii="Times" w:eastAsia="Times New Roman" w:hAnsi="Times" w:cs="Times New Roman"/>
          <w:shd w:val="clear" w:color="auto" w:fill="FFFFFF"/>
          <w:lang w:val="en-GB"/>
        </w:rPr>
        <w:t>attempt to invoke the labour exemption</w:t>
      </w:r>
      <w:r w:rsidRPr="00A639AB">
        <w:rPr>
          <w:rFonts w:ascii="Times" w:eastAsia="Times New Roman" w:hAnsi="Times" w:cs="Times New Roman"/>
          <w:shd w:val="clear" w:color="auto" w:fill="FFFFFF"/>
          <w:lang w:val="en-GB"/>
        </w:rPr>
        <w:t xml:space="preserve"> using particularly political </w:t>
      </w:r>
      <w:r w:rsidR="00FF622F">
        <w:rPr>
          <w:rFonts w:ascii="Times" w:eastAsia="Times New Roman" w:hAnsi="Times" w:cs="Times New Roman"/>
          <w:shd w:val="clear" w:color="auto" w:fill="FFFFFF"/>
          <w:lang w:val="en-GB"/>
        </w:rPr>
        <w:t>language and stating that</w:t>
      </w:r>
      <w:r w:rsidRPr="00A639AB">
        <w:rPr>
          <w:rFonts w:ascii="Times" w:eastAsia="Times New Roman" w:hAnsi="Times" w:cs="Times New Roman"/>
          <w:shd w:val="clear" w:color="auto" w:fill="FFFFFF"/>
          <w:lang w:val="en-GB"/>
        </w:rPr>
        <w:t xml:space="preserve"> Section 6 of the Clayton Act aimed at ‘preserving </w:t>
      </w:r>
      <w:proofErr w:type="spellStart"/>
      <w:r w:rsidRPr="00A639AB">
        <w:rPr>
          <w:rFonts w:ascii="Times" w:eastAsia="Times New Roman" w:hAnsi="Times" w:cs="Times New Roman"/>
          <w:shd w:val="clear" w:color="auto" w:fill="FFFFFF"/>
          <w:lang w:val="en-GB"/>
        </w:rPr>
        <w:t>labor’s</w:t>
      </w:r>
      <w:proofErr w:type="spellEnd"/>
      <w:r w:rsidRPr="00A639AB">
        <w:rPr>
          <w:rFonts w:ascii="Times" w:eastAsia="Times New Roman" w:hAnsi="Times" w:cs="Times New Roman"/>
          <w:shd w:val="clear" w:color="auto" w:fill="FFFFFF"/>
          <w:lang w:val="en-GB"/>
        </w:rPr>
        <w:t xml:space="preserve"> right to organi</w:t>
      </w:r>
      <w:r w:rsidR="004B6783">
        <w:rPr>
          <w:rFonts w:ascii="Times" w:eastAsia="Times New Roman" w:hAnsi="Times" w:cs="Times New Roman"/>
          <w:shd w:val="clear" w:color="auto" w:fill="FFFFFF"/>
          <w:lang w:val="en-GB"/>
        </w:rPr>
        <w:t>s</w:t>
      </w:r>
      <w:r w:rsidRPr="00A639AB">
        <w:rPr>
          <w:rFonts w:ascii="Times" w:eastAsia="Times New Roman" w:hAnsi="Times" w:cs="Times New Roman"/>
          <w:shd w:val="clear" w:color="auto" w:fill="FFFFFF"/>
          <w:lang w:val="en-GB"/>
        </w:rPr>
        <w:t xml:space="preserve">e, not that of </w:t>
      </w:r>
      <w:r w:rsidRPr="00A639AB">
        <w:rPr>
          <w:rFonts w:ascii="Times" w:eastAsia="Times New Roman" w:hAnsi="Times" w:cs="Times New Roman"/>
          <w:i/>
          <w:shd w:val="clear" w:color="auto" w:fill="FFFFFF"/>
          <w:lang w:val="en-GB"/>
        </w:rPr>
        <w:t>capital</w:t>
      </w:r>
      <w:r w:rsidRPr="00A639AB">
        <w:rPr>
          <w:rFonts w:ascii="Times" w:eastAsia="Times New Roman" w:hAnsi="Times" w:cs="Times New Roman"/>
          <w:shd w:val="clear" w:color="auto" w:fill="FFFFFF"/>
          <w:lang w:val="en-GB"/>
        </w:rPr>
        <w:t>’.</w:t>
      </w:r>
      <w:r w:rsidRPr="00A639AB">
        <w:rPr>
          <w:rStyle w:val="FootnoteReference"/>
          <w:rFonts w:ascii="Times" w:eastAsia="Times New Roman" w:hAnsi="Times" w:cs="Times New Roman"/>
          <w:shd w:val="clear" w:color="auto" w:fill="FFFFFF"/>
          <w:lang w:val="en-GB"/>
        </w:rPr>
        <w:footnoteReference w:id="92"/>
      </w:r>
      <w:r w:rsidRPr="00A639AB">
        <w:rPr>
          <w:rFonts w:ascii="Times" w:eastAsia="Times New Roman" w:hAnsi="Times" w:cs="Times New Roman"/>
          <w:shd w:val="clear" w:color="auto" w:fill="FFFFFF"/>
          <w:lang w:val="en-GB"/>
        </w:rPr>
        <w:t xml:space="preserve"> </w:t>
      </w:r>
    </w:p>
    <w:p w14:paraId="15E2C363" w14:textId="77777777" w:rsidR="00921C73" w:rsidRPr="00A639AB" w:rsidRDefault="00921C73" w:rsidP="00F22BA5">
      <w:pPr>
        <w:spacing w:line="480" w:lineRule="auto"/>
        <w:jc w:val="both"/>
        <w:rPr>
          <w:rFonts w:ascii="Times" w:eastAsia="Times New Roman" w:hAnsi="Times" w:cs="Times New Roman"/>
          <w:shd w:val="clear" w:color="auto" w:fill="FFFFFF"/>
          <w:lang w:val="en-GB"/>
        </w:rPr>
      </w:pPr>
    </w:p>
    <w:p w14:paraId="376E6743" w14:textId="4EAF3803" w:rsidR="00921C73" w:rsidRPr="00A639AB" w:rsidRDefault="00921C73" w:rsidP="00F22BA5">
      <w:pPr>
        <w:spacing w:line="480" w:lineRule="auto"/>
        <w:jc w:val="both"/>
        <w:rPr>
          <w:rFonts w:ascii="Times" w:eastAsia="Times New Roman" w:hAnsi="Times" w:cs="Times New Roman"/>
          <w:shd w:val="clear" w:color="auto" w:fill="FFFFFF"/>
          <w:lang w:val="en-GB"/>
        </w:rPr>
      </w:pPr>
      <w:r w:rsidRPr="00A639AB">
        <w:rPr>
          <w:rFonts w:ascii="Times" w:eastAsia="Times New Roman" w:hAnsi="Times" w:cs="Times New Roman"/>
          <w:shd w:val="clear" w:color="auto" w:fill="FFFFFF"/>
          <w:lang w:val="en-GB"/>
        </w:rPr>
        <w:t xml:space="preserve">Nevertheless, in </w:t>
      </w:r>
      <w:r w:rsidR="001F791C">
        <w:rPr>
          <w:rFonts w:ascii="Times" w:eastAsia="Times New Roman" w:hAnsi="Times" w:cs="Times New Roman"/>
          <w:shd w:val="clear" w:color="auto" w:fill="FFFFFF"/>
          <w:lang w:val="en-GB"/>
        </w:rPr>
        <w:t>subsequent</w:t>
      </w:r>
      <w:r w:rsidRPr="00A639AB">
        <w:rPr>
          <w:rFonts w:ascii="Times" w:eastAsia="Times New Roman" w:hAnsi="Times" w:cs="Times New Roman"/>
          <w:shd w:val="clear" w:color="auto" w:fill="FFFFFF"/>
          <w:lang w:val="en-GB"/>
        </w:rPr>
        <w:t xml:space="preserve"> cases, federal courts adopted a non-statutory labour exemption that extend</w:t>
      </w:r>
      <w:r w:rsidR="009C56AB">
        <w:rPr>
          <w:rFonts w:ascii="Times" w:eastAsia="Times New Roman" w:hAnsi="Times" w:cs="Times New Roman"/>
          <w:shd w:val="clear" w:color="auto" w:fill="FFFFFF"/>
          <w:lang w:val="en-GB"/>
        </w:rPr>
        <w:t>ed</w:t>
      </w:r>
      <w:r w:rsidRPr="00A639AB">
        <w:rPr>
          <w:rFonts w:ascii="Times" w:eastAsia="Times New Roman" w:hAnsi="Times" w:cs="Times New Roman"/>
          <w:shd w:val="clear" w:color="auto" w:fill="FFFFFF"/>
          <w:lang w:val="en-GB"/>
        </w:rPr>
        <w:t xml:space="preserve"> to employers against both the text and the spirit of the Clayton Act. In the case of </w:t>
      </w:r>
      <w:r w:rsidRPr="00A639AB">
        <w:rPr>
          <w:rFonts w:ascii="Times" w:eastAsia="Times New Roman" w:hAnsi="Times" w:cs="Times New Roman"/>
          <w:i/>
          <w:shd w:val="clear" w:color="auto" w:fill="FFFFFF"/>
          <w:lang w:val="en-GB"/>
        </w:rPr>
        <w:t>Antony Brown</w:t>
      </w:r>
      <w:r w:rsidRPr="00A639AB">
        <w:rPr>
          <w:rFonts w:ascii="Times" w:eastAsia="Times New Roman" w:hAnsi="Times" w:cs="Times New Roman"/>
          <w:shd w:val="clear" w:color="auto" w:fill="FFFFFF"/>
          <w:lang w:val="en-GB"/>
        </w:rPr>
        <w:t>,</w:t>
      </w:r>
      <w:r w:rsidRPr="00A639AB">
        <w:rPr>
          <w:rStyle w:val="FootnoteReference"/>
          <w:rFonts w:ascii="Times" w:eastAsia="Times New Roman" w:hAnsi="Times" w:cs="Times New Roman"/>
          <w:shd w:val="clear" w:color="auto" w:fill="FFFFFF"/>
          <w:lang w:val="en-GB"/>
        </w:rPr>
        <w:footnoteReference w:id="93"/>
      </w:r>
      <w:r w:rsidRPr="00A639AB">
        <w:rPr>
          <w:rFonts w:ascii="Times" w:eastAsia="Times New Roman" w:hAnsi="Times" w:cs="Times New Roman"/>
          <w:shd w:val="clear" w:color="auto" w:fill="FFFFFF"/>
          <w:lang w:val="en-GB"/>
        </w:rPr>
        <w:t xml:space="preserve"> the union representing national football players and the National Football League (NFL) reached an impasse in the collective bargaining process with regard to wages paid to junior squad players. The union demanded that players negotiate their salaries individually, whereas the NFL offered a </w:t>
      </w:r>
      <w:r w:rsidR="001925DB">
        <w:rPr>
          <w:rFonts w:ascii="Times" w:eastAsia="Times New Roman" w:hAnsi="Times" w:cs="Times New Roman"/>
          <w:shd w:val="clear" w:color="auto" w:fill="FFFFFF"/>
          <w:lang w:val="en-GB"/>
        </w:rPr>
        <w:t xml:space="preserve">significantly lower </w:t>
      </w:r>
      <w:r w:rsidRPr="00A639AB">
        <w:rPr>
          <w:rFonts w:ascii="Times" w:eastAsia="Times New Roman" w:hAnsi="Times" w:cs="Times New Roman"/>
          <w:shd w:val="clear" w:color="auto" w:fill="FFFFFF"/>
          <w:lang w:val="en-GB"/>
        </w:rPr>
        <w:t xml:space="preserve">flat rate than the players would have secured if they had negotiated individually. When the union rejected </w:t>
      </w:r>
      <w:r w:rsidR="00511982">
        <w:rPr>
          <w:rFonts w:ascii="Times" w:eastAsia="Times New Roman" w:hAnsi="Times" w:cs="Times New Roman"/>
          <w:shd w:val="clear" w:color="auto" w:fill="FFFFFF"/>
          <w:lang w:val="en-GB"/>
        </w:rPr>
        <w:t>the</w:t>
      </w:r>
      <w:r w:rsidRPr="00A639AB">
        <w:rPr>
          <w:rFonts w:ascii="Times" w:eastAsia="Times New Roman" w:hAnsi="Times" w:cs="Times New Roman"/>
          <w:shd w:val="clear" w:color="auto" w:fill="FFFFFF"/>
          <w:lang w:val="en-GB"/>
        </w:rPr>
        <w:t xml:space="preserve"> proposal, the teams agreed to unilaterally impose the flat rate notwithstanding the impasse in the collective agreement</w:t>
      </w:r>
      <w:r w:rsidR="00511982">
        <w:rPr>
          <w:rFonts w:ascii="Times" w:eastAsia="Times New Roman" w:hAnsi="Times" w:cs="Times New Roman"/>
          <w:shd w:val="clear" w:color="auto" w:fill="FFFFFF"/>
          <w:lang w:val="en-GB"/>
        </w:rPr>
        <w:t xml:space="preserve"> negotiation</w:t>
      </w:r>
      <w:r w:rsidRPr="00A639AB">
        <w:rPr>
          <w:rFonts w:ascii="Times" w:eastAsia="Times New Roman" w:hAnsi="Times" w:cs="Times New Roman"/>
          <w:shd w:val="clear" w:color="auto" w:fill="FFFFFF"/>
          <w:lang w:val="en-GB"/>
        </w:rPr>
        <w:t xml:space="preserve">. </w:t>
      </w:r>
      <w:r w:rsidR="006F6B7E">
        <w:rPr>
          <w:rFonts w:ascii="Times" w:eastAsia="Times New Roman" w:hAnsi="Times" w:cs="Times New Roman"/>
          <w:shd w:val="clear" w:color="auto" w:fill="FFFFFF"/>
          <w:lang w:val="en-GB"/>
        </w:rPr>
        <w:t xml:space="preserve">Players sued the teams arguing that this was a wage-fixing conspiracy in breach of </w:t>
      </w:r>
      <w:r w:rsidR="009C56AB">
        <w:rPr>
          <w:rFonts w:ascii="Times" w:eastAsia="Times New Roman" w:hAnsi="Times" w:cs="Times New Roman"/>
          <w:shd w:val="clear" w:color="auto" w:fill="FFFFFF"/>
          <w:lang w:val="en-GB"/>
        </w:rPr>
        <w:t xml:space="preserve">Section I of the </w:t>
      </w:r>
      <w:r w:rsidR="006F6B7E" w:rsidRPr="00A639AB">
        <w:rPr>
          <w:rFonts w:ascii="Times" w:eastAsia="Times New Roman" w:hAnsi="Times" w:cs="Times New Roman"/>
          <w:shd w:val="clear" w:color="auto" w:fill="FFFFFF"/>
          <w:lang w:val="en-GB"/>
        </w:rPr>
        <w:t>Sherman Act</w:t>
      </w:r>
      <w:r w:rsidR="006F6B7E">
        <w:rPr>
          <w:rFonts w:ascii="Times" w:eastAsia="Times New Roman" w:hAnsi="Times" w:cs="Times New Roman"/>
          <w:shd w:val="clear" w:color="auto" w:fill="FFFFFF"/>
          <w:lang w:val="en-GB"/>
        </w:rPr>
        <w:t xml:space="preserve">. </w:t>
      </w:r>
      <w:r w:rsidRPr="00A639AB">
        <w:rPr>
          <w:rFonts w:ascii="Times" w:eastAsia="Times New Roman" w:hAnsi="Times" w:cs="Times New Roman"/>
          <w:shd w:val="clear" w:color="auto" w:fill="FFFFFF"/>
          <w:lang w:val="en-GB"/>
        </w:rPr>
        <w:t xml:space="preserve">In this case, the Supreme Court extended the non-statutory labour exemption established in </w:t>
      </w:r>
      <w:r w:rsidRPr="00A639AB">
        <w:rPr>
          <w:rFonts w:ascii="Times" w:eastAsia="Times New Roman" w:hAnsi="Times" w:cs="Times New Roman"/>
          <w:i/>
          <w:shd w:val="clear" w:color="auto" w:fill="FFFFFF"/>
          <w:lang w:val="en-GB"/>
        </w:rPr>
        <w:t>Connell Construction</w:t>
      </w:r>
      <w:r w:rsidRPr="00A639AB">
        <w:rPr>
          <w:rStyle w:val="FootnoteReference"/>
          <w:rFonts w:ascii="Times" w:eastAsia="Times New Roman" w:hAnsi="Times" w:cs="Times New Roman"/>
          <w:shd w:val="clear" w:color="auto" w:fill="FFFFFF"/>
          <w:lang w:val="en-GB"/>
        </w:rPr>
        <w:footnoteReference w:id="94"/>
      </w:r>
      <w:r w:rsidRPr="00A639AB">
        <w:rPr>
          <w:rFonts w:ascii="Times" w:eastAsia="Times New Roman" w:hAnsi="Times" w:cs="Times New Roman"/>
          <w:shd w:val="clear" w:color="auto" w:fill="FFFFFF"/>
          <w:lang w:val="en-GB"/>
        </w:rPr>
        <w:t xml:space="preserve"> to collusive employer behaviour and exempted from the application of federal antitrust laws what would normally constitute a wage-fixing cartel. Mixing antitrust and labour analysis the Court developed an argument which would not stick in either field. According to the Court, ‘where its application is necessary to make the statutorily authorized collective bargaining process work as Congress intended, the exemption must apply </w:t>
      </w:r>
      <w:r w:rsidRPr="00A639AB">
        <w:rPr>
          <w:rFonts w:ascii="Times" w:eastAsia="Times New Roman" w:hAnsi="Times" w:cs="Times New Roman"/>
          <w:shd w:val="clear" w:color="auto" w:fill="FFFFFF"/>
          <w:lang w:val="en-GB"/>
        </w:rPr>
        <w:lastRenderedPageBreak/>
        <w:t>both to employers and employees’.</w:t>
      </w:r>
      <w:r w:rsidRPr="00A639AB">
        <w:rPr>
          <w:rStyle w:val="FootnoteReference"/>
          <w:rFonts w:ascii="Times" w:eastAsia="Times New Roman" w:hAnsi="Times" w:cs="Times New Roman"/>
          <w:shd w:val="clear" w:color="auto" w:fill="FFFFFF"/>
          <w:lang w:val="en-GB"/>
        </w:rPr>
        <w:footnoteReference w:id="95"/>
      </w:r>
      <w:r w:rsidRPr="00A639AB">
        <w:rPr>
          <w:rFonts w:ascii="Times" w:eastAsia="Times New Roman" w:hAnsi="Times" w:cs="Times New Roman"/>
          <w:shd w:val="clear" w:color="auto" w:fill="FFFFFF"/>
          <w:lang w:val="en-GB"/>
        </w:rPr>
        <w:t xml:space="preserve"> In this, the Supreme Court overlooked the fact that the labour exemption was enacted specifically to protect workers from employers and not the other way around. The Court also overlooked that in this case</w:t>
      </w:r>
      <w:r w:rsidR="0017530F">
        <w:rPr>
          <w:rFonts w:ascii="Times" w:eastAsia="Times New Roman" w:hAnsi="Times" w:cs="Times New Roman"/>
          <w:shd w:val="clear" w:color="auto" w:fill="FFFFFF"/>
          <w:lang w:val="en-GB"/>
        </w:rPr>
        <w:t>,</w:t>
      </w:r>
      <w:r w:rsidRPr="00A639AB">
        <w:rPr>
          <w:rFonts w:ascii="Times" w:eastAsia="Times New Roman" w:hAnsi="Times" w:cs="Times New Roman"/>
          <w:shd w:val="clear" w:color="auto" w:fill="FFFFFF"/>
          <w:lang w:val="en-GB"/>
        </w:rPr>
        <w:t xml:space="preserve"> </w:t>
      </w:r>
      <w:r w:rsidR="00082FAF">
        <w:rPr>
          <w:rFonts w:ascii="Times" w:eastAsia="Times New Roman" w:hAnsi="Times" w:cs="Times New Roman"/>
          <w:shd w:val="clear" w:color="auto" w:fill="FFFFFF"/>
          <w:lang w:val="en-GB"/>
        </w:rPr>
        <w:t xml:space="preserve">the </w:t>
      </w:r>
      <w:r w:rsidRPr="00A639AB">
        <w:rPr>
          <w:rFonts w:ascii="Times" w:eastAsia="Times New Roman" w:hAnsi="Times" w:cs="Times New Roman"/>
          <w:shd w:val="clear" w:color="auto" w:fill="FFFFFF"/>
          <w:lang w:val="en-GB"/>
        </w:rPr>
        <w:t xml:space="preserve">employers in question did not aim to contribute to the continuation of the collective bargaining process; </w:t>
      </w:r>
      <w:r w:rsidR="009C56AB">
        <w:rPr>
          <w:rFonts w:ascii="Times" w:eastAsia="Times New Roman" w:hAnsi="Times" w:cs="Times New Roman"/>
          <w:shd w:val="clear" w:color="auto" w:fill="FFFFFF"/>
          <w:lang w:val="en-GB"/>
        </w:rPr>
        <w:t>rather,</w:t>
      </w:r>
      <w:r w:rsidR="009C56AB" w:rsidRPr="00A639AB">
        <w:rPr>
          <w:rFonts w:ascii="Times" w:eastAsia="Times New Roman" w:hAnsi="Times" w:cs="Times New Roman"/>
          <w:shd w:val="clear" w:color="auto" w:fill="FFFFFF"/>
          <w:lang w:val="en-GB"/>
        </w:rPr>
        <w:t xml:space="preserve"> </w:t>
      </w:r>
      <w:r w:rsidRPr="00A639AB">
        <w:rPr>
          <w:rFonts w:ascii="Times" w:eastAsia="Times New Roman" w:hAnsi="Times" w:cs="Times New Roman"/>
          <w:shd w:val="clear" w:color="auto" w:fill="FFFFFF"/>
          <w:lang w:val="en-GB"/>
        </w:rPr>
        <w:t xml:space="preserve">they aimed to end it permanently by collectively imposing their individual positions on players. </w:t>
      </w:r>
    </w:p>
    <w:p w14:paraId="217C34F5" w14:textId="77777777" w:rsidR="00921C73" w:rsidRPr="00A639AB" w:rsidRDefault="00921C73" w:rsidP="00F22BA5">
      <w:pPr>
        <w:spacing w:line="480" w:lineRule="auto"/>
        <w:ind w:right="78"/>
        <w:jc w:val="both"/>
        <w:rPr>
          <w:rFonts w:ascii="Times" w:eastAsia="Times New Roman" w:hAnsi="Times" w:cs="Times New Roman"/>
          <w:shd w:val="clear" w:color="auto" w:fill="FFFFFF"/>
          <w:lang w:val="en-GB"/>
        </w:rPr>
      </w:pPr>
    </w:p>
    <w:p w14:paraId="350856A6" w14:textId="638A310E" w:rsidR="00921C73" w:rsidRPr="00A639AB" w:rsidRDefault="00921C73" w:rsidP="00F22BA5">
      <w:pPr>
        <w:spacing w:line="480" w:lineRule="auto"/>
        <w:ind w:right="78"/>
        <w:jc w:val="both"/>
        <w:rPr>
          <w:rFonts w:ascii="Times" w:eastAsia="Times New Roman" w:hAnsi="Times" w:cs="Times New Roman"/>
          <w:shd w:val="clear" w:color="auto" w:fill="FFFFFF"/>
          <w:lang w:val="en-GB"/>
        </w:rPr>
      </w:pPr>
      <w:r w:rsidRPr="00A639AB">
        <w:rPr>
          <w:rFonts w:ascii="Times" w:eastAsia="Times New Roman" w:hAnsi="Times" w:cs="Times New Roman"/>
          <w:shd w:val="clear" w:color="auto" w:fill="FFFFFF"/>
          <w:lang w:val="en-GB"/>
        </w:rPr>
        <w:t xml:space="preserve">Wage-fixing agreements between employers are particularly commonplace in industries where highly skilled labour is high in demand but low in supply, which changes the balance of bargaining power to </w:t>
      </w:r>
      <w:r w:rsidR="009C56AB">
        <w:rPr>
          <w:rFonts w:ascii="Times" w:eastAsia="Times New Roman" w:hAnsi="Times" w:cs="Times New Roman"/>
          <w:shd w:val="clear" w:color="auto" w:fill="FFFFFF"/>
          <w:lang w:val="en-GB"/>
        </w:rPr>
        <w:t xml:space="preserve">the </w:t>
      </w:r>
      <w:r w:rsidRPr="00A639AB">
        <w:rPr>
          <w:rFonts w:ascii="Times" w:eastAsia="Times New Roman" w:hAnsi="Times" w:cs="Times New Roman"/>
          <w:shd w:val="clear" w:color="auto" w:fill="FFFFFF"/>
          <w:lang w:val="en-GB"/>
        </w:rPr>
        <w:t>workers</w:t>
      </w:r>
      <w:r w:rsidR="00F12D9C">
        <w:rPr>
          <w:rFonts w:ascii="Times" w:eastAsia="Times New Roman" w:hAnsi="Times" w:cs="Times New Roman"/>
          <w:shd w:val="clear" w:color="auto" w:fill="FFFFFF"/>
          <w:lang w:val="en-GB"/>
        </w:rPr>
        <w:t>’ advantage</w:t>
      </w:r>
      <w:r w:rsidRPr="00A639AB">
        <w:rPr>
          <w:rFonts w:ascii="Times" w:eastAsia="Times New Roman" w:hAnsi="Times" w:cs="Times New Roman"/>
          <w:shd w:val="clear" w:color="auto" w:fill="FFFFFF"/>
          <w:lang w:val="en-GB"/>
        </w:rPr>
        <w:t>. Healthcare is one such industry where registered nurse wages constitute the largest sum in the hospitals’ cost structure.</w:t>
      </w:r>
      <w:r w:rsidRPr="00A639AB">
        <w:rPr>
          <w:rStyle w:val="FootnoteReference"/>
          <w:rFonts w:ascii="Times" w:eastAsia="Times New Roman" w:hAnsi="Times" w:cs="Times New Roman"/>
          <w:shd w:val="clear" w:color="auto" w:fill="FFFFFF"/>
          <w:lang w:val="en-GB"/>
        </w:rPr>
        <w:footnoteReference w:id="96"/>
      </w:r>
      <w:r w:rsidRPr="00A639AB">
        <w:rPr>
          <w:rFonts w:ascii="Times" w:eastAsia="Times New Roman" w:hAnsi="Times" w:cs="Times New Roman"/>
          <w:shd w:val="clear" w:color="auto" w:fill="FFFFFF"/>
          <w:lang w:val="en-GB"/>
        </w:rPr>
        <w:t xml:space="preserve"> There have been a number of cases brought by nurses against hospitals with the allegation of wage-fixing. In those cases, following the rule of reason standard, courts asked the defendants to demonstrate an actual proof of detrimental effect on competition and consumer welfare, such as increased prices or reduced output.</w:t>
      </w:r>
      <w:r w:rsidRPr="00A639AB">
        <w:rPr>
          <w:rStyle w:val="FootnoteReference"/>
          <w:rFonts w:ascii="Times" w:eastAsia="Times New Roman" w:hAnsi="Times" w:cs="Times New Roman"/>
          <w:shd w:val="clear" w:color="auto" w:fill="FFFFFF"/>
          <w:lang w:val="en-GB"/>
        </w:rPr>
        <w:footnoteReference w:id="97"/>
      </w:r>
      <w:r w:rsidRPr="00A639AB">
        <w:rPr>
          <w:rFonts w:ascii="Times" w:eastAsia="Times New Roman" w:hAnsi="Times" w:cs="Times New Roman"/>
          <w:shd w:val="clear" w:color="auto" w:fill="FFFFFF"/>
          <w:lang w:val="en-GB"/>
        </w:rPr>
        <w:t xml:space="preserve"> Although defendants proved the existence of a complex communication network allowing hospitals to share </w:t>
      </w:r>
      <w:r w:rsidR="009C56AB">
        <w:rPr>
          <w:rFonts w:ascii="Times" w:eastAsia="Times New Roman" w:hAnsi="Times" w:cs="Times New Roman"/>
          <w:shd w:val="clear" w:color="auto" w:fill="FFFFFF"/>
          <w:lang w:val="en-GB"/>
        </w:rPr>
        <w:t xml:space="preserve">information on </w:t>
      </w:r>
      <w:r w:rsidRPr="00A639AB">
        <w:rPr>
          <w:rFonts w:ascii="Times" w:eastAsia="Times New Roman" w:hAnsi="Times" w:cs="Times New Roman"/>
          <w:shd w:val="clear" w:color="auto" w:fill="FFFFFF"/>
          <w:lang w:val="en-GB"/>
        </w:rPr>
        <w:t xml:space="preserve">existing and future wages, courts were not convinced that information exchange alone would </w:t>
      </w:r>
      <w:r w:rsidRPr="00A639AB">
        <w:rPr>
          <w:rFonts w:ascii="Times" w:eastAsia="Times New Roman" w:hAnsi="Times" w:cs="Times New Roman"/>
          <w:shd w:val="clear" w:color="auto" w:fill="FFFFFF"/>
          <w:lang w:val="en-GB"/>
        </w:rPr>
        <w:lastRenderedPageBreak/>
        <w:t>reduce the incentives of hospitals to offer competitive wages to their employees and subsequently to reduce competition.</w:t>
      </w:r>
      <w:r w:rsidRPr="00A639AB">
        <w:rPr>
          <w:rStyle w:val="FootnoteReference"/>
          <w:rFonts w:ascii="Times" w:eastAsia="Times New Roman" w:hAnsi="Times" w:cs="Times New Roman"/>
          <w:shd w:val="clear" w:color="auto" w:fill="FFFFFF"/>
          <w:lang w:val="en-GB"/>
        </w:rPr>
        <w:footnoteReference w:id="98"/>
      </w:r>
      <w:r w:rsidRPr="00A639AB">
        <w:rPr>
          <w:rFonts w:ascii="Times" w:eastAsia="Times New Roman" w:hAnsi="Times" w:cs="Times New Roman"/>
          <w:shd w:val="clear" w:color="auto" w:fill="FFFFFF"/>
          <w:lang w:val="en-GB"/>
        </w:rPr>
        <w:t xml:space="preserve"> </w:t>
      </w:r>
    </w:p>
    <w:p w14:paraId="1BF0E843" w14:textId="77777777" w:rsidR="00921C73" w:rsidRPr="00A639AB" w:rsidRDefault="00921C73" w:rsidP="00F22BA5">
      <w:pPr>
        <w:spacing w:line="480" w:lineRule="auto"/>
        <w:ind w:right="78"/>
        <w:jc w:val="both"/>
        <w:rPr>
          <w:rFonts w:ascii="Times" w:eastAsia="Times New Roman" w:hAnsi="Times" w:cs="Times New Roman"/>
          <w:shd w:val="clear" w:color="auto" w:fill="FFFFFF"/>
          <w:lang w:val="en-GB"/>
        </w:rPr>
      </w:pPr>
    </w:p>
    <w:p w14:paraId="040B1089" w14:textId="0E7C49FD" w:rsidR="00921C73" w:rsidRPr="00A639AB" w:rsidRDefault="00921C73" w:rsidP="00F22BA5">
      <w:pPr>
        <w:spacing w:line="480" w:lineRule="auto"/>
        <w:ind w:right="78"/>
        <w:jc w:val="both"/>
        <w:rPr>
          <w:rFonts w:ascii="Times" w:eastAsia="Times New Roman" w:hAnsi="Times" w:cs="Times New Roman"/>
          <w:shd w:val="clear" w:color="auto" w:fill="FFFFFF"/>
          <w:lang w:val="en-GB"/>
        </w:rPr>
      </w:pPr>
      <w:r w:rsidRPr="00A639AB">
        <w:rPr>
          <w:rFonts w:ascii="Times" w:eastAsia="Times New Roman" w:hAnsi="Times" w:cs="Times New Roman"/>
          <w:i/>
          <w:shd w:val="clear" w:color="auto" w:fill="FFFFFF"/>
          <w:lang w:val="en-GB"/>
        </w:rPr>
        <w:t>High-Tech Employee Antitrust Litigation</w:t>
      </w:r>
      <w:r w:rsidRPr="00A639AB">
        <w:rPr>
          <w:rStyle w:val="FootnoteReference"/>
          <w:rFonts w:ascii="Times" w:eastAsia="Times New Roman" w:hAnsi="Times" w:cs="Times New Roman"/>
          <w:shd w:val="clear" w:color="auto" w:fill="FFFFFF"/>
          <w:lang w:val="en-GB"/>
        </w:rPr>
        <w:footnoteReference w:id="99"/>
      </w:r>
      <w:r w:rsidRPr="00A639AB">
        <w:rPr>
          <w:rFonts w:ascii="Times" w:eastAsia="Times New Roman" w:hAnsi="Times" w:cs="Times New Roman"/>
          <w:shd w:val="clear" w:color="auto" w:fill="FFFFFF"/>
          <w:lang w:val="en-GB"/>
        </w:rPr>
        <w:t xml:space="preserve"> remains the only case in which workers successfully proved the existence of a cartel between employers constituting a </w:t>
      </w:r>
      <w:r w:rsidRPr="00F54143">
        <w:rPr>
          <w:rFonts w:ascii="Times" w:eastAsia="Times New Roman" w:hAnsi="Times" w:cs="Times New Roman"/>
          <w:iCs/>
          <w:shd w:val="clear" w:color="auto" w:fill="FFFFFF"/>
          <w:lang w:val="en-GB"/>
        </w:rPr>
        <w:t>per se</w:t>
      </w:r>
      <w:r w:rsidRPr="00A639AB">
        <w:rPr>
          <w:rFonts w:ascii="Times" w:eastAsia="Times New Roman" w:hAnsi="Times" w:cs="Times New Roman"/>
          <w:shd w:val="clear" w:color="auto" w:fill="FFFFFF"/>
          <w:lang w:val="en-GB"/>
        </w:rPr>
        <w:t xml:space="preserve"> violation of federal antitrust rules. In a case involving several American national champions, which surprisingly attracted little coverage in</w:t>
      </w:r>
      <w:r w:rsidR="009C56AB">
        <w:rPr>
          <w:rFonts w:ascii="Times" w:eastAsia="Times New Roman" w:hAnsi="Times" w:cs="Times New Roman"/>
          <w:shd w:val="clear" w:color="auto" w:fill="FFFFFF"/>
          <w:lang w:val="en-GB"/>
        </w:rPr>
        <w:t xml:space="preserve"> the</w:t>
      </w:r>
      <w:r w:rsidRPr="00A639AB">
        <w:rPr>
          <w:rFonts w:ascii="Times" w:eastAsia="Times New Roman" w:hAnsi="Times" w:cs="Times New Roman"/>
          <w:shd w:val="clear" w:color="auto" w:fill="FFFFFF"/>
          <w:lang w:val="en-GB"/>
        </w:rPr>
        <w:t xml:space="preserve"> international media, multinational corporations of the Silicon Valley, including Adobe, Apple, Google, Intel, Lucasfilm </w:t>
      </w:r>
      <w:r w:rsidR="009C56AB">
        <w:rPr>
          <w:rFonts w:ascii="Times" w:eastAsia="Times New Roman" w:hAnsi="Times" w:cs="Times New Roman"/>
          <w:shd w:val="clear" w:color="auto" w:fill="FFFFFF"/>
          <w:lang w:val="en-GB"/>
        </w:rPr>
        <w:t xml:space="preserve">and </w:t>
      </w:r>
      <w:r w:rsidRPr="00A639AB">
        <w:rPr>
          <w:rFonts w:ascii="Times" w:eastAsia="Times New Roman" w:hAnsi="Times" w:cs="Times New Roman"/>
          <w:shd w:val="clear" w:color="auto" w:fill="FFFFFF"/>
          <w:lang w:val="en-GB"/>
        </w:rPr>
        <w:t>Pixar Film, entered into a network of bilateral agreements under the leadership of</w:t>
      </w:r>
      <w:r w:rsidR="009C56AB">
        <w:rPr>
          <w:rFonts w:ascii="Times" w:eastAsia="Times New Roman" w:hAnsi="Times" w:cs="Times New Roman"/>
          <w:shd w:val="clear" w:color="auto" w:fill="FFFFFF"/>
          <w:lang w:val="en-GB"/>
        </w:rPr>
        <w:t xml:space="preserve"> the</w:t>
      </w:r>
      <w:r w:rsidRPr="00A639AB">
        <w:rPr>
          <w:rFonts w:ascii="Times" w:eastAsia="Times New Roman" w:hAnsi="Times" w:cs="Times New Roman"/>
          <w:shd w:val="clear" w:color="auto" w:fill="FFFFFF"/>
          <w:lang w:val="en-GB"/>
        </w:rPr>
        <w:t xml:space="preserve"> late Steve Jobs, who was either </w:t>
      </w:r>
      <w:r w:rsidR="009C56AB">
        <w:rPr>
          <w:rFonts w:ascii="Times" w:eastAsia="Times New Roman" w:hAnsi="Times" w:cs="Times New Roman"/>
          <w:shd w:val="clear" w:color="auto" w:fill="FFFFFF"/>
          <w:lang w:val="en-GB"/>
        </w:rPr>
        <w:t>a member of</w:t>
      </w:r>
      <w:r w:rsidRPr="00A639AB">
        <w:rPr>
          <w:rFonts w:ascii="Times" w:eastAsia="Times New Roman" w:hAnsi="Times" w:cs="Times New Roman"/>
          <w:shd w:val="clear" w:color="auto" w:fill="FFFFFF"/>
          <w:lang w:val="en-GB"/>
        </w:rPr>
        <w:t xml:space="preserve"> or influential </w:t>
      </w:r>
      <w:r w:rsidR="00AB333A">
        <w:rPr>
          <w:rFonts w:ascii="Times" w:eastAsia="Times New Roman" w:hAnsi="Times" w:cs="Times New Roman"/>
          <w:shd w:val="clear" w:color="auto" w:fill="FFFFFF"/>
          <w:lang w:val="en-GB"/>
        </w:rPr>
        <w:t>in the management boards</w:t>
      </w:r>
      <w:r w:rsidRPr="00A639AB">
        <w:rPr>
          <w:rFonts w:ascii="Times" w:eastAsia="Times New Roman" w:hAnsi="Times" w:cs="Times New Roman"/>
          <w:shd w:val="clear" w:color="auto" w:fill="FFFFFF"/>
          <w:lang w:val="en-GB"/>
        </w:rPr>
        <w:t xml:space="preserve"> of these companies. The purpose of these agreements was to prevent those companies from approaching each other’s employees with the aim of hiring them. The agreements formed ‘an overall conspiracy that resulted in artificially lower salaries’ in the industry.</w:t>
      </w:r>
      <w:r w:rsidRPr="00A639AB">
        <w:rPr>
          <w:rStyle w:val="FootnoteReference"/>
          <w:rFonts w:ascii="Times" w:eastAsia="Times New Roman" w:hAnsi="Times" w:cs="Times New Roman"/>
          <w:shd w:val="clear" w:color="auto" w:fill="FFFFFF"/>
          <w:lang w:val="en-GB"/>
        </w:rPr>
        <w:footnoteReference w:id="100"/>
      </w:r>
      <w:r w:rsidRPr="00A639AB">
        <w:rPr>
          <w:rFonts w:ascii="Times" w:eastAsia="Times New Roman" w:hAnsi="Times" w:cs="Times New Roman"/>
          <w:shd w:val="clear" w:color="auto" w:fill="FFFFFF"/>
          <w:lang w:val="en-GB"/>
        </w:rPr>
        <w:t xml:space="preserve"> </w:t>
      </w:r>
      <w:r w:rsidR="00646813">
        <w:rPr>
          <w:rFonts w:ascii="Times" w:eastAsia="Times New Roman" w:hAnsi="Times" w:cs="Times New Roman"/>
          <w:shd w:val="clear" w:color="auto" w:fill="FFFFFF"/>
          <w:lang w:val="en-GB"/>
        </w:rPr>
        <w:t>In</w:t>
      </w:r>
      <w:r w:rsidR="00646813" w:rsidRPr="00A639AB">
        <w:rPr>
          <w:rFonts w:ascii="Times" w:eastAsia="Times New Roman" w:hAnsi="Times" w:cs="Times New Roman"/>
          <w:shd w:val="clear" w:color="auto" w:fill="FFFFFF"/>
          <w:lang w:val="en-GB"/>
        </w:rPr>
        <w:t xml:space="preserve"> </w:t>
      </w:r>
      <w:r w:rsidRPr="00A639AB">
        <w:rPr>
          <w:rFonts w:ascii="Times" w:eastAsia="Times New Roman" w:hAnsi="Times" w:cs="Times New Roman"/>
          <w:shd w:val="clear" w:color="auto" w:fill="FFFFFF"/>
          <w:lang w:val="en-GB"/>
        </w:rPr>
        <w:t>a substantial</w:t>
      </w:r>
      <w:r w:rsidR="00646813">
        <w:rPr>
          <w:rFonts w:ascii="Times" w:eastAsia="Times New Roman" w:hAnsi="Times" w:cs="Times New Roman"/>
          <w:shd w:val="clear" w:color="auto" w:fill="FFFFFF"/>
          <w:lang w:val="en-GB"/>
        </w:rPr>
        <w:t>ly</w:t>
      </w:r>
      <w:r w:rsidRPr="00A639AB">
        <w:rPr>
          <w:rFonts w:ascii="Times" w:eastAsia="Times New Roman" w:hAnsi="Times" w:cs="Times New Roman"/>
          <w:shd w:val="clear" w:color="auto" w:fill="FFFFFF"/>
          <w:lang w:val="en-GB"/>
        </w:rPr>
        <w:t xml:space="preserve"> differen</w:t>
      </w:r>
      <w:r w:rsidR="00646813">
        <w:rPr>
          <w:rFonts w:ascii="Times" w:eastAsia="Times New Roman" w:hAnsi="Times" w:cs="Times New Roman"/>
          <w:shd w:val="clear" w:color="auto" w:fill="FFFFFF"/>
          <w:lang w:val="en-GB"/>
        </w:rPr>
        <w:t>t move</w:t>
      </w:r>
      <w:r w:rsidRPr="00A639AB">
        <w:rPr>
          <w:rFonts w:ascii="Times" w:eastAsia="Times New Roman" w:hAnsi="Times" w:cs="Times New Roman"/>
          <w:shd w:val="clear" w:color="auto" w:fill="FFFFFF"/>
          <w:lang w:val="en-GB"/>
        </w:rPr>
        <w:t xml:space="preserve"> from other similar cases, the U.S. Department of Justice had previously investigated the same network of agreements as a </w:t>
      </w:r>
      <w:r w:rsidRPr="00F54143">
        <w:rPr>
          <w:rFonts w:ascii="Times" w:eastAsia="Times New Roman" w:hAnsi="Times" w:cs="Times New Roman"/>
          <w:iCs/>
          <w:shd w:val="clear" w:color="auto" w:fill="FFFFFF"/>
          <w:lang w:val="en-GB"/>
        </w:rPr>
        <w:t>per se</w:t>
      </w:r>
      <w:r w:rsidRPr="00A639AB">
        <w:rPr>
          <w:rFonts w:ascii="Times" w:eastAsia="Times New Roman" w:hAnsi="Times" w:cs="Times New Roman"/>
          <w:shd w:val="clear" w:color="auto" w:fill="FFFFFF"/>
          <w:lang w:val="en-GB"/>
        </w:rPr>
        <w:t xml:space="preserve"> violation of the federal antitrust </w:t>
      </w:r>
      <w:r>
        <w:rPr>
          <w:rFonts w:ascii="Times" w:eastAsia="Times New Roman" w:hAnsi="Times" w:cs="Times New Roman"/>
          <w:shd w:val="clear" w:color="auto" w:fill="FFFFFF"/>
          <w:lang w:val="en-GB"/>
        </w:rPr>
        <w:t>law</w:t>
      </w:r>
      <w:r>
        <w:rPr>
          <w:rStyle w:val="FootnoteReference"/>
          <w:rFonts w:ascii="Times" w:eastAsia="Times New Roman" w:hAnsi="Times" w:cs="Times New Roman"/>
          <w:shd w:val="clear" w:color="auto" w:fill="FFFFFF"/>
          <w:lang w:val="en-GB"/>
        </w:rPr>
        <w:footnoteReference w:id="101"/>
      </w:r>
      <w:r>
        <w:rPr>
          <w:rFonts w:ascii="Times" w:eastAsia="Times New Roman" w:hAnsi="Times" w:cs="Times New Roman"/>
          <w:shd w:val="clear" w:color="auto" w:fill="FFFFFF"/>
          <w:lang w:val="en-GB"/>
        </w:rPr>
        <w:t xml:space="preserve"> </w:t>
      </w:r>
      <w:r w:rsidRPr="00A639AB">
        <w:rPr>
          <w:rFonts w:ascii="Times" w:eastAsia="Times New Roman" w:hAnsi="Times" w:cs="Times New Roman"/>
          <w:shd w:val="clear" w:color="auto" w:fill="FFFFFF"/>
          <w:lang w:val="en-GB"/>
        </w:rPr>
        <w:t xml:space="preserve">and the evidence collected during this investigation provided the main factual framework of the plaintiffs’ case. Arguably this made it relatively easier for the plaintiffs to prove the existence of a </w:t>
      </w:r>
      <w:r w:rsidRPr="00F54143">
        <w:rPr>
          <w:rFonts w:ascii="Times" w:eastAsia="Times New Roman" w:hAnsi="Times" w:cs="Times New Roman"/>
          <w:iCs/>
          <w:shd w:val="clear" w:color="auto" w:fill="FFFFFF"/>
          <w:lang w:val="en-GB"/>
        </w:rPr>
        <w:t>per se</w:t>
      </w:r>
      <w:r w:rsidRPr="00A639AB">
        <w:rPr>
          <w:rFonts w:ascii="Times" w:eastAsia="Times New Roman" w:hAnsi="Times" w:cs="Times New Roman"/>
          <w:shd w:val="clear" w:color="auto" w:fill="FFFFFF"/>
          <w:lang w:val="en-GB"/>
        </w:rPr>
        <w:t xml:space="preserve"> violation in this case.</w:t>
      </w:r>
    </w:p>
    <w:p w14:paraId="3786021B" w14:textId="77777777" w:rsidR="00921C73" w:rsidRDefault="00921C73" w:rsidP="00F22BA5">
      <w:pPr>
        <w:spacing w:line="480" w:lineRule="auto"/>
        <w:jc w:val="both"/>
        <w:rPr>
          <w:rFonts w:ascii="Times" w:eastAsia="Times New Roman" w:hAnsi="Times" w:cs="Times New Roman"/>
          <w:shd w:val="clear" w:color="auto" w:fill="FFFFFF"/>
          <w:lang w:val="en-GB"/>
        </w:rPr>
      </w:pPr>
    </w:p>
    <w:p w14:paraId="2B0B9157" w14:textId="77777777" w:rsidR="00AB333A" w:rsidRPr="00964BA5" w:rsidRDefault="00AB333A" w:rsidP="00F22BA5">
      <w:pPr>
        <w:pStyle w:val="ListParagraph"/>
        <w:numPr>
          <w:ilvl w:val="0"/>
          <w:numId w:val="2"/>
        </w:numPr>
        <w:spacing w:line="480" w:lineRule="auto"/>
        <w:jc w:val="both"/>
        <w:rPr>
          <w:rFonts w:ascii="Times" w:eastAsia="Times New Roman" w:hAnsi="Times" w:cs="Times New Roman"/>
          <w:b/>
          <w:shd w:val="clear" w:color="auto" w:fill="FFFFFF"/>
          <w:lang w:val="en-GB"/>
        </w:rPr>
      </w:pPr>
      <w:r w:rsidRPr="00964BA5">
        <w:rPr>
          <w:rFonts w:ascii="Times" w:eastAsia="Times New Roman" w:hAnsi="Times" w:cs="Times New Roman"/>
          <w:b/>
          <w:shd w:val="clear" w:color="auto" w:fill="FFFFFF"/>
          <w:lang w:val="en-GB"/>
        </w:rPr>
        <w:t xml:space="preserve">A comparison </w:t>
      </w:r>
      <w:r w:rsidR="00670CC3" w:rsidRPr="00964BA5">
        <w:rPr>
          <w:rFonts w:ascii="Times" w:eastAsia="Times New Roman" w:hAnsi="Times" w:cs="Times New Roman"/>
          <w:b/>
          <w:shd w:val="clear" w:color="auto" w:fill="FFFFFF"/>
          <w:lang w:val="en-GB"/>
        </w:rPr>
        <w:t xml:space="preserve">and summary </w:t>
      </w:r>
      <w:r w:rsidRPr="00964BA5">
        <w:rPr>
          <w:rFonts w:ascii="Times" w:eastAsia="Times New Roman" w:hAnsi="Times" w:cs="Times New Roman"/>
          <w:b/>
          <w:shd w:val="clear" w:color="auto" w:fill="FFFFFF"/>
          <w:lang w:val="en-GB"/>
        </w:rPr>
        <w:t xml:space="preserve">of the </w:t>
      </w:r>
      <w:r w:rsidR="00670CC3" w:rsidRPr="00964BA5">
        <w:rPr>
          <w:rFonts w:ascii="Times" w:eastAsia="Times New Roman" w:hAnsi="Times" w:cs="Times New Roman"/>
          <w:b/>
          <w:shd w:val="clear" w:color="auto" w:fill="FFFFFF"/>
          <w:lang w:val="en-GB"/>
        </w:rPr>
        <w:t xml:space="preserve">EU and </w:t>
      </w:r>
      <w:r w:rsidRPr="00964BA5">
        <w:rPr>
          <w:rFonts w:ascii="Times" w:eastAsia="Times New Roman" w:hAnsi="Times" w:cs="Times New Roman"/>
          <w:b/>
          <w:shd w:val="clear" w:color="auto" w:fill="FFFFFF"/>
          <w:lang w:val="en-GB"/>
        </w:rPr>
        <w:t>U</w:t>
      </w:r>
      <w:r w:rsidR="00670CC3" w:rsidRPr="00964BA5">
        <w:rPr>
          <w:rFonts w:ascii="Times" w:eastAsia="Times New Roman" w:hAnsi="Times" w:cs="Times New Roman"/>
          <w:b/>
          <w:shd w:val="clear" w:color="auto" w:fill="FFFFFF"/>
          <w:lang w:val="en-GB"/>
        </w:rPr>
        <w:t>S</w:t>
      </w:r>
      <w:r w:rsidRPr="00964BA5">
        <w:rPr>
          <w:rFonts w:ascii="Times" w:eastAsia="Times New Roman" w:hAnsi="Times" w:cs="Times New Roman"/>
          <w:b/>
          <w:shd w:val="clear" w:color="auto" w:fill="FFFFFF"/>
          <w:lang w:val="en-GB"/>
        </w:rPr>
        <w:t xml:space="preserve"> legal </w:t>
      </w:r>
      <w:r w:rsidR="002F3E3C" w:rsidRPr="00964BA5">
        <w:rPr>
          <w:rFonts w:ascii="Times" w:eastAsia="Times New Roman" w:hAnsi="Times" w:cs="Times New Roman"/>
          <w:b/>
          <w:shd w:val="clear" w:color="auto" w:fill="FFFFFF"/>
          <w:lang w:val="en-GB"/>
        </w:rPr>
        <w:t>positions</w:t>
      </w:r>
      <w:r w:rsidRPr="00964BA5">
        <w:rPr>
          <w:rFonts w:ascii="Times" w:eastAsia="Times New Roman" w:hAnsi="Times" w:cs="Times New Roman"/>
          <w:b/>
          <w:shd w:val="clear" w:color="auto" w:fill="FFFFFF"/>
          <w:lang w:val="en-GB"/>
        </w:rPr>
        <w:t xml:space="preserve"> </w:t>
      </w:r>
    </w:p>
    <w:p w14:paraId="75D36DAD" w14:textId="77777777" w:rsidR="009B1CDA" w:rsidRPr="00A639AB" w:rsidRDefault="009B1CDA" w:rsidP="00F22BA5">
      <w:pPr>
        <w:spacing w:line="480" w:lineRule="auto"/>
        <w:jc w:val="both"/>
        <w:rPr>
          <w:rFonts w:ascii="Times" w:eastAsia="Times New Roman" w:hAnsi="Times" w:cs="Times New Roman"/>
          <w:shd w:val="clear" w:color="auto" w:fill="FFFFFF"/>
          <w:lang w:val="en-GB"/>
        </w:rPr>
      </w:pPr>
    </w:p>
    <w:p w14:paraId="4B237318" w14:textId="512F1533" w:rsidR="00947426" w:rsidRDefault="002F3E3C" w:rsidP="00F22BA5">
      <w:pPr>
        <w:spacing w:line="480" w:lineRule="auto"/>
        <w:ind w:right="95"/>
        <w:jc w:val="both"/>
        <w:rPr>
          <w:rFonts w:ascii="Times" w:eastAsia="Times New Roman" w:hAnsi="Times" w:cs="Arial"/>
        </w:rPr>
      </w:pPr>
      <w:r>
        <w:rPr>
          <w:rFonts w:ascii="Times" w:eastAsia="Times New Roman" w:hAnsi="Times" w:cs="Arial"/>
        </w:rPr>
        <w:t>Courts on either side of the Atlantic apply different legal tests with the aim of solving the competition</w:t>
      </w:r>
      <w:r w:rsidR="00646813">
        <w:rPr>
          <w:rFonts w:ascii="Times" w:eastAsia="Times New Roman" w:hAnsi="Times" w:cs="Times"/>
        </w:rPr>
        <w:t>–</w:t>
      </w:r>
      <w:r>
        <w:rPr>
          <w:rFonts w:ascii="Times" w:eastAsia="Times New Roman" w:hAnsi="Times" w:cs="Arial"/>
        </w:rPr>
        <w:t xml:space="preserve">solidarity conflict. Nevertheless, despite the differences in the legal tests applied, it can safely be argued that competition laws have become a disciplining mechanism against collective worker action both in the EU and the US. </w:t>
      </w:r>
    </w:p>
    <w:p w14:paraId="2A033344" w14:textId="77777777" w:rsidR="002F3E3C" w:rsidRDefault="002F3E3C" w:rsidP="00F22BA5">
      <w:pPr>
        <w:spacing w:line="480" w:lineRule="auto"/>
        <w:ind w:right="95"/>
        <w:jc w:val="both"/>
        <w:rPr>
          <w:rFonts w:ascii="Times" w:eastAsia="Times New Roman" w:hAnsi="Times" w:cs="Arial"/>
        </w:rPr>
      </w:pPr>
    </w:p>
    <w:p w14:paraId="57D27F7C" w14:textId="164D1867" w:rsidR="002F3E3C" w:rsidRPr="00A639AB" w:rsidRDefault="002F3E3C" w:rsidP="00F22BA5">
      <w:pPr>
        <w:spacing w:line="480" w:lineRule="auto"/>
        <w:ind w:right="78"/>
        <w:jc w:val="both"/>
        <w:rPr>
          <w:rFonts w:ascii="Times" w:eastAsia="Times New Roman" w:hAnsi="Times" w:cs="Times New Roman"/>
          <w:shd w:val="clear" w:color="auto" w:fill="FFFFFF"/>
          <w:lang w:val="en-GB"/>
        </w:rPr>
      </w:pPr>
      <w:r w:rsidRPr="00A639AB">
        <w:rPr>
          <w:rFonts w:ascii="Times" w:eastAsia="Times New Roman" w:hAnsi="Times" w:cs="Times New Roman"/>
          <w:shd w:val="clear" w:color="auto" w:fill="FFFFFF"/>
          <w:lang w:val="en-GB"/>
        </w:rPr>
        <w:t xml:space="preserve">In the EU, the </w:t>
      </w:r>
      <w:r w:rsidR="00BB5938">
        <w:rPr>
          <w:rFonts w:ascii="Times" w:eastAsia="Times New Roman" w:hAnsi="Times" w:cs="Times New Roman"/>
          <w:shd w:val="clear" w:color="auto" w:fill="FFFFFF"/>
          <w:lang w:val="en-GB"/>
        </w:rPr>
        <w:t>competition</w:t>
      </w:r>
      <w:r w:rsidR="00646813">
        <w:rPr>
          <w:rFonts w:ascii="Times" w:eastAsia="Times New Roman" w:hAnsi="Times" w:cs="Times"/>
          <w:shd w:val="clear" w:color="auto" w:fill="FFFFFF"/>
          <w:lang w:val="en-GB"/>
        </w:rPr>
        <w:t>–</w:t>
      </w:r>
      <w:r w:rsidR="00BB5938">
        <w:rPr>
          <w:rFonts w:ascii="Times" w:eastAsia="Times New Roman" w:hAnsi="Times" w:cs="Times New Roman"/>
          <w:shd w:val="clear" w:color="auto" w:fill="FFFFFF"/>
          <w:lang w:val="en-GB"/>
        </w:rPr>
        <w:t xml:space="preserve">solidarity </w:t>
      </w:r>
      <w:r w:rsidRPr="00A639AB">
        <w:rPr>
          <w:rFonts w:ascii="Times" w:eastAsia="Times New Roman" w:hAnsi="Times" w:cs="Times New Roman"/>
          <w:shd w:val="clear" w:color="auto" w:fill="FFFFFF"/>
          <w:lang w:val="en-GB"/>
        </w:rPr>
        <w:t xml:space="preserve">conflict </w:t>
      </w:r>
      <w:r w:rsidR="00BB5938">
        <w:rPr>
          <w:rFonts w:ascii="Times" w:eastAsia="Times New Roman" w:hAnsi="Times" w:cs="Times New Roman"/>
          <w:shd w:val="clear" w:color="auto" w:fill="FFFFFF"/>
          <w:lang w:val="en-GB"/>
        </w:rPr>
        <w:t>is</w:t>
      </w:r>
      <w:r w:rsidRPr="00A639AB">
        <w:rPr>
          <w:rFonts w:ascii="Times" w:eastAsia="Times New Roman" w:hAnsi="Times" w:cs="Times New Roman"/>
          <w:shd w:val="clear" w:color="auto" w:fill="FFFFFF"/>
          <w:lang w:val="en-GB"/>
        </w:rPr>
        <w:t xml:space="preserve"> resolved </w:t>
      </w:r>
      <w:r w:rsidR="00646813">
        <w:rPr>
          <w:rFonts w:ascii="Times" w:eastAsia="Times New Roman" w:hAnsi="Times" w:cs="Times New Roman"/>
          <w:shd w:val="clear" w:color="auto" w:fill="FFFFFF"/>
          <w:lang w:val="en-GB"/>
        </w:rPr>
        <w:t xml:space="preserve">by </w:t>
      </w:r>
      <w:r w:rsidRPr="00A639AB">
        <w:rPr>
          <w:rFonts w:ascii="Times" w:eastAsia="Times New Roman" w:hAnsi="Times" w:cs="Times New Roman"/>
          <w:shd w:val="clear" w:color="auto" w:fill="FFFFFF"/>
          <w:lang w:val="en-GB"/>
        </w:rPr>
        <w:t xml:space="preserve">taking as reference points the objectives of the Union as specified in the founding Treaties as well as the characteristics of undertakings as defined in EU competition law. The result is a fragile judge-made labour exemption based on a limited and imprecise definition of the collective bargaining process as well as an abundant emphasis on employer control. This tightly framed judicial exemption is likely to </w:t>
      </w:r>
      <w:r>
        <w:rPr>
          <w:rFonts w:ascii="Times" w:eastAsia="Times New Roman" w:hAnsi="Times" w:cs="Times New Roman"/>
          <w:shd w:val="clear" w:color="auto" w:fill="FFFFFF"/>
          <w:lang w:val="en-GB"/>
        </w:rPr>
        <w:t>impede collective action</w:t>
      </w:r>
      <w:r w:rsidR="00646813">
        <w:rPr>
          <w:rFonts w:ascii="Times" w:eastAsia="Times New Roman" w:hAnsi="Times" w:cs="Times New Roman"/>
          <w:shd w:val="clear" w:color="auto" w:fill="FFFFFF"/>
          <w:lang w:val="en-GB"/>
        </w:rPr>
        <w:t>,</w:t>
      </w:r>
      <w:r>
        <w:rPr>
          <w:rFonts w:ascii="Times" w:eastAsia="Times New Roman" w:hAnsi="Times" w:cs="Times New Roman"/>
          <w:shd w:val="clear" w:color="auto" w:fill="FFFFFF"/>
          <w:lang w:val="en-GB"/>
        </w:rPr>
        <w:t xml:space="preserve"> particularly by </w:t>
      </w:r>
      <w:proofErr w:type="spellStart"/>
      <w:r w:rsidRPr="00A639AB">
        <w:rPr>
          <w:rFonts w:ascii="Times" w:eastAsia="Times New Roman" w:hAnsi="Times" w:cs="Times New Roman"/>
          <w:shd w:val="clear" w:color="auto" w:fill="FFFFFF"/>
          <w:lang w:val="en-GB"/>
        </w:rPr>
        <w:t>casualised</w:t>
      </w:r>
      <w:proofErr w:type="spellEnd"/>
      <w:r w:rsidRPr="00A639AB">
        <w:rPr>
          <w:rFonts w:ascii="Times" w:eastAsia="Times New Roman" w:hAnsi="Times" w:cs="Times New Roman"/>
          <w:shd w:val="clear" w:color="auto" w:fill="FFFFFF"/>
          <w:lang w:val="en-GB"/>
        </w:rPr>
        <w:t xml:space="preserve"> workers, who are kept at legal arms’ length by employers</w:t>
      </w:r>
      <w:r w:rsidR="00646813">
        <w:rPr>
          <w:rFonts w:ascii="Times" w:eastAsia="Times New Roman" w:hAnsi="Times" w:cs="Times New Roman"/>
          <w:shd w:val="clear" w:color="auto" w:fill="FFFFFF"/>
          <w:lang w:val="en-GB"/>
        </w:rPr>
        <w:t>,</w:t>
      </w:r>
      <w:r w:rsidR="00F140AE">
        <w:rPr>
          <w:rFonts w:ascii="Times" w:eastAsia="Times New Roman" w:hAnsi="Times" w:cs="Times New Roman"/>
          <w:shd w:val="clear" w:color="auto" w:fill="FFFFFF"/>
          <w:lang w:val="en-GB"/>
        </w:rPr>
        <w:t xml:space="preserve"> which is becoming an increasingly common type of work rather than the exception.</w:t>
      </w:r>
    </w:p>
    <w:p w14:paraId="41719256" w14:textId="77777777" w:rsidR="002F3E3C" w:rsidRPr="00A639AB" w:rsidRDefault="002F3E3C" w:rsidP="00F22BA5">
      <w:pPr>
        <w:spacing w:line="480" w:lineRule="auto"/>
        <w:ind w:right="78"/>
        <w:jc w:val="both"/>
        <w:rPr>
          <w:rFonts w:ascii="Times" w:eastAsia="Times New Roman" w:hAnsi="Times" w:cs="Times New Roman"/>
          <w:shd w:val="clear" w:color="auto" w:fill="FFFFFF"/>
          <w:lang w:val="en-GB"/>
        </w:rPr>
      </w:pPr>
    </w:p>
    <w:p w14:paraId="3D07C25C" w14:textId="442F0E12" w:rsidR="005908C3" w:rsidRDefault="003E2415" w:rsidP="00F22BA5">
      <w:pPr>
        <w:spacing w:line="480" w:lineRule="auto"/>
        <w:ind w:right="78"/>
        <w:jc w:val="both"/>
        <w:rPr>
          <w:rFonts w:ascii="Times" w:eastAsia="Times New Roman" w:hAnsi="Times" w:cs="Times New Roman"/>
          <w:shd w:val="clear" w:color="auto" w:fill="FFFFFF"/>
          <w:lang w:val="en-GB"/>
        </w:rPr>
      </w:pPr>
      <w:r>
        <w:rPr>
          <w:rFonts w:ascii="Times" w:eastAsia="Times New Roman" w:hAnsi="Times" w:cs="Times New Roman"/>
          <w:shd w:val="clear" w:color="auto" w:fill="FFFFFF"/>
          <w:lang w:val="en-GB"/>
        </w:rPr>
        <w:t>Workers receive even</w:t>
      </w:r>
      <w:r w:rsidR="002F3E3C" w:rsidRPr="00A639AB">
        <w:rPr>
          <w:rFonts w:ascii="Times" w:eastAsia="Times New Roman" w:hAnsi="Times" w:cs="Times New Roman"/>
          <w:shd w:val="clear" w:color="auto" w:fill="FFFFFF"/>
          <w:lang w:val="en-GB"/>
        </w:rPr>
        <w:t xml:space="preserve"> more drastic treatment in US antitrust law, which has practically become a device to discipline workers and to prevent collective action. </w:t>
      </w:r>
      <w:r>
        <w:rPr>
          <w:rFonts w:ascii="Times" w:eastAsia="Times New Roman" w:hAnsi="Times" w:cs="Times New Roman"/>
          <w:shd w:val="clear" w:color="auto" w:fill="FFFFFF"/>
          <w:lang w:val="en-GB"/>
        </w:rPr>
        <w:t xml:space="preserve">As the US antitrust laws </w:t>
      </w:r>
      <w:r w:rsidR="00DE3EAF">
        <w:rPr>
          <w:rFonts w:ascii="Times" w:eastAsia="Times New Roman" w:hAnsi="Times" w:cs="Times New Roman"/>
          <w:shd w:val="clear" w:color="auto" w:fill="FFFFFF"/>
          <w:lang w:val="en-GB"/>
        </w:rPr>
        <w:t>potentially apply</w:t>
      </w:r>
      <w:r>
        <w:rPr>
          <w:rFonts w:ascii="Times" w:eastAsia="Times New Roman" w:hAnsi="Times" w:cs="Times New Roman"/>
          <w:shd w:val="clear" w:color="auto" w:fill="FFFFFF"/>
          <w:lang w:val="en-GB"/>
        </w:rPr>
        <w:t xml:space="preserve"> to all individuals, Congress had to step in and adopt a labour exemption in order to protect collective worker action from antitrust attack. Nevertheless, the </w:t>
      </w:r>
      <w:r w:rsidR="002F3E3C" w:rsidRPr="00A639AB">
        <w:rPr>
          <w:rFonts w:ascii="Times" w:eastAsia="Times New Roman" w:hAnsi="Times" w:cs="Times New Roman"/>
          <w:shd w:val="clear" w:color="auto" w:fill="FFFFFF"/>
          <w:lang w:val="en-GB"/>
        </w:rPr>
        <w:t xml:space="preserve">Supreme Court adopted a restrictive </w:t>
      </w:r>
      <w:r>
        <w:rPr>
          <w:rFonts w:ascii="Times" w:eastAsia="Times New Roman" w:hAnsi="Times" w:cs="Times New Roman"/>
          <w:shd w:val="clear" w:color="auto" w:fill="FFFFFF"/>
          <w:lang w:val="en-GB"/>
        </w:rPr>
        <w:t xml:space="preserve">judicial test to apply this </w:t>
      </w:r>
      <w:r w:rsidR="002F3E3C" w:rsidRPr="00A639AB">
        <w:rPr>
          <w:rFonts w:ascii="Times" w:eastAsia="Times New Roman" w:hAnsi="Times" w:cs="Times New Roman"/>
          <w:shd w:val="clear" w:color="auto" w:fill="FFFFFF"/>
          <w:lang w:val="en-GB"/>
        </w:rPr>
        <w:t>exemption</w:t>
      </w:r>
      <w:r>
        <w:rPr>
          <w:rFonts w:ascii="Times" w:eastAsia="Times New Roman" w:hAnsi="Times" w:cs="Times New Roman"/>
          <w:shd w:val="clear" w:color="auto" w:fill="FFFFFF"/>
          <w:lang w:val="en-GB"/>
        </w:rPr>
        <w:t>,</w:t>
      </w:r>
      <w:r w:rsidR="002F3E3C" w:rsidRPr="00A639AB">
        <w:rPr>
          <w:rFonts w:ascii="Times" w:eastAsia="Times New Roman" w:hAnsi="Times" w:cs="Times New Roman"/>
          <w:shd w:val="clear" w:color="auto" w:fill="FFFFFF"/>
          <w:lang w:val="en-GB"/>
        </w:rPr>
        <w:t xml:space="preserve"> </w:t>
      </w:r>
      <w:r>
        <w:rPr>
          <w:rFonts w:ascii="Times" w:eastAsia="Times New Roman" w:hAnsi="Times" w:cs="Times New Roman"/>
          <w:shd w:val="clear" w:color="auto" w:fill="FFFFFF"/>
          <w:lang w:val="en-GB"/>
        </w:rPr>
        <w:t>even in the presence of strong legislative support for collective action</w:t>
      </w:r>
      <w:r w:rsidR="002F3E3C" w:rsidRPr="00A639AB">
        <w:rPr>
          <w:rFonts w:ascii="Times" w:eastAsia="Times New Roman" w:hAnsi="Times" w:cs="Times New Roman"/>
          <w:shd w:val="clear" w:color="auto" w:fill="FFFFFF"/>
          <w:lang w:val="en-GB"/>
        </w:rPr>
        <w:t xml:space="preserve">. </w:t>
      </w:r>
      <w:r w:rsidR="00E64E1E">
        <w:rPr>
          <w:rFonts w:ascii="Times" w:eastAsia="Times New Roman" w:hAnsi="Times" w:cs="Times New Roman"/>
          <w:shd w:val="clear" w:color="auto" w:fill="FFFFFF"/>
          <w:lang w:val="en-GB"/>
        </w:rPr>
        <w:t>Federal c</w:t>
      </w:r>
      <w:r w:rsidR="005908C3">
        <w:rPr>
          <w:rFonts w:ascii="Times" w:eastAsia="Times New Roman" w:hAnsi="Times" w:cs="Times New Roman"/>
          <w:shd w:val="clear" w:color="auto" w:fill="FFFFFF"/>
          <w:lang w:val="en-GB"/>
        </w:rPr>
        <w:t>ourts treat</w:t>
      </w:r>
      <w:r w:rsidR="002F3E3C" w:rsidRPr="00A639AB">
        <w:rPr>
          <w:rFonts w:ascii="Times" w:eastAsia="Times New Roman" w:hAnsi="Times" w:cs="Times New Roman"/>
          <w:shd w:val="clear" w:color="auto" w:fill="FFFFFF"/>
          <w:lang w:val="en-GB"/>
        </w:rPr>
        <w:t xml:space="preserve"> labour as a commodity in antitrust cases despite the characteristics of labour as a fictitious commodity, which was explicitly recognised </w:t>
      </w:r>
      <w:r w:rsidR="002F3E3C" w:rsidRPr="00A639AB">
        <w:rPr>
          <w:rFonts w:ascii="Times" w:eastAsia="Times New Roman" w:hAnsi="Times" w:cs="Times New Roman"/>
          <w:shd w:val="clear" w:color="auto" w:fill="FFFFFF"/>
          <w:lang w:val="en-GB"/>
        </w:rPr>
        <w:lastRenderedPageBreak/>
        <w:t>in the Clayton Act. In th</w:t>
      </w:r>
      <w:r w:rsidR="005908C3">
        <w:rPr>
          <w:rFonts w:ascii="Times" w:eastAsia="Times New Roman" w:hAnsi="Times" w:cs="Times New Roman"/>
          <w:shd w:val="clear" w:color="auto" w:fill="FFFFFF"/>
          <w:lang w:val="en-GB"/>
        </w:rPr>
        <w:t>is, courts explicitly conflict</w:t>
      </w:r>
      <w:r w:rsidR="002F3E3C" w:rsidRPr="00A639AB">
        <w:rPr>
          <w:rFonts w:ascii="Times" w:eastAsia="Times New Roman" w:hAnsi="Times" w:cs="Times New Roman"/>
          <w:shd w:val="clear" w:color="auto" w:fill="FFFFFF"/>
          <w:lang w:val="en-GB"/>
        </w:rPr>
        <w:t xml:space="preserve"> wi</w:t>
      </w:r>
      <w:r w:rsidR="00E64E1E">
        <w:rPr>
          <w:rFonts w:ascii="Times" w:eastAsia="Times New Roman" w:hAnsi="Times" w:cs="Times New Roman"/>
          <w:shd w:val="clear" w:color="auto" w:fill="FFFFFF"/>
          <w:lang w:val="en-GB"/>
        </w:rPr>
        <w:t xml:space="preserve">th the text and the spirit of </w:t>
      </w:r>
      <w:r w:rsidR="005908C3">
        <w:rPr>
          <w:rFonts w:ascii="Times" w:eastAsia="Times New Roman" w:hAnsi="Times" w:cs="Times New Roman"/>
          <w:shd w:val="clear" w:color="auto" w:fill="FFFFFF"/>
          <w:lang w:val="en-GB"/>
        </w:rPr>
        <w:t>federal antitrust law by overlooking</w:t>
      </w:r>
      <w:r w:rsidR="001D152F">
        <w:rPr>
          <w:rFonts w:ascii="Times" w:eastAsia="Times New Roman" w:hAnsi="Times" w:cs="Times New Roman"/>
          <w:shd w:val="clear" w:color="auto" w:fill="FFFFFF"/>
          <w:lang w:val="en-GB"/>
        </w:rPr>
        <w:t xml:space="preserve"> the fact</w:t>
      </w:r>
      <w:r w:rsidR="005908C3">
        <w:rPr>
          <w:rFonts w:ascii="Times" w:eastAsia="Times New Roman" w:hAnsi="Times" w:cs="Times New Roman"/>
          <w:shd w:val="clear" w:color="auto" w:fill="FFFFFF"/>
          <w:lang w:val="en-GB"/>
        </w:rPr>
        <w:t xml:space="preserve"> that unlike other production factors, labour is attached to and inseparable from the human.  </w:t>
      </w:r>
    </w:p>
    <w:p w14:paraId="6DB82A72" w14:textId="77777777" w:rsidR="005908C3" w:rsidRDefault="005908C3" w:rsidP="00F22BA5">
      <w:pPr>
        <w:spacing w:line="480" w:lineRule="auto"/>
        <w:ind w:right="78"/>
        <w:jc w:val="both"/>
        <w:rPr>
          <w:rFonts w:ascii="Times" w:eastAsia="Times New Roman" w:hAnsi="Times" w:cs="Times New Roman"/>
          <w:shd w:val="clear" w:color="auto" w:fill="FFFFFF"/>
          <w:lang w:val="en-GB"/>
        </w:rPr>
      </w:pPr>
    </w:p>
    <w:p w14:paraId="4D414E40" w14:textId="5F3B7F32" w:rsidR="002F3E3C" w:rsidRDefault="002F3E3C" w:rsidP="00F22BA5">
      <w:pPr>
        <w:spacing w:line="480" w:lineRule="auto"/>
        <w:ind w:right="78"/>
        <w:jc w:val="both"/>
        <w:rPr>
          <w:rFonts w:ascii="Times" w:eastAsia="Times New Roman" w:hAnsi="Times" w:cs="Times New Roman"/>
          <w:shd w:val="clear" w:color="auto" w:fill="FFFFFF"/>
          <w:lang w:val="en-GB"/>
        </w:rPr>
      </w:pPr>
      <w:r w:rsidRPr="00A639AB">
        <w:rPr>
          <w:rFonts w:ascii="Times" w:eastAsia="Times New Roman" w:hAnsi="Times" w:cs="Times New Roman"/>
          <w:shd w:val="clear" w:color="auto" w:fill="FFFFFF"/>
          <w:lang w:val="en-GB"/>
        </w:rPr>
        <w:t xml:space="preserve">Ironically, </w:t>
      </w:r>
      <w:r w:rsidR="00772EC6">
        <w:rPr>
          <w:rFonts w:ascii="Times" w:eastAsia="Times New Roman" w:hAnsi="Times" w:cs="Times New Roman"/>
          <w:shd w:val="clear" w:color="auto" w:fill="FFFFFF"/>
          <w:lang w:val="en-GB"/>
        </w:rPr>
        <w:t>courts also extend</w:t>
      </w:r>
      <w:r w:rsidRPr="00A639AB">
        <w:rPr>
          <w:rFonts w:ascii="Times" w:eastAsia="Times New Roman" w:hAnsi="Times" w:cs="Times New Roman"/>
          <w:shd w:val="clear" w:color="auto" w:fill="FFFFFF"/>
          <w:lang w:val="en-GB"/>
        </w:rPr>
        <w:t xml:space="preserve"> the labour exemption to shield collective employer action from antitrust attack </w:t>
      </w:r>
      <w:r w:rsidR="001D152F">
        <w:rPr>
          <w:rFonts w:ascii="Times" w:eastAsia="Times New Roman" w:hAnsi="Times" w:cs="Times New Roman"/>
          <w:shd w:val="clear" w:color="auto" w:fill="FFFFFF"/>
          <w:lang w:val="en-GB"/>
        </w:rPr>
        <w:t xml:space="preserve">– </w:t>
      </w:r>
      <w:r w:rsidRPr="00A639AB">
        <w:rPr>
          <w:rFonts w:ascii="Times" w:eastAsia="Times New Roman" w:hAnsi="Times" w:cs="Times New Roman"/>
          <w:shd w:val="clear" w:color="auto" w:fill="FFFFFF"/>
          <w:lang w:val="en-GB"/>
        </w:rPr>
        <w:t>against the explicit intention of Congress to protect workers and not employers. It can be clearly seen in Congress debates that the legislature was aware of the idiosyncrasies of labour</w:t>
      </w:r>
      <w:r>
        <w:rPr>
          <w:rFonts w:ascii="Times" w:eastAsia="Times New Roman" w:hAnsi="Times" w:cs="Times New Roman"/>
          <w:shd w:val="clear" w:color="auto" w:fill="FFFFFF"/>
          <w:lang w:val="en-GB"/>
        </w:rPr>
        <w:t>,</w:t>
      </w:r>
      <w:r w:rsidR="005908C3">
        <w:rPr>
          <w:rFonts w:ascii="Times" w:eastAsia="Times New Roman" w:hAnsi="Times" w:cs="Times New Roman"/>
          <w:shd w:val="clear" w:color="auto" w:fill="FFFFFF"/>
          <w:lang w:val="en-GB"/>
        </w:rPr>
        <w:t xml:space="preserve"> which make</w:t>
      </w:r>
      <w:r w:rsidRPr="00A639AB">
        <w:rPr>
          <w:rFonts w:ascii="Times" w:eastAsia="Times New Roman" w:hAnsi="Times" w:cs="Times New Roman"/>
          <w:shd w:val="clear" w:color="auto" w:fill="FFFFFF"/>
          <w:lang w:val="en-GB"/>
        </w:rPr>
        <w:t xml:space="preserve"> it </w:t>
      </w:r>
      <w:r w:rsidR="005908C3">
        <w:rPr>
          <w:rFonts w:ascii="Times" w:eastAsia="Times New Roman" w:hAnsi="Times" w:cs="Times New Roman"/>
          <w:shd w:val="clear" w:color="auto" w:fill="FFFFFF"/>
          <w:lang w:val="en-GB"/>
        </w:rPr>
        <w:t xml:space="preserve">particularly </w:t>
      </w:r>
      <w:r w:rsidRPr="00A639AB">
        <w:rPr>
          <w:rFonts w:ascii="Times" w:eastAsia="Times New Roman" w:hAnsi="Times" w:cs="Times New Roman"/>
          <w:shd w:val="clear" w:color="auto" w:fill="FFFFFF"/>
          <w:lang w:val="en-GB"/>
        </w:rPr>
        <w:t>open to exploitation</w:t>
      </w:r>
      <w:r>
        <w:rPr>
          <w:rFonts w:ascii="Times" w:eastAsia="Times New Roman" w:hAnsi="Times" w:cs="Times New Roman"/>
          <w:shd w:val="clear" w:color="auto" w:fill="FFFFFF"/>
          <w:lang w:val="en-GB"/>
        </w:rPr>
        <w:t>,</w:t>
      </w:r>
      <w:r w:rsidRPr="00A639AB">
        <w:rPr>
          <w:rFonts w:ascii="Times" w:eastAsia="Times New Roman" w:hAnsi="Times" w:cs="Times New Roman"/>
          <w:shd w:val="clear" w:color="auto" w:fill="FFFFFF"/>
          <w:lang w:val="en-GB"/>
        </w:rPr>
        <w:t xml:space="preserve"> whilst enacting the Clayton Act.</w:t>
      </w:r>
    </w:p>
    <w:p w14:paraId="5D63CA62" w14:textId="77777777" w:rsidR="00585B0C" w:rsidRDefault="00585B0C" w:rsidP="00F22BA5">
      <w:pPr>
        <w:spacing w:line="480" w:lineRule="auto"/>
        <w:ind w:right="78"/>
        <w:jc w:val="both"/>
        <w:rPr>
          <w:rFonts w:ascii="Times" w:eastAsia="Times New Roman" w:hAnsi="Times" w:cs="Times New Roman"/>
          <w:shd w:val="clear" w:color="auto" w:fill="FFFFFF"/>
          <w:lang w:val="en-GB"/>
        </w:rPr>
      </w:pPr>
    </w:p>
    <w:p w14:paraId="58580956" w14:textId="7D922AB5" w:rsidR="002F3E3C" w:rsidRDefault="00585B0C" w:rsidP="00F22BA5">
      <w:pPr>
        <w:spacing w:line="480" w:lineRule="auto"/>
        <w:ind w:right="78"/>
        <w:jc w:val="both"/>
        <w:rPr>
          <w:rFonts w:ascii="Times" w:eastAsia="Times New Roman" w:hAnsi="Times" w:cs="Times New Roman"/>
          <w:shd w:val="clear" w:color="auto" w:fill="FFFFFF"/>
          <w:lang w:val="en-GB"/>
        </w:rPr>
      </w:pPr>
      <w:r>
        <w:rPr>
          <w:rFonts w:ascii="Times" w:eastAsia="Times New Roman" w:hAnsi="Times" w:cs="Times New Roman"/>
          <w:shd w:val="clear" w:color="auto" w:fill="FFFFFF"/>
          <w:lang w:val="en-GB"/>
        </w:rPr>
        <w:t>Additionally, in the US</w:t>
      </w:r>
      <w:r w:rsidR="009700B8">
        <w:rPr>
          <w:rFonts w:ascii="Times" w:eastAsia="Times New Roman" w:hAnsi="Times" w:cs="Times New Roman"/>
          <w:shd w:val="clear" w:color="auto" w:fill="FFFFFF"/>
          <w:lang w:val="en-GB"/>
        </w:rPr>
        <w:t>,</w:t>
      </w:r>
      <w:r>
        <w:rPr>
          <w:rFonts w:ascii="Times" w:eastAsia="Times New Roman" w:hAnsi="Times" w:cs="Times New Roman"/>
          <w:shd w:val="clear" w:color="auto" w:fill="FFFFFF"/>
          <w:lang w:val="en-GB"/>
        </w:rPr>
        <w:t xml:space="preserve"> an</w:t>
      </w:r>
      <w:r w:rsidR="009700B8">
        <w:rPr>
          <w:rFonts w:ascii="Times" w:eastAsia="Times New Roman" w:hAnsi="Times" w:cs="Times New Roman"/>
          <w:shd w:val="clear" w:color="auto" w:fill="FFFFFF"/>
          <w:lang w:val="en-GB"/>
        </w:rPr>
        <w:t>titrust law has become a double-</w:t>
      </w:r>
      <w:r>
        <w:rPr>
          <w:rFonts w:ascii="Times" w:eastAsia="Times New Roman" w:hAnsi="Times" w:cs="Times New Roman"/>
          <w:shd w:val="clear" w:color="auto" w:fill="FFFFFF"/>
          <w:lang w:val="en-GB"/>
        </w:rPr>
        <w:t xml:space="preserve">edged sword in conflicts between employers and </w:t>
      </w:r>
      <w:r w:rsidR="009700B8">
        <w:rPr>
          <w:rFonts w:ascii="Times" w:eastAsia="Times New Roman" w:hAnsi="Times" w:cs="Times New Roman"/>
          <w:shd w:val="clear" w:color="auto" w:fill="FFFFFF"/>
          <w:lang w:val="en-GB"/>
        </w:rPr>
        <w:t>workers. Whilst removing the labour exemption easily in cases brought by employers against collective worker action, courts apply strict and confusing legal standards</w:t>
      </w:r>
      <w:r w:rsidR="00AF5DD1">
        <w:rPr>
          <w:rFonts w:ascii="Times" w:eastAsia="Times New Roman" w:hAnsi="Times" w:cs="Times New Roman"/>
          <w:shd w:val="clear" w:color="auto" w:fill="FFFFFF"/>
          <w:lang w:val="en-GB"/>
        </w:rPr>
        <w:t xml:space="preserve"> in cases brought by workers against employers. </w:t>
      </w:r>
      <w:r w:rsidR="00851213">
        <w:rPr>
          <w:rFonts w:ascii="Times" w:eastAsia="Times New Roman" w:hAnsi="Times" w:cs="Times New Roman"/>
          <w:shd w:val="clear" w:color="auto" w:fill="FFFFFF"/>
          <w:lang w:val="en-GB"/>
        </w:rPr>
        <w:t>Federal</w:t>
      </w:r>
      <w:r w:rsidR="002F3E3C" w:rsidRPr="00A639AB">
        <w:rPr>
          <w:rFonts w:ascii="Times" w:eastAsia="Times New Roman" w:hAnsi="Times" w:cs="Times New Roman"/>
          <w:shd w:val="clear" w:color="auto" w:fill="FFFFFF"/>
          <w:lang w:val="en-GB"/>
        </w:rPr>
        <w:t xml:space="preserve"> courts consistently classif</w:t>
      </w:r>
      <w:r w:rsidR="001D152F">
        <w:rPr>
          <w:rFonts w:ascii="Times" w:eastAsia="Times New Roman" w:hAnsi="Times" w:cs="Times New Roman"/>
          <w:shd w:val="clear" w:color="auto" w:fill="FFFFFF"/>
          <w:lang w:val="en-GB"/>
        </w:rPr>
        <w:t>y</w:t>
      </w:r>
      <w:r w:rsidR="002F3E3C" w:rsidRPr="00A639AB">
        <w:rPr>
          <w:rFonts w:ascii="Times" w:eastAsia="Times New Roman" w:hAnsi="Times" w:cs="Times New Roman"/>
          <w:shd w:val="clear" w:color="auto" w:fill="FFFFFF"/>
          <w:lang w:val="en-GB"/>
        </w:rPr>
        <w:t xml:space="preserve"> collusive employ</w:t>
      </w:r>
      <w:r w:rsidR="00851213">
        <w:rPr>
          <w:rFonts w:ascii="Times" w:eastAsia="Times New Roman" w:hAnsi="Times" w:cs="Times New Roman"/>
          <w:shd w:val="clear" w:color="auto" w:fill="FFFFFF"/>
          <w:lang w:val="en-GB"/>
        </w:rPr>
        <w:t>er</w:t>
      </w:r>
      <w:r w:rsidR="002F3E3C" w:rsidRPr="00A639AB">
        <w:rPr>
          <w:rFonts w:ascii="Times" w:eastAsia="Times New Roman" w:hAnsi="Times" w:cs="Times New Roman"/>
          <w:shd w:val="clear" w:color="auto" w:fill="FFFFFF"/>
          <w:lang w:val="en-GB"/>
        </w:rPr>
        <w:t xml:space="preserve"> behaviour against workers </w:t>
      </w:r>
      <w:r w:rsidR="00A91C03">
        <w:rPr>
          <w:rFonts w:ascii="Times" w:eastAsia="Times New Roman" w:hAnsi="Times" w:cs="Times New Roman"/>
          <w:shd w:val="clear" w:color="auto" w:fill="FFFFFF"/>
          <w:lang w:val="en-GB"/>
        </w:rPr>
        <w:t xml:space="preserve">as </w:t>
      </w:r>
      <w:r w:rsidR="002F3E3C" w:rsidRPr="00A639AB">
        <w:rPr>
          <w:rFonts w:ascii="Times" w:eastAsia="Times New Roman" w:hAnsi="Times" w:cs="Times New Roman"/>
          <w:shd w:val="clear" w:color="auto" w:fill="FFFFFF"/>
          <w:lang w:val="en-GB"/>
        </w:rPr>
        <w:t xml:space="preserve">a potential antitrust violation under the rule of reason, rather than the </w:t>
      </w:r>
      <w:r w:rsidR="002F3E3C" w:rsidRPr="00F54143">
        <w:rPr>
          <w:rFonts w:ascii="Times" w:eastAsia="Times New Roman" w:hAnsi="Times" w:cs="Times New Roman"/>
          <w:iCs/>
          <w:shd w:val="clear" w:color="auto" w:fill="FFFFFF"/>
          <w:lang w:val="en-GB"/>
        </w:rPr>
        <w:t>per se</w:t>
      </w:r>
      <w:r w:rsidR="002F3E3C" w:rsidRPr="00A639AB">
        <w:rPr>
          <w:rFonts w:ascii="Times" w:eastAsia="Times New Roman" w:hAnsi="Times" w:cs="Times New Roman"/>
          <w:shd w:val="clear" w:color="auto" w:fill="FFFFFF"/>
          <w:lang w:val="en-GB"/>
        </w:rPr>
        <w:t>, category. This makes it technically difficult and extremely costly for workers to prove employer</w:t>
      </w:r>
      <w:r w:rsidR="00DE5531">
        <w:rPr>
          <w:rFonts w:ascii="Times" w:eastAsia="Times New Roman" w:hAnsi="Times" w:cs="Times New Roman"/>
          <w:shd w:val="clear" w:color="auto" w:fill="FFFFFF"/>
          <w:lang w:val="en-GB"/>
        </w:rPr>
        <w:t xml:space="preserve"> conspiracies against</w:t>
      </w:r>
      <w:r w:rsidR="002F3E3C" w:rsidRPr="00A639AB">
        <w:rPr>
          <w:rFonts w:ascii="Times" w:eastAsia="Times New Roman" w:hAnsi="Times" w:cs="Times New Roman"/>
          <w:shd w:val="clear" w:color="auto" w:fill="FFFFFF"/>
          <w:lang w:val="en-GB"/>
        </w:rPr>
        <w:t xml:space="preserve"> federal antitrust law. </w:t>
      </w:r>
      <w:r w:rsidR="00AF1B25">
        <w:rPr>
          <w:rFonts w:ascii="Times" w:eastAsia="Times New Roman" w:hAnsi="Times" w:cs="Times New Roman"/>
          <w:shd w:val="clear" w:color="auto" w:fill="FFFFFF"/>
          <w:lang w:val="en-GB"/>
        </w:rPr>
        <w:t>In light of</w:t>
      </w:r>
      <w:r w:rsidR="00851213" w:rsidRPr="00A639AB">
        <w:rPr>
          <w:rFonts w:ascii="Times" w:eastAsia="Times New Roman" w:hAnsi="Times" w:cs="Times New Roman"/>
          <w:shd w:val="clear" w:color="auto" w:fill="FFFFFF"/>
          <w:lang w:val="en-GB"/>
        </w:rPr>
        <w:t xml:space="preserve"> the rule of reason standard, workers will have to show an effect on competition in the product market to prove anticompetitive behaviour. This makes only </w:t>
      </w:r>
      <w:r w:rsidR="001D152F">
        <w:rPr>
          <w:rFonts w:ascii="Times" w:eastAsia="Times New Roman" w:hAnsi="Times" w:cs="Times New Roman"/>
          <w:shd w:val="clear" w:color="auto" w:fill="FFFFFF"/>
          <w:lang w:val="en-GB"/>
        </w:rPr>
        <w:t xml:space="preserve">a </w:t>
      </w:r>
      <w:r w:rsidR="00851213" w:rsidRPr="00A639AB">
        <w:rPr>
          <w:rFonts w:ascii="Times" w:eastAsia="Times New Roman" w:hAnsi="Times" w:cs="Times New Roman"/>
          <w:shd w:val="clear" w:color="auto" w:fill="FFFFFF"/>
          <w:lang w:val="en-GB"/>
        </w:rPr>
        <w:t xml:space="preserve">little legal and economic sense, because anticompetitive behaviour supressing wages and other working conditions is unlikely to result in a negative effect on consumer welfare in the product market, in the form of, </w:t>
      </w:r>
      <w:r w:rsidR="00851213" w:rsidRPr="00F54143">
        <w:rPr>
          <w:rFonts w:ascii="Times" w:eastAsia="Times New Roman" w:hAnsi="Times" w:cs="Times New Roman"/>
          <w:iCs/>
          <w:shd w:val="clear" w:color="auto" w:fill="FFFFFF"/>
          <w:lang w:val="en-GB"/>
        </w:rPr>
        <w:t>inter alia</w:t>
      </w:r>
      <w:r w:rsidR="00851213" w:rsidRPr="00A639AB">
        <w:rPr>
          <w:rFonts w:ascii="Times" w:eastAsia="Times New Roman" w:hAnsi="Times" w:cs="Times New Roman"/>
          <w:shd w:val="clear" w:color="auto" w:fill="FFFFFF"/>
          <w:lang w:val="en-GB"/>
        </w:rPr>
        <w:t>, increased prices or reduced output.</w:t>
      </w:r>
      <w:r w:rsidR="00D87429">
        <w:rPr>
          <w:rFonts w:ascii="Times" w:eastAsia="Times New Roman" w:hAnsi="Times" w:cs="Times New Roman"/>
          <w:shd w:val="clear" w:color="auto" w:fill="FFFFFF"/>
          <w:lang w:val="en-GB"/>
        </w:rPr>
        <w:t xml:space="preserve"> </w:t>
      </w:r>
      <w:r w:rsidR="002F3E3C" w:rsidRPr="00A639AB">
        <w:rPr>
          <w:rFonts w:ascii="Times" w:eastAsia="Times New Roman" w:hAnsi="Times" w:cs="Times New Roman"/>
          <w:shd w:val="clear" w:color="auto" w:fill="FFFFFF"/>
          <w:lang w:val="en-GB"/>
        </w:rPr>
        <w:t xml:space="preserve">As a result, </w:t>
      </w:r>
      <w:r w:rsidR="00D87429">
        <w:rPr>
          <w:rFonts w:ascii="Times" w:eastAsia="Times New Roman" w:hAnsi="Times" w:cs="Times New Roman"/>
          <w:shd w:val="clear" w:color="auto" w:fill="FFFFFF"/>
          <w:lang w:val="en-GB"/>
        </w:rPr>
        <w:t xml:space="preserve">it is not surprising that </w:t>
      </w:r>
      <w:r w:rsidR="002F3E3C" w:rsidRPr="00A639AB">
        <w:rPr>
          <w:rFonts w:ascii="Times" w:eastAsia="Times New Roman" w:hAnsi="Times" w:cs="Times New Roman"/>
          <w:shd w:val="clear" w:color="auto" w:fill="FFFFFF"/>
          <w:lang w:val="en-GB"/>
        </w:rPr>
        <w:t xml:space="preserve">workers have not been successful in invoking antitrust rules against collusive employer behaviour in all cases but one. </w:t>
      </w:r>
    </w:p>
    <w:p w14:paraId="446B0C1F" w14:textId="77777777" w:rsidR="00566CFE" w:rsidRDefault="00566CFE" w:rsidP="00F22BA5">
      <w:pPr>
        <w:spacing w:line="480" w:lineRule="auto"/>
        <w:ind w:right="78"/>
        <w:jc w:val="both"/>
        <w:rPr>
          <w:rFonts w:ascii="Times" w:eastAsia="Times New Roman" w:hAnsi="Times" w:cs="Times New Roman"/>
          <w:shd w:val="clear" w:color="auto" w:fill="FFFFFF"/>
          <w:lang w:val="en-GB"/>
        </w:rPr>
      </w:pPr>
    </w:p>
    <w:p w14:paraId="59BCDFF8" w14:textId="464BACEC" w:rsidR="00566CFE" w:rsidRPr="00891193" w:rsidRDefault="001D152F" w:rsidP="00F22BA5">
      <w:pPr>
        <w:pStyle w:val="ListParagraph"/>
        <w:numPr>
          <w:ilvl w:val="0"/>
          <w:numId w:val="1"/>
        </w:numPr>
        <w:spacing w:line="480" w:lineRule="auto"/>
        <w:ind w:right="78"/>
        <w:jc w:val="both"/>
        <w:rPr>
          <w:rFonts w:ascii="Times" w:eastAsia="Times New Roman" w:hAnsi="Times" w:cs="Times New Roman"/>
          <w:shd w:val="clear" w:color="auto" w:fill="FFFFFF"/>
          <w:lang w:val="en-GB"/>
        </w:rPr>
      </w:pPr>
      <w:r>
        <w:rPr>
          <w:rFonts w:ascii="Times" w:eastAsia="Times New Roman" w:hAnsi="Times" w:cs="Times New Roman"/>
          <w:shd w:val="clear" w:color="auto" w:fill="FFFFFF"/>
          <w:lang w:val="en-GB"/>
        </w:rPr>
        <w:t xml:space="preserve">THE </w:t>
      </w:r>
      <w:r w:rsidR="00891193" w:rsidRPr="00891193">
        <w:rPr>
          <w:rFonts w:ascii="Times" w:eastAsia="Times New Roman" w:hAnsi="Times" w:cs="Times New Roman"/>
          <w:shd w:val="clear" w:color="auto" w:fill="FFFFFF"/>
          <w:lang w:val="en-GB"/>
        </w:rPr>
        <w:t>COMPETITION</w:t>
      </w:r>
      <w:r>
        <w:rPr>
          <w:rFonts w:ascii="Times" w:eastAsia="Times New Roman" w:hAnsi="Times" w:cs="Times"/>
          <w:shd w:val="clear" w:color="auto" w:fill="FFFFFF"/>
          <w:lang w:val="en-GB"/>
        </w:rPr>
        <w:t>–</w:t>
      </w:r>
      <w:r w:rsidR="00891193" w:rsidRPr="00891193">
        <w:rPr>
          <w:rFonts w:ascii="Times" w:eastAsia="Times New Roman" w:hAnsi="Times" w:cs="Times New Roman"/>
          <w:shd w:val="clear" w:color="auto" w:fill="FFFFFF"/>
          <w:lang w:val="en-GB"/>
        </w:rPr>
        <w:t xml:space="preserve">SOLIDARITY CONFLICT </w:t>
      </w:r>
      <w:r w:rsidR="00AF1B25">
        <w:rPr>
          <w:rFonts w:ascii="Times" w:eastAsia="Times New Roman" w:hAnsi="Times" w:cs="Times New Roman"/>
          <w:shd w:val="clear" w:color="auto" w:fill="FFFFFF"/>
          <w:lang w:val="en-GB"/>
        </w:rPr>
        <w:t>IN LIGHT OF</w:t>
      </w:r>
      <w:r w:rsidR="00891193" w:rsidRPr="00891193">
        <w:rPr>
          <w:rFonts w:ascii="Times" w:eastAsia="Times New Roman" w:hAnsi="Times" w:cs="Times New Roman"/>
          <w:shd w:val="clear" w:color="auto" w:fill="FFFFFF"/>
          <w:lang w:val="en-GB"/>
        </w:rPr>
        <w:t xml:space="preserve"> LABOUR EXPLOITATION THEORY: MOVING FROM CONSUMER TO CITIZEN WELFARE</w:t>
      </w:r>
    </w:p>
    <w:p w14:paraId="3DE91DB6" w14:textId="77777777" w:rsidR="00566CFE" w:rsidRPr="00A639AB" w:rsidRDefault="00566CFE" w:rsidP="00F22BA5">
      <w:pPr>
        <w:spacing w:line="480" w:lineRule="auto"/>
        <w:ind w:right="78"/>
        <w:jc w:val="both"/>
        <w:rPr>
          <w:rFonts w:ascii="Times" w:eastAsia="Times New Roman" w:hAnsi="Times" w:cs="Times New Roman"/>
          <w:b/>
          <w:shd w:val="clear" w:color="auto" w:fill="FFFFFF"/>
          <w:lang w:val="en-GB"/>
        </w:rPr>
      </w:pPr>
    </w:p>
    <w:p w14:paraId="3325A92F" w14:textId="049BFE15" w:rsidR="00007028" w:rsidRDefault="00FD4FD9" w:rsidP="00F22BA5">
      <w:pPr>
        <w:spacing w:line="480" w:lineRule="auto"/>
        <w:ind w:right="78"/>
        <w:jc w:val="both"/>
        <w:rPr>
          <w:rFonts w:ascii="Times" w:eastAsia="Times New Roman" w:hAnsi="Times" w:cs="Times New Roman"/>
          <w:shd w:val="clear" w:color="auto" w:fill="FFFFFF"/>
          <w:lang w:val="en-GB"/>
        </w:rPr>
      </w:pPr>
      <w:r>
        <w:rPr>
          <w:rFonts w:ascii="Times" w:eastAsia="Times New Roman" w:hAnsi="Times" w:cs="Times New Roman"/>
          <w:shd w:val="clear" w:color="auto" w:fill="FFFFFF"/>
          <w:lang w:val="en-GB"/>
        </w:rPr>
        <w:t xml:space="preserve">Economic models from opposing ends of the political spectrum perceive labour as a special and different production factor with </w:t>
      </w:r>
      <w:r w:rsidRPr="00A639AB">
        <w:rPr>
          <w:rFonts w:ascii="Times" w:eastAsia="Times New Roman" w:hAnsi="Times" w:cs="Times New Roman"/>
          <w:shd w:val="clear" w:color="auto" w:fill="FFFFFF"/>
          <w:lang w:val="en-GB"/>
        </w:rPr>
        <w:t>idiosyncratic qualities</w:t>
      </w:r>
      <w:r w:rsidR="00ED6845">
        <w:rPr>
          <w:rFonts w:ascii="Times" w:eastAsia="Times New Roman" w:hAnsi="Times" w:cs="Times New Roman"/>
          <w:shd w:val="clear" w:color="auto" w:fill="FFFFFF"/>
          <w:lang w:val="en-GB"/>
        </w:rPr>
        <w:t>,</w:t>
      </w:r>
      <w:r>
        <w:rPr>
          <w:rFonts w:ascii="Times" w:eastAsia="Times New Roman" w:hAnsi="Times" w:cs="Times New Roman"/>
          <w:shd w:val="clear" w:color="auto" w:fill="FFFFFF"/>
          <w:lang w:val="en-GB"/>
        </w:rPr>
        <w:t xml:space="preserve"> which makes it particularly open to exploitation. </w:t>
      </w:r>
      <w:r w:rsidR="004D7A37">
        <w:rPr>
          <w:rFonts w:ascii="Times" w:eastAsia="Times New Roman" w:hAnsi="Times" w:cs="Times New Roman"/>
          <w:shd w:val="clear" w:color="auto" w:fill="FFFFFF"/>
          <w:lang w:val="en-GB"/>
        </w:rPr>
        <w:t>Labour’s particular</w:t>
      </w:r>
      <w:r w:rsidR="00ED2CA3">
        <w:rPr>
          <w:rFonts w:ascii="Times" w:eastAsia="Times New Roman" w:hAnsi="Times" w:cs="Times New Roman"/>
          <w:shd w:val="clear" w:color="auto" w:fill="FFFFFF"/>
          <w:lang w:val="en-GB"/>
        </w:rPr>
        <w:t xml:space="preserve"> likelihood for exploitation is all the more worrying because labour power is attached to and cannot be separated from the </w:t>
      </w:r>
      <w:r w:rsidR="00EB6F30">
        <w:rPr>
          <w:rFonts w:ascii="Times" w:eastAsia="Times New Roman" w:hAnsi="Times" w:cs="Times New Roman"/>
          <w:shd w:val="clear" w:color="auto" w:fill="FFFFFF"/>
          <w:lang w:val="en-GB"/>
        </w:rPr>
        <w:t>worker</w:t>
      </w:r>
      <w:r w:rsidR="00ED2CA3">
        <w:rPr>
          <w:rFonts w:ascii="Times" w:eastAsia="Times New Roman" w:hAnsi="Times" w:cs="Times New Roman"/>
          <w:shd w:val="clear" w:color="auto" w:fill="FFFFFF"/>
          <w:lang w:val="en-GB"/>
        </w:rPr>
        <w:t xml:space="preserve">. </w:t>
      </w:r>
      <w:r w:rsidR="00007028">
        <w:rPr>
          <w:rFonts w:ascii="Times" w:eastAsia="Times New Roman" w:hAnsi="Times" w:cs="Times New Roman"/>
          <w:shd w:val="clear" w:color="auto" w:fill="FFFFFF"/>
          <w:lang w:val="en-GB"/>
        </w:rPr>
        <w:t>Additionally in the case of labour, unlike other production factors, there is not a zero-sum dynamic between the value attached to the production factor and consume</w:t>
      </w:r>
      <w:r w:rsidR="00E661AC">
        <w:rPr>
          <w:rFonts w:ascii="Times" w:eastAsia="Times New Roman" w:hAnsi="Times" w:cs="Times New Roman"/>
          <w:shd w:val="clear" w:color="auto" w:fill="FFFFFF"/>
          <w:lang w:val="en-GB"/>
        </w:rPr>
        <w:t>r welfare</w:t>
      </w:r>
      <w:r w:rsidR="00007028">
        <w:rPr>
          <w:rFonts w:ascii="Times" w:eastAsia="Times New Roman" w:hAnsi="Times" w:cs="Times New Roman"/>
          <w:shd w:val="clear" w:color="auto" w:fill="FFFFFF"/>
          <w:lang w:val="en-GB"/>
        </w:rPr>
        <w:t xml:space="preserve">. This is because, as exemplified </w:t>
      </w:r>
      <w:r w:rsidR="0043749F">
        <w:rPr>
          <w:rFonts w:ascii="Times" w:eastAsia="Times New Roman" w:hAnsi="Times" w:cs="Times New Roman"/>
          <w:shd w:val="clear" w:color="auto" w:fill="FFFFFF"/>
          <w:lang w:val="en-GB"/>
        </w:rPr>
        <w:t xml:space="preserve">in Marx’s </w:t>
      </w:r>
      <w:r w:rsidR="00007028">
        <w:rPr>
          <w:rFonts w:ascii="Times" w:eastAsia="Times New Roman" w:hAnsi="Times" w:cs="Times New Roman"/>
          <w:shd w:val="clear" w:color="auto" w:fill="FFFFFF"/>
          <w:lang w:val="en-GB"/>
        </w:rPr>
        <w:t xml:space="preserve">labour fetish </w:t>
      </w:r>
      <w:r w:rsidR="0043749F">
        <w:rPr>
          <w:rFonts w:ascii="Times" w:eastAsia="Times New Roman" w:hAnsi="Times" w:cs="Times New Roman"/>
          <w:shd w:val="clear" w:color="auto" w:fill="FFFFFF"/>
          <w:lang w:val="en-GB"/>
        </w:rPr>
        <w:t xml:space="preserve">theory, </w:t>
      </w:r>
      <w:r w:rsidR="009F0CC6">
        <w:rPr>
          <w:rFonts w:ascii="Times" w:eastAsia="Times New Roman" w:hAnsi="Times" w:cs="Times New Roman"/>
          <w:shd w:val="clear" w:color="auto" w:fill="FFFFFF"/>
          <w:lang w:val="en-GB"/>
        </w:rPr>
        <w:t>most</w:t>
      </w:r>
      <w:r w:rsidR="00160C13">
        <w:rPr>
          <w:rFonts w:ascii="Times" w:eastAsia="Times New Roman" w:hAnsi="Times" w:cs="Times New Roman"/>
          <w:shd w:val="clear" w:color="auto" w:fill="FFFFFF"/>
          <w:lang w:val="en-GB"/>
        </w:rPr>
        <w:t xml:space="preserve"> consumers are also workers</w:t>
      </w:r>
      <w:r w:rsidR="001D152F">
        <w:rPr>
          <w:rFonts w:ascii="Times" w:eastAsia="Times New Roman" w:hAnsi="Times" w:cs="Times New Roman"/>
          <w:shd w:val="clear" w:color="auto" w:fill="FFFFFF"/>
          <w:lang w:val="en-GB"/>
        </w:rPr>
        <w:t>.</w:t>
      </w:r>
      <w:r w:rsidR="00160C13">
        <w:rPr>
          <w:rFonts w:ascii="Times" w:eastAsia="Times New Roman" w:hAnsi="Times" w:cs="Times New Roman"/>
          <w:shd w:val="clear" w:color="auto" w:fill="FFFFFF"/>
          <w:lang w:val="en-GB"/>
        </w:rPr>
        <w:t xml:space="preserve"> </w:t>
      </w:r>
      <w:r w:rsidR="001D152F">
        <w:rPr>
          <w:rFonts w:ascii="Times" w:eastAsia="Times New Roman" w:hAnsi="Times" w:cs="Times New Roman"/>
          <w:shd w:val="clear" w:color="auto" w:fill="FFFFFF"/>
          <w:lang w:val="en-GB"/>
        </w:rPr>
        <w:t>A</w:t>
      </w:r>
      <w:r w:rsidR="00160C13">
        <w:rPr>
          <w:rFonts w:ascii="Times" w:eastAsia="Times New Roman" w:hAnsi="Times" w:cs="Times New Roman"/>
          <w:shd w:val="clear" w:color="auto" w:fill="FFFFFF"/>
          <w:lang w:val="en-GB"/>
        </w:rPr>
        <w:t>s a result, when wages increase this benefits consumers in their economic role as workers even though they might have to pay a higher price for p</w:t>
      </w:r>
      <w:r w:rsidR="003D612E">
        <w:rPr>
          <w:rFonts w:ascii="Times" w:eastAsia="Times New Roman" w:hAnsi="Times" w:cs="Times New Roman"/>
          <w:shd w:val="clear" w:color="auto" w:fill="FFFFFF"/>
          <w:lang w:val="en-GB"/>
        </w:rPr>
        <w:t>roducts and services</w:t>
      </w:r>
      <w:r w:rsidR="00160C13">
        <w:rPr>
          <w:rFonts w:ascii="Times" w:eastAsia="Times New Roman" w:hAnsi="Times" w:cs="Times New Roman"/>
          <w:shd w:val="clear" w:color="auto" w:fill="FFFFFF"/>
          <w:lang w:val="en-GB"/>
        </w:rPr>
        <w:t xml:space="preserve">.  </w:t>
      </w:r>
    </w:p>
    <w:p w14:paraId="46D8304A" w14:textId="77777777" w:rsidR="00007028" w:rsidRDefault="00007028" w:rsidP="00F22BA5">
      <w:pPr>
        <w:spacing w:line="480" w:lineRule="auto"/>
        <w:ind w:right="78"/>
        <w:jc w:val="both"/>
        <w:rPr>
          <w:rFonts w:ascii="Times" w:eastAsia="Times New Roman" w:hAnsi="Times" w:cs="Times New Roman"/>
          <w:shd w:val="clear" w:color="auto" w:fill="FFFFFF"/>
          <w:lang w:val="en-GB"/>
        </w:rPr>
      </w:pPr>
    </w:p>
    <w:p w14:paraId="6EC153E8" w14:textId="6F6F1BA8" w:rsidR="00FD4FD9" w:rsidRDefault="00191DB8" w:rsidP="00F22BA5">
      <w:pPr>
        <w:spacing w:line="480" w:lineRule="auto"/>
        <w:ind w:right="78"/>
        <w:jc w:val="both"/>
        <w:rPr>
          <w:rFonts w:ascii="Times" w:eastAsia="Times New Roman" w:hAnsi="Times" w:cs="Times New Roman"/>
          <w:shd w:val="clear" w:color="auto" w:fill="FFFFFF"/>
          <w:lang w:val="en-GB"/>
        </w:rPr>
      </w:pPr>
      <w:r w:rsidRPr="00A639AB">
        <w:rPr>
          <w:rFonts w:ascii="Times" w:eastAsia="Times New Roman" w:hAnsi="Times" w:cs="Times New Roman"/>
          <w:shd w:val="clear" w:color="auto" w:fill="FFFFFF"/>
          <w:lang w:val="en-GB"/>
        </w:rPr>
        <w:t xml:space="preserve">As a result, economic theory suggests that, </w:t>
      </w:r>
      <w:r w:rsidR="00D15C53">
        <w:rPr>
          <w:rFonts w:ascii="Times" w:eastAsia="Times New Roman" w:hAnsi="Times" w:cs="Times New Roman"/>
          <w:shd w:val="clear" w:color="auto" w:fill="FFFFFF"/>
          <w:lang w:val="en-GB"/>
        </w:rPr>
        <w:t>unlike commodities and other production factors</w:t>
      </w:r>
      <w:r w:rsidR="004265DE">
        <w:rPr>
          <w:rFonts w:ascii="Times" w:eastAsia="Times New Roman" w:hAnsi="Times" w:cs="Times New Roman"/>
          <w:shd w:val="clear" w:color="auto" w:fill="FFFFFF"/>
          <w:lang w:val="en-GB"/>
        </w:rPr>
        <w:t xml:space="preserve">, conflicts involving </w:t>
      </w:r>
      <w:r w:rsidR="00EB6F30">
        <w:rPr>
          <w:rFonts w:ascii="Times" w:eastAsia="Times New Roman" w:hAnsi="Times" w:cs="Times New Roman"/>
          <w:shd w:val="clear" w:color="auto" w:fill="FFFFFF"/>
          <w:lang w:val="en-GB"/>
        </w:rPr>
        <w:t>labour</w:t>
      </w:r>
      <w:r w:rsidR="004265DE">
        <w:rPr>
          <w:rFonts w:ascii="Times" w:eastAsia="Times New Roman" w:hAnsi="Times" w:cs="Times New Roman"/>
          <w:shd w:val="clear" w:color="auto" w:fill="FFFFFF"/>
          <w:lang w:val="en-GB"/>
        </w:rPr>
        <w:t xml:space="preserve"> cannot be solved using </w:t>
      </w:r>
      <w:r w:rsidR="00EB6F30">
        <w:rPr>
          <w:rFonts w:ascii="Times" w:eastAsia="Times New Roman" w:hAnsi="Times" w:cs="Times New Roman"/>
          <w:shd w:val="clear" w:color="auto" w:fill="FFFFFF"/>
          <w:lang w:val="en-GB"/>
        </w:rPr>
        <w:t xml:space="preserve">simple </w:t>
      </w:r>
      <w:r w:rsidR="004265DE">
        <w:rPr>
          <w:rFonts w:ascii="Times" w:eastAsia="Times New Roman" w:hAnsi="Times" w:cs="Times New Roman"/>
          <w:shd w:val="clear" w:color="auto" w:fill="FFFFFF"/>
          <w:lang w:val="en-GB"/>
        </w:rPr>
        <w:t>economic</w:t>
      </w:r>
      <w:r w:rsidRPr="00A639AB">
        <w:rPr>
          <w:rFonts w:ascii="Times" w:eastAsia="Times New Roman" w:hAnsi="Times" w:cs="Times New Roman"/>
          <w:shd w:val="clear" w:color="auto" w:fill="FFFFFF"/>
          <w:lang w:val="en-GB"/>
        </w:rPr>
        <w:t xml:space="preserve"> cost</w:t>
      </w:r>
      <w:r w:rsidR="00A91C03">
        <w:rPr>
          <w:rFonts w:ascii="Times" w:eastAsia="Times New Roman" w:hAnsi="Times" w:cs="Times"/>
          <w:shd w:val="clear" w:color="auto" w:fill="FFFFFF"/>
          <w:lang w:val="en-GB"/>
        </w:rPr>
        <w:t>–</w:t>
      </w:r>
      <w:r w:rsidRPr="00A639AB">
        <w:rPr>
          <w:rFonts w:ascii="Times" w:eastAsia="Times New Roman" w:hAnsi="Times" w:cs="Times New Roman"/>
          <w:shd w:val="clear" w:color="auto" w:fill="FFFFFF"/>
          <w:lang w:val="en-GB"/>
        </w:rPr>
        <w:t>benefit analyses</w:t>
      </w:r>
      <w:r w:rsidR="004265DE">
        <w:rPr>
          <w:rFonts w:ascii="Times" w:eastAsia="Times New Roman" w:hAnsi="Times" w:cs="Times New Roman"/>
          <w:shd w:val="clear" w:color="auto" w:fill="FFFFFF"/>
          <w:lang w:val="en-GB"/>
        </w:rPr>
        <w:t xml:space="preserve"> without any substantial adjustment</w:t>
      </w:r>
      <w:r w:rsidRPr="00A639AB">
        <w:rPr>
          <w:rFonts w:ascii="Times" w:eastAsia="Times New Roman" w:hAnsi="Times" w:cs="Times New Roman"/>
          <w:shd w:val="clear" w:color="auto" w:fill="FFFFFF"/>
          <w:lang w:val="en-GB"/>
        </w:rPr>
        <w:t>.</w:t>
      </w:r>
      <w:r w:rsidR="006E0DFC">
        <w:rPr>
          <w:rFonts w:ascii="Times" w:eastAsia="Times New Roman" w:hAnsi="Times" w:cs="Times New Roman"/>
          <w:shd w:val="clear" w:color="auto" w:fill="FFFFFF"/>
          <w:lang w:val="en-GB"/>
        </w:rPr>
        <w:t xml:space="preserve"> Similarly, worker solidarity and collective action need protection as common goods when they come into conflict with the </w:t>
      </w:r>
      <w:r w:rsidR="005266D8">
        <w:rPr>
          <w:rFonts w:ascii="Times" w:eastAsia="Times New Roman" w:hAnsi="Times" w:cs="Times New Roman"/>
          <w:shd w:val="clear" w:color="auto" w:fill="FFFFFF"/>
          <w:lang w:val="en-GB"/>
        </w:rPr>
        <w:t xml:space="preserve">principle of competition </w:t>
      </w:r>
      <w:r w:rsidR="0033775D">
        <w:rPr>
          <w:rFonts w:ascii="Times" w:eastAsia="Times New Roman" w:hAnsi="Times" w:cs="Times New Roman"/>
          <w:shd w:val="clear" w:color="auto" w:fill="FFFFFF"/>
          <w:lang w:val="en-GB"/>
        </w:rPr>
        <w:t xml:space="preserve">not only </w:t>
      </w:r>
      <w:r w:rsidR="00EB6F30">
        <w:rPr>
          <w:rFonts w:ascii="Times" w:eastAsia="Times New Roman" w:hAnsi="Times" w:cs="Times New Roman"/>
          <w:shd w:val="clear" w:color="auto" w:fill="FFFFFF"/>
          <w:lang w:val="en-GB"/>
        </w:rPr>
        <w:t xml:space="preserve">because </w:t>
      </w:r>
      <w:r w:rsidR="006E0DFC">
        <w:rPr>
          <w:rFonts w:ascii="Times" w:eastAsia="Times New Roman" w:hAnsi="Times" w:cs="Times New Roman"/>
          <w:shd w:val="clear" w:color="auto" w:fill="FFFFFF"/>
          <w:lang w:val="en-GB"/>
        </w:rPr>
        <w:t>this would be socially just but also economically sound.</w:t>
      </w:r>
    </w:p>
    <w:p w14:paraId="09BCE0FF" w14:textId="77777777" w:rsidR="00160C13" w:rsidRDefault="00160C13" w:rsidP="00F22BA5">
      <w:pPr>
        <w:spacing w:line="480" w:lineRule="auto"/>
        <w:ind w:right="78"/>
        <w:jc w:val="both"/>
        <w:rPr>
          <w:rFonts w:ascii="Times" w:eastAsia="Times New Roman" w:hAnsi="Times" w:cs="Times New Roman"/>
          <w:shd w:val="clear" w:color="auto" w:fill="FFFFFF"/>
          <w:lang w:val="en-GB"/>
        </w:rPr>
      </w:pPr>
    </w:p>
    <w:p w14:paraId="2E1057E7" w14:textId="233085CD" w:rsidR="00594408" w:rsidRDefault="0026699D" w:rsidP="00F22BA5">
      <w:pPr>
        <w:spacing w:line="480" w:lineRule="auto"/>
        <w:ind w:right="78"/>
        <w:jc w:val="both"/>
        <w:rPr>
          <w:rFonts w:ascii="Times" w:eastAsia="Times New Roman" w:hAnsi="Times" w:cs="Times New Roman"/>
          <w:shd w:val="clear" w:color="auto" w:fill="FFFFFF"/>
          <w:lang w:val="en-GB"/>
        </w:rPr>
      </w:pPr>
      <w:r>
        <w:rPr>
          <w:rFonts w:ascii="Times" w:eastAsia="Times New Roman" w:hAnsi="Times" w:cs="Times New Roman"/>
          <w:shd w:val="clear" w:color="auto" w:fill="FFFFFF"/>
          <w:lang w:val="en-GB"/>
        </w:rPr>
        <w:t xml:space="preserve">As </w:t>
      </w:r>
      <w:r w:rsidR="00E9216C">
        <w:rPr>
          <w:rFonts w:ascii="Times" w:eastAsia="Times New Roman" w:hAnsi="Times" w:cs="Times New Roman"/>
          <w:shd w:val="clear" w:color="auto" w:fill="FFFFFF"/>
          <w:lang w:val="en-GB"/>
        </w:rPr>
        <w:t xml:space="preserve">the analysis in the previous section illustrates, competition rules in the EU and the US are applied </w:t>
      </w:r>
      <w:r w:rsidR="00A91C03">
        <w:rPr>
          <w:rFonts w:ascii="Times" w:eastAsia="Times New Roman" w:hAnsi="Times" w:cs="Times New Roman"/>
          <w:shd w:val="clear" w:color="auto" w:fill="FFFFFF"/>
          <w:lang w:val="en-GB"/>
        </w:rPr>
        <w:t>with</w:t>
      </w:r>
      <w:r w:rsidR="00E9216C">
        <w:rPr>
          <w:rFonts w:ascii="Times" w:eastAsia="Times New Roman" w:hAnsi="Times" w:cs="Times New Roman"/>
          <w:shd w:val="clear" w:color="auto" w:fill="FFFFFF"/>
          <w:lang w:val="en-GB"/>
        </w:rPr>
        <w:t xml:space="preserve"> a strict consumer welfare standard</w:t>
      </w:r>
      <w:r w:rsidR="00A91C03">
        <w:rPr>
          <w:rFonts w:ascii="Times" w:eastAsia="Times New Roman" w:hAnsi="Times" w:cs="Times New Roman"/>
          <w:shd w:val="clear" w:color="auto" w:fill="FFFFFF"/>
          <w:lang w:val="en-GB"/>
        </w:rPr>
        <w:t xml:space="preserve"> in mind</w:t>
      </w:r>
      <w:r w:rsidR="00277673">
        <w:rPr>
          <w:rFonts w:ascii="Times" w:eastAsia="Times New Roman" w:hAnsi="Times" w:cs="Times New Roman"/>
          <w:shd w:val="clear" w:color="auto" w:fill="FFFFFF"/>
          <w:lang w:val="en-GB"/>
        </w:rPr>
        <w:t>,</w:t>
      </w:r>
      <w:r w:rsidR="00E9216C">
        <w:rPr>
          <w:rFonts w:ascii="Times" w:eastAsia="Times New Roman" w:hAnsi="Times" w:cs="Times New Roman"/>
          <w:shd w:val="clear" w:color="auto" w:fill="FFFFFF"/>
          <w:lang w:val="en-GB"/>
        </w:rPr>
        <w:t xml:space="preserve"> which overlooks the </w:t>
      </w:r>
      <w:r w:rsidR="00E9216C">
        <w:rPr>
          <w:rFonts w:ascii="Times" w:eastAsia="Times New Roman" w:hAnsi="Times" w:cs="Times New Roman"/>
          <w:shd w:val="clear" w:color="auto" w:fill="FFFFFF"/>
          <w:lang w:val="en-GB"/>
        </w:rPr>
        <w:lastRenderedPageBreak/>
        <w:t>idiosyncr</w:t>
      </w:r>
      <w:r w:rsidR="007348DA">
        <w:rPr>
          <w:rFonts w:ascii="Times" w:eastAsia="Times New Roman" w:hAnsi="Times" w:cs="Times New Roman"/>
          <w:shd w:val="clear" w:color="auto" w:fill="FFFFFF"/>
          <w:lang w:val="en-GB"/>
        </w:rPr>
        <w:t xml:space="preserve">atic characteristics of labour, </w:t>
      </w:r>
      <w:r w:rsidR="001D152F">
        <w:rPr>
          <w:rFonts w:ascii="Times" w:eastAsia="Times New Roman" w:hAnsi="Times" w:cs="Times New Roman"/>
          <w:shd w:val="clear" w:color="auto" w:fill="FFFFFF"/>
          <w:lang w:val="en-GB"/>
        </w:rPr>
        <w:t xml:space="preserve">and </w:t>
      </w:r>
      <w:r w:rsidR="00E9216C">
        <w:rPr>
          <w:rFonts w:ascii="Times" w:eastAsia="Times New Roman" w:hAnsi="Times" w:cs="Times New Roman"/>
          <w:shd w:val="clear" w:color="auto" w:fill="FFFFFF"/>
          <w:lang w:val="en-GB"/>
        </w:rPr>
        <w:t>as a result, competition rules become a disciplining mechanism against collective</w:t>
      </w:r>
      <w:r w:rsidR="00277673">
        <w:rPr>
          <w:rFonts w:ascii="Times" w:eastAsia="Times New Roman" w:hAnsi="Times" w:cs="Times New Roman"/>
          <w:shd w:val="clear" w:color="auto" w:fill="FFFFFF"/>
          <w:lang w:val="en-GB"/>
        </w:rPr>
        <w:t xml:space="preserve"> worker action. Consequently, when dealing with the competition</w:t>
      </w:r>
      <w:r w:rsidR="001D152F">
        <w:rPr>
          <w:rFonts w:ascii="Times" w:eastAsia="Times New Roman" w:hAnsi="Times" w:cs="Times"/>
          <w:shd w:val="clear" w:color="auto" w:fill="FFFFFF"/>
          <w:lang w:val="en-GB"/>
        </w:rPr>
        <w:t>–</w:t>
      </w:r>
      <w:r w:rsidR="00277673">
        <w:rPr>
          <w:rFonts w:ascii="Times" w:eastAsia="Times New Roman" w:hAnsi="Times" w:cs="Times New Roman"/>
          <w:shd w:val="clear" w:color="auto" w:fill="FFFFFF"/>
          <w:lang w:val="en-GB"/>
        </w:rPr>
        <w:t xml:space="preserve">solidarity conflict, </w:t>
      </w:r>
      <w:r w:rsidR="00961F19">
        <w:rPr>
          <w:rFonts w:ascii="Times" w:eastAsia="Times New Roman" w:hAnsi="Times" w:cs="Times New Roman"/>
          <w:shd w:val="clear" w:color="auto" w:fill="FFFFFF"/>
          <w:lang w:val="en-GB"/>
        </w:rPr>
        <w:t xml:space="preserve">courts and competition authorities need to follow a </w:t>
      </w:r>
      <w:r w:rsidR="00E9216C">
        <w:rPr>
          <w:rFonts w:ascii="Times" w:eastAsia="Times New Roman" w:hAnsi="Times" w:cs="Times New Roman"/>
          <w:shd w:val="clear" w:color="auto" w:fill="FFFFFF"/>
          <w:lang w:val="en-GB"/>
        </w:rPr>
        <w:t xml:space="preserve">more inclusive legal standard </w:t>
      </w:r>
      <w:r w:rsidR="00295AA8">
        <w:rPr>
          <w:rFonts w:ascii="Times" w:eastAsia="Times New Roman" w:hAnsi="Times" w:cs="Times New Roman"/>
          <w:shd w:val="clear" w:color="auto" w:fill="FFFFFF"/>
          <w:lang w:val="en-GB"/>
        </w:rPr>
        <w:t xml:space="preserve">that </w:t>
      </w:r>
      <w:r w:rsidR="001D152F">
        <w:rPr>
          <w:rFonts w:ascii="Times" w:eastAsia="Times New Roman" w:hAnsi="Times" w:cs="Times New Roman"/>
          <w:shd w:val="clear" w:color="auto" w:fill="FFFFFF"/>
          <w:lang w:val="en-GB"/>
        </w:rPr>
        <w:t xml:space="preserve">better </w:t>
      </w:r>
      <w:r w:rsidR="00295AA8">
        <w:rPr>
          <w:rFonts w:ascii="Times" w:eastAsia="Times New Roman" w:hAnsi="Times" w:cs="Times New Roman"/>
          <w:shd w:val="clear" w:color="auto" w:fill="FFFFFF"/>
          <w:lang w:val="en-GB"/>
        </w:rPr>
        <w:t xml:space="preserve">reflects the characteristics of labour as a production factor. </w:t>
      </w:r>
      <w:r w:rsidR="00961F19">
        <w:rPr>
          <w:rFonts w:ascii="Times" w:eastAsia="Times New Roman" w:hAnsi="Times" w:cs="Times New Roman"/>
          <w:shd w:val="clear" w:color="auto" w:fill="FFFFFF"/>
          <w:lang w:val="en-GB"/>
        </w:rPr>
        <w:t xml:space="preserve">For this purpose, this article suggests a </w:t>
      </w:r>
      <w:r w:rsidR="00566CFE" w:rsidRPr="00A639AB">
        <w:rPr>
          <w:rFonts w:ascii="Times" w:eastAsia="Times New Roman" w:hAnsi="Times" w:cs="Times New Roman"/>
          <w:i/>
          <w:shd w:val="clear" w:color="auto" w:fill="FFFFFF"/>
          <w:lang w:val="en-GB"/>
        </w:rPr>
        <w:t>citizen</w:t>
      </w:r>
      <w:r w:rsidR="00566CFE" w:rsidRPr="00A639AB">
        <w:rPr>
          <w:rFonts w:ascii="Times" w:eastAsia="Times New Roman" w:hAnsi="Times" w:cs="Times New Roman"/>
          <w:shd w:val="clear" w:color="auto" w:fill="FFFFFF"/>
          <w:lang w:val="en-GB"/>
        </w:rPr>
        <w:t xml:space="preserve"> </w:t>
      </w:r>
      <w:r w:rsidR="00566CFE">
        <w:rPr>
          <w:rFonts w:ascii="Times" w:eastAsia="Times New Roman" w:hAnsi="Times" w:cs="Times New Roman"/>
          <w:shd w:val="clear" w:color="auto" w:fill="FFFFFF"/>
          <w:lang w:val="en-GB"/>
        </w:rPr>
        <w:t xml:space="preserve">(rather than consumer) </w:t>
      </w:r>
      <w:r w:rsidR="00566CFE" w:rsidRPr="00A639AB">
        <w:rPr>
          <w:rFonts w:ascii="Times" w:eastAsia="Times New Roman" w:hAnsi="Times" w:cs="Times New Roman"/>
          <w:i/>
          <w:shd w:val="clear" w:color="auto" w:fill="FFFFFF"/>
          <w:lang w:val="en-GB"/>
        </w:rPr>
        <w:t>welfare</w:t>
      </w:r>
      <w:r w:rsidR="00566CFE" w:rsidRPr="00A639AB">
        <w:rPr>
          <w:rFonts w:ascii="Times" w:eastAsia="Times New Roman" w:hAnsi="Times" w:cs="Times New Roman"/>
          <w:shd w:val="clear" w:color="auto" w:fill="FFFFFF"/>
          <w:lang w:val="en-GB"/>
        </w:rPr>
        <w:t xml:space="preserve"> standard that takes into consideration the economic effects of anticompetitive behaviour on consumers as well as workers. </w:t>
      </w:r>
      <w:r w:rsidR="001B2486">
        <w:rPr>
          <w:rFonts w:ascii="Times" w:eastAsia="Times New Roman" w:hAnsi="Times" w:cs="Times New Roman"/>
          <w:shd w:val="clear" w:color="auto" w:fill="FFFFFF"/>
          <w:lang w:val="en-GB"/>
        </w:rPr>
        <w:t xml:space="preserve">The citizen welfare standard could also be applied in other cases where competition </w:t>
      </w:r>
      <w:r w:rsidR="003C492A">
        <w:rPr>
          <w:rFonts w:ascii="Times" w:eastAsia="Times New Roman" w:hAnsi="Times" w:cs="Times New Roman"/>
          <w:shd w:val="clear" w:color="auto" w:fill="FFFFFF"/>
          <w:lang w:val="en-GB"/>
        </w:rPr>
        <w:t>rules and principles come</w:t>
      </w:r>
      <w:r w:rsidR="001B2486">
        <w:rPr>
          <w:rFonts w:ascii="Times" w:eastAsia="Times New Roman" w:hAnsi="Times" w:cs="Times New Roman"/>
          <w:shd w:val="clear" w:color="auto" w:fill="FFFFFF"/>
          <w:lang w:val="en-GB"/>
        </w:rPr>
        <w:t xml:space="preserve"> into conflict with public interest </w:t>
      </w:r>
      <w:r w:rsidR="003C492A">
        <w:rPr>
          <w:rFonts w:ascii="Times" w:eastAsia="Times New Roman" w:hAnsi="Times" w:cs="Times New Roman"/>
          <w:shd w:val="clear" w:color="auto" w:fill="FFFFFF"/>
          <w:lang w:val="en-GB"/>
        </w:rPr>
        <w:t>or</w:t>
      </w:r>
      <w:r w:rsidR="001B2486">
        <w:rPr>
          <w:rFonts w:ascii="Times" w:eastAsia="Times New Roman" w:hAnsi="Times" w:cs="Times New Roman"/>
          <w:shd w:val="clear" w:color="auto" w:fill="FFFFFF"/>
          <w:lang w:val="en-GB"/>
        </w:rPr>
        <w:t xml:space="preserve"> other policy objectives, such as cases involving industrial policy, environmental policy or other social objectives in which competition authorities and courts are yet to produce a consistent approach.</w:t>
      </w:r>
      <w:r w:rsidR="00954A84">
        <w:rPr>
          <w:rStyle w:val="FootnoteReference"/>
          <w:rFonts w:ascii="Times" w:eastAsia="Times New Roman" w:hAnsi="Times" w:cs="Times New Roman"/>
          <w:shd w:val="clear" w:color="auto" w:fill="FFFFFF"/>
          <w:lang w:val="en-GB"/>
        </w:rPr>
        <w:footnoteReference w:id="102"/>
      </w:r>
      <w:r w:rsidR="003C492A">
        <w:rPr>
          <w:rFonts w:ascii="Times" w:eastAsia="Times New Roman" w:hAnsi="Times" w:cs="Times New Roman"/>
          <w:shd w:val="clear" w:color="auto" w:fill="FFFFFF"/>
          <w:lang w:val="en-GB"/>
        </w:rPr>
        <w:t xml:space="preserve"> </w:t>
      </w:r>
      <w:r w:rsidR="000875B0">
        <w:rPr>
          <w:rFonts w:ascii="Times" w:eastAsia="Times New Roman" w:hAnsi="Times" w:cs="Times New Roman"/>
          <w:shd w:val="clear" w:color="auto" w:fill="FFFFFF"/>
          <w:lang w:val="en-GB"/>
        </w:rPr>
        <w:t>As a result, in these cases</w:t>
      </w:r>
      <w:r w:rsidR="0034075F">
        <w:rPr>
          <w:rFonts w:ascii="Times" w:eastAsia="Times New Roman" w:hAnsi="Times" w:cs="Times New Roman"/>
          <w:shd w:val="clear" w:color="auto" w:fill="FFFFFF"/>
          <w:lang w:val="en-GB"/>
        </w:rPr>
        <w:t>,</w:t>
      </w:r>
      <w:r w:rsidR="000875B0">
        <w:rPr>
          <w:rFonts w:ascii="Times" w:eastAsia="Times New Roman" w:hAnsi="Times" w:cs="Times New Roman"/>
          <w:shd w:val="clear" w:color="auto" w:fill="FFFFFF"/>
          <w:lang w:val="en-GB"/>
        </w:rPr>
        <w:t xml:space="preserve"> competition authorities and courts would be able to look at how the specific behaviour in question affects citizens in their entirety as a holistic group, rather than focusing on the interests of </w:t>
      </w:r>
      <w:r w:rsidR="001D152F">
        <w:rPr>
          <w:rFonts w:ascii="Times" w:eastAsia="Times New Roman" w:hAnsi="Times" w:cs="Times New Roman"/>
          <w:shd w:val="clear" w:color="auto" w:fill="FFFFFF"/>
          <w:lang w:val="en-GB"/>
        </w:rPr>
        <w:t xml:space="preserve">the </w:t>
      </w:r>
      <w:r w:rsidR="000875B0">
        <w:rPr>
          <w:rFonts w:ascii="Times" w:eastAsia="Times New Roman" w:hAnsi="Times" w:cs="Times New Roman"/>
          <w:shd w:val="clear" w:color="auto" w:fill="FFFFFF"/>
          <w:lang w:val="en-GB"/>
        </w:rPr>
        <w:t xml:space="preserve">narrow category of consumers.  </w:t>
      </w:r>
    </w:p>
    <w:p w14:paraId="4408F469" w14:textId="77777777" w:rsidR="00594408" w:rsidRDefault="00594408" w:rsidP="00F22BA5">
      <w:pPr>
        <w:spacing w:line="480" w:lineRule="auto"/>
        <w:ind w:right="78"/>
        <w:jc w:val="both"/>
        <w:rPr>
          <w:rFonts w:ascii="Times" w:eastAsia="Times New Roman" w:hAnsi="Times" w:cs="Times New Roman"/>
          <w:shd w:val="clear" w:color="auto" w:fill="FFFFFF"/>
          <w:lang w:val="en-GB"/>
        </w:rPr>
      </w:pPr>
    </w:p>
    <w:p w14:paraId="26954287" w14:textId="1789DDC5" w:rsidR="00D33616" w:rsidRDefault="00B763A3" w:rsidP="00F22BA5">
      <w:pPr>
        <w:spacing w:line="480" w:lineRule="auto"/>
        <w:ind w:right="78"/>
        <w:jc w:val="both"/>
        <w:rPr>
          <w:rFonts w:ascii="Times" w:eastAsia="Times New Roman" w:hAnsi="Times" w:cs="Times New Roman"/>
          <w:shd w:val="clear" w:color="auto" w:fill="FFFFFF"/>
          <w:lang w:val="en-GB"/>
        </w:rPr>
      </w:pPr>
      <w:r>
        <w:rPr>
          <w:rFonts w:ascii="Times" w:eastAsia="Times New Roman" w:hAnsi="Times" w:cs="Times New Roman"/>
          <w:shd w:val="clear" w:color="auto" w:fill="FFFFFF"/>
          <w:lang w:val="en-GB"/>
        </w:rPr>
        <w:t>A</w:t>
      </w:r>
      <w:r w:rsidR="000875B0">
        <w:rPr>
          <w:rFonts w:ascii="Times" w:eastAsia="Times New Roman" w:hAnsi="Times" w:cs="Times New Roman"/>
          <w:shd w:val="clear" w:color="auto" w:fill="FFFFFF"/>
          <w:lang w:val="en-GB"/>
        </w:rPr>
        <w:t>nother</w:t>
      </w:r>
      <w:r>
        <w:rPr>
          <w:rFonts w:ascii="Times" w:eastAsia="Times New Roman" w:hAnsi="Times" w:cs="Times New Roman"/>
          <w:shd w:val="clear" w:color="auto" w:fill="FFFFFF"/>
          <w:lang w:val="en-GB"/>
        </w:rPr>
        <w:t xml:space="preserve"> significant advantage of following this approach is that this would not require a change in the law but only a change in the approach and the legal tests employed by courts and competition authorities when they deal with the competition</w:t>
      </w:r>
      <w:r w:rsidR="001D152F">
        <w:rPr>
          <w:rFonts w:ascii="Times" w:eastAsia="Times New Roman" w:hAnsi="Times" w:cs="Times"/>
          <w:shd w:val="clear" w:color="auto" w:fill="FFFFFF"/>
          <w:lang w:val="en-GB"/>
        </w:rPr>
        <w:t>–</w:t>
      </w:r>
      <w:r>
        <w:rPr>
          <w:rFonts w:ascii="Times" w:eastAsia="Times New Roman" w:hAnsi="Times" w:cs="Times New Roman"/>
          <w:shd w:val="clear" w:color="auto" w:fill="FFFFFF"/>
          <w:lang w:val="en-GB"/>
        </w:rPr>
        <w:t>solidarity conflict.</w:t>
      </w:r>
    </w:p>
    <w:p w14:paraId="4725FB7A" w14:textId="77777777" w:rsidR="00D33616" w:rsidRDefault="00D33616" w:rsidP="00F22BA5">
      <w:pPr>
        <w:spacing w:line="480" w:lineRule="auto"/>
        <w:ind w:right="78"/>
        <w:jc w:val="both"/>
        <w:rPr>
          <w:rFonts w:ascii="Times" w:eastAsia="Times New Roman" w:hAnsi="Times" w:cs="Times New Roman"/>
          <w:shd w:val="clear" w:color="auto" w:fill="FFFFFF"/>
          <w:lang w:val="en-GB"/>
        </w:rPr>
      </w:pPr>
    </w:p>
    <w:p w14:paraId="172D4746" w14:textId="4416C58D" w:rsidR="00A927E8" w:rsidRDefault="00AF1B25" w:rsidP="00F22BA5">
      <w:pPr>
        <w:spacing w:line="480" w:lineRule="auto"/>
        <w:ind w:right="78"/>
        <w:jc w:val="both"/>
        <w:rPr>
          <w:rFonts w:ascii="Times" w:eastAsia="Times New Roman" w:hAnsi="Times" w:cs="Times New Roman"/>
          <w:shd w:val="clear" w:color="auto" w:fill="FFFFFF"/>
          <w:lang w:val="en-GB"/>
        </w:rPr>
      </w:pPr>
      <w:r>
        <w:rPr>
          <w:rFonts w:ascii="Times" w:eastAsia="Times New Roman" w:hAnsi="Times" w:cs="Times New Roman"/>
          <w:shd w:val="clear" w:color="auto" w:fill="FFFFFF"/>
          <w:lang w:val="en-GB"/>
        </w:rPr>
        <w:t>In light of</w:t>
      </w:r>
      <w:r w:rsidR="00566CFE" w:rsidRPr="00A639AB">
        <w:rPr>
          <w:rFonts w:ascii="Times" w:eastAsia="Times New Roman" w:hAnsi="Times" w:cs="Times New Roman"/>
          <w:shd w:val="clear" w:color="auto" w:fill="FFFFFF"/>
          <w:lang w:val="en-GB"/>
        </w:rPr>
        <w:t xml:space="preserve"> </w:t>
      </w:r>
      <w:r w:rsidR="00A026CB">
        <w:rPr>
          <w:rFonts w:ascii="Times" w:eastAsia="Times New Roman" w:hAnsi="Times" w:cs="Times New Roman"/>
          <w:shd w:val="clear" w:color="auto" w:fill="FFFFFF"/>
          <w:lang w:val="en-GB"/>
        </w:rPr>
        <w:t xml:space="preserve">the </w:t>
      </w:r>
      <w:r w:rsidR="00603879">
        <w:rPr>
          <w:rFonts w:ascii="Times" w:eastAsia="Times New Roman" w:hAnsi="Times" w:cs="Times New Roman"/>
          <w:shd w:val="clear" w:color="auto" w:fill="FFFFFF"/>
          <w:lang w:val="en-GB"/>
        </w:rPr>
        <w:t>citizen</w:t>
      </w:r>
      <w:r w:rsidR="00A026CB">
        <w:rPr>
          <w:rFonts w:ascii="Times" w:eastAsia="Times New Roman" w:hAnsi="Times" w:cs="Times New Roman"/>
          <w:shd w:val="clear" w:color="auto" w:fill="FFFFFF"/>
          <w:lang w:val="en-GB"/>
        </w:rPr>
        <w:t xml:space="preserve"> welfare</w:t>
      </w:r>
      <w:r w:rsidR="00566CFE" w:rsidRPr="00A639AB">
        <w:rPr>
          <w:rFonts w:ascii="Times" w:eastAsia="Times New Roman" w:hAnsi="Times" w:cs="Times New Roman"/>
          <w:shd w:val="clear" w:color="auto" w:fill="FFFFFF"/>
          <w:lang w:val="en-GB"/>
        </w:rPr>
        <w:t xml:space="preserve"> standard, collective worker action would be shielded from </w:t>
      </w:r>
      <w:r w:rsidR="00C21B94">
        <w:rPr>
          <w:rFonts w:ascii="Times" w:eastAsia="Times New Roman" w:hAnsi="Times" w:cs="Times New Roman"/>
          <w:shd w:val="clear" w:color="auto" w:fill="FFFFFF"/>
          <w:lang w:val="en-GB"/>
        </w:rPr>
        <w:t>competition law</w:t>
      </w:r>
      <w:r w:rsidR="00566CFE" w:rsidRPr="00A639AB">
        <w:rPr>
          <w:rFonts w:ascii="Times" w:eastAsia="Times New Roman" w:hAnsi="Times" w:cs="Times New Roman"/>
          <w:shd w:val="clear" w:color="auto" w:fill="FFFFFF"/>
          <w:lang w:val="en-GB"/>
        </w:rPr>
        <w:t xml:space="preserve"> attack under labour exemption, because even though collective worker action could result in increased prices in the product market due to higher labour costs and decrease consumer welfare, it would also increase the welfare of </w:t>
      </w:r>
      <w:r w:rsidR="00566CFE" w:rsidRPr="00A639AB">
        <w:rPr>
          <w:rFonts w:ascii="Times" w:eastAsia="Times New Roman" w:hAnsi="Times" w:cs="Times New Roman"/>
          <w:shd w:val="clear" w:color="auto" w:fill="FFFFFF"/>
          <w:lang w:val="en-GB"/>
        </w:rPr>
        <w:lastRenderedPageBreak/>
        <w:t>workers, who will benefit from increased wages</w:t>
      </w:r>
      <w:r w:rsidR="00566CFE">
        <w:rPr>
          <w:rFonts w:ascii="Times" w:eastAsia="Times New Roman" w:hAnsi="Times" w:cs="Times New Roman"/>
          <w:shd w:val="clear" w:color="auto" w:fill="FFFFFF"/>
          <w:lang w:val="en-GB"/>
        </w:rPr>
        <w:t xml:space="preserve"> and better working conditions</w:t>
      </w:r>
      <w:r w:rsidR="00566CFE" w:rsidRPr="00A639AB">
        <w:rPr>
          <w:rFonts w:ascii="Times" w:eastAsia="Times New Roman" w:hAnsi="Times" w:cs="Times New Roman"/>
          <w:shd w:val="clear" w:color="auto" w:fill="FFFFFF"/>
          <w:lang w:val="en-GB"/>
        </w:rPr>
        <w:t>. An exemption standard that is based on a</w:t>
      </w:r>
      <w:r w:rsidR="00566CFE">
        <w:rPr>
          <w:rFonts w:ascii="Times" w:eastAsia="Times New Roman" w:hAnsi="Times" w:cs="Times New Roman"/>
          <w:shd w:val="clear" w:color="auto" w:fill="FFFFFF"/>
          <w:lang w:val="en-GB"/>
        </w:rPr>
        <w:t>n inclusive</w:t>
      </w:r>
      <w:r w:rsidR="00566CFE" w:rsidRPr="00A639AB">
        <w:rPr>
          <w:rFonts w:ascii="Times" w:eastAsia="Times New Roman" w:hAnsi="Times" w:cs="Times New Roman"/>
          <w:shd w:val="clear" w:color="auto" w:fill="FFFFFF"/>
          <w:lang w:val="en-GB"/>
        </w:rPr>
        <w:t xml:space="preserve"> </w:t>
      </w:r>
      <w:r w:rsidR="00566CFE">
        <w:rPr>
          <w:rFonts w:ascii="Times" w:eastAsia="Times New Roman" w:hAnsi="Times" w:cs="Times New Roman"/>
          <w:shd w:val="clear" w:color="auto" w:fill="FFFFFF"/>
          <w:lang w:val="en-GB"/>
        </w:rPr>
        <w:t xml:space="preserve">welfare approach will </w:t>
      </w:r>
      <w:r w:rsidR="00566CFE" w:rsidRPr="00A639AB">
        <w:rPr>
          <w:rFonts w:ascii="Times" w:eastAsia="Times New Roman" w:hAnsi="Times" w:cs="Times New Roman"/>
          <w:shd w:val="clear" w:color="auto" w:fill="FFFFFF"/>
          <w:lang w:val="en-GB"/>
        </w:rPr>
        <w:t xml:space="preserve">also </w:t>
      </w:r>
      <w:r w:rsidR="00AF2C5B">
        <w:rPr>
          <w:rFonts w:ascii="Times" w:eastAsia="Times New Roman" w:hAnsi="Times" w:cs="Times New Roman"/>
          <w:shd w:val="clear" w:color="auto" w:fill="FFFFFF"/>
          <w:lang w:val="en-GB"/>
        </w:rPr>
        <w:t xml:space="preserve">save </w:t>
      </w:r>
      <w:r w:rsidR="00566CFE" w:rsidRPr="00A639AB">
        <w:rPr>
          <w:rFonts w:ascii="Times" w:eastAsia="Times New Roman" w:hAnsi="Times" w:cs="Times New Roman"/>
          <w:shd w:val="clear" w:color="auto" w:fill="FFFFFF"/>
          <w:lang w:val="en-GB"/>
        </w:rPr>
        <w:t xml:space="preserve">courts </w:t>
      </w:r>
      <w:r w:rsidR="00AF2C5B">
        <w:rPr>
          <w:rFonts w:ascii="Times" w:eastAsia="Times New Roman" w:hAnsi="Times" w:cs="Times New Roman"/>
          <w:shd w:val="clear" w:color="auto" w:fill="FFFFFF"/>
          <w:lang w:val="en-GB"/>
        </w:rPr>
        <w:t xml:space="preserve">and competition authorities </w:t>
      </w:r>
      <w:r w:rsidR="00566CFE" w:rsidRPr="00A639AB">
        <w:rPr>
          <w:rFonts w:ascii="Times" w:eastAsia="Times New Roman" w:hAnsi="Times" w:cs="Times New Roman"/>
          <w:shd w:val="clear" w:color="auto" w:fill="FFFFFF"/>
          <w:lang w:val="en-GB"/>
        </w:rPr>
        <w:t xml:space="preserve">from </w:t>
      </w:r>
      <w:r w:rsidR="00566CFE">
        <w:rPr>
          <w:rFonts w:ascii="Times" w:eastAsia="Times New Roman" w:hAnsi="Times" w:cs="Times New Roman"/>
          <w:shd w:val="clear" w:color="auto" w:fill="FFFFFF"/>
          <w:lang w:val="en-GB"/>
        </w:rPr>
        <w:t xml:space="preserve">disentangling </w:t>
      </w:r>
      <w:r w:rsidR="00566CFE" w:rsidRPr="00A639AB">
        <w:rPr>
          <w:rFonts w:ascii="Times" w:eastAsia="Times New Roman" w:hAnsi="Times" w:cs="Times New Roman"/>
          <w:shd w:val="clear" w:color="auto" w:fill="FFFFFF"/>
          <w:lang w:val="en-GB"/>
        </w:rPr>
        <w:t>who qualifies as an undertaking (in the EU) and whether or not worker organisations acted jointly with third parties (in the US)</w:t>
      </w:r>
      <w:r w:rsidR="000A398F">
        <w:rPr>
          <w:rFonts w:ascii="Times" w:eastAsia="Times New Roman" w:hAnsi="Times" w:cs="Times New Roman"/>
          <w:shd w:val="clear" w:color="auto" w:fill="FFFFFF"/>
          <w:lang w:val="en-GB"/>
        </w:rPr>
        <w:t>,</w:t>
      </w:r>
      <w:r w:rsidR="00566CFE" w:rsidRPr="00A639AB">
        <w:rPr>
          <w:rFonts w:ascii="Times" w:eastAsia="Times New Roman" w:hAnsi="Times" w:cs="Times New Roman"/>
          <w:shd w:val="clear" w:color="auto" w:fill="FFFFFF"/>
          <w:lang w:val="en-GB"/>
        </w:rPr>
        <w:t xml:space="preserve"> </w:t>
      </w:r>
      <w:r w:rsidR="000A398F">
        <w:rPr>
          <w:rFonts w:ascii="Times" w:eastAsia="Times New Roman" w:hAnsi="Times" w:cs="Times New Roman"/>
          <w:shd w:val="clear" w:color="auto" w:fill="FFFFFF"/>
          <w:lang w:val="en-GB"/>
        </w:rPr>
        <w:t xml:space="preserve">both of </w:t>
      </w:r>
      <w:r w:rsidR="00566CFE" w:rsidRPr="00A639AB">
        <w:rPr>
          <w:rFonts w:ascii="Times" w:eastAsia="Times New Roman" w:hAnsi="Times" w:cs="Times New Roman"/>
          <w:shd w:val="clear" w:color="auto" w:fill="FFFFFF"/>
          <w:lang w:val="en-GB"/>
        </w:rPr>
        <w:t>which result in imprecise and limited</w:t>
      </w:r>
      <w:r w:rsidR="00566CFE">
        <w:rPr>
          <w:rFonts w:ascii="Times" w:eastAsia="Times New Roman" w:hAnsi="Times" w:cs="Times New Roman"/>
          <w:shd w:val="clear" w:color="auto" w:fill="FFFFFF"/>
          <w:lang w:val="en-GB"/>
        </w:rPr>
        <w:t xml:space="preserve"> judicial exemptions that do not provide a secure harbour for collective worker action</w:t>
      </w:r>
      <w:r w:rsidR="00AF2C5B">
        <w:rPr>
          <w:rFonts w:ascii="Times" w:eastAsia="Times New Roman" w:hAnsi="Times" w:cs="Times New Roman"/>
          <w:shd w:val="clear" w:color="auto" w:fill="FFFFFF"/>
          <w:lang w:val="en-GB"/>
        </w:rPr>
        <w:t xml:space="preserve"> and render it particularly precarious for </w:t>
      </w:r>
      <w:r w:rsidR="00E61AD7">
        <w:rPr>
          <w:rFonts w:ascii="Times" w:eastAsia="Times New Roman" w:hAnsi="Times" w:cs="Times New Roman"/>
          <w:shd w:val="clear" w:color="auto" w:fill="FFFFFF"/>
          <w:lang w:val="en-GB"/>
        </w:rPr>
        <w:t>workers</w:t>
      </w:r>
      <w:r w:rsidR="00AF2C5B">
        <w:rPr>
          <w:rFonts w:ascii="Times" w:eastAsia="Times New Roman" w:hAnsi="Times" w:cs="Times New Roman"/>
          <w:shd w:val="clear" w:color="auto" w:fill="FFFFFF"/>
          <w:lang w:val="en-GB"/>
        </w:rPr>
        <w:t xml:space="preserve"> in </w:t>
      </w:r>
      <w:proofErr w:type="spellStart"/>
      <w:r w:rsidR="00AF2C5B">
        <w:rPr>
          <w:rFonts w:ascii="Times" w:eastAsia="Times New Roman" w:hAnsi="Times" w:cs="Times New Roman"/>
          <w:shd w:val="clear" w:color="auto" w:fill="FFFFFF"/>
          <w:lang w:val="en-GB"/>
        </w:rPr>
        <w:t>cas</w:t>
      </w:r>
      <w:r w:rsidR="000A398F">
        <w:rPr>
          <w:rFonts w:ascii="Times" w:eastAsia="Times New Roman" w:hAnsi="Times" w:cs="Times New Roman"/>
          <w:shd w:val="clear" w:color="auto" w:fill="FFFFFF"/>
          <w:lang w:val="en-GB"/>
        </w:rPr>
        <w:t>u</w:t>
      </w:r>
      <w:r w:rsidR="00AF2C5B">
        <w:rPr>
          <w:rFonts w:ascii="Times" w:eastAsia="Times New Roman" w:hAnsi="Times" w:cs="Times New Roman"/>
          <w:shd w:val="clear" w:color="auto" w:fill="FFFFFF"/>
          <w:lang w:val="en-GB"/>
        </w:rPr>
        <w:t>alised</w:t>
      </w:r>
      <w:proofErr w:type="spellEnd"/>
      <w:r w:rsidR="00AF2C5B">
        <w:rPr>
          <w:rFonts w:ascii="Times" w:eastAsia="Times New Roman" w:hAnsi="Times" w:cs="Times New Roman"/>
          <w:shd w:val="clear" w:color="auto" w:fill="FFFFFF"/>
          <w:lang w:val="en-GB"/>
        </w:rPr>
        <w:t xml:space="preserve"> flexible arrangements to take collective action against their working conditions. </w:t>
      </w:r>
    </w:p>
    <w:p w14:paraId="3F13F4A3" w14:textId="77777777" w:rsidR="00A026CB" w:rsidRDefault="00A026CB" w:rsidP="00F22BA5">
      <w:pPr>
        <w:spacing w:line="480" w:lineRule="auto"/>
        <w:ind w:right="78"/>
        <w:jc w:val="both"/>
        <w:rPr>
          <w:rFonts w:ascii="Times" w:eastAsia="Times New Roman" w:hAnsi="Times" w:cs="Times New Roman"/>
          <w:shd w:val="clear" w:color="auto" w:fill="FFFFFF"/>
          <w:lang w:val="en-GB"/>
        </w:rPr>
      </w:pPr>
    </w:p>
    <w:p w14:paraId="7B9CF17F" w14:textId="79DDD1B4" w:rsidR="00566CFE" w:rsidRPr="00A639AB" w:rsidRDefault="00A927E8" w:rsidP="00F22BA5">
      <w:pPr>
        <w:spacing w:line="480" w:lineRule="auto"/>
        <w:ind w:right="78"/>
        <w:jc w:val="both"/>
        <w:rPr>
          <w:rFonts w:ascii="Times" w:eastAsia="Times New Roman" w:hAnsi="Times" w:cs="Times New Roman"/>
          <w:shd w:val="clear" w:color="auto" w:fill="FFFFFF"/>
          <w:lang w:val="en-GB"/>
        </w:rPr>
      </w:pPr>
      <w:r>
        <w:rPr>
          <w:rFonts w:ascii="Times" w:eastAsia="Times New Roman" w:hAnsi="Times" w:cs="Times New Roman"/>
          <w:shd w:val="clear" w:color="auto" w:fill="FFFFFF"/>
          <w:lang w:val="en-GB"/>
        </w:rPr>
        <w:t>S</w:t>
      </w:r>
      <w:r w:rsidR="00566CFE" w:rsidRPr="00A639AB">
        <w:rPr>
          <w:rFonts w:ascii="Times" w:eastAsia="Times New Roman" w:hAnsi="Times" w:cs="Times New Roman"/>
          <w:shd w:val="clear" w:color="auto" w:fill="FFFFFF"/>
          <w:lang w:val="en-GB"/>
        </w:rPr>
        <w:t xml:space="preserve">imilarly, </w:t>
      </w:r>
      <w:r w:rsidR="00AF1B25">
        <w:rPr>
          <w:rFonts w:ascii="Times" w:eastAsia="Times New Roman" w:hAnsi="Times" w:cs="Times New Roman"/>
          <w:shd w:val="clear" w:color="auto" w:fill="FFFFFF"/>
          <w:lang w:val="en-GB"/>
        </w:rPr>
        <w:t>in light of</w:t>
      </w:r>
      <w:r w:rsidR="00566CFE" w:rsidRPr="00A639AB">
        <w:rPr>
          <w:rFonts w:ascii="Times" w:eastAsia="Times New Roman" w:hAnsi="Times" w:cs="Times New Roman"/>
          <w:shd w:val="clear" w:color="auto" w:fill="FFFFFF"/>
          <w:lang w:val="en-GB"/>
        </w:rPr>
        <w:t xml:space="preserve"> the citizen</w:t>
      </w:r>
      <w:r w:rsidR="00566CFE">
        <w:rPr>
          <w:rFonts w:ascii="Times" w:eastAsia="Times New Roman" w:hAnsi="Times" w:cs="Times New Roman"/>
          <w:shd w:val="clear" w:color="auto" w:fill="FFFFFF"/>
          <w:lang w:val="en-GB"/>
        </w:rPr>
        <w:t xml:space="preserve"> welfare standard, even if the effect of collusive employer behaviour</w:t>
      </w:r>
      <w:r w:rsidR="007F4858">
        <w:rPr>
          <w:rFonts w:ascii="Times" w:eastAsia="Times New Roman" w:hAnsi="Times" w:cs="Times New Roman"/>
          <w:shd w:val="clear" w:color="auto" w:fill="FFFFFF"/>
          <w:lang w:val="en-GB"/>
        </w:rPr>
        <w:t xml:space="preserve"> on prices in the product market</w:t>
      </w:r>
      <w:r w:rsidR="00566CFE">
        <w:rPr>
          <w:rFonts w:ascii="Times" w:eastAsia="Times New Roman" w:hAnsi="Times" w:cs="Times New Roman"/>
          <w:shd w:val="clear" w:color="auto" w:fill="FFFFFF"/>
          <w:lang w:val="en-GB"/>
        </w:rPr>
        <w:t xml:space="preserve"> cannot be proven</w:t>
      </w:r>
      <w:r w:rsidR="00566CFE" w:rsidRPr="00A639AB">
        <w:rPr>
          <w:rFonts w:ascii="Times" w:eastAsia="Times New Roman" w:hAnsi="Times" w:cs="Times New Roman"/>
          <w:shd w:val="clear" w:color="auto" w:fill="FFFFFF"/>
          <w:lang w:val="en-GB"/>
        </w:rPr>
        <w:t xml:space="preserve">, a reduction in the welfare of workers in the production process, such as reduced wages, </w:t>
      </w:r>
      <w:r w:rsidR="00566CFE">
        <w:rPr>
          <w:rFonts w:ascii="Times" w:eastAsia="Times New Roman" w:hAnsi="Times" w:cs="Times New Roman"/>
          <w:shd w:val="clear" w:color="auto" w:fill="FFFFFF"/>
          <w:lang w:val="en-GB"/>
        </w:rPr>
        <w:t>will</w:t>
      </w:r>
      <w:r w:rsidR="00566CFE" w:rsidRPr="00A639AB">
        <w:rPr>
          <w:rFonts w:ascii="Times" w:eastAsia="Times New Roman" w:hAnsi="Times" w:cs="Times New Roman"/>
          <w:shd w:val="clear" w:color="auto" w:fill="FFFFFF"/>
          <w:lang w:val="en-GB"/>
        </w:rPr>
        <w:t xml:space="preserve"> be considered </w:t>
      </w:r>
      <w:r w:rsidR="00566CFE">
        <w:rPr>
          <w:rFonts w:ascii="Times" w:eastAsia="Times New Roman" w:hAnsi="Times" w:cs="Times New Roman"/>
          <w:shd w:val="clear" w:color="auto" w:fill="FFFFFF"/>
          <w:lang w:val="en-GB"/>
        </w:rPr>
        <w:t>sufficient</w:t>
      </w:r>
      <w:r w:rsidR="00566CFE" w:rsidRPr="00A639AB">
        <w:rPr>
          <w:rFonts w:ascii="Times" w:eastAsia="Times New Roman" w:hAnsi="Times" w:cs="Times New Roman"/>
          <w:shd w:val="clear" w:color="auto" w:fill="FFFFFF"/>
          <w:lang w:val="en-GB"/>
        </w:rPr>
        <w:t xml:space="preserve"> for the collusion in question to qualify as anticompetitive. Collusion between employers suppressing wages and other working conditions does not necessarily affect consumer welfare. Suppression of wages might even result in reduced prices and increased consumer welfare due to reduced labour costs in the short run but this comes with the cost of a negative effect on worker welfare.</w:t>
      </w:r>
    </w:p>
    <w:p w14:paraId="4EE97EA3" w14:textId="77777777" w:rsidR="00566CFE" w:rsidRPr="00A639AB" w:rsidRDefault="00566CFE" w:rsidP="00F22BA5">
      <w:pPr>
        <w:spacing w:line="480" w:lineRule="auto"/>
        <w:ind w:right="78"/>
        <w:jc w:val="both"/>
        <w:rPr>
          <w:rFonts w:ascii="Times" w:eastAsia="Times New Roman" w:hAnsi="Times" w:cs="Times New Roman"/>
          <w:shd w:val="clear" w:color="auto" w:fill="FFFFFF"/>
          <w:lang w:val="en-GB"/>
        </w:rPr>
      </w:pPr>
    </w:p>
    <w:p w14:paraId="6EAC0376" w14:textId="1ADD86A9" w:rsidR="00566CFE" w:rsidRPr="00A639AB" w:rsidRDefault="00566CFE" w:rsidP="00F22BA5">
      <w:pPr>
        <w:spacing w:line="480" w:lineRule="auto"/>
        <w:ind w:right="78"/>
        <w:jc w:val="both"/>
        <w:rPr>
          <w:rFonts w:ascii="Times" w:eastAsia="Times New Roman" w:hAnsi="Times" w:cs="Times New Roman"/>
          <w:shd w:val="clear" w:color="auto" w:fill="FFFFFF"/>
          <w:lang w:val="en-GB"/>
        </w:rPr>
      </w:pPr>
      <w:r w:rsidRPr="00A639AB">
        <w:rPr>
          <w:rFonts w:ascii="Times" w:eastAsia="Times New Roman" w:hAnsi="Times" w:cs="Times New Roman"/>
          <w:shd w:val="clear" w:color="auto" w:fill="FFFFFF"/>
          <w:lang w:val="en-GB"/>
        </w:rPr>
        <w:t xml:space="preserve">This does not mean that courts should engage in a balancing analysis between consumer and worker welfare and investigate whether the effect on consumer or worker welfare is larger. </w:t>
      </w:r>
      <w:r w:rsidR="00AF1B25">
        <w:rPr>
          <w:rFonts w:ascii="Times" w:eastAsia="Times New Roman" w:hAnsi="Times" w:cs="Times New Roman"/>
          <w:shd w:val="clear" w:color="auto" w:fill="FFFFFF"/>
          <w:lang w:val="en-GB"/>
        </w:rPr>
        <w:t xml:space="preserve">In </w:t>
      </w:r>
      <w:r w:rsidR="00A91C03">
        <w:rPr>
          <w:rFonts w:ascii="Times" w:eastAsia="Times New Roman" w:hAnsi="Times" w:cs="Times New Roman"/>
          <w:shd w:val="clear" w:color="auto" w:fill="FFFFFF"/>
          <w:lang w:val="en-GB"/>
        </w:rPr>
        <w:t>terms</w:t>
      </w:r>
      <w:r w:rsidR="00AF1B25">
        <w:rPr>
          <w:rFonts w:ascii="Times" w:eastAsia="Times New Roman" w:hAnsi="Times" w:cs="Times New Roman"/>
          <w:shd w:val="clear" w:color="auto" w:fill="FFFFFF"/>
          <w:lang w:val="en-GB"/>
        </w:rPr>
        <w:t xml:space="preserve"> of</w:t>
      </w:r>
      <w:r w:rsidRPr="00A639AB">
        <w:rPr>
          <w:rFonts w:ascii="Times" w:eastAsia="Times New Roman" w:hAnsi="Times" w:cs="Times New Roman"/>
          <w:shd w:val="clear" w:color="auto" w:fill="FFFFFF"/>
          <w:lang w:val="en-GB"/>
        </w:rPr>
        <w:t xml:space="preserve"> the labour fetish</w:t>
      </w:r>
      <w:r w:rsidR="007F4858">
        <w:rPr>
          <w:rFonts w:ascii="Times" w:eastAsia="Times New Roman" w:hAnsi="Times" w:cs="Times New Roman"/>
          <w:shd w:val="clear" w:color="auto" w:fill="FFFFFF"/>
          <w:lang w:val="en-GB"/>
        </w:rPr>
        <w:t xml:space="preserve"> theory</w:t>
      </w:r>
      <w:r w:rsidRPr="00A639AB">
        <w:rPr>
          <w:rFonts w:ascii="Times" w:eastAsia="Times New Roman" w:hAnsi="Times" w:cs="Times New Roman"/>
          <w:shd w:val="clear" w:color="auto" w:fill="FFFFFF"/>
          <w:lang w:val="en-GB"/>
        </w:rPr>
        <w:t xml:space="preserve">, consumers and workers belong to the same group of people and an increase/decrease in consumer welfare with </w:t>
      </w:r>
      <w:r w:rsidR="000023E6">
        <w:rPr>
          <w:rFonts w:ascii="Times" w:eastAsia="Times New Roman" w:hAnsi="Times" w:cs="Times New Roman"/>
          <w:shd w:val="clear" w:color="auto" w:fill="FFFFFF"/>
          <w:lang w:val="en-GB"/>
        </w:rPr>
        <w:t xml:space="preserve">the </w:t>
      </w:r>
      <w:r w:rsidRPr="00A639AB">
        <w:rPr>
          <w:rFonts w:ascii="Times" w:eastAsia="Times New Roman" w:hAnsi="Times" w:cs="Times New Roman"/>
          <w:shd w:val="clear" w:color="auto" w:fill="FFFFFF"/>
          <w:lang w:val="en-GB"/>
        </w:rPr>
        <w:t>result</w:t>
      </w:r>
      <w:r w:rsidR="000A398F">
        <w:rPr>
          <w:rFonts w:ascii="Times" w:eastAsia="Times New Roman" w:hAnsi="Times" w:cs="Times New Roman"/>
          <w:shd w:val="clear" w:color="auto" w:fill="FFFFFF"/>
          <w:lang w:val="en-GB"/>
        </w:rPr>
        <w:t>ing</w:t>
      </w:r>
      <w:r w:rsidRPr="00A639AB">
        <w:rPr>
          <w:rFonts w:ascii="Times" w:eastAsia="Times New Roman" w:hAnsi="Times" w:cs="Times New Roman"/>
          <w:shd w:val="clear" w:color="auto" w:fill="FFFFFF"/>
          <w:lang w:val="en-GB"/>
        </w:rPr>
        <w:t xml:space="preserve"> decrease/increase in worker welfare is most likely to be a transfer. </w:t>
      </w:r>
      <w:r w:rsidR="00D879B0">
        <w:rPr>
          <w:rFonts w:ascii="Times" w:eastAsia="Times New Roman" w:hAnsi="Times" w:cs="Times New Roman"/>
          <w:shd w:val="clear" w:color="auto" w:fill="FFFFFF"/>
          <w:lang w:val="en-GB"/>
        </w:rPr>
        <w:t>Under</w:t>
      </w:r>
      <w:r w:rsidRPr="00A639AB">
        <w:rPr>
          <w:rFonts w:ascii="Times" w:eastAsia="Times New Roman" w:hAnsi="Times" w:cs="Times New Roman"/>
          <w:shd w:val="clear" w:color="auto" w:fill="FFFFFF"/>
          <w:lang w:val="en-GB"/>
        </w:rPr>
        <w:t xml:space="preserve"> the citizen welfare standard, an increase in </w:t>
      </w:r>
      <w:r w:rsidR="001C44C7">
        <w:rPr>
          <w:rFonts w:ascii="Times" w:eastAsia="Times New Roman" w:hAnsi="Times" w:cs="Times New Roman"/>
          <w:shd w:val="clear" w:color="auto" w:fill="FFFFFF"/>
          <w:lang w:val="en-GB"/>
        </w:rPr>
        <w:t>worker</w:t>
      </w:r>
      <w:r w:rsidRPr="00A639AB">
        <w:rPr>
          <w:rFonts w:ascii="Times" w:eastAsia="Times New Roman" w:hAnsi="Times" w:cs="Times New Roman"/>
          <w:shd w:val="clear" w:color="auto" w:fill="FFFFFF"/>
          <w:lang w:val="en-GB"/>
        </w:rPr>
        <w:t xml:space="preserve"> welfare </w:t>
      </w:r>
      <w:r w:rsidR="00E95173">
        <w:rPr>
          <w:rFonts w:ascii="Times" w:eastAsia="Times New Roman" w:hAnsi="Times" w:cs="Times New Roman"/>
          <w:shd w:val="clear" w:color="auto" w:fill="FFFFFF"/>
          <w:lang w:val="en-GB"/>
        </w:rPr>
        <w:t>would</w:t>
      </w:r>
      <w:r w:rsidRPr="00A639AB">
        <w:rPr>
          <w:rFonts w:ascii="Times" w:eastAsia="Times New Roman" w:hAnsi="Times" w:cs="Times New Roman"/>
          <w:shd w:val="clear" w:color="auto" w:fill="FFFFFF"/>
          <w:lang w:val="en-GB"/>
        </w:rPr>
        <w:t xml:space="preserve"> be considered sufficient for the labour exemption to protect collective worker action </w:t>
      </w:r>
      <w:r w:rsidRPr="00A639AB">
        <w:rPr>
          <w:rFonts w:ascii="Times" w:eastAsia="Times New Roman" w:hAnsi="Times" w:cs="Times New Roman"/>
          <w:shd w:val="clear" w:color="auto" w:fill="FFFFFF"/>
          <w:lang w:val="en-GB"/>
        </w:rPr>
        <w:lastRenderedPageBreak/>
        <w:t xml:space="preserve">from antitrust attack and a decrease in worker welfare </w:t>
      </w:r>
      <w:r w:rsidR="00E95173">
        <w:rPr>
          <w:rFonts w:ascii="Times" w:eastAsia="Times New Roman" w:hAnsi="Times" w:cs="Times New Roman"/>
          <w:shd w:val="clear" w:color="auto" w:fill="FFFFFF"/>
          <w:lang w:val="en-GB"/>
        </w:rPr>
        <w:t>would</w:t>
      </w:r>
      <w:r w:rsidRPr="00A639AB">
        <w:rPr>
          <w:rFonts w:ascii="Times" w:eastAsia="Times New Roman" w:hAnsi="Times" w:cs="Times New Roman"/>
          <w:shd w:val="clear" w:color="auto" w:fill="FFFFFF"/>
          <w:lang w:val="en-GB"/>
        </w:rPr>
        <w:t xml:space="preserve"> be considered sufficient for the employer collusion in question to be considered anticompetitive.</w:t>
      </w:r>
    </w:p>
    <w:p w14:paraId="580DB44F" w14:textId="77777777" w:rsidR="00566CFE" w:rsidRPr="00A639AB" w:rsidRDefault="00566CFE" w:rsidP="00F22BA5">
      <w:pPr>
        <w:spacing w:line="480" w:lineRule="auto"/>
        <w:ind w:right="78"/>
        <w:jc w:val="both"/>
        <w:rPr>
          <w:rFonts w:ascii="Times" w:eastAsia="Times New Roman" w:hAnsi="Times" w:cs="Times New Roman"/>
          <w:shd w:val="clear" w:color="auto" w:fill="FFFFFF"/>
          <w:lang w:val="en-GB"/>
        </w:rPr>
      </w:pPr>
    </w:p>
    <w:p w14:paraId="20CB3103" w14:textId="3F83CCB3" w:rsidR="00566CFE" w:rsidRPr="00A639AB" w:rsidRDefault="006E3F04" w:rsidP="00F22BA5">
      <w:pPr>
        <w:spacing w:line="480" w:lineRule="auto"/>
        <w:ind w:right="78"/>
        <w:jc w:val="both"/>
        <w:rPr>
          <w:rFonts w:ascii="Times" w:eastAsia="Times New Roman" w:hAnsi="Times" w:cs="Times New Roman"/>
          <w:shd w:val="clear" w:color="auto" w:fill="FFFFFF"/>
          <w:lang w:val="en-GB"/>
        </w:rPr>
      </w:pPr>
      <w:r>
        <w:rPr>
          <w:rFonts w:ascii="Times" w:eastAsia="Times New Roman" w:hAnsi="Times" w:cs="Times New Roman"/>
          <w:shd w:val="clear" w:color="auto" w:fill="FFFFFF"/>
          <w:lang w:val="en-GB"/>
        </w:rPr>
        <w:t>The</w:t>
      </w:r>
      <w:r w:rsidR="00566CFE" w:rsidRPr="00A639AB">
        <w:rPr>
          <w:rFonts w:ascii="Times" w:eastAsia="Times New Roman" w:hAnsi="Times" w:cs="Times New Roman"/>
          <w:shd w:val="clear" w:color="auto" w:fill="FFFFFF"/>
          <w:lang w:val="en-GB"/>
        </w:rPr>
        <w:t xml:space="preserve"> citizen welfare </w:t>
      </w:r>
      <w:r w:rsidR="00566CFE">
        <w:rPr>
          <w:rFonts w:ascii="Times" w:eastAsia="Times New Roman" w:hAnsi="Times" w:cs="Times New Roman"/>
          <w:shd w:val="clear" w:color="auto" w:fill="FFFFFF"/>
          <w:lang w:val="en-GB"/>
        </w:rPr>
        <w:t xml:space="preserve">approach </w:t>
      </w:r>
      <w:r w:rsidR="00566CFE" w:rsidRPr="00A639AB">
        <w:rPr>
          <w:rFonts w:ascii="Times" w:eastAsia="Times New Roman" w:hAnsi="Times" w:cs="Times New Roman"/>
          <w:shd w:val="clear" w:color="auto" w:fill="FFFFFF"/>
          <w:lang w:val="en-GB"/>
        </w:rPr>
        <w:t xml:space="preserve">would also reflect the complexity of the modern economic and social life in which individuals have multiple overlapping roles and identities, such as workers and consumers. A strict consumer welfare standard, as is </w:t>
      </w:r>
      <w:r w:rsidR="001F2112">
        <w:rPr>
          <w:rFonts w:ascii="Times" w:eastAsia="Times New Roman" w:hAnsi="Times" w:cs="Times New Roman"/>
          <w:shd w:val="clear" w:color="auto" w:fill="FFFFFF"/>
          <w:lang w:val="en-GB"/>
        </w:rPr>
        <w:t xml:space="preserve">currently </w:t>
      </w:r>
      <w:r w:rsidR="00566CFE" w:rsidRPr="00A639AB">
        <w:rPr>
          <w:rFonts w:ascii="Times" w:eastAsia="Times New Roman" w:hAnsi="Times" w:cs="Times New Roman"/>
          <w:shd w:val="clear" w:color="auto" w:fill="FFFFFF"/>
          <w:lang w:val="en-GB"/>
        </w:rPr>
        <w:t xml:space="preserve">applied, does not reflect this complexity and compartmentalises </w:t>
      </w:r>
      <w:r w:rsidR="00566CFE">
        <w:rPr>
          <w:rFonts w:ascii="Times" w:eastAsia="Times New Roman" w:hAnsi="Times" w:cs="Times New Roman"/>
          <w:shd w:val="clear" w:color="auto" w:fill="FFFFFF"/>
          <w:lang w:val="en-GB"/>
        </w:rPr>
        <w:t xml:space="preserve">an </w:t>
      </w:r>
      <w:r w:rsidR="00566CFE" w:rsidRPr="00A639AB">
        <w:rPr>
          <w:rFonts w:ascii="Times" w:eastAsia="Times New Roman" w:hAnsi="Times" w:cs="Times New Roman"/>
          <w:shd w:val="clear" w:color="auto" w:fill="FFFFFF"/>
          <w:lang w:val="en-GB"/>
        </w:rPr>
        <w:t xml:space="preserve">individual’s economic and social roles. </w:t>
      </w:r>
    </w:p>
    <w:p w14:paraId="2E2412AA" w14:textId="77777777" w:rsidR="00566CFE" w:rsidRDefault="00566CFE" w:rsidP="00F22BA5">
      <w:pPr>
        <w:spacing w:line="480" w:lineRule="auto"/>
        <w:ind w:right="78"/>
        <w:jc w:val="both"/>
        <w:rPr>
          <w:rFonts w:ascii="Times" w:eastAsia="Times New Roman" w:hAnsi="Times" w:cs="Times New Roman"/>
          <w:shd w:val="clear" w:color="auto" w:fill="FFFFFF"/>
          <w:lang w:val="en-GB"/>
        </w:rPr>
      </w:pPr>
    </w:p>
    <w:p w14:paraId="38ECBDAE" w14:textId="4A158B09" w:rsidR="00566CFE" w:rsidRPr="00D35DFF" w:rsidRDefault="00960A72" w:rsidP="00F22BA5">
      <w:pPr>
        <w:spacing w:line="480" w:lineRule="auto"/>
        <w:ind w:right="78"/>
        <w:jc w:val="both"/>
        <w:rPr>
          <w:rFonts w:ascii="Times" w:hAnsi="Times" w:cs="Times New Roman"/>
        </w:rPr>
      </w:pPr>
      <w:r>
        <w:rPr>
          <w:rFonts w:ascii="Times" w:eastAsia="Times New Roman" w:hAnsi="Times" w:cs="Times New Roman"/>
          <w:shd w:val="clear" w:color="auto" w:fill="FFFFFF"/>
          <w:lang w:val="en-GB"/>
        </w:rPr>
        <w:t xml:space="preserve">This article does not argue that competition law on its own can solve the problem of wage inequality. This is not competition law’s objective and neither </w:t>
      </w:r>
      <w:r w:rsidR="000A398F">
        <w:rPr>
          <w:rFonts w:ascii="Times" w:eastAsia="Times New Roman" w:hAnsi="Times" w:cs="Times New Roman"/>
          <w:shd w:val="clear" w:color="auto" w:fill="FFFFFF"/>
          <w:lang w:val="en-GB"/>
        </w:rPr>
        <w:t xml:space="preserve">is </w:t>
      </w:r>
      <w:r>
        <w:rPr>
          <w:rFonts w:ascii="Times" w:eastAsia="Times New Roman" w:hAnsi="Times" w:cs="Times New Roman"/>
          <w:shd w:val="clear" w:color="auto" w:fill="FFFFFF"/>
          <w:lang w:val="en-GB"/>
        </w:rPr>
        <w:t xml:space="preserve">it equipped with </w:t>
      </w:r>
      <w:r w:rsidR="000A398F">
        <w:rPr>
          <w:rFonts w:ascii="Times" w:eastAsia="Times New Roman" w:hAnsi="Times" w:cs="Times New Roman"/>
          <w:shd w:val="clear" w:color="auto" w:fill="FFFFFF"/>
          <w:lang w:val="en-GB"/>
        </w:rPr>
        <w:t xml:space="preserve">the </w:t>
      </w:r>
      <w:r>
        <w:rPr>
          <w:rFonts w:ascii="Times" w:eastAsia="Times New Roman" w:hAnsi="Times" w:cs="Times New Roman"/>
          <w:shd w:val="clear" w:color="auto" w:fill="FFFFFF"/>
          <w:lang w:val="en-GB"/>
        </w:rPr>
        <w:t xml:space="preserve">means to achieve it. Investigating </w:t>
      </w:r>
      <w:r w:rsidR="000A398F">
        <w:rPr>
          <w:rFonts w:ascii="Times" w:eastAsia="Times New Roman" w:hAnsi="Times" w:cs="Times New Roman"/>
          <w:shd w:val="clear" w:color="auto" w:fill="FFFFFF"/>
          <w:lang w:val="en-GB"/>
        </w:rPr>
        <w:t xml:space="preserve">the </w:t>
      </w:r>
      <w:r>
        <w:rPr>
          <w:rFonts w:ascii="Times" w:eastAsia="Times New Roman" w:hAnsi="Times" w:cs="Times New Roman"/>
          <w:shd w:val="clear" w:color="auto" w:fill="FFFFFF"/>
          <w:lang w:val="en-GB"/>
        </w:rPr>
        <w:t>competition law</w:t>
      </w:r>
      <w:r w:rsidR="000A398F">
        <w:rPr>
          <w:rFonts w:ascii="Times" w:eastAsia="Times New Roman" w:hAnsi="Times" w:cs="Times"/>
          <w:shd w:val="clear" w:color="auto" w:fill="FFFFFF"/>
          <w:lang w:val="en-GB"/>
        </w:rPr>
        <w:t>–</w:t>
      </w:r>
      <w:r>
        <w:rPr>
          <w:rFonts w:ascii="Times" w:eastAsia="Times New Roman" w:hAnsi="Times" w:cs="Times New Roman"/>
          <w:shd w:val="clear" w:color="auto" w:fill="FFFFFF"/>
          <w:lang w:val="en-GB"/>
        </w:rPr>
        <w:t xml:space="preserve">equality </w:t>
      </w:r>
      <w:r w:rsidR="009F4E92">
        <w:rPr>
          <w:rFonts w:ascii="Times" w:eastAsia="Times New Roman" w:hAnsi="Times" w:cs="Times New Roman"/>
          <w:shd w:val="clear" w:color="auto" w:fill="FFFFFF"/>
          <w:lang w:val="en-GB"/>
        </w:rPr>
        <w:t xml:space="preserve">relationship </w:t>
      </w:r>
      <w:r>
        <w:rPr>
          <w:rFonts w:ascii="Times" w:eastAsia="Times New Roman" w:hAnsi="Times" w:cs="Times New Roman"/>
          <w:shd w:val="clear" w:color="auto" w:fill="FFFFFF"/>
          <w:lang w:val="en-GB"/>
        </w:rPr>
        <w:t xml:space="preserve">requires more extensive law and economics analysis, which </w:t>
      </w:r>
      <w:r w:rsidR="009D62F3">
        <w:rPr>
          <w:rFonts w:ascii="Times" w:eastAsia="Times New Roman" w:hAnsi="Times" w:cs="Times New Roman"/>
          <w:shd w:val="clear" w:color="auto" w:fill="FFFFFF"/>
          <w:lang w:val="en-GB"/>
        </w:rPr>
        <w:t>is</w:t>
      </w:r>
      <w:r>
        <w:rPr>
          <w:rFonts w:ascii="Times" w:eastAsia="Times New Roman" w:hAnsi="Times" w:cs="Times New Roman"/>
          <w:shd w:val="clear" w:color="auto" w:fill="FFFFFF"/>
          <w:lang w:val="en-GB"/>
        </w:rPr>
        <w:t xml:space="preserve"> beyond the scope of this article. </w:t>
      </w:r>
      <w:r w:rsidR="00566CFE">
        <w:rPr>
          <w:rFonts w:ascii="Times" w:eastAsia="Times New Roman" w:hAnsi="Times" w:cs="Times New Roman"/>
          <w:shd w:val="clear" w:color="auto" w:fill="FFFFFF"/>
          <w:lang w:val="en-GB"/>
        </w:rPr>
        <w:t xml:space="preserve">Nevertheless, in the context of </w:t>
      </w:r>
      <w:r w:rsidR="000A398F">
        <w:rPr>
          <w:rFonts w:ascii="Times" w:eastAsia="Times New Roman" w:hAnsi="Times" w:cs="Times New Roman"/>
          <w:shd w:val="clear" w:color="auto" w:fill="FFFFFF"/>
          <w:lang w:val="en-GB"/>
        </w:rPr>
        <w:t xml:space="preserve">the </w:t>
      </w:r>
      <w:r w:rsidR="00566CFE">
        <w:rPr>
          <w:rFonts w:ascii="Times" w:eastAsia="Times New Roman" w:hAnsi="Times" w:cs="Times New Roman"/>
          <w:shd w:val="clear" w:color="auto" w:fill="FFFFFF"/>
          <w:lang w:val="en-GB"/>
        </w:rPr>
        <w:t>competition</w:t>
      </w:r>
      <w:r w:rsidR="000A398F">
        <w:rPr>
          <w:rFonts w:ascii="Times" w:eastAsia="Times New Roman" w:hAnsi="Times" w:cs="Times"/>
          <w:shd w:val="clear" w:color="auto" w:fill="FFFFFF"/>
          <w:lang w:val="en-GB"/>
        </w:rPr>
        <w:t>–</w:t>
      </w:r>
      <w:r w:rsidR="00566CFE">
        <w:rPr>
          <w:rFonts w:ascii="Times" w:eastAsia="Times New Roman" w:hAnsi="Times" w:cs="Times New Roman"/>
          <w:shd w:val="clear" w:color="auto" w:fill="FFFFFF"/>
          <w:lang w:val="en-GB"/>
        </w:rPr>
        <w:t>solidarity conflict, competition law would be more likely to contribute to equality or at</w:t>
      </w:r>
      <w:r w:rsidR="00DF5865">
        <w:rPr>
          <w:rFonts w:ascii="Times" w:eastAsia="Times New Roman" w:hAnsi="Times" w:cs="Times New Roman"/>
          <w:shd w:val="clear" w:color="auto" w:fill="FFFFFF"/>
          <w:lang w:val="en-GB"/>
        </w:rPr>
        <w:t xml:space="preserve"> least not to contribute to</w:t>
      </w:r>
      <w:r w:rsidR="00566CFE">
        <w:rPr>
          <w:rFonts w:ascii="Times" w:eastAsia="Times New Roman" w:hAnsi="Times" w:cs="Times New Roman"/>
          <w:shd w:val="clear" w:color="auto" w:fill="FFFFFF"/>
          <w:lang w:val="en-GB"/>
        </w:rPr>
        <w:t xml:space="preserve"> inequality </w:t>
      </w:r>
      <w:r w:rsidR="00D879B0">
        <w:rPr>
          <w:rFonts w:ascii="Times" w:eastAsia="Times New Roman" w:hAnsi="Times" w:cs="Times New Roman"/>
          <w:shd w:val="clear" w:color="auto" w:fill="FFFFFF"/>
          <w:lang w:val="en-GB"/>
        </w:rPr>
        <w:t>under</w:t>
      </w:r>
      <w:r w:rsidR="00566CFE">
        <w:rPr>
          <w:rFonts w:ascii="Times" w:eastAsia="Times New Roman" w:hAnsi="Times" w:cs="Times New Roman"/>
          <w:shd w:val="clear" w:color="auto" w:fill="FFFFFF"/>
          <w:lang w:val="en-GB"/>
        </w:rPr>
        <w:t xml:space="preserve"> the citizen welfare standard. T</w:t>
      </w:r>
      <w:r w:rsidR="00566CFE" w:rsidRPr="00A639AB">
        <w:rPr>
          <w:rFonts w:ascii="Times" w:eastAsia="Times New Roman" w:hAnsi="Times" w:cs="Times New Roman"/>
          <w:shd w:val="clear" w:color="auto" w:fill="FFFFFF"/>
          <w:lang w:val="en-GB"/>
        </w:rPr>
        <w:t>he competition</w:t>
      </w:r>
      <w:r w:rsidR="000A398F">
        <w:rPr>
          <w:rFonts w:ascii="Times" w:eastAsia="Times New Roman" w:hAnsi="Times" w:cs="Times"/>
          <w:shd w:val="clear" w:color="auto" w:fill="FFFFFF"/>
          <w:lang w:val="en-GB"/>
        </w:rPr>
        <w:t>–</w:t>
      </w:r>
      <w:r w:rsidR="00566CFE" w:rsidRPr="00A639AB">
        <w:rPr>
          <w:rFonts w:ascii="Times" w:eastAsia="Times New Roman" w:hAnsi="Times" w:cs="Times New Roman"/>
          <w:shd w:val="clear" w:color="auto" w:fill="FFFFFF"/>
          <w:lang w:val="en-GB"/>
        </w:rPr>
        <w:t>equality debate overlooks the production process that goods and services go through before they meet consumers</w:t>
      </w:r>
      <w:r w:rsidR="00D879B0">
        <w:rPr>
          <w:rFonts w:ascii="Times" w:eastAsia="Times New Roman" w:hAnsi="Times" w:cs="Times New Roman"/>
          <w:shd w:val="clear" w:color="auto" w:fill="FFFFFF"/>
          <w:lang w:val="en-GB"/>
        </w:rPr>
        <w:t>,</w:t>
      </w:r>
      <w:r w:rsidR="00566CFE" w:rsidRPr="00A639AB">
        <w:rPr>
          <w:rFonts w:ascii="Times" w:eastAsia="Times New Roman" w:hAnsi="Times" w:cs="Times New Roman"/>
          <w:shd w:val="clear" w:color="auto" w:fill="FFFFFF"/>
          <w:lang w:val="en-GB"/>
        </w:rPr>
        <w:t xml:space="preserve"> </w:t>
      </w:r>
      <w:r w:rsidR="00D879B0">
        <w:rPr>
          <w:rFonts w:ascii="Times" w:eastAsia="Times New Roman" w:hAnsi="Times" w:cs="Times New Roman"/>
          <w:shd w:val="clear" w:color="auto" w:fill="FFFFFF"/>
          <w:lang w:val="en-GB"/>
        </w:rPr>
        <w:t>as well as</w:t>
      </w:r>
      <w:r w:rsidR="00D879B0" w:rsidRPr="00A639AB">
        <w:rPr>
          <w:rFonts w:ascii="Times" w:eastAsia="Times New Roman" w:hAnsi="Times" w:cs="Times New Roman"/>
          <w:shd w:val="clear" w:color="auto" w:fill="FFFFFF"/>
          <w:lang w:val="en-GB"/>
        </w:rPr>
        <w:t xml:space="preserve"> </w:t>
      </w:r>
      <w:r w:rsidR="00566CFE" w:rsidRPr="00A639AB">
        <w:rPr>
          <w:rFonts w:ascii="Times" w:eastAsia="Times New Roman" w:hAnsi="Times" w:cs="Times New Roman"/>
          <w:shd w:val="clear" w:color="auto" w:fill="FFFFFF"/>
          <w:lang w:val="en-GB"/>
        </w:rPr>
        <w:t xml:space="preserve">the role of workers within </w:t>
      </w:r>
      <w:r w:rsidR="00566CFE">
        <w:rPr>
          <w:rFonts w:ascii="Times" w:eastAsia="Times New Roman" w:hAnsi="Times" w:cs="Times New Roman"/>
          <w:shd w:val="clear" w:color="auto" w:fill="FFFFFF"/>
          <w:lang w:val="en-GB"/>
        </w:rPr>
        <w:t>it</w:t>
      </w:r>
      <w:r w:rsidR="00566CFE" w:rsidRPr="00A639AB">
        <w:rPr>
          <w:rFonts w:ascii="Times" w:eastAsia="Times New Roman" w:hAnsi="Times" w:cs="Times New Roman"/>
          <w:shd w:val="clear" w:color="auto" w:fill="FFFFFF"/>
          <w:lang w:val="en-GB"/>
        </w:rPr>
        <w:t xml:space="preserve">. </w:t>
      </w:r>
      <w:r w:rsidR="00566CFE">
        <w:rPr>
          <w:rFonts w:ascii="Times" w:eastAsia="Times New Roman" w:hAnsi="Times" w:cs="Times New Roman"/>
          <w:shd w:val="clear" w:color="auto" w:fill="FFFFFF"/>
          <w:lang w:val="en-GB"/>
        </w:rPr>
        <w:t>W</w:t>
      </w:r>
      <w:r w:rsidR="00566CFE" w:rsidRPr="00A639AB">
        <w:rPr>
          <w:rFonts w:ascii="Times" w:eastAsia="Times New Roman" w:hAnsi="Times" w:cs="Times New Roman"/>
          <w:shd w:val="clear" w:color="auto" w:fill="FFFFFF"/>
          <w:lang w:val="en-GB"/>
        </w:rPr>
        <w:t xml:space="preserve">orkers and individuals within the </w:t>
      </w:r>
      <w:r w:rsidR="00566CFE" w:rsidRPr="00A639AB">
        <w:rPr>
          <w:rFonts w:ascii="Times" w:hAnsi="Times" w:cs="Times New Roman"/>
        </w:rPr>
        <w:t xml:space="preserve">‘reserve army’ of precariousness have felt the effects of the </w:t>
      </w:r>
      <w:r w:rsidR="00566CFE">
        <w:rPr>
          <w:rFonts w:ascii="Times" w:hAnsi="Times" w:cs="Times New Roman"/>
        </w:rPr>
        <w:t xml:space="preserve">2008 </w:t>
      </w:r>
      <w:r w:rsidR="00566CFE" w:rsidRPr="00A639AB">
        <w:rPr>
          <w:rFonts w:ascii="Times" w:hAnsi="Times" w:cs="Times New Roman"/>
        </w:rPr>
        <w:t>crisis the worst</w:t>
      </w:r>
      <w:r w:rsidR="00566CFE">
        <w:rPr>
          <w:rFonts w:ascii="Times" w:hAnsi="Times" w:cs="Times New Roman"/>
        </w:rPr>
        <w:t xml:space="preserve">. </w:t>
      </w:r>
      <w:r w:rsidR="00566CFE" w:rsidRPr="00A639AB">
        <w:rPr>
          <w:rStyle w:val="FootnoteReference"/>
          <w:rFonts w:ascii="Times" w:hAnsi="Times" w:cs="Times New Roman"/>
        </w:rPr>
        <w:footnoteReference w:id="103"/>
      </w:r>
      <w:r w:rsidR="00566CFE">
        <w:rPr>
          <w:rFonts w:ascii="Times" w:hAnsi="Times" w:cs="Times New Roman"/>
        </w:rPr>
        <w:t xml:space="preserve"> A competition law that does not pay attention to the idiosyncrasies of </w:t>
      </w:r>
      <w:proofErr w:type="spellStart"/>
      <w:r w:rsidR="00566CFE">
        <w:rPr>
          <w:rFonts w:ascii="Times" w:hAnsi="Times" w:cs="Times New Roman"/>
        </w:rPr>
        <w:t>labour</w:t>
      </w:r>
      <w:proofErr w:type="spellEnd"/>
      <w:r w:rsidR="00566CFE">
        <w:rPr>
          <w:rFonts w:ascii="Times" w:hAnsi="Times" w:cs="Times New Roman"/>
        </w:rPr>
        <w:t xml:space="preserve"> is likely to contribute towards inequality facing workers and </w:t>
      </w:r>
      <w:r w:rsidR="00566CFE">
        <w:rPr>
          <w:rFonts w:ascii="Times" w:hAnsi="Times" w:cs="Times New Roman"/>
        </w:rPr>
        <w:lastRenderedPageBreak/>
        <w:t xml:space="preserve">precariously employed individuals. </w:t>
      </w:r>
      <w:r w:rsidR="00566CFE" w:rsidRPr="00A639AB">
        <w:rPr>
          <w:rFonts w:ascii="Times" w:hAnsi="Times" w:cs="Times New Roman"/>
        </w:rPr>
        <w:t xml:space="preserve">As shown in this article, </w:t>
      </w:r>
      <w:r w:rsidR="00566CFE">
        <w:rPr>
          <w:rFonts w:ascii="Times" w:hAnsi="Times" w:cs="Times New Roman"/>
        </w:rPr>
        <w:t xml:space="preserve">competition law </w:t>
      </w:r>
      <w:r w:rsidR="00AF1B25">
        <w:rPr>
          <w:rFonts w:ascii="Times" w:hAnsi="Times" w:cs="Times New Roman"/>
        </w:rPr>
        <w:t xml:space="preserve">in </w:t>
      </w:r>
      <w:r w:rsidR="00D879B0">
        <w:rPr>
          <w:rFonts w:ascii="Times" w:hAnsi="Times" w:cs="Times New Roman"/>
        </w:rPr>
        <w:t>terms</w:t>
      </w:r>
      <w:r w:rsidR="00AF1B25">
        <w:rPr>
          <w:rFonts w:ascii="Times" w:hAnsi="Times" w:cs="Times New Roman"/>
        </w:rPr>
        <w:t xml:space="preserve"> of</w:t>
      </w:r>
      <w:r w:rsidR="00D35DFF">
        <w:rPr>
          <w:rFonts w:ascii="Times" w:hAnsi="Times" w:cs="Times New Roman"/>
        </w:rPr>
        <w:t xml:space="preserve"> the consumer welfare standard </w:t>
      </w:r>
      <w:r w:rsidR="00566CFE">
        <w:rPr>
          <w:rFonts w:ascii="Times" w:hAnsi="Times" w:cs="Times New Roman"/>
        </w:rPr>
        <w:t>has become a double-</w:t>
      </w:r>
      <w:r w:rsidR="00566CFE" w:rsidRPr="00A639AB">
        <w:rPr>
          <w:rFonts w:ascii="Times" w:hAnsi="Times" w:cs="Times New Roman"/>
        </w:rPr>
        <w:t xml:space="preserve">edged sword </w:t>
      </w:r>
      <w:r w:rsidR="000A398F">
        <w:rPr>
          <w:rFonts w:ascii="Times" w:hAnsi="Times" w:cs="Times"/>
        </w:rPr>
        <w:t>–</w:t>
      </w:r>
      <w:r w:rsidR="000A398F">
        <w:rPr>
          <w:rFonts w:ascii="Times" w:hAnsi="Times" w:cs="Times New Roman"/>
        </w:rPr>
        <w:t xml:space="preserve"> </w:t>
      </w:r>
      <w:r w:rsidR="00566CFE" w:rsidRPr="00A639AB">
        <w:rPr>
          <w:rFonts w:ascii="Times" w:hAnsi="Times" w:cs="Times New Roman"/>
        </w:rPr>
        <w:t>disciplining collective worker action, arguably at a time wh</w:t>
      </w:r>
      <w:r w:rsidR="00D35DFF">
        <w:rPr>
          <w:rFonts w:ascii="Times" w:hAnsi="Times" w:cs="Times New Roman"/>
        </w:rPr>
        <w:t xml:space="preserve">en there is utmost need for it, whilst treating collusive employer behavior leniently. </w:t>
      </w:r>
      <w:r w:rsidR="00566CFE">
        <w:rPr>
          <w:rFonts w:ascii="Times" w:hAnsi="Times" w:cs="Times New Roman"/>
        </w:rPr>
        <w:t>The citizen welfare standard suggested in this article</w:t>
      </w:r>
      <w:r w:rsidR="00566CFE" w:rsidRPr="00A639AB">
        <w:rPr>
          <w:rFonts w:ascii="Times" w:hAnsi="Times" w:cs="Times New Roman"/>
        </w:rPr>
        <w:t xml:space="preserve"> </w:t>
      </w:r>
      <w:r w:rsidR="00566CFE">
        <w:rPr>
          <w:rFonts w:ascii="Times" w:hAnsi="Times" w:cs="Times New Roman"/>
        </w:rPr>
        <w:t xml:space="preserve">would prevent competition law from being </w:t>
      </w:r>
      <w:r w:rsidR="00566CFE" w:rsidRPr="00A639AB">
        <w:rPr>
          <w:rFonts w:ascii="Times" w:hAnsi="Times" w:cs="Times New Roman"/>
        </w:rPr>
        <w:t xml:space="preserve">strategically </w:t>
      </w:r>
      <w:r w:rsidR="00566CFE">
        <w:rPr>
          <w:rFonts w:ascii="Times" w:hAnsi="Times" w:cs="Times New Roman"/>
        </w:rPr>
        <w:t xml:space="preserve">used </w:t>
      </w:r>
      <w:r w:rsidR="00566CFE" w:rsidRPr="00A639AB">
        <w:rPr>
          <w:rFonts w:ascii="Times" w:hAnsi="Times" w:cs="Times New Roman"/>
        </w:rPr>
        <w:t xml:space="preserve">to prevent effective collective worker action. In other words, the citizen welfare standard would prevent </w:t>
      </w:r>
      <w:r w:rsidR="00566CFE" w:rsidRPr="00D879B0">
        <w:rPr>
          <w:rFonts w:ascii="Times" w:hAnsi="Times" w:cs="Times New Roman"/>
        </w:rPr>
        <w:t xml:space="preserve">competition rules from </w:t>
      </w:r>
      <w:proofErr w:type="spellStart"/>
      <w:r w:rsidR="00566CFE" w:rsidRPr="00D879B0">
        <w:rPr>
          <w:rFonts w:ascii="Times" w:hAnsi="Times" w:cs="Times New Roman"/>
        </w:rPr>
        <w:t>jeopardising</w:t>
      </w:r>
      <w:proofErr w:type="spellEnd"/>
      <w:r w:rsidR="00566CFE" w:rsidRPr="00D879B0">
        <w:rPr>
          <w:rFonts w:ascii="Times" w:hAnsi="Times" w:cs="Times New Roman"/>
        </w:rPr>
        <w:t xml:space="preserve"> workers’ collective action in search </w:t>
      </w:r>
      <w:r w:rsidR="000A398F" w:rsidRPr="00D879B0">
        <w:rPr>
          <w:rFonts w:ascii="Times" w:hAnsi="Times" w:cs="Times New Roman"/>
        </w:rPr>
        <w:t>of</w:t>
      </w:r>
      <w:r w:rsidR="00566CFE" w:rsidRPr="00D879B0">
        <w:rPr>
          <w:rFonts w:ascii="Times" w:hAnsi="Times" w:cs="Times New Roman"/>
        </w:rPr>
        <w:t xml:space="preserve"> equality.</w:t>
      </w:r>
      <w:r w:rsidR="00566CFE" w:rsidRPr="00A639AB">
        <w:rPr>
          <w:rFonts w:ascii="Times" w:hAnsi="Times" w:cs="Times New Roman"/>
        </w:rPr>
        <w:t xml:space="preserve"> Similarly, competition rules applied </w:t>
      </w:r>
      <w:r w:rsidR="00D879B0">
        <w:rPr>
          <w:rFonts w:ascii="Times" w:hAnsi="Times" w:cs="Times New Roman"/>
        </w:rPr>
        <w:t>under</w:t>
      </w:r>
      <w:r w:rsidR="00566CFE" w:rsidRPr="00A639AB">
        <w:rPr>
          <w:rFonts w:ascii="Times" w:hAnsi="Times" w:cs="Times New Roman"/>
        </w:rPr>
        <w:t xml:space="preserve"> a citizen welfare standard would prevent employers from suppressing wages and other working conditions particularly in markets in which the bargaining power tilts </w:t>
      </w:r>
      <w:r w:rsidR="000A398F">
        <w:rPr>
          <w:rFonts w:ascii="Times" w:hAnsi="Times" w:cs="Times New Roman"/>
        </w:rPr>
        <w:t>in</w:t>
      </w:r>
      <w:r w:rsidR="00566CFE" w:rsidRPr="00A639AB">
        <w:rPr>
          <w:rFonts w:ascii="Times" w:hAnsi="Times" w:cs="Times New Roman"/>
        </w:rPr>
        <w:t xml:space="preserve"> the workers’ </w:t>
      </w:r>
      <w:proofErr w:type="spellStart"/>
      <w:r w:rsidR="00566CFE" w:rsidRPr="00A639AB">
        <w:rPr>
          <w:rFonts w:ascii="Times" w:hAnsi="Times" w:cs="Times New Roman"/>
        </w:rPr>
        <w:t>favour</w:t>
      </w:r>
      <w:proofErr w:type="spellEnd"/>
      <w:r w:rsidR="00566CFE" w:rsidRPr="00A639AB">
        <w:rPr>
          <w:rFonts w:ascii="Times" w:hAnsi="Times" w:cs="Times New Roman"/>
        </w:rPr>
        <w:t>. As a result, in those situations competition law would prevent employers from interfering with the distribution of wealth to their own benefit and to the workers’ detriment.</w:t>
      </w:r>
    </w:p>
    <w:p w14:paraId="6D357F58" w14:textId="77777777" w:rsidR="002F3E3C" w:rsidRDefault="002F3E3C" w:rsidP="00F22BA5">
      <w:pPr>
        <w:spacing w:line="480" w:lineRule="auto"/>
        <w:ind w:right="95"/>
        <w:jc w:val="both"/>
        <w:rPr>
          <w:rFonts w:ascii="Times" w:eastAsia="Times New Roman" w:hAnsi="Times" w:cs="Arial"/>
        </w:rPr>
      </w:pPr>
    </w:p>
    <w:p w14:paraId="38634995" w14:textId="77777777" w:rsidR="00AF53BE" w:rsidRPr="005003C2" w:rsidRDefault="005003C2" w:rsidP="00F22BA5">
      <w:pPr>
        <w:pStyle w:val="ListParagraph"/>
        <w:numPr>
          <w:ilvl w:val="0"/>
          <w:numId w:val="1"/>
        </w:numPr>
        <w:spacing w:line="480" w:lineRule="auto"/>
        <w:ind w:right="78"/>
        <w:jc w:val="both"/>
        <w:rPr>
          <w:rFonts w:ascii="Times" w:hAnsi="Times" w:cs="Times New Roman"/>
        </w:rPr>
      </w:pPr>
      <w:r w:rsidRPr="005003C2">
        <w:rPr>
          <w:rFonts w:ascii="Times" w:hAnsi="Times" w:cs="Times New Roman"/>
        </w:rPr>
        <w:t>CONCLUSIONS</w:t>
      </w:r>
    </w:p>
    <w:p w14:paraId="540AA149" w14:textId="77777777" w:rsidR="00F73F7B" w:rsidRDefault="00F73F7B" w:rsidP="00F22BA5">
      <w:pPr>
        <w:spacing w:line="480" w:lineRule="auto"/>
        <w:ind w:right="78"/>
        <w:jc w:val="both"/>
        <w:rPr>
          <w:rFonts w:ascii="Times" w:eastAsia="Times New Roman" w:hAnsi="Times" w:cs="Times New Roman"/>
          <w:shd w:val="clear" w:color="auto" w:fill="FFFFFF"/>
          <w:lang w:val="en-GB"/>
        </w:rPr>
      </w:pPr>
    </w:p>
    <w:p w14:paraId="36DA444A" w14:textId="533203E3" w:rsidR="00F73F7B" w:rsidRDefault="00E806A2" w:rsidP="00F22BA5">
      <w:pPr>
        <w:spacing w:line="480" w:lineRule="auto"/>
        <w:ind w:right="78"/>
        <w:jc w:val="both"/>
        <w:rPr>
          <w:rFonts w:ascii="Times" w:eastAsia="Times New Roman" w:hAnsi="Times" w:cs="Times New Roman"/>
          <w:shd w:val="clear" w:color="auto" w:fill="FFFFFF"/>
          <w:lang w:val="en-GB"/>
        </w:rPr>
      </w:pPr>
      <w:r>
        <w:rPr>
          <w:rFonts w:ascii="Times" w:eastAsia="Times New Roman" w:hAnsi="Times" w:cs="Times New Roman"/>
          <w:shd w:val="clear" w:color="auto" w:fill="FFFFFF"/>
          <w:lang w:val="en-GB"/>
        </w:rPr>
        <w:t>The conflict between m</w:t>
      </w:r>
      <w:r w:rsidR="00F73F7B">
        <w:rPr>
          <w:rFonts w:ascii="Times" w:eastAsia="Times New Roman" w:hAnsi="Times" w:cs="Times New Roman"/>
          <w:shd w:val="clear" w:color="auto" w:fill="FFFFFF"/>
          <w:lang w:val="en-GB"/>
        </w:rPr>
        <w:t>arket</w:t>
      </w:r>
      <w:r w:rsidR="00F73F7B" w:rsidRPr="00A639AB">
        <w:rPr>
          <w:rFonts w:ascii="Times" w:eastAsia="Times New Roman" w:hAnsi="Times" w:cs="Times New Roman"/>
          <w:shd w:val="clear" w:color="auto" w:fill="FFFFFF"/>
          <w:lang w:val="en-GB"/>
        </w:rPr>
        <w:t xml:space="preserve"> competition</w:t>
      </w:r>
      <w:r>
        <w:rPr>
          <w:rFonts w:ascii="Times" w:eastAsia="Times New Roman" w:hAnsi="Times" w:cs="Times New Roman"/>
          <w:shd w:val="clear" w:color="auto" w:fill="FFFFFF"/>
          <w:lang w:val="en-GB"/>
        </w:rPr>
        <w:t xml:space="preserve"> and </w:t>
      </w:r>
      <w:r w:rsidR="00F73F7B" w:rsidRPr="00A639AB">
        <w:rPr>
          <w:rFonts w:ascii="Times" w:eastAsia="Times New Roman" w:hAnsi="Times" w:cs="Times New Roman"/>
          <w:shd w:val="clear" w:color="auto" w:fill="FFFFFF"/>
          <w:lang w:val="en-GB"/>
        </w:rPr>
        <w:t xml:space="preserve">worker solidarity </w:t>
      </w:r>
      <w:r w:rsidR="00F73F7B">
        <w:rPr>
          <w:rFonts w:ascii="Times" w:eastAsia="Times New Roman" w:hAnsi="Times" w:cs="Times New Roman"/>
          <w:shd w:val="clear" w:color="auto" w:fill="FFFFFF"/>
          <w:lang w:val="en-GB"/>
        </w:rPr>
        <w:t>attracts</w:t>
      </w:r>
      <w:r w:rsidR="00F73F7B" w:rsidRPr="00A639AB">
        <w:rPr>
          <w:rFonts w:ascii="Times" w:eastAsia="Times New Roman" w:hAnsi="Times" w:cs="Times New Roman"/>
          <w:shd w:val="clear" w:color="auto" w:fill="FFFFFF"/>
          <w:lang w:val="en-GB"/>
        </w:rPr>
        <w:t xml:space="preserve"> significant public </w:t>
      </w:r>
      <w:r w:rsidR="00F73F7B">
        <w:rPr>
          <w:rFonts w:ascii="Times" w:eastAsia="Times New Roman" w:hAnsi="Times" w:cs="Times New Roman"/>
          <w:shd w:val="clear" w:color="auto" w:fill="FFFFFF"/>
          <w:lang w:val="en-GB"/>
        </w:rPr>
        <w:t xml:space="preserve">and scholarly </w:t>
      </w:r>
      <w:r w:rsidR="00F73F7B" w:rsidRPr="00A639AB">
        <w:rPr>
          <w:rFonts w:ascii="Times" w:eastAsia="Times New Roman" w:hAnsi="Times" w:cs="Times New Roman"/>
          <w:shd w:val="clear" w:color="auto" w:fill="FFFFFF"/>
          <w:lang w:val="en-GB"/>
        </w:rPr>
        <w:t>attention due to the conundrum of gig workers, who potentially face competition law attack when attempt</w:t>
      </w:r>
      <w:r w:rsidR="00F73F7B">
        <w:rPr>
          <w:rFonts w:ascii="Times" w:eastAsia="Times New Roman" w:hAnsi="Times" w:cs="Times New Roman"/>
          <w:shd w:val="clear" w:color="auto" w:fill="FFFFFF"/>
          <w:lang w:val="en-GB"/>
        </w:rPr>
        <w:t>ing</w:t>
      </w:r>
      <w:r w:rsidR="00F73F7B" w:rsidRPr="00A639AB">
        <w:rPr>
          <w:rFonts w:ascii="Times" w:eastAsia="Times New Roman" w:hAnsi="Times" w:cs="Times New Roman"/>
          <w:shd w:val="clear" w:color="auto" w:fill="FFFFFF"/>
          <w:lang w:val="en-GB"/>
        </w:rPr>
        <w:t xml:space="preserve"> to </w:t>
      </w:r>
      <w:r w:rsidR="00F73F7B">
        <w:rPr>
          <w:rFonts w:ascii="Times" w:eastAsia="Times New Roman" w:hAnsi="Times" w:cs="Times New Roman"/>
          <w:shd w:val="clear" w:color="auto" w:fill="FFFFFF"/>
          <w:lang w:val="en-GB"/>
        </w:rPr>
        <w:t xml:space="preserve">take </w:t>
      </w:r>
      <w:r w:rsidR="00F73F7B" w:rsidRPr="00A639AB">
        <w:rPr>
          <w:rFonts w:ascii="Times" w:eastAsia="Times New Roman" w:hAnsi="Times" w:cs="Times New Roman"/>
          <w:shd w:val="clear" w:color="auto" w:fill="FFFFFF"/>
          <w:lang w:val="en-GB"/>
        </w:rPr>
        <w:t xml:space="preserve">collective action against their working conditions. </w:t>
      </w:r>
      <w:r w:rsidR="00E7733E">
        <w:rPr>
          <w:rFonts w:ascii="Times" w:eastAsia="Times New Roman" w:hAnsi="Times" w:cs="Times New Roman"/>
          <w:shd w:val="clear" w:color="auto" w:fill="FFFFFF"/>
          <w:lang w:val="en-GB"/>
        </w:rPr>
        <w:t>This article investigated the more fundamental question of how competition law approaches the competition</w:t>
      </w:r>
      <w:r w:rsidR="000A398F">
        <w:rPr>
          <w:rFonts w:ascii="Times" w:eastAsia="Times New Roman" w:hAnsi="Times" w:cs="Times"/>
          <w:shd w:val="clear" w:color="auto" w:fill="FFFFFF"/>
          <w:lang w:val="en-GB"/>
        </w:rPr>
        <w:t>–</w:t>
      </w:r>
      <w:r w:rsidR="00E7733E">
        <w:rPr>
          <w:rFonts w:ascii="Times" w:eastAsia="Times New Roman" w:hAnsi="Times" w:cs="Times New Roman"/>
          <w:shd w:val="clear" w:color="auto" w:fill="FFFFFF"/>
          <w:lang w:val="en-GB"/>
        </w:rPr>
        <w:t xml:space="preserve">solidarity conflict beyond the limited case of </w:t>
      </w:r>
      <w:r w:rsidR="000A398F">
        <w:rPr>
          <w:rFonts w:ascii="Times" w:eastAsia="Times New Roman" w:hAnsi="Times" w:cs="Times New Roman"/>
          <w:shd w:val="clear" w:color="auto" w:fill="FFFFFF"/>
          <w:lang w:val="en-GB"/>
        </w:rPr>
        <w:t xml:space="preserve">the </w:t>
      </w:r>
      <w:r w:rsidR="00E7733E">
        <w:rPr>
          <w:rFonts w:ascii="Times" w:eastAsia="Times New Roman" w:hAnsi="Times" w:cs="Times New Roman"/>
          <w:shd w:val="clear" w:color="auto" w:fill="FFFFFF"/>
          <w:lang w:val="en-GB"/>
        </w:rPr>
        <w:t xml:space="preserve">gig economy on </w:t>
      </w:r>
      <w:r w:rsidR="00FE7499">
        <w:rPr>
          <w:rFonts w:ascii="Times" w:eastAsia="Times New Roman" w:hAnsi="Times" w:cs="Times New Roman"/>
          <w:shd w:val="clear" w:color="auto" w:fill="FFFFFF"/>
          <w:lang w:val="en-GB"/>
        </w:rPr>
        <w:t>both</w:t>
      </w:r>
      <w:r w:rsidR="00E7733E">
        <w:rPr>
          <w:rFonts w:ascii="Times" w:eastAsia="Times New Roman" w:hAnsi="Times" w:cs="Times New Roman"/>
          <w:shd w:val="clear" w:color="auto" w:fill="FFFFFF"/>
          <w:lang w:val="en-GB"/>
        </w:rPr>
        <w:t xml:space="preserve"> side</w:t>
      </w:r>
      <w:r w:rsidR="00FE7499">
        <w:rPr>
          <w:rFonts w:ascii="Times" w:eastAsia="Times New Roman" w:hAnsi="Times" w:cs="Times New Roman"/>
          <w:shd w:val="clear" w:color="auto" w:fill="FFFFFF"/>
          <w:lang w:val="en-GB"/>
        </w:rPr>
        <w:t>s</w:t>
      </w:r>
      <w:r w:rsidR="00E7733E">
        <w:rPr>
          <w:rFonts w:ascii="Times" w:eastAsia="Times New Roman" w:hAnsi="Times" w:cs="Times New Roman"/>
          <w:shd w:val="clear" w:color="auto" w:fill="FFFFFF"/>
          <w:lang w:val="en-GB"/>
        </w:rPr>
        <w:t xml:space="preserve"> of the Atlantic. Diverging from </w:t>
      </w:r>
      <w:r w:rsidR="007A3B29">
        <w:rPr>
          <w:rFonts w:ascii="Times" w:eastAsia="Times New Roman" w:hAnsi="Times" w:cs="Times New Roman"/>
          <w:shd w:val="clear" w:color="auto" w:fill="FFFFFF"/>
          <w:lang w:val="en-GB"/>
        </w:rPr>
        <w:t xml:space="preserve">the </w:t>
      </w:r>
      <w:r w:rsidR="00E7733E">
        <w:rPr>
          <w:rFonts w:ascii="Times" w:eastAsia="Times New Roman" w:hAnsi="Times" w:cs="Times New Roman"/>
          <w:shd w:val="clear" w:color="auto" w:fill="FFFFFF"/>
          <w:lang w:val="en-GB"/>
        </w:rPr>
        <w:t xml:space="preserve">mainstream competition law </w:t>
      </w:r>
      <w:r w:rsidR="007A3B29">
        <w:rPr>
          <w:rFonts w:ascii="Times" w:eastAsia="Times New Roman" w:hAnsi="Times" w:cs="Times New Roman"/>
          <w:shd w:val="clear" w:color="auto" w:fill="FFFFFF"/>
          <w:lang w:val="en-GB"/>
        </w:rPr>
        <w:t>scholarship</w:t>
      </w:r>
      <w:r w:rsidR="00E7733E">
        <w:rPr>
          <w:rFonts w:ascii="Times" w:eastAsia="Times New Roman" w:hAnsi="Times" w:cs="Times New Roman"/>
          <w:shd w:val="clear" w:color="auto" w:fill="FFFFFF"/>
          <w:lang w:val="en-GB"/>
        </w:rPr>
        <w:t xml:space="preserve">, </w:t>
      </w:r>
      <w:r w:rsidR="003F324D">
        <w:rPr>
          <w:rFonts w:ascii="Times" w:eastAsia="Times New Roman" w:hAnsi="Times" w:cs="Times New Roman"/>
          <w:shd w:val="clear" w:color="auto" w:fill="FFFFFF"/>
          <w:lang w:val="en-GB"/>
        </w:rPr>
        <w:t xml:space="preserve">this article conducted this analysis </w:t>
      </w:r>
      <w:r w:rsidR="00D879B0">
        <w:rPr>
          <w:rFonts w:ascii="Times" w:eastAsia="Times New Roman" w:hAnsi="Times" w:cs="Times New Roman"/>
          <w:shd w:val="clear" w:color="auto" w:fill="FFFFFF"/>
          <w:lang w:val="en-GB"/>
        </w:rPr>
        <w:t>from the perspective</w:t>
      </w:r>
      <w:r w:rsidR="00AF1B25">
        <w:rPr>
          <w:rFonts w:ascii="Times" w:eastAsia="Times New Roman" w:hAnsi="Times" w:cs="Times New Roman"/>
          <w:shd w:val="clear" w:color="auto" w:fill="FFFFFF"/>
          <w:lang w:val="en-GB"/>
        </w:rPr>
        <w:t xml:space="preserve"> of</w:t>
      </w:r>
      <w:r w:rsidR="003F324D">
        <w:rPr>
          <w:rFonts w:ascii="Times" w:eastAsia="Times New Roman" w:hAnsi="Times" w:cs="Times New Roman"/>
          <w:shd w:val="clear" w:color="auto" w:fill="FFFFFF"/>
          <w:lang w:val="en-GB"/>
        </w:rPr>
        <w:t xml:space="preserve"> an original holistic theoretical </w:t>
      </w:r>
      <w:r w:rsidR="00773CCA">
        <w:rPr>
          <w:rFonts w:ascii="Times" w:eastAsia="Times New Roman" w:hAnsi="Times" w:cs="Times New Roman"/>
          <w:shd w:val="clear" w:color="auto" w:fill="FFFFFF"/>
          <w:lang w:val="en-GB"/>
        </w:rPr>
        <w:t>framework</w:t>
      </w:r>
      <w:r w:rsidR="003F324D">
        <w:rPr>
          <w:rFonts w:ascii="Times" w:eastAsia="Times New Roman" w:hAnsi="Times" w:cs="Times New Roman"/>
          <w:shd w:val="clear" w:color="auto" w:fill="FFFFFF"/>
          <w:lang w:val="en-GB"/>
        </w:rPr>
        <w:t xml:space="preserve"> bringing together Marxian and neoclassical labour exploitation theories.</w:t>
      </w:r>
      <w:r w:rsidR="00E7733E">
        <w:rPr>
          <w:rFonts w:ascii="Times" w:eastAsia="Times New Roman" w:hAnsi="Times" w:cs="Times New Roman"/>
          <w:shd w:val="clear" w:color="auto" w:fill="FFFFFF"/>
          <w:lang w:val="en-GB"/>
        </w:rPr>
        <w:t xml:space="preserve"> </w:t>
      </w:r>
    </w:p>
    <w:p w14:paraId="6E7A8B65" w14:textId="77777777" w:rsidR="005003C2" w:rsidRDefault="005003C2" w:rsidP="00F22BA5">
      <w:pPr>
        <w:spacing w:line="480" w:lineRule="auto"/>
        <w:ind w:right="78"/>
        <w:jc w:val="both"/>
        <w:rPr>
          <w:rFonts w:ascii="Times" w:eastAsia="Times New Roman" w:hAnsi="Times" w:cs="Times New Roman"/>
          <w:shd w:val="clear" w:color="auto" w:fill="FFFFFF"/>
          <w:lang w:val="en-GB"/>
        </w:rPr>
      </w:pPr>
    </w:p>
    <w:p w14:paraId="6E428A97" w14:textId="69EDB5C2" w:rsidR="00517893" w:rsidRDefault="00AF53BE" w:rsidP="00F22BA5">
      <w:pPr>
        <w:spacing w:line="480" w:lineRule="auto"/>
        <w:ind w:right="78"/>
        <w:jc w:val="both"/>
        <w:rPr>
          <w:rFonts w:ascii="Times" w:eastAsia="Times New Roman" w:hAnsi="Times" w:cs="Times New Roman"/>
          <w:shd w:val="clear" w:color="auto" w:fill="FFFFFF"/>
          <w:lang w:val="en-GB"/>
        </w:rPr>
      </w:pPr>
      <w:r>
        <w:rPr>
          <w:rFonts w:ascii="Times" w:eastAsia="Times New Roman" w:hAnsi="Times" w:cs="Times New Roman"/>
          <w:shd w:val="clear" w:color="auto" w:fill="FFFFFF"/>
          <w:lang w:val="en-GB"/>
        </w:rPr>
        <w:t>This investigation revealed that</w:t>
      </w:r>
      <w:r w:rsidR="00D879B0">
        <w:rPr>
          <w:rFonts w:ascii="Times" w:eastAsia="Times New Roman" w:hAnsi="Times" w:cs="Times New Roman"/>
          <w:shd w:val="clear" w:color="auto" w:fill="FFFFFF"/>
          <w:lang w:val="en-GB"/>
        </w:rPr>
        <w:t>,</w:t>
      </w:r>
      <w:r>
        <w:rPr>
          <w:rFonts w:ascii="Times" w:eastAsia="Times New Roman" w:hAnsi="Times" w:cs="Times New Roman"/>
          <w:shd w:val="clear" w:color="auto" w:fill="FFFFFF"/>
          <w:lang w:val="en-GB"/>
        </w:rPr>
        <w:t xml:space="preserve"> </w:t>
      </w:r>
      <w:r w:rsidR="00D879B0">
        <w:rPr>
          <w:rFonts w:ascii="Times" w:eastAsia="Times New Roman" w:hAnsi="Times" w:cs="Times New Roman"/>
          <w:shd w:val="clear" w:color="auto" w:fill="FFFFFF"/>
          <w:lang w:val="en-GB"/>
        </w:rPr>
        <w:t>under</w:t>
      </w:r>
      <w:r>
        <w:rPr>
          <w:rFonts w:ascii="Times" w:eastAsia="Times New Roman" w:hAnsi="Times" w:cs="Times New Roman"/>
          <w:shd w:val="clear" w:color="auto" w:fill="FFFFFF"/>
          <w:lang w:val="en-GB"/>
        </w:rPr>
        <w:t xml:space="preserve"> the consumer welfare standard</w:t>
      </w:r>
      <w:r w:rsidR="00D879B0">
        <w:rPr>
          <w:rFonts w:ascii="Times" w:eastAsia="Times New Roman" w:hAnsi="Times" w:cs="Times New Roman"/>
          <w:shd w:val="clear" w:color="auto" w:fill="FFFFFF"/>
          <w:lang w:val="en-GB"/>
        </w:rPr>
        <w:t>,</w:t>
      </w:r>
      <w:r>
        <w:rPr>
          <w:rFonts w:ascii="Times" w:eastAsia="Times New Roman" w:hAnsi="Times" w:cs="Times New Roman"/>
          <w:shd w:val="clear" w:color="auto" w:fill="FFFFFF"/>
          <w:lang w:val="en-GB"/>
        </w:rPr>
        <w:t xml:space="preserve"> competition law has become a disciplining mechanism against collective worker action.</w:t>
      </w:r>
      <w:r w:rsidR="0005736E">
        <w:rPr>
          <w:rFonts w:ascii="Times" w:eastAsia="Times New Roman" w:hAnsi="Times" w:cs="Times New Roman"/>
          <w:shd w:val="clear" w:color="auto" w:fill="FFFFFF"/>
          <w:lang w:val="en-GB"/>
        </w:rPr>
        <w:t xml:space="preserve"> </w:t>
      </w:r>
      <w:r w:rsidR="00517893">
        <w:rPr>
          <w:rFonts w:ascii="Times" w:eastAsia="Times New Roman" w:hAnsi="Times" w:cs="Times New Roman"/>
          <w:shd w:val="clear" w:color="auto" w:fill="FFFFFF"/>
          <w:lang w:val="en-GB"/>
        </w:rPr>
        <w:t>This is because the consumer welfare standard overlooks the idiosyncratic characteristics of labour</w:t>
      </w:r>
      <w:r w:rsidR="00F60006">
        <w:rPr>
          <w:rFonts w:ascii="Times" w:eastAsia="Times New Roman" w:hAnsi="Times" w:cs="Times New Roman"/>
          <w:shd w:val="clear" w:color="auto" w:fill="FFFFFF"/>
          <w:lang w:val="en-GB"/>
        </w:rPr>
        <w:t>,</w:t>
      </w:r>
      <w:r w:rsidR="00517893">
        <w:rPr>
          <w:rFonts w:ascii="Times" w:eastAsia="Times New Roman" w:hAnsi="Times" w:cs="Times New Roman"/>
          <w:shd w:val="clear" w:color="auto" w:fill="FFFFFF"/>
          <w:lang w:val="en-GB"/>
        </w:rPr>
        <w:t xml:space="preserve"> which render labour different to other production factors and particularly prone to exploitation. </w:t>
      </w:r>
      <w:r w:rsidR="00F60006">
        <w:rPr>
          <w:rFonts w:ascii="Times" w:eastAsia="Times New Roman" w:hAnsi="Times" w:cs="Times New Roman"/>
          <w:shd w:val="clear" w:color="auto" w:fill="FFFFFF"/>
          <w:lang w:val="en-GB"/>
        </w:rPr>
        <w:t xml:space="preserve">As an alternative, the article offers </w:t>
      </w:r>
      <w:r w:rsidRPr="00A639AB">
        <w:rPr>
          <w:rFonts w:ascii="Times" w:eastAsia="Times New Roman" w:hAnsi="Times" w:cs="Times New Roman"/>
          <w:shd w:val="clear" w:color="auto" w:fill="FFFFFF"/>
          <w:lang w:val="en-GB"/>
        </w:rPr>
        <w:t>a</w:t>
      </w:r>
      <w:r>
        <w:rPr>
          <w:rFonts w:ascii="Times" w:eastAsia="Times New Roman" w:hAnsi="Times" w:cs="Times New Roman"/>
          <w:shd w:val="clear" w:color="auto" w:fill="FFFFFF"/>
          <w:lang w:val="en-GB"/>
        </w:rPr>
        <w:t>n inclusive</w:t>
      </w:r>
      <w:r w:rsidRPr="00A639AB">
        <w:rPr>
          <w:rFonts w:ascii="Times" w:eastAsia="Times New Roman" w:hAnsi="Times" w:cs="Times New Roman"/>
          <w:shd w:val="clear" w:color="auto" w:fill="FFFFFF"/>
          <w:lang w:val="en-GB"/>
        </w:rPr>
        <w:t xml:space="preserve"> </w:t>
      </w:r>
      <w:r w:rsidRPr="00A639AB">
        <w:rPr>
          <w:rFonts w:ascii="Times" w:eastAsia="Times New Roman" w:hAnsi="Times" w:cs="Times New Roman"/>
          <w:i/>
          <w:shd w:val="clear" w:color="auto" w:fill="FFFFFF"/>
          <w:lang w:val="en-GB"/>
        </w:rPr>
        <w:t>citizen</w:t>
      </w:r>
      <w:r w:rsidRPr="00A639AB">
        <w:rPr>
          <w:rFonts w:ascii="Times" w:eastAsia="Times New Roman" w:hAnsi="Times" w:cs="Times New Roman"/>
          <w:shd w:val="clear" w:color="auto" w:fill="FFFFFF"/>
          <w:lang w:val="en-GB"/>
        </w:rPr>
        <w:t xml:space="preserve"> </w:t>
      </w:r>
      <w:r w:rsidRPr="00F54143">
        <w:rPr>
          <w:rFonts w:ascii="Times" w:eastAsia="Times New Roman" w:hAnsi="Times" w:cs="Times New Roman"/>
          <w:iCs/>
          <w:shd w:val="clear" w:color="auto" w:fill="FFFFFF"/>
          <w:lang w:val="en-GB"/>
        </w:rPr>
        <w:t>welfare</w:t>
      </w:r>
      <w:r w:rsidRPr="00A639AB">
        <w:rPr>
          <w:rFonts w:ascii="Times" w:eastAsia="Times New Roman" w:hAnsi="Times" w:cs="Times New Roman"/>
          <w:shd w:val="clear" w:color="auto" w:fill="FFFFFF"/>
          <w:lang w:val="en-GB"/>
        </w:rPr>
        <w:t xml:space="preserve"> standard </w:t>
      </w:r>
      <w:r w:rsidR="00224FE1">
        <w:rPr>
          <w:rFonts w:ascii="Times" w:eastAsia="Times New Roman" w:hAnsi="Times" w:cs="Times New Roman"/>
          <w:shd w:val="clear" w:color="auto" w:fill="FFFFFF"/>
          <w:lang w:val="en-GB"/>
        </w:rPr>
        <w:t xml:space="preserve">that </w:t>
      </w:r>
      <w:r w:rsidR="000A398F">
        <w:rPr>
          <w:rFonts w:ascii="Times" w:eastAsia="Times New Roman" w:hAnsi="Times" w:cs="Times New Roman"/>
          <w:shd w:val="clear" w:color="auto" w:fill="FFFFFF"/>
          <w:lang w:val="en-GB"/>
        </w:rPr>
        <w:t xml:space="preserve">better </w:t>
      </w:r>
      <w:r w:rsidR="00224FE1">
        <w:rPr>
          <w:rFonts w:ascii="Times" w:eastAsia="Times New Roman" w:hAnsi="Times" w:cs="Times New Roman"/>
          <w:shd w:val="clear" w:color="auto" w:fill="FFFFFF"/>
          <w:lang w:val="en-GB"/>
        </w:rPr>
        <w:t>reflects the qualities of labour.</w:t>
      </w:r>
    </w:p>
    <w:p w14:paraId="09CBA816" w14:textId="77777777" w:rsidR="00517893" w:rsidRDefault="00517893" w:rsidP="00F22BA5">
      <w:pPr>
        <w:spacing w:line="480" w:lineRule="auto"/>
        <w:ind w:right="78"/>
        <w:jc w:val="both"/>
        <w:rPr>
          <w:rFonts w:ascii="Times" w:eastAsia="Times New Roman" w:hAnsi="Times" w:cs="Times New Roman"/>
          <w:shd w:val="clear" w:color="auto" w:fill="FFFFFF"/>
          <w:lang w:val="en-GB"/>
        </w:rPr>
      </w:pPr>
    </w:p>
    <w:p w14:paraId="64FC16C0" w14:textId="6ADE88B8" w:rsidR="00AF53BE" w:rsidRDefault="00AF53BE" w:rsidP="00F22BA5">
      <w:pPr>
        <w:spacing w:line="480" w:lineRule="auto"/>
        <w:ind w:right="78"/>
        <w:jc w:val="both"/>
        <w:rPr>
          <w:rFonts w:ascii="Times" w:eastAsia="Times New Roman" w:hAnsi="Times" w:cs="Times New Roman"/>
          <w:shd w:val="clear" w:color="auto" w:fill="FFFFFF"/>
          <w:lang w:val="en-GB"/>
        </w:rPr>
      </w:pPr>
      <w:r w:rsidRPr="00A639AB">
        <w:rPr>
          <w:rFonts w:ascii="Times" w:eastAsia="Times New Roman" w:hAnsi="Times" w:cs="Times New Roman"/>
          <w:shd w:val="clear" w:color="auto" w:fill="FFFFFF"/>
          <w:lang w:val="en-GB"/>
        </w:rPr>
        <w:t xml:space="preserve">The citizen welfare standard </w:t>
      </w:r>
      <w:r>
        <w:rPr>
          <w:rFonts w:ascii="Times" w:eastAsia="Times New Roman" w:hAnsi="Times" w:cs="Times New Roman"/>
          <w:shd w:val="clear" w:color="auto" w:fill="FFFFFF"/>
          <w:lang w:val="en-GB"/>
        </w:rPr>
        <w:t xml:space="preserve">takes into consideration the economic production as well as the exchange process </w:t>
      </w:r>
      <w:r w:rsidRPr="00A639AB">
        <w:rPr>
          <w:rFonts w:ascii="Times" w:eastAsia="Times New Roman" w:hAnsi="Times" w:cs="Times New Roman"/>
          <w:shd w:val="clear" w:color="auto" w:fill="FFFFFF"/>
          <w:lang w:val="en-GB"/>
        </w:rPr>
        <w:t xml:space="preserve">and acknowledges that individuals have multiple roles and identities as workers as well as consumers. </w:t>
      </w:r>
      <w:r w:rsidR="00D879B0">
        <w:rPr>
          <w:rFonts w:ascii="Times" w:eastAsia="Times New Roman" w:hAnsi="Times" w:cs="Times New Roman"/>
          <w:shd w:val="clear" w:color="auto" w:fill="FFFFFF"/>
          <w:lang w:val="en-GB"/>
        </w:rPr>
        <w:t>By adhering to</w:t>
      </w:r>
      <w:r w:rsidRPr="00A639AB">
        <w:rPr>
          <w:rFonts w:ascii="Times" w:eastAsia="Times New Roman" w:hAnsi="Times" w:cs="Times New Roman"/>
          <w:shd w:val="clear" w:color="auto" w:fill="FFFFFF"/>
          <w:lang w:val="en-GB"/>
        </w:rPr>
        <w:t xml:space="preserve"> this standard, competition law </w:t>
      </w:r>
      <w:r w:rsidR="00AA105E">
        <w:rPr>
          <w:rFonts w:ascii="Times" w:eastAsia="Times New Roman" w:hAnsi="Times" w:cs="Times New Roman"/>
          <w:shd w:val="clear" w:color="auto" w:fill="FFFFFF"/>
          <w:lang w:val="en-GB"/>
        </w:rPr>
        <w:t>would</w:t>
      </w:r>
      <w:r w:rsidRPr="00A639AB">
        <w:rPr>
          <w:rFonts w:ascii="Times" w:eastAsia="Times New Roman" w:hAnsi="Times" w:cs="Times New Roman"/>
          <w:shd w:val="clear" w:color="auto" w:fill="FFFFFF"/>
          <w:lang w:val="en-GB"/>
        </w:rPr>
        <w:t xml:space="preserve"> be prevented from targeting collective </w:t>
      </w:r>
      <w:r>
        <w:rPr>
          <w:rFonts w:ascii="Times" w:eastAsia="Times New Roman" w:hAnsi="Times" w:cs="Times New Roman"/>
          <w:shd w:val="clear" w:color="auto" w:fill="FFFFFF"/>
          <w:lang w:val="en-GB"/>
        </w:rPr>
        <w:t>worker</w:t>
      </w:r>
      <w:r w:rsidRPr="00A639AB">
        <w:rPr>
          <w:rFonts w:ascii="Times" w:eastAsia="Times New Roman" w:hAnsi="Times" w:cs="Times New Roman"/>
          <w:shd w:val="clear" w:color="auto" w:fill="FFFFFF"/>
          <w:lang w:val="en-GB"/>
        </w:rPr>
        <w:t xml:space="preserve"> action increasing workers’ welfare even though this might come with the cost of reduced </w:t>
      </w:r>
      <w:r>
        <w:rPr>
          <w:rFonts w:ascii="Times" w:eastAsia="Times New Roman" w:hAnsi="Times" w:cs="Times New Roman"/>
          <w:shd w:val="clear" w:color="auto" w:fill="FFFFFF"/>
          <w:lang w:val="en-GB"/>
        </w:rPr>
        <w:t>consumer</w:t>
      </w:r>
      <w:r w:rsidRPr="00A639AB">
        <w:rPr>
          <w:rFonts w:ascii="Times" w:eastAsia="Times New Roman" w:hAnsi="Times" w:cs="Times New Roman"/>
          <w:shd w:val="clear" w:color="auto" w:fill="FFFFFF"/>
          <w:lang w:val="en-GB"/>
        </w:rPr>
        <w:t xml:space="preserve"> welfare. Similarly, </w:t>
      </w:r>
      <w:r w:rsidR="00D879B0">
        <w:rPr>
          <w:rFonts w:ascii="Times" w:eastAsia="Times New Roman" w:hAnsi="Times" w:cs="Times New Roman"/>
          <w:shd w:val="clear" w:color="auto" w:fill="FFFFFF"/>
          <w:lang w:val="en-GB"/>
        </w:rPr>
        <w:t>under</w:t>
      </w:r>
      <w:r w:rsidRPr="00A639AB">
        <w:rPr>
          <w:rFonts w:ascii="Times" w:eastAsia="Times New Roman" w:hAnsi="Times" w:cs="Times New Roman"/>
          <w:shd w:val="clear" w:color="auto" w:fill="FFFFFF"/>
          <w:lang w:val="en-GB"/>
        </w:rPr>
        <w:t xml:space="preserve"> the citizen welfare standard, competition law </w:t>
      </w:r>
      <w:r w:rsidR="00565E6F">
        <w:rPr>
          <w:rFonts w:ascii="Times" w:eastAsia="Times New Roman" w:hAnsi="Times" w:cs="Times New Roman"/>
          <w:shd w:val="clear" w:color="auto" w:fill="FFFFFF"/>
          <w:lang w:val="en-GB"/>
        </w:rPr>
        <w:t>would</w:t>
      </w:r>
      <w:r w:rsidRPr="00A639AB">
        <w:rPr>
          <w:rFonts w:ascii="Times" w:eastAsia="Times New Roman" w:hAnsi="Times" w:cs="Times New Roman"/>
          <w:shd w:val="clear" w:color="auto" w:fill="FFFFFF"/>
          <w:lang w:val="en-GB"/>
        </w:rPr>
        <w:t xml:space="preserve"> target employer collusion resulting in reduced worker welfare, even though this might increase consumer welfare in the short run. </w:t>
      </w:r>
    </w:p>
    <w:p w14:paraId="3601BDE2" w14:textId="77777777" w:rsidR="00AF53BE" w:rsidRDefault="00AF53BE" w:rsidP="00F22BA5">
      <w:pPr>
        <w:spacing w:line="480" w:lineRule="auto"/>
        <w:ind w:right="78"/>
        <w:jc w:val="both"/>
        <w:rPr>
          <w:rFonts w:ascii="Times" w:eastAsia="Times New Roman" w:hAnsi="Times" w:cs="Times New Roman"/>
          <w:shd w:val="clear" w:color="auto" w:fill="FFFFFF"/>
          <w:lang w:val="en-GB"/>
        </w:rPr>
      </w:pPr>
    </w:p>
    <w:p w14:paraId="7BDE63C9" w14:textId="27A8BC18" w:rsidR="00AF53BE" w:rsidRDefault="00151531" w:rsidP="00F22BA5">
      <w:pPr>
        <w:spacing w:line="480" w:lineRule="auto"/>
        <w:ind w:right="78"/>
        <w:jc w:val="both"/>
        <w:rPr>
          <w:rFonts w:ascii="Times" w:eastAsia="Times New Roman" w:hAnsi="Times" w:cs="Times New Roman"/>
          <w:shd w:val="clear" w:color="auto" w:fill="FFFFFF"/>
          <w:lang w:val="en-GB"/>
        </w:rPr>
      </w:pPr>
      <w:r>
        <w:rPr>
          <w:rFonts w:ascii="Times" w:eastAsia="Times New Roman" w:hAnsi="Times" w:cs="Times New Roman"/>
          <w:shd w:val="clear" w:color="auto" w:fill="FFFFFF"/>
          <w:lang w:val="en-GB"/>
        </w:rPr>
        <w:t>This article</w:t>
      </w:r>
      <w:r w:rsidR="00AF53BE" w:rsidRPr="00A639AB">
        <w:rPr>
          <w:rFonts w:ascii="Times" w:eastAsia="Times New Roman" w:hAnsi="Times" w:cs="Times New Roman"/>
          <w:shd w:val="clear" w:color="auto" w:fill="FFFFFF"/>
          <w:lang w:val="en-GB"/>
        </w:rPr>
        <w:t xml:space="preserve"> also informs the post-2008 competition</w:t>
      </w:r>
      <w:r w:rsidR="00180031">
        <w:rPr>
          <w:rFonts w:ascii="Times" w:eastAsia="Times New Roman" w:hAnsi="Times" w:cs="Times"/>
          <w:shd w:val="clear" w:color="auto" w:fill="FFFFFF"/>
          <w:lang w:val="en-GB"/>
        </w:rPr>
        <w:t>–</w:t>
      </w:r>
      <w:r w:rsidR="00AF53BE" w:rsidRPr="00A639AB">
        <w:rPr>
          <w:rFonts w:ascii="Times" w:eastAsia="Times New Roman" w:hAnsi="Times" w:cs="Times New Roman"/>
          <w:shd w:val="clear" w:color="auto" w:fill="FFFFFF"/>
          <w:lang w:val="en-GB"/>
        </w:rPr>
        <w:t xml:space="preserve">equality debate that overlooks the </w:t>
      </w:r>
      <w:r w:rsidR="00AF53BE">
        <w:rPr>
          <w:rFonts w:ascii="Times" w:eastAsia="Times New Roman" w:hAnsi="Times" w:cs="Times New Roman"/>
          <w:shd w:val="clear" w:color="auto" w:fill="FFFFFF"/>
          <w:lang w:val="en-GB"/>
        </w:rPr>
        <w:t>production process underlying exchange relationship</w:t>
      </w:r>
      <w:r w:rsidR="0030773E">
        <w:rPr>
          <w:rFonts w:ascii="Times" w:eastAsia="Times New Roman" w:hAnsi="Times" w:cs="Times New Roman"/>
          <w:shd w:val="clear" w:color="auto" w:fill="FFFFFF"/>
          <w:lang w:val="en-GB"/>
        </w:rPr>
        <w:t>s</w:t>
      </w:r>
      <w:r w:rsidR="00AF53BE">
        <w:rPr>
          <w:rFonts w:ascii="Times" w:eastAsia="Times New Roman" w:hAnsi="Times" w:cs="Times New Roman"/>
          <w:shd w:val="clear" w:color="auto" w:fill="FFFFFF"/>
          <w:lang w:val="en-GB"/>
        </w:rPr>
        <w:t xml:space="preserve"> and the role of workers within it</w:t>
      </w:r>
      <w:r w:rsidR="00AF53BE" w:rsidRPr="00A639AB">
        <w:rPr>
          <w:rFonts w:ascii="Times" w:eastAsia="Times New Roman" w:hAnsi="Times" w:cs="Times New Roman"/>
          <w:shd w:val="clear" w:color="auto" w:fill="FFFFFF"/>
          <w:lang w:val="en-GB"/>
        </w:rPr>
        <w:t xml:space="preserve">. When applied </w:t>
      </w:r>
      <w:r w:rsidR="00AF1B25">
        <w:rPr>
          <w:rFonts w:ascii="Times" w:eastAsia="Times New Roman" w:hAnsi="Times" w:cs="Times New Roman"/>
          <w:shd w:val="clear" w:color="auto" w:fill="FFFFFF"/>
          <w:lang w:val="en-GB"/>
        </w:rPr>
        <w:t>in light of</w:t>
      </w:r>
      <w:r w:rsidR="00AF53BE" w:rsidRPr="00A639AB">
        <w:rPr>
          <w:rFonts w:ascii="Times" w:eastAsia="Times New Roman" w:hAnsi="Times" w:cs="Times New Roman"/>
          <w:shd w:val="clear" w:color="auto" w:fill="FFFFFF"/>
          <w:lang w:val="en-GB"/>
        </w:rPr>
        <w:t xml:space="preserve"> the citizen welfare standard, competition law cannot be used strategically to jeopardise collective worker action in search </w:t>
      </w:r>
      <w:r w:rsidR="00180031">
        <w:rPr>
          <w:rFonts w:ascii="Times" w:eastAsia="Times New Roman" w:hAnsi="Times" w:cs="Times New Roman"/>
          <w:shd w:val="clear" w:color="auto" w:fill="FFFFFF"/>
          <w:lang w:val="en-GB"/>
        </w:rPr>
        <w:t>of</w:t>
      </w:r>
      <w:r w:rsidR="00AF53BE" w:rsidRPr="00A639AB">
        <w:rPr>
          <w:rFonts w:ascii="Times" w:eastAsia="Times New Roman" w:hAnsi="Times" w:cs="Times New Roman"/>
          <w:shd w:val="clear" w:color="auto" w:fill="FFFFFF"/>
          <w:lang w:val="en-GB"/>
        </w:rPr>
        <w:t xml:space="preserve"> equality. Similarly, when applied </w:t>
      </w:r>
      <w:r w:rsidR="00AF1B25">
        <w:rPr>
          <w:rFonts w:ascii="Times" w:eastAsia="Times New Roman" w:hAnsi="Times" w:cs="Times New Roman"/>
          <w:shd w:val="clear" w:color="auto" w:fill="FFFFFF"/>
          <w:lang w:val="en-GB"/>
        </w:rPr>
        <w:t>in light of</w:t>
      </w:r>
      <w:r w:rsidR="00AF53BE" w:rsidRPr="00A639AB">
        <w:rPr>
          <w:rFonts w:ascii="Times" w:eastAsia="Times New Roman" w:hAnsi="Times" w:cs="Times New Roman"/>
          <w:shd w:val="clear" w:color="auto" w:fill="FFFFFF"/>
          <w:lang w:val="en-GB"/>
        </w:rPr>
        <w:t xml:space="preserve"> the citizen welfare standard, competition law would prevent employers from interfering with the distribution of wealth to their own benefit. As a result, </w:t>
      </w:r>
      <w:r w:rsidR="00AF1B25">
        <w:rPr>
          <w:rFonts w:ascii="Times" w:eastAsia="Times New Roman" w:hAnsi="Times" w:cs="Times New Roman"/>
          <w:shd w:val="clear" w:color="auto" w:fill="FFFFFF"/>
          <w:lang w:val="en-GB"/>
        </w:rPr>
        <w:t>in light of</w:t>
      </w:r>
      <w:r w:rsidR="00AF53BE" w:rsidRPr="00A639AB">
        <w:rPr>
          <w:rFonts w:ascii="Times" w:eastAsia="Times New Roman" w:hAnsi="Times" w:cs="Times New Roman"/>
          <w:shd w:val="clear" w:color="auto" w:fill="FFFFFF"/>
          <w:lang w:val="en-GB"/>
        </w:rPr>
        <w:t xml:space="preserve"> the citizen welfare standard, </w:t>
      </w:r>
      <w:r w:rsidR="00AF53BE">
        <w:rPr>
          <w:rFonts w:ascii="Times" w:eastAsia="Times New Roman" w:hAnsi="Times" w:cs="Times New Roman"/>
          <w:shd w:val="clear" w:color="auto" w:fill="FFFFFF"/>
          <w:lang w:val="en-GB"/>
        </w:rPr>
        <w:t xml:space="preserve">competition law </w:t>
      </w:r>
      <w:r w:rsidR="00AF53BE">
        <w:rPr>
          <w:rFonts w:ascii="Times" w:eastAsia="Times New Roman" w:hAnsi="Times" w:cs="Times New Roman"/>
          <w:shd w:val="clear" w:color="auto" w:fill="FFFFFF"/>
          <w:lang w:val="en-GB"/>
        </w:rPr>
        <w:lastRenderedPageBreak/>
        <w:t>would be more likely to contribute to equality or at least less likely to contribute to inequality.</w:t>
      </w:r>
    </w:p>
    <w:p w14:paraId="1DA70A50" w14:textId="77777777" w:rsidR="00072C3E" w:rsidRDefault="00072C3E" w:rsidP="00F22BA5">
      <w:pPr>
        <w:spacing w:line="480" w:lineRule="auto"/>
      </w:pPr>
    </w:p>
    <w:sectPr w:rsidR="00072C3E" w:rsidSect="00072C3E">
      <w:headerReference w:type="even" r:id="rId8"/>
      <w:headerReference w:type="default" r:id="rId9"/>
      <w:footerReference w:type="even" r:id="rId10"/>
      <w:footerReference w:type="default" r:id="rId11"/>
      <w:headerReference w:type="first" r:id="rId12"/>
      <w:footerReference w:type="first" r:id="rId13"/>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8A7469" w14:textId="77777777" w:rsidR="00702E48" w:rsidRDefault="00702E48" w:rsidP="00501DD7">
      <w:r>
        <w:separator/>
      </w:r>
    </w:p>
  </w:endnote>
  <w:endnote w:type="continuationSeparator" w:id="0">
    <w:p w14:paraId="21A21D0C" w14:textId="77777777" w:rsidR="00702E48" w:rsidRDefault="00702E48" w:rsidP="00501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Lucida Grande">
    <w:altName w:val="Times New Roman"/>
    <w:panose1 w:val="020B0600040502020204"/>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merican Typewriter Condensed">
    <w:altName w:val="Sitka Small"/>
    <w:panose1 w:val="02090606020004020304"/>
    <w:charset w:val="4D"/>
    <w:family w:val="roman"/>
    <w:pitch w:val="variable"/>
    <w:sig w:usb0="A000006F" w:usb1="00000019"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9506EA" w14:textId="77777777" w:rsidR="00F60F82" w:rsidRDefault="00F60F82" w:rsidP="009F259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373B3D" w14:textId="77777777" w:rsidR="00F60F82" w:rsidRDefault="00F60F82" w:rsidP="009B1C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72562390"/>
      <w:docPartObj>
        <w:docPartGallery w:val="Page Numbers (Bottom of Page)"/>
        <w:docPartUnique/>
      </w:docPartObj>
    </w:sdtPr>
    <w:sdtEndPr>
      <w:rPr>
        <w:rStyle w:val="PageNumber"/>
        <w:rFonts w:ascii="Times" w:hAnsi="Times"/>
      </w:rPr>
    </w:sdtEndPr>
    <w:sdtContent>
      <w:p w14:paraId="22229AEA" w14:textId="761EFBDC" w:rsidR="009F2591" w:rsidRDefault="009F2591" w:rsidP="00E004E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p>
    </w:sdtContent>
  </w:sdt>
  <w:p w14:paraId="0B590CE9" w14:textId="77777777" w:rsidR="00F60F82" w:rsidRDefault="00F60F82" w:rsidP="009B1CD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EB016" w14:textId="77777777" w:rsidR="00B00F79" w:rsidRDefault="00B00F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0474DA" w14:textId="77777777" w:rsidR="00702E48" w:rsidRDefault="00702E48" w:rsidP="00501DD7">
      <w:r>
        <w:separator/>
      </w:r>
    </w:p>
  </w:footnote>
  <w:footnote w:type="continuationSeparator" w:id="0">
    <w:p w14:paraId="0AC937D5" w14:textId="77777777" w:rsidR="00702E48" w:rsidRDefault="00702E48" w:rsidP="00501DD7">
      <w:r>
        <w:continuationSeparator/>
      </w:r>
    </w:p>
  </w:footnote>
  <w:footnote w:id="1">
    <w:p w14:paraId="70564C68" w14:textId="0A21A5D7" w:rsidR="00F60F82" w:rsidRPr="003371F3" w:rsidRDefault="00F60F82" w:rsidP="008B6B75">
      <w:pPr>
        <w:pStyle w:val="FootnoteText"/>
        <w:spacing w:line="480" w:lineRule="auto"/>
        <w:jc w:val="both"/>
        <w:rPr>
          <w:lang w:val="en-GB"/>
        </w:rPr>
      </w:pPr>
      <w:r w:rsidRPr="003371F3">
        <w:rPr>
          <w:rStyle w:val="FootnoteReference"/>
          <w:lang w:val="en-GB"/>
        </w:rPr>
        <w:footnoteRef/>
      </w:r>
      <w:r w:rsidRPr="003371F3">
        <w:rPr>
          <w:lang w:val="en-GB"/>
        </w:rPr>
        <w:t xml:space="preserve"> </w:t>
      </w:r>
      <w:r>
        <w:rPr>
          <w:lang w:val="en-GB"/>
        </w:rPr>
        <w:t>The g</w:t>
      </w:r>
      <w:r w:rsidRPr="003371F3">
        <w:rPr>
          <w:lang w:val="en-GB"/>
        </w:rPr>
        <w:t>ig economy is characterised by online platforms provided by multinational corporations where consumers meet independent service suppliers who work freelance on the basis of short-</w:t>
      </w:r>
      <w:r>
        <w:rPr>
          <w:lang w:val="en-GB"/>
        </w:rPr>
        <w:t>term contracts. See B Y</w:t>
      </w:r>
      <w:r w:rsidRPr="003371F3">
        <w:rPr>
          <w:lang w:val="en-GB"/>
        </w:rPr>
        <w:t xml:space="preserve"> Thompson ‘Digital Nomads: Employment in the Online Gig Economy’ (2018) </w:t>
      </w:r>
      <w:r>
        <w:rPr>
          <w:lang w:val="en-GB"/>
        </w:rPr>
        <w:t xml:space="preserve">11 </w:t>
      </w:r>
      <w:r w:rsidRPr="008A5F77">
        <w:rPr>
          <w:lang w:val="en-GB"/>
        </w:rPr>
        <w:t>Journal of Culture, Politics and Innovation</w:t>
      </w:r>
      <w:r>
        <w:rPr>
          <w:i/>
          <w:lang w:val="en-GB"/>
        </w:rPr>
        <w:t xml:space="preserve"> </w:t>
      </w:r>
      <w:r>
        <w:rPr>
          <w:lang w:val="en-GB"/>
        </w:rPr>
        <w:t>1</w:t>
      </w:r>
      <w:r w:rsidRPr="003371F3">
        <w:rPr>
          <w:lang w:val="en-GB"/>
        </w:rPr>
        <w:t>.</w:t>
      </w:r>
    </w:p>
  </w:footnote>
  <w:footnote w:id="2">
    <w:p w14:paraId="39BE19C8" w14:textId="2AB20F6F" w:rsidR="00F60F82" w:rsidRPr="00652C2C" w:rsidRDefault="00F60F82" w:rsidP="008B6B75">
      <w:pPr>
        <w:pStyle w:val="FootnoteText"/>
        <w:spacing w:line="480" w:lineRule="auto"/>
        <w:jc w:val="both"/>
        <w:rPr>
          <w:lang w:val="en-GB"/>
        </w:rPr>
      </w:pPr>
      <w:r w:rsidRPr="003371F3">
        <w:rPr>
          <w:rStyle w:val="FootnoteReference"/>
          <w:lang w:val="en-GB"/>
        </w:rPr>
        <w:footnoteRef/>
      </w:r>
      <w:r>
        <w:rPr>
          <w:lang w:val="en-GB"/>
        </w:rPr>
        <w:t xml:space="preserve"> D </w:t>
      </w:r>
      <w:proofErr w:type="spellStart"/>
      <w:r>
        <w:rPr>
          <w:lang w:val="en-GB"/>
        </w:rPr>
        <w:t>Schiek</w:t>
      </w:r>
      <w:proofErr w:type="spellEnd"/>
      <w:r>
        <w:rPr>
          <w:lang w:val="en-GB"/>
        </w:rPr>
        <w:t xml:space="preserve"> and A</w:t>
      </w:r>
      <w:r w:rsidRPr="003371F3">
        <w:rPr>
          <w:lang w:val="en-GB"/>
        </w:rPr>
        <w:t xml:space="preserve"> Gideon ‘Outsmarting the gig-economy through collective bargaining – EU competition law as a barrier to smart cities?’ (2018)</w:t>
      </w:r>
      <w:r>
        <w:rPr>
          <w:lang w:val="en-GB"/>
        </w:rPr>
        <w:t xml:space="preserve"> 32</w:t>
      </w:r>
      <w:r w:rsidRPr="003371F3">
        <w:rPr>
          <w:lang w:val="en-GB"/>
        </w:rPr>
        <w:t xml:space="preserve"> </w:t>
      </w:r>
      <w:r w:rsidRPr="00DA1263">
        <w:rPr>
          <w:lang w:val="en-GB"/>
        </w:rPr>
        <w:t>International Review of Law, Computers And Technology</w:t>
      </w:r>
      <w:r>
        <w:rPr>
          <w:lang w:val="en-GB"/>
        </w:rPr>
        <w:t xml:space="preserve"> 275; W J </w:t>
      </w:r>
      <w:proofErr w:type="spellStart"/>
      <w:r>
        <w:rPr>
          <w:lang w:val="en-GB"/>
        </w:rPr>
        <w:t>Tronsor</w:t>
      </w:r>
      <w:proofErr w:type="spellEnd"/>
      <w:r>
        <w:rPr>
          <w:lang w:val="en-GB"/>
        </w:rPr>
        <w:t xml:space="preserve"> ‘Unions for Workers in the Gig Economy: Time for a New </w:t>
      </w:r>
      <w:proofErr w:type="spellStart"/>
      <w:r>
        <w:rPr>
          <w:lang w:val="en-GB"/>
        </w:rPr>
        <w:t>Labor</w:t>
      </w:r>
      <w:proofErr w:type="spellEnd"/>
      <w:r>
        <w:rPr>
          <w:lang w:val="en-GB"/>
        </w:rPr>
        <w:t xml:space="preserve"> Movement’ (2018) 69 </w:t>
      </w:r>
      <w:proofErr w:type="spellStart"/>
      <w:r w:rsidRPr="00DA1263">
        <w:rPr>
          <w:lang w:val="en-GB"/>
        </w:rPr>
        <w:t>Labor</w:t>
      </w:r>
      <w:proofErr w:type="spellEnd"/>
      <w:r w:rsidRPr="00DA1263">
        <w:rPr>
          <w:lang w:val="en-GB"/>
        </w:rPr>
        <w:t xml:space="preserve"> Law Journal</w:t>
      </w:r>
      <w:r>
        <w:rPr>
          <w:lang w:val="en-GB"/>
        </w:rPr>
        <w:t xml:space="preserve"> 181; M </w:t>
      </w:r>
      <w:proofErr w:type="spellStart"/>
      <w:r>
        <w:rPr>
          <w:lang w:val="en-GB"/>
        </w:rPr>
        <w:t>Steinbaum</w:t>
      </w:r>
      <w:proofErr w:type="spellEnd"/>
      <w:r>
        <w:rPr>
          <w:lang w:val="en-GB"/>
        </w:rPr>
        <w:t xml:space="preserve"> ‘Antitrust, the Gig Economy and </w:t>
      </w:r>
      <w:proofErr w:type="spellStart"/>
      <w:r>
        <w:rPr>
          <w:lang w:val="en-GB"/>
        </w:rPr>
        <w:t>Labor</w:t>
      </w:r>
      <w:proofErr w:type="spellEnd"/>
      <w:r>
        <w:rPr>
          <w:lang w:val="en-GB"/>
        </w:rPr>
        <w:t xml:space="preserve"> Market Power’ forthcoming in </w:t>
      </w:r>
      <w:r w:rsidRPr="00DA1263">
        <w:rPr>
          <w:lang w:val="en-GB"/>
        </w:rPr>
        <w:t>Law and Contemporary Problems</w:t>
      </w:r>
      <w:r>
        <w:rPr>
          <w:lang w:val="en-GB"/>
        </w:rPr>
        <w:t xml:space="preserve">, </w:t>
      </w:r>
      <w:r w:rsidR="00C76C31">
        <w:rPr>
          <w:lang w:val="en-GB"/>
        </w:rPr>
        <w:t xml:space="preserve">available at </w:t>
      </w:r>
      <w:r w:rsidRPr="00671110">
        <w:rPr>
          <w:lang w:val="en-GB"/>
        </w:rPr>
        <w:t>https://papers.ssrn.com/sol3/Papers.cfm?abstract_id=3347949</w:t>
      </w:r>
      <w:r>
        <w:rPr>
          <w:lang w:val="en-GB"/>
        </w:rPr>
        <w:t xml:space="preserve"> (16 January 2020); M Lao ‘Workers in the “Gig” Economy: The Case for Extending the </w:t>
      </w:r>
      <w:proofErr w:type="spellStart"/>
      <w:r>
        <w:rPr>
          <w:lang w:val="en-GB"/>
        </w:rPr>
        <w:t>Labor</w:t>
      </w:r>
      <w:proofErr w:type="spellEnd"/>
      <w:r>
        <w:rPr>
          <w:lang w:val="en-GB"/>
        </w:rPr>
        <w:t xml:space="preserve"> Exemption’ (2018) 51 </w:t>
      </w:r>
      <w:r w:rsidRPr="00DA1263">
        <w:rPr>
          <w:lang w:val="en-GB"/>
        </w:rPr>
        <w:t>UC Davis Law Review</w:t>
      </w:r>
      <w:r>
        <w:rPr>
          <w:lang w:val="en-GB"/>
        </w:rPr>
        <w:t xml:space="preserve"> 1543.</w:t>
      </w:r>
      <w:r w:rsidR="00B45D4A">
        <w:rPr>
          <w:lang w:val="en-GB"/>
        </w:rPr>
        <w:t xml:space="preserve"> See also E A Posner, G Weyl, S Naidu ‘Antitrust Remedies for </w:t>
      </w:r>
      <w:proofErr w:type="spellStart"/>
      <w:r w:rsidR="00B45D4A">
        <w:rPr>
          <w:lang w:val="en-GB"/>
        </w:rPr>
        <w:t>Labor</w:t>
      </w:r>
      <w:proofErr w:type="spellEnd"/>
      <w:r w:rsidR="00B45D4A">
        <w:rPr>
          <w:lang w:val="en-GB"/>
        </w:rPr>
        <w:t xml:space="preserve"> Market Power’ (2018) 132 </w:t>
      </w:r>
      <w:r w:rsidR="00B45D4A" w:rsidRPr="00090105">
        <w:rPr>
          <w:i/>
          <w:iCs/>
          <w:lang w:val="en-GB"/>
        </w:rPr>
        <w:t>Harvard Law Review</w:t>
      </w:r>
      <w:r w:rsidR="00B45D4A">
        <w:rPr>
          <w:lang w:val="en-GB"/>
        </w:rPr>
        <w:t xml:space="preserve"> 536 looking specifically </w:t>
      </w:r>
      <w:r w:rsidR="00090105">
        <w:rPr>
          <w:lang w:val="en-GB"/>
        </w:rPr>
        <w:t xml:space="preserve">at </w:t>
      </w:r>
      <w:r w:rsidR="00B45D4A">
        <w:rPr>
          <w:lang w:val="en-GB"/>
        </w:rPr>
        <w:t xml:space="preserve">the position of labour in merger cases. </w:t>
      </w:r>
    </w:p>
  </w:footnote>
  <w:footnote w:id="3">
    <w:p w14:paraId="4CEFEBFE" w14:textId="6C6002FA" w:rsidR="00F60F82" w:rsidRDefault="00F60F82" w:rsidP="008B6B75">
      <w:pPr>
        <w:pStyle w:val="FootnoteText"/>
        <w:spacing w:line="480" w:lineRule="auto"/>
        <w:jc w:val="both"/>
      </w:pPr>
      <w:r>
        <w:rPr>
          <w:rStyle w:val="FootnoteReference"/>
        </w:rPr>
        <w:footnoteRef/>
      </w:r>
      <w:r>
        <w:t xml:space="preserve"> </w:t>
      </w:r>
      <w:r>
        <w:rPr>
          <w:lang w:val="en-GB"/>
        </w:rPr>
        <w:t xml:space="preserve">The specific question of whether collective worker action in the gig economy would be considered a violation of competition law is yet to be clarified by the courts and competition authorities on both sides of the Atlantic. </w:t>
      </w:r>
      <w:r>
        <w:t xml:space="preserve">See </w:t>
      </w:r>
      <w:proofErr w:type="spellStart"/>
      <w:r>
        <w:t>Tronsor</w:t>
      </w:r>
      <w:proofErr w:type="spellEnd"/>
      <w:r>
        <w:t xml:space="preserve">, ibid., p 185; Lao, ibid., p 1553. See </w:t>
      </w:r>
      <w:r w:rsidRPr="003C62B5">
        <w:rPr>
          <w:i/>
        </w:rPr>
        <w:t xml:space="preserve">Chamber of Commerce of the USA v City of Seattle, </w:t>
      </w:r>
      <w:r w:rsidRPr="00E61595">
        <w:t>890 F.3d 769</w:t>
      </w:r>
      <w:r>
        <w:t xml:space="preserve"> (9</w:t>
      </w:r>
      <w:r w:rsidRPr="007F138A">
        <w:rPr>
          <w:vertAlign w:val="superscript"/>
        </w:rPr>
        <w:t>th</w:t>
      </w:r>
      <w:r>
        <w:t xml:space="preserve"> Cir. 2018) in which the federal court found a local legislation supporting collective action by gig workers against federal antitrust law </w:t>
      </w:r>
      <w:r w:rsidR="00AF1B25">
        <w:t>in light of</w:t>
      </w:r>
      <w:r>
        <w:t xml:space="preserve"> the state action doctrine without discussing the legal position of gig workers under federal antitrust law. </w:t>
      </w:r>
      <w:r w:rsidRPr="00B8791F">
        <w:rPr>
          <w:szCs w:val="20"/>
          <w:lang w:val="en-GB"/>
        </w:rPr>
        <w:t xml:space="preserve">See </w:t>
      </w:r>
      <w:r>
        <w:rPr>
          <w:szCs w:val="20"/>
          <w:lang w:val="en-GB"/>
        </w:rPr>
        <w:t>also J</w:t>
      </w:r>
      <w:r w:rsidRPr="00B8791F">
        <w:rPr>
          <w:szCs w:val="20"/>
          <w:lang w:val="en-GB"/>
        </w:rPr>
        <w:t xml:space="preserve"> </w:t>
      </w:r>
      <w:proofErr w:type="spellStart"/>
      <w:r w:rsidRPr="00B8791F">
        <w:rPr>
          <w:szCs w:val="20"/>
          <w:lang w:val="en-GB"/>
        </w:rPr>
        <w:t>Prassl</w:t>
      </w:r>
      <w:proofErr w:type="spellEnd"/>
      <w:r w:rsidRPr="00B8791F">
        <w:rPr>
          <w:szCs w:val="20"/>
          <w:lang w:val="en-GB"/>
        </w:rPr>
        <w:t xml:space="preserve"> </w:t>
      </w:r>
      <w:r w:rsidRPr="0000586C">
        <w:rPr>
          <w:rStyle w:val="a-size-extra-large"/>
          <w:rFonts w:eastAsia="Times New Roman" w:cs="Arial"/>
          <w:bCs/>
          <w:i/>
          <w:color w:val="111111"/>
          <w:szCs w:val="20"/>
        </w:rPr>
        <w:t>Humans as a Service: The Promise and Perils of Work in the Gig Economy</w:t>
      </w:r>
      <w:r>
        <w:rPr>
          <w:rStyle w:val="a-size-extra-large"/>
          <w:rFonts w:eastAsia="Times New Roman" w:cs="Arial"/>
          <w:bCs/>
          <w:color w:val="111111"/>
          <w:szCs w:val="20"/>
        </w:rPr>
        <w:t xml:space="preserve"> (Oxford: OUP, 2018).</w:t>
      </w:r>
      <w:r>
        <w:t xml:space="preserve">  </w:t>
      </w:r>
    </w:p>
  </w:footnote>
  <w:footnote w:id="4">
    <w:p w14:paraId="2B3D3D0D" w14:textId="168E0938" w:rsidR="00F60F82" w:rsidRDefault="00F60F82" w:rsidP="008B6B75">
      <w:pPr>
        <w:pStyle w:val="FootnoteText"/>
        <w:spacing w:line="480" w:lineRule="auto"/>
        <w:jc w:val="both"/>
      </w:pPr>
      <w:r>
        <w:rPr>
          <w:rStyle w:val="FootnoteReference"/>
        </w:rPr>
        <w:footnoteRef/>
      </w:r>
      <w:r>
        <w:t xml:space="preserve"> </w:t>
      </w:r>
      <w:proofErr w:type="spellStart"/>
      <w:r>
        <w:t>Tronsor</w:t>
      </w:r>
      <w:proofErr w:type="spellEnd"/>
      <w:r>
        <w:t xml:space="preserve">, above n 2; </w:t>
      </w:r>
      <w:proofErr w:type="spellStart"/>
      <w:r>
        <w:t>Schiek</w:t>
      </w:r>
      <w:proofErr w:type="spellEnd"/>
      <w:r>
        <w:t xml:space="preserve"> and Gideon, above n 2; M Ford and A </w:t>
      </w:r>
      <w:proofErr w:type="spellStart"/>
      <w:r>
        <w:t>Bogg</w:t>
      </w:r>
      <w:proofErr w:type="spellEnd"/>
      <w:r>
        <w:t xml:space="preserve"> ‘Between Statute and Contract: Who is a Worker?’ (2019) 135 </w:t>
      </w:r>
      <w:r w:rsidRPr="003F4D28">
        <w:t>Law Quarterly Review</w:t>
      </w:r>
      <w:r>
        <w:t xml:space="preserve"> 347; The University of Oxford, ‘The Employment Status of Uber Drivers’, 2017,</w:t>
      </w:r>
      <w:r w:rsidR="00C76C31">
        <w:t xml:space="preserve"> available at</w:t>
      </w:r>
      <w:r>
        <w:t xml:space="preserve"> </w:t>
      </w:r>
      <w:hyperlink r:id="rId1" w:history="1">
        <w:r w:rsidR="00C76C31" w:rsidRPr="00C76C31">
          <w:rPr>
            <w:rStyle w:val="Hyperlink"/>
            <w:color w:val="auto"/>
          </w:rPr>
          <w:t>http://ohrh.law.ox.ac.uk/wordpress/wp-content/uploads/2018/02/5.-Uber.pdf (16</w:t>
        </w:r>
      </w:hyperlink>
      <w:r w:rsidRPr="003F4D28">
        <w:t xml:space="preserve"> </w:t>
      </w:r>
      <w:r>
        <w:t xml:space="preserve">January 2020). </w:t>
      </w:r>
    </w:p>
  </w:footnote>
  <w:footnote w:id="5">
    <w:p w14:paraId="675BE407" w14:textId="620474A5" w:rsidR="00F60F82" w:rsidRPr="003371F3" w:rsidRDefault="00F60F82" w:rsidP="008B6B75">
      <w:pPr>
        <w:pStyle w:val="FootnoteText"/>
        <w:spacing w:line="480" w:lineRule="auto"/>
        <w:jc w:val="both"/>
        <w:rPr>
          <w:lang w:val="en-GB"/>
        </w:rPr>
      </w:pPr>
      <w:r w:rsidRPr="003371F3">
        <w:rPr>
          <w:rStyle w:val="FootnoteReference"/>
          <w:lang w:val="en-GB"/>
        </w:rPr>
        <w:footnoteRef/>
      </w:r>
      <w:r w:rsidRPr="003371F3">
        <w:rPr>
          <w:lang w:val="en-GB"/>
        </w:rPr>
        <w:t xml:space="preserve"> </w:t>
      </w:r>
      <w:r>
        <w:rPr>
          <w:lang w:val="en-GB"/>
        </w:rPr>
        <w:t xml:space="preserve">See D Gerber </w:t>
      </w:r>
      <w:r w:rsidRPr="00BC3867">
        <w:rPr>
          <w:i/>
          <w:lang w:val="en-GB"/>
        </w:rPr>
        <w:t>Global Competition: Law, Markets and Globalisation</w:t>
      </w:r>
      <w:r>
        <w:rPr>
          <w:lang w:val="en-GB"/>
        </w:rPr>
        <w:t xml:space="preserve"> (Oxford: OUP, 2012), p 273.</w:t>
      </w:r>
    </w:p>
  </w:footnote>
  <w:footnote w:id="6">
    <w:p w14:paraId="4B47C53F" w14:textId="5FFBCCD5" w:rsidR="00F60F82" w:rsidRPr="003F4D28" w:rsidRDefault="00F60F82" w:rsidP="008B6B75">
      <w:pPr>
        <w:pStyle w:val="FootnoteText"/>
        <w:spacing w:line="480" w:lineRule="auto"/>
        <w:rPr>
          <w:lang w:val="en-GB"/>
        </w:rPr>
      </w:pPr>
      <w:r w:rsidRPr="003371F3">
        <w:rPr>
          <w:rStyle w:val="FootnoteReference"/>
          <w:lang w:val="en-GB"/>
        </w:rPr>
        <w:footnoteRef/>
      </w:r>
      <w:r w:rsidRPr="003371F3">
        <w:rPr>
          <w:lang w:val="en-GB"/>
        </w:rPr>
        <w:t xml:space="preserve"> See further in the fol</w:t>
      </w:r>
      <w:r>
        <w:rPr>
          <w:lang w:val="en-GB"/>
        </w:rPr>
        <w:t>lowing section, text to n 13</w:t>
      </w:r>
      <w:r w:rsidRPr="003371F3">
        <w:rPr>
          <w:lang w:val="en-GB"/>
        </w:rPr>
        <w:t xml:space="preserve"> </w:t>
      </w:r>
      <w:r w:rsidRPr="003F4D28">
        <w:rPr>
          <w:lang w:val="en-GB"/>
        </w:rPr>
        <w:t xml:space="preserve">et seq. </w:t>
      </w:r>
    </w:p>
  </w:footnote>
  <w:footnote w:id="7">
    <w:p w14:paraId="1B66E086" w14:textId="56481B7C" w:rsidR="00F60F82" w:rsidRPr="00F904BC" w:rsidRDefault="00F60F82" w:rsidP="008B6B75">
      <w:pPr>
        <w:pStyle w:val="FootnoteText"/>
        <w:spacing w:line="480" w:lineRule="auto"/>
        <w:jc w:val="both"/>
        <w:rPr>
          <w:rFonts w:eastAsia="Times New Roman" w:cs="Times New Roman"/>
          <w:lang w:val="en-GB"/>
        </w:rPr>
      </w:pPr>
      <w:r w:rsidRPr="00F904BC">
        <w:rPr>
          <w:rStyle w:val="FootnoteReference"/>
          <w:szCs w:val="20"/>
          <w:lang w:val="en-GB"/>
        </w:rPr>
        <w:footnoteRef/>
      </w:r>
      <w:r>
        <w:t xml:space="preserve"> H</w:t>
      </w:r>
      <w:r w:rsidRPr="00F904BC">
        <w:t xml:space="preserve"> Buch-Hansen</w:t>
      </w:r>
      <w:r>
        <w:t xml:space="preserve"> and</w:t>
      </w:r>
      <w:r w:rsidRPr="00F904BC">
        <w:t> </w:t>
      </w:r>
      <w:r>
        <w:rPr>
          <w:bCs/>
          <w:bdr w:val="none" w:sz="0" w:space="0" w:color="auto" w:frame="1"/>
        </w:rPr>
        <w:t>A</w:t>
      </w:r>
      <w:r w:rsidRPr="00F904BC">
        <w:t> </w:t>
      </w:r>
      <w:proofErr w:type="spellStart"/>
      <w:r w:rsidRPr="00F904BC">
        <w:rPr>
          <w:bCs/>
          <w:bdr w:val="none" w:sz="0" w:space="0" w:color="auto" w:frame="1"/>
        </w:rPr>
        <w:t>Wigger</w:t>
      </w:r>
      <w:proofErr w:type="spellEnd"/>
      <w:r w:rsidRPr="00F904BC">
        <w:rPr>
          <w:bCs/>
          <w:bdr w:val="none" w:sz="0" w:space="0" w:color="auto" w:frame="1"/>
        </w:rPr>
        <w:t xml:space="preserve"> ‘</w:t>
      </w:r>
      <w:bookmarkStart w:id="0" w:name="citation"/>
      <w:r w:rsidRPr="00F904BC">
        <w:rPr>
          <w:bdr w:val="none" w:sz="0" w:space="0" w:color="auto" w:frame="1"/>
        </w:rPr>
        <w:t>Revisiting 50 years of market-making: The neoliberal transformation of European </w:t>
      </w:r>
      <w:r w:rsidRPr="00F904BC">
        <w:rPr>
          <w:bCs/>
          <w:bdr w:val="none" w:sz="0" w:space="0" w:color="auto" w:frame="1"/>
        </w:rPr>
        <w:t>competition</w:t>
      </w:r>
      <w:r w:rsidRPr="00F904BC">
        <w:rPr>
          <w:bdr w:val="none" w:sz="0" w:space="0" w:color="auto" w:frame="1"/>
        </w:rPr>
        <w:t> policy</w:t>
      </w:r>
      <w:bookmarkEnd w:id="0"/>
      <w:r w:rsidRPr="00F904BC">
        <w:rPr>
          <w:bdr w:val="none" w:sz="0" w:space="0" w:color="auto" w:frame="1"/>
        </w:rPr>
        <w:t>’ (2010)</w:t>
      </w:r>
      <w:r>
        <w:rPr>
          <w:bdr w:val="none" w:sz="0" w:space="0" w:color="auto" w:frame="1"/>
        </w:rPr>
        <w:t xml:space="preserve"> 17</w:t>
      </w:r>
      <w:r w:rsidRPr="00F904BC">
        <w:rPr>
          <w:bdr w:val="none" w:sz="0" w:space="0" w:color="auto" w:frame="1"/>
        </w:rPr>
        <w:t xml:space="preserve"> </w:t>
      </w:r>
      <w:r w:rsidRPr="003F4D28">
        <w:rPr>
          <w:rFonts w:eastAsia="Times New Roman" w:cs="Times New Roman"/>
          <w:iCs/>
          <w:bdr w:val="none" w:sz="0" w:space="0" w:color="auto" w:frame="1"/>
          <w:lang w:val="en-GB"/>
        </w:rPr>
        <w:t>Review of International Political Economy</w:t>
      </w:r>
      <w:r>
        <w:rPr>
          <w:rFonts w:eastAsia="Times New Roman" w:cs="Times New Roman"/>
          <w:lang w:val="en-GB"/>
        </w:rPr>
        <w:t xml:space="preserve"> 20</w:t>
      </w:r>
      <w:r w:rsidRPr="00F904BC">
        <w:rPr>
          <w:rFonts w:eastAsia="Times New Roman" w:cs="Times New Roman"/>
          <w:lang w:val="en-GB"/>
        </w:rPr>
        <w:t>.</w:t>
      </w:r>
    </w:p>
  </w:footnote>
  <w:footnote w:id="8">
    <w:p w14:paraId="54C037F7" w14:textId="77777777" w:rsidR="00F60F82" w:rsidRPr="00F904BC" w:rsidRDefault="00F60F82" w:rsidP="008B6B75">
      <w:pPr>
        <w:pStyle w:val="FootnoteText"/>
        <w:spacing w:line="480" w:lineRule="auto"/>
        <w:rPr>
          <w:szCs w:val="20"/>
          <w:lang w:val="en-GB"/>
        </w:rPr>
      </w:pPr>
      <w:r w:rsidRPr="00F904BC">
        <w:rPr>
          <w:rStyle w:val="FootnoteReference"/>
          <w:szCs w:val="20"/>
          <w:lang w:val="en-GB"/>
        </w:rPr>
        <w:footnoteRef/>
      </w:r>
      <w:r>
        <w:rPr>
          <w:szCs w:val="20"/>
          <w:lang w:val="en-GB"/>
        </w:rPr>
        <w:t xml:space="preserve"> This is further explained in the next section of the article as well as the fourth section proposing the citizen welfare approach.</w:t>
      </w:r>
    </w:p>
  </w:footnote>
  <w:footnote w:id="9">
    <w:p w14:paraId="6D2FDCEA" w14:textId="3E8B69DF" w:rsidR="00F60F82" w:rsidRPr="004D0BBB" w:rsidRDefault="00F60F82" w:rsidP="008B6B75">
      <w:pPr>
        <w:pStyle w:val="FootnoteText"/>
        <w:spacing w:line="480" w:lineRule="auto"/>
        <w:rPr>
          <w:lang w:val="en-GB"/>
        </w:rPr>
      </w:pPr>
      <w:r>
        <w:rPr>
          <w:rStyle w:val="FootnoteReference"/>
        </w:rPr>
        <w:footnoteRef/>
      </w:r>
      <w:r>
        <w:t xml:space="preserve"> See e.g. A C Witt ‘Public Policy Goals under EU Competition Law – Now is the Time to Set the House in Order’ (2012) 8 </w:t>
      </w:r>
      <w:r w:rsidRPr="003855CB">
        <w:t>European Competition Journal</w:t>
      </w:r>
      <w:r>
        <w:t xml:space="preserve"> 443.</w:t>
      </w:r>
    </w:p>
  </w:footnote>
  <w:footnote w:id="10">
    <w:p w14:paraId="603AE335" w14:textId="08EA5666" w:rsidR="00F60F82" w:rsidRDefault="00F60F82" w:rsidP="008B6B75">
      <w:pPr>
        <w:pStyle w:val="FootnoteText"/>
        <w:spacing w:line="480" w:lineRule="auto"/>
        <w:jc w:val="both"/>
      </w:pPr>
      <w:r>
        <w:rPr>
          <w:rStyle w:val="FootnoteReference"/>
        </w:rPr>
        <w:footnoteRef/>
      </w:r>
      <w:r>
        <w:t xml:space="preserve"> C </w:t>
      </w:r>
      <w:proofErr w:type="spellStart"/>
      <w:r>
        <w:t>Donnaruma</w:t>
      </w:r>
      <w:proofErr w:type="spellEnd"/>
      <w:r>
        <w:t xml:space="preserve"> and N </w:t>
      </w:r>
      <w:proofErr w:type="spellStart"/>
      <w:r>
        <w:t>Partyka</w:t>
      </w:r>
      <w:proofErr w:type="spellEnd"/>
      <w:r>
        <w:t xml:space="preserve"> ‘Challenging the Presumption in Favor of Markets’ (2012) 44 </w:t>
      </w:r>
      <w:r w:rsidRPr="003855CB">
        <w:t>Review of Radical Political Economics</w:t>
      </w:r>
      <w:r>
        <w:t xml:space="preserve"> 40.</w:t>
      </w:r>
    </w:p>
  </w:footnote>
  <w:footnote w:id="11">
    <w:p w14:paraId="4E2B5F2A" w14:textId="48713698" w:rsidR="00F60F82" w:rsidRPr="00A204FE" w:rsidRDefault="00F60F82" w:rsidP="008B6B75">
      <w:pPr>
        <w:pStyle w:val="FootnoteText"/>
        <w:spacing w:line="480" w:lineRule="auto"/>
        <w:rPr>
          <w:lang w:val="en-GB"/>
        </w:rPr>
      </w:pPr>
      <w:r>
        <w:rPr>
          <w:rStyle w:val="FootnoteReference"/>
        </w:rPr>
        <w:footnoteRef/>
      </w:r>
      <w:r>
        <w:t xml:space="preserve"> </w:t>
      </w:r>
      <w:r>
        <w:rPr>
          <w:lang w:val="en-GB"/>
        </w:rPr>
        <w:t xml:space="preserve">M Watson </w:t>
      </w:r>
      <w:r w:rsidRPr="00A204FE">
        <w:rPr>
          <w:i/>
          <w:lang w:val="en-GB"/>
        </w:rPr>
        <w:t>The Market</w:t>
      </w:r>
      <w:r>
        <w:rPr>
          <w:lang w:val="en-GB"/>
        </w:rPr>
        <w:t xml:space="preserve"> (Newcastle: Agenda, 2018) p 61.</w:t>
      </w:r>
    </w:p>
  </w:footnote>
  <w:footnote w:id="12">
    <w:p w14:paraId="70EEB236" w14:textId="288BDC28" w:rsidR="00F60F82" w:rsidRPr="00731D32" w:rsidRDefault="00F60F82" w:rsidP="008B6B75">
      <w:pPr>
        <w:pStyle w:val="FootnoteText"/>
        <w:spacing w:line="480" w:lineRule="auto"/>
        <w:jc w:val="both"/>
        <w:rPr>
          <w:sz w:val="18"/>
        </w:rPr>
      </w:pPr>
      <w:r>
        <w:rPr>
          <w:rStyle w:val="FootnoteReference"/>
        </w:rPr>
        <w:footnoteRef/>
      </w:r>
      <w:r>
        <w:t xml:space="preserve"> R H Bork </w:t>
      </w:r>
      <w:r w:rsidRPr="00824B10">
        <w:rPr>
          <w:i/>
        </w:rPr>
        <w:t>The Antitrust Paradox</w:t>
      </w:r>
      <w:r>
        <w:t xml:space="preserve"> (New York: The Free Press, 1993); R A Posner ‘A Statistical Study of Antitrust Enforcement’ (1970) 13 </w:t>
      </w:r>
      <w:r w:rsidRPr="007606F5">
        <w:t>The Journal of Law and Economics</w:t>
      </w:r>
      <w:r>
        <w:t xml:space="preserve"> 365; M P Schinkel and J </w:t>
      </w:r>
      <w:proofErr w:type="spellStart"/>
      <w:r>
        <w:t>Tuinstra</w:t>
      </w:r>
      <w:proofErr w:type="spellEnd"/>
      <w:r>
        <w:t xml:space="preserve"> ‘Imperfect Competition Law Enforcement’ </w:t>
      </w:r>
      <w:proofErr w:type="spellStart"/>
      <w:r>
        <w:rPr>
          <w:lang w:val="en"/>
        </w:rPr>
        <w:t>CeNDEF</w:t>
      </w:r>
      <w:proofErr w:type="spellEnd"/>
      <w:r>
        <w:rPr>
          <w:lang w:val="en"/>
        </w:rPr>
        <w:t xml:space="preserve"> Working Paper No. 04-07, </w:t>
      </w:r>
      <w:r w:rsidR="00A950A3">
        <w:rPr>
          <w:lang w:val="en"/>
        </w:rPr>
        <w:t xml:space="preserve">available at </w:t>
      </w:r>
      <w:r w:rsidRPr="00731D32">
        <w:rPr>
          <w:lang w:val="en"/>
        </w:rPr>
        <w:t>https://papers.ssrn.com/sol3/papers.cfm?abstract_id=366420</w:t>
      </w:r>
      <w:r>
        <w:rPr>
          <w:lang w:val="en"/>
        </w:rPr>
        <w:t xml:space="preserve"> (16 January 2020).</w:t>
      </w:r>
    </w:p>
  </w:footnote>
  <w:footnote w:id="13">
    <w:p w14:paraId="1037A74C" w14:textId="6B3F4002" w:rsidR="00F60F82" w:rsidRDefault="00F60F82" w:rsidP="008B6B75">
      <w:pPr>
        <w:pStyle w:val="FootnoteText"/>
        <w:spacing w:line="480" w:lineRule="auto"/>
        <w:jc w:val="both"/>
      </w:pPr>
      <w:r>
        <w:rPr>
          <w:rStyle w:val="FootnoteReference"/>
        </w:rPr>
        <w:footnoteRef/>
      </w:r>
      <w:r>
        <w:t xml:space="preserve"> A I </w:t>
      </w:r>
      <w:proofErr w:type="spellStart"/>
      <w:r>
        <w:t>Gavil</w:t>
      </w:r>
      <w:proofErr w:type="spellEnd"/>
      <w:r>
        <w:t xml:space="preserve">, W E </w:t>
      </w:r>
      <w:proofErr w:type="spellStart"/>
      <w:r>
        <w:t>Kovacic</w:t>
      </w:r>
      <w:proofErr w:type="spellEnd"/>
      <w:r>
        <w:t xml:space="preserve">, J Baker and J D Wright </w:t>
      </w:r>
      <w:r w:rsidRPr="00AF32E7">
        <w:rPr>
          <w:i/>
        </w:rPr>
        <w:t>Antitrust Law in Perspective</w:t>
      </w:r>
      <w:r>
        <w:t xml:space="preserve"> (Maine: West Academic Publishing, 2002) p 17; M Motta </w:t>
      </w:r>
      <w:r w:rsidRPr="00F50B33">
        <w:rPr>
          <w:i/>
        </w:rPr>
        <w:t>Competition Policy, Theory and Practice</w:t>
      </w:r>
      <w:r>
        <w:t xml:space="preserve"> (Cambridge: CUP, 2009) p 9.</w:t>
      </w:r>
    </w:p>
  </w:footnote>
  <w:footnote w:id="14">
    <w:p w14:paraId="4219D4D1" w14:textId="50E12D58" w:rsidR="00F60F82" w:rsidRPr="003371F3" w:rsidRDefault="00F60F82" w:rsidP="008B6B75">
      <w:pPr>
        <w:pStyle w:val="FootnoteText"/>
        <w:spacing w:line="480" w:lineRule="auto"/>
        <w:jc w:val="both"/>
        <w:rPr>
          <w:szCs w:val="20"/>
          <w:lang w:val="en-GB"/>
        </w:rPr>
      </w:pPr>
      <w:r w:rsidRPr="003371F3">
        <w:rPr>
          <w:rStyle w:val="FootnoteReference"/>
          <w:szCs w:val="20"/>
          <w:lang w:val="en-GB"/>
        </w:rPr>
        <w:footnoteRef/>
      </w:r>
      <w:r w:rsidRPr="003371F3">
        <w:rPr>
          <w:szCs w:val="20"/>
          <w:lang w:val="en-GB"/>
        </w:rPr>
        <w:t xml:space="preserve"> </w:t>
      </w:r>
      <w:r>
        <w:rPr>
          <w:szCs w:val="20"/>
          <w:lang w:val="en-GB"/>
        </w:rPr>
        <w:t>A Foer ‘</w:t>
      </w:r>
      <w:r w:rsidRPr="003371F3">
        <w:rPr>
          <w:szCs w:val="20"/>
          <w:lang w:val="en-GB"/>
        </w:rPr>
        <w:t xml:space="preserve">On the Inefficiencies of Efficiency as the </w:t>
      </w:r>
      <w:r>
        <w:rPr>
          <w:szCs w:val="20"/>
          <w:lang w:val="en-GB"/>
        </w:rPr>
        <w:t>Single-minded Goal of Antitrust’</w:t>
      </w:r>
      <w:r w:rsidRPr="003371F3">
        <w:rPr>
          <w:szCs w:val="20"/>
          <w:lang w:val="en-GB"/>
        </w:rPr>
        <w:t xml:space="preserve"> (2015) </w:t>
      </w:r>
      <w:r>
        <w:rPr>
          <w:szCs w:val="20"/>
          <w:lang w:val="en-GB"/>
        </w:rPr>
        <w:t xml:space="preserve">60 </w:t>
      </w:r>
      <w:r w:rsidRPr="000F02AA">
        <w:rPr>
          <w:szCs w:val="20"/>
          <w:lang w:val="en-GB"/>
        </w:rPr>
        <w:t>The Antitrust Bulletin</w:t>
      </w:r>
      <w:r>
        <w:rPr>
          <w:szCs w:val="20"/>
          <w:lang w:val="en-GB"/>
        </w:rPr>
        <w:t xml:space="preserve"> 103; E M Fox ‘The Efficiency Paradox’ in R</w:t>
      </w:r>
      <w:r w:rsidRPr="003371F3">
        <w:rPr>
          <w:szCs w:val="20"/>
          <w:lang w:val="en-GB"/>
        </w:rPr>
        <w:t xml:space="preserve"> </w:t>
      </w:r>
      <w:proofErr w:type="spellStart"/>
      <w:r w:rsidRPr="003371F3">
        <w:rPr>
          <w:szCs w:val="20"/>
          <w:lang w:val="en-GB"/>
        </w:rPr>
        <w:t>Pitofsky</w:t>
      </w:r>
      <w:proofErr w:type="spellEnd"/>
      <w:r w:rsidRPr="003371F3">
        <w:rPr>
          <w:szCs w:val="20"/>
          <w:lang w:val="en-GB"/>
        </w:rPr>
        <w:t xml:space="preserve"> (ed) </w:t>
      </w:r>
      <w:r w:rsidRPr="003371F3">
        <w:rPr>
          <w:i/>
          <w:szCs w:val="20"/>
          <w:lang w:val="en-GB"/>
        </w:rPr>
        <w:t xml:space="preserve">How the Chicago School Overshot the Mark: The Effect of Conservative Economic Analysis on U.S. Antitrust </w:t>
      </w:r>
      <w:r>
        <w:rPr>
          <w:szCs w:val="20"/>
          <w:lang w:val="en-GB"/>
        </w:rPr>
        <w:t>(</w:t>
      </w:r>
      <w:r w:rsidRPr="003371F3">
        <w:rPr>
          <w:szCs w:val="20"/>
          <w:lang w:val="en-GB"/>
        </w:rPr>
        <w:t>New York</w:t>
      </w:r>
      <w:r>
        <w:rPr>
          <w:szCs w:val="20"/>
          <w:lang w:val="en-GB"/>
        </w:rPr>
        <w:t xml:space="preserve">: </w:t>
      </w:r>
      <w:r w:rsidRPr="003371F3">
        <w:rPr>
          <w:szCs w:val="20"/>
          <w:lang w:val="en-GB"/>
        </w:rPr>
        <w:t>OUP,</w:t>
      </w:r>
      <w:r>
        <w:rPr>
          <w:szCs w:val="20"/>
          <w:lang w:val="en-GB"/>
        </w:rPr>
        <w:t xml:space="preserve"> 2008), pp </w:t>
      </w:r>
      <w:r w:rsidRPr="003371F3">
        <w:rPr>
          <w:szCs w:val="20"/>
          <w:lang w:val="en-GB"/>
        </w:rPr>
        <w:t xml:space="preserve">77-99.   </w:t>
      </w:r>
    </w:p>
  </w:footnote>
  <w:footnote w:id="15">
    <w:p w14:paraId="74063754" w14:textId="6995710B" w:rsidR="00F60F82" w:rsidRDefault="00F60F82" w:rsidP="008B6B75">
      <w:pPr>
        <w:pStyle w:val="FootnoteText"/>
        <w:spacing w:line="480" w:lineRule="auto"/>
        <w:jc w:val="both"/>
      </w:pPr>
      <w:r>
        <w:rPr>
          <w:rStyle w:val="FootnoteReference"/>
        </w:rPr>
        <w:footnoteRef/>
      </w:r>
      <w:r>
        <w:t xml:space="preserve"> A C Witt </w:t>
      </w:r>
      <w:r w:rsidRPr="00270CF0">
        <w:rPr>
          <w:i/>
        </w:rPr>
        <w:t>The More Economic Approach to EU Competition Law</w:t>
      </w:r>
      <w:r>
        <w:t xml:space="preserve"> (Oxford: Hart, 2016).</w:t>
      </w:r>
    </w:p>
  </w:footnote>
  <w:footnote w:id="16">
    <w:p w14:paraId="2D8596D1" w14:textId="21C58BA1" w:rsidR="00F60F82" w:rsidRPr="008953C6" w:rsidRDefault="00F60F82" w:rsidP="008B6B75">
      <w:pPr>
        <w:pStyle w:val="FootnoteText"/>
        <w:spacing w:line="480" w:lineRule="auto"/>
        <w:jc w:val="both"/>
        <w:rPr>
          <w:szCs w:val="20"/>
          <w:lang w:val="en-GB"/>
        </w:rPr>
      </w:pPr>
      <w:r w:rsidRPr="008953C6">
        <w:rPr>
          <w:rStyle w:val="FootnoteReference"/>
          <w:szCs w:val="20"/>
          <w:lang w:val="en-GB"/>
        </w:rPr>
        <w:footnoteRef/>
      </w:r>
      <w:r w:rsidRPr="008953C6">
        <w:rPr>
          <w:szCs w:val="20"/>
          <w:lang w:val="en-GB"/>
        </w:rPr>
        <w:t xml:space="preserve"> </w:t>
      </w:r>
      <w:r>
        <w:rPr>
          <w:szCs w:val="20"/>
          <w:lang w:val="en-GB"/>
        </w:rPr>
        <w:t xml:space="preserve">Buch-Hansen and </w:t>
      </w:r>
      <w:proofErr w:type="spellStart"/>
      <w:r>
        <w:rPr>
          <w:szCs w:val="20"/>
          <w:lang w:val="en-GB"/>
        </w:rPr>
        <w:t>Wigger</w:t>
      </w:r>
      <w:proofErr w:type="spellEnd"/>
      <w:r>
        <w:rPr>
          <w:szCs w:val="20"/>
          <w:lang w:val="en-GB"/>
        </w:rPr>
        <w:t>, above n 7; F Cengiz ‘</w:t>
      </w:r>
      <w:r w:rsidRPr="008953C6">
        <w:rPr>
          <w:rFonts w:cs="Arial"/>
          <w:color w:val="1C1D1E"/>
          <w:szCs w:val="20"/>
          <w:lang w:val="en-GB"/>
        </w:rPr>
        <w:t>Legitimacy and Multi</w:t>
      </w:r>
      <w:r w:rsidRPr="008953C6">
        <w:rPr>
          <w:rFonts w:ascii="American Typewriter Condensed" w:hAnsi="American Typewriter Condensed" w:cs="American Typewriter Condensed"/>
          <w:color w:val="1C1D1E"/>
          <w:szCs w:val="20"/>
          <w:lang w:val="en-GB"/>
        </w:rPr>
        <w:t>‐</w:t>
      </w:r>
      <w:r w:rsidRPr="008953C6">
        <w:rPr>
          <w:rFonts w:cs="Arial"/>
          <w:color w:val="1C1D1E"/>
          <w:szCs w:val="20"/>
          <w:lang w:val="en-GB"/>
        </w:rPr>
        <w:t>Level Governance in European Union Competition Law: A D</w:t>
      </w:r>
      <w:r>
        <w:rPr>
          <w:rFonts w:cs="Arial"/>
          <w:color w:val="1C1D1E"/>
          <w:szCs w:val="20"/>
          <w:lang w:val="en-GB"/>
        </w:rPr>
        <w:t>eliberative Discursive Approach’</w:t>
      </w:r>
      <w:r w:rsidRPr="008953C6">
        <w:rPr>
          <w:rFonts w:cs="Arial"/>
          <w:color w:val="1C1D1E"/>
          <w:szCs w:val="20"/>
          <w:lang w:val="en-GB"/>
        </w:rPr>
        <w:t xml:space="preserve"> (2016) </w:t>
      </w:r>
      <w:r>
        <w:rPr>
          <w:rFonts w:cs="Arial"/>
          <w:color w:val="1C1D1E"/>
          <w:szCs w:val="20"/>
          <w:lang w:val="en-GB"/>
        </w:rPr>
        <w:t xml:space="preserve">54 </w:t>
      </w:r>
      <w:r w:rsidRPr="002541DB">
        <w:rPr>
          <w:rFonts w:cs="Arial"/>
          <w:color w:val="1C1D1E"/>
          <w:szCs w:val="20"/>
          <w:lang w:val="en-GB"/>
        </w:rPr>
        <w:t>Journal of Common Market Studies</w:t>
      </w:r>
      <w:r>
        <w:rPr>
          <w:rFonts w:cs="Arial"/>
          <w:color w:val="1C1D1E"/>
          <w:szCs w:val="20"/>
          <w:lang w:val="en-GB"/>
        </w:rPr>
        <w:t xml:space="preserve"> 826, pp </w:t>
      </w:r>
      <w:r w:rsidRPr="008953C6">
        <w:rPr>
          <w:rFonts w:cs="Arial"/>
          <w:color w:val="1C1D1E"/>
          <w:szCs w:val="20"/>
          <w:lang w:val="en-GB"/>
        </w:rPr>
        <w:t>832-834.</w:t>
      </w:r>
    </w:p>
  </w:footnote>
  <w:footnote w:id="17">
    <w:p w14:paraId="78F788CB" w14:textId="12C8F90A" w:rsidR="00F60F82" w:rsidRPr="003371F3" w:rsidRDefault="00F60F82" w:rsidP="008B6B75">
      <w:pPr>
        <w:pStyle w:val="FootnoteText"/>
        <w:spacing w:line="480" w:lineRule="auto"/>
        <w:jc w:val="both"/>
        <w:rPr>
          <w:szCs w:val="20"/>
          <w:lang w:val="en-GB"/>
        </w:rPr>
      </w:pPr>
      <w:r w:rsidRPr="003371F3">
        <w:rPr>
          <w:rStyle w:val="FootnoteReference"/>
          <w:szCs w:val="20"/>
          <w:lang w:val="en-GB"/>
        </w:rPr>
        <w:footnoteRef/>
      </w:r>
      <w:r>
        <w:rPr>
          <w:szCs w:val="20"/>
          <w:lang w:val="en-GB"/>
        </w:rPr>
        <w:t xml:space="preserve"> G</w:t>
      </w:r>
      <w:r w:rsidRPr="003371F3">
        <w:rPr>
          <w:szCs w:val="20"/>
          <w:lang w:val="en-GB"/>
        </w:rPr>
        <w:t xml:space="preserve"> Standing </w:t>
      </w:r>
      <w:r w:rsidRPr="006E1B29">
        <w:rPr>
          <w:i/>
          <w:szCs w:val="20"/>
          <w:lang w:val="en-GB"/>
        </w:rPr>
        <w:t>A Precariat Charter</w:t>
      </w:r>
      <w:r>
        <w:rPr>
          <w:szCs w:val="20"/>
          <w:lang w:val="en-GB"/>
        </w:rPr>
        <w:t xml:space="preserve"> (London:</w:t>
      </w:r>
      <w:r w:rsidRPr="003371F3">
        <w:rPr>
          <w:szCs w:val="20"/>
          <w:lang w:val="en-GB"/>
        </w:rPr>
        <w:t xml:space="preserve"> Bloomsbury</w:t>
      </w:r>
      <w:r>
        <w:rPr>
          <w:szCs w:val="20"/>
          <w:lang w:val="en-GB"/>
        </w:rPr>
        <w:t xml:space="preserve">, 2014), pp 58-61; J E Stiglitz </w:t>
      </w:r>
      <w:r w:rsidRPr="00BA0239">
        <w:rPr>
          <w:i/>
          <w:szCs w:val="20"/>
          <w:lang w:val="en-GB"/>
        </w:rPr>
        <w:t>The Price of Inequality</w:t>
      </w:r>
      <w:r>
        <w:rPr>
          <w:szCs w:val="20"/>
          <w:lang w:val="en-GB"/>
        </w:rPr>
        <w:t xml:space="preserve"> (New York: W. W. Norton &amp; Co., 2012); P Krugman </w:t>
      </w:r>
      <w:r w:rsidRPr="0061347E">
        <w:rPr>
          <w:i/>
          <w:szCs w:val="20"/>
          <w:lang w:val="en-GB"/>
        </w:rPr>
        <w:t>End The Depression Now</w:t>
      </w:r>
      <w:r>
        <w:rPr>
          <w:szCs w:val="20"/>
          <w:lang w:val="en-GB"/>
        </w:rPr>
        <w:t xml:space="preserve"> (New York: W. W. Norton &amp; Co., 2013), pp</w:t>
      </w:r>
      <w:r w:rsidR="00C76C31">
        <w:rPr>
          <w:szCs w:val="20"/>
          <w:lang w:val="en-GB"/>
        </w:rPr>
        <w:t xml:space="preserve"> </w:t>
      </w:r>
      <w:r>
        <w:rPr>
          <w:szCs w:val="20"/>
          <w:lang w:val="en-GB"/>
        </w:rPr>
        <w:t>70-77.</w:t>
      </w:r>
    </w:p>
  </w:footnote>
  <w:footnote w:id="18">
    <w:p w14:paraId="4B47CEC7" w14:textId="728F741A" w:rsidR="00F60F82" w:rsidRDefault="00F60F82" w:rsidP="008B6B75">
      <w:pPr>
        <w:pStyle w:val="FootnoteText"/>
        <w:spacing w:line="480" w:lineRule="auto"/>
      </w:pPr>
      <w:r>
        <w:rPr>
          <w:rStyle w:val="FootnoteReference"/>
        </w:rPr>
        <w:footnoteRef/>
      </w:r>
      <w:r>
        <w:t xml:space="preserve"> J E Stiglitz ‘Towards a Broader View of Competition Policy’ Roosevelt Institute Working Paper, June 2017,</w:t>
      </w:r>
      <w:r w:rsidR="00A950A3">
        <w:t xml:space="preserve"> available at</w:t>
      </w:r>
      <w:r>
        <w:t xml:space="preserve"> </w:t>
      </w:r>
      <w:r w:rsidRPr="00DF0780">
        <w:t>https://www8.gsb.columbia.edu/faculty/jstiglitz/sites/jstiglitz/files/Towards%20a%20Broader%20View%20of%20Competition%20Policy%20Roosevelt%20Working%20Paper.pdf</w:t>
      </w:r>
      <w:r>
        <w:t xml:space="preserve"> (16 January 2020).</w:t>
      </w:r>
    </w:p>
  </w:footnote>
  <w:footnote w:id="19">
    <w:p w14:paraId="1CD48C06" w14:textId="6457BE24" w:rsidR="00F60F82" w:rsidRPr="003371F3" w:rsidRDefault="00F60F82" w:rsidP="008B6B75">
      <w:pPr>
        <w:pStyle w:val="FootnoteText"/>
        <w:spacing w:line="480" w:lineRule="auto"/>
        <w:jc w:val="both"/>
        <w:rPr>
          <w:szCs w:val="20"/>
          <w:lang w:val="en-GB"/>
        </w:rPr>
      </w:pPr>
      <w:r w:rsidRPr="003371F3">
        <w:rPr>
          <w:rStyle w:val="FootnoteReference"/>
          <w:szCs w:val="20"/>
          <w:lang w:val="en-GB"/>
        </w:rPr>
        <w:footnoteRef/>
      </w:r>
      <w:r>
        <w:rPr>
          <w:szCs w:val="20"/>
          <w:lang w:val="en-GB"/>
        </w:rPr>
        <w:t xml:space="preserve"> J B Baker and S C Salop ‘</w:t>
      </w:r>
      <w:r w:rsidRPr="003371F3">
        <w:rPr>
          <w:szCs w:val="20"/>
          <w:lang w:val="en-GB"/>
        </w:rPr>
        <w:t>Antitrust, Com</w:t>
      </w:r>
      <w:r>
        <w:rPr>
          <w:szCs w:val="20"/>
          <w:lang w:val="en-GB"/>
        </w:rPr>
        <w:t>petition Policy, and Inequality’</w:t>
      </w:r>
      <w:r w:rsidRPr="003371F3">
        <w:rPr>
          <w:szCs w:val="20"/>
          <w:lang w:val="en-GB"/>
        </w:rPr>
        <w:t xml:space="preserve"> (2015) </w:t>
      </w:r>
      <w:r>
        <w:rPr>
          <w:szCs w:val="20"/>
          <w:lang w:val="en-GB"/>
        </w:rPr>
        <w:t xml:space="preserve">104 </w:t>
      </w:r>
      <w:r w:rsidRPr="00F54143">
        <w:rPr>
          <w:iCs/>
          <w:szCs w:val="20"/>
          <w:lang w:val="en-GB"/>
        </w:rPr>
        <w:t>The Georgetown Law Journal Online</w:t>
      </w:r>
      <w:r>
        <w:rPr>
          <w:szCs w:val="20"/>
          <w:lang w:val="en-GB"/>
        </w:rPr>
        <w:t xml:space="preserve"> 1</w:t>
      </w:r>
      <w:r w:rsidRPr="003371F3">
        <w:rPr>
          <w:szCs w:val="20"/>
          <w:lang w:val="en-GB"/>
        </w:rPr>
        <w:t>.</w:t>
      </w:r>
      <w:r>
        <w:rPr>
          <w:szCs w:val="20"/>
          <w:lang w:val="en-GB"/>
        </w:rPr>
        <w:t xml:space="preserve"> See also L Khan and S </w:t>
      </w:r>
      <w:proofErr w:type="spellStart"/>
      <w:r>
        <w:rPr>
          <w:szCs w:val="20"/>
          <w:lang w:val="en-GB"/>
        </w:rPr>
        <w:t>Vahesaan</w:t>
      </w:r>
      <w:proofErr w:type="spellEnd"/>
      <w:r>
        <w:rPr>
          <w:szCs w:val="20"/>
          <w:lang w:val="en-GB"/>
        </w:rPr>
        <w:t xml:space="preserve"> ‘Market Power and Inequality: The Antitrust Counterrevolution and Its Discontents’ (2017) 11 </w:t>
      </w:r>
      <w:r w:rsidRPr="00E32912">
        <w:rPr>
          <w:szCs w:val="20"/>
          <w:lang w:val="en-GB"/>
        </w:rPr>
        <w:t>Harvard Law and Policy Review</w:t>
      </w:r>
      <w:r>
        <w:rPr>
          <w:szCs w:val="20"/>
          <w:lang w:val="en-GB"/>
        </w:rPr>
        <w:t xml:space="preserve"> 235.</w:t>
      </w:r>
    </w:p>
  </w:footnote>
  <w:footnote w:id="20">
    <w:p w14:paraId="210C92F4" w14:textId="7C14302A" w:rsidR="00F60F82" w:rsidRPr="003371F3" w:rsidRDefault="00F60F82" w:rsidP="008B6B75">
      <w:pPr>
        <w:pStyle w:val="FootnoteText"/>
        <w:spacing w:line="480" w:lineRule="auto"/>
        <w:rPr>
          <w:szCs w:val="20"/>
          <w:lang w:val="en-GB"/>
        </w:rPr>
      </w:pPr>
      <w:r w:rsidRPr="003371F3">
        <w:rPr>
          <w:rStyle w:val="FootnoteReference"/>
          <w:szCs w:val="20"/>
          <w:lang w:val="en-GB"/>
        </w:rPr>
        <w:footnoteRef/>
      </w:r>
      <w:r>
        <w:rPr>
          <w:szCs w:val="20"/>
          <w:lang w:val="en-GB"/>
        </w:rPr>
        <w:t xml:space="preserve"> D A</w:t>
      </w:r>
      <w:r w:rsidRPr="003371F3">
        <w:rPr>
          <w:szCs w:val="20"/>
          <w:lang w:val="en-GB"/>
        </w:rPr>
        <w:t xml:space="preserve"> Cr</w:t>
      </w:r>
      <w:r>
        <w:rPr>
          <w:szCs w:val="20"/>
          <w:lang w:val="en-GB"/>
        </w:rPr>
        <w:t>ane ‘Antitrust and Wealth Inequality’</w:t>
      </w:r>
      <w:r w:rsidRPr="003371F3">
        <w:rPr>
          <w:szCs w:val="20"/>
          <w:lang w:val="en-GB"/>
        </w:rPr>
        <w:t xml:space="preserve"> (2016) </w:t>
      </w:r>
      <w:r>
        <w:rPr>
          <w:szCs w:val="20"/>
          <w:lang w:val="en-GB"/>
        </w:rPr>
        <w:t xml:space="preserve">101 </w:t>
      </w:r>
      <w:r w:rsidRPr="00DA17D3">
        <w:rPr>
          <w:szCs w:val="20"/>
          <w:lang w:val="en-GB"/>
        </w:rPr>
        <w:t>Cornell Law Review</w:t>
      </w:r>
      <w:r>
        <w:rPr>
          <w:szCs w:val="20"/>
          <w:lang w:val="en-GB"/>
        </w:rPr>
        <w:t xml:space="preserve"> 1171</w:t>
      </w:r>
      <w:r w:rsidRPr="003371F3">
        <w:rPr>
          <w:szCs w:val="20"/>
          <w:lang w:val="en-GB"/>
        </w:rPr>
        <w:t>.</w:t>
      </w:r>
    </w:p>
  </w:footnote>
  <w:footnote w:id="21">
    <w:p w14:paraId="7A6E6D22" w14:textId="2D88B072" w:rsidR="00F60F82" w:rsidRDefault="00F60F82" w:rsidP="008B6B75">
      <w:pPr>
        <w:pStyle w:val="FootnoteText"/>
        <w:spacing w:line="480" w:lineRule="auto"/>
      </w:pPr>
      <w:r>
        <w:rPr>
          <w:rStyle w:val="FootnoteReference"/>
        </w:rPr>
        <w:footnoteRef/>
      </w:r>
      <w:r>
        <w:t xml:space="preserve"> Baker and Salop, above n 19; Crane, ibid.</w:t>
      </w:r>
    </w:p>
  </w:footnote>
  <w:footnote w:id="22">
    <w:p w14:paraId="795DB107" w14:textId="61310C98" w:rsidR="00F60F82" w:rsidRPr="003371F3" w:rsidRDefault="00F60F82" w:rsidP="008B6B75">
      <w:pPr>
        <w:pStyle w:val="FootnoteText"/>
        <w:spacing w:line="480" w:lineRule="auto"/>
        <w:rPr>
          <w:lang w:val="en-GB"/>
        </w:rPr>
      </w:pPr>
      <w:r w:rsidRPr="003371F3">
        <w:rPr>
          <w:rStyle w:val="FootnoteReference"/>
          <w:lang w:val="en-GB"/>
        </w:rPr>
        <w:footnoteRef/>
      </w:r>
      <w:r w:rsidRPr="003371F3">
        <w:rPr>
          <w:lang w:val="en-GB"/>
        </w:rPr>
        <w:t xml:space="preserve"> </w:t>
      </w:r>
      <w:r>
        <w:rPr>
          <w:rFonts w:cs="Times"/>
          <w:lang w:val="en-GB"/>
        </w:rPr>
        <w:t>K</w:t>
      </w:r>
      <w:r w:rsidRPr="003371F3">
        <w:rPr>
          <w:rFonts w:cs="Times"/>
          <w:lang w:val="en-GB"/>
        </w:rPr>
        <w:t xml:space="preserve"> Marx </w:t>
      </w:r>
      <w:r w:rsidRPr="003371F3">
        <w:rPr>
          <w:rFonts w:cs="Times"/>
          <w:i/>
          <w:lang w:val="en-GB"/>
        </w:rPr>
        <w:t>Capital, Volume I</w:t>
      </w:r>
      <w:r>
        <w:rPr>
          <w:rFonts w:cs="Times"/>
          <w:lang w:val="en-GB"/>
        </w:rPr>
        <w:t xml:space="preserve"> (</w:t>
      </w:r>
      <w:r w:rsidRPr="003371F3">
        <w:rPr>
          <w:rFonts w:cs="Times"/>
          <w:lang w:val="en-GB"/>
        </w:rPr>
        <w:t>London</w:t>
      </w:r>
      <w:r>
        <w:rPr>
          <w:rFonts w:cs="Times"/>
          <w:lang w:val="en-GB"/>
        </w:rPr>
        <w:t xml:space="preserve">: </w:t>
      </w:r>
      <w:r w:rsidRPr="003371F3">
        <w:rPr>
          <w:rFonts w:cs="Times"/>
          <w:lang w:val="en-GB"/>
        </w:rPr>
        <w:t>Wordsworth,</w:t>
      </w:r>
      <w:r>
        <w:rPr>
          <w:rFonts w:cs="Times"/>
          <w:lang w:val="en-GB"/>
        </w:rPr>
        <w:t xml:space="preserve"> 2013), p 120; M.</w:t>
      </w:r>
      <w:r w:rsidRPr="003371F3">
        <w:rPr>
          <w:rFonts w:cs="Times"/>
          <w:lang w:val="en-GB"/>
        </w:rPr>
        <w:t xml:space="preserve"> Heinrich </w:t>
      </w:r>
      <w:r w:rsidRPr="003371F3">
        <w:rPr>
          <w:rFonts w:cs="Times"/>
          <w:i/>
          <w:lang w:val="en-GB"/>
        </w:rPr>
        <w:t>An Introduction to the Three Volumes of Karl Marx’s Capital</w:t>
      </w:r>
      <w:r>
        <w:rPr>
          <w:rFonts w:cs="Times"/>
          <w:lang w:val="en-GB"/>
        </w:rPr>
        <w:t xml:space="preserve"> (</w:t>
      </w:r>
      <w:r w:rsidRPr="003371F3">
        <w:rPr>
          <w:rFonts w:cs="Times"/>
          <w:lang w:val="en-GB"/>
        </w:rPr>
        <w:t>New York</w:t>
      </w:r>
      <w:r>
        <w:rPr>
          <w:rFonts w:cs="Times"/>
          <w:lang w:val="en-GB"/>
        </w:rPr>
        <w:t xml:space="preserve">: </w:t>
      </w:r>
      <w:r w:rsidRPr="003371F3">
        <w:rPr>
          <w:rFonts w:cs="Times"/>
          <w:lang w:val="en-GB"/>
        </w:rPr>
        <w:t>Monthly Review Press,</w:t>
      </w:r>
      <w:r>
        <w:rPr>
          <w:rFonts w:cs="Times"/>
          <w:lang w:val="en-GB"/>
        </w:rPr>
        <w:t xml:space="preserve"> 2004), p</w:t>
      </w:r>
      <w:r w:rsidRPr="003371F3">
        <w:rPr>
          <w:rFonts w:cs="Times"/>
          <w:lang w:val="en-GB"/>
        </w:rPr>
        <w:t xml:space="preserve"> 81.</w:t>
      </w:r>
    </w:p>
  </w:footnote>
  <w:footnote w:id="23">
    <w:p w14:paraId="1A5D472A" w14:textId="18A491C9" w:rsidR="00F60F82" w:rsidRPr="003371F3" w:rsidRDefault="00F60F82" w:rsidP="008B6B75">
      <w:pPr>
        <w:pStyle w:val="FootnoteText"/>
        <w:spacing w:line="480" w:lineRule="auto"/>
        <w:jc w:val="both"/>
        <w:rPr>
          <w:lang w:val="en-GB"/>
        </w:rPr>
      </w:pPr>
      <w:r w:rsidRPr="003371F3">
        <w:rPr>
          <w:rStyle w:val="FootnoteReference"/>
          <w:lang w:val="en-GB"/>
        </w:rPr>
        <w:footnoteRef/>
      </w:r>
      <w:r>
        <w:rPr>
          <w:lang w:val="en-GB"/>
        </w:rPr>
        <w:t xml:space="preserve"> G</w:t>
      </w:r>
      <w:r w:rsidRPr="003371F3">
        <w:rPr>
          <w:lang w:val="en-GB"/>
        </w:rPr>
        <w:t xml:space="preserve"> Palermo ‘The Economic Debate on Power: A Marxist Critique’ (2014) </w:t>
      </w:r>
      <w:r>
        <w:rPr>
          <w:lang w:val="en-GB"/>
        </w:rPr>
        <w:t xml:space="preserve">21 </w:t>
      </w:r>
      <w:r w:rsidRPr="005668E5">
        <w:rPr>
          <w:lang w:val="en-GB"/>
        </w:rPr>
        <w:t>Journal of Economic Methodology 175, p 188; G Palermo ‘Competition</w:t>
      </w:r>
      <w:r>
        <w:rPr>
          <w:lang w:val="en-GB"/>
        </w:rPr>
        <w:t>:</w:t>
      </w:r>
      <w:r w:rsidRPr="005668E5">
        <w:rPr>
          <w:lang w:val="en-GB"/>
        </w:rPr>
        <w:t xml:space="preserve"> A Marxist View’ (2017) 41 Cambridge Journal of Economics 1559, p 1569.</w:t>
      </w:r>
    </w:p>
  </w:footnote>
  <w:footnote w:id="24">
    <w:p w14:paraId="077FE636" w14:textId="64B7E396" w:rsidR="00F60F82" w:rsidRPr="003371F3" w:rsidRDefault="00F60F82" w:rsidP="008B6B75">
      <w:pPr>
        <w:pStyle w:val="NoSpacing"/>
        <w:spacing w:line="480" w:lineRule="auto"/>
        <w:jc w:val="both"/>
        <w:rPr>
          <w:rFonts w:ascii="Times" w:hAnsi="Times"/>
          <w:sz w:val="20"/>
          <w:szCs w:val="20"/>
        </w:rPr>
      </w:pPr>
      <w:r w:rsidRPr="003371F3">
        <w:rPr>
          <w:rStyle w:val="FootnoteReference"/>
          <w:rFonts w:ascii="Times" w:hAnsi="Times"/>
          <w:sz w:val="20"/>
          <w:szCs w:val="20"/>
        </w:rPr>
        <w:footnoteRef/>
      </w:r>
      <w:r w:rsidRPr="003371F3">
        <w:rPr>
          <w:rFonts w:ascii="Times" w:hAnsi="Times"/>
          <w:sz w:val="20"/>
          <w:szCs w:val="20"/>
        </w:rPr>
        <w:t xml:space="preserve"> </w:t>
      </w:r>
      <w:r>
        <w:rPr>
          <w:rFonts w:ascii="Times" w:hAnsi="Times"/>
          <w:sz w:val="20"/>
          <w:szCs w:val="20"/>
        </w:rPr>
        <w:t xml:space="preserve">R J Jonna and J </w:t>
      </w:r>
      <w:r w:rsidRPr="003371F3">
        <w:rPr>
          <w:rFonts w:ascii="Times" w:hAnsi="Times"/>
          <w:sz w:val="20"/>
          <w:szCs w:val="20"/>
        </w:rPr>
        <w:t>Foster ‘Marx’s Theory of Working-Class Precariousness’</w:t>
      </w:r>
      <w:r>
        <w:rPr>
          <w:rFonts w:ascii="Times" w:hAnsi="Times"/>
          <w:sz w:val="20"/>
          <w:szCs w:val="20"/>
        </w:rPr>
        <w:t xml:space="preserve"> (2016) 67 </w:t>
      </w:r>
      <w:r w:rsidRPr="00C94012">
        <w:rPr>
          <w:rFonts w:ascii="Times" w:hAnsi="Times"/>
          <w:sz w:val="20"/>
          <w:szCs w:val="20"/>
        </w:rPr>
        <w:t>Monthly Review</w:t>
      </w:r>
      <w:r>
        <w:rPr>
          <w:rFonts w:ascii="Times" w:hAnsi="Times"/>
          <w:sz w:val="20"/>
          <w:szCs w:val="20"/>
        </w:rPr>
        <w:t xml:space="preserve">, </w:t>
      </w:r>
      <w:r w:rsidR="00A950A3">
        <w:rPr>
          <w:rFonts w:ascii="Times" w:hAnsi="Times"/>
          <w:sz w:val="20"/>
          <w:szCs w:val="20"/>
        </w:rPr>
        <w:t xml:space="preserve">available at </w:t>
      </w:r>
      <w:r w:rsidRPr="00E833BC">
        <w:rPr>
          <w:rFonts w:ascii="Times" w:hAnsi="Times"/>
          <w:sz w:val="20"/>
          <w:szCs w:val="20"/>
        </w:rPr>
        <w:t>https://monthlyreview.org/2016/04/01/marxs-theory-of-working-class-precariousness/</w:t>
      </w:r>
      <w:r>
        <w:rPr>
          <w:rFonts w:ascii="Times" w:hAnsi="Times"/>
          <w:sz w:val="20"/>
          <w:szCs w:val="20"/>
        </w:rPr>
        <w:t xml:space="preserve"> (16 January 2020).</w:t>
      </w:r>
    </w:p>
  </w:footnote>
  <w:footnote w:id="25">
    <w:p w14:paraId="50AF51D3" w14:textId="6B4DB74E" w:rsidR="00F60F82" w:rsidRPr="003371F3" w:rsidRDefault="00F60F82" w:rsidP="008B6B75">
      <w:pPr>
        <w:pStyle w:val="FootnoteText"/>
        <w:spacing w:line="480" w:lineRule="auto"/>
        <w:rPr>
          <w:lang w:val="en-GB"/>
        </w:rPr>
      </w:pPr>
      <w:r w:rsidRPr="003371F3">
        <w:rPr>
          <w:rStyle w:val="FootnoteReference"/>
          <w:lang w:val="en-GB"/>
        </w:rPr>
        <w:footnoteRef/>
      </w:r>
      <w:r w:rsidRPr="003371F3">
        <w:rPr>
          <w:lang w:val="en-GB"/>
        </w:rPr>
        <w:t xml:space="preserve"> </w:t>
      </w:r>
      <w:r w:rsidRPr="00C94012">
        <w:rPr>
          <w:lang w:val="en-GB"/>
        </w:rPr>
        <w:t>Marx</w:t>
      </w:r>
      <w:r>
        <w:rPr>
          <w:i/>
          <w:lang w:val="en-GB"/>
        </w:rPr>
        <w:t>,</w:t>
      </w:r>
      <w:r>
        <w:rPr>
          <w:lang w:val="en-GB"/>
        </w:rPr>
        <w:t xml:space="preserve"> above n 22, p 395; Heinrich, above n</w:t>
      </w:r>
      <w:r w:rsidRPr="003371F3">
        <w:rPr>
          <w:lang w:val="en-GB"/>
        </w:rPr>
        <w:t xml:space="preserve"> </w:t>
      </w:r>
      <w:r>
        <w:rPr>
          <w:lang w:val="en-GB"/>
        </w:rPr>
        <w:t>22, p</w:t>
      </w:r>
      <w:r w:rsidRPr="003371F3">
        <w:rPr>
          <w:lang w:val="en-GB"/>
        </w:rPr>
        <w:t xml:space="preserve"> 108.</w:t>
      </w:r>
    </w:p>
  </w:footnote>
  <w:footnote w:id="26">
    <w:p w14:paraId="70E2EBEF" w14:textId="77777777" w:rsidR="00F60F82" w:rsidRPr="003371F3" w:rsidRDefault="00F60F82" w:rsidP="008B6B75">
      <w:pPr>
        <w:pStyle w:val="FootnoteText"/>
        <w:spacing w:line="480" w:lineRule="auto"/>
        <w:rPr>
          <w:rFonts w:cs="Times"/>
          <w:lang w:val="en-GB"/>
        </w:rPr>
      </w:pPr>
      <w:r w:rsidRPr="003371F3">
        <w:rPr>
          <w:rStyle w:val="FootnoteReference"/>
          <w:rFonts w:cs="Times"/>
          <w:lang w:val="en-GB"/>
        </w:rPr>
        <w:footnoteRef/>
      </w:r>
      <w:r w:rsidRPr="003371F3">
        <w:rPr>
          <w:rFonts w:cs="Times"/>
          <w:lang w:val="en-GB"/>
        </w:rPr>
        <w:t xml:space="preserve"> </w:t>
      </w:r>
      <w:r w:rsidRPr="00C94012">
        <w:rPr>
          <w:rFonts w:cs="Times"/>
          <w:lang w:val="en-GB"/>
        </w:rPr>
        <w:t>Marx</w:t>
      </w:r>
      <w:r>
        <w:rPr>
          <w:rFonts w:cs="Times"/>
          <w:lang w:val="en-GB"/>
        </w:rPr>
        <w:t>, above n 22, p</w:t>
      </w:r>
      <w:r w:rsidRPr="003371F3">
        <w:rPr>
          <w:rFonts w:cs="Times"/>
          <w:lang w:val="en-GB"/>
        </w:rPr>
        <w:t xml:space="preserve"> 425.</w:t>
      </w:r>
    </w:p>
  </w:footnote>
  <w:footnote w:id="27">
    <w:p w14:paraId="4C821953" w14:textId="0FCBE937" w:rsidR="00F60F82" w:rsidRPr="009803E6" w:rsidRDefault="00F60F82" w:rsidP="008B6B75">
      <w:pPr>
        <w:pStyle w:val="FootnoteText"/>
        <w:spacing w:line="480" w:lineRule="auto"/>
        <w:jc w:val="both"/>
        <w:rPr>
          <w:lang w:val="en-GB"/>
        </w:rPr>
      </w:pPr>
      <w:r w:rsidRPr="003371F3">
        <w:rPr>
          <w:rStyle w:val="FootnoteReference"/>
          <w:lang w:val="en-GB"/>
        </w:rPr>
        <w:footnoteRef/>
      </w:r>
      <w:r>
        <w:rPr>
          <w:rFonts w:eastAsia="Times New Roman" w:cs="Arial"/>
          <w:color w:val="333333"/>
          <w:lang w:val="en-GB"/>
        </w:rPr>
        <w:t xml:space="preserve"> </w:t>
      </w:r>
      <w:r>
        <w:rPr>
          <w:rFonts w:eastAsia="Times New Roman" w:cs="Arial"/>
          <w:lang w:val="en-GB"/>
        </w:rPr>
        <w:t xml:space="preserve">A </w:t>
      </w:r>
      <w:proofErr w:type="spellStart"/>
      <w:r>
        <w:rPr>
          <w:rFonts w:eastAsia="Times New Roman" w:cs="Arial"/>
          <w:lang w:val="en-GB"/>
        </w:rPr>
        <w:t>Wigger</w:t>
      </w:r>
      <w:proofErr w:type="spellEnd"/>
      <w:r>
        <w:rPr>
          <w:rFonts w:eastAsia="Times New Roman" w:cs="Arial"/>
          <w:lang w:val="en-GB"/>
        </w:rPr>
        <w:t xml:space="preserve"> and H</w:t>
      </w:r>
      <w:r w:rsidRPr="009803E6">
        <w:rPr>
          <w:rFonts w:eastAsia="Times New Roman" w:cs="Arial"/>
          <w:lang w:val="en-GB"/>
        </w:rPr>
        <w:t xml:space="preserve"> Buch-Hansen ‘Competition, the Global Crisis and Alternatives to Neoliberal Capitalism: A Critical Engagement with Anarchism’ (2013) </w:t>
      </w:r>
      <w:r>
        <w:rPr>
          <w:rFonts w:eastAsia="Times New Roman" w:cs="Arial"/>
          <w:lang w:val="en-GB"/>
        </w:rPr>
        <w:t xml:space="preserve">35 </w:t>
      </w:r>
      <w:r w:rsidRPr="005D33C6">
        <w:rPr>
          <w:rFonts w:eastAsia="Times New Roman" w:cs="Arial"/>
          <w:lang w:val="en-GB"/>
        </w:rPr>
        <w:t>New Political Science</w:t>
      </w:r>
      <w:r>
        <w:rPr>
          <w:lang w:val="en-GB"/>
        </w:rPr>
        <w:t xml:space="preserve"> 604, p</w:t>
      </w:r>
      <w:r w:rsidRPr="009803E6">
        <w:rPr>
          <w:lang w:val="en-GB"/>
        </w:rPr>
        <w:t xml:space="preserve"> 608.</w:t>
      </w:r>
    </w:p>
  </w:footnote>
  <w:footnote w:id="28">
    <w:p w14:paraId="36125567" w14:textId="77777777" w:rsidR="00F60F82" w:rsidRDefault="00F60F82" w:rsidP="008B6B75">
      <w:pPr>
        <w:pStyle w:val="FootnoteText"/>
        <w:spacing w:line="480" w:lineRule="auto"/>
      </w:pPr>
      <w:r>
        <w:rPr>
          <w:rStyle w:val="FootnoteReference"/>
        </w:rPr>
        <w:footnoteRef/>
      </w:r>
      <w:r>
        <w:t xml:space="preserve"> </w:t>
      </w:r>
      <w:proofErr w:type="spellStart"/>
      <w:r>
        <w:t>Steinbaum</w:t>
      </w:r>
      <w:proofErr w:type="spellEnd"/>
      <w:r>
        <w:t>, above n 2, p 7.</w:t>
      </w:r>
    </w:p>
  </w:footnote>
  <w:footnote w:id="29">
    <w:p w14:paraId="7863187F" w14:textId="1CBE9CE7" w:rsidR="00F60F82" w:rsidRPr="003371F3" w:rsidRDefault="00F60F82" w:rsidP="008B6B75">
      <w:pPr>
        <w:pStyle w:val="FootnoteText"/>
        <w:spacing w:line="480" w:lineRule="auto"/>
        <w:rPr>
          <w:lang w:val="en-GB"/>
        </w:rPr>
      </w:pPr>
      <w:r w:rsidRPr="003371F3">
        <w:rPr>
          <w:rStyle w:val="FootnoteReference"/>
          <w:lang w:val="en-GB"/>
        </w:rPr>
        <w:footnoteRef/>
      </w:r>
      <w:r w:rsidRPr="003371F3">
        <w:rPr>
          <w:lang w:val="en-GB"/>
        </w:rPr>
        <w:t xml:space="preserve"> </w:t>
      </w:r>
      <w:r>
        <w:rPr>
          <w:rFonts w:cs="Times"/>
          <w:lang w:val="en-GB"/>
        </w:rPr>
        <w:t>K</w:t>
      </w:r>
      <w:r w:rsidRPr="003371F3">
        <w:rPr>
          <w:rFonts w:cs="Times"/>
          <w:lang w:val="en-GB"/>
        </w:rPr>
        <w:t xml:space="preserve"> Polanyi </w:t>
      </w:r>
      <w:r w:rsidRPr="003371F3">
        <w:rPr>
          <w:rFonts w:cs="Times"/>
          <w:i/>
          <w:lang w:val="en-GB"/>
        </w:rPr>
        <w:t>The Great Transformation</w:t>
      </w:r>
      <w:r>
        <w:rPr>
          <w:rFonts w:cs="Times"/>
          <w:lang w:val="en-GB"/>
        </w:rPr>
        <w:t xml:space="preserve"> (</w:t>
      </w:r>
      <w:r w:rsidRPr="003371F3">
        <w:rPr>
          <w:rFonts w:cs="Times"/>
          <w:lang w:val="en-GB"/>
        </w:rPr>
        <w:t>Boston</w:t>
      </w:r>
      <w:r>
        <w:rPr>
          <w:rFonts w:cs="Times"/>
          <w:lang w:val="en-GB"/>
        </w:rPr>
        <w:t xml:space="preserve">: </w:t>
      </w:r>
      <w:r w:rsidRPr="003371F3">
        <w:rPr>
          <w:rFonts w:cs="Times"/>
          <w:lang w:val="en-GB"/>
        </w:rPr>
        <w:t>Beacon Press,</w:t>
      </w:r>
      <w:r>
        <w:rPr>
          <w:rFonts w:cs="Times"/>
          <w:lang w:val="en-GB"/>
        </w:rPr>
        <w:t xml:space="preserve"> 2001</w:t>
      </w:r>
      <w:r w:rsidRPr="003371F3">
        <w:rPr>
          <w:rFonts w:cs="Times"/>
          <w:lang w:val="en-GB"/>
        </w:rPr>
        <w:t xml:space="preserve">), </w:t>
      </w:r>
      <w:r>
        <w:rPr>
          <w:rFonts w:cs="Times"/>
          <w:lang w:val="en-GB"/>
        </w:rPr>
        <w:t>p</w:t>
      </w:r>
      <w:r w:rsidRPr="003371F3">
        <w:rPr>
          <w:rFonts w:cs="Times"/>
          <w:lang w:val="en-GB"/>
        </w:rPr>
        <w:t xml:space="preserve"> 76.</w:t>
      </w:r>
    </w:p>
  </w:footnote>
  <w:footnote w:id="30">
    <w:p w14:paraId="0CAFB64D" w14:textId="327FA256" w:rsidR="00F60F82" w:rsidRPr="003371F3" w:rsidRDefault="00F60F82" w:rsidP="008B6B75">
      <w:pPr>
        <w:pStyle w:val="FootnoteText"/>
        <w:spacing w:line="480" w:lineRule="auto"/>
        <w:jc w:val="both"/>
        <w:rPr>
          <w:rFonts w:cs="Times"/>
          <w:lang w:val="en-GB"/>
        </w:rPr>
      </w:pPr>
      <w:r w:rsidRPr="003371F3">
        <w:rPr>
          <w:rStyle w:val="FootnoteReference"/>
          <w:rFonts w:cs="Times"/>
          <w:lang w:val="en-GB"/>
        </w:rPr>
        <w:footnoteRef/>
      </w:r>
      <w:r>
        <w:rPr>
          <w:rFonts w:cs="Times"/>
          <w:lang w:val="en-GB"/>
        </w:rPr>
        <w:t xml:space="preserve"> Polanyi, ibid. See also J</w:t>
      </w:r>
      <w:r w:rsidRPr="003371F3">
        <w:rPr>
          <w:rFonts w:cs="Times"/>
          <w:lang w:val="en-GB"/>
        </w:rPr>
        <w:t xml:space="preserve"> Paton ‘Labour as a (Fictitious) Commodity: Polanyi and the Capitalist “Market Economy”’ </w:t>
      </w:r>
      <w:r>
        <w:rPr>
          <w:rFonts w:cs="Times"/>
          <w:lang w:val="en-GB"/>
        </w:rPr>
        <w:t xml:space="preserve">(2010) 21 </w:t>
      </w:r>
      <w:r w:rsidRPr="00FB0083">
        <w:rPr>
          <w:rFonts w:cs="Times"/>
          <w:lang w:val="en-GB"/>
        </w:rPr>
        <w:t>The Economic and Labour Relations Review</w:t>
      </w:r>
      <w:r>
        <w:rPr>
          <w:rFonts w:cs="Times"/>
          <w:lang w:val="en-GB"/>
        </w:rPr>
        <w:t xml:space="preserve"> </w:t>
      </w:r>
      <w:r w:rsidRPr="003371F3">
        <w:rPr>
          <w:rFonts w:cs="Times"/>
          <w:lang w:val="en-GB"/>
        </w:rPr>
        <w:t>77.</w:t>
      </w:r>
    </w:p>
  </w:footnote>
  <w:footnote w:id="31">
    <w:p w14:paraId="4BF16CAE" w14:textId="019E90F5" w:rsidR="00F60F82" w:rsidRPr="003371F3" w:rsidRDefault="00F60F82" w:rsidP="008B6B75">
      <w:pPr>
        <w:pStyle w:val="FootnoteText"/>
        <w:spacing w:line="480" w:lineRule="auto"/>
        <w:jc w:val="both"/>
        <w:rPr>
          <w:rFonts w:cs="Times"/>
          <w:lang w:val="en-GB"/>
        </w:rPr>
      </w:pPr>
      <w:r w:rsidRPr="003371F3">
        <w:rPr>
          <w:rStyle w:val="FootnoteReference"/>
          <w:rFonts w:cs="Times"/>
          <w:lang w:val="en-GB"/>
        </w:rPr>
        <w:footnoteRef/>
      </w:r>
      <w:r>
        <w:rPr>
          <w:rFonts w:cs="Times"/>
          <w:lang w:val="en-GB"/>
        </w:rPr>
        <w:t xml:space="preserve"> A</w:t>
      </w:r>
      <w:r w:rsidRPr="003371F3">
        <w:rPr>
          <w:rFonts w:cs="Times"/>
          <w:lang w:val="en-GB"/>
        </w:rPr>
        <w:t xml:space="preserve"> Sen </w:t>
      </w:r>
      <w:r w:rsidRPr="00E560FE">
        <w:rPr>
          <w:rFonts w:cs="Times"/>
          <w:i/>
          <w:lang w:val="en-GB"/>
        </w:rPr>
        <w:t>Inequality Re-examined</w:t>
      </w:r>
      <w:r>
        <w:rPr>
          <w:rFonts w:cs="Times"/>
          <w:lang w:val="en-GB"/>
        </w:rPr>
        <w:t xml:space="preserve"> (Cambridge: </w:t>
      </w:r>
      <w:r w:rsidRPr="003371F3">
        <w:rPr>
          <w:rFonts w:cs="Times"/>
          <w:lang w:val="en-GB"/>
        </w:rPr>
        <w:t>Harvard University Press,</w:t>
      </w:r>
      <w:r>
        <w:rPr>
          <w:rFonts w:cs="Times"/>
          <w:lang w:val="en-GB"/>
        </w:rPr>
        <w:t xml:space="preserve"> 1992</w:t>
      </w:r>
      <w:r w:rsidRPr="003371F3">
        <w:rPr>
          <w:rFonts w:cs="Times"/>
          <w:lang w:val="en-GB"/>
        </w:rPr>
        <w:t xml:space="preserve">). </w:t>
      </w:r>
    </w:p>
  </w:footnote>
  <w:footnote w:id="32">
    <w:p w14:paraId="07E33EB5" w14:textId="147056F5" w:rsidR="00F60F82" w:rsidRPr="003371F3" w:rsidRDefault="00F60F82" w:rsidP="008B6B75">
      <w:pPr>
        <w:pStyle w:val="FootnoteText"/>
        <w:spacing w:line="480" w:lineRule="auto"/>
        <w:jc w:val="both"/>
        <w:rPr>
          <w:rFonts w:cs="Times"/>
          <w:lang w:val="en-GB"/>
        </w:rPr>
      </w:pPr>
      <w:r w:rsidRPr="003371F3">
        <w:rPr>
          <w:rStyle w:val="FootnoteReference"/>
          <w:rFonts w:cs="Times"/>
          <w:lang w:val="en-GB"/>
        </w:rPr>
        <w:footnoteRef/>
      </w:r>
      <w:r>
        <w:rPr>
          <w:rFonts w:cs="Times"/>
          <w:lang w:val="en-GB"/>
        </w:rPr>
        <w:t xml:space="preserve"> F E</w:t>
      </w:r>
      <w:r w:rsidRPr="003371F3">
        <w:rPr>
          <w:rFonts w:cs="Times"/>
          <w:lang w:val="en-GB"/>
        </w:rPr>
        <w:t xml:space="preserve"> </w:t>
      </w:r>
      <w:proofErr w:type="spellStart"/>
      <w:r w:rsidRPr="003371F3">
        <w:rPr>
          <w:rFonts w:cs="Times"/>
          <w:lang w:val="en-GB"/>
        </w:rPr>
        <w:t>Düzenli</w:t>
      </w:r>
      <w:proofErr w:type="spellEnd"/>
      <w:r w:rsidRPr="003371F3">
        <w:rPr>
          <w:rFonts w:cs="Times"/>
          <w:lang w:val="en-GB"/>
        </w:rPr>
        <w:t xml:space="preserve"> ‘Surplus-producing Labour as a Capability: a Marxian Contribution to Amartya Sen’s Revival of Classical Political Economy’ (2016) </w:t>
      </w:r>
      <w:r>
        <w:rPr>
          <w:rFonts w:cs="Times"/>
          <w:lang w:val="en-GB"/>
        </w:rPr>
        <w:t xml:space="preserve">40 </w:t>
      </w:r>
      <w:r w:rsidRPr="00F54143">
        <w:rPr>
          <w:rFonts w:cs="Times"/>
          <w:iCs/>
          <w:lang w:val="en-GB"/>
        </w:rPr>
        <w:t>Cambridge Journal of Economics</w:t>
      </w:r>
      <w:r>
        <w:rPr>
          <w:rFonts w:cs="Times"/>
          <w:lang w:val="en-GB"/>
        </w:rPr>
        <w:t xml:space="preserve"> 1019</w:t>
      </w:r>
      <w:r w:rsidRPr="003371F3">
        <w:rPr>
          <w:rFonts w:cs="Times"/>
          <w:lang w:val="en-GB"/>
        </w:rPr>
        <w:t>.</w:t>
      </w:r>
    </w:p>
  </w:footnote>
  <w:footnote w:id="33">
    <w:p w14:paraId="33E96405" w14:textId="7B741AD4" w:rsidR="00F60F82" w:rsidRPr="003371F3" w:rsidRDefault="00F60F82" w:rsidP="008B6B75">
      <w:pPr>
        <w:pStyle w:val="FootnoteText"/>
        <w:spacing w:line="480" w:lineRule="auto"/>
        <w:jc w:val="both"/>
        <w:rPr>
          <w:lang w:val="en-GB"/>
        </w:rPr>
      </w:pPr>
      <w:r w:rsidRPr="003371F3">
        <w:rPr>
          <w:rStyle w:val="FootnoteReference"/>
          <w:lang w:val="en-GB"/>
        </w:rPr>
        <w:footnoteRef/>
      </w:r>
      <w:r>
        <w:rPr>
          <w:lang w:val="en-GB"/>
        </w:rPr>
        <w:t xml:space="preserve"> S</w:t>
      </w:r>
      <w:r w:rsidRPr="003371F3">
        <w:rPr>
          <w:lang w:val="en-GB"/>
        </w:rPr>
        <w:t xml:space="preserve"> </w:t>
      </w:r>
      <w:proofErr w:type="spellStart"/>
      <w:r w:rsidRPr="003371F3">
        <w:rPr>
          <w:lang w:val="en-GB"/>
        </w:rPr>
        <w:t>Knafo</w:t>
      </w:r>
      <w:proofErr w:type="spellEnd"/>
      <w:r w:rsidRPr="003371F3">
        <w:rPr>
          <w:lang w:val="en-GB"/>
        </w:rPr>
        <w:t xml:space="preserve"> ‘The Fetishizing Subject in Marx’s Capital’ (2002) </w:t>
      </w:r>
      <w:r>
        <w:rPr>
          <w:lang w:val="en-GB"/>
        </w:rPr>
        <w:t xml:space="preserve">26 </w:t>
      </w:r>
      <w:r w:rsidRPr="00F54143">
        <w:rPr>
          <w:iCs/>
          <w:lang w:val="en-GB"/>
        </w:rPr>
        <w:t>Capital &amp; Class</w:t>
      </w:r>
      <w:r>
        <w:rPr>
          <w:lang w:val="en-GB"/>
        </w:rPr>
        <w:t xml:space="preserve"> 145</w:t>
      </w:r>
      <w:r w:rsidRPr="003371F3">
        <w:rPr>
          <w:lang w:val="en-GB"/>
        </w:rPr>
        <w:t>.</w:t>
      </w:r>
    </w:p>
  </w:footnote>
  <w:footnote w:id="34">
    <w:p w14:paraId="1BAEEB7C" w14:textId="2BF3E574" w:rsidR="00F60F82" w:rsidRPr="003371F3" w:rsidRDefault="00F60F82" w:rsidP="008B6B75">
      <w:pPr>
        <w:pStyle w:val="FootnoteText"/>
        <w:spacing w:line="480" w:lineRule="auto"/>
        <w:jc w:val="both"/>
        <w:rPr>
          <w:rFonts w:cs="Times"/>
          <w:lang w:val="en-GB"/>
        </w:rPr>
      </w:pPr>
      <w:r w:rsidRPr="003371F3">
        <w:rPr>
          <w:rStyle w:val="FootnoteReference"/>
          <w:rFonts w:cs="Times"/>
          <w:lang w:val="en-GB"/>
        </w:rPr>
        <w:footnoteRef/>
      </w:r>
      <w:r>
        <w:rPr>
          <w:rFonts w:cs="Times"/>
          <w:lang w:val="en-GB"/>
        </w:rPr>
        <w:t xml:space="preserve"> D</w:t>
      </w:r>
      <w:r w:rsidRPr="003371F3">
        <w:rPr>
          <w:rFonts w:cs="Times"/>
          <w:lang w:val="en-GB"/>
        </w:rPr>
        <w:t xml:space="preserve"> Harvey </w:t>
      </w:r>
      <w:proofErr w:type="gramStart"/>
      <w:r w:rsidRPr="003371F3">
        <w:rPr>
          <w:rFonts w:cs="Times"/>
          <w:i/>
          <w:lang w:val="en-GB"/>
        </w:rPr>
        <w:t>A</w:t>
      </w:r>
      <w:proofErr w:type="gramEnd"/>
      <w:r w:rsidRPr="003371F3">
        <w:rPr>
          <w:rFonts w:cs="Times"/>
          <w:i/>
          <w:lang w:val="en-GB"/>
        </w:rPr>
        <w:t xml:space="preserve"> Companion to Marx’s Capital</w:t>
      </w:r>
      <w:r>
        <w:rPr>
          <w:rFonts w:cs="Times"/>
          <w:lang w:val="en-GB"/>
        </w:rPr>
        <w:t xml:space="preserve"> (London: </w:t>
      </w:r>
      <w:r w:rsidRPr="003371F3">
        <w:rPr>
          <w:rFonts w:cs="Times"/>
          <w:lang w:val="en-GB"/>
        </w:rPr>
        <w:t>Verso</w:t>
      </w:r>
      <w:r>
        <w:rPr>
          <w:rFonts w:cs="Times"/>
          <w:lang w:val="en-GB"/>
        </w:rPr>
        <w:t>, 2013</w:t>
      </w:r>
      <w:r w:rsidRPr="003371F3">
        <w:rPr>
          <w:rFonts w:cs="Times"/>
          <w:lang w:val="en-GB"/>
        </w:rPr>
        <w:t xml:space="preserve">), </w:t>
      </w:r>
      <w:r>
        <w:rPr>
          <w:rFonts w:cs="Times"/>
          <w:lang w:val="en-GB"/>
        </w:rPr>
        <w:t>p</w:t>
      </w:r>
      <w:r w:rsidRPr="003371F3">
        <w:rPr>
          <w:rFonts w:cs="Times"/>
          <w:lang w:val="en-GB"/>
        </w:rPr>
        <w:t xml:space="preserve"> 40.</w:t>
      </w:r>
    </w:p>
  </w:footnote>
  <w:footnote w:id="35">
    <w:p w14:paraId="208CBB75" w14:textId="77777777" w:rsidR="00F60F82" w:rsidRPr="003371F3" w:rsidRDefault="00F60F82" w:rsidP="008B6B75">
      <w:pPr>
        <w:pStyle w:val="FootnoteText"/>
        <w:spacing w:line="480" w:lineRule="auto"/>
        <w:jc w:val="both"/>
        <w:rPr>
          <w:rFonts w:cs="Times"/>
          <w:lang w:val="en-GB"/>
        </w:rPr>
      </w:pPr>
      <w:r w:rsidRPr="003371F3">
        <w:rPr>
          <w:rStyle w:val="FootnoteReference"/>
          <w:rFonts w:cs="Times"/>
          <w:lang w:val="en-GB"/>
        </w:rPr>
        <w:footnoteRef/>
      </w:r>
      <w:r w:rsidRPr="003371F3">
        <w:rPr>
          <w:rFonts w:cs="Times"/>
          <w:lang w:val="en-GB"/>
        </w:rPr>
        <w:t xml:space="preserve"> </w:t>
      </w:r>
      <w:r w:rsidRPr="00160359">
        <w:rPr>
          <w:rFonts w:cs="Times"/>
          <w:lang w:val="en-GB"/>
        </w:rPr>
        <w:t>Marx</w:t>
      </w:r>
      <w:r>
        <w:rPr>
          <w:rFonts w:cs="Times"/>
          <w:lang w:val="en-GB"/>
        </w:rPr>
        <w:t>, above n</w:t>
      </w:r>
      <w:r w:rsidRPr="003371F3">
        <w:rPr>
          <w:rFonts w:cs="Times"/>
          <w:lang w:val="en-GB"/>
        </w:rPr>
        <w:t xml:space="preserve"> </w:t>
      </w:r>
      <w:r>
        <w:rPr>
          <w:rFonts w:cs="Times"/>
          <w:lang w:val="en-GB"/>
        </w:rPr>
        <w:t>22, p</w:t>
      </w:r>
      <w:r w:rsidRPr="003371F3">
        <w:rPr>
          <w:rFonts w:cs="Times"/>
          <w:lang w:val="en-GB"/>
        </w:rPr>
        <w:t xml:space="preserve"> 48.</w:t>
      </w:r>
    </w:p>
  </w:footnote>
  <w:footnote w:id="36">
    <w:p w14:paraId="52002EF3" w14:textId="0ABE90CD" w:rsidR="00F60F82" w:rsidRPr="005B37F4" w:rsidRDefault="00F60F82" w:rsidP="008B6B75">
      <w:pPr>
        <w:pStyle w:val="FootnoteText"/>
        <w:spacing w:line="480" w:lineRule="auto"/>
        <w:jc w:val="both"/>
        <w:rPr>
          <w:lang w:val="en-GB"/>
        </w:rPr>
      </w:pPr>
      <w:r w:rsidRPr="003371F3">
        <w:rPr>
          <w:rStyle w:val="FootnoteReference"/>
          <w:lang w:val="en-GB"/>
        </w:rPr>
        <w:footnoteRef/>
      </w:r>
      <w:r>
        <w:rPr>
          <w:lang w:val="en-GB"/>
        </w:rPr>
        <w:t xml:space="preserve"> A</w:t>
      </w:r>
      <w:r w:rsidRPr="003371F3">
        <w:rPr>
          <w:lang w:val="en-GB"/>
        </w:rPr>
        <w:t xml:space="preserve"> Smith </w:t>
      </w:r>
      <w:r w:rsidRPr="005B37F4">
        <w:rPr>
          <w:rFonts w:eastAsia="Times New Roman" w:cs="Arial"/>
          <w:i/>
          <w:lang w:val="en-GB"/>
        </w:rPr>
        <w:t>Wealth of Nations</w:t>
      </w:r>
      <w:r>
        <w:rPr>
          <w:rFonts w:eastAsia="Times New Roman" w:cs="Arial"/>
          <w:lang w:val="en-GB"/>
        </w:rPr>
        <w:t xml:space="preserve"> (London: </w:t>
      </w:r>
      <w:r w:rsidRPr="005B37F4">
        <w:rPr>
          <w:rFonts w:eastAsia="Times New Roman" w:cs="Arial"/>
          <w:lang w:val="en-GB"/>
        </w:rPr>
        <w:t>Ward</w:t>
      </w:r>
      <w:r>
        <w:rPr>
          <w:rFonts w:eastAsia="Times New Roman" w:cs="Arial"/>
          <w:lang w:val="en-GB"/>
        </w:rPr>
        <w:t>,</w:t>
      </w:r>
      <w:r w:rsidRPr="005B37F4">
        <w:rPr>
          <w:rFonts w:eastAsia="Times New Roman" w:cs="Arial"/>
          <w:lang w:val="en-GB"/>
        </w:rPr>
        <w:t xml:space="preserve"> Lock </w:t>
      </w:r>
      <w:r>
        <w:rPr>
          <w:rFonts w:eastAsia="Times New Roman" w:cs="Arial"/>
          <w:lang w:val="en-GB"/>
        </w:rPr>
        <w:t>&amp;</w:t>
      </w:r>
      <w:r w:rsidRPr="005B37F4">
        <w:rPr>
          <w:rFonts w:eastAsia="Times New Roman" w:cs="Arial"/>
          <w:lang w:val="en-GB"/>
        </w:rPr>
        <w:t xml:space="preserve"> Co.</w:t>
      </w:r>
      <w:r>
        <w:rPr>
          <w:rFonts w:eastAsia="Times New Roman" w:cs="Arial"/>
          <w:lang w:val="en-GB"/>
        </w:rPr>
        <w:t>, 1893), pp</w:t>
      </w:r>
      <w:r w:rsidRPr="005B37F4">
        <w:rPr>
          <w:rFonts w:eastAsia="Times New Roman" w:cs="Arial"/>
          <w:lang w:val="en-GB"/>
        </w:rPr>
        <w:t xml:space="preserve"> 52, 56 and 64.</w:t>
      </w:r>
    </w:p>
  </w:footnote>
  <w:footnote w:id="37">
    <w:p w14:paraId="6C160A00" w14:textId="7C04883B" w:rsidR="00F60F82" w:rsidRPr="003371F3" w:rsidRDefault="00F60F82" w:rsidP="008B6B75">
      <w:pPr>
        <w:pStyle w:val="FootnoteText"/>
        <w:spacing w:line="480" w:lineRule="auto"/>
        <w:jc w:val="both"/>
        <w:rPr>
          <w:lang w:val="en-GB"/>
        </w:rPr>
      </w:pPr>
      <w:r w:rsidRPr="003371F3">
        <w:rPr>
          <w:rStyle w:val="FootnoteReference"/>
          <w:lang w:val="en-GB"/>
        </w:rPr>
        <w:footnoteRef/>
      </w:r>
      <w:r>
        <w:rPr>
          <w:lang w:val="en-GB"/>
        </w:rPr>
        <w:t xml:space="preserve"> A</w:t>
      </w:r>
      <w:r w:rsidRPr="003371F3">
        <w:rPr>
          <w:lang w:val="en-GB"/>
        </w:rPr>
        <w:t xml:space="preserve"> Marshall </w:t>
      </w:r>
      <w:r w:rsidRPr="003371F3">
        <w:rPr>
          <w:i/>
          <w:lang w:val="en-GB"/>
        </w:rPr>
        <w:t>Principles of Economics</w:t>
      </w:r>
      <w:r>
        <w:rPr>
          <w:lang w:val="en-GB"/>
        </w:rPr>
        <w:t xml:space="preserve"> (London: </w:t>
      </w:r>
      <w:r w:rsidRPr="003371F3">
        <w:rPr>
          <w:lang w:val="en-GB"/>
        </w:rPr>
        <w:t>Macmillan</w:t>
      </w:r>
      <w:r>
        <w:rPr>
          <w:lang w:val="en-GB"/>
        </w:rPr>
        <w:t>, 1920</w:t>
      </w:r>
      <w:r w:rsidRPr="003371F3">
        <w:rPr>
          <w:lang w:val="en-GB"/>
        </w:rPr>
        <w:t xml:space="preserve">), </w:t>
      </w:r>
      <w:r>
        <w:rPr>
          <w:lang w:val="en-GB"/>
        </w:rPr>
        <w:t>p</w:t>
      </w:r>
      <w:r w:rsidRPr="003371F3">
        <w:rPr>
          <w:lang w:val="en-GB"/>
        </w:rPr>
        <w:t xml:space="preserve"> 471.</w:t>
      </w:r>
    </w:p>
  </w:footnote>
  <w:footnote w:id="38">
    <w:p w14:paraId="248A8728" w14:textId="5E6B53C1" w:rsidR="00F60F82" w:rsidRPr="003371F3" w:rsidRDefault="00F60F82" w:rsidP="008B6B75">
      <w:pPr>
        <w:pStyle w:val="FootnoteText"/>
        <w:spacing w:line="480" w:lineRule="auto"/>
        <w:jc w:val="both"/>
        <w:rPr>
          <w:lang w:val="en-GB"/>
        </w:rPr>
      </w:pPr>
      <w:r w:rsidRPr="003371F3">
        <w:rPr>
          <w:rStyle w:val="FootnoteReference"/>
          <w:lang w:val="en-GB"/>
        </w:rPr>
        <w:footnoteRef/>
      </w:r>
      <w:r>
        <w:rPr>
          <w:lang w:val="en-GB"/>
        </w:rPr>
        <w:t xml:space="preserve"> A C</w:t>
      </w:r>
      <w:r w:rsidRPr="003371F3">
        <w:rPr>
          <w:lang w:val="en-GB"/>
        </w:rPr>
        <w:t xml:space="preserve"> Pigou </w:t>
      </w:r>
      <w:r w:rsidRPr="003371F3">
        <w:rPr>
          <w:i/>
          <w:lang w:val="en-GB"/>
        </w:rPr>
        <w:t>The Economics of Welfare</w:t>
      </w:r>
      <w:r>
        <w:rPr>
          <w:lang w:val="en-GB"/>
        </w:rPr>
        <w:t xml:space="preserve"> (</w:t>
      </w:r>
      <w:r w:rsidRPr="003371F3">
        <w:rPr>
          <w:lang w:val="en-GB"/>
        </w:rPr>
        <w:t>New York</w:t>
      </w:r>
      <w:r>
        <w:rPr>
          <w:lang w:val="en-GB"/>
        </w:rPr>
        <w:t xml:space="preserve">: </w:t>
      </w:r>
      <w:r w:rsidRPr="003371F3">
        <w:rPr>
          <w:lang w:val="en-GB"/>
        </w:rPr>
        <w:t>Macmillan,</w:t>
      </w:r>
      <w:r>
        <w:rPr>
          <w:lang w:val="en-GB"/>
        </w:rPr>
        <w:t xml:space="preserve"> 1923</w:t>
      </w:r>
      <w:r w:rsidRPr="003371F3">
        <w:rPr>
          <w:lang w:val="en-GB"/>
        </w:rPr>
        <w:t xml:space="preserve">), </w:t>
      </w:r>
      <w:r>
        <w:rPr>
          <w:lang w:val="en-GB"/>
        </w:rPr>
        <w:t>p</w:t>
      </w:r>
      <w:r w:rsidRPr="003371F3">
        <w:rPr>
          <w:lang w:val="en-GB"/>
        </w:rPr>
        <w:t xml:space="preserve"> 549. </w:t>
      </w:r>
    </w:p>
  </w:footnote>
  <w:footnote w:id="39">
    <w:p w14:paraId="716FC565" w14:textId="5678EF93" w:rsidR="00F60F82" w:rsidRPr="003371F3" w:rsidRDefault="00F60F82" w:rsidP="008B6B75">
      <w:pPr>
        <w:pStyle w:val="FootnoteText"/>
        <w:spacing w:line="480" w:lineRule="auto"/>
        <w:jc w:val="both"/>
        <w:rPr>
          <w:lang w:val="en-GB"/>
        </w:rPr>
      </w:pPr>
      <w:r w:rsidRPr="003371F3">
        <w:rPr>
          <w:rStyle w:val="FootnoteReference"/>
          <w:lang w:val="en-GB"/>
        </w:rPr>
        <w:footnoteRef/>
      </w:r>
      <w:r w:rsidRPr="003371F3">
        <w:rPr>
          <w:lang w:val="en-GB"/>
        </w:rPr>
        <w:t xml:space="preserve"> Pigou, </w:t>
      </w:r>
      <w:r w:rsidRPr="00F54143">
        <w:rPr>
          <w:iCs/>
          <w:lang w:val="en-GB"/>
        </w:rPr>
        <w:t>ibid</w:t>
      </w:r>
      <w:r w:rsidRPr="00C76C31">
        <w:rPr>
          <w:iCs/>
          <w:lang w:val="en-GB"/>
        </w:rPr>
        <w:t>.,</w:t>
      </w:r>
      <w:r>
        <w:rPr>
          <w:lang w:val="en-GB"/>
        </w:rPr>
        <w:t xml:space="preserve"> p 557; see also J</w:t>
      </w:r>
      <w:r w:rsidRPr="003371F3">
        <w:rPr>
          <w:lang w:val="en-GB"/>
        </w:rPr>
        <w:t xml:space="preserve"> Robinson </w:t>
      </w:r>
      <w:r w:rsidRPr="003371F3">
        <w:rPr>
          <w:i/>
          <w:lang w:val="en-GB"/>
        </w:rPr>
        <w:t>Economics of Imperfect Competition</w:t>
      </w:r>
      <w:r w:rsidRPr="003371F3">
        <w:rPr>
          <w:lang w:val="en-GB"/>
        </w:rPr>
        <w:t xml:space="preserve"> (</w:t>
      </w:r>
      <w:r>
        <w:rPr>
          <w:lang w:val="en-GB"/>
        </w:rPr>
        <w:t xml:space="preserve">London: </w:t>
      </w:r>
      <w:r w:rsidRPr="003371F3">
        <w:rPr>
          <w:lang w:val="en-GB"/>
        </w:rPr>
        <w:t>Macmillan</w:t>
      </w:r>
      <w:r>
        <w:rPr>
          <w:lang w:val="en-GB"/>
        </w:rPr>
        <w:t xml:space="preserve">, 1933), p </w:t>
      </w:r>
      <w:r w:rsidRPr="003371F3">
        <w:rPr>
          <w:lang w:val="en-GB"/>
        </w:rPr>
        <w:t>282.</w:t>
      </w:r>
    </w:p>
  </w:footnote>
  <w:footnote w:id="40">
    <w:p w14:paraId="67F4B8E9" w14:textId="40E15FD1" w:rsidR="00F60F82" w:rsidRPr="003371F3" w:rsidRDefault="00F60F82" w:rsidP="008B6B75">
      <w:pPr>
        <w:pStyle w:val="NoSpacing"/>
        <w:spacing w:line="480" w:lineRule="auto"/>
        <w:jc w:val="both"/>
        <w:rPr>
          <w:rFonts w:ascii="Times" w:hAnsi="Times"/>
          <w:sz w:val="20"/>
          <w:szCs w:val="20"/>
        </w:rPr>
      </w:pPr>
      <w:r w:rsidRPr="003371F3">
        <w:rPr>
          <w:rStyle w:val="FootnoteReference"/>
          <w:rFonts w:ascii="Times" w:hAnsi="Times"/>
          <w:sz w:val="20"/>
          <w:szCs w:val="20"/>
        </w:rPr>
        <w:footnoteRef/>
      </w:r>
      <w:r>
        <w:rPr>
          <w:rFonts w:ascii="Times" w:hAnsi="Times"/>
          <w:sz w:val="20"/>
          <w:szCs w:val="20"/>
        </w:rPr>
        <w:t xml:space="preserve"> J </w:t>
      </w:r>
      <w:proofErr w:type="spellStart"/>
      <w:r>
        <w:rPr>
          <w:rFonts w:ascii="Times" w:hAnsi="Times"/>
          <w:sz w:val="20"/>
          <w:szCs w:val="20"/>
        </w:rPr>
        <w:t>Persky</w:t>
      </w:r>
      <w:proofErr w:type="spellEnd"/>
      <w:r>
        <w:rPr>
          <w:rFonts w:ascii="Times" w:hAnsi="Times"/>
          <w:sz w:val="20"/>
          <w:szCs w:val="20"/>
        </w:rPr>
        <w:t xml:space="preserve"> and H</w:t>
      </w:r>
      <w:r w:rsidRPr="003371F3">
        <w:rPr>
          <w:rFonts w:ascii="Times" w:hAnsi="Times"/>
          <w:sz w:val="20"/>
          <w:szCs w:val="20"/>
        </w:rPr>
        <w:t xml:space="preserve"> Tsang ‘Pigouvian Exploitation of Labour’ (1974) </w:t>
      </w:r>
      <w:r>
        <w:rPr>
          <w:rFonts w:ascii="Times" w:hAnsi="Times"/>
          <w:sz w:val="20"/>
          <w:szCs w:val="20"/>
        </w:rPr>
        <w:t xml:space="preserve">56 </w:t>
      </w:r>
      <w:r w:rsidRPr="00C84620">
        <w:rPr>
          <w:rFonts w:ascii="Times" w:hAnsi="Times"/>
          <w:sz w:val="20"/>
          <w:szCs w:val="20"/>
        </w:rPr>
        <w:t xml:space="preserve">The Review of Economics of Statistics </w:t>
      </w:r>
      <w:r>
        <w:rPr>
          <w:rFonts w:ascii="Times" w:hAnsi="Times"/>
          <w:sz w:val="20"/>
          <w:szCs w:val="20"/>
        </w:rPr>
        <w:t>52</w:t>
      </w:r>
      <w:r w:rsidRPr="003371F3">
        <w:rPr>
          <w:rFonts w:ascii="Times" w:hAnsi="Times"/>
          <w:sz w:val="20"/>
          <w:szCs w:val="20"/>
        </w:rPr>
        <w:t xml:space="preserve">, </w:t>
      </w:r>
      <w:r w:rsidR="001C0160">
        <w:rPr>
          <w:rFonts w:ascii="Times" w:hAnsi="Times"/>
          <w:sz w:val="20"/>
          <w:szCs w:val="20"/>
        </w:rPr>
        <w:t>p</w:t>
      </w:r>
      <w:r w:rsidRPr="003371F3">
        <w:rPr>
          <w:rFonts w:ascii="Times" w:hAnsi="Times"/>
          <w:sz w:val="20"/>
          <w:szCs w:val="20"/>
        </w:rPr>
        <w:t xml:space="preserve"> 52.</w:t>
      </w:r>
    </w:p>
  </w:footnote>
  <w:footnote w:id="41">
    <w:p w14:paraId="3266C159" w14:textId="3CC2B17B" w:rsidR="00F60F82" w:rsidRPr="003371F3" w:rsidRDefault="00F60F82" w:rsidP="008B6B75">
      <w:pPr>
        <w:pStyle w:val="FootnoteText"/>
        <w:spacing w:line="480" w:lineRule="auto"/>
        <w:jc w:val="both"/>
        <w:rPr>
          <w:lang w:val="en-GB"/>
        </w:rPr>
      </w:pPr>
      <w:r w:rsidRPr="003371F3">
        <w:rPr>
          <w:rStyle w:val="FootnoteReference"/>
          <w:lang w:val="en-GB"/>
        </w:rPr>
        <w:footnoteRef/>
      </w:r>
      <w:r>
        <w:rPr>
          <w:lang w:val="en-GB"/>
        </w:rPr>
        <w:t xml:space="preserve"> A</w:t>
      </w:r>
      <w:r w:rsidRPr="003371F3">
        <w:rPr>
          <w:lang w:val="en-GB"/>
        </w:rPr>
        <w:t xml:space="preserve"> Manning </w:t>
      </w:r>
      <w:r w:rsidRPr="003371F3">
        <w:rPr>
          <w:i/>
          <w:lang w:val="en-GB"/>
        </w:rPr>
        <w:t xml:space="preserve">Monopsony in Motion: Imperfect Competition in </w:t>
      </w:r>
      <w:proofErr w:type="spellStart"/>
      <w:r w:rsidRPr="003371F3">
        <w:rPr>
          <w:i/>
          <w:lang w:val="en-GB"/>
        </w:rPr>
        <w:t>Labor</w:t>
      </w:r>
      <w:proofErr w:type="spellEnd"/>
      <w:r w:rsidRPr="003371F3">
        <w:rPr>
          <w:i/>
          <w:lang w:val="en-GB"/>
        </w:rPr>
        <w:t xml:space="preserve"> Markets</w:t>
      </w:r>
      <w:r>
        <w:rPr>
          <w:lang w:val="en-GB"/>
        </w:rPr>
        <w:t xml:space="preserve"> (Princeton: </w:t>
      </w:r>
      <w:r w:rsidRPr="003371F3">
        <w:rPr>
          <w:lang w:val="en-GB"/>
        </w:rPr>
        <w:t xml:space="preserve">Princeton </w:t>
      </w:r>
      <w:r>
        <w:rPr>
          <w:lang w:val="en-GB"/>
        </w:rPr>
        <w:t xml:space="preserve">University Press, 2005), p </w:t>
      </w:r>
      <w:r w:rsidRPr="003371F3">
        <w:rPr>
          <w:lang w:val="en-GB"/>
        </w:rPr>
        <w:t>4.</w:t>
      </w:r>
    </w:p>
  </w:footnote>
  <w:footnote w:id="42">
    <w:p w14:paraId="2B145318" w14:textId="77777777" w:rsidR="00F60F82" w:rsidRDefault="00F60F82" w:rsidP="008B6B75">
      <w:pPr>
        <w:pStyle w:val="FootnoteText"/>
        <w:spacing w:line="480" w:lineRule="auto"/>
      </w:pPr>
      <w:r>
        <w:rPr>
          <w:rStyle w:val="FootnoteReference"/>
        </w:rPr>
        <w:footnoteRef/>
      </w:r>
      <w:r>
        <w:t xml:space="preserve"> </w:t>
      </w:r>
      <w:proofErr w:type="spellStart"/>
      <w:r>
        <w:t>Tronsor</w:t>
      </w:r>
      <w:proofErr w:type="spellEnd"/>
      <w:r>
        <w:t>, above n 2, p 182.</w:t>
      </w:r>
    </w:p>
  </w:footnote>
  <w:footnote w:id="43">
    <w:p w14:paraId="45C47870" w14:textId="198D14CE" w:rsidR="00F60F82" w:rsidRPr="003371F3" w:rsidRDefault="00F60F82" w:rsidP="008B6B75">
      <w:pPr>
        <w:pStyle w:val="FootnoteText"/>
        <w:spacing w:line="480" w:lineRule="auto"/>
        <w:jc w:val="both"/>
        <w:rPr>
          <w:lang w:val="en-GB"/>
        </w:rPr>
      </w:pPr>
      <w:r w:rsidRPr="003371F3">
        <w:rPr>
          <w:rStyle w:val="FootnoteReference"/>
          <w:lang w:val="en-GB"/>
        </w:rPr>
        <w:footnoteRef/>
      </w:r>
      <w:r>
        <w:rPr>
          <w:lang w:val="en-GB"/>
        </w:rPr>
        <w:t xml:space="preserve"> D</w:t>
      </w:r>
      <w:r w:rsidRPr="003371F3">
        <w:rPr>
          <w:lang w:val="en-GB"/>
        </w:rPr>
        <w:t xml:space="preserve"> Coldwell ‘Pure Neoclassical Exploitation and the Level of Wages’ (1990)</w:t>
      </w:r>
      <w:r>
        <w:rPr>
          <w:lang w:val="en-GB"/>
        </w:rPr>
        <w:t xml:space="preserve"> 49</w:t>
      </w:r>
      <w:r w:rsidRPr="003371F3">
        <w:rPr>
          <w:lang w:val="en-GB"/>
        </w:rPr>
        <w:t xml:space="preserve"> </w:t>
      </w:r>
      <w:r w:rsidRPr="00F54143">
        <w:rPr>
          <w:iCs/>
          <w:lang w:val="en-GB"/>
        </w:rPr>
        <w:t>American Journal of Economics and Sociology</w:t>
      </w:r>
      <w:r>
        <w:rPr>
          <w:lang w:val="en-GB"/>
        </w:rPr>
        <w:t xml:space="preserve"> 21, p</w:t>
      </w:r>
      <w:r w:rsidRPr="003371F3">
        <w:rPr>
          <w:lang w:val="en-GB"/>
        </w:rPr>
        <w:t xml:space="preserve"> 27. </w:t>
      </w:r>
    </w:p>
  </w:footnote>
  <w:footnote w:id="44">
    <w:p w14:paraId="1D4D4DC9" w14:textId="15AECCB9" w:rsidR="00F60F82" w:rsidRPr="003371F3" w:rsidRDefault="00F60F82" w:rsidP="008B6B75">
      <w:pPr>
        <w:pStyle w:val="FootnoteText"/>
        <w:spacing w:line="480" w:lineRule="auto"/>
        <w:jc w:val="both"/>
        <w:rPr>
          <w:lang w:val="en-GB"/>
        </w:rPr>
      </w:pPr>
      <w:r w:rsidRPr="003371F3">
        <w:rPr>
          <w:rStyle w:val="FootnoteReference"/>
          <w:lang w:val="en-GB"/>
        </w:rPr>
        <w:footnoteRef/>
      </w:r>
      <w:r w:rsidRPr="003371F3">
        <w:rPr>
          <w:lang w:val="en-GB"/>
        </w:rPr>
        <w:t xml:space="preserve"> Manning, </w:t>
      </w:r>
      <w:r>
        <w:rPr>
          <w:lang w:val="en-GB"/>
        </w:rPr>
        <w:t>above n 41, p 4. See also W M Boal</w:t>
      </w:r>
      <w:r w:rsidR="001C0160">
        <w:rPr>
          <w:lang w:val="en-GB"/>
        </w:rPr>
        <w:t xml:space="preserve"> and</w:t>
      </w:r>
      <w:r>
        <w:rPr>
          <w:lang w:val="en-GB"/>
        </w:rPr>
        <w:t xml:space="preserve"> M R</w:t>
      </w:r>
      <w:r w:rsidRPr="003371F3">
        <w:rPr>
          <w:lang w:val="en-GB"/>
        </w:rPr>
        <w:t xml:space="preserve"> Ransom ‘Monopsony in the </w:t>
      </w:r>
      <w:proofErr w:type="spellStart"/>
      <w:r w:rsidRPr="003371F3">
        <w:rPr>
          <w:lang w:val="en-GB"/>
        </w:rPr>
        <w:t>Labor</w:t>
      </w:r>
      <w:proofErr w:type="spellEnd"/>
      <w:r w:rsidRPr="003371F3">
        <w:rPr>
          <w:lang w:val="en-GB"/>
        </w:rPr>
        <w:t xml:space="preserve"> Market’ (1997) </w:t>
      </w:r>
      <w:r>
        <w:rPr>
          <w:lang w:val="en-GB"/>
        </w:rPr>
        <w:t xml:space="preserve">35 </w:t>
      </w:r>
      <w:r w:rsidRPr="00F54143">
        <w:rPr>
          <w:iCs/>
          <w:lang w:val="en-GB"/>
        </w:rPr>
        <w:t>Journal of Economic Literature</w:t>
      </w:r>
      <w:r w:rsidRPr="00C76C31">
        <w:rPr>
          <w:iCs/>
          <w:lang w:val="en-GB"/>
        </w:rPr>
        <w:t xml:space="preserve"> </w:t>
      </w:r>
      <w:r>
        <w:rPr>
          <w:lang w:val="en-GB"/>
        </w:rPr>
        <w:t>86</w:t>
      </w:r>
      <w:r w:rsidRPr="003371F3">
        <w:rPr>
          <w:lang w:val="en-GB"/>
        </w:rPr>
        <w:t>.</w:t>
      </w:r>
    </w:p>
  </w:footnote>
  <w:footnote w:id="45">
    <w:p w14:paraId="39ADDD7B" w14:textId="42957245" w:rsidR="00F60F82" w:rsidRPr="003371F3" w:rsidRDefault="00F60F82" w:rsidP="008B6B75">
      <w:pPr>
        <w:pStyle w:val="FootnoteText"/>
        <w:spacing w:line="480" w:lineRule="auto"/>
        <w:rPr>
          <w:lang w:val="en-GB"/>
        </w:rPr>
      </w:pPr>
      <w:r w:rsidRPr="003371F3">
        <w:rPr>
          <w:rStyle w:val="FootnoteReference"/>
          <w:lang w:val="en-GB"/>
        </w:rPr>
        <w:footnoteRef/>
      </w:r>
      <w:r>
        <w:rPr>
          <w:lang w:val="en-GB"/>
        </w:rPr>
        <w:t xml:space="preserve"> </w:t>
      </w:r>
      <w:proofErr w:type="spellStart"/>
      <w:r>
        <w:rPr>
          <w:lang w:val="en-GB"/>
        </w:rPr>
        <w:t>Persky</w:t>
      </w:r>
      <w:proofErr w:type="spellEnd"/>
      <w:r w:rsidR="001C0160">
        <w:rPr>
          <w:lang w:val="en-GB"/>
        </w:rPr>
        <w:t xml:space="preserve"> and</w:t>
      </w:r>
      <w:r>
        <w:rPr>
          <w:lang w:val="en-GB"/>
        </w:rPr>
        <w:t xml:space="preserve"> </w:t>
      </w:r>
      <w:proofErr w:type="spellStart"/>
      <w:r>
        <w:rPr>
          <w:lang w:val="en-GB"/>
        </w:rPr>
        <w:t>Tsand</w:t>
      </w:r>
      <w:proofErr w:type="spellEnd"/>
      <w:r>
        <w:rPr>
          <w:lang w:val="en-GB"/>
        </w:rPr>
        <w:t xml:space="preserve">, above n 40, </w:t>
      </w:r>
      <w:r w:rsidR="001C0160">
        <w:rPr>
          <w:lang w:val="en-GB"/>
        </w:rPr>
        <w:t xml:space="preserve">p </w:t>
      </w:r>
      <w:r w:rsidRPr="003371F3">
        <w:rPr>
          <w:lang w:val="en-GB"/>
        </w:rPr>
        <w:t>57.</w:t>
      </w:r>
    </w:p>
  </w:footnote>
  <w:footnote w:id="46">
    <w:p w14:paraId="5E1679C5" w14:textId="77777777" w:rsidR="00F60F82" w:rsidRPr="003371F3" w:rsidRDefault="00F60F82" w:rsidP="008B6B75">
      <w:pPr>
        <w:pStyle w:val="FootnoteText"/>
        <w:spacing w:line="480" w:lineRule="auto"/>
        <w:rPr>
          <w:lang w:val="en-GB"/>
        </w:rPr>
      </w:pPr>
      <w:r w:rsidRPr="003371F3">
        <w:rPr>
          <w:rStyle w:val="FootnoteReference"/>
          <w:lang w:val="en-GB"/>
        </w:rPr>
        <w:footnoteRef/>
      </w:r>
      <w:r w:rsidRPr="003371F3">
        <w:rPr>
          <w:lang w:val="en-GB"/>
        </w:rPr>
        <w:t xml:space="preserve"> Pigou, </w:t>
      </w:r>
      <w:r>
        <w:rPr>
          <w:lang w:val="en-GB"/>
        </w:rPr>
        <w:t xml:space="preserve">above n 38, p </w:t>
      </w:r>
      <w:r w:rsidRPr="003371F3">
        <w:rPr>
          <w:lang w:val="en-GB"/>
        </w:rPr>
        <w:t>560.</w:t>
      </w:r>
    </w:p>
  </w:footnote>
  <w:footnote w:id="47">
    <w:p w14:paraId="1F4A5C5A" w14:textId="77777777" w:rsidR="00F60F82" w:rsidRPr="003371F3" w:rsidRDefault="00F60F82" w:rsidP="008B6B75">
      <w:pPr>
        <w:pStyle w:val="FootnoteText"/>
        <w:spacing w:line="480" w:lineRule="auto"/>
        <w:jc w:val="both"/>
        <w:rPr>
          <w:rFonts w:cs="Times"/>
          <w:szCs w:val="20"/>
          <w:lang w:val="en-GB"/>
        </w:rPr>
      </w:pPr>
      <w:r w:rsidRPr="003371F3">
        <w:rPr>
          <w:rStyle w:val="FootnoteReference"/>
          <w:lang w:val="en-GB"/>
        </w:rPr>
        <w:footnoteRef/>
      </w:r>
      <w:r w:rsidRPr="003371F3">
        <w:rPr>
          <w:lang w:val="en-GB"/>
        </w:rPr>
        <w:t xml:space="preserve"> </w:t>
      </w:r>
      <w:r w:rsidRPr="003371F3">
        <w:rPr>
          <w:rFonts w:cs="Times"/>
          <w:szCs w:val="20"/>
          <w:lang w:val="en-GB"/>
        </w:rPr>
        <w:t xml:space="preserve">See e.g. C-159&amp;160/91, </w:t>
      </w:r>
      <w:r w:rsidRPr="003371F3">
        <w:rPr>
          <w:rFonts w:cs="Times"/>
          <w:i/>
          <w:szCs w:val="20"/>
          <w:lang w:val="en-GB"/>
        </w:rPr>
        <w:t xml:space="preserve">Christian </w:t>
      </w:r>
      <w:proofErr w:type="spellStart"/>
      <w:r w:rsidRPr="003371F3">
        <w:rPr>
          <w:rFonts w:cs="Times"/>
          <w:i/>
          <w:szCs w:val="20"/>
          <w:lang w:val="en-GB"/>
        </w:rPr>
        <w:t>Poucet</w:t>
      </w:r>
      <w:proofErr w:type="spellEnd"/>
      <w:r w:rsidRPr="003371F3">
        <w:rPr>
          <w:rFonts w:cs="Times"/>
          <w:i/>
          <w:szCs w:val="20"/>
          <w:lang w:val="en-GB"/>
        </w:rPr>
        <w:t xml:space="preserve"> v Assurances </w:t>
      </w:r>
      <w:proofErr w:type="spellStart"/>
      <w:r w:rsidRPr="003371F3">
        <w:rPr>
          <w:rFonts w:cs="Times"/>
          <w:i/>
          <w:szCs w:val="20"/>
          <w:lang w:val="en-GB"/>
        </w:rPr>
        <w:t>Générales</w:t>
      </w:r>
      <w:proofErr w:type="spellEnd"/>
      <w:r w:rsidRPr="003371F3">
        <w:rPr>
          <w:rFonts w:cs="Times"/>
          <w:i/>
          <w:szCs w:val="20"/>
          <w:lang w:val="en-GB"/>
        </w:rPr>
        <w:t xml:space="preserve"> de France and </w:t>
      </w:r>
      <w:proofErr w:type="spellStart"/>
      <w:r w:rsidRPr="003371F3">
        <w:rPr>
          <w:rFonts w:cs="Times"/>
          <w:i/>
          <w:szCs w:val="20"/>
          <w:lang w:val="en-GB"/>
        </w:rPr>
        <w:t>Caisse</w:t>
      </w:r>
      <w:proofErr w:type="spellEnd"/>
      <w:r w:rsidRPr="003371F3">
        <w:rPr>
          <w:rFonts w:cs="Times"/>
          <w:i/>
          <w:szCs w:val="20"/>
          <w:lang w:val="en-GB"/>
        </w:rPr>
        <w:t xml:space="preserve"> </w:t>
      </w:r>
      <w:proofErr w:type="spellStart"/>
      <w:r w:rsidRPr="003371F3">
        <w:rPr>
          <w:rFonts w:cs="Times"/>
          <w:i/>
          <w:szCs w:val="20"/>
          <w:lang w:val="en-GB"/>
        </w:rPr>
        <w:t>Mutuelle</w:t>
      </w:r>
      <w:proofErr w:type="spellEnd"/>
      <w:r w:rsidRPr="003371F3">
        <w:rPr>
          <w:rFonts w:cs="Times"/>
          <w:i/>
          <w:szCs w:val="20"/>
          <w:lang w:val="en-GB"/>
        </w:rPr>
        <w:t xml:space="preserve"> </w:t>
      </w:r>
      <w:proofErr w:type="spellStart"/>
      <w:r w:rsidRPr="003371F3">
        <w:rPr>
          <w:rFonts w:cs="Times"/>
          <w:i/>
          <w:szCs w:val="20"/>
          <w:lang w:val="en-GB"/>
        </w:rPr>
        <w:t>Régionale</w:t>
      </w:r>
      <w:proofErr w:type="spellEnd"/>
      <w:r w:rsidRPr="003371F3">
        <w:rPr>
          <w:rFonts w:cs="Times"/>
          <w:i/>
          <w:szCs w:val="20"/>
          <w:lang w:val="en-GB"/>
        </w:rPr>
        <w:t xml:space="preserve"> du Languedoc-Roussillon</w:t>
      </w:r>
      <w:r w:rsidRPr="003371F3">
        <w:rPr>
          <w:rFonts w:cs="Times"/>
          <w:szCs w:val="20"/>
          <w:lang w:val="en-GB"/>
        </w:rPr>
        <w:t xml:space="preserve">, ECLI:EU:C:1993:63; C-41/90, </w:t>
      </w:r>
      <w:r w:rsidRPr="003371F3">
        <w:rPr>
          <w:rFonts w:cs="Times"/>
          <w:i/>
          <w:szCs w:val="20"/>
          <w:lang w:val="en-GB"/>
        </w:rPr>
        <w:t xml:space="preserve">Klaus </w:t>
      </w:r>
      <w:proofErr w:type="spellStart"/>
      <w:r w:rsidRPr="003371F3">
        <w:rPr>
          <w:rFonts w:cs="Times"/>
          <w:i/>
          <w:szCs w:val="20"/>
          <w:lang w:val="en-GB"/>
        </w:rPr>
        <w:t>Höfner</w:t>
      </w:r>
      <w:proofErr w:type="spellEnd"/>
      <w:r w:rsidRPr="003371F3">
        <w:rPr>
          <w:rFonts w:cs="Times"/>
          <w:i/>
          <w:szCs w:val="20"/>
          <w:lang w:val="en-GB"/>
        </w:rPr>
        <w:t xml:space="preserve"> and Fritz </w:t>
      </w:r>
      <w:proofErr w:type="spellStart"/>
      <w:r w:rsidRPr="003371F3">
        <w:rPr>
          <w:rFonts w:cs="Times"/>
          <w:i/>
          <w:szCs w:val="20"/>
          <w:lang w:val="en-GB"/>
        </w:rPr>
        <w:t>Elser</w:t>
      </w:r>
      <w:proofErr w:type="spellEnd"/>
      <w:r w:rsidRPr="003371F3">
        <w:rPr>
          <w:rFonts w:cs="Times"/>
          <w:i/>
          <w:szCs w:val="20"/>
          <w:lang w:val="en-GB"/>
        </w:rPr>
        <w:t xml:space="preserve"> v </w:t>
      </w:r>
      <w:proofErr w:type="spellStart"/>
      <w:r w:rsidRPr="003371F3">
        <w:rPr>
          <w:rFonts w:cs="Times"/>
          <w:i/>
          <w:szCs w:val="20"/>
          <w:lang w:val="en-GB"/>
        </w:rPr>
        <w:t>Macrotron</w:t>
      </w:r>
      <w:proofErr w:type="spellEnd"/>
      <w:r w:rsidRPr="003371F3">
        <w:rPr>
          <w:rFonts w:cs="Times"/>
          <w:i/>
          <w:szCs w:val="20"/>
          <w:lang w:val="en-GB"/>
        </w:rPr>
        <w:t xml:space="preserve"> GmbH</w:t>
      </w:r>
      <w:r w:rsidRPr="003371F3">
        <w:rPr>
          <w:rFonts w:cs="Times"/>
          <w:szCs w:val="20"/>
          <w:lang w:val="en-GB"/>
        </w:rPr>
        <w:t xml:space="preserve">, ECLI:EU:C:1991:161. </w:t>
      </w:r>
    </w:p>
  </w:footnote>
  <w:footnote w:id="48">
    <w:p w14:paraId="02C59DC0" w14:textId="7B190915" w:rsidR="00F60F82" w:rsidRPr="003371F3" w:rsidRDefault="00F60F82" w:rsidP="008B6B75">
      <w:pPr>
        <w:pStyle w:val="FootnoteText"/>
        <w:spacing w:line="480" w:lineRule="auto"/>
        <w:jc w:val="both"/>
        <w:rPr>
          <w:lang w:val="en-GB"/>
        </w:rPr>
      </w:pPr>
      <w:r w:rsidRPr="003371F3">
        <w:rPr>
          <w:rStyle w:val="FootnoteReference"/>
          <w:lang w:val="en-GB"/>
        </w:rPr>
        <w:footnoteRef/>
      </w:r>
      <w:r w:rsidRPr="003371F3">
        <w:rPr>
          <w:lang w:val="en-GB"/>
        </w:rPr>
        <w:t xml:space="preserve"> </w:t>
      </w:r>
      <w:r>
        <w:rPr>
          <w:lang w:val="en-GB"/>
        </w:rPr>
        <w:t>S McCrystal</w:t>
      </w:r>
      <w:r w:rsidR="008C6773">
        <w:rPr>
          <w:lang w:val="en-GB"/>
        </w:rPr>
        <w:t xml:space="preserve"> and</w:t>
      </w:r>
      <w:r>
        <w:rPr>
          <w:lang w:val="en-GB"/>
        </w:rPr>
        <w:t xml:space="preserve"> P</w:t>
      </w:r>
      <w:r w:rsidRPr="003371F3">
        <w:rPr>
          <w:lang w:val="en-GB"/>
        </w:rPr>
        <w:t xml:space="preserve"> </w:t>
      </w:r>
      <w:proofErr w:type="spellStart"/>
      <w:r w:rsidRPr="003371F3">
        <w:rPr>
          <w:lang w:val="en-GB"/>
        </w:rPr>
        <w:t>Syrpis</w:t>
      </w:r>
      <w:proofErr w:type="spellEnd"/>
      <w:r w:rsidRPr="003371F3">
        <w:rPr>
          <w:lang w:val="en-GB"/>
        </w:rPr>
        <w:t xml:space="preserve"> ‘Competitio</w:t>
      </w:r>
      <w:r>
        <w:rPr>
          <w:lang w:val="en-GB"/>
        </w:rPr>
        <w:t xml:space="preserve">n Law and Worker Voice’ in A </w:t>
      </w:r>
      <w:proofErr w:type="spellStart"/>
      <w:r>
        <w:rPr>
          <w:lang w:val="en-GB"/>
        </w:rPr>
        <w:t>Bogg</w:t>
      </w:r>
      <w:proofErr w:type="spellEnd"/>
      <w:r w:rsidR="008C6773">
        <w:rPr>
          <w:lang w:val="en-GB"/>
        </w:rPr>
        <w:t xml:space="preserve"> and</w:t>
      </w:r>
      <w:r>
        <w:rPr>
          <w:lang w:val="en-GB"/>
        </w:rPr>
        <w:t xml:space="preserve"> T</w:t>
      </w:r>
      <w:r w:rsidRPr="003371F3">
        <w:rPr>
          <w:lang w:val="en-GB"/>
        </w:rPr>
        <w:t xml:space="preserve"> </w:t>
      </w:r>
      <w:proofErr w:type="spellStart"/>
      <w:r w:rsidRPr="003371F3">
        <w:rPr>
          <w:lang w:val="en-GB"/>
        </w:rPr>
        <w:t>Novitz</w:t>
      </w:r>
      <w:proofErr w:type="spellEnd"/>
      <w:r w:rsidRPr="003371F3">
        <w:rPr>
          <w:lang w:val="en-GB"/>
        </w:rPr>
        <w:t xml:space="preserve"> (eds) </w:t>
      </w:r>
      <w:r w:rsidRPr="003371F3">
        <w:rPr>
          <w:i/>
          <w:lang w:val="en-GB"/>
        </w:rPr>
        <w:t>Voices at Work</w:t>
      </w:r>
      <w:r>
        <w:rPr>
          <w:lang w:val="en-GB"/>
        </w:rPr>
        <w:t xml:space="preserve"> (</w:t>
      </w:r>
      <w:r w:rsidRPr="003371F3">
        <w:rPr>
          <w:lang w:val="en-GB"/>
        </w:rPr>
        <w:t>New York</w:t>
      </w:r>
      <w:r>
        <w:rPr>
          <w:lang w:val="en-GB"/>
        </w:rPr>
        <w:t xml:space="preserve">: </w:t>
      </w:r>
      <w:r w:rsidRPr="003371F3">
        <w:rPr>
          <w:lang w:val="en-GB"/>
        </w:rPr>
        <w:t>OUP,</w:t>
      </w:r>
      <w:r>
        <w:rPr>
          <w:lang w:val="en-GB"/>
        </w:rPr>
        <w:t xml:space="preserve"> 2014</w:t>
      </w:r>
      <w:r w:rsidRPr="003371F3">
        <w:rPr>
          <w:lang w:val="en-GB"/>
        </w:rPr>
        <w:t xml:space="preserve">); </w:t>
      </w:r>
      <w:proofErr w:type="spellStart"/>
      <w:r>
        <w:rPr>
          <w:lang w:val="en-GB"/>
        </w:rPr>
        <w:t>Schiek</w:t>
      </w:r>
      <w:proofErr w:type="spellEnd"/>
      <w:r>
        <w:rPr>
          <w:lang w:val="en-GB"/>
        </w:rPr>
        <w:t xml:space="preserve"> and</w:t>
      </w:r>
      <w:r w:rsidRPr="003371F3">
        <w:rPr>
          <w:lang w:val="en-GB"/>
        </w:rPr>
        <w:t xml:space="preserve"> Gideon, </w:t>
      </w:r>
      <w:r>
        <w:rPr>
          <w:lang w:val="en-GB"/>
        </w:rPr>
        <w:t>above n 2</w:t>
      </w:r>
      <w:r w:rsidRPr="003371F3">
        <w:rPr>
          <w:lang w:val="en-GB"/>
        </w:rPr>
        <w:t>.</w:t>
      </w:r>
    </w:p>
  </w:footnote>
  <w:footnote w:id="49">
    <w:p w14:paraId="724172F0" w14:textId="77777777" w:rsidR="00F60F82" w:rsidRPr="00DB243C" w:rsidRDefault="00F60F82" w:rsidP="008B6B75">
      <w:pPr>
        <w:spacing w:line="480" w:lineRule="auto"/>
        <w:jc w:val="both"/>
        <w:rPr>
          <w:rFonts w:ascii="Times" w:eastAsia="Times New Roman" w:hAnsi="Times" w:cs="Times New Roman"/>
          <w:sz w:val="20"/>
          <w:szCs w:val="20"/>
          <w:lang w:val="en-GB"/>
        </w:rPr>
      </w:pPr>
      <w:r w:rsidRPr="003371F3">
        <w:rPr>
          <w:rStyle w:val="FootnoteReference"/>
          <w:rFonts w:ascii="Times" w:hAnsi="Times"/>
          <w:sz w:val="20"/>
          <w:szCs w:val="20"/>
          <w:lang w:val="en-GB"/>
        </w:rPr>
        <w:footnoteRef/>
      </w:r>
      <w:r w:rsidRPr="003371F3">
        <w:rPr>
          <w:rFonts w:ascii="Times" w:hAnsi="Times"/>
          <w:sz w:val="20"/>
          <w:szCs w:val="20"/>
          <w:lang w:val="en-GB"/>
        </w:rPr>
        <w:t xml:space="preserve"> C-67/96, </w:t>
      </w:r>
      <w:r w:rsidRPr="003371F3">
        <w:rPr>
          <w:rFonts w:ascii="Times" w:hAnsi="Times"/>
          <w:i/>
          <w:sz w:val="20"/>
          <w:szCs w:val="20"/>
          <w:lang w:val="en-GB"/>
        </w:rPr>
        <w:t xml:space="preserve">Albany International and </w:t>
      </w:r>
      <w:proofErr w:type="spellStart"/>
      <w:r w:rsidRPr="003371F3">
        <w:rPr>
          <w:rFonts w:ascii="Times" w:hAnsi="Times"/>
          <w:i/>
          <w:sz w:val="20"/>
          <w:szCs w:val="20"/>
          <w:lang w:val="en-GB"/>
        </w:rPr>
        <w:t>Stichting</w:t>
      </w:r>
      <w:proofErr w:type="spellEnd"/>
      <w:r w:rsidRPr="003371F3">
        <w:rPr>
          <w:rFonts w:ascii="Times" w:hAnsi="Times"/>
          <w:i/>
          <w:sz w:val="20"/>
          <w:szCs w:val="20"/>
          <w:lang w:val="en-GB"/>
        </w:rPr>
        <w:t xml:space="preserve"> </w:t>
      </w:r>
      <w:proofErr w:type="spellStart"/>
      <w:r w:rsidRPr="003371F3">
        <w:rPr>
          <w:rFonts w:ascii="Times" w:hAnsi="Times"/>
          <w:i/>
          <w:sz w:val="20"/>
          <w:szCs w:val="20"/>
          <w:lang w:val="en-GB"/>
        </w:rPr>
        <w:t>Bedrijfspensionfonds</w:t>
      </w:r>
      <w:proofErr w:type="spellEnd"/>
      <w:r w:rsidRPr="003371F3">
        <w:rPr>
          <w:rFonts w:ascii="Times" w:hAnsi="Times"/>
          <w:i/>
          <w:sz w:val="20"/>
          <w:szCs w:val="20"/>
          <w:lang w:val="en-GB"/>
        </w:rPr>
        <w:t xml:space="preserve"> </w:t>
      </w:r>
      <w:proofErr w:type="spellStart"/>
      <w:r w:rsidRPr="003371F3">
        <w:rPr>
          <w:rFonts w:ascii="Times" w:hAnsi="Times"/>
          <w:i/>
          <w:sz w:val="20"/>
          <w:szCs w:val="20"/>
          <w:lang w:val="en-GB"/>
        </w:rPr>
        <w:t>Textielindustrie</w:t>
      </w:r>
      <w:proofErr w:type="spellEnd"/>
      <w:r>
        <w:rPr>
          <w:rFonts w:ascii="Times" w:hAnsi="Times"/>
          <w:sz w:val="20"/>
          <w:szCs w:val="20"/>
          <w:lang w:val="en-GB"/>
        </w:rPr>
        <w:t xml:space="preserve">, </w:t>
      </w:r>
      <w:r w:rsidRPr="003371F3">
        <w:rPr>
          <w:rFonts w:ascii="Times" w:eastAsia="Times New Roman" w:hAnsi="Times" w:cs="Times New Roman"/>
          <w:bCs/>
          <w:sz w:val="20"/>
          <w:szCs w:val="20"/>
          <w:shd w:val="clear" w:color="auto" w:fill="FFFFFF"/>
          <w:lang w:val="en-GB"/>
        </w:rPr>
        <w:t>ECLI:EU:C:1999:430.</w:t>
      </w:r>
    </w:p>
  </w:footnote>
  <w:footnote w:id="50">
    <w:p w14:paraId="53E35720" w14:textId="77777777" w:rsidR="00F60F82" w:rsidRPr="003371F3" w:rsidRDefault="00F60F82" w:rsidP="008B6B75">
      <w:pPr>
        <w:pStyle w:val="FootnoteText"/>
        <w:spacing w:line="480" w:lineRule="auto"/>
        <w:rPr>
          <w:lang w:val="en-GB"/>
        </w:rPr>
      </w:pPr>
      <w:r w:rsidRPr="003371F3">
        <w:rPr>
          <w:rStyle w:val="FootnoteReference"/>
          <w:lang w:val="en-GB"/>
        </w:rPr>
        <w:footnoteRef/>
      </w:r>
      <w:r w:rsidRPr="003371F3">
        <w:rPr>
          <w:lang w:val="en-GB"/>
        </w:rPr>
        <w:t xml:space="preserve"> Previously Arts. 2 and 3 EC now addressed in Art.9 TFEU; </w:t>
      </w:r>
      <w:r w:rsidRPr="000A0736">
        <w:rPr>
          <w:i/>
          <w:lang w:val="en-GB"/>
        </w:rPr>
        <w:t>Albany</w:t>
      </w:r>
      <w:r w:rsidRPr="003371F3">
        <w:rPr>
          <w:lang w:val="en-GB"/>
        </w:rPr>
        <w:t xml:space="preserve">, </w:t>
      </w:r>
      <w:r>
        <w:rPr>
          <w:lang w:val="en-GB"/>
        </w:rPr>
        <w:t>ibid, para.</w:t>
      </w:r>
      <w:r w:rsidRPr="003371F3">
        <w:rPr>
          <w:lang w:val="en-GB"/>
        </w:rPr>
        <w:t xml:space="preserve"> 5881.</w:t>
      </w:r>
    </w:p>
  </w:footnote>
  <w:footnote w:id="51">
    <w:p w14:paraId="539253CB" w14:textId="77777777" w:rsidR="00F60F82" w:rsidRPr="003371F3" w:rsidRDefault="00F60F82" w:rsidP="008B6B75">
      <w:pPr>
        <w:pStyle w:val="FootnoteText"/>
        <w:spacing w:line="480" w:lineRule="auto"/>
        <w:rPr>
          <w:lang w:val="en-GB"/>
        </w:rPr>
      </w:pPr>
      <w:r w:rsidRPr="003371F3">
        <w:rPr>
          <w:rStyle w:val="FootnoteReference"/>
          <w:lang w:val="en-GB"/>
        </w:rPr>
        <w:footnoteRef/>
      </w:r>
      <w:r w:rsidRPr="003371F3">
        <w:rPr>
          <w:lang w:val="en-GB"/>
        </w:rPr>
        <w:t xml:space="preserve"> </w:t>
      </w:r>
      <w:r w:rsidRPr="000A0736">
        <w:rPr>
          <w:i/>
          <w:lang w:val="en-GB"/>
        </w:rPr>
        <w:t>Albany</w:t>
      </w:r>
      <w:r>
        <w:rPr>
          <w:lang w:val="en-GB"/>
        </w:rPr>
        <w:t>, above n 49, para</w:t>
      </w:r>
      <w:r w:rsidRPr="003371F3">
        <w:rPr>
          <w:lang w:val="en-GB"/>
        </w:rPr>
        <w:t xml:space="preserve"> 5882. </w:t>
      </w:r>
    </w:p>
  </w:footnote>
  <w:footnote w:id="52">
    <w:p w14:paraId="2FA5858A" w14:textId="77777777" w:rsidR="00F60F82" w:rsidRPr="003371F3" w:rsidRDefault="00F60F82" w:rsidP="008B6B75">
      <w:pPr>
        <w:pStyle w:val="FootnoteText"/>
        <w:spacing w:line="480" w:lineRule="auto"/>
        <w:rPr>
          <w:lang w:val="en-GB"/>
        </w:rPr>
      </w:pPr>
      <w:r w:rsidRPr="003371F3">
        <w:rPr>
          <w:rStyle w:val="FootnoteReference"/>
          <w:lang w:val="en-GB"/>
        </w:rPr>
        <w:footnoteRef/>
      </w:r>
      <w:r w:rsidRPr="003371F3">
        <w:rPr>
          <w:lang w:val="en-GB"/>
        </w:rPr>
        <w:t xml:space="preserve"> </w:t>
      </w:r>
      <w:r w:rsidRPr="000A0736">
        <w:rPr>
          <w:i/>
          <w:lang w:val="en-GB"/>
        </w:rPr>
        <w:t>Albany</w:t>
      </w:r>
      <w:r>
        <w:rPr>
          <w:lang w:val="en-GB"/>
        </w:rPr>
        <w:t>, above n 49</w:t>
      </w:r>
      <w:r w:rsidRPr="003371F3">
        <w:rPr>
          <w:lang w:val="en-GB"/>
        </w:rPr>
        <w:t xml:space="preserve">, </w:t>
      </w:r>
      <w:r>
        <w:rPr>
          <w:lang w:val="en-GB"/>
        </w:rPr>
        <w:t xml:space="preserve">para </w:t>
      </w:r>
      <w:r w:rsidRPr="003371F3">
        <w:rPr>
          <w:lang w:val="en-GB"/>
        </w:rPr>
        <w:t>5888.</w:t>
      </w:r>
    </w:p>
  </w:footnote>
  <w:footnote w:id="53">
    <w:p w14:paraId="7C00BD18" w14:textId="77777777" w:rsidR="00F60F82" w:rsidRPr="003371F3" w:rsidRDefault="00F60F82" w:rsidP="008B6B75">
      <w:pPr>
        <w:spacing w:line="480" w:lineRule="auto"/>
        <w:jc w:val="both"/>
        <w:rPr>
          <w:rFonts w:ascii="Times" w:eastAsia="Times New Roman" w:hAnsi="Times" w:cs="Times New Roman"/>
          <w:bCs/>
          <w:sz w:val="20"/>
          <w:szCs w:val="20"/>
          <w:shd w:val="clear" w:color="auto" w:fill="FFFFFF"/>
          <w:lang w:val="en-GB"/>
        </w:rPr>
      </w:pPr>
      <w:r w:rsidRPr="003371F3">
        <w:rPr>
          <w:rStyle w:val="FootnoteReference"/>
          <w:rFonts w:ascii="Times" w:hAnsi="Times"/>
          <w:sz w:val="20"/>
          <w:szCs w:val="20"/>
          <w:lang w:val="en-GB"/>
        </w:rPr>
        <w:footnoteRef/>
      </w:r>
      <w:r w:rsidRPr="003371F3">
        <w:rPr>
          <w:rFonts w:ascii="Times" w:hAnsi="Times"/>
          <w:sz w:val="20"/>
          <w:szCs w:val="20"/>
          <w:lang w:val="en-GB"/>
        </w:rPr>
        <w:t xml:space="preserve"> See </w:t>
      </w:r>
      <w:r w:rsidRPr="003371F3">
        <w:rPr>
          <w:rFonts w:ascii="Times" w:eastAsia="Times New Roman" w:hAnsi="Times" w:cs="Times New Roman"/>
          <w:sz w:val="20"/>
          <w:szCs w:val="20"/>
          <w:lang w:val="en-GB"/>
        </w:rPr>
        <w:t xml:space="preserve">C-115, 116 &amp; 117/97, </w:t>
      </w:r>
      <w:proofErr w:type="spellStart"/>
      <w:r w:rsidRPr="003371F3">
        <w:rPr>
          <w:rFonts w:ascii="Times" w:eastAsia="Times New Roman" w:hAnsi="Times" w:cs="Times New Roman"/>
          <w:i/>
          <w:sz w:val="20"/>
          <w:szCs w:val="20"/>
          <w:lang w:val="en-GB"/>
        </w:rPr>
        <w:t>Brentjens</w:t>
      </w:r>
      <w:proofErr w:type="spellEnd"/>
      <w:r w:rsidRPr="003371F3">
        <w:rPr>
          <w:rFonts w:ascii="Times" w:eastAsia="Times New Roman" w:hAnsi="Times" w:cs="Times New Roman"/>
          <w:i/>
          <w:sz w:val="20"/>
          <w:szCs w:val="20"/>
          <w:lang w:val="en-GB"/>
        </w:rPr>
        <w:t xml:space="preserve">’ </w:t>
      </w:r>
      <w:proofErr w:type="spellStart"/>
      <w:r w:rsidRPr="003371F3">
        <w:rPr>
          <w:rFonts w:ascii="Times" w:eastAsia="Times New Roman" w:hAnsi="Times" w:cs="Times New Roman"/>
          <w:i/>
          <w:sz w:val="20"/>
          <w:szCs w:val="20"/>
          <w:lang w:val="en-GB"/>
        </w:rPr>
        <w:t>Handelsonderneming</w:t>
      </w:r>
      <w:proofErr w:type="spellEnd"/>
      <w:r w:rsidRPr="003371F3">
        <w:rPr>
          <w:rFonts w:ascii="Times" w:eastAsia="Times New Roman" w:hAnsi="Times" w:cs="Times New Roman"/>
          <w:i/>
          <w:sz w:val="20"/>
          <w:szCs w:val="20"/>
          <w:lang w:val="en-GB"/>
        </w:rPr>
        <w:t xml:space="preserve"> BV</w:t>
      </w:r>
      <w:r w:rsidRPr="003371F3">
        <w:rPr>
          <w:rFonts w:ascii="Times" w:eastAsia="Times New Roman" w:hAnsi="Times" w:cs="Times New Roman"/>
          <w:sz w:val="20"/>
          <w:szCs w:val="20"/>
          <w:lang w:val="en-GB"/>
        </w:rPr>
        <w:t xml:space="preserve">, </w:t>
      </w:r>
      <w:r w:rsidRPr="003371F3">
        <w:rPr>
          <w:rFonts w:ascii="Times" w:eastAsia="Times New Roman" w:hAnsi="Times" w:cs="Times New Roman"/>
          <w:bCs/>
          <w:sz w:val="20"/>
          <w:szCs w:val="20"/>
          <w:shd w:val="clear" w:color="auto" w:fill="FFFFFF"/>
          <w:lang w:val="en-GB"/>
        </w:rPr>
        <w:t>ECLI:EU:C:1999:434;</w:t>
      </w:r>
      <w:r w:rsidRPr="003371F3">
        <w:rPr>
          <w:rFonts w:ascii="Times" w:eastAsia="Times New Roman" w:hAnsi="Times" w:cs="Times New Roman"/>
          <w:bCs/>
          <w:color w:val="5F5F5F"/>
          <w:sz w:val="20"/>
          <w:szCs w:val="20"/>
          <w:shd w:val="clear" w:color="auto" w:fill="FFFFFF"/>
          <w:lang w:val="en-GB"/>
        </w:rPr>
        <w:t xml:space="preserve"> </w:t>
      </w:r>
      <w:r w:rsidRPr="003371F3">
        <w:rPr>
          <w:rFonts w:ascii="Times" w:eastAsia="Times New Roman" w:hAnsi="Times" w:cs="Times New Roman"/>
          <w:bCs/>
          <w:sz w:val="20"/>
          <w:szCs w:val="20"/>
          <w:shd w:val="clear" w:color="auto" w:fill="FFFFFF"/>
          <w:lang w:val="en-GB"/>
        </w:rPr>
        <w:t xml:space="preserve">C-219/97, </w:t>
      </w:r>
      <w:proofErr w:type="spellStart"/>
      <w:r w:rsidRPr="003371F3">
        <w:rPr>
          <w:rFonts w:ascii="Times" w:eastAsia="Times New Roman" w:hAnsi="Times" w:cs="Times New Roman"/>
          <w:bCs/>
          <w:i/>
          <w:sz w:val="20"/>
          <w:szCs w:val="20"/>
          <w:shd w:val="clear" w:color="auto" w:fill="FFFFFF"/>
          <w:lang w:val="en-GB"/>
        </w:rPr>
        <w:t>Maatschappij</w:t>
      </w:r>
      <w:proofErr w:type="spellEnd"/>
      <w:r w:rsidRPr="003371F3">
        <w:rPr>
          <w:rFonts w:ascii="Times" w:eastAsia="Times New Roman" w:hAnsi="Times" w:cs="Times New Roman"/>
          <w:bCs/>
          <w:i/>
          <w:sz w:val="20"/>
          <w:szCs w:val="20"/>
          <w:shd w:val="clear" w:color="auto" w:fill="FFFFFF"/>
          <w:lang w:val="en-GB"/>
        </w:rPr>
        <w:t xml:space="preserve"> </w:t>
      </w:r>
      <w:proofErr w:type="spellStart"/>
      <w:r w:rsidRPr="003371F3">
        <w:rPr>
          <w:rFonts w:ascii="Times" w:eastAsia="Times New Roman" w:hAnsi="Times" w:cs="Times New Roman"/>
          <w:bCs/>
          <w:i/>
          <w:sz w:val="20"/>
          <w:szCs w:val="20"/>
          <w:shd w:val="clear" w:color="auto" w:fill="FFFFFF"/>
          <w:lang w:val="en-GB"/>
        </w:rPr>
        <w:t>Drijvende</w:t>
      </w:r>
      <w:proofErr w:type="spellEnd"/>
      <w:r w:rsidRPr="003371F3">
        <w:rPr>
          <w:rFonts w:ascii="Times" w:eastAsia="Times New Roman" w:hAnsi="Times" w:cs="Times New Roman"/>
          <w:bCs/>
          <w:i/>
          <w:sz w:val="20"/>
          <w:szCs w:val="20"/>
          <w:shd w:val="clear" w:color="auto" w:fill="FFFFFF"/>
          <w:lang w:val="en-GB"/>
        </w:rPr>
        <w:t xml:space="preserve"> Bokken BV</w:t>
      </w:r>
      <w:r w:rsidRPr="003371F3">
        <w:rPr>
          <w:rFonts w:ascii="Times" w:eastAsia="Times New Roman" w:hAnsi="Times" w:cs="Times New Roman"/>
          <w:bCs/>
          <w:sz w:val="20"/>
          <w:szCs w:val="20"/>
          <w:shd w:val="clear" w:color="auto" w:fill="FFFFFF"/>
          <w:lang w:val="en-GB"/>
        </w:rPr>
        <w:t>, ECLI:EU:C:1999:437; C-222/98</w:t>
      </w:r>
      <w:r w:rsidRPr="003371F3">
        <w:rPr>
          <w:rFonts w:ascii="Times" w:eastAsia="Times New Roman" w:hAnsi="Times" w:cs="Lucida Grande"/>
          <w:sz w:val="20"/>
          <w:szCs w:val="20"/>
          <w:shd w:val="clear" w:color="auto" w:fill="FFFFFF"/>
          <w:lang w:val="en-GB"/>
        </w:rPr>
        <w:t xml:space="preserve">; </w:t>
      </w:r>
      <w:r w:rsidRPr="003371F3">
        <w:rPr>
          <w:rFonts w:ascii="Times" w:eastAsia="Times New Roman" w:hAnsi="Times" w:cs="Times New Roman"/>
          <w:sz w:val="20"/>
          <w:szCs w:val="20"/>
          <w:lang w:val="en-GB"/>
        </w:rPr>
        <w:t xml:space="preserve">C-437/09, </w:t>
      </w:r>
      <w:r w:rsidRPr="003371F3">
        <w:rPr>
          <w:rFonts w:ascii="Times" w:eastAsia="Times New Roman" w:hAnsi="Times" w:cs="Arial"/>
          <w:bCs/>
          <w:i/>
          <w:sz w:val="20"/>
          <w:szCs w:val="20"/>
          <w:lang w:val="en-GB"/>
        </w:rPr>
        <w:t xml:space="preserve">AG2R </w:t>
      </w:r>
      <w:proofErr w:type="spellStart"/>
      <w:r w:rsidRPr="003371F3">
        <w:rPr>
          <w:rFonts w:ascii="Times" w:eastAsia="Times New Roman" w:hAnsi="Times" w:cs="Arial"/>
          <w:bCs/>
          <w:i/>
          <w:sz w:val="20"/>
          <w:szCs w:val="20"/>
          <w:lang w:val="en-GB"/>
        </w:rPr>
        <w:t>Prévoyance</w:t>
      </w:r>
      <w:proofErr w:type="spellEnd"/>
      <w:r w:rsidRPr="003371F3">
        <w:rPr>
          <w:rFonts w:ascii="Times" w:eastAsia="Times New Roman" w:hAnsi="Times" w:cs="Arial"/>
          <w:bCs/>
          <w:i/>
          <w:sz w:val="20"/>
          <w:szCs w:val="20"/>
          <w:lang w:val="en-GB"/>
        </w:rPr>
        <w:t xml:space="preserve"> v </w:t>
      </w:r>
      <w:proofErr w:type="spellStart"/>
      <w:r w:rsidRPr="003371F3">
        <w:rPr>
          <w:rFonts w:ascii="Times" w:eastAsia="Times New Roman" w:hAnsi="Times" w:cs="Arial"/>
          <w:bCs/>
          <w:i/>
          <w:sz w:val="20"/>
          <w:szCs w:val="20"/>
          <w:lang w:val="en-GB"/>
        </w:rPr>
        <w:t>Beaudout</w:t>
      </w:r>
      <w:proofErr w:type="spellEnd"/>
      <w:r w:rsidRPr="003371F3">
        <w:rPr>
          <w:rFonts w:ascii="Times" w:eastAsia="Times New Roman" w:hAnsi="Times" w:cs="Arial"/>
          <w:bCs/>
          <w:i/>
          <w:sz w:val="20"/>
          <w:szCs w:val="20"/>
          <w:lang w:val="en-GB"/>
        </w:rPr>
        <w:t xml:space="preserve"> Père et </w:t>
      </w:r>
      <w:proofErr w:type="spellStart"/>
      <w:r w:rsidRPr="003371F3">
        <w:rPr>
          <w:rFonts w:ascii="Times" w:eastAsia="Times New Roman" w:hAnsi="Times" w:cs="Arial"/>
          <w:bCs/>
          <w:i/>
          <w:sz w:val="20"/>
          <w:szCs w:val="20"/>
          <w:lang w:val="en-GB"/>
        </w:rPr>
        <w:t>Fils</w:t>
      </w:r>
      <w:proofErr w:type="spellEnd"/>
      <w:r w:rsidRPr="003371F3">
        <w:rPr>
          <w:rFonts w:ascii="Times" w:eastAsia="Times New Roman" w:hAnsi="Times" w:cs="Arial"/>
          <w:bCs/>
          <w:i/>
          <w:sz w:val="20"/>
          <w:szCs w:val="20"/>
          <w:lang w:val="en-GB"/>
        </w:rPr>
        <w:t xml:space="preserve"> SARL</w:t>
      </w:r>
      <w:r w:rsidRPr="003371F3">
        <w:rPr>
          <w:rFonts w:ascii="Times" w:eastAsia="Times New Roman" w:hAnsi="Times" w:cs="Times New Roman"/>
          <w:sz w:val="20"/>
          <w:szCs w:val="20"/>
          <w:lang w:val="en-GB"/>
        </w:rPr>
        <w:t xml:space="preserve">, </w:t>
      </w:r>
      <w:r w:rsidRPr="003371F3">
        <w:rPr>
          <w:rFonts w:ascii="Times" w:eastAsia="Times New Roman" w:hAnsi="Times" w:cs="Times New Roman"/>
          <w:bCs/>
          <w:sz w:val="20"/>
          <w:szCs w:val="20"/>
          <w:shd w:val="clear" w:color="auto" w:fill="FFFFFF"/>
          <w:lang w:val="en-GB"/>
        </w:rPr>
        <w:t>ECLI:EU:C:2011:112.</w:t>
      </w:r>
    </w:p>
  </w:footnote>
  <w:footnote w:id="54">
    <w:p w14:paraId="43634A3D" w14:textId="77777777" w:rsidR="00F60F82" w:rsidRPr="003371F3" w:rsidRDefault="00F60F82" w:rsidP="008B6B75">
      <w:pPr>
        <w:pStyle w:val="FootnoteText"/>
        <w:spacing w:line="480" w:lineRule="auto"/>
        <w:rPr>
          <w:lang w:val="en-GB"/>
        </w:rPr>
      </w:pPr>
      <w:r w:rsidRPr="003371F3">
        <w:rPr>
          <w:rStyle w:val="FootnoteReference"/>
          <w:lang w:val="en-GB"/>
        </w:rPr>
        <w:footnoteRef/>
      </w:r>
      <w:r w:rsidRPr="003371F3">
        <w:rPr>
          <w:lang w:val="en-GB"/>
        </w:rPr>
        <w:t xml:space="preserve"> </w:t>
      </w:r>
      <w:r w:rsidRPr="003371F3">
        <w:rPr>
          <w:rFonts w:eastAsia="Times New Roman" w:cs="Times New Roman"/>
          <w:bCs/>
          <w:i/>
          <w:szCs w:val="20"/>
          <w:shd w:val="clear" w:color="auto" w:fill="FFFFFF"/>
          <w:lang w:val="en-GB"/>
        </w:rPr>
        <w:t xml:space="preserve">Hendrik van der </w:t>
      </w:r>
      <w:proofErr w:type="spellStart"/>
      <w:r w:rsidRPr="003371F3">
        <w:rPr>
          <w:rFonts w:eastAsia="Times New Roman" w:cs="Times New Roman"/>
          <w:bCs/>
          <w:i/>
          <w:szCs w:val="20"/>
          <w:shd w:val="clear" w:color="auto" w:fill="FFFFFF"/>
          <w:lang w:val="en-GB"/>
        </w:rPr>
        <w:t>Woude</w:t>
      </w:r>
      <w:proofErr w:type="spellEnd"/>
      <w:r w:rsidRPr="003371F3">
        <w:rPr>
          <w:rFonts w:eastAsia="Times New Roman" w:cs="Times New Roman"/>
          <w:bCs/>
          <w:szCs w:val="20"/>
          <w:shd w:val="clear" w:color="auto" w:fill="FFFFFF"/>
          <w:lang w:val="en-GB"/>
        </w:rPr>
        <w:t xml:space="preserve">, </w:t>
      </w:r>
      <w:r w:rsidRPr="003371F3">
        <w:rPr>
          <w:rFonts w:eastAsia="Times New Roman" w:cs="Lucida Grande"/>
          <w:szCs w:val="20"/>
          <w:shd w:val="clear" w:color="auto" w:fill="FFFFFF"/>
          <w:lang w:val="en-GB"/>
        </w:rPr>
        <w:t xml:space="preserve">ECLI:EU:C:2000:226. </w:t>
      </w:r>
    </w:p>
  </w:footnote>
  <w:footnote w:id="55">
    <w:p w14:paraId="5323DE33" w14:textId="2B740621" w:rsidR="00F60F82" w:rsidRPr="003371F3" w:rsidRDefault="00F60F82" w:rsidP="008B6B75">
      <w:pPr>
        <w:pStyle w:val="FootnoteText"/>
        <w:spacing w:line="480" w:lineRule="auto"/>
        <w:rPr>
          <w:lang w:val="en-GB"/>
        </w:rPr>
      </w:pPr>
      <w:r w:rsidRPr="003371F3">
        <w:rPr>
          <w:rStyle w:val="FootnoteReference"/>
          <w:lang w:val="en-GB"/>
        </w:rPr>
        <w:footnoteRef/>
      </w:r>
      <w:r w:rsidRPr="003371F3">
        <w:rPr>
          <w:lang w:val="en-GB"/>
        </w:rPr>
        <w:t xml:space="preserve"> E-8/00, </w:t>
      </w:r>
      <w:r w:rsidRPr="003371F3">
        <w:rPr>
          <w:i/>
          <w:lang w:val="en-GB"/>
        </w:rPr>
        <w:t>Norwegian Federation of Trade Unions</w:t>
      </w:r>
      <w:r w:rsidRPr="003371F3">
        <w:rPr>
          <w:lang w:val="en-GB"/>
        </w:rPr>
        <w:t>,</w:t>
      </w:r>
      <w:r w:rsidR="00A950A3">
        <w:rPr>
          <w:lang w:val="en-GB"/>
        </w:rPr>
        <w:t xml:space="preserve"> available at</w:t>
      </w:r>
      <w:r w:rsidRPr="003371F3">
        <w:rPr>
          <w:lang w:val="en-GB"/>
        </w:rPr>
        <w:t xml:space="preserve"> http://www.eftacourt.int/cases/detail/?tx_nvcases_pi1%5Bcase_id%5D=50&amp;cHash=62c7234a1da3e881c5837a0a9bcd9c9d</w:t>
      </w:r>
      <w:r>
        <w:rPr>
          <w:lang w:val="en-GB"/>
        </w:rPr>
        <w:t xml:space="preserve"> (16 January 2020)</w:t>
      </w:r>
      <w:r w:rsidRPr="003371F3">
        <w:rPr>
          <w:lang w:val="en-GB"/>
        </w:rPr>
        <w:t>.</w:t>
      </w:r>
    </w:p>
  </w:footnote>
  <w:footnote w:id="56">
    <w:p w14:paraId="221034C7" w14:textId="1D1BEDC4" w:rsidR="00F60F82" w:rsidRPr="003371F3" w:rsidRDefault="00F60F82" w:rsidP="008B6B75">
      <w:pPr>
        <w:pStyle w:val="FootnoteText"/>
        <w:spacing w:line="480" w:lineRule="auto"/>
        <w:rPr>
          <w:lang w:val="en-GB"/>
        </w:rPr>
      </w:pPr>
      <w:r w:rsidRPr="003371F3">
        <w:rPr>
          <w:rStyle w:val="FootnoteReference"/>
          <w:lang w:val="en-GB"/>
        </w:rPr>
        <w:footnoteRef/>
      </w:r>
      <w:r w:rsidRPr="003371F3">
        <w:rPr>
          <w:lang w:val="en-GB"/>
        </w:rPr>
        <w:t xml:space="preserve"> </w:t>
      </w:r>
      <w:r w:rsidRPr="003371F3">
        <w:rPr>
          <w:i/>
          <w:lang w:val="en-GB"/>
        </w:rPr>
        <w:t xml:space="preserve">Norwegian Federation of Trade Unions, </w:t>
      </w:r>
      <w:r w:rsidRPr="003371F3">
        <w:rPr>
          <w:lang w:val="en-GB"/>
        </w:rPr>
        <w:t xml:space="preserve">ibid, </w:t>
      </w:r>
      <w:r>
        <w:rPr>
          <w:lang w:val="en-GB"/>
        </w:rPr>
        <w:t>p</w:t>
      </w:r>
      <w:r w:rsidR="008C6773">
        <w:rPr>
          <w:lang w:val="en-GB"/>
        </w:rPr>
        <w:t>p</w:t>
      </w:r>
      <w:r w:rsidRPr="003371F3">
        <w:rPr>
          <w:lang w:val="en-GB"/>
        </w:rPr>
        <w:t xml:space="preserve"> 17-18.</w:t>
      </w:r>
    </w:p>
  </w:footnote>
  <w:footnote w:id="57">
    <w:p w14:paraId="62C57F7F" w14:textId="537D4082" w:rsidR="00F60F82" w:rsidRPr="003371F3" w:rsidRDefault="00F60F82" w:rsidP="008B6B75">
      <w:pPr>
        <w:pStyle w:val="FootnoteText"/>
        <w:spacing w:line="480" w:lineRule="auto"/>
        <w:rPr>
          <w:lang w:val="en-GB"/>
        </w:rPr>
      </w:pPr>
      <w:r w:rsidRPr="003371F3">
        <w:rPr>
          <w:rStyle w:val="FootnoteReference"/>
          <w:lang w:val="en-GB"/>
        </w:rPr>
        <w:footnoteRef/>
      </w:r>
      <w:r w:rsidRPr="003371F3">
        <w:rPr>
          <w:lang w:val="en-GB"/>
        </w:rPr>
        <w:t xml:space="preserve"> </w:t>
      </w:r>
      <w:r w:rsidRPr="003371F3">
        <w:rPr>
          <w:i/>
          <w:lang w:val="en-GB"/>
        </w:rPr>
        <w:t xml:space="preserve">Norwegian Federation of Trade Unions, </w:t>
      </w:r>
      <w:r>
        <w:rPr>
          <w:lang w:val="en-GB"/>
        </w:rPr>
        <w:t xml:space="preserve">ibid, p </w:t>
      </w:r>
      <w:r w:rsidRPr="003371F3">
        <w:rPr>
          <w:lang w:val="en-GB"/>
        </w:rPr>
        <w:t>18</w:t>
      </w:r>
      <w:r>
        <w:rPr>
          <w:lang w:val="en-GB"/>
        </w:rPr>
        <w:t>.</w:t>
      </w:r>
    </w:p>
  </w:footnote>
  <w:footnote w:id="58">
    <w:p w14:paraId="4DB916BC" w14:textId="77777777" w:rsidR="00F60F82" w:rsidRPr="003371F3" w:rsidRDefault="00F60F82" w:rsidP="008B6B75">
      <w:pPr>
        <w:spacing w:line="480" w:lineRule="auto"/>
        <w:rPr>
          <w:rFonts w:ascii="Times" w:eastAsia="Times New Roman" w:hAnsi="Times" w:cs="Times New Roman"/>
          <w:bCs/>
          <w:sz w:val="20"/>
          <w:szCs w:val="20"/>
          <w:shd w:val="clear" w:color="auto" w:fill="FFFFFF"/>
          <w:lang w:val="en-GB"/>
        </w:rPr>
      </w:pPr>
      <w:r w:rsidRPr="003371F3">
        <w:rPr>
          <w:rStyle w:val="FootnoteReference"/>
          <w:rFonts w:ascii="Times" w:hAnsi="Times"/>
          <w:sz w:val="20"/>
          <w:szCs w:val="20"/>
          <w:lang w:val="en-GB"/>
        </w:rPr>
        <w:footnoteRef/>
      </w:r>
      <w:r w:rsidRPr="003371F3">
        <w:rPr>
          <w:rFonts w:ascii="Times" w:hAnsi="Times"/>
          <w:sz w:val="20"/>
          <w:szCs w:val="20"/>
          <w:lang w:val="en-GB"/>
        </w:rPr>
        <w:t xml:space="preserve"> C-22/98, </w:t>
      </w:r>
      <w:r w:rsidRPr="003371F3">
        <w:rPr>
          <w:rFonts w:ascii="Times" w:hAnsi="Times"/>
          <w:i/>
          <w:sz w:val="20"/>
          <w:szCs w:val="20"/>
          <w:lang w:val="en-GB"/>
        </w:rPr>
        <w:t xml:space="preserve">Jean Claude </w:t>
      </w:r>
      <w:proofErr w:type="spellStart"/>
      <w:r w:rsidRPr="003371F3">
        <w:rPr>
          <w:rFonts w:ascii="Times" w:hAnsi="Times"/>
          <w:i/>
          <w:sz w:val="20"/>
          <w:szCs w:val="20"/>
          <w:lang w:val="en-GB"/>
        </w:rPr>
        <w:t>Becu</w:t>
      </w:r>
      <w:proofErr w:type="spellEnd"/>
      <w:r w:rsidRPr="003371F3">
        <w:rPr>
          <w:rFonts w:ascii="Times" w:hAnsi="Times"/>
          <w:sz w:val="20"/>
          <w:szCs w:val="20"/>
          <w:lang w:val="en-GB"/>
        </w:rPr>
        <w:t xml:space="preserve">, </w:t>
      </w:r>
      <w:r w:rsidRPr="003371F3">
        <w:rPr>
          <w:rFonts w:ascii="Times" w:eastAsia="Times New Roman" w:hAnsi="Times" w:cs="Times New Roman"/>
          <w:bCs/>
          <w:sz w:val="20"/>
          <w:szCs w:val="20"/>
          <w:shd w:val="clear" w:color="auto" w:fill="FFFFFF"/>
          <w:lang w:val="en-GB"/>
        </w:rPr>
        <w:t xml:space="preserve">ECLI:EU:C:1999:419. </w:t>
      </w:r>
    </w:p>
  </w:footnote>
  <w:footnote w:id="59">
    <w:p w14:paraId="50A9FDD7" w14:textId="07209FEF" w:rsidR="00F60F82" w:rsidRPr="003371F3" w:rsidRDefault="00F60F82" w:rsidP="008B6B75">
      <w:pPr>
        <w:pStyle w:val="FootnoteText"/>
        <w:spacing w:line="480" w:lineRule="auto"/>
        <w:rPr>
          <w:lang w:val="en-GB"/>
        </w:rPr>
      </w:pPr>
      <w:r w:rsidRPr="003371F3">
        <w:rPr>
          <w:rStyle w:val="FootnoteReference"/>
          <w:lang w:val="en-GB"/>
        </w:rPr>
        <w:footnoteRef/>
      </w:r>
      <w:r w:rsidRPr="003371F3">
        <w:rPr>
          <w:lang w:val="en-GB"/>
        </w:rPr>
        <w:t xml:space="preserve"> </w:t>
      </w:r>
      <w:proofErr w:type="spellStart"/>
      <w:r w:rsidRPr="003371F3">
        <w:rPr>
          <w:i/>
          <w:lang w:val="en-GB"/>
        </w:rPr>
        <w:t>Becu</w:t>
      </w:r>
      <w:proofErr w:type="spellEnd"/>
      <w:r w:rsidRPr="003371F3">
        <w:rPr>
          <w:lang w:val="en-GB"/>
        </w:rPr>
        <w:t xml:space="preserve">, </w:t>
      </w:r>
      <w:r w:rsidRPr="003371F3">
        <w:rPr>
          <w:i/>
          <w:lang w:val="en-GB"/>
        </w:rPr>
        <w:t>ibid</w:t>
      </w:r>
      <w:r w:rsidRPr="003371F3">
        <w:rPr>
          <w:lang w:val="en-GB"/>
        </w:rPr>
        <w:t xml:space="preserve">, </w:t>
      </w:r>
      <w:r>
        <w:rPr>
          <w:lang w:val="en-GB"/>
        </w:rPr>
        <w:t>para</w:t>
      </w:r>
      <w:r w:rsidRPr="003371F3">
        <w:rPr>
          <w:lang w:val="en-GB"/>
        </w:rPr>
        <w:t xml:space="preserve"> 5692.</w:t>
      </w:r>
    </w:p>
  </w:footnote>
  <w:footnote w:id="60">
    <w:p w14:paraId="247C0F41" w14:textId="77777777" w:rsidR="00F60F82" w:rsidRPr="003371F3" w:rsidRDefault="00F60F82" w:rsidP="008B6B75">
      <w:pPr>
        <w:pStyle w:val="FootnoteText"/>
        <w:spacing w:line="480" w:lineRule="auto"/>
        <w:rPr>
          <w:lang w:val="en-GB"/>
        </w:rPr>
      </w:pPr>
      <w:r w:rsidRPr="003371F3">
        <w:rPr>
          <w:rStyle w:val="FootnoteReference"/>
          <w:lang w:val="en-GB"/>
        </w:rPr>
        <w:footnoteRef/>
      </w:r>
      <w:r w:rsidRPr="003371F3">
        <w:rPr>
          <w:lang w:val="en-GB"/>
        </w:rPr>
        <w:t xml:space="preserve"> </w:t>
      </w:r>
      <w:r w:rsidRPr="003371F3">
        <w:rPr>
          <w:rFonts w:eastAsia="Times New Roman" w:cs="Times New Roman"/>
          <w:bCs/>
          <w:shd w:val="clear" w:color="auto" w:fill="FFFFFF"/>
          <w:lang w:val="en-GB"/>
        </w:rPr>
        <w:t xml:space="preserve">C-413/13, </w:t>
      </w:r>
      <w:r w:rsidRPr="003371F3">
        <w:rPr>
          <w:rFonts w:eastAsia="Times New Roman" w:cs="Times New Roman"/>
          <w:bCs/>
          <w:i/>
          <w:shd w:val="clear" w:color="auto" w:fill="FFFFFF"/>
          <w:lang w:val="en-GB"/>
        </w:rPr>
        <w:t xml:space="preserve">FNV </w:t>
      </w:r>
      <w:proofErr w:type="spellStart"/>
      <w:r w:rsidRPr="003371F3">
        <w:rPr>
          <w:rFonts w:eastAsia="Times New Roman" w:cs="Times New Roman"/>
          <w:bCs/>
          <w:i/>
          <w:shd w:val="clear" w:color="auto" w:fill="FFFFFF"/>
          <w:lang w:val="en-GB"/>
        </w:rPr>
        <w:t>Kunsten</w:t>
      </w:r>
      <w:proofErr w:type="spellEnd"/>
      <w:r w:rsidRPr="003371F3">
        <w:rPr>
          <w:rFonts w:eastAsia="Times New Roman" w:cs="Times New Roman"/>
          <w:bCs/>
          <w:i/>
          <w:shd w:val="clear" w:color="auto" w:fill="FFFFFF"/>
          <w:lang w:val="en-GB"/>
        </w:rPr>
        <w:t xml:space="preserve"> </w:t>
      </w:r>
      <w:proofErr w:type="spellStart"/>
      <w:r w:rsidRPr="003371F3">
        <w:rPr>
          <w:rFonts w:eastAsia="Times New Roman" w:cs="Times New Roman"/>
          <w:bCs/>
          <w:i/>
          <w:shd w:val="clear" w:color="auto" w:fill="FFFFFF"/>
          <w:lang w:val="en-GB"/>
        </w:rPr>
        <w:t>Informatie</w:t>
      </w:r>
      <w:proofErr w:type="spellEnd"/>
      <w:r w:rsidRPr="003371F3">
        <w:rPr>
          <w:rFonts w:eastAsia="Times New Roman" w:cs="Times New Roman"/>
          <w:bCs/>
          <w:i/>
          <w:shd w:val="clear" w:color="auto" w:fill="FFFFFF"/>
          <w:lang w:val="en-GB"/>
        </w:rPr>
        <w:t xml:space="preserve"> </w:t>
      </w:r>
      <w:proofErr w:type="spellStart"/>
      <w:r w:rsidRPr="003371F3">
        <w:rPr>
          <w:rFonts w:eastAsia="Times New Roman" w:cs="Times New Roman"/>
          <w:bCs/>
          <w:i/>
          <w:shd w:val="clear" w:color="auto" w:fill="FFFFFF"/>
          <w:lang w:val="en-GB"/>
        </w:rPr>
        <w:t>en</w:t>
      </w:r>
      <w:proofErr w:type="spellEnd"/>
      <w:r w:rsidRPr="003371F3">
        <w:rPr>
          <w:rFonts w:eastAsia="Times New Roman" w:cs="Times New Roman"/>
          <w:bCs/>
          <w:i/>
          <w:shd w:val="clear" w:color="auto" w:fill="FFFFFF"/>
          <w:lang w:val="en-GB"/>
        </w:rPr>
        <w:t xml:space="preserve"> Media v </w:t>
      </w:r>
      <w:proofErr w:type="spellStart"/>
      <w:r w:rsidRPr="003371F3">
        <w:rPr>
          <w:rFonts w:eastAsia="Times New Roman" w:cs="Times New Roman"/>
          <w:bCs/>
          <w:i/>
          <w:shd w:val="clear" w:color="auto" w:fill="FFFFFF"/>
          <w:lang w:val="en-GB"/>
        </w:rPr>
        <w:t>Staat</w:t>
      </w:r>
      <w:proofErr w:type="spellEnd"/>
      <w:r w:rsidRPr="003371F3">
        <w:rPr>
          <w:rFonts w:eastAsia="Times New Roman" w:cs="Times New Roman"/>
          <w:bCs/>
          <w:i/>
          <w:shd w:val="clear" w:color="auto" w:fill="FFFFFF"/>
          <w:lang w:val="en-GB"/>
        </w:rPr>
        <w:t xml:space="preserve"> der </w:t>
      </w:r>
      <w:proofErr w:type="spellStart"/>
      <w:r w:rsidRPr="003371F3">
        <w:rPr>
          <w:rFonts w:eastAsia="Times New Roman" w:cs="Times New Roman"/>
          <w:bCs/>
          <w:i/>
          <w:shd w:val="clear" w:color="auto" w:fill="FFFFFF"/>
          <w:lang w:val="en-GB"/>
        </w:rPr>
        <w:t>Nederlanden</w:t>
      </w:r>
      <w:proofErr w:type="spellEnd"/>
      <w:r w:rsidRPr="003371F3">
        <w:rPr>
          <w:rFonts w:eastAsia="Times New Roman" w:cs="Times New Roman"/>
          <w:bCs/>
          <w:shd w:val="clear" w:color="auto" w:fill="FFFFFF"/>
          <w:lang w:val="en-GB"/>
        </w:rPr>
        <w:t>, ECLI:EU:C:2014:2411.</w:t>
      </w:r>
    </w:p>
  </w:footnote>
  <w:footnote w:id="61">
    <w:p w14:paraId="4661E48A" w14:textId="09A44C19" w:rsidR="00F60F82" w:rsidRPr="003371F3" w:rsidRDefault="00F60F82" w:rsidP="008B6B75">
      <w:pPr>
        <w:pStyle w:val="FootnoteText"/>
        <w:spacing w:line="480" w:lineRule="auto"/>
        <w:rPr>
          <w:lang w:val="en-GB"/>
        </w:rPr>
      </w:pPr>
      <w:r w:rsidRPr="003371F3">
        <w:rPr>
          <w:rStyle w:val="FootnoteReference"/>
          <w:lang w:val="en-GB"/>
        </w:rPr>
        <w:footnoteRef/>
      </w:r>
      <w:r w:rsidRPr="003371F3">
        <w:rPr>
          <w:lang w:val="en-GB"/>
        </w:rPr>
        <w:t xml:space="preserve"> </w:t>
      </w:r>
      <w:proofErr w:type="spellStart"/>
      <w:r w:rsidRPr="003371F3">
        <w:rPr>
          <w:i/>
          <w:lang w:val="en-GB"/>
        </w:rPr>
        <w:t>Kunsten</w:t>
      </w:r>
      <w:proofErr w:type="spellEnd"/>
      <w:r>
        <w:rPr>
          <w:lang w:val="en-GB"/>
        </w:rPr>
        <w:t xml:space="preserve">, ibid, para </w:t>
      </w:r>
      <w:r w:rsidRPr="003371F3">
        <w:rPr>
          <w:lang w:val="en-GB"/>
        </w:rPr>
        <w:t>31.</w:t>
      </w:r>
    </w:p>
  </w:footnote>
  <w:footnote w:id="62">
    <w:p w14:paraId="34895741" w14:textId="7F081E5D" w:rsidR="00F60F82" w:rsidRPr="003371F3" w:rsidRDefault="00F60F82" w:rsidP="008B6B75">
      <w:pPr>
        <w:pStyle w:val="FootnoteText"/>
        <w:spacing w:line="480" w:lineRule="auto"/>
        <w:rPr>
          <w:lang w:val="en-GB"/>
        </w:rPr>
      </w:pPr>
      <w:r w:rsidRPr="003371F3">
        <w:rPr>
          <w:rStyle w:val="FootnoteReference"/>
          <w:lang w:val="en-GB"/>
        </w:rPr>
        <w:footnoteRef/>
      </w:r>
      <w:r w:rsidRPr="003371F3">
        <w:rPr>
          <w:lang w:val="en-GB"/>
        </w:rPr>
        <w:t xml:space="preserve"> </w:t>
      </w:r>
      <w:proofErr w:type="spellStart"/>
      <w:r w:rsidRPr="003371F3">
        <w:rPr>
          <w:i/>
          <w:lang w:val="en-GB"/>
        </w:rPr>
        <w:t>Kunsten</w:t>
      </w:r>
      <w:proofErr w:type="spellEnd"/>
      <w:r>
        <w:rPr>
          <w:lang w:val="en-GB"/>
        </w:rPr>
        <w:t xml:space="preserve">, ibid, para </w:t>
      </w:r>
      <w:r w:rsidRPr="003371F3">
        <w:rPr>
          <w:lang w:val="en-GB"/>
        </w:rPr>
        <w:t>42.</w:t>
      </w:r>
    </w:p>
  </w:footnote>
  <w:footnote w:id="63">
    <w:p w14:paraId="13E51948" w14:textId="77777777" w:rsidR="00F60F82" w:rsidRPr="00703CF7" w:rsidRDefault="00F60F82" w:rsidP="008B6B75">
      <w:pPr>
        <w:spacing w:line="480" w:lineRule="auto"/>
        <w:rPr>
          <w:rFonts w:ascii="Times" w:eastAsia="Times New Roman" w:hAnsi="Times" w:cs="Times New Roman"/>
          <w:sz w:val="20"/>
          <w:szCs w:val="20"/>
          <w:lang w:val="en-GB"/>
        </w:rPr>
      </w:pPr>
      <w:r w:rsidRPr="003371F3">
        <w:rPr>
          <w:rStyle w:val="FootnoteReference"/>
          <w:rFonts w:ascii="Times" w:hAnsi="Times"/>
          <w:sz w:val="20"/>
          <w:szCs w:val="20"/>
          <w:lang w:val="en-GB"/>
        </w:rPr>
        <w:footnoteRef/>
      </w:r>
      <w:r w:rsidRPr="003371F3">
        <w:rPr>
          <w:rFonts w:ascii="Times" w:hAnsi="Times"/>
          <w:sz w:val="20"/>
          <w:szCs w:val="20"/>
          <w:lang w:val="en-GB"/>
        </w:rPr>
        <w:t xml:space="preserve"> </w:t>
      </w:r>
      <w:r w:rsidRPr="003371F3">
        <w:rPr>
          <w:rFonts w:ascii="Times" w:eastAsia="Times New Roman" w:hAnsi="Times" w:cs="Arial"/>
          <w:sz w:val="20"/>
          <w:szCs w:val="20"/>
          <w:shd w:val="clear" w:color="auto" w:fill="FFFFFF"/>
          <w:lang w:val="en-GB"/>
        </w:rPr>
        <w:t>26 Stat. 209, 15 U.S.C. §§ 1 and 2.</w:t>
      </w:r>
    </w:p>
  </w:footnote>
  <w:footnote w:id="64">
    <w:p w14:paraId="57078944" w14:textId="77777777" w:rsidR="00F60F82" w:rsidRPr="003371F3" w:rsidRDefault="00F60F82" w:rsidP="008B6B75">
      <w:pPr>
        <w:pStyle w:val="FootnoteText"/>
        <w:spacing w:line="480" w:lineRule="auto"/>
        <w:jc w:val="both"/>
        <w:rPr>
          <w:lang w:val="en-GB"/>
        </w:rPr>
      </w:pPr>
      <w:r w:rsidRPr="003371F3">
        <w:rPr>
          <w:rStyle w:val="FootnoteReference"/>
          <w:lang w:val="en-GB"/>
        </w:rPr>
        <w:footnoteRef/>
      </w:r>
      <w:r w:rsidRPr="003371F3">
        <w:rPr>
          <w:lang w:val="en-GB"/>
        </w:rPr>
        <w:t xml:space="preserve"> In secondary boycotts unions target not the original employer with whom the workers are in an official conflict but other producers down the production chain who buy goods and services from the original employer. With secondary boycotts unions force producers down the production </w:t>
      </w:r>
      <w:r>
        <w:rPr>
          <w:lang w:val="en-GB"/>
        </w:rPr>
        <w:t>chain</w:t>
      </w:r>
      <w:r w:rsidRPr="003371F3">
        <w:rPr>
          <w:lang w:val="en-GB"/>
        </w:rPr>
        <w:t xml:space="preserve"> not to buy goods and services from the original employer with the objective of putting extra pressure on the employer to agree to their terms and conditions. </w:t>
      </w:r>
    </w:p>
  </w:footnote>
  <w:footnote w:id="65">
    <w:p w14:paraId="5729D2B0" w14:textId="087B3720" w:rsidR="00F60F82" w:rsidRPr="003371F3" w:rsidRDefault="00F60F82" w:rsidP="008B6B75">
      <w:pPr>
        <w:pStyle w:val="FootnoteText"/>
        <w:spacing w:line="480" w:lineRule="auto"/>
        <w:rPr>
          <w:lang w:val="en-GB"/>
        </w:rPr>
      </w:pPr>
      <w:r w:rsidRPr="003371F3">
        <w:rPr>
          <w:rStyle w:val="FootnoteReference"/>
          <w:lang w:val="en-GB"/>
        </w:rPr>
        <w:footnoteRef/>
      </w:r>
      <w:r w:rsidRPr="003371F3">
        <w:rPr>
          <w:lang w:val="en-GB"/>
        </w:rPr>
        <w:t xml:space="preserve"> </w:t>
      </w:r>
      <w:proofErr w:type="spellStart"/>
      <w:r w:rsidRPr="003371F3">
        <w:rPr>
          <w:i/>
          <w:lang w:val="en-GB"/>
        </w:rPr>
        <w:t>Deitrich</w:t>
      </w:r>
      <w:proofErr w:type="spellEnd"/>
      <w:r w:rsidRPr="003371F3">
        <w:rPr>
          <w:i/>
          <w:lang w:val="en-GB"/>
        </w:rPr>
        <w:t xml:space="preserve"> Loewe et al. v Martin Lawlor et</w:t>
      </w:r>
      <w:r w:rsidR="008C6773">
        <w:rPr>
          <w:i/>
          <w:lang w:val="en-GB"/>
        </w:rPr>
        <w:t xml:space="preserve"> </w:t>
      </w:r>
      <w:r w:rsidRPr="003371F3">
        <w:rPr>
          <w:i/>
          <w:lang w:val="en-GB"/>
        </w:rPr>
        <w:t>al.</w:t>
      </w:r>
      <w:r w:rsidRPr="003371F3">
        <w:rPr>
          <w:lang w:val="en-GB"/>
        </w:rPr>
        <w:t>, (1907), 208 U.S. 274.</w:t>
      </w:r>
    </w:p>
  </w:footnote>
  <w:footnote w:id="66">
    <w:p w14:paraId="7A8493BC" w14:textId="79FE870F" w:rsidR="00F60F82" w:rsidRPr="003371F3" w:rsidRDefault="00F60F82" w:rsidP="008B6B75">
      <w:pPr>
        <w:pStyle w:val="FootnoteText"/>
        <w:spacing w:line="480" w:lineRule="auto"/>
        <w:rPr>
          <w:lang w:val="en-GB"/>
        </w:rPr>
      </w:pPr>
      <w:r w:rsidRPr="003371F3">
        <w:rPr>
          <w:rStyle w:val="FootnoteReference"/>
          <w:lang w:val="en-GB"/>
        </w:rPr>
        <w:footnoteRef/>
      </w:r>
      <w:r w:rsidRPr="003371F3">
        <w:rPr>
          <w:lang w:val="en-GB"/>
        </w:rPr>
        <w:t xml:space="preserve"> </w:t>
      </w:r>
      <w:proofErr w:type="spellStart"/>
      <w:r w:rsidRPr="003371F3">
        <w:rPr>
          <w:i/>
          <w:lang w:val="en-GB"/>
        </w:rPr>
        <w:t>Deitrich</w:t>
      </w:r>
      <w:proofErr w:type="spellEnd"/>
      <w:r w:rsidRPr="003371F3">
        <w:rPr>
          <w:i/>
          <w:lang w:val="en-GB"/>
        </w:rPr>
        <w:t xml:space="preserve"> Loewe, </w:t>
      </w:r>
      <w:r w:rsidRPr="003371F3">
        <w:rPr>
          <w:lang w:val="en-GB"/>
        </w:rPr>
        <w:t>ibid, at 308.</w:t>
      </w:r>
    </w:p>
  </w:footnote>
  <w:footnote w:id="67">
    <w:p w14:paraId="4B247F6B" w14:textId="77777777" w:rsidR="00F60F82" w:rsidRPr="003371F3" w:rsidRDefault="00F60F82" w:rsidP="008B6B75">
      <w:pPr>
        <w:pStyle w:val="FootnoteText"/>
        <w:spacing w:line="480" w:lineRule="auto"/>
        <w:rPr>
          <w:rFonts w:eastAsia="Times New Roman" w:cs="Times New Roman"/>
          <w:szCs w:val="20"/>
          <w:lang w:val="en-GB"/>
        </w:rPr>
      </w:pPr>
      <w:r w:rsidRPr="003371F3">
        <w:rPr>
          <w:rStyle w:val="FootnoteReference"/>
          <w:szCs w:val="20"/>
          <w:lang w:val="en-GB"/>
        </w:rPr>
        <w:footnoteRef/>
      </w:r>
      <w:r w:rsidRPr="003371F3">
        <w:rPr>
          <w:szCs w:val="20"/>
          <w:lang w:val="en-GB"/>
        </w:rPr>
        <w:t xml:space="preserve"> 15 U.S. Code § 17</w:t>
      </w:r>
      <w:r w:rsidRPr="003371F3">
        <w:rPr>
          <w:bCs/>
          <w:szCs w:val="20"/>
          <w:lang w:val="en-GB"/>
        </w:rPr>
        <w:t xml:space="preserve">; </w:t>
      </w:r>
      <w:r w:rsidRPr="003371F3">
        <w:rPr>
          <w:rFonts w:eastAsia="Times New Roman" w:cs="Times New Roman"/>
          <w:bCs/>
          <w:szCs w:val="20"/>
          <w:lang w:val="en-GB"/>
        </w:rPr>
        <w:t>29 U.S. Code § 52.</w:t>
      </w:r>
    </w:p>
  </w:footnote>
  <w:footnote w:id="68">
    <w:p w14:paraId="523909E8" w14:textId="77777777" w:rsidR="00F60F82" w:rsidRPr="003371F3" w:rsidRDefault="00F60F82" w:rsidP="008B6B75">
      <w:pPr>
        <w:pStyle w:val="FootnoteText"/>
        <w:spacing w:line="480" w:lineRule="auto"/>
        <w:rPr>
          <w:lang w:val="en-GB"/>
        </w:rPr>
      </w:pPr>
      <w:r w:rsidRPr="003371F3">
        <w:rPr>
          <w:rStyle w:val="FootnoteReference"/>
          <w:lang w:val="en-GB"/>
        </w:rPr>
        <w:footnoteRef/>
      </w:r>
      <w:r w:rsidRPr="003371F3">
        <w:rPr>
          <w:lang w:val="en-GB"/>
        </w:rPr>
        <w:t xml:space="preserve"> </w:t>
      </w:r>
      <w:r w:rsidRPr="003371F3">
        <w:rPr>
          <w:szCs w:val="20"/>
          <w:lang w:val="en-GB"/>
        </w:rPr>
        <w:t>15 U.S. Code § 17, emphasis added.</w:t>
      </w:r>
    </w:p>
  </w:footnote>
  <w:footnote w:id="69">
    <w:p w14:paraId="713DE18B" w14:textId="77777777" w:rsidR="00F60F82" w:rsidRPr="003371F3" w:rsidRDefault="00F60F82" w:rsidP="008B6B75">
      <w:pPr>
        <w:pStyle w:val="FootnoteText"/>
        <w:spacing w:line="480" w:lineRule="auto"/>
        <w:rPr>
          <w:lang w:val="en-GB"/>
        </w:rPr>
      </w:pPr>
      <w:r w:rsidRPr="003371F3">
        <w:rPr>
          <w:rStyle w:val="FootnoteReference"/>
          <w:lang w:val="en-GB"/>
        </w:rPr>
        <w:footnoteRef/>
      </w:r>
      <w:r w:rsidRPr="003371F3">
        <w:rPr>
          <w:lang w:val="en-GB"/>
        </w:rPr>
        <w:t xml:space="preserve"> The Senate Report No.698, 63d Congress, 2d Session, at 609.</w:t>
      </w:r>
    </w:p>
  </w:footnote>
  <w:footnote w:id="70">
    <w:p w14:paraId="6E0290A6" w14:textId="349052BF" w:rsidR="00F60F82" w:rsidRPr="003371F3" w:rsidRDefault="00F60F82" w:rsidP="008B6B75">
      <w:pPr>
        <w:pStyle w:val="FootnoteText"/>
        <w:spacing w:line="480" w:lineRule="auto"/>
        <w:rPr>
          <w:lang w:val="en-GB"/>
        </w:rPr>
      </w:pPr>
      <w:r w:rsidRPr="003371F3">
        <w:rPr>
          <w:rStyle w:val="FootnoteReference"/>
          <w:lang w:val="en-GB"/>
        </w:rPr>
        <w:footnoteRef/>
      </w:r>
      <w:r w:rsidRPr="003371F3">
        <w:rPr>
          <w:lang w:val="en-GB"/>
        </w:rPr>
        <w:t xml:space="preserve"> Minority report on Clayton Act, Section 6, Representatives John M. Nelson and A.V. Volstead, p</w:t>
      </w:r>
      <w:r w:rsidR="00A950A3">
        <w:rPr>
          <w:lang w:val="en-GB"/>
        </w:rPr>
        <w:t> </w:t>
      </w:r>
      <w:r w:rsidRPr="003371F3">
        <w:rPr>
          <w:lang w:val="en-GB"/>
        </w:rPr>
        <w:t xml:space="preserve">2047, cited in </w:t>
      </w:r>
      <w:r w:rsidRPr="003371F3">
        <w:rPr>
          <w:i/>
          <w:lang w:val="en-GB"/>
        </w:rPr>
        <w:t>Sam Cordova v Bache &amp; Co.</w:t>
      </w:r>
      <w:r w:rsidRPr="003371F3">
        <w:rPr>
          <w:lang w:val="en-GB"/>
        </w:rPr>
        <w:t>, 321 F.Supp.600 (1970), at 611.</w:t>
      </w:r>
    </w:p>
  </w:footnote>
  <w:footnote w:id="71">
    <w:p w14:paraId="73741395" w14:textId="340AC6E0" w:rsidR="00F60F82" w:rsidRPr="003371F3" w:rsidRDefault="00F60F82" w:rsidP="008B6B75">
      <w:pPr>
        <w:pStyle w:val="FootnoteText"/>
        <w:spacing w:line="480" w:lineRule="auto"/>
        <w:jc w:val="both"/>
        <w:rPr>
          <w:lang w:val="en-GB"/>
        </w:rPr>
      </w:pPr>
      <w:r w:rsidRPr="003371F3">
        <w:rPr>
          <w:rStyle w:val="FootnoteReference"/>
          <w:lang w:val="en-GB"/>
        </w:rPr>
        <w:footnoteRef/>
      </w:r>
      <w:r>
        <w:rPr>
          <w:lang w:val="en-GB"/>
        </w:rPr>
        <w:t xml:space="preserve"> See also S</w:t>
      </w:r>
      <w:r w:rsidRPr="003371F3">
        <w:rPr>
          <w:lang w:val="en-GB"/>
        </w:rPr>
        <w:t xml:space="preserve"> </w:t>
      </w:r>
      <w:proofErr w:type="spellStart"/>
      <w:r w:rsidRPr="003371F3">
        <w:rPr>
          <w:lang w:val="en-GB"/>
        </w:rPr>
        <w:t>Schwochau</w:t>
      </w:r>
      <w:proofErr w:type="spellEnd"/>
      <w:r w:rsidRPr="003371F3">
        <w:rPr>
          <w:lang w:val="en-GB"/>
        </w:rPr>
        <w:t xml:space="preserve"> ‘The </w:t>
      </w:r>
      <w:proofErr w:type="spellStart"/>
      <w:r w:rsidRPr="003371F3">
        <w:rPr>
          <w:lang w:val="en-GB"/>
        </w:rPr>
        <w:t>Labor</w:t>
      </w:r>
      <w:proofErr w:type="spellEnd"/>
      <w:r w:rsidRPr="003371F3">
        <w:rPr>
          <w:lang w:val="en-GB"/>
        </w:rPr>
        <w:t xml:space="preserve"> Exemptions to Antitrust Law: An Overview’ (2000) </w:t>
      </w:r>
      <w:r>
        <w:rPr>
          <w:lang w:val="en-GB"/>
        </w:rPr>
        <w:t xml:space="preserve">21 </w:t>
      </w:r>
      <w:r w:rsidRPr="00F54143">
        <w:rPr>
          <w:iCs/>
          <w:lang w:val="en-GB"/>
        </w:rPr>
        <w:t xml:space="preserve">Journal of </w:t>
      </w:r>
      <w:proofErr w:type="spellStart"/>
      <w:r w:rsidRPr="00F54143">
        <w:rPr>
          <w:iCs/>
          <w:lang w:val="en-GB"/>
        </w:rPr>
        <w:t>Labor</w:t>
      </w:r>
      <w:proofErr w:type="spellEnd"/>
      <w:r w:rsidRPr="00F54143">
        <w:rPr>
          <w:iCs/>
          <w:lang w:val="en-GB"/>
        </w:rPr>
        <w:t xml:space="preserve"> Research</w:t>
      </w:r>
      <w:r w:rsidRPr="00C76C31">
        <w:rPr>
          <w:iCs/>
          <w:lang w:val="en-GB"/>
        </w:rPr>
        <w:t xml:space="preserve"> </w:t>
      </w:r>
      <w:r>
        <w:rPr>
          <w:lang w:val="en-GB"/>
        </w:rPr>
        <w:t>535, p 536; R E</w:t>
      </w:r>
      <w:r w:rsidRPr="003371F3">
        <w:rPr>
          <w:lang w:val="en-GB"/>
        </w:rPr>
        <w:t xml:space="preserve"> </w:t>
      </w:r>
      <w:proofErr w:type="spellStart"/>
      <w:r w:rsidRPr="003371F3">
        <w:rPr>
          <w:lang w:val="en-GB"/>
        </w:rPr>
        <w:t>Lucore</w:t>
      </w:r>
      <w:proofErr w:type="spellEnd"/>
      <w:r w:rsidRPr="003371F3">
        <w:rPr>
          <w:lang w:val="en-GB"/>
        </w:rPr>
        <w:t xml:space="preserve"> ‘The Fictitious Commodity: A Union </w:t>
      </w:r>
      <w:r w:rsidR="008C6773">
        <w:rPr>
          <w:lang w:val="en-GB"/>
        </w:rPr>
        <w:t>View</w:t>
      </w:r>
      <w:r w:rsidR="008C6773" w:rsidRPr="003371F3">
        <w:rPr>
          <w:lang w:val="en-GB"/>
        </w:rPr>
        <w:t xml:space="preserve"> </w:t>
      </w:r>
      <w:r w:rsidRPr="003371F3">
        <w:rPr>
          <w:lang w:val="en-GB"/>
        </w:rPr>
        <w:t xml:space="preserve">of </w:t>
      </w:r>
      <w:proofErr w:type="spellStart"/>
      <w:r w:rsidRPr="003371F3">
        <w:rPr>
          <w:lang w:val="en-GB"/>
        </w:rPr>
        <w:t>Labor’s</w:t>
      </w:r>
      <w:proofErr w:type="spellEnd"/>
      <w:r w:rsidRPr="003371F3">
        <w:rPr>
          <w:lang w:val="en-GB"/>
        </w:rPr>
        <w:t xml:space="preserve"> Antitrust Exemption’ (2000) </w:t>
      </w:r>
      <w:r>
        <w:rPr>
          <w:lang w:val="en-GB"/>
        </w:rPr>
        <w:t xml:space="preserve">21 </w:t>
      </w:r>
      <w:r w:rsidRPr="00F54143">
        <w:rPr>
          <w:iCs/>
          <w:lang w:val="en-GB"/>
        </w:rPr>
        <w:t xml:space="preserve">Journal of </w:t>
      </w:r>
      <w:proofErr w:type="spellStart"/>
      <w:r w:rsidRPr="00F54143">
        <w:rPr>
          <w:iCs/>
          <w:lang w:val="en-GB"/>
        </w:rPr>
        <w:t>Labor</w:t>
      </w:r>
      <w:proofErr w:type="spellEnd"/>
      <w:r w:rsidRPr="00F54143">
        <w:rPr>
          <w:iCs/>
          <w:lang w:val="en-GB"/>
        </w:rPr>
        <w:t xml:space="preserve"> Research</w:t>
      </w:r>
      <w:r w:rsidRPr="00C76C31">
        <w:rPr>
          <w:iCs/>
          <w:lang w:val="en-GB"/>
        </w:rPr>
        <w:t xml:space="preserve"> </w:t>
      </w:r>
      <w:r>
        <w:rPr>
          <w:lang w:val="en-GB"/>
        </w:rPr>
        <w:t>563</w:t>
      </w:r>
      <w:r w:rsidRPr="003371F3">
        <w:rPr>
          <w:lang w:val="en-GB"/>
        </w:rPr>
        <w:t xml:space="preserve">. </w:t>
      </w:r>
    </w:p>
  </w:footnote>
  <w:footnote w:id="72">
    <w:p w14:paraId="47202EE5" w14:textId="690189F4" w:rsidR="00F60F82" w:rsidRPr="003371F3" w:rsidRDefault="00F60F82" w:rsidP="008B6B75">
      <w:pPr>
        <w:pStyle w:val="FootnoteText"/>
        <w:spacing w:line="480" w:lineRule="auto"/>
        <w:rPr>
          <w:lang w:val="en-GB"/>
        </w:rPr>
      </w:pPr>
      <w:r w:rsidRPr="003371F3">
        <w:rPr>
          <w:rStyle w:val="FootnoteReference"/>
          <w:lang w:val="en-GB"/>
        </w:rPr>
        <w:footnoteRef/>
      </w:r>
      <w:r w:rsidRPr="003371F3">
        <w:rPr>
          <w:lang w:val="en-GB"/>
        </w:rPr>
        <w:t xml:space="preserve"> </w:t>
      </w:r>
      <w:r w:rsidRPr="003371F3">
        <w:rPr>
          <w:i/>
          <w:lang w:val="en-GB"/>
        </w:rPr>
        <w:t>Duplex Printing Press Co. v Deering et al.</w:t>
      </w:r>
      <w:r w:rsidRPr="003371F3">
        <w:rPr>
          <w:lang w:val="en-GB"/>
        </w:rPr>
        <w:t xml:space="preserve"> (1920) U.S. 443, at 465. </w:t>
      </w:r>
    </w:p>
  </w:footnote>
  <w:footnote w:id="73">
    <w:p w14:paraId="38B3D318" w14:textId="77777777" w:rsidR="00F60F82" w:rsidRPr="003371F3" w:rsidRDefault="00F60F82" w:rsidP="008B6B75">
      <w:pPr>
        <w:pStyle w:val="FootnoteText"/>
        <w:spacing w:line="480" w:lineRule="auto"/>
        <w:rPr>
          <w:lang w:val="en-GB"/>
        </w:rPr>
      </w:pPr>
      <w:r w:rsidRPr="003371F3">
        <w:rPr>
          <w:rStyle w:val="FootnoteReference"/>
          <w:lang w:val="en-GB"/>
        </w:rPr>
        <w:footnoteRef/>
      </w:r>
      <w:r w:rsidRPr="003371F3">
        <w:rPr>
          <w:lang w:val="en-GB"/>
        </w:rPr>
        <w:t xml:space="preserve"> </w:t>
      </w:r>
      <w:r w:rsidRPr="003371F3">
        <w:rPr>
          <w:i/>
          <w:lang w:val="en-GB"/>
        </w:rPr>
        <w:t>United States v Hutcheson</w:t>
      </w:r>
      <w:r w:rsidRPr="003371F3">
        <w:rPr>
          <w:lang w:val="en-GB"/>
        </w:rPr>
        <w:t>, 312 U.S. 219 (1940).</w:t>
      </w:r>
    </w:p>
  </w:footnote>
  <w:footnote w:id="74">
    <w:p w14:paraId="65B619A1" w14:textId="445BC78C" w:rsidR="00F60F82" w:rsidRPr="003371F3" w:rsidRDefault="00F60F82" w:rsidP="008B6B75">
      <w:pPr>
        <w:pStyle w:val="FootnoteText"/>
        <w:spacing w:line="480" w:lineRule="auto"/>
        <w:rPr>
          <w:lang w:val="en-GB"/>
        </w:rPr>
      </w:pPr>
      <w:r w:rsidRPr="003371F3">
        <w:rPr>
          <w:rStyle w:val="FootnoteReference"/>
          <w:lang w:val="en-GB"/>
        </w:rPr>
        <w:footnoteRef/>
      </w:r>
      <w:r w:rsidRPr="003371F3">
        <w:rPr>
          <w:lang w:val="en-GB"/>
        </w:rPr>
        <w:t xml:space="preserve"> </w:t>
      </w:r>
      <w:r>
        <w:rPr>
          <w:lang w:val="en-GB"/>
        </w:rPr>
        <w:t>R A Mann, B Powers</w:t>
      </w:r>
      <w:r w:rsidR="008C6773">
        <w:rPr>
          <w:lang w:val="en-GB"/>
        </w:rPr>
        <w:t xml:space="preserve"> and</w:t>
      </w:r>
      <w:r>
        <w:rPr>
          <w:lang w:val="en-GB"/>
        </w:rPr>
        <w:t xml:space="preserve"> B S</w:t>
      </w:r>
      <w:r w:rsidRPr="003371F3">
        <w:rPr>
          <w:lang w:val="en-GB"/>
        </w:rPr>
        <w:t xml:space="preserve"> Roberts ‘The Accommodation Between Antitrust and </w:t>
      </w:r>
      <w:proofErr w:type="spellStart"/>
      <w:r w:rsidRPr="003371F3">
        <w:rPr>
          <w:lang w:val="en-GB"/>
        </w:rPr>
        <w:t>Labor</w:t>
      </w:r>
      <w:proofErr w:type="spellEnd"/>
      <w:r w:rsidRPr="003371F3">
        <w:rPr>
          <w:lang w:val="en-GB"/>
        </w:rPr>
        <w:t xml:space="preserve"> Law: </w:t>
      </w:r>
      <w:proofErr w:type="gramStart"/>
      <w:r w:rsidRPr="003371F3">
        <w:rPr>
          <w:lang w:val="en-GB"/>
        </w:rPr>
        <w:t>the</w:t>
      </w:r>
      <w:proofErr w:type="gramEnd"/>
      <w:r w:rsidRPr="003371F3">
        <w:rPr>
          <w:lang w:val="en-GB"/>
        </w:rPr>
        <w:t xml:space="preserve"> Antitrust Law Exemption’ (1979) </w:t>
      </w:r>
      <w:r>
        <w:rPr>
          <w:lang w:val="en-GB"/>
        </w:rPr>
        <w:t xml:space="preserve">30 </w:t>
      </w:r>
      <w:proofErr w:type="spellStart"/>
      <w:r w:rsidRPr="00F54143">
        <w:rPr>
          <w:iCs/>
          <w:lang w:val="en-GB"/>
        </w:rPr>
        <w:t>Labor</w:t>
      </w:r>
      <w:proofErr w:type="spellEnd"/>
      <w:r w:rsidRPr="00F54143">
        <w:rPr>
          <w:iCs/>
          <w:lang w:val="en-GB"/>
        </w:rPr>
        <w:t xml:space="preserve"> Law Journal</w:t>
      </w:r>
      <w:r w:rsidRPr="00C76C31">
        <w:rPr>
          <w:iCs/>
          <w:lang w:val="en-GB"/>
        </w:rPr>
        <w:t xml:space="preserve"> </w:t>
      </w:r>
      <w:r>
        <w:rPr>
          <w:lang w:val="en-GB"/>
        </w:rPr>
        <w:t>295</w:t>
      </w:r>
      <w:r w:rsidRPr="003371F3">
        <w:rPr>
          <w:lang w:val="en-GB"/>
        </w:rPr>
        <w:t>.</w:t>
      </w:r>
    </w:p>
  </w:footnote>
  <w:footnote w:id="75">
    <w:p w14:paraId="1602347F" w14:textId="100319A2" w:rsidR="00F60F82" w:rsidRPr="003371F3" w:rsidRDefault="00F60F82" w:rsidP="008B6B75">
      <w:pPr>
        <w:pStyle w:val="FootnoteText"/>
        <w:spacing w:line="480" w:lineRule="auto"/>
        <w:rPr>
          <w:lang w:val="en-GB"/>
        </w:rPr>
      </w:pPr>
      <w:r w:rsidRPr="003371F3">
        <w:rPr>
          <w:rStyle w:val="FootnoteReference"/>
          <w:lang w:val="en-GB"/>
        </w:rPr>
        <w:footnoteRef/>
      </w:r>
      <w:r w:rsidRPr="003371F3">
        <w:rPr>
          <w:lang w:val="en-GB"/>
        </w:rPr>
        <w:t xml:space="preserve"> </w:t>
      </w:r>
      <w:r w:rsidRPr="003371F3">
        <w:rPr>
          <w:i/>
          <w:lang w:val="en-GB"/>
        </w:rPr>
        <w:t>Apex Hosiery Co. v Leader et al.</w:t>
      </w:r>
      <w:r w:rsidRPr="003371F3">
        <w:rPr>
          <w:lang w:val="en-GB"/>
        </w:rPr>
        <w:t xml:space="preserve"> (1940) 310 U.S. 469, at 504.</w:t>
      </w:r>
    </w:p>
  </w:footnote>
  <w:footnote w:id="76">
    <w:p w14:paraId="6DA49B0A" w14:textId="61FB122C" w:rsidR="00F60F82" w:rsidRPr="003371F3" w:rsidRDefault="00F60F82" w:rsidP="008B6B75">
      <w:pPr>
        <w:pStyle w:val="FootnoteText"/>
        <w:spacing w:line="480" w:lineRule="auto"/>
        <w:rPr>
          <w:lang w:val="en-GB"/>
        </w:rPr>
      </w:pPr>
      <w:r w:rsidRPr="003371F3">
        <w:rPr>
          <w:rStyle w:val="FootnoteReference"/>
          <w:lang w:val="en-GB"/>
        </w:rPr>
        <w:footnoteRef/>
      </w:r>
      <w:r w:rsidRPr="003371F3">
        <w:rPr>
          <w:lang w:val="en-GB"/>
        </w:rPr>
        <w:t xml:space="preserve"> Ibid, </w:t>
      </w:r>
      <w:r>
        <w:rPr>
          <w:lang w:val="en-GB"/>
        </w:rPr>
        <w:t>p</w:t>
      </w:r>
      <w:r w:rsidRPr="003371F3">
        <w:rPr>
          <w:lang w:val="en-GB"/>
        </w:rPr>
        <w:t xml:space="preserve"> 511.</w:t>
      </w:r>
    </w:p>
  </w:footnote>
  <w:footnote w:id="77">
    <w:p w14:paraId="5EDCC398" w14:textId="77F51645" w:rsidR="00F60F82" w:rsidRPr="003371F3" w:rsidRDefault="00F60F82" w:rsidP="008B6B75">
      <w:pPr>
        <w:pStyle w:val="FootnoteText"/>
        <w:spacing w:line="480" w:lineRule="auto"/>
        <w:rPr>
          <w:lang w:val="en-GB"/>
        </w:rPr>
      </w:pPr>
      <w:r w:rsidRPr="003371F3">
        <w:rPr>
          <w:rStyle w:val="FootnoteReference"/>
          <w:lang w:val="en-GB"/>
        </w:rPr>
        <w:footnoteRef/>
      </w:r>
      <w:r>
        <w:rPr>
          <w:lang w:val="en-GB"/>
        </w:rPr>
        <w:t xml:space="preserve"> Ibid, p</w:t>
      </w:r>
      <w:r w:rsidRPr="003371F3">
        <w:rPr>
          <w:lang w:val="en-GB"/>
        </w:rPr>
        <w:t xml:space="preserve"> 503.</w:t>
      </w:r>
    </w:p>
  </w:footnote>
  <w:footnote w:id="78">
    <w:p w14:paraId="56488CE3" w14:textId="77777777" w:rsidR="00F60F82" w:rsidRPr="003371F3" w:rsidRDefault="00F60F82" w:rsidP="008B6B75">
      <w:pPr>
        <w:pStyle w:val="FootnoteText"/>
        <w:spacing w:line="480" w:lineRule="auto"/>
        <w:rPr>
          <w:lang w:val="en-GB"/>
        </w:rPr>
      </w:pPr>
      <w:r w:rsidRPr="003371F3">
        <w:rPr>
          <w:rStyle w:val="FootnoteReference"/>
          <w:lang w:val="en-GB"/>
        </w:rPr>
        <w:footnoteRef/>
      </w:r>
      <w:r w:rsidRPr="003371F3">
        <w:rPr>
          <w:lang w:val="en-GB"/>
        </w:rPr>
        <w:t xml:space="preserve"> </w:t>
      </w:r>
      <w:r w:rsidRPr="003371F3">
        <w:rPr>
          <w:i/>
          <w:lang w:val="en-GB"/>
        </w:rPr>
        <w:t>Allen Bradley Co. et al. v Local Union No.3</w:t>
      </w:r>
      <w:r w:rsidRPr="003371F3">
        <w:rPr>
          <w:lang w:val="en-GB"/>
        </w:rPr>
        <w:t xml:space="preserve">, 325 U.S. 797 (1945), </w:t>
      </w:r>
      <w:r>
        <w:rPr>
          <w:lang w:val="en-GB"/>
        </w:rPr>
        <w:t>p</w:t>
      </w:r>
      <w:r w:rsidRPr="003371F3">
        <w:rPr>
          <w:lang w:val="en-GB"/>
        </w:rPr>
        <w:t xml:space="preserve"> 808.</w:t>
      </w:r>
    </w:p>
  </w:footnote>
  <w:footnote w:id="79">
    <w:p w14:paraId="3851C52B" w14:textId="77777777" w:rsidR="00F60F82" w:rsidRPr="003371F3" w:rsidRDefault="00F60F82" w:rsidP="008B6B75">
      <w:pPr>
        <w:pStyle w:val="FootnoteText"/>
        <w:spacing w:line="480" w:lineRule="auto"/>
        <w:rPr>
          <w:lang w:val="en-GB"/>
        </w:rPr>
      </w:pPr>
      <w:r w:rsidRPr="003371F3">
        <w:rPr>
          <w:rStyle w:val="FootnoteReference"/>
          <w:lang w:val="en-GB"/>
        </w:rPr>
        <w:footnoteRef/>
      </w:r>
      <w:r w:rsidRPr="003371F3">
        <w:rPr>
          <w:lang w:val="en-GB"/>
        </w:rPr>
        <w:t xml:space="preserve"> </w:t>
      </w:r>
      <w:r w:rsidRPr="003371F3">
        <w:rPr>
          <w:i/>
          <w:lang w:val="en-GB"/>
        </w:rPr>
        <w:t>United Workers of America v James Pennington</w:t>
      </w:r>
      <w:r w:rsidRPr="003371F3">
        <w:rPr>
          <w:lang w:val="en-GB"/>
        </w:rPr>
        <w:t>, 381 U.S. 657 (1965).</w:t>
      </w:r>
    </w:p>
  </w:footnote>
  <w:footnote w:id="80">
    <w:p w14:paraId="3405E142" w14:textId="106451AD" w:rsidR="00F60F82" w:rsidRPr="003371F3" w:rsidRDefault="00F60F82" w:rsidP="008B6B75">
      <w:pPr>
        <w:pStyle w:val="FootnoteText"/>
        <w:spacing w:line="480" w:lineRule="auto"/>
        <w:rPr>
          <w:lang w:val="en-GB"/>
        </w:rPr>
      </w:pPr>
      <w:r w:rsidRPr="003371F3">
        <w:rPr>
          <w:rStyle w:val="FootnoteReference"/>
          <w:lang w:val="en-GB"/>
        </w:rPr>
        <w:footnoteRef/>
      </w:r>
      <w:r>
        <w:rPr>
          <w:lang w:val="en-GB"/>
        </w:rPr>
        <w:t xml:space="preserve"> Ibid, p</w:t>
      </w:r>
      <w:r w:rsidRPr="003371F3">
        <w:rPr>
          <w:lang w:val="en-GB"/>
        </w:rPr>
        <w:t xml:space="preserve"> 663.</w:t>
      </w:r>
    </w:p>
  </w:footnote>
  <w:footnote w:id="81">
    <w:p w14:paraId="609F6443" w14:textId="77777777" w:rsidR="00F60F82" w:rsidRPr="003371F3" w:rsidRDefault="00F60F82" w:rsidP="008B6B75">
      <w:pPr>
        <w:pStyle w:val="FootnoteText"/>
        <w:spacing w:line="480" w:lineRule="auto"/>
        <w:rPr>
          <w:lang w:val="en-GB"/>
        </w:rPr>
      </w:pPr>
      <w:r w:rsidRPr="003371F3">
        <w:rPr>
          <w:rStyle w:val="FootnoteReference"/>
          <w:lang w:val="en-GB"/>
        </w:rPr>
        <w:footnoteRef/>
      </w:r>
      <w:r w:rsidRPr="003371F3">
        <w:rPr>
          <w:lang w:val="en-GB"/>
        </w:rPr>
        <w:t xml:space="preserve"> </w:t>
      </w:r>
      <w:r w:rsidRPr="003371F3">
        <w:rPr>
          <w:i/>
          <w:lang w:val="en-GB"/>
        </w:rPr>
        <w:t>Local Union No.189,</w:t>
      </w:r>
      <w:r w:rsidRPr="003371F3">
        <w:rPr>
          <w:lang w:val="en-GB"/>
        </w:rPr>
        <w:t xml:space="preserve"> </w:t>
      </w:r>
      <w:r w:rsidRPr="003371F3">
        <w:rPr>
          <w:i/>
          <w:lang w:val="en-GB"/>
        </w:rPr>
        <w:t>Amalgamated Meat Cutters v Jewel Tea Company, Inc.</w:t>
      </w:r>
      <w:r>
        <w:rPr>
          <w:lang w:val="en-GB"/>
        </w:rPr>
        <w:t>, 381 U.S. 674 (1965),</w:t>
      </w:r>
      <w:r w:rsidRPr="003371F3">
        <w:rPr>
          <w:lang w:val="en-GB"/>
        </w:rPr>
        <w:t xml:space="preserve"> emphasis added. </w:t>
      </w:r>
    </w:p>
  </w:footnote>
  <w:footnote w:id="82">
    <w:p w14:paraId="5DD63C86" w14:textId="739E1005" w:rsidR="00F60F82" w:rsidRPr="003371F3" w:rsidRDefault="00F60F82" w:rsidP="008B6B75">
      <w:pPr>
        <w:pStyle w:val="FootnoteText"/>
        <w:spacing w:line="480" w:lineRule="auto"/>
        <w:rPr>
          <w:lang w:val="en-GB"/>
        </w:rPr>
      </w:pPr>
      <w:r w:rsidRPr="003371F3">
        <w:rPr>
          <w:rStyle w:val="FootnoteReference"/>
          <w:lang w:val="en-GB"/>
        </w:rPr>
        <w:footnoteRef/>
      </w:r>
      <w:r w:rsidRPr="003371F3">
        <w:rPr>
          <w:lang w:val="en-GB"/>
        </w:rPr>
        <w:t xml:space="preserve"> </w:t>
      </w:r>
      <w:r w:rsidRPr="003371F3">
        <w:rPr>
          <w:i/>
          <w:lang w:val="en-GB"/>
        </w:rPr>
        <w:t>Connell Construction Company, Inc. v Plumbers and Steamfitters Local Union</w:t>
      </w:r>
      <w:r w:rsidRPr="003371F3">
        <w:rPr>
          <w:lang w:val="en-GB"/>
        </w:rPr>
        <w:t xml:space="preserve">, No.100, 421 U.S. 616 (1974). </w:t>
      </w:r>
    </w:p>
  </w:footnote>
  <w:footnote w:id="83">
    <w:p w14:paraId="7EDCC6E1" w14:textId="11D9762C" w:rsidR="00F60F82" w:rsidRPr="003371F3" w:rsidRDefault="00F60F82" w:rsidP="008B6B75">
      <w:pPr>
        <w:pStyle w:val="FootnoteText"/>
        <w:spacing w:line="480" w:lineRule="auto"/>
        <w:rPr>
          <w:lang w:val="en-GB"/>
        </w:rPr>
      </w:pPr>
      <w:r w:rsidRPr="003371F3">
        <w:rPr>
          <w:rStyle w:val="FootnoteReference"/>
          <w:lang w:val="en-GB"/>
        </w:rPr>
        <w:footnoteRef/>
      </w:r>
      <w:r>
        <w:rPr>
          <w:lang w:val="en-GB"/>
        </w:rPr>
        <w:t xml:space="preserve"> Ibid, p</w:t>
      </w:r>
      <w:r w:rsidRPr="003371F3">
        <w:rPr>
          <w:lang w:val="en-GB"/>
        </w:rPr>
        <w:t xml:space="preserve"> 640.</w:t>
      </w:r>
    </w:p>
  </w:footnote>
  <w:footnote w:id="84">
    <w:p w14:paraId="76C69CA5" w14:textId="77777777" w:rsidR="00F60F82" w:rsidRPr="003371F3" w:rsidRDefault="00F60F82" w:rsidP="008B6B75">
      <w:pPr>
        <w:pStyle w:val="FootnoteText"/>
        <w:spacing w:line="480" w:lineRule="auto"/>
        <w:rPr>
          <w:lang w:val="en-GB"/>
        </w:rPr>
      </w:pPr>
      <w:r w:rsidRPr="003371F3">
        <w:rPr>
          <w:rStyle w:val="FootnoteReference"/>
          <w:lang w:val="en-GB"/>
        </w:rPr>
        <w:footnoteRef/>
      </w:r>
      <w:r w:rsidRPr="003371F3">
        <w:rPr>
          <w:lang w:val="en-GB"/>
        </w:rPr>
        <w:t xml:space="preserve"> </w:t>
      </w:r>
      <w:r w:rsidRPr="003371F3">
        <w:rPr>
          <w:i/>
          <w:lang w:val="en-GB"/>
        </w:rPr>
        <w:t>USS-</w:t>
      </w:r>
      <w:proofErr w:type="spellStart"/>
      <w:r w:rsidRPr="003371F3">
        <w:rPr>
          <w:i/>
          <w:lang w:val="en-GB"/>
        </w:rPr>
        <w:t>Posco</w:t>
      </w:r>
      <w:proofErr w:type="spellEnd"/>
      <w:r w:rsidRPr="003371F3">
        <w:rPr>
          <w:i/>
          <w:lang w:val="en-GB"/>
        </w:rPr>
        <w:t xml:space="preserve"> Industries v County Building &amp; Construction Trades Council</w:t>
      </w:r>
      <w:r w:rsidRPr="003371F3">
        <w:rPr>
          <w:lang w:val="en-GB"/>
        </w:rPr>
        <w:t>, 31 F.3d 800 (9</w:t>
      </w:r>
      <w:r w:rsidRPr="003371F3">
        <w:rPr>
          <w:vertAlign w:val="superscript"/>
          <w:lang w:val="en-GB"/>
        </w:rPr>
        <w:t>th</w:t>
      </w:r>
      <w:r w:rsidRPr="003371F3">
        <w:rPr>
          <w:lang w:val="en-GB"/>
        </w:rPr>
        <w:t xml:space="preserve"> Cir. 1994). </w:t>
      </w:r>
    </w:p>
  </w:footnote>
  <w:footnote w:id="85">
    <w:p w14:paraId="3C747056" w14:textId="77777777" w:rsidR="00F60F82" w:rsidRPr="003371F3" w:rsidRDefault="00F60F82" w:rsidP="008B6B75">
      <w:pPr>
        <w:pStyle w:val="FootnoteText"/>
        <w:spacing w:line="480" w:lineRule="auto"/>
        <w:rPr>
          <w:lang w:val="en-GB"/>
        </w:rPr>
      </w:pPr>
      <w:r w:rsidRPr="003371F3">
        <w:rPr>
          <w:rStyle w:val="FootnoteReference"/>
          <w:lang w:val="en-GB"/>
        </w:rPr>
        <w:footnoteRef/>
      </w:r>
      <w:r w:rsidRPr="003371F3">
        <w:rPr>
          <w:lang w:val="en-GB"/>
        </w:rPr>
        <w:t xml:space="preserve"> Ibid, </w:t>
      </w:r>
      <w:r>
        <w:rPr>
          <w:lang w:val="en-GB"/>
        </w:rPr>
        <w:t>p</w:t>
      </w:r>
      <w:r w:rsidRPr="003371F3">
        <w:rPr>
          <w:lang w:val="en-GB"/>
        </w:rPr>
        <w:t xml:space="preserve"> 808.</w:t>
      </w:r>
    </w:p>
  </w:footnote>
  <w:footnote w:id="86">
    <w:p w14:paraId="5A065999" w14:textId="5E972E41" w:rsidR="00F60F82" w:rsidRPr="003371F3" w:rsidRDefault="00F60F82" w:rsidP="008B6B75">
      <w:pPr>
        <w:pStyle w:val="FootnoteText"/>
        <w:spacing w:line="480" w:lineRule="auto"/>
        <w:jc w:val="both"/>
        <w:rPr>
          <w:rFonts w:cs="Times"/>
          <w:szCs w:val="20"/>
          <w:lang w:val="en-GB"/>
        </w:rPr>
      </w:pPr>
      <w:r w:rsidRPr="003371F3">
        <w:rPr>
          <w:rStyle w:val="coidrelatedinfocourtline2"/>
          <w:rFonts w:cs="Times"/>
          <w:szCs w:val="20"/>
          <w:vertAlign w:val="superscript"/>
          <w:lang w:val="en-GB"/>
        </w:rPr>
        <w:footnoteRef/>
      </w:r>
      <w:r w:rsidRPr="003371F3">
        <w:rPr>
          <w:rFonts w:cs="Times"/>
          <w:szCs w:val="20"/>
          <w:lang w:val="en-GB"/>
        </w:rPr>
        <w:t xml:space="preserve"> </w:t>
      </w:r>
      <w:r w:rsidRPr="00B04B39">
        <w:rPr>
          <w:rFonts w:cs="Times"/>
          <w:bCs/>
          <w:i/>
          <w:szCs w:val="20"/>
          <w:lang w:val="en-GB"/>
        </w:rPr>
        <w:t>Waugh Chapel South, LLC v United Food &amp; Commercial Workers Union Local</w:t>
      </w:r>
      <w:r w:rsidRPr="00B04B39">
        <w:rPr>
          <w:rFonts w:cs="Times"/>
          <w:bCs/>
          <w:szCs w:val="20"/>
          <w:lang w:val="en-GB"/>
        </w:rPr>
        <w:t xml:space="preserve"> 27</w:t>
      </w:r>
      <w:r w:rsidRPr="003371F3">
        <w:rPr>
          <w:rStyle w:val="coidrelatedinfocitations2"/>
          <w:rFonts w:cs="Times"/>
          <w:szCs w:val="20"/>
          <w:lang w:val="en-GB"/>
        </w:rPr>
        <w:t>855 F.Supp.2d 476</w:t>
      </w:r>
      <w:r w:rsidRPr="003371F3">
        <w:rPr>
          <w:rStyle w:val="coidrelatedinfocourtline2"/>
          <w:rFonts w:cs="Times"/>
          <w:szCs w:val="20"/>
          <w:lang w:val="en-GB"/>
        </w:rPr>
        <w:t xml:space="preserve">, </w:t>
      </w:r>
      <w:proofErr w:type="spellStart"/>
      <w:r w:rsidRPr="003371F3">
        <w:rPr>
          <w:rStyle w:val="coidrelatedinfocourtline2"/>
          <w:rFonts w:cs="Times"/>
          <w:szCs w:val="20"/>
          <w:lang w:val="en-GB"/>
        </w:rPr>
        <w:t>D.Md</w:t>
      </w:r>
      <w:proofErr w:type="spellEnd"/>
      <w:r w:rsidRPr="003371F3">
        <w:rPr>
          <w:rStyle w:val="coidrelatedinfocourtline2"/>
          <w:rFonts w:cs="Times"/>
          <w:szCs w:val="20"/>
          <w:lang w:val="en-GB"/>
        </w:rPr>
        <w:t xml:space="preserve"> (2012).</w:t>
      </w:r>
    </w:p>
  </w:footnote>
  <w:footnote w:id="87">
    <w:p w14:paraId="40A831ED" w14:textId="02C4B187" w:rsidR="00F60F82" w:rsidRPr="00EC7621" w:rsidRDefault="00F60F82" w:rsidP="008B6B75">
      <w:pPr>
        <w:pStyle w:val="FootnoteText"/>
        <w:spacing w:line="480" w:lineRule="auto"/>
        <w:jc w:val="both"/>
        <w:rPr>
          <w:rFonts w:ascii="Times New Roman" w:hAnsi="Times New Roman" w:cs="Times New Roman"/>
          <w:szCs w:val="20"/>
          <w:lang w:val="en-GB"/>
        </w:rPr>
      </w:pPr>
      <w:r w:rsidRPr="003371F3">
        <w:rPr>
          <w:rStyle w:val="FootnoteReference"/>
          <w:lang w:val="en-GB"/>
        </w:rPr>
        <w:footnoteRef/>
      </w:r>
      <w:r w:rsidRPr="003371F3">
        <w:rPr>
          <w:lang w:val="en-GB"/>
        </w:rPr>
        <w:t xml:space="preserve"> </w:t>
      </w:r>
      <w:r>
        <w:rPr>
          <w:lang w:val="en-GB"/>
        </w:rPr>
        <w:t xml:space="preserve">See </w:t>
      </w:r>
      <w:proofErr w:type="spellStart"/>
      <w:r>
        <w:rPr>
          <w:lang w:val="en-GB"/>
        </w:rPr>
        <w:t>Gavil</w:t>
      </w:r>
      <w:proofErr w:type="spellEnd"/>
      <w:r>
        <w:rPr>
          <w:lang w:val="en-GB"/>
        </w:rPr>
        <w:t xml:space="preserve"> et al., above n 13, p 259; </w:t>
      </w:r>
      <w:r w:rsidRPr="00B3712C">
        <w:rPr>
          <w:i/>
          <w:lang w:val="en-GB"/>
        </w:rPr>
        <w:t>Polygram Holding Inc. v FTC</w:t>
      </w:r>
      <w:r w:rsidRPr="00014328">
        <w:rPr>
          <w:lang w:val="en-GB"/>
        </w:rPr>
        <w:t>, F.3d 29, (D.C. Cir. 2005)</w:t>
      </w:r>
      <w:r>
        <w:rPr>
          <w:lang w:val="en-GB"/>
        </w:rPr>
        <w:t xml:space="preserve">; </w:t>
      </w:r>
      <w:proofErr w:type="spellStart"/>
      <w:r w:rsidRPr="00B3712C">
        <w:rPr>
          <w:i/>
          <w:lang w:val="en-GB"/>
        </w:rPr>
        <w:t>Realcomp</w:t>
      </w:r>
      <w:proofErr w:type="spellEnd"/>
      <w:r w:rsidRPr="00B3712C">
        <w:rPr>
          <w:i/>
          <w:lang w:val="en-GB"/>
        </w:rPr>
        <w:t xml:space="preserve"> II, Ltd. </w:t>
      </w:r>
      <w:r>
        <w:rPr>
          <w:i/>
          <w:lang w:val="en-GB"/>
        </w:rPr>
        <w:t>v</w:t>
      </w:r>
      <w:r w:rsidRPr="00B3712C">
        <w:rPr>
          <w:i/>
          <w:lang w:val="en-GB"/>
        </w:rPr>
        <w:t xml:space="preserve"> FTC</w:t>
      </w:r>
      <w:r>
        <w:rPr>
          <w:lang w:val="en-GB"/>
        </w:rPr>
        <w:t xml:space="preserve">, </w:t>
      </w:r>
      <w:r>
        <w:rPr>
          <w:rFonts w:cs="Times"/>
          <w:szCs w:val="20"/>
        </w:rPr>
        <w:t>635 F.3d 815</w:t>
      </w:r>
      <w:r w:rsidRPr="00A80779">
        <w:rPr>
          <w:rFonts w:cs="Times"/>
          <w:szCs w:val="20"/>
        </w:rPr>
        <w:t xml:space="preserve"> (6th Cir. 2011)</w:t>
      </w:r>
      <w:r>
        <w:rPr>
          <w:lang w:val="en-GB"/>
        </w:rPr>
        <w:t xml:space="preserve">; </w:t>
      </w:r>
      <w:r w:rsidRPr="00B3712C">
        <w:rPr>
          <w:i/>
          <w:lang w:val="en-GB"/>
        </w:rPr>
        <w:t>Standard Oil Company v United States</w:t>
      </w:r>
      <w:r>
        <w:rPr>
          <w:lang w:val="en-GB"/>
        </w:rPr>
        <w:t xml:space="preserve">, </w:t>
      </w:r>
      <w:r w:rsidRPr="00EC7621">
        <w:rPr>
          <w:rFonts w:ascii="Times New Roman" w:hAnsi="Times New Roman" w:cs="Times New Roman"/>
          <w:szCs w:val="20"/>
          <w:lang w:val="en"/>
        </w:rPr>
        <w:t>221 U.S. 1 (1911).</w:t>
      </w:r>
    </w:p>
  </w:footnote>
  <w:footnote w:id="88">
    <w:p w14:paraId="0F9027CB" w14:textId="4EDB47E2" w:rsidR="00F60F82" w:rsidRPr="003371F3" w:rsidRDefault="00F60F82" w:rsidP="008B6B75">
      <w:pPr>
        <w:pStyle w:val="FootnoteText"/>
        <w:spacing w:line="480" w:lineRule="auto"/>
        <w:rPr>
          <w:lang w:val="en-GB"/>
        </w:rPr>
      </w:pPr>
      <w:r w:rsidRPr="003371F3">
        <w:rPr>
          <w:rStyle w:val="FootnoteReference"/>
          <w:lang w:val="en-GB"/>
        </w:rPr>
        <w:footnoteRef/>
      </w:r>
      <w:r w:rsidRPr="003371F3">
        <w:rPr>
          <w:lang w:val="en-GB"/>
        </w:rPr>
        <w:t xml:space="preserve"> </w:t>
      </w:r>
      <w:r w:rsidRPr="003371F3">
        <w:rPr>
          <w:i/>
          <w:lang w:val="en-GB"/>
        </w:rPr>
        <w:t>Union Circulation Company v the Federal Trade Commission</w:t>
      </w:r>
      <w:r w:rsidRPr="003371F3">
        <w:rPr>
          <w:lang w:val="en-GB"/>
        </w:rPr>
        <w:t>, (1957) 241 F.2d 652.</w:t>
      </w:r>
    </w:p>
  </w:footnote>
  <w:footnote w:id="89">
    <w:p w14:paraId="2853504B" w14:textId="77777777" w:rsidR="00F60F82" w:rsidRPr="003371F3" w:rsidRDefault="00F60F82" w:rsidP="008B6B75">
      <w:pPr>
        <w:pStyle w:val="FootnoteText"/>
        <w:spacing w:line="480" w:lineRule="auto"/>
        <w:rPr>
          <w:lang w:val="en-GB"/>
        </w:rPr>
      </w:pPr>
      <w:r w:rsidRPr="003371F3">
        <w:rPr>
          <w:rStyle w:val="FootnoteReference"/>
          <w:lang w:val="en-GB"/>
        </w:rPr>
        <w:footnoteRef/>
      </w:r>
      <w:r w:rsidRPr="003371F3">
        <w:rPr>
          <w:lang w:val="en-GB"/>
        </w:rPr>
        <w:t xml:space="preserve"> </w:t>
      </w:r>
      <w:r w:rsidRPr="003371F3">
        <w:rPr>
          <w:i/>
          <w:lang w:val="en-GB"/>
        </w:rPr>
        <w:t>Donald F. Nichols v Spencer International Press</w:t>
      </w:r>
      <w:r w:rsidRPr="003371F3">
        <w:rPr>
          <w:lang w:val="en-GB"/>
        </w:rPr>
        <w:t>, 371 F.2d 332 (1967).</w:t>
      </w:r>
    </w:p>
  </w:footnote>
  <w:footnote w:id="90">
    <w:p w14:paraId="1F3C13E8" w14:textId="77777777" w:rsidR="00F60F82" w:rsidRPr="003371F3" w:rsidRDefault="00F60F82" w:rsidP="008B6B75">
      <w:pPr>
        <w:pStyle w:val="FootnoteText"/>
        <w:spacing w:line="480" w:lineRule="auto"/>
        <w:rPr>
          <w:lang w:val="en-GB"/>
        </w:rPr>
      </w:pPr>
      <w:r w:rsidRPr="003371F3">
        <w:rPr>
          <w:rStyle w:val="FootnoteReference"/>
          <w:lang w:val="en-GB"/>
        </w:rPr>
        <w:footnoteRef/>
      </w:r>
      <w:r w:rsidRPr="003371F3">
        <w:rPr>
          <w:lang w:val="en-GB"/>
        </w:rPr>
        <w:t xml:space="preserve"> </w:t>
      </w:r>
      <w:proofErr w:type="spellStart"/>
      <w:r w:rsidRPr="003371F3">
        <w:rPr>
          <w:i/>
          <w:lang w:val="en-GB"/>
        </w:rPr>
        <w:t>Eichorn</w:t>
      </w:r>
      <w:proofErr w:type="spellEnd"/>
      <w:r w:rsidRPr="003371F3">
        <w:rPr>
          <w:i/>
          <w:lang w:val="en-GB"/>
        </w:rPr>
        <w:t xml:space="preserve"> v AT &amp; T Corp.</w:t>
      </w:r>
      <w:r w:rsidRPr="003371F3">
        <w:rPr>
          <w:lang w:val="en-GB"/>
        </w:rPr>
        <w:t>, 248 F.3d 131 (3</w:t>
      </w:r>
      <w:r w:rsidRPr="003371F3">
        <w:rPr>
          <w:vertAlign w:val="superscript"/>
          <w:lang w:val="en-GB"/>
        </w:rPr>
        <w:t>rd</w:t>
      </w:r>
      <w:r w:rsidRPr="003371F3">
        <w:rPr>
          <w:lang w:val="en-GB"/>
        </w:rPr>
        <w:t xml:space="preserve"> Cir. 2001).</w:t>
      </w:r>
    </w:p>
  </w:footnote>
  <w:footnote w:id="91">
    <w:p w14:paraId="5ED469C5" w14:textId="77777777" w:rsidR="00F60F82" w:rsidRPr="003371F3" w:rsidRDefault="00F60F82" w:rsidP="008B6B75">
      <w:pPr>
        <w:pStyle w:val="FootnoteText"/>
        <w:spacing w:line="480" w:lineRule="auto"/>
        <w:rPr>
          <w:lang w:val="en-GB"/>
        </w:rPr>
      </w:pPr>
      <w:r w:rsidRPr="003371F3">
        <w:rPr>
          <w:rStyle w:val="FootnoteReference"/>
          <w:lang w:val="en-GB"/>
        </w:rPr>
        <w:footnoteRef/>
      </w:r>
      <w:r w:rsidRPr="003371F3">
        <w:rPr>
          <w:lang w:val="en-GB"/>
        </w:rPr>
        <w:t xml:space="preserve"> </w:t>
      </w:r>
      <w:r w:rsidRPr="003371F3">
        <w:rPr>
          <w:i/>
          <w:lang w:val="en-GB"/>
        </w:rPr>
        <w:t xml:space="preserve">Sam </w:t>
      </w:r>
      <w:proofErr w:type="spellStart"/>
      <w:r w:rsidRPr="003371F3">
        <w:rPr>
          <w:i/>
          <w:lang w:val="en-GB"/>
        </w:rPr>
        <w:t>Cardova</w:t>
      </w:r>
      <w:proofErr w:type="spellEnd"/>
      <w:r w:rsidRPr="003371F3">
        <w:rPr>
          <w:i/>
          <w:lang w:val="en-GB"/>
        </w:rPr>
        <w:t xml:space="preserve"> v Bache &amp; Co.</w:t>
      </w:r>
      <w:r w:rsidRPr="003371F3">
        <w:rPr>
          <w:lang w:val="en-GB"/>
        </w:rPr>
        <w:t xml:space="preserve">, 321 </w:t>
      </w:r>
      <w:proofErr w:type="spellStart"/>
      <w:r w:rsidRPr="003371F3">
        <w:rPr>
          <w:lang w:val="en-GB"/>
        </w:rPr>
        <w:t>F.Supp</w:t>
      </w:r>
      <w:proofErr w:type="spellEnd"/>
      <w:r w:rsidRPr="003371F3">
        <w:rPr>
          <w:lang w:val="en-GB"/>
        </w:rPr>
        <w:t xml:space="preserve"> 600 (1970).</w:t>
      </w:r>
    </w:p>
  </w:footnote>
  <w:footnote w:id="92">
    <w:p w14:paraId="15EA9724" w14:textId="4D6179A7" w:rsidR="00F60F82" w:rsidRPr="003371F3" w:rsidRDefault="00F60F82" w:rsidP="008B6B75">
      <w:pPr>
        <w:pStyle w:val="FootnoteText"/>
        <w:spacing w:line="480" w:lineRule="auto"/>
        <w:rPr>
          <w:lang w:val="en-GB"/>
        </w:rPr>
      </w:pPr>
      <w:r w:rsidRPr="003371F3">
        <w:rPr>
          <w:rStyle w:val="FootnoteReference"/>
          <w:lang w:val="en-GB"/>
        </w:rPr>
        <w:footnoteRef/>
      </w:r>
      <w:r w:rsidRPr="003371F3">
        <w:rPr>
          <w:lang w:val="en-GB"/>
        </w:rPr>
        <w:t xml:space="preserve"> </w:t>
      </w:r>
      <w:r w:rsidRPr="003371F3">
        <w:rPr>
          <w:i/>
          <w:lang w:val="en-GB"/>
        </w:rPr>
        <w:t>Ibid</w:t>
      </w:r>
      <w:r w:rsidRPr="003371F3">
        <w:rPr>
          <w:lang w:val="en-GB"/>
        </w:rPr>
        <w:t xml:space="preserve">, </w:t>
      </w:r>
      <w:r>
        <w:rPr>
          <w:lang w:val="en-GB"/>
        </w:rPr>
        <w:t>p</w:t>
      </w:r>
      <w:r w:rsidRPr="003371F3">
        <w:rPr>
          <w:lang w:val="en-GB"/>
        </w:rPr>
        <w:t xml:space="preserve"> 607, emphasis added.</w:t>
      </w:r>
    </w:p>
  </w:footnote>
  <w:footnote w:id="93">
    <w:p w14:paraId="63B4FB1F" w14:textId="77777777" w:rsidR="00F60F82" w:rsidRPr="003371F3" w:rsidRDefault="00F60F82" w:rsidP="008B6B75">
      <w:pPr>
        <w:pStyle w:val="FootnoteText"/>
        <w:spacing w:line="480" w:lineRule="auto"/>
        <w:rPr>
          <w:lang w:val="en-GB"/>
        </w:rPr>
      </w:pPr>
      <w:r w:rsidRPr="003371F3">
        <w:rPr>
          <w:rStyle w:val="FootnoteReference"/>
          <w:lang w:val="en-GB"/>
        </w:rPr>
        <w:footnoteRef/>
      </w:r>
      <w:r w:rsidRPr="003371F3">
        <w:rPr>
          <w:lang w:val="en-GB"/>
        </w:rPr>
        <w:t xml:space="preserve"> </w:t>
      </w:r>
      <w:r w:rsidRPr="003371F3">
        <w:rPr>
          <w:i/>
          <w:lang w:val="en-GB"/>
        </w:rPr>
        <w:t>Antony Brown v Pro Football, Inc.</w:t>
      </w:r>
      <w:r w:rsidRPr="003371F3">
        <w:rPr>
          <w:lang w:val="en-GB"/>
        </w:rPr>
        <w:t>, 518 U.S. 229 (1996).</w:t>
      </w:r>
    </w:p>
  </w:footnote>
  <w:footnote w:id="94">
    <w:p w14:paraId="3112B332" w14:textId="1C8B3318" w:rsidR="00F60F82" w:rsidRPr="003371F3" w:rsidRDefault="00F60F82" w:rsidP="008B6B75">
      <w:pPr>
        <w:pStyle w:val="FootnoteText"/>
        <w:spacing w:line="480" w:lineRule="auto"/>
        <w:rPr>
          <w:lang w:val="en-GB"/>
        </w:rPr>
      </w:pPr>
      <w:r w:rsidRPr="003371F3">
        <w:rPr>
          <w:rStyle w:val="FootnoteReference"/>
          <w:lang w:val="en-GB"/>
        </w:rPr>
        <w:footnoteRef/>
      </w:r>
      <w:r w:rsidRPr="003371F3">
        <w:rPr>
          <w:lang w:val="en-GB"/>
        </w:rPr>
        <w:t xml:space="preserve"> </w:t>
      </w:r>
      <w:r w:rsidR="00A950A3">
        <w:rPr>
          <w:i/>
          <w:iCs/>
          <w:lang w:val="en-GB"/>
        </w:rPr>
        <w:t>Connell Construction</w:t>
      </w:r>
      <w:r w:rsidR="00A950A3" w:rsidRPr="00F54143">
        <w:rPr>
          <w:lang w:val="en-GB"/>
        </w:rPr>
        <w:t>,</w:t>
      </w:r>
      <w:r w:rsidR="00A950A3">
        <w:rPr>
          <w:i/>
          <w:iCs/>
          <w:lang w:val="en-GB"/>
        </w:rPr>
        <w:t xml:space="preserve"> </w:t>
      </w:r>
      <w:r>
        <w:rPr>
          <w:lang w:val="en-GB"/>
        </w:rPr>
        <w:t>above n</w:t>
      </w:r>
      <w:r w:rsidRPr="003371F3">
        <w:rPr>
          <w:lang w:val="en-GB"/>
        </w:rPr>
        <w:t xml:space="preserve"> </w:t>
      </w:r>
      <w:r>
        <w:rPr>
          <w:lang w:val="en-GB"/>
        </w:rPr>
        <w:t>82</w:t>
      </w:r>
      <w:r w:rsidRPr="003371F3">
        <w:rPr>
          <w:lang w:val="en-GB"/>
        </w:rPr>
        <w:t>.</w:t>
      </w:r>
    </w:p>
  </w:footnote>
  <w:footnote w:id="95">
    <w:p w14:paraId="35716453" w14:textId="77777777" w:rsidR="00F60F82" w:rsidRPr="003371F3" w:rsidRDefault="00F60F82" w:rsidP="008B6B75">
      <w:pPr>
        <w:pStyle w:val="FootnoteText"/>
        <w:spacing w:line="480" w:lineRule="auto"/>
        <w:rPr>
          <w:lang w:val="en-GB"/>
        </w:rPr>
      </w:pPr>
      <w:r w:rsidRPr="003371F3">
        <w:rPr>
          <w:rStyle w:val="FootnoteReference"/>
          <w:lang w:val="en-GB"/>
        </w:rPr>
        <w:footnoteRef/>
      </w:r>
      <w:r w:rsidRPr="003371F3">
        <w:rPr>
          <w:lang w:val="en-GB"/>
        </w:rPr>
        <w:t xml:space="preserve"> </w:t>
      </w:r>
      <w:r w:rsidRPr="003371F3">
        <w:rPr>
          <w:i/>
          <w:lang w:val="en-GB"/>
        </w:rPr>
        <w:t>Antony Brown</w:t>
      </w:r>
      <w:r>
        <w:rPr>
          <w:lang w:val="en-GB"/>
        </w:rPr>
        <w:t xml:space="preserve">, </w:t>
      </w:r>
      <w:r w:rsidRPr="003371F3">
        <w:rPr>
          <w:lang w:val="en-GB"/>
        </w:rPr>
        <w:t>above</w:t>
      </w:r>
      <w:r>
        <w:rPr>
          <w:lang w:val="en-GB"/>
        </w:rPr>
        <w:t xml:space="preserve"> n 93, p</w:t>
      </w:r>
      <w:r w:rsidRPr="003371F3">
        <w:rPr>
          <w:lang w:val="en-GB"/>
        </w:rPr>
        <w:t xml:space="preserve"> 231.</w:t>
      </w:r>
    </w:p>
  </w:footnote>
  <w:footnote w:id="96">
    <w:p w14:paraId="5A2291DA" w14:textId="153676F4" w:rsidR="00F60F82" w:rsidRPr="003371F3" w:rsidRDefault="00F60F82" w:rsidP="008B6B75">
      <w:pPr>
        <w:pStyle w:val="FootnoteText"/>
        <w:spacing w:line="480" w:lineRule="auto"/>
        <w:jc w:val="both"/>
        <w:rPr>
          <w:lang w:val="en-GB"/>
        </w:rPr>
      </w:pPr>
      <w:r w:rsidRPr="003371F3">
        <w:rPr>
          <w:rStyle w:val="FootnoteReference"/>
          <w:lang w:val="en-GB"/>
        </w:rPr>
        <w:footnoteRef/>
      </w:r>
      <w:r w:rsidRPr="003371F3">
        <w:rPr>
          <w:lang w:val="en-GB"/>
        </w:rPr>
        <w:t xml:space="preserve"> </w:t>
      </w:r>
      <w:r w:rsidRPr="003371F3">
        <w:rPr>
          <w:i/>
          <w:lang w:val="en-GB"/>
        </w:rPr>
        <w:t xml:space="preserve">Wendy Fleischman v Albany Medical </w:t>
      </w:r>
      <w:proofErr w:type="spellStart"/>
      <w:r w:rsidRPr="003371F3">
        <w:rPr>
          <w:i/>
          <w:lang w:val="en-GB"/>
        </w:rPr>
        <w:t>Center</w:t>
      </w:r>
      <w:proofErr w:type="spellEnd"/>
      <w:r w:rsidRPr="003371F3">
        <w:rPr>
          <w:lang w:val="en-GB"/>
        </w:rPr>
        <w:t>, 728 F.Supp.2.d 130 (N.D.N.Y. 2010), at 162. See also Federal Trade Commission/Department of Justice Joint Statement of Antitrust Policy in He</w:t>
      </w:r>
      <w:r>
        <w:rPr>
          <w:lang w:val="en-GB"/>
        </w:rPr>
        <w:t>althcare (1996),</w:t>
      </w:r>
      <w:r w:rsidR="00A950A3">
        <w:rPr>
          <w:lang w:val="en-GB"/>
        </w:rPr>
        <w:t xml:space="preserve"> available at</w:t>
      </w:r>
      <w:r>
        <w:rPr>
          <w:lang w:val="en-GB"/>
        </w:rPr>
        <w:t xml:space="preserve"> </w:t>
      </w:r>
      <w:r w:rsidRPr="003371F3">
        <w:rPr>
          <w:lang w:val="en-GB"/>
        </w:rPr>
        <w:t>https://www.ftc.gov/sites/default/files/attachments/competition-policy-guidance/statements_of_antitrust_enforcement_policy_</w:t>
      </w:r>
      <w:r>
        <w:rPr>
          <w:lang w:val="en-GB"/>
        </w:rPr>
        <w:t>in_health_care_august_1996.pdf (16 January 2020).</w:t>
      </w:r>
    </w:p>
  </w:footnote>
  <w:footnote w:id="97">
    <w:p w14:paraId="7B423FE5" w14:textId="657E3599" w:rsidR="00F60F82" w:rsidRPr="003371F3" w:rsidRDefault="00F60F82" w:rsidP="008B6B75">
      <w:pPr>
        <w:pStyle w:val="FootnoteText"/>
        <w:spacing w:line="480" w:lineRule="auto"/>
        <w:jc w:val="both"/>
        <w:rPr>
          <w:lang w:val="en-GB"/>
        </w:rPr>
      </w:pPr>
      <w:r w:rsidRPr="003371F3">
        <w:rPr>
          <w:rStyle w:val="FootnoteReference"/>
          <w:lang w:val="en-GB"/>
        </w:rPr>
        <w:footnoteRef/>
      </w:r>
      <w:r w:rsidRPr="003371F3">
        <w:rPr>
          <w:lang w:val="en-GB"/>
        </w:rPr>
        <w:t xml:space="preserve"> </w:t>
      </w:r>
      <w:r w:rsidRPr="003371F3">
        <w:rPr>
          <w:i/>
          <w:lang w:val="en-GB"/>
        </w:rPr>
        <w:t xml:space="preserve">Wendy Fleischman, </w:t>
      </w:r>
      <w:r w:rsidRPr="003371F3">
        <w:rPr>
          <w:lang w:val="en-GB"/>
        </w:rPr>
        <w:t xml:space="preserve">ibid, </w:t>
      </w:r>
      <w:r>
        <w:rPr>
          <w:lang w:val="en-GB"/>
        </w:rPr>
        <w:t>p</w:t>
      </w:r>
      <w:r w:rsidRPr="003371F3">
        <w:rPr>
          <w:lang w:val="en-GB"/>
        </w:rPr>
        <w:t xml:space="preserve"> 162; see also </w:t>
      </w:r>
      <w:r w:rsidRPr="003371F3">
        <w:rPr>
          <w:i/>
          <w:lang w:val="en-GB"/>
        </w:rPr>
        <w:t xml:space="preserve">Pat Cason-Merenda v Detroit </w:t>
      </w:r>
      <w:proofErr w:type="spellStart"/>
      <w:r w:rsidRPr="003371F3">
        <w:rPr>
          <w:i/>
          <w:lang w:val="en-GB"/>
        </w:rPr>
        <w:t>Center</w:t>
      </w:r>
      <w:proofErr w:type="spellEnd"/>
      <w:r w:rsidRPr="003371F3">
        <w:rPr>
          <w:lang w:val="en-GB"/>
        </w:rPr>
        <w:t>, 862 F.Supp.2d 603 (</w:t>
      </w:r>
      <w:proofErr w:type="spellStart"/>
      <w:r w:rsidRPr="003371F3">
        <w:rPr>
          <w:lang w:val="en-GB"/>
        </w:rPr>
        <w:t>E.D.Mich</w:t>
      </w:r>
      <w:proofErr w:type="spellEnd"/>
      <w:r w:rsidRPr="003371F3">
        <w:rPr>
          <w:lang w:val="en-GB"/>
        </w:rPr>
        <w:t>. 2012).</w:t>
      </w:r>
    </w:p>
  </w:footnote>
  <w:footnote w:id="98">
    <w:p w14:paraId="379A1D04" w14:textId="77777777" w:rsidR="00F60F82" w:rsidRPr="003371F3" w:rsidRDefault="00F60F82" w:rsidP="008B6B75">
      <w:pPr>
        <w:pStyle w:val="FootnoteText"/>
        <w:spacing w:line="480" w:lineRule="auto"/>
        <w:jc w:val="both"/>
        <w:rPr>
          <w:lang w:val="en-GB"/>
        </w:rPr>
      </w:pPr>
      <w:r w:rsidRPr="003371F3">
        <w:rPr>
          <w:rStyle w:val="FootnoteReference"/>
          <w:lang w:val="en-GB"/>
        </w:rPr>
        <w:footnoteRef/>
      </w:r>
      <w:r w:rsidRPr="003371F3">
        <w:rPr>
          <w:lang w:val="en-GB"/>
        </w:rPr>
        <w:t xml:space="preserve"> </w:t>
      </w:r>
      <w:r w:rsidRPr="003371F3">
        <w:rPr>
          <w:i/>
          <w:lang w:val="en-GB"/>
        </w:rPr>
        <w:t>Wendy Fleischman</w:t>
      </w:r>
      <w:r>
        <w:rPr>
          <w:lang w:val="en-GB"/>
        </w:rPr>
        <w:t>, above n</w:t>
      </w:r>
      <w:r w:rsidRPr="003371F3">
        <w:rPr>
          <w:lang w:val="en-GB"/>
        </w:rPr>
        <w:t xml:space="preserve"> </w:t>
      </w:r>
      <w:r>
        <w:rPr>
          <w:lang w:val="en-GB"/>
        </w:rPr>
        <w:t>96 above</w:t>
      </w:r>
      <w:r w:rsidRPr="003371F3">
        <w:rPr>
          <w:lang w:val="en-GB"/>
        </w:rPr>
        <w:t xml:space="preserve">; </w:t>
      </w:r>
      <w:r w:rsidRPr="003371F3">
        <w:rPr>
          <w:i/>
          <w:lang w:val="en-GB"/>
        </w:rPr>
        <w:t>Pat Cason-Merenda</w:t>
      </w:r>
      <w:r w:rsidRPr="003371F3">
        <w:rPr>
          <w:lang w:val="en-GB"/>
        </w:rPr>
        <w:t xml:space="preserve">, ibid., </w:t>
      </w:r>
      <w:r>
        <w:rPr>
          <w:lang w:val="en-GB"/>
        </w:rPr>
        <w:t>p</w:t>
      </w:r>
      <w:r w:rsidRPr="003371F3">
        <w:rPr>
          <w:lang w:val="en-GB"/>
        </w:rPr>
        <w:t xml:space="preserve"> 646.</w:t>
      </w:r>
    </w:p>
  </w:footnote>
  <w:footnote w:id="99">
    <w:p w14:paraId="2E5800CA" w14:textId="77777777" w:rsidR="00F60F82" w:rsidRPr="003371F3" w:rsidRDefault="00F60F82" w:rsidP="008B6B75">
      <w:pPr>
        <w:pStyle w:val="FootnoteText"/>
        <w:spacing w:line="480" w:lineRule="auto"/>
        <w:jc w:val="both"/>
        <w:rPr>
          <w:lang w:val="en-GB"/>
        </w:rPr>
      </w:pPr>
      <w:r w:rsidRPr="003371F3">
        <w:rPr>
          <w:rStyle w:val="FootnoteReference"/>
          <w:lang w:val="en-GB"/>
        </w:rPr>
        <w:footnoteRef/>
      </w:r>
      <w:r w:rsidRPr="003371F3">
        <w:rPr>
          <w:lang w:val="en-GB"/>
        </w:rPr>
        <w:t xml:space="preserve"> 856 </w:t>
      </w:r>
      <w:proofErr w:type="spellStart"/>
      <w:r w:rsidRPr="003371F3">
        <w:rPr>
          <w:lang w:val="en-GB"/>
        </w:rPr>
        <w:t>F.Supp</w:t>
      </w:r>
      <w:proofErr w:type="spellEnd"/>
      <w:r w:rsidRPr="003371F3">
        <w:rPr>
          <w:lang w:val="en-GB"/>
        </w:rPr>
        <w:t>. 2d 1103 (</w:t>
      </w:r>
      <w:proofErr w:type="spellStart"/>
      <w:r w:rsidRPr="003371F3">
        <w:rPr>
          <w:lang w:val="en-GB"/>
        </w:rPr>
        <w:t>N.D.Cal</w:t>
      </w:r>
      <w:proofErr w:type="spellEnd"/>
      <w:r w:rsidRPr="003371F3">
        <w:rPr>
          <w:lang w:val="en-GB"/>
        </w:rPr>
        <w:t>. 2012).</w:t>
      </w:r>
    </w:p>
  </w:footnote>
  <w:footnote w:id="100">
    <w:p w14:paraId="0123132A" w14:textId="35DB08F2" w:rsidR="00F60F82" w:rsidRPr="003371F3" w:rsidRDefault="00F60F82" w:rsidP="008B6B75">
      <w:pPr>
        <w:pStyle w:val="FootnoteText"/>
        <w:spacing w:line="480" w:lineRule="auto"/>
        <w:rPr>
          <w:lang w:val="en-GB"/>
        </w:rPr>
      </w:pPr>
      <w:r w:rsidRPr="003371F3">
        <w:rPr>
          <w:rStyle w:val="FootnoteReference"/>
          <w:lang w:val="en-GB"/>
        </w:rPr>
        <w:footnoteRef/>
      </w:r>
      <w:r w:rsidRPr="003371F3">
        <w:rPr>
          <w:lang w:val="en-GB"/>
        </w:rPr>
        <w:t xml:space="preserve"> Ibid, </w:t>
      </w:r>
      <w:r>
        <w:rPr>
          <w:lang w:val="en-GB"/>
        </w:rPr>
        <w:t>p</w:t>
      </w:r>
      <w:r w:rsidRPr="003371F3">
        <w:rPr>
          <w:lang w:val="en-GB"/>
        </w:rPr>
        <w:t xml:space="preserve"> 1117.</w:t>
      </w:r>
    </w:p>
  </w:footnote>
  <w:footnote w:id="101">
    <w:p w14:paraId="39A2D433" w14:textId="3C86CAE8" w:rsidR="00F60F82" w:rsidRDefault="00F60F82" w:rsidP="008B6B75">
      <w:pPr>
        <w:pStyle w:val="FootnoteText"/>
        <w:spacing w:line="480" w:lineRule="auto"/>
        <w:jc w:val="both"/>
      </w:pPr>
      <w:r>
        <w:rPr>
          <w:rStyle w:val="FootnoteReference"/>
        </w:rPr>
        <w:footnoteRef/>
      </w:r>
      <w:r>
        <w:t xml:space="preserve"> However, surprisingly, the Department of Justice in this case did not seek any criminal remedies, arguably for political reasons given that the defendants were national champions in the global technology market. See S </w:t>
      </w:r>
      <w:proofErr w:type="spellStart"/>
      <w:r>
        <w:t>Vaheesan</w:t>
      </w:r>
      <w:proofErr w:type="spellEnd"/>
      <w:r>
        <w:t xml:space="preserve"> ‘Accommodating Capital and Policing Labor: Antitrust in the two Gilded Ages’ (2019) 78 Maryland Law Review 766.</w:t>
      </w:r>
    </w:p>
  </w:footnote>
  <w:footnote w:id="102">
    <w:p w14:paraId="36B38D3C" w14:textId="77777777" w:rsidR="00F60F82" w:rsidRPr="00954A84" w:rsidRDefault="00F60F82" w:rsidP="008B6B75">
      <w:pPr>
        <w:pStyle w:val="FootnoteText"/>
        <w:spacing w:line="480" w:lineRule="auto"/>
        <w:rPr>
          <w:lang w:val="en-GB"/>
        </w:rPr>
      </w:pPr>
      <w:r>
        <w:rPr>
          <w:rStyle w:val="FootnoteReference"/>
        </w:rPr>
        <w:footnoteRef/>
      </w:r>
      <w:r>
        <w:t xml:space="preserve"> See A C Witt, above n 9.</w:t>
      </w:r>
    </w:p>
  </w:footnote>
  <w:footnote w:id="103">
    <w:p w14:paraId="213DFA89" w14:textId="32BBDBE0" w:rsidR="00F60F82" w:rsidRDefault="00F60F82" w:rsidP="008B6B75">
      <w:pPr>
        <w:pStyle w:val="FootnoteText"/>
        <w:spacing w:line="480" w:lineRule="auto"/>
        <w:jc w:val="both"/>
        <w:rPr>
          <w:lang w:val="en-GB"/>
        </w:rPr>
      </w:pPr>
      <w:r>
        <w:rPr>
          <w:rStyle w:val="FootnoteReference"/>
        </w:rPr>
        <w:footnoteRef/>
      </w:r>
      <w:r>
        <w:t xml:space="preserve"> </w:t>
      </w:r>
      <w:r>
        <w:rPr>
          <w:lang w:val="en-GB"/>
        </w:rPr>
        <w:t>J B</w:t>
      </w:r>
      <w:r w:rsidRPr="00AF44EF">
        <w:rPr>
          <w:lang w:val="en-GB"/>
        </w:rPr>
        <w:t xml:space="preserve"> Foster, </w:t>
      </w:r>
      <w:r>
        <w:t>R W McChesney</w:t>
      </w:r>
      <w:r w:rsidR="00A950A3">
        <w:t xml:space="preserve"> and</w:t>
      </w:r>
      <w:r>
        <w:t xml:space="preserve"> R J Jonna</w:t>
      </w:r>
      <w:r>
        <w:rPr>
          <w:lang w:val="en-GB"/>
        </w:rPr>
        <w:t xml:space="preserve"> ‘</w:t>
      </w:r>
      <w:r w:rsidRPr="00AF44EF">
        <w:rPr>
          <w:lang w:val="en-GB"/>
        </w:rPr>
        <w:t>Monopoly and Competition in Twenty-First Century Capitalism</w:t>
      </w:r>
      <w:r>
        <w:rPr>
          <w:lang w:val="en-GB"/>
        </w:rPr>
        <w:t xml:space="preserve">’ </w:t>
      </w:r>
      <w:r>
        <w:t xml:space="preserve">(2011) 62 </w:t>
      </w:r>
      <w:r w:rsidRPr="001D2E6C">
        <w:rPr>
          <w:rStyle w:val="Emphasis"/>
          <w:i w:val="0"/>
        </w:rPr>
        <w:t>Monthly Review</w:t>
      </w:r>
      <w:r>
        <w:t xml:space="preserve">, </w:t>
      </w:r>
      <w:r w:rsidR="00A950A3">
        <w:t xml:space="preserve">available at </w:t>
      </w:r>
      <w:r w:rsidRPr="00E139C0">
        <w:t>https://monthlyreview.org/2011/04/01/monopoly-and-competition-in-twenty-first-century-capitalism/</w:t>
      </w:r>
      <w:r>
        <w:t xml:space="preserve"> (16 January 2020)</w:t>
      </w:r>
      <w:hyperlink r:id="rId2" w:history="1"/>
      <w:r>
        <w:t xml:space="preserve">.  </w:t>
      </w:r>
    </w:p>
    <w:p w14:paraId="61C11509" w14:textId="77777777" w:rsidR="00F60F82" w:rsidRPr="00E40462" w:rsidRDefault="00F60F82" w:rsidP="008B6B75">
      <w:pPr>
        <w:pStyle w:val="FootnoteText"/>
        <w:spacing w:line="480" w:lineRule="auto"/>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D6DD20" w14:textId="77777777" w:rsidR="00B00F79" w:rsidRDefault="00B00F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5A069" w14:textId="77777777" w:rsidR="00B00F79" w:rsidRDefault="00B00F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95214" w14:textId="77777777" w:rsidR="00B00F79" w:rsidRDefault="00B00F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247A5"/>
    <w:multiLevelType w:val="hybridMultilevel"/>
    <w:tmpl w:val="F728587E"/>
    <w:lvl w:ilvl="0" w:tplc="F3C45B7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62854287"/>
    <w:multiLevelType w:val="hybridMultilevel"/>
    <w:tmpl w:val="22DEE3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1DD7"/>
    <w:rsid w:val="000023E6"/>
    <w:rsid w:val="00007028"/>
    <w:rsid w:val="00016F9E"/>
    <w:rsid w:val="000210E6"/>
    <w:rsid w:val="00022F43"/>
    <w:rsid w:val="00023EE7"/>
    <w:rsid w:val="00033027"/>
    <w:rsid w:val="000445CF"/>
    <w:rsid w:val="00050736"/>
    <w:rsid w:val="000564AE"/>
    <w:rsid w:val="0005736E"/>
    <w:rsid w:val="00072C3E"/>
    <w:rsid w:val="00082FAF"/>
    <w:rsid w:val="000875B0"/>
    <w:rsid w:val="00090105"/>
    <w:rsid w:val="00096A5B"/>
    <w:rsid w:val="000A398F"/>
    <w:rsid w:val="000C0760"/>
    <w:rsid w:val="000D5A11"/>
    <w:rsid w:val="000F02AA"/>
    <w:rsid w:val="000F210B"/>
    <w:rsid w:val="00112657"/>
    <w:rsid w:val="00124819"/>
    <w:rsid w:val="00135449"/>
    <w:rsid w:val="00151531"/>
    <w:rsid w:val="00154D66"/>
    <w:rsid w:val="00155E4A"/>
    <w:rsid w:val="00160359"/>
    <w:rsid w:val="00160C13"/>
    <w:rsid w:val="001629B1"/>
    <w:rsid w:val="001662A3"/>
    <w:rsid w:val="00167B76"/>
    <w:rsid w:val="0017530F"/>
    <w:rsid w:val="001767A7"/>
    <w:rsid w:val="00180031"/>
    <w:rsid w:val="00191DB8"/>
    <w:rsid w:val="001925DB"/>
    <w:rsid w:val="00195ABB"/>
    <w:rsid w:val="001A771B"/>
    <w:rsid w:val="001B12CC"/>
    <w:rsid w:val="001B2486"/>
    <w:rsid w:val="001C0160"/>
    <w:rsid w:val="001C15DA"/>
    <w:rsid w:val="001C32FB"/>
    <w:rsid w:val="001C44C7"/>
    <w:rsid w:val="001C7AD5"/>
    <w:rsid w:val="001D152F"/>
    <w:rsid w:val="001D2E6C"/>
    <w:rsid w:val="001D6948"/>
    <w:rsid w:val="001D6EC9"/>
    <w:rsid w:val="001E2D19"/>
    <w:rsid w:val="001E4689"/>
    <w:rsid w:val="001F2112"/>
    <w:rsid w:val="001F3550"/>
    <w:rsid w:val="001F45C8"/>
    <w:rsid w:val="001F791C"/>
    <w:rsid w:val="0020000E"/>
    <w:rsid w:val="00201C0D"/>
    <w:rsid w:val="00203ABC"/>
    <w:rsid w:val="00221EE6"/>
    <w:rsid w:val="002237BE"/>
    <w:rsid w:val="00224FE1"/>
    <w:rsid w:val="00227F61"/>
    <w:rsid w:val="002465C8"/>
    <w:rsid w:val="002541DB"/>
    <w:rsid w:val="00265E3C"/>
    <w:rsid w:val="0026699D"/>
    <w:rsid w:val="00277673"/>
    <w:rsid w:val="00277F91"/>
    <w:rsid w:val="0029561F"/>
    <w:rsid w:val="00295AA8"/>
    <w:rsid w:val="002C4C59"/>
    <w:rsid w:val="002C658D"/>
    <w:rsid w:val="002C78BD"/>
    <w:rsid w:val="002F084C"/>
    <w:rsid w:val="002F3E3C"/>
    <w:rsid w:val="0030255C"/>
    <w:rsid w:val="00303D9D"/>
    <w:rsid w:val="00306230"/>
    <w:rsid w:val="0030773E"/>
    <w:rsid w:val="00326D85"/>
    <w:rsid w:val="0033775D"/>
    <w:rsid w:val="0034075F"/>
    <w:rsid w:val="003476DA"/>
    <w:rsid w:val="0035499D"/>
    <w:rsid w:val="003630B9"/>
    <w:rsid w:val="0037128A"/>
    <w:rsid w:val="0038440F"/>
    <w:rsid w:val="003855CB"/>
    <w:rsid w:val="0039541E"/>
    <w:rsid w:val="003B7396"/>
    <w:rsid w:val="003C3B5C"/>
    <w:rsid w:val="003C492A"/>
    <w:rsid w:val="003D1B89"/>
    <w:rsid w:val="003D1C74"/>
    <w:rsid w:val="003D612E"/>
    <w:rsid w:val="003E2415"/>
    <w:rsid w:val="003F216A"/>
    <w:rsid w:val="003F324D"/>
    <w:rsid w:val="003F3D79"/>
    <w:rsid w:val="003F4D28"/>
    <w:rsid w:val="004265DE"/>
    <w:rsid w:val="00426CBE"/>
    <w:rsid w:val="00435CEE"/>
    <w:rsid w:val="0043749F"/>
    <w:rsid w:val="004519F2"/>
    <w:rsid w:val="00467BA3"/>
    <w:rsid w:val="00472942"/>
    <w:rsid w:val="0049151A"/>
    <w:rsid w:val="0049393C"/>
    <w:rsid w:val="0049586E"/>
    <w:rsid w:val="004A02E6"/>
    <w:rsid w:val="004A333A"/>
    <w:rsid w:val="004B31EB"/>
    <w:rsid w:val="004B4AD5"/>
    <w:rsid w:val="004B5447"/>
    <w:rsid w:val="004B6783"/>
    <w:rsid w:val="004C5592"/>
    <w:rsid w:val="004D0BBB"/>
    <w:rsid w:val="004D2224"/>
    <w:rsid w:val="004D7A37"/>
    <w:rsid w:val="004E0C84"/>
    <w:rsid w:val="004E43E4"/>
    <w:rsid w:val="004E64EC"/>
    <w:rsid w:val="005003C2"/>
    <w:rsid w:val="00501DD7"/>
    <w:rsid w:val="00502CD1"/>
    <w:rsid w:val="00507390"/>
    <w:rsid w:val="00511982"/>
    <w:rsid w:val="0051571C"/>
    <w:rsid w:val="00517893"/>
    <w:rsid w:val="005266D8"/>
    <w:rsid w:val="0053221C"/>
    <w:rsid w:val="00563C98"/>
    <w:rsid w:val="00564749"/>
    <w:rsid w:val="00565E6F"/>
    <w:rsid w:val="005668E5"/>
    <w:rsid w:val="00566CFE"/>
    <w:rsid w:val="005833C0"/>
    <w:rsid w:val="00585A44"/>
    <w:rsid w:val="00585B0C"/>
    <w:rsid w:val="00586DC2"/>
    <w:rsid w:val="005908C3"/>
    <w:rsid w:val="0059271F"/>
    <w:rsid w:val="00594408"/>
    <w:rsid w:val="00594BA2"/>
    <w:rsid w:val="005A43B8"/>
    <w:rsid w:val="005C2F30"/>
    <w:rsid w:val="005C6F6B"/>
    <w:rsid w:val="005D13EE"/>
    <w:rsid w:val="005D33C6"/>
    <w:rsid w:val="005D7F06"/>
    <w:rsid w:val="005E3392"/>
    <w:rsid w:val="005E544D"/>
    <w:rsid w:val="005E7CA2"/>
    <w:rsid w:val="00603879"/>
    <w:rsid w:val="006064F9"/>
    <w:rsid w:val="00607835"/>
    <w:rsid w:val="0061347E"/>
    <w:rsid w:val="00620D92"/>
    <w:rsid w:val="00624380"/>
    <w:rsid w:val="0064280F"/>
    <w:rsid w:val="006438C7"/>
    <w:rsid w:val="006454A9"/>
    <w:rsid w:val="00646813"/>
    <w:rsid w:val="006540AB"/>
    <w:rsid w:val="00662EE9"/>
    <w:rsid w:val="006700A1"/>
    <w:rsid w:val="00670CC3"/>
    <w:rsid w:val="00673BC6"/>
    <w:rsid w:val="0068425B"/>
    <w:rsid w:val="00684669"/>
    <w:rsid w:val="006A18C8"/>
    <w:rsid w:val="006B0B0E"/>
    <w:rsid w:val="006B7705"/>
    <w:rsid w:val="006B7F9F"/>
    <w:rsid w:val="006C0270"/>
    <w:rsid w:val="006C075D"/>
    <w:rsid w:val="006C6BF0"/>
    <w:rsid w:val="006D4E38"/>
    <w:rsid w:val="006E0329"/>
    <w:rsid w:val="006E0DFC"/>
    <w:rsid w:val="006E3F04"/>
    <w:rsid w:val="006E4745"/>
    <w:rsid w:val="006F0851"/>
    <w:rsid w:val="006F6B7E"/>
    <w:rsid w:val="00700890"/>
    <w:rsid w:val="00702E48"/>
    <w:rsid w:val="007224BA"/>
    <w:rsid w:val="00722E0F"/>
    <w:rsid w:val="007348DA"/>
    <w:rsid w:val="00737064"/>
    <w:rsid w:val="00750144"/>
    <w:rsid w:val="007606F5"/>
    <w:rsid w:val="007634F1"/>
    <w:rsid w:val="00767BAD"/>
    <w:rsid w:val="00770B98"/>
    <w:rsid w:val="00772EC6"/>
    <w:rsid w:val="00773CCA"/>
    <w:rsid w:val="0077532D"/>
    <w:rsid w:val="00776589"/>
    <w:rsid w:val="00781803"/>
    <w:rsid w:val="00781D1F"/>
    <w:rsid w:val="00796F0E"/>
    <w:rsid w:val="007A2D3B"/>
    <w:rsid w:val="007A3B29"/>
    <w:rsid w:val="007B0CE9"/>
    <w:rsid w:val="007D183A"/>
    <w:rsid w:val="007D18AE"/>
    <w:rsid w:val="007E16FC"/>
    <w:rsid w:val="007E3BE1"/>
    <w:rsid w:val="007F4858"/>
    <w:rsid w:val="008176A2"/>
    <w:rsid w:val="00820355"/>
    <w:rsid w:val="00845812"/>
    <w:rsid w:val="00846976"/>
    <w:rsid w:val="00846AA3"/>
    <w:rsid w:val="00846E58"/>
    <w:rsid w:val="00851213"/>
    <w:rsid w:val="00857BA7"/>
    <w:rsid w:val="00861843"/>
    <w:rsid w:val="00890B70"/>
    <w:rsid w:val="00891193"/>
    <w:rsid w:val="008A5F77"/>
    <w:rsid w:val="008A77DC"/>
    <w:rsid w:val="008B6B75"/>
    <w:rsid w:val="008C6773"/>
    <w:rsid w:val="008C68FC"/>
    <w:rsid w:val="008D13F8"/>
    <w:rsid w:val="008F183C"/>
    <w:rsid w:val="009109D5"/>
    <w:rsid w:val="00921C73"/>
    <w:rsid w:val="00931220"/>
    <w:rsid w:val="00931B52"/>
    <w:rsid w:val="00947426"/>
    <w:rsid w:val="0095185C"/>
    <w:rsid w:val="00954A84"/>
    <w:rsid w:val="00954A92"/>
    <w:rsid w:val="00960A72"/>
    <w:rsid w:val="00961F19"/>
    <w:rsid w:val="00964BA5"/>
    <w:rsid w:val="009700B8"/>
    <w:rsid w:val="00975E5A"/>
    <w:rsid w:val="00980CCC"/>
    <w:rsid w:val="00982430"/>
    <w:rsid w:val="009874A0"/>
    <w:rsid w:val="00990DD5"/>
    <w:rsid w:val="00992829"/>
    <w:rsid w:val="00992B4C"/>
    <w:rsid w:val="00993669"/>
    <w:rsid w:val="00997F71"/>
    <w:rsid w:val="009B1CDA"/>
    <w:rsid w:val="009C0C66"/>
    <w:rsid w:val="009C56AB"/>
    <w:rsid w:val="009D1996"/>
    <w:rsid w:val="009D272E"/>
    <w:rsid w:val="009D62F3"/>
    <w:rsid w:val="009D71B4"/>
    <w:rsid w:val="009F01A1"/>
    <w:rsid w:val="009F0CC6"/>
    <w:rsid w:val="009F2591"/>
    <w:rsid w:val="009F4E92"/>
    <w:rsid w:val="00A026CB"/>
    <w:rsid w:val="00A273CE"/>
    <w:rsid w:val="00A27F98"/>
    <w:rsid w:val="00A32EDE"/>
    <w:rsid w:val="00A4220D"/>
    <w:rsid w:val="00A5323F"/>
    <w:rsid w:val="00A56A63"/>
    <w:rsid w:val="00A66A3E"/>
    <w:rsid w:val="00A67DDB"/>
    <w:rsid w:val="00A87BF5"/>
    <w:rsid w:val="00A91C03"/>
    <w:rsid w:val="00A927E8"/>
    <w:rsid w:val="00A950A3"/>
    <w:rsid w:val="00A966DE"/>
    <w:rsid w:val="00AA105E"/>
    <w:rsid w:val="00AA3C19"/>
    <w:rsid w:val="00AB333A"/>
    <w:rsid w:val="00AC2CAD"/>
    <w:rsid w:val="00AC7B6E"/>
    <w:rsid w:val="00AE67D3"/>
    <w:rsid w:val="00AF1B25"/>
    <w:rsid w:val="00AF2C5B"/>
    <w:rsid w:val="00AF53BE"/>
    <w:rsid w:val="00AF5DD1"/>
    <w:rsid w:val="00AF6D98"/>
    <w:rsid w:val="00AF7A94"/>
    <w:rsid w:val="00B00F79"/>
    <w:rsid w:val="00B04124"/>
    <w:rsid w:val="00B04B39"/>
    <w:rsid w:val="00B04FCD"/>
    <w:rsid w:val="00B14D1B"/>
    <w:rsid w:val="00B178AE"/>
    <w:rsid w:val="00B22899"/>
    <w:rsid w:val="00B4507D"/>
    <w:rsid w:val="00B45D4A"/>
    <w:rsid w:val="00B55E5B"/>
    <w:rsid w:val="00B66E47"/>
    <w:rsid w:val="00B763A3"/>
    <w:rsid w:val="00B868A2"/>
    <w:rsid w:val="00B92077"/>
    <w:rsid w:val="00BA0239"/>
    <w:rsid w:val="00BA6FA8"/>
    <w:rsid w:val="00BB15E6"/>
    <w:rsid w:val="00BB4BF9"/>
    <w:rsid w:val="00BB547E"/>
    <w:rsid w:val="00BB573A"/>
    <w:rsid w:val="00BB5938"/>
    <w:rsid w:val="00BC4002"/>
    <w:rsid w:val="00BD43EF"/>
    <w:rsid w:val="00BF084E"/>
    <w:rsid w:val="00BF0E3F"/>
    <w:rsid w:val="00BF1FF0"/>
    <w:rsid w:val="00BF398F"/>
    <w:rsid w:val="00C11588"/>
    <w:rsid w:val="00C1189B"/>
    <w:rsid w:val="00C178D2"/>
    <w:rsid w:val="00C21B94"/>
    <w:rsid w:val="00C3001D"/>
    <w:rsid w:val="00C30FC1"/>
    <w:rsid w:val="00C34B2E"/>
    <w:rsid w:val="00C63DFC"/>
    <w:rsid w:val="00C7143B"/>
    <w:rsid w:val="00C75288"/>
    <w:rsid w:val="00C76C31"/>
    <w:rsid w:val="00C773AB"/>
    <w:rsid w:val="00C80AA6"/>
    <w:rsid w:val="00C826D9"/>
    <w:rsid w:val="00C84620"/>
    <w:rsid w:val="00C94012"/>
    <w:rsid w:val="00C95777"/>
    <w:rsid w:val="00CB5588"/>
    <w:rsid w:val="00CC2E03"/>
    <w:rsid w:val="00CC7541"/>
    <w:rsid w:val="00CD0923"/>
    <w:rsid w:val="00CE5B9C"/>
    <w:rsid w:val="00CE5BF2"/>
    <w:rsid w:val="00D15C53"/>
    <w:rsid w:val="00D200A5"/>
    <w:rsid w:val="00D33616"/>
    <w:rsid w:val="00D35DFF"/>
    <w:rsid w:val="00D36B85"/>
    <w:rsid w:val="00D42224"/>
    <w:rsid w:val="00D57A8D"/>
    <w:rsid w:val="00D60C5A"/>
    <w:rsid w:val="00D64866"/>
    <w:rsid w:val="00D65FE6"/>
    <w:rsid w:val="00D82444"/>
    <w:rsid w:val="00D86887"/>
    <w:rsid w:val="00D87429"/>
    <w:rsid w:val="00D879B0"/>
    <w:rsid w:val="00D90CA7"/>
    <w:rsid w:val="00D95FB2"/>
    <w:rsid w:val="00DA1263"/>
    <w:rsid w:val="00DA17D3"/>
    <w:rsid w:val="00DA4BA0"/>
    <w:rsid w:val="00DB042F"/>
    <w:rsid w:val="00DB68CD"/>
    <w:rsid w:val="00DE3EAF"/>
    <w:rsid w:val="00DE5531"/>
    <w:rsid w:val="00DE7C73"/>
    <w:rsid w:val="00DF5865"/>
    <w:rsid w:val="00DF7C60"/>
    <w:rsid w:val="00E042F1"/>
    <w:rsid w:val="00E2116E"/>
    <w:rsid w:val="00E30219"/>
    <w:rsid w:val="00E32912"/>
    <w:rsid w:val="00E45CE7"/>
    <w:rsid w:val="00E52305"/>
    <w:rsid w:val="00E560FE"/>
    <w:rsid w:val="00E61AD7"/>
    <w:rsid w:val="00E64E1E"/>
    <w:rsid w:val="00E661AC"/>
    <w:rsid w:val="00E6786E"/>
    <w:rsid w:val="00E7733E"/>
    <w:rsid w:val="00E806A2"/>
    <w:rsid w:val="00E9216C"/>
    <w:rsid w:val="00E937EF"/>
    <w:rsid w:val="00E95173"/>
    <w:rsid w:val="00E95E09"/>
    <w:rsid w:val="00EB6F30"/>
    <w:rsid w:val="00ED2CA3"/>
    <w:rsid w:val="00ED6845"/>
    <w:rsid w:val="00EE3DB2"/>
    <w:rsid w:val="00EF03CF"/>
    <w:rsid w:val="00F06200"/>
    <w:rsid w:val="00F12982"/>
    <w:rsid w:val="00F12D9C"/>
    <w:rsid w:val="00F140AE"/>
    <w:rsid w:val="00F16C34"/>
    <w:rsid w:val="00F171E3"/>
    <w:rsid w:val="00F22BA5"/>
    <w:rsid w:val="00F24EC9"/>
    <w:rsid w:val="00F45AE9"/>
    <w:rsid w:val="00F54143"/>
    <w:rsid w:val="00F60006"/>
    <w:rsid w:val="00F60F82"/>
    <w:rsid w:val="00F73F7B"/>
    <w:rsid w:val="00F85A98"/>
    <w:rsid w:val="00F918BD"/>
    <w:rsid w:val="00FB0083"/>
    <w:rsid w:val="00FB2B32"/>
    <w:rsid w:val="00FB3A2B"/>
    <w:rsid w:val="00FC03B7"/>
    <w:rsid w:val="00FD4F99"/>
    <w:rsid w:val="00FD4FD9"/>
    <w:rsid w:val="00FE7499"/>
    <w:rsid w:val="00FF512C"/>
    <w:rsid w:val="00FF62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394AEB"/>
  <w14:defaultImageDpi w14:val="300"/>
  <w15:docId w15:val="{B48A18D1-B608-4933-925F-EB28C75B6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D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01DD7"/>
    <w:rPr>
      <w:rFonts w:ascii="Times" w:hAnsi="Times"/>
      <w:sz w:val="20"/>
    </w:rPr>
  </w:style>
  <w:style w:type="character" w:customStyle="1" w:styleId="FootnoteTextChar">
    <w:name w:val="Footnote Text Char"/>
    <w:basedOn w:val="DefaultParagraphFont"/>
    <w:link w:val="FootnoteText"/>
    <w:uiPriority w:val="99"/>
    <w:rsid w:val="00501DD7"/>
    <w:rPr>
      <w:rFonts w:ascii="Times" w:hAnsi="Times"/>
      <w:sz w:val="20"/>
    </w:rPr>
  </w:style>
  <w:style w:type="character" w:styleId="FootnoteReference">
    <w:name w:val="footnote reference"/>
    <w:basedOn w:val="DefaultParagraphFont"/>
    <w:uiPriority w:val="99"/>
    <w:unhideWhenUsed/>
    <w:rsid w:val="00501DD7"/>
    <w:rPr>
      <w:vertAlign w:val="superscript"/>
    </w:rPr>
  </w:style>
  <w:style w:type="character" w:styleId="CommentReference">
    <w:name w:val="annotation reference"/>
    <w:basedOn w:val="DefaultParagraphFont"/>
    <w:uiPriority w:val="99"/>
    <w:semiHidden/>
    <w:unhideWhenUsed/>
    <w:rsid w:val="00501DD7"/>
    <w:rPr>
      <w:sz w:val="18"/>
      <w:szCs w:val="18"/>
    </w:rPr>
  </w:style>
  <w:style w:type="paragraph" w:styleId="CommentText">
    <w:name w:val="annotation text"/>
    <w:basedOn w:val="Normal"/>
    <w:link w:val="CommentTextChar"/>
    <w:uiPriority w:val="99"/>
    <w:semiHidden/>
    <w:unhideWhenUsed/>
    <w:rsid w:val="00501DD7"/>
  </w:style>
  <w:style w:type="character" w:customStyle="1" w:styleId="CommentTextChar">
    <w:name w:val="Comment Text Char"/>
    <w:basedOn w:val="DefaultParagraphFont"/>
    <w:link w:val="CommentText"/>
    <w:uiPriority w:val="99"/>
    <w:semiHidden/>
    <w:rsid w:val="00501DD7"/>
  </w:style>
  <w:style w:type="character" w:customStyle="1" w:styleId="a-size-extra-large">
    <w:name w:val="a-size-extra-large"/>
    <w:basedOn w:val="DefaultParagraphFont"/>
    <w:rsid w:val="00501DD7"/>
  </w:style>
  <w:style w:type="paragraph" w:styleId="BalloonText">
    <w:name w:val="Balloon Text"/>
    <w:basedOn w:val="Normal"/>
    <w:link w:val="BalloonTextChar"/>
    <w:uiPriority w:val="99"/>
    <w:semiHidden/>
    <w:unhideWhenUsed/>
    <w:rsid w:val="00501DD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01DD7"/>
    <w:rPr>
      <w:rFonts w:ascii="Lucida Grande" w:hAnsi="Lucida Grande" w:cs="Lucida Grande"/>
      <w:sz w:val="18"/>
      <w:szCs w:val="18"/>
    </w:rPr>
  </w:style>
  <w:style w:type="paragraph" w:styleId="Header">
    <w:name w:val="header"/>
    <w:basedOn w:val="Normal"/>
    <w:link w:val="HeaderChar"/>
    <w:uiPriority w:val="99"/>
    <w:unhideWhenUsed/>
    <w:rsid w:val="005D7F06"/>
    <w:pPr>
      <w:tabs>
        <w:tab w:val="center" w:pos="4320"/>
        <w:tab w:val="right" w:pos="8640"/>
      </w:tabs>
    </w:pPr>
  </w:style>
  <w:style w:type="character" w:customStyle="1" w:styleId="HeaderChar">
    <w:name w:val="Header Char"/>
    <w:basedOn w:val="DefaultParagraphFont"/>
    <w:link w:val="Header"/>
    <w:uiPriority w:val="99"/>
    <w:rsid w:val="005D7F06"/>
  </w:style>
  <w:style w:type="paragraph" w:styleId="Footer">
    <w:name w:val="footer"/>
    <w:basedOn w:val="Normal"/>
    <w:link w:val="FooterChar"/>
    <w:uiPriority w:val="99"/>
    <w:unhideWhenUsed/>
    <w:rsid w:val="005D7F06"/>
    <w:pPr>
      <w:tabs>
        <w:tab w:val="center" w:pos="4320"/>
        <w:tab w:val="right" w:pos="8640"/>
      </w:tabs>
    </w:pPr>
  </w:style>
  <w:style w:type="character" w:customStyle="1" w:styleId="FooterChar">
    <w:name w:val="Footer Char"/>
    <w:basedOn w:val="DefaultParagraphFont"/>
    <w:link w:val="Footer"/>
    <w:uiPriority w:val="99"/>
    <w:rsid w:val="005D7F06"/>
  </w:style>
  <w:style w:type="character" w:customStyle="1" w:styleId="apple-converted-space">
    <w:name w:val="apple-converted-space"/>
    <w:basedOn w:val="DefaultParagraphFont"/>
    <w:rsid w:val="009874A0"/>
  </w:style>
  <w:style w:type="paragraph" w:styleId="NoSpacing">
    <w:name w:val="No Spacing"/>
    <w:uiPriority w:val="1"/>
    <w:qFormat/>
    <w:rsid w:val="00303D9D"/>
    <w:rPr>
      <w:rFonts w:eastAsiaTheme="minorHAnsi"/>
      <w:sz w:val="22"/>
      <w:szCs w:val="22"/>
      <w:lang w:val="en-GB"/>
    </w:rPr>
  </w:style>
  <w:style w:type="character" w:styleId="Hyperlink">
    <w:name w:val="Hyperlink"/>
    <w:basedOn w:val="DefaultParagraphFont"/>
    <w:uiPriority w:val="99"/>
    <w:unhideWhenUsed/>
    <w:rsid w:val="009B1CDA"/>
    <w:rPr>
      <w:strike w:val="0"/>
      <w:dstrike w:val="0"/>
      <w:color w:val="880000"/>
      <w:u w:val="none"/>
      <w:effect w:val="none"/>
    </w:rPr>
  </w:style>
  <w:style w:type="character" w:customStyle="1" w:styleId="coidrelatedinfocitations2">
    <w:name w:val="coid_relatedinfo_citations_2"/>
    <w:basedOn w:val="DefaultParagraphFont"/>
    <w:rsid w:val="009B1CDA"/>
  </w:style>
  <w:style w:type="character" w:customStyle="1" w:styleId="coidrelatedinfocourtline2">
    <w:name w:val="coid_relatedinfo_courtline_2"/>
    <w:basedOn w:val="DefaultParagraphFont"/>
    <w:rsid w:val="009B1CDA"/>
  </w:style>
  <w:style w:type="character" w:styleId="PageNumber">
    <w:name w:val="page number"/>
    <w:basedOn w:val="DefaultParagraphFont"/>
    <w:uiPriority w:val="99"/>
    <w:semiHidden/>
    <w:unhideWhenUsed/>
    <w:rsid w:val="009B1CDA"/>
  </w:style>
  <w:style w:type="character" w:styleId="Emphasis">
    <w:name w:val="Emphasis"/>
    <w:basedOn w:val="DefaultParagraphFont"/>
    <w:uiPriority w:val="20"/>
    <w:qFormat/>
    <w:rsid w:val="00566CFE"/>
    <w:rPr>
      <w:i/>
      <w:iCs/>
    </w:rPr>
  </w:style>
  <w:style w:type="character" w:styleId="Strong">
    <w:name w:val="Strong"/>
    <w:basedOn w:val="DefaultParagraphFont"/>
    <w:uiPriority w:val="22"/>
    <w:qFormat/>
    <w:rsid w:val="00D42224"/>
    <w:rPr>
      <w:b/>
      <w:bCs/>
    </w:rPr>
  </w:style>
  <w:style w:type="paragraph" w:styleId="ListParagraph">
    <w:name w:val="List Paragraph"/>
    <w:basedOn w:val="Normal"/>
    <w:uiPriority w:val="34"/>
    <w:qFormat/>
    <w:rsid w:val="00C95777"/>
    <w:pPr>
      <w:ind w:left="720"/>
      <w:contextualSpacing/>
    </w:pPr>
  </w:style>
  <w:style w:type="paragraph" w:styleId="CommentSubject">
    <w:name w:val="annotation subject"/>
    <w:basedOn w:val="CommentText"/>
    <w:next w:val="CommentText"/>
    <w:link w:val="CommentSubjectChar"/>
    <w:uiPriority w:val="99"/>
    <w:semiHidden/>
    <w:unhideWhenUsed/>
    <w:rsid w:val="00846976"/>
    <w:rPr>
      <w:b/>
      <w:bCs/>
      <w:sz w:val="20"/>
      <w:szCs w:val="20"/>
    </w:rPr>
  </w:style>
  <w:style w:type="character" w:customStyle="1" w:styleId="CommentSubjectChar">
    <w:name w:val="Comment Subject Char"/>
    <w:basedOn w:val="CommentTextChar"/>
    <w:link w:val="CommentSubject"/>
    <w:uiPriority w:val="99"/>
    <w:semiHidden/>
    <w:rsid w:val="00846976"/>
    <w:rPr>
      <w:b/>
      <w:bCs/>
      <w:sz w:val="20"/>
      <w:szCs w:val="20"/>
    </w:rPr>
  </w:style>
  <w:style w:type="character" w:customStyle="1" w:styleId="UnresolvedMention1">
    <w:name w:val="Unresolved Mention1"/>
    <w:basedOn w:val="DefaultParagraphFont"/>
    <w:uiPriority w:val="99"/>
    <w:semiHidden/>
    <w:unhideWhenUsed/>
    <w:rsid w:val="00C76C31"/>
    <w:rPr>
      <w:color w:val="605E5C"/>
      <w:shd w:val="clear" w:color="auto" w:fill="E1DFDD"/>
    </w:rPr>
  </w:style>
  <w:style w:type="paragraph" w:styleId="Revision">
    <w:name w:val="Revision"/>
    <w:hidden/>
    <w:uiPriority w:val="99"/>
    <w:semiHidden/>
    <w:rsid w:val="00C76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9518718">
      <w:bodyDiv w:val="1"/>
      <w:marLeft w:val="0"/>
      <w:marRight w:val="0"/>
      <w:marTop w:val="0"/>
      <w:marBottom w:val="0"/>
      <w:divBdr>
        <w:top w:val="none" w:sz="0" w:space="0" w:color="auto"/>
        <w:left w:val="none" w:sz="0" w:space="0" w:color="auto"/>
        <w:bottom w:val="none" w:sz="0" w:space="0" w:color="auto"/>
        <w:right w:val="none" w:sz="0" w:space="0" w:color="auto"/>
      </w:divBdr>
    </w:div>
    <w:div w:id="1363556792">
      <w:bodyDiv w:val="1"/>
      <w:marLeft w:val="0"/>
      <w:marRight w:val="0"/>
      <w:marTop w:val="0"/>
      <w:marBottom w:val="0"/>
      <w:divBdr>
        <w:top w:val="none" w:sz="0" w:space="0" w:color="auto"/>
        <w:left w:val="none" w:sz="0" w:space="0" w:color="auto"/>
        <w:bottom w:val="none" w:sz="0" w:space="0" w:color="auto"/>
        <w:right w:val="none" w:sz="0" w:space="0" w:color="auto"/>
      </w:divBdr>
    </w:div>
    <w:div w:id="19973006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monthlyreview.org/2011/04/01/monopoly-and-competition-in-twenty-first-century-capitalism/" TargetMode="External"/><Relationship Id="rId1" Type="http://schemas.openxmlformats.org/officeDocument/2006/relationships/hyperlink" Target="http://ohrh.law.ox.ac.uk/wordpress/wp-content/uploads/2018/02/5.-Uber.pdf%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A556EA-B70F-47B6-AA18-370BF2129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1279</TotalTime>
  <Pages>45</Pages>
  <Words>9920</Words>
  <Characters>55558</Characters>
  <Application>Microsoft Office Word</Application>
  <DocSecurity>0</DocSecurity>
  <Lines>925</Lines>
  <Paragraphs>96</Paragraphs>
  <ScaleCrop>false</ScaleCrop>
  <HeadingPairs>
    <vt:vector size="2" baseType="variant">
      <vt:variant>
        <vt:lpstr>Title</vt:lpstr>
      </vt:variant>
      <vt:variant>
        <vt:i4>1</vt:i4>
      </vt:variant>
    </vt:vector>
  </HeadingPairs>
  <TitlesOfParts>
    <vt:vector size="1" baseType="lpstr">
      <vt:lpstr/>
    </vt:vector>
  </TitlesOfParts>
  <Company>University of Liverpool</Company>
  <LinksUpToDate>false</LinksUpToDate>
  <CharactersWithSpaces>65382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Firat Cengiz</dc:creator>
  <cp:keywords/>
  <dc:description/>
  <cp:lastModifiedBy>Cengiz, Firat</cp:lastModifiedBy>
  <cp:revision>359</cp:revision>
  <dcterms:created xsi:type="dcterms:W3CDTF">2019-11-07T09:43:00Z</dcterms:created>
  <dcterms:modified xsi:type="dcterms:W3CDTF">2020-07-01T13:18:00Z</dcterms:modified>
</cp:coreProperties>
</file>