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C079A" w14:textId="2C954782" w:rsidR="00AA7CB1" w:rsidRPr="00013472" w:rsidRDefault="00AA7CB1" w:rsidP="00AA7CB1">
      <w:pPr>
        <w:rPr>
          <w:sz w:val="22"/>
          <w:lang w:val="en-US"/>
        </w:rPr>
      </w:pPr>
      <w:r w:rsidRPr="00013472">
        <w:rPr>
          <w:rFonts w:cs="Times New Roman"/>
          <w:b/>
          <w:sz w:val="22"/>
          <w:lang w:val="en-US"/>
        </w:rPr>
        <w:t xml:space="preserve">Title: </w:t>
      </w:r>
      <w:r w:rsidR="00104CC1" w:rsidRPr="00013472">
        <w:rPr>
          <w:sz w:val="22"/>
          <w:lang w:val="en-US"/>
        </w:rPr>
        <w:t>Lymphoma</w:t>
      </w:r>
      <w:r w:rsidRPr="00013472">
        <w:rPr>
          <w:sz w:val="22"/>
          <w:lang w:val="en-US"/>
        </w:rPr>
        <w:t xml:space="preserve"> of the lacrimal gland - An International Multicenter Retrospective Study</w:t>
      </w:r>
      <w:r w:rsidR="00337057" w:rsidRPr="00013472">
        <w:rPr>
          <w:sz w:val="22"/>
          <w:lang w:val="en-US"/>
        </w:rPr>
        <w:t xml:space="preserve"> </w:t>
      </w:r>
    </w:p>
    <w:p w14:paraId="671C9841" w14:textId="77777777" w:rsidR="00AA7CB1" w:rsidRPr="00013472" w:rsidRDefault="00AA7CB1" w:rsidP="00AA7CB1">
      <w:pPr>
        <w:rPr>
          <w:rFonts w:cs="Times New Roman"/>
          <w:sz w:val="22"/>
          <w:lang w:val="en-US"/>
        </w:rPr>
      </w:pPr>
    </w:p>
    <w:p w14:paraId="4F09D273" w14:textId="77777777" w:rsidR="00AA7CB1" w:rsidRPr="00013472" w:rsidRDefault="00AA7CB1" w:rsidP="00AA7CB1">
      <w:pPr>
        <w:rPr>
          <w:rFonts w:cs="Times New Roman"/>
          <w:b/>
          <w:sz w:val="22"/>
          <w:lang w:val="en-US"/>
        </w:rPr>
      </w:pPr>
      <w:r w:rsidRPr="00013472">
        <w:rPr>
          <w:rFonts w:cs="Times New Roman"/>
          <w:b/>
          <w:sz w:val="22"/>
          <w:lang w:val="en-US"/>
        </w:rPr>
        <w:t xml:space="preserve">Authors: </w:t>
      </w:r>
    </w:p>
    <w:p w14:paraId="33954993" w14:textId="7A0445E7" w:rsidR="00582425" w:rsidRPr="00013472" w:rsidRDefault="00582425" w:rsidP="00AA7CB1">
      <w:pPr>
        <w:rPr>
          <w:rFonts w:ascii="Times New Roman" w:hAnsi="Times New Roman" w:cs="Times New Roman"/>
          <w:sz w:val="22"/>
          <w:lang w:val="en-US"/>
        </w:rPr>
      </w:pPr>
      <w:r w:rsidRPr="00013472">
        <w:rPr>
          <w:rFonts w:ascii="Times New Roman" w:hAnsi="Times New Roman" w:cs="Times New Roman"/>
          <w:sz w:val="22"/>
          <w:lang w:val="en-US"/>
        </w:rPr>
        <w:t>Stine Dahl Vest,</w:t>
      </w:r>
      <w:r w:rsidR="00A67C4A" w:rsidRPr="00013472">
        <w:rPr>
          <w:rFonts w:ascii="Times New Roman" w:hAnsi="Times New Roman" w:cs="Times New Roman"/>
          <w:sz w:val="22"/>
          <w:lang w:val="en-US"/>
        </w:rPr>
        <w:t xml:space="preserve"> </w:t>
      </w:r>
      <w:r w:rsidR="00EE1210" w:rsidRPr="00013472">
        <w:rPr>
          <w:rFonts w:ascii="Times New Roman" w:hAnsi="Times New Roman" w:cs="Times New Roman"/>
          <w:sz w:val="22"/>
          <w:lang w:val="en-US"/>
        </w:rPr>
        <w:t>MD</w:t>
      </w:r>
      <w:r w:rsidR="00EE1210" w:rsidRPr="00013472">
        <w:rPr>
          <w:rFonts w:ascii="Times New Roman" w:hAnsi="Times New Roman" w:cs="Times New Roman"/>
          <w:sz w:val="22"/>
          <w:vertAlign w:val="superscript"/>
          <w:lang w:val="en-US"/>
        </w:rPr>
        <w:t>1</w:t>
      </w:r>
      <w:r w:rsidRPr="00013472">
        <w:rPr>
          <w:rFonts w:ascii="Times New Roman" w:hAnsi="Times New Roman" w:cs="Times New Roman"/>
          <w:sz w:val="22"/>
          <w:lang w:val="en-US"/>
        </w:rPr>
        <w:t>; Lauge Hjorth Mikkelsen, MD</w:t>
      </w:r>
      <w:r w:rsidRPr="00013472">
        <w:rPr>
          <w:rFonts w:ascii="Times New Roman" w:hAnsi="Times New Roman" w:cs="Times New Roman"/>
          <w:sz w:val="22"/>
          <w:vertAlign w:val="superscript"/>
          <w:lang w:val="en-US"/>
        </w:rPr>
        <w:t>1</w:t>
      </w:r>
      <w:r w:rsidR="00EE1210" w:rsidRPr="00013472">
        <w:rPr>
          <w:rFonts w:ascii="Times New Roman" w:hAnsi="Times New Roman" w:cs="Times New Roman"/>
          <w:sz w:val="22"/>
          <w:vertAlign w:val="superscript"/>
          <w:lang w:val="en-US"/>
        </w:rPr>
        <w:t>,2</w:t>
      </w:r>
      <w:r w:rsidRPr="00013472">
        <w:rPr>
          <w:rFonts w:ascii="Times New Roman" w:hAnsi="Times New Roman" w:cs="Times New Roman"/>
          <w:sz w:val="22"/>
          <w:lang w:val="en-US"/>
        </w:rPr>
        <w:t xml:space="preserve">; Frederik Holm, </w:t>
      </w:r>
      <w:r w:rsidR="00EE1210" w:rsidRPr="00013472">
        <w:rPr>
          <w:rFonts w:ascii="Times New Roman" w:hAnsi="Times New Roman" w:cs="Times New Roman"/>
          <w:sz w:val="22"/>
          <w:lang w:val="en-US"/>
        </w:rPr>
        <w:t>MD</w:t>
      </w:r>
      <w:r w:rsidR="00EE1210" w:rsidRPr="00013472">
        <w:rPr>
          <w:rFonts w:ascii="Times New Roman" w:hAnsi="Times New Roman" w:cs="Times New Roman"/>
          <w:sz w:val="22"/>
          <w:vertAlign w:val="superscript"/>
          <w:lang w:val="en-US"/>
        </w:rPr>
        <w:t>1</w:t>
      </w:r>
      <w:r w:rsidRPr="00013472">
        <w:rPr>
          <w:rFonts w:ascii="Times New Roman" w:hAnsi="Times New Roman" w:cs="Times New Roman"/>
          <w:sz w:val="22"/>
          <w:lang w:val="en-US"/>
        </w:rPr>
        <w:t>; Peter Kristian Rasmussen, MD, PhD</w:t>
      </w:r>
      <w:r w:rsidRPr="00013472">
        <w:rPr>
          <w:rFonts w:ascii="Times New Roman" w:hAnsi="Times New Roman" w:cs="Times New Roman"/>
          <w:sz w:val="22"/>
          <w:vertAlign w:val="superscript"/>
          <w:lang w:val="en-US"/>
        </w:rPr>
        <w:t>2</w:t>
      </w:r>
      <w:r w:rsidRPr="00013472">
        <w:rPr>
          <w:rFonts w:ascii="Times New Roman" w:hAnsi="Times New Roman" w:cs="Times New Roman"/>
          <w:sz w:val="22"/>
          <w:lang w:val="en-US"/>
        </w:rPr>
        <w:t xml:space="preserve">; </w:t>
      </w:r>
      <w:r w:rsidR="002D7461" w:rsidRPr="00013472">
        <w:rPr>
          <w:rFonts w:ascii="Times New Roman" w:hAnsi="Times New Roman" w:cs="Times New Roman"/>
          <w:sz w:val="22"/>
          <w:lang w:val="en-US"/>
        </w:rPr>
        <w:t>Tine Gadegaard Olsen, MD</w:t>
      </w:r>
      <w:r w:rsidR="002D7461" w:rsidRPr="00013472">
        <w:rPr>
          <w:rFonts w:ascii="Times New Roman" w:hAnsi="Times New Roman" w:cs="Times New Roman"/>
          <w:sz w:val="22"/>
          <w:vertAlign w:val="superscript"/>
          <w:lang w:val="en-US"/>
        </w:rPr>
        <w:t>1</w:t>
      </w:r>
      <w:r w:rsidR="002D7461" w:rsidRPr="00013472">
        <w:rPr>
          <w:rFonts w:ascii="Times New Roman" w:hAnsi="Times New Roman" w:cs="Times New Roman"/>
          <w:sz w:val="22"/>
          <w:lang w:val="en-US"/>
        </w:rPr>
        <w:t xml:space="preserve">; Marina M. </w:t>
      </w:r>
      <w:proofErr w:type="spellStart"/>
      <w:r w:rsidR="002D7461" w:rsidRPr="00013472">
        <w:rPr>
          <w:rFonts w:ascii="Times New Roman" w:hAnsi="Times New Roman" w:cs="Times New Roman"/>
          <w:sz w:val="22"/>
          <w:lang w:val="en-US"/>
        </w:rPr>
        <w:t>Kirkegaard</w:t>
      </w:r>
      <w:proofErr w:type="spellEnd"/>
      <w:r w:rsidR="002D7461" w:rsidRPr="00013472">
        <w:rPr>
          <w:rFonts w:ascii="Times New Roman" w:hAnsi="Times New Roman" w:cs="Times New Roman"/>
          <w:sz w:val="22"/>
          <w:lang w:val="en-US"/>
        </w:rPr>
        <w:t>, MD</w:t>
      </w:r>
      <w:r w:rsidR="002D7461" w:rsidRPr="00013472">
        <w:rPr>
          <w:rFonts w:ascii="Times New Roman" w:hAnsi="Times New Roman" w:cs="Times New Roman"/>
          <w:sz w:val="22"/>
          <w:vertAlign w:val="superscript"/>
          <w:lang w:val="en-US"/>
        </w:rPr>
        <w:t>1</w:t>
      </w:r>
      <w:r w:rsidR="002D7461" w:rsidRPr="00013472">
        <w:rPr>
          <w:rFonts w:ascii="Times New Roman" w:hAnsi="Times New Roman" w:cs="Times New Roman"/>
          <w:sz w:val="22"/>
          <w:lang w:val="en-US"/>
        </w:rPr>
        <w:t xml:space="preserve">; </w:t>
      </w:r>
      <w:r w:rsidRPr="00013472">
        <w:rPr>
          <w:rFonts w:ascii="Times New Roman" w:hAnsi="Times New Roman" w:cs="Times New Roman"/>
          <w:sz w:val="22"/>
          <w:lang w:val="en-US"/>
        </w:rPr>
        <w:t xml:space="preserve">Sarah </w:t>
      </w:r>
      <w:r w:rsidR="00B727B3">
        <w:rPr>
          <w:rFonts w:ascii="Times New Roman" w:hAnsi="Times New Roman" w:cs="Times New Roman"/>
          <w:sz w:val="22"/>
          <w:lang w:val="en-US"/>
        </w:rPr>
        <w:t xml:space="preserve">E. </w:t>
      </w:r>
      <w:r w:rsidRPr="00013472">
        <w:rPr>
          <w:rFonts w:ascii="Times New Roman" w:hAnsi="Times New Roman" w:cs="Times New Roman"/>
          <w:sz w:val="22"/>
          <w:lang w:val="en-US"/>
        </w:rPr>
        <w:t>Coupland, MBBS, PhD, FRCPath</w:t>
      </w:r>
      <w:r w:rsidRPr="00013472">
        <w:rPr>
          <w:rFonts w:ascii="Times New Roman" w:hAnsi="Times New Roman" w:cs="Times New Roman"/>
          <w:sz w:val="22"/>
          <w:vertAlign w:val="superscript"/>
          <w:lang w:val="en-US"/>
        </w:rPr>
        <w:t>3</w:t>
      </w:r>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Bita</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Esmaeli</w:t>
      </w:r>
      <w:proofErr w:type="spellEnd"/>
      <w:r w:rsidRPr="00013472">
        <w:rPr>
          <w:rFonts w:ascii="Times New Roman" w:hAnsi="Times New Roman" w:cs="Times New Roman"/>
          <w:sz w:val="22"/>
          <w:lang w:val="en-US"/>
        </w:rPr>
        <w:t>, MD</w:t>
      </w:r>
      <w:r w:rsidRPr="00013472">
        <w:rPr>
          <w:rFonts w:ascii="Times New Roman" w:hAnsi="Times New Roman" w:cs="Times New Roman"/>
          <w:sz w:val="22"/>
          <w:vertAlign w:val="superscript"/>
          <w:lang w:val="en-US"/>
        </w:rPr>
        <w:t>4</w:t>
      </w:r>
      <w:r w:rsidRPr="00013472">
        <w:rPr>
          <w:rFonts w:ascii="Times New Roman" w:hAnsi="Times New Roman" w:cs="Times New Roman"/>
          <w:sz w:val="22"/>
          <w:lang w:val="en-US"/>
        </w:rPr>
        <w:t>; Paul T. Finger, MD</w:t>
      </w:r>
      <w:r w:rsidRPr="00013472">
        <w:rPr>
          <w:rFonts w:ascii="Times New Roman" w:hAnsi="Times New Roman" w:cs="Times New Roman"/>
          <w:sz w:val="22"/>
          <w:vertAlign w:val="superscript"/>
          <w:lang w:val="en-US"/>
        </w:rPr>
        <w:t>5</w:t>
      </w:r>
      <w:r w:rsidRPr="00013472">
        <w:rPr>
          <w:rFonts w:ascii="Times New Roman" w:hAnsi="Times New Roman" w:cs="Times New Roman"/>
          <w:sz w:val="22"/>
          <w:lang w:val="en-US"/>
        </w:rPr>
        <w:t xml:space="preserve">; Gerardo F. </w:t>
      </w:r>
      <w:proofErr w:type="spellStart"/>
      <w:r w:rsidRPr="00013472">
        <w:rPr>
          <w:rFonts w:ascii="Times New Roman" w:hAnsi="Times New Roman" w:cs="Times New Roman"/>
          <w:sz w:val="22"/>
          <w:lang w:val="en-US"/>
        </w:rPr>
        <w:t>Graue</w:t>
      </w:r>
      <w:proofErr w:type="spellEnd"/>
      <w:r w:rsidRPr="00013472">
        <w:rPr>
          <w:rFonts w:ascii="Times New Roman" w:hAnsi="Times New Roman" w:cs="Times New Roman"/>
          <w:sz w:val="22"/>
          <w:lang w:val="en-US"/>
        </w:rPr>
        <w:t>, MD</w:t>
      </w:r>
      <w:r w:rsidRPr="00013472">
        <w:rPr>
          <w:rFonts w:ascii="Times New Roman" w:hAnsi="Times New Roman" w:cs="Times New Roman"/>
          <w:sz w:val="22"/>
          <w:vertAlign w:val="superscript"/>
          <w:lang w:val="en-US"/>
        </w:rPr>
        <w:t>5</w:t>
      </w:r>
      <w:r w:rsidRPr="00013472">
        <w:rPr>
          <w:rFonts w:ascii="Times New Roman" w:hAnsi="Times New Roman" w:cs="Times New Roman"/>
          <w:sz w:val="22"/>
          <w:lang w:val="en-US"/>
        </w:rPr>
        <w:t xml:space="preserve">; Hans E. </w:t>
      </w:r>
      <w:proofErr w:type="spellStart"/>
      <w:r w:rsidRPr="00013472">
        <w:rPr>
          <w:rFonts w:ascii="Times New Roman" w:hAnsi="Times New Roman" w:cs="Times New Roman"/>
          <w:sz w:val="22"/>
          <w:lang w:val="en-US"/>
        </w:rPr>
        <w:t>Grossniklaus</w:t>
      </w:r>
      <w:proofErr w:type="spellEnd"/>
      <w:r w:rsidRPr="00013472">
        <w:rPr>
          <w:rFonts w:ascii="Times New Roman" w:hAnsi="Times New Roman" w:cs="Times New Roman"/>
          <w:sz w:val="22"/>
          <w:lang w:val="en-US"/>
        </w:rPr>
        <w:t>, MD, MBA</w:t>
      </w:r>
      <w:r w:rsidRPr="00013472">
        <w:rPr>
          <w:rFonts w:ascii="Times New Roman" w:hAnsi="Times New Roman" w:cs="Times New Roman"/>
          <w:sz w:val="22"/>
          <w:vertAlign w:val="superscript"/>
          <w:lang w:val="en-US"/>
        </w:rPr>
        <w:t>6</w:t>
      </w:r>
      <w:r w:rsidRPr="00013472">
        <w:rPr>
          <w:rFonts w:ascii="Times New Roman" w:hAnsi="Times New Roman" w:cs="Times New Roman"/>
          <w:sz w:val="22"/>
          <w:lang w:val="en-US"/>
        </w:rPr>
        <w:t xml:space="preserve">; Santosh G. </w:t>
      </w:r>
      <w:proofErr w:type="spellStart"/>
      <w:r w:rsidRPr="00013472">
        <w:rPr>
          <w:rFonts w:ascii="Times New Roman" w:hAnsi="Times New Roman" w:cs="Times New Roman"/>
          <w:sz w:val="22"/>
          <w:lang w:val="en-US"/>
        </w:rPr>
        <w:t>Honavar</w:t>
      </w:r>
      <w:proofErr w:type="spellEnd"/>
      <w:r w:rsidRPr="00013472">
        <w:rPr>
          <w:rFonts w:ascii="Times New Roman" w:hAnsi="Times New Roman" w:cs="Times New Roman"/>
          <w:sz w:val="22"/>
          <w:lang w:val="en-US"/>
        </w:rPr>
        <w:t>, MD</w:t>
      </w:r>
      <w:r w:rsidRPr="00013472">
        <w:rPr>
          <w:rFonts w:ascii="Times New Roman" w:hAnsi="Times New Roman" w:cs="Times New Roman"/>
          <w:sz w:val="22"/>
          <w:vertAlign w:val="superscript"/>
          <w:lang w:val="en-US"/>
        </w:rPr>
        <w:t>7,8</w:t>
      </w:r>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Kaustubh</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Mulay</w:t>
      </w:r>
      <w:proofErr w:type="spellEnd"/>
      <w:r w:rsidRPr="00013472">
        <w:rPr>
          <w:rFonts w:ascii="Times New Roman" w:hAnsi="Times New Roman" w:cs="Times New Roman"/>
          <w:sz w:val="22"/>
          <w:lang w:val="en-US"/>
        </w:rPr>
        <w:t>, DNB</w:t>
      </w:r>
      <w:r w:rsidR="002D7461" w:rsidRPr="00013472">
        <w:rPr>
          <w:rFonts w:ascii="Times New Roman" w:hAnsi="Times New Roman" w:cs="Times New Roman"/>
          <w:sz w:val="22"/>
          <w:vertAlign w:val="superscript"/>
          <w:lang w:val="en-US"/>
        </w:rPr>
        <w:t>9</w:t>
      </w:r>
      <w:r w:rsidRPr="00013472">
        <w:rPr>
          <w:rFonts w:ascii="Times New Roman" w:hAnsi="Times New Roman" w:cs="Times New Roman"/>
          <w:sz w:val="22"/>
          <w:lang w:val="en-US"/>
        </w:rPr>
        <w:t xml:space="preserve">; Lene D. </w:t>
      </w:r>
      <w:proofErr w:type="spellStart"/>
      <w:r w:rsidRPr="00013472">
        <w:rPr>
          <w:rFonts w:ascii="Times New Roman" w:hAnsi="Times New Roman" w:cs="Times New Roman"/>
          <w:sz w:val="22"/>
          <w:lang w:val="en-US"/>
        </w:rPr>
        <w:t>Sjö</w:t>
      </w:r>
      <w:proofErr w:type="spellEnd"/>
      <w:r w:rsidRPr="00013472">
        <w:rPr>
          <w:rFonts w:ascii="Times New Roman" w:hAnsi="Times New Roman" w:cs="Times New Roman"/>
          <w:sz w:val="22"/>
          <w:lang w:val="en-US"/>
        </w:rPr>
        <w:t>, MD, PhD</w:t>
      </w:r>
      <w:r w:rsidRPr="00013472">
        <w:rPr>
          <w:rFonts w:ascii="Times New Roman" w:hAnsi="Times New Roman" w:cs="Times New Roman"/>
          <w:sz w:val="22"/>
          <w:vertAlign w:val="superscript"/>
          <w:lang w:val="en-US"/>
        </w:rPr>
        <w:t>1</w:t>
      </w:r>
      <w:r w:rsidRPr="00013472">
        <w:rPr>
          <w:rFonts w:ascii="Times New Roman" w:hAnsi="Times New Roman" w:cs="Times New Roman"/>
          <w:sz w:val="22"/>
          <w:lang w:val="en-US"/>
        </w:rPr>
        <w:t xml:space="preserve">; E. </w:t>
      </w:r>
      <w:proofErr w:type="spellStart"/>
      <w:r w:rsidRPr="00013472">
        <w:rPr>
          <w:rFonts w:ascii="Times New Roman" w:hAnsi="Times New Roman" w:cs="Times New Roman"/>
          <w:sz w:val="22"/>
          <w:lang w:val="en-US"/>
        </w:rPr>
        <w:t>Ralfkia</w:t>
      </w:r>
      <w:r w:rsidR="002B34B8" w:rsidRPr="00013472">
        <w:rPr>
          <w:rFonts w:ascii="Times New Roman" w:hAnsi="Times New Roman" w:cs="Times New Roman"/>
          <w:sz w:val="22"/>
          <w:lang w:val="en-US"/>
        </w:rPr>
        <w:t>e</w:t>
      </w:r>
      <w:r w:rsidRPr="00013472">
        <w:rPr>
          <w:rFonts w:ascii="Times New Roman" w:hAnsi="Times New Roman" w:cs="Times New Roman"/>
          <w:sz w:val="22"/>
          <w:lang w:val="en-US"/>
        </w:rPr>
        <w:t>r</w:t>
      </w:r>
      <w:proofErr w:type="spellEnd"/>
      <w:r w:rsidRPr="00013472">
        <w:rPr>
          <w:rFonts w:ascii="Times New Roman" w:hAnsi="Times New Roman" w:cs="Times New Roman"/>
          <w:sz w:val="22"/>
          <w:lang w:val="en-US"/>
        </w:rPr>
        <w:t>, MD, DMSc</w:t>
      </w:r>
      <w:r w:rsidRPr="00013472">
        <w:rPr>
          <w:rFonts w:ascii="Times New Roman" w:hAnsi="Times New Roman" w:cs="Times New Roman"/>
          <w:sz w:val="22"/>
          <w:vertAlign w:val="superscript"/>
          <w:lang w:val="en-US"/>
        </w:rPr>
        <w:t>1</w:t>
      </w:r>
      <w:r w:rsidRPr="00013472">
        <w:rPr>
          <w:rFonts w:ascii="Times New Roman" w:hAnsi="Times New Roman" w:cs="Times New Roman"/>
          <w:sz w:val="22"/>
          <w:lang w:val="en-US"/>
        </w:rPr>
        <w:t xml:space="preserve">; Matthew E. </w:t>
      </w:r>
      <w:proofErr w:type="spellStart"/>
      <w:r w:rsidRPr="00013472">
        <w:rPr>
          <w:rFonts w:ascii="Times New Roman" w:hAnsi="Times New Roman" w:cs="Times New Roman"/>
          <w:sz w:val="22"/>
          <w:lang w:val="en-US"/>
        </w:rPr>
        <w:t>Sniegowski</w:t>
      </w:r>
      <w:proofErr w:type="spellEnd"/>
      <w:r w:rsidRPr="00013472">
        <w:rPr>
          <w:rFonts w:ascii="Times New Roman" w:hAnsi="Times New Roman" w:cs="Times New Roman"/>
          <w:sz w:val="22"/>
          <w:lang w:val="en-US"/>
        </w:rPr>
        <w:t>, MD</w:t>
      </w:r>
      <w:r w:rsidRPr="00013472">
        <w:rPr>
          <w:rFonts w:ascii="Times New Roman" w:hAnsi="Times New Roman" w:cs="Times New Roman"/>
          <w:sz w:val="22"/>
          <w:vertAlign w:val="superscript"/>
          <w:lang w:val="en-US"/>
        </w:rPr>
        <w:t>4</w:t>
      </w:r>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Geeta</w:t>
      </w:r>
      <w:proofErr w:type="spellEnd"/>
      <w:r w:rsidRPr="00013472">
        <w:rPr>
          <w:rFonts w:ascii="Times New Roman" w:hAnsi="Times New Roman" w:cs="Times New Roman"/>
          <w:sz w:val="22"/>
          <w:lang w:val="en-US"/>
        </w:rPr>
        <w:t xml:space="preserve"> K. </w:t>
      </w:r>
      <w:proofErr w:type="spellStart"/>
      <w:r w:rsidRPr="00013472">
        <w:rPr>
          <w:rFonts w:ascii="Times New Roman" w:hAnsi="Times New Roman" w:cs="Times New Roman"/>
          <w:sz w:val="22"/>
          <w:lang w:val="en-US"/>
        </w:rPr>
        <w:t>Vemuganti</w:t>
      </w:r>
      <w:proofErr w:type="spellEnd"/>
      <w:r w:rsidRPr="00013472">
        <w:rPr>
          <w:rFonts w:ascii="Times New Roman" w:hAnsi="Times New Roman" w:cs="Times New Roman"/>
          <w:sz w:val="22"/>
          <w:lang w:val="en-US"/>
        </w:rPr>
        <w:t>, MD</w:t>
      </w:r>
      <w:r w:rsidR="002D7461" w:rsidRPr="00013472">
        <w:rPr>
          <w:rFonts w:ascii="Times New Roman" w:hAnsi="Times New Roman" w:cs="Times New Roman"/>
          <w:sz w:val="22"/>
          <w:vertAlign w:val="superscript"/>
          <w:lang w:val="en-US"/>
        </w:rPr>
        <w:t>10</w:t>
      </w:r>
      <w:r w:rsidRPr="00013472">
        <w:rPr>
          <w:rFonts w:ascii="Times New Roman" w:hAnsi="Times New Roman" w:cs="Times New Roman"/>
          <w:sz w:val="22"/>
          <w:vertAlign w:val="superscript"/>
          <w:lang w:val="en-US"/>
        </w:rPr>
        <w:t>,1</w:t>
      </w:r>
      <w:r w:rsidR="002D7461" w:rsidRPr="00013472">
        <w:rPr>
          <w:rFonts w:ascii="Times New Roman" w:hAnsi="Times New Roman" w:cs="Times New Roman"/>
          <w:sz w:val="22"/>
          <w:vertAlign w:val="superscript"/>
          <w:lang w:val="en-US"/>
        </w:rPr>
        <w:t>1</w:t>
      </w:r>
      <w:r w:rsidRPr="00013472">
        <w:rPr>
          <w:rFonts w:ascii="Times New Roman" w:hAnsi="Times New Roman" w:cs="Times New Roman"/>
          <w:sz w:val="22"/>
          <w:lang w:val="en-US"/>
        </w:rPr>
        <w:t xml:space="preserve">; Bradley A. </w:t>
      </w:r>
      <w:proofErr w:type="spellStart"/>
      <w:r w:rsidRPr="00013472">
        <w:rPr>
          <w:rFonts w:ascii="Times New Roman" w:hAnsi="Times New Roman" w:cs="Times New Roman"/>
          <w:sz w:val="22"/>
          <w:lang w:val="en-US"/>
        </w:rPr>
        <w:t>Thuro</w:t>
      </w:r>
      <w:proofErr w:type="spellEnd"/>
      <w:r w:rsidRPr="00013472">
        <w:rPr>
          <w:rFonts w:ascii="Times New Roman" w:hAnsi="Times New Roman" w:cs="Times New Roman"/>
          <w:sz w:val="22"/>
          <w:lang w:val="en-US"/>
        </w:rPr>
        <w:t>, MD</w:t>
      </w:r>
      <w:r w:rsidRPr="00013472">
        <w:rPr>
          <w:rFonts w:ascii="Times New Roman" w:hAnsi="Times New Roman" w:cs="Times New Roman"/>
          <w:sz w:val="22"/>
          <w:vertAlign w:val="superscript"/>
          <w:lang w:val="en-US"/>
        </w:rPr>
        <w:t>4</w:t>
      </w:r>
      <w:r w:rsidRPr="00013472">
        <w:rPr>
          <w:rFonts w:ascii="Times New Roman" w:hAnsi="Times New Roman" w:cs="Times New Roman"/>
          <w:sz w:val="22"/>
          <w:lang w:val="en-US"/>
        </w:rPr>
        <w:t xml:space="preserve">;  Steffen </w:t>
      </w:r>
      <w:proofErr w:type="spellStart"/>
      <w:r w:rsidRPr="00013472">
        <w:rPr>
          <w:rFonts w:ascii="Times New Roman" w:hAnsi="Times New Roman" w:cs="Times New Roman"/>
          <w:sz w:val="22"/>
          <w:lang w:val="en-US"/>
        </w:rPr>
        <w:t>Heegaard</w:t>
      </w:r>
      <w:proofErr w:type="spellEnd"/>
      <w:r w:rsidRPr="00013472">
        <w:rPr>
          <w:rFonts w:ascii="Times New Roman" w:hAnsi="Times New Roman" w:cs="Times New Roman"/>
          <w:sz w:val="22"/>
          <w:lang w:val="en-US"/>
        </w:rPr>
        <w:t>, MD, DMSc</w:t>
      </w:r>
      <w:r w:rsidRPr="00013472">
        <w:rPr>
          <w:rFonts w:ascii="Times New Roman" w:hAnsi="Times New Roman" w:cs="Times New Roman"/>
          <w:sz w:val="22"/>
          <w:vertAlign w:val="superscript"/>
          <w:lang w:val="en-US"/>
        </w:rPr>
        <w:t>1,2</w:t>
      </w:r>
      <w:r w:rsidRPr="00013472">
        <w:rPr>
          <w:rFonts w:ascii="Times New Roman" w:hAnsi="Times New Roman" w:cs="Times New Roman"/>
          <w:sz w:val="22"/>
          <w:lang w:val="en-US"/>
        </w:rPr>
        <w:t>.</w:t>
      </w:r>
    </w:p>
    <w:p w14:paraId="693D9E94" w14:textId="77777777" w:rsidR="00AA7CB1" w:rsidRPr="00013472" w:rsidRDefault="00AA7CB1" w:rsidP="00AA7CB1">
      <w:pPr>
        <w:rPr>
          <w:rFonts w:cs="Times New Roman"/>
          <w:b/>
          <w:sz w:val="22"/>
          <w:lang w:val="en-US"/>
        </w:rPr>
      </w:pPr>
    </w:p>
    <w:p w14:paraId="7BF970F9" w14:textId="77777777" w:rsidR="00AA7CB1" w:rsidRPr="00013472" w:rsidRDefault="00AA7CB1" w:rsidP="00AA7CB1">
      <w:pPr>
        <w:rPr>
          <w:rFonts w:cs="Times New Roman"/>
          <w:b/>
          <w:sz w:val="22"/>
          <w:lang w:val="en-US"/>
        </w:rPr>
      </w:pPr>
      <w:r w:rsidRPr="00013472">
        <w:rPr>
          <w:rFonts w:cs="Times New Roman"/>
          <w:b/>
          <w:sz w:val="22"/>
          <w:lang w:val="en-US"/>
        </w:rPr>
        <w:t>Affiliations:</w:t>
      </w:r>
    </w:p>
    <w:p w14:paraId="525C255C" w14:textId="0080E24A" w:rsidR="00582425" w:rsidRPr="00013472" w:rsidRDefault="00DC10BB" w:rsidP="00582425">
      <w:pPr>
        <w:rPr>
          <w:rFonts w:cs="Times New Roman"/>
          <w:sz w:val="22"/>
          <w:lang w:val="en-US"/>
        </w:rPr>
      </w:pPr>
      <w:r w:rsidRPr="00013472">
        <w:rPr>
          <w:rFonts w:cs="Times New Roman"/>
          <w:sz w:val="22"/>
          <w:lang w:val="en-US"/>
        </w:rPr>
        <w:t>1</w:t>
      </w:r>
      <w:r w:rsidR="00582425" w:rsidRPr="00013472">
        <w:rPr>
          <w:rFonts w:cs="Times New Roman"/>
          <w:sz w:val="22"/>
          <w:lang w:val="en-US"/>
        </w:rPr>
        <w:t xml:space="preserve">: </w:t>
      </w:r>
      <w:r w:rsidR="00EE1210" w:rsidRPr="00013472">
        <w:rPr>
          <w:rFonts w:cs="Times New Roman"/>
          <w:sz w:val="22"/>
          <w:lang w:val="en-US"/>
        </w:rPr>
        <w:t xml:space="preserve">Eye Pathology Section, </w:t>
      </w:r>
      <w:r w:rsidR="00582425" w:rsidRPr="00013472">
        <w:rPr>
          <w:rFonts w:cs="Times New Roman"/>
          <w:sz w:val="22"/>
          <w:lang w:val="en-US"/>
        </w:rPr>
        <w:t>Department of Pathology, Rigsho</w:t>
      </w:r>
      <w:r w:rsidR="00E97F69" w:rsidRPr="00013472">
        <w:rPr>
          <w:rFonts w:cs="Times New Roman"/>
          <w:sz w:val="22"/>
          <w:lang w:val="en-US"/>
        </w:rPr>
        <w:t>s</w:t>
      </w:r>
      <w:r w:rsidR="00582425" w:rsidRPr="00013472">
        <w:rPr>
          <w:rFonts w:cs="Times New Roman"/>
          <w:sz w:val="22"/>
          <w:lang w:val="en-US"/>
        </w:rPr>
        <w:t>pitalet, Un</w:t>
      </w:r>
      <w:r w:rsidR="004F19A1" w:rsidRPr="00013472">
        <w:rPr>
          <w:rFonts w:cs="Times New Roman"/>
          <w:sz w:val="22"/>
          <w:lang w:val="en-US"/>
        </w:rPr>
        <w:t>iversity of Copenhagen, Denmark;</w:t>
      </w:r>
    </w:p>
    <w:p w14:paraId="34121EC0" w14:textId="38227DD6" w:rsidR="00582425" w:rsidRPr="00013472" w:rsidRDefault="00582425" w:rsidP="00582425">
      <w:pPr>
        <w:rPr>
          <w:rFonts w:cs="Times New Roman"/>
          <w:sz w:val="22"/>
          <w:lang w:val="en-US"/>
        </w:rPr>
      </w:pPr>
      <w:r w:rsidRPr="00013472">
        <w:rPr>
          <w:rFonts w:cs="Times New Roman"/>
          <w:sz w:val="22"/>
          <w:lang w:val="en-US"/>
        </w:rPr>
        <w:t>2: Department of Ophthalmology, Rigshospitalet, University of Copenhagen, Denmark;</w:t>
      </w:r>
    </w:p>
    <w:p w14:paraId="36328DE8" w14:textId="77777777" w:rsidR="00582425" w:rsidRPr="00013472" w:rsidRDefault="00582425" w:rsidP="00582425">
      <w:pPr>
        <w:rPr>
          <w:rFonts w:cs="Times New Roman"/>
          <w:sz w:val="22"/>
          <w:lang w:val="en-US"/>
        </w:rPr>
      </w:pPr>
      <w:r w:rsidRPr="00013472">
        <w:rPr>
          <w:rFonts w:cs="Times New Roman"/>
          <w:sz w:val="22"/>
          <w:lang w:val="en-US"/>
        </w:rPr>
        <w:t>3: Department of Cellular and Molecular Pathology, University of Liverpool, England;</w:t>
      </w:r>
    </w:p>
    <w:p w14:paraId="4C7AD52C" w14:textId="1E424AFE" w:rsidR="00582425" w:rsidRPr="00013472" w:rsidRDefault="00582425" w:rsidP="00582425">
      <w:pPr>
        <w:rPr>
          <w:rFonts w:cs="Times New Roman"/>
          <w:sz w:val="22"/>
          <w:lang w:val="en-US"/>
        </w:rPr>
      </w:pPr>
      <w:r w:rsidRPr="00013472">
        <w:rPr>
          <w:rFonts w:cs="Times New Roman"/>
          <w:sz w:val="22"/>
          <w:lang w:val="en-US"/>
        </w:rPr>
        <w:t>4: Orbital Oncology and Ophthalmic Plastic Surgery, Department of Plastic Surgery, The University of Texas MD Anderson Cancer Center, Houston, Texas, USA;</w:t>
      </w:r>
    </w:p>
    <w:p w14:paraId="1F50D54C" w14:textId="7043BA5A" w:rsidR="00582425" w:rsidRPr="00013472" w:rsidRDefault="00582425" w:rsidP="00582425">
      <w:pPr>
        <w:rPr>
          <w:rFonts w:cs="Times New Roman"/>
          <w:sz w:val="22"/>
          <w:lang w:val="en-US"/>
        </w:rPr>
      </w:pPr>
      <w:r w:rsidRPr="00013472">
        <w:rPr>
          <w:rFonts w:cs="Times New Roman"/>
          <w:sz w:val="22"/>
          <w:lang w:val="en-US"/>
        </w:rPr>
        <w:t>5: The New York Eye Cancer Center, New York, New York, USA;</w:t>
      </w:r>
    </w:p>
    <w:p w14:paraId="7B13960E" w14:textId="715104DB" w:rsidR="00582425" w:rsidRPr="00013472" w:rsidRDefault="00582425" w:rsidP="00582425">
      <w:pPr>
        <w:rPr>
          <w:rFonts w:cs="Times New Roman"/>
          <w:sz w:val="22"/>
          <w:lang w:val="en-US"/>
        </w:rPr>
      </w:pPr>
      <w:r w:rsidRPr="00013472">
        <w:rPr>
          <w:rFonts w:cs="Times New Roman"/>
          <w:sz w:val="22"/>
          <w:lang w:val="en-US"/>
        </w:rPr>
        <w:t>6: Section of Ocular Oncology, Emory Eye Center, Atlanta, Georgia, USA;</w:t>
      </w:r>
    </w:p>
    <w:p w14:paraId="397081EF" w14:textId="4C3430A1" w:rsidR="00582425" w:rsidRPr="00013472" w:rsidRDefault="00582425" w:rsidP="00582425">
      <w:pPr>
        <w:rPr>
          <w:rFonts w:cs="Times New Roman"/>
          <w:sz w:val="22"/>
          <w:lang w:val="en-US"/>
        </w:rPr>
      </w:pPr>
      <w:r w:rsidRPr="00013472">
        <w:rPr>
          <w:rFonts w:cs="Times New Roman"/>
          <w:sz w:val="22"/>
          <w:lang w:val="en-US"/>
        </w:rPr>
        <w:t>7: Department of Ophthalmic and Facial Plastic Surgery, Orbit and Ocular Oncology, Centre for Sight, Hyderabad, India;</w:t>
      </w:r>
    </w:p>
    <w:p w14:paraId="2C358890" w14:textId="093A800F" w:rsidR="00582425" w:rsidRPr="00013472" w:rsidRDefault="00582425" w:rsidP="00582425">
      <w:pPr>
        <w:rPr>
          <w:rFonts w:cs="Times New Roman"/>
          <w:sz w:val="22"/>
          <w:lang w:val="en-US"/>
        </w:rPr>
      </w:pPr>
      <w:r w:rsidRPr="00013472">
        <w:rPr>
          <w:rFonts w:cs="Times New Roman"/>
          <w:sz w:val="22"/>
          <w:lang w:val="en-US"/>
        </w:rPr>
        <w:t xml:space="preserve">8: Department of Ocular Oncology and </w:t>
      </w:r>
      <w:proofErr w:type="spellStart"/>
      <w:r w:rsidRPr="00013472">
        <w:rPr>
          <w:rFonts w:cs="Times New Roman"/>
          <w:sz w:val="22"/>
          <w:lang w:val="en-US"/>
        </w:rPr>
        <w:t>Oculoplastics</w:t>
      </w:r>
      <w:proofErr w:type="spellEnd"/>
      <w:r w:rsidRPr="00013472">
        <w:rPr>
          <w:rFonts w:cs="Times New Roman"/>
          <w:sz w:val="22"/>
          <w:lang w:val="en-US"/>
        </w:rPr>
        <w:t>, LV Prasad Eye Institute, Hyderabad, India;</w:t>
      </w:r>
    </w:p>
    <w:p w14:paraId="46278A0A" w14:textId="298E0F02" w:rsidR="00582425" w:rsidRPr="00013472" w:rsidRDefault="002D7461" w:rsidP="00582425">
      <w:pPr>
        <w:rPr>
          <w:rFonts w:cs="Times New Roman"/>
          <w:sz w:val="22"/>
          <w:lang w:val="en-US"/>
        </w:rPr>
      </w:pPr>
      <w:r w:rsidRPr="00013472">
        <w:rPr>
          <w:rFonts w:cs="Times New Roman"/>
          <w:sz w:val="22"/>
          <w:lang w:val="en-US"/>
        </w:rPr>
        <w:t>9</w:t>
      </w:r>
      <w:r w:rsidR="00582425" w:rsidRPr="00013472">
        <w:rPr>
          <w:rFonts w:cs="Times New Roman"/>
          <w:sz w:val="22"/>
          <w:lang w:val="en-US"/>
        </w:rPr>
        <w:t>: National Reporting Centre for Ophthalmic Pathology, Centre for Sight, Hyderabad, India;</w:t>
      </w:r>
    </w:p>
    <w:p w14:paraId="75E7745A" w14:textId="6550EB02" w:rsidR="00582425" w:rsidRPr="00013472" w:rsidRDefault="002D7461" w:rsidP="00582425">
      <w:pPr>
        <w:rPr>
          <w:rFonts w:cs="Times New Roman"/>
          <w:sz w:val="22"/>
          <w:lang w:val="en-US"/>
        </w:rPr>
      </w:pPr>
      <w:r w:rsidRPr="00013472">
        <w:rPr>
          <w:rFonts w:cs="Times New Roman"/>
          <w:sz w:val="22"/>
          <w:lang w:val="en-US"/>
        </w:rPr>
        <w:t>10</w:t>
      </w:r>
      <w:r w:rsidR="00582425" w:rsidRPr="00013472">
        <w:rPr>
          <w:rFonts w:cs="Times New Roman"/>
          <w:sz w:val="22"/>
          <w:lang w:val="en-US"/>
        </w:rPr>
        <w:t>: Visiting Faculty, Ophthalmic Pathology Services, LV Prasad Eye Institute, Hyderabad, India;</w:t>
      </w:r>
    </w:p>
    <w:p w14:paraId="4B678EEA" w14:textId="025574B0" w:rsidR="00582425" w:rsidRPr="00013472" w:rsidRDefault="002D7461" w:rsidP="00582425">
      <w:pPr>
        <w:rPr>
          <w:rFonts w:cs="Times New Roman"/>
          <w:sz w:val="22"/>
          <w:lang w:val="en-US"/>
        </w:rPr>
      </w:pPr>
      <w:r w:rsidRPr="00013472">
        <w:rPr>
          <w:rFonts w:cs="Times New Roman"/>
          <w:sz w:val="22"/>
          <w:lang w:val="en-US"/>
        </w:rPr>
        <w:t>11</w:t>
      </w:r>
      <w:r w:rsidR="00582425" w:rsidRPr="00013472">
        <w:rPr>
          <w:rFonts w:cs="Times New Roman"/>
          <w:sz w:val="22"/>
          <w:lang w:val="en-US"/>
        </w:rPr>
        <w:t xml:space="preserve">: </w:t>
      </w:r>
      <w:proofErr w:type="spellStart"/>
      <w:r w:rsidR="00582425" w:rsidRPr="00013472">
        <w:rPr>
          <w:rFonts w:cs="Times New Roman"/>
          <w:sz w:val="22"/>
          <w:lang w:val="en-US"/>
        </w:rPr>
        <w:t>Kallam</w:t>
      </w:r>
      <w:proofErr w:type="spellEnd"/>
      <w:r w:rsidR="00582425" w:rsidRPr="00013472">
        <w:rPr>
          <w:rFonts w:cs="Times New Roman"/>
          <w:sz w:val="22"/>
          <w:lang w:val="en-US"/>
        </w:rPr>
        <w:t xml:space="preserve"> </w:t>
      </w:r>
      <w:proofErr w:type="spellStart"/>
      <w:r w:rsidR="00582425" w:rsidRPr="00013472">
        <w:rPr>
          <w:rFonts w:cs="Times New Roman"/>
          <w:sz w:val="22"/>
          <w:lang w:val="en-US"/>
        </w:rPr>
        <w:t>Anji</w:t>
      </w:r>
      <w:proofErr w:type="spellEnd"/>
      <w:r w:rsidR="00582425" w:rsidRPr="00013472">
        <w:rPr>
          <w:rFonts w:cs="Times New Roman"/>
          <w:sz w:val="22"/>
          <w:lang w:val="en-US"/>
        </w:rPr>
        <w:t xml:space="preserve"> Reddy Campus, School of Medical Sciences, University of Hyderabad, Hyderabad, India.</w:t>
      </w:r>
    </w:p>
    <w:p w14:paraId="29939407" w14:textId="77777777" w:rsidR="00AA7CB1" w:rsidRPr="00013472" w:rsidRDefault="00AA7CB1" w:rsidP="00AA7CB1">
      <w:pPr>
        <w:rPr>
          <w:rFonts w:cs="Times New Roman"/>
          <w:sz w:val="22"/>
          <w:lang w:val="en-US"/>
        </w:rPr>
      </w:pPr>
    </w:p>
    <w:p w14:paraId="47A6BEF8" w14:textId="77777777" w:rsidR="00D403F1" w:rsidRPr="00013472" w:rsidRDefault="00D403F1" w:rsidP="00D403F1">
      <w:pPr>
        <w:rPr>
          <w:rFonts w:ascii="Times New Roman" w:hAnsi="Times New Roman" w:cs="Times New Roman"/>
          <w:b/>
          <w:sz w:val="22"/>
          <w:lang w:val="en-US"/>
        </w:rPr>
      </w:pPr>
      <w:r w:rsidRPr="00013472">
        <w:rPr>
          <w:rFonts w:ascii="Times New Roman" w:hAnsi="Times New Roman" w:cs="Times New Roman"/>
          <w:b/>
          <w:sz w:val="22"/>
          <w:lang w:val="en-US"/>
        </w:rPr>
        <w:t>Author Contributions:</w:t>
      </w:r>
    </w:p>
    <w:p w14:paraId="62F90AE8" w14:textId="56A62E37" w:rsidR="00D403F1" w:rsidRPr="00013472" w:rsidRDefault="00D403F1" w:rsidP="00D403F1">
      <w:pPr>
        <w:rPr>
          <w:rFonts w:ascii="Times New Roman" w:hAnsi="Times New Roman" w:cs="Times New Roman"/>
          <w:sz w:val="22"/>
          <w:lang w:val="en-US"/>
        </w:rPr>
      </w:pPr>
      <w:r w:rsidRPr="00013472">
        <w:rPr>
          <w:rFonts w:ascii="Times New Roman" w:hAnsi="Times New Roman" w:cs="Times New Roman"/>
          <w:b/>
          <w:sz w:val="22"/>
          <w:lang w:val="en-US"/>
        </w:rPr>
        <w:t>Vest, Mikkelsen, Holm</w:t>
      </w:r>
      <w:r w:rsidRPr="00013472">
        <w:rPr>
          <w:rFonts w:ascii="Times New Roman" w:hAnsi="Times New Roman" w:cs="Times New Roman"/>
          <w:sz w:val="22"/>
          <w:lang w:val="en-US"/>
        </w:rPr>
        <w:t xml:space="preserve"> had full access to all the data in the study and take responsibility for the integrity of the data and the accuracy of the data analysis. </w:t>
      </w:r>
    </w:p>
    <w:p w14:paraId="072445D2" w14:textId="3D01948A" w:rsidR="00D403F1" w:rsidRPr="00013472" w:rsidRDefault="00D403F1" w:rsidP="00D403F1">
      <w:pPr>
        <w:rPr>
          <w:rFonts w:ascii="Times New Roman" w:hAnsi="Times New Roman" w:cs="Times New Roman"/>
          <w:sz w:val="22"/>
          <w:lang w:val="en-US"/>
        </w:rPr>
      </w:pPr>
      <w:r w:rsidRPr="00013472">
        <w:rPr>
          <w:rFonts w:ascii="Times New Roman" w:hAnsi="Times New Roman" w:cs="Times New Roman"/>
          <w:i/>
          <w:sz w:val="22"/>
          <w:lang w:val="en-US"/>
        </w:rPr>
        <w:t>Study concept and design:</w:t>
      </w:r>
      <w:r w:rsidRPr="00013472">
        <w:rPr>
          <w:rFonts w:ascii="Times New Roman" w:hAnsi="Times New Roman" w:cs="Times New Roman"/>
          <w:sz w:val="22"/>
          <w:lang w:val="en-US"/>
        </w:rPr>
        <w:t xml:space="preserve"> </w:t>
      </w:r>
      <w:r w:rsidRPr="00013472">
        <w:rPr>
          <w:rFonts w:ascii="Times New Roman" w:hAnsi="Times New Roman" w:cs="Times New Roman"/>
          <w:b/>
          <w:sz w:val="22"/>
          <w:lang w:val="en-US"/>
        </w:rPr>
        <w:t>Vest</w:t>
      </w:r>
      <w:r w:rsidRPr="00013472">
        <w:rPr>
          <w:rFonts w:ascii="Times New Roman" w:hAnsi="Times New Roman" w:cs="Times New Roman"/>
          <w:sz w:val="22"/>
          <w:lang w:val="en-US"/>
        </w:rPr>
        <w:t xml:space="preserve">, </w:t>
      </w:r>
      <w:proofErr w:type="spellStart"/>
      <w:r w:rsidR="00287E4C" w:rsidRPr="00013472">
        <w:rPr>
          <w:rFonts w:ascii="Times New Roman" w:hAnsi="Times New Roman" w:cs="Times New Roman"/>
          <w:sz w:val="22"/>
          <w:lang w:val="en-US"/>
        </w:rPr>
        <w:t>Mikkelsen</w:t>
      </w:r>
      <w:proofErr w:type="spellEnd"/>
      <w:r w:rsidR="00287E4C" w:rsidRPr="00013472">
        <w:rPr>
          <w:rFonts w:ascii="Times New Roman" w:hAnsi="Times New Roman" w:cs="Times New Roman"/>
          <w:sz w:val="22"/>
          <w:lang w:val="en-US"/>
        </w:rPr>
        <w:t xml:space="preserve">, </w:t>
      </w:r>
      <w:r w:rsidRPr="00013472">
        <w:rPr>
          <w:rFonts w:ascii="Times New Roman" w:hAnsi="Times New Roman" w:cs="Times New Roman"/>
          <w:sz w:val="22"/>
          <w:lang w:val="en-US"/>
        </w:rPr>
        <w:t xml:space="preserve">Rasmussen, Coupland, </w:t>
      </w:r>
      <w:proofErr w:type="spellStart"/>
      <w:r w:rsidRPr="00013472">
        <w:rPr>
          <w:rFonts w:ascii="Times New Roman" w:hAnsi="Times New Roman" w:cs="Times New Roman"/>
          <w:sz w:val="22"/>
          <w:lang w:val="en-US"/>
        </w:rPr>
        <w:t>Esmaeli</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Heegaard</w:t>
      </w:r>
      <w:proofErr w:type="spellEnd"/>
      <w:r w:rsidRPr="00013472">
        <w:rPr>
          <w:rFonts w:ascii="Times New Roman" w:hAnsi="Times New Roman" w:cs="Times New Roman"/>
          <w:sz w:val="22"/>
          <w:lang w:val="en-US"/>
        </w:rPr>
        <w:t>.</w:t>
      </w:r>
    </w:p>
    <w:p w14:paraId="15972D1C" w14:textId="6C1AE168" w:rsidR="00D403F1" w:rsidRPr="00013472" w:rsidRDefault="00D403F1" w:rsidP="00D403F1">
      <w:pPr>
        <w:rPr>
          <w:rFonts w:ascii="Times New Roman" w:hAnsi="Times New Roman" w:cs="Times New Roman"/>
          <w:sz w:val="22"/>
          <w:lang w:val="en-US"/>
        </w:rPr>
      </w:pPr>
      <w:proofErr w:type="spellStart"/>
      <w:r w:rsidRPr="00013472">
        <w:rPr>
          <w:rFonts w:ascii="Times New Roman" w:hAnsi="Times New Roman" w:cs="Times New Roman"/>
          <w:i/>
          <w:sz w:val="22"/>
          <w:lang w:val="en-US"/>
        </w:rPr>
        <w:t>Acqusition</w:t>
      </w:r>
      <w:proofErr w:type="spellEnd"/>
      <w:r w:rsidRPr="00013472">
        <w:rPr>
          <w:rFonts w:ascii="Times New Roman" w:hAnsi="Times New Roman" w:cs="Times New Roman"/>
          <w:i/>
          <w:sz w:val="22"/>
          <w:lang w:val="en-US"/>
        </w:rPr>
        <w:t>, analysis, or interpretation of data</w:t>
      </w:r>
      <w:r w:rsidRPr="00013472">
        <w:rPr>
          <w:rFonts w:ascii="Times New Roman" w:hAnsi="Times New Roman" w:cs="Times New Roman"/>
          <w:sz w:val="22"/>
          <w:lang w:val="en-US"/>
        </w:rPr>
        <w:t xml:space="preserve">: </w:t>
      </w:r>
      <w:r w:rsidRPr="00013472">
        <w:rPr>
          <w:rFonts w:ascii="Times New Roman" w:hAnsi="Times New Roman" w:cs="Times New Roman"/>
          <w:b/>
          <w:sz w:val="22"/>
          <w:lang w:val="en-US"/>
        </w:rPr>
        <w:t>Vest</w:t>
      </w:r>
      <w:r w:rsidRPr="00013472">
        <w:rPr>
          <w:rFonts w:ascii="Times New Roman" w:hAnsi="Times New Roman" w:cs="Times New Roman"/>
          <w:sz w:val="22"/>
          <w:lang w:val="en-US"/>
        </w:rPr>
        <w:t xml:space="preserve">, </w:t>
      </w:r>
      <w:proofErr w:type="spellStart"/>
      <w:r w:rsidR="004A6122" w:rsidRPr="00013472">
        <w:rPr>
          <w:rFonts w:ascii="Times New Roman" w:hAnsi="Times New Roman" w:cs="Times New Roman"/>
          <w:sz w:val="22"/>
          <w:lang w:val="en-US"/>
        </w:rPr>
        <w:t>Mikkelsen</w:t>
      </w:r>
      <w:proofErr w:type="spellEnd"/>
      <w:r w:rsidR="004A6122" w:rsidRPr="00013472">
        <w:rPr>
          <w:rFonts w:ascii="Times New Roman" w:hAnsi="Times New Roman" w:cs="Times New Roman"/>
          <w:sz w:val="22"/>
          <w:lang w:val="en-US"/>
        </w:rPr>
        <w:t xml:space="preserve">, Holm, </w:t>
      </w:r>
      <w:r w:rsidRPr="00013472">
        <w:rPr>
          <w:rFonts w:ascii="Times New Roman" w:hAnsi="Times New Roman" w:cs="Times New Roman"/>
          <w:sz w:val="22"/>
          <w:lang w:val="en-US"/>
        </w:rPr>
        <w:t xml:space="preserve">Rasmussen, </w:t>
      </w:r>
      <w:r w:rsidR="004A6122" w:rsidRPr="00013472">
        <w:rPr>
          <w:rFonts w:ascii="Times New Roman" w:hAnsi="Times New Roman" w:cs="Times New Roman"/>
          <w:sz w:val="22"/>
          <w:lang w:val="en-US"/>
        </w:rPr>
        <w:t xml:space="preserve">Olsen, </w:t>
      </w:r>
      <w:proofErr w:type="spellStart"/>
      <w:r w:rsidR="004A6122" w:rsidRPr="00013472">
        <w:rPr>
          <w:rFonts w:ascii="Times New Roman" w:hAnsi="Times New Roman" w:cs="Times New Roman"/>
          <w:sz w:val="22"/>
          <w:lang w:val="en-US"/>
        </w:rPr>
        <w:t>Kirkegaard</w:t>
      </w:r>
      <w:proofErr w:type="spellEnd"/>
      <w:r w:rsidR="004A6122" w:rsidRPr="00013472">
        <w:rPr>
          <w:rFonts w:ascii="Times New Roman" w:hAnsi="Times New Roman" w:cs="Times New Roman"/>
          <w:sz w:val="22"/>
          <w:lang w:val="en-US"/>
        </w:rPr>
        <w:t xml:space="preserve">, </w:t>
      </w:r>
      <w:r w:rsidRPr="00013472">
        <w:rPr>
          <w:rFonts w:ascii="Times New Roman" w:hAnsi="Times New Roman" w:cs="Times New Roman"/>
          <w:sz w:val="22"/>
          <w:lang w:val="en-US"/>
        </w:rPr>
        <w:t xml:space="preserve">Coupland, </w:t>
      </w:r>
      <w:proofErr w:type="spellStart"/>
      <w:r w:rsidRPr="00013472">
        <w:rPr>
          <w:rFonts w:ascii="Times New Roman" w:hAnsi="Times New Roman" w:cs="Times New Roman"/>
          <w:sz w:val="22"/>
          <w:lang w:val="en-US"/>
        </w:rPr>
        <w:t>Esmaeli</w:t>
      </w:r>
      <w:proofErr w:type="spellEnd"/>
      <w:r w:rsidRPr="00013472">
        <w:rPr>
          <w:rFonts w:ascii="Times New Roman" w:hAnsi="Times New Roman" w:cs="Times New Roman"/>
          <w:sz w:val="22"/>
          <w:lang w:val="en-US"/>
        </w:rPr>
        <w:t>, Finger</w:t>
      </w:r>
      <w:r w:rsidR="004A6122" w:rsidRPr="00013472">
        <w:rPr>
          <w:rFonts w:ascii="Times New Roman" w:hAnsi="Times New Roman" w:cs="Times New Roman"/>
          <w:sz w:val="22"/>
          <w:lang w:val="en-US"/>
        </w:rPr>
        <w:t xml:space="preserve">, </w:t>
      </w:r>
      <w:proofErr w:type="spellStart"/>
      <w:r w:rsidR="004A6122" w:rsidRPr="00013472">
        <w:rPr>
          <w:rFonts w:ascii="Times New Roman" w:hAnsi="Times New Roman" w:cs="Times New Roman"/>
          <w:sz w:val="22"/>
          <w:lang w:val="en-US"/>
        </w:rPr>
        <w:t>Graue</w:t>
      </w:r>
      <w:proofErr w:type="spellEnd"/>
      <w:r w:rsidR="004A6122" w:rsidRPr="00013472">
        <w:rPr>
          <w:rFonts w:ascii="Times New Roman" w:hAnsi="Times New Roman" w:cs="Times New Roman"/>
          <w:sz w:val="22"/>
          <w:lang w:val="en-US"/>
        </w:rPr>
        <w:t xml:space="preserve">, </w:t>
      </w:r>
      <w:proofErr w:type="spellStart"/>
      <w:r w:rsidR="004A6122" w:rsidRPr="00013472">
        <w:rPr>
          <w:rFonts w:ascii="Times New Roman" w:hAnsi="Times New Roman" w:cs="Times New Roman"/>
          <w:sz w:val="22"/>
          <w:lang w:val="en-US"/>
        </w:rPr>
        <w:t>Grossniklaus</w:t>
      </w:r>
      <w:proofErr w:type="spellEnd"/>
      <w:r w:rsidR="004A6122" w:rsidRPr="00013472">
        <w:rPr>
          <w:rFonts w:ascii="Times New Roman" w:hAnsi="Times New Roman" w:cs="Times New Roman"/>
          <w:sz w:val="22"/>
          <w:lang w:val="en-US"/>
        </w:rPr>
        <w:t xml:space="preserve">, </w:t>
      </w:r>
      <w:proofErr w:type="spellStart"/>
      <w:r w:rsidR="004A6122" w:rsidRPr="00013472">
        <w:rPr>
          <w:rFonts w:ascii="Times New Roman" w:hAnsi="Times New Roman" w:cs="Times New Roman"/>
          <w:sz w:val="22"/>
          <w:lang w:val="en-US"/>
        </w:rPr>
        <w:t>Honavar</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Mulay</w:t>
      </w:r>
      <w:proofErr w:type="spellEnd"/>
      <w:r w:rsidRPr="00013472">
        <w:rPr>
          <w:rFonts w:ascii="Times New Roman" w:hAnsi="Times New Roman" w:cs="Times New Roman"/>
          <w:sz w:val="22"/>
          <w:lang w:val="en-US"/>
        </w:rPr>
        <w:t xml:space="preserve">, </w:t>
      </w:r>
      <w:proofErr w:type="spellStart"/>
      <w:r w:rsidR="00287E4C" w:rsidRPr="00013472">
        <w:rPr>
          <w:rFonts w:ascii="Times New Roman" w:hAnsi="Times New Roman" w:cs="Times New Roman"/>
          <w:sz w:val="22"/>
          <w:lang w:val="en-US"/>
        </w:rPr>
        <w:t>Ralfkiaer</w:t>
      </w:r>
      <w:proofErr w:type="spellEnd"/>
      <w:r w:rsidR="00287E4C"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Sniegowski</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Sjö</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Vemuganto</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Thuro</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Heegaard</w:t>
      </w:r>
      <w:proofErr w:type="spellEnd"/>
      <w:r w:rsidRPr="00013472">
        <w:rPr>
          <w:rFonts w:ascii="Times New Roman" w:hAnsi="Times New Roman" w:cs="Times New Roman"/>
          <w:sz w:val="22"/>
          <w:lang w:val="en-US"/>
        </w:rPr>
        <w:t>.</w:t>
      </w:r>
    </w:p>
    <w:p w14:paraId="63AA37E7" w14:textId="5A07DC5A" w:rsidR="00D403F1" w:rsidRPr="00013472" w:rsidRDefault="00D403F1" w:rsidP="00D403F1">
      <w:pPr>
        <w:rPr>
          <w:rFonts w:ascii="Times New Roman" w:hAnsi="Times New Roman" w:cs="Times New Roman"/>
          <w:sz w:val="22"/>
          <w:lang w:val="en-US"/>
        </w:rPr>
      </w:pPr>
      <w:r w:rsidRPr="00013472">
        <w:rPr>
          <w:rFonts w:ascii="Times New Roman" w:hAnsi="Times New Roman" w:cs="Times New Roman"/>
          <w:i/>
          <w:sz w:val="22"/>
          <w:lang w:val="en-US"/>
        </w:rPr>
        <w:t>Drafting of manuscript:</w:t>
      </w:r>
      <w:r w:rsidRPr="00013472">
        <w:rPr>
          <w:rFonts w:ascii="Times New Roman" w:hAnsi="Times New Roman" w:cs="Times New Roman"/>
          <w:sz w:val="22"/>
          <w:lang w:val="en-US"/>
        </w:rPr>
        <w:t xml:space="preserve"> </w:t>
      </w:r>
      <w:r w:rsidR="004A6122" w:rsidRPr="00013472">
        <w:rPr>
          <w:rFonts w:ascii="Times New Roman" w:hAnsi="Times New Roman" w:cs="Times New Roman"/>
          <w:b/>
          <w:sz w:val="22"/>
          <w:lang w:val="en-US"/>
        </w:rPr>
        <w:t>Vest</w:t>
      </w:r>
      <w:r w:rsidR="004A6122" w:rsidRPr="00013472">
        <w:rPr>
          <w:rFonts w:ascii="Times New Roman" w:hAnsi="Times New Roman" w:cs="Times New Roman"/>
          <w:sz w:val="22"/>
          <w:lang w:val="en-US"/>
        </w:rPr>
        <w:t>, Mikkelsen</w:t>
      </w:r>
      <w:r w:rsidRPr="00013472">
        <w:rPr>
          <w:rFonts w:ascii="Times New Roman" w:hAnsi="Times New Roman" w:cs="Times New Roman"/>
          <w:sz w:val="22"/>
          <w:lang w:val="en-US"/>
        </w:rPr>
        <w:t>, Coupland, Heegaard.</w:t>
      </w:r>
    </w:p>
    <w:p w14:paraId="142F839E" w14:textId="4807A09B" w:rsidR="00D403F1" w:rsidRPr="00013472" w:rsidRDefault="00D403F1" w:rsidP="00D403F1">
      <w:pPr>
        <w:rPr>
          <w:rFonts w:ascii="Times New Roman" w:hAnsi="Times New Roman" w:cs="Times New Roman"/>
          <w:sz w:val="22"/>
          <w:lang w:val="en-US"/>
        </w:rPr>
      </w:pPr>
      <w:r w:rsidRPr="00013472">
        <w:rPr>
          <w:rFonts w:ascii="Times New Roman" w:hAnsi="Times New Roman" w:cs="Times New Roman"/>
          <w:i/>
          <w:sz w:val="22"/>
          <w:lang w:val="en-US"/>
        </w:rPr>
        <w:t>Critical revision of the manuscript for important intellectual content:</w:t>
      </w:r>
      <w:r w:rsidRPr="00013472">
        <w:rPr>
          <w:rFonts w:ascii="Times New Roman" w:hAnsi="Times New Roman" w:cs="Times New Roman"/>
          <w:sz w:val="22"/>
          <w:lang w:val="en-US"/>
        </w:rPr>
        <w:t xml:space="preserve"> </w:t>
      </w:r>
      <w:r w:rsidR="004A6122" w:rsidRPr="00013472">
        <w:rPr>
          <w:rFonts w:ascii="Times New Roman" w:hAnsi="Times New Roman" w:cs="Times New Roman"/>
          <w:b/>
          <w:sz w:val="22"/>
          <w:lang w:val="en-US"/>
        </w:rPr>
        <w:t>Vest</w:t>
      </w:r>
      <w:r w:rsidR="004A6122"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Mikkelsen</w:t>
      </w:r>
      <w:proofErr w:type="spellEnd"/>
      <w:r w:rsidRPr="00013472">
        <w:rPr>
          <w:rFonts w:ascii="Times New Roman" w:hAnsi="Times New Roman" w:cs="Times New Roman"/>
          <w:sz w:val="22"/>
          <w:lang w:val="en-US"/>
        </w:rPr>
        <w:t xml:space="preserve">, </w:t>
      </w:r>
      <w:r w:rsidR="004A6122" w:rsidRPr="00013472">
        <w:rPr>
          <w:rFonts w:ascii="Times New Roman" w:hAnsi="Times New Roman" w:cs="Times New Roman"/>
          <w:sz w:val="22"/>
          <w:lang w:val="en-US"/>
        </w:rPr>
        <w:t xml:space="preserve">Holm, </w:t>
      </w:r>
      <w:r w:rsidRPr="00013472">
        <w:rPr>
          <w:rFonts w:ascii="Times New Roman" w:hAnsi="Times New Roman" w:cs="Times New Roman"/>
          <w:sz w:val="22"/>
          <w:lang w:val="en-US"/>
        </w:rPr>
        <w:t xml:space="preserve">Rasmussen, </w:t>
      </w:r>
      <w:r w:rsidR="004A6122" w:rsidRPr="00013472">
        <w:rPr>
          <w:rFonts w:ascii="Times New Roman" w:hAnsi="Times New Roman" w:cs="Times New Roman"/>
          <w:sz w:val="22"/>
          <w:lang w:val="en-US"/>
        </w:rPr>
        <w:t xml:space="preserve">Olsen, </w:t>
      </w:r>
      <w:proofErr w:type="spellStart"/>
      <w:r w:rsidR="004A6122" w:rsidRPr="00013472">
        <w:rPr>
          <w:rFonts w:ascii="Times New Roman" w:hAnsi="Times New Roman" w:cs="Times New Roman"/>
          <w:sz w:val="22"/>
          <w:lang w:val="en-US"/>
        </w:rPr>
        <w:t>Kirkegaard</w:t>
      </w:r>
      <w:proofErr w:type="spellEnd"/>
      <w:r w:rsidR="004A6122" w:rsidRPr="00013472">
        <w:rPr>
          <w:rFonts w:ascii="Times New Roman" w:hAnsi="Times New Roman" w:cs="Times New Roman"/>
          <w:sz w:val="22"/>
          <w:lang w:val="en-US"/>
        </w:rPr>
        <w:t xml:space="preserve">, </w:t>
      </w:r>
      <w:r w:rsidRPr="00013472">
        <w:rPr>
          <w:rFonts w:ascii="Times New Roman" w:hAnsi="Times New Roman" w:cs="Times New Roman"/>
          <w:sz w:val="22"/>
          <w:lang w:val="en-US"/>
        </w:rPr>
        <w:t xml:space="preserve">Coupland, </w:t>
      </w:r>
      <w:proofErr w:type="spellStart"/>
      <w:r w:rsidRPr="00013472">
        <w:rPr>
          <w:rFonts w:ascii="Times New Roman" w:hAnsi="Times New Roman" w:cs="Times New Roman"/>
          <w:sz w:val="22"/>
          <w:lang w:val="en-US"/>
        </w:rPr>
        <w:t>Esmaeli</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Graue</w:t>
      </w:r>
      <w:proofErr w:type="spellEnd"/>
      <w:r w:rsidRPr="00013472">
        <w:rPr>
          <w:rFonts w:ascii="Times New Roman" w:hAnsi="Times New Roman" w:cs="Times New Roman"/>
          <w:sz w:val="22"/>
          <w:lang w:val="en-US"/>
        </w:rPr>
        <w:t xml:space="preserve">, Finger, </w:t>
      </w:r>
      <w:proofErr w:type="spellStart"/>
      <w:r w:rsidRPr="00013472">
        <w:rPr>
          <w:rFonts w:ascii="Times New Roman" w:hAnsi="Times New Roman" w:cs="Times New Roman"/>
          <w:sz w:val="22"/>
          <w:lang w:val="en-US"/>
        </w:rPr>
        <w:t>Grossniklaus</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Honavar</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Mulay</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Sjö</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Ralfkia</w:t>
      </w:r>
      <w:r w:rsidR="00287E4C" w:rsidRPr="00013472">
        <w:rPr>
          <w:rFonts w:ascii="Times New Roman" w:hAnsi="Times New Roman" w:cs="Times New Roman"/>
          <w:sz w:val="22"/>
          <w:lang w:val="en-US"/>
        </w:rPr>
        <w:t>e</w:t>
      </w:r>
      <w:r w:rsidRPr="00013472">
        <w:rPr>
          <w:rFonts w:ascii="Times New Roman" w:hAnsi="Times New Roman" w:cs="Times New Roman"/>
          <w:sz w:val="22"/>
          <w:lang w:val="en-US"/>
        </w:rPr>
        <w:t>r</w:t>
      </w:r>
      <w:proofErr w:type="spellEnd"/>
      <w:r w:rsidR="004A6122" w:rsidRPr="00013472">
        <w:rPr>
          <w:rFonts w:ascii="Times New Roman" w:hAnsi="Times New Roman" w:cs="Times New Roman"/>
          <w:sz w:val="22"/>
          <w:lang w:val="en-US"/>
        </w:rPr>
        <w:t xml:space="preserve">, </w:t>
      </w:r>
      <w:proofErr w:type="spellStart"/>
      <w:r w:rsidR="004A6122" w:rsidRPr="00013472">
        <w:rPr>
          <w:rFonts w:ascii="Times New Roman" w:hAnsi="Times New Roman" w:cs="Times New Roman"/>
          <w:sz w:val="22"/>
          <w:lang w:val="en-US"/>
        </w:rPr>
        <w:t>Sniegowski</w:t>
      </w:r>
      <w:proofErr w:type="spellEnd"/>
      <w:r w:rsidR="004A6122" w:rsidRPr="00013472">
        <w:rPr>
          <w:rFonts w:ascii="Times New Roman" w:hAnsi="Times New Roman" w:cs="Times New Roman"/>
          <w:sz w:val="22"/>
          <w:lang w:val="en-US"/>
        </w:rPr>
        <w:t xml:space="preserve">, </w:t>
      </w:r>
      <w:proofErr w:type="spellStart"/>
      <w:r w:rsidR="004A6122" w:rsidRPr="00013472">
        <w:rPr>
          <w:rFonts w:ascii="Times New Roman" w:hAnsi="Times New Roman" w:cs="Times New Roman"/>
          <w:sz w:val="22"/>
          <w:lang w:val="en-US"/>
        </w:rPr>
        <w:t>Vemuganti</w:t>
      </w:r>
      <w:proofErr w:type="spellEnd"/>
      <w:r w:rsidR="004A6122" w:rsidRPr="00013472">
        <w:rPr>
          <w:rFonts w:ascii="Times New Roman" w:hAnsi="Times New Roman" w:cs="Times New Roman"/>
          <w:sz w:val="22"/>
          <w:lang w:val="en-US"/>
        </w:rPr>
        <w:t xml:space="preserve">, </w:t>
      </w:r>
      <w:proofErr w:type="spellStart"/>
      <w:r w:rsidR="004A6122" w:rsidRPr="00013472">
        <w:rPr>
          <w:rFonts w:ascii="Times New Roman" w:hAnsi="Times New Roman" w:cs="Times New Roman"/>
          <w:sz w:val="22"/>
          <w:lang w:val="en-US"/>
        </w:rPr>
        <w:t>Thuro</w:t>
      </w:r>
      <w:proofErr w:type="spellEnd"/>
      <w:r w:rsidRPr="00013472">
        <w:rPr>
          <w:rFonts w:ascii="Times New Roman" w:hAnsi="Times New Roman" w:cs="Times New Roman"/>
          <w:sz w:val="22"/>
          <w:lang w:val="en-US"/>
        </w:rPr>
        <w:t>, Heegaard.</w:t>
      </w:r>
    </w:p>
    <w:p w14:paraId="7DD9110C" w14:textId="0166ECE8" w:rsidR="00D403F1" w:rsidRPr="00013472" w:rsidRDefault="00D403F1" w:rsidP="00D403F1">
      <w:pPr>
        <w:rPr>
          <w:rFonts w:ascii="Times New Roman" w:hAnsi="Times New Roman" w:cs="Times New Roman"/>
          <w:sz w:val="22"/>
          <w:lang w:val="en-US"/>
        </w:rPr>
      </w:pPr>
      <w:r w:rsidRPr="00013472">
        <w:rPr>
          <w:rFonts w:ascii="Times New Roman" w:hAnsi="Times New Roman" w:cs="Times New Roman"/>
          <w:i/>
          <w:sz w:val="22"/>
          <w:lang w:val="en-US"/>
        </w:rPr>
        <w:t xml:space="preserve">Statistical analysis: </w:t>
      </w:r>
      <w:r w:rsidR="004A6122" w:rsidRPr="00013472">
        <w:rPr>
          <w:rFonts w:ascii="Times New Roman" w:hAnsi="Times New Roman" w:cs="Times New Roman"/>
          <w:b/>
          <w:sz w:val="22"/>
          <w:lang w:val="en-US"/>
        </w:rPr>
        <w:t>Vest</w:t>
      </w:r>
      <w:r w:rsidRPr="00013472">
        <w:rPr>
          <w:rFonts w:ascii="Times New Roman" w:hAnsi="Times New Roman" w:cs="Times New Roman"/>
          <w:sz w:val="22"/>
          <w:lang w:val="en-US"/>
        </w:rPr>
        <w:t>, Holm.</w:t>
      </w:r>
    </w:p>
    <w:p w14:paraId="0B6FF299" w14:textId="25577EF9" w:rsidR="00D403F1" w:rsidRPr="00013472" w:rsidRDefault="00D403F1" w:rsidP="00D403F1">
      <w:pPr>
        <w:rPr>
          <w:rFonts w:ascii="Times New Roman" w:hAnsi="Times New Roman" w:cs="Times New Roman"/>
          <w:sz w:val="22"/>
          <w:lang w:val="en-US"/>
        </w:rPr>
      </w:pPr>
      <w:r w:rsidRPr="00013472">
        <w:rPr>
          <w:rFonts w:ascii="Times New Roman" w:hAnsi="Times New Roman" w:cs="Times New Roman"/>
          <w:i/>
          <w:sz w:val="22"/>
          <w:lang w:val="en-US"/>
        </w:rPr>
        <w:t>Obtained funding:</w:t>
      </w:r>
      <w:r w:rsidR="004A6122" w:rsidRPr="00013472">
        <w:rPr>
          <w:rFonts w:ascii="Times New Roman" w:hAnsi="Times New Roman" w:cs="Times New Roman"/>
          <w:sz w:val="22"/>
          <w:lang w:val="en-US"/>
        </w:rPr>
        <w:t xml:space="preserve"> </w:t>
      </w:r>
      <w:r w:rsidRPr="00013472">
        <w:rPr>
          <w:rFonts w:ascii="Times New Roman" w:hAnsi="Times New Roman" w:cs="Times New Roman"/>
          <w:sz w:val="22"/>
          <w:lang w:val="en-US"/>
        </w:rPr>
        <w:t>Heegaard.</w:t>
      </w:r>
    </w:p>
    <w:p w14:paraId="60BA8729" w14:textId="56421449" w:rsidR="00D403F1" w:rsidRPr="00013472" w:rsidRDefault="00D403F1" w:rsidP="00D403F1">
      <w:pPr>
        <w:rPr>
          <w:rFonts w:ascii="Times New Roman" w:hAnsi="Times New Roman" w:cs="Times New Roman"/>
          <w:sz w:val="22"/>
          <w:lang w:val="en-US"/>
        </w:rPr>
      </w:pPr>
      <w:r w:rsidRPr="00013472">
        <w:rPr>
          <w:rFonts w:ascii="Times New Roman" w:hAnsi="Times New Roman" w:cs="Times New Roman"/>
          <w:i/>
          <w:sz w:val="22"/>
          <w:lang w:val="en-US"/>
        </w:rPr>
        <w:t>Administrative, technical, or material support:</w:t>
      </w:r>
      <w:r w:rsidRPr="00013472">
        <w:rPr>
          <w:rFonts w:ascii="Times New Roman" w:hAnsi="Times New Roman" w:cs="Times New Roman"/>
          <w:sz w:val="22"/>
          <w:lang w:val="en-US"/>
        </w:rPr>
        <w:t xml:space="preserve"> Holm, </w:t>
      </w:r>
      <w:proofErr w:type="spellStart"/>
      <w:r w:rsidRPr="00013472">
        <w:rPr>
          <w:rFonts w:ascii="Times New Roman" w:hAnsi="Times New Roman" w:cs="Times New Roman"/>
          <w:sz w:val="22"/>
          <w:lang w:val="en-US"/>
        </w:rPr>
        <w:t>Mikkelsen</w:t>
      </w:r>
      <w:proofErr w:type="spellEnd"/>
      <w:r w:rsidRPr="00013472">
        <w:rPr>
          <w:rFonts w:ascii="Times New Roman" w:hAnsi="Times New Roman" w:cs="Times New Roman"/>
          <w:sz w:val="22"/>
          <w:lang w:val="en-US"/>
        </w:rPr>
        <w:t xml:space="preserve">, Coupland, </w:t>
      </w:r>
      <w:proofErr w:type="spellStart"/>
      <w:r w:rsidRPr="00013472">
        <w:rPr>
          <w:rFonts w:ascii="Times New Roman" w:hAnsi="Times New Roman" w:cs="Times New Roman"/>
          <w:sz w:val="22"/>
          <w:lang w:val="en-US"/>
        </w:rPr>
        <w:t>Esmael</w:t>
      </w:r>
      <w:r w:rsidR="004A6122" w:rsidRPr="00013472">
        <w:rPr>
          <w:rFonts w:ascii="Times New Roman" w:hAnsi="Times New Roman" w:cs="Times New Roman"/>
          <w:sz w:val="22"/>
          <w:lang w:val="en-US"/>
        </w:rPr>
        <w:t>i</w:t>
      </w:r>
      <w:proofErr w:type="spellEnd"/>
      <w:r w:rsidR="004A6122" w:rsidRPr="00013472">
        <w:rPr>
          <w:rFonts w:ascii="Times New Roman" w:hAnsi="Times New Roman" w:cs="Times New Roman"/>
          <w:sz w:val="22"/>
          <w:lang w:val="en-US"/>
        </w:rPr>
        <w:t xml:space="preserve">, Finger, </w:t>
      </w:r>
      <w:proofErr w:type="spellStart"/>
      <w:r w:rsidR="004A6122" w:rsidRPr="00013472">
        <w:rPr>
          <w:rFonts w:ascii="Times New Roman" w:hAnsi="Times New Roman" w:cs="Times New Roman"/>
          <w:sz w:val="22"/>
          <w:lang w:val="en-US"/>
        </w:rPr>
        <w:t>Graue</w:t>
      </w:r>
      <w:proofErr w:type="spellEnd"/>
      <w:r w:rsidR="004A6122" w:rsidRPr="00013472">
        <w:rPr>
          <w:rFonts w:ascii="Times New Roman" w:hAnsi="Times New Roman" w:cs="Times New Roman"/>
          <w:sz w:val="22"/>
          <w:lang w:val="en-US"/>
        </w:rPr>
        <w:t xml:space="preserve">, </w:t>
      </w:r>
      <w:proofErr w:type="spellStart"/>
      <w:r w:rsidR="004A6122" w:rsidRPr="00013472">
        <w:rPr>
          <w:rFonts w:ascii="Times New Roman" w:hAnsi="Times New Roman" w:cs="Times New Roman"/>
          <w:sz w:val="22"/>
          <w:lang w:val="en-US"/>
        </w:rPr>
        <w:t>Grossniklaus</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Mulay</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Sjö</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Thuro</w:t>
      </w:r>
      <w:proofErr w:type="spellEnd"/>
      <w:r w:rsidRPr="00013472">
        <w:rPr>
          <w:rFonts w:ascii="Times New Roman" w:hAnsi="Times New Roman" w:cs="Times New Roman"/>
          <w:sz w:val="22"/>
          <w:lang w:val="en-US"/>
        </w:rPr>
        <w:t>.</w:t>
      </w:r>
    </w:p>
    <w:p w14:paraId="524CA2EF" w14:textId="45FA6BCB" w:rsidR="00D403F1" w:rsidRPr="00013472" w:rsidRDefault="00D403F1" w:rsidP="00AA7CB1">
      <w:pPr>
        <w:rPr>
          <w:rFonts w:ascii="Times New Roman" w:hAnsi="Times New Roman" w:cs="Times New Roman"/>
          <w:sz w:val="22"/>
          <w:lang w:val="en-US"/>
        </w:rPr>
      </w:pPr>
      <w:r w:rsidRPr="00013472">
        <w:rPr>
          <w:rFonts w:ascii="Times New Roman" w:hAnsi="Times New Roman" w:cs="Times New Roman"/>
          <w:i/>
          <w:sz w:val="22"/>
          <w:lang w:val="en-US"/>
        </w:rPr>
        <w:t>Study supervision:</w:t>
      </w:r>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Mikkelsen</w:t>
      </w:r>
      <w:proofErr w:type="spellEnd"/>
      <w:r w:rsidRPr="00013472">
        <w:rPr>
          <w:rFonts w:ascii="Times New Roman" w:hAnsi="Times New Roman" w:cs="Times New Roman"/>
          <w:sz w:val="22"/>
          <w:lang w:val="en-US"/>
        </w:rPr>
        <w:t xml:space="preserve">, </w:t>
      </w:r>
      <w:r w:rsidR="004A6122" w:rsidRPr="00013472">
        <w:rPr>
          <w:rFonts w:ascii="Times New Roman" w:hAnsi="Times New Roman" w:cs="Times New Roman"/>
          <w:sz w:val="22"/>
          <w:lang w:val="en-US"/>
        </w:rPr>
        <w:t xml:space="preserve">Holm, </w:t>
      </w:r>
      <w:proofErr w:type="spellStart"/>
      <w:r w:rsidRPr="00013472">
        <w:rPr>
          <w:rFonts w:ascii="Times New Roman" w:hAnsi="Times New Roman" w:cs="Times New Roman"/>
          <w:sz w:val="22"/>
          <w:lang w:val="en-US"/>
        </w:rPr>
        <w:t>Honavar</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Vemuganti</w:t>
      </w:r>
      <w:proofErr w:type="spellEnd"/>
      <w:r w:rsidRPr="00013472">
        <w:rPr>
          <w:rFonts w:ascii="Times New Roman" w:hAnsi="Times New Roman" w:cs="Times New Roman"/>
          <w:sz w:val="22"/>
          <w:lang w:val="en-US"/>
        </w:rPr>
        <w:t xml:space="preserve">, </w:t>
      </w:r>
      <w:proofErr w:type="spellStart"/>
      <w:r w:rsidRPr="00013472">
        <w:rPr>
          <w:rFonts w:ascii="Times New Roman" w:hAnsi="Times New Roman" w:cs="Times New Roman"/>
          <w:sz w:val="22"/>
          <w:lang w:val="en-US"/>
        </w:rPr>
        <w:t>Heegaard</w:t>
      </w:r>
      <w:proofErr w:type="spellEnd"/>
      <w:r w:rsidRPr="00013472">
        <w:rPr>
          <w:rFonts w:ascii="Times New Roman" w:hAnsi="Times New Roman" w:cs="Times New Roman"/>
          <w:sz w:val="22"/>
          <w:lang w:val="en-US"/>
        </w:rPr>
        <w:t>.</w:t>
      </w:r>
    </w:p>
    <w:p w14:paraId="61139778" w14:textId="77777777" w:rsidR="00D403F1" w:rsidRPr="00013472" w:rsidRDefault="00D403F1" w:rsidP="00AA7CB1">
      <w:pPr>
        <w:rPr>
          <w:rFonts w:cs="Times New Roman"/>
          <w:b/>
          <w:sz w:val="22"/>
          <w:lang w:val="en-US"/>
        </w:rPr>
      </w:pPr>
    </w:p>
    <w:p w14:paraId="1DA2AAFC" w14:textId="77777777" w:rsidR="00AA7CB1" w:rsidRPr="00013472" w:rsidRDefault="00AA7CB1" w:rsidP="00AA7CB1">
      <w:pPr>
        <w:rPr>
          <w:rFonts w:cs="Times New Roman"/>
          <w:b/>
          <w:sz w:val="22"/>
          <w:lang w:val="en-US"/>
        </w:rPr>
      </w:pPr>
      <w:r w:rsidRPr="00013472">
        <w:rPr>
          <w:rFonts w:cs="Times New Roman"/>
          <w:b/>
          <w:sz w:val="22"/>
          <w:lang w:val="en-US"/>
        </w:rPr>
        <w:t>Corresponding author:</w:t>
      </w:r>
    </w:p>
    <w:p w14:paraId="0486423E" w14:textId="77777777" w:rsidR="00AA7CB1" w:rsidRPr="00013472" w:rsidRDefault="00AA7CB1" w:rsidP="00AA7CB1">
      <w:pPr>
        <w:rPr>
          <w:rFonts w:cs="Times New Roman"/>
          <w:sz w:val="22"/>
          <w:lang w:val="en-US"/>
        </w:rPr>
      </w:pPr>
      <w:r w:rsidRPr="00013472">
        <w:rPr>
          <w:rFonts w:cs="Times New Roman"/>
          <w:sz w:val="22"/>
          <w:lang w:val="en-US"/>
        </w:rPr>
        <w:t xml:space="preserve">Professor, MD, </w:t>
      </w:r>
      <w:proofErr w:type="spellStart"/>
      <w:r w:rsidRPr="00013472">
        <w:rPr>
          <w:rFonts w:cs="Times New Roman"/>
          <w:sz w:val="22"/>
          <w:lang w:val="en-US"/>
        </w:rPr>
        <w:t>DMSc</w:t>
      </w:r>
      <w:proofErr w:type="spellEnd"/>
      <w:r w:rsidRPr="00013472">
        <w:rPr>
          <w:rFonts w:cs="Times New Roman"/>
          <w:sz w:val="22"/>
          <w:lang w:val="en-US"/>
        </w:rPr>
        <w:t xml:space="preserve"> Steffen </w:t>
      </w:r>
      <w:proofErr w:type="spellStart"/>
      <w:r w:rsidRPr="00013472">
        <w:rPr>
          <w:rFonts w:cs="Times New Roman"/>
          <w:sz w:val="22"/>
          <w:lang w:val="en-US"/>
        </w:rPr>
        <w:t>Heegaard</w:t>
      </w:r>
      <w:proofErr w:type="spellEnd"/>
    </w:p>
    <w:p w14:paraId="2DA7FCF2" w14:textId="39319288" w:rsidR="00AA7CB1" w:rsidRPr="00013472" w:rsidRDefault="00AA7CB1" w:rsidP="00AA7CB1">
      <w:pPr>
        <w:rPr>
          <w:rFonts w:cs="Times New Roman"/>
          <w:sz w:val="22"/>
          <w:lang w:val="en-US"/>
        </w:rPr>
      </w:pPr>
      <w:r w:rsidRPr="00013472">
        <w:rPr>
          <w:rFonts w:cs="Times New Roman"/>
          <w:sz w:val="22"/>
          <w:lang w:val="en-US"/>
        </w:rPr>
        <w:t>Department of Pathology, Rigsho</w:t>
      </w:r>
      <w:r w:rsidR="00E97F69" w:rsidRPr="00013472">
        <w:rPr>
          <w:rFonts w:cs="Times New Roman"/>
          <w:sz w:val="22"/>
          <w:lang w:val="en-US"/>
        </w:rPr>
        <w:t>s</w:t>
      </w:r>
      <w:r w:rsidRPr="00013472">
        <w:rPr>
          <w:rFonts w:cs="Times New Roman"/>
          <w:sz w:val="22"/>
          <w:lang w:val="en-US"/>
        </w:rPr>
        <w:t>pitalet, University of Copenhagen</w:t>
      </w:r>
    </w:p>
    <w:p w14:paraId="209FA123" w14:textId="77777777" w:rsidR="00AA7CB1" w:rsidRPr="00013472" w:rsidRDefault="00AA7CB1" w:rsidP="00AA7CB1">
      <w:pPr>
        <w:rPr>
          <w:rFonts w:cs="Times New Roman"/>
          <w:sz w:val="22"/>
        </w:rPr>
      </w:pPr>
      <w:r w:rsidRPr="00013472">
        <w:rPr>
          <w:rFonts w:cs="Times New Roman"/>
          <w:sz w:val="22"/>
        </w:rPr>
        <w:t>Frederik V’s Vej, 11, 1. Sal</w:t>
      </w:r>
    </w:p>
    <w:p w14:paraId="26F591A9" w14:textId="77777777" w:rsidR="00AA7CB1" w:rsidRPr="00013472" w:rsidRDefault="00AA7CB1" w:rsidP="00AA7CB1">
      <w:pPr>
        <w:rPr>
          <w:rFonts w:cs="Times New Roman"/>
          <w:sz w:val="22"/>
        </w:rPr>
      </w:pPr>
      <w:r w:rsidRPr="00013472">
        <w:rPr>
          <w:rFonts w:cs="Times New Roman"/>
          <w:sz w:val="22"/>
        </w:rPr>
        <w:t>DK-2100 Copenhagen Ø, Denmark</w:t>
      </w:r>
    </w:p>
    <w:p w14:paraId="35E1C0FC" w14:textId="1D27AF1C" w:rsidR="00AA7CB1" w:rsidRPr="00013472" w:rsidRDefault="00AA7CB1" w:rsidP="00AA7CB1">
      <w:pPr>
        <w:rPr>
          <w:rFonts w:cs="Times New Roman"/>
          <w:sz w:val="22"/>
          <w:lang w:val="en-US"/>
        </w:rPr>
      </w:pPr>
      <w:r w:rsidRPr="00013472">
        <w:rPr>
          <w:rFonts w:cs="Times New Roman"/>
          <w:sz w:val="22"/>
          <w:lang w:val="en-US"/>
        </w:rPr>
        <w:t>Telephone: +45 35326075, Fax: +45 35326080, Email</w:t>
      </w:r>
      <w:r w:rsidR="00DC10BB" w:rsidRPr="00013472">
        <w:rPr>
          <w:rFonts w:cs="Times New Roman"/>
          <w:sz w:val="22"/>
          <w:lang w:val="en-US"/>
        </w:rPr>
        <w:t>: sthe@sund.ku.dk</w:t>
      </w:r>
    </w:p>
    <w:p w14:paraId="3659CCD5" w14:textId="77777777" w:rsidR="00AA7CB1" w:rsidRPr="00013472" w:rsidRDefault="00AA7CB1" w:rsidP="00AA7CB1">
      <w:pPr>
        <w:rPr>
          <w:rFonts w:cs="Times New Roman"/>
          <w:b/>
          <w:sz w:val="22"/>
          <w:lang w:val="en-US"/>
        </w:rPr>
      </w:pPr>
    </w:p>
    <w:p w14:paraId="6AE6CA6F" w14:textId="258F66A8" w:rsidR="0064478D" w:rsidRPr="00013472" w:rsidRDefault="00AA7CB1" w:rsidP="00AA7CB1">
      <w:pPr>
        <w:rPr>
          <w:rFonts w:cs="Times New Roman"/>
          <w:sz w:val="22"/>
          <w:lang w:val="en-US"/>
        </w:rPr>
      </w:pPr>
      <w:r w:rsidRPr="00013472">
        <w:rPr>
          <w:rFonts w:cs="Times New Roman"/>
          <w:b/>
          <w:sz w:val="22"/>
          <w:lang w:val="en-US"/>
        </w:rPr>
        <w:t>Disclosures:</w:t>
      </w:r>
      <w:r w:rsidRPr="00013472">
        <w:rPr>
          <w:rFonts w:cs="Times New Roman"/>
          <w:sz w:val="22"/>
          <w:lang w:val="en-US"/>
        </w:rPr>
        <w:t xml:space="preserve"> The authors declare no proprietary or commercial interest in any product mentioned or any concept discussed in this article. </w:t>
      </w:r>
    </w:p>
    <w:p w14:paraId="622CF53D" w14:textId="77777777" w:rsidR="00AA7CB1" w:rsidRPr="00013472" w:rsidRDefault="00AA7CB1" w:rsidP="00AA7CB1">
      <w:pPr>
        <w:rPr>
          <w:rFonts w:cs="Times New Roman"/>
          <w:sz w:val="22"/>
          <w:lang w:val="en-US"/>
        </w:rPr>
      </w:pPr>
    </w:p>
    <w:p w14:paraId="3D297695" w14:textId="73FC2E26" w:rsidR="00AA7CB1" w:rsidRPr="00013472" w:rsidRDefault="00AA7CB1" w:rsidP="00E97F69">
      <w:pPr>
        <w:rPr>
          <w:sz w:val="22"/>
          <w:lang w:val="en-US"/>
        </w:rPr>
      </w:pPr>
      <w:r w:rsidRPr="00013472">
        <w:rPr>
          <w:rFonts w:cs="Times New Roman"/>
          <w:b/>
          <w:sz w:val="22"/>
          <w:lang w:val="en-US"/>
        </w:rPr>
        <w:t xml:space="preserve">Word count: </w:t>
      </w:r>
      <w:r w:rsidR="002D6E72" w:rsidRPr="00013472">
        <w:rPr>
          <w:rFonts w:cs="Times New Roman"/>
          <w:sz w:val="22"/>
          <w:lang w:val="en-US"/>
        </w:rPr>
        <w:t>3</w:t>
      </w:r>
      <w:r w:rsidR="000678D9" w:rsidRPr="00013472">
        <w:rPr>
          <w:rFonts w:cs="Times New Roman"/>
          <w:sz w:val="22"/>
          <w:lang w:val="en-US"/>
        </w:rPr>
        <w:t>,792</w:t>
      </w:r>
      <w:r w:rsidR="002D6E72" w:rsidRPr="00013472">
        <w:rPr>
          <w:rFonts w:cs="Times New Roman"/>
          <w:sz w:val="22"/>
          <w:lang w:val="en-US"/>
        </w:rPr>
        <w:t xml:space="preserve"> </w:t>
      </w:r>
      <w:r w:rsidRPr="00013472">
        <w:rPr>
          <w:rFonts w:cs="Times New Roman"/>
          <w:sz w:val="22"/>
          <w:lang w:val="en-US"/>
        </w:rPr>
        <w:t>words</w:t>
      </w:r>
    </w:p>
    <w:p w14:paraId="4F2AD627" w14:textId="77777777" w:rsidR="00E97F69" w:rsidRPr="00013472" w:rsidRDefault="00E97F69" w:rsidP="00AA7CB1">
      <w:pPr>
        <w:pStyle w:val="NormalWeb"/>
        <w:rPr>
          <w:rFonts w:asciiTheme="minorHAnsi" w:hAnsiTheme="minorHAnsi"/>
          <w:b/>
          <w:bCs/>
          <w:color w:val="000000"/>
          <w:sz w:val="22"/>
          <w:lang w:val="en-US"/>
        </w:rPr>
      </w:pPr>
      <w:r w:rsidRPr="00013472">
        <w:rPr>
          <w:rFonts w:asciiTheme="minorHAnsi" w:hAnsiTheme="minorHAnsi"/>
          <w:b/>
          <w:bCs/>
          <w:color w:val="000000"/>
          <w:sz w:val="22"/>
          <w:lang w:val="en-US"/>
        </w:rPr>
        <w:br w:type="page"/>
      </w:r>
    </w:p>
    <w:p w14:paraId="7AB716C1" w14:textId="14D51F9F" w:rsidR="00AA7CB1" w:rsidRPr="00013472" w:rsidRDefault="00AA7CB1" w:rsidP="00AA7CB1">
      <w:pPr>
        <w:pStyle w:val="NormalWeb"/>
        <w:rPr>
          <w:rFonts w:asciiTheme="minorHAnsi" w:hAnsiTheme="minorHAnsi"/>
          <w:b/>
          <w:bCs/>
          <w:color w:val="000000"/>
          <w:lang w:val="en-US"/>
        </w:rPr>
      </w:pPr>
      <w:r w:rsidRPr="00013472">
        <w:rPr>
          <w:rFonts w:asciiTheme="minorHAnsi" w:hAnsiTheme="minorHAnsi"/>
          <w:b/>
          <w:bCs/>
          <w:color w:val="000000"/>
          <w:lang w:val="en-US"/>
        </w:rPr>
        <w:lastRenderedPageBreak/>
        <w:t>Abstract</w:t>
      </w:r>
    </w:p>
    <w:p w14:paraId="21069B00" w14:textId="7344CCEB" w:rsidR="00AA7CB1" w:rsidRPr="00013472" w:rsidRDefault="00F445C4" w:rsidP="00AA7CB1">
      <w:pPr>
        <w:pStyle w:val="NormalWeb"/>
        <w:rPr>
          <w:rFonts w:asciiTheme="minorHAnsi" w:hAnsiTheme="minorHAnsi"/>
          <w:color w:val="333333"/>
          <w:lang w:val="en-US"/>
        </w:rPr>
      </w:pPr>
      <w:r w:rsidRPr="00013472">
        <w:rPr>
          <w:rFonts w:asciiTheme="minorHAnsi" w:hAnsiTheme="minorHAnsi"/>
          <w:b/>
          <w:bCs/>
          <w:color w:val="000000"/>
          <w:lang w:val="en-US"/>
        </w:rPr>
        <w:t>Purpose</w:t>
      </w:r>
      <w:r w:rsidR="00AA7CB1" w:rsidRPr="00013472">
        <w:rPr>
          <w:rFonts w:asciiTheme="minorHAnsi" w:hAnsiTheme="minorHAnsi"/>
          <w:b/>
          <w:bCs/>
          <w:color w:val="000000"/>
          <w:lang w:val="en-US"/>
        </w:rPr>
        <w:t>:</w:t>
      </w:r>
      <w:r w:rsidR="00AA7CB1" w:rsidRPr="00013472">
        <w:rPr>
          <w:rFonts w:asciiTheme="minorHAnsi" w:hAnsiTheme="minorHAnsi"/>
          <w:color w:val="333333"/>
          <w:lang w:val="en-US"/>
        </w:rPr>
        <w:t xml:space="preserve"> </w:t>
      </w:r>
      <w:r w:rsidR="00AA7CB1" w:rsidRPr="00013472">
        <w:rPr>
          <w:rFonts w:asciiTheme="minorHAnsi" w:hAnsiTheme="minorHAnsi"/>
          <w:lang w:val="en-US"/>
        </w:rPr>
        <w:t>To characterize the clinical features of subtype-specific lacrimal gland lymphoma</w:t>
      </w:r>
      <w:r w:rsidR="00104CC1" w:rsidRPr="00013472">
        <w:rPr>
          <w:rFonts w:asciiTheme="minorHAnsi" w:hAnsiTheme="minorHAnsi"/>
          <w:lang w:val="en-US"/>
        </w:rPr>
        <w:t xml:space="preserve"> and their effect on</w:t>
      </w:r>
      <w:r w:rsidR="005E7D1F" w:rsidRPr="00013472">
        <w:rPr>
          <w:rFonts w:asciiTheme="minorHAnsi" w:hAnsiTheme="minorHAnsi"/>
          <w:lang w:val="en-US"/>
        </w:rPr>
        <w:t xml:space="preserve"> patient survival</w:t>
      </w:r>
    </w:p>
    <w:p w14:paraId="15751463" w14:textId="129B3C22" w:rsidR="00AA7CB1" w:rsidRPr="00013472" w:rsidRDefault="00AA7CB1" w:rsidP="00AA7CB1">
      <w:pPr>
        <w:pStyle w:val="NormalWeb"/>
        <w:rPr>
          <w:rFonts w:asciiTheme="minorHAnsi" w:hAnsiTheme="minorHAnsi"/>
          <w:lang w:val="en-US"/>
        </w:rPr>
      </w:pPr>
      <w:r w:rsidRPr="00013472">
        <w:rPr>
          <w:rFonts w:asciiTheme="minorHAnsi" w:hAnsiTheme="minorHAnsi"/>
          <w:b/>
          <w:bCs/>
          <w:color w:val="000000"/>
          <w:lang w:val="en-US"/>
        </w:rPr>
        <w:t>Design</w:t>
      </w:r>
      <w:r w:rsidRPr="00013472">
        <w:rPr>
          <w:rFonts w:asciiTheme="minorHAnsi" w:hAnsiTheme="minorHAnsi"/>
          <w:b/>
          <w:bCs/>
          <w:lang w:val="en-US"/>
        </w:rPr>
        <w:t>:</w:t>
      </w:r>
      <w:r w:rsidR="00296F93" w:rsidRPr="00013472">
        <w:rPr>
          <w:rFonts w:asciiTheme="minorHAnsi" w:hAnsiTheme="minorHAnsi"/>
          <w:lang w:val="en-US"/>
        </w:rPr>
        <w:t xml:space="preserve"> Multi</w:t>
      </w:r>
      <w:r w:rsidR="00895F41" w:rsidRPr="00013472">
        <w:rPr>
          <w:rFonts w:asciiTheme="minorHAnsi" w:hAnsiTheme="minorHAnsi"/>
          <w:lang w:val="en-US"/>
        </w:rPr>
        <w:t>-</w:t>
      </w:r>
      <w:r w:rsidR="00296F93" w:rsidRPr="00013472">
        <w:rPr>
          <w:rFonts w:asciiTheme="minorHAnsi" w:hAnsiTheme="minorHAnsi"/>
          <w:lang w:val="en-US"/>
        </w:rPr>
        <w:t xml:space="preserve">center </w:t>
      </w:r>
      <w:r w:rsidR="00895F41" w:rsidRPr="00013472">
        <w:rPr>
          <w:rFonts w:asciiTheme="minorHAnsi" w:hAnsiTheme="minorHAnsi"/>
          <w:lang w:val="en-US"/>
        </w:rPr>
        <w:t>r</w:t>
      </w:r>
      <w:r w:rsidRPr="00013472">
        <w:rPr>
          <w:rFonts w:asciiTheme="minorHAnsi" w:hAnsiTheme="minorHAnsi"/>
          <w:lang w:val="en-US"/>
        </w:rPr>
        <w:t xml:space="preserve">etrospective </w:t>
      </w:r>
      <w:r w:rsidR="00B92FB0" w:rsidRPr="00013472">
        <w:rPr>
          <w:rFonts w:asciiTheme="minorHAnsi" w:hAnsiTheme="minorHAnsi"/>
          <w:lang w:val="en-US"/>
        </w:rPr>
        <w:t>observational case series.</w:t>
      </w:r>
    </w:p>
    <w:p w14:paraId="479BD515" w14:textId="066B2140" w:rsidR="00AA7CB1" w:rsidRPr="00013472" w:rsidRDefault="005E7D1F" w:rsidP="00AA7CB1">
      <w:pPr>
        <w:pStyle w:val="NormalWeb"/>
        <w:rPr>
          <w:rFonts w:asciiTheme="minorHAnsi" w:hAnsiTheme="minorHAnsi"/>
          <w:color w:val="333333"/>
          <w:lang w:val="en-US"/>
        </w:rPr>
      </w:pPr>
      <w:r w:rsidRPr="00013472">
        <w:rPr>
          <w:rFonts w:asciiTheme="minorHAnsi" w:hAnsiTheme="minorHAnsi"/>
          <w:b/>
          <w:bCs/>
          <w:color w:val="000000"/>
          <w:lang w:val="en-US"/>
        </w:rPr>
        <w:t xml:space="preserve">Methods: </w:t>
      </w:r>
      <w:r w:rsidRPr="00013472">
        <w:rPr>
          <w:rFonts w:asciiTheme="minorHAnsi" w:hAnsiTheme="minorHAnsi"/>
          <w:bCs/>
          <w:color w:val="000000"/>
          <w:lang w:val="en-US"/>
        </w:rPr>
        <w:t xml:space="preserve">Patient data were collected from </w:t>
      </w:r>
      <w:r w:rsidRPr="00013472">
        <w:rPr>
          <w:rFonts w:asciiTheme="minorHAnsi" w:hAnsiTheme="minorHAnsi"/>
          <w:lang w:val="en-US"/>
        </w:rPr>
        <w:t>6 international eye can</w:t>
      </w:r>
      <w:r w:rsidR="00AF6DD3" w:rsidRPr="00013472">
        <w:rPr>
          <w:rFonts w:asciiTheme="minorHAnsi" w:hAnsiTheme="minorHAnsi"/>
          <w:lang w:val="en-US"/>
        </w:rPr>
        <w:t>cer centers from January 1, 1980</w:t>
      </w:r>
      <w:r w:rsidRPr="00013472">
        <w:rPr>
          <w:rFonts w:asciiTheme="minorHAnsi" w:hAnsiTheme="minorHAnsi"/>
          <w:lang w:val="en-US"/>
        </w:rPr>
        <w:t xml:space="preserve"> through December 31, 2017. </w:t>
      </w:r>
      <w:r w:rsidR="00B92FB0" w:rsidRPr="00013472">
        <w:rPr>
          <w:rFonts w:asciiTheme="minorHAnsi" w:hAnsiTheme="minorHAnsi"/>
          <w:lang w:val="en-US"/>
        </w:rPr>
        <w:t>All patients with his</w:t>
      </w:r>
      <w:r w:rsidR="008557CC" w:rsidRPr="00013472">
        <w:rPr>
          <w:rFonts w:asciiTheme="minorHAnsi" w:hAnsiTheme="minorHAnsi"/>
          <w:lang w:val="en-US"/>
        </w:rPr>
        <w:t>tologically verified primary or</w:t>
      </w:r>
      <w:r w:rsidR="00B92FB0" w:rsidRPr="00013472">
        <w:rPr>
          <w:rFonts w:asciiTheme="minorHAnsi" w:hAnsiTheme="minorHAnsi"/>
          <w:lang w:val="en-US"/>
        </w:rPr>
        <w:t xml:space="preserve"> secondary lymphoma of the lacrimal gland were included. Primary endpoints were overall survival (OS) and disease-specific survival (DSS).</w:t>
      </w:r>
    </w:p>
    <w:p w14:paraId="68E54E97" w14:textId="73C0091B" w:rsidR="00AA7CB1" w:rsidRPr="00013472" w:rsidRDefault="00AA7CB1" w:rsidP="00AA7CB1">
      <w:pPr>
        <w:pStyle w:val="NormalWeb"/>
        <w:rPr>
          <w:rFonts w:asciiTheme="minorHAnsi" w:hAnsiTheme="minorHAnsi"/>
          <w:bCs/>
          <w:color w:val="000000"/>
          <w:lang w:val="en-US"/>
        </w:rPr>
      </w:pPr>
      <w:r w:rsidRPr="00013472">
        <w:rPr>
          <w:rFonts w:asciiTheme="minorHAnsi" w:hAnsiTheme="minorHAnsi"/>
          <w:b/>
          <w:bCs/>
          <w:color w:val="000000"/>
          <w:lang w:val="en-US"/>
        </w:rPr>
        <w:t>Results</w:t>
      </w:r>
      <w:r w:rsidR="00B92FB0" w:rsidRPr="00013472">
        <w:rPr>
          <w:rFonts w:asciiTheme="minorHAnsi" w:hAnsiTheme="minorHAnsi"/>
          <w:b/>
          <w:bCs/>
          <w:color w:val="000000"/>
          <w:lang w:val="en-US"/>
        </w:rPr>
        <w:t xml:space="preserve">: </w:t>
      </w:r>
      <w:r w:rsidR="00B92FB0" w:rsidRPr="00013472">
        <w:rPr>
          <w:rFonts w:asciiTheme="minorHAnsi" w:hAnsiTheme="minorHAnsi"/>
          <w:bCs/>
          <w:color w:val="000000"/>
          <w:lang w:val="en-US"/>
        </w:rPr>
        <w:t>261 patients with lacrimal gland ly</w:t>
      </w:r>
      <w:r w:rsidR="00401691" w:rsidRPr="00013472">
        <w:rPr>
          <w:rFonts w:asciiTheme="minorHAnsi" w:hAnsiTheme="minorHAnsi"/>
          <w:bCs/>
          <w:color w:val="000000"/>
          <w:lang w:val="en-US"/>
        </w:rPr>
        <w:t>mphoma were identified. The median</w:t>
      </w:r>
      <w:r w:rsidR="00B92FB0" w:rsidRPr="00013472">
        <w:rPr>
          <w:rFonts w:asciiTheme="minorHAnsi" w:hAnsiTheme="minorHAnsi"/>
          <w:bCs/>
          <w:color w:val="000000"/>
          <w:lang w:val="en-US"/>
        </w:rPr>
        <w:t xml:space="preserve"> age was 58 years and 52% of patients were men. Non-Hodgkin B-cell lymphomas constituted 99%</w:t>
      </w:r>
      <w:r w:rsidR="0063432E" w:rsidRPr="00013472">
        <w:rPr>
          <w:rFonts w:asciiTheme="minorHAnsi" w:hAnsiTheme="minorHAnsi"/>
          <w:bCs/>
          <w:color w:val="000000"/>
          <w:lang w:val="en-US"/>
        </w:rPr>
        <w:t xml:space="preserve"> (n=259)</w:t>
      </w:r>
      <w:r w:rsidR="00B92FB0" w:rsidRPr="00013472">
        <w:rPr>
          <w:rFonts w:asciiTheme="minorHAnsi" w:hAnsiTheme="minorHAnsi"/>
          <w:bCs/>
          <w:color w:val="000000"/>
          <w:lang w:val="en-US"/>
        </w:rPr>
        <w:t xml:space="preserve"> </w:t>
      </w:r>
      <w:r w:rsidR="0063432E" w:rsidRPr="00013472">
        <w:rPr>
          <w:rFonts w:asciiTheme="minorHAnsi" w:hAnsiTheme="minorHAnsi"/>
          <w:bCs/>
          <w:color w:val="000000"/>
          <w:lang w:val="en-US"/>
        </w:rPr>
        <w:t>and T-cell lymphomas constitu</w:t>
      </w:r>
      <w:r w:rsidR="000706CD" w:rsidRPr="00013472">
        <w:rPr>
          <w:rFonts w:asciiTheme="minorHAnsi" w:hAnsiTheme="minorHAnsi"/>
          <w:bCs/>
          <w:color w:val="000000"/>
          <w:lang w:val="en-US"/>
        </w:rPr>
        <w:t>t</w:t>
      </w:r>
      <w:r w:rsidR="0063432E" w:rsidRPr="00013472">
        <w:rPr>
          <w:rFonts w:asciiTheme="minorHAnsi" w:hAnsiTheme="minorHAnsi"/>
          <w:bCs/>
          <w:color w:val="000000"/>
          <w:lang w:val="en-US"/>
        </w:rPr>
        <w:t>ed 1% (n=2). T</w:t>
      </w:r>
      <w:r w:rsidR="00B92FB0" w:rsidRPr="00013472">
        <w:rPr>
          <w:rFonts w:asciiTheme="minorHAnsi" w:hAnsiTheme="minorHAnsi"/>
          <w:bCs/>
          <w:color w:val="000000"/>
          <w:lang w:val="en-US"/>
        </w:rPr>
        <w:t xml:space="preserve">he </w:t>
      </w:r>
      <w:r w:rsidR="0063432E" w:rsidRPr="00013472">
        <w:rPr>
          <w:rFonts w:asciiTheme="minorHAnsi" w:hAnsiTheme="minorHAnsi"/>
          <w:bCs/>
          <w:color w:val="000000"/>
          <w:lang w:val="en-US"/>
        </w:rPr>
        <w:t xml:space="preserve">most frequent </w:t>
      </w:r>
      <w:r w:rsidR="00AF6DD3" w:rsidRPr="00013472">
        <w:rPr>
          <w:rFonts w:asciiTheme="minorHAnsi" w:hAnsiTheme="minorHAnsi"/>
          <w:bCs/>
          <w:color w:val="000000"/>
          <w:lang w:val="en-US"/>
        </w:rPr>
        <w:t xml:space="preserve">lymphoma </w:t>
      </w:r>
      <w:r w:rsidR="0063432E" w:rsidRPr="00013472">
        <w:rPr>
          <w:rFonts w:asciiTheme="minorHAnsi" w:hAnsiTheme="minorHAnsi"/>
          <w:bCs/>
          <w:color w:val="000000"/>
          <w:lang w:val="en-US"/>
        </w:rPr>
        <w:t xml:space="preserve">subtypes were </w:t>
      </w:r>
      <w:proofErr w:type="spellStart"/>
      <w:r w:rsidR="0063432E" w:rsidRPr="00013472">
        <w:rPr>
          <w:rFonts w:asciiTheme="minorHAnsi" w:hAnsiTheme="minorHAnsi"/>
          <w:bCs/>
          <w:color w:val="000000"/>
          <w:lang w:val="en-US"/>
        </w:rPr>
        <w:t>extranodal</w:t>
      </w:r>
      <w:proofErr w:type="spellEnd"/>
      <w:r w:rsidR="0063432E" w:rsidRPr="00013472">
        <w:rPr>
          <w:rFonts w:asciiTheme="minorHAnsi" w:hAnsiTheme="minorHAnsi"/>
          <w:bCs/>
          <w:color w:val="000000"/>
          <w:lang w:val="en-US"/>
        </w:rPr>
        <w:t xml:space="preserve"> marginal zone lymphoma (EMZL) (n=178, 68%), follicular lymphoma (FL) (n=26, 10%), </w:t>
      </w:r>
      <w:r w:rsidR="00AF6DD3" w:rsidRPr="00013472">
        <w:rPr>
          <w:rFonts w:asciiTheme="minorHAnsi" w:hAnsiTheme="minorHAnsi"/>
          <w:bCs/>
          <w:color w:val="000000"/>
          <w:lang w:val="en-US"/>
        </w:rPr>
        <w:t>diffuse</w:t>
      </w:r>
      <w:r w:rsidR="0063432E" w:rsidRPr="00013472">
        <w:rPr>
          <w:rFonts w:asciiTheme="minorHAnsi" w:hAnsiTheme="minorHAnsi"/>
          <w:bCs/>
          <w:color w:val="000000"/>
          <w:lang w:val="en-US"/>
        </w:rPr>
        <w:t xml:space="preserve"> large B-cell lymphoma (DLBCL) (n=26, 10%), and </w:t>
      </w:r>
      <w:r w:rsidR="00C32DD1" w:rsidRPr="00013472">
        <w:rPr>
          <w:rFonts w:asciiTheme="minorHAnsi" w:hAnsiTheme="minorHAnsi"/>
          <w:bCs/>
          <w:color w:val="000000"/>
          <w:lang w:val="en-US"/>
        </w:rPr>
        <w:t>mantle cell lymphoma (</w:t>
      </w:r>
      <w:r w:rsidR="0063432E" w:rsidRPr="00013472">
        <w:rPr>
          <w:rFonts w:asciiTheme="minorHAnsi" w:hAnsiTheme="minorHAnsi"/>
          <w:bCs/>
          <w:color w:val="000000"/>
          <w:lang w:val="en-US"/>
        </w:rPr>
        <w:t>MCL</w:t>
      </w:r>
      <w:r w:rsidR="00C32DD1" w:rsidRPr="00013472">
        <w:rPr>
          <w:rFonts w:asciiTheme="minorHAnsi" w:hAnsiTheme="minorHAnsi"/>
          <w:bCs/>
          <w:color w:val="000000"/>
          <w:lang w:val="en-US"/>
        </w:rPr>
        <w:t>)</w:t>
      </w:r>
      <w:r w:rsidR="0063432E" w:rsidRPr="00013472">
        <w:rPr>
          <w:rFonts w:asciiTheme="minorHAnsi" w:hAnsiTheme="minorHAnsi"/>
          <w:bCs/>
          <w:color w:val="000000"/>
          <w:lang w:val="en-US"/>
        </w:rPr>
        <w:t xml:space="preserve"> (n=17, 7%).</w:t>
      </w:r>
      <w:r w:rsidR="005B5CE7" w:rsidRPr="00013472">
        <w:rPr>
          <w:rFonts w:asciiTheme="minorHAnsi" w:hAnsiTheme="minorHAnsi"/>
          <w:bCs/>
          <w:color w:val="000000"/>
          <w:lang w:val="en-US"/>
        </w:rPr>
        <w:t xml:space="preserve"> </w:t>
      </w:r>
      <w:r w:rsidR="00187DB8" w:rsidRPr="00013472">
        <w:rPr>
          <w:rFonts w:asciiTheme="minorHAnsi" w:hAnsiTheme="minorHAnsi"/>
          <w:bCs/>
          <w:color w:val="000000"/>
          <w:lang w:val="en-US"/>
        </w:rPr>
        <w:t xml:space="preserve">Low-grade lymphomas (EMZL and FL) were most commonly treated with external beam radiotherapy (EBRT), whereas high-grade lymphomas (DLBCL and MCL) were treated with chemotherapy in combination with Rituximab and/or EBRT. </w:t>
      </w:r>
      <w:r w:rsidR="005B5CE7" w:rsidRPr="00013472">
        <w:rPr>
          <w:rFonts w:asciiTheme="minorHAnsi" w:hAnsiTheme="minorHAnsi"/>
          <w:bCs/>
          <w:color w:val="000000"/>
          <w:lang w:val="en-US"/>
        </w:rPr>
        <w:t>The prognosis was relatively good with a 5-ye</w:t>
      </w:r>
      <w:r w:rsidR="00104CC1" w:rsidRPr="00013472">
        <w:rPr>
          <w:rFonts w:asciiTheme="minorHAnsi" w:hAnsiTheme="minorHAnsi"/>
          <w:bCs/>
          <w:color w:val="000000"/>
          <w:lang w:val="en-US"/>
        </w:rPr>
        <w:t>ar OS and DSS of</w:t>
      </w:r>
      <w:r w:rsidR="005B5CE7" w:rsidRPr="00013472">
        <w:rPr>
          <w:rFonts w:asciiTheme="minorHAnsi" w:hAnsiTheme="minorHAnsi"/>
          <w:bCs/>
          <w:color w:val="000000"/>
          <w:lang w:val="en-US"/>
        </w:rPr>
        <w:t xml:space="preserve"> 73.8% and 87.5%, respectively. Lymphoma subtype was a statistically significant predictor for </w:t>
      </w:r>
      <w:r w:rsidR="00AB6BDA" w:rsidRPr="00013472">
        <w:rPr>
          <w:rFonts w:asciiTheme="minorHAnsi" w:hAnsiTheme="minorHAnsi"/>
          <w:bCs/>
          <w:color w:val="000000"/>
          <w:lang w:val="en-US"/>
        </w:rPr>
        <w:t>DSS</w:t>
      </w:r>
      <w:r w:rsidR="00296F93" w:rsidRPr="00013472">
        <w:rPr>
          <w:rFonts w:asciiTheme="minorHAnsi" w:hAnsiTheme="minorHAnsi"/>
          <w:bCs/>
          <w:color w:val="000000"/>
          <w:lang w:val="en-US"/>
        </w:rPr>
        <w:t xml:space="preserve"> </w:t>
      </w:r>
      <w:r w:rsidR="005B5CE7" w:rsidRPr="00013472">
        <w:rPr>
          <w:rFonts w:asciiTheme="minorHAnsi" w:hAnsiTheme="minorHAnsi"/>
          <w:bCs/>
          <w:color w:val="000000"/>
          <w:lang w:val="en-US"/>
        </w:rPr>
        <w:t xml:space="preserve">with EMZL </w:t>
      </w:r>
      <w:r w:rsidR="00DE29D8" w:rsidRPr="00013472">
        <w:rPr>
          <w:rFonts w:asciiTheme="minorHAnsi" w:hAnsiTheme="minorHAnsi"/>
          <w:bCs/>
          <w:color w:val="000000"/>
          <w:lang w:val="en-US"/>
        </w:rPr>
        <w:t xml:space="preserve">(5-year DSS: 93%) </w:t>
      </w:r>
      <w:r w:rsidR="005B5CE7" w:rsidRPr="00013472">
        <w:rPr>
          <w:rFonts w:asciiTheme="minorHAnsi" w:hAnsiTheme="minorHAnsi"/>
          <w:bCs/>
          <w:color w:val="000000"/>
          <w:lang w:val="en-US"/>
        </w:rPr>
        <w:t>having the best prognosis</w:t>
      </w:r>
      <w:r w:rsidR="00A63697" w:rsidRPr="00013472">
        <w:rPr>
          <w:rFonts w:asciiTheme="minorHAnsi" w:hAnsiTheme="minorHAnsi"/>
          <w:bCs/>
          <w:color w:val="000000"/>
          <w:lang w:val="en-US"/>
        </w:rPr>
        <w:t>,</w:t>
      </w:r>
      <w:r w:rsidR="005B5CE7" w:rsidRPr="00013472">
        <w:rPr>
          <w:rFonts w:asciiTheme="minorHAnsi" w:hAnsiTheme="minorHAnsi"/>
          <w:bCs/>
          <w:color w:val="000000"/>
          <w:lang w:val="en-US"/>
        </w:rPr>
        <w:t xml:space="preserve"> and DLBCL</w:t>
      </w:r>
      <w:r w:rsidR="00DE29D8" w:rsidRPr="00013472">
        <w:rPr>
          <w:rFonts w:asciiTheme="minorHAnsi" w:hAnsiTheme="minorHAnsi"/>
          <w:bCs/>
          <w:color w:val="000000"/>
          <w:lang w:val="en-US"/>
        </w:rPr>
        <w:t xml:space="preserve"> (5-year DSS: 54.2%)</w:t>
      </w:r>
      <w:r w:rsidR="005B5CE7" w:rsidRPr="00013472">
        <w:rPr>
          <w:rFonts w:asciiTheme="minorHAnsi" w:hAnsiTheme="minorHAnsi"/>
          <w:bCs/>
          <w:color w:val="000000"/>
          <w:lang w:val="en-US"/>
        </w:rPr>
        <w:t xml:space="preserve"> having the poorest. </w:t>
      </w:r>
    </w:p>
    <w:p w14:paraId="0DBDA470" w14:textId="38FE3A50" w:rsidR="00895F41" w:rsidRPr="00013472" w:rsidRDefault="00AA7CB1" w:rsidP="005F674D">
      <w:pPr>
        <w:pStyle w:val="NormalWeb"/>
        <w:rPr>
          <w:rFonts w:asciiTheme="minorHAnsi" w:hAnsiTheme="minorHAnsi"/>
          <w:lang w:val="en-US"/>
        </w:rPr>
      </w:pPr>
      <w:r w:rsidRPr="00013472">
        <w:rPr>
          <w:rFonts w:asciiTheme="minorHAnsi" w:hAnsiTheme="minorHAnsi"/>
          <w:b/>
          <w:bCs/>
          <w:color w:val="000000"/>
          <w:lang w:val="en-US"/>
        </w:rPr>
        <w:t>Conclusions and Relevance:</w:t>
      </w:r>
      <w:r w:rsidRPr="00013472">
        <w:rPr>
          <w:rFonts w:asciiTheme="minorHAnsi" w:hAnsiTheme="minorHAnsi"/>
          <w:color w:val="333333"/>
          <w:lang w:val="en-US"/>
        </w:rPr>
        <w:t xml:space="preserve"> </w:t>
      </w:r>
      <w:r w:rsidR="00287E4C" w:rsidRPr="00013472">
        <w:rPr>
          <w:rFonts w:asciiTheme="minorHAnsi" w:hAnsiTheme="minorHAnsi"/>
          <w:lang w:val="en-US"/>
        </w:rPr>
        <w:t>T</w:t>
      </w:r>
      <w:r w:rsidR="00960238" w:rsidRPr="00013472">
        <w:rPr>
          <w:rFonts w:asciiTheme="minorHAnsi" w:hAnsiTheme="minorHAnsi"/>
          <w:lang w:val="en-US"/>
        </w:rPr>
        <w:t>his is the largest reported collection of data of subtype-specific lacrimal gland lymphoma. T</w:t>
      </w:r>
      <w:r w:rsidR="005F674D" w:rsidRPr="00013472">
        <w:rPr>
          <w:rFonts w:asciiTheme="minorHAnsi" w:hAnsiTheme="minorHAnsi"/>
          <w:lang w:val="en-US"/>
        </w:rPr>
        <w:t xml:space="preserve">he subtype distribution of lacrimal gland lymphoma resembles that of the </w:t>
      </w:r>
      <w:r w:rsidR="00287E4C" w:rsidRPr="00013472">
        <w:rPr>
          <w:rFonts w:asciiTheme="minorHAnsi" w:hAnsiTheme="minorHAnsi"/>
          <w:lang w:val="en-US"/>
        </w:rPr>
        <w:t xml:space="preserve">other </w:t>
      </w:r>
      <w:r w:rsidR="005F674D" w:rsidRPr="00013472">
        <w:rPr>
          <w:rFonts w:asciiTheme="minorHAnsi" w:hAnsiTheme="minorHAnsi"/>
          <w:lang w:val="en-US"/>
        </w:rPr>
        <w:t xml:space="preserve">ocular </w:t>
      </w:r>
      <w:r w:rsidR="00000DC1" w:rsidRPr="00013472">
        <w:rPr>
          <w:rFonts w:asciiTheme="minorHAnsi" w:hAnsiTheme="minorHAnsi"/>
          <w:lang w:val="en-US"/>
        </w:rPr>
        <w:t>adnexa</w:t>
      </w:r>
      <w:r w:rsidR="00752413" w:rsidRPr="00013472">
        <w:rPr>
          <w:rFonts w:asciiTheme="minorHAnsi" w:hAnsiTheme="minorHAnsi"/>
          <w:lang w:val="en-US"/>
        </w:rPr>
        <w:t xml:space="preserve">. </w:t>
      </w:r>
      <w:r w:rsidR="00340F37" w:rsidRPr="00013472">
        <w:rPr>
          <w:rFonts w:asciiTheme="minorHAnsi" w:hAnsiTheme="minorHAnsi"/>
          <w:lang w:val="en-US"/>
        </w:rPr>
        <w:t xml:space="preserve">Prognosis is </w:t>
      </w:r>
      <w:r w:rsidR="008557CC" w:rsidRPr="00013472">
        <w:rPr>
          <w:rFonts w:asciiTheme="minorHAnsi" w:hAnsiTheme="minorHAnsi"/>
          <w:lang w:val="en-US"/>
        </w:rPr>
        <w:t>good and t</w:t>
      </w:r>
      <w:r w:rsidR="005F674D" w:rsidRPr="00013472">
        <w:rPr>
          <w:rFonts w:asciiTheme="minorHAnsi" w:hAnsiTheme="minorHAnsi"/>
          <w:lang w:val="en-US"/>
        </w:rPr>
        <w:t xml:space="preserve">he histologic subtype is a significant predictor for </w:t>
      </w:r>
      <w:r w:rsidR="00340F37" w:rsidRPr="00013472">
        <w:rPr>
          <w:rFonts w:asciiTheme="minorHAnsi" w:hAnsiTheme="minorHAnsi"/>
          <w:lang w:val="en-US"/>
        </w:rPr>
        <w:t>disease-specific survival</w:t>
      </w:r>
      <w:r w:rsidR="005F674D" w:rsidRPr="00013472">
        <w:rPr>
          <w:rFonts w:asciiTheme="minorHAnsi" w:hAnsiTheme="minorHAnsi"/>
          <w:lang w:val="en-US"/>
        </w:rPr>
        <w:t xml:space="preserve">. </w:t>
      </w:r>
    </w:p>
    <w:p w14:paraId="6476655C" w14:textId="0B5CF850" w:rsidR="00AA7CB1" w:rsidRPr="00013472" w:rsidRDefault="00AA7CB1" w:rsidP="005F674D">
      <w:pPr>
        <w:pStyle w:val="NormalWeb"/>
        <w:rPr>
          <w:rFonts w:asciiTheme="minorHAnsi" w:hAnsiTheme="minorHAnsi"/>
          <w:color w:val="333333"/>
          <w:lang w:val="en-US"/>
        </w:rPr>
      </w:pPr>
      <w:r w:rsidRPr="00013472">
        <w:rPr>
          <w:rFonts w:asciiTheme="minorHAnsi" w:hAnsiTheme="minorHAnsi"/>
          <w:lang w:val="en-US"/>
        </w:rPr>
        <w:br w:type="page"/>
      </w:r>
    </w:p>
    <w:p w14:paraId="131B2F0E" w14:textId="1CCFA194" w:rsidR="002234C1" w:rsidRPr="00013472" w:rsidRDefault="002234C1" w:rsidP="002234C1">
      <w:pPr>
        <w:pStyle w:val="Heading1"/>
        <w:spacing w:line="480" w:lineRule="auto"/>
        <w:rPr>
          <w:lang w:val="en-US"/>
        </w:rPr>
      </w:pPr>
      <w:r w:rsidRPr="00013472">
        <w:rPr>
          <w:lang w:val="en-US"/>
        </w:rPr>
        <w:lastRenderedPageBreak/>
        <w:t>Introduction</w:t>
      </w:r>
    </w:p>
    <w:p w14:paraId="14E8F1B3" w14:textId="10FAA8C1" w:rsidR="002234C1" w:rsidRPr="00013472" w:rsidRDefault="002234C1" w:rsidP="002234C1">
      <w:pPr>
        <w:spacing w:line="480" w:lineRule="auto"/>
        <w:rPr>
          <w:lang w:val="en-US"/>
        </w:rPr>
      </w:pPr>
      <w:r w:rsidRPr="00013472">
        <w:rPr>
          <w:lang w:val="en-US"/>
        </w:rPr>
        <w:t xml:space="preserve">Lymphomas comprise a </w:t>
      </w:r>
      <w:r w:rsidR="007D1B47" w:rsidRPr="00013472">
        <w:rPr>
          <w:lang w:val="en-US"/>
        </w:rPr>
        <w:t>heterogeneous</w:t>
      </w:r>
      <w:r w:rsidRPr="00013472">
        <w:rPr>
          <w:lang w:val="en-US"/>
        </w:rPr>
        <w:t xml:space="preserve"> group of malignant neoplasms derived from clonal expansion of B-lymphocytes</w:t>
      </w:r>
      <w:r w:rsidR="00A863D9" w:rsidRPr="00013472">
        <w:rPr>
          <w:lang w:val="en-US"/>
        </w:rPr>
        <w:t>, T-lymphocytes</w:t>
      </w:r>
      <w:r w:rsidR="007151C1" w:rsidRPr="00013472">
        <w:rPr>
          <w:lang w:val="en-US"/>
        </w:rPr>
        <w:t>,</w:t>
      </w:r>
      <w:r w:rsidR="00A863D9" w:rsidRPr="00013472">
        <w:rPr>
          <w:lang w:val="en-US"/>
        </w:rPr>
        <w:t xml:space="preserve"> or</w:t>
      </w:r>
      <w:r w:rsidRPr="00013472">
        <w:rPr>
          <w:lang w:val="en-US"/>
        </w:rPr>
        <w:t xml:space="preserve"> NK-cells. Lymphomas are commonly divided into Hodgkin- and non-Hodgkin lymphomas</w:t>
      </w:r>
      <w:r w:rsidR="00B727B3">
        <w:rPr>
          <w:lang w:val="en-US"/>
        </w:rPr>
        <w:t xml:space="preserve"> (NHL)</w:t>
      </w:r>
      <w:r w:rsidRPr="00013472">
        <w:rPr>
          <w:lang w:val="en-US"/>
        </w:rPr>
        <w:t>, an</w:t>
      </w:r>
      <w:r w:rsidR="007151C1" w:rsidRPr="00013472">
        <w:rPr>
          <w:lang w:val="en-US"/>
        </w:rPr>
        <w:t>d the latter may be further sub</w:t>
      </w:r>
      <w:r w:rsidRPr="00013472">
        <w:rPr>
          <w:lang w:val="en-US"/>
        </w:rPr>
        <w:t xml:space="preserve">classified according to presumed cell of origin </w:t>
      </w:r>
      <w:r w:rsidRPr="00013472">
        <w:rPr>
          <w:lang w:val="en-US"/>
        </w:rPr>
        <w:fldChar w:fldCharType="begin" w:fldLock="1"/>
      </w:r>
      <w:r w:rsidR="004B1EE8" w:rsidRPr="00013472">
        <w:rPr>
          <w:lang w:val="en-US"/>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304ce190-d790-34e3-9fec-672eaeee1a58"]}],"mendeley":{"formattedCitation":"(1)","plainTextFormattedCitation":"(1)","previouslyFormattedCitation":"(1)"},"properties":{"noteIndex":0},"schema":"https://github.com/citation-style-language/schema/raw/master/csl-citation.json"}</w:instrText>
      </w:r>
      <w:r w:rsidRPr="00013472">
        <w:rPr>
          <w:lang w:val="en-US"/>
        </w:rPr>
        <w:fldChar w:fldCharType="separate"/>
      </w:r>
      <w:r w:rsidRPr="00013472">
        <w:rPr>
          <w:noProof/>
          <w:lang w:val="en-US"/>
        </w:rPr>
        <w:t>(1)</w:t>
      </w:r>
      <w:r w:rsidRPr="00013472">
        <w:rPr>
          <w:lang w:val="en-US"/>
        </w:rPr>
        <w:fldChar w:fldCharType="end"/>
      </w:r>
      <w:r w:rsidRPr="00013472">
        <w:rPr>
          <w:lang w:val="en-US"/>
        </w:rPr>
        <w:t xml:space="preserve">. </w:t>
      </w:r>
    </w:p>
    <w:p w14:paraId="478D09B0" w14:textId="51E18363" w:rsidR="002234C1" w:rsidRPr="00013472" w:rsidRDefault="002234C1" w:rsidP="002234C1">
      <w:pPr>
        <w:spacing w:line="480" w:lineRule="auto"/>
        <w:rPr>
          <w:lang w:val="en-US"/>
        </w:rPr>
      </w:pPr>
      <w:r w:rsidRPr="00013472">
        <w:rPr>
          <w:lang w:val="en-US"/>
        </w:rPr>
        <w:t xml:space="preserve">The lacrimal gland is anatomically considered a part of the ocular </w:t>
      </w:r>
      <w:r w:rsidR="00000DC1" w:rsidRPr="00013472">
        <w:rPr>
          <w:lang w:val="en-US"/>
        </w:rPr>
        <w:t>adnexa</w:t>
      </w:r>
      <w:r w:rsidR="00254520" w:rsidRPr="00013472">
        <w:rPr>
          <w:lang w:val="en-US"/>
        </w:rPr>
        <w:t xml:space="preserve"> (OA)</w:t>
      </w:r>
      <w:r w:rsidR="00A63697" w:rsidRPr="00013472">
        <w:rPr>
          <w:lang w:val="en-US"/>
        </w:rPr>
        <w:t>,</w:t>
      </w:r>
      <w:r w:rsidRPr="00013472">
        <w:rPr>
          <w:lang w:val="en-US"/>
        </w:rPr>
        <w:t xml:space="preserve"> and neoplastic lesions of the lacrimal gland are relatively rare with an </w:t>
      </w:r>
      <w:r w:rsidR="005E5579" w:rsidRPr="00013472">
        <w:rPr>
          <w:lang w:val="en-US"/>
        </w:rPr>
        <w:t xml:space="preserve">annual </w:t>
      </w:r>
      <w:r w:rsidRPr="00013472">
        <w:rPr>
          <w:lang w:val="en-US"/>
        </w:rPr>
        <w:t>incidence rate of 0.7</w:t>
      </w:r>
      <w:r w:rsidR="005E5579" w:rsidRPr="00013472">
        <w:rPr>
          <w:lang w:val="en-US"/>
        </w:rPr>
        <w:t xml:space="preserve"> per</w:t>
      </w:r>
      <w:r w:rsidR="00A863D9" w:rsidRPr="00013472">
        <w:rPr>
          <w:lang w:val="en-US"/>
        </w:rPr>
        <w:t xml:space="preserve"> million</w:t>
      </w:r>
      <w:r w:rsidRPr="00013472">
        <w:rPr>
          <w:lang w:val="en-US"/>
        </w:rPr>
        <w:t xml:space="preserve"> </w:t>
      </w:r>
      <w:r w:rsidRPr="00013472">
        <w:rPr>
          <w:lang w:val="en-US"/>
        </w:rPr>
        <w:fldChar w:fldCharType="begin" w:fldLock="1"/>
      </w:r>
      <w:r w:rsidRPr="00013472">
        <w:rPr>
          <w:lang w:val="en-US"/>
        </w:rPr>
        <w:instrText>ADDIN CSL_CITATION {"citationItems":[{"id":"ITEM-1","itemData":{"DOI":"10.1111/j.1755-3768.2012.02403.x","ISSN":"1755-3768","PMID":"22471375","abstract":"PURPOSE To evaluate the incidence rate, distribution, patient characteristics and indications for surgical intervention of lacrimal gland lesions in Denmark between 1974 and 2007. MATERIAL AND METHODS All biopsied/surgically removed lacrimal gland lesions in Denmark during the period 1974-2007 were identified by searching two population-based registries. Specimens were collected and re-evaluated. The following data were collected: age, gender, indications for surgical intervention and local recurrence. RESULTS A total of 232 lesions from 210 patients with a histologically verified lesion of the lacrimal gland were included. The incidence rate of lacrimal gland lesions was 1.3/1 000 000/year. The overall annual age- and gender-adjusted incidence rate more than doubled during the study period, owing to an increase in non-malignant lesions. Approximately half of the lesions were neoplasms (119) and 55% (66) of these were malignant. Dacryops constituted 10% (24), inflammatory lesions 27% (62), normal tissue 12% (27), benign tumours 23% (53) and malignant tumours 29% (66). Patients with malignant neoplasms were significantly older than patients with benign neoplasms (63 versus 48 years, p &lt; 0.001). The indication for surgical intervention was suspicion of a tumour in more than 90% of the neoplastic lesions and in 30% of the non-neoplastic lesions. CONCLUSION Lacrimal gland lesions that require surgical evaluation are rare in the Danish population and represent a wide spectrum of diagnoses, mostly benign. The overall incidence rate of biopsied lacrimal gland lesions is increasing.","author":[{"dropping-particle":"","family":"Holstein","given":"Sarah Linéa","non-dropping-particle":"von","parse-names":false,"suffix":""},{"dropping-particle":"","family":"Therkildsen","given":"Marianne Hamilton","non-dropping-particle":"","parse-names":false,"suffix":""},{"dropping-particle":"","family":"Prause","given":"Jan Ulrik","non-dropping-particle":"","parse-names":false,"suffix":""},{"dropping-particle":"","family":"Stenman","given":"Göran","non-dropping-particle":"","parse-names":false,"suffix":""},{"dropping-particle":"","family":"Siersma","given":"Volkert Dirk","non-dropping-particle":"","parse-names":false,"suffix":""},{"dropping-particle":"","family":"Heegaard","given":"Steffen","non-dropping-particle":"","parse-names":false,"suffix":""}],"container-title":"Acta ophthalmologica","id":"ITEM-1","issue":"4","issued":{"date-parts":[["2013","6"]]},"page":"349-54","title":"Lacrimal gland lesions in Denmark between 1974 and 2007.","type":"article-journal","volume":"91"},"uris":["http://www.mendeley.com/documents/?uuid=f1307cbd-da14-32f8-aee9-21269355c3e2"]}],"mendeley":{"formattedCitation":"(2)","plainTextFormattedCitation":"(2)","previouslyFormattedCitation":"(2)"},"properties":{"noteIndex":0},"schema":"https://github.com/citation-style-language/schema/raw/master/csl-citation.json"}</w:instrText>
      </w:r>
      <w:r w:rsidRPr="00013472">
        <w:rPr>
          <w:lang w:val="en-US"/>
        </w:rPr>
        <w:fldChar w:fldCharType="separate"/>
      </w:r>
      <w:r w:rsidRPr="00013472">
        <w:rPr>
          <w:noProof/>
          <w:lang w:val="en-US"/>
        </w:rPr>
        <w:t>(2)</w:t>
      </w:r>
      <w:r w:rsidRPr="00013472">
        <w:rPr>
          <w:lang w:val="en-US"/>
        </w:rPr>
        <w:fldChar w:fldCharType="end"/>
      </w:r>
      <w:r w:rsidRPr="00013472">
        <w:rPr>
          <w:lang w:val="en-US"/>
        </w:rPr>
        <w:t xml:space="preserve">. </w:t>
      </w:r>
      <w:r w:rsidR="00B727B3">
        <w:rPr>
          <w:lang w:val="en-US"/>
        </w:rPr>
        <w:t xml:space="preserve">NHL of </w:t>
      </w:r>
      <w:r w:rsidR="00340F37" w:rsidRPr="00013472">
        <w:rPr>
          <w:lang w:val="en-US"/>
        </w:rPr>
        <w:t>B-cell</w:t>
      </w:r>
      <w:r w:rsidR="00960238" w:rsidRPr="00013472">
        <w:rPr>
          <w:lang w:val="en-US"/>
        </w:rPr>
        <w:t xml:space="preserve"> </w:t>
      </w:r>
      <w:r w:rsidR="00B727B3">
        <w:rPr>
          <w:lang w:val="en-US"/>
        </w:rPr>
        <w:t>type</w:t>
      </w:r>
      <w:r w:rsidR="00B727B3" w:rsidRPr="00013472">
        <w:rPr>
          <w:lang w:val="en-US"/>
        </w:rPr>
        <w:t xml:space="preserve"> </w:t>
      </w:r>
      <w:r w:rsidRPr="00013472">
        <w:rPr>
          <w:lang w:val="en-US"/>
        </w:rPr>
        <w:t>have been found to constitute between 37-58</w:t>
      </w:r>
      <w:r w:rsidR="001C3674" w:rsidRPr="00013472">
        <w:rPr>
          <w:lang w:val="en-US"/>
        </w:rPr>
        <w:t>%</w:t>
      </w:r>
      <w:r w:rsidRPr="00013472">
        <w:rPr>
          <w:lang w:val="en-US"/>
        </w:rPr>
        <w:t xml:space="preserve"> </w:t>
      </w:r>
      <w:r w:rsidR="00A863D9" w:rsidRPr="00013472">
        <w:rPr>
          <w:lang w:val="en-US"/>
        </w:rPr>
        <w:t xml:space="preserve">of malignant lacrimal gland neoplasms </w:t>
      </w:r>
      <w:r w:rsidRPr="00013472">
        <w:rPr>
          <w:lang w:val="en-US"/>
        </w:rPr>
        <w:fldChar w:fldCharType="begin" w:fldLock="1"/>
      </w:r>
      <w:r w:rsidRPr="00013472">
        <w:rPr>
          <w:lang w:val="en-US"/>
        </w:rPr>
        <w:instrText>ADDIN CSL_CITATION {"citationItems":[{"id":"ITEM-1","itemData":{"DOI":"10.1111/j.1755-3768.2012.02403.x","ISSN":"1755-3768","PMID":"22471375","abstract":"PURPOSE To evaluate the incidence rate, distribution, patient characteristics and indications for surgical intervention of lacrimal gland lesions in Denmark between 1974 and 2007. MATERIAL AND METHODS All biopsied/surgically removed lacrimal gland lesions in Denmark during the period 1974-2007 were identified by searching two population-based registries. Specimens were collected and re-evaluated. The following data were collected: age, gender, indications for surgical intervention and local recurrence. RESULTS A total of 232 lesions from 210 patients with a histologically verified lesion of the lacrimal gland were included. The incidence rate of lacrimal gland lesions was 1.3/1 000 000/year. The overall annual age- and gender-adjusted incidence rate more than doubled during the study period, owing to an increase in non-malignant lesions. Approximately half of the lesions were neoplasms (119) and 55% (66) of these were malignant. Dacryops constituted 10% (24), inflammatory lesions 27% (62), normal tissue 12% (27), benign tumours 23% (53) and malignant tumours 29% (66). Patients with malignant neoplasms were significantly older than patients with benign neoplasms (63 versus 48 years, p &lt; 0.001). The indication for surgical intervention was suspicion of a tumour in more than 90% of the neoplastic lesions and in 30% of the non-neoplastic lesions. CONCLUSION Lacrimal gland lesions that require surgical evaluation are rare in the Danish population and represent a wide spectrum of diagnoses, mostly benign. The overall incidence rate of biopsied lacrimal gland lesions is increasing.","author":[{"dropping-particle":"","family":"Holstein","given":"Sarah Linéa","non-dropping-particle":"von","parse-names":false,"suffix":""},{"dropping-particle":"","family":"Therkildsen","given":"Marianne Hamilton","non-dropping-particle":"","parse-names":false,"suffix":""},{"dropping-particle":"","family":"Prause","given":"Jan Ulrik","non-dropping-particle":"","parse-names":false,"suffix":""},{"dropping-particle":"","family":"Stenman","given":"Göran","non-dropping-particle":"","parse-names":false,"suffix":""},{"dropping-particle":"","family":"Siersma","given":"Volkert Dirk","non-dropping-particle":"","parse-names":false,"suffix":""},{"dropping-particle":"","family":"Heegaard","given":"Steffen","non-dropping-particle":"","parse-names":false,"suffix":""}],"container-title":"Acta ophthalmologica","id":"ITEM-1","issue":"4","issued":{"date-parts":[["2013","6"]]},"page":"349-54","title":"Lacrimal gland lesions in Denmark between 1974 and 2007.","type":"article-journal","volume":"91"},"uris":["http://www.mendeley.com/documents/?uuid=f1307cbd-da14-32f8-aee9-21269355c3e2"]},{"id":"ITEM-2","itemData":{"DOI":"10.1177/0194599814556624","ISSN":"1097-6817 (Electronic)","PMID":"25385802","abstract":"OBJECTIVE: To describe epidemiological trends in lacrimal gland malignancies in the United States. STUDY DESIGN: Retrospective database review. SETTING: Multicenter registry. SUBJECTS AND METHODS: A total of 702 malignant tumors of the lacrimal gland from the Surveillance, Epidemiology, and End Results database were included in the study. Disease-specific and overall survival were the primary outcome measures. Kaplan-Meier survival curves were generated for multiple patient and tumor characteristics, including race, histology, TNM tumor stage, age at diagnosis, radiotherapy, gender, and tumor grade. Cox proportional hazards regression was performed to assess the impact of patient and tumor characteristics on survival. RESULTS: Lymphoma (58.0%), adenoid cystic carcinoma (13.4%), adenocarcinoma (3.8%), and mucoepidermoid carcinoma (3.6%) accounted for most tumors. Lymphoma was associated with more favorable survival rates, while adenocarcinoma, adenoid cystic carcinoma, and mucoepidermoid carcinoma were associated with worse prognosis. There was a steady increase in the proportion of lymphoma diagnosed since 1973. In a multivariate Cox proportional hazards regression model, tumor histology remained as the only covariate correlated with disease-specific survival. CONCLUSION: Patient characteristics and survival rates differ between lymphoma, adenoid cystic carcinoma, adenocarcinoma, and mucoepidermoid carcinoma. The proportion of lacrimal gland cancer diagnosed as lymphoma has steadily increased over time. Cox proportional hazards regression analysis demonstrated tumor histology as one of the most important factors in patient survival. These results augment our understanding of the expected disease course of lacrimal gland malignancies.","author":[{"dropping-particle":"","family":"Andreoli","given":"Michael T","non-dropping-particle":"","parse-names":false,"suffix":""},{"dropping-particle":"","family":"Aakalu","given":"Vinay","non-dropping-particle":"","parse-names":false,"suffix":""},{"dropping-particle":"","family":"Setabutr","given":"Pete","non-dropping-particle":"","parse-names":false,"suffix":""}],"container-title":"Otolaryngology--head and neck surgery : official journal of American Academy of Otolaryngology-Head and Neck Surgery","id":"ITEM-2","issue":"2","issued":{"date-parts":[["2015","2"]]},"language":"eng","note":"artikel til introduktionen","page":"279-283","publisher-place":"England","title":"Epidemiological trends in malignant lacrimal gland tumors.","type":"article-journal","volume":"152"},"uris":["http://www.mendeley.com/documents/?uuid=5da18e34-1c63-443f-85a9-eecea1c8a05f"]}],"mendeley":{"formattedCitation":"(2,3)","plainTextFormattedCitation":"(2,3)","previouslyFormattedCitation":"(2,3)"},"properties":{"noteIndex":0},"schema":"https://github.com/citation-style-language/schema/raw/master/csl-citation.json"}</w:instrText>
      </w:r>
      <w:r w:rsidRPr="00013472">
        <w:rPr>
          <w:lang w:val="en-US"/>
        </w:rPr>
        <w:fldChar w:fldCharType="separate"/>
      </w:r>
      <w:r w:rsidRPr="00013472">
        <w:rPr>
          <w:noProof/>
          <w:lang w:val="en-US"/>
        </w:rPr>
        <w:t>(2,3)</w:t>
      </w:r>
      <w:r w:rsidRPr="00013472">
        <w:rPr>
          <w:lang w:val="en-US"/>
        </w:rPr>
        <w:fldChar w:fldCharType="end"/>
      </w:r>
      <w:r w:rsidRPr="00013472">
        <w:rPr>
          <w:lang w:val="en-US"/>
        </w:rPr>
        <w:t xml:space="preserve">. </w:t>
      </w:r>
      <w:r w:rsidR="00254520" w:rsidRPr="00013472">
        <w:rPr>
          <w:lang w:val="en-US"/>
        </w:rPr>
        <w:t xml:space="preserve">Hodgkin lymphoma involving the OA is extremely rare </w:t>
      </w:r>
      <w:r w:rsidR="00254520" w:rsidRPr="00013472">
        <w:rPr>
          <w:lang w:val="en-US"/>
        </w:rPr>
        <w:fldChar w:fldCharType="begin" w:fldLock="1"/>
      </w:r>
      <w:r w:rsidR="00CE792B" w:rsidRPr="00013472">
        <w:rPr>
          <w:lang w:val="en-US"/>
        </w:rPr>
        <w:instrText>ADDIN CSL_CITATION {"citationItems":[{"id":"ITEM-1","itemData":{"DOI":"10.1097/01.pas.0000213350.49767.46","ISSN":"0147-5185","PMID":"17255761","abstract":"We studied the cases of 353 patients with lymphoma involving the ocular adnexa diagnosed at the Massachusetts General Hospital between 1974 and 2005. The patients included 153 males and 200 females, aged 7 to 95 years, with a mean age of 64 years. In 277 cases, there was no known history of lymphoma. Seventy-six patients had a history of lymphoma, with the ocular adnexa being involved at relapse or with progression of the previously diagnosed lymphoma. The patients had marginal zone lymphoma (182 cases), follicular lymphoma (80 cases), mantle cell lymphoma (18 cases), small lymphocytic lymphoma/chronic lymphocytic leukemia (13 cases), lymphoplasmacytic lymphoma (4 cases), splenic marginal zone lymphoma (2 cases), low-grade B cell, not subclassified (19 cases), precursor B lymphoblastic lymphoma (3 cases), diffuse large B-cell lymphoma (26 cases), and 1 case each of high-grade B-cell lymphoma, not subclassified, peripheral T-cell lymphoma, unspecified type, extranodal NK/T-cell lymphoma, nasal type, and Hodgkin lymphoma, nodular sclerosis type. Almost all marginal zone lymphoma patients (168 of 182, 92%) had primary ocular adnexal lymphoma. Fourteen marginal zone lymphoma patients (8%) had a prior history of lymphoma, usually arising in another extranodal site. Twenty-five of 80 (31%) follicular lymphoma patients had a prior history of lymphoma, usually arising in lymph nodes. Patients with mantle cell lymphoma, chronic lymphocytic leukemia, lymphoplasmacytic lymphoma, and splenic marginal zone lymphoma almost always had a prior history of lymphoma or were known to have widespread disease at the time of diagnosis of ocular adnexal lymphoma. A subset of the diffuse large B-cell lymphomas were associated with large destructive masses involving adjacent structures such as paranasal sinuses, raising the possibility that they may have arisen from one of the adjacent structures and involved the ocular adnexa by direct extension. The relatively high proportion of low-grade lymphoma, not subclassified, highlights the difficulty that may arise in distinguishing different types of low-grade lymphoma, particularly when biopsies are small and artifactually distorted. Ocular adnexal lymphoma is primarily a disease of older adults, with a slight female preponderance. Most lymphomas are low-grade B-cell lymphomas, with marginal zone lymphoma being by far the most common type. Marginal zone lymphoma typically involves the ocular adnexa primarily, whereas other types of …","author":[{"dropping-particle":"","family":"Ferry","given":"Judith A.","non-dropping-particle":"","parse-names":false,"suffix":""},{"dropping-particle":"","family":"Fung","given":"Claire Y.","non-dropping-particle":"","parse-names":false,"suffix":""},{"dropping-particle":"","family":"Zukerberg","given":"Lawrence","non-dropping-particle":"","parse-names":false,"suffix":""},{"dropping-particle":"","family":"Lucarelli","given":"Mark J.","non-dropping-particle":"","parse-names":false,"suffix":""},{"dropping-particle":"","family":"Hasserjian","given":"Robert P.","non-dropping-particle":"","parse-names":false,"suffix":""},{"dropping-particle":"","family":"Preffer","given":"Frederic I.","non-dropping-particle":"","parse-names":false,"suffix":""},{"dropping-particle":"","family":"Harris","given":"Nancy L.","non-dropping-particle":"","parse-names":false,"suffix":""}],"container-title":"The American Journal of Surgical Pathology","id":"ITEM-1","issue":"2","issued":{"date-parts":[["2007","2"]]},"page":"170-184","title":"Lymphoma of the Ocular Adnexa: A Study of 353 Cases","type":"article-journal","volume":"31"},"uris":["http://www.mendeley.com/documents/?uuid=6c90feb9-b8e4-3465-90e1-13c956a3e7c1"]}],"mendeley":{"formattedCitation":"(4)","plainTextFormattedCitation":"(4)","previouslyFormattedCitation":"(4)"},"properties":{"noteIndex":0},"schema":"https://github.com/citation-style-language/schema/raw/master/csl-citation.json"}</w:instrText>
      </w:r>
      <w:r w:rsidR="00254520" w:rsidRPr="00013472">
        <w:rPr>
          <w:lang w:val="en-US"/>
        </w:rPr>
        <w:fldChar w:fldCharType="separate"/>
      </w:r>
      <w:r w:rsidR="00254520" w:rsidRPr="00013472">
        <w:rPr>
          <w:noProof/>
          <w:lang w:val="en-US"/>
        </w:rPr>
        <w:t>(4)</w:t>
      </w:r>
      <w:r w:rsidR="00254520" w:rsidRPr="00013472">
        <w:rPr>
          <w:lang w:val="en-US"/>
        </w:rPr>
        <w:fldChar w:fldCharType="end"/>
      </w:r>
      <w:r w:rsidR="00254520" w:rsidRPr="00013472">
        <w:rPr>
          <w:lang w:val="en-US"/>
        </w:rPr>
        <w:t>, and the</w:t>
      </w:r>
      <w:r w:rsidRPr="00013472">
        <w:rPr>
          <w:lang w:val="en-US"/>
        </w:rPr>
        <w:t xml:space="preserve"> most </w:t>
      </w:r>
      <w:r w:rsidR="00C03DE7" w:rsidRPr="00013472">
        <w:rPr>
          <w:lang w:val="en-US"/>
        </w:rPr>
        <w:t>common</w:t>
      </w:r>
      <w:r w:rsidRPr="00013472">
        <w:rPr>
          <w:lang w:val="en-US"/>
        </w:rPr>
        <w:t xml:space="preserve"> malignant lymphoma</w:t>
      </w:r>
      <w:r w:rsidR="003E0F6A" w:rsidRPr="00013472">
        <w:rPr>
          <w:lang w:val="en-US"/>
        </w:rPr>
        <w:t>s</w:t>
      </w:r>
      <w:r w:rsidRPr="00013472">
        <w:rPr>
          <w:lang w:val="en-US"/>
        </w:rPr>
        <w:t xml:space="preserve"> found in the lacrimal gland are</w:t>
      </w:r>
      <w:r w:rsidR="00254520" w:rsidRPr="00013472">
        <w:rPr>
          <w:lang w:val="en-US"/>
        </w:rPr>
        <w:t xml:space="preserve"> </w:t>
      </w:r>
      <w:r w:rsidR="006518F6">
        <w:rPr>
          <w:lang w:val="en-US"/>
        </w:rPr>
        <w:t>NHL</w:t>
      </w:r>
      <w:r w:rsidRPr="00013472">
        <w:rPr>
          <w:lang w:val="en-US"/>
        </w:rPr>
        <w:t xml:space="preserve"> </w:t>
      </w:r>
      <w:r w:rsidR="003E0F6A" w:rsidRPr="00013472">
        <w:rPr>
          <w:lang w:val="en-US"/>
        </w:rPr>
        <w:t xml:space="preserve">with </w:t>
      </w:r>
      <w:proofErr w:type="spellStart"/>
      <w:r w:rsidRPr="00013472">
        <w:rPr>
          <w:lang w:val="en-US"/>
        </w:rPr>
        <w:t>extranodal</w:t>
      </w:r>
      <w:proofErr w:type="spellEnd"/>
      <w:r w:rsidRPr="00013472">
        <w:rPr>
          <w:lang w:val="en-US"/>
        </w:rPr>
        <w:t xml:space="preserve"> marginal zone lymphoma (EMZL), follicular lymphoma (FL), and diffuse large B-cell lymphoma (DLBCL) </w:t>
      </w:r>
      <w:r w:rsidR="003E0F6A" w:rsidRPr="00013472">
        <w:rPr>
          <w:lang w:val="en-US"/>
        </w:rPr>
        <w:t xml:space="preserve">being the most frequent, </w:t>
      </w:r>
      <w:r w:rsidRPr="00013472">
        <w:rPr>
          <w:lang w:val="en-US"/>
        </w:rPr>
        <w:t xml:space="preserve">whereas mantle cell lymphoma (MCL) and small lymphocytic lymphoma/chronic lymphocytic leukemia (SLL/CLL) are </w:t>
      </w:r>
      <w:r w:rsidR="003E0F6A" w:rsidRPr="00013472">
        <w:rPr>
          <w:lang w:val="en-US"/>
        </w:rPr>
        <w:t>less common</w:t>
      </w:r>
      <w:r w:rsidRPr="00013472">
        <w:rPr>
          <w:lang w:val="en-US"/>
        </w:rPr>
        <w:t xml:space="preserve"> </w:t>
      </w:r>
      <w:r w:rsidRPr="00013472">
        <w:rPr>
          <w:lang w:val="en-US"/>
        </w:rPr>
        <w:fldChar w:fldCharType="begin" w:fldLock="1"/>
      </w:r>
      <w:r w:rsidR="00CE792B" w:rsidRPr="00013472">
        <w:rPr>
          <w:lang w:val="en-US"/>
        </w:rPr>
        <w:instrText>ADDIN CSL_CITATION {"citationItems":[{"id":"ITEM-1","itemData":{"DOI":"10.22608/APO.201707","ISSN":"21620989","PMID":"28399336","abstract":"Lacrimal gland tumors are rare and constitute a wide spectrum of different entities ranging from benign epithelial and lymphoid lesions to high-grade carcinomas, lymphomas, and sarcomas with large differences in prognosis and clinical management. The symptoms and findings of a lacrimal gland lesion are a growing mass at the site of the lacrimal gland, including displacement of the eyeball, decreased motility, diplopia, and ptosis. Pain is the cardinal symptom of an adenoid cystic carcinoma. Radiological findings characteristically include an oval, well-demarcated mass for benign lesions whereas malignant lesions typically display calcifications, destruction of bone, and invasion of adjacent structures. The diagnosis ultimately relies on histology, as does the choice of treatment and the prognosis. In recent years, the understanding of the biology of numerous types of lacrimal gland neoplasia has improved and the choice of treatment has changed accordingly and holds further promise for future targeted therapies. Treatment of benign epithelial lesions is surgical excision whereas carcinomas often require adjuvant radiotherapy and/or chemotherapy. In contrast, the cornerstone in management of lymphoid lesions is chemotherapy, often including a monoclonal antibody. This article presents an update on the clinical, radiological, histological, and molecular features, along with treatment strategies for tumors of the lacrimal gland.","author":[{"dropping-particle":"","family":"Andreasen","given":"Simon","non-dropping-particle":"","parse-names":false,"suffix":""},{"dropping-particle":"","family":"Esmaeli","given":"Bita","non-dropping-particle":"","parse-names":false,"suffix":""},{"dropping-particle":"von","family":"Holstein","given":"Sarah Linéa","non-dropping-particle":"","parse-names":false,"suffix":""},{"dropping-particle":"","family":"Mikkelsen","given":"Lauge Hjorth","non-dropping-particle":"","parse-names":false,"suffix":""},{"dropping-particle":"","family":"Rasmussen","given":"Peter Kristian","non-dropping-particle":"","parse-names":false,"suffix":""},{"dropping-particle":"","family":"Heegaard","given":"Steffen","non-dropping-particle":"","parse-names":false,"suffix":""}],"container-title":"Asia-Pacific Journal of Ophthalmology","id":"ITEM-1","issue":"2","issued":{"date-parts":[["2017","3"]]},"page":"159-172","title":"An Update on Tumors of the Lacrimal Gland","type":"article-journal","volume":"6"},"uris":["http://www.mendeley.com/documents/?uuid=ab91eb84-6609-3bb1-87fa-0df32833071a"]}],"mendeley":{"formattedCitation":"(5)","plainTextFormattedCitation":"(5)","previouslyFormattedCitation":"(5)"},"properties":{"noteIndex":0},"schema":"https://github.com/citation-style-language/schema/raw/master/csl-citation.json"}</w:instrText>
      </w:r>
      <w:r w:rsidRPr="00013472">
        <w:rPr>
          <w:lang w:val="en-US"/>
        </w:rPr>
        <w:fldChar w:fldCharType="separate"/>
      </w:r>
      <w:r w:rsidR="00254520" w:rsidRPr="00013472">
        <w:rPr>
          <w:noProof/>
          <w:lang w:val="en-US"/>
        </w:rPr>
        <w:t>(5)</w:t>
      </w:r>
      <w:r w:rsidRPr="00013472">
        <w:rPr>
          <w:lang w:val="en-US"/>
        </w:rPr>
        <w:fldChar w:fldCharType="end"/>
      </w:r>
      <w:r w:rsidRPr="00013472">
        <w:rPr>
          <w:lang w:val="en-US"/>
        </w:rPr>
        <w:t xml:space="preserve">. Patients affected are primarily elderly and with a female predominance </w:t>
      </w:r>
      <w:r w:rsidRPr="00013472">
        <w:rPr>
          <w:lang w:val="en-US"/>
        </w:rPr>
        <w:fldChar w:fldCharType="begin" w:fldLock="1"/>
      </w:r>
      <w:r w:rsidR="00CE792B" w:rsidRPr="00013472">
        <w:rPr>
          <w:lang w:val="en-US"/>
        </w:rPr>
        <w:instrText>ADDIN CSL_CITATION {"citationItems":[{"id":"ITEM-1","itemData":{"DOI":"10.22608/APO.201707","ISSN":"21620989","PMID":"28399336","abstract":"Lacrimal gland tumors are rare and constitute a wide spectrum of different entities ranging from benign epithelial and lymphoid lesions to high-grade carcinomas, lymphomas, and sarcomas with large differences in prognosis and clinical management. The symptoms and findings of a lacrimal gland lesion are a growing mass at the site of the lacrimal gland, including displacement of the eyeball, decreased motility, diplopia, and ptosis. Pain is the cardinal symptom of an adenoid cystic carcinoma. Radiological findings characteristically include an oval, well-demarcated mass for benign lesions whereas malignant lesions typically display calcifications, destruction of bone, and invasion of adjacent structures. The diagnosis ultimately relies on histology, as does the choice of treatment and the prognosis. In recent years, the understanding of the biology of numerous types of lacrimal gland neoplasia has improved and the choice of treatment has changed accordingly and holds further promise for future targeted therapies. Treatment of benign epithelial lesions is surgical excision whereas carcinomas often require adjuvant radiotherapy and/or chemotherapy. In contrast, the cornerstone in management of lymphoid lesions is chemotherapy, often including a monoclonal antibody. This article presents an update on the clinical, radiological, histological, and molecular features, along with treatment strategies for tumors of the lacrimal gland.","author":[{"dropping-particle":"","family":"Andreasen","given":"Simon","non-dropping-particle":"","parse-names":false,"suffix":""},{"dropping-particle":"","family":"Esmaeli","given":"Bita","non-dropping-particle":"","parse-names":false,"suffix":""},{"dropping-particle":"von","family":"Holstein","given":"Sarah Linéa","non-dropping-particle":"","parse-names":false,"suffix":""},{"dropping-particle":"","family":"Mikkelsen","given":"Lauge Hjorth","non-dropping-particle":"","parse-names":false,"suffix":""},{"dropping-particle":"","family":"Rasmussen","given":"Peter Kristian","non-dropping-particle":"","parse-names":false,"suffix":""},{"dropping-particle":"","family":"Heegaard","given":"Steffen","non-dropping-particle":"","parse-names":false,"suffix":""}],"container-title":"Asia-Pacific Journal of Ophthalmology","id":"ITEM-1","issue":"2","issued":{"date-parts":[["2017","3"]]},"page":"159-172","title":"An Update on Tumors of the Lacrimal Gland","type":"article-journal","volume":"6"},"uris":["http://www.mendeley.com/documents/?uuid=ab91eb84-6609-3bb1-87fa-0df32833071a"]}],"mendeley":{"formattedCitation":"(5)","plainTextFormattedCitation":"(5)","previouslyFormattedCitation":"(5)"},"properties":{"noteIndex":0},"schema":"https://github.com/citation-style-language/schema/raw/master/csl-citation.json"}</w:instrText>
      </w:r>
      <w:r w:rsidRPr="00013472">
        <w:rPr>
          <w:lang w:val="en-US"/>
        </w:rPr>
        <w:fldChar w:fldCharType="separate"/>
      </w:r>
      <w:r w:rsidR="00254520" w:rsidRPr="00013472">
        <w:rPr>
          <w:noProof/>
          <w:lang w:val="en-US"/>
        </w:rPr>
        <w:t>(5)</w:t>
      </w:r>
      <w:r w:rsidRPr="00013472">
        <w:rPr>
          <w:lang w:val="en-US"/>
        </w:rPr>
        <w:fldChar w:fldCharType="end"/>
      </w:r>
      <w:r w:rsidRPr="00013472">
        <w:rPr>
          <w:lang w:val="en-US"/>
        </w:rPr>
        <w:t xml:space="preserve">. </w:t>
      </w:r>
    </w:p>
    <w:p w14:paraId="08B97E7B" w14:textId="456FA8D0" w:rsidR="002234C1" w:rsidRPr="00013472" w:rsidRDefault="002234C1" w:rsidP="002234C1">
      <w:pPr>
        <w:spacing w:line="480" w:lineRule="auto"/>
        <w:rPr>
          <w:lang w:val="en-US"/>
        </w:rPr>
      </w:pPr>
      <w:r w:rsidRPr="00013472">
        <w:rPr>
          <w:lang w:val="en-US"/>
        </w:rPr>
        <w:t>To date the largest clinicopathologic study of lacrimal gland lymphomas includes 27 patients from a single eye-cancer center</w:t>
      </w:r>
      <w:r w:rsidR="00D53D03" w:rsidRPr="00013472">
        <w:rPr>
          <w:lang w:val="en-US"/>
        </w:rPr>
        <w:t xml:space="preserve"> </w:t>
      </w:r>
      <w:r w:rsidR="00D53D03" w:rsidRPr="00013472">
        <w:rPr>
          <w:lang w:val="en-US"/>
        </w:rPr>
        <w:fldChar w:fldCharType="begin" w:fldLock="1"/>
      </w:r>
      <w:r w:rsidR="00F8490D" w:rsidRPr="00013472">
        <w:rPr>
          <w:lang w:val="en-US"/>
        </w:rPr>
        <w:instrText>ADDIN CSL_CITATION {"citationItems":[{"id":"ITEM-1","itemData":{"DOI":"10.1001/archophthalmol.2011.270","ISSN":"1538-3601 (Electronic)","PMID":"21987669","abstract":"OBJECTIVE: To characterize the clinicopathologic features of lacrimal gland lymphoma. METHODS: All cases of lacrimal gland lymphoma from January 1, 1975, through December 31, 2009, were retrieved from The Danish Registry of Pathology. Histologic specimens were reevaluated using a panel of monoclonal antibodies. Clinical files from all patients with confirmed lymphoma were collected. RESULTS: Twenty-seven patients with lacrimal gland lymphoma were identified. Eight of the patients were men and 19 were women; the median (range) age was 69 (43-87) years. The distribution of lymphoma subtypes was as follows: extranodal marginal zone lymphoma, 10 (37%); follicular lymphoma, 5 (19%); diffuse large B-cell lymphoma, 4 (15%); mantle cell lymphoma, 3 (11%); chronic lymphocytic leukemia/small lymphatic lymphoma, 2 (7%); and unclassified B-cell lymphoma, 3 (11%). Twenty-two patients (81%) had stage I or II lymphoma, 1 patient (4%) had stage III lymphoma, and 4 patients (15%) had stage IV lymphoma. Patients with stage I or II lymphoma were treated with radiotherapy (15 [67%]), chemotherapy (3 [14%]), chemotherapy plus radiotherapy (1 [5%]), and surgery (3 [14%]). Patients presenting with stage III or IV lymphoma were treated with chemotherapy alone. Complete remission was observed in 23 of the patients (85%), although 12 (44%) of these had a relapse, independent of subtype, stage, or treatment. The 5-year overall survival was 70%. CONCLUSIONS: Malignant lymphoma of the lacrimal gland is relatively rare and is mostly prevalent in elderly women. The distribution of lacrimal gland lymphoma subtypes resembles that of lymphoma subtypes of the salivary glands. The majority of lacrimal gland lymphomas are low grade, and the prognosis is relatively good.","author":[{"dropping-particle":"","family":"Rasmussen","given":"Peter","non-dropping-particle":"","parse-names":false,"suffix":""},{"dropping-particle":"","family":"Ralfkiaer","given":"Elisabeth","non-dropping-particle":"","parse-names":false,"suffix":""},{"dropping-particle":"","family":"Prause","given":"Jan Ulrik","non-dropping-particle":"","parse-names":false,"suffix":""},{"dropping-particle":"","family":"Sjo","given":"Lene D","non-dropping-particle":"","parse-names":false,"suffix":""},{"dropping-particle":"","family":"Siersma","given":"Volkert D","non-dropping-particle":"","parse-names":false,"suffix":""},{"dropping-particle":"","family":"Heegaard","given":"Steffen","non-dropping-particle":"","parse-names":false,"suffix":""}],"container-title":"Archives of ophthalmology (Chicago, Ill. : 1960)","id":"ITEM-1","issue":"10","issued":{"date-parts":[["2011","10"]]},"language":"eng","page":"1275-1280","publisher-place":"United States","title":"Malignant lymphoma of the lacrimal gland: a nation-based study.","type":"article-journal","volume":"129"},"uris":["http://www.mendeley.com/documents/?uuid=b5d9ad44-b088-4215-ac7c-9c273620a268"]}],"mendeley":{"formattedCitation":"(6)","plainTextFormattedCitation":"(6)","previouslyFormattedCitation":"(6)"},"properties":{"noteIndex":0},"schema":"https://github.com/citation-style-language/schema/raw/master/csl-citation.json"}</w:instrText>
      </w:r>
      <w:r w:rsidR="00D53D03" w:rsidRPr="00013472">
        <w:rPr>
          <w:lang w:val="en-US"/>
        </w:rPr>
        <w:fldChar w:fldCharType="separate"/>
      </w:r>
      <w:r w:rsidR="00D53D03" w:rsidRPr="00013472">
        <w:rPr>
          <w:noProof/>
          <w:lang w:val="en-US"/>
        </w:rPr>
        <w:t>(6)</w:t>
      </w:r>
      <w:r w:rsidR="00D53D03" w:rsidRPr="00013472">
        <w:rPr>
          <w:lang w:val="en-US"/>
        </w:rPr>
        <w:fldChar w:fldCharType="end"/>
      </w:r>
      <w:r w:rsidRPr="00013472">
        <w:rPr>
          <w:lang w:val="en-US"/>
        </w:rPr>
        <w:t xml:space="preserve">. The present study will therefore seek to describe epidemiologic trends, clinical features, and </w:t>
      </w:r>
      <w:r w:rsidR="00064BD5" w:rsidRPr="00013472">
        <w:rPr>
          <w:lang w:val="en-US"/>
        </w:rPr>
        <w:t>prognosis</w:t>
      </w:r>
      <w:r w:rsidRPr="00013472">
        <w:rPr>
          <w:lang w:val="en-US"/>
        </w:rPr>
        <w:t xml:space="preserve"> of patients with malignant lacrimal gland </w:t>
      </w:r>
      <w:r w:rsidR="00317468" w:rsidRPr="00013472">
        <w:rPr>
          <w:lang w:val="en-US"/>
        </w:rPr>
        <w:t xml:space="preserve">non-Hodgkin </w:t>
      </w:r>
      <w:r w:rsidRPr="00013472">
        <w:rPr>
          <w:lang w:val="en-US"/>
        </w:rPr>
        <w:t xml:space="preserve">lymphoma in a large cohort of patients from six different eye cancer centers. </w:t>
      </w:r>
    </w:p>
    <w:p w14:paraId="4F35EA7B" w14:textId="77777777" w:rsidR="002234C1" w:rsidRPr="00013472" w:rsidRDefault="002234C1" w:rsidP="002234C1">
      <w:pPr>
        <w:pStyle w:val="Heading1"/>
        <w:spacing w:line="480" w:lineRule="auto"/>
        <w:rPr>
          <w:lang w:val="en-US"/>
        </w:rPr>
      </w:pPr>
      <w:r w:rsidRPr="00013472">
        <w:rPr>
          <w:lang w:val="en-US"/>
        </w:rPr>
        <w:lastRenderedPageBreak/>
        <w:t>Methods</w:t>
      </w:r>
    </w:p>
    <w:p w14:paraId="62715A8E" w14:textId="77777777" w:rsidR="002234C1" w:rsidRPr="00013472" w:rsidRDefault="002234C1" w:rsidP="002234C1">
      <w:pPr>
        <w:pStyle w:val="Heading3"/>
        <w:spacing w:line="480" w:lineRule="auto"/>
        <w:rPr>
          <w:lang w:val="en-US"/>
        </w:rPr>
      </w:pPr>
      <w:r w:rsidRPr="00013472">
        <w:rPr>
          <w:lang w:val="en-US"/>
        </w:rPr>
        <w:t>Study design</w:t>
      </w:r>
    </w:p>
    <w:p w14:paraId="31ABECAD" w14:textId="038EFB07" w:rsidR="002234C1" w:rsidRPr="00013472" w:rsidRDefault="002234C1" w:rsidP="002234C1">
      <w:pPr>
        <w:spacing w:line="480" w:lineRule="auto"/>
        <w:rPr>
          <w:lang w:val="en-US"/>
        </w:rPr>
      </w:pPr>
      <w:r w:rsidRPr="00013472">
        <w:rPr>
          <w:lang w:val="en-US"/>
        </w:rPr>
        <w:t>This study is a retrospective observational case series based on data from 6 international eye cancer centers: Copenhagen, Denmark; Liverpool, United Kingdom; Atlanta, Georgia, USA; New York, USA; Hyderabad, India</w:t>
      </w:r>
      <w:r w:rsidR="00A63697" w:rsidRPr="00013472">
        <w:rPr>
          <w:lang w:val="en-US"/>
        </w:rPr>
        <w:t>;</w:t>
      </w:r>
      <w:r w:rsidRPr="00013472">
        <w:rPr>
          <w:lang w:val="en-US"/>
        </w:rPr>
        <w:t xml:space="preserve"> and </w:t>
      </w:r>
      <w:r w:rsidR="00A027A7" w:rsidRPr="00013472">
        <w:rPr>
          <w:lang w:val="en-US"/>
        </w:rPr>
        <w:t xml:space="preserve">Houston, Texas, </w:t>
      </w:r>
      <w:r w:rsidRPr="00013472">
        <w:rPr>
          <w:lang w:val="en-US"/>
        </w:rPr>
        <w:t>USA. All patients with lymphoma of the lacrimal gland were included. The patients wer</w:t>
      </w:r>
      <w:r w:rsidR="008A3DD8" w:rsidRPr="00013472">
        <w:rPr>
          <w:lang w:val="en-US"/>
        </w:rPr>
        <w:t>e collected from January 1, 1980</w:t>
      </w:r>
      <w:r w:rsidRPr="00013472">
        <w:rPr>
          <w:lang w:val="en-US"/>
        </w:rPr>
        <w:t xml:space="preserve"> through December 31, 2017. The study followed the tenets of the Declaration of Helsinki and the Health Insurance Portability and Accountability act of 1996 in the United States. Institutional review board and health information privacy agency approvals for this </w:t>
      </w:r>
      <w:r w:rsidR="00064BD5" w:rsidRPr="00013472">
        <w:rPr>
          <w:lang w:val="en-US"/>
        </w:rPr>
        <w:t xml:space="preserve">retrospective </w:t>
      </w:r>
      <w:r w:rsidRPr="00013472">
        <w:rPr>
          <w:lang w:val="en-US"/>
        </w:rPr>
        <w:t>study were obtained from the Danish Data Protection Agency and the Local Ethics Committee (</w:t>
      </w:r>
      <w:r w:rsidR="00D30D7F" w:rsidRPr="00013472">
        <w:rPr>
          <w:lang w:val="en-US"/>
        </w:rPr>
        <w:t>J no. H-B-2009-054).</w:t>
      </w:r>
      <w:r w:rsidR="00287E4C" w:rsidRPr="00013472">
        <w:rPr>
          <w:lang w:val="en-US"/>
        </w:rPr>
        <w:t xml:space="preserve"> 27 patients from the Danish cohort have been published earlier </w:t>
      </w:r>
      <w:r w:rsidR="00287E4C" w:rsidRPr="00013472">
        <w:rPr>
          <w:lang w:val="en-US"/>
        </w:rPr>
        <w:fldChar w:fldCharType="begin" w:fldLock="1"/>
      </w:r>
      <w:r w:rsidR="00287E4C" w:rsidRPr="00013472">
        <w:rPr>
          <w:lang w:val="en-US"/>
        </w:rPr>
        <w:instrText>ADDIN CSL_CITATION {"citationItems":[{"id":"ITEM-1","itemData":{"DOI":"10.1001/archophthalmol.2011.270","ISSN":"1538-3601 (Electronic)","PMID":"21987669","abstract":"OBJECTIVE: To characterize the clinicopathologic features of lacrimal gland lymphoma. METHODS: All cases of lacrimal gland lymphoma from January 1, 1975, through December 31, 2009, were retrieved from The Danish Registry of Pathology. Histologic specimens were reevaluated using a panel of monoclonal antibodies. Clinical files from all patients with confirmed lymphoma were collected. RESULTS: Twenty-seven patients with lacrimal gland lymphoma were identified. Eight of the patients were men and 19 were women; the median (range) age was 69 (43-87) years. The distribution of lymphoma subtypes was as follows: extranodal marginal zone lymphoma, 10 (37%); follicular lymphoma, 5 (19%); diffuse large B-cell lymphoma, 4 (15%); mantle cell lymphoma, 3 (11%); chronic lymphocytic leukemia/small lymphatic lymphoma, 2 (7%); and unclassified B-cell lymphoma, 3 (11%). Twenty-two patients (81%) had stage I or II lymphoma, 1 patient (4%) had stage III lymphoma, and 4 patients (15%) had stage IV lymphoma. Patients with stage I or II lymphoma were treated with radiotherapy (15 [67%]), chemotherapy (3 [14%]), chemotherapy plus radiotherapy (1 [5%]), and surgery (3 [14%]). Patients presenting with stage III or IV lymphoma were treated with chemotherapy alone. Complete remission was observed in 23 of the patients (85%), although 12 (44%) of these had a relapse, independent of subtype, stage, or treatment. The 5-year overall survival was 70%. CONCLUSIONS: Malignant lymphoma of the lacrimal gland is relatively rare and is mostly prevalent in elderly women. The distribution of lacrimal gland lymphoma subtypes resembles that of lymphoma subtypes of the salivary glands. The majority of lacrimal gland lymphomas are low grade, and the prognosis is relatively good.","author":[{"dropping-particle":"","family":"Rasmussen","given":"Peter","non-dropping-particle":"","parse-names":false,"suffix":""},{"dropping-particle":"","family":"Ralfkiaer","given":"Elisabeth","non-dropping-particle":"","parse-names":false,"suffix":""},{"dropping-particle":"","family":"Prause","given":"Jan Ulrik","non-dropping-particle":"","parse-names":false,"suffix":""},{"dropping-particle":"","family":"Sjo","given":"Lene D","non-dropping-particle":"","parse-names":false,"suffix":""},{"dropping-particle":"","family":"Siersma","given":"Volkert D","non-dropping-particle":"","parse-names":false,"suffix":""},{"dropping-particle":"","family":"Heegaard","given":"Steffen","non-dropping-particle":"","parse-names":false,"suffix":""}],"container-title":"Archives of ophthalmology (Chicago, Ill. : 1960)","id":"ITEM-1","issue":"10","issued":{"date-parts":[["2011","10"]]},"language":"eng","page":"1275-1280","publisher-place":"United States","title":"Malignant lymphoma of the lacrimal gland: a nation-based study.","type":"article-journal","volume":"129"},"uris":["http://www.mendeley.com/documents/?uuid=b5d9ad44-b088-4215-ac7c-9c273620a268"]}],"mendeley":{"formattedCitation":"(6)","plainTextFormattedCitation":"(6)","previouslyFormattedCitation":"(6)"},"properties":{"noteIndex":0},"schema":"https://github.com/citation-style-language/schema/raw/master/csl-citation.json"}</w:instrText>
      </w:r>
      <w:r w:rsidR="00287E4C" w:rsidRPr="00013472">
        <w:rPr>
          <w:lang w:val="en-US"/>
        </w:rPr>
        <w:fldChar w:fldCharType="separate"/>
      </w:r>
      <w:r w:rsidR="00287E4C" w:rsidRPr="00013472">
        <w:rPr>
          <w:noProof/>
          <w:lang w:val="en-US"/>
        </w:rPr>
        <w:t>(6)</w:t>
      </w:r>
      <w:r w:rsidR="00287E4C" w:rsidRPr="00013472">
        <w:rPr>
          <w:lang w:val="en-US"/>
        </w:rPr>
        <w:fldChar w:fldCharType="end"/>
      </w:r>
      <w:r w:rsidR="00287E4C" w:rsidRPr="00013472">
        <w:rPr>
          <w:lang w:val="en-US"/>
        </w:rPr>
        <w:t>.</w:t>
      </w:r>
    </w:p>
    <w:p w14:paraId="2BA382B0" w14:textId="77777777" w:rsidR="002234C1" w:rsidRPr="00013472" w:rsidRDefault="002234C1" w:rsidP="002234C1">
      <w:pPr>
        <w:spacing w:line="480" w:lineRule="auto"/>
        <w:rPr>
          <w:lang w:val="en-US"/>
        </w:rPr>
      </w:pPr>
    </w:p>
    <w:p w14:paraId="3AD96B9C" w14:textId="77777777" w:rsidR="002234C1" w:rsidRPr="00013472" w:rsidRDefault="002234C1" w:rsidP="002234C1">
      <w:pPr>
        <w:pStyle w:val="Heading3"/>
        <w:spacing w:line="480" w:lineRule="auto"/>
        <w:rPr>
          <w:lang w:val="en-US"/>
        </w:rPr>
      </w:pPr>
      <w:r w:rsidRPr="00013472">
        <w:rPr>
          <w:lang w:val="en-US"/>
        </w:rPr>
        <w:t>Biopsy specimens</w:t>
      </w:r>
    </w:p>
    <w:p w14:paraId="42021910" w14:textId="537A5B2F" w:rsidR="002234C1" w:rsidRPr="00013472" w:rsidRDefault="002234C1" w:rsidP="002234C1">
      <w:pPr>
        <w:spacing w:line="480" w:lineRule="auto"/>
        <w:rPr>
          <w:lang w:val="en-US"/>
        </w:rPr>
      </w:pPr>
      <w:r w:rsidRPr="00013472">
        <w:rPr>
          <w:lang w:val="en-US"/>
        </w:rPr>
        <w:t xml:space="preserve">Histopathologic examination of </w:t>
      </w:r>
      <w:r w:rsidR="000120A9" w:rsidRPr="00013472">
        <w:rPr>
          <w:lang w:val="en-US"/>
        </w:rPr>
        <w:t>tumor</w:t>
      </w:r>
      <w:r w:rsidRPr="00013472">
        <w:rPr>
          <w:lang w:val="en-US"/>
        </w:rPr>
        <w:t xml:space="preserve"> specimens included staining with hematoxylin-eosin and immunohistochemical analysis. Currently, the following panel for B-cell lymphomas is recommended: CD3, CD5, CD10, CD20,</w:t>
      </w:r>
      <w:r w:rsidR="00671FFC" w:rsidRPr="00013472">
        <w:rPr>
          <w:lang w:val="en-US"/>
        </w:rPr>
        <w:t xml:space="preserve"> CD23,</w:t>
      </w:r>
      <w:r w:rsidRPr="00013472">
        <w:rPr>
          <w:lang w:val="en-US"/>
        </w:rPr>
        <w:t xml:space="preserve"> CD79</w:t>
      </w:r>
      <w:r w:rsidRPr="00013472">
        <w:rPr>
          <w:rFonts w:ascii="Cambria" w:hAnsi="Cambria"/>
          <w:lang w:val="en-US"/>
        </w:rPr>
        <w:t>α</w:t>
      </w:r>
      <w:r w:rsidRPr="00013472">
        <w:rPr>
          <w:lang w:val="en-US"/>
        </w:rPr>
        <w:t>, cyclin D-1, BCL2, BCL6, MUM-1</w:t>
      </w:r>
      <w:r w:rsidR="00D00637">
        <w:rPr>
          <w:lang w:val="en-US"/>
        </w:rPr>
        <w:t>/IRF4</w:t>
      </w:r>
      <w:r w:rsidRPr="00013472">
        <w:rPr>
          <w:lang w:val="en-US"/>
        </w:rPr>
        <w:t xml:space="preserve">, MIB-1, and </w:t>
      </w:r>
      <w:r w:rsidRPr="00013472">
        <w:rPr>
          <w:rFonts w:ascii="Cambria" w:hAnsi="Cambria"/>
          <w:lang w:val="en-US"/>
        </w:rPr>
        <w:t>κ</w:t>
      </w:r>
      <w:r w:rsidRPr="00013472">
        <w:rPr>
          <w:lang w:val="en-US"/>
        </w:rPr>
        <w:t xml:space="preserve"> and </w:t>
      </w:r>
      <w:r w:rsidRPr="00013472">
        <w:rPr>
          <w:rFonts w:ascii="Cambria" w:hAnsi="Cambria"/>
          <w:lang w:val="en-US"/>
        </w:rPr>
        <w:t>λ</w:t>
      </w:r>
      <w:r w:rsidRPr="00013472">
        <w:rPr>
          <w:lang w:val="en-US"/>
        </w:rPr>
        <w:t xml:space="preserve"> light chains, including CD30, c-MYC, and EBER (Epstein-Barr virus encoded RNA) for large-cell lymphomas </w:t>
      </w:r>
      <w:r w:rsidRPr="00013472">
        <w:rPr>
          <w:lang w:val="en-US"/>
        </w:rPr>
        <w:fldChar w:fldCharType="begin" w:fldLock="1"/>
      </w:r>
      <w:r w:rsidR="004B1EE8" w:rsidRPr="00013472">
        <w:rPr>
          <w:lang w:val="en-US"/>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304ce190-d790-34e3-9fec-672eaeee1a58"]}],"mendeley":{"formattedCitation":"(1)","plainTextFormattedCitation":"(1)","previouslyFormattedCitation":"(1)"},"properties":{"noteIndex":0},"schema":"https://github.com/citation-style-language/schema/raw/master/csl-citation.json"}</w:instrText>
      </w:r>
      <w:r w:rsidRPr="00013472">
        <w:rPr>
          <w:lang w:val="en-US"/>
        </w:rPr>
        <w:fldChar w:fldCharType="separate"/>
      </w:r>
      <w:r w:rsidRPr="00013472">
        <w:rPr>
          <w:noProof/>
          <w:lang w:val="en-US"/>
        </w:rPr>
        <w:t>(1)</w:t>
      </w:r>
      <w:r w:rsidRPr="00013472">
        <w:rPr>
          <w:lang w:val="en-US"/>
        </w:rPr>
        <w:fldChar w:fldCharType="end"/>
      </w:r>
      <w:r w:rsidRPr="00013472">
        <w:rPr>
          <w:lang w:val="en-US"/>
        </w:rPr>
        <w:t>. Patients from 6 different eye cancer centers were in</w:t>
      </w:r>
      <w:r w:rsidR="00671FFC" w:rsidRPr="00013472">
        <w:rPr>
          <w:lang w:val="en-US"/>
        </w:rPr>
        <w:t>cluded in this study spanning 38</w:t>
      </w:r>
      <w:r w:rsidRPr="00013472">
        <w:rPr>
          <w:lang w:val="en-US"/>
        </w:rPr>
        <w:t xml:space="preserve"> years; hence, not all samples were </w:t>
      </w:r>
      <w:r w:rsidR="000706CD" w:rsidRPr="00013472">
        <w:rPr>
          <w:lang w:val="en-US"/>
        </w:rPr>
        <w:t>analyzed</w:t>
      </w:r>
      <w:r w:rsidRPr="00013472">
        <w:rPr>
          <w:lang w:val="en-US"/>
        </w:rPr>
        <w:t xml:space="preserve"> in this uniform way. However, all specimens were reviewed and reclassified by the respective cancer centers according to the World Health Organization (WHO) Classification of </w:t>
      </w:r>
      <w:proofErr w:type="spellStart"/>
      <w:r w:rsidR="00A614B2">
        <w:rPr>
          <w:lang w:val="en-US"/>
        </w:rPr>
        <w:t>T</w:t>
      </w:r>
      <w:r w:rsidRPr="00013472">
        <w:rPr>
          <w:lang w:val="en-US"/>
        </w:rPr>
        <w:t>umo</w:t>
      </w:r>
      <w:r w:rsidR="00960238" w:rsidRPr="00013472">
        <w:rPr>
          <w:lang w:val="en-US"/>
        </w:rPr>
        <w:t>u</w:t>
      </w:r>
      <w:r w:rsidRPr="00013472">
        <w:rPr>
          <w:lang w:val="en-US"/>
        </w:rPr>
        <w:t>rs</w:t>
      </w:r>
      <w:proofErr w:type="spellEnd"/>
      <w:r w:rsidRPr="00013472">
        <w:rPr>
          <w:lang w:val="en-US"/>
        </w:rPr>
        <w:t xml:space="preserve"> of Hematopoietic and Lymphoid Tissues 4</w:t>
      </w:r>
      <w:r w:rsidRPr="00013472">
        <w:rPr>
          <w:vertAlign w:val="superscript"/>
          <w:lang w:val="en-US"/>
        </w:rPr>
        <w:t>th</w:t>
      </w:r>
      <w:r w:rsidR="008A3DD8" w:rsidRPr="00013472">
        <w:rPr>
          <w:lang w:val="en-US"/>
        </w:rPr>
        <w:t xml:space="preserve"> edition</w:t>
      </w:r>
      <w:r w:rsidR="008A3DD8" w:rsidRPr="00013472">
        <w:rPr>
          <w:lang w:val="en-US"/>
        </w:rPr>
        <w:fldChar w:fldCharType="begin" w:fldLock="1"/>
      </w:r>
      <w:r w:rsidR="004B1EE8" w:rsidRPr="00013472">
        <w:rPr>
          <w:lang w:val="en-US"/>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304ce190-d790-34e3-9fec-672eaeee1a58"]}],"mendeley":{"formattedCitation":"(1)","plainTextFormattedCitation":"(1)","previouslyFormattedCitation":"(1)"},"properties":{"noteIndex":0},"schema":"https://github.com/citation-style-language/schema/raw/master/csl-citation.json"}</w:instrText>
      </w:r>
      <w:r w:rsidR="008A3DD8" w:rsidRPr="00013472">
        <w:rPr>
          <w:lang w:val="en-US"/>
        </w:rPr>
        <w:fldChar w:fldCharType="separate"/>
      </w:r>
      <w:r w:rsidR="008A3DD8" w:rsidRPr="00013472">
        <w:rPr>
          <w:noProof/>
          <w:lang w:val="en-US"/>
        </w:rPr>
        <w:t>(1)</w:t>
      </w:r>
      <w:r w:rsidR="008A3DD8" w:rsidRPr="00013472">
        <w:rPr>
          <w:lang w:val="en-US"/>
        </w:rPr>
        <w:fldChar w:fldCharType="end"/>
      </w:r>
      <w:r w:rsidRPr="00013472">
        <w:rPr>
          <w:lang w:val="en-US"/>
        </w:rPr>
        <w:t xml:space="preserve">. </w:t>
      </w:r>
    </w:p>
    <w:p w14:paraId="65884909" w14:textId="77777777" w:rsidR="002234C1" w:rsidRPr="00013472" w:rsidRDefault="002234C1" w:rsidP="002234C1">
      <w:pPr>
        <w:spacing w:line="480" w:lineRule="auto"/>
        <w:rPr>
          <w:lang w:val="en-US"/>
        </w:rPr>
      </w:pPr>
    </w:p>
    <w:p w14:paraId="3866D063" w14:textId="77777777" w:rsidR="002234C1" w:rsidRPr="00013472" w:rsidRDefault="002234C1" w:rsidP="002234C1">
      <w:pPr>
        <w:pStyle w:val="Heading3"/>
        <w:spacing w:line="480" w:lineRule="auto"/>
        <w:rPr>
          <w:lang w:val="en-US"/>
        </w:rPr>
      </w:pPr>
      <w:r w:rsidRPr="00013472">
        <w:rPr>
          <w:lang w:val="en-US"/>
        </w:rPr>
        <w:lastRenderedPageBreak/>
        <w:t>Clinical data</w:t>
      </w:r>
    </w:p>
    <w:p w14:paraId="6E69CB6E" w14:textId="4E9AE5CB" w:rsidR="002234C1" w:rsidRPr="00013472" w:rsidRDefault="002234C1" w:rsidP="002234C1">
      <w:pPr>
        <w:spacing w:line="480" w:lineRule="auto"/>
        <w:rPr>
          <w:lang w:val="en-US"/>
        </w:rPr>
      </w:pPr>
      <w:r w:rsidRPr="00013472">
        <w:rPr>
          <w:lang w:val="en-US"/>
        </w:rPr>
        <w:t>The clinical data collected included age, sex, symptoms, clinical findings, systemic involvement according to the Ann Arbor staging classification</w:t>
      </w:r>
      <w:r w:rsidR="00671FFC" w:rsidRPr="00013472">
        <w:rPr>
          <w:lang w:val="en-US"/>
        </w:rPr>
        <w:t xml:space="preserve"> </w:t>
      </w:r>
      <w:r w:rsidRPr="00013472">
        <w:rPr>
          <w:lang w:val="en-US"/>
        </w:rPr>
        <w:fldChar w:fldCharType="begin" w:fldLock="1"/>
      </w:r>
      <w:r w:rsidR="00F8490D" w:rsidRPr="00013472">
        <w:rPr>
          <w:lang w:val="en-US"/>
        </w:rPr>
        <w:instrText>ADDIN CSL_CITATION {"citationItems":[{"id":"ITEM-1","itemData":{"ISSN":"0008-5472","PMID":"5121694","author":[{"dropping-particle":"","family":"Carbone","given":"P P","non-dropping-particle":"","parse-names":false,"suffix":""},{"dropping-particle":"","family":"Kaplan","given":"H S","non-dropping-particle":"","parse-names":false,"suffix":""},{"dropping-particle":"","family":"Musshoff","given":"K","non-dropping-particle":"","parse-names":false,"suffix":""},{"dropping-particle":"","family":"Smithers","given":"D W","non-dropping-particle":"","parse-names":false,"suffix":""},{"dropping-particle":"","family":"Tubiana","given":"M","non-dropping-particle":"","parse-names":false,"suffix":""}],"container-title":"Cancer research","id":"ITEM-1","issue":"11","issued":{"date-parts":[["1971","11"]]},"page":"1860-1","title":"Report of the Committee on Hodgkin's Disease Staging Classification.","type":"article-journal","volume":"31"},"uris":["http://www.mendeley.com/documents/?uuid=262aa9e0-f359-3966-bd90-debe36496524"]}],"mendeley":{"formattedCitation":"(7)","plainTextFormattedCitation":"(7)","previouslyFormattedCitation":"(7)"},"properties":{"noteIndex":0},"schema":"https://github.com/citation-style-language/schema/raw/master/csl-citation.json"}</w:instrText>
      </w:r>
      <w:r w:rsidRPr="00013472">
        <w:rPr>
          <w:lang w:val="en-US"/>
        </w:rPr>
        <w:fldChar w:fldCharType="separate"/>
      </w:r>
      <w:r w:rsidR="00D53D03" w:rsidRPr="00013472">
        <w:rPr>
          <w:noProof/>
          <w:lang w:val="en-US"/>
        </w:rPr>
        <w:t>(7)</w:t>
      </w:r>
      <w:r w:rsidRPr="00013472">
        <w:rPr>
          <w:lang w:val="en-US"/>
        </w:rPr>
        <w:fldChar w:fldCharType="end"/>
      </w:r>
      <w:r w:rsidRPr="00013472">
        <w:rPr>
          <w:lang w:val="en-US"/>
        </w:rPr>
        <w:t xml:space="preserve"> and to the American Joint Committee on Cancer (AJCC) TNM classification system </w:t>
      </w:r>
      <w:r w:rsidRPr="00013472">
        <w:rPr>
          <w:lang w:val="en-US"/>
        </w:rPr>
        <w:fldChar w:fldCharType="begin" w:fldLock="1"/>
      </w:r>
      <w:r w:rsidR="00F8490D" w:rsidRPr="00013472">
        <w:rPr>
          <w:lang w:val="en-US"/>
        </w:rPr>
        <w:instrText>ADDIN CSL_CITATION {"citationItems":[{"id":"ITEM-1","itemData":{"ISBN":"9783319406176","abstract":"Eighth edition. Previous edition published 2010. \"The AJCC Cancer Staging Manual is used by physicians and health care professionals throughout the world to facilitate the uniform description and reporting of neoplastic diseases. Proper classification and staging of cancer is essential for the physician to assign proper treatment, evaluate results of management and clinical trials, and to serve as the standard for local, regional and international reporting on cancer incidence and outcome. -- Significantly expanded and developed by international disease site expert panels, the Eighth Edition AJCC Cancer Staging Manual brings together all the currently available knowledge on staging of cancer at various anatomic sites. In this edition, evidence-based TNM staging is supplemented, as appropriate, by selected molecular markers and newly acquired insights into the molecular underpinnings of cancer. This edition features 12 entirely new staging systems, a wide range of changed or new staging definitions, and a refined emphasis on a personalized-medicine approach. To enhance the print and electronic usability of the cancer staging forms, they are now available exclusively for access and downloading at www.cancerstaging.org. -- The Eighth Edition AJCC Cancer Staging Manual remains the gold standard reference for oncologists, surgeons, pathologists, radiologists, cancer registrars and medical professionals world-wide to ensure that all those caring for cancer patients are fully versed in the language of cancer staging.\" -- from back of book. PART 1. General Information on Cancer Staging and End-Results Reporting -- PART 2. Head and Neck -- PART 3. Upper Gastrointestinal Tract -- PART 4. Lower Gastrointestinal Tract -- PART 5. Hepatobiliary System -- PART 6. Neuroendocrine Tumors -- PART 7. Thorax -- PART 8. Bone -- PART 9. Soft Tissue Sarcoma -- PART 10. Skin -- PART 11. Breast -- PART 12. Female Reproductive Organs -- PART 13. Male Genital Organs -- PART 14. Urinary Tract -- PART 15. Opthalmic Sites -- PART 16. Central Nervous System -- PART 17. Endocrine System -- PART 18. Hematologic Malignancies.","author":[{"dropping-particle":"","family":"Amin","given":"Mahul B.","non-dropping-particle":"","parse-names":false,"suffix":""},{"dropping-particle":"","family":"Edge","given":"Stephen B.","non-dropping-particle":"","parse-names":false,"suffix":""},{"dropping-particle":"","family":"American Joint Committee on Cancer","given":"","non-dropping-particle":"","parse-names":false,"suffix":""}],"id":"ITEM-1","issued":{"date-parts":[["0"]]},"number-of-pages":"1024","title":"AJCC cancer staging manual","type":"book"},"uris":["http://www.mendeley.com/documents/?uuid=153d468e-f3b3-30d2-96f3-d2edaef01097"]}],"mendeley":{"formattedCitation":"(8)","plainTextFormattedCitation":"(8)","previouslyFormattedCitation":"(8)"},"properties":{"noteIndex":0},"schema":"https://github.com/citation-style-language/schema/raw/master/csl-citation.json"}</w:instrText>
      </w:r>
      <w:r w:rsidRPr="00013472">
        <w:rPr>
          <w:lang w:val="en-US"/>
        </w:rPr>
        <w:fldChar w:fldCharType="separate"/>
      </w:r>
      <w:r w:rsidR="00D53D03" w:rsidRPr="00013472">
        <w:rPr>
          <w:noProof/>
          <w:lang w:val="en-US"/>
        </w:rPr>
        <w:t>(8)</w:t>
      </w:r>
      <w:r w:rsidRPr="00013472">
        <w:rPr>
          <w:lang w:val="en-US"/>
        </w:rPr>
        <w:fldChar w:fldCharType="end"/>
      </w:r>
      <w:r w:rsidRPr="00013472">
        <w:rPr>
          <w:lang w:val="en-US"/>
        </w:rPr>
        <w:t xml:space="preserve">, data about treatment modalities and response to therapy, survival duration, and cause of death. All clinical parameters were not available in all patients. </w:t>
      </w:r>
      <w:r w:rsidR="00310A1B" w:rsidRPr="00013472">
        <w:rPr>
          <w:lang w:val="en-US"/>
        </w:rPr>
        <w:t xml:space="preserve">Systemic involvement and laterality were determined using clinical information and diagnostic tools available at the time of diagnosis. Currently, a complete diagnostic </w:t>
      </w:r>
      <w:r w:rsidR="001D3D55" w:rsidRPr="00013472">
        <w:rPr>
          <w:lang w:val="en-US"/>
        </w:rPr>
        <w:t>work-up</w:t>
      </w:r>
      <w:r w:rsidR="00310A1B" w:rsidRPr="00013472">
        <w:rPr>
          <w:lang w:val="en-US"/>
        </w:rPr>
        <w:t xml:space="preserve"> </w:t>
      </w:r>
      <w:r w:rsidR="00D53D03" w:rsidRPr="00013472">
        <w:rPr>
          <w:lang w:val="en-US"/>
        </w:rPr>
        <w:t xml:space="preserve">for lymphoma </w:t>
      </w:r>
      <w:r w:rsidR="00310A1B" w:rsidRPr="00013472">
        <w:rPr>
          <w:lang w:val="en-US"/>
        </w:rPr>
        <w:t>includes the following</w:t>
      </w:r>
      <w:r w:rsidR="00671FFC" w:rsidRPr="00013472">
        <w:rPr>
          <w:lang w:val="en-US"/>
        </w:rPr>
        <w:t>:</w:t>
      </w:r>
      <w:r w:rsidR="00310A1B" w:rsidRPr="00013472">
        <w:rPr>
          <w:lang w:val="en-US"/>
        </w:rPr>
        <w:t xml:space="preserve"> </w:t>
      </w:r>
      <w:r w:rsidR="000120A9" w:rsidRPr="00013472">
        <w:rPr>
          <w:lang w:val="en-US"/>
        </w:rPr>
        <w:t>a tumo</w:t>
      </w:r>
      <w:r w:rsidR="00960238" w:rsidRPr="00013472">
        <w:rPr>
          <w:lang w:val="en-US"/>
        </w:rPr>
        <w:t xml:space="preserve">r biopsy; </w:t>
      </w:r>
      <w:r w:rsidR="00310A1B" w:rsidRPr="00013472">
        <w:rPr>
          <w:lang w:val="en-US"/>
        </w:rPr>
        <w:t>computed tomography (CT), full-body positron emission tomography (PET-CT), or magnetic</w:t>
      </w:r>
      <w:r w:rsidR="00960238" w:rsidRPr="00013472">
        <w:rPr>
          <w:lang w:val="en-US"/>
        </w:rPr>
        <w:t xml:space="preserve"> resonance imaging (MRI); and </w:t>
      </w:r>
      <w:r w:rsidR="00310A1B" w:rsidRPr="00013472">
        <w:rPr>
          <w:lang w:val="en-US"/>
        </w:rPr>
        <w:t>a bone-marrow biopsy.</w:t>
      </w:r>
    </w:p>
    <w:p w14:paraId="1E9E3103" w14:textId="77777777" w:rsidR="00310A1B" w:rsidRPr="00013472" w:rsidRDefault="00310A1B" w:rsidP="002234C1">
      <w:pPr>
        <w:spacing w:line="480" w:lineRule="auto"/>
        <w:rPr>
          <w:lang w:val="en-US"/>
        </w:rPr>
      </w:pPr>
    </w:p>
    <w:p w14:paraId="6BAE35D7" w14:textId="65A4D27F" w:rsidR="002234C1" w:rsidRPr="00013472" w:rsidRDefault="002234C1" w:rsidP="002234C1">
      <w:pPr>
        <w:spacing w:line="480" w:lineRule="auto"/>
        <w:rPr>
          <w:lang w:val="en-US"/>
        </w:rPr>
      </w:pPr>
      <w:r w:rsidRPr="00013472">
        <w:rPr>
          <w:lang w:val="en-US"/>
        </w:rPr>
        <w:t xml:space="preserve">Primary lacrimal gland </w:t>
      </w:r>
      <w:r w:rsidR="00671FFC" w:rsidRPr="00013472">
        <w:rPr>
          <w:lang w:val="en-US"/>
        </w:rPr>
        <w:t xml:space="preserve">lymphoma </w:t>
      </w:r>
      <w:r w:rsidRPr="00013472">
        <w:rPr>
          <w:lang w:val="en-US"/>
        </w:rPr>
        <w:t xml:space="preserve">was defined as follows: a biopsy-verified stage IE (E = </w:t>
      </w:r>
      <w:proofErr w:type="spellStart"/>
      <w:r w:rsidRPr="00013472">
        <w:rPr>
          <w:lang w:val="en-US"/>
        </w:rPr>
        <w:t>extranodal</w:t>
      </w:r>
      <w:proofErr w:type="spellEnd"/>
      <w:r w:rsidRPr="00013472">
        <w:rPr>
          <w:lang w:val="en-US"/>
        </w:rPr>
        <w:t>) lacrimal gland lymphoma</w:t>
      </w:r>
      <w:bookmarkStart w:id="0" w:name="_GoBack"/>
      <w:bookmarkEnd w:id="0"/>
      <w:r w:rsidRPr="00013472">
        <w:rPr>
          <w:lang w:val="en-US"/>
        </w:rPr>
        <w:t xml:space="preserve"> or stage IIE lacrimal gland lymphoma (involvement of unilateral preauricular or submandibular lymph nodes or a</w:t>
      </w:r>
      <w:r w:rsidR="00671FFC" w:rsidRPr="00013472">
        <w:rPr>
          <w:lang w:val="en-US"/>
        </w:rPr>
        <w:t xml:space="preserve">djacent structures); and </w:t>
      </w:r>
      <w:r w:rsidRPr="00013472">
        <w:rPr>
          <w:lang w:val="en-US"/>
        </w:rPr>
        <w:t xml:space="preserve">no history of prior lymphoma. Secondary lymphoma was defined as a systemic lymphoma with secondary lacrimal gland manifestation of disease or lymphoma relapse affecting the lacrimal gland on the background of clinically known systemic lymphoma. As defined by the AJCC/TNM system, only primary lymphomas were classified according to AJCC/TNM </w:t>
      </w:r>
      <w:r w:rsidRPr="00013472">
        <w:rPr>
          <w:lang w:val="en-US"/>
        </w:rPr>
        <w:fldChar w:fldCharType="begin" w:fldLock="1"/>
      </w:r>
      <w:r w:rsidR="00F8490D" w:rsidRPr="00013472">
        <w:rPr>
          <w:lang w:val="en-US"/>
        </w:rPr>
        <w:instrText>ADDIN CSL_CITATION {"citationItems":[{"id":"ITEM-1","itemData":{"ISBN":"9783319406176","abstract":"Eighth edition. Previous edition published 2010. \"The AJCC Cancer Staging Manual is used by physicians and health care professionals throughout the world to facilitate the uniform description and reporting of neoplastic diseases. Proper classification and staging of cancer is essential for the physician to assign proper treatment, evaluate results of management and clinical trials, and to serve as the standard for local, regional and international reporting on cancer incidence and outcome. -- Significantly expanded and developed by international disease site expert panels, the Eighth Edition AJCC Cancer Staging Manual brings together all the currently available knowledge on staging of cancer at various anatomic sites. In this edition, evidence-based TNM staging is supplemented, as appropriate, by selected molecular markers and newly acquired insights into the molecular underpinnings of cancer. This edition features 12 entirely new staging systems, a wide range of changed or new staging definitions, and a refined emphasis on a personalized-medicine approach. To enhance the print and electronic usability of the cancer staging forms, they are now available exclusively for access and downloading at www.cancerstaging.org. -- The Eighth Edition AJCC Cancer Staging Manual remains the gold standard reference for oncologists, surgeons, pathologists, radiologists, cancer registrars and medical professionals world-wide to ensure that all those caring for cancer patients are fully versed in the language of cancer staging.\" -- from back of book. PART 1. General Information on Cancer Staging and End-Results Reporting -- PART 2. Head and Neck -- PART 3. Upper Gastrointestinal Tract -- PART 4. Lower Gastrointestinal Tract -- PART 5. Hepatobiliary System -- PART 6. Neuroendocrine Tumors -- PART 7. Thorax -- PART 8. Bone -- PART 9. Soft Tissue Sarcoma -- PART 10. Skin -- PART 11. Breast -- PART 12. Female Reproductive Organs -- PART 13. Male Genital Organs -- PART 14. Urinary Tract -- PART 15. Opthalmic Sites -- PART 16. Central Nervous System -- PART 17. Endocrine System -- PART 18. Hematologic Malignancies.","author":[{"dropping-particle":"","family":"Amin","given":"Mahul B.","non-dropping-particle":"","parse-names":false,"suffix":""},{"dropping-particle":"","family":"Edge","given":"Stephen B.","non-dropping-particle":"","parse-names":false,"suffix":""},{"dropping-particle":"","family":"American Joint Committee on Cancer","given":"","non-dropping-particle":"","parse-names":false,"suffix":""}],"id":"ITEM-1","issued":{"date-parts":[["0"]]},"number-of-pages":"1024","title":"AJCC cancer staging manual","type":"book"},"uris":["http://www.mendeley.com/documents/?uuid=153d468e-f3b3-30d2-96f3-d2edaef01097"]}],"mendeley":{"formattedCitation":"(8)","plainTextFormattedCitation":"(8)","previouslyFormattedCitation":"(8)"},"properties":{"noteIndex":0},"schema":"https://github.com/citation-style-language/schema/raw/master/csl-citation.json"}</w:instrText>
      </w:r>
      <w:r w:rsidRPr="00013472">
        <w:rPr>
          <w:lang w:val="en-US"/>
        </w:rPr>
        <w:fldChar w:fldCharType="separate"/>
      </w:r>
      <w:r w:rsidR="00D53D03" w:rsidRPr="00013472">
        <w:rPr>
          <w:noProof/>
          <w:lang w:val="en-US"/>
        </w:rPr>
        <w:t>(8)</w:t>
      </w:r>
      <w:r w:rsidRPr="00013472">
        <w:rPr>
          <w:lang w:val="en-US"/>
        </w:rPr>
        <w:fldChar w:fldCharType="end"/>
      </w:r>
      <w:r w:rsidRPr="00013472">
        <w:rPr>
          <w:lang w:val="en-US"/>
        </w:rPr>
        <w:t>.</w:t>
      </w:r>
    </w:p>
    <w:p w14:paraId="1554751D" w14:textId="77777777" w:rsidR="002234C1" w:rsidRPr="00013472" w:rsidRDefault="002234C1" w:rsidP="002234C1">
      <w:pPr>
        <w:pStyle w:val="Heading3"/>
        <w:spacing w:line="480" w:lineRule="auto"/>
        <w:rPr>
          <w:lang w:val="en-US"/>
        </w:rPr>
      </w:pPr>
      <w:r w:rsidRPr="00013472">
        <w:rPr>
          <w:lang w:val="en-US"/>
        </w:rPr>
        <w:t>Statistical analysis</w:t>
      </w:r>
    </w:p>
    <w:p w14:paraId="6043D4E5" w14:textId="13C616CC" w:rsidR="002234C1" w:rsidRPr="00013472" w:rsidRDefault="002234C1" w:rsidP="002234C1">
      <w:pPr>
        <w:spacing w:line="480" w:lineRule="auto"/>
        <w:rPr>
          <w:lang w:val="en-US"/>
        </w:rPr>
      </w:pPr>
      <w:r w:rsidRPr="00013472">
        <w:rPr>
          <w:lang w:val="en-US"/>
        </w:rPr>
        <w:t>Overall survival (OS)</w:t>
      </w:r>
      <w:r w:rsidR="00385716" w:rsidRPr="00013472">
        <w:rPr>
          <w:lang w:val="en-US"/>
        </w:rPr>
        <w:t xml:space="preserve"> and disease-</w:t>
      </w:r>
      <w:r w:rsidRPr="00013472">
        <w:rPr>
          <w:lang w:val="en-US"/>
        </w:rPr>
        <w:t xml:space="preserve">specific survival (DSS) were considered primary endpoints. OS was defined as </w:t>
      </w:r>
      <w:r w:rsidR="00D30D7F" w:rsidRPr="00013472">
        <w:rPr>
          <w:lang w:val="en-US"/>
        </w:rPr>
        <w:t xml:space="preserve">the time from the </w:t>
      </w:r>
      <w:r w:rsidRPr="00013472">
        <w:rPr>
          <w:lang w:val="en-US"/>
        </w:rPr>
        <w:t xml:space="preserve">date of diagnosis of lacrimal gland lymphoma to death by any cause or to last follow-up, with the latter being a censored event. DSS was defined as </w:t>
      </w:r>
      <w:r w:rsidR="00D30D7F" w:rsidRPr="00013472">
        <w:rPr>
          <w:lang w:val="en-US"/>
        </w:rPr>
        <w:t xml:space="preserve">the time from </w:t>
      </w:r>
      <w:r w:rsidRPr="00013472">
        <w:rPr>
          <w:lang w:val="en-US"/>
        </w:rPr>
        <w:t xml:space="preserve">the date of diagnosis to the date of death by lymphoma or the date of last follow-up, </w:t>
      </w:r>
      <w:r w:rsidRPr="00013472">
        <w:rPr>
          <w:lang w:val="en-US"/>
        </w:rPr>
        <w:lastRenderedPageBreak/>
        <w:t xml:space="preserve">with the latter being a censored event. Survival outcomes were calculated and visualized using </w:t>
      </w:r>
      <w:r w:rsidR="007151C1" w:rsidRPr="00013472">
        <w:rPr>
          <w:lang w:val="en-US"/>
        </w:rPr>
        <w:t>life-t</w:t>
      </w:r>
      <w:r w:rsidR="00E97F69" w:rsidRPr="00013472">
        <w:rPr>
          <w:lang w:val="en-US"/>
        </w:rPr>
        <w:t>able</w:t>
      </w:r>
      <w:r w:rsidR="00CD18F6" w:rsidRPr="00013472">
        <w:rPr>
          <w:lang w:val="en-US"/>
        </w:rPr>
        <w:t xml:space="preserve">s and </w:t>
      </w:r>
      <w:r w:rsidRPr="00013472">
        <w:rPr>
          <w:lang w:val="en-US"/>
        </w:rPr>
        <w:t>Kaplan-Meier plots, and median survival was calculated if surviva</w:t>
      </w:r>
      <w:r w:rsidR="000120A9" w:rsidRPr="00013472">
        <w:rPr>
          <w:lang w:val="en-US"/>
        </w:rPr>
        <w:t>l reached 0.5 during the follow-</w:t>
      </w:r>
      <w:r w:rsidRPr="00013472">
        <w:rPr>
          <w:lang w:val="en-US"/>
        </w:rPr>
        <w:t xml:space="preserve">up period. Different risk groups were compared using the log-rank test. Risk factors were compared using the </w:t>
      </w:r>
      <w:r w:rsidRPr="00013472">
        <w:rPr>
          <w:rFonts w:ascii="Cambria" w:hAnsi="Cambria"/>
          <w:lang w:val="en-US"/>
        </w:rPr>
        <w:t xml:space="preserve">Fisher’s exact test. </w:t>
      </w:r>
      <w:r w:rsidRPr="00013472">
        <w:rPr>
          <w:i/>
          <w:lang w:val="en-US"/>
        </w:rPr>
        <w:t>P</w:t>
      </w:r>
      <w:r w:rsidRPr="00013472">
        <w:rPr>
          <w:lang w:val="en-US"/>
        </w:rPr>
        <w:t xml:space="preserve">&lt;0.05 was considered </w:t>
      </w:r>
      <w:r w:rsidR="00D30D7F" w:rsidRPr="00013472">
        <w:rPr>
          <w:lang w:val="en-US"/>
        </w:rPr>
        <w:t xml:space="preserve">statistically </w:t>
      </w:r>
      <w:r w:rsidRPr="00013472">
        <w:rPr>
          <w:lang w:val="en-US"/>
        </w:rPr>
        <w:t>significant.  Statistical analysis and calculation were made using IBM SPSS Package, version 25 (IBM Corporation, Armonk, New York, USA).</w:t>
      </w:r>
    </w:p>
    <w:p w14:paraId="0466CEF9" w14:textId="77777777" w:rsidR="00D86890" w:rsidRDefault="00D86890">
      <w:pPr>
        <w:rPr>
          <w:rFonts w:asciiTheme="majorHAnsi" w:eastAsiaTheme="majorEastAsia" w:hAnsiTheme="majorHAnsi" w:cstheme="majorBidi"/>
          <w:b/>
          <w:bCs/>
          <w:color w:val="345A8A" w:themeColor="accent1" w:themeShade="B5"/>
          <w:sz w:val="32"/>
          <w:szCs w:val="32"/>
          <w:lang w:val="en-US"/>
        </w:rPr>
      </w:pPr>
      <w:r>
        <w:rPr>
          <w:lang w:val="en-US"/>
        </w:rPr>
        <w:br w:type="page"/>
      </w:r>
    </w:p>
    <w:p w14:paraId="254B30AE" w14:textId="24AFB95C" w:rsidR="002234C1" w:rsidRPr="00013472" w:rsidRDefault="002234C1" w:rsidP="002234C1">
      <w:pPr>
        <w:pStyle w:val="Heading1"/>
        <w:spacing w:line="480" w:lineRule="auto"/>
        <w:rPr>
          <w:lang w:val="en-US"/>
        </w:rPr>
      </w:pPr>
      <w:r w:rsidRPr="00013472">
        <w:rPr>
          <w:lang w:val="en-US"/>
        </w:rPr>
        <w:lastRenderedPageBreak/>
        <w:t>Results</w:t>
      </w:r>
    </w:p>
    <w:p w14:paraId="509754BB" w14:textId="77777777" w:rsidR="002234C1" w:rsidRPr="00013472" w:rsidRDefault="002234C1" w:rsidP="002234C1">
      <w:pPr>
        <w:pStyle w:val="Heading3"/>
        <w:spacing w:line="480" w:lineRule="auto"/>
        <w:rPr>
          <w:lang w:val="en-US"/>
        </w:rPr>
      </w:pPr>
      <w:r w:rsidRPr="00013472">
        <w:rPr>
          <w:lang w:val="en-US"/>
        </w:rPr>
        <w:t>Lymphoma subtype classification</w:t>
      </w:r>
    </w:p>
    <w:p w14:paraId="589A7BC0" w14:textId="1C6DC21A" w:rsidR="002234C1" w:rsidRPr="00013472" w:rsidRDefault="002234C1" w:rsidP="002234C1">
      <w:pPr>
        <w:spacing w:line="480" w:lineRule="auto"/>
        <w:rPr>
          <w:lang w:val="en-US"/>
        </w:rPr>
      </w:pPr>
      <w:r w:rsidRPr="00013472">
        <w:rPr>
          <w:lang w:val="en-US"/>
        </w:rPr>
        <w:t>261 patients with malignant lymphoma of the lacrimal gland were identified (</w:t>
      </w:r>
      <w:r w:rsidR="00E97F69" w:rsidRPr="00013472">
        <w:rPr>
          <w:lang w:val="en-US"/>
        </w:rPr>
        <w:t>Table</w:t>
      </w:r>
      <w:r w:rsidRPr="00013472">
        <w:rPr>
          <w:lang w:val="en-US"/>
        </w:rPr>
        <w:t>s 1 and 2). The majority of lacrimal gland lymphomas were o</w:t>
      </w:r>
      <w:r w:rsidR="007D1B47" w:rsidRPr="00013472">
        <w:rPr>
          <w:lang w:val="en-US"/>
        </w:rPr>
        <w:t>f B-cell origin (99</w:t>
      </w:r>
      <w:r w:rsidRPr="00013472">
        <w:rPr>
          <w:lang w:val="en-US"/>
        </w:rPr>
        <w:t>%, n=259). Eight B-cell lymphoma subtypes were identified according to the WHO lymphoma classification</w:t>
      </w:r>
      <w:r w:rsidR="00960238" w:rsidRPr="00013472">
        <w:rPr>
          <w:lang w:val="en-US"/>
        </w:rPr>
        <w:t xml:space="preserve"> </w:t>
      </w:r>
      <w:r w:rsidR="00960238" w:rsidRPr="00013472">
        <w:rPr>
          <w:lang w:val="en-US"/>
        </w:rPr>
        <w:fldChar w:fldCharType="begin" w:fldLock="1"/>
      </w:r>
      <w:r w:rsidR="00B15A69" w:rsidRPr="00013472">
        <w:rPr>
          <w:lang w:val="en-US"/>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304ce190-d790-34e3-9fec-672eaeee1a58"]}],"mendeley":{"formattedCitation":"(1)","plainTextFormattedCitation":"(1)","previouslyFormattedCitation":"(1)"},"properties":{"noteIndex":0},"schema":"https://github.com/citation-style-language/schema/raw/master/csl-citation.json"}</w:instrText>
      </w:r>
      <w:r w:rsidR="00960238" w:rsidRPr="00013472">
        <w:rPr>
          <w:lang w:val="en-US"/>
        </w:rPr>
        <w:fldChar w:fldCharType="separate"/>
      </w:r>
      <w:r w:rsidR="00960238" w:rsidRPr="00013472">
        <w:rPr>
          <w:noProof/>
          <w:lang w:val="en-US"/>
        </w:rPr>
        <w:t>(1)</w:t>
      </w:r>
      <w:r w:rsidR="00960238" w:rsidRPr="00013472">
        <w:rPr>
          <w:lang w:val="en-US"/>
        </w:rPr>
        <w:fldChar w:fldCharType="end"/>
      </w:r>
      <w:r w:rsidRPr="00013472">
        <w:rPr>
          <w:lang w:val="en-US"/>
        </w:rPr>
        <w:t xml:space="preserve">: </w:t>
      </w:r>
      <w:r w:rsidR="00144A67" w:rsidRPr="00013472">
        <w:rPr>
          <w:lang w:val="en-US"/>
        </w:rPr>
        <w:t>EMZL</w:t>
      </w:r>
      <w:r w:rsidR="007D1B47" w:rsidRPr="00013472">
        <w:rPr>
          <w:lang w:val="en-US"/>
        </w:rPr>
        <w:t xml:space="preserve"> (n=178, 68</w:t>
      </w:r>
      <w:r w:rsidRPr="00013472">
        <w:rPr>
          <w:lang w:val="en-US"/>
        </w:rPr>
        <w:t xml:space="preserve">%), </w:t>
      </w:r>
      <w:r w:rsidR="00144A67" w:rsidRPr="00013472">
        <w:rPr>
          <w:lang w:val="en-US"/>
        </w:rPr>
        <w:t>FL</w:t>
      </w:r>
      <w:r w:rsidRPr="00013472">
        <w:rPr>
          <w:lang w:val="en-US"/>
        </w:rPr>
        <w:t xml:space="preserve"> (n=26, 10</w:t>
      </w:r>
      <w:r w:rsidR="001C3674" w:rsidRPr="00013472">
        <w:rPr>
          <w:lang w:val="en-US"/>
        </w:rPr>
        <w:t>%</w:t>
      </w:r>
      <w:r w:rsidRPr="00013472">
        <w:rPr>
          <w:lang w:val="en-US"/>
        </w:rPr>
        <w:t xml:space="preserve">), </w:t>
      </w:r>
      <w:r w:rsidR="00144A67" w:rsidRPr="00013472">
        <w:rPr>
          <w:lang w:val="en-US"/>
        </w:rPr>
        <w:t>DLBCL</w:t>
      </w:r>
      <w:r w:rsidR="007D1B47" w:rsidRPr="00013472">
        <w:rPr>
          <w:lang w:val="en-US"/>
        </w:rPr>
        <w:t xml:space="preserve"> (n=26, 10</w:t>
      </w:r>
      <w:r w:rsidRPr="00013472">
        <w:rPr>
          <w:lang w:val="en-US"/>
        </w:rPr>
        <w:t xml:space="preserve">%), </w:t>
      </w:r>
      <w:r w:rsidR="00144A67" w:rsidRPr="00013472">
        <w:rPr>
          <w:lang w:val="en-US"/>
        </w:rPr>
        <w:t xml:space="preserve">MCL </w:t>
      </w:r>
      <w:r w:rsidR="007D1B47" w:rsidRPr="00013472">
        <w:rPr>
          <w:lang w:val="en-US"/>
        </w:rPr>
        <w:t>(n=17, 7</w:t>
      </w:r>
      <w:r w:rsidRPr="00013472">
        <w:rPr>
          <w:lang w:val="en-US"/>
        </w:rPr>
        <w:t>%), SLL/CLL</w:t>
      </w:r>
      <w:r w:rsidR="007D1B47" w:rsidRPr="00013472">
        <w:rPr>
          <w:lang w:val="en-US"/>
        </w:rPr>
        <w:t xml:space="preserve"> (n=3, 1</w:t>
      </w:r>
      <w:r w:rsidRPr="00013472">
        <w:rPr>
          <w:lang w:val="en-US"/>
        </w:rPr>
        <w:t xml:space="preserve">%), </w:t>
      </w:r>
      <w:r w:rsidR="005E5579" w:rsidRPr="00013472">
        <w:rPr>
          <w:lang w:val="en-US"/>
        </w:rPr>
        <w:t>B</w:t>
      </w:r>
      <w:r w:rsidRPr="00013472">
        <w:rPr>
          <w:lang w:val="en-US"/>
        </w:rPr>
        <w:t>urkitt lymphoma (BL)</w:t>
      </w:r>
      <w:r w:rsidR="007D1B47" w:rsidRPr="00013472">
        <w:rPr>
          <w:lang w:val="en-US"/>
        </w:rPr>
        <w:t xml:space="preserve"> (n=2, 1</w:t>
      </w:r>
      <w:r w:rsidRPr="00013472">
        <w:rPr>
          <w:lang w:val="en-US"/>
        </w:rPr>
        <w:t>%), plasmacytoma (PL)</w:t>
      </w:r>
      <w:r w:rsidR="007D1B47" w:rsidRPr="00013472">
        <w:rPr>
          <w:lang w:val="en-US"/>
        </w:rPr>
        <w:t xml:space="preserve"> (n=2, 1</w:t>
      </w:r>
      <w:r w:rsidRPr="00013472">
        <w:rPr>
          <w:lang w:val="en-US"/>
        </w:rPr>
        <w:t xml:space="preserve">%), </w:t>
      </w:r>
      <w:r w:rsidR="007151C1" w:rsidRPr="00013472">
        <w:rPr>
          <w:lang w:val="en-US"/>
        </w:rPr>
        <w:t xml:space="preserve">and </w:t>
      </w:r>
      <w:r w:rsidRPr="00013472">
        <w:rPr>
          <w:lang w:val="en-US"/>
        </w:rPr>
        <w:t>lymphoplasmacytic lymphoma (LPL)</w:t>
      </w:r>
      <w:r w:rsidR="007D1B47" w:rsidRPr="00013472">
        <w:rPr>
          <w:lang w:val="en-US"/>
        </w:rPr>
        <w:t xml:space="preserve"> (n=1, 0.4%). Four lymphomas (2</w:t>
      </w:r>
      <w:r w:rsidRPr="00013472">
        <w:rPr>
          <w:lang w:val="en-US"/>
        </w:rPr>
        <w:t>%) were of B-cell origin but could</w:t>
      </w:r>
      <w:r w:rsidR="00294DB0" w:rsidRPr="00013472">
        <w:rPr>
          <w:lang w:val="en-US"/>
        </w:rPr>
        <w:t xml:space="preserve"> not be further classified: BCL, not otherwise specified (BCL-NOS)</w:t>
      </w:r>
      <w:r w:rsidRPr="00013472">
        <w:rPr>
          <w:lang w:val="en-US"/>
        </w:rPr>
        <w:t xml:space="preserve">. </w:t>
      </w:r>
      <w:r w:rsidR="006E52C4" w:rsidRPr="00013472">
        <w:rPr>
          <w:lang w:val="en-US"/>
        </w:rPr>
        <w:t>Only o</w:t>
      </w:r>
      <w:r w:rsidRPr="00013472">
        <w:rPr>
          <w:lang w:val="en-US"/>
        </w:rPr>
        <w:t>ne T-cell lymphoma subtype was identified: Peripheral T-cell lymphoma, not otherwise specified (PTCL-NOS) (n=2, 1%).</w:t>
      </w:r>
    </w:p>
    <w:p w14:paraId="4E365579" w14:textId="1A68F59E" w:rsidR="006D0B2F" w:rsidRPr="00013472" w:rsidRDefault="00A027A7" w:rsidP="002234C1">
      <w:pPr>
        <w:spacing w:line="480" w:lineRule="auto"/>
        <w:rPr>
          <w:lang w:val="en-US"/>
        </w:rPr>
      </w:pPr>
      <w:r w:rsidRPr="00013472">
        <w:rPr>
          <w:lang w:val="en-US"/>
        </w:rPr>
        <w:t>The distribution of lymphoma subtypes differed between eye cancer centers (Table 1). Hyderabad, Houston, Copenhagen</w:t>
      </w:r>
      <w:r w:rsidR="00287E4C" w:rsidRPr="00013472">
        <w:rPr>
          <w:lang w:val="en-US"/>
        </w:rPr>
        <w:t>,</w:t>
      </w:r>
      <w:r w:rsidRPr="00013472">
        <w:rPr>
          <w:lang w:val="en-US"/>
        </w:rPr>
        <w:t xml:space="preserve"> and Liverpool contributed with most cases to the study, and when comparing these e</w:t>
      </w:r>
      <w:r w:rsidR="005374A5" w:rsidRPr="00013472">
        <w:rPr>
          <w:lang w:val="en-US"/>
        </w:rPr>
        <w:t xml:space="preserve">ye cancer centers, Hyderabad had </w:t>
      </w:r>
      <w:r w:rsidRPr="00013472">
        <w:rPr>
          <w:lang w:val="en-US"/>
        </w:rPr>
        <w:t>a higher proportion of patients with EMZL (84%)</w:t>
      </w:r>
      <w:r w:rsidR="005374A5" w:rsidRPr="00013472">
        <w:rPr>
          <w:lang w:val="en-US"/>
        </w:rPr>
        <w:t xml:space="preserve"> than the remaining eye cancer centers (44-61%). Consequently, a lower proportion of patients with FL and DLBCL, and no patients with MCL, were found in Hyderabad (Table 1). Furthermore</w:t>
      </w:r>
      <w:r w:rsidR="00287E4C" w:rsidRPr="00013472">
        <w:rPr>
          <w:lang w:val="en-US"/>
        </w:rPr>
        <w:t>,</w:t>
      </w:r>
      <w:r w:rsidR="005374A5" w:rsidRPr="00013472">
        <w:rPr>
          <w:lang w:val="en-US"/>
        </w:rPr>
        <w:t xml:space="preserve"> a high proportion of the patients from Copenhagen had MCL (22%) (Table 1). </w:t>
      </w:r>
    </w:p>
    <w:p w14:paraId="398A4B38" w14:textId="00454A6B" w:rsidR="002234C1" w:rsidRPr="00013472" w:rsidRDefault="002234C1" w:rsidP="002234C1">
      <w:pPr>
        <w:pStyle w:val="Heading3"/>
        <w:spacing w:line="480" w:lineRule="auto"/>
        <w:rPr>
          <w:lang w:val="en-US"/>
        </w:rPr>
      </w:pPr>
      <w:r w:rsidRPr="00013472">
        <w:rPr>
          <w:lang w:val="en-US"/>
        </w:rPr>
        <w:t xml:space="preserve">Clinical features </w:t>
      </w:r>
    </w:p>
    <w:p w14:paraId="09746E5A" w14:textId="41D189ED" w:rsidR="002234C1" w:rsidRPr="00013472" w:rsidRDefault="007D1B47" w:rsidP="002234C1">
      <w:pPr>
        <w:spacing w:line="480" w:lineRule="auto"/>
        <w:rPr>
          <w:lang w:val="en-US"/>
        </w:rPr>
      </w:pPr>
      <w:r w:rsidRPr="00013472">
        <w:rPr>
          <w:lang w:val="en-US"/>
        </w:rPr>
        <w:t>Of the 261 patients, 137 (52%) were men and 124 (48</w:t>
      </w:r>
      <w:r w:rsidR="002234C1" w:rsidRPr="00013472">
        <w:rPr>
          <w:lang w:val="en-US"/>
        </w:rPr>
        <w:t>%) were women (</w:t>
      </w:r>
      <w:r w:rsidR="00E97F69" w:rsidRPr="00013472">
        <w:rPr>
          <w:lang w:val="en-US"/>
        </w:rPr>
        <w:t>Table</w:t>
      </w:r>
      <w:r w:rsidR="002234C1" w:rsidRPr="00013472">
        <w:rPr>
          <w:lang w:val="en-US"/>
        </w:rPr>
        <w:t xml:space="preserve">s 1 and 2). The median age was 58 </w:t>
      </w:r>
      <w:r w:rsidR="000120A9" w:rsidRPr="00013472">
        <w:rPr>
          <w:lang w:val="en-US"/>
        </w:rPr>
        <w:t>years (range 12-100 years)</w:t>
      </w:r>
      <w:r w:rsidR="002234C1" w:rsidRPr="00013472">
        <w:rPr>
          <w:lang w:val="en-US"/>
        </w:rPr>
        <w:t xml:space="preserve"> (</w:t>
      </w:r>
      <w:r w:rsidR="00E97F69" w:rsidRPr="00013472">
        <w:rPr>
          <w:lang w:val="en-US"/>
        </w:rPr>
        <w:t>Table</w:t>
      </w:r>
      <w:r w:rsidR="002234C1" w:rsidRPr="00013472">
        <w:rPr>
          <w:lang w:val="en-US"/>
        </w:rPr>
        <w:t xml:space="preserve">s 1 and 2). Median age and male-to-female ratio differed between eye cancer centers </w:t>
      </w:r>
      <w:r w:rsidR="00EC0B6D" w:rsidRPr="00013472">
        <w:rPr>
          <w:lang w:val="en-US"/>
        </w:rPr>
        <w:t xml:space="preserve">and lymphoma subtypes </w:t>
      </w:r>
      <w:r w:rsidR="002234C1" w:rsidRPr="00013472">
        <w:rPr>
          <w:lang w:val="en-US"/>
        </w:rPr>
        <w:t>(</w:t>
      </w:r>
      <w:r w:rsidR="00E97F69" w:rsidRPr="00013472">
        <w:rPr>
          <w:lang w:val="en-US"/>
        </w:rPr>
        <w:t>Table</w:t>
      </w:r>
      <w:r w:rsidR="002234C1" w:rsidRPr="00013472">
        <w:rPr>
          <w:lang w:val="en-US"/>
        </w:rPr>
        <w:t xml:space="preserve"> 1). </w:t>
      </w:r>
      <w:r w:rsidR="00D616EF" w:rsidRPr="00013472">
        <w:rPr>
          <w:lang w:val="en-US"/>
        </w:rPr>
        <w:t>M</w:t>
      </w:r>
      <w:r w:rsidR="000120A9" w:rsidRPr="00013472">
        <w:rPr>
          <w:lang w:val="en-US"/>
        </w:rPr>
        <w:t>en predominated in EMZL (56%</w:t>
      </w:r>
      <w:r w:rsidR="00795454" w:rsidRPr="00013472">
        <w:rPr>
          <w:lang w:val="en-US"/>
        </w:rPr>
        <w:t>), whereas women</w:t>
      </w:r>
      <w:r w:rsidR="000120A9" w:rsidRPr="00013472">
        <w:rPr>
          <w:lang w:val="en-US"/>
        </w:rPr>
        <w:t xml:space="preserve"> predominated in FL (62%), DLBCL (58%</w:t>
      </w:r>
      <w:r w:rsidR="00D616EF" w:rsidRPr="00013472">
        <w:rPr>
          <w:lang w:val="en-US"/>
        </w:rPr>
        <w:t>), and an almost equal distrib</w:t>
      </w:r>
      <w:r w:rsidR="000120A9" w:rsidRPr="00013472">
        <w:rPr>
          <w:lang w:val="en-US"/>
        </w:rPr>
        <w:t>ution was seen in MCL (53% females</w:t>
      </w:r>
      <w:r w:rsidR="00D616EF" w:rsidRPr="00013472">
        <w:rPr>
          <w:lang w:val="en-US"/>
        </w:rPr>
        <w:t>) (</w:t>
      </w:r>
      <w:r w:rsidR="00E97F69" w:rsidRPr="00013472">
        <w:rPr>
          <w:lang w:val="en-US"/>
        </w:rPr>
        <w:t>Table</w:t>
      </w:r>
      <w:r w:rsidR="00D616EF" w:rsidRPr="00013472">
        <w:rPr>
          <w:lang w:val="en-US"/>
        </w:rPr>
        <w:t xml:space="preserve">s 1 and 2). </w:t>
      </w:r>
      <w:r w:rsidRPr="00013472">
        <w:rPr>
          <w:lang w:val="en-US"/>
        </w:rPr>
        <w:t xml:space="preserve">183 </w:t>
      </w:r>
      <w:r w:rsidRPr="00013472">
        <w:rPr>
          <w:lang w:val="en-US"/>
        </w:rPr>
        <w:lastRenderedPageBreak/>
        <w:t>patients (71</w:t>
      </w:r>
      <w:r w:rsidR="002234C1" w:rsidRPr="00013472">
        <w:rPr>
          <w:lang w:val="en-US"/>
        </w:rPr>
        <w:t>%) were diagnosed as having primary lymphoma, 31 patients (12%) had systemic lymphoma with secondary lacrimal gland man</w:t>
      </w:r>
      <w:r w:rsidRPr="00013472">
        <w:rPr>
          <w:lang w:val="en-US"/>
        </w:rPr>
        <w:t>ifestation, and 45 patients (17</w:t>
      </w:r>
      <w:r w:rsidR="002234C1" w:rsidRPr="00013472">
        <w:rPr>
          <w:lang w:val="en-US"/>
        </w:rPr>
        <w:t>%) had relapse of lymphoma in the lacrimal gland (</w:t>
      </w:r>
      <w:r w:rsidR="00E97F69" w:rsidRPr="00013472">
        <w:rPr>
          <w:lang w:val="en-US"/>
        </w:rPr>
        <w:t>Table</w:t>
      </w:r>
      <w:r w:rsidR="002234C1" w:rsidRPr="00013472">
        <w:rPr>
          <w:lang w:val="en-US"/>
        </w:rPr>
        <w:t xml:space="preserve"> 2). </w:t>
      </w:r>
    </w:p>
    <w:p w14:paraId="52BA1F5A" w14:textId="77777777" w:rsidR="002234C1" w:rsidRPr="00013472" w:rsidRDefault="002234C1" w:rsidP="002234C1">
      <w:pPr>
        <w:spacing w:line="480" w:lineRule="auto"/>
        <w:rPr>
          <w:lang w:val="en-US"/>
        </w:rPr>
      </w:pPr>
    </w:p>
    <w:p w14:paraId="4951A36D" w14:textId="47A37A3A" w:rsidR="002234C1" w:rsidRPr="00013472" w:rsidRDefault="007D1B47" w:rsidP="002234C1">
      <w:pPr>
        <w:spacing w:line="480" w:lineRule="auto"/>
        <w:rPr>
          <w:lang w:val="en-US"/>
        </w:rPr>
      </w:pPr>
      <w:r w:rsidRPr="00013472">
        <w:rPr>
          <w:lang w:val="en-US"/>
        </w:rPr>
        <w:t>199 patients (79</w:t>
      </w:r>
      <w:r w:rsidR="002234C1" w:rsidRPr="00013472">
        <w:rPr>
          <w:lang w:val="en-US"/>
        </w:rPr>
        <w:t xml:space="preserve">%) were classified as having Ann Arbor </w:t>
      </w:r>
      <w:r w:rsidR="00FC0D18" w:rsidRPr="00013472">
        <w:rPr>
          <w:lang w:val="en-US"/>
        </w:rPr>
        <w:t>stage I</w:t>
      </w:r>
      <w:r w:rsidR="00DE4816" w:rsidRPr="00013472">
        <w:rPr>
          <w:lang w:val="en-US"/>
        </w:rPr>
        <w:t>E</w:t>
      </w:r>
      <w:r w:rsidR="00FC0D18" w:rsidRPr="00013472">
        <w:rPr>
          <w:lang w:val="en-US"/>
        </w:rPr>
        <w:t xml:space="preserve"> disease,</w:t>
      </w:r>
      <w:r w:rsidRPr="00013472">
        <w:rPr>
          <w:lang w:val="en-US"/>
        </w:rPr>
        <w:t xml:space="preserve"> 16 patients (6</w:t>
      </w:r>
      <w:r w:rsidR="002234C1" w:rsidRPr="00013472">
        <w:rPr>
          <w:lang w:val="en-US"/>
        </w:rPr>
        <w:t xml:space="preserve">%) had </w:t>
      </w:r>
      <w:r w:rsidRPr="00013472">
        <w:rPr>
          <w:lang w:val="en-US"/>
        </w:rPr>
        <w:t>stage II</w:t>
      </w:r>
      <w:r w:rsidR="00DE4816" w:rsidRPr="00013472">
        <w:rPr>
          <w:lang w:val="en-US"/>
        </w:rPr>
        <w:t>E</w:t>
      </w:r>
      <w:r w:rsidRPr="00013472">
        <w:rPr>
          <w:lang w:val="en-US"/>
        </w:rPr>
        <w:t xml:space="preserve"> disease, 6 patients (2</w:t>
      </w:r>
      <w:r w:rsidR="002234C1" w:rsidRPr="00013472">
        <w:rPr>
          <w:lang w:val="en-US"/>
        </w:rPr>
        <w:t xml:space="preserve">%) had stage </w:t>
      </w:r>
      <w:r w:rsidRPr="00013472">
        <w:rPr>
          <w:lang w:val="en-US"/>
        </w:rPr>
        <w:t>III</w:t>
      </w:r>
      <w:r w:rsidR="00DE4816" w:rsidRPr="00013472">
        <w:rPr>
          <w:lang w:val="en-US"/>
        </w:rPr>
        <w:t>E</w:t>
      </w:r>
      <w:r w:rsidRPr="00013472">
        <w:rPr>
          <w:lang w:val="en-US"/>
        </w:rPr>
        <w:t xml:space="preserve"> disease</w:t>
      </w:r>
      <w:r w:rsidR="00A63697" w:rsidRPr="00013472">
        <w:rPr>
          <w:lang w:val="en-US"/>
        </w:rPr>
        <w:t>,</w:t>
      </w:r>
      <w:r w:rsidRPr="00013472">
        <w:rPr>
          <w:lang w:val="en-US"/>
        </w:rPr>
        <w:t xml:space="preserve"> and 32 patients (13</w:t>
      </w:r>
      <w:r w:rsidR="002234C1" w:rsidRPr="00013472">
        <w:rPr>
          <w:lang w:val="en-US"/>
        </w:rPr>
        <w:t>%) had stage IV</w:t>
      </w:r>
      <w:r w:rsidR="00DE4816" w:rsidRPr="00013472">
        <w:rPr>
          <w:lang w:val="en-US"/>
        </w:rPr>
        <w:t>E</w:t>
      </w:r>
      <w:r w:rsidR="002234C1" w:rsidRPr="00013472">
        <w:rPr>
          <w:lang w:val="en-US"/>
        </w:rPr>
        <w:t xml:space="preserve"> disease (</w:t>
      </w:r>
      <w:r w:rsidR="00E97F69" w:rsidRPr="00013472">
        <w:rPr>
          <w:lang w:val="en-US"/>
        </w:rPr>
        <w:t>Table</w:t>
      </w:r>
      <w:r w:rsidR="002234C1" w:rsidRPr="00013472">
        <w:rPr>
          <w:lang w:val="en-US"/>
        </w:rPr>
        <w:t xml:space="preserve"> 2). </w:t>
      </w:r>
      <w:r w:rsidR="00EC0B6D" w:rsidRPr="00013472">
        <w:rPr>
          <w:lang w:val="en-US"/>
        </w:rPr>
        <w:t>All but one patient</w:t>
      </w:r>
      <w:r w:rsidR="002234C1" w:rsidRPr="00013472">
        <w:rPr>
          <w:lang w:val="en-US"/>
        </w:rPr>
        <w:t xml:space="preserve"> with primary lacrimal gland lymphoma were classified as having </w:t>
      </w:r>
      <w:r w:rsidRPr="00013472">
        <w:rPr>
          <w:lang w:val="en-US"/>
        </w:rPr>
        <w:t>TNM stage T2 (n=182, 99</w:t>
      </w:r>
      <w:r w:rsidR="00EC0B6D" w:rsidRPr="00013472">
        <w:rPr>
          <w:lang w:val="en-US"/>
        </w:rPr>
        <w:t xml:space="preserve">%) </w:t>
      </w:r>
      <w:r w:rsidR="000120A9" w:rsidRPr="00013472">
        <w:rPr>
          <w:lang w:val="en-US"/>
        </w:rPr>
        <w:t>and one patient had TNM stage T4 (Table 2)</w:t>
      </w:r>
      <w:r w:rsidR="006E52C4" w:rsidRPr="00013472">
        <w:rPr>
          <w:lang w:val="en-US"/>
        </w:rPr>
        <w:t xml:space="preserve">. </w:t>
      </w:r>
      <w:r w:rsidR="002234C1" w:rsidRPr="00013472">
        <w:rPr>
          <w:lang w:val="en-US"/>
        </w:rPr>
        <w:t xml:space="preserve">TNM stage T1 is per definition not possible in lymphomas of the lacrimal gland </w:t>
      </w:r>
      <w:r w:rsidR="002234C1" w:rsidRPr="00013472">
        <w:rPr>
          <w:lang w:val="en-US"/>
        </w:rPr>
        <w:fldChar w:fldCharType="begin" w:fldLock="1"/>
      </w:r>
      <w:r w:rsidR="00F8490D" w:rsidRPr="00013472">
        <w:rPr>
          <w:lang w:val="en-US"/>
        </w:rPr>
        <w:instrText>ADDIN CSL_CITATION {"citationItems":[{"id":"ITEM-1","itemData":{"ISBN":"9783319406176","abstract":"Eighth edition. Previous edition published 2010. \"The AJCC Cancer Staging Manual is used by physicians and health care professionals throughout the world to facilitate the uniform description and reporting of neoplastic diseases. Proper classification and staging of cancer is essential for the physician to assign proper treatment, evaluate results of management and clinical trials, and to serve as the standard for local, regional and international reporting on cancer incidence and outcome. -- Significantly expanded and developed by international disease site expert panels, the Eighth Edition AJCC Cancer Staging Manual brings together all the currently available knowledge on staging of cancer at various anatomic sites. In this edition, evidence-based TNM staging is supplemented, as appropriate, by selected molecular markers and newly acquired insights into the molecular underpinnings of cancer. This edition features 12 entirely new staging systems, a wide range of changed or new staging definitions, and a refined emphasis on a personalized-medicine approach. To enhance the print and electronic usability of the cancer staging forms, they are now available exclusively for access and downloading at www.cancerstaging.org. -- The Eighth Edition AJCC Cancer Staging Manual remains the gold standard reference for oncologists, surgeons, pathologists, radiologists, cancer registrars and medical professionals world-wide to ensure that all those caring for cancer patients are fully versed in the language of cancer staging.\" -- from back of book. PART 1. General Information on Cancer Staging and End-Results Reporting -- PART 2. Head and Neck -- PART 3. Upper Gastrointestinal Tract -- PART 4. Lower Gastrointestinal Tract -- PART 5. Hepatobiliary System -- PART 6. Neuroendocrine Tumors -- PART 7. Thorax -- PART 8. Bone -- PART 9. Soft Tissue Sarcoma -- PART 10. Skin -- PART 11. Breast -- PART 12. Female Reproductive Organs -- PART 13. Male Genital Organs -- PART 14. Urinary Tract -- PART 15. Opthalmic Sites -- PART 16. Central Nervous System -- PART 17. Endocrine System -- PART 18. Hematologic Malignancies.","author":[{"dropping-particle":"","family":"Amin","given":"Mahul B.","non-dropping-particle":"","parse-names":false,"suffix":""},{"dropping-particle":"","family":"Edge","given":"Stephen B.","non-dropping-particle":"","parse-names":false,"suffix":""},{"dropping-particle":"","family":"American Joint Committee on Cancer","given":"","non-dropping-particle":"","parse-names":false,"suffix":""}],"id":"ITEM-1","issued":{"date-parts":[["0"]]},"number-of-pages":"1024","title":"AJCC cancer staging manual","type":"book"},"uris":["http://www.mendeley.com/documents/?uuid=153d468e-f3b3-30d2-96f3-d2edaef01097"]}],"mendeley":{"formattedCitation":"(8)","plainTextFormattedCitation":"(8)","previouslyFormattedCitation":"(8)"},"properties":{"noteIndex":0},"schema":"https://github.com/citation-style-language/schema/raw/master/csl-citation.json"}</w:instrText>
      </w:r>
      <w:r w:rsidR="002234C1" w:rsidRPr="00013472">
        <w:rPr>
          <w:lang w:val="en-US"/>
        </w:rPr>
        <w:fldChar w:fldCharType="separate"/>
      </w:r>
      <w:r w:rsidR="00D53D03" w:rsidRPr="00013472">
        <w:rPr>
          <w:noProof/>
          <w:lang w:val="en-US"/>
        </w:rPr>
        <w:t>(8)</w:t>
      </w:r>
      <w:r w:rsidR="002234C1" w:rsidRPr="00013472">
        <w:rPr>
          <w:lang w:val="en-US"/>
        </w:rPr>
        <w:fldChar w:fldCharType="end"/>
      </w:r>
      <w:r w:rsidR="002234C1" w:rsidRPr="00013472">
        <w:rPr>
          <w:lang w:val="en-US"/>
        </w:rPr>
        <w:t>. In 87</w:t>
      </w:r>
      <w:r w:rsidR="001C3674" w:rsidRPr="00013472">
        <w:rPr>
          <w:lang w:val="en-US"/>
        </w:rPr>
        <w:t>%</w:t>
      </w:r>
      <w:r w:rsidR="002234C1" w:rsidRPr="00013472">
        <w:rPr>
          <w:lang w:val="en-US"/>
        </w:rPr>
        <w:t xml:space="preserve"> of patients (n=228) the lacrimal gland lymp</w:t>
      </w:r>
      <w:r w:rsidRPr="00013472">
        <w:rPr>
          <w:lang w:val="en-US"/>
        </w:rPr>
        <w:t>homa was unilateral, whereas 13</w:t>
      </w:r>
      <w:r w:rsidR="002234C1" w:rsidRPr="00013472">
        <w:rPr>
          <w:lang w:val="en-US"/>
        </w:rPr>
        <w:t>% of patients (</w:t>
      </w:r>
      <w:r w:rsidR="00C33CEE" w:rsidRPr="00013472">
        <w:rPr>
          <w:lang w:val="en-US"/>
        </w:rPr>
        <w:t>n=</w:t>
      </w:r>
      <w:r w:rsidR="002234C1" w:rsidRPr="00013472">
        <w:rPr>
          <w:lang w:val="en-US"/>
        </w:rPr>
        <w:t>33) had bilateral affection of the lacrimal gland (</w:t>
      </w:r>
      <w:r w:rsidR="00E97F69" w:rsidRPr="00013472">
        <w:rPr>
          <w:lang w:val="en-US"/>
        </w:rPr>
        <w:t>Table</w:t>
      </w:r>
      <w:r w:rsidR="002234C1" w:rsidRPr="00013472">
        <w:rPr>
          <w:lang w:val="en-US"/>
        </w:rPr>
        <w:t xml:space="preserve"> 2). The most common site of local invasio</w:t>
      </w:r>
      <w:r w:rsidRPr="00013472">
        <w:rPr>
          <w:lang w:val="en-US"/>
        </w:rPr>
        <w:t xml:space="preserve">n was the </w:t>
      </w:r>
      <w:r w:rsidR="0058783B" w:rsidRPr="00013472">
        <w:rPr>
          <w:lang w:val="en-US"/>
        </w:rPr>
        <w:t xml:space="preserve">orbit </w:t>
      </w:r>
      <w:r w:rsidRPr="00013472">
        <w:rPr>
          <w:lang w:val="en-US"/>
        </w:rPr>
        <w:t>(n=19</w:t>
      </w:r>
      <w:r w:rsidR="0058783B" w:rsidRPr="00013472">
        <w:rPr>
          <w:lang w:val="en-US"/>
        </w:rPr>
        <w:t>1, 73</w:t>
      </w:r>
      <w:r w:rsidR="00BA2E0C" w:rsidRPr="00013472">
        <w:rPr>
          <w:lang w:val="en-US"/>
        </w:rPr>
        <w:t xml:space="preserve">%) </w:t>
      </w:r>
      <w:r w:rsidR="002234C1" w:rsidRPr="00013472">
        <w:rPr>
          <w:lang w:val="en-US"/>
        </w:rPr>
        <w:t>(</w:t>
      </w:r>
      <w:r w:rsidR="00E97F69" w:rsidRPr="00013472">
        <w:rPr>
          <w:lang w:val="en-US"/>
        </w:rPr>
        <w:t>Table</w:t>
      </w:r>
      <w:r w:rsidR="002234C1" w:rsidRPr="00013472">
        <w:rPr>
          <w:lang w:val="en-US"/>
        </w:rPr>
        <w:t xml:space="preserve"> 3). </w:t>
      </w:r>
    </w:p>
    <w:p w14:paraId="5BF75D5E" w14:textId="77777777" w:rsidR="002234C1" w:rsidRPr="00013472" w:rsidRDefault="002234C1" w:rsidP="002234C1">
      <w:pPr>
        <w:spacing w:line="480" w:lineRule="auto"/>
        <w:rPr>
          <w:lang w:val="en-US"/>
        </w:rPr>
      </w:pPr>
    </w:p>
    <w:p w14:paraId="3BC5D802" w14:textId="2AC35CD2" w:rsidR="002234C1" w:rsidRPr="00013472" w:rsidRDefault="002234C1" w:rsidP="002234C1">
      <w:pPr>
        <w:spacing w:line="480" w:lineRule="auto"/>
        <w:rPr>
          <w:lang w:val="en-US"/>
        </w:rPr>
      </w:pPr>
      <w:r w:rsidRPr="00013472">
        <w:rPr>
          <w:lang w:val="en-US"/>
        </w:rPr>
        <w:t>The most common symptoms reported from the ocular adne</w:t>
      </w:r>
      <w:r w:rsidR="007D1B47" w:rsidRPr="00013472">
        <w:rPr>
          <w:lang w:val="en-US"/>
        </w:rPr>
        <w:t xml:space="preserve">xal region were </w:t>
      </w:r>
      <w:r w:rsidR="00BA2E0C" w:rsidRPr="00013472">
        <w:rPr>
          <w:lang w:val="en-US"/>
        </w:rPr>
        <w:t xml:space="preserve">a visible or palpable </w:t>
      </w:r>
      <w:r w:rsidR="007D1B47" w:rsidRPr="00013472">
        <w:rPr>
          <w:lang w:val="en-US"/>
        </w:rPr>
        <w:t>mass</w:t>
      </w:r>
      <w:r w:rsidR="00BA2E0C" w:rsidRPr="00013472">
        <w:rPr>
          <w:lang w:val="en-US"/>
        </w:rPr>
        <w:t xml:space="preserve"> of the lacrimal gland</w:t>
      </w:r>
      <w:r w:rsidR="007D1B47" w:rsidRPr="00013472">
        <w:rPr>
          <w:lang w:val="en-US"/>
        </w:rPr>
        <w:t xml:space="preserve"> (n=126, 53</w:t>
      </w:r>
      <w:r w:rsidRPr="00013472">
        <w:rPr>
          <w:lang w:val="en-US"/>
        </w:rPr>
        <w:t xml:space="preserve">%), </w:t>
      </w:r>
      <w:r w:rsidR="007D1B47" w:rsidRPr="00013472">
        <w:rPr>
          <w:lang w:val="en-US"/>
        </w:rPr>
        <w:t>periorbital swelling (n=118, 50%)</w:t>
      </w:r>
      <w:r w:rsidR="00A63697" w:rsidRPr="00013472">
        <w:rPr>
          <w:lang w:val="en-US"/>
        </w:rPr>
        <w:t>,</w:t>
      </w:r>
      <w:r w:rsidR="007D1B47" w:rsidRPr="00013472">
        <w:rPr>
          <w:lang w:val="en-US"/>
        </w:rPr>
        <w:t xml:space="preserve"> and</w:t>
      </w:r>
      <w:r w:rsidR="007151C1" w:rsidRPr="00013472">
        <w:rPr>
          <w:lang w:val="en-US"/>
        </w:rPr>
        <w:t>/or</w:t>
      </w:r>
      <w:r w:rsidR="007D1B47" w:rsidRPr="00013472">
        <w:rPr>
          <w:lang w:val="en-US"/>
        </w:rPr>
        <w:t xml:space="preserve"> proptosis (n=112, 47</w:t>
      </w:r>
      <w:r w:rsidRPr="00013472">
        <w:rPr>
          <w:lang w:val="en-US"/>
        </w:rPr>
        <w:t>%) (</w:t>
      </w:r>
      <w:r w:rsidR="00E97F69" w:rsidRPr="00013472">
        <w:rPr>
          <w:lang w:val="en-US"/>
        </w:rPr>
        <w:t>Table</w:t>
      </w:r>
      <w:r w:rsidRPr="00013472">
        <w:rPr>
          <w:lang w:val="en-US"/>
        </w:rPr>
        <w:t xml:space="preserve"> 3). </w:t>
      </w:r>
      <w:r w:rsidR="00533009" w:rsidRPr="00013472">
        <w:rPr>
          <w:lang w:val="en-US"/>
        </w:rPr>
        <w:t>The median s</w:t>
      </w:r>
      <w:r w:rsidRPr="00013472">
        <w:rPr>
          <w:lang w:val="en-US"/>
        </w:rPr>
        <w:t>ymptom duration</w:t>
      </w:r>
      <w:r w:rsidR="00533009" w:rsidRPr="00013472">
        <w:rPr>
          <w:lang w:val="en-US"/>
        </w:rPr>
        <w:t xml:space="preserve"> was 4 months (range 0-96 months).</w:t>
      </w:r>
      <w:r w:rsidRPr="00013472">
        <w:rPr>
          <w:lang w:val="en-US"/>
        </w:rPr>
        <w:t xml:space="preserve"> B-symptoms (i.e. fever, night sweats, and weight loss)</w:t>
      </w:r>
      <w:r w:rsidR="001C3674" w:rsidRPr="00013472">
        <w:rPr>
          <w:lang w:val="en-US"/>
        </w:rPr>
        <w:t xml:space="preserve"> were reported by 6 patients (3</w:t>
      </w:r>
      <w:r w:rsidRPr="00013472">
        <w:rPr>
          <w:lang w:val="en-US"/>
        </w:rPr>
        <w:t>%) of whom two were diagnosed as having advanced stage disease (Ann Arbor stage III or IV). The most common clinical signs were an objective mas</w:t>
      </w:r>
      <w:r w:rsidR="001C3674" w:rsidRPr="00013472">
        <w:rPr>
          <w:lang w:val="en-US"/>
        </w:rPr>
        <w:t xml:space="preserve">s </w:t>
      </w:r>
      <w:r w:rsidR="00533009" w:rsidRPr="00013472">
        <w:rPr>
          <w:lang w:val="en-US"/>
        </w:rPr>
        <w:t xml:space="preserve">of the lacrimal gland </w:t>
      </w:r>
      <w:r w:rsidR="001C3674" w:rsidRPr="00013472">
        <w:rPr>
          <w:lang w:val="en-US"/>
        </w:rPr>
        <w:t>(n=178, 75%), proptosis (n=128, 54</w:t>
      </w:r>
      <w:r w:rsidRPr="00013472">
        <w:rPr>
          <w:lang w:val="en-US"/>
        </w:rPr>
        <w:t>%), displ</w:t>
      </w:r>
      <w:r w:rsidR="001C3674" w:rsidRPr="00013472">
        <w:rPr>
          <w:lang w:val="en-US"/>
        </w:rPr>
        <w:t>acement of the eyeball (127, 54</w:t>
      </w:r>
      <w:r w:rsidRPr="00013472">
        <w:rPr>
          <w:lang w:val="en-US"/>
        </w:rPr>
        <w:t>%), and</w:t>
      </w:r>
      <w:r w:rsidR="007151C1" w:rsidRPr="00013472">
        <w:rPr>
          <w:lang w:val="en-US"/>
        </w:rPr>
        <w:t>/or</w:t>
      </w:r>
      <w:r w:rsidRPr="00013472">
        <w:rPr>
          <w:lang w:val="en-US"/>
        </w:rPr>
        <w:t xml:space="preserve"> objectively re</w:t>
      </w:r>
      <w:r w:rsidR="001C3674" w:rsidRPr="00013472">
        <w:rPr>
          <w:lang w:val="en-US"/>
        </w:rPr>
        <w:t>stricted eye movement (n=94, 40</w:t>
      </w:r>
      <w:r w:rsidRPr="00013472">
        <w:rPr>
          <w:lang w:val="en-US"/>
        </w:rPr>
        <w:t>%) (</w:t>
      </w:r>
      <w:r w:rsidR="00E97F69" w:rsidRPr="00013472">
        <w:rPr>
          <w:lang w:val="en-US"/>
        </w:rPr>
        <w:t>Table</w:t>
      </w:r>
      <w:r w:rsidRPr="00013472">
        <w:rPr>
          <w:lang w:val="en-US"/>
        </w:rPr>
        <w:t xml:space="preserve"> 3). </w:t>
      </w:r>
    </w:p>
    <w:p w14:paraId="2FFC9E0B" w14:textId="1DAC7ECA" w:rsidR="002234C1" w:rsidRPr="00013472" w:rsidRDefault="002234C1" w:rsidP="002234C1">
      <w:pPr>
        <w:pStyle w:val="Heading3"/>
        <w:spacing w:line="480" w:lineRule="auto"/>
        <w:rPr>
          <w:lang w:val="en-US"/>
        </w:rPr>
      </w:pPr>
      <w:r w:rsidRPr="00013472">
        <w:rPr>
          <w:lang w:val="en-US"/>
        </w:rPr>
        <w:lastRenderedPageBreak/>
        <w:t>Treatment outcome and survival</w:t>
      </w:r>
    </w:p>
    <w:p w14:paraId="086A6B04" w14:textId="2B9EBCE1" w:rsidR="002234C1" w:rsidRPr="00013472" w:rsidRDefault="00553C7F" w:rsidP="002234C1">
      <w:pPr>
        <w:spacing w:line="480" w:lineRule="auto"/>
        <w:rPr>
          <w:lang w:val="en-US"/>
        </w:rPr>
      </w:pPr>
      <w:r w:rsidRPr="00013472">
        <w:rPr>
          <w:lang w:val="en-US"/>
        </w:rPr>
        <w:t>Treatment regimen</w:t>
      </w:r>
      <w:r w:rsidR="002234C1" w:rsidRPr="00013472">
        <w:rPr>
          <w:lang w:val="en-US"/>
        </w:rPr>
        <w:t xml:space="preserve">s of all lymphoma subtypes are listed in </w:t>
      </w:r>
      <w:r w:rsidR="00E97F69" w:rsidRPr="00013472">
        <w:rPr>
          <w:lang w:val="en-US"/>
        </w:rPr>
        <w:t>Table</w:t>
      </w:r>
      <w:r w:rsidR="002234C1" w:rsidRPr="00013472">
        <w:rPr>
          <w:lang w:val="en-US"/>
        </w:rPr>
        <w:t xml:space="preserve"> 4. </w:t>
      </w:r>
      <w:r w:rsidR="000C45E2" w:rsidRPr="00013472">
        <w:rPr>
          <w:lang w:val="en-US"/>
        </w:rPr>
        <w:t>D</w:t>
      </w:r>
      <w:r w:rsidR="00253A37" w:rsidRPr="00013472">
        <w:rPr>
          <w:lang w:val="en-US"/>
        </w:rPr>
        <w:t xml:space="preserve">isease status at last </w:t>
      </w:r>
      <w:r w:rsidR="000120A9" w:rsidRPr="00013472">
        <w:rPr>
          <w:lang w:val="en-US"/>
        </w:rPr>
        <w:t>follow-up</w:t>
      </w:r>
      <w:r w:rsidR="00253A37" w:rsidRPr="00013472">
        <w:rPr>
          <w:lang w:val="en-US"/>
        </w:rPr>
        <w:t xml:space="preserve"> was available for 99% of patients (n=260)</w:t>
      </w:r>
      <w:r w:rsidR="00A63697" w:rsidRPr="00013472">
        <w:rPr>
          <w:lang w:val="en-US"/>
        </w:rPr>
        <w:t>,</w:t>
      </w:r>
      <w:r w:rsidR="00621FF1" w:rsidRPr="00013472">
        <w:rPr>
          <w:lang w:val="en-US"/>
        </w:rPr>
        <w:t xml:space="preserve"> and the median follow-up period was 18 months (range 0-372 months)</w:t>
      </w:r>
      <w:r w:rsidR="00253A37" w:rsidRPr="00013472">
        <w:rPr>
          <w:lang w:val="en-US"/>
        </w:rPr>
        <w:t xml:space="preserve">. </w:t>
      </w:r>
      <w:r w:rsidR="00533009" w:rsidRPr="00013472">
        <w:rPr>
          <w:lang w:val="en-US"/>
        </w:rPr>
        <w:t>5-</w:t>
      </w:r>
      <w:r w:rsidR="002234C1" w:rsidRPr="00013472">
        <w:rPr>
          <w:lang w:val="en-US"/>
        </w:rPr>
        <w:t xml:space="preserve"> and 10-year </w:t>
      </w:r>
      <w:r w:rsidR="00C26A89" w:rsidRPr="00013472">
        <w:rPr>
          <w:lang w:val="en-US"/>
        </w:rPr>
        <w:t>OS</w:t>
      </w:r>
      <w:r w:rsidR="002234C1" w:rsidRPr="00013472">
        <w:rPr>
          <w:lang w:val="en-US"/>
        </w:rPr>
        <w:t xml:space="preserve"> for the entire group was</w:t>
      </w:r>
      <w:r w:rsidR="001C3674" w:rsidRPr="00013472">
        <w:rPr>
          <w:lang w:val="en-US"/>
        </w:rPr>
        <w:t xml:space="preserve"> 73.8</w:t>
      </w:r>
      <w:r w:rsidR="002234C1" w:rsidRPr="00013472">
        <w:rPr>
          <w:lang w:val="en-US"/>
        </w:rPr>
        <w:t>% and 57.2%</w:t>
      </w:r>
      <w:r w:rsidR="00EC0B6D" w:rsidRPr="00013472">
        <w:rPr>
          <w:lang w:val="en-US"/>
        </w:rPr>
        <w:t>,</w:t>
      </w:r>
      <w:r w:rsidR="002234C1" w:rsidRPr="00013472">
        <w:rPr>
          <w:lang w:val="en-US"/>
        </w:rPr>
        <w:t xml:space="preserve"> respecti</w:t>
      </w:r>
      <w:r w:rsidR="001C3674" w:rsidRPr="00013472">
        <w:rPr>
          <w:lang w:val="en-US"/>
        </w:rPr>
        <w:t>vely (median OS, 147 months; 95%</w:t>
      </w:r>
      <w:r w:rsidR="002234C1" w:rsidRPr="00013472">
        <w:rPr>
          <w:lang w:val="en-US"/>
        </w:rPr>
        <w:t xml:space="preserve"> confidence interval [CI] 111-183 months). 5- and 10-year, </w:t>
      </w:r>
      <w:r w:rsidR="00C26A89" w:rsidRPr="00013472">
        <w:rPr>
          <w:lang w:val="en-US"/>
        </w:rPr>
        <w:t>DSS</w:t>
      </w:r>
      <w:r w:rsidR="001C3674" w:rsidRPr="00013472">
        <w:rPr>
          <w:lang w:val="en-US"/>
        </w:rPr>
        <w:t xml:space="preserve"> for the entire group was 87.5</w:t>
      </w:r>
      <w:r w:rsidR="002234C1" w:rsidRPr="00013472">
        <w:rPr>
          <w:lang w:val="en-US"/>
        </w:rPr>
        <w:t>%</w:t>
      </w:r>
      <w:r w:rsidR="001C3674" w:rsidRPr="00013472">
        <w:rPr>
          <w:lang w:val="en-US"/>
        </w:rPr>
        <w:t xml:space="preserve"> and 71.1</w:t>
      </w:r>
      <w:r w:rsidR="002234C1" w:rsidRPr="00013472">
        <w:rPr>
          <w:lang w:val="en-US"/>
        </w:rPr>
        <w:t>%</w:t>
      </w:r>
      <w:r w:rsidR="008536CF" w:rsidRPr="00013472">
        <w:rPr>
          <w:lang w:val="en-US"/>
        </w:rPr>
        <w:t>,</w:t>
      </w:r>
      <w:r w:rsidR="002234C1" w:rsidRPr="00013472">
        <w:rPr>
          <w:lang w:val="en-US"/>
        </w:rPr>
        <w:t xml:space="preserve"> respectively.</w:t>
      </w:r>
    </w:p>
    <w:p w14:paraId="7598367E" w14:textId="77777777" w:rsidR="002234C1" w:rsidRPr="00013472" w:rsidRDefault="002234C1" w:rsidP="002234C1">
      <w:pPr>
        <w:spacing w:line="480" w:lineRule="auto"/>
        <w:rPr>
          <w:lang w:val="en-US"/>
        </w:rPr>
      </w:pPr>
      <w:r w:rsidRPr="00013472">
        <w:rPr>
          <w:lang w:val="en-US"/>
        </w:rPr>
        <w:t xml:space="preserve"> </w:t>
      </w:r>
    </w:p>
    <w:p w14:paraId="547B585A" w14:textId="0323D587" w:rsidR="00144A67" w:rsidRPr="00013472" w:rsidRDefault="002234C1" w:rsidP="00144A67">
      <w:pPr>
        <w:spacing w:line="480" w:lineRule="auto"/>
        <w:rPr>
          <w:lang w:val="en-US"/>
        </w:rPr>
      </w:pPr>
      <w:r w:rsidRPr="00013472">
        <w:rPr>
          <w:lang w:val="en-US"/>
        </w:rPr>
        <w:t xml:space="preserve">Overall survival and disease specific survival were significantly different between lymphoma subtypes (OS: </w:t>
      </w:r>
      <w:r w:rsidRPr="00013472">
        <w:rPr>
          <w:i/>
          <w:lang w:val="en-US"/>
        </w:rPr>
        <w:t>P</w:t>
      </w:r>
      <w:r w:rsidRPr="00013472">
        <w:rPr>
          <w:lang w:val="en-US"/>
        </w:rPr>
        <w:t xml:space="preserve">&lt;0.001, pooled log rank test; DSS: </w:t>
      </w:r>
      <w:r w:rsidRPr="00013472">
        <w:rPr>
          <w:i/>
          <w:lang w:val="en-US"/>
        </w:rPr>
        <w:t>P</w:t>
      </w:r>
      <w:r w:rsidRPr="00013472">
        <w:rPr>
          <w:lang w:val="en-US"/>
        </w:rPr>
        <w:t xml:space="preserve">&lt;0.001, </w:t>
      </w:r>
      <w:r w:rsidR="00D5179E" w:rsidRPr="00013472">
        <w:rPr>
          <w:lang w:val="en-US"/>
        </w:rPr>
        <w:t xml:space="preserve">pooled </w:t>
      </w:r>
      <w:r w:rsidRPr="00013472">
        <w:rPr>
          <w:lang w:val="en-US"/>
        </w:rPr>
        <w:t xml:space="preserve">log rank test). </w:t>
      </w:r>
      <w:r w:rsidR="00525638" w:rsidRPr="00013472">
        <w:rPr>
          <w:lang w:val="en-US"/>
        </w:rPr>
        <w:t xml:space="preserve">Of the four major lymphoma subtypes </w:t>
      </w:r>
      <w:r w:rsidR="00144A67" w:rsidRPr="00013472">
        <w:rPr>
          <w:lang w:val="en-US"/>
        </w:rPr>
        <w:t>EMZL had the highest DSS</w:t>
      </w:r>
      <w:r w:rsidR="00525638" w:rsidRPr="00013472">
        <w:rPr>
          <w:lang w:val="en-US"/>
        </w:rPr>
        <w:t>,</w:t>
      </w:r>
      <w:r w:rsidR="00144A67" w:rsidRPr="00013472">
        <w:rPr>
          <w:lang w:val="en-US"/>
        </w:rPr>
        <w:t xml:space="preserve"> </w:t>
      </w:r>
      <w:r w:rsidR="003056A2" w:rsidRPr="00013472">
        <w:rPr>
          <w:lang w:val="en-US"/>
        </w:rPr>
        <w:t xml:space="preserve">and the DSS of </w:t>
      </w:r>
      <w:r w:rsidRPr="00013472">
        <w:rPr>
          <w:lang w:val="en-US"/>
        </w:rPr>
        <w:t xml:space="preserve">DLBCL </w:t>
      </w:r>
      <w:r w:rsidR="003056A2" w:rsidRPr="00013472">
        <w:rPr>
          <w:lang w:val="en-US"/>
        </w:rPr>
        <w:t>was significantly lower</w:t>
      </w:r>
      <w:r w:rsidRPr="00013472">
        <w:rPr>
          <w:lang w:val="en-US"/>
        </w:rPr>
        <w:t xml:space="preserve"> compared to EMZL (</w:t>
      </w:r>
      <w:r w:rsidRPr="00013472">
        <w:rPr>
          <w:i/>
          <w:lang w:val="en-US"/>
        </w:rPr>
        <w:t>P</w:t>
      </w:r>
      <w:r w:rsidR="003056A2" w:rsidRPr="00013472">
        <w:rPr>
          <w:lang w:val="en-US"/>
        </w:rPr>
        <w:t>&lt;0.001, pairwise log rank test).</w:t>
      </w:r>
      <w:r w:rsidRPr="00013472">
        <w:rPr>
          <w:lang w:val="en-US"/>
        </w:rPr>
        <w:t xml:space="preserve"> </w:t>
      </w:r>
      <w:r w:rsidR="003056A2" w:rsidRPr="00013472">
        <w:rPr>
          <w:lang w:val="en-US"/>
        </w:rPr>
        <w:t>H</w:t>
      </w:r>
      <w:r w:rsidRPr="00013472">
        <w:rPr>
          <w:lang w:val="en-US"/>
        </w:rPr>
        <w:t>owever</w:t>
      </w:r>
      <w:r w:rsidR="003056A2" w:rsidRPr="00013472">
        <w:rPr>
          <w:lang w:val="en-US"/>
        </w:rPr>
        <w:t>,</w:t>
      </w:r>
      <w:r w:rsidRPr="00013472">
        <w:rPr>
          <w:lang w:val="en-US"/>
        </w:rPr>
        <w:t xml:space="preserve"> no significant difference in DSS</w:t>
      </w:r>
      <w:r w:rsidR="003056A2" w:rsidRPr="00013472">
        <w:rPr>
          <w:lang w:val="en-US"/>
        </w:rPr>
        <w:t xml:space="preserve"> for DLBCL</w:t>
      </w:r>
      <w:r w:rsidRPr="00013472">
        <w:rPr>
          <w:lang w:val="en-US"/>
        </w:rPr>
        <w:t xml:space="preserve"> was seen compared to MCL (</w:t>
      </w:r>
      <w:r w:rsidRPr="00013472">
        <w:rPr>
          <w:i/>
          <w:lang w:val="en-US"/>
        </w:rPr>
        <w:t>P</w:t>
      </w:r>
      <w:r w:rsidRPr="00013472">
        <w:rPr>
          <w:lang w:val="en-US"/>
        </w:rPr>
        <w:t>=0.38, pairwise log rank test) and FL (</w:t>
      </w:r>
      <w:r w:rsidRPr="00013472">
        <w:rPr>
          <w:i/>
          <w:lang w:val="en-US"/>
        </w:rPr>
        <w:t>P</w:t>
      </w:r>
      <w:r w:rsidRPr="00013472">
        <w:rPr>
          <w:lang w:val="en-US"/>
        </w:rPr>
        <w:t xml:space="preserve">=0.09, pairwise log rank test). </w:t>
      </w:r>
      <w:r w:rsidR="003056A2" w:rsidRPr="00013472">
        <w:rPr>
          <w:lang w:val="en-US"/>
        </w:rPr>
        <w:t>Furthermore</w:t>
      </w:r>
      <w:r w:rsidR="006E52C4" w:rsidRPr="00013472">
        <w:rPr>
          <w:lang w:val="en-US"/>
        </w:rPr>
        <w:t>,</w:t>
      </w:r>
      <w:r w:rsidR="003056A2" w:rsidRPr="00013472">
        <w:rPr>
          <w:lang w:val="en-US"/>
        </w:rPr>
        <w:t xml:space="preserve"> </w:t>
      </w:r>
      <w:r w:rsidR="00144A67" w:rsidRPr="00013472">
        <w:rPr>
          <w:lang w:val="en-US"/>
        </w:rPr>
        <w:t>DSS for EMZL was not significantly different compared to MCL (</w:t>
      </w:r>
      <w:r w:rsidR="00144A67" w:rsidRPr="00013472">
        <w:rPr>
          <w:i/>
          <w:lang w:val="en-US"/>
        </w:rPr>
        <w:t>P</w:t>
      </w:r>
      <w:r w:rsidR="00144A67" w:rsidRPr="00013472">
        <w:rPr>
          <w:lang w:val="en-US"/>
        </w:rPr>
        <w:t xml:space="preserve">=0.051, pairwise log rank test) and </w:t>
      </w:r>
      <w:r w:rsidR="003056A2" w:rsidRPr="00013472">
        <w:rPr>
          <w:lang w:val="en-US"/>
        </w:rPr>
        <w:t>FL (</w:t>
      </w:r>
      <w:r w:rsidR="003056A2" w:rsidRPr="00013472">
        <w:rPr>
          <w:i/>
          <w:lang w:val="en-US"/>
        </w:rPr>
        <w:t>P</w:t>
      </w:r>
      <w:r w:rsidR="003056A2" w:rsidRPr="00013472">
        <w:rPr>
          <w:lang w:val="en-US"/>
        </w:rPr>
        <w:t>=0.23, pairwise log rank test).</w:t>
      </w:r>
    </w:p>
    <w:p w14:paraId="32AD13C9" w14:textId="44D20762" w:rsidR="002234C1" w:rsidRPr="00013472" w:rsidRDefault="00C5361A" w:rsidP="002234C1">
      <w:pPr>
        <w:spacing w:line="480" w:lineRule="auto"/>
        <w:rPr>
          <w:lang w:val="en-US"/>
        </w:rPr>
      </w:pPr>
      <w:r w:rsidRPr="00013472">
        <w:rPr>
          <w:lang w:val="en-US"/>
        </w:rPr>
        <w:t>EMZL and DLBCL p</w:t>
      </w:r>
      <w:r w:rsidR="00786274" w:rsidRPr="00013472">
        <w:rPr>
          <w:lang w:val="en-US"/>
        </w:rPr>
        <w:t>atients with progression/relapse had a significantly lower DSS compared to patients with no progression/relapse (</w:t>
      </w:r>
      <w:r w:rsidRPr="00013472">
        <w:rPr>
          <w:lang w:val="en-US"/>
        </w:rPr>
        <w:t xml:space="preserve">EMZL: </w:t>
      </w:r>
      <w:r w:rsidR="00786274" w:rsidRPr="00013472">
        <w:rPr>
          <w:i/>
          <w:lang w:val="en-US"/>
        </w:rPr>
        <w:t>P</w:t>
      </w:r>
      <w:r w:rsidRPr="00013472">
        <w:rPr>
          <w:lang w:val="en-US"/>
        </w:rPr>
        <w:t xml:space="preserve">=0.002; DLBCL: 0.007; </w:t>
      </w:r>
      <w:r w:rsidR="00786274" w:rsidRPr="00013472">
        <w:rPr>
          <w:lang w:val="en-US"/>
        </w:rPr>
        <w:t>log rank test</w:t>
      </w:r>
      <w:r w:rsidRPr="00013472">
        <w:rPr>
          <w:lang w:val="en-US"/>
        </w:rPr>
        <w:t xml:space="preserve">). </w:t>
      </w:r>
      <w:r w:rsidR="00311FAC" w:rsidRPr="00013472">
        <w:rPr>
          <w:lang w:val="en-US"/>
        </w:rPr>
        <w:t>When examining risk factors for progression/relapse, a high Ann Arbor s</w:t>
      </w:r>
      <w:r w:rsidR="00434CA9" w:rsidRPr="00013472">
        <w:rPr>
          <w:lang w:val="en-US"/>
        </w:rPr>
        <w:t>tage (stage III/IVE) (</w:t>
      </w:r>
      <w:r w:rsidR="00831113" w:rsidRPr="00013472">
        <w:rPr>
          <w:i/>
          <w:lang w:val="en-US"/>
        </w:rPr>
        <w:t>P</w:t>
      </w:r>
      <w:r w:rsidR="00870553" w:rsidRPr="00013472">
        <w:rPr>
          <w:lang w:val="en-US"/>
        </w:rPr>
        <w:t>&lt;0.05</w:t>
      </w:r>
      <w:r w:rsidR="00434CA9" w:rsidRPr="00013472">
        <w:rPr>
          <w:lang w:val="en-US"/>
        </w:rPr>
        <w:t>, Fisher’s exact test) or</w:t>
      </w:r>
      <w:r w:rsidR="00311FAC" w:rsidRPr="00013472">
        <w:rPr>
          <w:lang w:val="en-US"/>
        </w:rPr>
        <w:t xml:space="preserve"> secondary lymphoma </w:t>
      </w:r>
      <w:r w:rsidR="00831113" w:rsidRPr="00013472">
        <w:rPr>
          <w:lang w:val="en-US"/>
        </w:rPr>
        <w:t>(</w:t>
      </w:r>
      <w:r w:rsidR="00831113" w:rsidRPr="00013472">
        <w:rPr>
          <w:i/>
          <w:lang w:val="en-US"/>
        </w:rPr>
        <w:t>P</w:t>
      </w:r>
      <w:r w:rsidR="00870553" w:rsidRPr="00013472">
        <w:rPr>
          <w:lang w:val="en-US"/>
        </w:rPr>
        <w:t>&lt;0.05</w:t>
      </w:r>
      <w:r w:rsidR="00434CA9" w:rsidRPr="00013472">
        <w:rPr>
          <w:lang w:val="en-US"/>
        </w:rPr>
        <w:t>, Fisher’s exact test) was significantly associated with an increased frequency of progression/relapse</w:t>
      </w:r>
      <w:r w:rsidR="00DE4816" w:rsidRPr="00013472">
        <w:rPr>
          <w:lang w:val="en-US"/>
        </w:rPr>
        <w:t xml:space="preserve"> for the entire group of patients and patients with the </w:t>
      </w:r>
      <w:r w:rsidR="00434CA9" w:rsidRPr="00013472">
        <w:rPr>
          <w:lang w:val="en-US"/>
        </w:rPr>
        <w:t>DLBCL</w:t>
      </w:r>
      <w:r w:rsidR="00DE4816" w:rsidRPr="00013472">
        <w:rPr>
          <w:lang w:val="en-US"/>
        </w:rPr>
        <w:t xml:space="preserve"> subtype</w:t>
      </w:r>
      <w:r w:rsidR="00434CA9" w:rsidRPr="00013472">
        <w:rPr>
          <w:lang w:val="en-US"/>
        </w:rPr>
        <w:t>.</w:t>
      </w:r>
      <w:r w:rsidR="005B5F4E" w:rsidRPr="00013472">
        <w:rPr>
          <w:lang w:val="en-US"/>
        </w:rPr>
        <w:t xml:space="preserve"> </w:t>
      </w:r>
      <w:r w:rsidR="00C26A89" w:rsidRPr="00013472">
        <w:rPr>
          <w:lang w:val="en-US"/>
        </w:rPr>
        <w:t xml:space="preserve">No </w:t>
      </w:r>
      <w:r w:rsidR="00434CA9" w:rsidRPr="00013472">
        <w:rPr>
          <w:lang w:val="en-US"/>
        </w:rPr>
        <w:t xml:space="preserve">other </w:t>
      </w:r>
      <w:r w:rsidR="00C26A89" w:rsidRPr="00013472">
        <w:rPr>
          <w:lang w:val="en-US"/>
        </w:rPr>
        <w:t xml:space="preserve">clinical </w:t>
      </w:r>
      <w:r w:rsidR="00FB4203" w:rsidRPr="00013472">
        <w:rPr>
          <w:lang w:val="en-US"/>
        </w:rPr>
        <w:t xml:space="preserve">characteristics </w:t>
      </w:r>
      <w:r w:rsidR="00525638" w:rsidRPr="00013472">
        <w:rPr>
          <w:lang w:val="en-US"/>
        </w:rPr>
        <w:t>showed a significant difference in DSS between risk groups within the four major lymphoma subtypes EMZL, FL, DLBCL</w:t>
      </w:r>
      <w:r w:rsidR="00A63697" w:rsidRPr="00013472">
        <w:rPr>
          <w:lang w:val="en-US"/>
        </w:rPr>
        <w:t>,</w:t>
      </w:r>
      <w:r w:rsidR="00525638" w:rsidRPr="00013472">
        <w:rPr>
          <w:lang w:val="en-US"/>
        </w:rPr>
        <w:t xml:space="preserve"> and MCL (</w:t>
      </w:r>
      <w:r w:rsidR="00525638" w:rsidRPr="00013472">
        <w:rPr>
          <w:i/>
          <w:lang w:val="en-US"/>
        </w:rPr>
        <w:t>P</w:t>
      </w:r>
      <w:r w:rsidR="00525638" w:rsidRPr="00013472">
        <w:rPr>
          <w:lang w:val="en-US"/>
        </w:rPr>
        <w:t>&gt;0.05, log rank test).</w:t>
      </w:r>
      <w:r w:rsidR="005A678B" w:rsidRPr="00013472">
        <w:rPr>
          <w:lang w:val="en-US"/>
        </w:rPr>
        <w:t xml:space="preserve"> </w:t>
      </w:r>
      <w:r w:rsidR="006C1484" w:rsidRPr="00013472">
        <w:rPr>
          <w:lang w:val="en-US"/>
        </w:rPr>
        <w:t>There was no significant difference in subtype-specific DSS between eye cancer centers (</w:t>
      </w:r>
      <w:r w:rsidR="006C1484" w:rsidRPr="00013472">
        <w:rPr>
          <w:i/>
          <w:lang w:val="en-US"/>
        </w:rPr>
        <w:t>P</w:t>
      </w:r>
      <w:r w:rsidR="006C1484" w:rsidRPr="00013472">
        <w:rPr>
          <w:lang w:val="en-US"/>
        </w:rPr>
        <w:t xml:space="preserve">&gt;0.05, log rank test) </w:t>
      </w:r>
    </w:p>
    <w:p w14:paraId="34DCD6CB" w14:textId="161E33EF" w:rsidR="002234C1" w:rsidRPr="00013472" w:rsidRDefault="002234C1" w:rsidP="002234C1">
      <w:pPr>
        <w:pStyle w:val="Heading2"/>
        <w:spacing w:line="480" w:lineRule="auto"/>
        <w:rPr>
          <w:lang w:val="en-US"/>
        </w:rPr>
      </w:pPr>
      <w:r w:rsidRPr="00013472">
        <w:rPr>
          <w:lang w:val="en-US"/>
        </w:rPr>
        <w:lastRenderedPageBreak/>
        <w:t>Major non-</w:t>
      </w:r>
      <w:r w:rsidR="000A4338" w:rsidRPr="00013472">
        <w:rPr>
          <w:lang w:val="en-US"/>
        </w:rPr>
        <w:t>H</w:t>
      </w:r>
      <w:r w:rsidRPr="00013472">
        <w:rPr>
          <w:lang w:val="en-US"/>
        </w:rPr>
        <w:t>odgkin B-cell lymphoma subtypes</w:t>
      </w:r>
    </w:p>
    <w:p w14:paraId="1728FC3F" w14:textId="77777777" w:rsidR="002234C1" w:rsidRPr="00013472" w:rsidRDefault="002234C1" w:rsidP="002234C1">
      <w:pPr>
        <w:pStyle w:val="Heading3"/>
        <w:spacing w:line="480" w:lineRule="auto"/>
        <w:rPr>
          <w:lang w:val="en-US"/>
        </w:rPr>
      </w:pPr>
      <w:proofErr w:type="spellStart"/>
      <w:r w:rsidRPr="00013472">
        <w:rPr>
          <w:lang w:val="en-US"/>
        </w:rPr>
        <w:t>Extranodal</w:t>
      </w:r>
      <w:proofErr w:type="spellEnd"/>
      <w:r w:rsidRPr="00013472">
        <w:rPr>
          <w:lang w:val="en-US"/>
        </w:rPr>
        <w:t xml:space="preserve"> marginal zone B-cell lymphoma</w:t>
      </w:r>
    </w:p>
    <w:p w14:paraId="1A61AFD7" w14:textId="77777777" w:rsidR="002234C1" w:rsidRPr="00013472" w:rsidRDefault="002234C1" w:rsidP="002234C1">
      <w:pPr>
        <w:pStyle w:val="Heading4"/>
        <w:spacing w:line="480" w:lineRule="auto"/>
        <w:rPr>
          <w:lang w:val="en-US"/>
        </w:rPr>
      </w:pPr>
      <w:r w:rsidRPr="00013472">
        <w:rPr>
          <w:lang w:val="en-US"/>
        </w:rPr>
        <w:t>Clinical features</w:t>
      </w:r>
    </w:p>
    <w:p w14:paraId="3BC4D20B" w14:textId="679108D6" w:rsidR="002234C1" w:rsidRPr="00013472" w:rsidRDefault="002234C1" w:rsidP="002234C1">
      <w:pPr>
        <w:spacing w:line="480" w:lineRule="auto"/>
        <w:rPr>
          <w:lang w:val="en-US"/>
        </w:rPr>
      </w:pPr>
      <w:r w:rsidRPr="00013472">
        <w:rPr>
          <w:lang w:val="en-US"/>
        </w:rPr>
        <w:t>EMZL was the most frequent lymphoma of the lacrimal gland in this study constitutin</w:t>
      </w:r>
      <w:r w:rsidR="001C3674" w:rsidRPr="00013472">
        <w:rPr>
          <w:lang w:val="en-US"/>
        </w:rPr>
        <w:t>g 68% of all cases (n=178). 83</w:t>
      </w:r>
      <w:r w:rsidRPr="00013472">
        <w:rPr>
          <w:lang w:val="en-US"/>
        </w:rPr>
        <w:t>% of patients had primary lympho</w:t>
      </w:r>
      <w:r w:rsidR="001C3674" w:rsidRPr="00013472">
        <w:rPr>
          <w:lang w:val="en-US"/>
        </w:rPr>
        <w:t>ma of the lacrimal gland</w:t>
      </w:r>
      <w:r w:rsidR="00BA2E0C" w:rsidRPr="00013472">
        <w:rPr>
          <w:lang w:val="en-US"/>
        </w:rPr>
        <w:t xml:space="preserve"> while</w:t>
      </w:r>
      <w:r w:rsidR="001C3674" w:rsidRPr="00013472">
        <w:rPr>
          <w:lang w:val="en-US"/>
        </w:rPr>
        <w:t xml:space="preserve"> 17</w:t>
      </w:r>
      <w:r w:rsidRPr="00013472">
        <w:rPr>
          <w:lang w:val="en-US"/>
        </w:rPr>
        <w:t>% presented with a secondary lymphoma of the lacrimal gland</w:t>
      </w:r>
      <w:r w:rsidR="00352DFC" w:rsidRPr="00013472">
        <w:rPr>
          <w:lang w:val="en-US"/>
        </w:rPr>
        <w:t xml:space="preserve"> (Table 2)</w:t>
      </w:r>
      <w:r w:rsidRPr="00013472">
        <w:rPr>
          <w:lang w:val="en-US"/>
        </w:rPr>
        <w:t>. The median age was 55 years (range 13-10</w:t>
      </w:r>
      <w:r w:rsidR="00987D40" w:rsidRPr="00013472">
        <w:rPr>
          <w:lang w:val="en-US"/>
        </w:rPr>
        <w:t>0 years)</w:t>
      </w:r>
      <w:r w:rsidR="00211604" w:rsidRPr="00013472">
        <w:rPr>
          <w:lang w:val="en-US"/>
        </w:rPr>
        <w:t xml:space="preserve"> and 56</w:t>
      </w:r>
      <w:r w:rsidR="00352DFC" w:rsidRPr="00013472">
        <w:rPr>
          <w:lang w:val="en-US"/>
        </w:rPr>
        <w:t>% of patients were men (n=100) (Tables 1 and 2).</w:t>
      </w:r>
      <w:r w:rsidR="00C32DD1" w:rsidRPr="00013472">
        <w:rPr>
          <w:lang w:val="en-US"/>
        </w:rPr>
        <w:t xml:space="preserve"> </w:t>
      </w:r>
      <w:r w:rsidRPr="00013472">
        <w:rPr>
          <w:lang w:val="en-US"/>
        </w:rPr>
        <w:t>The vast majority of patients were classified a</w:t>
      </w:r>
      <w:r w:rsidR="001C3674" w:rsidRPr="00013472">
        <w:rPr>
          <w:lang w:val="en-US"/>
        </w:rPr>
        <w:t>s Ann Arbor stage IE (n=155, 89</w:t>
      </w:r>
      <w:r w:rsidRPr="00013472">
        <w:rPr>
          <w:lang w:val="en-US"/>
        </w:rPr>
        <w:t>%)</w:t>
      </w:r>
      <w:r w:rsidR="001C3674" w:rsidRPr="00013472">
        <w:rPr>
          <w:lang w:val="en-US"/>
        </w:rPr>
        <w:t xml:space="preserve"> and TNM T2 lymphoma (n=146, 99</w:t>
      </w:r>
      <w:r w:rsidRPr="00013472">
        <w:rPr>
          <w:lang w:val="en-US"/>
        </w:rPr>
        <w:t>%)</w:t>
      </w:r>
      <w:r w:rsidR="003056A2" w:rsidRPr="00013472">
        <w:rPr>
          <w:lang w:val="en-US"/>
        </w:rPr>
        <w:t>, whereas one patient had TNM T4 lymphoma (1%)</w:t>
      </w:r>
      <w:r w:rsidRPr="00013472">
        <w:rPr>
          <w:lang w:val="en-US"/>
        </w:rPr>
        <w:t xml:space="preserve"> (</w:t>
      </w:r>
      <w:r w:rsidR="00E97F69" w:rsidRPr="00013472">
        <w:rPr>
          <w:lang w:val="en-US"/>
        </w:rPr>
        <w:t>Table</w:t>
      </w:r>
      <w:r w:rsidRPr="00013472">
        <w:rPr>
          <w:lang w:val="en-US"/>
        </w:rPr>
        <w:t xml:space="preserve"> 2).</w:t>
      </w:r>
    </w:p>
    <w:p w14:paraId="7D68903E" w14:textId="77777777" w:rsidR="002234C1" w:rsidRPr="00013472" w:rsidRDefault="002234C1" w:rsidP="002234C1">
      <w:pPr>
        <w:pStyle w:val="Heading4"/>
        <w:spacing w:line="480" w:lineRule="auto"/>
        <w:rPr>
          <w:lang w:val="en-US"/>
        </w:rPr>
      </w:pPr>
      <w:r w:rsidRPr="00013472">
        <w:rPr>
          <w:lang w:val="en-US"/>
        </w:rPr>
        <w:t>Treatment</w:t>
      </w:r>
    </w:p>
    <w:p w14:paraId="5B13DE67" w14:textId="1FBB2348" w:rsidR="002234C1" w:rsidRPr="00013472" w:rsidRDefault="002234C1" w:rsidP="002234C1">
      <w:pPr>
        <w:spacing w:line="480" w:lineRule="auto"/>
        <w:rPr>
          <w:lang w:val="en-US"/>
        </w:rPr>
      </w:pPr>
      <w:r w:rsidRPr="00013472">
        <w:rPr>
          <w:lang w:val="en-US"/>
        </w:rPr>
        <w:t>Treatment information was avail</w:t>
      </w:r>
      <w:r w:rsidR="001C3674" w:rsidRPr="00013472">
        <w:rPr>
          <w:lang w:val="en-US"/>
        </w:rPr>
        <w:t>able in 174 of 178 patients (98</w:t>
      </w:r>
      <w:r w:rsidRPr="00013472">
        <w:rPr>
          <w:lang w:val="en-US"/>
        </w:rPr>
        <w:t>%). Stage IE patients w</w:t>
      </w:r>
      <w:r w:rsidR="000A4338" w:rsidRPr="00013472">
        <w:rPr>
          <w:lang w:val="en-US"/>
        </w:rPr>
        <w:t>ere</w:t>
      </w:r>
      <w:r w:rsidRPr="00013472">
        <w:rPr>
          <w:lang w:val="en-US"/>
        </w:rPr>
        <w:t xml:space="preserve"> primarily treated with external beam radiation therapy (</w:t>
      </w:r>
      <w:r w:rsidR="001C3674" w:rsidRPr="00013472">
        <w:rPr>
          <w:lang w:val="en-US"/>
        </w:rPr>
        <w:t>EBRT) as monotherapy (n=133, 88</w:t>
      </w:r>
      <w:r w:rsidRPr="00013472">
        <w:rPr>
          <w:lang w:val="en-US"/>
        </w:rPr>
        <w:t>%) (</w:t>
      </w:r>
      <w:r w:rsidR="00E97F69" w:rsidRPr="00013472">
        <w:rPr>
          <w:lang w:val="en-US"/>
        </w:rPr>
        <w:t>Table</w:t>
      </w:r>
      <w:r w:rsidRPr="00013472">
        <w:rPr>
          <w:lang w:val="en-US"/>
        </w:rPr>
        <w:t xml:space="preserve"> 4). Stage IVE patients were most frequently treated with chemotherapy in comb</w:t>
      </w:r>
      <w:r w:rsidR="001C3674" w:rsidRPr="00013472">
        <w:rPr>
          <w:lang w:val="en-US"/>
        </w:rPr>
        <w:t>ination with rituximab (n=5, 45</w:t>
      </w:r>
      <w:r w:rsidRPr="00013472">
        <w:rPr>
          <w:lang w:val="en-US"/>
        </w:rPr>
        <w:t>%) (</w:t>
      </w:r>
      <w:r w:rsidR="00E97F69" w:rsidRPr="00013472">
        <w:rPr>
          <w:lang w:val="en-US"/>
        </w:rPr>
        <w:t>Table</w:t>
      </w:r>
      <w:r w:rsidRPr="00013472">
        <w:rPr>
          <w:lang w:val="en-US"/>
        </w:rPr>
        <w:t xml:space="preserve"> 4). The median radiation dose was 24 </w:t>
      </w:r>
      <w:proofErr w:type="spellStart"/>
      <w:r w:rsidRPr="00013472">
        <w:rPr>
          <w:lang w:val="en-US"/>
        </w:rPr>
        <w:t>Gy</w:t>
      </w:r>
      <w:proofErr w:type="spellEnd"/>
      <w:r w:rsidRPr="00013472">
        <w:rPr>
          <w:lang w:val="en-US"/>
        </w:rPr>
        <w:t xml:space="preserve"> (range 4-100 </w:t>
      </w:r>
      <w:proofErr w:type="spellStart"/>
      <w:r w:rsidRPr="00013472">
        <w:rPr>
          <w:lang w:val="en-US"/>
        </w:rPr>
        <w:t>Gy</w:t>
      </w:r>
      <w:proofErr w:type="spellEnd"/>
      <w:r w:rsidRPr="00013472">
        <w:rPr>
          <w:lang w:val="en-US"/>
        </w:rPr>
        <w:t>, registered in 21 patients</w:t>
      </w:r>
      <w:r w:rsidR="004D1F47" w:rsidRPr="00013472">
        <w:rPr>
          <w:lang w:val="en-US"/>
        </w:rPr>
        <w:t xml:space="preserve">) most commonly given as 12-20 fractions of 1.5-2 </w:t>
      </w:r>
      <w:proofErr w:type="spellStart"/>
      <w:r w:rsidR="004D1F47" w:rsidRPr="00013472">
        <w:rPr>
          <w:lang w:val="en-US"/>
        </w:rPr>
        <w:t>Gy</w:t>
      </w:r>
      <w:proofErr w:type="spellEnd"/>
      <w:r w:rsidR="004D1F47" w:rsidRPr="00013472">
        <w:rPr>
          <w:lang w:val="en-US"/>
        </w:rPr>
        <w:t xml:space="preserve">, but regimens of 2 fractions of 2 </w:t>
      </w:r>
      <w:proofErr w:type="spellStart"/>
      <w:r w:rsidR="004D1F47" w:rsidRPr="00013472">
        <w:rPr>
          <w:lang w:val="en-US"/>
        </w:rPr>
        <w:t>Gy</w:t>
      </w:r>
      <w:proofErr w:type="spellEnd"/>
      <w:r w:rsidR="004D1F47" w:rsidRPr="00013472">
        <w:rPr>
          <w:lang w:val="en-US"/>
        </w:rPr>
        <w:t xml:space="preserve"> was also seen. </w:t>
      </w:r>
    </w:p>
    <w:p w14:paraId="2447F2A1" w14:textId="77777777" w:rsidR="002234C1" w:rsidRPr="00013472" w:rsidRDefault="002234C1" w:rsidP="002234C1">
      <w:pPr>
        <w:pStyle w:val="Heading4"/>
        <w:spacing w:line="480" w:lineRule="auto"/>
        <w:rPr>
          <w:lang w:val="en-US"/>
        </w:rPr>
      </w:pPr>
      <w:r w:rsidRPr="00013472">
        <w:rPr>
          <w:lang w:val="en-US"/>
        </w:rPr>
        <w:t>Treatment outcome and survival</w:t>
      </w:r>
    </w:p>
    <w:p w14:paraId="629015A3" w14:textId="4872229A" w:rsidR="00786274" w:rsidRPr="00013472" w:rsidRDefault="001C3674" w:rsidP="002234C1">
      <w:pPr>
        <w:spacing w:line="480" w:lineRule="auto"/>
        <w:rPr>
          <w:lang w:val="en-US"/>
        </w:rPr>
      </w:pPr>
      <w:r w:rsidRPr="00013472">
        <w:rPr>
          <w:lang w:val="en-US"/>
        </w:rPr>
        <w:t xml:space="preserve">144 of 178 </w:t>
      </w:r>
      <w:r w:rsidR="00701895" w:rsidRPr="00013472">
        <w:rPr>
          <w:lang w:val="en-US"/>
        </w:rPr>
        <w:t xml:space="preserve">EMZL </w:t>
      </w:r>
      <w:r w:rsidRPr="00013472">
        <w:rPr>
          <w:lang w:val="en-US"/>
        </w:rPr>
        <w:t>patients (81</w:t>
      </w:r>
      <w:r w:rsidR="002234C1" w:rsidRPr="00013472">
        <w:rPr>
          <w:lang w:val="en-US"/>
        </w:rPr>
        <w:t xml:space="preserve">%) had complete remission </w:t>
      </w:r>
      <w:r w:rsidR="00DE4816" w:rsidRPr="00013472">
        <w:rPr>
          <w:lang w:val="en-US"/>
        </w:rPr>
        <w:t>of disease with a median follow-</w:t>
      </w:r>
      <w:r w:rsidR="002234C1" w:rsidRPr="00013472">
        <w:rPr>
          <w:lang w:val="en-US"/>
        </w:rPr>
        <w:t>up period of 16 months (range 1-372 months) (</w:t>
      </w:r>
      <w:r w:rsidR="00E97F69" w:rsidRPr="00013472">
        <w:rPr>
          <w:lang w:val="en-US"/>
        </w:rPr>
        <w:t>Table</w:t>
      </w:r>
      <w:r w:rsidR="002234C1" w:rsidRPr="00013472">
        <w:rPr>
          <w:lang w:val="en-US"/>
        </w:rPr>
        <w:t xml:space="preserve"> 2). </w:t>
      </w:r>
      <w:r w:rsidRPr="00013472">
        <w:rPr>
          <w:lang w:val="en-US"/>
        </w:rPr>
        <w:t xml:space="preserve">27 </w:t>
      </w:r>
      <w:r w:rsidR="00621FF1" w:rsidRPr="00013472">
        <w:rPr>
          <w:lang w:val="en-US"/>
        </w:rPr>
        <w:t xml:space="preserve">patients </w:t>
      </w:r>
      <w:r w:rsidRPr="00013472">
        <w:rPr>
          <w:lang w:val="en-US"/>
        </w:rPr>
        <w:t>(16</w:t>
      </w:r>
      <w:r w:rsidR="002234C1" w:rsidRPr="00013472">
        <w:rPr>
          <w:lang w:val="en-US"/>
        </w:rPr>
        <w:t>%) had progression or relapse of disease (</w:t>
      </w:r>
      <w:r w:rsidR="00E97F69" w:rsidRPr="00013472">
        <w:rPr>
          <w:lang w:val="en-US"/>
        </w:rPr>
        <w:t>Table</w:t>
      </w:r>
      <w:r w:rsidR="002234C1" w:rsidRPr="00013472">
        <w:rPr>
          <w:lang w:val="en-US"/>
        </w:rPr>
        <w:t xml:space="preserve"> 2)</w:t>
      </w:r>
      <w:r w:rsidR="00C00AEC" w:rsidRPr="00013472">
        <w:rPr>
          <w:lang w:val="en-US"/>
        </w:rPr>
        <w:t xml:space="preserve"> with a m</w:t>
      </w:r>
      <w:r w:rsidR="00F8490D" w:rsidRPr="00013472">
        <w:rPr>
          <w:lang w:val="en-US"/>
        </w:rPr>
        <w:t>edian duration before relapse of</w:t>
      </w:r>
      <w:r w:rsidR="00C00AEC" w:rsidRPr="00013472">
        <w:rPr>
          <w:lang w:val="en-US"/>
        </w:rPr>
        <w:t xml:space="preserve"> 36 months (range 5-187 months) (</w:t>
      </w:r>
      <w:r w:rsidR="00253A37" w:rsidRPr="00013472">
        <w:rPr>
          <w:lang w:val="en-US"/>
        </w:rPr>
        <w:t>time to</w:t>
      </w:r>
      <w:r w:rsidR="00C00AEC" w:rsidRPr="00013472">
        <w:rPr>
          <w:lang w:val="en-US"/>
        </w:rPr>
        <w:t xml:space="preserve"> relapse/progression accessible in 15 out of 27 patients)</w:t>
      </w:r>
      <w:r w:rsidR="00BA2E0C" w:rsidRPr="00013472">
        <w:rPr>
          <w:lang w:val="en-US"/>
        </w:rPr>
        <w:t>. 5-, 10-,</w:t>
      </w:r>
      <w:r w:rsidR="002234C1" w:rsidRPr="00013472">
        <w:rPr>
          <w:lang w:val="en-US"/>
        </w:rPr>
        <w:t xml:space="preserve"> and 20</w:t>
      </w:r>
      <w:r w:rsidRPr="00013472">
        <w:rPr>
          <w:lang w:val="en-US"/>
        </w:rPr>
        <w:t xml:space="preserve">-year </w:t>
      </w:r>
      <w:r w:rsidR="00C26A89" w:rsidRPr="00013472">
        <w:rPr>
          <w:lang w:val="en-US"/>
        </w:rPr>
        <w:lastRenderedPageBreak/>
        <w:t>OS</w:t>
      </w:r>
      <w:r w:rsidR="00BA2E0C" w:rsidRPr="00013472">
        <w:rPr>
          <w:lang w:val="en-US"/>
        </w:rPr>
        <w:t xml:space="preserve"> were</w:t>
      </w:r>
      <w:r w:rsidRPr="00013472">
        <w:rPr>
          <w:lang w:val="en-US"/>
        </w:rPr>
        <w:t xml:space="preserve"> 77.8%, 71.3%, and 48.9</w:t>
      </w:r>
      <w:r w:rsidR="002234C1" w:rsidRPr="00013472">
        <w:rPr>
          <w:lang w:val="en-US"/>
        </w:rPr>
        <w:t xml:space="preserve">%, respectively (median OS, 158 months; 95% </w:t>
      </w:r>
      <w:r w:rsidR="00633F07" w:rsidRPr="00013472">
        <w:rPr>
          <w:lang w:val="en-US"/>
        </w:rPr>
        <w:t>CI</w:t>
      </w:r>
      <w:r w:rsidR="00BA2E0C" w:rsidRPr="00013472">
        <w:rPr>
          <w:lang w:val="en-US"/>
        </w:rPr>
        <w:t xml:space="preserve"> 53-263 months). 5-, 10-</w:t>
      </w:r>
      <w:r w:rsidR="002234C1" w:rsidRPr="00013472">
        <w:rPr>
          <w:lang w:val="en-US"/>
        </w:rPr>
        <w:t xml:space="preserve">, and 20-year </w:t>
      </w:r>
      <w:r w:rsidR="00C26A89" w:rsidRPr="00013472">
        <w:rPr>
          <w:lang w:val="en-US"/>
        </w:rPr>
        <w:t>DSS</w:t>
      </w:r>
      <w:r w:rsidR="00BA2E0C" w:rsidRPr="00013472">
        <w:rPr>
          <w:lang w:val="en-US"/>
        </w:rPr>
        <w:t xml:space="preserve"> were</w:t>
      </w:r>
      <w:r w:rsidRPr="00013472">
        <w:rPr>
          <w:lang w:val="en-US"/>
        </w:rPr>
        <w:t xml:space="preserve"> 93.4</w:t>
      </w:r>
      <w:r w:rsidR="002234C1" w:rsidRPr="00013472">
        <w:rPr>
          <w:lang w:val="en-US"/>
        </w:rPr>
        <w:t>%, 8</w:t>
      </w:r>
      <w:r w:rsidRPr="00013472">
        <w:rPr>
          <w:lang w:val="en-US"/>
        </w:rPr>
        <w:t>9.9%, and 77.1</w:t>
      </w:r>
      <w:r w:rsidR="002234C1" w:rsidRPr="00013472">
        <w:rPr>
          <w:lang w:val="en-US"/>
        </w:rPr>
        <w:t>%, respectively (</w:t>
      </w:r>
      <w:r w:rsidR="000A4338" w:rsidRPr="00013472">
        <w:rPr>
          <w:lang w:val="en-US"/>
        </w:rPr>
        <w:t>F</w:t>
      </w:r>
      <w:r w:rsidR="00284E3D" w:rsidRPr="00013472">
        <w:rPr>
          <w:lang w:val="en-US"/>
        </w:rPr>
        <w:t>igure 2</w:t>
      </w:r>
      <w:r w:rsidR="002234C1" w:rsidRPr="00013472">
        <w:rPr>
          <w:lang w:val="en-US"/>
        </w:rPr>
        <w:t>).</w:t>
      </w:r>
      <w:r w:rsidR="00387344" w:rsidRPr="00013472">
        <w:rPr>
          <w:lang w:val="en-US"/>
        </w:rPr>
        <w:t xml:space="preserve"> </w:t>
      </w:r>
    </w:p>
    <w:p w14:paraId="78AF4018" w14:textId="4F53A66C" w:rsidR="002234C1" w:rsidRPr="00013472" w:rsidRDefault="002234C1" w:rsidP="002234C1">
      <w:pPr>
        <w:spacing w:line="480" w:lineRule="auto"/>
        <w:rPr>
          <w:lang w:val="en-US"/>
        </w:rPr>
      </w:pPr>
      <w:r w:rsidRPr="00013472">
        <w:rPr>
          <w:lang w:val="en-US"/>
        </w:rPr>
        <w:t xml:space="preserve">For </w:t>
      </w:r>
      <w:r w:rsidR="00BA2E0C" w:rsidRPr="00013472">
        <w:rPr>
          <w:lang w:val="en-US"/>
        </w:rPr>
        <w:t xml:space="preserve">stage I-IIE </w:t>
      </w:r>
      <w:r w:rsidRPr="00013472">
        <w:rPr>
          <w:lang w:val="en-US"/>
        </w:rPr>
        <w:t>EMZL no significant difference was seen in DSS between patients treated with EBRT as monotherapy and EBRT in combination with chemotherapy (</w:t>
      </w:r>
      <w:r w:rsidRPr="00013472">
        <w:rPr>
          <w:i/>
          <w:lang w:val="en-US"/>
        </w:rPr>
        <w:t>P</w:t>
      </w:r>
      <w:r w:rsidRPr="00013472">
        <w:rPr>
          <w:lang w:val="en-US"/>
        </w:rPr>
        <w:t xml:space="preserve">=0.52, log rank test). </w:t>
      </w:r>
      <w:r w:rsidR="007102ED" w:rsidRPr="00013472">
        <w:rPr>
          <w:lang w:val="en-US"/>
        </w:rPr>
        <w:t>Furthermore</w:t>
      </w:r>
      <w:r w:rsidR="00C32DD1" w:rsidRPr="00013472">
        <w:rPr>
          <w:lang w:val="en-US"/>
        </w:rPr>
        <w:t>,</w:t>
      </w:r>
      <w:r w:rsidR="007102ED" w:rsidRPr="00013472">
        <w:rPr>
          <w:lang w:val="en-US"/>
        </w:rPr>
        <w:t xml:space="preserve"> there was no significant difference in OS and DSS between patients receiving EBRT given as 12-20 fractions of 1.5-2 </w:t>
      </w:r>
      <w:proofErr w:type="spellStart"/>
      <w:r w:rsidR="007102ED" w:rsidRPr="00013472">
        <w:rPr>
          <w:lang w:val="en-US"/>
        </w:rPr>
        <w:t>Gy</w:t>
      </w:r>
      <w:proofErr w:type="spellEnd"/>
      <w:r w:rsidR="007102ED" w:rsidRPr="00013472">
        <w:rPr>
          <w:lang w:val="en-US"/>
        </w:rPr>
        <w:t xml:space="preserve"> compared to 2 fractions of 2 </w:t>
      </w:r>
      <w:proofErr w:type="spellStart"/>
      <w:r w:rsidR="007102ED" w:rsidRPr="00013472">
        <w:rPr>
          <w:lang w:val="en-US"/>
        </w:rPr>
        <w:t>Gy</w:t>
      </w:r>
      <w:proofErr w:type="spellEnd"/>
      <w:r w:rsidR="007102ED" w:rsidRPr="00013472">
        <w:rPr>
          <w:lang w:val="en-US"/>
        </w:rPr>
        <w:t xml:space="preserve"> (</w:t>
      </w:r>
      <w:r w:rsidR="007102ED" w:rsidRPr="00013472">
        <w:rPr>
          <w:i/>
          <w:lang w:val="en-US"/>
        </w:rPr>
        <w:t>P</w:t>
      </w:r>
      <w:r w:rsidR="007102ED" w:rsidRPr="00013472">
        <w:rPr>
          <w:lang w:val="en-US"/>
        </w:rPr>
        <w:t>&gt;0.05, log rank test).</w:t>
      </w:r>
    </w:p>
    <w:p w14:paraId="3D9BD1D9" w14:textId="77777777" w:rsidR="002234C1" w:rsidRPr="00013472" w:rsidRDefault="002234C1" w:rsidP="002234C1">
      <w:pPr>
        <w:pStyle w:val="Heading3"/>
        <w:spacing w:line="480" w:lineRule="auto"/>
        <w:rPr>
          <w:lang w:val="en-US"/>
        </w:rPr>
      </w:pPr>
      <w:r w:rsidRPr="00013472">
        <w:rPr>
          <w:lang w:val="en-US"/>
        </w:rPr>
        <w:t>Follicular lymphoma</w:t>
      </w:r>
    </w:p>
    <w:p w14:paraId="1DCE386B" w14:textId="77777777" w:rsidR="002234C1" w:rsidRPr="00013472" w:rsidRDefault="002234C1" w:rsidP="002234C1">
      <w:pPr>
        <w:pStyle w:val="Heading4"/>
        <w:spacing w:line="480" w:lineRule="auto"/>
        <w:rPr>
          <w:lang w:val="en-US"/>
        </w:rPr>
      </w:pPr>
      <w:r w:rsidRPr="00013472">
        <w:rPr>
          <w:lang w:val="en-US"/>
        </w:rPr>
        <w:t>Clinical features</w:t>
      </w:r>
    </w:p>
    <w:p w14:paraId="3A3A144A" w14:textId="03C0C4C8" w:rsidR="002234C1" w:rsidRPr="00013472" w:rsidRDefault="008536CF" w:rsidP="002234C1">
      <w:pPr>
        <w:spacing w:line="480" w:lineRule="auto"/>
        <w:rPr>
          <w:lang w:val="en-US"/>
        </w:rPr>
      </w:pPr>
      <w:r w:rsidRPr="00013472">
        <w:rPr>
          <w:lang w:val="en-US"/>
        </w:rPr>
        <w:t>26</w:t>
      </w:r>
      <w:r w:rsidR="001C3674" w:rsidRPr="00013472">
        <w:rPr>
          <w:lang w:val="en-US"/>
        </w:rPr>
        <w:t xml:space="preserve"> cases (10</w:t>
      </w:r>
      <w:r w:rsidR="002234C1" w:rsidRPr="00013472">
        <w:rPr>
          <w:lang w:val="en-US"/>
        </w:rPr>
        <w:t xml:space="preserve">%) of </w:t>
      </w:r>
      <w:r w:rsidR="00B548F8">
        <w:rPr>
          <w:lang w:val="en-US"/>
        </w:rPr>
        <w:t>FL</w:t>
      </w:r>
      <w:r w:rsidR="002234C1" w:rsidRPr="00013472">
        <w:rPr>
          <w:lang w:val="en-US"/>
        </w:rPr>
        <w:t xml:space="preserve"> of the lacrima</w:t>
      </w:r>
      <w:r w:rsidR="001C3674" w:rsidRPr="00013472">
        <w:rPr>
          <w:lang w:val="en-US"/>
        </w:rPr>
        <w:t>l gland were identified with 42</w:t>
      </w:r>
      <w:r w:rsidR="002234C1" w:rsidRPr="00013472">
        <w:rPr>
          <w:lang w:val="en-US"/>
        </w:rPr>
        <w:t>% of cases being primary</w:t>
      </w:r>
      <w:r w:rsidR="00352DFC" w:rsidRPr="00013472">
        <w:rPr>
          <w:lang w:val="en-US"/>
        </w:rPr>
        <w:t xml:space="preserve"> lymphoma of the lacrimal gland (Table 2).</w:t>
      </w:r>
      <w:r w:rsidR="002234C1" w:rsidRPr="00013472">
        <w:rPr>
          <w:lang w:val="en-US"/>
        </w:rPr>
        <w:t xml:space="preserve"> The median age was 63 years (range 29</w:t>
      </w:r>
      <w:r w:rsidR="001C3674" w:rsidRPr="00013472">
        <w:rPr>
          <w:lang w:val="en-US"/>
        </w:rPr>
        <w:t xml:space="preserve">-88 years) </w:t>
      </w:r>
      <w:r w:rsidR="00211604" w:rsidRPr="00013472">
        <w:rPr>
          <w:lang w:val="en-US"/>
        </w:rPr>
        <w:t>and 62</w:t>
      </w:r>
      <w:r w:rsidR="00352DFC" w:rsidRPr="00013472">
        <w:rPr>
          <w:lang w:val="en-US"/>
        </w:rPr>
        <w:t xml:space="preserve">% of patients were women (n=16) </w:t>
      </w:r>
      <w:r w:rsidR="001C3674" w:rsidRPr="00013472">
        <w:rPr>
          <w:lang w:val="en-US"/>
        </w:rPr>
        <w:t>(</w:t>
      </w:r>
      <w:r w:rsidR="00E97F69" w:rsidRPr="00013472">
        <w:rPr>
          <w:lang w:val="en-US"/>
        </w:rPr>
        <w:t>Table</w:t>
      </w:r>
      <w:r w:rsidR="00987D40" w:rsidRPr="00013472">
        <w:rPr>
          <w:lang w:val="en-US"/>
        </w:rPr>
        <w:t>s 1 and 2)</w:t>
      </w:r>
      <w:r w:rsidR="00352DFC" w:rsidRPr="00013472">
        <w:rPr>
          <w:lang w:val="en-US"/>
        </w:rPr>
        <w:t>.</w:t>
      </w:r>
      <w:r w:rsidR="001C3674" w:rsidRPr="00013472">
        <w:rPr>
          <w:lang w:val="en-US"/>
        </w:rPr>
        <w:t xml:space="preserve"> 61</w:t>
      </w:r>
      <w:r w:rsidR="002234C1" w:rsidRPr="00013472">
        <w:rPr>
          <w:lang w:val="en-US"/>
        </w:rPr>
        <w:t>% of patients were s</w:t>
      </w:r>
      <w:r w:rsidR="001C3674" w:rsidRPr="00013472">
        <w:rPr>
          <w:lang w:val="en-US"/>
        </w:rPr>
        <w:t>taged as Ann Arbor stage IE, 22</w:t>
      </w:r>
      <w:r w:rsidR="002234C1" w:rsidRPr="00013472">
        <w:rPr>
          <w:lang w:val="en-US"/>
        </w:rPr>
        <w:t>% as IIE, 9</w:t>
      </w:r>
      <w:r w:rsidR="001C3674" w:rsidRPr="00013472">
        <w:rPr>
          <w:lang w:val="en-US"/>
        </w:rPr>
        <w:t>% as IIIE, and 9</w:t>
      </w:r>
      <w:r w:rsidR="002234C1" w:rsidRPr="00013472">
        <w:rPr>
          <w:lang w:val="en-US"/>
        </w:rPr>
        <w:t>% as stage IVE (</w:t>
      </w:r>
      <w:r w:rsidR="00E97F69" w:rsidRPr="00013472">
        <w:rPr>
          <w:lang w:val="en-US"/>
        </w:rPr>
        <w:t>Table</w:t>
      </w:r>
      <w:r w:rsidR="002234C1" w:rsidRPr="00013472">
        <w:rPr>
          <w:lang w:val="en-US"/>
        </w:rPr>
        <w:t xml:space="preserve"> 2). </w:t>
      </w:r>
    </w:p>
    <w:p w14:paraId="61292848" w14:textId="77777777" w:rsidR="002234C1" w:rsidRPr="00013472" w:rsidRDefault="002234C1" w:rsidP="002234C1">
      <w:pPr>
        <w:pStyle w:val="Heading4"/>
        <w:spacing w:line="480" w:lineRule="auto"/>
        <w:rPr>
          <w:lang w:val="en-US"/>
        </w:rPr>
      </w:pPr>
      <w:r w:rsidRPr="00013472">
        <w:rPr>
          <w:lang w:val="en-US"/>
        </w:rPr>
        <w:t>Treatment</w:t>
      </w:r>
    </w:p>
    <w:p w14:paraId="02FB445A" w14:textId="691A1727" w:rsidR="002234C1" w:rsidRPr="00013472" w:rsidRDefault="002234C1" w:rsidP="002234C1">
      <w:pPr>
        <w:spacing w:line="480" w:lineRule="auto"/>
        <w:rPr>
          <w:lang w:val="en-US"/>
        </w:rPr>
      </w:pPr>
      <w:r w:rsidRPr="00013472">
        <w:rPr>
          <w:lang w:val="en-US"/>
        </w:rPr>
        <w:t>Treatment information was available in 24 out of 26 patients (9</w:t>
      </w:r>
      <w:r w:rsidR="001C3674" w:rsidRPr="00013472">
        <w:rPr>
          <w:lang w:val="en-US"/>
        </w:rPr>
        <w:t>2</w:t>
      </w:r>
      <w:r w:rsidRPr="00013472">
        <w:rPr>
          <w:lang w:val="en-US"/>
        </w:rPr>
        <w:t>%). Patients with Ann Arbor stage IE were primarily treat</w:t>
      </w:r>
      <w:r w:rsidR="001C3674" w:rsidRPr="00013472">
        <w:rPr>
          <w:lang w:val="en-US"/>
        </w:rPr>
        <w:t>ed with EBRT as monotherapy (46</w:t>
      </w:r>
      <w:r w:rsidRPr="00013472">
        <w:rPr>
          <w:lang w:val="en-US"/>
        </w:rPr>
        <w:t>%) or EBRT in co</w:t>
      </w:r>
      <w:r w:rsidR="001C3674" w:rsidRPr="00013472">
        <w:rPr>
          <w:lang w:val="en-US"/>
        </w:rPr>
        <w:t>mbination with chemotherapy (38</w:t>
      </w:r>
      <w:r w:rsidRPr="00013472">
        <w:rPr>
          <w:lang w:val="en-US"/>
        </w:rPr>
        <w:t>%)(</w:t>
      </w:r>
      <w:r w:rsidR="00E97F69" w:rsidRPr="00013472">
        <w:rPr>
          <w:lang w:val="en-US"/>
        </w:rPr>
        <w:t>Table</w:t>
      </w:r>
      <w:r w:rsidRPr="00013472">
        <w:rPr>
          <w:lang w:val="en-US"/>
        </w:rPr>
        <w:t xml:space="preserve"> 4). The median radiation dose was 26 </w:t>
      </w:r>
      <w:proofErr w:type="spellStart"/>
      <w:r w:rsidRPr="00013472">
        <w:rPr>
          <w:lang w:val="en-US"/>
        </w:rPr>
        <w:t>Gy</w:t>
      </w:r>
      <w:proofErr w:type="spellEnd"/>
      <w:r w:rsidRPr="00013472">
        <w:rPr>
          <w:lang w:val="en-US"/>
        </w:rPr>
        <w:t xml:space="preserve"> (range 4-30 </w:t>
      </w:r>
      <w:proofErr w:type="spellStart"/>
      <w:r w:rsidRPr="00013472">
        <w:rPr>
          <w:lang w:val="en-US"/>
        </w:rPr>
        <w:t>Gy</w:t>
      </w:r>
      <w:proofErr w:type="spellEnd"/>
      <w:r w:rsidRPr="00013472">
        <w:rPr>
          <w:lang w:val="en-US"/>
        </w:rPr>
        <w:t>, registered in 5 patients)</w:t>
      </w:r>
      <w:r w:rsidR="003E6936" w:rsidRPr="00013472">
        <w:rPr>
          <w:lang w:val="en-US"/>
        </w:rPr>
        <w:t xml:space="preserve"> most commonly </w:t>
      </w:r>
      <w:r w:rsidR="00BA2E0C" w:rsidRPr="00013472">
        <w:rPr>
          <w:lang w:val="en-US"/>
        </w:rPr>
        <w:t xml:space="preserve">delivered </w:t>
      </w:r>
      <w:r w:rsidR="003E6936" w:rsidRPr="00013472">
        <w:rPr>
          <w:lang w:val="en-US"/>
        </w:rPr>
        <w:t xml:space="preserve">in 13 fractions of 2 </w:t>
      </w:r>
      <w:proofErr w:type="spellStart"/>
      <w:r w:rsidR="003E6936" w:rsidRPr="00013472">
        <w:rPr>
          <w:lang w:val="en-US"/>
        </w:rPr>
        <w:t>Gy</w:t>
      </w:r>
      <w:proofErr w:type="spellEnd"/>
      <w:r w:rsidRPr="00013472">
        <w:rPr>
          <w:lang w:val="en-US"/>
        </w:rPr>
        <w:t>. For patients receiving chemotherapy</w:t>
      </w:r>
      <w:r w:rsidR="00BA2E0C" w:rsidRPr="00013472">
        <w:rPr>
          <w:lang w:val="en-US"/>
        </w:rPr>
        <w:t>,</w:t>
      </w:r>
      <w:r w:rsidRPr="00013472">
        <w:rPr>
          <w:lang w:val="en-US"/>
        </w:rPr>
        <w:t xml:space="preserve"> combination </w:t>
      </w:r>
      <w:r w:rsidR="00B013BE" w:rsidRPr="00013472">
        <w:rPr>
          <w:lang w:val="en-US"/>
        </w:rPr>
        <w:t>regimen</w:t>
      </w:r>
      <w:r w:rsidRPr="00013472">
        <w:rPr>
          <w:lang w:val="en-US"/>
        </w:rPr>
        <w:t>s</w:t>
      </w:r>
      <w:r w:rsidR="000A4338" w:rsidRPr="00013472">
        <w:rPr>
          <w:lang w:val="en-US"/>
        </w:rPr>
        <w:t>,</w:t>
      </w:r>
      <w:r w:rsidRPr="00013472">
        <w:rPr>
          <w:lang w:val="en-US"/>
        </w:rPr>
        <w:t xml:space="preserve"> such as CHOP (cyclophosphamide, </w:t>
      </w:r>
      <w:proofErr w:type="spellStart"/>
      <w:r w:rsidRPr="00013472">
        <w:rPr>
          <w:lang w:val="en-US"/>
        </w:rPr>
        <w:t>hydroxydaunorubicin</w:t>
      </w:r>
      <w:proofErr w:type="spellEnd"/>
      <w:r w:rsidRPr="00013472">
        <w:rPr>
          <w:lang w:val="en-US"/>
        </w:rPr>
        <w:t xml:space="preserve">, </w:t>
      </w:r>
      <w:proofErr w:type="spellStart"/>
      <w:r w:rsidRPr="00013472">
        <w:rPr>
          <w:lang w:val="en-US"/>
        </w:rPr>
        <w:t>vincristin</w:t>
      </w:r>
      <w:proofErr w:type="spellEnd"/>
      <w:r w:rsidRPr="00013472">
        <w:rPr>
          <w:lang w:val="en-US"/>
        </w:rPr>
        <w:t>, prednisone)</w:t>
      </w:r>
      <w:r w:rsidR="000A4338" w:rsidRPr="00013472">
        <w:rPr>
          <w:lang w:val="en-US"/>
        </w:rPr>
        <w:t>,</w:t>
      </w:r>
      <w:r w:rsidRPr="00013472">
        <w:rPr>
          <w:lang w:val="en-US"/>
        </w:rPr>
        <w:t xml:space="preserve"> were commonly used. </w:t>
      </w:r>
    </w:p>
    <w:p w14:paraId="7C79DD46" w14:textId="77777777" w:rsidR="002234C1" w:rsidRPr="00013472" w:rsidRDefault="002234C1" w:rsidP="002234C1">
      <w:pPr>
        <w:pStyle w:val="Heading4"/>
        <w:spacing w:line="480" w:lineRule="auto"/>
        <w:rPr>
          <w:lang w:val="en-US"/>
        </w:rPr>
      </w:pPr>
      <w:r w:rsidRPr="00013472">
        <w:rPr>
          <w:lang w:val="en-US"/>
        </w:rPr>
        <w:lastRenderedPageBreak/>
        <w:t>Treatment outcome and survival</w:t>
      </w:r>
    </w:p>
    <w:p w14:paraId="5F063D2A" w14:textId="18B25F37" w:rsidR="002234C1" w:rsidRPr="00013472" w:rsidRDefault="002234C1" w:rsidP="002234C1">
      <w:pPr>
        <w:spacing w:line="480" w:lineRule="auto"/>
        <w:rPr>
          <w:lang w:val="en-US"/>
        </w:rPr>
      </w:pPr>
      <w:r w:rsidRPr="00013472">
        <w:rPr>
          <w:lang w:val="en-US"/>
        </w:rPr>
        <w:t>42</w:t>
      </w:r>
      <w:r w:rsidR="001C3674" w:rsidRPr="00013472">
        <w:rPr>
          <w:lang w:val="en-US"/>
        </w:rPr>
        <w:t>%</w:t>
      </w:r>
      <w:r w:rsidRPr="00013472">
        <w:rPr>
          <w:lang w:val="en-US"/>
        </w:rPr>
        <w:t xml:space="preserve"> </w:t>
      </w:r>
      <w:r w:rsidR="003E43A1">
        <w:rPr>
          <w:lang w:val="en-US"/>
        </w:rPr>
        <w:t>(n</w:t>
      </w:r>
      <w:proofErr w:type="gramStart"/>
      <w:r w:rsidR="003E43A1">
        <w:rPr>
          <w:lang w:val="en-US"/>
        </w:rPr>
        <w:t>= ?</w:t>
      </w:r>
      <w:proofErr w:type="gramEnd"/>
      <w:r w:rsidR="003E43A1">
        <w:rPr>
          <w:lang w:val="en-US"/>
        </w:rPr>
        <w:t xml:space="preserve">) </w:t>
      </w:r>
      <w:r w:rsidRPr="00013472">
        <w:rPr>
          <w:lang w:val="en-US"/>
        </w:rPr>
        <w:t xml:space="preserve">of </w:t>
      </w:r>
      <w:r w:rsidR="00701895" w:rsidRPr="00013472">
        <w:rPr>
          <w:lang w:val="en-US"/>
        </w:rPr>
        <w:t xml:space="preserve">FL </w:t>
      </w:r>
      <w:r w:rsidRPr="00013472">
        <w:rPr>
          <w:lang w:val="en-US"/>
        </w:rPr>
        <w:t>patients had complete remission while 19</w:t>
      </w:r>
      <w:r w:rsidR="001C3674" w:rsidRPr="00013472">
        <w:rPr>
          <w:lang w:val="en-US"/>
        </w:rPr>
        <w:t>%</w:t>
      </w:r>
      <w:r w:rsidRPr="00013472">
        <w:rPr>
          <w:lang w:val="en-US"/>
        </w:rPr>
        <w:t xml:space="preserve"> </w:t>
      </w:r>
      <w:r w:rsidR="003E43A1">
        <w:rPr>
          <w:lang w:val="en-US"/>
        </w:rPr>
        <w:t xml:space="preserve">(n= ?) </w:t>
      </w:r>
      <w:r w:rsidRPr="00013472">
        <w:rPr>
          <w:lang w:val="en-US"/>
        </w:rPr>
        <w:t xml:space="preserve">of patients </w:t>
      </w:r>
      <w:r w:rsidR="00BA2E0C" w:rsidRPr="00013472">
        <w:rPr>
          <w:lang w:val="en-US"/>
        </w:rPr>
        <w:t>died</w:t>
      </w:r>
      <w:r w:rsidRPr="00013472">
        <w:rPr>
          <w:lang w:val="en-US"/>
        </w:rPr>
        <w:t xml:space="preserve"> of lymphoma (</w:t>
      </w:r>
      <w:r w:rsidR="00E97F69" w:rsidRPr="00013472">
        <w:rPr>
          <w:lang w:val="en-US"/>
        </w:rPr>
        <w:t>Table</w:t>
      </w:r>
      <w:r w:rsidRPr="00013472">
        <w:rPr>
          <w:lang w:val="en-US"/>
        </w:rPr>
        <w:t xml:space="preserve"> 2). The median follow</w:t>
      </w:r>
      <w:r w:rsidR="000A4338" w:rsidRPr="00013472">
        <w:rPr>
          <w:lang w:val="en-US"/>
        </w:rPr>
        <w:t>-</w:t>
      </w:r>
      <w:r w:rsidRPr="00013472">
        <w:rPr>
          <w:lang w:val="en-US"/>
        </w:rPr>
        <w:t xml:space="preserve">up period was 67 months (range 0-223 months). </w:t>
      </w:r>
      <w:r w:rsidR="00F97009" w:rsidRPr="00013472">
        <w:rPr>
          <w:lang w:val="en-US"/>
        </w:rPr>
        <w:t xml:space="preserve"> </w:t>
      </w:r>
      <w:r w:rsidR="00621FF1" w:rsidRPr="00013472">
        <w:rPr>
          <w:lang w:val="en-US"/>
        </w:rPr>
        <w:t>13 patients (</w:t>
      </w:r>
      <w:r w:rsidRPr="00013472">
        <w:rPr>
          <w:lang w:val="en-US"/>
        </w:rPr>
        <w:t>54</w:t>
      </w:r>
      <w:r w:rsidR="001C3674" w:rsidRPr="00013472">
        <w:rPr>
          <w:lang w:val="en-US"/>
        </w:rPr>
        <w:t>%</w:t>
      </w:r>
      <w:r w:rsidR="00621FF1" w:rsidRPr="00013472">
        <w:rPr>
          <w:lang w:val="en-US"/>
        </w:rPr>
        <w:t>)</w:t>
      </w:r>
      <w:r w:rsidRPr="00013472">
        <w:rPr>
          <w:lang w:val="en-US"/>
        </w:rPr>
        <w:t xml:space="preserve"> had either relapse or progression of their disease (</w:t>
      </w:r>
      <w:r w:rsidR="00E97F69" w:rsidRPr="00013472">
        <w:rPr>
          <w:lang w:val="en-US"/>
        </w:rPr>
        <w:t>Table</w:t>
      </w:r>
      <w:r w:rsidRPr="00013472">
        <w:rPr>
          <w:lang w:val="en-US"/>
        </w:rPr>
        <w:t xml:space="preserve"> 2)</w:t>
      </w:r>
      <w:r w:rsidR="00253A37" w:rsidRPr="00013472">
        <w:rPr>
          <w:lang w:val="en-US"/>
        </w:rPr>
        <w:t xml:space="preserve"> with a median duration</w:t>
      </w:r>
      <w:r w:rsidR="00F8490D" w:rsidRPr="00013472">
        <w:rPr>
          <w:lang w:val="en-US"/>
        </w:rPr>
        <w:t xml:space="preserve"> before relapse/progression of</w:t>
      </w:r>
      <w:r w:rsidR="00253A37" w:rsidRPr="00013472">
        <w:rPr>
          <w:lang w:val="en-US"/>
        </w:rPr>
        <w:t xml:space="preserve"> 43 months (range 7-218 months) (time to relapse/progression accessible in 8 out of 13 patients).</w:t>
      </w:r>
      <w:r w:rsidR="00BA2E0C" w:rsidRPr="00013472">
        <w:rPr>
          <w:lang w:val="en-US"/>
        </w:rPr>
        <w:t xml:space="preserve"> 5-</w:t>
      </w:r>
      <w:r w:rsidRPr="00013472">
        <w:rPr>
          <w:lang w:val="en-US"/>
        </w:rPr>
        <w:t xml:space="preserve"> and 10-year </w:t>
      </w:r>
      <w:r w:rsidR="00C26A89" w:rsidRPr="00013472">
        <w:rPr>
          <w:lang w:val="en-US"/>
        </w:rPr>
        <w:t>OS</w:t>
      </w:r>
      <w:r w:rsidR="00BA2E0C" w:rsidRPr="00013472">
        <w:rPr>
          <w:lang w:val="en-US"/>
        </w:rPr>
        <w:t xml:space="preserve"> were</w:t>
      </w:r>
      <w:r w:rsidRPr="00013472">
        <w:rPr>
          <w:lang w:val="en-US"/>
        </w:rPr>
        <w:t xml:space="preserve"> 86.5</w:t>
      </w:r>
      <w:r w:rsidR="001C3674" w:rsidRPr="00013472">
        <w:rPr>
          <w:lang w:val="en-US"/>
        </w:rPr>
        <w:t>%</w:t>
      </w:r>
      <w:r w:rsidRPr="00013472">
        <w:rPr>
          <w:lang w:val="en-US"/>
        </w:rPr>
        <w:t>, and 69.5</w:t>
      </w:r>
      <w:r w:rsidR="001C3674" w:rsidRPr="00013472">
        <w:rPr>
          <w:lang w:val="en-US"/>
        </w:rPr>
        <w:t>%</w:t>
      </w:r>
      <w:r w:rsidRPr="00013472">
        <w:rPr>
          <w:lang w:val="en-US"/>
        </w:rPr>
        <w:t>, respectively (median OS, 177 months, 95</w:t>
      </w:r>
      <w:r w:rsidR="001C3674" w:rsidRPr="00013472">
        <w:rPr>
          <w:lang w:val="en-US"/>
        </w:rPr>
        <w:t>%</w:t>
      </w:r>
      <w:r w:rsidR="00BA2E0C" w:rsidRPr="00013472">
        <w:rPr>
          <w:lang w:val="en-US"/>
        </w:rPr>
        <w:t xml:space="preserve"> CI 42-312 months). 5-</w:t>
      </w:r>
      <w:r w:rsidRPr="00013472">
        <w:rPr>
          <w:lang w:val="en-US"/>
        </w:rPr>
        <w:t xml:space="preserve"> and 10-year </w:t>
      </w:r>
      <w:r w:rsidR="00C26A89" w:rsidRPr="00013472">
        <w:rPr>
          <w:lang w:val="en-US"/>
        </w:rPr>
        <w:t>DSS</w:t>
      </w:r>
      <w:r w:rsidR="00BA2E0C" w:rsidRPr="00013472">
        <w:rPr>
          <w:lang w:val="en-US"/>
        </w:rPr>
        <w:t xml:space="preserve"> were</w:t>
      </w:r>
      <w:r w:rsidRPr="00013472">
        <w:rPr>
          <w:lang w:val="en-US"/>
        </w:rPr>
        <w:t xml:space="preserve"> 86.5</w:t>
      </w:r>
      <w:r w:rsidR="001C3674" w:rsidRPr="00013472">
        <w:rPr>
          <w:lang w:val="en-US"/>
        </w:rPr>
        <w:t>%</w:t>
      </w:r>
      <w:r w:rsidRPr="00013472">
        <w:rPr>
          <w:lang w:val="en-US"/>
        </w:rPr>
        <w:t xml:space="preserve"> and 69.5</w:t>
      </w:r>
      <w:r w:rsidR="001C3674" w:rsidRPr="00013472">
        <w:rPr>
          <w:lang w:val="en-US"/>
        </w:rPr>
        <w:t>%</w:t>
      </w:r>
      <w:r w:rsidRPr="00013472">
        <w:rPr>
          <w:lang w:val="en-US"/>
        </w:rPr>
        <w:t xml:space="preserve"> (</w:t>
      </w:r>
      <w:r w:rsidR="00F352E0" w:rsidRPr="00013472">
        <w:rPr>
          <w:lang w:val="en-US"/>
        </w:rPr>
        <w:t>Figure</w:t>
      </w:r>
      <w:r w:rsidR="00284E3D" w:rsidRPr="00013472">
        <w:rPr>
          <w:lang w:val="en-US"/>
        </w:rPr>
        <w:t xml:space="preserve"> 2</w:t>
      </w:r>
      <w:r w:rsidRPr="00013472">
        <w:rPr>
          <w:lang w:val="en-US"/>
        </w:rPr>
        <w:t xml:space="preserve">). </w:t>
      </w:r>
    </w:p>
    <w:p w14:paraId="0D654E7A" w14:textId="77777777" w:rsidR="002234C1" w:rsidRPr="00013472" w:rsidRDefault="002234C1" w:rsidP="002234C1">
      <w:pPr>
        <w:spacing w:line="480" w:lineRule="auto"/>
        <w:rPr>
          <w:lang w:val="en-US"/>
        </w:rPr>
      </w:pPr>
      <w:r w:rsidRPr="00013472">
        <w:rPr>
          <w:lang w:val="en-US"/>
        </w:rPr>
        <w:t>For localized FL stage IE there was no significant difference in DSS between patients treated with a combination regimen of EBRT and chemotherapy compared to patients treated with EBRT as monotherapy (</w:t>
      </w:r>
      <w:r w:rsidRPr="00013472">
        <w:rPr>
          <w:i/>
          <w:lang w:val="en-US"/>
        </w:rPr>
        <w:t>P</w:t>
      </w:r>
      <w:r w:rsidRPr="00013472">
        <w:rPr>
          <w:lang w:val="en-US"/>
        </w:rPr>
        <w:t xml:space="preserve">=0.80, log rank test).  </w:t>
      </w:r>
    </w:p>
    <w:p w14:paraId="5943DB1A" w14:textId="2FE8D930" w:rsidR="002234C1" w:rsidRPr="00013472" w:rsidRDefault="00C32DD1" w:rsidP="002234C1">
      <w:pPr>
        <w:pStyle w:val="Heading3"/>
        <w:spacing w:line="480" w:lineRule="auto"/>
        <w:rPr>
          <w:lang w:val="en-US"/>
        </w:rPr>
      </w:pPr>
      <w:r w:rsidRPr="00013472">
        <w:rPr>
          <w:lang w:val="en-US"/>
        </w:rPr>
        <w:t>Diffuse Large B-cell lymphoma</w:t>
      </w:r>
    </w:p>
    <w:p w14:paraId="1B396BF5" w14:textId="77777777" w:rsidR="002234C1" w:rsidRPr="00013472" w:rsidRDefault="002234C1" w:rsidP="002234C1">
      <w:pPr>
        <w:pStyle w:val="Heading4"/>
        <w:spacing w:line="480" w:lineRule="auto"/>
        <w:rPr>
          <w:lang w:val="en-US"/>
        </w:rPr>
      </w:pPr>
      <w:r w:rsidRPr="00013472">
        <w:rPr>
          <w:lang w:val="en-US"/>
        </w:rPr>
        <w:t>Clinical findings</w:t>
      </w:r>
    </w:p>
    <w:p w14:paraId="6F09BD6A" w14:textId="0F3FE403" w:rsidR="002234C1" w:rsidRPr="00013472" w:rsidRDefault="002234C1" w:rsidP="002234C1">
      <w:pPr>
        <w:spacing w:line="480" w:lineRule="auto"/>
        <w:rPr>
          <w:lang w:val="en-US"/>
        </w:rPr>
      </w:pPr>
      <w:r w:rsidRPr="00013472">
        <w:rPr>
          <w:lang w:val="en-US"/>
        </w:rPr>
        <w:t>Twenty-six cases (10</w:t>
      </w:r>
      <w:r w:rsidR="001C3674" w:rsidRPr="00013472">
        <w:rPr>
          <w:lang w:val="en-US"/>
        </w:rPr>
        <w:t>%</w:t>
      </w:r>
      <w:r w:rsidRPr="00013472">
        <w:rPr>
          <w:lang w:val="en-US"/>
        </w:rPr>
        <w:t>) of DLBCL of the lacrimal gland were identified with 58</w:t>
      </w:r>
      <w:r w:rsidR="001C3674" w:rsidRPr="00013472">
        <w:rPr>
          <w:lang w:val="en-US"/>
        </w:rPr>
        <w:t>%</w:t>
      </w:r>
      <w:r w:rsidRPr="00013472">
        <w:rPr>
          <w:lang w:val="en-US"/>
        </w:rPr>
        <w:t xml:space="preserve"> of cases being primary lymphoma of the lacrimal gland</w:t>
      </w:r>
      <w:r w:rsidR="00352DFC" w:rsidRPr="00013472">
        <w:rPr>
          <w:lang w:val="en-US"/>
        </w:rPr>
        <w:t xml:space="preserve"> (Table 2)</w:t>
      </w:r>
      <w:r w:rsidRPr="00013472">
        <w:rPr>
          <w:lang w:val="en-US"/>
        </w:rPr>
        <w:t xml:space="preserve">. The median age was 68 years (range 28-85 years) </w:t>
      </w:r>
      <w:r w:rsidR="00211604" w:rsidRPr="00013472">
        <w:rPr>
          <w:lang w:val="en-US"/>
        </w:rPr>
        <w:t>and 58</w:t>
      </w:r>
      <w:r w:rsidR="00352DFC" w:rsidRPr="00013472">
        <w:rPr>
          <w:lang w:val="en-US"/>
        </w:rPr>
        <w:t xml:space="preserve">% of patients were women (n=15) </w:t>
      </w:r>
      <w:r w:rsidRPr="00013472">
        <w:rPr>
          <w:lang w:val="en-US"/>
        </w:rPr>
        <w:t>(</w:t>
      </w:r>
      <w:r w:rsidR="00E97F69" w:rsidRPr="00013472">
        <w:rPr>
          <w:lang w:val="en-US"/>
        </w:rPr>
        <w:t>Table</w:t>
      </w:r>
      <w:r w:rsidR="00352DFC" w:rsidRPr="00013472">
        <w:rPr>
          <w:lang w:val="en-US"/>
        </w:rPr>
        <w:t>s 1 and 2).</w:t>
      </w:r>
      <w:r w:rsidR="00C32DD1" w:rsidRPr="00013472">
        <w:rPr>
          <w:lang w:val="en-US"/>
        </w:rPr>
        <w:t xml:space="preserve"> </w:t>
      </w:r>
      <w:r w:rsidRPr="00013472">
        <w:rPr>
          <w:lang w:val="en-US"/>
        </w:rPr>
        <w:t>65</w:t>
      </w:r>
      <w:r w:rsidR="001C3674" w:rsidRPr="00013472">
        <w:rPr>
          <w:lang w:val="en-US"/>
        </w:rPr>
        <w:t>%</w:t>
      </w:r>
      <w:r w:rsidR="00701895" w:rsidRPr="00013472">
        <w:rPr>
          <w:lang w:val="en-US"/>
        </w:rPr>
        <w:t xml:space="preserve"> of patients were staged</w:t>
      </w:r>
      <w:r w:rsidRPr="00013472">
        <w:rPr>
          <w:lang w:val="en-US"/>
        </w:rPr>
        <w:t xml:space="preserve"> as Ann Arbor stage IE, 15</w:t>
      </w:r>
      <w:r w:rsidR="001C3674" w:rsidRPr="00013472">
        <w:rPr>
          <w:lang w:val="en-US"/>
        </w:rPr>
        <w:t>%</w:t>
      </w:r>
      <w:r w:rsidRPr="00013472">
        <w:rPr>
          <w:lang w:val="en-US"/>
        </w:rPr>
        <w:t xml:space="preserve"> as IIE, and 19</w:t>
      </w:r>
      <w:r w:rsidR="001C3674" w:rsidRPr="00013472">
        <w:rPr>
          <w:lang w:val="en-US"/>
        </w:rPr>
        <w:t>%</w:t>
      </w:r>
      <w:r w:rsidRPr="00013472">
        <w:rPr>
          <w:lang w:val="en-US"/>
        </w:rPr>
        <w:t xml:space="preserve"> as stage IVE (</w:t>
      </w:r>
      <w:r w:rsidR="00E97F69" w:rsidRPr="00013472">
        <w:rPr>
          <w:lang w:val="en-US"/>
        </w:rPr>
        <w:t>Table</w:t>
      </w:r>
      <w:r w:rsidRPr="00013472">
        <w:rPr>
          <w:lang w:val="en-US"/>
        </w:rPr>
        <w:t xml:space="preserve"> 2). </w:t>
      </w:r>
    </w:p>
    <w:p w14:paraId="63B48989" w14:textId="77777777" w:rsidR="002234C1" w:rsidRPr="00013472" w:rsidRDefault="002234C1" w:rsidP="002234C1">
      <w:pPr>
        <w:pStyle w:val="Heading4"/>
        <w:spacing w:line="480" w:lineRule="auto"/>
        <w:rPr>
          <w:lang w:val="en-US"/>
        </w:rPr>
      </w:pPr>
      <w:r w:rsidRPr="00013472">
        <w:rPr>
          <w:lang w:val="en-US"/>
        </w:rPr>
        <w:t>Treatment</w:t>
      </w:r>
    </w:p>
    <w:p w14:paraId="200D3AB1" w14:textId="6A333373" w:rsidR="002234C1" w:rsidRPr="00013472" w:rsidRDefault="002234C1" w:rsidP="002234C1">
      <w:pPr>
        <w:spacing w:line="480" w:lineRule="auto"/>
        <w:rPr>
          <w:lang w:val="en-US"/>
        </w:rPr>
      </w:pPr>
      <w:r w:rsidRPr="00013472">
        <w:rPr>
          <w:lang w:val="en-US"/>
        </w:rPr>
        <w:t>Treatment information was available for all patients. Stage IE patients were primarily treated with chemotherapy in combination with EBRT (n=10, 59</w:t>
      </w:r>
      <w:r w:rsidR="001C3674" w:rsidRPr="00013472">
        <w:rPr>
          <w:lang w:val="en-US"/>
        </w:rPr>
        <w:t>%</w:t>
      </w:r>
      <w:r w:rsidRPr="00013472">
        <w:rPr>
          <w:lang w:val="en-US"/>
        </w:rPr>
        <w:t xml:space="preserve">). </w:t>
      </w:r>
      <w:r w:rsidR="003E6936" w:rsidRPr="00013472">
        <w:rPr>
          <w:lang w:val="en-US"/>
        </w:rPr>
        <w:t>P</w:t>
      </w:r>
      <w:r w:rsidRPr="00013472">
        <w:rPr>
          <w:lang w:val="en-US"/>
        </w:rPr>
        <w:t xml:space="preserve">atients with stage IIE and IVE were primarily treated with chemotherapy in combination with rituximab with the most common </w:t>
      </w:r>
      <w:r w:rsidR="00B013BE" w:rsidRPr="00013472">
        <w:rPr>
          <w:lang w:val="en-US"/>
        </w:rPr>
        <w:t>regimen</w:t>
      </w:r>
      <w:r w:rsidRPr="00013472">
        <w:rPr>
          <w:lang w:val="en-US"/>
        </w:rPr>
        <w:t xml:space="preserve"> being R-CHOP (IIE: n=3, 75</w:t>
      </w:r>
      <w:r w:rsidR="001C3674" w:rsidRPr="00013472">
        <w:rPr>
          <w:lang w:val="en-US"/>
        </w:rPr>
        <w:t>%</w:t>
      </w:r>
      <w:r w:rsidRPr="00013472">
        <w:rPr>
          <w:lang w:val="en-US"/>
        </w:rPr>
        <w:t>; IVE: n=3, 60</w:t>
      </w:r>
      <w:r w:rsidR="001C3674" w:rsidRPr="00013472">
        <w:rPr>
          <w:lang w:val="en-US"/>
        </w:rPr>
        <w:t>%</w:t>
      </w:r>
      <w:r w:rsidRPr="00013472">
        <w:rPr>
          <w:lang w:val="en-US"/>
        </w:rPr>
        <w:t>) (</w:t>
      </w:r>
      <w:r w:rsidR="00E97F69" w:rsidRPr="00013472">
        <w:rPr>
          <w:lang w:val="en-US"/>
        </w:rPr>
        <w:t>Table</w:t>
      </w:r>
      <w:r w:rsidRPr="00013472">
        <w:rPr>
          <w:lang w:val="en-US"/>
        </w:rPr>
        <w:t xml:space="preserve"> 4).</w:t>
      </w:r>
    </w:p>
    <w:p w14:paraId="01C3E40F" w14:textId="77777777" w:rsidR="002234C1" w:rsidRPr="00013472" w:rsidRDefault="002234C1" w:rsidP="002234C1">
      <w:pPr>
        <w:pStyle w:val="Heading4"/>
        <w:spacing w:line="480" w:lineRule="auto"/>
        <w:rPr>
          <w:lang w:val="en-US"/>
        </w:rPr>
      </w:pPr>
      <w:r w:rsidRPr="00013472">
        <w:rPr>
          <w:lang w:val="en-US"/>
        </w:rPr>
        <w:lastRenderedPageBreak/>
        <w:t>Treatment outcome and survival</w:t>
      </w:r>
    </w:p>
    <w:p w14:paraId="26C88008" w14:textId="1FCCB817" w:rsidR="002234C1" w:rsidRPr="00013472" w:rsidRDefault="002234C1" w:rsidP="002234C1">
      <w:pPr>
        <w:spacing w:line="480" w:lineRule="auto"/>
        <w:rPr>
          <w:lang w:val="en-US"/>
        </w:rPr>
      </w:pPr>
      <w:r w:rsidRPr="00013472">
        <w:rPr>
          <w:lang w:val="en-US"/>
        </w:rPr>
        <w:t>36</w:t>
      </w:r>
      <w:r w:rsidR="001C3674" w:rsidRPr="00013472">
        <w:rPr>
          <w:lang w:val="en-US"/>
        </w:rPr>
        <w:t>%</w:t>
      </w:r>
      <w:r w:rsidRPr="00013472">
        <w:rPr>
          <w:lang w:val="en-US"/>
        </w:rPr>
        <w:t xml:space="preserve"> of </w:t>
      </w:r>
      <w:r w:rsidR="00701895" w:rsidRPr="00013472">
        <w:rPr>
          <w:lang w:val="en-US"/>
        </w:rPr>
        <w:t xml:space="preserve">DLBCL </w:t>
      </w:r>
      <w:r w:rsidRPr="00013472">
        <w:rPr>
          <w:lang w:val="en-US"/>
        </w:rPr>
        <w:t>patients (n=9) had complete remission of disease, 28</w:t>
      </w:r>
      <w:r w:rsidR="001C3674" w:rsidRPr="00013472">
        <w:rPr>
          <w:lang w:val="en-US"/>
        </w:rPr>
        <w:t>%</w:t>
      </w:r>
      <w:r w:rsidR="0026030E" w:rsidRPr="00013472">
        <w:rPr>
          <w:lang w:val="en-US"/>
        </w:rPr>
        <w:t xml:space="preserve"> (n=7) died</w:t>
      </w:r>
      <w:r w:rsidRPr="00013472">
        <w:rPr>
          <w:lang w:val="en-US"/>
        </w:rPr>
        <w:t xml:space="preserve"> of lymphoma</w:t>
      </w:r>
      <w:r w:rsidR="00A63697" w:rsidRPr="00013472">
        <w:rPr>
          <w:lang w:val="en-US"/>
        </w:rPr>
        <w:t>,</w:t>
      </w:r>
      <w:r w:rsidRPr="00013472">
        <w:rPr>
          <w:lang w:val="en-US"/>
        </w:rPr>
        <w:t xml:space="preserve"> and 28</w:t>
      </w:r>
      <w:r w:rsidR="001C3674" w:rsidRPr="00013472">
        <w:rPr>
          <w:lang w:val="en-US"/>
        </w:rPr>
        <w:t>%</w:t>
      </w:r>
      <w:r w:rsidRPr="00013472">
        <w:rPr>
          <w:lang w:val="en-US"/>
        </w:rPr>
        <w:t xml:space="preserve"> (n=7) were dead from other causes (</w:t>
      </w:r>
      <w:r w:rsidR="00E97F69" w:rsidRPr="00013472">
        <w:rPr>
          <w:lang w:val="en-US"/>
        </w:rPr>
        <w:t>Table</w:t>
      </w:r>
      <w:r w:rsidRPr="00013472">
        <w:rPr>
          <w:lang w:val="en-US"/>
        </w:rPr>
        <w:t xml:space="preserve"> 2). </w:t>
      </w:r>
      <w:r w:rsidR="00701895" w:rsidRPr="00013472">
        <w:rPr>
          <w:lang w:val="en-US"/>
        </w:rPr>
        <w:t>The m</w:t>
      </w:r>
      <w:r w:rsidRPr="00013472">
        <w:rPr>
          <w:lang w:val="en-US"/>
        </w:rPr>
        <w:t xml:space="preserve">edian follow-up </w:t>
      </w:r>
      <w:r w:rsidR="00701895" w:rsidRPr="00013472">
        <w:rPr>
          <w:lang w:val="en-US"/>
        </w:rPr>
        <w:t xml:space="preserve">period </w:t>
      </w:r>
      <w:r w:rsidRPr="00013472">
        <w:rPr>
          <w:lang w:val="en-US"/>
        </w:rPr>
        <w:t>was 15 months (range 0-135 months).</w:t>
      </w:r>
      <w:r w:rsidR="00F97009" w:rsidRPr="00013472">
        <w:rPr>
          <w:lang w:val="en-US"/>
        </w:rPr>
        <w:t xml:space="preserve"> </w:t>
      </w:r>
      <w:r w:rsidRPr="00013472">
        <w:rPr>
          <w:lang w:val="en-US"/>
        </w:rPr>
        <w:t>11 patients (46</w:t>
      </w:r>
      <w:r w:rsidR="001C3674" w:rsidRPr="00013472">
        <w:rPr>
          <w:lang w:val="en-US"/>
        </w:rPr>
        <w:t>%</w:t>
      </w:r>
      <w:r w:rsidRPr="00013472">
        <w:rPr>
          <w:lang w:val="en-US"/>
        </w:rPr>
        <w:t>) had progression or relapse of disease</w:t>
      </w:r>
      <w:r w:rsidR="00701895" w:rsidRPr="00013472">
        <w:rPr>
          <w:lang w:val="en-US"/>
        </w:rPr>
        <w:t xml:space="preserve"> (</w:t>
      </w:r>
      <w:r w:rsidR="00E97F69" w:rsidRPr="00013472">
        <w:rPr>
          <w:lang w:val="en-US"/>
        </w:rPr>
        <w:t>Table</w:t>
      </w:r>
      <w:r w:rsidR="00701895" w:rsidRPr="00013472">
        <w:rPr>
          <w:lang w:val="en-US"/>
        </w:rPr>
        <w:t xml:space="preserve"> 2) with a median durati</w:t>
      </w:r>
      <w:r w:rsidR="00F8490D" w:rsidRPr="00013472">
        <w:rPr>
          <w:lang w:val="en-US"/>
        </w:rPr>
        <w:t>on before relapse/progression of</w:t>
      </w:r>
      <w:r w:rsidR="00701895" w:rsidRPr="00013472">
        <w:rPr>
          <w:lang w:val="en-US"/>
        </w:rPr>
        <w:t xml:space="preserve"> 17 months (range 15-19 months) (time to relapse/progression accessible in 2 out of 11 patients). </w:t>
      </w:r>
      <w:r w:rsidR="0026030E" w:rsidRPr="00013472">
        <w:rPr>
          <w:lang w:val="en-US"/>
        </w:rPr>
        <w:t>3-</w:t>
      </w:r>
      <w:r w:rsidRPr="00013472">
        <w:rPr>
          <w:lang w:val="en-US"/>
        </w:rPr>
        <w:t xml:space="preserve"> and 5-year </w:t>
      </w:r>
      <w:r w:rsidR="00C26A89" w:rsidRPr="00013472">
        <w:rPr>
          <w:lang w:val="en-US"/>
        </w:rPr>
        <w:t>OS</w:t>
      </w:r>
      <w:r w:rsidR="0026030E" w:rsidRPr="00013472">
        <w:rPr>
          <w:lang w:val="en-US"/>
        </w:rPr>
        <w:t xml:space="preserve"> were</w:t>
      </w:r>
      <w:r w:rsidRPr="00013472">
        <w:rPr>
          <w:lang w:val="en-US"/>
        </w:rPr>
        <w:t xml:space="preserve"> 51.8 and 31.1</w:t>
      </w:r>
      <w:r w:rsidR="001C3674" w:rsidRPr="00013472">
        <w:rPr>
          <w:lang w:val="en-US"/>
        </w:rPr>
        <w:t>%</w:t>
      </w:r>
      <w:r w:rsidR="0034066C" w:rsidRPr="00013472">
        <w:rPr>
          <w:lang w:val="en-US"/>
        </w:rPr>
        <w:t>,</w:t>
      </w:r>
      <w:r w:rsidRPr="00013472">
        <w:rPr>
          <w:lang w:val="en-US"/>
        </w:rPr>
        <w:t xml:space="preserve"> respectively (median OS, 39 months, 95</w:t>
      </w:r>
      <w:r w:rsidR="001C3674" w:rsidRPr="00013472">
        <w:rPr>
          <w:lang w:val="en-US"/>
        </w:rPr>
        <w:t>%</w:t>
      </w:r>
      <w:r w:rsidR="0026030E" w:rsidRPr="00013472">
        <w:rPr>
          <w:lang w:val="en-US"/>
        </w:rPr>
        <w:t xml:space="preserve"> CI 16-62 months). 3-</w:t>
      </w:r>
      <w:r w:rsidRPr="00013472">
        <w:rPr>
          <w:lang w:val="en-US"/>
        </w:rPr>
        <w:t xml:space="preserve"> and 5-year </w:t>
      </w:r>
      <w:r w:rsidR="00C26A89" w:rsidRPr="00013472">
        <w:rPr>
          <w:lang w:val="en-US"/>
        </w:rPr>
        <w:t>DSS</w:t>
      </w:r>
      <w:r w:rsidR="0026030E" w:rsidRPr="00013472">
        <w:rPr>
          <w:lang w:val="en-US"/>
        </w:rPr>
        <w:t xml:space="preserve"> were</w:t>
      </w:r>
      <w:r w:rsidRPr="00013472">
        <w:rPr>
          <w:lang w:val="en-US"/>
        </w:rPr>
        <w:t xml:space="preserve"> 67.7</w:t>
      </w:r>
      <w:r w:rsidR="001C3674" w:rsidRPr="00013472">
        <w:rPr>
          <w:lang w:val="en-US"/>
        </w:rPr>
        <w:t>%</w:t>
      </w:r>
      <w:r w:rsidRPr="00013472">
        <w:rPr>
          <w:lang w:val="en-US"/>
        </w:rPr>
        <w:t xml:space="preserve"> and 54.2</w:t>
      </w:r>
      <w:r w:rsidR="001C3674" w:rsidRPr="00013472">
        <w:rPr>
          <w:lang w:val="en-US"/>
        </w:rPr>
        <w:t>%</w:t>
      </w:r>
      <w:r w:rsidR="008536CF" w:rsidRPr="00013472">
        <w:rPr>
          <w:lang w:val="en-US"/>
        </w:rPr>
        <w:t>,</w:t>
      </w:r>
      <w:r w:rsidRPr="00013472">
        <w:rPr>
          <w:lang w:val="en-US"/>
        </w:rPr>
        <w:t xml:space="preserve"> respectively (</w:t>
      </w:r>
      <w:r w:rsidR="00F352E0" w:rsidRPr="00013472">
        <w:rPr>
          <w:lang w:val="en-US"/>
        </w:rPr>
        <w:t>Figure</w:t>
      </w:r>
      <w:r w:rsidR="00284E3D" w:rsidRPr="00013472">
        <w:rPr>
          <w:lang w:val="en-US"/>
        </w:rPr>
        <w:t xml:space="preserve"> 2</w:t>
      </w:r>
      <w:r w:rsidRPr="00013472">
        <w:rPr>
          <w:lang w:val="en-US"/>
        </w:rPr>
        <w:t>).</w:t>
      </w:r>
    </w:p>
    <w:p w14:paraId="7460FC56" w14:textId="53826995" w:rsidR="002234C1" w:rsidRPr="00013472" w:rsidRDefault="00C32DD1" w:rsidP="002234C1">
      <w:pPr>
        <w:pStyle w:val="Heading3"/>
        <w:spacing w:line="480" w:lineRule="auto"/>
        <w:rPr>
          <w:lang w:val="en-US"/>
        </w:rPr>
      </w:pPr>
      <w:r w:rsidRPr="00013472">
        <w:rPr>
          <w:lang w:val="en-US"/>
        </w:rPr>
        <w:t>Mantle Cell Lymphoma</w:t>
      </w:r>
    </w:p>
    <w:p w14:paraId="47BD5C56" w14:textId="77777777" w:rsidR="002234C1" w:rsidRPr="00013472" w:rsidRDefault="002234C1" w:rsidP="002234C1">
      <w:pPr>
        <w:pStyle w:val="Heading4"/>
        <w:spacing w:line="480" w:lineRule="auto"/>
        <w:rPr>
          <w:lang w:val="en-US"/>
        </w:rPr>
      </w:pPr>
      <w:r w:rsidRPr="00013472">
        <w:rPr>
          <w:lang w:val="en-US"/>
        </w:rPr>
        <w:t>Clinical findings</w:t>
      </w:r>
    </w:p>
    <w:p w14:paraId="25E39520" w14:textId="54914895" w:rsidR="002234C1" w:rsidRPr="00013472" w:rsidRDefault="002234C1" w:rsidP="002234C1">
      <w:pPr>
        <w:spacing w:line="480" w:lineRule="auto"/>
        <w:rPr>
          <w:lang w:val="en-US"/>
        </w:rPr>
      </w:pPr>
      <w:r w:rsidRPr="00013472">
        <w:rPr>
          <w:lang w:val="en-US"/>
        </w:rPr>
        <w:t>17 cases (7</w:t>
      </w:r>
      <w:r w:rsidR="001C3674" w:rsidRPr="00013472">
        <w:rPr>
          <w:lang w:val="en-US"/>
        </w:rPr>
        <w:t>%</w:t>
      </w:r>
      <w:r w:rsidRPr="00013472">
        <w:rPr>
          <w:lang w:val="en-US"/>
        </w:rPr>
        <w:t xml:space="preserve">) of </w:t>
      </w:r>
      <w:r w:rsidR="00701895" w:rsidRPr="00013472">
        <w:rPr>
          <w:lang w:val="en-US"/>
        </w:rPr>
        <w:t>lacrimal gland MCL were</w:t>
      </w:r>
      <w:r w:rsidRPr="00013472">
        <w:rPr>
          <w:lang w:val="en-US"/>
        </w:rPr>
        <w:t xml:space="preserve"> identified. One patient (6</w:t>
      </w:r>
      <w:r w:rsidR="001C3674" w:rsidRPr="00013472">
        <w:rPr>
          <w:lang w:val="en-US"/>
        </w:rPr>
        <w:t>%</w:t>
      </w:r>
      <w:r w:rsidRPr="00013472">
        <w:rPr>
          <w:lang w:val="en-US"/>
        </w:rPr>
        <w:t>) had primary lymphoma of the lacrimal gland, whereas 10 (63</w:t>
      </w:r>
      <w:r w:rsidR="001C3674" w:rsidRPr="00013472">
        <w:rPr>
          <w:lang w:val="en-US"/>
        </w:rPr>
        <w:t>%</w:t>
      </w:r>
      <w:r w:rsidRPr="00013472">
        <w:rPr>
          <w:lang w:val="en-US"/>
        </w:rPr>
        <w:t>) had systemic lymphoma with secondary lacrimal gland manifestation and 5 (31</w:t>
      </w:r>
      <w:r w:rsidR="001C3674" w:rsidRPr="00013472">
        <w:rPr>
          <w:lang w:val="en-US"/>
        </w:rPr>
        <w:t>%</w:t>
      </w:r>
      <w:r w:rsidRPr="00013472">
        <w:rPr>
          <w:lang w:val="en-US"/>
        </w:rPr>
        <w:t>) had lacrimal gland lymphoma relapse (</w:t>
      </w:r>
      <w:r w:rsidR="00E97F69" w:rsidRPr="00013472">
        <w:rPr>
          <w:lang w:val="en-US"/>
        </w:rPr>
        <w:t>Table</w:t>
      </w:r>
      <w:r w:rsidRPr="00013472">
        <w:rPr>
          <w:lang w:val="en-US"/>
        </w:rPr>
        <w:t xml:space="preserve"> 2). The median age was 70 years (range 43-81 years)</w:t>
      </w:r>
      <w:r w:rsidR="006A55D3" w:rsidRPr="00013472">
        <w:rPr>
          <w:lang w:val="en-US"/>
        </w:rPr>
        <w:t xml:space="preserve"> </w:t>
      </w:r>
      <w:r w:rsidR="00352DFC" w:rsidRPr="00013472">
        <w:rPr>
          <w:lang w:val="en-US"/>
        </w:rPr>
        <w:t>and 53% of patients were women (n=</w:t>
      </w:r>
      <w:r w:rsidR="00211604" w:rsidRPr="00013472">
        <w:rPr>
          <w:lang w:val="en-US"/>
        </w:rPr>
        <w:t xml:space="preserve">9) </w:t>
      </w:r>
      <w:r w:rsidR="006A55D3" w:rsidRPr="00013472">
        <w:rPr>
          <w:lang w:val="en-US"/>
        </w:rPr>
        <w:t>(Tables 1 and 2)</w:t>
      </w:r>
      <w:r w:rsidRPr="00013472">
        <w:rPr>
          <w:lang w:val="en-US"/>
        </w:rPr>
        <w:t xml:space="preserve">. </w:t>
      </w:r>
      <w:r w:rsidR="00223586" w:rsidRPr="00013472">
        <w:rPr>
          <w:lang w:val="en-US"/>
        </w:rPr>
        <w:t xml:space="preserve">The vast majority had stage IVE disease (n=12, 75) </w:t>
      </w:r>
      <w:r w:rsidRPr="00013472">
        <w:rPr>
          <w:lang w:val="en-US"/>
        </w:rPr>
        <w:t>(</w:t>
      </w:r>
      <w:r w:rsidR="00E97F69" w:rsidRPr="00013472">
        <w:rPr>
          <w:lang w:val="en-US"/>
        </w:rPr>
        <w:t>Table</w:t>
      </w:r>
      <w:r w:rsidRPr="00013472">
        <w:rPr>
          <w:lang w:val="en-US"/>
        </w:rPr>
        <w:t xml:space="preserve"> 2). </w:t>
      </w:r>
    </w:p>
    <w:p w14:paraId="26DCA1AD" w14:textId="77777777" w:rsidR="002234C1" w:rsidRPr="00013472" w:rsidRDefault="002234C1" w:rsidP="002234C1">
      <w:pPr>
        <w:pStyle w:val="Heading4"/>
        <w:spacing w:line="480" w:lineRule="auto"/>
        <w:rPr>
          <w:lang w:val="en-US"/>
        </w:rPr>
      </w:pPr>
      <w:r w:rsidRPr="00013472">
        <w:rPr>
          <w:lang w:val="en-US"/>
        </w:rPr>
        <w:t>Treatment</w:t>
      </w:r>
    </w:p>
    <w:p w14:paraId="79333466" w14:textId="6A5A131F" w:rsidR="002234C1" w:rsidRPr="00013472" w:rsidRDefault="002234C1" w:rsidP="002234C1">
      <w:pPr>
        <w:spacing w:line="480" w:lineRule="auto"/>
        <w:rPr>
          <w:lang w:val="en-US"/>
        </w:rPr>
      </w:pPr>
      <w:r w:rsidRPr="00013472">
        <w:rPr>
          <w:lang w:val="en-US"/>
        </w:rPr>
        <w:t>Treatment information was available for all patients. 75</w:t>
      </w:r>
      <w:r w:rsidR="001C3674" w:rsidRPr="00013472">
        <w:rPr>
          <w:lang w:val="en-US"/>
        </w:rPr>
        <w:t>%</w:t>
      </w:r>
      <w:r w:rsidRPr="00013472">
        <w:rPr>
          <w:lang w:val="en-US"/>
        </w:rPr>
        <w:t xml:space="preserve"> of patients (n=9) with stage IVE were treated with </w:t>
      </w:r>
      <w:r w:rsidR="006A55D3" w:rsidRPr="00013472">
        <w:rPr>
          <w:lang w:val="en-US"/>
        </w:rPr>
        <w:t xml:space="preserve">a rituximab-based </w:t>
      </w:r>
      <w:r w:rsidRPr="00013472">
        <w:rPr>
          <w:lang w:val="en-US"/>
        </w:rPr>
        <w:t xml:space="preserve">chemotherapy </w:t>
      </w:r>
      <w:r w:rsidR="006A55D3" w:rsidRPr="00013472">
        <w:rPr>
          <w:lang w:val="en-US"/>
        </w:rPr>
        <w:t xml:space="preserve">regimen </w:t>
      </w:r>
      <w:r w:rsidRPr="00013472">
        <w:rPr>
          <w:lang w:val="en-US"/>
        </w:rPr>
        <w:t xml:space="preserve">with or without </w:t>
      </w:r>
      <w:r w:rsidR="006A55D3" w:rsidRPr="00013472">
        <w:rPr>
          <w:lang w:val="en-US"/>
        </w:rPr>
        <w:t xml:space="preserve">an addition of </w:t>
      </w:r>
      <w:r w:rsidRPr="00013472">
        <w:rPr>
          <w:lang w:val="en-US"/>
        </w:rPr>
        <w:t>EBRT. Furthermore</w:t>
      </w:r>
      <w:r w:rsidR="00AB4E3A" w:rsidRPr="00013472">
        <w:rPr>
          <w:lang w:val="en-US"/>
        </w:rPr>
        <w:t>,</w:t>
      </w:r>
      <w:r w:rsidRPr="00013472">
        <w:rPr>
          <w:lang w:val="en-US"/>
        </w:rPr>
        <w:t xml:space="preserve"> 2 patients (12</w:t>
      </w:r>
      <w:r w:rsidR="001C3674" w:rsidRPr="00013472">
        <w:rPr>
          <w:lang w:val="en-US"/>
        </w:rPr>
        <w:t>%</w:t>
      </w:r>
      <w:r w:rsidRPr="00013472">
        <w:rPr>
          <w:lang w:val="en-US"/>
        </w:rPr>
        <w:t xml:space="preserve">) with stage IVE had a bone marrow transplantation as an addition to their rituximab-based chemotherapy </w:t>
      </w:r>
      <w:r w:rsidR="00B013BE" w:rsidRPr="00013472">
        <w:rPr>
          <w:lang w:val="en-US"/>
        </w:rPr>
        <w:t>regimen</w:t>
      </w:r>
      <w:r w:rsidRPr="00013472">
        <w:rPr>
          <w:lang w:val="en-US"/>
        </w:rPr>
        <w:t xml:space="preserve"> (</w:t>
      </w:r>
      <w:r w:rsidR="00E97F69" w:rsidRPr="00013472">
        <w:rPr>
          <w:lang w:val="en-US"/>
        </w:rPr>
        <w:t>Table</w:t>
      </w:r>
      <w:r w:rsidRPr="00013472">
        <w:rPr>
          <w:lang w:val="en-US"/>
        </w:rPr>
        <w:t xml:space="preserve"> 4). </w:t>
      </w:r>
    </w:p>
    <w:p w14:paraId="3C6E22FE" w14:textId="77777777" w:rsidR="002234C1" w:rsidRPr="00013472" w:rsidRDefault="002234C1" w:rsidP="002234C1">
      <w:pPr>
        <w:pStyle w:val="Heading4"/>
        <w:spacing w:line="480" w:lineRule="auto"/>
        <w:rPr>
          <w:lang w:val="en-US"/>
        </w:rPr>
      </w:pPr>
      <w:r w:rsidRPr="00013472">
        <w:rPr>
          <w:lang w:val="en-US"/>
        </w:rPr>
        <w:lastRenderedPageBreak/>
        <w:t>Treatment outcome and survival</w:t>
      </w:r>
    </w:p>
    <w:p w14:paraId="2BDF4A7A" w14:textId="3C08046D" w:rsidR="002234C1" w:rsidRPr="00013472" w:rsidRDefault="002234C1" w:rsidP="00F8490D">
      <w:pPr>
        <w:spacing w:line="480" w:lineRule="auto"/>
        <w:rPr>
          <w:lang w:val="en-US"/>
        </w:rPr>
      </w:pPr>
      <w:r w:rsidRPr="00013472">
        <w:rPr>
          <w:lang w:val="en-US"/>
        </w:rPr>
        <w:t>53</w:t>
      </w:r>
      <w:r w:rsidR="001C3674" w:rsidRPr="00013472">
        <w:rPr>
          <w:lang w:val="en-US"/>
        </w:rPr>
        <w:t>%</w:t>
      </w:r>
      <w:r w:rsidRPr="00013472">
        <w:rPr>
          <w:lang w:val="en-US"/>
        </w:rPr>
        <w:t xml:space="preserve"> (n=9) had complete remission of disease, 24</w:t>
      </w:r>
      <w:r w:rsidR="001C3674" w:rsidRPr="00013472">
        <w:rPr>
          <w:lang w:val="en-US"/>
        </w:rPr>
        <w:t>%</w:t>
      </w:r>
      <w:r w:rsidRPr="00013472">
        <w:rPr>
          <w:lang w:val="en-US"/>
        </w:rPr>
        <w:t xml:space="preserve"> (n=4) were alive with disease</w:t>
      </w:r>
      <w:r w:rsidR="00A63697" w:rsidRPr="00013472">
        <w:rPr>
          <w:lang w:val="en-US"/>
        </w:rPr>
        <w:t>,</w:t>
      </w:r>
      <w:r w:rsidRPr="00013472">
        <w:rPr>
          <w:lang w:val="en-US"/>
        </w:rPr>
        <w:t xml:space="preserve"> and 18</w:t>
      </w:r>
      <w:r w:rsidR="001C3674" w:rsidRPr="00013472">
        <w:rPr>
          <w:lang w:val="en-US"/>
        </w:rPr>
        <w:t>%</w:t>
      </w:r>
      <w:r w:rsidRPr="00013472">
        <w:rPr>
          <w:lang w:val="en-US"/>
        </w:rPr>
        <w:t xml:space="preserve"> (n=3) were dead from lymphoma (</w:t>
      </w:r>
      <w:r w:rsidR="00E97F69" w:rsidRPr="00013472">
        <w:rPr>
          <w:lang w:val="en-US"/>
        </w:rPr>
        <w:t>Table</w:t>
      </w:r>
      <w:r w:rsidRPr="00013472">
        <w:rPr>
          <w:lang w:val="en-US"/>
        </w:rPr>
        <w:t xml:space="preserve"> 2). Median follow-up time was 25 months (range 4-232 months).</w:t>
      </w:r>
      <w:r w:rsidR="00621FF1" w:rsidRPr="00013472">
        <w:rPr>
          <w:lang w:val="en-US"/>
        </w:rPr>
        <w:t xml:space="preserve"> </w:t>
      </w:r>
      <w:r w:rsidRPr="00013472">
        <w:rPr>
          <w:lang w:val="en-US"/>
        </w:rPr>
        <w:t>11 patients (65</w:t>
      </w:r>
      <w:r w:rsidR="001C3674" w:rsidRPr="00013472">
        <w:rPr>
          <w:lang w:val="en-US"/>
        </w:rPr>
        <w:t>%</w:t>
      </w:r>
      <w:r w:rsidRPr="00013472">
        <w:rPr>
          <w:lang w:val="en-US"/>
        </w:rPr>
        <w:t>) had progression or relapse of disease</w:t>
      </w:r>
      <w:r w:rsidR="00621FF1" w:rsidRPr="00013472">
        <w:rPr>
          <w:lang w:val="en-US"/>
        </w:rPr>
        <w:t xml:space="preserve"> (</w:t>
      </w:r>
      <w:r w:rsidR="00E97F69" w:rsidRPr="00013472">
        <w:rPr>
          <w:lang w:val="en-US"/>
        </w:rPr>
        <w:t>Table</w:t>
      </w:r>
      <w:r w:rsidR="00621FF1" w:rsidRPr="00013472">
        <w:rPr>
          <w:lang w:val="en-US"/>
        </w:rPr>
        <w:t xml:space="preserve"> 2) with a median durati</w:t>
      </w:r>
      <w:r w:rsidR="00F8490D" w:rsidRPr="00013472">
        <w:rPr>
          <w:lang w:val="en-US"/>
        </w:rPr>
        <w:t>on before relapse/progression of</w:t>
      </w:r>
      <w:r w:rsidR="00621FF1" w:rsidRPr="00013472">
        <w:rPr>
          <w:lang w:val="en-US"/>
        </w:rPr>
        <w:t xml:space="preserve"> 15 months (range 0-59 months) (time to relapse/progression accessible in 8 out of 11 patients).</w:t>
      </w:r>
      <w:r w:rsidR="00501D61" w:rsidRPr="00013472">
        <w:rPr>
          <w:lang w:val="en-US"/>
        </w:rPr>
        <w:t xml:space="preserve"> </w:t>
      </w:r>
      <w:r w:rsidR="00AB4E3A" w:rsidRPr="00013472">
        <w:rPr>
          <w:lang w:val="en-US"/>
        </w:rPr>
        <w:t>3-</w:t>
      </w:r>
      <w:r w:rsidRPr="00013472">
        <w:rPr>
          <w:lang w:val="en-US"/>
        </w:rPr>
        <w:t xml:space="preserve"> and 5-year </w:t>
      </w:r>
      <w:r w:rsidR="00C26A89" w:rsidRPr="00013472">
        <w:rPr>
          <w:lang w:val="en-US"/>
        </w:rPr>
        <w:t>OS</w:t>
      </w:r>
      <w:r w:rsidRPr="00013472">
        <w:rPr>
          <w:lang w:val="en-US"/>
        </w:rPr>
        <w:t xml:space="preserve"> were both 79.9</w:t>
      </w:r>
      <w:r w:rsidR="001C3674" w:rsidRPr="00013472">
        <w:rPr>
          <w:lang w:val="en-US"/>
        </w:rPr>
        <w:t>%</w:t>
      </w:r>
      <w:r w:rsidRPr="00013472">
        <w:rPr>
          <w:lang w:val="en-US"/>
        </w:rPr>
        <w:t xml:space="preserve"> and 10-year </w:t>
      </w:r>
      <w:r w:rsidR="00C26A89" w:rsidRPr="00013472">
        <w:rPr>
          <w:lang w:val="en-US"/>
        </w:rPr>
        <w:t>OS</w:t>
      </w:r>
      <w:r w:rsidR="00AB4E3A" w:rsidRPr="00013472">
        <w:rPr>
          <w:lang w:val="en-US"/>
        </w:rPr>
        <w:t xml:space="preserve"> were</w:t>
      </w:r>
      <w:r w:rsidRPr="00013472">
        <w:rPr>
          <w:lang w:val="en-US"/>
        </w:rPr>
        <w:t xml:space="preserve"> 53.2</w:t>
      </w:r>
      <w:r w:rsidR="001C3674" w:rsidRPr="00013472">
        <w:rPr>
          <w:lang w:val="en-US"/>
        </w:rPr>
        <w:t>%</w:t>
      </w:r>
      <w:r w:rsidR="00AB4E3A" w:rsidRPr="00013472">
        <w:rPr>
          <w:lang w:val="en-US"/>
        </w:rPr>
        <w:t>. 3-</w:t>
      </w:r>
      <w:r w:rsidRPr="00013472">
        <w:rPr>
          <w:lang w:val="en-US"/>
        </w:rPr>
        <w:t xml:space="preserve"> and 5-year </w:t>
      </w:r>
      <w:r w:rsidR="00C26A89" w:rsidRPr="00013472">
        <w:rPr>
          <w:lang w:val="en-US"/>
        </w:rPr>
        <w:t>DSS</w:t>
      </w:r>
      <w:r w:rsidRPr="00013472">
        <w:rPr>
          <w:lang w:val="en-US"/>
        </w:rPr>
        <w:t xml:space="preserve"> were both 87.8</w:t>
      </w:r>
      <w:r w:rsidR="001C3674" w:rsidRPr="00013472">
        <w:rPr>
          <w:lang w:val="en-US"/>
        </w:rPr>
        <w:t>%</w:t>
      </w:r>
      <w:r w:rsidRPr="00013472">
        <w:rPr>
          <w:lang w:val="en-US"/>
        </w:rPr>
        <w:t xml:space="preserve"> and 10-year </w:t>
      </w:r>
      <w:r w:rsidR="00C26A89" w:rsidRPr="00013472">
        <w:rPr>
          <w:lang w:val="en-US"/>
        </w:rPr>
        <w:t>DSS</w:t>
      </w:r>
      <w:r w:rsidRPr="00013472">
        <w:rPr>
          <w:lang w:val="en-US"/>
        </w:rPr>
        <w:t xml:space="preserve"> was 58.6</w:t>
      </w:r>
      <w:r w:rsidR="001C3674" w:rsidRPr="00013472">
        <w:rPr>
          <w:lang w:val="en-US"/>
        </w:rPr>
        <w:t>%</w:t>
      </w:r>
      <w:r w:rsidRPr="00013472">
        <w:rPr>
          <w:lang w:val="en-US"/>
        </w:rPr>
        <w:t xml:space="preserve"> (</w:t>
      </w:r>
      <w:r w:rsidR="00F352E0" w:rsidRPr="00013472">
        <w:rPr>
          <w:lang w:val="en-US"/>
        </w:rPr>
        <w:t>Figure</w:t>
      </w:r>
      <w:r w:rsidR="00284E3D" w:rsidRPr="00013472">
        <w:rPr>
          <w:lang w:val="en-US"/>
        </w:rPr>
        <w:t xml:space="preserve"> 2</w:t>
      </w:r>
      <w:r w:rsidRPr="00013472">
        <w:rPr>
          <w:lang w:val="en-US"/>
        </w:rPr>
        <w:t xml:space="preserve">). </w:t>
      </w:r>
    </w:p>
    <w:p w14:paraId="1A9EA5B0" w14:textId="4288FBCC" w:rsidR="00F8490D" w:rsidRPr="00013472" w:rsidRDefault="00F8490D" w:rsidP="00F8490D">
      <w:pPr>
        <w:pStyle w:val="Heading3"/>
        <w:spacing w:line="480" w:lineRule="auto"/>
        <w:rPr>
          <w:lang w:val="en-US"/>
        </w:rPr>
      </w:pPr>
      <w:r w:rsidRPr="00013472">
        <w:rPr>
          <w:lang w:val="en-US"/>
        </w:rPr>
        <w:t>Rare B-cell and T-cell lymphoma subtypes</w:t>
      </w:r>
    </w:p>
    <w:p w14:paraId="113B20F0" w14:textId="4BF077AA" w:rsidR="00547A85" w:rsidRPr="00013472" w:rsidRDefault="00547A85" w:rsidP="00F8490D">
      <w:pPr>
        <w:spacing w:line="480" w:lineRule="auto"/>
        <w:rPr>
          <w:lang w:val="en-US"/>
        </w:rPr>
      </w:pPr>
      <w:r w:rsidRPr="00013472">
        <w:rPr>
          <w:lang w:val="en-US"/>
        </w:rPr>
        <w:t>See T</w:t>
      </w:r>
      <w:r w:rsidR="003A4C6E" w:rsidRPr="00013472">
        <w:rPr>
          <w:lang w:val="en-US"/>
        </w:rPr>
        <w:t xml:space="preserve">ables </w:t>
      </w:r>
      <w:r w:rsidR="00F8490D" w:rsidRPr="00013472">
        <w:rPr>
          <w:lang w:val="en-US"/>
        </w:rPr>
        <w:t>2</w:t>
      </w:r>
      <w:r w:rsidR="003A4C6E" w:rsidRPr="00013472">
        <w:rPr>
          <w:lang w:val="en-US"/>
        </w:rPr>
        <w:t>, 3, and 4.</w:t>
      </w:r>
      <w:r w:rsidR="00F8490D" w:rsidRPr="00013472">
        <w:rPr>
          <w:lang w:val="en-US"/>
        </w:rPr>
        <w:t xml:space="preserve"> </w:t>
      </w:r>
      <w:r w:rsidR="00211604" w:rsidRPr="00013472">
        <w:rPr>
          <w:lang w:val="en-US"/>
        </w:rPr>
        <w:t xml:space="preserve">Patients with BL were young (median age: 16.5 years; range: 12-21 years) and the same applied for PTCL-NOS (median age: 34 years; range: 30-38 years). Patients with SLL/CLL were adults or elderly (median age: 68 years; range: 45-75 years). </w:t>
      </w:r>
      <w:r w:rsidR="003A4C6E" w:rsidRPr="00013472">
        <w:rPr>
          <w:lang w:val="en-US"/>
        </w:rPr>
        <w:t xml:space="preserve">PL was found both in a young (14 years) and an elderly patient (69 years), and the one patient with LPL was 66 years old (Tables 1 and 2). </w:t>
      </w:r>
    </w:p>
    <w:p w14:paraId="57459D48" w14:textId="77777777" w:rsidR="00D86890" w:rsidRDefault="00D86890">
      <w:pPr>
        <w:rPr>
          <w:rFonts w:asciiTheme="majorHAnsi" w:eastAsiaTheme="majorEastAsia" w:hAnsiTheme="majorHAnsi" w:cstheme="majorBidi"/>
          <w:b/>
          <w:bCs/>
          <w:color w:val="345A8A" w:themeColor="accent1" w:themeShade="B5"/>
          <w:sz w:val="32"/>
          <w:szCs w:val="32"/>
          <w:lang w:val="en-US"/>
        </w:rPr>
      </w:pPr>
      <w:r>
        <w:rPr>
          <w:lang w:val="en-US"/>
        </w:rPr>
        <w:br w:type="page"/>
      </w:r>
    </w:p>
    <w:p w14:paraId="20CC9F6B" w14:textId="2F4077ED" w:rsidR="00055936" w:rsidRPr="00013472" w:rsidRDefault="00055936" w:rsidP="00055936">
      <w:pPr>
        <w:pStyle w:val="Heading1"/>
        <w:spacing w:line="480" w:lineRule="auto"/>
        <w:rPr>
          <w:lang w:val="en-US"/>
        </w:rPr>
      </w:pPr>
      <w:r w:rsidRPr="00013472">
        <w:rPr>
          <w:lang w:val="en-US"/>
        </w:rPr>
        <w:lastRenderedPageBreak/>
        <w:t>Discussion</w:t>
      </w:r>
    </w:p>
    <w:p w14:paraId="306F121A" w14:textId="45AF961A" w:rsidR="00055936" w:rsidRPr="00013472" w:rsidRDefault="00055936" w:rsidP="00055936">
      <w:pPr>
        <w:spacing w:line="480" w:lineRule="auto"/>
        <w:rPr>
          <w:lang w:val="en-US"/>
        </w:rPr>
      </w:pPr>
      <w:r w:rsidRPr="00013472">
        <w:rPr>
          <w:lang w:val="en-US"/>
        </w:rPr>
        <w:t>The present study identified 261 patients with malignant lacrimal gland lymphoma from six internat</w:t>
      </w:r>
      <w:r w:rsidR="00546C9E" w:rsidRPr="00013472">
        <w:rPr>
          <w:lang w:val="en-US"/>
        </w:rPr>
        <w:t xml:space="preserve">ional eye cancer centers. </w:t>
      </w:r>
      <w:r w:rsidR="00F8490D" w:rsidRPr="00013472">
        <w:rPr>
          <w:lang w:val="en-US"/>
        </w:rPr>
        <w:t>T</w:t>
      </w:r>
      <w:r w:rsidR="00546C9E" w:rsidRPr="00013472">
        <w:rPr>
          <w:lang w:val="en-US"/>
        </w:rPr>
        <w:t xml:space="preserve">his is </w:t>
      </w:r>
      <w:r w:rsidRPr="00013472">
        <w:rPr>
          <w:lang w:val="en-US"/>
        </w:rPr>
        <w:t xml:space="preserve">the largest reported collection of clinical and pathological data </w:t>
      </w:r>
      <w:r w:rsidR="00547A85" w:rsidRPr="00013472">
        <w:rPr>
          <w:lang w:val="en-US"/>
        </w:rPr>
        <w:t>including subtype distribution i</w:t>
      </w:r>
      <w:r w:rsidRPr="00013472">
        <w:rPr>
          <w:lang w:val="en-US"/>
        </w:rPr>
        <w:t>n patients with lacrimal gland lymphoma to date.</w:t>
      </w:r>
    </w:p>
    <w:p w14:paraId="0BE59E05" w14:textId="77777777" w:rsidR="00412EE9" w:rsidRPr="00013472" w:rsidRDefault="00412EE9" w:rsidP="00055936">
      <w:pPr>
        <w:spacing w:line="480" w:lineRule="auto"/>
        <w:rPr>
          <w:lang w:val="en-US"/>
        </w:rPr>
      </w:pPr>
    </w:p>
    <w:p w14:paraId="55028AA7" w14:textId="53AA63BA" w:rsidR="00055936" w:rsidRPr="00013472" w:rsidRDefault="00055936" w:rsidP="007B4F7C">
      <w:pPr>
        <w:spacing w:line="480" w:lineRule="auto"/>
        <w:rPr>
          <w:lang w:val="en-US"/>
        </w:rPr>
      </w:pPr>
      <w:r w:rsidRPr="00013472">
        <w:rPr>
          <w:lang w:val="en-US"/>
        </w:rPr>
        <w:t>The four major subtypes of lymphoma identified in this study were EMZL (n=178, 68</w:t>
      </w:r>
      <w:r w:rsidR="001C3674" w:rsidRPr="00013472">
        <w:rPr>
          <w:lang w:val="en-US"/>
        </w:rPr>
        <w:t>%</w:t>
      </w:r>
      <w:r w:rsidRPr="00013472">
        <w:rPr>
          <w:lang w:val="en-US"/>
        </w:rPr>
        <w:t>), FL (n=26, 10</w:t>
      </w:r>
      <w:r w:rsidR="001C3674" w:rsidRPr="00013472">
        <w:rPr>
          <w:lang w:val="en-US"/>
        </w:rPr>
        <w:t>%</w:t>
      </w:r>
      <w:r w:rsidRPr="00013472">
        <w:rPr>
          <w:lang w:val="en-US"/>
        </w:rPr>
        <w:t>), DLBCL (n=26, 10</w:t>
      </w:r>
      <w:r w:rsidR="001C3674" w:rsidRPr="00013472">
        <w:rPr>
          <w:lang w:val="en-US"/>
        </w:rPr>
        <w:t>%</w:t>
      </w:r>
      <w:r w:rsidRPr="00013472">
        <w:rPr>
          <w:lang w:val="en-US"/>
        </w:rPr>
        <w:t>), and MCL (n=17, 7</w:t>
      </w:r>
      <w:r w:rsidR="001C3674" w:rsidRPr="00013472">
        <w:rPr>
          <w:lang w:val="en-US"/>
        </w:rPr>
        <w:t>%</w:t>
      </w:r>
      <w:r w:rsidRPr="00013472">
        <w:rPr>
          <w:lang w:val="en-US"/>
        </w:rPr>
        <w:t>)</w:t>
      </w:r>
      <w:r w:rsidR="00982878" w:rsidRPr="00013472">
        <w:rPr>
          <w:lang w:val="en-US"/>
        </w:rPr>
        <w:t xml:space="preserve">, which is in line with previous studies of the lacrimal gland and </w:t>
      </w:r>
      <w:r w:rsidR="003C6E4E" w:rsidRPr="00013472">
        <w:rPr>
          <w:lang w:val="en-US"/>
        </w:rPr>
        <w:t xml:space="preserve">also </w:t>
      </w:r>
      <w:r w:rsidR="001D2FDC" w:rsidRPr="00013472">
        <w:rPr>
          <w:lang w:val="en-US"/>
        </w:rPr>
        <w:t xml:space="preserve">similar to the distribution of </w:t>
      </w:r>
      <w:r w:rsidR="003C6E4E" w:rsidRPr="00013472">
        <w:rPr>
          <w:lang w:val="en-US"/>
        </w:rPr>
        <w:t xml:space="preserve">ocular adnexal lymphoma </w:t>
      </w:r>
      <w:r w:rsidR="00982878" w:rsidRPr="00013472">
        <w:rPr>
          <w:lang w:val="en-US"/>
        </w:rPr>
        <w:fldChar w:fldCharType="begin" w:fldLock="1"/>
      </w:r>
      <w:r w:rsidR="00B714E7" w:rsidRPr="00013472">
        <w:rPr>
          <w:lang w:val="en-US"/>
        </w:rPr>
        <w:instrText>ADDIN CSL_CITATION {"citationItems":[{"id":"ITEM-1","itemData":{"DOI":"10.1097/01.pas.0000213350.49767.46","ISSN":"0147-5185","PMID":"17255761","abstract":"We studied the cases of 353 patients with lymphoma involving the ocular adnexa diagnosed at the Massachusetts General Hospital between 1974 and 2005. The patients included 153 males and 200 females, aged 7 to 95 years, with a mean age of 64 years. In 277 cases, there was no known history of lymphoma. Seventy-six patients had a history of lymphoma, with the ocular adnexa being involved at relapse or with progression of the previously diagnosed lymphoma. The patients had marginal zone lymphoma (182 cases), follicular lymphoma (80 cases), mantle cell lymphoma (18 cases), small lymphocytic lymphoma/chronic lymphocytic leukemia (13 cases), lymphoplasmacytic lymphoma (4 cases), splenic marginal zone lymphoma (2 cases), low-grade B cell, not subclassified (19 cases), precursor B lymphoblastic lymphoma (3 cases), diffuse large B-cell lymphoma (26 cases), and 1 case each of high-grade B-cell lymphoma, not subclassified, peripheral T-cell lymphoma, unspecified type, extranodal NK/T-cell lymphoma, nasal type, and Hodgkin lymphoma, nodular sclerosis type. Almost all marginal zone lymphoma patients (168 of 182, 92%) had primary ocular adnexal lymphoma. Fourteen marginal zone lymphoma patients (8%) had a prior history of lymphoma, usually arising in another extranodal site. Twenty-five of 80 (31%) follicular lymphoma patients had a prior history of lymphoma, usually arising in lymph nodes. Patients with mantle cell lymphoma, chronic lymphocytic leukemia, lymphoplasmacytic lymphoma, and splenic marginal zone lymphoma almost always had a prior history of lymphoma or were known to have widespread disease at the time of diagnosis of ocular adnexal lymphoma. A subset of the diffuse large B-cell lymphomas were associated with large destructive masses involving adjacent structures such as paranasal sinuses, raising the possibility that they may have arisen from one of the adjacent structures and involved the ocular adnexa by direct extension. The relatively high proportion of low-grade lymphoma, not subclassified, highlights the difficulty that may arise in distinguishing different types of low-grade lymphoma, particularly when biopsies are small and artifactually distorted. Ocular adnexal lymphoma is primarily a disease of older adults, with a slight female preponderance. Most lymphomas are low-grade B-cell lymphomas, with marginal zone lymphoma being by far the most common type. Marginal zone lymphoma typically involves the ocular adnexa primarily, whereas other types of …","author":[{"dropping-particle":"","family":"Ferry","given":"Judith A.","non-dropping-particle":"","parse-names":false,"suffix":""},{"dropping-particle":"","family":"Fung","given":"Claire Y.","non-dropping-particle":"","parse-names":false,"suffix":""},{"dropping-particle":"","family":"Zukerberg","given":"Lawrence","non-dropping-particle":"","parse-names":false,"suffix":""},{"dropping-particle":"","family":"Lucarelli","given":"Mark J.","non-dropping-particle":"","parse-names":false,"suffix":""},{"dropping-particle":"","family":"Hasserjian","given":"Robert P.","non-dropping-particle":"","parse-names":false,"suffix":""},{"dropping-particle":"","family":"Preffer","given":"Frederic I.","non-dropping-particle":"","parse-names":false,"suffix":""},{"dropping-particle":"","family":"Harris","given":"Nancy L.","non-dropping-particle":"","parse-names":false,"suffix":""}],"container-title":"The American Journal of Surgical Pathology","id":"ITEM-1","issue":"2","issued":{"date-parts":[["2007","2"]]},"page":"170-184","title":"Lymphoma of the Ocular Adnexa: A Study of 353 Cases","type":"article-journal","volume":"31"},"uris":["http://www.mendeley.com/documents/?uuid=6c90feb9-b8e4-3465-90e1-13c956a3e7c1"]},{"id":"ITEM-2","itemData":{"DOI":"10.1016/J.AJO.2018.11.002","ISSN":"0002-9394","abstract":"PURPOSE To investigate and characterize the clinical features of subtype-specific orbital lymphoma. DESIGN Retrospective, interventional case series. METHODS The study included 7 international eye cancer centers. Patient data were collected from January 1, 1980 through December 31, 2017. A total of 797 patients with a histologically verified orbital lymphoma were included. The primary endpoints were overall survival, disease-specific survival, and progression-free survival. RESULTS The median age was 64 years, and 51% of patients (n = 407) were male. The majority of lymphomas were of B-cell origin (98%, n = 779). Extranodal marginal zone B-cell lymphoma (EMZL) was the most frequent subtype (57%, n = 452), followed by diffuse large B-cell lymphoma (DLBCL) (15%, n = 118), follicular lymphoma (FL) (11%, n = 91), and mantle cell lymphoma (MCL) (8%, n = 66). Localized Ann Arbor stage IE EMZL and FL were frequently treated with external beam radiation therapy. DLBCL, MCL, and disseminated EMZL and FL were primarily treated with chemotherapy. EMZL and FL patients had a markedly better prognosis (10-year disease-specific survival of 92% and 71%, respectively) than DLBCL and MCL patients (10-year disease-specific survival of 41% and 32%, respectively). CONCLUSIONS Four lymphoma subtypes were primarily found in patients with orbital lymphoma: EMZL, DLBCL, FL, and MCL. The histologic subtype was found to be the main predictor for outcome, with EMZL and FL patients having a markedly better prognosis than DLBCL and MCL.","author":[{"dropping-particle":"","family":"Olsen","given":"Tine Gadegaard","non-dropping-particle":"","parse-names":false,"suffix":""},{"dropping-particle":"","family":"Holm","given":"Frederik","non-dropping-particle":"","parse-names":false,"suffix":""},{"dropping-particle":"","family":"Mikkelsen","given":"Lauge Hjorth","non-dropping-particle":"","parse-names":false,"suffix":""},{"dropping-particle":"","family":"Rasmussen","given":"Peter Kristian","non-dropping-particle":"","parse-names":false,"suffix":""},{"dropping-particle":"","family":"Coupland","given":"Sarah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Jin","non-dropping-particle":"","parse-names":false,"suffix":""},{"dropping-particle":"","family":"McKelvie","given":"Penelope A.","non-dropping-particle":"","parse-names":false,"suffix":""},{"dropping-particle":"","family":"Mulay","given":"Kaustubh","non-dropping-particle":"","parse-names":false,"suffix":""},{"dropping-particle":"","family":"Sjö","given":"Lene Dissing","non-dropping-particle":"","parse-names":false,"suffix":""},{"dropping-particle":"","family":"Vemuganti","given":"Geeta K.","non-dropping-particle":"","parse-names":false,"suffix":""},{"dropping-particle":"","family":"Thuro","given":"Bradley A.","non-dropping-particle":"","parse-names":false,"suffix":""},{"dropping-particle":"","family":"Heegaard","given":"Steffen","non-dropping-particle":"","parse-names":false,"suffix":""}],"container-title":"American Journal of Ophthalmology","id":"ITEM-2","issued":{"date-parts":[["2019","3","1"]]},"page":"44-57","publisher":"Elsevier","title":"Orbital Lymphoma—An International Multicenter Retrospective Study","type":"article-journal","volume":"199"},"uris":["http://www.mendeley.com/documents/?uuid=062dfca5-977b-38d3-a85e-920cf684f65d"]},{"id":"ITEM-3","itemData":{"DOI":"10.1111/j.1755-3768.2008.01478.x","ISSN":"1755-3768 (Electronic)","PMID":"19178392","abstract":"With a lifetime risk of 1% and 700 new cases per year, Non-Hodgkin lymphoma (NHL) is the seventh most frequent type of cancer in Denmark. The incidence of NHL has increased considerably in Western countries over the last decades; consequently, NHL is an increasing clinical problem. Ophthalmic lymphoma, (lymphoma localized in the ocular region, i.e. eyelid, conjunctiva, lacrimal sac, lacrimal gland, orbit, or intraocularly) is relatively uncommon, accounting for 5%-10% of all extranodal lymphomas. It is, however, the most common orbital malignancy. The purpose of this thesis was to review specimens from all Danish patients with a diagnosis of ophthalmic lymphoma during the period 1980-2005, in order to determine the distribution of lymphoma subtypes, and the incidence- and time trends in incidence for ophthalmic lymphoma. Furthermore, an extended analysis of the most frequent subtype, extranodal marginal zone lymphoma (MALT lymphoma), was done to analyse clinical factors and cytogenetic changes with influence on prognosis. A total of 228 Danish patients with a biopsy-reviewed verified diagnosis of ocular adnexal-, orbital-, or intraocular lymphoma were identified. We found that more than 50% of orbital- and ocular adnexal lymphomas were of the MALT lymphoma subtype, whereas diffuse large B-cell lymphoma (DLBCL) predominated intraocularly (Sjo et al. 2008a). Furthermore, lymphoma arising in the lacrimal sac was surprisingly predominantly DLBCL (Sjo et al. 2006). Incidence rates were highly dependent on patient age. There was an increase in incidence rates for the whole population from 1980 to 2005, corresponding to an annual average increase of 3.4% (Sjo et al. 2008a). MALT lymphoma arising in the ocular region was found in 116 patients (Sjo et al. 2008b). One third of patients had a relapse or progression of disease after initial therapy and relapses were frequently found at extra-ocular sites. Overall survival, however, was not significantly poorer for patients with relapse. Furthermore, we found that the frequency of translocations involving the MALT1- and IGH-gene loci is low in ocular region MALT lymphoma (2 of 42, 5%), but may predict increased risk of relapse (Sjo et al. 2008b). In conclusion the incidence of ophthalmic lymphoma is increasing at a high rate in Denmark. Ophthalmic lymphoma consists primarily of MALT lymphoma. The molecular pathogenesis of MALT lymphoma arising in the ocular region rarely involves translocations in the MALT1- and IGH…","author":[{"dropping-particle":"","family":"Sjo","given":"Lene Dissing","non-dropping-particle":"","parse-names":false,"suffix":""}],"container-title":"Acta ophthalmologica","id":"ITEM-3","issued":{"date-parts":[["2009","2"]]},"language":"eng","page":"1-20","publisher-place":"England","title":"Ophthalmic lymphoma: epidemiology and pathogenesis.","type":"article-journal","volume":"87 Thesis"},"uris":["http://www.mendeley.com/documents/?uuid=604c5b5e-9aff-4e36-964c-4cdf2b221732"]},{"id":"ITEM-4","itemData":{"DOI":"10.1001/archophthalmol.2011.270","ISSN":"1538-3601 (Electronic)","PMID":"21987669","abstract":"OBJECTIVE: To characterize the clinicopathologic features of lacrimal gland lymphoma. METHODS: All cases of lacrimal gland lymphoma from January 1, 1975, through December 31, 2009, were retrieved from The Danish Registry of Pathology. Histologic specimens were reevaluated using a panel of monoclonal antibodies. Clinical files from all patients with confirmed lymphoma were collected. RESULTS: Twenty-seven patients with lacrimal gland lymphoma were identified. Eight of the patients were men and 19 were women; the median (range) age was 69 (43-87) years. The distribution of lymphoma subtypes was as follows: extranodal marginal zone lymphoma, 10 (37%); follicular lymphoma, 5 (19%); diffuse large B-cell lymphoma, 4 (15%); mantle cell lymphoma, 3 (11%); chronic lymphocytic leukemia/small lymphatic lymphoma, 2 (7%); and unclassified B-cell lymphoma, 3 (11%). Twenty-two patients (81%) had stage I or II lymphoma, 1 patient (4%) had stage III lymphoma, and 4 patients (15%) had stage IV lymphoma. Patients with stage I or II lymphoma were treated with radiotherapy (15 [67%]), chemotherapy (3 [14%]), chemotherapy plus radiotherapy (1 [5%]), and surgery (3 [14%]). Patients presenting with stage III or IV lymphoma were treated with chemotherapy alone. Complete remission was observed in 23 of the patients (85%), although 12 (44%) of these had a relapse, independent of subtype, stage, or treatment. The 5-year overall survival was 70%. CONCLUSIONS: Malignant lymphoma of the lacrimal gland is relatively rare and is mostly prevalent in elderly women. The distribution of lacrimal gland lymphoma subtypes resembles that of lymphoma subtypes of the salivary glands. The majority of lacrimal gland lymphomas are low grade, and the prognosis is relatively good.","author":[{"dropping-particle":"","family":"Rasmussen","given":"Peter","non-dropping-particle":"","parse-names":false,"suffix":""},{"dropping-particle":"","family":"Ralfkiaer","given":"Elisabeth","non-dropping-particle":"","parse-names":false,"suffix":""},{"dropping-particle":"","family":"Prause","given":"Jan Ulrik","non-dropping-particle":"","parse-names":false,"suffix":""},{"dropping-particle":"","family":"Sjo","given":"Lene D","non-dropping-particle":"","parse-names":false,"suffix":""},{"dropping-particle":"","family":"Siersma","given":"Volkert D","non-dropping-particle":"","parse-names":false,"suffix":""},{"dropping-particle":"","family":"Heegaard","given":"Steffen","non-dropping-particle":"","parse-names":false,"suffix":""}],"container-title":"Archives of ophthalmology (Chicago, Ill. : 1960)","id":"ITEM-4","issue":"10","issued":{"date-parts":[["2011","10"]]},"language":"eng","page":"1275-1280","publisher-place":"United States","title":"Malignant lymphoma of the lacrimal gland: a nation-based study.","type":"article-journal","volume":"129"},"uris":["http://www.mendeley.com/documents/?uuid=b5d9ad44-b088-4215-ac7c-9c273620a268"]}],"mendeley":{"formattedCitation":"(4,6,9,10)","plainTextFormattedCitation":"(4,6,9,10)","previouslyFormattedCitation":"(4,6,9,10)"},"properties":{"noteIndex":0},"schema":"https://github.com/citation-style-language/schema/raw/master/csl-citation.json"}</w:instrText>
      </w:r>
      <w:r w:rsidR="00982878" w:rsidRPr="00013472">
        <w:rPr>
          <w:lang w:val="en-US"/>
        </w:rPr>
        <w:fldChar w:fldCharType="separate"/>
      </w:r>
      <w:r w:rsidR="00F8490D" w:rsidRPr="00013472">
        <w:rPr>
          <w:noProof/>
          <w:lang w:val="en-US"/>
        </w:rPr>
        <w:t>(4,6,9,10)</w:t>
      </w:r>
      <w:r w:rsidR="00982878" w:rsidRPr="00013472">
        <w:rPr>
          <w:lang w:val="en-US"/>
        </w:rPr>
        <w:fldChar w:fldCharType="end"/>
      </w:r>
      <w:r w:rsidRPr="00013472">
        <w:rPr>
          <w:lang w:val="en-US"/>
        </w:rPr>
        <w:t>. The present</w:t>
      </w:r>
      <w:r w:rsidR="002179E4" w:rsidRPr="00013472">
        <w:rPr>
          <w:lang w:val="en-US"/>
        </w:rPr>
        <w:t xml:space="preserve"> study had</w:t>
      </w:r>
      <w:r w:rsidRPr="00013472">
        <w:rPr>
          <w:lang w:val="en-US"/>
        </w:rPr>
        <w:t xml:space="preserve"> a different distribution of the major subtypes than previously recorded in the lacrimal gland, where EMZL was less frequent (37</w:t>
      </w:r>
      <w:r w:rsidR="001C3674" w:rsidRPr="00013472">
        <w:rPr>
          <w:lang w:val="en-US"/>
        </w:rPr>
        <w:t>%</w:t>
      </w:r>
      <w:r w:rsidRPr="00013472">
        <w:rPr>
          <w:lang w:val="en-US"/>
        </w:rPr>
        <w:t>)</w:t>
      </w:r>
      <w:r w:rsidR="00A63697" w:rsidRPr="00013472">
        <w:rPr>
          <w:lang w:val="en-US"/>
        </w:rPr>
        <w:t>,</w:t>
      </w:r>
      <w:r w:rsidRPr="00013472">
        <w:rPr>
          <w:lang w:val="en-US"/>
        </w:rPr>
        <w:t xml:space="preserve"> and FL (19</w:t>
      </w:r>
      <w:r w:rsidR="001C3674" w:rsidRPr="00013472">
        <w:rPr>
          <w:lang w:val="en-US"/>
        </w:rPr>
        <w:t>%</w:t>
      </w:r>
      <w:r w:rsidRPr="00013472">
        <w:rPr>
          <w:lang w:val="en-US"/>
        </w:rPr>
        <w:t>) and DLBCL (15</w:t>
      </w:r>
      <w:r w:rsidR="001C3674" w:rsidRPr="00013472">
        <w:rPr>
          <w:lang w:val="en-US"/>
        </w:rPr>
        <w:t>%</w:t>
      </w:r>
      <w:r w:rsidRPr="00013472">
        <w:rPr>
          <w:lang w:val="en-US"/>
        </w:rPr>
        <w:t xml:space="preserve">) were more frequent </w:t>
      </w:r>
      <w:r w:rsidRPr="00013472">
        <w:rPr>
          <w:lang w:val="en-US"/>
        </w:rPr>
        <w:fldChar w:fldCharType="begin" w:fldLock="1"/>
      </w:r>
      <w:r w:rsidR="00B714E7" w:rsidRPr="00013472">
        <w:rPr>
          <w:lang w:val="en-US"/>
        </w:rPr>
        <w:instrText>ADDIN CSL_CITATION {"citationItems":[{"id":"ITEM-1","itemData":{"DOI":"10.1001/archophthalmol.2011.270","ISSN":"0003-9950","PMID":"21987669","abstract":"OBJECTIVE To characterize the clinicopathologic features of lacrimal gland lymphoma. METHODS All cases of lacrimal gland lymphoma from January 1, 1975, through December 31, 2009, were retrieved from The Danish Registry of Pathology. Histologic specimens were reevaluated using a panel of monoclonal antibodies. Clinical files from all patients with confirmed lymphoma were collected. RESULTS Twenty-seven patients with lacrimal gland lymphoma were identified. Eight of the patients were men and 19 were women; the median (range) age was 69 (43-87) years. The distribution of lymphoma subtypes was as follows: extranodal marginal zone lymphoma, 10 (37%); follicular lymphoma, 5 (19%); diffuse large B-cell lymphoma, 4 (15%); mantle cell lymphoma, 3 (11%); chronic lymphocytic leukemia/small lymphatic lymphoma, 2 (7%); and unclassified B-cell lymphoma, 3 (11%). Twenty-two patients (81%) had stage I or II lymphoma, 1 patient (4%) had stage III lymphoma, and 4 patients (15%) had stage IV lymphoma. Patients with stage I or II lymphoma were treated with radiotherapy (15 [67%]), chemotherapy (3 [14%]), chemotherapy plus radiotherapy (1 [5%]), and surgery (3 [14%]). Patients presenting with stage III or IV lymphoma were treated with chemotherapy alone. Complete remission was observed in 23 of the patients (85%), although 12 (44%) of these had a relapse, independent of subtype, stage, or treatment. The 5-year overall survival was 70%. CONCLUSIONS Malignant lymphoma of the lacrimal gland is relatively rare and is mostly prevalent in elderly women. The distribution of lacrimal gland lymphoma subtypes resembles that of lymphoma subtypes of the salivary glands. The majority of lacrimal gland lymphomas are low grade, and the prognosis is relatively good.","author":[{"dropping-particle":"","family":"Rasmussen","given":"Peter","non-dropping-particle":"","parse-names":false,"suffix":""},{"dropping-particle":"","family":"Ralfkiaer","given":"Elisabeth","non-dropping-particle":"","parse-names":false,"suffix":""},{"dropping-particle":"","family":"Prause","given":"Jan Ulrik","non-dropping-particle":"","parse-names":false,"suffix":""},{"dropping-particle":"","family":"Sjö","given":"Lene D","non-dropping-particle":"","parse-names":false,"suffix":""},{"dropping-particle":"","family":"Siersma","given":"Volkert D","non-dropping-particle":"","parse-names":false,"suffix":""},{"dropping-particle":"","family":"Heegaard","given":"Steffen","non-dropping-particle":"","parse-names":false,"suffix":""}],"container-title":"Archives of Ophthalmology","id":"ITEM-1","issue":"10","issued":{"date-parts":[["2011","10","1"]]},"page":"1275","title":"Malignant Lymphoma of the Lacrimal Gland","type":"article-journal","volume":"129"},"uris":["http://www.mendeley.com/documents/?uuid=3444f791-69e7-3178-bd88-117e4ef2e185"]}],"mendeley":{"formattedCitation":"(11)","plainTextFormattedCitation":"(11)","previouslyFormattedCitation":"(11)"},"properties":{"noteIndex":0},"schema":"https://github.com/citation-style-language/schema/raw/master/csl-citation.json"}</w:instrText>
      </w:r>
      <w:r w:rsidRPr="00013472">
        <w:rPr>
          <w:lang w:val="en-US"/>
        </w:rPr>
        <w:fldChar w:fldCharType="separate"/>
      </w:r>
      <w:r w:rsidR="00F8490D" w:rsidRPr="00013472">
        <w:rPr>
          <w:noProof/>
          <w:lang w:val="en-US"/>
        </w:rPr>
        <w:t>(11)</w:t>
      </w:r>
      <w:r w:rsidRPr="00013472">
        <w:rPr>
          <w:lang w:val="en-US"/>
        </w:rPr>
        <w:fldChar w:fldCharType="end"/>
      </w:r>
      <w:r w:rsidR="0034066C" w:rsidRPr="00013472">
        <w:rPr>
          <w:lang w:val="en-US"/>
        </w:rPr>
        <w:t xml:space="preserve">. </w:t>
      </w:r>
      <w:r w:rsidR="00AB4E3A" w:rsidRPr="00013472">
        <w:rPr>
          <w:lang w:val="en-US"/>
        </w:rPr>
        <w:t>Thus, i</w:t>
      </w:r>
      <w:r w:rsidR="0034066C" w:rsidRPr="00013472">
        <w:rPr>
          <w:lang w:val="en-US"/>
        </w:rPr>
        <w:t>n the study by</w:t>
      </w:r>
      <w:r w:rsidRPr="00013472">
        <w:rPr>
          <w:lang w:val="en-US"/>
        </w:rPr>
        <w:t xml:space="preserve"> Rasmussen et al</w:t>
      </w:r>
      <w:r w:rsidR="001D2FDC" w:rsidRPr="00013472">
        <w:rPr>
          <w:lang w:val="en-US"/>
        </w:rPr>
        <w:t>., which</w:t>
      </w:r>
      <w:r w:rsidRPr="00013472">
        <w:rPr>
          <w:lang w:val="en-US"/>
        </w:rPr>
        <w:t xml:space="preserve"> i</w:t>
      </w:r>
      <w:r w:rsidR="00AB4E3A" w:rsidRPr="00013472">
        <w:rPr>
          <w:lang w:val="en-US"/>
        </w:rPr>
        <w:t>ncluded 27 patients, it was</w:t>
      </w:r>
      <w:r w:rsidRPr="00013472">
        <w:rPr>
          <w:lang w:val="en-US"/>
        </w:rPr>
        <w:t xml:space="preserve"> proposed that the distribution of lymphoma subtypes in the lacrimal gland resembled that of the salivary glands more than that of the </w:t>
      </w:r>
      <w:r w:rsidR="00C87047" w:rsidRPr="00013472">
        <w:rPr>
          <w:lang w:val="en-US"/>
        </w:rPr>
        <w:t>OA</w:t>
      </w:r>
      <w:r w:rsidRPr="00013472">
        <w:rPr>
          <w:lang w:val="en-US"/>
        </w:rPr>
        <w:t xml:space="preserve">.  However, with the large number of cases in this present study, the distribution of lymphoma subtypes </w:t>
      </w:r>
      <w:r w:rsidR="009706FF" w:rsidRPr="00013472">
        <w:rPr>
          <w:lang w:val="en-US"/>
        </w:rPr>
        <w:t xml:space="preserve">resembles the </w:t>
      </w:r>
      <w:r w:rsidRPr="00013472">
        <w:rPr>
          <w:lang w:val="en-US"/>
        </w:rPr>
        <w:t>dist</w:t>
      </w:r>
      <w:r w:rsidR="00ED4F46" w:rsidRPr="00013472">
        <w:rPr>
          <w:lang w:val="en-US"/>
        </w:rPr>
        <w:t>ributions reported in the orbit</w:t>
      </w:r>
      <w:r w:rsidRPr="00013472">
        <w:rPr>
          <w:lang w:val="en-US"/>
        </w:rPr>
        <w:t xml:space="preserve"> and </w:t>
      </w:r>
      <w:r w:rsidR="00757ECB" w:rsidRPr="00013472">
        <w:rPr>
          <w:lang w:val="en-US"/>
        </w:rPr>
        <w:t>OA</w:t>
      </w:r>
      <w:r w:rsidR="00AB4E3A" w:rsidRPr="00013472">
        <w:rPr>
          <w:lang w:val="en-US"/>
        </w:rPr>
        <w:t xml:space="preserve"> rather than that of the salivary glands</w:t>
      </w:r>
      <w:r w:rsidRPr="00013472">
        <w:rPr>
          <w:lang w:val="en-US"/>
        </w:rPr>
        <w:t xml:space="preserve"> </w:t>
      </w:r>
      <w:r w:rsidRPr="00013472">
        <w:rPr>
          <w:lang w:val="en-US"/>
        </w:rPr>
        <w:fldChar w:fldCharType="begin" w:fldLock="1"/>
      </w:r>
      <w:r w:rsidR="000E0876" w:rsidRPr="00013472">
        <w:rPr>
          <w:lang w:val="en-US"/>
        </w:rPr>
        <w:instrText>ADDIN CSL_CITATION {"citationItems":[{"id":"ITEM-1","itemData":{"DOI":"10.1016/J.AJO.2018.11.002","ISSN":"0002-9394","abstract":"PURPOSE To investigate and characterize the clinical features of subtype-specific orbital lymphoma. DESIGN Retrospective, interventional case series. METHODS The study included 7 international eye cancer centers. Patient data were collected from January 1, 1980 through December 31, 2017. A total of 797 patients with a histologically verified orbital lymphoma were included. The primary endpoints were overall survival, disease-specific survival, and progression-free survival. RESULTS The median age was 64 years, and 51% of patients (n = 407) were male. The majority of lymphomas were of B-cell origin (98%, n = 779). Extranodal marginal zone B-cell lymphoma (EMZL) was the most frequent subtype (57%, n = 452), followed by diffuse large B-cell lymphoma (DLBCL) (15%, n = 118), follicular lymphoma (FL) (11%, n = 91), and mantle cell lymphoma (MCL) (8%, n = 66). Localized Ann Arbor stage IE EMZL and FL were frequently treated with external beam radiation therapy. DLBCL, MCL, and disseminated EMZL and FL were primarily treated with chemotherapy. EMZL and FL patients had a markedly better prognosis (10-year disease-specific survival of 92% and 71%, respectively) than DLBCL and MCL patients (10-year disease-specific survival of 41% and 32%, respectively). CONCLUSIONS Four lymphoma subtypes were primarily found in patients with orbital lymphoma: EMZL, DLBCL, FL, and MCL. The histologic subtype was found to be the main predictor for outcome, with EMZL and FL patients having a markedly better prognosis than DLBCL and MCL.","author":[{"dropping-particle":"","family":"Olsen","given":"Tine Gadegaard","non-dropping-particle":"","parse-names":false,"suffix":""},{"dropping-particle":"","family":"Holm","given":"Frederik","non-dropping-particle":"","parse-names":false,"suffix":""},{"dropping-particle":"","family":"Mikkelsen","given":"Lauge Hjorth","non-dropping-particle":"","parse-names":false,"suffix":""},{"dropping-particle":"","family":"Rasmussen","given":"Peter Kristian","non-dropping-particle":"","parse-names":false,"suffix":""},{"dropping-particle":"","family":"Coupland","given":"Sarah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Jin","non-dropping-particle":"","parse-names":false,"suffix":""},{"dropping-particle":"","family":"McKelvie","given":"Penelope A.","non-dropping-particle":"","parse-names":false,"suffix":""},{"dropping-particle":"","family":"Mulay","given":"Kaustubh","non-dropping-particle":"","parse-names":false,"suffix":""},{"dropping-particle":"","family":"Sjö","given":"Lene Dissing","non-dropping-particle":"","parse-names":false,"suffix":""},{"dropping-particle":"","family":"Vemuganti","given":"Geeta K.","non-dropping-particle":"","parse-names":false,"suffix":""},{"dropping-particle":"","family":"Thuro","given":"Bradley A.","non-dropping-particle":"","parse-names":false,"suffix":""},{"dropping-particle":"","family":"Heegaard","given":"Steffen","non-dropping-particle":"","parse-names":false,"suffix":""}],"container-title":"American Journal of Ophthalmology","id":"ITEM-1","issued":{"date-parts":[["2019","3","1"]]},"page":"44-57","publisher":"Elsevier","title":"Orbital Lymphoma—An International Multicenter Retrospective Study","type":"article-journal","volume":"199"},"uris":["http://www.mendeley.com/documents/?uuid=062dfca5-977b-38d3-a85e-920cf684f65d"]},{"id":"ITEM-2","itemData":{"DOI":"10.1111/j.1755-3768.2008.01478.x","ISSN":"1755-3768 (Electronic)","PMID":"19178392","abstract":"With a lifetime risk of 1% and 700 new cases per year, Non-Hodgkin lymphoma (NHL) is the seventh most frequent type of cancer in Denmark. The incidence of NHL has increased considerably in Western countries over the last decades; consequently, NHL is an increasing clinical problem. Ophthalmic lymphoma, (lymphoma localized in the ocular region, i.e. eyelid, conjunctiva, lacrimal sac, lacrimal gland, orbit, or intraocularly) is relatively uncommon, accounting for 5%-10% of all extranodal lymphomas. It is, however, the most common orbital malignancy. The purpose of this thesis was to review specimens from all Danish patients with a diagnosis of ophthalmic lymphoma during the period 1980-2005, in order to determine the distribution of lymphoma subtypes, and the incidence- and time trends in incidence for ophthalmic lymphoma. Furthermore, an extended analysis of the most frequent subtype, extranodal marginal zone lymphoma (MALT lymphoma), was done to analyse clinical factors and cytogenetic changes with influence on prognosis. A total of 228 Danish patients with a biopsy-reviewed verified diagnosis of ocular adnexal-, orbital-, or intraocular lymphoma were identified. We found that more than 50% of orbital- and ocular adnexal lymphomas were of the MALT lymphoma subtype, whereas diffuse large B-cell lymphoma (DLBCL) predominated intraocularly (Sjo et al. 2008a). Furthermore, lymphoma arising in the lacrimal sac was surprisingly predominantly DLBCL (Sjo et al. 2006). Incidence rates were highly dependent on patient age. There was an increase in incidence rates for the whole population from 1980 to 2005, corresponding to an annual average increase of 3.4% (Sjo et al. 2008a). MALT lymphoma arising in the ocular region was found in 116 patients (Sjo et al. 2008b). One third of patients had a relapse or progression of disease after initial therapy and relapses were frequently found at extra-ocular sites. Overall survival, however, was not significantly poorer for patients with relapse. Furthermore, we found that the frequency of translocations involving the MALT1- and IGH-gene loci is low in ocular region MALT lymphoma (2 of 42, 5%), but may predict increased risk of relapse (Sjo et al. 2008b). In conclusion the incidence of ophthalmic lymphoma is increasing at a high rate in Denmark. Ophthalmic lymphoma consists primarily of MALT lymphoma. The molecular pathogenesis of MALT lymphoma arising in the ocular region rarely involves translocations in the MALT1- and IGH…","author":[{"dropping-particle":"","family":"Sjo","given":"Lene Dissing","non-dropping-particle":"","parse-names":false,"suffix":""}],"container-title":"Acta ophthalmologica","id":"ITEM-2","issued":{"date-parts":[["2009","2"]]},"language":"eng","page":"1-20","publisher-place":"England","title":"Ophthalmic lymphoma: epidemiology and pathogenesis.","type":"article-journal","volume":"87 Thesis"},"uris":["http://www.mendeley.com/documents/?uuid=604c5b5e-9aff-4e36-964c-4cdf2b221732"]},{"id":"ITEM-3","itemData":{"DOI":"10.1097/01.pas.0000213350.49767.46","ISSN":"0147-5185","PMID":"17255761","abstract":"We studied the cases of 353 patients with lymphoma involving the ocular adnexa diagnosed at the Massachusetts General Hospital between 1974 and 2005. The patients included 153 males and 200 females, aged 7 to 95 years, with a mean age of 64 years. In 277 cases, there was no known history of lymphoma. Seventy-six patients had a history of lymphoma, with the ocular adnexa being involved at relapse or with progression of the previously diagnosed lymphoma. The patients had marginal zone lymphoma (182 cases), follicular lymphoma (80 cases), mantle cell lymphoma (18 cases), small lymphocytic lymphoma/chronic lymphocytic leukemia (13 cases), lymphoplasmacytic lymphoma (4 cases), splenic marginal zone lymphoma (2 cases), low-grade B cell, not subclassified (19 cases), precursor B lymphoblastic lymphoma (3 cases), diffuse large B-cell lymphoma (26 cases), and 1 case each of high-grade B-cell lymphoma, not subclassified, peripheral T-cell lymphoma, unspecified type, extranodal NK/T-cell lymphoma, nasal type, and Hodgkin lymphoma, nodular sclerosis type. Almost all marginal zone lymphoma patients (168 of 182, 92%) had primary ocular adnexal lymphoma. Fourteen marginal zone lymphoma patients (8%) had a prior history of lymphoma, usually arising in another extranodal site. Twenty-five of 80 (31%) follicular lymphoma patients had a prior history of lymphoma, usually arising in lymph nodes. Patients with mantle cell lymphoma, chronic lymphocytic leukemia, lymphoplasmacytic lymphoma, and splenic marginal zone lymphoma almost always had a prior history of lymphoma or were known to have widespread disease at the time of diagnosis of ocular adnexal lymphoma. A subset of the diffuse large B-cell lymphomas were associated with large destructive masses involving adjacent structures such as paranasal sinuses, raising the possibility that they may have arisen from one of the adjacent structures and involved the ocular adnexa by direct extension. The relatively high proportion of low-grade lymphoma, not subclassified, highlights the difficulty that may arise in distinguishing different types of low-grade lymphoma, particularly when biopsies are small and artifactually distorted. Ocular adnexal lymphoma is primarily a disease of older adults, with a slight female preponderance. Most lymphomas are low-grade B-cell lymphomas, with marginal zone lymphoma being by far the most common type. Marginal zone lymphoma typically involves the ocular adnexa primarily, whereas other types of …","author":[{"dropping-particle":"","family":"Ferry","given":"Judith A.","non-dropping-particle":"","parse-names":false,"suffix":""},{"dropping-particle":"","family":"Fung","given":"Claire Y.","non-dropping-particle":"","parse-names":false,"suffix":""},{"dropping-particle":"","family":"Zukerberg","given":"Lawrence","non-dropping-particle":"","parse-names":false,"suffix":""},{"dropping-particle":"","family":"Lucarelli","given":"Mark J.","non-dropping-particle":"","parse-names":false,"suffix":""},{"dropping-particle":"","family":"Hasserjian","given":"Robert P.","non-dropping-particle":"","parse-names":false,"suffix":""},{"dropping-particle":"","family":"Preffer","given":"Frederic I.","non-dropping-particle":"","parse-names":false,"suffix":""},{"dropping-particle":"","family":"Harris","given":"Nancy L.","non-dropping-particle":"","parse-names":false,"suffix":""}],"container-title":"The American Journal of Surgical Pathology","id":"ITEM-3","issue":"2","issued":{"date-parts":[["2007","2"]]},"page":"170-184","title":"Lymphoma of the Ocular Adnexa: A Study of 353 Cases","type":"article-journal","volume":"31"},"uris":["http://www.mendeley.com/documents/?uuid=6c90feb9-b8e4-3465-90e1-13c956a3e7c1"]},{"id":"ITEM-4","itemData":{"DOI":"10.1016/s1052-5149(03)00039-x","ISSN":"1052-5149","PMID":"14631680","abstract":"Lymphomas are subdivided into HL and NHL and are more specifically classified into subtypes of HL or NHL according to the WHO classification. HLs involve the lymph nodes predominantly and only approximately 5% arise in extranodal sites, whereas 30% of NHLs present in extranodal sites. Imaging studies, including CT and MR imaging, cannot distinguish [figure: see text] HL from NHL, and cannot differentiate their various subtypes, necessitating a pathologic diagnosis. Clinical parameters, however, can be helpful in differentiating the two broad categories of lymphomas, and subtypes of lymphomas have predilections for different sites within the head and neck. HL is most commonly located in the lymph nodes of the neck and mediastinum. Marginal-zone lymphoma has an affinity for the ocular adnexa, salivary glands, larynx, and the thyroid gland. Diffuse large B-cell lymphoma is commonly encountered in the paranasal sinuses, mandible, maxilla, and Waldeyer ring. Burkitt lymphoma occurs more frequently in children and young adults and frequently affects the maxilla and mandible, with a greater distribution of involvement at a lower frequency. On imaging studies, the lymph nodes of HL and NHL are homogeneous and variable in size, with an average diameter from 2 to 10 cm. They may enhance slightly to moderately, display necrosis before and after treatment, and display calcification post-treatment. NHL in extranodal sites in the head and neck (nasopharynx, Waldeyer ring, oral cavity, and larynx) manifests frequently as a submucosal mass accompanied [figure: see text] by polypoid, bulky masses with a smooth mucosal surface. Clinically aggressive lymphomas, such as Burkitt lymphoma, diffuse large B-cell lymphoma, and NK-/T-cell lymphomas are characterized by destruction of the maxilla, mandible, and bones around the paranasal sinuses, which is indistinguishable from bony destruction in other malignant tumors, such as SCC. Contrast CT is indicated for evaluation of cervical lymph nodes; the chest, including the mediastinum; the pelvic cavity; paranasal sinuses; and orbits. CT is also useful for detection of bone destruction involving the base of the skull, paranasal sinuses, and the mandible or maxilla. MR imaging is preferred for the assessment of extension of lymphomas to different fascial spaces (parapharyngeal, masticator, infratemporal fossa, tongue, and nasopharynx) and for intracranial extension. Lymphomas are isodense to muscle on CT and circumscribed with dist…","author":[{"dropping-particle":"","family":"Weber","given":"Alfred L","non-dropping-particle":"","parse-names":false,"suffix":""},{"dropping-particle":"","family":"Rahemtullah","given":"Aliyah","non-dropping-particle":"","parse-names":false,"suffix":""},{"dropping-particle":"","family":"Ferry","given":"Judith A","non-dropping-particle":"","parse-names":false,"suffix":""}],"container-title":"Neuroimaging clinics of North America","id":"ITEM-4","issue":"3","issued":{"date-parts":[["2003","8"]]},"page":"371-92","title":"Hodgkin and non-Hodgkin lymphoma of the head and neck: clinical, pathologic, and imaging evaluation.","type":"article-journal","volume":"13"},"uris":["http://www.mendeley.com/documents/?uuid=63cb4783-8e2c-372c-a7f4-26fa520dbd32"]},{"id":"ITEM-5","itemData":{"DOI":"10.1200/JGO.17.00071","ISSN":"2378-9506","PMID":"30241143","abstract":"PURPOSE This meta-analysis aimed to review the published outcomes of parotid non-Hodgkin lymphoma (NHL) pertaining to different treatment modalities. MATERIALS AND METHODS A total of 48 journal articles published between 1993 and 2015, comprising 742 cases of parotid NHL, were initially evaluated. In total, 108 patients from 12 studies who had sufficient data for analysis, including age, tumor histopathology, treatment modality, and outcome at final follow-up, were included. Patients were randomly assigned to different categories on the basis of histopathology and treatment modality. Groups were compared using Kaplan-Meier survival curve analysis and the Mann-Whitney U test. RESULTS Log-rank tests demonstrated that for early-stage (I and II) parotid NHL of all histopathology variants, radiation therapy significantly improved the survival rate versus chemotherapy ( P = .043), as well as combined treatment with chemotherapy and radiation therapy ( P = .023). For early-stage diffuse large B-cell lymphoma, combined treatment significantly improved survival versus single treatment ( P = .028). No treatment was received by seven patients with early-stage mucosa-associated lymphoid tissue lymphoma after undergoing parotidectomy. When the clinical outcomes of these patients were compared with those of other patients with the same histology who underwent further treatment, no significant differences were noted in survival outcomes. CONCLUSION Radiation therapy seems to be a valid treatment of early-stage parotid NHL. However, for diffuse large B-cell lymphoma, survival was higher with combined treatment versus single treatment. For early-stage parotid mucosa-associated lymphoid tissue lymphoma, complete excision of the tumor through superficial parotidectomy may have similar survival outcome.","author":[{"dropping-particle":"","family":"Jamal","given":"Basem","non-dropping-particle":"","parse-names":false,"suffix":""}],"container-title":"Journal of Global Oncology","id":"ITEM-5","issue":"4","issued":{"date-parts":[["2018","11"]]},"page":"1-6","title":"Treatment of Parotid Non-Hodgkin Lymphoma: A Meta-Analysis","type":"article-journal","volume":"4"},"uris":["http://www.mendeley.com/documents/?uuid=f0c95514-692c-3225-ba61-7c8cf0f8ca67"]},{"id":"ITEM-6","itemData":{"DOI":"10.1080/10428190701528509","ISSN":"1042-8194","PMID":"17786716","abstract":"To clarify the clinicopathological findings of primary salivary gland lymphoma as defined by the World Health Organization (WHO) classification, 30 Japanese patients with this disease were studied. The male to female ratio was 1:1.7 and median patient age was 57 years. The parotid gland (n = 22) was involved most frequently, followed by the submandibular gland (n = 5) and minor salivary gland (n = 3). Twenty-four (80%) cases demonstrated Stage IE, whereas only six (20%) had Stage IIE-1. None of the 30 cases had \"B\" symptoms or a poor performance status. The 5-year overall survival of 31 cases was 96% and 5-year failure-free survival was 77%. Histologically, 15 cases were mucosa-associated lymphoid tissue (MALT) lymphoma, seven were follicular lymphoma (FL), and six were diffuse large B-cell lymphoma (DLBCL) + MALT lymphoma and only two were DLBCL without a MALT lymphoma component. MALT lymphoma is the most frequent type of primary salivary gland lymphoma. However, FL comprised 20% of primary salivary gland lymphoma. The majority of the primary salivary gland DLBCL appear to arise from MALT type lymphoma. When appropriate therapy for histologic subtype is used, outcome of the primary salivary gland B-cell lymphoma appears excellent whether histologically indolent or aggressive.","author":[{"dropping-particle":"","family":"Kojima","given":"Masaru","non-dropping-particle":"","parse-names":false,"suffix":""},{"dropping-particle":"","family":"Shimizu","given":"Kazuhiko","non-dropping-particle":"","parse-names":false,"suffix":""},{"dropping-particle":"","family":"Nishikawa","given":"Masahumi","non-dropping-particle":"","parse-names":false,"suffix":""},{"dropping-particle":"","family":"Tamaki","given":"Yoshio","non-dropping-particle":"","parse-names":false,"suffix":""},{"dropping-particle":"","family":"Ito","given":"Hideaki","non-dropping-particle":"","parse-names":false,"suffix":""},{"dropping-particle":"","family":"Tsukamoto","given":"Norihumi","non-dropping-particle":"","parse-names":false,"suffix":""},{"dropping-particle":"","family":"Masawa","given":"Nobuhide","non-dropping-particle":"","parse-names":false,"suffix":""}],"container-title":"Leukemia &amp; Lymphoma","id":"ITEM-6","issue":"9","issued":{"date-parts":[["2007","1"]]},"page":"1793-1798","title":"Primary salivary gland lymphoma among Japanese: A clinicopathological study of 30 cases","type":"article-journal","volume":"48"},"uris":["http://www.mendeley.com/documents/?uuid=e030afd0-add3-3fa1-9a56-b057a7ed0a7d"]}],"mendeley":{"formattedCitation":"(4,9,10,12–14)","plainTextFormattedCitation":"(4,9,10,12–14)","previouslyFormattedCitation":"(4,9,10,12–14)"},"properties":{"noteIndex":0},"schema":"https://github.com/citation-style-language/schema/raw/master/csl-citation.json"}</w:instrText>
      </w:r>
      <w:r w:rsidRPr="00013472">
        <w:rPr>
          <w:lang w:val="en-US"/>
        </w:rPr>
        <w:fldChar w:fldCharType="separate"/>
      </w:r>
      <w:r w:rsidR="002A1B1B" w:rsidRPr="00013472">
        <w:rPr>
          <w:noProof/>
          <w:lang w:val="en-US"/>
        </w:rPr>
        <w:t>(4,9,10,12–14)</w:t>
      </w:r>
      <w:r w:rsidRPr="00013472">
        <w:rPr>
          <w:lang w:val="en-US"/>
        </w:rPr>
        <w:fldChar w:fldCharType="end"/>
      </w:r>
      <w:r w:rsidRPr="00013472">
        <w:rPr>
          <w:lang w:val="en-US"/>
        </w:rPr>
        <w:t>.</w:t>
      </w:r>
    </w:p>
    <w:p w14:paraId="680B3281" w14:textId="77777777" w:rsidR="000977D3" w:rsidRPr="00013472" w:rsidRDefault="000977D3" w:rsidP="007B4F7C">
      <w:pPr>
        <w:spacing w:line="480" w:lineRule="auto"/>
        <w:rPr>
          <w:lang w:val="en-US"/>
        </w:rPr>
      </w:pPr>
    </w:p>
    <w:p w14:paraId="6CA65D2D" w14:textId="707CEEE7" w:rsidR="00980636" w:rsidRPr="00013472" w:rsidRDefault="00CE4DF8" w:rsidP="00DB28E6">
      <w:pPr>
        <w:spacing w:line="480" w:lineRule="auto"/>
        <w:rPr>
          <w:lang w:val="en-GB"/>
        </w:rPr>
      </w:pPr>
      <w:r w:rsidRPr="00013472">
        <w:rPr>
          <w:lang w:val="en-US"/>
        </w:rPr>
        <w:t>The distribution of lymphoma subtypes diffe</w:t>
      </w:r>
      <w:r w:rsidR="00B41FC2" w:rsidRPr="00013472">
        <w:rPr>
          <w:lang w:val="en-US"/>
        </w:rPr>
        <w:t xml:space="preserve">red between eye cancer centers and </w:t>
      </w:r>
      <w:r w:rsidRPr="00013472">
        <w:rPr>
          <w:lang w:val="en-US"/>
        </w:rPr>
        <w:t xml:space="preserve">Hyderabad had a </w:t>
      </w:r>
      <w:r w:rsidR="00B41FC2" w:rsidRPr="00013472">
        <w:rPr>
          <w:lang w:val="en-US"/>
        </w:rPr>
        <w:t>noticeably</w:t>
      </w:r>
      <w:r w:rsidRPr="00013472">
        <w:rPr>
          <w:lang w:val="en-US"/>
        </w:rPr>
        <w:t xml:space="preserve"> higher proportion of patients with EMZL (84 %) than the </w:t>
      </w:r>
      <w:r w:rsidR="00B41FC2" w:rsidRPr="00013472">
        <w:rPr>
          <w:lang w:val="en-US"/>
        </w:rPr>
        <w:t>r</w:t>
      </w:r>
      <w:r w:rsidR="001D2FDC" w:rsidRPr="00013472">
        <w:rPr>
          <w:lang w:val="en-US"/>
        </w:rPr>
        <w:t>emaining eye cancer (44-61 %) (T</w:t>
      </w:r>
      <w:r w:rsidR="00B41FC2" w:rsidRPr="00013472">
        <w:rPr>
          <w:lang w:val="en-US"/>
        </w:rPr>
        <w:t xml:space="preserve">able 1). </w:t>
      </w:r>
      <w:r w:rsidR="00DB28E6" w:rsidRPr="00013472">
        <w:rPr>
          <w:lang w:val="en-GB"/>
        </w:rPr>
        <w:t>There was a slight male predominance for the entire group (52 % males) and a significant male predominance in the group of patients with EMZL, whi</w:t>
      </w:r>
      <w:r w:rsidR="001D2FDC" w:rsidRPr="00013472">
        <w:rPr>
          <w:lang w:val="en-GB"/>
        </w:rPr>
        <w:t>le females predominated in FL and</w:t>
      </w:r>
      <w:r w:rsidR="00DB28E6" w:rsidRPr="00013472">
        <w:rPr>
          <w:lang w:val="en-GB"/>
        </w:rPr>
        <w:t xml:space="preserve"> DLBCL.</w:t>
      </w:r>
      <w:r w:rsidR="000E0876" w:rsidRPr="00013472">
        <w:rPr>
          <w:lang w:val="en-GB"/>
        </w:rPr>
        <w:t xml:space="preserve"> Interestingly, there was no male predominance in MCL </w:t>
      </w:r>
      <w:r w:rsidR="000E0876" w:rsidRPr="00013472">
        <w:rPr>
          <w:lang w:val="en-GB"/>
        </w:rPr>
        <w:lastRenderedPageBreak/>
        <w:t>patients as seen in previous studies of ocular adnexal lymphoma</w:t>
      </w:r>
      <w:r w:rsidR="00D20A2F">
        <w:rPr>
          <w:lang w:val="en-GB"/>
        </w:rPr>
        <w:t>, which is probably due to the low number of cases</w:t>
      </w:r>
      <w:r w:rsidR="000E0876" w:rsidRPr="00013472">
        <w:rPr>
          <w:lang w:val="en-GB"/>
        </w:rPr>
        <w:t xml:space="preserve"> </w:t>
      </w:r>
      <w:r w:rsidR="000E0876" w:rsidRPr="00013472">
        <w:rPr>
          <w:lang w:val="en-GB"/>
        </w:rPr>
        <w:fldChar w:fldCharType="begin" w:fldLock="1"/>
      </w:r>
      <w:r w:rsidR="009C23B0" w:rsidRPr="00013472">
        <w:rPr>
          <w:lang w:val="en-GB"/>
        </w:rPr>
        <w:instrText>ADDIN CSL_CITATION {"citationItems":[{"id":"ITEM-1","itemData":{"DOI":"10.1016/J.AJO.2018.11.002","ISSN":"0002-9394","abstract":"PURPOSE To investigate and characterize the clinical features of subtype-specific orbital lymphoma. DESIGN Retrospective, interventional case series. METHODS The study included 7 international eye cancer centers. Patient data were collected from January 1, 1980 through December 31, 2017. A total of 797 patients with a histologically verified orbital lymphoma were included. The primary endpoints were overall survival, disease-specific survival, and progression-free survival. RESULTS The median age was 64 years, and 51% of patients (n = 407) were male. The majority of lymphomas were of B-cell origin (98%, n = 779). Extranodal marginal zone B-cell lymphoma (EMZL) was the most frequent subtype (57%, n = 452), followed by diffuse large B-cell lymphoma (DLBCL) (15%, n = 118), follicular lymphoma (FL) (11%, n = 91), and mantle cell lymphoma (MCL) (8%, n = 66). Localized Ann Arbor stage IE EMZL and FL were frequently treated with external beam radiation therapy. DLBCL, MCL, and disseminated EMZL and FL were primarily treated with chemotherapy. EMZL and FL patients had a markedly better prognosis (10-year disease-specific survival of 92% and 71%, respectively) than DLBCL and MCL patients (10-year disease-specific survival of 41% and 32%, respectively). CONCLUSIONS Four lymphoma subtypes were primarily found in patients with orbital lymphoma: EMZL, DLBCL, FL, and MCL. The histologic subtype was found to be the main predictor for outcome, with EMZL and FL patients having a markedly better prognosis than DLBCL and MCL.","author":[{"dropping-particle":"","family":"Olsen","given":"Tine Gadegaard","non-dropping-particle":"","parse-names":false,"suffix":""},{"dropping-particle":"","family":"Holm","given":"Frederik","non-dropping-particle":"","parse-names":false,"suffix":""},{"dropping-particle":"","family":"Mikkelsen","given":"Lauge Hjorth","non-dropping-particle":"","parse-names":false,"suffix":""},{"dropping-particle":"","family":"Rasmussen","given":"Peter Kristian","non-dropping-particle":"","parse-names":false,"suffix":""},{"dropping-particle":"","family":"Coupland","given":"Sarah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Jin","non-dropping-particle":"","parse-names":false,"suffix":""},{"dropping-particle":"","family":"McKelvie","given":"Penelope A.","non-dropping-particle":"","parse-names":false,"suffix":""},{"dropping-particle":"","family":"Mulay","given":"Kaustubh","non-dropping-particle":"","parse-names":false,"suffix":""},{"dropping-particle":"","family":"Sjö","given":"Lene Dissing","non-dropping-particle":"","parse-names":false,"suffix":""},{"dropping-particle":"","family":"Vemuganti","given":"Geeta K.","non-dropping-particle":"","parse-names":false,"suffix":""},{"dropping-particle":"","family":"Thuro","given":"Bradley A.","non-dropping-particle":"","parse-names":false,"suffix":""},{"dropping-particle":"","family":"Heegaard","given":"Steffen","non-dropping-particle":"","parse-names":false,"suffix":""}],"container-title":"American Journal of Ophthalmology","id":"ITEM-1","issued":{"date-parts":[["2019","3","1"]]},"page":"44-57","publisher":"Elsevier","title":"Orbital Lymphoma—An International Multicenter Retrospective Study","type":"article-journal","volume":"199"},"uris":["http://www.mendeley.com/documents/?uuid=062dfca5-977b-38d3-a85e-920cf684f65d"]},{"id":"ITEM-2","itemData":{"DOI":"10.1097/01.pas.0000213350.49767.46","ISSN":"0147-5185","PMID":"17255761","abstract":"We studied the cases of 353 patients with lymphoma involving the ocular adnexa diagnosed at the Massachusetts General Hospital between 1974 and 2005. The patients included 153 males and 200 females, aged 7 to 95 years, with a mean age of 64 years. In 277 cases, there was no known history of lymphoma. Seventy-six patients had a history of lymphoma, with the ocular adnexa being involved at relapse or with progression of the previously diagnosed lymphoma. The patients had marginal zone lymphoma (182 cases), follicular lymphoma (80 cases), mantle cell lymphoma (18 cases), small lymphocytic lymphoma/chronic lymphocytic leukemia (13 cases), lymphoplasmacytic lymphoma (4 cases), splenic marginal zone lymphoma (2 cases), low-grade B cell, not subclassified (19 cases), precursor B lymphoblastic lymphoma (3 cases), diffuse large B-cell lymphoma (26 cases), and 1 case each of high-grade B-cell lymphoma, not subclassified, peripheral T-cell lymphoma, unspecified type, extranodal NK/T-cell lymphoma, nasal type, and Hodgkin lymphoma, nodular sclerosis type. Almost all marginal zone lymphoma patients (168 of 182, 92%) had primary ocular adnexal lymphoma. Fourteen marginal zone lymphoma patients (8%) had a prior history of lymphoma, usually arising in another extranodal site. Twenty-five of 80 (31%) follicular lymphoma patients had a prior history of lymphoma, usually arising in lymph nodes. Patients with mantle cell lymphoma, chronic lymphocytic leukemia, lymphoplasmacytic lymphoma, and splenic marginal zone lymphoma almost always had a prior history of lymphoma or were known to have widespread disease at the time of diagnosis of ocular adnexal lymphoma. A subset of the diffuse large B-cell lymphomas were associated with large destructive masses involving adjacent structures such as paranasal sinuses, raising the possibility that they may have arisen from one of the adjacent structures and involved the ocular adnexa by direct extension. The relatively high proportion of low-grade lymphoma, not subclassified, highlights the difficulty that may arise in distinguishing different types of low-grade lymphoma, particularly when biopsies are small and artifactually distorted. Ocular adnexal lymphoma is primarily a disease of older adults, with a slight female preponderance. Most lymphomas are low-grade B-cell lymphomas, with marginal zone lymphoma being by far the most common type. Marginal zone lymphoma typically involves the ocular adnexa primarily, whereas other types of …","author":[{"dropping-particle":"","family":"Ferry","given":"Judith A.","non-dropping-particle":"","parse-names":false,"suffix":""},{"dropping-particle":"","family":"Fung","given":"Claire Y.","non-dropping-particle":"","parse-names":false,"suffix":""},{"dropping-particle":"","family":"Zukerberg","given":"Lawrence","non-dropping-particle":"","parse-names":false,"suffix":""},{"dropping-particle":"","family":"Lucarelli","given":"Mark J.","non-dropping-particle":"","parse-names":false,"suffix":""},{"dropping-particle":"","family":"Hasserjian","given":"Robert P.","non-dropping-particle":"","parse-names":false,"suffix":""},{"dropping-particle":"","family":"Preffer","given":"Frederic I.","non-dropping-particle":"","parse-names":false,"suffix":""},{"dropping-particle":"","family":"Harris","given":"Nancy L.","non-dropping-particle":"","parse-names":false,"suffix":""}],"container-title":"The American Journal of Surgical Pathology","id":"ITEM-2","issue":"2","issued":{"date-parts":[["2007","2"]]},"page":"170-184","title":"Lymphoma of the Ocular Adnexa: A Study of 353 Cases","type":"article-journal","volume":"31"},"uris":["http://www.mendeley.com/documents/?uuid=6c90feb9-b8e4-3465-90e1-13c956a3e7c1"]}],"mendeley":{"formattedCitation":"(4,9)","plainTextFormattedCitation":"(4,9)","previouslyFormattedCitation":"(4,9)"},"properties":{"noteIndex":0},"schema":"https://github.com/citation-style-language/schema/raw/master/csl-citation.json"}</w:instrText>
      </w:r>
      <w:r w:rsidR="000E0876" w:rsidRPr="00013472">
        <w:rPr>
          <w:lang w:val="en-GB"/>
        </w:rPr>
        <w:fldChar w:fldCharType="separate"/>
      </w:r>
      <w:r w:rsidR="000E0876" w:rsidRPr="00013472">
        <w:rPr>
          <w:noProof/>
          <w:lang w:val="en-GB"/>
        </w:rPr>
        <w:t>(4,9)</w:t>
      </w:r>
      <w:r w:rsidR="000E0876" w:rsidRPr="00013472">
        <w:rPr>
          <w:lang w:val="en-GB"/>
        </w:rPr>
        <w:fldChar w:fldCharType="end"/>
      </w:r>
      <w:r w:rsidR="000E0876" w:rsidRPr="00013472">
        <w:rPr>
          <w:lang w:val="en-GB"/>
        </w:rPr>
        <w:t xml:space="preserve">. </w:t>
      </w:r>
      <w:r w:rsidR="00DB28E6" w:rsidRPr="00013472">
        <w:rPr>
          <w:lang w:val="en-GB"/>
        </w:rPr>
        <w:t xml:space="preserve">Male-to-female ratio varied between eye cancer </w:t>
      </w:r>
      <w:proofErr w:type="spellStart"/>
      <w:r w:rsidR="00DB28E6" w:rsidRPr="00013472">
        <w:rPr>
          <w:lang w:val="en-GB"/>
        </w:rPr>
        <w:t>centers</w:t>
      </w:r>
      <w:proofErr w:type="spellEnd"/>
      <w:r w:rsidR="00DB28E6" w:rsidRPr="00013472">
        <w:rPr>
          <w:lang w:val="en-GB"/>
        </w:rPr>
        <w:t xml:space="preserve"> and in the EMZL group </w:t>
      </w:r>
      <w:r w:rsidR="000E0876" w:rsidRPr="00013472">
        <w:rPr>
          <w:lang w:val="en-GB"/>
        </w:rPr>
        <w:t>approximately 60</w:t>
      </w:r>
      <w:r w:rsidR="00DB28E6" w:rsidRPr="00013472">
        <w:rPr>
          <w:lang w:val="en-GB"/>
        </w:rPr>
        <w:t xml:space="preserve"> % of </w:t>
      </w:r>
      <w:r w:rsidR="009C23B0" w:rsidRPr="00013472">
        <w:rPr>
          <w:lang w:val="en-GB"/>
        </w:rPr>
        <w:t>patients</w:t>
      </w:r>
      <w:r w:rsidR="00DB28E6" w:rsidRPr="00013472">
        <w:rPr>
          <w:lang w:val="en-GB"/>
        </w:rPr>
        <w:t xml:space="preserve"> came from Hyderabad where males predominated the patient group in contrast to the remaining eye cancer </w:t>
      </w:r>
      <w:proofErr w:type="spellStart"/>
      <w:r w:rsidR="00DB28E6" w:rsidRPr="00013472">
        <w:rPr>
          <w:lang w:val="en-GB"/>
        </w:rPr>
        <w:t>centers</w:t>
      </w:r>
      <w:proofErr w:type="spellEnd"/>
      <w:r w:rsidR="00DB28E6" w:rsidRPr="00013472">
        <w:rPr>
          <w:lang w:val="en-GB"/>
        </w:rPr>
        <w:t xml:space="preserve">. </w:t>
      </w:r>
      <w:r w:rsidR="003B01FA" w:rsidRPr="00013472">
        <w:rPr>
          <w:lang w:val="en-GB"/>
        </w:rPr>
        <w:t xml:space="preserve">A </w:t>
      </w:r>
      <w:r w:rsidR="00980636" w:rsidRPr="00013472">
        <w:rPr>
          <w:lang w:val="en-GB"/>
        </w:rPr>
        <w:t xml:space="preserve">male predominance in </w:t>
      </w:r>
      <w:r w:rsidR="001D2FDC" w:rsidRPr="00013472">
        <w:rPr>
          <w:lang w:val="en-GB"/>
        </w:rPr>
        <w:t xml:space="preserve">lacrimal gland and ocular adnexal </w:t>
      </w:r>
      <w:r w:rsidR="00980636" w:rsidRPr="00013472">
        <w:rPr>
          <w:lang w:val="en-GB"/>
        </w:rPr>
        <w:t>EMZL patie</w:t>
      </w:r>
      <w:r w:rsidR="003B01FA" w:rsidRPr="00013472">
        <w:rPr>
          <w:lang w:val="en-GB"/>
        </w:rPr>
        <w:t>n</w:t>
      </w:r>
      <w:r w:rsidR="00980636" w:rsidRPr="00013472">
        <w:rPr>
          <w:lang w:val="en-GB"/>
        </w:rPr>
        <w:t>t</w:t>
      </w:r>
      <w:r w:rsidR="003B01FA" w:rsidRPr="00013472">
        <w:rPr>
          <w:lang w:val="en-GB"/>
        </w:rPr>
        <w:t xml:space="preserve">s has previously been recorded in Asian countries </w:t>
      </w:r>
      <w:r w:rsidR="00B714E7" w:rsidRPr="00013472">
        <w:rPr>
          <w:lang w:val="en-GB"/>
        </w:rPr>
        <w:fldChar w:fldCharType="begin" w:fldLock="1"/>
      </w:r>
      <w:r w:rsidR="009C23B0" w:rsidRPr="00013472">
        <w:rPr>
          <w:lang w:val="en-GB"/>
        </w:rPr>
        <w:instrText>ADDIN CSL_CITATION {"citationItems":[{"id":"ITEM-1","itemData":{"ISSN":"2476-762X","PMID":"27644607","abstract":"BACKGROUND The most common type of ocular lymphoma is non-Hodgkin lymphoma (NHL), categorized into two groups: indolent (slow growing) and aggressive (rapid growing). Differentiating benign reactive lymphoid hyperplasia (RLH) from malignant ocular adnexal lymphoma (OAL) is challenging. Histopathology, immunohistochemistry (IHC) and ow cytometry have been used as diagnostic tools in such cases. MATERIALS AND METHODS In this retrospective case series, from 2002 to 2013 at Farabi Eye Center, 110 patients with ocular lymphoproliferative disease were enrolled. Prevalence, anatomical locations, mean age at diagnosis and the nal diagnosis of the disease with IHC were assessed. Comparison between previous pathologic diagnoses and results of IHC was made. Immunoglobulin light chains and B-cell and T-cell markers and other immuno-phenotyping markers including CD20, CD3, CD5, CD23, CD10, CYCLIND1 and BCL2 were evaluated to determine the most accurate diagnosis. The lymphomas were categorized based on revised European-American lymphoma (REAL) classi cation. RESULTS Mean age±SD (years) of the patients was 55.6 ±19.3 and 61% were male. Patients with follicular lymphoma, large B-cell lymphoma or chronic lymphocytic leukemia/small cell lymphoma (CLL/SLL) tended to be older. Nine patients with previous diagnoses of low grade B-cell lymphoma were re-evaluated by IHC and the new diagnoses were as follows: extranodal marginal zone lymphoma(EMZL) (n=1), SLL(n=1), mantle cell lymphoma (MCL) (n=3), reactive lymphoid hyperplasia RLH (n=2). Two cases were excluded due to poor blocks. Flow cytometry reports in these seven patients revealed SLL with positive CD5 and CD23, MCL with positive CD5 and CyclinD1 and negative CD23, EMZL with negative CD5,CD23 and CD10. One RLH patient was negative for Kappa/Lambda and positive for CD3 and CD20 and the other was positive for all of the light chains, CD3 and CD20. Orbit (49.1%), conjunctiva (16.1%) and lacrimal glands (16.1%) were the most common sites of involvement. CONCLUSIONS Accurate pathological classi cation of lesions is crucial to determine proper therapeutic approaches. This can be achieved through precise histologic and IHC analyses by expert pathologists.","author":[{"dropping-particle":"","family":"Asadi-Amoli","given":"Fahimeh","non-dropping-particle":"","parse-names":false,"suffix":""},{"dropping-particle":"","family":"Nozarian","given":"Zohreh","non-dropping-particle":"","parse-names":false,"suffix":""},{"dropping-particle":"","family":"Bonaki","given":"Hirbod Nasiri","non-dropping-particle":"","parse-names":false,"suffix":""},{"dropping-particle":"","family":"Mehrtash","given":"Vahid","non-dropping-particle":"","parse-names":false,"suffix":""},{"dropping-particle":"","family":"Entezari","given":"Samaneh","non-dropping-particle":"","parse-names":false,"suffix":""}],"container-title":"Asian Pacific journal of cancer prevention : APJCP","id":"ITEM-1","issue":"8","issued":{"date-parts":[["2016"]]},"page":"3727-31","title":"Clinicopathologic Assessment of Ocular Adnexal Lymphoproliferative Lesions at a Tertiary Eye Hospital in Iran.","type":"article-journal","volume":"17"},"uris":["http://www.mendeley.com/documents/?uuid=812fd2b9-3e35-35fa-81bb-f90e9e574ee1"]},{"id":"ITEM-2","itemData":{"DOI":"10.1016/j.ajo.2006.10.044","ISSN":"0002-9394 (Print)","PMID":"17184716","abstract":"PURPOSE: To evaluate the clinical features and outcome of extranodal marginal zone B-cell lymphoma of mucosa-associated lymphoid tissue type (MALT lymphoma) in the lacrimal gland. DESIGN: Retrospective, noncomparative, observational case series in an academic referral setting. METHODS: A consecutive series of 13 histologically verified MALT lymphoma in the lacrimal gland at presentation was studied. Clinical characteristics, treatment, and prognosis were analyzed. RESULTS: Eight males and five females with a median age of 64 years and a median follow-up time of 48 months were included. All patients had no prior lymphoma and initially presented as MALT lymphoma in the lacrimal gland. Extraorbital involvement at diagnosis was noted in six patients (46.2%). Two patients had autoimmune disease, and both had Stage IV disease at presentation. Treatment consisted of surgical resection in one patient, radiotherapy in four, chemotherapy in four, and combined radiotherapy and chemotherapy in four. Complete remissions were obtained in eight patients (61.5%). Patients with bilateral disease (61.5%) had a higher rate of advanced-stage disease and a poor outcome. Recurrence was noted in two patients. At the last follow-up, eight patients were free of disease, three were alive with disease, one died of sepsis as a complication of chemotherapy, and one died of lymphoma. CONCLUSIONS: MALT lymphoma in the lacrimal gland has a high rate of extraorbital involvement and synchronous bilateral lacrimal gland involvement at presentation. The prognosis is relatively poor, especially in patients with advanced disease and bilateral involvement. Extensive staging and long-term follow-up are warranted for these patients.","author":[{"dropping-particle":"","family":"Kao","given":"Shu-Ching","non-dropping-particle":"","parse-names":false,"suffix":""},{"dropping-particle":"","family":"Kau","given":"Hui-Chuan","non-dropping-particle":"","parse-names":false,"suffix":""},{"dropping-particle":"","family":"Tsai","given":"Chieh-Chih","non-dropping-particle":"","parse-names":false,"suffix":""},{"dropping-particle":"","family":"Tsay","given":"Shyh-Haw","non-dropping-particle":"","parse-names":false,"suffix":""},{"dropping-particle":"","family":"Yang","given":"Ching-Fen","non-dropping-particle":"","parse-names":false,"suffix":""},{"dropping-particle":"","family":"Wu","given":"Juin-Sen","non-dropping-particle":"","parse-names":false,"suffix":""},{"dropping-particle":"","family":"Hsu","given":"Wen-Ming","non-dropping-particle":"","parse-names":false,"suffix":""}],"container-title":"American journal of ophthalmology","id":"ITEM-2","issue":"2","issued":{"date-parts":[["2007","2"]]},"language":"eng","page":"311-316","publisher-place":"United States","title":"Lacrimal gland extranodal marginal zone B-cell lymphoma of MALT-type.","type":"article-journal","volume":"143"},"uris":["http://www.mendeley.com/documents/?uuid=ce7e8798-7b7d-4992-adf1-509747c49021"]}],"mendeley":{"formattedCitation":"(15,16)","plainTextFormattedCitation":"(15,16)","previouslyFormattedCitation":"(15,16)"},"properties":{"noteIndex":0},"schema":"https://github.com/citation-style-language/schema/raw/master/csl-citation.json"}</w:instrText>
      </w:r>
      <w:r w:rsidR="00B714E7" w:rsidRPr="00013472">
        <w:rPr>
          <w:lang w:val="en-GB"/>
        </w:rPr>
        <w:fldChar w:fldCharType="separate"/>
      </w:r>
      <w:r w:rsidR="009C23B0" w:rsidRPr="00013472">
        <w:rPr>
          <w:noProof/>
          <w:lang w:val="en-GB"/>
        </w:rPr>
        <w:t>(15,16)</w:t>
      </w:r>
      <w:r w:rsidR="00B714E7" w:rsidRPr="00013472">
        <w:rPr>
          <w:lang w:val="en-GB"/>
        </w:rPr>
        <w:fldChar w:fldCharType="end"/>
      </w:r>
      <w:r w:rsidR="00B714E7" w:rsidRPr="00013472">
        <w:rPr>
          <w:lang w:val="en-GB"/>
        </w:rPr>
        <w:t xml:space="preserve">, </w:t>
      </w:r>
      <w:r w:rsidR="000977D3" w:rsidRPr="00013472">
        <w:rPr>
          <w:lang w:val="en-GB"/>
        </w:rPr>
        <w:t xml:space="preserve">in contrast to </w:t>
      </w:r>
      <w:r w:rsidR="00B714E7" w:rsidRPr="00013472">
        <w:rPr>
          <w:lang w:val="en-GB"/>
        </w:rPr>
        <w:t xml:space="preserve">national studies from Denmark, Canada and United states </w:t>
      </w:r>
      <w:r w:rsidR="00B714E7" w:rsidRPr="00013472">
        <w:rPr>
          <w:lang w:val="en-GB"/>
        </w:rPr>
        <w:fldChar w:fldCharType="begin" w:fldLock="1"/>
      </w:r>
      <w:r w:rsidR="009C23B0" w:rsidRPr="00013472">
        <w:rPr>
          <w:lang w:val="en-GB"/>
        </w:rPr>
        <w:instrText>ADDIN CSL_CITATION {"citationItems":[{"id":"ITEM-1","itemData":{"DOI":"10.1001/archophthalmol.2011.270","ISSN":"0003-9950","PMID":"21987669","abstract":"OBJECTIVE To characterize the clinicopathologic features of lacrimal gland lymphoma. METHODS All cases of lacrimal gland lymphoma from January 1, 1975, through December 31, 2009, were retrieved from The Danish Registry of Pathology. Histologic specimens were reevaluated using a panel of monoclonal antibodies. Clinical files from all patients with confirmed lymphoma were collected. RESULTS Twenty-seven patients with lacrimal gland lymphoma were identified. Eight of the patients were men and 19 were women; the median (range) age was 69 (43-87) years. The distribution of lymphoma subtypes was as follows: extranodal marginal zone lymphoma, 10 (37%); follicular lymphoma, 5 (19%); diffuse large B-cell lymphoma, 4 (15%); mantle cell lymphoma, 3 (11%); chronic lymphocytic leukemia/small lymphatic lymphoma, 2 (7%); and unclassified B-cell lymphoma, 3 (11%). Twenty-two patients (81%) had stage I or II lymphoma, 1 patient (4%) had stage III lymphoma, and 4 patients (15%) had stage IV lymphoma. Patients with stage I or II lymphoma were treated with radiotherapy (15 [67%]), chemotherapy (3 [14%]), chemotherapy plus radiotherapy (1 [5%]), and surgery (3 [14%]). Patients presenting with stage III or IV lymphoma were treated with chemotherapy alone. Complete remission was observed in 23 of the patients (85%), although 12 (44%) of these had a relapse, independent of subtype, stage, or treatment. The 5-year overall survival was 70%. CONCLUSIONS Malignant lymphoma of the lacrimal gland is relatively rare and is mostly prevalent in elderly women. The distribution of lacrimal gland lymphoma subtypes resembles that of lymphoma subtypes of the salivary glands. The majority of lacrimal gland lymphomas are low grade, and the prognosis is relatively good.","author":[{"dropping-particle":"","family":"Rasmussen","given":"Peter","non-dropping-particle":"","parse-names":false,"suffix":""},{"dropping-particle":"","family":"Ralfkiaer","given":"Elisabeth","non-dropping-particle":"","parse-names":false,"suffix":""},{"dropping-particle":"","family":"Prause","given":"Jan Ulrik","non-dropping-particle":"","parse-names":false,"suffix":""},{"dropping-particle":"","family":"Sjö","given":"Lene D","non-dropping-particle":"","parse-names":false,"suffix":""},{"dropping-particle":"","family":"Siersma","given":"Volkert D","non-dropping-particle":"","parse-names":false,"suffix":""},{"dropping-particle":"","family":"Heegaard","given":"Steffen","non-dropping-particle":"","parse-names":false,"suffix":""}],"container-title":"Archives of Ophthalmology","id":"ITEM-1","issue":"10","issued":{"date-parts":[["2011","10","1"]]},"page":"1275","title":"Malignant Lymphoma of the Lacrimal Gland","type":"article-journal","volume":"129"},"uris":["http://www.mendeley.com/documents/?uuid=3444f791-69e7-3178-bd88-117e4ef2e185"]},{"id":"ITEM-2","itemData":{"DOI":"10.1016/S0008-4182(05)80026-2","ISSN":"0008-4182 (Print)","PMID":"16049528","abstract":"BACKGROUND: Lacrimal gland lymphoproliferative disorders are usually classified as orbital adnexal tumours. Because the lacrimal gland is the only orbital structure with native lymphocytes, we examined cases with primary involvement of the gland. METHODS: The 14 cases were selected from a review of all cases in the surgical pathology files of the Ottawa Hospital between 1992 and 2003. The lesions were categorized according to the latest World Health Organization classification of tumours of lymphoid tissues. We conducted a clinical, histopathological, immunohistochemical, immunophenotypic and molecular genetic analysis of the cases. RESULTS: The 8 female and 6 male patients, aged 20 to 88 (mean 60) years, were followed for an average of 4 years (range 11 months to 13 years). All presented with supratemporal orbital swelling. The 5 primary lymphomas, of mucosa-associated lymphoid tissue (MALT), were confined to the lacrimal gland (stage IE); 1 tumour transformed to diffuse large B-cell lymphoma, necessitating chemotherapy, and the other 4 were treated with radiation. One of the 5 patients had previously had Sjogren's syndrome. The 6 secondary lymphomas (4 follicular) presented either concurrently with systemic lymphoma or up to 12 years afterwards and were treated in a variety of ways; all the patients had an orbital relapse. At the last follow-up assessment, 6 of the patients with lymphoma had no evidence of disease, 3 were alive with disease, 2 had died (1 of lymphoma, the other with no evidence of disease), and the status of 1 patient was not known. Of the 3 patients with reactive proliferations, 2 had reactive lymphoid hyperplasia (associated with Sjogren's syndrome in 1), and 1 had Rosai-Dorfman disease. All 9 lymphomas that underwent molecular genetic analysis were of B-cell lineage, and 8 had a monoclonal rearrangement in the immunoglobulin heavy-chain gene (IgH); the 9th lymphoma showed an oligoclonal rearrangement. One lymphoma showed the t(14;18) translocation, typical of follicular lymphoma; no lymphoma showed the t(11;18) translocation, commonly found in MALT lymphoma (but only 2 cases were studied). Molecular genetic analysis was performed in 2 of the cases of reactive lymphoid hyperplasia: monoclonal IgH rearrangement was detected in 1 case (the patient with Sjogren's syndrome), oligoclonal rearrangement in the other. INTERPRETATION: Lacrimal gland lymphomas are B-cell tumours that develop in older adults. Primary tumours, a hIgH proportion…","author":[{"dropping-particle":"","family":"Farmer","given":"James P","non-dropping-particle":"","parse-names":false,"suffix":""},{"dropping-particle":"","family":"Lamba","given":"Manisha","non-dropping-particle":"","parse-names":false,"suffix":""},{"dropping-particle":"","family":"Lamba","given":"Wiplove R","non-dropping-particle":"","parse-names":false,"suffix":""},{"dropping-particle":"","family":"Jordan","given":"David R","non-dropping-particle":"","parse-names":false,"suffix":""},{"dropping-particle":"","family":"Gilberg","given":"Steven","non-dropping-particle":"","parse-names":false,"suffix":""},{"dropping-particle":"","family":"Sengar","given":"Dharmendra P S","non-dropping-particle":"","parse-names":false,"suffix":""},{"dropping-particle":"","family":"Bence-Bruckler","given":"Isabelle","non-dropping-particle":"","parse-names":false,"suffix":""},{"dropping-particle":"","family":"Burns","given":"Bruce F","non-dropping-particle":"","parse-names":false,"suffix":""}],"container-title":"Canadian journal of ophthalmology. Journal canadien d'ophtalmologie","id":"ITEM-2","issue":"2","issued":{"date-parts":[["2005","4"]]},"language":"eng","page":"151-160","publisher-place":"England","title":"Lymphoproliferative lesions of the lacrimal gland: clinicopathological, immunohistochemical and molecular genetic analysis.","type":"article-journal","volume":"40"},"uris":["http://www.mendeley.com/documents/?uuid=822be8bd-06b0-41f9-ab75-6072acc42148"]},{"id":"ITEM-3","itemData":{"DOI":"10.1097/01.pas.0000213350.49767.46","ISSN":"0147-5185","PMID":"17255761","abstract":"We studied the cases of 353 patients with lymphoma involving the ocular adnexa diagnosed at the Massachusetts General Hospital between 1974 and 2005. The patients included 153 males and 200 females, aged 7 to 95 years, with a mean age of 64 years. In 277 cases, there was no known history of lymphoma. Seventy-six patients had a history of lymphoma, with the ocular adnexa being involved at relapse or with progression of the previously diagnosed lymphoma. The patients had marginal zone lymphoma (182 cases), follicular lymphoma (80 cases), mantle cell lymphoma (18 cases), small lymphocytic lymphoma/chronic lymphocytic leukemia (13 cases), lymphoplasmacytic lymphoma (4 cases), splenic marginal zone lymphoma (2 cases), low-grade B cell, not subclassified (19 cases), precursor B lymphoblastic lymphoma (3 cases), diffuse large B-cell lymphoma (26 cases), and 1 case each of high-grade B-cell lymphoma, not subclassified, peripheral T-cell lymphoma, unspecified type, extranodal NK/T-cell lymphoma, nasal type, and Hodgkin lymphoma, nodular sclerosis type. Almost all marginal zone lymphoma patients (168 of 182, 92%) had primary ocular adnexal lymphoma. Fourteen marginal zone lymphoma patients (8%) had a prior history of lymphoma, usually arising in another extranodal site. Twenty-five of 80 (31%) follicular lymphoma patients had a prior history of lymphoma, usually arising in lymph nodes. Patients with mantle cell lymphoma, chronic lymphocytic leukemia, lymphoplasmacytic lymphoma, and splenic marginal zone lymphoma almost always had a prior history of lymphoma or were known to have widespread disease at the time of diagnosis of ocular adnexal lymphoma. A subset of the diffuse large B-cell lymphomas were associated with large destructive masses involving adjacent structures such as paranasal sinuses, raising the possibility that they may have arisen from one of the adjacent structures and involved the ocular adnexa by direct extension. The relatively high proportion of low-grade lymphoma, not subclassified, highlights the difficulty that may arise in distinguishing different types of low-grade lymphoma, particularly when biopsies are small and artifactually distorted. Ocular adnexal lymphoma is primarily a disease of older adults, with a slight female preponderance. Most lymphomas are low-grade B-cell lymphomas, with marginal zone lymphoma being by far the most common type. Marginal zone lymphoma typically involves the ocular adnexa primarily, whereas other types of …","author":[{"dropping-particle":"","family":"Ferry","given":"Judith A.","non-dropping-particle":"","parse-names":false,"suffix":""},{"dropping-particle":"","family":"Fung","given":"Claire Y.","non-dropping-particle":"","parse-names":false,"suffix":""},{"dropping-particle":"","family":"Zukerberg","given":"Lawrence","non-dropping-particle":"","parse-names":false,"suffix":""},{"dropping-particle":"","family":"Lucarelli","given":"Mark J.","non-dropping-particle":"","parse-names":false,"suffix":""},{"dropping-particle":"","family":"Hasserjian","given":"Robert P.","non-dropping-particle":"","parse-names":false,"suffix":""},{"dropping-particle":"","family":"Preffer","given":"Frederic I.","non-dropping-particle":"","parse-names":false,"suffix":""},{"dropping-particle":"","family":"Harris","given":"Nancy L.","non-dropping-particle":"","parse-names":false,"suffix":""}],"container-title":"The American Journal of Surgical Pathology","id":"ITEM-3","issue":"2","issued":{"date-parts":[["2007","2"]]},"page":"170-184","title":"Lymphoma of the Ocular Adnexa: A Study of 353 Cases","type":"article-journal","volume":"31"},"uris":["http://www.mendeley.com/documents/?uuid=6c90feb9-b8e4-3465-90e1-13c956a3e7c1"]}],"mendeley":{"formattedCitation":"(4,11,17)","plainTextFormattedCitation":"(4,11,17)","previouslyFormattedCitation":"(4,11,17)"},"properties":{"noteIndex":0},"schema":"https://github.com/citation-style-language/schema/raw/master/csl-citation.json"}</w:instrText>
      </w:r>
      <w:r w:rsidR="00B714E7" w:rsidRPr="00013472">
        <w:rPr>
          <w:lang w:val="en-GB"/>
        </w:rPr>
        <w:fldChar w:fldCharType="separate"/>
      </w:r>
      <w:r w:rsidR="009C23B0" w:rsidRPr="00013472">
        <w:rPr>
          <w:noProof/>
          <w:lang w:val="en-GB"/>
        </w:rPr>
        <w:t>(4,11,17)</w:t>
      </w:r>
      <w:r w:rsidR="00B714E7" w:rsidRPr="00013472">
        <w:rPr>
          <w:lang w:val="en-GB"/>
        </w:rPr>
        <w:fldChar w:fldCharType="end"/>
      </w:r>
      <w:r w:rsidR="000B2AF7" w:rsidRPr="00013472">
        <w:rPr>
          <w:lang w:val="en-GB"/>
        </w:rPr>
        <w:t>.</w:t>
      </w:r>
      <w:r w:rsidR="000E0876" w:rsidRPr="00013472">
        <w:rPr>
          <w:lang w:val="en-GB"/>
        </w:rPr>
        <w:t xml:space="preserve"> Most patients in this study were adults with a median age of 58 years (range 12-100) at diagnosis. Patients with MCL, SLL/CLL, and DLBCL tended to be older than patients with FL and EMZL, and median age also varied between eye cancer </w:t>
      </w:r>
      <w:proofErr w:type="spellStart"/>
      <w:r w:rsidR="000E0876" w:rsidRPr="00013472">
        <w:rPr>
          <w:lang w:val="en-GB"/>
        </w:rPr>
        <w:t>centers</w:t>
      </w:r>
      <w:proofErr w:type="spellEnd"/>
      <w:r w:rsidR="000E0876" w:rsidRPr="00013472">
        <w:rPr>
          <w:lang w:val="en-GB"/>
        </w:rPr>
        <w:t xml:space="preserve"> (table 1). </w:t>
      </w:r>
      <w:r w:rsidR="005D0096" w:rsidRPr="00013472">
        <w:rPr>
          <w:lang w:val="en-GB"/>
        </w:rPr>
        <w:t xml:space="preserve">EMZL patients in Hyderabad were markedly </w:t>
      </w:r>
      <w:r w:rsidR="000E0876" w:rsidRPr="00013472">
        <w:rPr>
          <w:lang w:val="en-GB"/>
        </w:rPr>
        <w:t xml:space="preserve">younger than EMZL patients from the remaining </w:t>
      </w:r>
      <w:r w:rsidR="009C23B0" w:rsidRPr="00013472">
        <w:rPr>
          <w:lang w:val="en-GB"/>
        </w:rPr>
        <w:t xml:space="preserve">eye cancer </w:t>
      </w:r>
      <w:proofErr w:type="spellStart"/>
      <w:r w:rsidR="000E0876" w:rsidRPr="00013472">
        <w:rPr>
          <w:lang w:val="en-GB"/>
        </w:rPr>
        <w:t>centers</w:t>
      </w:r>
      <w:proofErr w:type="spellEnd"/>
      <w:r w:rsidR="000E0876" w:rsidRPr="00013472">
        <w:rPr>
          <w:lang w:val="en-GB"/>
        </w:rPr>
        <w:t xml:space="preserve">. </w:t>
      </w:r>
      <w:r w:rsidR="005D0096" w:rsidRPr="00013472">
        <w:rPr>
          <w:lang w:val="en-GB"/>
        </w:rPr>
        <w:t xml:space="preserve">Previously </w:t>
      </w:r>
      <w:r w:rsidR="009C23B0" w:rsidRPr="00013472">
        <w:rPr>
          <w:lang w:val="en-GB"/>
        </w:rPr>
        <w:t xml:space="preserve">lymphoma of the lacrimal gland has been characterized by a predominance of female, elderly patients (median age 69 years) </w:t>
      </w:r>
      <w:r w:rsidR="000E0876" w:rsidRPr="00013472">
        <w:rPr>
          <w:lang w:val="en-GB"/>
        </w:rPr>
        <w:fldChar w:fldCharType="begin" w:fldLock="1"/>
      </w:r>
      <w:r w:rsidR="009C23B0" w:rsidRPr="00013472">
        <w:rPr>
          <w:lang w:val="en-GB"/>
        </w:rPr>
        <w:instrText>ADDIN CSL_CITATION {"citationItems":[{"id":"ITEM-1","itemData":{"DOI":"10.1001/archophthalmol.2011.270","ISSN":"0003-9950","PMID":"21987669","abstract":"OBJECTIVE To characterize the clinicopathologic features of lacrimal gland lymphoma. METHODS All cases of lacrimal gland lymphoma from January 1, 1975, through December 31, 2009, were retrieved from The Danish Registry of Pathology. Histologic specimens were reevaluated using a panel of monoclonal antibodies. Clinical files from all patients with confirmed lymphoma were collected. RESULTS Twenty-seven patients with lacrimal gland lymphoma were identified. Eight of the patients were men and 19 were women; the median (range) age was 69 (43-87) years. The distribution of lymphoma subtypes was as follows: extranodal marginal zone lymphoma, 10 (37%); follicular lymphoma, 5 (19%); diffuse large B-cell lymphoma, 4 (15%); mantle cell lymphoma, 3 (11%); chronic lymphocytic leukemia/small lymphatic lymphoma, 2 (7%); and unclassified B-cell lymphoma, 3 (11%). Twenty-two patients (81%) had stage I or II lymphoma, 1 patient (4%) had stage III lymphoma, and 4 patients (15%) had stage IV lymphoma. Patients with stage I or II lymphoma were treated with radiotherapy (15 [67%]), chemotherapy (3 [14%]), chemotherapy plus radiotherapy (1 [5%]), and surgery (3 [14%]). Patients presenting with stage III or IV lymphoma were treated with chemotherapy alone. Complete remission was observed in 23 of the patients (85%), although 12 (44%) of these had a relapse, independent of subtype, stage, or treatment. The 5-year overall survival was 70%. CONCLUSIONS Malignant lymphoma of the lacrimal gland is relatively rare and is mostly prevalent in elderly women. The distribution of lacrimal gland lymphoma subtypes resembles that of lymphoma subtypes of the salivary glands. The majority of lacrimal gland lymphomas are low grade, and the prognosis is relatively good.","author":[{"dropping-particle":"","family":"Rasmussen","given":"Peter","non-dropping-particle":"","parse-names":false,"suffix":""},{"dropping-particle":"","family":"Ralfkiaer","given":"Elisabeth","non-dropping-particle":"","parse-names":false,"suffix":""},{"dropping-particle":"","family":"Prause","given":"Jan Ulrik","non-dropping-particle":"","parse-names":false,"suffix":""},{"dropping-particle":"","family":"Sjö","given":"Lene D","non-dropping-particle":"","parse-names":false,"suffix":""},{"dropping-particle":"","family":"Siersma","given":"Volkert D","non-dropping-particle":"","parse-names":false,"suffix":""},{"dropping-particle":"","family":"Heegaard","given":"Steffen","non-dropping-particle":"","parse-names":false,"suffix":""}],"container-title":"Archives of Ophthalmology","id":"ITEM-1","issue":"10","issued":{"date-parts":[["2011","10","1"]]},"page":"1275","title":"Malignant Lymphoma of the Lacrimal Gland","type":"article-journal","volume":"129"},"uris":["http://www.mendeley.com/documents/?uuid=3444f791-69e7-3178-bd88-117e4ef2e185"]}],"mendeley":{"formattedCitation":"(11)","plainTextFormattedCitation":"(11)","previouslyFormattedCitation":"(11,17)"},"properties":{"noteIndex":0},"schema":"https://github.com/citation-style-language/schema/raw/master/csl-citation.json"}</w:instrText>
      </w:r>
      <w:r w:rsidR="000E0876" w:rsidRPr="00013472">
        <w:rPr>
          <w:lang w:val="en-GB"/>
        </w:rPr>
        <w:fldChar w:fldCharType="separate"/>
      </w:r>
      <w:r w:rsidR="009C23B0" w:rsidRPr="00013472">
        <w:rPr>
          <w:noProof/>
          <w:lang w:val="en-GB"/>
        </w:rPr>
        <w:t>(11)</w:t>
      </w:r>
      <w:r w:rsidR="000E0876" w:rsidRPr="00013472">
        <w:rPr>
          <w:lang w:val="en-GB"/>
        </w:rPr>
        <w:fldChar w:fldCharType="end"/>
      </w:r>
      <w:r w:rsidR="009C23B0" w:rsidRPr="00013472">
        <w:rPr>
          <w:lang w:val="en-GB"/>
        </w:rPr>
        <w:t xml:space="preserve">, which is in contrast to this study. Part of this difference might be due to the large proportion of EMZL patients from Hyderabad.  </w:t>
      </w:r>
    </w:p>
    <w:p w14:paraId="5B31C6E4" w14:textId="77777777" w:rsidR="007B4F7C" w:rsidRPr="00013472" w:rsidRDefault="007B4F7C" w:rsidP="007B4F7C">
      <w:pPr>
        <w:spacing w:line="480" w:lineRule="auto"/>
        <w:rPr>
          <w:lang w:val="en-US"/>
        </w:rPr>
      </w:pPr>
    </w:p>
    <w:p w14:paraId="3D5938D1" w14:textId="66E8568C" w:rsidR="005E492F" w:rsidRPr="00013472" w:rsidRDefault="00055936" w:rsidP="00055936">
      <w:pPr>
        <w:spacing w:line="480" w:lineRule="auto"/>
        <w:rPr>
          <w:lang w:val="en-US"/>
        </w:rPr>
      </w:pPr>
      <w:r w:rsidRPr="00013472">
        <w:rPr>
          <w:lang w:val="en-US"/>
        </w:rPr>
        <w:t xml:space="preserve">The prognosis for patients with lacrimal gland lymphoma found in this study is relatively good with a 5 year </w:t>
      </w:r>
      <w:r w:rsidR="00C26A89" w:rsidRPr="00013472">
        <w:rPr>
          <w:lang w:val="en-US"/>
        </w:rPr>
        <w:t>OS</w:t>
      </w:r>
      <w:r w:rsidR="003C6E4E" w:rsidRPr="00013472">
        <w:rPr>
          <w:lang w:val="en-US"/>
        </w:rPr>
        <w:t xml:space="preserve"> of</w:t>
      </w:r>
      <w:r w:rsidRPr="00013472">
        <w:rPr>
          <w:lang w:val="en-US"/>
        </w:rPr>
        <w:t xml:space="preserve"> 73.8</w:t>
      </w:r>
      <w:r w:rsidR="001C3674" w:rsidRPr="00013472">
        <w:rPr>
          <w:lang w:val="en-US"/>
        </w:rPr>
        <w:t>%</w:t>
      </w:r>
      <w:r w:rsidRPr="00013472">
        <w:rPr>
          <w:lang w:val="en-US"/>
        </w:rPr>
        <w:t xml:space="preserve"> and a 5 year </w:t>
      </w:r>
      <w:r w:rsidR="00C26A89" w:rsidRPr="00013472">
        <w:rPr>
          <w:lang w:val="en-US"/>
        </w:rPr>
        <w:t>DSS</w:t>
      </w:r>
      <w:r w:rsidR="003C6E4E" w:rsidRPr="00013472">
        <w:rPr>
          <w:lang w:val="en-US"/>
        </w:rPr>
        <w:t xml:space="preserve"> of</w:t>
      </w:r>
      <w:r w:rsidRPr="00013472">
        <w:rPr>
          <w:lang w:val="en-US"/>
        </w:rPr>
        <w:t xml:space="preserve"> 87.5</w:t>
      </w:r>
      <w:r w:rsidR="001C3674" w:rsidRPr="00013472">
        <w:rPr>
          <w:lang w:val="en-US"/>
        </w:rPr>
        <w:t>%</w:t>
      </w:r>
      <w:r w:rsidRPr="00013472">
        <w:rPr>
          <w:lang w:val="en-US"/>
        </w:rPr>
        <w:t>, which is</w:t>
      </w:r>
      <w:r w:rsidR="003C6E4E" w:rsidRPr="00013472">
        <w:rPr>
          <w:lang w:val="en-US"/>
        </w:rPr>
        <w:t xml:space="preserve"> similar </w:t>
      </w:r>
      <w:r w:rsidRPr="00013472">
        <w:rPr>
          <w:lang w:val="en-US"/>
        </w:rPr>
        <w:t xml:space="preserve">to previous studies </w:t>
      </w:r>
      <w:r w:rsidRPr="00013472">
        <w:rPr>
          <w:lang w:val="en-US"/>
        </w:rPr>
        <w:fldChar w:fldCharType="begin" w:fldLock="1"/>
      </w:r>
      <w:r w:rsidR="00B714E7" w:rsidRPr="00013472">
        <w:rPr>
          <w:lang w:val="en-US"/>
        </w:rPr>
        <w:instrText>ADDIN CSL_CITATION {"citationItems":[{"id":"ITEM-1","itemData":{"DOI":"10.1001/archophthalmol.2011.270","ISSN":"0003-9950","PMID":"21987669","abstract":"OBJECTIVE To characterize the clinicopathologic features of lacrimal gland lymphoma. METHODS All cases of lacrimal gland lymphoma from January 1, 1975, through December 31, 2009, were retrieved from The Danish Registry of Pathology. Histologic specimens were reevaluated using a panel of monoclonal antibodies. Clinical files from all patients with confirmed lymphoma were collected. RESULTS Twenty-seven patients with lacrimal gland lymphoma were identified. Eight of the patients were men and 19 were women; the median (range) age was 69 (43-87) years. The distribution of lymphoma subtypes was as follows: extranodal marginal zone lymphoma, 10 (37%); follicular lymphoma, 5 (19%); diffuse large B-cell lymphoma, 4 (15%); mantle cell lymphoma, 3 (11%); chronic lymphocytic leukemia/small lymphatic lymphoma, 2 (7%); and unclassified B-cell lymphoma, 3 (11%). Twenty-two patients (81%) had stage I or II lymphoma, 1 patient (4%) had stage III lymphoma, and 4 patients (15%) had stage IV lymphoma. Patients with stage I or II lymphoma were treated with radiotherapy (15 [67%]), chemotherapy (3 [14%]), chemotherapy plus radiotherapy (1 [5%]), and surgery (3 [14%]). Patients presenting with stage III or IV lymphoma were treated with chemotherapy alone. Complete remission was observed in 23 of the patients (85%), although 12 (44%) of these had a relapse, independent of subtype, stage, or treatment. The 5-year overall survival was 70%. CONCLUSIONS Malignant lymphoma of the lacrimal gland is relatively rare and is mostly prevalent in elderly women. The distribution of lacrimal gland lymphoma subtypes resembles that of lymphoma subtypes of the salivary glands. The majority of lacrimal gland lymphomas are low grade, and the prognosis is relatively good.","author":[{"dropping-particle":"","family":"Rasmussen","given":"Peter","non-dropping-particle":"","parse-names":false,"suffix":""},{"dropping-particle":"","family":"Ralfkiaer","given":"Elisabeth","non-dropping-particle":"","parse-names":false,"suffix":""},{"dropping-particle":"","family":"Prause","given":"Jan Ulrik","non-dropping-particle":"","parse-names":false,"suffix":""},{"dropping-particle":"","family":"Sjö","given":"Lene D","non-dropping-particle":"","parse-names":false,"suffix":""},{"dropping-particle":"","family":"Siersma","given":"Volkert D","non-dropping-particle":"","parse-names":false,"suffix":""},{"dropping-particle":"","family":"Heegaard","given":"Steffen","non-dropping-particle":"","parse-names":false,"suffix":""}],"container-title":"Archives of Ophthalmology","id":"ITEM-1","issue":"10","issued":{"date-parts":[["2011","10","1"]]},"page":"1275","title":"Malignant Lymphoma of the Lacrimal Gland","type":"article-journal","volume":"129"},"uris":["http://www.mendeley.com/documents/?uuid=3444f791-69e7-3178-bd88-117e4ef2e185"]}],"mendeley":{"formattedCitation":"(11)","plainTextFormattedCitation":"(11)","previouslyFormattedCitation":"(11)"},"properties":{"noteIndex":0},"schema":"https://github.com/citation-style-language/schema/raw/master/csl-citation.json"}</w:instrText>
      </w:r>
      <w:r w:rsidRPr="00013472">
        <w:rPr>
          <w:lang w:val="en-US"/>
        </w:rPr>
        <w:fldChar w:fldCharType="separate"/>
      </w:r>
      <w:r w:rsidR="00F8490D" w:rsidRPr="00013472">
        <w:rPr>
          <w:noProof/>
          <w:lang w:val="en-US"/>
        </w:rPr>
        <w:t>(11)</w:t>
      </w:r>
      <w:r w:rsidRPr="00013472">
        <w:rPr>
          <w:lang w:val="en-US"/>
        </w:rPr>
        <w:fldChar w:fldCharType="end"/>
      </w:r>
      <w:r w:rsidRPr="00013472">
        <w:rPr>
          <w:lang w:val="en-US"/>
        </w:rPr>
        <w:t xml:space="preserve">. Overall survival and disease specific survival was significantly different between subtypes (OS: </w:t>
      </w:r>
      <w:r w:rsidRPr="00013472">
        <w:rPr>
          <w:i/>
          <w:lang w:val="en-US"/>
        </w:rPr>
        <w:t>P</w:t>
      </w:r>
      <w:r w:rsidRPr="00013472">
        <w:rPr>
          <w:lang w:val="en-US"/>
        </w:rPr>
        <w:t xml:space="preserve">&lt;0.001, pooled log rank test; DSS: </w:t>
      </w:r>
      <w:r w:rsidR="00FF287C" w:rsidRPr="00013472">
        <w:rPr>
          <w:i/>
          <w:lang w:val="en-US"/>
        </w:rPr>
        <w:t>P</w:t>
      </w:r>
      <w:r w:rsidR="00FF287C" w:rsidRPr="00013472">
        <w:rPr>
          <w:lang w:val="en-US"/>
        </w:rPr>
        <w:t>&lt;0.001, pooled log rank test), which has previously been shown in other anatomic sites of the OA</w:t>
      </w:r>
      <w:r w:rsidRPr="00013472">
        <w:rPr>
          <w:lang w:val="en-US"/>
        </w:rPr>
        <w:t xml:space="preserve"> </w:t>
      </w:r>
      <w:r w:rsidR="001D3E29" w:rsidRPr="00013472">
        <w:rPr>
          <w:lang w:val="en-US"/>
        </w:rPr>
        <w:fldChar w:fldCharType="begin" w:fldLock="1"/>
      </w:r>
      <w:r w:rsidR="009C23B0" w:rsidRPr="00013472">
        <w:rPr>
          <w:lang w:val="en-US"/>
        </w:rPr>
        <w:instrText>ADDIN CSL_CITATION {"citationItems":[{"id":"ITEM-1","itemData":{"DOI":"10.1016/J.AJO.2018.11.002","ISSN":"0002-9394","abstract":"PURPOSE To investigate and characterize the clinical features of subtype-specific orbital lymphoma. DESIGN Retrospective, interventional case series. METHODS The study included 7 international eye cancer centers. Patient data were collected from January 1, 1980 through December 31, 2017. A total of 797 patients with a histologically verified orbital lymphoma were included. The primary endpoints were overall survival, disease-specific survival, and progression-free survival. RESULTS The median age was 64 years, and 51% of patients (n = 407) were male. The majority of lymphomas were of B-cell origin (98%, n = 779). Extranodal marginal zone B-cell lymphoma (EMZL) was the most frequent subtype (57%, n = 452), followed by diffuse large B-cell lymphoma (DLBCL) (15%, n = 118), follicular lymphoma (FL) (11%, n = 91), and mantle cell lymphoma (MCL) (8%, n = 66). Localized Ann Arbor stage IE EMZL and FL were frequently treated with external beam radiation therapy. DLBCL, MCL, and disseminated EMZL and FL were primarily treated with chemotherapy. EMZL and FL patients had a markedly better prognosis (10-year disease-specific survival of 92% and 71%, respectively) than DLBCL and MCL patients (10-year disease-specific survival of 41% and 32%, respectively). CONCLUSIONS Four lymphoma subtypes were primarily found in patients with orbital lymphoma: EMZL, DLBCL, FL, and MCL. The histologic subtype was found to be the main predictor for outcome, with EMZL and FL patients having a markedly better prognosis than DLBCL and MCL.","author":[{"dropping-particle":"","family":"Olsen","given":"Tine Gadegaard","non-dropping-particle":"","parse-names":false,"suffix":""},{"dropping-particle":"","family":"Holm","given":"Frederik","non-dropping-particle":"","parse-names":false,"suffix":""},{"dropping-particle":"","family":"Mikkelsen","given":"Lauge Hjorth","non-dropping-particle":"","parse-names":false,"suffix":""},{"dropping-particle":"","family":"Rasmussen","given":"Peter Kristian","non-dropping-particle":"","parse-names":false,"suffix":""},{"dropping-particle":"","family":"Coupland","given":"Sarah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Jin","non-dropping-particle":"","parse-names":false,"suffix":""},{"dropping-particle":"","family":"McKelvie","given":"Penelope A.","non-dropping-particle":"","parse-names":false,"suffix":""},{"dropping-particle":"","family":"Mulay","given":"Kaustubh","non-dropping-particle":"","parse-names":false,"suffix":""},{"dropping-particle":"","family":"Sjö","given":"Lene Dissing","non-dropping-particle":"","parse-names":false,"suffix":""},{"dropping-particle":"","family":"Vemuganti","given":"Geeta K.","non-dropping-particle":"","parse-names":false,"suffix":""},{"dropping-particle":"","family":"Thuro","given":"Bradley A.","non-dropping-particle":"","parse-names":false,"suffix":""},{"dropping-particle":"","family":"Heegaard","given":"Steffen","non-dropping-particle":"","parse-names":false,"suffix":""}],"container-title":"American Journal of Ophthalmology","id":"ITEM-1","issued":{"date-parts":[["2019","3","1"]]},"page":"44-57","publisher":"Elsevier","title":"Orbital Lymphoma—An International Multicenter Retrospective Study","type":"article-journal","volume":"199"},"uris":["http://www.mendeley.com/documents/?uuid=062dfca5-977b-38d3-a85e-920cf684f65d"]},{"id":"ITEM-2","itemData":{"DOI":"10.1016/j.ajo.2017.02.004","ISSN":"1879-1891","PMID":"28209503","abstract":"PURPOSE To document subtype-specific clinical features of lymphoma of the eyelid, and their effect on patient outcome. DESIGN Retrospective observational case series. METHODS Patient data were collected from 7 international eye cancer centers from January 1, 1980 through December 31, 2015. The cases included primary and secondary lymphomas affecting the eyelid. Overall survival, disease-specific survival (DSS), and progression-free survival were the primary endpoints. RESULTS Eighty-six patients were included. Mean age was 63 years and 47 (55%) were male. Non-Hodgkin B-cell lymphomas constituted 83% (n = 71) and T-cell lymphomas constituted 17% (n = 15). The most common subtypes were extranodal marginal-zone lymphoma (EMZL) (37% [n = 32]), follicular lymphoma (FL) (23% [n = 20]), diffuse large B-cell lymphoma (DLBCL) (10% [n = 9]), mantle cell lymphoma (MCL) (8% [n = 7]), and mycosis fungoides (MF) (9% [n = 8]). EMZL had a female predilection (69% [22 of 32]), whereas MCL (71% [5 of 7]) and MF (88% [7 of 8]) had a male predominance. MCL (57% [4 of 7]), DLBCL (56% [5 of 9]), and MF (88% [7 of 8]) were frequently secondary lymphomas. Localized EMZL and FL were mostly treated with external beam radiation therapy, whereas DLBCL, MCL, and high Ann Arbor stage EMZL and FL were frequently treated with chemotherapy. DLBCL and MCL had a poor prognosis (5-year DSS, 21% and 50%, respectively), whereas EMZL, FL, and MF had a good prognosis (5-year DSS, 88%, 88% and 86%, respectively). CONCLUSIONS Lymphoma of the eyelid consists mainly of the lymphoma subtypes EMZL, FL, DLBCL, MCL, and MF. High-grade DLBCL and MCL, as well as MF, are frequently secondary eyelid lymphomas. The main predictor of outcome was the histologic subtype: EMZL, FL, and MF had a significantly better prognosis than MCL and DLBCL.","author":[{"dropping-particle":"","family":"Svendsen","given":"Frederik Holm","non-dropping-particle":"","parse-names":false,"suffix":""},{"dropping-particle":"","family":"Rasmussen","given":"Peter Kristian","non-dropping-particle":"","parse-names":false,"suffix":""},{"dropping-particle":"","family":"Coupland","given":"Sarah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Jin","non-dropping-particle":"","parse-names":false,"suffix":""},{"dropping-particle":"","family":"McKelvie","given":"Penelope A","non-dropping-particle":"","parse-names":false,"suffix":""},{"dropping-particle":"","family":"Mulay","given":"Kaustubh","non-dropping-particle":"","parse-names":false,"suffix":""},{"dropping-particle":"","family":"Ralfkiaer","given":"Elisabeth","non-dropping-particle":"","parse-names":false,"suffix":""},{"dropping-particle":"","family":"Sjö","given":"Lene Dissing","non-dropping-particle":"","parse-names":false,"suffix":""},{"dropping-particle":"","family":"Vemuganti","given":"Geeta K","non-dropping-particle":"","parse-names":false,"suffix":""},{"dropping-particle":"","family":"Thuro","given":"Bradley A","non-dropping-particle":"","parse-names":false,"suffix":""},{"dropping-particle":"","family":"Curtin","given":"Jeremy","non-dropping-particle":"","parse-names":false,"suffix":""},{"dropping-particle":"","family":"Heegaard","given":"Steffen","non-dropping-particle":"","parse-names":false,"suffix":""}],"container-title":"American journal of ophthalmology","id":"ITEM-2","issued":{"date-parts":[["2017","5"]]},"page":"58-68","title":"Lymphoma of the Eyelid - An International Multicenter Retrospective Study.","type":"article-journal","volume":"177"},"uris":["http://www.mendeley.com/documents/?uuid=146ff221-b59a-398b-9abc-fed32e093275"]},{"id":"ITEM-3","itemData":{"DOI":"10.1001/jamaophthalmol.2015.6122","ISSN":"2168-6165","author":[{"dropping-particle":"","family":"Kirkegaard","given":"Marina M.","non-dropping-particle":"","parse-names":false,"suffix":""},{"dropping-particle":"","family":"Rasmussen","given":"Peter K.","non-dropping-particle":"","parse-names":false,"suffix":""},{"dropping-particle":"","family":"Coupland","given":"Sarah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J.","non-dropping-particle":"","parse-names":false,"suffix":""},{"dropping-particle":"","family":"McKelvie","given":"Penny A.","non-dropping-particle":"","parse-names":false,"suffix":""},{"dropping-particle":"","family":"Mulay","given":"Kaustubh","non-dropping-particle":"","parse-names":false,"suffix":""},{"dropping-particle":"","family":"Prause","given":"Jan U.","non-dropping-particle":"","parse-names":false,"suffix":""},{"dropping-particle":"","family":"Ralfkiaer","given":"Elisabeth","non-dropping-particle":"","parse-names":false,"suffix":""},{"dropping-particle":"","family":"Sjö","given":"Lene D.","non-dropping-particle":"","parse-names":false,"suffix":""},{"dropping-particle":"","family":"Toft","given":"Peter B.","non-dropping-particle":"","parse-names":false,"suffix":""},{"dropping-particle":"","family":"Vemuganti","given":"Geeta K.","non-dropping-particle":"","parse-names":false,"suffix":""},{"dropping-particle":"","family":"Thuro","given":"Bradley A.","non-dropping-particle":"","parse-names":false,"suffix":""},{"dropping-particle":"","family":"Curtin","given":"Jeremy","non-dropping-particle":"","parse-names":false,"suffix":""},{"dropping-particle":"","family":"Heegaard","given":"Steffen","non-dropping-particle":"","parse-names":false,"suffix":""}],"container-title":"JAMA Ophthalmology","id":"ITEM-3","issue":"4","issued":{"date-parts":[["2016","4","1"]]},"page":"406","title":"Conjunctival Lymphoma—An International Multicenter Retrospective Study","type":"article-journal","volume":"134"},"uris":["http://www.mendeley.com/documents/?uuid=74dd7ddb-ac13-36bd-82c3-a75fa584a57a"]}],"mendeley":{"formattedCitation":"(9,18,19)","plainTextFormattedCitation":"(9,18,19)","previouslyFormattedCitation":"(9,19,20)"},"properties":{"noteIndex":0},"schema":"https://github.com/citation-style-language/schema/raw/master/csl-citation.json"}</w:instrText>
      </w:r>
      <w:r w:rsidR="001D3E29" w:rsidRPr="00013472">
        <w:rPr>
          <w:lang w:val="en-US"/>
        </w:rPr>
        <w:fldChar w:fldCharType="separate"/>
      </w:r>
      <w:r w:rsidR="009C23B0" w:rsidRPr="00013472">
        <w:rPr>
          <w:noProof/>
          <w:lang w:val="en-US"/>
        </w:rPr>
        <w:t>(9,18,19)</w:t>
      </w:r>
      <w:r w:rsidR="001D3E29" w:rsidRPr="00013472">
        <w:rPr>
          <w:lang w:val="en-US"/>
        </w:rPr>
        <w:fldChar w:fldCharType="end"/>
      </w:r>
      <w:r w:rsidR="001D3E29" w:rsidRPr="00013472">
        <w:rPr>
          <w:lang w:val="en-US"/>
        </w:rPr>
        <w:t xml:space="preserve">. </w:t>
      </w:r>
    </w:p>
    <w:p w14:paraId="5AC03F14" w14:textId="00884139" w:rsidR="005E492F" w:rsidRPr="00013472" w:rsidRDefault="005E492F" w:rsidP="00055936">
      <w:pPr>
        <w:spacing w:line="480" w:lineRule="auto"/>
        <w:rPr>
          <w:lang w:val="en-US"/>
        </w:rPr>
      </w:pPr>
      <w:r w:rsidRPr="00013472">
        <w:rPr>
          <w:lang w:val="en-US"/>
        </w:rPr>
        <w:t>Patients with EMZL and FL were found to have a good prognosis with a 5-year DSS of 93.4 % and 86.5 %,</w:t>
      </w:r>
      <w:r w:rsidR="00504B15" w:rsidRPr="00013472">
        <w:rPr>
          <w:lang w:val="en-US"/>
        </w:rPr>
        <w:t xml:space="preserve"> respectively,</w:t>
      </w:r>
      <w:r w:rsidRPr="00013472">
        <w:rPr>
          <w:lang w:val="en-US"/>
        </w:rPr>
        <w:t xml:space="preserve"> which is </w:t>
      </w:r>
      <w:r w:rsidR="003C6E4E" w:rsidRPr="00013472">
        <w:rPr>
          <w:lang w:val="en-US"/>
        </w:rPr>
        <w:t>similar</w:t>
      </w:r>
      <w:r w:rsidRPr="00013472">
        <w:rPr>
          <w:lang w:val="en-US"/>
        </w:rPr>
        <w:t xml:space="preserve"> to previous studies of the OA </w:t>
      </w:r>
      <w:r w:rsidRPr="00013472">
        <w:rPr>
          <w:lang w:val="en-US"/>
        </w:rPr>
        <w:fldChar w:fldCharType="begin" w:fldLock="1"/>
      </w:r>
      <w:r w:rsidR="009C23B0" w:rsidRPr="00013472">
        <w:rPr>
          <w:lang w:val="en-US"/>
        </w:rPr>
        <w:instrText>ADDIN CSL_CITATION {"citationItems":[{"id":"ITEM-1","itemData":{"DOI":"10.1136/bjophthalmol-2019-314008","ISSN":"1468-2079","PMID":"31177189","abstract":"BACKGROUNDS/AIMS To date, this is the largest cohort study on extranodal marginal zone B-cell lymphoma (EMZL) of the ocular adnexa (OA). The aim of the study was to characterise the clinical features of OA-EMZL. METHODS A retrospective multicentre study involving seven international eye cancer centres. Data were collected from 1 January 1980 through 31 December 2017. A total of 689 patients with OA-EMZL were included. RESULTS The median follow-up time was 42 months. The median age was 62 years (range, 8-100 years), and 55 % (378/689 patients) of patients were women. The majority of patients (82%, 558/680 patients) were diagnosed with primary OA-EMZL with Ann Arbor stage IE (90%, 485/541 patients) and American Joint Committee on Cancer stage T2 (61%, 340/557 patients) at the time of diagnosis. The orbit (66%, 452/689 patients) and the conjunctiva (37%, 255/689 patients) were the most frequently involved anatomical structures. The 5-year, 10-year and 20-year disease-specific survival (DSS) were 96%, 91% and 90%, respectively. Stage IE patients treated with external beam radiation therapy (EBRT) as monotherapy (10-year DSS, 95%) were found to have a better DSS than stage IE patients treated with chemotherapy (10-year DSS, 86%). Stage IIIE/IVE patients treated with chemotherapy and rituximab had a better DSS (10-year DSS, 96%) than stage IIIE/IVE patients treated with chemotherapy without rituximab (10-year DSS, 63%). CONCLUSIONS AND RELEVANCE EMZL is a slow-growing tumour with an excellent long-term survival. Low-dose EBRT as monotherapy should be considered in localised OA-EMZL. Rituximab-based chemotherapy should be chosen in those patients with disseminated disease.","author":[{"dropping-particle":"","family":"Hindsø","given":"Tine Gadegaard","non-dropping-particle":"","parse-names":false,"suffix":""},{"dropping-particle":"","family":"Esmaeli","given":"Bita","non-dropping-particle":"","parse-names":false,"suffix":""},{"dropping-particle":"","family":"Holm","given":"Frederik","non-dropping-particle":"","parse-names":false,"suffix":""},{"dropping-particle":"","family":"Mikkelsen","given":"Lauge Hjorth","non-dropping-particle":"","parse-names":false,"suffix":""},{"dropping-particle":"","family":"Rasmussen","given":"Peter Kristian","non-dropping-particle":"","parse-names":false,"suffix":""},{"dropping-particle":"","family":"Coupland","given":"Sarah E","non-dropping-particle":"","parse-names":false,"suffix":""},{"dropping-particle":"","family":"Finger","given":"Paul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Jin","non-dropping-particle":"","parse-names":false,"suffix":""},{"dropping-particle":"","family":"McKelvie","given":"Penelope A","non-dropping-particle":"","parse-names":false,"suffix":""},{"dropping-particle":"","family":"Mulay","given":"Kaustubh","non-dropping-particle":"","parse-names":false,"suffix":""},{"dropping-particle":"","family":"Sjö","given":"Lene Dissing","non-dropping-particle":"","parse-names":false,"suffix":""},{"dropping-particle":"","family":"Vemuganti","given":"Geeta K","non-dropping-particle":"","parse-names":false,"suffix":""},{"dropping-particle":"","family":"Thuro","given":"Bradley A","non-dropping-particle":"","parse-names":false,"suffix":""},{"dropping-particle":"","family":"Heegaard","given":"Steffen","non-dropping-particle":"","parse-names":false,"suffix":""}],"container-title":"The British journal of ophthalmology","id":"ITEM-1","issued":{"date-parts":[["2019","6","8"]]},"page":"bjophthalmol-2019-314008","title":"International multicentre retrospective cohort study of ocular adnexal marginal zone B-cell lymphoma.","type":"article-journal"},"uris":["http://www.mendeley.com/documents/?uuid=fe482b84-3b43-3df9-bc4a-8f6779bfbc4b"]},{"id":"ITEM-2","itemData":{"DOI":"10.1001/jamaophthalmol.2014.376","ISSN":"2168-6173 (Electronic)","PMID":"24763920","abstract":"IMPORTANCE: The clinical features of the follicular subtype of ocular adnexal lymphoma (OAL) have not been previously evaluated in a large cohort. OBJECTIVE: To characterize the clinical features of follicular OAL. DESIGN, SETTING, AND PARTICIPANTS: We performed a retrospective multicenter study that involved 6 eye cancer centers from January 1, 1980, through December 31, 2010. A total of 105 patients with follicular OAL were identified, of which 7 patients were excluded because of missing clinical data. The median follow-up time was 52 months (range, 13-118 months). MAIN OUTCOMES AND MEASURES: Overall survival, disease-specific, and progression-free survivals were the primary end points. RESULTS: Ninety-eight eligible patients with follicular OAL were included; 60 (61%) were women. The median patient age was 63 years (range, 32-96 years). Sixty-nine patients (70%) had primary OAL, 19 (19%) had OAL in conjunction with a concurrent systemic lymphoma, and 10 (10%) presented with an ocular adnexal relapse. The lacrimal gland (28%), conjunctiva (28%), and orbit (28%) were the most frequently involved sites. Of the 69 patients with primary follicular lymphoma, 38 (55%) presented with Ann Arbor stage IE lymphoma, and 31 (45%) had stage IIE lymphoma. Patients with disseminated lymphoma had stage IIIE (9 of 19 [47%]) and stage IV (10 of 19 [53%]) disease, whereas patients with a relapse of systemic lymphoma presented with stage IE (8 of 10 [80%]), stage IIE (1 of 10 [10%]), and stage IIIE (1 of 10 [10%]) disease. Patients with primary follicular lymphoma (n = 69) and those with isolated ocular relapse (n = 9) were treated with external beam radiation therapy (EBRT) (35 of 78 [45%]) or EBRT plus chemotherapy (22 of 78 [28%]). Patients presenting with stage IIIE-IV follicular lymphoma (n = 20) most frequently received chemotherapy (9 of 20 [45%]) or EBRT plus chemotherapy (4 of 20 [20%]). The 10-year overall survival for the entire study cohort was 60%. Primary patients treated with EBRT had a better disease-specific survival compared with patients receiving ERBT plus chemotherapy (10-year disease-specific survival, 94% vs 40%; P = .02 by log-rank test). CONCLUSIONS AND RELEVANCE: Follicular OAL was more commonly found in elderly female patients. These tumors were equally noted to involve the conjunctiva, lacrimal gland, and orbit. Patients with ocular adnexal follicular lymphoma primarily treated with EBRT had a more favorable long-term disease-specific survival.","author":[{"dropping-particle":"","family":"Rasmussen","given":"Peter K","non-dropping-particle":"","parse-names":false,"suffix":""},{"dropping-particle":"","family":"Coupland","given":"Sarah E","non-dropping-particle":"","parse-names":false,"suffix":""},{"dropping-particle":"","family":"Finger","given":"Paul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McKelvie","given":"Penny","non-dropping-particle":"","parse-names":false,"suffix":""},{"dropping-particle":"","family":"Mulay","given":"Kaustubh","non-dropping-particle":"","parse-names":false,"suffix":""},{"dropping-particle":"","family":"Prause","given":"Jan U","non-dropping-particle":"","parse-names":false,"suffix":""},{"dropping-particle":"","family":"Ralfkiaer","given":"Elisabeth","non-dropping-particle":"","parse-names":false,"suffix":""},{"dropping-particle":"","family":"Sjo","given":"Lene D","non-dropping-particle":"","parse-names":false,"suffix":""},{"dropping-particle":"","family":"Heegaard","given":"Steffen","non-dropping-particle":"","parse-names":false,"suffix":""}],"container-title":"JAMA ophthalmology","id":"ITEM-2","issue":"7","issued":{"date-parts":[["2014","7"]]},"language":"eng","page":"851-858","publisher-place":"United States","title":"Ocular adnexal follicular lymphoma: a multicenter international study.","type":"article-journal","volume":"132"},"uris":["http://www.mendeley.com/documents/?uuid=6837b8a1-87e5-41e2-bf75-03825344b4ab"]}],"mendeley":{"formattedCitation":"(20,21)","plainTextFormattedCitation":"(20,21)","previouslyFormattedCitation":"(21,22)"},"properties":{"noteIndex":0},"schema":"https://github.com/citation-style-language/schema/raw/master/csl-citation.json"}</w:instrText>
      </w:r>
      <w:r w:rsidRPr="00013472">
        <w:rPr>
          <w:lang w:val="en-US"/>
        </w:rPr>
        <w:fldChar w:fldCharType="separate"/>
      </w:r>
      <w:r w:rsidR="009C23B0" w:rsidRPr="00013472">
        <w:rPr>
          <w:noProof/>
          <w:lang w:val="en-US"/>
        </w:rPr>
        <w:t>(20,21)</w:t>
      </w:r>
      <w:r w:rsidRPr="00013472">
        <w:rPr>
          <w:lang w:val="en-US"/>
        </w:rPr>
        <w:fldChar w:fldCharType="end"/>
      </w:r>
      <w:r w:rsidRPr="00013472">
        <w:rPr>
          <w:lang w:val="en-US"/>
        </w:rPr>
        <w:t xml:space="preserve">. The current recommendation for treating localized stage I-IIE EMZL and FL of the </w:t>
      </w:r>
      <w:r w:rsidR="00C87047" w:rsidRPr="00013472">
        <w:rPr>
          <w:lang w:val="en-US"/>
        </w:rPr>
        <w:t>OA</w:t>
      </w:r>
      <w:r w:rsidRPr="00013472">
        <w:rPr>
          <w:lang w:val="en-US"/>
        </w:rPr>
        <w:t xml:space="preserve"> is EBRT applying 24-36 </w:t>
      </w:r>
      <w:proofErr w:type="spellStart"/>
      <w:r w:rsidRPr="00013472">
        <w:rPr>
          <w:lang w:val="en-US"/>
        </w:rPr>
        <w:t>Gy</w:t>
      </w:r>
      <w:proofErr w:type="spellEnd"/>
      <w:r w:rsidRPr="00013472">
        <w:rPr>
          <w:lang w:val="en-US"/>
        </w:rPr>
        <w:t xml:space="preserve"> in conventional daily fractions </w:t>
      </w:r>
      <w:r w:rsidRPr="00013472">
        <w:rPr>
          <w:lang w:val="en-US"/>
        </w:rPr>
        <w:fldChar w:fldCharType="begin" w:fldLock="1"/>
      </w:r>
      <w:r w:rsidR="009C23B0" w:rsidRPr="00013472">
        <w:rPr>
          <w:lang w:val="en-US"/>
        </w:rPr>
        <w:instrText>ADDIN CSL_CITATION {"citationItems":[{"id":"ITEM-1","itemData":{"DOI":"10.1080/17469899.2018.1500176","ISSN":"1746-9899","abstract":"ABSTRACTIntroduction: In recent years, the prognosis for low-grade lymphoma in the ocular region has improved markedly, whereas high-grade lymphoma is still a challenging disease to manage. Numerou...","author":[{"dropping-particle":"","family":"Mikkelsen","given":"Lauge Hjorth","non-dropping-particle":"","parse-names":false,"suffix":""},{"dropping-particle":"","family":"Würtz","given":"Natacha Storm","non-dropping-particle":"","parse-names":false,"suffix":""},{"dropping-particle":"","family":"Heegaard","given":"Steffen","non-dropping-particle":"","parse-names":false,"suffix":""}],"container-title":"Expert Review of Ophthalmology","id":"ITEM-1","issue":"4","issued":{"date-parts":[["2018","7","4"]]},"page":"205-217","publisher":"Taylor &amp; Francis","title":"Recent advances in treating extra-ocular lymphomas","type":"article-journal","volume":"13"},"uris":["http://www.mendeley.com/documents/?uuid=0985c20f-5ec9-3a7a-9e66-cdcda16d0e06"]}],"mendeley":{"formattedCitation":"(22)","plainTextFormattedCitation":"(22)","previouslyFormattedCitation":"(23)"},"properties":{"noteIndex":0},"schema":"https://github.com/citation-style-language/schema/raw/master/csl-citation.json"}</w:instrText>
      </w:r>
      <w:r w:rsidRPr="00013472">
        <w:rPr>
          <w:lang w:val="en-US"/>
        </w:rPr>
        <w:fldChar w:fldCharType="separate"/>
      </w:r>
      <w:r w:rsidR="009C23B0" w:rsidRPr="00013472">
        <w:rPr>
          <w:noProof/>
          <w:lang w:val="en-US"/>
        </w:rPr>
        <w:t>(22)</w:t>
      </w:r>
      <w:r w:rsidRPr="00013472">
        <w:rPr>
          <w:lang w:val="en-US"/>
        </w:rPr>
        <w:fldChar w:fldCharType="end"/>
      </w:r>
      <w:r w:rsidR="00746EE2" w:rsidRPr="00013472">
        <w:rPr>
          <w:lang w:val="en-US"/>
        </w:rPr>
        <w:t>. I</w:t>
      </w:r>
      <w:r w:rsidRPr="00013472">
        <w:rPr>
          <w:lang w:val="en-US"/>
        </w:rPr>
        <w:t>n line with this</w:t>
      </w:r>
      <w:r w:rsidR="009706FF" w:rsidRPr="00013472">
        <w:rPr>
          <w:lang w:val="en-US"/>
        </w:rPr>
        <w:t>,</w:t>
      </w:r>
      <w:r w:rsidRPr="00013472">
        <w:rPr>
          <w:lang w:val="en-US"/>
        </w:rPr>
        <w:t xml:space="preserve"> the present study found no </w:t>
      </w:r>
      <w:r w:rsidRPr="00013472">
        <w:rPr>
          <w:lang w:val="en-US"/>
        </w:rPr>
        <w:lastRenderedPageBreak/>
        <w:t>significant difference in DSS between low stage EMZL and FL patients treated with EBRT as monotherapy and</w:t>
      </w:r>
      <w:r w:rsidR="00746EE2" w:rsidRPr="00013472">
        <w:rPr>
          <w:lang w:val="en-US"/>
        </w:rPr>
        <w:t xml:space="preserve"> patients treated with</w:t>
      </w:r>
      <w:r w:rsidRPr="00013472">
        <w:rPr>
          <w:lang w:val="en-US"/>
        </w:rPr>
        <w:t xml:space="preserve"> combination regimens of chemotherapy and EBRT. An addition of chemotherapy to an EBRT regimen for EMZL and FL patients with localized low stage disease is thus not found to improve DSS in this study. </w:t>
      </w:r>
    </w:p>
    <w:p w14:paraId="39FDDCDD" w14:textId="4BC9B79C" w:rsidR="00055936" w:rsidRPr="00013472" w:rsidRDefault="001D3E29" w:rsidP="007B4F7C">
      <w:pPr>
        <w:spacing w:line="480" w:lineRule="auto"/>
        <w:rPr>
          <w:lang w:val="en-US"/>
        </w:rPr>
      </w:pPr>
      <w:r w:rsidRPr="00013472">
        <w:rPr>
          <w:lang w:val="en-US"/>
        </w:rPr>
        <w:t>Patients with DLBCL of the lacrimal gland were found</w:t>
      </w:r>
      <w:r w:rsidR="003C6E4E" w:rsidRPr="00013472">
        <w:rPr>
          <w:lang w:val="en-US"/>
        </w:rPr>
        <w:t xml:space="preserve"> to</w:t>
      </w:r>
      <w:r w:rsidRPr="00013472">
        <w:rPr>
          <w:lang w:val="en-US"/>
        </w:rPr>
        <w:t xml:space="preserve"> carry the poorest progn</w:t>
      </w:r>
      <w:r w:rsidR="003C6E4E" w:rsidRPr="00013472">
        <w:rPr>
          <w:lang w:val="en-US"/>
        </w:rPr>
        <w:t>osis with a 3- and 5-year DSS of</w:t>
      </w:r>
      <w:r w:rsidRPr="00013472">
        <w:rPr>
          <w:lang w:val="en-US"/>
        </w:rPr>
        <w:t xml:space="preserve"> 67.7% and 54.2%, which is in line with previous survival data of DLBCL of the </w:t>
      </w:r>
      <w:r w:rsidR="00546C9E" w:rsidRPr="00013472">
        <w:rPr>
          <w:lang w:val="en-US"/>
        </w:rPr>
        <w:t>OA</w:t>
      </w:r>
      <w:r w:rsidRPr="00013472">
        <w:rPr>
          <w:lang w:val="en-US"/>
        </w:rPr>
        <w:t xml:space="preserve"> </w:t>
      </w:r>
      <w:r w:rsidRPr="00013472">
        <w:rPr>
          <w:lang w:val="en-US"/>
        </w:rPr>
        <w:fldChar w:fldCharType="begin" w:fldLock="1"/>
      </w:r>
      <w:r w:rsidR="009C23B0" w:rsidRPr="00013472">
        <w:rPr>
          <w:lang w:val="en-US"/>
        </w:rPr>
        <w:instrText>ADDIN CSL_CITATION {"citationItems":[{"id":"ITEM-1","itemData":{"DOI":"10.1001/jamaophthalmol.2014.4644","ISSN":"2168-6165","PMID":"25393033","abstract":"IMPORTANCE The clinical features of diffuse large B-cell lymphoma (DLBCL) subtype of ocular adnexal lymphoma have not previously been evaluated in a large cohort to our knowledge. OBJECTIVE To investigate the clinical features of ocular adnexal DLBCL (OA-DLBCL). DESIGN, SETTING, AND PARTICIPANTS This retrospective international cooperative study involved 6 eye cancer centers. During 30 years, 106 patients with OA-DLBCL were identified, and 6 were excluded from the study. The median follow-up period was 52 months. MAIN OUTCOMES AND MEASURES Overall survival, disease-specific survival (DSS), and progression-free survival were the primary end points. RESULTS One hundred patients with OA-DLBCL were included in the study (median age, 70 years), of whom 54 (54.0%) were female. The following 3 groups of patients with lymphoma could be identified: primary OA-DLBCL (57.0%), OA-DLBCL and concurrent systemic lymphoma (29.0%), and ocular adnexal lymphoma relapse of previous systemic lymphoma (14.0%). Of 57 patients with primary OA-DLBCL, 53 (93.0%) had Ann Arbor stage IE disease, and 4 (7.0%) had Ann Arbor stage IIE disease. According to the TNM staging system, 43 of 57 (75.4%) had T2 tumors. Among all patients, the most frequent treatments were external beam radiation therapy with or without surgery (31.0%) and rituximab-cyclophosphamide, hydroxydaunorubicin, vincristine sulfate, prednisone (CHOP) or rituximab-CHOP-like chemotherapy with or without external beam radiation therapy (21.0%). The 5-year overall survival among the entire cohort was 36.0% (median, 3.5 years; 95% CI, 2.5-4.5 years). Relapse occurred in 43.9% (25 of 57) of patients with primary OA-DLBCL. Increasing T category of the TNM staging system was predictive of DSS (P = .04) in primary OA-DLBCL, whereas the Ann Arbor staging system was not. However, when taking all 100 patients into account, Ann Arbor stage was able to predict DSS (P = .01). Women had a longer median DSS than men (9.8 years; 95% CI, 1.9-17.7 years vs 3.3 years; 95% CI, 1.6-5.0; P = .03). CONCLUSIONS AND RELEVANCE Most patients with primary OA-DLBCL were seen with Ann Arbor stage IE and TNM T2 disease. The 5-year overall survival was between 2.5 and 4.5 years, which is the 95% CI around the median of 3.5 years in this cohort. Increasing T category appears to be associated with decreased DSS among patients with primary OA-DLBCL. When taking all patients into account, sex and Ann Arbor stage also seem to be DSS predictors.","author":[{"dropping-particle":"","family":"Munch-Petersen","given":"Helga D.","non-dropping-particle":"","parse-names":false,"suffix":""},{"dropping-particle":"","family":"Rasmussen","given":"Peter K.","non-dropping-particle":"","parse-names":false,"suffix":""},{"dropping-particle":"","family":"Coupland","given":"Sarah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Jin","non-dropping-particle":"","parse-names":false,"suffix":""},{"dropping-particle":"","family":"McKelvie","given":"Penny A.","non-dropping-particle":"","parse-names":false,"suffix":""},{"dropping-particle":"","family":"Mulay","given":"Kaustubh","non-dropping-particle":"","parse-names":false,"suffix":""},{"dropping-particle":"","family":"Prause","given":"Jan U.","non-dropping-particle":"","parse-names":false,"suffix":""},{"dropping-particle":"","family":"Ralfkiaer","given":"Elisabeth","non-dropping-particle":"","parse-names":false,"suffix":""},{"dropping-particle":"","family":"Sjö","given":"Lene D.","non-dropping-particle":"","parse-names":false,"suffix":""},{"dropping-particle":"","family":"Sniegowski","given":"Matthew C.","non-dropping-particle":"","parse-names":false,"suffix":""},{"dropping-particle":"","family":"Vemuganti","given":"Geeta K.","non-dropping-particle":"","parse-names":false,"suffix":""},{"dropping-particle":"","family":"Heegaard","given":"Steffen","non-dropping-particle":"","parse-names":false,"suffix":""}],"container-title":"JAMA Ophthalmology","id":"ITEM-1","issue":"2","issued":{"date-parts":[["2015","2","1"]]},"page":"165","title":"Ocular Adnexal Diffuse Large B-cell Lymphoma","type":"article-journal","volume":"133"},"uris":["http://www.mendeley.com/documents/?uuid=f62276a3-cc4e-3076-a5f4-4f38305b0d8b"]}],"mendeley":{"formattedCitation":"(23)","plainTextFormattedCitation":"(23)","previouslyFormattedCitation":"(24)"},"properties":{"noteIndex":0},"schema":"https://github.com/citation-style-language/schema/raw/master/csl-citation.json"}</w:instrText>
      </w:r>
      <w:r w:rsidRPr="00013472">
        <w:rPr>
          <w:lang w:val="en-US"/>
        </w:rPr>
        <w:fldChar w:fldCharType="separate"/>
      </w:r>
      <w:r w:rsidR="009C23B0" w:rsidRPr="00013472">
        <w:rPr>
          <w:noProof/>
          <w:lang w:val="en-US"/>
        </w:rPr>
        <w:t>(23)</w:t>
      </w:r>
      <w:r w:rsidRPr="00013472">
        <w:rPr>
          <w:lang w:val="en-US"/>
        </w:rPr>
        <w:fldChar w:fldCharType="end"/>
      </w:r>
      <w:r w:rsidRPr="00013472">
        <w:rPr>
          <w:lang w:val="en-US"/>
        </w:rPr>
        <w:t xml:space="preserve">. </w:t>
      </w:r>
      <w:r w:rsidR="00055936" w:rsidRPr="00013472">
        <w:rPr>
          <w:lang w:val="en-US"/>
        </w:rPr>
        <w:t xml:space="preserve">Relapse or progression of disease was found to worsen the prognosis in respect to DSS </w:t>
      </w:r>
      <w:r w:rsidR="00746EE2" w:rsidRPr="00013472">
        <w:rPr>
          <w:lang w:val="en-US"/>
        </w:rPr>
        <w:t xml:space="preserve">within the EMZL and DLBCL subtypes. Risk factors for progression/relapse of disease was found to be a high </w:t>
      </w:r>
      <w:r w:rsidR="00055936" w:rsidRPr="00013472">
        <w:rPr>
          <w:lang w:val="en-US"/>
        </w:rPr>
        <w:t xml:space="preserve">Ann Arbor stage </w:t>
      </w:r>
      <w:r w:rsidR="00746EE2" w:rsidRPr="00013472">
        <w:rPr>
          <w:lang w:val="en-US"/>
        </w:rPr>
        <w:t>(</w:t>
      </w:r>
      <w:r w:rsidR="00055936" w:rsidRPr="00013472">
        <w:rPr>
          <w:lang w:val="en-US"/>
        </w:rPr>
        <w:t>III/IVE</w:t>
      </w:r>
      <w:r w:rsidR="00746EE2" w:rsidRPr="00013472">
        <w:rPr>
          <w:lang w:val="en-US"/>
        </w:rPr>
        <w:t>)</w:t>
      </w:r>
      <w:r w:rsidR="00055936" w:rsidRPr="00013472">
        <w:rPr>
          <w:lang w:val="en-US"/>
        </w:rPr>
        <w:t xml:space="preserve"> and secondary lymphoma </w:t>
      </w:r>
      <w:r w:rsidR="00746EE2" w:rsidRPr="00013472">
        <w:rPr>
          <w:lang w:val="en-US"/>
        </w:rPr>
        <w:t>in both the entire group of patients and patients with the DLBCL subtype</w:t>
      </w:r>
      <w:r w:rsidR="00055936" w:rsidRPr="00013472">
        <w:rPr>
          <w:lang w:val="en-US"/>
        </w:rPr>
        <w:t xml:space="preserve">, which is in line with previous studies of orbital lymphoma </w:t>
      </w:r>
      <w:r w:rsidR="00055936" w:rsidRPr="00013472">
        <w:rPr>
          <w:lang w:val="en-US"/>
        </w:rPr>
        <w:fldChar w:fldCharType="begin" w:fldLock="1"/>
      </w:r>
      <w:r w:rsidR="00B714E7" w:rsidRPr="00013472">
        <w:rPr>
          <w:lang w:val="en-US"/>
        </w:rPr>
        <w:instrText>ADDIN CSL_CITATION {"citationItems":[{"id":"ITEM-1","itemData":{"DOI":"10.1016/J.AJO.2018.11.002","ISSN":"0002-9394","abstract":"PURPOSE To investigate and characterize the clinical features of subtype-specific orbital lymphoma. DESIGN Retrospective, interventional case series. METHODS The study included 7 international eye cancer centers. Patient data were collected from January 1, 1980 through December 31, 2017. A total of 797 patients with a histologically verified orbital lymphoma were included. The primary endpoints were overall survival, disease-specific survival, and progression-free survival. RESULTS The median age was 64 years, and 51% of patients (n = 407) were male. The majority of lymphomas were of B-cell origin (98%, n = 779). Extranodal marginal zone B-cell lymphoma (EMZL) was the most frequent subtype (57%, n = 452), followed by diffuse large B-cell lymphoma (DLBCL) (15%, n = 118), follicular lymphoma (FL) (11%, n = 91), and mantle cell lymphoma (MCL) (8%, n = 66). Localized Ann Arbor stage IE EMZL and FL were frequently treated with external beam radiation therapy. DLBCL, MCL, and disseminated EMZL and FL were primarily treated with chemotherapy. EMZL and FL patients had a markedly better prognosis (10-year disease-specific survival of 92% and 71%, respectively) than DLBCL and MCL patients (10-year disease-specific survival of 41% and 32%, respectively). CONCLUSIONS Four lymphoma subtypes were primarily found in patients with orbital lymphoma: EMZL, DLBCL, FL, and MCL. The histologic subtype was found to be the main predictor for outcome, with EMZL and FL patients having a markedly better prognosis than DLBCL and MCL.","author":[{"dropping-particle":"","family":"Olsen","given":"Tine Gadegaard","non-dropping-particle":"","parse-names":false,"suffix":""},{"dropping-particle":"","family":"Holm","given":"Frederik","non-dropping-particle":"","parse-names":false,"suffix":""},{"dropping-particle":"","family":"Mikkelsen","given":"Lauge Hjorth","non-dropping-particle":"","parse-names":false,"suffix":""},{"dropping-particle":"","family":"Rasmussen","given":"Peter Kristian","non-dropping-particle":"","parse-names":false,"suffix":""},{"dropping-particle":"","family":"Coupland","given":"Sarah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E.","non-dropping-particle":"","parse-names":false,"suffix":""},{"dropping-particle":"","family":"Honavar","given":"Santosh G.","non-dropping-particle":"","parse-names":false,"suffix":""},{"dropping-particle":"","family":"Khong","given":"Jwu Jin","non-dropping-particle":"","parse-names":false,"suffix":""},{"dropping-particle":"","family":"McKelvie","given":"Penelope A.","non-dropping-particle":"","parse-names":false,"suffix":""},{"dropping-particle":"","family":"Mulay","given":"Kaustubh","non-dropping-particle":"","parse-names":false,"suffix":""},{"dropping-particle":"","family":"Sjö","given":"Lene Dissing","non-dropping-particle":"","parse-names":false,"suffix":""},{"dropping-particle":"","family":"Vemuganti","given":"Geeta K.","non-dropping-particle":"","parse-names":false,"suffix":""},{"dropping-particle":"","family":"Thuro","given":"Bradley A.","non-dropping-particle":"","parse-names":false,"suffix":""},{"dropping-particle":"","family":"Heegaard","given":"Steffen","non-dropping-particle":"","parse-names":false,"suffix":""}],"container-title":"American Journal of Ophthalmology","id":"ITEM-1","issued":{"date-parts":[["2019","3","1"]]},"page":"44-57","publisher":"Elsevier","title":"Orbital Lymphoma—An International Multicenter Retrospective Study","type":"article-journal","volume":"199"},"uris":["http://www.mendeley.com/documents/?uuid=062dfca5-977b-38d3-a85e-920cf684f65d"]}],"mendeley":{"formattedCitation":"(9)","plainTextFormattedCitation":"(9)","previouslyFormattedCitation":"(9)"},"properties":{"noteIndex":0},"schema":"https://github.com/citation-style-language/schema/raw/master/csl-citation.json"}</w:instrText>
      </w:r>
      <w:r w:rsidR="00055936" w:rsidRPr="00013472">
        <w:rPr>
          <w:lang w:val="en-US"/>
        </w:rPr>
        <w:fldChar w:fldCharType="separate"/>
      </w:r>
      <w:r w:rsidR="00F8490D" w:rsidRPr="00013472">
        <w:rPr>
          <w:noProof/>
          <w:lang w:val="en-US"/>
        </w:rPr>
        <w:t>(9)</w:t>
      </w:r>
      <w:r w:rsidR="00055936" w:rsidRPr="00013472">
        <w:rPr>
          <w:lang w:val="en-US"/>
        </w:rPr>
        <w:fldChar w:fldCharType="end"/>
      </w:r>
      <w:r w:rsidR="00055936" w:rsidRPr="00013472">
        <w:rPr>
          <w:lang w:val="en-US"/>
        </w:rPr>
        <w:t xml:space="preserve">. </w:t>
      </w:r>
    </w:p>
    <w:p w14:paraId="06E6B501" w14:textId="771EE40C" w:rsidR="007B4F7C" w:rsidRPr="00013472" w:rsidRDefault="00055936" w:rsidP="00055936">
      <w:pPr>
        <w:spacing w:line="480" w:lineRule="auto"/>
        <w:rPr>
          <w:lang w:val="en-US"/>
        </w:rPr>
      </w:pPr>
      <w:r w:rsidRPr="00013472">
        <w:rPr>
          <w:lang w:val="en-US"/>
        </w:rPr>
        <w:t>Patients wi</w:t>
      </w:r>
      <w:r w:rsidR="00000DC1" w:rsidRPr="00013472">
        <w:rPr>
          <w:lang w:val="en-US"/>
        </w:rPr>
        <w:t xml:space="preserve">th MCL had </w:t>
      </w:r>
      <w:r w:rsidR="00B8526A" w:rsidRPr="00013472">
        <w:rPr>
          <w:lang w:val="en-US"/>
        </w:rPr>
        <w:t xml:space="preserve">a </w:t>
      </w:r>
      <w:r w:rsidR="00000DC1" w:rsidRPr="00013472">
        <w:rPr>
          <w:lang w:val="en-US"/>
        </w:rPr>
        <w:t xml:space="preserve">3- and 5-year DSS of </w:t>
      </w:r>
      <w:r w:rsidRPr="00013472">
        <w:rPr>
          <w:lang w:val="en-US"/>
        </w:rPr>
        <w:t>87.8</w:t>
      </w:r>
      <w:r w:rsidR="001C3674" w:rsidRPr="00013472">
        <w:rPr>
          <w:lang w:val="en-US"/>
        </w:rPr>
        <w:t>%</w:t>
      </w:r>
      <w:r w:rsidR="00142223" w:rsidRPr="00013472">
        <w:rPr>
          <w:lang w:val="en-US"/>
        </w:rPr>
        <w:t>, where it should be noted that the number of patients left</w:t>
      </w:r>
      <w:r w:rsidR="006A55D3" w:rsidRPr="00013472">
        <w:rPr>
          <w:lang w:val="en-US"/>
        </w:rPr>
        <w:t xml:space="preserve"> in the cohort at </w:t>
      </w:r>
      <w:r w:rsidR="00B8526A" w:rsidRPr="00013472">
        <w:rPr>
          <w:lang w:val="en-US"/>
        </w:rPr>
        <w:t xml:space="preserve">the </w:t>
      </w:r>
      <w:r w:rsidR="006A55D3" w:rsidRPr="00013472">
        <w:rPr>
          <w:lang w:val="en-US"/>
        </w:rPr>
        <w:t>5-year follow-</w:t>
      </w:r>
      <w:r w:rsidR="00142223" w:rsidRPr="00013472">
        <w:rPr>
          <w:lang w:val="en-US"/>
        </w:rPr>
        <w:t>up is quite small</w:t>
      </w:r>
      <w:r w:rsidRPr="00013472">
        <w:rPr>
          <w:lang w:val="en-US"/>
        </w:rPr>
        <w:t xml:space="preserve">. These survival rates are surprisingly high compared to previous data </w:t>
      </w:r>
      <w:r w:rsidR="001D2FDC" w:rsidRPr="00013472">
        <w:rPr>
          <w:lang w:val="en-US"/>
        </w:rPr>
        <w:t>of ocular adnexal MCL</w:t>
      </w:r>
      <w:r w:rsidRPr="00013472">
        <w:rPr>
          <w:lang w:val="en-US"/>
        </w:rPr>
        <w:t xml:space="preserve"> where </w:t>
      </w:r>
      <w:r w:rsidR="00142223" w:rsidRPr="00013472">
        <w:rPr>
          <w:lang w:val="en-US"/>
        </w:rPr>
        <w:t xml:space="preserve">3- and 5-year </w:t>
      </w:r>
      <w:r w:rsidRPr="00013472">
        <w:rPr>
          <w:lang w:val="en-US"/>
        </w:rPr>
        <w:t>DSS</w:t>
      </w:r>
      <w:r w:rsidR="00142223" w:rsidRPr="00013472">
        <w:rPr>
          <w:lang w:val="en-US"/>
        </w:rPr>
        <w:t xml:space="preserve"> have been reported as low as 72% and 38%</w:t>
      </w:r>
      <w:r w:rsidRPr="00013472">
        <w:rPr>
          <w:lang w:val="en-US"/>
        </w:rPr>
        <w:t xml:space="preserve">, respectively </w:t>
      </w:r>
      <w:r w:rsidRPr="00013472">
        <w:rPr>
          <w:lang w:val="en-US"/>
        </w:rPr>
        <w:fldChar w:fldCharType="begin" w:fldLock="1"/>
      </w:r>
      <w:r w:rsidR="009C23B0" w:rsidRPr="00013472">
        <w:rPr>
          <w:lang w:val="en-US"/>
        </w:rPr>
        <w:instrText>ADDIN CSL_CITATION {"citationItems":[{"id":"ITEM-1","itemData":{"DOI":"10.1001/jamaophthalmol.2017.4810","ISSN":"2168-6165","PMID":"29121219","abstract":"Importance To our knowledge, the clinical features of ocular adnexal mantle-cell lymphoma (OA-MCL) have not previously been evaluated in a large multicenter cohort. Objective To characterize the clinical features of OA-MCL. Design, Setting, and Participants This retrospective multicenter study included patient data collected from January 1, 1980, through December 31, 2015, at 6 eye cancer centers in 4 countries. Medical records of 55 patients with OA-MCL were reviewed; the median length of follow-up was 33 months. Main Outcomes and Measures Overall survival, disease-specific survival, and progression-free survival were the primary end points. Results Fifty-five patients were included; ocular adnexal MCL was found to be most common in older individuals (mean age, 70 years) and men (n = 42 of 55; 76%). Patients with OA-MCL frequently presented with disseminated lymphoma (n = 34 of 55; 62%), and were likely to experience stage IVE disease (n = 35 of 55; 64%), with bilateral involvement (n = 27 of 55; 47%), tumor masses (n = 27 of 36; 75%), and involvement of the orbit (n = 32 of 55; 58%). Chemotherapy with or without external beam radiation therapy was the most frequently used treatment. Overall survival rates for the entire cohort were 65% at 3 years (95% CI, 52%-78%) and 34% at 5 years (95% CI, 21%-47%). Disease-specific survival after 5 years was 38% for the entire cohort (95% CI, 25%-51%); the disease-specific survival adjusted by eye cancer center was better in patients who had received rituximab in addition to the chemotherapy regimen (hazard ratio, 3.3; 95% CI, 1.0-14.7; P = .06). The median progression-free survival was 2.3 years (95% CI, 1.8-2.7 years) in patients who experienced recurrence after primary treatment, and 4.1 years (95% CI, 3.9-4.3 years) in patients who presented with a relapse of systemic lymphoma in the ocular adnexal region. Conclusions and Relevance These results suggest that the distinctive features of OA-MCL are its appearance in older male individuals, advanced stage and bilateral manifestation at the time of diagnosis, and aggressive course. The prognosis of patients with OA-MCL might be improved by addition of rituximab to chemotherapy treatment.","author":[{"dropping-particle":"","family":"Knudsen","given":"Marina K. H.","non-dropping-particle":"","parse-names":false,"suffix":""},{"dropping-particle":"","family":"Rasmussen","given":"Peter K.","non-dropping-particle":"","parse-names":false,"suffix":""},{"dropping-particle":"","family":"Coupland","given":"Sarah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E.","non-dropping-particle":"","parse-names":false,"suffix":""},{"dropping-particle":"","family":"Khong","given":"Jwu Jin","non-dropping-particle":"","parse-names":false,"suffix":""},{"dropping-particle":"","family":"McKelvie","given":"Penny A.","non-dropping-particle":"","parse-names":false,"suffix":""},{"dropping-particle":"","family":"Mulay","given":"Kaustubh","non-dropping-particle":"","parse-names":false,"suffix":""},{"dropping-particle":"","family":"Ralfkiaer","given":"Elisabeth","non-dropping-particle":"","parse-names":false,"suffix":""},{"dropping-particle":"","family":"Sjö","given":"Lene D.","non-dropping-particle":"","parse-names":false,"suffix":""},{"dropping-particle":"","family":"Vemuganti","given":"Geeta K.","non-dropping-particle":"","parse-names":false,"suffix":""},{"dropping-particle":"","family":"Thuro","given":"Bradley A.","non-dropping-particle":"","parse-names":false,"suffix":""},{"dropping-particle":"","family":"Curtin","given":"Jeremy","non-dropping-particle":"","parse-names":false,"suffix":""},{"dropping-particle":"","family":"Heegaard","given":"Steffen","non-dropping-particle":"","parse-names":false,"suffix":""}],"container-title":"JAMA Ophthalmology","id":"ITEM-1","issue":"12","issued":{"date-parts":[["2017","12","1"]]},"page":"1367","title":"Clinicopathological Features of Ocular Adnexal Mantle-Cell Lymphoma in an International Multicenter Cohort","type":"article-journal","volume":"135"},"uris":["http://www.mendeley.com/documents/?uuid=a7303fc4-9abc-3cb6-bba3-371b0da99664"]}],"mendeley":{"formattedCitation":"(24)","plainTextFormattedCitation":"(24)","previouslyFormattedCitation":"(25)"},"properties":{"noteIndex":0},"schema":"https://github.com/citation-style-language/schema/raw/master/csl-citation.json"}</w:instrText>
      </w:r>
      <w:r w:rsidRPr="00013472">
        <w:rPr>
          <w:lang w:val="en-US"/>
        </w:rPr>
        <w:fldChar w:fldCharType="separate"/>
      </w:r>
      <w:r w:rsidR="009C23B0" w:rsidRPr="00013472">
        <w:rPr>
          <w:noProof/>
          <w:lang w:val="en-US"/>
        </w:rPr>
        <w:t>(24)</w:t>
      </w:r>
      <w:r w:rsidRPr="00013472">
        <w:rPr>
          <w:lang w:val="en-US"/>
        </w:rPr>
        <w:fldChar w:fldCharType="end"/>
      </w:r>
      <w:r w:rsidR="00142223" w:rsidRPr="00013472">
        <w:rPr>
          <w:lang w:val="en-US"/>
        </w:rPr>
        <w:t>.</w:t>
      </w:r>
      <w:r w:rsidRPr="00013472">
        <w:rPr>
          <w:lang w:val="en-US"/>
        </w:rPr>
        <w:t xml:space="preserve"> 65</w:t>
      </w:r>
      <w:r w:rsidR="001C3674" w:rsidRPr="00013472">
        <w:rPr>
          <w:lang w:val="en-US"/>
        </w:rPr>
        <w:t>%</w:t>
      </w:r>
      <w:r w:rsidRPr="00013472">
        <w:rPr>
          <w:lang w:val="en-US"/>
        </w:rPr>
        <w:t xml:space="preserve"> of the MCL patients in the present study had relapse or progression of disease, but this percentage has previously been recorded as high as 84</w:t>
      </w:r>
      <w:r w:rsidR="001C3674" w:rsidRPr="00013472">
        <w:rPr>
          <w:lang w:val="en-US"/>
        </w:rPr>
        <w:t>%</w:t>
      </w:r>
      <w:r w:rsidRPr="00013472">
        <w:rPr>
          <w:lang w:val="en-US"/>
        </w:rPr>
        <w:t xml:space="preserve"> in the </w:t>
      </w:r>
      <w:r w:rsidR="00C87047" w:rsidRPr="00013472">
        <w:rPr>
          <w:lang w:val="en-US"/>
        </w:rPr>
        <w:t>OA</w:t>
      </w:r>
      <w:r w:rsidRPr="00013472">
        <w:rPr>
          <w:lang w:val="en-US"/>
        </w:rPr>
        <w:t xml:space="preserve"> </w:t>
      </w:r>
      <w:r w:rsidRPr="00013472">
        <w:rPr>
          <w:lang w:val="en-US"/>
        </w:rPr>
        <w:fldChar w:fldCharType="begin" w:fldLock="1"/>
      </w:r>
      <w:r w:rsidR="009C23B0" w:rsidRPr="00013472">
        <w:rPr>
          <w:lang w:val="en-US"/>
        </w:rPr>
        <w:instrText>ADDIN CSL_CITATION {"citationItems":[{"id":"ITEM-1","itemData":{"DOI":"10.1001/jamaophthalmol.2017.4810","ISSN":"2168-6165","PMID":"29121219","abstract":"Importance To our knowledge, the clinical features of ocular adnexal mantle-cell lymphoma (OA-MCL) have not previously been evaluated in a large multicenter cohort. Objective To characterize the clinical features of OA-MCL. Design, Setting, and Participants This retrospective multicenter study included patient data collected from January 1, 1980, through December 31, 2015, at 6 eye cancer centers in 4 countries. Medical records of 55 patients with OA-MCL were reviewed; the median length of follow-up was 33 months. Main Outcomes and Measures Overall survival, disease-specific survival, and progression-free survival were the primary end points. Results Fifty-five patients were included; ocular adnexal MCL was found to be most common in older individuals (mean age, 70 years) and men (n = 42 of 55; 76%). Patients with OA-MCL frequently presented with disseminated lymphoma (n = 34 of 55; 62%), and were likely to experience stage IVE disease (n = 35 of 55; 64%), with bilateral involvement (n = 27 of 55; 47%), tumor masses (n = 27 of 36; 75%), and involvement of the orbit (n = 32 of 55; 58%). Chemotherapy with or without external beam radiation therapy was the most frequently used treatment. Overall survival rates for the entire cohort were 65% at 3 years (95% CI, 52%-78%) and 34% at 5 years (95% CI, 21%-47%). Disease-specific survival after 5 years was 38% for the entire cohort (95% CI, 25%-51%); the disease-specific survival adjusted by eye cancer center was better in patients who had received rituximab in addition to the chemotherapy regimen (hazard ratio, 3.3; 95% CI, 1.0-14.7; P = .06). The median progression-free survival was 2.3 years (95% CI, 1.8-2.7 years) in patients who experienced recurrence after primary treatment, and 4.1 years (95% CI, 3.9-4.3 years) in patients who presented with a relapse of systemic lymphoma in the ocular adnexal region. Conclusions and Relevance These results suggest that the distinctive features of OA-MCL are its appearance in older male individuals, advanced stage and bilateral manifestation at the time of diagnosis, and aggressive course. The prognosis of patients with OA-MCL might be improved by addition of rituximab to chemotherapy treatment.","author":[{"dropping-particle":"","family":"Knudsen","given":"Marina K. H.","non-dropping-particle":"","parse-names":false,"suffix":""},{"dropping-particle":"","family":"Rasmussen","given":"Peter K.","non-dropping-particle":"","parse-names":false,"suffix":""},{"dropping-particle":"","family":"Coupland","given":"Sarah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E.","non-dropping-particle":"","parse-names":false,"suffix":""},{"dropping-particle":"","family":"Khong","given":"Jwu Jin","non-dropping-particle":"","parse-names":false,"suffix":""},{"dropping-particle":"","family":"McKelvie","given":"Penny A.","non-dropping-particle":"","parse-names":false,"suffix":""},{"dropping-particle":"","family":"Mulay","given":"Kaustubh","non-dropping-particle":"","parse-names":false,"suffix":""},{"dropping-particle":"","family":"Ralfkiaer","given":"Elisabeth","non-dropping-particle":"","parse-names":false,"suffix":""},{"dropping-particle":"","family":"Sjö","given":"Lene D.","non-dropping-particle":"","parse-names":false,"suffix":""},{"dropping-particle":"","family":"Vemuganti","given":"Geeta K.","non-dropping-particle":"","parse-names":false,"suffix":""},{"dropping-particle":"","family":"Thuro","given":"Bradley A.","non-dropping-particle":"","parse-names":false,"suffix":""},{"dropping-particle":"","family":"Curtin","given":"Jeremy","non-dropping-particle":"","parse-names":false,"suffix":""},{"dropping-particle":"","family":"Heegaard","given":"Steffen","non-dropping-particle":"","parse-names":false,"suffix":""}],"container-title":"JAMA Ophthalmology","id":"ITEM-1","issue":"12","issued":{"date-parts":[["2017","12","1"]]},"page":"1367","title":"Clinicopathological Features of Ocular Adnexal Mantle-Cell Lymphoma in an International Multicenter Cohort","type":"article-journal","volume":"135"},"uris":["http://www.mendeley.com/documents/?uuid=a7303fc4-9abc-3cb6-bba3-371b0da99664"]}],"mendeley":{"formattedCitation":"(24)","plainTextFormattedCitation":"(24)","previouslyFormattedCitation":"(25)"},"properties":{"noteIndex":0},"schema":"https://github.com/citation-style-language/schema/raw/master/csl-citation.json"}</w:instrText>
      </w:r>
      <w:r w:rsidRPr="00013472">
        <w:rPr>
          <w:lang w:val="en-US"/>
        </w:rPr>
        <w:fldChar w:fldCharType="separate"/>
      </w:r>
      <w:r w:rsidR="009C23B0" w:rsidRPr="00013472">
        <w:rPr>
          <w:noProof/>
          <w:lang w:val="en-US"/>
        </w:rPr>
        <w:t>(24)</w:t>
      </w:r>
      <w:r w:rsidRPr="00013472">
        <w:rPr>
          <w:lang w:val="en-US"/>
        </w:rPr>
        <w:fldChar w:fldCharType="end"/>
      </w:r>
      <w:r w:rsidRPr="00013472">
        <w:rPr>
          <w:lang w:val="en-US"/>
        </w:rPr>
        <w:t>. In conclusion</w:t>
      </w:r>
      <w:r w:rsidR="00D86890">
        <w:rPr>
          <w:lang w:val="en-US"/>
        </w:rPr>
        <w:t>,</w:t>
      </w:r>
      <w:r w:rsidRPr="00013472">
        <w:rPr>
          <w:lang w:val="en-US"/>
        </w:rPr>
        <w:t xml:space="preserve"> lacrimal gland MCL in the present study shows a better progno</w:t>
      </w:r>
      <w:r w:rsidR="001D2FDC" w:rsidRPr="00013472">
        <w:rPr>
          <w:lang w:val="en-US"/>
        </w:rPr>
        <w:t xml:space="preserve">sis than previously recorded ocular adnexal MCL. </w:t>
      </w:r>
      <w:r w:rsidRPr="00013472">
        <w:rPr>
          <w:lang w:val="en-US"/>
        </w:rPr>
        <w:t xml:space="preserve">R-CHOP has previously been shown to improve MCL prognosis and is currently recommended for the treatment of MCL </w:t>
      </w:r>
      <w:r w:rsidRPr="00013472">
        <w:rPr>
          <w:lang w:val="en-US"/>
        </w:rPr>
        <w:fldChar w:fldCharType="begin" w:fldLock="1"/>
      </w:r>
      <w:r w:rsidR="009C23B0" w:rsidRPr="00013472">
        <w:rPr>
          <w:lang w:val="en-US"/>
        </w:rPr>
        <w:instrText>ADDIN CSL_CITATION {"citationItems":[{"id":"ITEM-1","itemData":{"DOI":"10.1080/17469899.2018.1500176","ISSN":"1746-9899","abstract":"ABSTRACTIntroduction: In recent years, the prognosis for low-grade lymphoma in the ocular region has improved markedly, whereas high-grade lymphoma is still a challenging disease to manage. Numerou...","author":[{"dropping-particle":"","family":"Mikkelsen","given":"Lauge Hjorth","non-dropping-particle":"","parse-names":false,"suffix":""},{"dropping-particle":"","family":"Würtz","given":"Natacha Storm","non-dropping-particle":"","parse-names":false,"suffix":""},{"dropping-particle":"","family":"Heegaard","given":"Steffen","non-dropping-particle":"","parse-names":false,"suffix":""}],"container-title":"Expert Review of Ophthalmology","id":"ITEM-1","issue":"4","issued":{"date-parts":[["2018","7","4"]]},"page":"205-217","publisher":"Taylor &amp; Francis","title":"Recent advances in treating extra-ocular lymphomas","type":"article-journal","volume":"13"},"uris":["http://www.mendeley.com/documents/?uuid=0985c20f-5ec9-3a7a-9e66-cdcda16d0e06"]}],"mendeley":{"formattedCitation":"(22)","plainTextFormattedCitation":"(22)","previouslyFormattedCitation":"(23)"},"properties":{"noteIndex":0},"schema":"https://github.com/citation-style-language/schema/raw/master/csl-citation.json"}</w:instrText>
      </w:r>
      <w:r w:rsidRPr="00013472">
        <w:rPr>
          <w:lang w:val="en-US"/>
        </w:rPr>
        <w:fldChar w:fldCharType="separate"/>
      </w:r>
      <w:r w:rsidR="009C23B0" w:rsidRPr="00013472">
        <w:rPr>
          <w:noProof/>
          <w:lang w:val="en-US"/>
        </w:rPr>
        <w:t>(22)</w:t>
      </w:r>
      <w:r w:rsidRPr="00013472">
        <w:rPr>
          <w:lang w:val="en-US"/>
        </w:rPr>
        <w:fldChar w:fldCharType="end"/>
      </w:r>
      <w:r w:rsidRPr="00013472">
        <w:rPr>
          <w:lang w:val="en-US"/>
        </w:rPr>
        <w:t>. 75</w:t>
      </w:r>
      <w:r w:rsidR="001C3674" w:rsidRPr="00013472">
        <w:rPr>
          <w:lang w:val="en-US"/>
        </w:rPr>
        <w:t>%</w:t>
      </w:r>
      <w:r w:rsidRPr="00013472">
        <w:rPr>
          <w:lang w:val="en-US"/>
        </w:rPr>
        <w:t xml:space="preserve"> of patients with stage IVE MCL in this study were treated with a rituximab-based chemotherapy </w:t>
      </w:r>
      <w:r w:rsidR="00B013BE" w:rsidRPr="00013472">
        <w:rPr>
          <w:lang w:val="en-US"/>
        </w:rPr>
        <w:t>regimen</w:t>
      </w:r>
      <w:r w:rsidR="00B475AF" w:rsidRPr="00013472">
        <w:rPr>
          <w:lang w:val="en-US"/>
        </w:rPr>
        <w:t>, which is a higher number</w:t>
      </w:r>
      <w:r w:rsidRPr="00013472">
        <w:rPr>
          <w:lang w:val="en-US"/>
        </w:rPr>
        <w:t xml:space="preserve"> than in the study of ocular adnexal MCL </w:t>
      </w:r>
      <w:r w:rsidRPr="00013472">
        <w:rPr>
          <w:lang w:val="en-US"/>
        </w:rPr>
        <w:fldChar w:fldCharType="begin" w:fldLock="1"/>
      </w:r>
      <w:r w:rsidR="009C23B0" w:rsidRPr="00013472">
        <w:rPr>
          <w:lang w:val="en-US"/>
        </w:rPr>
        <w:instrText>ADDIN CSL_CITATION {"citationItems":[{"id":"ITEM-1","itemData":{"DOI":"10.1001/jamaophthalmol.2017.4810","ISSN":"2168-6165","PMID":"29121219","abstract":"Importance To our knowledge, the clinical features of ocular adnexal mantle-cell lymphoma (OA-MCL) have not previously been evaluated in a large multicenter cohort. Objective To characterize the clinical features of OA-MCL. Design, Setting, and Participants This retrospective multicenter study included patient data collected from January 1, 1980, through December 31, 2015, at 6 eye cancer centers in 4 countries. Medical records of 55 patients with OA-MCL were reviewed; the median length of follow-up was 33 months. Main Outcomes and Measures Overall survival, disease-specific survival, and progression-free survival were the primary end points. Results Fifty-five patients were included; ocular adnexal MCL was found to be most common in older individuals (mean age, 70 years) and men (n = 42 of 55; 76%). Patients with OA-MCL frequently presented with disseminated lymphoma (n = 34 of 55; 62%), and were likely to experience stage IVE disease (n = 35 of 55; 64%), with bilateral involvement (n = 27 of 55; 47%), tumor masses (n = 27 of 36; 75%), and involvement of the orbit (n = 32 of 55; 58%). Chemotherapy with or without external beam radiation therapy was the most frequently used treatment. Overall survival rates for the entire cohort were 65% at 3 years (95% CI, 52%-78%) and 34% at 5 years (95% CI, 21%-47%). Disease-specific survival after 5 years was 38% for the entire cohort (95% CI, 25%-51%); the disease-specific survival adjusted by eye cancer center was better in patients who had received rituximab in addition to the chemotherapy regimen (hazard ratio, 3.3; 95% CI, 1.0-14.7; P = .06). The median progression-free survival was 2.3 years (95% CI, 1.8-2.7 years) in patients who experienced recurrence after primary treatment, and 4.1 years (95% CI, 3.9-4.3 years) in patients who presented with a relapse of systemic lymphoma in the ocular adnexal region. Conclusions and Relevance These results suggest that the distinctive features of OA-MCL are its appearance in older male individuals, advanced stage and bilateral manifestation at the time of diagnosis, and aggressive course. The prognosis of patients with OA-MCL might be improved by addition of rituximab to chemotherapy treatment.","author":[{"dropping-particle":"","family":"Knudsen","given":"Marina K. H.","non-dropping-particle":"","parse-names":false,"suffix":""},{"dropping-particle":"","family":"Rasmussen","given":"Peter K.","non-dropping-particle":"","parse-names":false,"suffix":""},{"dropping-particle":"","family":"Coupland","given":"Sarah E.","non-dropping-particle":"","parse-names":false,"suffix":""},{"dropping-particle":"","family":"Esmaeli","given":"Bita","non-dropping-particle":"","parse-names":false,"suffix":""},{"dropping-particle":"","family":"Finger","given":"Paul T.","non-dropping-particle":"","parse-names":false,"suffix":""},{"dropping-particle":"","family":"Graue","given":"Gerardo F.","non-dropping-particle":"","parse-names":false,"suffix":""},{"dropping-particle":"","family":"Grossniklaus","given":"Hans E.","non-dropping-particle":"","parse-names":false,"suffix":""},{"dropping-particle":"","family":"Khong","given":"Jwu Jin","non-dropping-particle":"","parse-names":false,"suffix":""},{"dropping-particle":"","family":"McKelvie","given":"Penny A.","non-dropping-particle":"","parse-names":false,"suffix":""},{"dropping-particle":"","family":"Mulay","given":"Kaustubh","non-dropping-particle":"","parse-names":false,"suffix":""},{"dropping-particle":"","family":"Ralfkiaer","given":"Elisabeth","non-dropping-particle":"","parse-names":false,"suffix":""},{"dropping-particle":"","family":"Sjö","given":"Lene D.","non-dropping-particle":"","parse-names":false,"suffix":""},{"dropping-particle":"","family":"Vemuganti","given":"Geeta K.","non-dropping-particle":"","parse-names":false,"suffix":""},{"dropping-particle":"","family":"Thuro","given":"Bradley A.","non-dropping-particle":"","parse-names":false,"suffix":""},{"dropping-particle":"","family":"Curtin","given":"Jeremy","non-dropping-particle":"","parse-names":false,"suffix":""},{"dropping-particle":"","family":"Heegaard","given":"Steffen","non-dropping-particle":"","parse-names":false,"suffix":""}],"container-title":"JAMA Ophthalmology","id":"ITEM-1","issue":"12","issued":{"date-parts":[["2017","12","1"]]},"page":"1367","title":"Clinicopathological Features of Ocular Adnexal Mantle-Cell Lymphoma in an International Multicenter Cohort","type":"article-journal","volume":"135"},"uris":["http://www.mendeley.com/documents/?uuid=a7303fc4-9abc-3cb6-bba3-371b0da99664"]}],"mendeley":{"formattedCitation":"(24)","plainTextFormattedCitation":"(24)","previouslyFormattedCitation":"(25)"},"properties":{"noteIndex":0},"schema":"https://github.com/citation-style-language/schema/raw/master/csl-citation.json"}</w:instrText>
      </w:r>
      <w:r w:rsidRPr="00013472">
        <w:rPr>
          <w:lang w:val="en-US"/>
        </w:rPr>
        <w:fldChar w:fldCharType="separate"/>
      </w:r>
      <w:r w:rsidR="009C23B0" w:rsidRPr="00013472">
        <w:rPr>
          <w:noProof/>
          <w:lang w:val="en-US"/>
        </w:rPr>
        <w:t>(24)</w:t>
      </w:r>
      <w:r w:rsidRPr="00013472">
        <w:rPr>
          <w:lang w:val="en-US"/>
        </w:rPr>
        <w:fldChar w:fldCharType="end"/>
      </w:r>
      <w:r w:rsidRPr="00013472">
        <w:rPr>
          <w:lang w:val="en-US"/>
        </w:rPr>
        <w:t xml:space="preserve">, and this could thus be a possible explanation for the higher survival rates in the present study. </w:t>
      </w:r>
    </w:p>
    <w:p w14:paraId="7D9C6FE5" w14:textId="77777777" w:rsidR="003033BF" w:rsidRPr="00013472" w:rsidRDefault="003033BF" w:rsidP="00055936">
      <w:pPr>
        <w:spacing w:line="480" w:lineRule="auto"/>
        <w:rPr>
          <w:lang w:val="en-US"/>
        </w:rPr>
      </w:pPr>
    </w:p>
    <w:p w14:paraId="0F3532B3" w14:textId="2C38B4B4" w:rsidR="007B4F7C" w:rsidRPr="00013472" w:rsidRDefault="00055936" w:rsidP="00055936">
      <w:pPr>
        <w:spacing w:line="480" w:lineRule="auto"/>
        <w:rPr>
          <w:lang w:val="en-US"/>
        </w:rPr>
      </w:pPr>
      <w:r w:rsidRPr="00013472">
        <w:rPr>
          <w:lang w:val="en-US"/>
        </w:rPr>
        <w:lastRenderedPageBreak/>
        <w:t xml:space="preserve">The retrospective design of this study poses some limitations. </w:t>
      </w:r>
      <w:r w:rsidR="007B0582" w:rsidRPr="00013472">
        <w:rPr>
          <w:lang w:val="en-US"/>
        </w:rPr>
        <w:t>Data</w:t>
      </w:r>
      <w:r w:rsidRPr="00013472">
        <w:rPr>
          <w:lang w:val="en-US"/>
        </w:rPr>
        <w:t xml:space="preserve"> was collected from 6 differ</w:t>
      </w:r>
      <w:r w:rsidR="0047584F" w:rsidRPr="00013472">
        <w:rPr>
          <w:lang w:val="en-US"/>
        </w:rPr>
        <w:t>ent eye cancer centers over a 38</w:t>
      </w:r>
      <w:r w:rsidRPr="00013472">
        <w:rPr>
          <w:lang w:val="en-US"/>
        </w:rPr>
        <w:t xml:space="preserve">-year period. Thus, not all medical records were complete and heterogeneous diagnostic methods were used. The median time to </w:t>
      </w:r>
      <w:r w:rsidR="000120A9" w:rsidRPr="00013472">
        <w:rPr>
          <w:lang w:val="en-US"/>
        </w:rPr>
        <w:t>follow-up</w:t>
      </w:r>
      <w:r w:rsidRPr="00013472">
        <w:rPr>
          <w:lang w:val="en-US"/>
        </w:rPr>
        <w:t xml:space="preserve"> was 18 months (range 0-372), which might not have been enough time to detect outcome variables. </w:t>
      </w:r>
    </w:p>
    <w:p w14:paraId="771F8609" w14:textId="77777777" w:rsidR="00D86890" w:rsidRDefault="00D86890" w:rsidP="002234C1">
      <w:pPr>
        <w:spacing w:line="480" w:lineRule="auto"/>
        <w:rPr>
          <w:lang w:val="en-US"/>
        </w:rPr>
      </w:pPr>
    </w:p>
    <w:p w14:paraId="6EA55375" w14:textId="635D7C60" w:rsidR="00A27FEB" w:rsidRPr="00013472" w:rsidRDefault="00F57546" w:rsidP="002234C1">
      <w:pPr>
        <w:spacing w:line="480" w:lineRule="auto"/>
        <w:rPr>
          <w:lang w:val="en-US"/>
        </w:rPr>
      </w:pPr>
      <w:r w:rsidRPr="00013472">
        <w:rPr>
          <w:lang w:val="en-US"/>
        </w:rPr>
        <w:t xml:space="preserve">In </w:t>
      </w:r>
      <w:r w:rsidR="00D86890">
        <w:rPr>
          <w:lang w:val="en-US"/>
        </w:rPr>
        <w:t>summary</w:t>
      </w:r>
      <w:r w:rsidRPr="00013472">
        <w:rPr>
          <w:lang w:val="en-US"/>
        </w:rPr>
        <w:t>, t</w:t>
      </w:r>
      <w:r w:rsidR="00055936" w:rsidRPr="00013472">
        <w:rPr>
          <w:lang w:val="en-US"/>
        </w:rPr>
        <w:t>his international multi-center study of 261 patients with malignant</w:t>
      </w:r>
      <w:r w:rsidR="002965E1" w:rsidRPr="00013472">
        <w:rPr>
          <w:lang w:val="en-US"/>
        </w:rPr>
        <w:t xml:space="preserve"> </w:t>
      </w:r>
      <w:r w:rsidR="00055936" w:rsidRPr="00013472">
        <w:rPr>
          <w:lang w:val="en-US"/>
        </w:rPr>
        <w:t xml:space="preserve">lymphoma of the lacrimal gland confirms that the major </w:t>
      </w:r>
      <w:r w:rsidR="00185A26">
        <w:rPr>
          <w:lang w:val="en-US"/>
        </w:rPr>
        <w:t>NHL</w:t>
      </w:r>
      <w:r w:rsidR="00055936" w:rsidRPr="00013472">
        <w:rPr>
          <w:lang w:val="en-US"/>
        </w:rPr>
        <w:t xml:space="preserve"> subtypes of lacrimal gland are EMZL (68</w:t>
      </w:r>
      <w:r w:rsidR="001C3674" w:rsidRPr="00013472">
        <w:rPr>
          <w:lang w:val="en-US"/>
        </w:rPr>
        <w:t>%</w:t>
      </w:r>
      <w:r w:rsidR="00055936" w:rsidRPr="00013472">
        <w:rPr>
          <w:lang w:val="en-US"/>
        </w:rPr>
        <w:t>), FL (10</w:t>
      </w:r>
      <w:r w:rsidR="001C3674" w:rsidRPr="00013472">
        <w:rPr>
          <w:lang w:val="en-US"/>
        </w:rPr>
        <w:t>%</w:t>
      </w:r>
      <w:r w:rsidR="00055936" w:rsidRPr="00013472">
        <w:rPr>
          <w:lang w:val="en-US"/>
        </w:rPr>
        <w:t>), DLBCL (10</w:t>
      </w:r>
      <w:r w:rsidR="001C3674" w:rsidRPr="00013472">
        <w:rPr>
          <w:lang w:val="en-US"/>
        </w:rPr>
        <w:t>%</w:t>
      </w:r>
      <w:r w:rsidR="00055936" w:rsidRPr="00013472">
        <w:rPr>
          <w:lang w:val="en-US"/>
        </w:rPr>
        <w:t>)</w:t>
      </w:r>
      <w:r w:rsidR="00A63697" w:rsidRPr="00013472">
        <w:rPr>
          <w:lang w:val="en-US"/>
        </w:rPr>
        <w:t>,</w:t>
      </w:r>
      <w:r w:rsidR="00055936" w:rsidRPr="00013472">
        <w:rPr>
          <w:lang w:val="en-US"/>
        </w:rPr>
        <w:t xml:space="preserve"> and MCL (7</w:t>
      </w:r>
      <w:r w:rsidR="001C3674" w:rsidRPr="00013472">
        <w:rPr>
          <w:lang w:val="en-US"/>
        </w:rPr>
        <w:t>%</w:t>
      </w:r>
      <w:r w:rsidR="00055936" w:rsidRPr="00013472">
        <w:rPr>
          <w:lang w:val="en-US"/>
        </w:rPr>
        <w:t xml:space="preserve">), which resembles the distribution of lymphoma subtypes in the ocular </w:t>
      </w:r>
      <w:r w:rsidR="00000DC1" w:rsidRPr="00013472">
        <w:rPr>
          <w:lang w:val="en-US"/>
        </w:rPr>
        <w:t>adnexa</w:t>
      </w:r>
      <w:r w:rsidR="003033BF" w:rsidRPr="00013472">
        <w:rPr>
          <w:lang w:val="en-US"/>
        </w:rPr>
        <w:t xml:space="preserve"> rather than that of the salivary glands as previously assumed</w:t>
      </w:r>
      <w:r w:rsidR="00055936" w:rsidRPr="00013472">
        <w:rPr>
          <w:lang w:val="en-US"/>
        </w:rPr>
        <w:t xml:space="preserve">. The prognosis </w:t>
      </w:r>
      <w:r w:rsidR="00B15A69" w:rsidRPr="00013472">
        <w:rPr>
          <w:lang w:val="en-US"/>
        </w:rPr>
        <w:t>of lacrimal gland lymphoma was</w:t>
      </w:r>
      <w:r w:rsidR="00055936" w:rsidRPr="00013472">
        <w:rPr>
          <w:lang w:val="en-US"/>
        </w:rPr>
        <w:t xml:space="preserve"> good with a 5 year </w:t>
      </w:r>
      <w:r w:rsidR="00C26A89" w:rsidRPr="00013472">
        <w:rPr>
          <w:lang w:val="en-US"/>
        </w:rPr>
        <w:t>OS</w:t>
      </w:r>
      <w:r w:rsidR="00330A26" w:rsidRPr="00013472">
        <w:rPr>
          <w:lang w:val="en-US"/>
        </w:rPr>
        <w:t xml:space="preserve"> of</w:t>
      </w:r>
      <w:r w:rsidR="00055936" w:rsidRPr="00013472">
        <w:rPr>
          <w:lang w:val="en-US"/>
        </w:rPr>
        <w:t xml:space="preserve"> 73.8</w:t>
      </w:r>
      <w:r w:rsidR="001C3674" w:rsidRPr="00013472">
        <w:rPr>
          <w:lang w:val="en-US"/>
        </w:rPr>
        <w:t>%</w:t>
      </w:r>
      <w:r w:rsidR="00055936" w:rsidRPr="00013472">
        <w:rPr>
          <w:lang w:val="en-US"/>
        </w:rPr>
        <w:t xml:space="preserve"> and a 5 year </w:t>
      </w:r>
      <w:r w:rsidR="00C26A89" w:rsidRPr="00013472">
        <w:rPr>
          <w:lang w:val="en-US"/>
        </w:rPr>
        <w:t>DSS</w:t>
      </w:r>
      <w:r w:rsidR="00330A26" w:rsidRPr="00013472">
        <w:rPr>
          <w:lang w:val="en-US"/>
        </w:rPr>
        <w:t xml:space="preserve"> of</w:t>
      </w:r>
      <w:r w:rsidR="00055936" w:rsidRPr="00013472">
        <w:rPr>
          <w:lang w:val="en-US"/>
        </w:rPr>
        <w:t xml:space="preserve"> 87.5</w:t>
      </w:r>
      <w:r w:rsidR="001C3674" w:rsidRPr="00013472">
        <w:rPr>
          <w:lang w:val="en-US"/>
        </w:rPr>
        <w:t>%</w:t>
      </w:r>
      <w:r w:rsidR="002965E1" w:rsidRPr="00013472">
        <w:rPr>
          <w:lang w:val="en-US"/>
        </w:rPr>
        <w:t xml:space="preserve">. </w:t>
      </w:r>
      <w:r w:rsidR="00055936" w:rsidRPr="00013472">
        <w:rPr>
          <w:lang w:val="en-US"/>
        </w:rPr>
        <w:t xml:space="preserve">Lymphoma subtype was </w:t>
      </w:r>
      <w:r w:rsidR="007F41F4" w:rsidRPr="00013472">
        <w:rPr>
          <w:lang w:val="en-US"/>
        </w:rPr>
        <w:t xml:space="preserve">a </w:t>
      </w:r>
      <w:r w:rsidR="00055936" w:rsidRPr="00013472">
        <w:rPr>
          <w:lang w:val="en-US"/>
        </w:rPr>
        <w:t>significant predictor in expla</w:t>
      </w:r>
      <w:r w:rsidR="00A43EA4" w:rsidRPr="00013472">
        <w:rPr>
          <w:lang w:val="en-US"/>
        </w:rPr>
        <w:t>ining the difference in disease-</w:t>
      </w:r>
      <w:r w:rsidR="00055936" w:rsidRPr="00013472">
        <w:rPr>
          <w:lang w:val="en-US"/>
        </w:rPr>
        <w:t xml:space="preserve">specific mortality with EMZL having the best prognosis and DLBCL having the worst.  </w:t>
      </w:r>
    </w:p>
    <w:p w14:paraId="4CC0A064" w14:textId="77777777" w:rsidR="00DB28E6" w:rsidRPr="00013472" w:rsidRDefault="00DB28E6" w:rsidP="002234C1">
      <w:pPr>
        <w:spacing w:line="480" w:lineRule="auto"/>
        <w:rPr>
          <w:b/>
          <w:lang w:val="en-US"/>
        </w:rPr>
      </w:pPr>
      <w:r w:rsidRPr="00013472">
        <w:rPr>
          <w:b/>
          <w:lang w:val="en-US"/>
        </w:rPr>
        <w:br w:type="page"/>
      </w:r>
    </w:p>
    <w:p w14:paraId="03932B9F" w14:textId="6C8F33BC" w:rsidR="005B5F4E" w:rsidRPr="00013472" w:rsidRDefault="005B5F4E" w:rsidP="002234C1">
      <w:pPr>
        <w:spacing w:line="480" w:lineRule="auto"/>
        <w:rPr>
          <w:b/>
          <w:lang w:val="en-US"/>
        </w:rPr>
      </w:pPr>
      <w:r w:rsidRPr="00013472">
        <w:rPr>
          <w:b/>
          <w:lang w:val="en-US"/>
        </w:rPr>
        <w:lastRenderedPageBreak/>
        <w:t>Acknowledgements</w:t>
      </w:r>
    </w:p>
    <w:p w14:paraId="63D7768A" w14:textId="591CE9F2" w:rsidR="009706FF" w:rsidRPr="00013472" w:rsidRDefault="009706FF" w:rsidP="006A55D3">
      <w:pPr>
        <w:rPr>
          <w:lang w:val="en-US"/>
        </w:rPr>
      </w:pPr>
      <w:r w:rsidRPr="00013472">
        <w:rPr>
          <w:lang w:val="en-US"/>
        </w:rPr>
        <w:t xml:space="preserve">LHM was supported by </w:t>
      </w:r>
      <w:proofErr w:type="spellStart"/>
      <w:r w:rsidRPr="00013472">
        <w:rPr>
          <w:lang w:val="en-US"/>
        </w:rPr>
        <w:t>Candys</w:t>
      </w:r>
      <w:proofErr w:type="spellEnd"/>
      <w:r w:rsidRPr="00013472">
        <w:rPr>
          <w:lang w:val="en-US"/>
        </w:rPr>
        <w:t xml:space="preserve"> Foundation. </w:t>
      </w:r>
      <w:r w:rsidR="00582425" w:rsidRPr="00013472">
        <w:rPr>
          <w:lang w:val="en-US"/>
        </w:rPr>
        <w:t xml:space="preserve">The funding sources played no role in study design; collection, analysis, and interpretation of data; in writing of the report; or in the decision to submit the article for publication. </w:t>
      </w:r>
    </w:p>
    <w:p w14:paraId="7A75404D" w14:textId="77777777" w:rsidR="00582425" w:rsidRPr="00013472" w:rsidRDefault="00582425" w:rsidP="002234C1">
      <w:pPr>
        <w:spacing w:line="480" w:lineRule="auto"/>
        <w:rPr>
          <w:b/>
          <w:lang w:val="en-US"/>
        </w:rPr>
      </w:pPr>
    </w:p>
    <w:p w14:paraId="2A399FEB" w14:textId="3FFD2377" w:rsidR="00ED2A39" w:rsidRPr="00013472" w:rsidRDefault="00ED2A39" w:rsidP="002234C1">
      <w:pPr>
        <w:spacing w:line="480" w:lineRule="auto"/>
        <w:rPr>
          <w:lang w:val="en-US"/>
        </w:rPr>
      </w:pPr>
      <w:r w:rsidRPr="00013472">
        <w:rPr>
          <w:lang w:val="en-US"/>
        </w:rPr>
        <w:br w:type="page"/>
      </w:r>
    </w:p>
    <w:p w14:paraId="0A00C113" w14:textId="77777777" w:rsidR="00476CD2" w:rsidRPr="00013472" w:rsidRDefault="00476CD2" w:rsidP="00476CD2">
      <w:pPr>
        <w:pStyle w:val="Heading1"/>
        <w:rPr>
          <w:lang w:val="en-US"/>
        </w:rPr>
      </w:pPr>
      <w:r w:rsidRPr="00013472">
        <w:rPr>
          <w:lang w:val="en-US"/>
        </w:rPr>
        <w:lastRenderedPageBreak/>
        <w:t>References</w:t>
      </w:r>
    </w:p>
    <w:p w14:paraId="255D0C57" w14:textId="6AE77C2B" w:rsidR="009C23B0" w:rsidRPr="00013472" w:rsidRDefault="00476CD2" w:rsidP="009C23B0">
      <w:pPr>
        <w:widowControl w:val="0"/>
        <w:autoSpaceDE w:val="0"/>
        <w:autoSpaceDN w:val="0"/>
        <w:adjustRightInd w:val="0"/>
        <w:ind w:left="640" w:hanging="640"/>
        <w:rPr>
          <w:rFonts w:ascii="Cambria" w:hAnsi="Cambria"/>
          <w:noProof/>
          <w:lang w:val="en-US"/>
        </w:rPr>
      </w:pPr>
      <w:r w:rsidRPr="00013472">
        <w:rPr>
          <w:lang w:val="en-US"/>
        </w:rPr>
        <w:fldChar w:fldCharType="begin" w:fldLock="1"/>
      </w:r>
      <w:r w:rsidRPr="00013472">
        <w:rPr>
          <w:lang w:val="en-US"/>
        </w:rPr>
        <w:instrText xml:space="preserve">ADDIN Mendeley Bibliography CSL_BIBLIOGRAPHY </w:instrText>
      </w:r>
      <w:r w:rsidRPr="00013472">
        <w:rPr>
          <w:lang w:val="en-US"/>
        </w:rPr>
        <w:fldChar w:fldCharType="separate"/>
      </w:r>
      <w:r w:rsidR="009C23B0" w:rsidRPr="00013472">
        <w:rPr>
          <w:rFonts w:ascii="Cambria" w:hAnsi="Cambria"/>
          <w:noProof/>
          <w:lang w:val="en-US"/>
        </w:rPr>
        <w:t xml:space="preserve">1. </w:t>
      </w:r>
      <w:r w:rsidR="009C23B0" w:rsidRPr="00013472">
        <w:rPr>
          <w:rFonts w:ascii="Cambria" w:hAnsi="Cambria"/>
          <w:noProof/>
          <w:lang w:val="en-US"/>
        </w:rPr>
        <w:tab/>
        <w:t xml:space="preserve">Swerdlow SH, Campo E, Harris NL, Jaffe ES, Pileri SA, Stein H TJ. WHO classification of tumours of haematopoietic and lymphoid tissues. Revised 4th ed. Lyon, France: International Agency for Research in Cancer (IARC). 2017. 585 p. </w:t>
      </w:r>
    </w:p>
    <w:p w14:paraId="7DAF3D7E"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2. </w:t>
      </w:r>
      <w:r w:rsidRPr="00013472">
        <w:rPr>
          <w:rFonts w:ascii="Cambria" w:hAnsi="Cambria"/>
          <w:noProof/>
          <w:lang w:val="en-US"/>
        </w:rPr>
        <w:tab/>
        <w:t xml:space="preserve">von Holstein SL, Therkildsen MH, Prause JU, Stenman G, Siersma VD, Heegaard S. Lacrimal gland lesions in Denmark between 1974 and 2007. Acta Ophthalmol. 2013 Jun;91(4):349–54. </w:t>
      </w:r>
    </w:p>
    <w:p w14:paraId="46D70D73"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3. </w:t>
      </w:r>
      <w:r w:rsidRPr="00013472">
        <w:rPr>
          <w:rFonts w:ascii="Cambria" w:hAnsi="Cambria"/>
          <w:noProof/>
          <w:lang w:val="en-US"/>
        </w:rPr>
        <w:tab/>
        <w:t xml:space="preserve">Andreoli MT, Aakalu V, Setabutr P. Epidemiological trends in malignant lacrimal gland tumors. Otolaryngol Head Neck Surg. 2015 Feb;152(2):279–83. </w:t>
      </w:r>
    </w:p>
    <w:p w14:paraId="432BC639"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4. </w:t>
      </w:r>
      <w:r w:rsidRPr="00013472">
        <w:rPr>
          <w:rFonts w:ascii="Cambria" w:hAnsi="Cambria"/>
          <w:noProof/>
          <w:lang w:val="en-US"/>
        </w:rPr>
        <w:tab/>
        <w:t xml:space="preserve">Ferry JA, Fung CY, Zukerberg L, Lucarelli MJ, Hasserjian RP, Preffer FI, et al. Lymphoma of the Ocular Adnexa: A Study of 353 Cases. Am J Surg Pathol. 2007 Feb;31(2):170–84. </w:t>
      </w:r>
    </w:p>
    <w:p w14:paraId="0160638F"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5. </w:t>
      </w:r>
      <w:r w:rsidRPr="00013472">
        <w:rPr>
          <w:rFonts w:ascii="Cambria" w:hAnsi="Cambria"/>
          <w:noProof/>
          <w:lang w:val="en-US"/>
        </w:rPr>
        <w:tab/>
        <w:t xml:space="preserve">Andreasen S, Esmaeli B, Holstein SL von, Mikkelsen LH, Rasmussen PK, Heegaard S. An Update on Tumors of the Lacrimal Gland. Asia-Pacific J Ophthalmol. 2017 Mar;6(2):159–72. </w:t>
      </w:r>
    </w:p>
    <w:p w14:paraId="69D8192C"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6. </w:t>
      </w:r>
      <w:r w:rsidRPr="00013472">
        <w:rPr>
          <w:rFonts w:ascii="Cambria" w:hAnsi="Cambria"/>
          <w:noProof/>
          <w:lang w:val="en-US"/>
        </w:rPr>
        <w:tab/>
        <w:t xml:space="preserve">Rasmussen P, Ralfkiaer E, Prause JU, Sjo LD, Siersma VD, Heegaard S. Malignant lymphoma of the lacrimal gland: a nation-based study. Arch Ophthalmol (Chicago, Ill  1960). 2011 Oct;129(10):1275–80. </w:t>
      </w:r>
    </w:p>
    <w:p w14:paraId="224A9DFB"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7. </w:t>
      </w:r>
      <w:r w:rsidRPr="00013472">
        <w:rPr>
          <w:rFonts w:ascii="Cambria" w:hAnsi="Cambria"/>
          <w:noProof/>
          <w:lang w:val="en-US"/>
        </w:rPr>
        <w:tab/>
        <w:t xml:space="preserve">Carbone PP, Kaplan HS, Musshoff K, Smithers DW, Tubiana M. Report of the Committee on Hodgkin’s Disease Staging Classification. Cancer Res. 1971 Nov;31(11):1860–1. </w:t>
      </w:r>
    </w:p>
    <w:p w14:paraId="239B61D4"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8. </w:t>
      </w:r>
      <w:r w:rsidRPr="00013472">
        <w:rPr>
          <w:rFonts w:ascii="Cambria" w:hAnsi="Cambria"/>
          <w:noProof/>
          <w:lang w:val="en-US"/>
        </w:rPr>
        <w:tab/>
        <w:t xml:space="preserve">Amin MB, Edge SB, American Joint Committee on Cancer. AJCC cancer staging manual. 1024 p. </w:t>
      </w:r>
    </w:p>
    <w:p w14:paraId="1B04CBF9"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rPr>
        <w:t xml:space="preserve">9. </w:t>
      </w:r>
      <w:r w:rsidRPr="00013472">
        <w:rPr>
          <w:rFonts w:ascii="Cambria" w:hAnsi="Cambria"/>
          <w:noProof/>
        </w:rPr>
        <w:tab/>
        <w:t xml:space="preserve">Olsen TG, Holm F, Mikkelsen LH, Rasmussen PK, Coupland SE, Esmaeli B, et al. </w:t>
      </w:r>
      <w:r w:rsidRPr="00013472">
        <w:rPr>
          <w:rFonts w:ascii="Cambria" w:hAnsi="Cambria"/>
          <w:noProof/>
          <w:lang w:val="en-US"/>
        </w:rPr>
        <w:t xml:space="preserve">Orbital Lymphoma—An International Multicenter Retrospective Study. Am J Ophthalmol. 2019 Mar 1;199:44–57. </w:t>
      </w:r>
    </w:p>
    <w:p w14:paraId="2211CDA6"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10. </w:t>
      </w:r>
      <w:r w:rsidRPr="00013472">
        <w:rPr>
          <w:rFonts w:ascii="Cambria" w:hAnsi="Cambria"/>
          <w:noProof/>
          <w:lang w:val="en-US"/>
        </w:rPr>
        <w:tab/>
        <w:t xml:space="preserve">Sjo LD. Ophthalmic lymphoma: epidemiology and pathogenesis. Acta Ophthalmol. 2009 Feb;87 Thesis:1–20. </w:t>
      </w:r>
    </w:p>
    <w:p w14:paraId="200B2A01"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11. </w:t>
      </w:r>
      <w:r w:rsidRPr="00013472">
        <w:rPr>
          <w:rFonts w:ascii="Cambria" w:hAnsi="Cambria"/>
          <w:noProof/>
          <w:lang w:val="en-US"/>
        </w:rPr>
        <w:tab/>
        <w:t xml:space="preserve">Rasmussen P, Ralfkiaer E, Prause JU, Sjö LD, Siersma VD, Heegaard S. Malignant Lymphoma of the Lacrimal Gland. Arch Ophthalmol. 2011 Oct 1;129(10):1275. </w:t>
      </w:r>
    </w:p>
    <w:p w14:paraId="675733E4"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12. </w:t>
      </w:r>
      <w:r w:rsidRPr="00013472">
        <w:rPr>
          <w:rFonts w:ascii="Cambria" w:hAnsi="Cambria"/>
          <w:noProof/>
          <w:lang w:val="en-US"/>
        </w:rPr>
        <w:tab/>
        <w:t xml:space="preserve">Weber AL, Rahemtullah A, Ferry JA. Hodgkin and non-Hodgkin lymphoma of the head and neck: clinical, pathologic, and imaging evaluation. Neuroimaging Clin N Am. 2003 Aug;13(3):371–92. </w:t>
      </w:r>
    </w:p>
    <w:p w14:paraId="176E8F44"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13. </w:t>
      </w:r>
      <w:r w:rsidRPr="00013472">
        <w:rPr>
          <w:rFonts w:ascii="Cambria" w:hAnsi="Cambria"/>
          <w:noProof/>
          <w:lang w:val="en-US"/>
        </w:rPr>
        <w:tab/>
        <w:t xml:space="preserve">Jamal B. Treatment of Parotid Non-Hodgkin Lymphoma: A Meta-Analysis. J Glob Oncol. 2018 Nov;4(4):1–6. </w:t>
      </w:r>
    </w:p>
    <w:p w14:paraId="077AEA97"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14. </w:t>
      </w:r>
      <w:r w:rsidRPr="00013472">
        <w:rPr>
          <w:rFonts w:ascii="Cambria" w:hAnsi="Cambria"/>
          <w:noProof/>
          <w:lang w:val="en-US"/>
        </w:rPr>
        <w:tab/>
        <w:t xml:space="preserve">Kojima M, Shimizu K, Nishikawa M, Tamaki Y, Ito H, Tsukamoto N, et al. Primary salivary gland lymphoma among Japanese: A clinicopathological study of 30 cases. Leuk Lymphoma. 2007 Jan;48(9):1793–8. </w:t>
      </w:r>
    </w:p>
    <w:p w14:paraId="11864FE4"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15. </w:t>
      </w:r>
      <w:r w:rsidRPr="00013472">
        <w:rPr>
          <w:rFonts w:ascii="Cambria" w:hAnsi="Cambria"/>
          <w:noProof/>
          <w:lang w:val="en-US"/>
        </w:rPr>
        <w:tab/>
        <w:t xml:space="preserve">Asadi-Amoli F, Nozarian Z, Bonaki HN, Mehrtash V, Entezari S. Clinicopathologic Assessment of Ocular Adnexal Lymphoproliferative Lesions at a Tertiary Eye Hospital in Iran. Asian Pac J Cancer Prev. 2016;17(8):3727–31. </w:t>
      </w:r>
    </w:p>
    <w:p w14:paraId="68B397AC" w14:textId="77777777" w:rsidR="009C23B0" w:rsidRPr="00013472" w:rsidRDefault="009C23B0" w:rsidP="009C23B0">
      <w:pPr>
        <w:widowControl w:val="0"/>
        <w:autoSpaceDE w:val="0"/>
        <w:autoSpaceDN w:val="0"/>
        <w:adjustRightInd w:val="0"/>
        <w:ind w:left="640" w:hanging="640"/>
        <w:rPr>
          <w:rFonts w:ascii="Cambria" w:hAnsi="Cambria"/>
          <w:noProof/>
        </w:rPr>
      </w:pPr>
      <w:r w:rsidRPr="00013472">
        <w:rPr>
          <w:rFonts w:ascii="Cambria" w:hAnsi="Cambria"/>
          <w:noProof/>
          <w:lang w:val="en-US"/>
        </w:rPr>
        <w:t xml:space="preserve">16. </w:t>
      </w:r>
      <w:r w:rsidRPr="00013472">
        <w:rPr>
          <w:rFonts w:ascii="Cambria" w:hAnsi="Cambria"/>
          <w:noProof/>
          <w:lang w:val="en-US"/>
        </w:rPr>
        <w:tab/>
        <w:t xml:space="preserve">Kao S-C, Kau H-C, Tsai C-C, Tsay S-H, Yang C-F, Wu J-S, et al. Lacrimal gland extranodal marginal zone B-cell lymphoma of MALT-type. </w:t>
      </w:r>
      <w:r w:rsidRPr="00013472">
        <w:rPr>
          <w:rFonts w:ascii="Cambria" w:hAnsi="Cambria"/>
          <w:noProof/>
        </w:rPr>
        <w:t xml:space="preserve">Am J Ophthalmol. 2007 Feb;143(2):311–6. </w:t>
      </w:r>
    </w:p>
    <w:p w14:paraId="4CCE8404" w14:textId="77777777" w:rsidR="009C23B0" w:rsidRPr="00013472" w:rsidRDefault="009C23B0" w:rsidP="009C23B0">
      <w:pPr>
        <w:widowControl w:val="0"/>
        <w:autoSpaceDE w:val="0"/>
        <w:autoSpaceDN w:val="0"/>
        <w:adjustRightInd w:val="0"/>
        <w:ind w:left="640" w:hanging="640"/>
        <w:rPr>
          <w:rFonts w:ascii="Cambria" w:hAnsi="Cambria"/>
          <w:noProof/>
        </w:rPr>
      </w:pPr>
      <w:r w:rsidRPr="00013472">
        <w:rPr>
          <w:rFonts w:ascii="Cambria" w:hAnsi="Cambria"/>
          <w:noProof/>
        </w:rPr>
        <w:t xml:space="preserve">17. </w:t>
      </w:r>
      <w:r w:rsidRPr="00013472">
        <w:rPr>
          <w:rFonts w:ascii="Cambria" w:hAnsi="Cambria"/>
          <w:noProof/>
        </w:rPr>
        <w:tab/>
        <w:t xml:space="preserve">Farmer JP, Lamba M, Lamba WR, Jordan DR, Gilberg S, Sengar DPS, et al. </w:t>
      </w:r>
      <w:r w:rsidRPr="00013472">
        <w:rPr>
          <w:rFonts w:ascii="Cambria" w:hAnsi="Cambria"/>
          <w:noProof/>
          <w:lang w:val="en-US"/>
        </w:rPr>
        <w:t xml:space="preserve">Lymphoproliferative lesions of the lacrimal gland: clinicopathological, immunohistochemical and molecular genetic analysis. </w:t>
      </w:r>
      <w:r w:rsidRPr="00013472">
        <w:rPr>
          <w:rFonts w:ascii="Cambria" w:hAnsi="Cambria"/>
          <w:noProof/>
        </w:rPr>
        <w:t xml:space="preserve">Can J Ophthalmol. 2005 Apr;40(2):151–60. </w:t>
      </w:r>
    </w:p>
    <w:p w14:paraId="29AB61D3" w14:textId="77777777" w:rsidR="009C23B0" w:rsidRPr="00013472" w:rsidRDefault="009C23B0" w:rsidP="009C23B0">
      <w:pPr>
        <w:widowControl w:val="0"/>
        <w:autoSpaceDE w:val="0"/>
        <w:autoSpaceDN w:val="0"/>
        <w:adjustRightInd w:val="0"/>
        <w:ind w:left="640" w:hanging="640"/>
        <w:rPr>
          <w:rFonts w:ascii="Cambria" w:hAnsi="Cambria"/>
          <w:noProof/>
        </w:rPr>
      </w:pPr>
      <w:r w:rsidRPr="00013472">
        <w:rPr>
          <w:rFonts w:ascii="Cambria" w:hAnsi="Cambria"/>
          <w:noProof/>
        </w:rPr>
        <w:t xml:space="preserve">18. </w:t>
      </w:r>
      <w:r w:rsidRPr="00013472">
        <w:rPr>
          <w:rFonts w:ascii="Cambria" w:hAnsi="Cambria"/>
          <w:noProof/>
        </w:rPr>
        <w:tab/>
        <w:t xml:space="preserve">Svendsen FH, Rasmussen PK, Coupland SE, Esmaeli B, Finger PT, Graue GF, et al. </w:t>
      </w:r>
      <w:r w:rsidRPr="00013472">
        <w:rPr>
          <w:rFonts w:ascii="Cambria" w:hAnsi="Cambria"/>
          <w:noProof/>
          <w:lang w:val="en-US"/>
        </w:rPr>
        <w:lastRenderedPageBreak/>
        <w:t xml:space="preserve">Lymphoma of the Eyelid - An International Multicenter Retrospective Study. Am J Ophthalmol. </w:t>
      </w:r>
      <w:r w:rsidRPr="00013472">
        <w:rPr>
          <w:rFonts w:ascii="Cambria" w:hAnsi="Cambria"/>
          <w:noProof/>
        </w:rPr>
        <w:t xml:space="preserve">2017 May;177:58–68. </w:t>
      </w:r>
    </w:p>
    <w:p w14:paraId="2ED4A35C"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rPr>
        <w:t xml:space="preserve">19. </w:t>
      </w:r>
      <w:r w:rsidRPr="00013472">
        <w:rPr>
          <w:rFonts w:ascii="Cambria" w:hAnsi="Cambria"/>
          <w:noProof/>
        </w:rPr>
        <w:tab/>
        <w:t xml:space="preserve">Kirkegaard MM, Rasmussen PK, Coupland SE, Esmaeli B, Finger PT, Graue GF, et al. </w:t>
      </w:r>
      <w:r w:rsidRPr="00013472">
        <w:rPr>
          <w:rFonts w:ascii="Cambria" w:hAnsi="Cambria"/>
          <w:noProof/>
          <w:lang w:val="en-US"/>
        </w:rPr>
        <w:t xml:space="preserve">Conjunctival Lymphoma—An International Multicenter Retrospective Study. JAMA Ophthalmol. 2016 Apr 1;134(4):406. </w:t>
      </w:r>
    </w:p>
    <w:p w14:paraId="2E8BD3BE"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rPr>
        <w:t xml:space="preserve">20. </w:t>
      </w:r>
      <w:r w:rsidRPr="00013472">
        <w:rPr>
          <w:rFonts w:ascii="Cambria" w:hAnsi="Cambria"/>
          <w:noProof/>
        </w:rPr>
        <w:tab/>
        <w:t xml:space="preserve">Hindsø TG, Esmaeli B, Holm F, Mikkelsen LH, Rasmussen PK, Coupland SE, et al. </w:t>
      </w:r>
      <w:r w:rsidRPr="00013472">
        <w:rPr>
          <w:rFonts w:ascii="Cambria" w:hAnsi="Cambria"/>
          <w:noProof/>
          <w:lang w:val="en-US"/>
        </w:rPr>
        <w:t xml:space="preserve">International multicentre retrospective cohort study of ocular adnexal marginal zone B-cell lymphoma. Br J Ophthalmol. 2019 Jun 8;bjophthalmol-2019-314008. </w:t>
      </w:r>
    </w:p>
    <w:p w14:paraId="4546F943"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lang w:val="en-US"/>
        </w:rPr>
        <w:t xml:space="preserve">21. </w:t>
      </w:r>
      <w:r w:rsidRPr="00013472">
        <w:rPr>
          <w:rFonts w:ascii="Cambria" w:hAnsi="Cambria"/>
          <w:noProof/>
          <w:lang w:val="en-US"/>
        </w:rPr>
        <w:tab/>
        <w:t xml:space="preserve">Rasmussen PK, Coupland SE, Finger PT, Graue GF, Grossniklaus HE, Honavar SG, et al. Ocular adnexal follicular lymphoma: a multicenter international study. JAMA Ophthalmol. 2014 Jul;132(7):851–8. </w:t>
      </w:r>
    </w:p>
    <w:p w14:paraId="4ED565FE" w14:textId="77777777" w:rsidR="009C23B0" w:rsidRPr="00013472" w:rsidRDefault="009C23B0" w:rsidP="009C23B0">
      <w:pPr>
        <w:widowControl w:val="0"/>
        <w:autoSpaceDE w:val="0"/>
        <w:autoSpaceDN w:val="0"/>
        <w:adjustRightInd w:val="0"/>
        <w:ind w:left="640" w:hanging="640"/>
        <w:rPr>
          <w:rFonts w:ascii="Cambria" w:hAnsi="Cambria"/>
          <w:noProof/>
        </w:rPr>
      </w:pPr>
      <w:r w:rsidRPr="00013472">
        <w:rPr>
          <w:rFonts w:ascii="Cambria" w:hAnsi="Cambria"/>
          <w:noProof/>
          <w:lang w:val="en-US"/>
        </w:rPr>
        <w:t xml:space="preserve">22. </w:t>
      </w:r>
      <w:r w:rsidRPr="00013472">
        <w:rPr>
          <w:rFonts w:ascii="Cambria" w:hAnsi="Cambria"/>
          <w:noProof/>
          <w:lang w:val="en-US"/>
        </w:rPr>
        <w:tab/>
        <w:t xml:space="preserve">Mikkelsen LH, Würtz NS, Heegaard S. Recent advances in treating extra-ocular lymphomas. </w:t>
      </w:r>
      <w:r w:rsidRPr="00013472">
        <w:rPr>
          <w:rFonts w:ascii="Cambria" w:hAnsi="Cambria"/>
          <w:noProof/>
        </w:rPr>
        <w:t xml:space="preserve">Expert Rev Ophthalmol. 2018 Jul 4;13(4):205–17. </w:t>
      </w:r>
    </w:p>
    <w:p w14:paraId="6BB69544" w14:textId="77777777" w:rsidR="009C23B0" w:rsidRPr="00013472" w:rsidRDefault="009C23B0" w:rsidP="009C23B0">
      <w:pPr>
        <w:widowControl w:val="0"/>
        <w:autoSpaceDE w:val="0"/>
        <w:autoSpaceDN w:val="0"/>
        <w:adjustRightInd w:val="0"/>
        <w:ind w:left="640" w:hanging="640"/>
        <w:rPr>
          <w:rFonts w:ascii="Cambria" w:hAnsi="Cambria"/>
          <w:noProof/>
          <w:lang w:val="en-US"/>
        </w:rPr>
      </w:pPr>
      <w:r w:rsidRPr="00013472">
        <w:rPr>
          <w:rFonts w:ascii="Cambria" w:hAnsi="Cambria"/>
          <w:noProof/>
        </w:rPr>
        <w:t xml:space="preserve">23. </w:t>
      </w:r>
      <w:r w:rsidRPr="00013472">
        <w:rPr>
          <w:rFonts w:ascii="Cambria" w:hAnsi="Cambria"/>
          <w:noProof/>
        </w:rPr>
        <w:tab/>
        <w:t xml:space="preserve">Munch-Petersen HD, Rasmussen PK, Coupland SE, Esmaeli B, Finger PT, Graue GF, et al. </w:t>
      </w:r>
      <w:r w:rsidRPr="00013472">
        <w:rPr>
          <w:rFonts w:ascii="Cambria" w:hAnsi="Cambria"/>
          <w:noProof/>
          <w:lang w:val="en-US"/>
        </w:rPr>
        <w:t xml:space="preserve">Ocular Adnexal Diffuse Large B-cell Lymphoma. JAMA Ophthalmol. 2015 Feb 1;133(2):165. </w:t>
      </w:r>
    </w:p>
    <w:p w14:paraId="5689434B" w14:textId="77777777" w:rsidR="009C23B0" w:rsidRPr="00013472" w:rsidRDefault="009C23B0" w:rsidP="009C23B0">
      <w:pPr>
        <w:widowControl w:val="0"/>
        <w:autoSpaceDE w:val="0"/>
        <w:autoSpaceDN w:val="0"/>
        <w:adjustRightInd w:val="0"/>
        <w:ind w:left="640" w:hanging="640"/>
        <w:rPr>
          <w:rFonts w:ascii="Cambria" w:hAnsi="Cambria"/>
          <w:noProof/>
        </w:rPr>
      </w:pPr>
      <w:r w:rsidRPr="00013472">
        <w:rPr>
          <w:rFonts w:ascii="Cambria" w:hAnsi="Cambria"/>
          <w:noProof/>
        </w:rPr>
        <w:t xml:space="preserve">24. </w:t>
      </w:r>
      <w:r w:rsidRPr="00013472">
        <w:rPr>
          <w:rFonts w:ascii="Cambria" w:hAnsi="Cambria"/>
          <w:noProof/>
        </w:rPr>
        <w:tab/>
        <w:t xml:space="preserve">Knudsen MKH, Rasmussen PK, Coupland SE, Esmaeli B, Finger PT, Graue GF, et al. </w:t>
      </w:r>
      <w:r w:rsidRPr="00013472">
        <w:rPr>
          <w:rFonts w:ascii="Cambria" w:hAnsi="Cambria"/>
          <w:noProof/>
          <w:lang w:val="en-US"/>
        </w:rPr>
        <w:t xml:space="preserve">Clinicopathological Features of Ocular Adnexal Mantle-Cell Lymphoma in an International Multicenter Cohort. JAMA Ophthalmol. 2017 Dec 1;135(12):1367. </w:t>
      </w:r>
    </w:p>
    <w:p w14:paraId="55CE2363" w14:textId="0994D26F" w:rsidR="00476CD2" w:rsidRPr="00013472" w:rsidRDefault="00476CD2" w:rsidP="009C23B0">
      <w:pPr>
        <w:widowControl w:val="0"/>
        <w:autoSpaceDE w:val="0"/>
        <w:autoSpaceDN w:val="0"/>
        <w:adjustRightInd w:val="0"/>
        <w:ind w:left="640" w:hanging="640"/>
        <w:rPr>
          <w:lang w:val="en-US"/>
        </w:rPr>
      </w:pPr>
      <w:r w:rsidRPr="00013472">
        <w:rPr>
          <w:lang w:val="en-US"/>
        </w:rPr>
        <w:fldChar w:fldCharType="end"/>
      </w:r>
      <w:r w:rsidRPr="00013472">
        <w:rPr>
          <w:lang w:val="en-US"/>
        </w:rPr>
        <w:br w:type="page"/>
      </w:r>
    </w:p>
    <w:p w14:paraId="06F2852E" w14:textId="77777777" w:rsidR="00ED2A39" w:rsidRPr="00013472" w:rsidRDefault="00ED2A39" w:rsidP="002234C1">
      <w:pPr>
        <w:spacing w:line="480" w:lineRule="auto"/>
        <w:rPr>
          <w:lang w:val="en-US"/>
        </w:rPr>
        <w:sectPr w:rsidR="00ED2A39" w:rsidRPr="00013472" w:rsidSect="00363256">
          <w:footerReference w:type="even" r:id="rId7"/>
          <w:footerReference w:type="default" r:id="rId8"/>
          <w:pgSz w:w="11900" w:h="16840"/>
          <w:pgMar w:top="1701" w:right="1134" w:bottom="1701" w:left="1134" w:header="708" w:footer="708" w:gutter="0"/>
          <w:cols w:space="708"/>
          <w:docGrid w:linePitch="360"/>
        </w:sectPr>
      </w:pPr>
    </w:p>
    <w:tbl>
      <w:tblPr>
        <w:tblStyle w:val="LightList"/>
        <w:tblW w:w="5000" w:type="pct"/>
        <w:tblLook w:val="04A0" w:firstRow="1" w:lastRow="0" w:firstColumn="1" w:lastColumn="0" w:noHBand="0" w:noVBand="1"/>
      </w:tblPr>
      <w:tblGrid>
        <w:gridCol w:w="3179"/>
        <w:gridCol w:w="919"/>
        <w:gridCol w:w="809"/>
        <w:gridCol w:w="919"/>
        <w:gridCol w:w="1030"/>
        <w:gridCol w:w="809"/>
        <w:gridCol w:w="809"/>
        <w:gridCol w:w="1138"/>
      </w:tblGrid>
      <w:tr w:rsidR="00ED2A39" w:rsidRPr="00013472" w14:paraId="000BB966" w14:textId="77777777" w:rsidTr="00F61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6060E3B0" w14:textId="77777777" w:rsidR="00ED2A39" w:rsidRPr="00013472" w:rsidRDefault="00ED2A39" w:rsidP="00ED2A39">
            <w:pPr>
              <w:rPr>
                <w:rFonts w:ascii="Calibri" w:hAnsi="Calibri"/>
                <w:b w:val="0"/>
                <w:bCs w:val="0"/>
                <w:color w:val="auto"/>
                <w:sz w:val="16"/>
                <w:szCs w:val="16"/>
                <w:lang w:val="en-US"/>
              </w:rPr>
            </w:pPr>
            <w:r w:rsidRPr="00013472">
              <w:rPr>
                <w:rFonts w:ascii="Calibri" w:hAnsi="Calibri"/>
                <w:color w:val="auto"/>
                <w:sz w:val="16"/>
                <w:szCs w:val="16"/>
                <w:lang w:val="en-US"/>
              </w:rPr>
              <w:lastRenderedPageBreak/>
              <w:t>Table 1. Eye Cancer Center Distribution of Patients by Subtype of Lacrimal Gland Lymphoma</w:t>
            </w:r>
          </w:p>
        </w:tc>
      </w:tr>
      <w:tr w:rsidR="00ED2A39" w:rsidRPr="00013472" w14:paraId="7BD03C70"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vMerge w:val="restart"/>
          </w:tcPr>
          <w:p w14:paraId="5CD42517" w14:textId="77777777" w:rsidR="00ED2A39" w:rsidRPr="00013472" w:rsidRDefault="00ED2A39" w:rsidP="00ED2A39">
            <w:pPr>
              <w:rPr>
                <w:sz w:val="16"/>
                <w:szCs w:val="16"/>
                <w:lang w:val="en-US"/>
              </w:rPr>
            </w:pPr>
          </w:p>
        </w:tc>
        <w:tc>
          <w:tcPr>
            <w:tcW w:w="3347" w:type="pct"/>
            <w:gridSpan w:val="7"/>
          </w:tcPr>
          <w:p w14:paraId="519FD58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Eye Cancer Center</w:t>
            </w:r>
          </w:p>
        </w:tc>
      </w:tr>
      <w:tr w:rsidR="00ED2A39" w:rsidRPr="00013472" w14:paraId="48F67805" w14:textId="77777777" w:rsidTr="00F61586">
        <w:tc>
          <w:tcPr>
            <w:cnfStyle w:val="001000000000" w:firstRow="0" w:lastRow="0" w:firstColumn="1" w:lastColumn="0" w:oddVBand="0" w:evenVBand="0" w:oddHBand="0" w:evenHBand="0" w:firstRowFirstColumn="0" w:firstRowLastColumn="0" w:lastRowFirstColumn="0" w:lastRowLastColumn="0"/>
            <w:tcW w:w="1653" w:type="pct"/>
            <w:vMerge/>
            <w:tcBorders>
              <w:bottom w:val="single" w:sz="4" w:space="0" w:color="auto"/>
            </w:tcBorders>
          </w:tcPr>
          <w:p w14:paraId="7EAB9A0E" w14:textId="77777777" w:rsidR="00ED2A39" w:rsidRPr="00013472" w:rsidRDefault="00ED2A39" w:rsidP="00ED2A39">
            <w:pPr>
              <w:rPr>
                <w:sz w:val="16"/>
                <w:szCs w:val="16"/>
                <w:lang w:val="en-US"/>
              </w:rPr>
            </w:pPr>
          </w:p>
        </w:tc>
        <w:tc>
          <w:tcPr>
            <w:tcW w:w="478" w:type="pct"/>
            <w:tcBorders>
              <w:bottom w:val="single" w:sz="4" w:space="0" w:color="auto"/>
            </w:tcBorders>
          </w:tcPr>
          <w:p w14:paraId="1842179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CPH</w:t>
            </w:r>
          </w:p>
        </w:tc>
        <w:tc>
          <w:tcPr>
            <w:tcW w:w="421" w:type="pct"/>
            <w:tcBorders>
              <w:bottom w:val="single" w:sz="4" w:space="0" w:color="auto"/>
            </w:tcBorders>
          </w:tcPr>
          <w:p w14:paraId="3A8F526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LIV</w:t>
            </w:r>
          </w:p>
        </w:tc>
        <w:tc>
          <w:tcPr>
            <w:tcW w:w="478" w:type="pct"/>
            <w:tcBorders>
              <w:bottom w:val="single" w:sz="4" w:space="0" w:color="auto"/>
            </w:tcBorders>
          </w:tcPr>
          <w:p w14:paraId="2759C1E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HOU</w:t>
            </w:r>
          </w:p>
        </w:tc>
        <w:tc>
          <w:tcPr>
            <w:tcW w:w="536" w:type="pct"/>
            <w:tcBorders>
              <w:bottom w:val="single" w:sz="4" w:space="0" w:color="auto"/>
            </w:tcBorders>
          </w:tcPr>
          <w:p w14:paraId="39710F3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HYD</w:t>
            </w:r>
          </w:p>
        </w:tc>
        <w:tc>
          <w:tcPr>
            <w:tcW w:w="421" w:type="pct"/>
            <w:tcBorders>
              <w:bottom w:val="single" w:sz="4" w:space="0" w:color="auto"/>
            </w:tcBorders>
          </w:tcPr>
          <w:p w14:paraId="416094D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NY</w:t>
            </w:r>
          </w:p>
        </w:tc>
        <w:tc>
          <w:tcPr>
            <w:tcW w:w="421" w:type="pct"/>
            <w:tcBorders>
              <w:bottom w:val="single" w:sz="4" w:space="0" w:color="auto"/>
            </w:tcBorders>
          </w:tcPr>
          <w:p w14:paraId="313A748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ATL</w:t>
            </w:r>
          </w:p>
        </w:tc>
        <w:tc>
          <w:tcPr>
            <w:tcW w:w="593" w:type="pct"/>
            <w:tcBorders>
              <w:bottom w:val="single" w:sz="4" w:space="0" w:color="auto"/>
              <w:right w:val="single" w:sz="4" w:space="0" w:color="auto"/>
            </w:tcBorders>
          </w:tcPr>
          <w:p w14:paraId="2A959EB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Total</w:t>
            </w:r>
          </w:p>
        </w:tc>
      </w:tr>
      <w:tr w:rsidR="00ED2A39" w:rsidRPr="00013472" w14:paraId="66A1649E"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single" w:sz="4" w:space="0" w:color="auto"/>
              <w:left w:val="single" w:sz="4" w:space="0" w:color="auto"/>
              <w:bottom w:val="nil"/>
            </w:tcBorders>
          </w:tcPr>
          <w:p w14:paraId="326731BB" w14:textId="2D64F467" w:rsidR="00ED2A39" w:rsidRPr="00013472" w:rsidRDefault="00360E38" w:rsidP="00ED2A39">
            <w:pPr>
              <w:rPr>
                <w:rFonts w:ascii="Calibri" w:hAnsi="Calibri"/>
                <w:b w:val="0"/>
                <w:bCs w:val="0"/>
                <w:color w:val="000000"/>
                <w:sz w:val="16"/>
                <w:szCs w:val="16"/>
                <w:lang w:val="en-US"/>
              </w:rPr>
            </w:pPr>
            <w:r w:rsidRPr="00013472">
              <w:rPr>
                <w:rFonts w:ascii="Calibri" w:hAnsi="Calibri"/>
                <w:color w:val="000000"/>
                <w:sz w:val="16"/>
                <w:szCs w:val="16"/>
                <w:lang w:val="en-US"/>
              </w:rPr>
              <w:t>All lymphomas (%</w:t>
            </w:r>
            <w:r w:rsidR="004A4910" w:rsidRPr="00013472">
              <w:rPr>
                <w:rFonts w:ascii="Calibri" w:hAnsi="Calibri"/>
                <w:color w:val="000000"/>
                <w:sz w:val="16"/>
                <w:szCs w:val="16"/>
                <w:vertAlign w:val="superscript"/>
                <w:lang w:val="en-US"/>
              </w:rPr>
              <w:t>a</w:t>
            </w:r>
            <w:r w:rsidRPr="00013472">
              <w:rPr>
                <w:rFonts w:ascii="Calibri" w:hAnsi="Calibri"/>
                <w:color w:val="000000"/>
                <w:sz w:val="16"/>
                <w:szCs w:val="16"/>
                <w:lang w:val="en-US"/>
              </w:rPr>
              <w:t>)</w:t>
            </w:r>
          </w:p>
        </w:tc>
        <w:tc>
          <w:tcPr>
            <w:tcW w:w="478" w:type="pct"/>
            <w:tcBorders>
              <w:top w:val="single" w:sz="4" w:space="0" w:color="auto"/>
              <w:bottom w:val="nil"/>
            </w:tcBorders>
          </w:tcPr>
          <w:p w14:paraId="3BEBAB9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45 (17)</w:t>
            </w:r>
          </w:p>
        </w:tc>
        <w:tc>
          <w:tcPr>
            <w:tcW w:w="421" w:type="pct"/>
            <w:tcBorders>
              <w:top w:val="single" w:sz="4" w:space="0" w:color="auto"/>
              <w:bottom w:val="nil"/>
            </w:tcBorders>
          </w:tcPr>
          <w:p w14:paraId="5B21FBA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 (7)</w:t>
            </w:r>
          </w:p>
        </w:tc>
        <w:tc>
          <w:tcPr>
            <w:tcW w:w="478" w:type="pct"/>
            <w:tcBorders>
              <w:top w:val="single" w:sz="4" w:space="0" w:color="auto"/>
              <w:bottom w:val="nil"/>
            </w:tcBorders>
          </w:tcPr>
          <w:p w14:paraId="41C0C41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51 (20)</w:t>
            </w:r>
          </w:p>
        </w:tc>
        <w:tc>
          <w:tcPr>
            <w:tcW w:w="536" w:type="pct"/>
            <w:tcBorders>
              <w:top w:val="single" w:sz="4" w:space="0" w:color="auto"/>
              <w:bottom w:val="nil"/>
            </w:tcBorders>
          </w:tcPr>
          <w:p w14:paraId="1B2F483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130 (50)</w:t>
            </w:r>
          </w:p>
        </w:tc>
        <w:tc>
          <w:tcPr>
            <w:tcW w:w="421" w:type="pct"/>
            <w:tcBorders>
              <w:top w:val="single" w:sz="4" w:space="0" w:color="auto"/>
              <w:bottom w:val="nil"/>
            </w:tcBorders>
          </w:tcPr>
          <w:p w14:paraId="7FF2907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 (5)</w:t>
            </w:r>
          </w:p>
        </w:tc>
        <w:tc>
          <w:tcPr>
            <w:tcW w:w="421" w:type="pct"/>
            <w:tcBorders>
              <w:top w:val="single" w:sz="4" w:space="0" w:color="auto"/>
              <w:bottom w:val="nil"/>
            </w:tcBorders>
          </w:tcPr>
          <w:p w14:paraId="179C21C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w:t>
            </w:r>
          </w:p>
        </w:tc>
        <w:tc>
          <w:tcPr>
            <w:tcW w:w="593" w:type="pct"/>
            <w:tcBorders>
              <w:top w:val="single" w:sz="4" w:space="0" w:color="auto"/>
              <w:bottom w:val="nil"/>
              <w:right w:val="single" w:sz="4" w:space="0" w:color="auto"/>
            </w:tcBorders>
          </w:tcPr>
          <w:p w14:paraId="5BC9C54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261 (100)</w:t>
            </w:r>
          </w:p>
        </w:tc>
      </w:tr>
      <w:tr w:rsidR="00ED2A39" w:rsidRPr="00013472" w14:paraId="5D425712"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BFBFBF" w:themeFill="background1" w:themeFillShade="BF"/>
          </w:tcPr>
          <w:p w14:paraId="589DF3F6"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B-Cell Lymphomas</w:t>
            </w:r>
          </w:p>
        </w:tc>
        <w:tc>
          <w:tcPr>
            <w:tcW w:w="478" w:type="pct"/>
            <w:tcBorders>
              <w:top w:val="nil"/>
              <w:bottom w:val="nil"/>
            </w:tcBorders>
            <w:shd w:val="clear" w:color="auto" w:fill="BFBFBF" w:themeFill="background1" w:themeFillShade="BF"/>
          </w:tcPr>
          <w:p w14:paraId="3EA51A2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BFBFBF" w:themeFill="background1" w:themeFillShade="BF"/>
          </w:tcPr>
          <w:p w14:paraId="5EE938B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BFBFBF" w:themeFill="background1" w:themeFillShade="BF"/>
          </w:tcPr>
          <w:p w14:paraId="34308EB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BFBFBF" w:themeFill="background1" w:themeFillShade="BF"/>
          </w:tcPr>
          <w:p w14:paraId="45DF764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BFBFBF" w:themeFill="background1" w:themeFillShade="BF"/>
          </w:tcPr>
          <w:p w14:paraId="28C8F79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BFBFBF" w:themeFill="background1" w:themeFillShade="BF"/>
          </w:tcPr>
          <w:p w14:paraId="40CFB42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BFBFBF" w:themeFill="background1" w:themeFillShade="BF"/>
          </w:tcPr>
          <w:p w14:paraId="7B3FE50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r>
      <w:tr w:rsidR="00ED2A39" w:rsidRPr="00013472" w14:paraId="7A25C192"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55132E6C"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EMZL</w:t>
            </w:r>
          </w:p>
        </w:tc>
        <w:tc>
          <w:tcPr>
            <w:tcW w:w="478" w:type="pct"/>
            <w:tcBorders>
              <w:top w:val="nil"/>
              <w:bottom w:val="nil"/>
            </w:tcBorders>
            <w:shd w:val="clear" w:color="auto" w:fill="D9D9D9" w:themeFill="background1" w:themeFillShade="D9"/>
          </w:tcPr>
          <w:p w14:paraId="5BE8B9C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0A2AF6C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2D493B8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6D7E909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2B7D370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7DB43F3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06EAD62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569486A2"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157FFB79" w14:textId="183A3F74"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 within </w:t>
            </w:r>
            <w:proofErr w:type="spellStart"/>
            <w:r w:rsidR="007902A8"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7902A8" w:rsidRPr="00013472">
              <w:rPr>
                <w:rFonts w:ascii="Calibri" w:hAnsi="Calibri"/>
                <w:b w:val="0"/>
                <w:color w:val="000000"/>
                <w:sz w:val="16"/>
                <w:szCs w:val="16"/>
                <w:lang w:val="en-US"/>
              </w:rPr>
              <w:t>)</w:t>
            </w:r>
          </w:p>
        </w:tc>
        <w:tc>
          <w:tcPr>
            <w:tcW w:w="478" w:type="pct"/>
            <w:tcBorders>
              <w:top w:val="nil"/>
              <w:bottom w:val="nil"/>
            </w:tcBorders>
          </w:tcPr>
          <w:p w14:paraId="69DF0721" w14:textId="08625D34"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20</w:t>
            </w:r>
            <w:r w:rsidR="007902A8" w:rsidRPr="00013472">
              <w:rPr>
                <w:rFonts w:ascii="Calibri" w:hAnsi="Calibri"/>
                <w:color w:val="000000"/>
                <w:sz w:val="16"/>
                <w:szCs w:val="16"/>
                <w:lang w:val="en-US"/>
              </w:rPr>
              <w:t xml:space="preserve"> (44)</w:t>
            </w:r>
          </w:p>
        </w:tc>
        <w:tc>
          <w:tcPr>
            <w:tcW w:w="421" w:type="pct"/>
            <w:tcBorders>
              <w:top w:val="nil"/>
              <w:bottom w:val="nil"/>
            </w:tcBorders>
          </w:tcPr>
          <w:p w14:paraId="2C216358" w14:textId="409E4EA2"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w:t>
            </w:r>
            <w:r w:rsidR="007902A8" w:rsidRPr="00013472">
              <w:rPr>
                <w:rFonts w:ascii="Calibri" w:hAnsi="Calibri"/>
                <w:color w:val="000000"/>
                <w:sz w:val="16"/>
                <w:szCs w:val="16"/>
                <w:lang w:val="en-US"/>
              </w:rPr>
              <w:t xml:space="preserve"> (47)</w:t>
            </w:r>
          </w:p>
        </w:tc>
        <w:tc>
          <w:tcPr>
            <w:tcW w:w="478" w:type="pct"/>
            <w:tcBorders>
              <w:top w:val="nil"/>
              <w:bottom w:val="nil"/>
            </w:tcBorders>
          </w:tcPr>
          <w:p w14:paraId="17ECDF18" w14:textId="7DF4FF3B"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31</w:t>
            </w:r>
            <w:r w:rsidR="007902A8" w:rsidRPr="00013472">
              <w:rPr>
                <w:rFonts w:ascii="Calibri" w:hAnsi="Calibri"/>
                <w:color w:val="000000"/>
                <w:sz w:val="16"/>
                <w:szCs w:val="16"/>
                <w:lang w:val="en-US"/>
              </w:rPr>
              <w:t xml:space="preserve"> (61)</w:t>
            </w:r>
          </w:p>
        </w:tc>
        <w:tc>
          <w:tcPr>
            <w:tcW w:w="536" w:type="pct"/>
            <w:tcBorders>
              <w:top w:val="nil"/>
              <w:bottom w:val="nil"/>
            </w:tcBorders>
          </w:tcPr>
          <w:p w14:paraId="75375111" w14:textId="3B6A741B"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109</w:t>
            </w:r>
            <w:r w:rsidR="007902A8" w:rsidRPr="00013472">
              <w:rPr>
                <w:rFonts w:ascii="Calibri" w:hAnsi="Calibri"/>
                <w:color w:val="000000"/>
                <w:sz w:val="16"/>
                <w:szCs w:val="16"/>
                <w:lang w:val="en-US"/>
              </w:rPr>
              <w:t xml:space="preserve"> (84)</w:t>
            </w:r>
          </w:p>
        </w:tc>
        <w:tc>
          <w:tcPr>
            <w:tcW w:w="421" w:type="pct"/>
            <w:tcBorders>
              <w:top w:val="nil"/>
              <w:bottom w:val="nil"/>
            </w:tcBorders>
          </w:tcPr>
          <w:p w14:paraId="662DDF9A" w14:textId="4A9B1B13"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w:t>
            </w:r>
            <w:r w:rsidR="007902A8" w:rsidRPr="00013472">
              <w:rPr>
                <w:rFonts w:ascii="Calibri" w:hAnsi="Calibri"/>
                <w:color w:val="000000"/>
                <w:sz w:val="16"/>
                <w:szCs w:val="16"/>
                <w:lang w:val="en-US"/>
              </w:rPr>
              <w:t xml:space="preserve"> (57)</w:t>
            </w:r>
          </w:p>
        </w:tc>
        <w:tc>
          <w:tcPr>
            <w:tcW w:w="421" w:type="pct"/>
            <w:tcBorders>
              <w:top w:val="nil"/>
              <w:bottom w:val="nil"/>
            </w:tcBorders>
          </w:tcPr>
          <w:p w14:paraId="08E7FC7A" w14:textId="143B864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7902A8" w:rsidRPr="00013472">
              <w:rPr>
                <w:rFonts w:ascii="Calibri" w:hAnsi="Calibri"/>
                <w:color w:val="000000"/>
                <w:sz w:val="16"/>
                <w:szCs w:val="16"/>
                <w:lang w:val="en-US"/>
              </w:rPr>
              <w:t xml:space="preserve"> (50)</w:t>
            </w:r>
          </w:p>
        </w:tc>
        <w:tc>
          <w:tcPr>
            <w:tcW w:w="593" w:type="pct"/>
            <w:tcBorders>
              <w:top w:val="nil"/>
              <w:bottom w:val="nil"/>
              <w:right w:val="single" w:sz="4" w:space="0" w:color="auto"/>
            </w:tcBorders>
          </w:tcPr>
          <w:p w14:paraId="46CD8C84" w14:textId="0587ECA6"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178</w:t>
            </w:r>
            <w:r w:rsidR="00F61586" w:rsidRPr="00013472">
              <w:rPr>
                <w:rFonts w:ascii="Calibri" w:hAnsi="Calibri"/>
                <w:color w:val="000000"/>
                <w:sz w:val="16"/>
                <w:szCs w:val="16"/>
                <w:lang w:val="en-US"/>
              </w:rPr>
              <w:t xml:space="preserve"> (68)</w:t>
            </w:r>
          </w:p>
        </w:tc>
      </w:tr>
      <w:tr w:rsidR="00ED2A39" w:rsidRPr="00013472" w14:paraId="07DFF2CA"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1AFDD729" w14:textId="5D4A5044"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1733FF5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70</w:t>
            </w:r>
          </w:p>
        </w:tc>
        <w:tc>
          <w:tcPr>
            <w:tcW w:w="421" w:type="pct"/>
            <w:tcBorders>
              <w:top w:val="nil"/>
              <w:bottom w:val="nil"/>
            </w:tcBorders>
          </w:tcPr>
          <w:p w14:paraId="40D8407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65</w:t>
            </w:r>
          </w:p>
        </w:tc>
        <w:tc>
          <w:tcPr>
            <w:tcW w:w="478" w:type="pct"/>
            <w:tcBorders>
              <w:top w:val="nil"/>
              <w:bottom w:val="nil"/>
            </w:tcBorders>
          </w:tcPr>
          <w:p w14:paraId="432EF3F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64</w:t>
            </w:r>
          </w:p>
        </w:tc>
        <w:tc>
          <w:tcPr>
            <w:tcW w:w="536" w:type="pct"/>
            <w:tcBorders>
              <w:top w:val="nil"/>
              <w:bottom w:val="nil"/>
            </w:tcBorders>
          </w:tcPr>
          <w:p w14:paraId="7B5254E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51</w:t>
            </w:r>
          </w:p>
        </w:tc>
        <w:tc>
          <w:tcPr>
            <w:tcW w:w="421" w:type="pct"/>
            <w:tcBorders>
              <w:top w:val="nil"/>
              <w:bottom w:val="nil"/>
            </w:tcBorders>
          </w:tcPr>
          <w:p w14:paraId="208FD34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58</w:t>
            </w:r>
          </w:p>
        </w:tc>
        <w:tc>
          <w:tcPr>
            <w:tcW w:w="421" w:type="pct"/>
            <w:tcBorders>
              <w:top w:val="nil"/>
              <w:bottom w:val="nil"/>
            </w:tcBorders>
          </w:tcPr>
          <w:p w14:paraId="48A9D90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59</w:t>
            </w:r>
          </w:p>
        </w:tc>
        <w:tc>
          <w:tcPr>
            <w:tcW w:w="593" w:type="pct"/>
            <w:tcBorders>
              <w:top w:val="nil"/>
              <w:bottom w:val="nil"/>
              <w:right w:val="single" w:sz="4" w:space="0" w:color="auto"/>
            </w:tcBorders>
          </w:tcPr>
          <w:p w14:paraId="36F8F51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55</w:t>
            </w:r>
          </w:p>
        </w:tc>
      </w:tr>
      <w:tr w:rsidR="00ED2A39" w:rsidRPr="00013472" w14:paraId="14EA6E90"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3571EB07"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6E52357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6:14</w:t>
            </w:r>
          </w:p>
        </w:tc>
        <w:tc>
          <w:tcPr>
            <w:tcW w:w="421" w:type="pct"/>
            <w:tcBorders>
              <w:top w:val="nil"/>
              <w:bottom w:val="nil"/>
            </w:tcBorders>
          </w:tcPr>
          <w:p w14:paraId="62DB2DB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2:7</w:t>
            </w:r>
          </w:p>
        </w:tc>
        <w:tc>
          <w:tcPr>
            <w:tcW w:w="478" w:type="pct"/>
            <w:tcBorders>
              <w:top w:val="nil"/>
              <w:bottom w:val="nil"/>
            </w:tcBorders>
          </w:tcPr>
          <w:p w14:paraId="0D74B02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10:21</w:t>
            </w:r>
          </w:p>
        </w:tc>
        <w:tc>
          <w:tcPr>
            <w:tcW w:w="536" w:type="pct"/>
            <w:tcBorders>
              <w:top w:val="nil"/>
              <w:bottom w:val="nil"/>
            </w:tcBorders>
          </w:tcPr>
          <w:p w14:paraId="50967B4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79:30</w:t>
            </w:r>
          </w:p>
        </w:tc>
        <w:tc>
          <w:tcPr>
            <w:tcW w:w="421" w:type="pct"/>
            <w:tcBorders>
              <w:top w:val="nil"/>
              <w:bottom w:val="nil"/>
            </w:tcBorders>
          </w:tcPr>
          <w:p w14:paraId="3803DB4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w:t>
            </w:r>
          </w:p>
        </w:tc>
        <w:tc>
          <w:tcPr>
            <w:tcW w:w="421" w:type="pct"/>
            <w:tcBorders>
              <w:top w:val="nil"/>
              <w:bottom w:val="nil"/>
            </w:tcBorders>
          </w:tcPr>
          <w:p w14:paraId="06FF60F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p>
        </w:tc>
        <w:tc>
          <w:tcPr>
            <w:tcW w:w="593" w:type="pct"/>
            <w:tcBorders>
              <w:top w:val="nil"/>
              <w:bottom w:val="nil"/>
              <w:right w:val="single" w:sz="4" w:space="0" w:color="auto"/>
            </w:tcBorders>
          </w:tcPr>
          <w:p w14:paraId="0E37FCD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100:78</w:t>
            </w:r>
          </w:p>
        </w:tc>
      </w:tr>
      <w:tr w:rsidR="00ED2A39" w:rsidRPr="00013472" w14:paraId="64E245DB"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00A04A3B"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FL</w:t>
            </w:r>
          </w:p>
        </w:tc>
        <w:tc>
          <w:tcPr>
            <w:tcW w:w="478" w:type="pct"/>
            <w:tcBorders>
              <w:top w:val="nil"/>
              <w:bottom w:val="nil"/>
            </w:tcBorders>
            <w:shd w:val="clear" w:color="auto" w:fill="D9D9D9" w:themeFill="background1" w:themeFillShade="D9"/>
          </w:tcPr>
          <w:p w14:paraId="204C6A9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2EA1DC5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128E4DB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7847EA0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79E961B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0955E1C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3EC3495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45E20C5A"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579ED0ED" w14:textId="3AD210BA"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02C2034C" w14:textId="3AF068F4"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w:t>
            </w:r>
            <w:r w:rsidR="007902A8" w:rsidRPr="00013472">
              <w:rPr>
                <w:rFonts w:ascii="Calibri" w:hAnsi="Calibri"/>
                <w:color w:val="000000"/>
                <w:sz w:val="16"/>
                <w:szCs w:val="16"/>
                <w:lang w:val="en-US"/>
              </w:rPr>
              <w:t xml:space="preserve"> (11)</w:t>
            </w:r>
          </w:p>
        </w:tc>
        <w:tc>
          <w:tcPr>
            <w:tcW w:w="421" w:type="pct"/>
            <w:tcBorders>
              <w:top w:val="nil"/>
              <w:bottom w:val="nil"/>
            </w:tcBorders>
          </w:tcPr>
          <w:p w14:paraId="68051D00" w14:textId="33F72F7C"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w:t>
            </w:r>
            <w:r w:rsidR="007902A8" w:rsidRPr="00013472">
              <w:rPr>
                <w:rFonts w:ascii="Calibri" w:hAnsi="Calibri"/>
                <w:color w:val="000000"/>
                <w:sz w:val="16"/>
                <w:szCs w:val="16"/>
                <w:lang w:val="en-US"/>
              </w:rPr>
              <w:t xml:space="preserve"> (16)</w:t>
            </w:r>
          </w:p>
        </w:tc>
        <w:tc>
          <w:tcPr>
            <w:tcW w:w="478" w:type="pct"/>
            <w:tcBorders>
              <w:top w:val="nil"/>
              <w:bottom w:val="nil"/>
            </w:tcBorders>
          </w:tcPr>
          <w:p w14:paraId="27367128" w14:textId="1AA3E015"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w:t>
            </w:r>
            <w:r w:rsidR="007902A8" w:rsidRPr="00013472">
              <w:rPr>
                <w:rFonts w:ascii="Calibri" w:hAnsi="Calibri"/>
                <w:color w:val="000000"/>
                <w:sz w:val="16"/>
                <w:szCs w:val="16"/>
                <w:lang w:val="en-US"/>
              </w:rPr>
              <w:t xml:space="preserve"> (10)</w:t>
            </w:r>
          </w:p>
        </w:tc>
        <w:tc>
          <w:tcPr>
            <w:tcW w:w="536" w:type="pct"/>
            <w:tcBorders>
              <w:top w:val="nil"/>
              <w:bottom w:val="nil"/>
            </w:tcBorders>
          </w:tcPr>
          <w:p w14:paraId="6E9FC214" w14:textId="3CE7909E"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w:t>
            </w:r>
            <w:r w:rsidR="007902A8" w:rsidRPr="00013472">
              <w:rPr>
                <w:rFonts w:ascii="Calibri" w:hAnsi="Calibri"/>
                <w:color w:val="000000"/>
                <w:sz w:val="16"/>
                <w:szCs w:val="16"/>
                <w:lang w:val="en-US"/>
              </w:rPr>
              <w:t xml:space="preserve"> (6)</w:t>
            </w:r>
          </w:p>
        </w:tc>
        <w:tc>
          <w:tcPr>
            <w:tcW w:w="421" w:type="pct"/>
            <w:tcBorders>
              <w:top w:val="nil"/>
              <w:bottom w:val="nil"/>
            </w:tcBorders>
          </w:tcPr>
          <w:p w14:paraId="01E55C1A" w14:textId="0E325B5C"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w:t>
            </w:r>
            <w:r w:rsidR="007902A8" w:rsidRPr="00013472">
              <w:rPr>
                <w:rFonts w:ascii="Calibri" w:hAnsi="Calibri"/>
                <w:color w:val="000000"/>
                <w:sz w:val="16"/>
                <w:szCs w:val="16"/>
                <w:lang w:val="en-US"/>
              </w:rPr>
              <w:t xml:space="preserve"> (29)</w:t>
            </w:r>
          </w:p>
        </w:tc>
        <w:tc>
          <w:tcPr>
            <w:tcW w:w="421" w:type="pct"/>
            <w:tcBorders>
              <w:top w:val="nil"/>
              <w:bottom w:val="nil"/>
            </w:tcBorders>
          </w:tcPr>
          <w:p w14:paraId="570AF509" w14:textId="78F472D2"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7902A8" w:rsidRPr="00013472">
              <w:rPr>
                <w:rFonts w:ascii="Calibri" w:hAnsi="Calibri"/>
                <w:color w:val="000000"/>
                <w:sz w:val="16"/>
                <w:szCs w:val="16"/>
                <w:lang w:val="en-US"/>
              </w:rPr>
              <w:t xml:space="preserve"> (50)</w:t>
            </w:r>
          </w:p>
        </w:tc>
        <w:tc>
          <w:tcPr>
            <w:tcW w:w="593" w:type="pct"/>
            <w:tcBorders>
              <w:top w:val="nil"/>
              <w:bottom w:val="nil"/>
              <w:right w:val="single" w:sz="4" w:space="0" w:color="auto"/>
            </w:tcBorders>
          </w:tcPr>
          <w:p w14:paraId="5A673ED3" w14:textId="4A8E4836"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w:t>
            </w:r>
            <w:r w:rsidR="00F61586" w:rsidRPr="00013472">
              <w:rPr>
                <w:rFonts w:ascii="Calibri" w:hAnsi="Calibri"/>
                <w:color w:val="000000"/>
                <w:sz w:val="16"/>
                <w:szCs w:val="16"/>
                <w:lang w:val="en-US"/>
              </w:rPr>
              <w:t xml:space="preserve"> (10)</w:t>
            </w:r>
          </w:p>
        </w:tc>
      </w:tr>
      <w:tr w:rsidR="00ED2A39" w:rsidRPr="00013472" w14:paraId="42532C26"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0C00C186" w14:textId="06F62ACE"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140CE99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63</w:t>
            </w:r>
          </w:p>
        </w:tc>
        <w:tc>
          <w:tcPr>
            <w:tcW w:w="421" w:type="pct"/>
            <w:tcBorders>
              <w:top w:val="nil"/>
              <w:bottom w:val="nil"/>
            </w:tcBorders>
          </w:tcPr>
          <w:p w14:paraId="4E69999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57</w:t>
            </w:r>
          </w:p>
        </w:tc>
        <w:tc>
          <w:tcPr>
            <w:tcW w:w="478" w:type="pct"/>
            <w:tcBorders>
              <w:top w:val="nil"/>
              <w:bottom w:val="nil"/>
            </w:tcBorders>
          </w:tcPr>
          <w:p w14:paraId="443568D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66</w:t>
            </w:r>
          </w:p>
        </w:tc>
        <w:tc>
          <w:tcPr>
            <w:tcW w:w="536" w:type="pct"/>
            <w:tcBorders>
              <w:top w:val="nil"/>
              <w:bottom w:val="nil"/>
            </w:tcBorders>
          </w:tcPr>
          <w:p w14:paraId="5003715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58</w:t>
            </w:r>
          </w:p>
        </w:tc>
        <w:tc>
          <w:tcPr>
            <w:tcW w:w="421" w:type="pct"/>
            <w:tcBorders>
              <w:top w:val="nil"/>
              <w:bottom w:val="nil"/>
            </w:tcBorders>
          </w:tcPr>
          <w:p w14:paraId="2F201F2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66</w:t>
            </w:r>
          </w:p>
        </w:tc>
        <w:tc>
          <w:tcPr>
            <w:tcW w:w="421" w:type="pct"/>
            <w:tcBorders>
              <w:top w:val="nil"/>
              <w:bottom w:val="nil"/>
            </w:tcBorders>
          </w:tcPr>
          <w:p w14:paraId="7E56E68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71</w:t>
            </w:r>
          </w:p>
        </w:tc>
        <w:tc>
          <w:tcPr>
            <w:tcW w:w="593" w:type="pct"/>
            <w:tcBorders>
              <w:top w:val="nil"/>
              <w:bottom w:val="nil"/>
              <w:right w:val="single" w:sz="4" w:space="0" w:color="auto"/>
            </w:tcBorders>
          </w:tcPr>
          <w:p w14:paraId="66D6324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63</w:t>
            </w:r>
          </w:p>
        </w:tc>
      </w:tr>
      <w:tr w:rsidR="00ED2A39" w:rsidRPr="00013472" w14:paraId="05D57C76"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0BD198A8"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02DA194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2:3</w:t>
            </w:r>
          </w:p>
        </w:tc>
        <w:tc>
          <w:tcPr>
            <w:tcW w:w="421" w:type="pct"/>
            <w:tcBorders>
              <w:top w:val="nil"/>
              <w:bottom w:val="nil"/>
            </w:tcBorders>
          </w:tcPr>
          <w:p w14:paraId="0407C39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0:3</w:t>
            </w:r>
          </w:p>
        </w:tc>
        <w:tc>
          <w:tcPr>
            <w:tcW w:w="478" w:type="pct"/>
            <w:tcBorders>
              <w:top w:val="nil"/>
              <w:bottom w:val="nil"/>
            </w:tcBorders>
          </w:tcPr>
          <w:p w14:paraId="38E7E7D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2:3</w:t>
            </w:r>
          </w:p>
        </w:tc>
        <w:tc>
          <w:tcPr>
            <w:tcW w:w="536" w:type="pct"/>
            <w:tcBorders>
              <w:top w:val="nil"/>
              <w:bottom w:val="nil"/>
            </w:tcBorders>
          </w:tcPr>
          <w:p w14:paraId="33B67F2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5:3</w:t>
            </w:r>
          </w:p>
        </w:tc>
        <w:tc>
          <w:tcPr>
            <w:tcW w:w="421" w:type="pct"/>
            <w:tcBorders>
              <w:top w:val="nil"/>
              <w:bottom w:val="nil"/>
            </w:tcBorders>
          </w:tcPr>
          <w:p w14:paraId="7B3924C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w:t>
            </w:r>
          </w:p>
        </w:tc>
        <w:tc>
          <w:tcPr>
            <w:tcW w:w="421" w:type="pct"/>
            <w:tcBorders>
              <w:top w:val="nil"/>
              <w:bottom w:val="nil"/>
            </w:tcBorders>
          </w:tcPr>
          <w:p w14:paraId="5A45D5A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0:1</w:t>
            </w:r>
          </w:p>
        </w:tc>
        <w:tc>
          <w:tcPr>
            <w:tcW w:w="593" w:type="pct"/>
            <w:tcBorders>
              <w:top w:val="nil"/>
              <w:bottom w:val="nil"/>
              <w:right w:val="single" w:sz="4" w:space="0" w:color="auto"/>
            </w:tcBorders>
          </w:tcPr>
          <w:p w14:paraId="4422CB1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10:16</w:t>
            </w:r>
          </w:p>
        </w:tc>
      </w:tr>
      <w:tr w:rsidR="00ED2A39" w:rsidRPr="00013472" w14:paraId="4DC35ECE"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6A146533" w14:textId="77777777" w:rsidR="00ED2A39" w:rsidRPr="00013472" w:rsidRDefault="00ED2A39" w:rsidP="00ED2A39">
            <w:pPr>
              <w:rPr>
                <w:rFonts w:ascii="Calibri" w:hAnsi="Calibri"/>
                <w:color w:val="000000"/>
                <w:sz w:val="16"/>
                <w:szCs w:val="16"/>
                <w:lang w:val="en-US"/>
              </w:rPr>
            </w:pPr>
            <w:r w:rsidRPr="00013472">
              <w:rPr>
                <w:rFonts w:ascii="Calibri" w:hAnsi="Calibri"/>
                <w:color w:val="000000"/>
                <w:sz w:val="16"/>
                <w:szCs w:val="16"/>
                <w:lang w:val="en-US"/>
              </w:rPr>
              <w:t>DLBCL</w:t>
            </w:r>
          </w:p>
        </w:tc>
        <w:tc>
          <w:tcPr>
            <w:tcW w:w="478" w:type="pct"/>
            <w:tcBorders>
              <w:top w:val="nil"/>
              <w:bottom w:val="nil"/>
            </w:tcBorders>
            <w:shd w:val="clear" w:color="auto" w:fill="D9D9D9" w:themeFill="background1" w:themeFillShade="D9"/>
          </w:tcPr>
          <w:p w14:paraId="2B7B476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336FB14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5EF1EA9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01C1298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6A62D9E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6D4DBBF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5A32110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2FE109DD"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5B18DFF3" w14:textId="360E75FE"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64544252" w14:textId="525863DE"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w:t>
            </w:r>
            <w:r w:rsidR="007902A8" w:rsidRPr="00013472">
              <w:rPr>
                <w:rFonts w:ascii="Calibri" w:hAnsi="Calibri"/>
                <w:color w:val="000000"/>
                <w:sz w:val="16"/>
                <w:szCs w:val="16"/>
                <w:lang w:val="en-US"/>
              </w:rPr>
              <w:t xml:space="preserve"> (9)</w:t>
            </w:r>
          </w:p>
        </w:tc>
        <w:tc>
          <w:tcPr>
            <w:tcW w:w="421" w:type="pct"/>
            <w:tcBorders>
              <w:top w:val="nil"/>
              <w:bottom w:val="nil"/>
            </w:tcBorders>
          </w:tcPr>
          <w:p w14:paraId="0F8123DA" w14:textId="23FC0FB8"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w:t>
            </w:r>
            <w:r w:rsidR="007902A8" w:rsidRPr="00013472">
              <w:rPr>
                <w:rFonts w:ascii="Calibri" w:hAnsi="Calibri"/>
                <w:color w:val="000000"/>
                <w:sz w:val="16"/>
                <w:szCs w:val="16"/>
                <w:lang w:val="en-US"/>
              </w:rPr>
              <w:t xml:space="preserve"> (21)</w:t>
            </w:r>
          </w:p>
        </w:tc>
        <w:tc>
          <w:tcPr>
            <w:tcW w:w="478" w:type="pct"/>
            <w:tcBorders>
              <w:top w:val="nil"/>
              <w:bottom w:val="nil"/>
            </w:tcBorders>
          </w:tcPr>
          <w:p w14:paraId="6849106D" w14:textId="5EB7916E"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w:t>
            </w:r>
            <w:r w:rsidR="007902A8" w:rsidRPr="00013472">
              <w:rPr>
                <w:rFonts w:ascii="Calibri" w:hAnsi="Calibri"/>
                <w:color w:val="000000"/>
                <w:sz w:val="16"/>
                <w:szCs w:val="16"/>
                <w:lang w:val="en-US"/>
              </w:rPr>
              <w:t xml:space="preserve"> </w:t>
            </w:r>
            <w:r w:rsidR="00F61586" w:rsidRPr="00013472">
              <w:rPr>
                <w:rFonts w:ascii="Calibri" w:hAnsi="Calibri"/>
                <w:color w:val="000000"/>
                <w:sz w:val="16"/>
                <w:szCs w:val="16"/>
                <w:lang w:val="en-US"/>
              </w:rPr>
              <w:t>(18)</w:t>
            </w:r>
          </w:p>
        </w:tc>
        <w:tc>
          <w:tcPr>
            <w:tcW w:w="536" w:type="pct"/>
            <w:tcBorders>
              <w:top w:val="nil"/>
              <w:bottom w:val="nil"/>
            </w:tcBorders>
          </w:tcPr>
          <w:p w14:paraId="56080235" w14:textId="00B3DB71"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w:t>
            </w:r>
            <w:r w:rsidR="007902A8" w:rsidRPr="00013472">
              <w:rPr>
                <w:rFonts w:ascii="Calibri" w:hAnsi="Calibri"/>
                <w:color w:val="000000"/>
                <w:sz w:val="16"/>
                <w:szCs w:val="16"/>
                <w:lang w:val="en-US"/>
              </w:rPr>
              <w:t xml:space="preserve"> (7)</w:t>
            </w:r>
          </w:p>
        </w:tc>
        <w:tc>
          <w:tcPr>
            <w:tcW w:w="421" w:type="pct"/>
            <w:tcBorders>
              <w:top w:val="nil"/>
              <w:bottom w:val="nil"/>
            </w:tcBorders>
          </w:tcPr>
          <w:p w14:paraId="0C49989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7E6F19C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93" w:type="pct"/>
            <w:tcBorders>
              <w:top w:val="nil"/>
              <w:bottom w:val="nil"/>
              <w:right w:val="single" w:sz="4" w:space="0" w:color="auto"/>
            </w:tcBorders>
          </w:tcPr>
          <w:p w14:paraId="073C504B" w14:textId="4F752A64"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w:t>
            </w:r>
            <w:r w:rsidR="00F61586" w:rsidRPr="00013472">
              <w:rPr>
                <w:rFonts w:ascii="Calibri" w:hAnsi="Calibri"/>
                <w:color w:val="000000"/>
                <w:sz w:val="16"/>
                <w:szCs w:val="16"/>
                <w:lang w:val="en-US"/>
              </w:rPr>
              <w:t xml:space="preserve"> (10)</w:t>
            </w:r>
          </w:p>
        </w:tc>
      </w:tr>
      <w:tr w:rsidR="00ED2A39" w:rsidRPr="00013472" w14:paraId="01DBF916"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67443B19" w14:textId="2CD4DC1B"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3F9C29C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75</w:t>
            </w:r>
          </w:p>
        </w:tc>
        <w:tc>
          <w:tcPr>
            <w:tcW w:w="421" w:type="pct"/>
            <w:tcBorders>
              <w:top w:val="nil"/>
              <w:bottom w:val="nil"/>
            </w:tcBorders>
          </w:tcPr>
          <w:p w14:paraId="64FBFFF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80</w:t>
            </w:r>
          </w:p>
        </w:tc>
        <w:tc>
          <w:tcPr>
            <w:tcW w:w="478" w:type="pct"/>
            <w:tcBorders>
              <w:top w:val="nil"/>
              <w:bottom w:val="nil"/>
            </w:tcBorders>
          </w:tcPr>
          <w:p w14:paraId="3296F7C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68</w:t>
            </w:r>
          </w:p>
        </w:tc>
        <w:tc>
          <w:tcPr>
            <w:tcW w:w="536" w:type="pct"/>
            <w:tcBorders>
              <w:top w:val="nil"/>
              <w:bottom w:val="nil"/>
            </w:tcBorders>
          </w:tcPr>
          <w:p w14:paraId="64AB5ED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65</w:t>
            </w:r>
          </w:p>
        </w:tc>
        <w:tc>
          <w:tcPr>
            <w:tcW w:w="421" w:type="pct"/>
            <w:tcBorders>
              <w:top w:val="nil"/>
              <w:bottom w:val="nil"/>
            </w:tcBorders>
          </w:tcPr>
          <w:p w14:paraId="1D62FD2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7996BC3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26BED41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68</w:t>
            </w:r>
          </w:p>
        </w:tc>
      </w:tr>
      <w:tr w:rsidR="00ED2A39" w:rsidRPr="00013472" w14:paraId="230336FE"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6EEF7C55" w14:textId="77777777"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7481C3B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w:t>
            </w:r>
          </w:p>
        </w:tc>
        <w:tc>
          <w:tcPr>
            <w:tcW w:w="421" w:type="pct"/>
            <w:tcBorders>
              <w:top w:val="nil"/>
              <w:bottom w:val="nil"/>
            </w:tcBorders>
          </w:tcPr>
          <w:p w14:paraId="313D1C9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w:t>
            </w:r>
          </w:p>
        </w:tc>
        <w:tc>
          <w:tcPr>
            <w:tcW w:w="478" w:type="pct"/>
            <w:tcBorders>
              <w:top w:val="nil"/>
              <w:bottom w:val="nil"/>
            </w:tcBorders>
          </w:tcPr>
          <w:p w14:paraId="107F9F9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2:7</w:t>
            </w:r>
          </w:p>
        </w:tc>
        <w:tc>
          <w:tcPr>
            <w:tcW w:w="536" w:type="pct"/>
            <w:tcBorders>
              <w:top w:val="nil"/>
              <w:bottom w:val="nil"/>
            </w:tcBorders>
          </w:tcPr>
          <w:p w14:paraId="0B1ADEB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7:2</w:t>
            </w:r>
          </w:p>
        </w:tc>
        <w:tc>
          <w:tcPr>
            <w:tcW w:w="421" w:type="pct"/>
            <w:tcBorders>
              <w:top w:val="nil"/>
              <w:bottom w:val="nil"/>
            </w:tcBorders>
          </w:tcPr>
          <w:p w14:paraId="20DEF16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23E04EA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6F36C3D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11:15</w:t>
            </w:r>
          </w:p>
        </w:tc>
      </w:tr>
      <w:tr w:rsidR="00ED2A39" w:rsidRPr="00013472" w14:paraId="0716C5BE"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4D6170BC"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MCL</w:t>
            </w:r>
          </w:p>
        </w:tc>
        <w:tc>
          <w:tcPr>
            <w:tcW w:w="478" w:type="pct"/>
            <w:tcBorders>
              <w:top w:val="nil"/>
              <w:bottom w:val="nil"/>
            </w:tcBorders>
            <w:shd w:val="clear" w:color="auto" w:fill="D9D9D9" w:themeFill="background1" w:themeFillShade="D9"/>
          </w:tcPr>
          <w:p w14:paraId="2E2EBA8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51B7C6C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1250CCE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40D19E3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44B0B90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4AB7B2E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04568AC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0571B609"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0FACCE83" w14:textId="7620E80D"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737B2BD0" w14:textId="435321B5"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r w:rsidR="00F61586" w:rsidRPr="00013472">
              <w:rPr>
                <w:rFonts w:ascii="Calibri" w:hAnsi="Calibri"/>
                <w:color w:val="000000"/>
                <w:sz w:val="16"/>
                <w:szCs w:val="16"/>
                <w:lang w:val="en-US"/>
              </w:rPr>
              <w:t xml:space="preserve"> (22)</w:t>
            </w:r>
          </w:p>
        </w:tc>
        <w:tc>
          <w:tcPr>
            <w:tcW w:w="421" w:type="pct"/>
            <w:tcBorders>
              <w:top w:val="nil"/>
              <w:bottom w:val="nil"/>
            </w:tcBorders>
          </w:tcPr>
          <w:p w14:paraId="574CBB8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78" w:type="pct"/>
            <w:tcBorders>
              <w:top w:val="nil"/>
              <w:bottom w:val="nil"/>
            </w:tcBorders>
          </w:tcPr>
          <w:p w14:paraId="35C40D21" w14:textId="437A48CB"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w:t>
            </w:r>
            <w:r w:rsidR="00F61586" w:rsidRPr="00013472">
              <w:rPr>
                <w:rFonts w:ascii="Calibri" w:hAnsi="Calibri"/>
                <w:color w:val="000000"/>
                <w:sz w:val="16"/>
                <w:szCs w:val="16"/>
                <w:lang w:val="en-US"/>
              </w:rPr>
              <w:t xml:space="preserve"> (12)</w:t>
            </w:r>
          </w:p>
        </w:tc>
        <w:tc>
          <w:tcPr>
            <w:tcW w:w="536" w:type="pct"/>
            <w:tcBorders>
              <w:top w:val="nil"/>
              <w:bottom w:val="nil"/>
            </w:tcBorders>
          </w:tcPr>
          <w:p w14:paraId="3D387CF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3B1EB844" w14:textId="6740FEC2"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F61586" w:rsidRPr="00013472">
              <w:rPr>
                <w:rFonts w:ascii="Calibri" w:hAnsi="Calibri"/>
                <w:color w:val="000000"/>
                <w:sz w:val="16"/>
                <w:szCs w:val="16"/>
                <w:lang w:val="en-US"/>
              </w:rPr>
              <w:t xml:space="preserve"> (7)</w:t>
            </w:r>
          </w:p>
        </w:tc>
        <w:tc>
          <w:tcPr>
            <w:tcW w:w="421" w:type="pct"/>
            <w:tcBorders>
              <w:top w:val="nil"/>
              <w:bottom w:val="nil"/>
            </w:tcBorders>
          </w:tcPr>
          <w:p w14:paraId="248FECC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93" w:type="pct"/>
            <w:tcBorders>
              <w:top w:val="nil"/>
              <w:bottom w:val="nil"/>
              <w:right w:val="single" w:sz="4" w:space="0" w:color="auto"/>
            </w:tcBorders>
          </w:tcPr>
          <w:p w14:paraId="407C8E73" w14:textId="5CE811F2"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w:t>
            </w:r>
            <w:r w:rsidR="00F61586" w:rsidRPr="00013472">
              <w:rPr>
                <w:rFonts w:ascii="Calibri" w:hAnsi="Calibri"/>
                <w:color w:val="000000"/>
                <w:sz w:val="16"/>
                <w:szCs w:val="16"/>
                <w:lang w:val="en-US"/>
              </w:rPr>
              <w:t xml:space="preserve"> (7)</w:t>
            </w:r>
          </w:p>
        </w:tc>
      </w:tr>
      <w:tr w:rsidR="00ED2A39" w:rsidRPr="00013472" w14:paraId="02BC90E0"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76612C17" w14:textId="7D0CC548"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08E570B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70</w:t>
            </w:r>
          </w:p>
        </w:tc>
        <w:tc>
          <w:tcPr>
            <w:tcW w:w="421" w:type="pct"/>
            <w:tcBorders>
              <w:top w:val="nil"/>
              <w:bottom w:val="nil"/>
            </w:tcBorders>
          </w:tcPr>
          <w:p w14:paraId="652291D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7A42ECF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70</w:t>
            </w:r>
          </w:p>
        </w:tc>
        <w:tc>
          <w:tcPr>
            <w:tcW w:w="536" w:type="pct"/>
            <w:tcBorders>
              <w:top w:val="nil"/>
              <w:bottom w:val="nil"/>
            </w:tcBorders>
          </w:tcPr>
          <w:p w14:paraId="748A324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74B7803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77</w:t>
            </w:r>
          </w:p>
        </w:tc>
        <w:tc>
          <w:tcPr>
            <w:tcW w:w="421" w:type="pct"/>
            <w:tcBorders>
              <w:top w:val="nil"/>
              <w:bottom w:val="nil"/>
            </w:tcBorders>
          </w:tcPr>
          <w:p w14:paraId="3EBEC7A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37FD128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70</w:t>
            </w:r>
          </w:p>
        </w:tc>
      </w:tr>
      <w:tr w:rsidR="00ED2A39" w:rsidRPr="00013472" w14:paraId="3A182B8B"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170E8DF6"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2468CCC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6:4</w:t>
            </w:r>
          </w:p>
        </w:tc>
        <w:tc>
          <w:tcPr>
            <w:tcW w:w="421" w:type="pct"/>
            <w:tcBorders>
              <w:top w:val="nil"/>
              <w:bottom w:val="nil"/>
            </w:tcBorders>
          </w:tcPr>
          <w:p w14:paraId="6384671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6974198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2:4</w:t>
            </w:r>
          </w:p>
        </w:tc>
        <w:tc>
          <w:tcPr>
            <w:tcW w:w="536" w:type="pct"/>
            <w:tcBorders>
              <w:top w:val="nil"/>
              <w:bottom w:val="nil"/>
            </w:tcBorders>
          </w:tcPr>
          <w:p w14:paraId="2603212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611BFDA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0:1</w:t>
            </w:r>
          </w:p>
        </w:tc>
        <w:tc>
          <w:tcPr>
            <w:tcW w:w="421" w:type="pct"/>
            <w:tcBorders>
              <w:top w:val="nil"/>
              <w:bottom w:val="nil"/>
            </w:tcBorders>
          </w:tcPr>
          <w:p w14:paraId="09DFE99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6E11C0A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8:9</w:t>
            </w:r>
          </w:p>
        </w:tc>
      </w:tr>
      <w:tr w:rsidR="00ED2A39" w:rsidRPr="00013472" w14:paraId="5266FF21"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4C4B56ED"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SLL/CLL</w:t>
            </w:r>
          </w:p>
        </w:tc>
        <w:tc>
          <w:tcPr>
            <w:tcW w:w="478" w:type="pct"/>
            <w:tcBorders>
              <w:top w:val="nil"/>
              <w:bottom w:val="nil"/>
            </w:tcBorders>
            <w:shd w:val="clear" w:color="auto" w:fill="D9D9D9" w:themeFill="background1" w:themeFillShade="D9"/>
          </w:tcPr>
          <w:p w14:paraId="01529D5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596BB56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141B083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6C17C69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672AF5D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7626D2C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4A70548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0CDD2B7D"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54567126" w14:textId="4921796F"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133FA8AE" w14:textId="1BD84193"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w:t>
            </w:r>
            <w:r w:rsidR="007902A8" w:rsidRPr="00013472">
              <w:rPr>
                <w:rFonts w:ascii="Calibri" w:hAnsi="Calibri"/>
                <w:color w:val="000000"/>
                <w:sz w:val="16"/>
                <w:szCs w:val="16"/>
                <w:lang w:val="en-US"/>
              </w:rPr>
              <w:t xml:space="preserve"> (7)</w:t>
            </w:r>
          </w:p>
        </w:tc>
        <w:tc>
          <w:tcPr>
            <w:tcW w:w="421" w:type="pct"/>
            <w:tcBorders>
              <w:top w:val="nil"/>
              <w:bottom w:val="nil"/>
            </w:tcBorders>
          </w:tcPr>
          <w:p w14:paraId="0C36E7F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78" w:type="pct"/>
            <w:tcBorders>
              <w:top w:val="nil"/>
              <w:bottom w:val="nil"/>
            </w:tcBorders>
          </w:tcPr>
          <w:p w14:paraId="316CBC0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36" w:type="pct"/>
            <w:tcBorders>
              <w:top w:val="nil"/>
              <w:bottom w:val="nil"/>
            </w:tcBorders>
          </w:tcPr>
          <w:p w14:paraId="33762A3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573E595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0DF75FB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93" w:type="pct"/>
            <w:tcBorders>
              <w:top w:val="nil"/>
              <w:bottom w:val="nil"/>
              <w:right w:val="single" w:sz="4" w:space="0" w:color="auto"/>
            </w:tcBorders>
          </w:tcPr>
          <w:p w14:paraId="6620A169" w14:textId="4E05660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w:t>
            </w:r>
            <w:r w:rsidR="00F61586" w:rsidRPr="00013472">
              <w:rPr>
                <w:rFonts w:ascii="Calibri" w:hAnsi="Calibri"/>
                <w:color w:val="000000"/>
                <w:sz w:val="16"/>
                <w:szCs w:val="16"/>
                <w:lang w:val="en-US"/>
              </w:rPr>
              <w:t xml:space="preserve"> (1)</w:t>
            </w:r>
          </w:p>
        </w:tc>
      </w:tr>
      <w:tr w:rsidR="00ED2A39" w:rsidRPr="00013472" w14:paraId="1ABDCB93"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1BDA14EF" w14:textId="6DF95450"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1861C2F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68</w:t>
            </w:r>
          </w:p>
        </w:tc>
        <w:tc>
          <w:tcPr>
            <w:tcW w:w="421" w:type="pct"/>
            <w:tcBorders>
              <w:top w:val="nil"/>
              <w:bottom w:val="nil"/>
            </w:tcBorders>
          </w:tcPr>
          <w:p w14:paraId="7981ECD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08674C1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7DDF0ED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7149D51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388135D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4FFC3D0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68</w:t>
            </w:r>
          </w:p>
        </w:tc>
      </w:tr>
      <w:tr w:rsidR="00ED2A39" w:rsidRPr="00013472" w14:paraId="63FFDC04"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7E37894F"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339BA3C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w:t>
            </w:r>
          </w:p>
        </w:tc>
        <w:tc>
          <w:tcPr>
            <w:tcW w:w="421" w:type="pct"/>
            <w:tcBorders>
              <w:top w:val="nil"/>
              <w:bottom w:val="nil"/>
            </w:tcBorders>
          </w:tcPr>
          <w:p w14:paraId="74E6910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4C55EEC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17B5A48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2E769CC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176932D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39CF626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w:t>
            </w:r>
          </w:p>
        </w:tc>
      </w:tr>
      <w:tr w:rsidR="00ED2A39" w:rsidRPr="00013472" w14:paraId="5F834DB3"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69A87F49" w14:textId="77777777" w:rsidR="00ED2A39" w:rsidRPr="00013472" w:rsidRDefault="00ED2A39" w:rsidP="00ED2A39">
            <w:pPr>
              <w:rPr>
                <w:rFonts w:ascii="Calibri" w:hAnsi="Calibri"/>
                <w:color w:val="000000"/>
                <w:sz w:val="16"/>
                <w:szCs w:val="16"/>
                <w:lang w:val="en-US"/>
              </w:rPr>
            </w:pPr>
            <w:r w:rsidRPr="00013472">
              <w:rPr>
                <w:rFonts w:ascii="Calibri" w:hAnsi="Calibri"/>
                <w:color w:val="000000"/>
                <w:sz w:val="16"/>
                <w:szCs w:val="16"/>
                <w:lang w:val="en-US"/>
              </w:rPr>
              <w:t>BL</w:t>
            </w:r>
          </w:p>
        </w:tc>
        <w:tc>
          <w:tcPr>
            <w:tcW w:w="478" w:type="pct"/>
            <w:tcBorders>
              <w:top w:val="nil"/>
              <w:bottom w:val="nil"/>
            </w:tcBorders>
            <w:shd w:val="clear" w:color="auto" w:fill="D9D9D9" w:themeFill="background1" w:themeFillShade="D9"/>
          </w:tcPr>
          <w:p w14:paraId="0027FAB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18C95D1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000476A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464890D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68EA09B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7582A6D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304844C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30B8DB33"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4B48A9D6" w14:textId="3C89588B"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3DA8607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7F899A6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78" w:type="pct"/>
            <w:tcBorders>
              <w:top w:val="nil"/>
              <w:bottom w:val="nil"/>
            </w:tcBorders>
          </w:tcPr>
          <w:p w14:paraId="5CF483A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36" w:type="pct"/>
            <w:tcBorders>
              <w:top w:val="nil"/>
              <w:bottom w:val="nil"/>
            </w:tcBorders>
          </w:tcPr>
          <w:p w14:paraId="2B6CA193" w14:textId="61DEF2AB"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F61586" w:rsidRPr="00013472">
              <w:rPr>
                <w:rFonts w:ascii="Calibri" w:hAnsi="Calibri"/>
                <w:color w:val="000000"/>
                <w:sz w:val="16"/>
                <w:szCs w:val="16"/>
                <w:lang w:val="en-US"/>
              </w:rPr>
              <w:t xml:space="preserve"> (7)</w:t>
            </w:r>
          </w:p>
        </w:tc>
        <w:tc>
          <w:tcPr>
            <w:tcW w:w="421" w:type="pct"/>
            <w:tcBorders>
              <w:top w:val="nil"/>
              <w:bottom w:val="nil"/>
            </w:tcBorders>
          </w:tcPr>
          <w:p w14:paraId="017F4572" w14:textId="2E546DED"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F61586" w:rsidRPr="00013472">
              <w:rPr>
                <w:rFonts w:ascii="Calibri" w:hAnsi="Calibri"/>
                <w:color w:val="000000"/>
                <w:sz w:val="16"/>
                <w:szCs w:val="16"/>
                <w:lang w:val="en-US"/>
              </w:rPr>
              <w:t xml:space="preserve"> (1)</w:t>
            </w:r>
          </w:p>
        </w:tc>
        <w:tc>
          <w:tcPr>
            <w:tcW w:w="421" w:type="pct"/>
            <w:tcBorders>
              <w:top w:val="nil"/>
              <w:bottom w:val="nil"/>
            </w:tcBorders>
          </w:tcPr>
          <w:p w14:paraId="0A97CD0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93" w:type="pct"/>
            <w:tcBorders>
              <w:top w:val="nil"/>
              <w:bottom w:val="nil"/>
              <w:right w:val="single" w:sz="4" w:space="0" w:color="auto"/>
            </w:tcBorders>
          </w:tcPr>
          <w:p w14:paraId="7CA067BE" w14:textId="4027F0B6"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r w:rsidR="00F61586" w:rsidRPr="00013472">
              <w:rPr>
                <w:rFonts w:ascii="Calibri" w:hAnsi="Calibri"/>
                <w:color w:val="000000"/>
                <w:sz w:val="16"/>
                <w:szCs w:val="16"/>
                <w:lang w:val="en-US"/>
              </w:rPr>
              <w:t xml:space="preserve"> (1)</w:t>
            </w:r>
          </w:p>
        </w:tc>
      </w:tr>
      <w:tr w:rsidR="00ED2A39" w:rsidRPr="00013472" w14:paraId="277EAE5A"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3EBDF670" w14:textId="11247654"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18A4086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67E2DF2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0597106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0F5C9B8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w:t>
            </w:r>
          </w:p>
        </w:tc>
        <w:tc>
          <w:tcPr>
            <w:tcW w:w="421" w:type="pct"/>
            <w:tcBorders>
              <w:top w:val="nil"/>
              <w:bottom w:val="nil"/>
            </w:tcBorders>
          </w:tcPr>
          <w:p w14:paraId="6EC763A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21</w:t>
            </w:r>
          </w:p>
        </w:tc>
        <w:tc>
          <w:tcPr>
            <w:tcW w:w="421" w:type="pct"/>
            <w:tcBorders>
              <w:top w:val="nil"/>
              <w:bottom w:val="nil"/>
            </w:tcBorders>
          </w:tcPr>
          <w:p w14:paraId="7247072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29EA95B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16,5</w:t>
            </w:r>
          </w:p>
        </w:tc>
      </w:tr>
      <w:tr w:rsidR="00ED2A39" w:rsidRPr="00013472" w14:paraId="7E26AA67"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41F38BDC" w14:textId="77777777"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3749569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138C506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08F6307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67AD973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p>
        </w:tc>
        <w:tc>
          <w:tcPr>
            <w:tcW w:w="421" w:type="pct"/>
            <w:tcBorders>
              <w:top w:val="nil"/>
              <w:bottom w:val="nil"/>
            </w:tcBorders>
          </w:tcPr>
          <w:p w14:paraId="098F51A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0:1</w:t>
            </w:r>
          </w:p>
        </w:tc>
        <w:tc>
          <w:tcPr>
            <w:tcW w:w="421" w:type="pct"/>
            <w:tcBorders>
              <w:top w:val="nil"/>
              <w:bottom w:val="nil"/>
            </w:tcBorders>
          </w:tcPr>
          <w:p w14:paraId="5A3D503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7D3BE75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w:t>
            </w:r>
          </w:p>
        </w:tc>
      </w:tr>
      <w:tr w:rsidR="00ED2A39" w:rsidRPr="00013472" w14:paraId="722263F2"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2C641B71" w14:textId="77777777" w:rsidR="00ED2A39" w:rsidRPr="00013472" w:rsidRDefault="00ED2A39" w:rsidP="00ED2A39">
            <w:pPr>
              <w:rPr>
                <w:rFonts w:ascii="Calibri" w:hAnsi="Calibri"/>
                <w:color w:val="000000"/>
                <w:sz w:val="16"/>
                <w:szCs w:val="16"/>
                <w:lang w:val="en-US"/>
              </w:rPr>
            </w:pPr>
            <w:r w:rsidRPr="00013472">
              <w:rPr>
                <w:rFonts w:ascii="Calibri" w:hAnsi="Calibri"/>
                <w:color w:val="000000"/>
                <w:sz w:val="16"/>
                <w:szCs w:val="16"/>
                <w:lang w:val="en-US"/>
              </w:rPr>
              <w:t>PL</w:t>
            </w:r>
          </w:p>
        </w:tc>
        <w:tc>
          <w:tcPr>
            <w:tcW w:w="478" w:type="pct"/>
            <w:tcBorders>
              <w:top w:val="nil"/>
              <w:bottom w:val="nil"/>
            </w:tcBorders>
            <w:shd w:val="clear" w:color="auto" w:fill="D9D9D9" w:themeFill="background1" w:themeFillShade="D9"/>
          </w:tcPr>
          <w:p w14:paraId="177D98C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485B55F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72FD199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72CB157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7404244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5DF0260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60EFFF4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3CB8744F"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2C612A7C" w14:textId="0CB2DA83"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26A79C5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07262993" w14:textId="7809F07D"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r w:rsidR="00F61586" w:rsidRPr="00013472">
              <w:rPr>
                <w:rFonts w:ascii="Calibri" w:hAnsi="Calibri"/>
                <w:color w:val="000000"/>
                <w:sz w:val="16"/>
                <w:szCs w:val="16"/>
                <w:lang w:val="en-US"/>
              </w:rPr>
              <w:t xml:space="preserve"> (11)</w:t>
            </w:r>
          </w:p>
        </w:tc>
        <w:tc>
          <w:tcPr>
            <w:tcW w:w="478" w:type="pct"/>
            <w:tcBorders>
              <w:top w:val="nil"/>
              <w:bottom w:val="nil"/>
            </w:tcBorders>
          </w:tcPr>
          <w:p w14:paraId="5E15B01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36" w:type="pct"/>
            <w:tcBorders>
              <w:top w:val="nil"/>
              <w:bottom w:val="nil"/>
            </w:tcBorders>
          </w:tcPr>
          <w:p w14:paraId="0110307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652089E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2C57CEC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93" w:type="pct"/>
            <w:tcBorders>
              <w:top w:val="nil"/>
              <w:bottom w:val="nil"/>
              <w:right w:val="single" w:sz="4" w:space="0" w:color="auto"/>
            </w:tcBorders>
          </w:tcPr>
          <w:p w14:paraId="3FA51F8F" w14:textId="310C3794"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r w:rsidR="00F61586" w:rsidRPr="00013472">
              <w:rPr>
                <w:rFonts w:ascii="Calibri" w:hAnsi="Calibri"/>
                <w:color w:val="000000"/>
                <w:sz w:val="16"/>
                <w:szCs w:val="16"/>
                <w:lang w:val="en-US"/>
              </w:rPr>
              <w:t xml:space="preserve"> (1)</w:t>
            </w:r>
          </w:p>
        </w:tc>
      </w:tr>
      <w:tr w:rsidR="00ED2A39" w:rsidRPr="00013472" w14:paraId="693C6AAF"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0B52DFDB" w14:textId="3EDC3255"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0562904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3145C4B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42</w:t>
            </w:r>
          </w:p>
        </w:tc>
        <w:tc>
          <w:tcPr>
            <w:tcW w:w="478" w:type="pct"/>
            <w:tcBorders>
              <w:top w:val="nil"/>
              <w:bottom w:val="nil"/>
            </w:tcBorders>
          </w:tcPr>
          <w:p w14:paraId="5C9880E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6196621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613D87A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1089410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7C91321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42</w:t>
            </w:r>
          </w:p>
        </w:tc>
      </w:tr>
      <w:tr w:rsidR="00ED2A39" w:rsidRPr="00013472" w14:paraId="74080676"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4DD5A7FF" w14:textId="77777777" w:rsidR="00ED2A39" w:rsidRPr="00013472" w:rsidRDefault="00ED2A39" w:rsidP="00ED2A39">
            <w:pPr>
              <w:rPr>
                <w:rFonts w:ascii="Calibri" w:hAnsi="Calibri"/>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189AB51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0222B3F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2:0</w:t>
            </w:r>
          </w:p>
        </w:tc>
        <w:tc>
          <w:tcPr>
            <w:tcW w:w="478" w:type="pct"/>
            <w:tcBorders>
              <w:top w:val="nil"/>
              <w:bottom w:val="nil"/>
            </w:tcBorders>
          </w:tcPr>
          <w:p w14:paraId="085FA8F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58E193C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60EE07E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26B3023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3C67C54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2:0</w:t>
            </w:r>
          </w:p>
        </w:tc>
      </w:tr>
      <w:tr w:rsidR="00ED2A39" w:rsidRPr="00013472" w14:paraId="4CC20709"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72ECDC9E"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LPL</w:t>
            </w:r>
          </w:p>
        </w:tc>
        <w:tc>
          <w:tcPr>
            <w:tcW w:w="478" w:type="pct"/>
            <w:tcBorders>
              <w:top w:val="nil"/>
              <w:bottom w:val="nil"/>
            </w:tcBorders>
            <w:shd w:val="clear" w:color="auto" w:fill="D9D9D9" w:themeFill="background1" w:themeFillShade="D9"/>
          </w:tcPr>
          <w:p w14:paraId="03D88E1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25CECE9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09D9058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65B4B64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60C16CC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7777D85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4BB3D36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1AD0A56E"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4A94BE55" w14:textId="6BD6E854"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4756A975" w14:textId="3EC91EE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F61586" w:rsidRPr="00013472">
              <w:rPr>
                <w:rFonts w:ascii="Calibri" w:hAnsi="Calibri"/>
                <w:color w:val="000000"/>
                <w:sz w:val="16"/>
                <w:szCs w:val="16"/>
                <w:lang w:val="en-US"/>
              </w:rPr>
              <w:t xml:space="preserve"> (2)</w:t>
            </w:r>
          </w:p>
        </w:tc>
        <w:tc>
          <w:tcPr>
            <w:tcW w:w="421" w:type="pct"/>
            <w:tcBorders>
              <w:top w:val="nil"/>
              <w:bottom w:val="nil"/>
            </w:tcBorders>
          </w:tcPr>
          <w:p w14:paraId="62AFBA8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78" w:type="pct"/>
            <w:tcBorders>
              <w:top w:val="nil"/>
              <w:bottom w:val="nil"/>
            </w:tcBorders>
          </w:tcPr>
          <w:p w14:paraId="0A93C2C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36" w:type="pct"/>
            <w:tcBorders>
              <w:top w:val="nil"/>
              <w:bottom w:val="nil"/>
            </w:tcBorders>
          </w:tcPr>
          <w:p w14:paraId="61A34DA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50E74DA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549A997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93" w:type="pct"/>
            <w:tcBorders>
              <w:top w:val="nil"/>
              <w:bottom w:val="nil"/>
              <w:right w:val="single" w:sz="4" w:space="0" w:color="auto"/>
            </w:tcBorders>
          </w:tcPr>
          <w:p w14:paraId="49FD7079" w14:textId="3CBD07A0"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F61586" w:rsidRPr="00013472">
              <w:rPr>
                <w:rFonts w:ascii="Calibri" w:hAnsi="Calibri"/>
                <w:color w:val="000000"/>
                <w:sz w:val="16"/>
                <w:szCs w:val="16"/>
                <w:lang w:val="en-US"/>
              </w:rPr>
              <w:t xml:space="preserve"> (0.5)</w:t>
            </w:r>
          </w:p>
        </w:tc>
      </w:tr>
      <w:tr w:rsidR="00ED2A39" w:rsidRPr="00013472" w14:paraId="166060EF"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51672DC6" w14:textId="2083BB1A"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7E53E35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66</w:t>
            </w:r>
          </w:p>
        </w:tc>
        <w:tc>
          <w:tcPr>
            <w:tcW w:w="421" w:type="pct"/>
            <w:tcBorders>
              <w:top w:val="nil"/>
              <w:bottom w:val="nil"/>
            </w:tcBorders>
          </w:tcPr>
          <w:p w14:paraId="7345555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45E821F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756B79C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372B0BC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097088E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3D418A3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66</w:t>
            </w:r>
          </w:p>
        </w:tc>
      </w:tr>
      <w:tr w:rsidR="00ED2A39" w:rsidRPr="00013472" w14:paraId="656A9A6B"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0A737B75"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0B53E7B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p>
        </w:tc>
        <w:tc>
          <w:tcPr>
            <w:tcW w:w="421" w:type="pct"/>
            <w:tcBorders>
              <w:top w:val="nil"/>
              <w:bottom w:val="nil"/>
            </w:tcBorders>
          </w:tcPr>
          <w:p w14:paraId="2CEBF68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735E27C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7E28219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649D1E6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7AA3539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66C9C3D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p>
        </w:tc>
      </w:tr>
      <w:tr w:rsidR="00ED2A39" w:rsidRPr="00013472" w14:paraId="7BBAB09B"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45B2E51F"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BCL, NOS</w:t>
            </w:r>
          </w:p>
        </w:tc>
        <w:tc>
          <w:tcPr>
            <w:tcW w:w="478" w:type="pct"/>
            <w:tcBorders>
              <w:top w:val="nil"/>
              <w:bottom w:val="nil"/>
            </w:tcBorders>
            <w:shd w:val="clear" w:color="auto" w:fill="D9D9D9" w:themeFill="background1" w:themeFillShade="D9"/>
          </w:tcPr>
          <w:p w14:paraId="7B0C9F7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2E4E83D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15242F9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28416F1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714FC60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1C6C0FD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78A8B87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136C34D7"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44162DCF" w14:textId="2A3267D2"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21E82FA6" w14:textId="2F26986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r w:rsidR="00F61586" w:rsidRPr="00013472">
              <w:rPr>
                <w:rFonts w:ascii="Calibri" w:hAnsi="Calibri"/>
                <w:color w:val="000000"/>
                <w:sz w:val="16"/>
                <w:szCs w:val="16"/>
                <w:lang w:val="en-US"/>
              </w:rPr>
              <w:t xml:space="preserve"> (4)</w:t>
            </w:r>
          </w:p>
        </w:tc>
        <w:tc>
          <w:tcPr>
            <w:tcW w:w="421" w:type="pct"/>
            <w:tcBorders>
              <w:top w:val="nil"/>
              <w:bottom w:val="nil"/>
            </w:tcBorders>
          </w:tcPr>
          <w:p w14:paraId="6378B7CA" w14:textId="0EE45EC0"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F61586" w:rsidRPr="00013472">
              <w:rPr>
                <w:rFonts w:ascii="Calibri" w:hAnsi="Calibri"/>
                <w:color w:val="000000"/>
                <w:sz w:val="16"/>
                <w:szCs w:val="16"/>
                <w:lang w:val="en-US"/>
              </w:rPr>
              <w:t xml:space="preserve"> (5)</w:t>
            </w:r>
          </w:p>
        </w:tc>
        <w:tc>
          <w:tcPr>
            <w:tcW w:w="478" w:type="pct"/>
            <w:tcBorders>
              <w:top w:val="nil"/>
              <w:bottom w:val="nil"/>
            </w:tcBorders>
          </w:tcPr>
          <w:p w14:paraId="292F9AF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36" w:type="pct"/>
            <w:tcBorders>
              <w:top w:val="nil"/>
              <w:bottom w:val="nil"/>
            </w:tcBorders>
          </w:tcPr>
          <w:p w14:paraId="22590D16" w14:textId="6A13B70D"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r w:rsidR="00F61586" w:rsidRPr="00013472">
              <w:rPr>
                <w:rFonts w:ascii="Calibri" w:hAnsi="Calibri"/>
                <w:color w:val="000000"/>
                <w:sz w:val="16"/>
                <w:szCs w:val="16"/>
                <w:lang w:val="en-US"/>
              </w:rPr>
              <w:t xml:space="preserve"> (1)</w:t>
            </w:r>
          </w:p>
        </w:tc>
        <w:tc>
          <w:tcPr>
            <w:tcW w:w="421" w:type="pct"/>
            <w:tcBorders>
              <w:top w:val="nil"/>
              <w:bottom w:val="nil"/>
            </w:tcBorders>
          </w:tcPr>
          <w:p w14:paraId="4D57DB8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3E8DE8B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93" w:type="pct"/>
            <w:tcBorders>
              <w:top w:val="nil"/>
              <w:bottom w:val="nil"/>
              <w:right w:val="single" w:sz="4" w:space="0" w:color="auto"/>
            </w:tcBorders>
          </w:tcPr>
          <w:p w14:paraId="65268FEC" w14:textId="3ADA5D51"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w:t>
            </w:r>
            <w:r w:rsidR="00F61586" w:rsidRPr="00013472">
              <w:rPr>
                <w:rFonts w:ascii="Calibri" w:hAnsi="Calibri"/>
                <w:color w:val="000000"/>
                <w:sz w:val="16"/>
                <w:szCs w:val="16"/>
                <w:lang w:val="en-US"/>
              </w:rPr>
              <w:t xml:space="preserve"> (2)</w:t>
            </w:r>
          </w:p>
        </w:tc>
      </w:tr>
      <w:tr w:rsidR="00ED2A39" w:rsidRPr="00013472" w14:paraId="14B423CA"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3933E95B" w14:textId="78AD8E36"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178C2C5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59</w:t>
            </w:r>
          </w:p>
        </w:tc>
        <w:tc>
          <w:tcPr>
            <w:tcW w:w="421" w:type="pct"/>
            <w:tcBorders>
              <w:top w:val="nil"/>
              <w:bottom w:val="nil"/>
            </w:tcBorders>
          </w:tcPr>
          <w:p w14:paraId="778CD43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44</w:t>
            </w:r>
          </w:p>
        </w:tc>
        <w:tc>
          <w:tcPr>
            <w:tcW w:w="478" w:type="pct"/>
            <w:tcBorders>
              <w:top w:val="nil"/>
              <w:bottom w:val="nil"/>
            </w:tcBorders>
          </w:tcPr>
          <w:p w14:paraId="70B7774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4967214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27</w:t>
            </w:r>
          </w:p>
        </w:tc>
        <w:tc>
          <w:tcPr>
            <w:tcW w:w="421" w:type="pct"/>
            <w:tcBorders>
              <w:top w:val="nil"/>
              <w:bottom w:val="nil"/>
            </w:tcBorders>
          </w:tcPr>
          <w:p w14:paraId="147475D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52D972C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7B15F71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50</w:t>
            </w:r>
          </w:p>
        </w:tc>
      </w:tr>
      <w:tr w:rsidR="00ED2A39" w:rsidRPr="00013472" w14:paraId="01E9B16D"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5DCDC357"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nil"/>
            </w:tcBorders>
          </w:tcPr>
          <w:p w14:paraId="39CBBAF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0:2</w:t>
            </w:r>
          </w:p>
        </w:tc>
        <w:tc>
          <w:tcPr>
            <w:tcW w:w="421" w:type="pct"/>
            <w:tcBorders>
              <w:top w:val="nil"/>
              <w:bottom w:val="nil"/>
            </w:tcBorders>
          </w:tcPr>
          <w:p w14:paraId="57D0982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p>
        </w:tc>
        <w:tc>
          <w:tcPr>
            <w:tcW w:w="478" w:type="pct"/>
            <w:tcBorders>
              <w:top w:val="nil"/>
              <w:bottom w:val="nil"/>
            </w:tcBorders>
          </w:tcPr>
          <w:p w14:paraId="786AFF9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3BDD213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0:1</w:t>
            </w:r>
          </w:p>
        </w:tc>
        <w:tc>
          <w:tcPr>
            <w:tcW w:w="421" w:type="pct"/>
            <w:tcBorders>
              <w:top w:val="nil"/>
              <w:bottom w:val="nil"/>
            </w:tcBorders>
          </w:tcPr>
          <w:p w14:paraId="2D51476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222DFCC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5946885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w:t>
            </w:r>
          </w:p>
        </w:tc>
      </w:tr>
      <w:tr w:rsidR="00ED2A39" w:rsidRPr="00013472" w14:paraId="0FBB1DF4"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BFBFBF" w:themeFill="background1" w:themeFillShade="BF"/>
          </w:tcPr>
          <w:p w14:paraId="7D485612"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T-Cell Lymphomas</w:t>
            </w:r>
          </w:p>
        </w:tc>
        <w:tc>
          <w:tcPr>
            <w:tcW w:w="478" w:type="pct"/>
            <w:tcBorders>
              <w:top w:val="nil"/>
              <w:bottom w:val="nil"/>
            </w:tcBorders>
            <w:shd w:val="clear" w:color="auto" w:fill="BFBFBF" w:themeFill="background1" w:themeFillShade="BF"/>
          </w:tcPr>
          <w:p w14:paraId="5B1AE89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BFBFBF" w:themeFill="background1" w:themeFillShade="BF"/>
          </w:tcPr>
          <w:p w14:paraId="32593FD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BFBFBF" w:themeFill="background1" w:themeFillShade="BF"/>
          </w:tcPr>
          <w:p w14:paraId="24F41A2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BFBFBF" w:themeFill="background1" w:themeFillShade="BF"/>
          </w:tcPr>
          <w:p w14:paraId="439B9F8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BFBFBF" w:themeFill="background1" w:themeFillShade="BF"/>
          </w:tcPr>
          <w:p w14:paraId="4444170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BFBFBF" w:themeFill="background1" w:themeFillShade="BF"/>
          </w:tcPr>
          <w:p w14:paraId="0334FDC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BFBFBF" w:themeFill="background1" w:themeFillShade="BF"/>
          </w:tcPr>
          <w:p w14:paraId="22F7992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0C9B52F9"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shd w:val="clear" w:color="auto" w:fill="D9D9D9" w:themeFill="background1" w:themeFillShade="D9"/>
          </w:tcPr>
          <w:p w14:paraId="1878C746" w14:textId="77777777" w:rsidR="00ED2A39" w:rsidRPr="00013472" w:rsidRDefault="00ED2A39" w:rsidP="00ED2A39">
            <w:pPr>
              <w:rPr>
                <w:rFonts w:ascii="Calibri" w:hAnsi="Calibri"/>
                <w:b w:val="0"/>
                <w:bCs w:val="0"/>
                <w:color w:val="000000"/>
                <w:sz w:val="16"/>
                <w:szCs w:val="16"/>
                <w:lang w:val="en-US"/>
              </w:rPr>
            </w:pPr>
            <w:r w:rsidRPr="00013472">
              <w:rPr>
                <w:rFonts w:ascii="Calibri" w:hAnsi="Calibri"/>
                <w:color w:val="000000"/>
                <w:sz w:val="16"/>
                <w:szCs w:val="16"/>
                <w:lang w:val="en-US"/>
              </w:rPr>
              <w:t>PTCL, NOS</w:t>
            </w:r>
          </w:p>
        </w:tc>
        <w:tc>
          <w:tcPr>
            <w:tcW w:w="478" w:type="pct"/>
            <w:tcBorders>
              <w:top w:val="nil"/>
              <w:bottom w:val="nil"/>
            </w:tcBorders>
            <w:shd w:val="clear" w:color="auto" w:fill="D9D9D9" w:themeFill="background1" w:themeFillShade="D9"/>
          </w:tcPr>
          <w:p w14:paraId="6C8193A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420A7BF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478" w:type="pct"/>
            <w:tcBorders>
              <w:top w:val="nil"/>
              <w:bottom w:val="nil"/>
            </w:tcBorders>
            <w:shd w:val="clear" w:color="auto" w:fill="D9D9D9" w:themeFill="background1" w:themeFillShade="D9"/>
          </w:tcPr>
          <w:p w14:paraId="27423D7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536" w:type="pct"/>
            <w:tcBorders>
              <w:top w:val="nil"/>
              <w:bottom w:val="nil"/>
            </w:tcBorders>
            <w:shd w:val="clear" w:color="auto" w:fill="D9D9D9" w:themeFill="background1" w:themeFillShade="D9"/>
          </w:tcPr>
          <w:p w14:paraId="333C174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2355E8F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421" w:type="pct"/>
            <w:tcBorders>
              <w:top w:val="nil"/>
              <w:bottom w:val="nil"/>
            </w:tcBorders>
            <w:shd w:val="clear" w:color="auto" w:fill="D9D9D9" w:themeFill="background1" w:themeFillShade="D9"/>
          </w:tcPr>
          <w:p w14:paraId="31D7345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593" w:type="pct"/>
            <w:tcBorders>
              <w:top w:val="nil"/>
              <w:bottom w:val="nil"/>
              <w:right w:val="single" w:sz="4" w:space="0" w:color="auto"/>
            </w:tcBorders>
            <w:shd w:val="clear" w:color="auto" w:fill="D9D9D9" w:themeFill="background1" w:themeFillShade="D9"/>
          </w:tcPr>
          <w:p w14:paraId="27FF6A3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r>
      <w:tr w:rsidR="00ED2A39" w:rsidRPr="00013472" w14:paraId="7E551B27"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3DCABF66" w14:textId="3BC7F143"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No. of patients</w:t>
            </w:r>
            <w:r w:rsidR="007902A8" w:rsidRPr="00013472">
              <w:rPr>
                <w:rFonts w:ascii="Calibri" w:hAnsi="Calibri"/>
                <w:b w:val="0"/>
                <w:color w:val="000000"/>
                <w:sz w:val="16"/>
                <w:szCs w:val="16"/>
                <w:lang w:val="en-US"/>
              </w:rPr>
              <w:t xml:space="preserve"> </w:t>
            </w:r>
            <w:r w:rsidR="004A4910" w:rsidRPr="00013472">
              <w:rPr>
                <w:rFonts w:ascii="Calibri" w:hAnsi="Calibri"/>
                <w:b w:val="0"/>
                <w:color w:val="000000"/>
                <w:sz w:val="16"/>
                <w:szCs w:val="16"/>
                <w:lang w:val="en-US"/>
              </w:rPr>
              <w:t xml:space="preserve">(% within </w:t>
            </w:r>
            <w:proofErr w:type="spellStart"/>
            <w:r w:rsidR="004A4910" w:rsidRPr="00013472">
              <w:rPr>
                <w:rFonts w:ascii="Calibri" w:hAnsi="Calibri"/>
                <w:b w:val="0"/>
                <w:color w:val="000000"/>
                <w:sz w:val="16"/>
                <w:szCs w:val="16"/>
                <w:lang w:val="en-US"/>
              </w:rPr>
              <w:t>center</w:t>
            </w:r>
            <w:r w:rsidR="004A4910" w:rsidRPr="00013472">
              <w:rPr>
                <w:rFonts w:ascii="Calibri" w:hAnsi="Calibri"/>
                <w:b w:val="0"/>
                <w:color w:val="000000"/>
                <w:sz w:val="16"/>
                <w:szCs w:val="16"/>
                <w:vertAlign w:val="superscript"/>
                <w:lang w:val="en-US"/>
              </w:rPr>
              <w:t>b</w:t>
            </w:r>
            <w:proofErr w:type="spellEnd"/>
            <w:r w:rsidR="004A4910" w:rsidRPr="00013472">
              <w:rPr>
                <w:rFonts w:ascii="Calibri" w:hAnsi="Calibri"/>
                <w:b w:val="0"/>
                <w:color w:val="000000"/>
                <w:sz w:val="16"/>
                <w:szCs w:val="16"/>
                <w:lang w:val="en-US"/>
              </w:rPr>
              <w:t>)</w:t>
            </w:r>
          </w:p>
        </w:tc>
        <w:tc>
          <w:tcPr>
            <w:tcW w:w="478" w:type="pct"/>
            <w:tcBorders>
              <w:top w:val="nil"/>
              <w:bottom w:val="nil"/>
            </w:tcBorders>
          </w:tcPr>
          <w:p w14:paraId="261D749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530E71B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78" w:type="pct"/>
            <w:tcBorders>
              <w:top w:val="nil"/>
              <w:bottom w:val="nil"/>
            </w:tcBorders>
          </w:tcPr>
          <w:p w14:paraId="6C2E31E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36" w:type="pct"/>
            <w:tcBorders>
              <w:top w:val="nil"/>
              <w:bottom w:val="nil"/>
            </w:tcBorders>
          </w:tcPr>
          <w:p w14:paraId="433E623C" w14:textId="11625C9F"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r w:rsidR="00F61586" w:rsidRPr="00013472">
              <w:rPr>
                <w:rFonts w:ascii="Calibri" w:hAnsi="Calibri"/>
                <w:color w:val="000000"/>
                <w:sz w:val="16"/>
                <w:szCs w:val="16"/>
                <w:lang w:val="en-US"/>
              </w:rPr>
              <w:t xml:space="preserve"> (2)</w:t>
            </w:r>
          </w:p>
        </w:tc>
        <w:tc>
          <w:tcPr>
            <w:tcW w:w="421" w:type="pct"/>
            <w:tcBorders>
              <w:top w:val="nil"/>
              <w:bottom w:val="nil"/>
            </w:tcBorders>
          </w:tcPr>
          <w:p w14:paraId="4B4B6B7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421" w:type="pct"/>
            <w:tcBorders>
              <w:top w:val="nil"/>
              <w:bottom w:val="nil"/>
            </w:tcBorders>
          </w:tcPr>
          <w:p w14:paraId="2767967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593" w:type="pct"/>
            <w:tcBorders>
              <w:top w:val="nil"/>
              <w:bottom w:val="nil"/>
              <w:right w:val="single" w:sz="4" w:space="0" w:color="auto"/>
            </w:tcBorders>
          </w:tcPr>
          <w:p w14:paraId="4C0531D2" w14:textId="663ABE3F"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r w:rsidR="00F61586" w:rsidRPr="00013472">
              <w:rPr>
                <w:rFonts w:ascii="Calibri" w:hAnsi="Calibri"/>
                <w:color w:val="000000"/>
                <w:sz w:val="16"/>
                <w:szCs w:val="16"/>
                <w:lang w:val="en-US"/>
              </w:rPr>
              <w:t xml:space="preserve"> (1)</w:t>
            </w:r>
          </w:p>
        </w:tc>
      </w:tr>
      <w:tr w:rsidR="00ED2A39" w:rsidRPr="00013472" w14:paraId="4EE37784" w14:textId="77777777" w:rsidTr="00F61586">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nil"/>
            </w:tcBorders>
          </w:tcPr>
          <w:p w14:paraId="21FFAD84" w14:textId="3535AF8B"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Median age, y</w:t>
            </w:r>
            <w:r w:rsidR="009A2843" w:rsidRPr="00013472">
              <w:rPr>
                <w:rFonts w:ascii="Calibri" w:hAnsi="Calibri"/>
                <w:b w:val="0"/>
                <w:color w:val="000000"/>
                <w:sz w:val="16"/>
                <w:szCs w:val="16"/>
                <w:lang w:val="en-US"/>
              </w:rPr>
              <w:t>ears</w:t>
            </w:r>
          </w:p>
        </w:tc>
        <w:tc>
          <w:tcPr>
            <w:tcW w:w="478" w:type="pct"/>
            <w:tcBorders>
              <w:top w:val="nil"/>
              <w:bottom w:val="nil"/>
            </w:tcBorders>
          </w:tcPr>
          <w:p w14:paraId="68B06EA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5391E45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nil"/>
            </w:tcBorders>
          </w:tcPr>
          <w:p w14:paraId="1EF2D2F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nil"/>
            </w:tcBorders>
          </w:tcPr>
          <w:p w14:paraId="649478B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34</w:t>
            </w:r>
          </w:p>
        </w:tc>
        <w:tc>
          <w:tcPr>
            <w:tcW w:w="421" w:type="pct"/>
            <w:tcBorders>
              <w:top w:val="nil"/>
              <w:bottom w:val="nil"/>
            </w:tcBorders>
          </w:tcPr>
          <w:p w14:paraId="2EE7F1A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nil"/>
            </w:tcBorders>
          </w:tcPr>
          <w:p w14:paraId="132E601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nil"/>
              <w:right w:val="single" w:sz="4" w:space="0" w:color="auto"/>
            </w:tcBorders>
          </w:tcPr>
          <w:p w14:paraId="75295D0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34</w:t>
            </w:r>
          </w:p>
        </w:tc>
      </w:tr>
      <w:tr w:rsidR="00ED2A39" w:rsidRPr="00013472" w14:paraId="4B165F98" w14:textId="77777777" w:rsidTr="00F6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Borders>
              <w:top w:val="nil"/>
              <w:left w:val="single" w:sz="4" w:space="0" w:color="auto"/>
              <w:bottom w:val="single" w:sz="4" w:space="0" w:color="auto"/>
            </w:tcBorders>
          </w:tcPr>
          <w:p w14:paraId="076CDAFF"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Male-to-female ratio</w:t>
            </w:r>
          </w:p>
        </w:tc>
        <w:tc>
          <w:tcPr>
            <w:tcW w:w="478" w:type="pct"/>
            <w:tcBorders>
              <w:top w:val="nil"/>
              <w:bottom w:val="single" w:sz="4" w:space="0" w:color="auto"/>
            </w:tcBorders>
          </w:tcPr>
          <w:p w14:paraId="761A2C8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single" w:sz="4" w:space="0" w:color="auto"/>
            </w:tcBorders>
          </w:tcPr>
          <w:p w14:paraId="652AD9E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78" w:type="pct"/>
            <w:tcBorders>
              <w:top w:val="nil"/>
              <w:bottom w:val="single" w:sz="4" w:space="0" w:color="auto"/>
            </w:tcBorders>
          </w:tcPr>
          <w:p w14:paraId="37F59EC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36" w:type="pct"/>
            <w:tcBorders>
              <w:top w:val="nil"/>
              <w:bottom w:val="single" w:sz="4" w:space="0" w:color="auto"/>
            </w:tcBorders>
          </w:tcPr>
          <w:p w14:paraId="64D8EC7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2:0</w:t>
            </w:r>
          </w:p>
        </w:tc>
        <w:tc>
          <w:tcPr>
            <w:tcW w:w="421" w:type="pct"/>
            <w:tcBorders>
              <w:top w:val="nil"/>
              <w:bottom w:val="single" w:sz="4" w:space="0" w:color="auto"/>
            </w:tcBorders>
          </w:tcPr>
          <w:p w14:paraId="70F3951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421" w:type="pct"/>
            <w:tcBorders>
              <w:top w:val="nil"/>
              <w:bottom w:val="single" w:sz="4" w:space="0" w:color="auto"/>
            </w:tcBorders>
          </w:tcPr>
          <w:p w14:paraId="4BAAD49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593" w:type="pct"/>
            <w:tcBorders>
              <w:top w:val="nil"/>
              <w:bottom w:val="single" w:sz="4" w:space="0" w:color="auto"/>
              <w:right w:val="single" w:sz="4" w:space="0" w:color="auto"/>
            </w:tcBorders>
          </w:tcPr>
          <w:p w14:paraId="73A9906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2:0</w:t>
            </w:r>
          </w:p>
        </w:tc>
      </w:tr>
    </w:tbl>
    <w:p w14:paraId="167BFB04" w14:textId="77777777" w:rsidR="00ED2A39" w:rsidRPr="00013472" w:rsidRDefault="00ED2A39" w:rsidP="002234C1">
      <w:pPr>
        <w:spacing w:line="480" w:lineRule="auto"/>
        <w:rPr>
          <w:lang w:val="en-US"/>
        </w:rPr>
      </w:pPr>
    </w:p>
    <w:p w14:paraId="18444006" w14:textId="268B7DB8" w:rsidR="00ED2A39" w:rsidRPr="00013472" w:rsidRDefault="00ED2A39" w:rsidP="002234C1">
      <w:pPr>
        <w:spacing w:line="480" w:lineRule="auto"/>
        <w:rPr>
          <w:lang w:val="en-US"/>
        </w:rPr>
      </w:pPr>
      <w:r w:rsidRPr="00013472">
        <w:rPr>
          <w:lang w:val="en-US"/>
        </w:rPr>
        <w:br w:type="page"/>
      </w:r>
    </w:p>
    <w:p w14:paraId="5A6B43DB" w14:textId="77777777" w:rsidR="00ED2A39" w:rsidRPr="00013472" w:rsidRDefault="00ED2A39" w:rsidP="002234C1">
      <w:pPr>
        <w:spacing w:line="480" w:lineRule="auto"/>
        <w:rPr>
          <w:lang w:val="en-US"/>
        </w:rPr>
        <w:sectPr w:rsidR="00ED2A39" w:rsidRPr="00013472" w:rsidSect="00ED2A39">
          <w:type w:val="continuous"/>
          <w:pgSz w:w="11900" w:h="16840"/>
          <w:pgMar w:top="1701" w:right="1134" w:bottom="1701" w:left="1134" w:header="708" w:footer="708" w:gutter="0"/>
          <w:cols w:space="708"/>
          <w:docGrid w:linePitch="360"/>
        </w:sectPr>
      </w:pPr>
    </w:p>
    <w:tbl>
      <w:tblPr>
        <w:tblStyle w:val="LightList"/>
        <w:tblW w:w="15276" w:type="dxa"/>
        <w:tblLayout w:type="fixed"/>
        <w:tblLook w:val="04A0" w:firstRow="1" w:lastRow="0" w:firstColumn="1" w:lastColumn="0" w:noHBand="0" w:noVBand="1"/>
      </w:tblPr>
      <w:tblGrid>
        <w:gridCol w:w="2387"/>
        <w:gridCol w:w="1080"/>
        <w:gridCol w:w="1080"/>
        <w:gridCol w:w="1080"/>
        <w:gridCol w:w="1080"/>
        <w:gridCol w:w="1080"/>
        <w:gridCol w:w="1080"/>
        <w:gridCol w:w="1080"/>
        <w:gridCol w:w="1080"/>
        <w:gridCol w:w="1080"/>
        <w:gridCol w:w="967"/>
        <w:gridCol w:w="237"/>
        <w:gridCol w:w="1965"/>
      </w:tblGrid>
      <w:tr w:rsidR="00A43EA4" w:rsidRPr="00013472" w14:paraId="5477DBA2" w14:textId="77777777" w:rsidTr="00A43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6" w:type="dxa"/>
            <w:gridSpan w:val="13"/>
            <w:tcBorders>
              <w:right w:val="single" w:sz="4" w:space="0" w:color="auto"/>
            </w:tcBorders>
            <w:shd w:val="clear" w:color="auto" w:fill="auto"/>
          </w:tcPr>
          <w:p w14:paraId="3C70F51B" w14:textId="77777777" w:rsidR="00A43EA4" w:rsidRPr="00013472" w:rsidRDefault="00A43EA4" w:rsidP="00ED2A39">
            <w:pPr>
              <w:rPr>
                <w:rFonts w:ascii="Calibri" w:hAnsi="Calibri"/>
                <w:b w:val="0"/>
                <w:bCs w:val="0"/>
                <w:color w:val="auto"/>
                <w:sz w:val="16"/>
                <w:szCs w:val="16"/>
                <w:vertAlign w:val="superscript"/>
                <w:lang w:val="en-US"/>
              </w:rPr>
            </w:pPr>
            <w:r w:rsidRPr="00013472">
              <w:rPr>
                <w:rFonts w:ascii="Calibri" w:hAnsi="Calibri"/>
                <w:color w:val="auto"/>
                <w:sz w:val="16"/>
                <w:szCs w:val="16"/>
                <w:lang w:val="en-US"/>
              </w:rPr>
              <w:lastRenderedPageBreak/>
              <w:t xml:space="preserve">Table 2. Clinical and Staging Characteristics of Patients by Subtype of Lacrimal Gland </w:t>
            </w:r>
            <w:proofErr w:type="spellStart"/>
            <w:r w:rsidRPr="00013472">
              <w:rPr>
                <w:rFonts w:ascii="Calibri" w:hAnsi="Calibri"/>
                <w:color w:val="auto"/>
                <w:sz w:val="16"/>
                <w:szCs w:val="16"/>
                <w:lang w:val="en-US"/>
              </w:rPr>
              <w:t>Lymphoma</w:t>
            </w:r>
            <w:r w:rsidRPr="00013472">
              <w:rPr>
                <w:rFonts w:ascii="Calibri" w:hAnsi="Calibri"/>
                <w:color w:val="auto"/>
                <w:sz w:val="16"/>
                <w:szCs w:val="16"/>
                <w:vertAlign w:val="superscript"/>
                <w:lang w:val="en-US"/>
              </w:rPr>
              <w:t>a</w:t>
            </w:r>
            <w:proofErr w:type="spellEnd"/>
          </w:p>
        </w:tc>
      </w:tr>
      <w:tr w:rsidR="00ED2A39" w:rsidRPr="00013472" w14:paraId="464317C0"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vMerge w:val="restart"/>
          </w:tcPr>
          <w:p w14:paraId="1531B2FE" w14:textId="77777777" w:rsidR="00ED2A39" w:rsidRPr="00013472" w:rsidRDefault="00ED2A39" w:rsidP="00ED2A39">
            <w:pPr>
              <w:rPr>
                <w:rFonts w:ascii="Calibri" w:hAnsi="Calibri"/>
                <w:color w:val="000000"/>
                <w:sz w:val="16"/>
                <w:szCs w:val="16"/>
                <w:lang w:val="en-US"/>
              </w:rPr>
            </w:pPr>
          </w:p>
          <w:p w14:paraId="2EAC6549" w14:textId="77777777" w:rsidR="00ED2A39" w:rsidRPr="00013472" w:rsidRDefault="00ED2A39" w:rsidP="00ED2A39">
            <w:pPr>
              <w:rPr>
                <w:sz w:val="16"/>
                <w:szCs w:val="16"/>
                <w:lang w:val="en-US"/>
              </w:rPr>
            </w:pPr>
          </w:p>
        </w:tc>
        <w:tc>
          <w:tcPr>
            <w:tcW w:w="1080" w:type="dxa"/>
            <w:tcBorders>
              <w:top w:val="single" w:sz="4" w:space="0" w:color="auto"/>
              <w:bottom w:val="nil"/>
            </w:tcBorders>
          </w:tcPr>
          <w:p w14:paraId="26B65F0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6"/>
                <w:szCs w:val="16"/>
                <w:lang w:val="en-US"/>
              </w:rPr>
            </w:pPr>
          </w:p>
        </w:tc>
        <w:tc>
          <w:tcPr>
            <w:tcW w:w="9607" w:type="dxa"/>
            <w:gridSpan w:val="9"/>
          </w:tcPr>
          <w:p w14:paraId="3D68BAF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B-cell lymphoma No. (%)</w:t>
            </w:r>
            <w:r w:rsidRPr="00013472">
              <w:rPr>
                <w:rFonts w:ascii="Calibri" w:hAnsi="Calibri"/>
                <w:b/>
                <w:bCs/>
                <w:color w:val="000000"/>
                <w:sz w:val="16"/>
                <w:szCs w:val="16"/>
                <w:vertAlign w:val="superscript"/>
                <w:lang w:val="en-US"/>
              </w:rPr>
              <w:t>b</w:t>
            </w:r>
          </w:p>
        </w:tc>
        <w:tc>
          <w:tcPr>
            <w:tcW w:w="2202" w:type="dxa"/>
            <w:gridSpan w:val="2"/>
            <w:tcBorders>
              <w:right w:val="single" w:sz="4" w:space="0" w:color="auto"/>
            </w:tcBorders>
          </w:tcPr>
          <w:p w14:paraId="75D9F96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T-cell lymphoma No. (%)</w:t>
            </w:r>
          </w:p>
        </w:tc>
      </w:tr>
      <w:tr w:rsidR="00ED2A39" w:rsidRPr="00013472" w14:paraId="19426043" w14:textId="77777777" w:rsidTr="009A2843">
        <w:trPr>
          <w:trHeight w:val="781"/>
        </w:trPr>
        <w:tc>
          <w:tcPr>
            <w:cnfStyle w:val="001000000000" w:firstRow="0" w:lastRow="0" w:firstColumn="1" w:lastColumn="0" w:oddVBand="0" w:evenVBand="0" w:oddHBand="0" w:evenHBand="0" w:firstRowFirstColumn="0" w:firstRowLastColumn="0" w:lastRowFirstColumn="0" w:lastRowLastColumn="0"/>
            <w:tcW w:w="2387" w:type="dxa"/>
            <w:vMerge/>
            <w:tcBorders>
              <w:bottom w:val="single" w:sz="4" w:space="0" w:color="auto"/>
            </w:tcBorders>
          </w:tcPr>
          <w:p w14:paraId="16F3077B" w14:textId="77777777" w:rsidR="00ED2A39" w:rsidRPr="00013472" w:rsidRDefault="00ED2A39" w:rsidP="00ED2A39">
            <w:pPr>
              <w:rPr>
                <w:sz w:val="16"/>
                <w:szCs w:val="16"/>
                <w:lang w:val="en-US"/>
              </w:rPr>
            </w:pPr>
          </w:p>
        </w:tc>
        <w:tc>
          <w:tcPr>
            <w:tcW w:w="1080" w:type="dxa"/>
            <w:tcBorders>
              <w:bottom w:val="single" w:sz="4" w:space="0" w:color="auto"/>
            </w:tcBorders>
          </w:tcPr>
          <w:p w14:paraId="0472AE4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All</w:t>
            </w:r>
          </w:p>
          <w:p w14:paraId="3E94EDA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261</w:t>
            </w:r>
          </w:p>
          <w:p w14:paraId="726CFB6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w:t>
            </w:r>
          </w:p>
        </w:tc>
        <w:tc>
          <w:tcPr>
            <w:tcW w:w="1080" w:type="dxa"/>
            <w:tcBorders>
              <w:bottom w:val="single" w:sz="4" w:space="0" w:color="auto"/>
            </w:tcBorders>
          </w:tcPr>
          <w:p w14:paraId="59F6587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EMZL</w:t>
            </w:r>
          </w:p>
          <w:p w14:paraId="5AABCAC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178</w:t>
            </w:r>
          </w:p>
          <w:p w14:paraId="0B8F2B6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(68)</w:t>
            </w:r>
          </w:p>
        </w:tc>
        <w:tc>
          <w:tcPr>
            <w:tcW w:w="1080" w:type="dxa"/>
            <w:tcBorders>
              <w:bottom w:val="single" w:sz="4" w:space="0" w:color="auto"/>
            </w:tcBorders>
          </w:tcPr>
          <w:p w14:paraId="0E81ED7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FL</w:t>
            </w:r>
          </w:p>
          <w:p w14:paraId="297F7AD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26</w:t>
            </w:r>
          </w:p>
          <w:p w14:paraId="1A97918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p>
        </w:tc>
        <w:tc>
          <w:tcPr>
            <w:tcW w:w="1080" w:type="dxa"/>
            <w:tcBorders>
              <w:bottom w:val="single" w:sz="4" w:space="0" w:color="auto"/>
            </w:tcBorders>
          </w:tcPr>
          <w:p w14:paraId="43B777B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DLBCL</w:t>
            </w:r>
          </w:p>
          <w:p w14:paraId="707932E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26</w:t>
            </w:r>
          </w:p>
          <w:p w14:paraId="74A285F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p>
        </w:tc>
        <w:tc>
          <w:tcPr>
            <w:tcW w:w="1080" w:type="dxa"/>
            <w:tcBorders>
              <w:bottom w:val="single" w:sz="4" w:space="0" w:color="auto"/>
            </w:tcBorders>
          </w:tcPr>
          <w:p w14:paraId="19F9F12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MCL</w:t>
            </w:r>
          </w:p>
          <w:p w14:paraId="24A452D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17</w:t>
            </w:r>
          </w:p>
          <w:p w14:paraId="4F0A990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w:t>
            </w:r>
          </w:p>
        </w:tc>
        <w:tc>
          <w:tcPr>
            <w:tcW w:w="1080" w:type="dxa"/>
            <w:tcBorders>
              <w:bottom w:val="single" w:sz="4" w:space="0" w:color="auto"/>
            </w:tcBorders>
          </w:tcPr>
          <w:p w14:paraId="649DB81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SLL/CLL</w:t>
            </w:r>
          </w:p>
          <w:p w14:paraId="11AB878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3</w:t>
            </w:r>
          </w:p>
          <w:p w14:paraId="7C7AD24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p>
        </w:tc>
        <w:tc>
          <w:tcPr>
            <w:tcW w:w="1080" w:type="dxa"/>
            <w:tcBorders>
              <w:bottom w:val="single" w:sz="4" w:space="0" w:color="auto"/>
            </w:tcBorders>
          </w:tcPr>
          <w:p w14:paraId="0EE0F8C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BL</w:t>
            </w:r>
          </w:p>
          <w:p w14:paraId="67B3E8B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2</w:t>
            </w:r>
          </w:p>
          <w:p w14:paraId="7BF498B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p>
        </w:tc>
        <w:tc>
          <w:tcPr>
            <w:tcW w:w="1080" w:type="dxa"/>
            <w:tcBorders>
              <w:bottom w:val="single" w:sz="4" w:space="0" w:color="auto"/>
            </w:tcBorders>
          </w:tcPr>
          <w:p w14:paraId="719285B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PL</w:t>
            </w:r>
          </w:p>
          <w:p w14:paraId="1D204EA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2</w:t>
            </w:r>
          </w:p>
          <w:p w14:paraId="7B75B3F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p>
        </w:tc>
        <w:tc>
          <w:tcPr>
            <w:tcW w:w="1080" w:type="dxa"/>
            <w:tcBorders>
              <w:bottom w:val="single" w:sz="4" w:space="0" w:color="auto"/>
            </w:tcBorders>
          </w:tcPr>
          <w:p w14:paraId="6D868C2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LPL</w:t>
            </w:r>
          </w:p>
          <w:p w14:paraId="5DBCC56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N= 1 </w:t>
            </w:r>
          </w:p>
          <w:p w14:paraId="2DEE1AF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(0.4)</w:t>
            </w:r>
          </w:p>
        </w:tc>
        <w:tc>
          <w:tcPr>
            <w:tcW w:w="967" w:type="dxa"/>
            <w:tcBorders>
              <w:bottom w:val="single" w:sz="4" w:space="0" w:color="auto"/>
            </w:tcBorders>
          </w:tcPr>
          <w:p w14:paraId="228E77E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 xml:space="preserve">BCL-NOS </w:t>
            </w:r>
          </w:p>
          <w:p w14:paraId="4E9B063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4</w:t>
            </w:r>
          </w:p>
          <w:p w14:paraId="2C4ABE1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p>
        </w:tc>
        <w:tc>
          <w:tcPr>
            <w:tcW w:w="237" w:type="dxa"/>
            <w:vMerge w:val="restart"/>
            <w:tcBorders>
              <w:bottom w:val="single" w:sz="4" w:space="0" w:color="auto"/>
            </w:tcBorders>
          </w:tcPr>
          <w:p w14:paraId="4A6AEB64" w14:textId="77777777" w:rsidR="00ED2A39" w:rsidRPr="00013472" w:rsidRDefault="00ED2A39" w:rsidP="009A2843">
            <w:pPr>
              <w:ind w:right="-82"/>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bottom w:val="single" w:sz="4" w:space="0" w:color="auto"/>
              <w:right w:val="single" w:sz="4" w:space="0" w:color="auto"/>
            </w:tcBorders>
          </w:tcPr>
          <w:p w14:paraId="02D54B4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 xml:space="preserve">PTCL-NOS </w:t>
            </w:r>
          </w:p>
          <w:p w14:paraId="4BB57E2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 2</w:t>
            </w:r>
          </w:p>
          <w:p w14:paraId="0CB5106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p>
        </w:tc>
      </w:tr>
      <w:tr w:rsidR="009A2843" w:rsidRPr="00013472" w14:paraId="78E2B96F"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2273A9F5" w14:textId="77777777" w:rsidR="009A2843" w:rsidRPr="00013472" w:rsidRDefault="009A2843" w:rsidP="00ED2A39">
            <w:pPr>
              <w:rPr>
                <w:rFonts w:ascii="Calibri" w:hAnsi="Calibri"/>
                <w:color w:val="000000"/>
                <w:sz w:val="16"/>
                <w:szCs w:val="16"/>
                <w:lang w:val="en-US"/>
              </w:rPr>
            </w:pPr>
            <w:r w:rsidRPr="00013472">
              <w:rPr>
                <w:rFonts w:ascii="Calibri" w:hAnsi="Calibri"/>
                <w:color w:val="000000"/>
                <w:sz w:val="16"/>
                <w:szCs w:val="16"/>
                <w:lang w:val="en-US"/>
              </w:rPr>
              <w:t>Sex</w:t>
            </w:r>
          </w:p>
        </w:tc>
        <w:tc>
          <w:tcPr>
            <w:tcW w:w="1080" w:type="dxa"/>
            <w:tcBorders>
              <w:top w:val="single" w:sz="4" w:space="0" w:color="auto"/>
              <w:bottom w:val="nil"/>
            </w:tcBorders>
            <w:shd w:val="clear" w:color="auto" w:fill="D9D9D9" w:themeFill="background1" w:themeFillShade="D9"/>
          </w:tcPr>
          <w:p w14:paraId="4A4BD7A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A9CC54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B48598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19F871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00EE25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660DDAA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C8B0C1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D5BC81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518E0B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2672BB8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37" w:type="dxa"/>
            <w:vMerge/>
            <w:tcBorders>
              <w:top w:val="nil"/>
              <w:bottom w:val="nil"/>
            </w:tcBorders>
            <w:shd w:val="clear" w:color="auto" w:fill="D9D9D9" w:themeFill="background1" w:themeFillShade="D9"/>
          </w:tcPr>
          <w:p w14:paraId="1A920AF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shd w:val="clear" w:color="auto" w:fill="D9D9D9" w:themeFill="background1" w:themeFillShade="D9"/>
          </w:tcPr>
          <w:p w14:paraId="6FBB20B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9A2843" w:rsidRPr="00013472" w14:paraId="1078AFCD"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2CF0D6EE"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Men</w:t>
            </w:r>
          </w:p>
        </w:tc>
        <w:tc>
          <w:tcPr>
            <w:tcW w:w="1080" w:type="dxa"/>
            <w:tcBorders>
              <w:top w:val="nil"/>
              <w:bottom w:val="nil"/>
            </w:tcBorders>
          </w:tcPr>
          <w:p w14:paraId="2E7228D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137 (52)</w:t>
            </w:r>
          </w:p>
        </w:tc>
        <w:tc>
          <w:tcPr>
            <w:tcW w:w="1080" w:type="dxa"/>
            <w:tcBorders>
              <w:top w:val="nil"/>
              <w:bottom w:val="nil"/>
            </w:tcBorders>
          </w:tcPr>
          <w:p w14:paraId="6C95019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100 (56)</w:t>
            </w:r>
          </w:p>
        </w:tc>
        <w:tc>
          <w:tcPr>
            <w:tcW w:w="1080" w:type="dxa"/>
            <w:tcBorders>
              <w:top w:val="nil"/>
              <w:bottom w:val="nil"/>
            </w:tcBorders>
          </w:tcPr>
          <w:p w14:paraId="2B6BD18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 (38)</w:t>
            </w:r>
          </w:p>
        </w:tc>
        <w:tc>
          <w:tcPr>
            <w:tcW w:w="1080" w:type="dxa"/>
            <w:tcBorders>
              <w:top w:val="nil"/>
              <w:bottom w:val="nil"/>
            </w:tcBorders>
          </w:tcPr>
          <w:p w14:paraId="62512A3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(42)</w:t>
            </w:r>
          </w:p>
        </w:tc>
        <w:tc>
          <w:tcPr>
            <w:tcW w:w="1080" w:type="dxa"/>
            <w:tcBorders>
              <w:top w:val="nil"/>
              <w:bottom w:val="nil"/>
            </w:tcBorders>
          </w:tcPr>
          <w:p w14:paraId="5ECE40F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 (47)</w:t>
            </w:r>
          </w:p>
        </w:tc>
        <w:tc>
          <w:tcPr>
            <w:tcW w:w="1080" w:type="dxa"/>
            <w:tcBorders>
              <w:top w:val="nil"/>
              <w:bottom w:val="nil"/>
            </w:tcBorders>
          </w:tcPr>
          <w:p w14:paraId="299F6FF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1080" w:type="dxa"/>
            <w:tcBorders>
              <w:top w:val="nil"/>
              <w:bottom w:val="nil"/>
            </w:tcBorders>
          </w:tcPr>
          <w:p w14:paraId="64982D7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080" w:type="dxa"/>
            <w:tcBorders>
              <w:top w:val="nil"/>
              <w:bottom w:val="nil"/>
            </w:tcBorders>
          </w:tcPr>
          <w:p w14:paraId="3D148E3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1080" w:type="dxa"/>
            <w:tcBorders>
              <w:top w:val="nil"/>
              <w:bottom w:val="nil"/>
            </w:tcBorders>
          </w:tcPr>
          <w:p w14:paraId="58A17E7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967" w:type="dxa"/>
            <w:tcBorders>
              <w:top w:val="nil"/>
              <w:bottom w:val="nil"/>
            </w:tcBorders>
          </w:tcPr>
          <w:p w14:paraId="467E9AC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(25)</w:t>
            </w:r>
          </w:p>
        </w:tc>
        <w:tc>
          <w:tcPr>
            <w:tcW w:w="237" w:type="dxa"/>
            <w:vMerge/>
            <w:tcBorders>
              <w:top w:val="nil"/>
              <w:bottom w:val="nil"/>
            </w:tcBorders>
          </w:tcPr>
          <w:p w14:paraId="02050A4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1667356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r>
      <w:tr w:rsidR="009A2843" w:rsidRPr="00013472" w14:paraId="3EF94AAE"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00FD0DDD"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Women</w:t>
            </w:r>
          </w:p>
        </w:tc>
        <w:tc>
          <w:tcPr>
            <w:tcW w:w="1080" w:type="dxa"/>
            <w:tcBorders>
              <w:top w:val="nil"/>
              <w:bottom w:val="single" w:sz="4" w:space="0" w:color="auto"/>
            </w:tcBorders>
          </w:tcPr>
          <w:p w14:paraId="0709883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124 (48)</w:t>
            </w:r>
          </w:p>
        </w:tc>
        <w:tc>
          <w:tcPr>
            <w:tcW w:w="1080" w:type="dxa"/>
            <w:tcBorders>
              <w:top w:val="nil"/>
              <w:bottom w:val="single" w:sz="4" w:space="0" w:color="auto"/>
            </w:tcBorders>
          </w:tcPr>
          <w:p w14:paraId="13BB70E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78 (44)</w:t>
            </w:r>
          </w:p>
        </w:tc>
        <w:tc>
          <w:tcPr>
            <w:tcW w:w="1080" w:type="dxa"/>
            <w:tcBorders>
              <w:top w:val="nil"/>
              <w:bottom w:val="single" w:sz="4" w:space="0" w:color="auto"/>
            </w:tcBorders>
          </w:tcPr>
          <w:p w14:paraId="18E7723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 (62)</w:t>
            </w:r>
          </w:p>
        </w:tc>
        <w:tc>
          <w:tcPr>
            <w:tcW w:w="1080" w:type="dxa"/>
            <w:tcBorders>
              <w:top w:val="nil"/>
              <w:bottom w:val="single" w:sz="4" w:space="0" w:color="auto"/>
            </w:tcBorders>
          </w:tcPr>
          <w:p w14:paraId="0214DEA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 (58)</w:t>
            </w:r>
          </w:p>
        </w:tc>
        <w:tc>
          <w:tcPr>
            <w:tcW w:w="1080" w:type="dxa"/>
            <w:tcBorders>
              <w:top w:val="nil"/>
              <w:bottom w:val="single" w:sz="4" w:space="0" w:color="auto"/>
            </w:tcBorders>
          </w:tcPr>
          <w:p w14:paraId="75AEF09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 (53)</w:t>
            </w:r>
          </w:p>
        </w:tc>
        <w:tc>
          <w:tcPr>
            <w:tcW w:w="1080" w:type="dxa"/>
            <w:tcBorders>
              <w:top w:val="nil"/>
              <w:bottom w:val="single" w:sz="4" w:space="0" w:color="auto"/>
            </w:tcBorders>
          </w:tcPr>
          <w:p w14:paraId="534FD3D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1080" w:type="dxa"/>
            <w:tcBorders>
              <w:top w:val="nil"/>
              <w:bottom w:val="single" w:sz="4" w:space="0" w:color="auto"/>
            </w:tcBorders>
          </w:tcPr>
          <w:p w14:paraId="387EBA4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080" w:type="dxa"/>
            <w:tcBorders>
              <w:top w:val="nil"/>
              <w:bottom w:val="single" w:sz="4" w:space="0" w:color="auto"/>
            </w:tcBorders>
          </w:tcPr>
          <w:p w14:paraId="70BDAB4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375FDEE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single" w:sz="4" w:space="0" w:color="auto"/>
            </w:tcBorders>
          </w:tcPr>
          <w:p w14:paraId="73F78C0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(75)</w:t>
            </w:r>
          </w:p>
        </w:tc>
        <w:tc>
          <w:tcPr>
            <w:tcW w:w="237" w:type="dxa"/>
            <w:vMerge/>
            <w:tcBorders>
              <w:top w:val="nil"/>
              <w:bottom w:val="single" w:sz="4" w:space="0" w:color="auto"/>
            </w:tcBorders>
          </w:tcPr>
          <w:p w14:paraId="7AC4AEC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6672036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4C524497"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7CB2BAE4" w14:textId="77777777" w:rsidR="009A2843" w:rsidRPr="00013472" w:rsidRDefault="009A2843" w:rsidP="00ED2A39">
            <w:pPr>
              <w:rPr>
                <w:rFonts w:ascii="Calibri" w:hAnsi="Calibri"/>
                <w:color w:val="000000"/>
                <w:sz w:val="16"/>
                <w:szCs w:val="16"/>
                <w:lang w:val="en-US"/>
              </w:rPr>
            </w:pPr>
            <w:r w:rsidRPr="00013472">
              <w:rPr>
                <w:rFonts w:ascii="Calibri" w:hAnsi="Calibri"/>
                <w:color w:val="000000"/>
                <w:sz w:val="16"/>
                <w:szCs w:val="16"/>
                <w:lang w:val="en-US"/>
              </w:rPr>
              <w:t>Age at presentation</w:t>
            </w:r>
          </w:p>
        </w:tc>
        <w:tc>
          <w:tcPr>
            <w:tcW w:w="1080" w:type="dxa"/>
            <w:tcBorders>
              <w:top w:val="single" w:sz="4" w:space="0" w:color="auto"/>
              <w:bottom w:val="nil"/>
            </w:tcBorders>
            <w:shd w:val="clear" w:color="auto" w:fill="D9D9D9" w:themeFill="background1" w:themeFillShade="D9"/>
          </w:tcPr>
          <w:p w14:paraId="6FB8BA2E" w14:textId="77777777" w:rsidR="009A2843" w:rsidRPr="00013472" w:rsidRDefault="009A2843" w:rsidP="00ED2A39">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1CCB729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3F7084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77048ECF"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4E79C4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4640E9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D91724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FDAE8EF"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6C27076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3054719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37" w:type="dxa"/>
            <w:vMerge/>
            <w:tcBorders>
              <w:top w:val="nil"/>
              <w:bottom w:val="nil"/>
            </w:tcBorders>
            <w:shd w:val="clear" w:color="auto" w:fill="D9D9D9" w:themeFill="background1" w:themeFillShade="D9"/>
          </w:tcPr>
          <w:p w14:paraId="32972A2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shd w:val="clear" w:color="auto" w:fill="D9D9D9" w:themeFill="background1" w:themeFillShade="D9"/>
          </w:tcPr>
          <w:p w14:paraId="6C3870F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r>
      <w:tr w:rsidR="009A2843" w:rsidRPr="00013472" w14:paraId="44B134F8"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0B1E29C1"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 60</w:t>
            </w:r>
          </w:p>
        </w:tc>
        <w:tc>
          <w:tcPr>
            <w:tcW w:w="1080" w:type="dxa"/>
            <w:tcBorders>
              <w:top w:val="nil"/>
              <w:bottom w:val="nil"/>
            </w:tcBorders>
          </w:tcPr>
          <w:p w14:paraId="1F347CE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145 (56)</w:t>
            </w:r>
          </w:p>
        </w:tc>
        <w:tc>
          <w:tcPr>
            <w:tcW w:w="1080" w:type="dxa"/>
            <w:tcBorders>
              <w:top w:val="nil"/>
              <w:bottom w:val="nil"/>
            </w:tcBorders>
          </w:tcPr>
          <w:p w14:paraId="3BA753D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115 (65)</w:t>
            </w:r>
          </w:p>
        </w:tc>
        <w:tc>
          <w:tcPr>
            <w:tcW w:w="1080" w:type="dxa"/>
            <w:tcBorders>
              <w:top w:val="nil"/>
              <w:bottom w:val="nil"/>
            </w:tcBorders>
          </w:tcPr>
          <w:p w14:paraId="1D4887B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 (38)</w:t>
            </w:r>
          </w:p>
        </w:tc>
        <w:tc>
          <w:tcPr>
            <w:tcW w:w="1080" w:type="dxa"/>
            <w:tcBorders>
              <w:top w:val="nil"/>
              <w:bottom w:val="nil"/>
            </w:tcBorders>
          </w:tcPr>
          <w:p w14:paraId="028A85A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 (27)</w:t>
            </w:r>
          </w:p>
        </w:tc>
        <w:tc>
          <w:tcPr>
            <w:tcW w:w="1080" w:type="dxa"/>
            <w:tcBorders>
              <w:top w:val="nil"/>
              <w:bottom w:val="nil"/>
            </w:tcBorders>
          </w:tcPr>
          <w:p w14:paraId="1736A7F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(24)</w:t>
            </w:r>
          </w:p>
        </w:tc>
        <w:tc>
          <w:tcPr>
            <w:tcW w:w="1080" w:type="dxa"/>
            <w:tcBorders>
              <w:top w:val="nil"/>
              <w:bottom w:val="nil"/>
            </w:tcBorders>
          </w:tcPr>
          <w:p w14:paraId="26D6AD7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1080" w:type="dxa"/>
            <w:tcBorders>
              <w:top w:val="nil"/>
              <w:bottom w:val="nil"/>
            </w:tcBorders>
          </w:tcPr>
          <w:p w14:paraId="14C8721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1080" w:type="dxa"/>
            <w:tcBorders>
              <w:top w:val="nil"/>
              <w:bottom w:val="nil"/>
            </w:tcBorders>
          </w:tcPr>
          <w:p w14:paraId="68CD8C0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080" w:type="dxa"/>
            <w:tcBorders>
              <w:top w:val="nil"/>
              <w:bottom w:val="nil"/>
            </w:tcBorders>
          </w:tcPr>
          <w:p w14:paraId="308116A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634EA3B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(75)</w:t>
            </w:r>
          </w:p>
        </w:tc>
        <w:tc>
          <w:tcPr>
            <w:tcW w:w="237" w:type="dxa"/>
            <w:vMerge/>
            <w:tcBorders>
              <w:top w:val="nil"/>
              <w:bottom w:val="nil"/>
            </w:tcBorders>
          </w:tcPr>
          <w:p w14:paraId="5AEA786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701A86C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r>
      <w:tr w:rsidR="009A2843" w:rsidRPr="00013472" w14:paraId="5076674F"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5D49DC3E"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&gt; 60</w:t>
            </w:r>
          </w:p>
        </w:tc>
        <w:tc>
          <w:tcPr>
            <w:tcW w:w="1080" w:type="dxa"/>
            <w:tcBorders>
              <w:top w:val="nil"/>
              <w:bottom w:val="single" w:sz="4" w:space="0" w:color="auto"/>
            </w:tcBorders>
          </w:tcPr>
          <w:p w14:paraId="759321A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116 (44)</w:t>
            </w:r>
          </w:p>
        </w:tc>
        <w:tc>
          <w:tcPr>
            <w:tcW w:w="1080" w:type="dxa"/>
            <w:tcBorders>
              <w:top w:val="nil"/>
              <w:bottom w:val="single" w:sz="4" w:space="0" w:color="auto"/>
            </w:tcBorders>
          </w:tcPr>
          <w:p w14:paraId="287F939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63 (35)</w:t>
            </w:r>
          </w:p>
        </w:tc>
        <w:tc>
          <w:tcPr>
            <w:tcW w:w="1080" w:type="dxa"/>
            <w:tcBorders>
              <w:top w:val="nil"/>
              <w:bottom w:val="single" w:sz="4" w:space="0" w:color="auto"/>
            </w:tcBorders>
          </w:tcPr>
          <w:p w14:paraId="414D9BB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 (62)</w:t>
            </w:r>
          </w:p>
        </w:tc>
        <w:tc>
          <w:tcPr>
            <w:tcW w:w="1080" w:type="dxa"/>
            <w:tcBorders>
              <w:top w:val="nil"/>
              <w:bottom w:val="single" w:sz="4" w:space="0" w:color="auto"/>
            </w:tcBorders>
          </w:tcPr>
          <w:p w14:paraId="595B742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 (73)</w:t>
            </w:r>
          </w:p>
        </w:tc>
        <w:tc>
          <w:tcPr>
            <w:tcW w:w="1080" w:type="dxa"/>
            <w:tcBorders>
              <w:top w:val="nil"/>
              <w:bottom w:val="single" w:sz="4" w:space="0" w:color="auto"/>
            </w:tcBorders>
          </w:tcPr>
          <w:p w14:paraId="2482D5C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(76)</w:t>
            </w:r>
          </w:p>
        </w:tc>
        <w:tc>
          <w:tcPr>
            <w:tcW w:w="1080" w:type="dxa"/>
            <w:tcBorders>
              <w:top w:val="nil"/>
              <w:bottom w:val="single" w:sz="4" w:space="0" w:color="auto"/>
            </w:tcBorders>
          </w:tcPr>
          <w:p w14:paraId="4A4F16B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1080" w:type="dxa"/>
            <w:tcBorders>
              <w:top w:val="nil"/>
              <w:bottom w:val="single" w:sz="4" w:space="0" w:color="auto"/>
            </w:tcBorders>
          </w:tcPr>
          <w:p w14:paraId="57266C6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7818842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080" w:type="dxa"/>
            <w:tcBorders>
              <w:top w:val="nil"/>
              <w:bottom w:val="single" w:sz="4" w:space="0" w:color="auto"/>
            </w:tcBorders>
          </w:tcPr>
          <w:p w14:paraId="5F93A25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967" w:type="dxa"/>
            <w:tcBorders>
              <w:top w:val="nil"/>
              <w:bottom w:val="single" w:sz="4" w:space="0" w:color="auto"/>
            </w:tcBorders>
          </w:tcPr>
          <w:p w14:paraId="3DC8B8E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(25)</w:t>
            </w:r>
          </w:p>
        </w:tc>
        <w:tc>
          <w:tcPr>
            <w:tcW w:w="237" w:type="dxa"/>
            <w:vMerge/>
            <w:tcBorders>
              <w:top w:val="nil"/>
              <w:bottom w:val="single" w:sz="4" w:space="0" w:color="auto"/>
            </w:tcBorders>
          </w:tcPr>
          <w:p w14:paraId="586A5E1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03A79E7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45C66CCC"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6966311E" w14:textId="77777777" w:rsidR="009A2843" w:rsidRPr="00013472" w:rsidRDefault="009A2843" w:rsidP="00ED2A39">
            <w:pPr>
              <w:rPr>
                <w:rFonts w:ascii="Calibri" w:hAnsi="Calibri"/>
                <w:color w:val="000000"/>
                <w:sz w:val="16"/>
                <w:szCs w:val="16"/>
                <w:lang w:val="en-US"/>
              </w:rPr>
            </w:pPr>
            <w:r w:rsidRPr="00013472">
              <w:rPr>
                <w:rFonts w:ascii="Calibri" w:hAnsi="Calibri"/>
                <w:color w:val="000000"/>
                <w:sz w:val="16"/>
                <w:szCs w:val="16"/>
                <w:lang w:val="en-US"/>
              </w:rPr>
              <w:t>Disease group</w:t>
            </w:r>
          </w:p>
        </w:tc>
        <w:tc>
          <w:tcPr>
            <w:tcW w:w="1080" w:type="dxa"/>
            <w:tcBorders>
              <w:top w:val="single" w:sz="4" w:space="0" w:color="auto"/>
              <w:bottom w:val="nil"/>
            </w:tcBorders>
            <w:shd w:val="clear" w:color="auto" w:fill="D9D9D9" w:themeFill="background1" w:themeFillShade="D9"/>
          </w:tcPr>
          <w:p w14:paraId="1077299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6822EB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B47CFB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CF79AA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1F410D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B36053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2728F9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FFB0BF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D07BFF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1D5CB63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37" w:type="dxa"/>
            <w:vMerge/>
            <w:tcBorders>
              <w:top w:val="nil"/>
              <w:bottom w:val="nil"/>
            </w:tcBorders>
            <w:shd w:val="clear" w:color="auto" w:fill="D9D9D9" w:themeFill="background1" w:themeFillShade="D9"/>
          </w:tcPr>
          <w:p w14:paraId="08C6E7A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shd w:val="clear" w:color="auto" w:fill="D9D9D9" w:themeFill="background1" w:themeFillShade="D9"/>
          </w:tcPr>
          <w:p w14:paraId="51B271D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9A2843" w:rsidRPr="00013472" w14:paraId="05491569"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68489537"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Primary disease</w:t>
            </w:r>
          </w:p>
        </w:tc>
        <w:tc>
          <w:tcPr>
            <w:tcW w:w="1080" w:type="dxa"/>
            <w:tcBorders>
              <w:top w:val="nil"/>
              <w:bottom w:val="nil"/>
            </w:tcBorders>
          </w:tcPr>
          <w:p w14:paraId="4391474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183/259 (71)</w:t>
            </w:r>
          </w:p>
        </w:tc>
        <w:tc>
          <w:tcPr>
            <w:tcW w:w="1080" w:type="dxa"/>
            <w:tcBorders>
              <w:top w:val="nil"/>
              <w:bottom w:val="nil"/>
            </w:tcBorders>
          </w:tcPr>
          <w:p w14:paraId="3768690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147/177 (83)</w:t>
            </w:r>
          </w:p>
        </w:tc>
        <w:tc>
          <w:tcPr>
            <w:tcW w:w="1080" w:type="dxa"/>
            <w:tcBorders>
              <w:top w:val="nil"/>
              <w:bottom w:val="nil"/>
            </w:tcBorders>
          </w:tcPr>
          <w:p w14:paraId="3B9108A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11/26 (42)</w:t>
            </w:r>
          </w:p>
        </w:tc>
        <w:tc>
          <w:tcPr>
            <w:tcW w:w="1080" w:type="dxa"/>
            <w:tcBorders>
              <w:top w:val="nil"/>
              <w:bottom w:val="nil"/>
            </w:tcBorders>
          </w:tcPr>
          <w:p w14:paraId="4605DED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15/26 (58)</w:t>
            </w:r>
          </w:p>
        </w:tc>
        <w:tc>
          <w:tcPr>
            <w:tcW w:w="1080" w:type="dxa"/>
            <w:tcBorders>
              <w:top w:val="nil"/>
              <w:bottom w:val="nil"/>
            </w:tcBorders>
          </w:tcPr>
          <w:p w14:paraId="6A428E5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1/16 (6)</w:t>
            </w:r>
          </w:p>
        </w:tc>
        <w:tc>
          <w:tcPr>
            <w:tcW w:w="1080" w:type="dxa"/>
            <w:tcBorders>
              <w:top w:val="nil"/>
              <w:bottom w:val="nil"/>
            </w:tcBorders>
          </w:tcPr>
          <w:p w14:paraId="165C385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(33)</w:t>
            </w:r>
          </w:p>
        </w:tc>
        <w:tc>
          <w:tcPr>
            <w:tcW w:w="1080" w:type="dxa"/>
            <w:tcBorders>
              <w:top w:val="nil"/>
              <w:bottom w:val="nil"/>
            </w:tcBorders>
          </w:tcPr>
          <w:p w14:paraId="6AEB129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 (50)</w:t>
            </w:r>
          </w:p>
        </w:tc>
        <w:tc>
          <w:tcPr>
            <w:tcW w:w="1080" w:type="dxa"/>
            <w:tcBorders>
              <w:top w:val="nil"/>
              <w:bottom w:val="nil"/>
            </w:tcBorders>
          </w:tcPr>
          <w:p w14:paraId="573402C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015BEF8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3F01CAD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4/4 (100)</w:t>
            </w:r>
          </w:p>
        </w:tc>
        <w:tc>
          <w:tcPr>
            <w:tcW w:w="237" w:type="dxa"/>
            <w:vMerge/>
            <w:tcBorders>
              <w:top w:val="nil"/>
              <w:bottom w:val="nil"/>
            </w:tcBorders>
          </w:tcPr>
          <w:p w14:paraId="42CF730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2B7D699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 (50)</w:t>
            </w:r>
          </w:p>
        </w:tc>
      </w:tr>
      <w:tr w:rsidR="009A2843" w:rsidRPr="00013472" w14:paraId="1C6A0E88"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5FC7162A"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Disseminated disease</w:t>
            </w:r>
          </w:p>
        </w:tc>
        <w:tc>
          <w:tcPr>
            <w:tcW w:w="1080" w:type="dxa"/>
            <w:tcBorders>
              <w:top w:val="nil"/>
              <w:bottom w:val="nil"/>
            </w:tcBorders>
          </w:tcPr>
          <w:p w14:paraId="73AA2BD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31/259 (12)</w:t>
            </w:r>
          </w:p>
        </w:tc>
        <w:tc>
          <w:tcPr>
            <w:tcW w:w="1080" w:type="dxa"/>
            <w:tcBorders>
              <w:top w:val="nil"/>
              <w:bottom w:val="nil"/>
            </w:tcBorders>
          </w:tcPr>
          <w:p w14:paraId="6261989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13/177 (7)</w:t>
            </w:r>
          </w:p>
        </w:tc>
        <w:tc>
          <w:tcPr>
            <w:tcW w:w="1080" w:type="dxa"/>
            <w:tcBorders>
              <w:top w:val="nil"/>
              <w:bottom w:val="nil"/>
            </w:tcBorders>
          </w:tcPr>
          <w:p w14:paraId="5528F5C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1/26 (4)</w:t>
            </w:r>
          </w:p>
        </w:tc>
        <w:tc>
          <w:tcPr>
            <w:tcW w:w="1080" w:type="dxa"/>
            <w:tcBorders>
              <w:top w:val="nil"/>
              <w:bottom w:val="nil"/>
            </w:tcBorders>
          </w:tcPr>
          <w:p w14:paraId="1F69FAA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6/26 (23)</w:t>
            </w:r>
          </w:p>
        </w:tc>
        <w:tc>
          <w:tcPr>
            <w:tcW w:w="1080" w:type="dxa"/>
            <w:tcBorders>
              <w:top w:val="nil"/>
              <w:bottom w:val="nil"/>
            </w:tcBorders>
          </w:tcPr>
          <w:p w14:paraId="3FC2DD2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10/16 (63)</w:t>
            </w:r>
          </w:p>
        </w:tc>
        <w:tc>
          <w:tcPr>
            <w:tcW w:w="1080" w:type="dxa"/>
            <w:tcBorders>
              <w:top w:val="nil"/>
              <w:bottom w:val="nil"/>
            </w:tcBorders>
          </w:tcPr>
          <w:p w14:paraId="31ABB36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(33)</w:t>
            </w:r>
          </w:p>
        </w:tc>
        <w:tc>
          <w:tcPr>
            <w:tcW w:w="1080" w:type="dxa"/>
            <w:tcBorders>
              <w:top w:val="nil"/>
              <w:bottom w:val="nil"/>
            </w:tcBorders>
          </w:tcPr>
          <w:p w14:paraId="230E6F2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7BCA105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11E2B5A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415F708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056BDE7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1642D17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0873C0EB"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2BBC4482"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Relapsed disease</w:t>
            </w:r>
          </w:p>
        </w:tc>
        <w:tc>
          <w:tcPr>
            <w:tcW w:w="1080" w:type="dxa"/>
            <w:tcBorders>
              <w:top w:val="nil"/>
              <w:bottom w:val="single" w:sz="4" w:space="0" w:color="auto"/>
            </w:tcBorders>
          </w:tcPr>
          <w:p w14:paraId="709D058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45/259 (17)</w:t>
            </w:r>
          </w:p>
        </w:tc>
        <w:tc>
          <w:tcPr>
            <w:tcW w:w="1080" w:type="dxa"/>
            <w:tcBorders>
              <w:top w:val="nil"/>
              <w:bottom w:val="single" w:sz="4" w:space="0" w:color="auto"/>
            </w:tcBorders>
          </w:tcPr>
          <w:p w14:paraId="52EA88E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17/177 (10)</w:t>
            </w:r>
          </w:p>
        </w:tc>
        <w:tc>
          <w:tcPr>
            <w:tcW w:w="1080" w:type="dxa"/>
            <w:tcBorders>
              <w:top w:val="nil"/>
              <w:bottom w:val="single" w:sz="4" w:space="0" w:color="auto"/>
            </w:tcBorders>
          </w:tcPr>
          <w:p w14:paraId="0A93C77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14/26 (54)</w:t>
            </w:r>
          </w:p>
        </w:tc>
        <w:tc>
          <w:tcPr>
            <w:tcW w:w="1080" w:type="dxa"/>
            <w:tcBorders>
              <w:top w:val="nil"/>
              <w:bottom w:val="single" w:sz="4" w:space="0" w:color="auto"/>
            </w:tcBorders>
          </w:tcPr>
          <w:p w14:paraId="6256D74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5/26 (19)</w:t>
            </w:r>
          </w:p>
        </w:tc>
        <w:tc>
          <w:tcPr>
            <w:tcW w:w="1080" w:type="dxa"/>
            <w:tcBorders>
              <w:top w:val="nil"/>
              <w:bottom w:val="single" w:sz="4" w:space="0" w:color="auto"/>
            </w:tcBorders>
          </w:tcPr>
          <w:p w14:paraId="388D6C2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5/16 (31)</w:t>
            </w:r>
          </w:p>
        </w:tc>
        <w:tc>
          <w:tcPr>
            <w:tcW w:w="1080" w:type="dxa"/>
            <w:tcBorders>
              <w:top w:val="nil"/>
              <w:bottom w:val="single" w:sz="4" w:space="0" w:color="auto"/>
            </w:tcBorders>
          </w:tcPr>
          <w:p w14:paraId="2479DD5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(33)</w:t>
            </w:r>
          </w:p>
        </w:tc>
        <w:tc>
          <w:tcPr>
            <w:tcW w:w="1080" w:type="dxa"/>
            <w:tcBorders>
              <w:top w:val="nil"/>
              <w:bottom w:val="single" w:sz="4" w:space="0" w:color="auto"/>
            </w:tcBorders>
          </w:tcPr>
          <w:p w14:paraId="722D4B0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 (50)</w:t>
            </w:r>
          </w:p>
        </w:tc>
        <w:tc>
          <w:tcPr>
            <w:tcW w:w="1080" w:type="dxa"/>
            <w:tcBorders>
              <w:top w:val="nil"/>
              <w:bottom w:val="single" w:sz="4" w:space="0" w:color="auto"/>
            </w:tcBorders>
          </w:tcPr>
          <w:p w14:paraId="4EA3AE5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78635FE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967" w:type="dxa"/>
            <w:tcBorders>
              <w:top w:val="nil"/>
              <w:bottom w:val="single" w:sz="4" w:space="0" w:color="auto"/>
            </w:tcBorders>
          </w:tcPr>
          <w:p w14:paraId="1763BC4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683B883F"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4EE6D48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 (50)</w:t>
            </w:r>
          </w:p>
        </w:tc>
      </w:tr>
      <w:tr w:rsidR="009A2843" w:rsidRPr="00013472" w14:paraId="003D9000"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5BBCBF9A" w14:textId="77777777" w:rsidR="009A2843" w:rsidRPr="00013472" w:rsidRDefault="009A2843" w:rsidP="00ED2A39">
            <w:pPr>
              <w:rPr>
                <w:rFonts w:ascii="Calibri" w:hAnsi="Calibri"/>
                <w:color w:val="000000"/>
                <w:sz w:val="16"/>
                <w:szCs w:val="16"/>
                <w:lang w:val="en-US"/>
              </w:rPr>
            </w:pPr>
            <w:r w:rsidRPr="00013472">
              <w:rPr>
                <w:rFonts w:ascii="Calibri" w:hAnsi="Calibri"/>
                <w:color w:val="000000"/>
                <w:sz w:val="16"/>
                <w:szCs w:val="16"/>
                <w:lang w:val="en-US"/>
              </w:rPr>
              <w:t>Laterality</w:t>
            </w:r>
          </w:p>
        </w:tc>
        <w:tc>
          <w:tcPr>
            <w:tcW w:w="1080" w:type="dxa"/>
            <w:tcBorders>
              <w:top w:val="single" w:sz="4" w:space="0" w:color="auto"/>
              <w:bottom w:val="nil"/>
            </w:tcBorders>
            <w:shd w:val="clear" w:color="auto" w:fill="D9D9D9" w:themeFill="background1" w:themeFillShade="D9"/>
          </w:tcPr>
          <w:p w14:paraId="730F54A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E3079F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14C3E22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9C7E1D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42EB4C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ED992A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BDAF2A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699B7AB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CBF58A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23B8016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37" w:type="dxa"/>
            <w:vMerge/>
            <w:tcBorders>
              <w:top w:val="nil"/>
              <w:bottom w:val="nil"/>
            </w:tcBorders>
            <w:shd w:val="clear" w:color="auto" w:fill="D9D9D9" w:themeFill="background1" w:themeFillShade="D9"/>
          </w:tcPr>
          <w:p w14:paraId="651A183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single" w:sz="4" w:space="0" w:color="auto"/>
              <w:bottom w:val="nil"/>
              <w:right w:val="single" w:sz="4" w:space="0" w:color="auto"/>
            </w:tcBorders>
            <w:shd w:val="clear" w:color="auto" w:fill="D9D9D9" w:themeFill="background1" w:themeFillShade="D9"/>
          </w:tcPr>
          <w:p w14:paraId="351EF8D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9A2843" w:rsidRPr="00013472" w14:paraId="476D3F0D"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54CA0A71"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Unilateral</w:t>
            </w:r>
          </w:p>
        </w:tc>
        <w:tc>
          <w:tcPr>
            <w:tcW w:w="1080" w:type="dxa"/>
            <w:tcBorders>
              <w:top w:val="nil"/>
              <w:bottom w:val="nil"/>
            </w:tcBorders>
          </w:tcPr>
          <w:p w14:paraId="65FF84F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228/261 (87)</w:t>
            </w:r>
          </w:p>
        </w:tc>
        <w:tc>
          <w:tcPr>
            <w:tcW w:w="1080" w:type="dxa"/>
            <w:tcBorders>
              <w:top w:val="nil"/>
              <w:bottom w:val="nil"/>
            </w:tcBorders>
          </w:tcPr>
          <w:p w14:paraId="169CDFE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161/178 (90)</w:t>
            </w:r>
          </w:p>
        </w:tc>
        <w:tc>
          <w:tcPr>
            <w:tcW w:w="1080" w:type="dxa"/>
            <w:tcBorders>
              <w:top w:val="nil"/>
              <w:bottom w:val="nil"/>
            </w:tcBorders>
          </w:tcPr>
          <w:p w14:paraId="1B45A70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19/26 (73)</w:t>
            </w:r>
          </w:p>
        </w:tc>
        <w:tc>
          <w:tcPr>
            <w:tcW w:w="1080" w:type="dxa"/>
            <w:tcBorders>
              <w:top w:val="nil"/>
              <w:bottom w:val="nil"/>
            </w:tcBorders>
          </w:tcPr>
          <w:p w14:paraId="5A24E39F"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24/26 (92)</w:t>
            </w:r>
          </w:p>
        </w:tc>
        <w:tc>
          <w:tcPr>
            <w:tcW w:w="1080" w:type="dxa"/>
            <w:tcBorders>
              <w:top w:val="nil"/>
              <w:bottom w:val="nil"/>
            </w:tcBorders>
          </w:tcPr>
          <w:p w14:paraId="543D3A2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11/17 (65)</w:t>
            </w:r>
          </w:p>
        </w:tc>
        <w:tc>
          <w:tcPr>
            <w:tcW w:w="1080" w:type="dxa"/>
            <w:tcBorders>
              <w:top w:val="nil"/>
              <w:bottom w:val="nil"/>
            </w:tcBorders>
          </w:tcPr>
          <w:p w14:paraId="4BEDD45F"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3/3 (100)</w:t>
            </w:r>
          </w:p>
        </w:tc>
        <w:tc>
          <w:tcPr>
            <w:tcW w:w="1080" w:type="dxa"/>
            <w:tcBorders>
              <w:top w:val="nil"/>
              <w:bottom w:val="nil"/>
            </w:tcBorders>
          </w:tcPr>
          <w:p w14:paraId="7DF91C4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58BF7D0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452B70B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2E8F34A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4/4 (100)</w:t>
            </w:r>
          </w:p>
        </w:tc>
        <w:tc>
          <w:tcPr>
            <w:tcW w:w="237" w:type="dxa"/>
            <w:vMerge/>
            <w:tcBorders>
              <w:top w:val="nil"/>
              <w:bottom w:val="nil"/>
            </w:tcBorders>
          </w:tcPr>
          <w:p w14:paraId="46E2E7C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09E23DE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r>
      <w:tr w:rsidR="009A2843" w:rsidRPr="00013472" w14:paraId="768924F2"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4518ACCA" w14:textId="77777777" w:rsidR="009A2843" w:rsidRPr="00013472" w:rsidRDefault="009A2843" w:rsidP="00ED2A39">
            <w:pPr>
              <w:rPr>
                <w:rFonts w:ascii="Calibri" w:hAnsi="Calibri"/>
                <w:b w:val="0"/>
                <w:bCs w:val="0"/>
                <w:color w:val="000000"/>
                <w:sz w:val="16"/>
                <w:szCs w:val="16"/>
                <w:lang w:val="en-US"/>
              </w:rPr>
            </w:pPr>
            <w:r w:rsidRPr="00013472">
              <w:rPr>
                <w:rFonts w:ascii="Calibri" w:hAnsi="Calibri"/>
                <w:b w:val="0"/>
                <w:bCs w:val="0"/>
                <w:color w:val="000000"/>
                <w:sz w:val="16"/>
                <w:szCs w:val="16"/>
                <w:lang w:val="en-US"/>
              </w:rPr>
              <w:t>Bilateral</w:t>
            </w:r>
          </w:p>
        </w:tc>
        <w:tc>
          <w:tcPr>
            <w:tcW w:w="1080" w:type="dxa"/>
            <w:tcBorders>
              <w:top w:val="nil"/>
              <w:bottom w:val="single" w:sz="4" w:space="0" w:color="auto"/>
            </w:tcBorders>
          </w:tcPr>
          <w:p w14:paraId="5EA99DC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33/261 (13)</w:t>
            </w:r>
          </w:p>
        </w:tc>
        <w:tc>
          <w:tcPr>
            <w:tcW w:w="1080" w:type="dxa"/>
            <w:tcBorders>
              <w:top w:val="nil"/>
              <w:bottom w:val="single" w:sz="4" w:space="0" w:color="auto"/>
            </w:tcBorders>
          </w:tcPr>
          <w:p w14:paraId="2C1666F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17/178 (10)</w:t>
            </w:r>
          </w:p>
        </w:tc>
        <w:tc>
          <w:tcPr>
            <w:tcW w:w="1080" w:type="dxa"/>
            <w:tcBorders>
              <w:top w:val="nil"/>
              <w:bottom w:val="single" w:sz="4" w:space="0" w:color="auto"/>
            </w:tcBorders>
          </w:tcPr>
          <w:p w14:paraId="727991E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7/26 (27)</w:t>
            </w:r>
          </w:p>
        </w:tc>
        <w:tc>
          <w:tcPr>
            <w:tcW w:w="1080" w:type="dxa"/>
            <w:tcBorders>
              <w:top w:val="nil"/>
              <w:bottom w:val="single" w:sz="4" w:space="0" w:color="auto"/>
            </w:tcBorders>
          </w:tcPr>
          <w:p w14:paraId="3CDF729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2/26 (8)</w:t>
            </w:r>
          </w:p>
        </w:tc>
        <w:tc>
          <w:tcPr>
            <w:tcW w:w="1080" w:type="dxa"/>
            <w:tcBorders>
              <w:top w:val="nil"/>
              <w:bottom w:val="single" w:sz="4" w:space="0" w:color="auto"/>
            </w:tcBorders>
          </w:tcPr>
          <w:p w14:paraId="633C91E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6/17 (35)</w:t>
            </w:r>
          </w:p>
        </w:tc>
        <w:tc>
          <w:tcPr>
            <w:tcW w:w="1080" w:type="dxa"/>
            <w:tcBorders>
              <w:top w:val="nil"/>
              <w:bottom w:val="single" w:sz="4" w:space="0" w:color="auto"/>
            </w:tcBorders>
          </w:tcPr>
          <w:p w14:paraId="25B7275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7E6CD9D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30EE17E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3916AF2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967" w:type="dxa"/>
            <w:tcBorders>
              <w:top w:val="nil"/>
              <w:bottom w:val="single" w:sz="4" w:space="0" w:color="auto"/>
            </w:tcBorders>
          </w:tcPr>
          <w:p w14:paraId="3649A57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425E62B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39FE943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33C94133"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065B5ABE" w14:textId="77777777" w:rsidR="009A2843" w:rsidRPr="00013472" w:rsidRDefault="009A2843" w:rsidP="00ED2A39">
            <w:pPr>
              <w:rPr>
                <w:rFonts w:ascii="Calibri" w:hAnsi="Calibri"/>
                <w:bCs w:val="0"/>
                <w:color w:val="000000"/>
                <w:sz w:val="16"/>
                <w:szCs w:val="16"/>
                <w:lang w:val="en-US"/>
              </w:rPr>
            </w:pPr>
            <w:r w:rsidRPr="00013472">
              <w:rPr>
                <w:rFonts w:ascii="Calibri" w:hAnsi="Calibri"/>
                <w:bCs w:val="0"/>
                <w:color w:val="000000"/>
                <w:sz w:val="16"/>
                <w:szCs w:val="16"/>
                <w:lang w:val="en-US"/>
              </w:rPr>
              <w:t>Ann Arbor stage</w:t>
            </w:r>
          </w:p>
        </w:tc>
        <w:tc>
          <w:tcPr>
            <w:tcW w:w="1080" w:type="dxa"/>
            <w:tcBorders>
              <w:top w:val="single" w:sz="4" w:space="0" w:color="auto"/>
              <w:bottom w:val="nil"/>
            </w:tcBorders>
            <w:shd w:val="clear" w:color="auto" w:fill="D9D9D9" w:themeFill="background1" w:themeFillShade="D9"/>
          </w:tcPr>
          <w:p w14:paraId="79B4E43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BA31C5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B832F3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62B7234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6D0390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1D286EC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32F7D3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FE3C9E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0C46BDF"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2A6B072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37" w:type="dxa"/>
            <w:vMerge/>
            <w:tcBorders>
              <w:top w:val="nil"/>
              <w:bottom w:val="nil"/>
            </w:tcBorders>
            <w:shd w:val="clear" w:color="auto" w:fill="D9D9D9" w:themeFill="background1" w:themeFillShade="D9"/>
          </w:tcPr>
          <w:p w14:paraId="66FE456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single" w:sz="4" w:space="0" w:color="auto"/>
              <w:bottom w:val="nil"/>
              <w:right w:val="single" w:sz="4" w:space="0" w:color="auto"/>
            </w:tcBorders>
            <w:shd w:val="clear" w:color="auto" w:fill="D9D9D9" w:themeFill="background1" w:themeFillShade="D9"/>
          </w:tcPr>
          <w:p w14:paraId="43B938E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r>
      <w:tr w:rsidR="009A2843" w:rsidRPr="00013472" w14:paraId="6DC5BAAE"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4AD71359"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IE</w:t>
            </w:r>
          </w:p>
        </w:tc>
        <w:tc>
          <w:tcPr>
            <w:tcW w:w="1080" w:type="dxa"/>
            <w:tcBorders>
              <w:top w:val="nil"/>
              <w:bottom w:val="nil"/>
            </w:tcBorders>
          </w:tcPr>
          <w:p w14:paraId="380E24A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199/253 (79)</w:t>
            </w:r>
          </w:p>
        </w:tc>
        <w:tc>
          <w:tcPr>
            <w:tcW w:w="1080" w:type="dxa"/>
            <w:tcBorders>
              <w:top w:val="nil"/>
              <w:bottom w:val="nil"/>
            </w:tcBorders>
          </w:tcPr>
          <w:p w14:paraId="11A12D6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155/175 (89)</w:t>
            </w:r>
          </w:p>
        </w:tc>
        <w:tc>
          <w:tcPr>
            <w:tcW w:w="1080" w:type="dxa"/>
            <w:tcBorders>
              <w:top w:val="nil"/>
              <w:bottom w:val="nil"/>
            </w:tcBorders>
          </w:tcPr>
          <w:p w14:paraId="6F56AEB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14/23 (61)</w:t>
            </w:r>
          </w:p>
        </w:tc>
        <w:tc>
          <w:tcPr>
            <w:tcW w:w="1080" w:type="dxa"/>
            <w:tcBorders>
              <w:top w:val="nil"/>
              <w:bottom w:val="nil"/>
            </w:tcBorders>
          </w:tcPr>
          <w:p w14:paraId="6B7A73F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17/26 (65)</w:t>
            </w:r>
          </w:p>
        </w:tc>
        <w:tc>
          <w:tcPr>
            <w:tcW w:w="1080" w:type="dxa"/>
            <w:tcBorders>
              <w:top w:val="nil"/>
              <w:bottom w:val="nil"/>
            </w:tcBorders>
          </w:tcPr>
          <w:p w14:paraId="53BF5C0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2/16 (13)</w:t>
            </w:r>
          </w:p>
        </w:tc>
        <w:tc>
          <w:tcPr>
            <w:tcW w:w="1080" w:type="dxa"/>
            <w:tcBorders>
              <w:top w:val="nil"/>
              <w:bottom w:val="nil"/>
            </w:tcBorders>
          </w:tcPr>
          <w:p w14:paraId="6F3AC3F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2/3 (67)</w:t>
            </w:r>
          </w:p>
        </w:tc>
        <w:tc>
          <w:tcPr>
            <w:tcW w:w="1080" w:type="dxa"/>
            <w:tcBorders>
              <w:top w:val="nil"/>
              <w:bottom w:val="nil"/>
            </w:tcBorders>
          </w:tcPr>
          <w:p w14:paraId="3C7D073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 (50)</w:t>
            </w:r>
          </w:p>
        </w:tc>
        <w:tc>
          <w:tcPr>
            <w:tcW w:w="1080" w:type="dxa"/>
            <w:tcBorders>
              <w:top w:val="nil"/>
              <w:bottom w:val="nil"/>
            </w:tcBorders>
          </w:tcPr>
          <w:p w14:paraId="238AA83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19641AA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305F35E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4/4 (100)</w:t>
            </w:r>
          </w:p>
        </w:tc>
        <w:tc>
          <w:tcPr>
            <w:tcW w:w="237" w:type="dxa"/>
            <w:vMerge/>
            <w:tcBorders>
              <w:top w:val="nil"/>
              <w:bottom w:val="nil"/>
            </w:tcBorders>
          </w:tcPr>
          <w:p w14:paraId="4FA3084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3C824CB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r>
      <w:tr w:rsidR="009A2843" w:rsidRPr="00013472" w14:paraId="52B41714"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559799E0"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IIE</w:t>
            </w:r>
          </w:p>
        </w:tc>
        <w:tc>
          <w:tcPr>
            <w:tcW w:w="1080" w:type="dxa"/>
            <w:tcBorders>
              <w:top w:val="nil"/>
              <w:bottom w:val="nil"/>
            </w:tcBorders>
          </w:tcPr>
          <w:p w14:paraId="33F6F92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16/253 (6)</w:t>
            </w:r>
          </w:p>
        </w:tc>
        <w:tc>
          <w:tcPr>
            <w:tcW w:w="1080" w:type="dxa"/>
            <w:tcBorders>
              <w:top w:val="nil"/>
              <w:bottom w:val="nil"/>
            </w:tcBorders>
          </w:tcPr>
          <w:p w14:paraId="24C1DBD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5/175 (3)</w:t>
            </w:r>
          </w:p>
        </w:tc>
        <w:tc>
          <w:tcPr>
            <w:tcW w:w="1080" w:type="dxa"/>
            <w:tcBorders>
              <w:top w:val="nil"/>
              <w:bottom w:val="nil"/>
            </w:tcBorders>
          </w:tcPr>
          <w:p w14:paraId="3C1A715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5/23 (22)</w:t>
            </w:r>
          </w:p>
        </w:tc>
        <w:tc>
          <w:tcPr>
            <w:tcW w:w="1080" w:type="dxa"/>
            <w:tcBorders>
              <w:top w:val="nil"/>
              <w:bottom w:val="nil"/>
            </w:tcBorders>
          </w:tcPr>
          <w:p w14:paraId="5D7AC19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4/26 (15)</w:t>
            </w:r>
          </w:p>
        </w:tc>
        <w:tc>
          <w:tcPr>
            <w:tcW w:w="1080" w:type="dxa"/>
            <w:tcBorders>
              <w:top w:val="nil"/>
              <w:bottom w:val="nil"/>
            </w:tcBorders>
          </w:tcPr>
          <w:p w14:paraId="496287E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2/16 (13)</w:t>
            </w:r>
          </w:p>
        </w:tc>
        <w:tc>
          <w:tcPr>
            <w:tcW w:w="1080" w:type="dxa"/>
            <w:tcBorders>
              <w:top w:val="nil"/>
              <w:bottom w:val="nil"/>
            </w:tcBorders>
          </w:tcPr>
          <w:p w14:paraId="6404FAB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2E132F1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3102AC2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4E92EE0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75C202D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2EF3E7D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5E11248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79728FDC"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61E63CA5"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IIIE</w:t>
            </w:r>
          </w:p>
        </w:tc>
        <w:tc>
          <w:tcPr>
            <w:tcW w:w="1080" w:type="dxa"/>
            <w:tcBorders>
              <w:top w:val="nil"/>
              <w:bottom w:val="nil"/>
            </w:tcBorders>
          </w:tcPr>
          <w:p w14:paraId="58B172B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6/253 (2)</w:t>
            </w:r>
          </w:p>
        </w:tc>
        <w:tc>
          <w:tcPr>
            <w:tcW w:w="1080" w:type="dxa"/>
            <w:tcBorders>
              <w:top w:val="nil"/>
              <w:bottom w:val="nil"/>
            </w:tcBorders>
          </w:tcPr>
          <w:p w14:paraId="2A8B8C9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4/175 (2)</w:t>
            </w:r>
          </w:p>
        </w:tc>
        <w:tc>
          <w:tcPr>
            <w:tcW w:w="1080" w:type="dxa"/>
            <w:tcBorders>
              <w:top w:val="nil"/>
              <w:bottom w:val="nil"/>
            </w:tcBorders>
          </w:tcPr>
          <w:p w14:paraId="469E0F3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2/23 (9)</w:t>
            </w:r>
          </w:p>
        </w:tc>
        <w:tc>
          <w:tcPr>
            <w:tcW w:w="1080" w:type="dxa"/>
            <w:tcBorders>
              <w:top w:val="nil"/>
              <w:bottom w:val="nil"/>
            </w:tcBorders>
          </w:tcPr>
          <w:p w14:paraId="38BB9DC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10A1D15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2AE8A07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3961C9D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7789A65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76BFDC0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3969ED9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2FCD627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7548806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53FAB2E0"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3B05DDCA"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IVE</w:t>
            </w:r>
          </w:p>
        </w:tc>
        <w:tc>
          <w:tcPr>
            <w:tcW w:w="1080" w:type="dxa"/>
            <w:tcBorders>
              <w:top w:val="nil"/>
              <w:bottom w:val="nil"/>
            </w:tcBorders>
          </w:tcPr>
          <w:p w14:paraId="6B1A536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32/253 (13)</w:t>
            </w:r>
          </w:p>
        </w:tc>
        <w:tc>
          <w:tcPr>
            <w:tcW w:w="1080" w:type="dxa"/>
            <w:tcBorders>
              <w:top w:val="nil"/>
              <w:bottom w:val="nil"/>
            </w:tcBorders>
          </w:tcPr>
          <w:p w14:paraId="6BFE085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11/175 (6)</w:t>
            </w:r>
          </w:p>
        </w:tc>
        <w:tc>
          <w:tcPr>
            <w:tcW w:w="1080" w:type="dxa"/>
            <w:tcBorders>
              <w:top w:val="nil"/>
              <w:bottom w:val="nil"/>
            </w:tcBorders>
          </w:tcPr>
          <w:p w14:paraId="0B92790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2/23 (9)</w:t>
            </w:r>
          </w:p>
        </w:tc>
        <w:tc>
          <w:tcPr>
            <w:tcW w:w="1080" w:type="dxa"/>
            <w:tcBorders>
              <w:top w:val="nil"/>
              <w:bottom w:val="nil"/>
            </w:tcBorders>
          </w:tcPr>
          <w:p w14:paraId="0D39B46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5/26 (19)</w:t>
            </w:r>
          </w:p>
        </w:tc>
        <w:tc>
          <w:tcPr>
            <w:tcW w:w="1080" w:type="dxa"/>
            <w:tcBorders>
              <w:top w:val="nil"/>
              <w:bottom w:val="nil"/>
            </w:tcBorders>
          </w:tcPr>
          <w:p w14:paraId="79CB538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12/16 (75)</w:t>
            </w:r>
          </w:p>
        </w:tc>
        <w:tc>
          <w:tcPr>
            <w:tcW w:w="1080" w:type="dxa"/>
            <w:tcBorders>
              <w:top w:val="nil"/>
              <w:bottom w:val="nil"/>
            </w:tcBorders>
          </w:tcPr>
          <w:p w14:paraId="08500FA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(33)</w:t>
            </w:r>
          </w:p>
        </w:tc>
        <w:tc>
          <w:tcPr>
            <w:tcW w:w="1080" w:type="dxa"/>
            <w:tcBorders>
              <w:top w:val="nil"/>
              <w:bottom w:val="nil"/>
            </w:tcBorders>
          </w:tcPr>
          <w:p w14:paraId="02762B2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 (50)</w:t>
            </w:r>
          </w:p>
        </w:tc>
        <w:tc>
          <w:tcPr>
            <w:tcW w:w="1080" w:type="dxa"/>
            <w:tcBorders>
              <w:top w:val="nil"/>
              <w:bottom w:val="nil"/>
            </w:tcBorders>
          </w:tcPr>
          <w:p w14:paraId="0A623FB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7632894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0BC92BB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3F9E1E2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2FF7E43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37AF7BBB"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53AD0B3F"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Unknown stage</w:t>
            </w:r>
          </w:p>
        </w:tc>
        <w:tc>
          <w:tcPr>
            <w:tcW w:w="1080" w:type="dxa"/>
            <w:tcBorders>
              <w:top w:val="nil"/>
              <w:bottom w:val="single" w:sz="4" w:space="0" w:color="auto"/>
            </w:tcBorders>
          </w:tcPr>
          <w:p w14:paraId="309561D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8/261 (3)</w:t>
            </w:r>
          </w:p>
        </w:tc>
        <w:tc>
          <w:tcPr>
            <w:tcW w:w="1080" w:type="dxa"/>
            <w:tcBorders>
              <w:top w:val="nil"/>
              <w:bottom w:val="single" w:sz="4" w:space="0" w:color="auto"/>
            </w:tcBorders>
          </w:tcPr>
          <w:p w14:paraId="6DD7CC9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3/178 (2)</w:t>
            </w:r>
          </w:p>
        </w:tc>
        <w:tc>
          <w:tcPr>
            <w:tcW w:w="1080" w:type="dxa"/>
            <w:tcBorders>
              <w:top w:val="nil"/>
              <w:bottom w:val="single" w:sz="4" w:space="0" w:color="auto"/>
            </w:tcBorders>
          </w:tcPr>
          <w:p w14:paraId="0AD0F2B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3/26 (12)</w:t>
            </w:r>
          </w:p>
        </w:tc>
        <w:tc>
          <w:tcPr>
            <w:tcW w:w="1080" w:type="dxa"/>
            <w:tcBorders>
              <w:top w:val="nil"/>
              <w:bottom w:val="single" w:sz="4" w:space="0" w:color="auto"/>
            </w:tcBorders>
          </w:tcPr>
          <w:p w14:paraId="0CFBDD9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35711A3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1/17 (6)</w:t>
            </w:r>
          </w:p>
        </w:tc>
        <w:tc>
          <w:tcPr>
            <w:tcW w:w="1080" w:type="dxa"/>
            <w:tcBorders>
              <w:top w:val="nil"/>
              <w:bottom w:val="single" w:sz="4" w:space="0" w:color="auto"/>
            </w:tcBorders>
          </w:tcPr>
          <w:p w14:paraId="4F085FF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0F565D5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7F47F84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070C603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967" w:type="dxa"/>
            <w:tcBorders>
              <w:top w:val="nil"/>
              <w:bottom w:val="single" w:sz="4" w:space="0" w:color="auto"/>
            </w:tcBorders>
          </w:tcPr>
          <w:p w14:paraId="00D3B5E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54F576C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67DA2AF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15FC9D8E"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622A96A3" w14:textId="77777777" w:rsidR="009A2843" w:rsidRPr="00013472" w:rsidRDefault="009A2843" w:rsidP="00ED2A39">
            <w:pPr>
              <w:rPr>
                <w:rFonts w:ascii="Calibri" w:hAnsi="Calibri"/>
                <w:color w:val="000000"/>
                <w:sz w:val="16"/>
                <w:szCs w:val="16"/>
                <w:lang w:val="en-US"/>
              </w:rPr>
            </w:pPr>
            <w:r w:rsidRPr="00013472">
              <w:rPr>
                <w:rFonts w:ascii="Calibri" w:hAnsi="Calibri"/>
                <w:color w:val="000000"/>
                <w:sz w:val="16"/>
                <w:szCs w:val="16"/>
                <w:lang w:val="en-US"/>
              </w:rPr>
              <w:t xml:space="preserve">AJCC TNM </w:t>
            </w:r>
            <w:proofErr w:type="spellStart"/>
            <w:r w:rsidRPr="00013472">
              <w:rPr>
                <w:rFonts w:ascii="Calibri" w:hAnsi="Calibri"/>
                <w:color w:val="000000"/>
                <w:sz w:val="16"/>
                <w:szCs w:val="16"/>
                <w:lang w:val="en-US"/>
              </w:rPr>
              <w:t>stage</w:t>
            </w:r>
            <w:r w:rsidRPr="00013472">
              <w:rPr>
                <w:rFonts w:ascii="Calibri" w:hAnsi="Calibri"/>
                <w:color w:val="000000"/>
                <w:sz w:val="16"/>
                <w:szCs w:val="16"/>
                <w:vertAlign w:val="superscript"/>
                <w:lang w:val="en-US"/>
              </w:rPr>
              <w:t>c</w:t>
            </w:r>
            <w:proofErr w:type="spellEnd"/>
          </w:p>
        </w:tc>
        <w:tc>
          <w:tcPr>
            <w:tcW w:w="1080" w:type="dxa"/>
            <w:tcBorders>
              <w:top w:val="single" w:sz="4" w:space="0" w:color="auto"/>
              <w:bottom w:val="nil"/>
            </w:tcBorders>
            <w:shd w:val="clear" w:color="auto" w:fill="D9D9D9" w:themeFill="background1" w:themeFillShade="D9"/>
          </w:tcPr>
          <w:p w14:paraId="16E1E60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734242D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00B9AC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683CDE2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223DB5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4A313B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6F373AC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4D6CE1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FAD347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22C30A4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37" w:type="dxa"/>
            <w:vMerge/>
            <w:tcBorders>
              <w:top w:val="nil"/>
              <w:bottom w:val="nil"/>
            </w:tcBorders>
            <w:shd w:val="clear" w:color="auto" w:fill="D9D9D9" w:themeFill="background1" w:themeFillShade="D9"/>
          </w:tcPr>
          <w:p w14:paraId="2F6E3D7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single" w:sz="4" w:space="0" w:color="auto"/>
              <w:bottom w:val="nil"/>
              <w:right w:val="single" w:sz="4" w:space="0" w:color="auto"/>
            </w:tcBorders>
            <w:shd w:val="clear" w:color="auto" w:fill="D9D9D9" w:themeFill="background1" w:themeFillShade="D9"/>
          </w:tcPr>
          <w:p w14:paraId="3338680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r>
      <w:tr w:rsidR="009A2843" w:rsidRPr="00013472" w14:paraId="0BF84E6D"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17351A78"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T1</w:t>
            </w:r>
          </w:p>
        </w:tc>
        <w:tc>
          <w:tcPr>
            <w:tcW w:w="1080" w:type="dxa"/>
            <w:tcBorders>
              <w:top w:val="nil"/>
              <w:bottom w:val="nil"/>
            </w:tcBorders>
          </w:tcPr>
          <w:p w14:paraId="6B4524D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0 </w:t>
            </w:r>
          </w:p>
        </w:tc>
        <w:tc>
          <w:tcPr>
            <w:tcW w:w="1080" w:type="dxa"/>
            <w:tcBorders>
              <w:top w:val="nil"/>
              <w:bottom w:val="nil"/>
            </w:tcBorders>
          </w:tcPr>
          <w:p w14:paraId="56A23AB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28B47C8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2F1A9B1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2ABC9CD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20D9DBF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60D96AB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0FE0380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27D2A2A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56B61A3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2319538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1DA632D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3006D5CE"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4FE55E8C"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T2</w:t>
            </w:r>
          </w:p>
        </w:tc>
        <w:tc>
          <w:tcPr>
            <w:tcW w:w="1080" w:type="dxa"/>
            <w:tcBorders>
              <w:top w:val="nil"/>
              <w:bottom w:val="nil"/>
            </w:tcBorders>
          </w:tcPr>
          <w:p w14:paraId="2D690E7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182/183 (99)</w:t>
            </w:r>
          </w:p>
        </w:tc>
        <w:tc>
          <w:tcPr>
            <w:tcW w:w="1080" w:type="dxa"/>
            <w:tcBorders>
              <w:top w:val="nil"/>
              <w:bottom w:val="nil"/>
            </w:tcBorders>
          </w:tcPr>
          <w:p w14:paraId="325D548F"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146/147 (99)</w:t>
            </w:r>
          </w:p>
        </w:tc>
        <w:tc>
          <w:tcPr>
            <w:tcW w:w="1080" w:type="dxa"/>
            <w:tcBorders>
              <w:top w:val="nil"/>
              <w:bottom w:val="nil"/>
            </w:tcBorders>
          </w:tcPr>
          <w:p w14:paraId="4181BD8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11/11 (100)</w:t>
            </w:r>
          </w:p>
        </w:tc>
        <w:tc>
          <w:tcPr>
            <w:tcW w:w="1080" w:type="dxa"/>
            <w:tcBorders>
              <w:top w:val="nil"/>
              <w:bottom w:val="nil"/>
            </w:tcBorders>
          </w:tcPr>
          <w:p w14:paraId="2951AEA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15/15 (100)</w:t>
            </w:r>
          </w:p>
        </w:tc>
        <w:tc>
          <w:tcPr>
            <w:tcW w:w="1080" w:type="dxa"/>
            <w:tcBorders>
              <w:top w:val="nil"/>
              <w:bottom w:val="nil"/>
            </w:tcBorders>
          </w:tcPr>
          <w:p w14:paraId="3DA5194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1080" w:type="dxa"/>
            <w:tcBorders>
              <w:top w:val="nil"/>
              <w:bottom w:val="nil"/>
            </w:tcBorders>
          </w:tcPr>
          <w:p w14:paraId="01C6800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1080" w:type="dxa"/>
            <w:tcBorders>
              <w:top w:val="nil"/>
              <w:bottom w:val="nil"/>
            </w:tcBorders>
          </w:tcPr>
          <w:p w14:paraId="372A1C8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1080" w:type="dxa"/>
            <w:tcBorders>
              <w:top w:val="nil"/>
              <w:bottom w:val="nil"/>
            </w:tcBorders>
          </w:tcPr>
          <w:p w14:paraId="65944EC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059F88A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54495BE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4/4 (100)</w:t>
            </w:r>
          </w:p>
        </w:tc>
        <w:tc>
          <w:tcPr>
            <w:tcW w:w="237" w:type="dxa"/>
            <w:vMerge/>
            <w:tcBorders>
              <w:top w:val="nil"/>
              <w:bottom w:val="nil"/>
            </w:tcBorders>
          </w:tcPr>
          <w:p w14:paraId="1D56CD5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260F323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r>
      <w:tr w:rsidR="009A2843" w:rsidRPr="00013472" w14:paraId="6E44FA23"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1145078C"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T3</w:t>
            </w:r>
          </w:p>
        </w:tc>
        <w:tc>
          <w:tcPr>
            <w:tcW w:w="1080" w:type="dxa"/>
            <w:tcBorders>
              <w:top w:val="nil"/>
              <w:bottom w:val="nil"/>
            </w:tcBorders>
          </w:tcPr>
          <w:p w14:paraId="203F32D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338D552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500912E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072748A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091A86C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59B274C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2E36343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707DA72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1F824B1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6487E64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4C9B319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78C9BC2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26E2343D"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673D1137"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T4</w:t>
            </w:r>
          </w:p>
        </w:tc>
        <w:tc>
          <w:tcPr>
            <w:tcW w:w="1080" w:type="dxa"/>
            <w:tcBorders>
              <w:top w:val="nil"/>
              <w:bottom w:val="single" w:sz="4" w:space="0" w:color="auto"/>
            </w:tcBorders>
          </w:tcPr>
          <w:p w14:paraId="2CCA589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1/183 (1)</w:t>
            </w:r>
          </w:p>
        </w:tc>
        <w:tc>
          <w:tcPr>
            <w:tcW w:w="1080" w:type="dxa"/>
            <w:tcBorders>
              <w:top w:val="nil"/>
              <w:bottom w:val="single" w:sz="4" w:space="0" w:color="auto"/>
            </w:tcBorders>
          </w:tcPr>
          <w:p w14:paraId="69B5DBD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1/147 (1)</w:t>
            </w:r>
          </w:p>
        </w:tc>
        <w:tc>
          <w:tcPr>
            <w:tcW w:w="1080" w:type="dxa"/>
            <w:tcBorders>
              <w:top w:val="nil"/>
              <w:bottom w:val="single" w:sz="4" w:space="0" w:color="auto"/>
            </w:tcBorders>
          </w:tcPr>
          <w:p w14:paraId="00BED2E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33AD593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1C45159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2158EE3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6BB7C5A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0427728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78624E4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single" w:sz="4" w:space="0" w:color="auto"/>
            </w:tcBorders>
          </w:tcPr>
          <w:p w14:paraId="6E620FC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4304F7D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30A4371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24520F1D"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4EFADB8E" w14:textId="77777777" w:rsidR="009A2843" w:rsidRPr="00013472" w:rsidRDefault="009A2843" w:rsidP="00ED2A39">
            <w:pPr>
              <w:rPr>
                <w:rFonts w:ascii="Calibri" w:hAnsi="Calibri"/>
                <w:color w:val="000000"/>
                <w:sz w:val="16"/>
                <w:szCs w:val="16"/>
                <w:lang w:val="en-US"/>
              </w:rPr>
            </w:pPr>
            <w:r w:rsidRPr="00013472">
              <w:rPr>
                <w:rFonts w:ascii="Calibri" w:hAnsi="Calibri"/>
                <w:color w:val="000000"/>
                <w:sz w:val="16"/>
                <w:szCs w:val="16"/>
                <w:lang w:val="en-US"/>
              </w:rPr>
              <w:t>Relapse/progression</w:t>
            </w:r>
          </w:p>
        </w:tc>
        <w:tc>
          <w:tcPr>
            <w:tcW w:w="1080" w:type="dxa"/>
            <w:tcBorders>
              <w:top w:val="single" w:sz="4" w:space="0" w:color="auto"/>
              <w:bottom w:val="nil"/>
            </w:tcBorders>
            <w:shd w:val="clear" w:color="auto" w:fill="D9D9D9" w:themeFill="background1" w:themeFillShade="D9"/>
          </w:tcPr>
          <w:p w14:paraId="08C5B6C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4026C4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C00B42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120C76F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33CB50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AFA8CF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8FEA00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2B4DCAD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626A761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294112B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37" w:type="dxa"/>
            <w:vMerge/>
            <w:tcBorders>
              <w:top w:val="nil"/>
              <w:bottom w:val="nil"/>
            </w:tcBorders>
            <w:shd w:val="clear" w:color="auto" w:fill="D9D9D9" w:themeFill="background1" w:themeFillShade="D9"/>
          </w:tcPr>
          <w:p w14:paraId="4078DA5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single" w:sz="4" w:space="0" w:color="auto"/>
              <w:bottom w:val="nil"/>
              <w:right w:val="single" w:sz="4" w:space="0" w:color="auto"/>
            </w:tcBorders>
            <w:shd w:val="clear" w:color="auto" w:fill="D9D9D9" w:themeFill="background1" w:themeFillShade="D9"/>
          </w:tcPr>
          <w:p w14:paraId="775C205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9A2843" w:rsidRPr="00013472" w14:paraId="7A3A2330"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7B1A8D18"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Yes</w:t>
            </w:r>
          </w:p>
        </w:tc>
        <w:tc>
          <w:tcPr>
            <w:tcW w:w="1080" w:type="dxa"/>
            <w:tcBorders>
              <w:top w:val="nil"/>
              <w:bottom w:val="nil"/>
            </w:tcBorders>
          </w:tcPr>
          <w:p w14:paraId="44A3CF7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67/252 (27)</w:t>
            </w:r>
          </w:p>
        </w:tc>
        <w:tc>
          <w:tcPr>
            <w:tcW w:w="1080" w:type="dxa"/>
            <w:tcBorders>
              <w:top w:val="nil"/>
              <w:bottom w:val="nil"/>
            </w:tcBorders>
          </w:tcPr>
          <w:p w14:paraId="5B5A40D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27/173 (16)</w:t>
            </w:r>
          </w:p>
        </w:tc>
        <w:tc>
          <w:tcPr>
            <w:tcW w:w="1080" w:type="dxa"/>
            <w:tcBorders>
              <w:top w:val="nil"/>
              <w:bottom w:val="nil"/>
            </w:tcBorders>
          </w:tcPr>
          <w:p w14:paraId="3075B48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13/24 (54)</w:t>
            </w:r>
          </w:p>
        </w:tc>
        <w:tc>
          <w:tcPr>
            <w:tcW w:w="1080" w:type="dxa"/>
            <w:tcBorders>
              <w:top w:val="nil"/>
              <w:bottom w:val="nil"/>
            </w:tcBorders>
          </w:tcPr>
          <w:p w14:paraId="2E9B324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11/24 (46)</w:t>
            </w:r>
          </w:p>
        </w:tc>
        <w:tc>
          <w:tcPr>
            <w:tcW w:w="1080" w:type="dxa"/>
            <w:tcBorders>
              <w:top w:val="nil"/>
              <w:bottom w:val="nil"/>
            </w:tcBorders>
          </w:tcPr>
          <w:p w14:paraId="12E5819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11/17 (65)</w:t>
            </w:r>
          </w:p>
        </w:tc>
        <w:tc>
          <w:tcPr>
            <w:tcW w:w="1080" w:type="dxa"/>
            <w:tcBorders>
              <w:top w:val="nil"/>
              <w:bottom w:val="nil"/>
            </w:tcBorders>
          </w:tcPr>
          <w:p w14:paraId="09A9AB5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4D1E090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144C6F9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5362A45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0A4864D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 (25)</w:t>
            </w:r>
          </w:p>
        </w:tc>
        <w:tc>
          <w:tcPr>
            <w:tcW w:w="237" w:type="dxa"/>
            <w:vMerge/>
            <w:tcBorders>
              <w:top w:val="nil"/>
              <w:bottom w:val="nil"/>
            </w:tcBorders>
          </w:tcPr>
          <w:p w14:paraId="1650886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2A8CE50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3C6D2E2A"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2364E1C0"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No</w:t>
            </w:r>
          </w:p>
        </w:tc>
        <w:tc>
          <w:tcPr>
            <w:tcW w:w="1080" w:type="dxa"/>
            <w:tcBorders>
              <w:top w:val="nil"/>
              <w:bottom w:val="single" w:sz="4" w:space="0" w:color="auto"/>
            </w:tcBorders>
          </w:tcPr>
          <w:p w14:paraId="7035393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185/252 (73)</w:t>
            </w:r>
          </w:p>
        </w:tc>
        <w:tc>
          <w:tcPr>
            <w:tcW w:w="1080" w:type="dxa"/>
            <w:tcBorders>
              <w:top w:val="nil"/>
              <w:bottom w:val="single" w:sz="4" w:space="0" w:color="auto"/>
            </w:tcBorders>
          </w:tcPr>
          <w:p w14:paraId="44E11B9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146/173 (84)</w:t>
            </w:r>
          </w:p>
        </w:tc>
        <w:tc>
          <w:tcPr>
            <w:tcW w:w="1080" w:type="dxa"/>
            <w:tcBorders>
              <w:top w:val="nil"/>
              <w:bottom w:val="single" w:sz="4" w:space="0" w:color="auto"/>
            </w:tcBorders>
          </w:tcPr>
          <w:p w14:paraId="0AEB7E3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11/24 (46)</w:t>
            </w:r>
          </w:p>
        </w:tc>
        <w:tc>
          <w:tcPr>
            <w:tcW w:w="1080" w:type="dxa"/>
            <w:tcBorders>
              <w:top w:val="nil"/>
              <w:bottom w:val="single" w:sz="4" w:space="0" w:color="auto"/>
            </w:tcBorders>
          </w:tcPr>
          <w:p w14:paraId="0754E29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13/24 (54)</w:t>
            </w:r>
          </w:p>
        </w:tc>
        <w:tc>
          <w:tcPr>
            <w:tcW w:w="1080" w:type="dxa"/>
            <w:tcBorders>
              <w:top w:val="nil"/>
              <w:bottom w:val="single" w:sz="4" w:space="0" w:color="auto"/>
            </w:tcBorders>
          </w:tcPr>
          <w:p w14:paraId="5E85649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6/17 (35)</w:t>
            </w:r>
          </w:p>
        </w:tc>
        <w:tc>
          <w:tcPr>
            <w:tcW w:w="1080" w:type="dxa"/>
            <w:tcBorders>
              <w:top w:val="nil"/>
              <w:bottom w:val="single" w:sz="4" w:space="0" w:color="auto"/>
            </w:tcBorders>
          </w:tcPr>
          <w:p w14:paraId="3E70D55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3/3 (100)</w:t>
            </w:r>
          </w:p>
        </w:tc>
        <w:tc>
          <w:tcPr>
            <w:tcW w:w="1080" w:type="dxa"/>
            <w:tcBorders>
              <w:top w:val="nil"/>
              <w:bottom w:val="single" w:sz="4" w:space="0" w:color="auto"/>
            </w:tcBorders>
          </w:tcPr>
          <w:p w14:paraId="09B628D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2C4910E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0A1A372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967" w:type="dxa"/>
            <w:tcBorders>
              <w:top w:val="nil"/>
              <w:bottom w:val="single" w:sz="4" w:space="0" w:color="auto"/>
            </w:tcBorders>
          </w:tcPr>
          <w:p w14:paraId="2AC18BD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3/4 (75)</w:t>
            </w:r>
          </w:p>
        </w:tc>
        <w:tc>
          <w:tcPr>
            <w:tcW w:w="237" w:type="dxa"/>
            <w:vMerge/>
            <w:tcBorders>
              <w:top w:val="nil"/>
              <w:bottom w:val="nil"/>
            </w:tcBorders>
          </w:tcPr>
          <w:p w14:paraId="5E1F4A7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7178A55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r>
      <w:tr w:rsidR="009A2843" w:rsidRPr="00013472" w14:paraId="47F16949"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4390D674" w14:textId="77777777" w:rsidR="009A2843" w:rsidRPr="00013472" w:rsidRDefault="009A2843" w:rsidP="00ED2A39">
            <w:pPr>
              <w:rPr>
                <w:rFonts w:ascii="Calibri" w:hAnsi="Calibri"/>
                <w:bCs w:val="0"/>
                <w:color w:val="000000"/>
                <w:sz w:val="16"/>
                <w:szCs w:val="16"/>
                <w:lang w:val="en-US"/>
              </w:rPr>
            </w:pPr>
            <w:r w:rsidRPr="00013472">
              <w:rPr>
                <w:rFonts w:ascii="Calibri" w:hAnsi="Calibri"/>
                <w:bCs w:val="0"/>
                <w:color w:val="000000"/>
                <w:sz w:val="16"/>
                <w:szCs w:val="16"/>
                <w:lang w:val="en-US"/>
              </w:rPr>
              <w:t>Site of recurrence at relapse</w:t>
            </w:r>
            <w:r w:rsidRPr="00013472">
              <w:rPr>
                <w:rFonts w:ascii="Calibri" w:hAnsi="Calibri"/>
                <w:bCs w:val="0"/>
                <w:color w:val="000000"/>
                <w:sz w:val="16"/>
                <w:szCs w:val="16"/>
                <w:vertAlign w:val="superscript"/>
                <w:lang w:val="en-US"/>
              </w:rPr>
              <w:t>d</w:t>
            </w:r>
          </w:p>
        </w:tc>
        <w:tc>
          <w:tcPr>
            <w:tcW w:w="1080" w:type="dxa"/>
            <w:tcBorders>
              <w:top w:val="single" w:sz="4" w:space="0" w:color="auto"/>
              <w:bottom w:val="nil"/>
            </w:tcBorders>
            <w:shd w:val="clear" w:color="auto" w:fill="D9D9D9" w:themeFill="background1" w:themeFillShade="D9"/>
          </w:tcPr>
          <w:p w14:paraId="267FE7C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13EB634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84C9E8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3E6A143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696F2F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67F3341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7822FC3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7132FFA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C87A27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0A7134A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37" w:type="dxa"/>
            <w:vMerge/>
            <w:tcBorders>
              <w:top w:val="nil"/>
              <w:bottom w:val="nil"/>
            </w:tcBorders>
            <w:shd w:val="clear" w:color="auto" w:fill="D9D9D9" w:themeFill="background1" w:themeFillShade="D9"/>
          </w:tcPr>
          <w:p w14:paraId="33FDE10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single" w:sz="4" w:space="0" w:color="auto"/>
              <w:bottom w:val="nil"/>
              <w:right w:val="single" w:sz="4" w:space="0" w:color="auto"/>
            </w:tcBorders>
            <w:shd w:val="clear" w:color="auto" w:fill="D9D9D9" w:themeFill="background1" w:themeFillShade="D9"/>
          </w:tcPr>
          <w:p w14:paraId="2DAFAFA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r>
      <w:tr w:rsidR="009A2843" w:rsidRPr="00013472" w14:paraId="2BDB756B"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1360FF65" w14:textId="52C7AD6E" w:rsidR="009A2843" w:rsidRPr="00013472" w:rsidRDefault="00283166" w:rsidP="00ED2A39">
            <w:pPr>
              <w:rPr>
                <w:rFonts w:ascii="Calibri" w:hAnsi="Calibri"/>
                <w:b w:val="0"/>
                <w:color w:val="000000"/>
                <w:sz w:val="16"/>
                <w:szCs w:val="16"/>
                <w:lang w:val="en-US"/>
              </w:rPr>
            </w:pPr>
            <w:r w:rsidRPr="00013472">
              <w:rPr>
                <w:rFonts w:ascii="Calibri" w:hAnsi="Calibri"/>
                <w:b w:val="0"/>
                <w:color w:val="000000"/>
                <w:sz w:val="16"/>
                <w:szCs w:val="16"/>
                <w:lang w:val="en-US"/>
              </w:rPr>
              <w:t>OA</w:t>
            </w:r>
          </w:p>
        </w:tc>
        <w:tc>
          <w:tcPr>
            <w:tcW w:w="1080" w:type="dxa"/>
            <w:tcBorders>
              <w:top w:val="nil"/>
              <w:bottom w:val="nil"/>
            </w:tcBorders>
          </w:tcPr>
          <w:p w14:paraId="0B32926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29/52 (56)</w:t>
            </w:r>
          </w:p>
        </w:tc>
        <w:tc>
          <w:tcPr>
            <w:tcW w:w="1080" w:type="dxa"/>
            <w:tcBorders>
              <w:top w:val="nil"/>
              <w:bottom w:val="nil"/>
            </w:tcBorders>
          </w:tcPr>
          <w:p w14:paraId="2E27ECB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14/23 (61)</w:t>
            </w:r>
          </w:p>
        </w:tc>
        <w:tc>
          <w:tcPr>
            <w:tcW w:w="1080" w:type="dxa"/>
            <w:tcBorders>
              <w:top w:val="nil"/>
              <w:bottom w:val="nil"/>
            </w:tcBorders>
          </w:tcPr>
          <w:p w14:paraId="4CB0D3C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5/11 (45)</w:t>
            </w:r>
          </w:p>
        </w:tc>
        <w:tc>
          <w:tcPr>
            <w:tcW w:w="1080" w:type="dxa"/>
            <w:tcBorders>
              <w:top w:val="nil"/>
              <w:bottom w:val="nil"/>
            </w:tcBorders>
          </w:tcPr>
          <w:p w14:paraId="36B9C5C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6/9 (67)</w:t>
            </w:r>
          </w:p>
        </w:tc>
        <w:tc>
          <w:tcPr>
            <w:tcW w:w="1080" w:type="dxa"/>
            <w:tcBorders>
              <w:top w:val="nil"/>
              <w:bottom w:val="nil"/>
            </w:tcBorders>
          </w:tcPr>
          <w:p w14:paraId="0FE50B2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4/6 (67)</w:t>
            </w:r>
          </w:p>
        </w:tc>
        <w:tc>
          <w:tcPr>
            <w:tcW w:w="1080" w:type="dxa"/>
            <w:tcBorders>
              <w:top w:val="nil"/>
              <w:bottom w:val="nil"/>
            </w:tcBorders>
          </w:tcPr>
          <w:p w14:paraId="60E9C94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1080" w:type="dxa"/>
            <w:tcBorders>
              <w:top w:val="nil"/>
              <w:bottom w:val="nil"/>
            </w:tcBorders>
          </w:tcPr>
          <w:p w14:paraId="03DBC18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1080" w:type="dxa"/>
            <w:tcBorders>
              <w:top w:val="nil"/>
              <w:bottom w:val="nil"/>
            </w:tcBorders>
          </w:tcPr>
          <w:p w14:paraId="209B060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7642C25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967" w:type="dxa"/>
            <w:tcBorders>
              <w:top w:val="nil"/>
              <w:bottom w:val="nil"/>
            </w:tcBorders>
          </w:tcPr>
          <w:p w14:paraId="7A2632E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267AF99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56C7036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r>
      <w:tr w:rsidR="009A2843" w:rsidRPr="00013472" w14:paraId="55537960"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1D345746"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 xml:space="preserve">Nodal and/or </w:t>
            </w:r>
            <w:proofErr w:type="spellStart"/>
            <w:r w:rsidRPr="00013472">
              <w:rPr>
                <w:rFonts w:ascii="Calibri" w:hAnsi="Calibri"/>
                <w:b w:val="0"/>
                <w:color w:val="000000"/>
                <w:sz w:val="16"/>
                <w:szCs w:val="16"/>
                <w:lang w:val="en-US"/>
              </w:rPr>
              <w:t>extranodal</w:t>
            </w:r>
            <w:proofErr w:type="spellEnd"/>
          </w:p>
        </w:tc>
        <w:tc>
          <w:tcPr>
            <w:tcW w:w="1080" w:type="dxa"/>
            <w:tcBorders>
              <w:top w:val="nil"/>
              <w:bottom w:val="nil"/>
            </w:tcBorders>
          </w:tcPr>
          <w:p w14:paraId="7C04E44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37/52 (71)</w:t>
            </w:r>
          </w:p>
        </w:tc>
        <w:tc>
          <w:tcPr>
            <w:tcW w:w="1080" w:type="dxa"/>
            <w:tcBorders>
              <w:top w:val="nil"/>
              <w:bottom w:val="nil"/>
            </w:tcBorders>
          </w:tcPr>
          <w:p w14:paraId="62B58AE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15/23 (65)</w:t>
            </w:r>
          </w:p>
        </w:tc>
        <w:tc>
          <w:tcPr>
            <w:tcW w:w="1080" w:type="dxa"/>
            <w:tcBorders>
              <w:top w:val="nil"/>
              <w:bottom w:val="nil"/>
            </w:tcBorders>
          </w:tcPr>
          <w:p w14:paraId="699F5C9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9/11 (82)</w:t>
            </w:r>
          </w:p>
        </w:tc>
        <w:tc>
          <w:tcPr>
            <w:tcW w:w="1080" w:type="dxa"/>
            <w:tcBorders>
              <w:top w:val="nil"/>
              <w:bottom w:val="nil"/>
            </w:tcBorders>
          </w:tcPr>
          <w:p w14:paraId="21AF28E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6/9 (67)</w:t>
            </w:r>
          </w:p>
        </w:tc>
        <w:tc>
          <w:tcPr>
            <w:tcW w:w="1080" w:type="dxa"/>
            <w:tcBorders>
              <w:top w:val="nil"/>
              <w:bottom w:val="nil"/>
            </w:tcBorders>
          </w:tcPr>
          <w:p w14:paraId="57C0F3E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4/6 (67)</w:t>
            </w:r>
          </w:p>
        </w:tc>
        <w:tc>
          <w:tcPr>
            <w:tcW w:w="1080" w:type="dxa"/>
            <w:tcBorders>
              <w:top w:val="nil"/>
              <w:bottom w:val="nil"/>
            </w:tcBorders>
          </w:tcPr>
          <w:p w14:paraId="205A5B9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1080" w:type="dxa"/>
            <w:tcBorders>
              <w:top w:val="nil"/>
              <w:bottom w:val="nil"/>
            </w:tcBorders>
          </w:tcPr>
          <w:p w14:paraId="45783B7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1080" w:type="dxa"/>
            <w:tcBorders>
              <w:top w:val="nil"/>
              <w:bottom w:val="nil"/>
            </w:tcBorders>
          </w:tcPr>
          <w:p w14:paraId="308E4A5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5DC73DC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967" w:type="dxa"/>
            <w:tcBorders>
              <w:top w:val="nil"/>
              <w:bottom w:val="nil"/>
            </w:tcBorders>
          </w:tcPr>
          <w:p w14:paraId="3F99E86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237" w:type="dxa"/>
            <w:vMerge/>
            <w:tcBorders>
              <w:top w:val="nil"/>
              <w:bottom w:val="nil"/>
            </w:tcBorders>
          </w:tcPr>
          <w:p w14:paraId="0E7509C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3B054C7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r>
      <w:tr w:rsidR="009A2843" w:rsidRPr="00013472" w14:paraId="07E75A76"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7E643349" w14:textId="4B5BC6DE" w:rsidR="009A2843" w:rsidRPr="00013472" w:rsidRDefault="00283166" w:rsidP="00ED2A39">
            <w:pPr>
              <w:rPr>
                <w:rFonts w:ascii="Calibri" w:hAnsi="Calibri"/>
                <w:b w:val="0"/>
                <w:color w:val="000000"/>
                <w:sz w:val="16"/>
                <w:szCs w:val="16"/>
                <w:lang w:val="en-US"/>
              </w:rPr>
            </w:pPr>
            <w:r w:rsidRPr="00013472">
              <w:rPr>
                <w:rFonts w:ascii="Calibri" w:hAnsi="Calibri"/>
                <w:b w:val="0"/>
                <w:color w:val="000000"/>
                <w:sz w:val="16"/>
                <w:szCs w:val="16"/>
                <w:lang w:val="en-US"/>
              </w:rPr>
              <w:t>OA</w:t>
            </w:r>
            <w:r w:rsidR="009A2843" w:rsidRPr="00013472">
              <w:rPr>
                <w:rFonts w:ascii="Calibri" w:hAnsi="Calibri"/>
                <w:b w:val="0"/>
                <w:color w:val="000000"/>
                <w:sz w:val="16"/>
                <w:szCs w:val="16"/>
                <w:lang w:val="en-US"/>
              </w:rPr>
              <w:t xml:space="preserve"> plus nodal and/or </w:t>
            </w:r>
            <w:proofErr w:type="spellStart"/>
            <w:r w:rsidR="009A2843" w:rsidRPr="00013472">
              <w:rPr>
                <w:rFonts w:ascii="Calibri" w:hAnsi="Calibri"/>
                <w:b w:val="0"/>
                <w:color w:val="000000"/>
                <w:sz w:val="16"/>
                <w:szCs w:val="16"/>
                <w:lang w:val="en-US"/>
              </w:rPr>
              <w:t>extranodal</w:t>
            </w:r>
            <w:proofErr w:type="spellEnd"/>
          </w:p>
        </w:tc>
        <w:tc>
          <w:tcPr>
            <w:tcW w:w="1080" w:type="dxa"/>
            <w:tcBorders>
              <w:top w:val="nil"/>
              <w:bottom w:val="nil"/>
            </w:tcBorders>
          </w:tcPr>
          <w:p w14:paraId="6510686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15/52 (29)</w:t>
            </w:r>
          </w:p>
        </w:tc>
        <w:tc>
          <w:tcPr>
            <w:tcW w:w="1080" w:type="dxa"/>
            <w:tcBorders>
              <w:top w:val="nil"/>
              <w:bottom w:val="nil"/>
            </w:tcBorders>
          </w:tcPr>
          <w:p w14:paraId="4183605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7/23 (30)</w:t>
            </w:r>
          </w:p>
        </w:tc>
        <w:tc>
          <w:tcPr>
            <w:tcW w:w="1080" w:type="dxa"/>
            <w:tcBorders>
              <w:top w:val="nil"/>
              <w:bottom w:val="nil"/>
            </w:tcBorders>
          </w:tcPr>
          <w:p w14:paraId="6813A04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3/11 (27)</w:t>
            </w:r>
          </w:p>
        </w:tc>
        <w:tc>
          <w:tcPr>
            <w:tcW w:w="1080" w:type="dxa"/>
            <w:tcBorders>
              <w:top w:val="nil"/>
              <w:bottom w:val="nil"/>
            </w:tcBorders>
          </w:tcPr>
          <w:p w14:paraId="53F99AB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3/9 (33)</w:t>
            </w:r>
          </w:p>
        </w:tc>
        <w:tc>
          <w:tcPr>
            <w:tcW w:w="1080" w:type="dxa"/>
            <w:tcBorders>
              <w:top w:val="nil"/>
              <w:bottom w:val="nil"/>
            </w:tcBorders>
          </w:tcPr>
          <w:p w14:paraId="29B22CAA"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 (33)</w:t>
            </w:r>
          </w:p>
        </w:tc>
        <w:tc>
          <w:tcPr>
            <w:tcW w:w="1080" w:type="dxa"/>
            <w:tcBorders>
              <w:top w:val="nil"/>
              <w:bottom w:val="nil"/>
            </w:tcBorders>
          </w:tcPr>
          <w:p w14:paraId="33682DB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1080" w:type="dxa"/>
            <w:tcBorders>
              <w:top w:val="nil"/>
              <w:bottom w:val="nil"/>
            </w:tcBorders>
          </w:tcPr>
          <w:p w14:paraId="3EAF2CB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1080" w:type="dxa"/>
            <w:tcBorders>
              <w:top w:val="nil"/>
              <w:bottom w:val="nil"/>
            </w:tcBorders>
          </w:tcPr>
          <w:p w14:paraId="61530A6C"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49C3B5F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967" w:type="dxa"/>
            <w:tcBorders>
              <w:top w:val="nil"/>
              <w:bottom w:val="nil"/>
            </w:tcBorders>
          </w:tcPr>
          <w:p w14:paraId="742796D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vMerge/>
            <w:tcBorders>
              <w:top w:val="nil"/>
              <w:bottom w:val="nil"/>
            </w:tcBorders>
          </w:tcPr>
          <w:p w14:paraId="2DD1DFF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6788D88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r>
      <w:tr w:rsidR="009A2843" w:rsidRPr="00013472" w14:paraId="02F248A6"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518602CF"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Bone marrow</w:t>
            </w:r>
          </w:p>
        </w:tc>
        <w:tc>
          <w:tcPr>
            <w:tcW w:w="1080" w:type="dxa"/>
            <w:tcBorders>
              <w:top w:val="nil"/>
              <w:bottom w:val="single" w:sz="4" w:space="0" w:color="auto"/>
            </w:tcBorders>
          </w:tcPr>
          <w:p w14:paraId="1D26A3E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3/52 (6)</w:t>
            </w:r>
          </w:p>
        </w:tc>
        <w:tc>
          <w:tcPr>
            <w:tcW w:w="1080" w:type="dxa"/>
            <w:tcBorders>
              <w:top w:val="nil"/>
              <w:bottom w:val="single" w:sz="4" w:space="0" w:color="auto"/>
            </w:tcBorders>
          </w:tcPr>
          <w:p w14:paraId="6E6AB38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1/23 (4)</w:t>
            </w:r>
          </w:p>
        </w:tc>
        <w:tc>
          <w:tcPr>
            <w:tcW w:w="1080" w:type="dxa"/>
            <w:tcBorders>
              <w:top w:val="nil"/>
              <w:bottom w:val="single" w:sz="4" w:space="0" w:color="auto"/>
            </w:tcBorders>
          </w:tcPr>
          <w:p w14:paraId="0E7711E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1/11 (9)</w:t>
            </w:r>
          </w:p>
        </w:tc>
        <w:tc>
          <w:tcPr>
            <w:tcW w:w="1080" w:type="dxa"/>
            <w:tcBorders>
              <w:top w:val="nil"/>
              <w:bottom w:val="single" w:sz="4" w:space="0" w:color="auto"/>
            </w:tcBorders>
          </w:tcPr>
          <w:p w14:paraId="08F5765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4BCA021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1FBFB47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1080" w:type="dxa"/>
            <w:tcBorders>
              <w:top w:val="nil"/>
              <w:bottom w:val="single" w:sz="4" w:space="0" w:color="auto"/>
            </w:tcBorders>
          </w:tcPr>
          <w:p w14:paraId="187B910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1080" w:type="dxa"/>
            <w:tcBorders>
              <w:top w:val="nil"/>
              <w:bottom w:val="single" w:sz="4" w:space="0" w:color="auto"/>
            </w:tcBorders>
          </w:tcPr>
          <w:p w14:paraId="577771D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single" w:sz="4" w:space="0" w:color="auto"/>
            </w:tcBorders>
          </w:tcPr>
          <w:p w14:paraId="1C56223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967" w:type="dxa"/>
            <w:tcBorders>
              <w:top w:val="nil"/>
              <w:bottom w:val="single" w:sz="4" w:space="0" w:color="auto"/>
            </w:tcBorders>
          </w:tcPr>
          <w:p w14:paraId="2F6B4FC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237" w:type="dxa"/>
            <w:tcBorders>
              <w:top w:val="nil"/>
              <w:bottom w:val="nil"/>
            </w:tcBorders>
          </w:tcPr>
          <w:p w14:paraId="42E151AD" w14:textId="77777777" w:rsidR="009A2843" w:rsidRPr="00013472" w:rsidRDefault="009A2843" w:rsidP="00ED2A39">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59072A6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r>
      <w:tr w:rsidR="009A2843" w:rsidRPr="00013472" w14:paraId="50BCF562"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single" w:sz="4" w:space="0" w:color="auto"/>
              <w:left w:val="single" w:sz="4" w:space="0" w:color="auto"/>
              <w:bottom w:val="nil"/>
            </w:tcBorders>
            <w:shd w:val="clear" w:color="auto" w:fill="D9D9D9" w:themeFill="background1" w:themeFillShade="D9"/>
          </w:tcPr>
          <w:p w14:paraId="23D9C79F" w14:textId="77777777" w:rsidR="009A2843" w:rsidRPr="00013472" w:rsidRDefault="009A2843" w:rsidP="00ED2A39">
            <w:pPr>
              <w:rPr>
                <w:rFonts w:ascii="Calibri" w:hAnsi="Calibri"/>
                <w:color w:val="000000"/>
                <w:sz w:val="16"/>
                <w:szCs w:val="16"/>
                <w:lang w:val="en-US"/>
              </w:rPr>
            </w:pPr>
            <w:r w:rsidRPr="00013472">
              <w:rPr>
                <w:rFonts w:ascii="Calibri" w:hAnsi="Calibri"/>
                <w:color w:val="000000"/>
                <w:sz w:val="16"/>
                <w:szCs w:val="16"/>
                <w:lang w:val="en-US"/>
              </w:rPr>
              <w:t>Disease status at last follow-up</w:t>
            </w:r>
          </w:p>
        </w:tc>
        <w:tc>
          <w:tcPr>
            <w:tcW w:w="1080" w:type="dxa"/>
            <w:tcBorders>
              <w:top w:val="single" w:sz="4" w:space="0" w:color="auto"/>
              <w:bottom w:val="nil"/>
            </w:tcBorders>
            <w:shd w:val="clear" w:color="auto" w:fill="D9D9D9" w:themeFill="background1" w:themeFillShade="D9"/>
          </w:tcPr>
          <w:p w14:paraId="74CBE4E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4D1916A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6861EF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725FBD7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DF3FA6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73DA5DF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1B52D18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533DD06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0" w:type="dxa"/>
            <w:tcBorders>
              <w:top w:val="single" w:sz="4" w:space="0" w:color="auto"/>
              <w:bottom w:val="nil"/>
            </w:tcBorders>
            <w:shd w:val="clear" w:color="auto" w:fill="D9D9D9" w:themeFill="background1" w:themeFillShade="D9"/>
          </w:tcPr>
          <w:p w14:paraId="0570285B"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67" w:type="dxa"/>
            <w:tcBorders>
              <w:top w:val="single" w:sz="4" w:space="0" w:color="auto"/>
              <w:bottom w:val="nil"/>
            </w:tcBorders>
            <w:shd w:val="clear" w:color="auto" w:fill="D9D9D9" w:themeFill="background1" w:themeFillShade="D9"/>
          </w:tcPr>
          <w:p w14:paraId="3AC8DBFD"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37" w:type="dxa"/>
            <w:tcBorders>
              <w:top w:val="nil"/>
              <w:bottom w:val="nil"/>
            </w:tcBorders>
            <w:shd w:val="clear" w:color="auto" w:fill="auto"/>
          </w:tcPr>
          <w:p w14:paraId="46AC43D7" w14:textId="77777777" w:rsidR="009A2843" w:rsidRPr="00013472" w:rsidRDefault="009A2843" w:rsidP="00ED2A39">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single" w:sz="4" w:space="0" w:color="auto"/>
              <w:bottom w:val="nil"/>
              <w:right w:val="single" w:sz="4" w:space="0" w:color="auto"/>
            </w:tcBorders>
            <w:shd w:val="clear" w:color="auto" w:fill="D9D9D9" w:themeFill="background1" w:themeFillShade="D9"/>
          </w:tcPr>
          <w:p w14:paraId="59B35B2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9A2843" w:rsidRPr="00013472" w14:paraId="53990808"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7C1E80FF"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Complete remission</w:t>
            </w:r>
          </w:p>
        </w:tc>
        <w:tc>
          <w:tcPr>
            <w:tcW w:w="1080" w:type="dxa"/>
            <w:tcBorders>
              <w:top w:val="nil"/>
              <w:bottom w:val="nil"/>
            </w:tcBorders>
          </w:tcPr>
          <w:p w14:paraId="3947B30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177/260 (68)</w:t>
            </w:r>
          </w:p>
        </w:tc>
        <w:tc>
          <w:tcPr>
            <w:tcW w:w="1080" w:type="dxa"/>
            <w:tcBorders>
              <w:top w:val="nil"/>
              <w:bottom w:val="nil"/>
            </w:tcBorders>
          </w:tcPr>
          <w:p w14:paraId="0EAB8E60"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144/178 (81)</w:t>
            </w:r>
          </w:p>
        </w:tc>
        <w:tc>
          <w:tcPr>
            <w:tcW w:w="1080" w:type="dxa"/>
            <w:tcBorders>
              <w:top w:val="nil"/>
              <w:bottom w:val="nil"/>
            </w:tcBorders>
          </w:tcPr>
          <w:p w14:paraId="6681BE4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11/26 (42)</w:t>
            </w:r>
          </w:p>
        </w:tc>
        <w:tc>
          <w:tcPr>
            <w:tcW w:w="1080" w:type="dxa"/>
            <w:tcBorders>
              <w:top w:val="nil"/>
              <w:bottom w:val="nil"/>
            </w:tcBorders>
          </w:tcPr>
          <w:p w14:paraId="1A6CCB76"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9/25 (36)</w:t>
            </w:r>
          </w:p>
        </w:tc>
        <w:tc>
          <w:tcPr>
            <w:tcW w:w="1080" w:type="dxa"/>
            <w:tcBorders>
              <w:top w:val="nil"/>
              <w:bottom w:val="nil"/>
            </w:tcBorders>
          </w:tcPr>
          <w:p w14:paraId="5AC62D68"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9/17 (53)</w:t>
            </w:r>
          </w:p>
        </w:tc>
        <w:tc>
          <w:tcPr>
            <w:tcW w:w="1080" w:type="dxa"/>
            <w:tcBorders>
              <w:top w:val="nil"/>
              <w:bottom w:val="nil"/>
            </w:tcBorders>
          </w:tcPr>
          <w:p w14:paraId="7FC8C9D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54F34B5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149F131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35AD21B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4DF25B3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2/4 (50)</w:t>
            </w:r>
          </w:p>
        </w:tc>
        <w:tc>
          <w:tcPr>
            <w:tcW w:w="237" w:type="dxa"/>
            <w:tcBorders>
              <w:top w:val="nil"/>
              <w:bottom w:val="nil"/>
            </w:tcBorders>
          </w:tcPr>
          <w:p w14:paraId="65A1431C" w14:textId="77777777" w:rsidR="009A2843" w:rsidRPr="00013472" w:rsidRDefault="009A2843" w:rsidP="00ED2A39">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769880F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r>
      <w:tr w:rsidR="009A2843" w:rsidRPr="00013472" w14:paraId="58F78A1A"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30D5F5A5"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Alive with disease</w:t>
            </w:r>
          </w:p>
        </w:tc>
        <w:tc>
          <w:tcPr>
            <w:tcW w:w="1080" w:type="dxa"/>
            <w:tcBorders>
              <w:top w:val="nil"/>
              <w:bottom w:val="nil"/>
            </w:tcBorders>
          </w:tcPr>
          <w:p w14:paraId="1B3D9382"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34/260 (13)</w:t>
            </w:r>
          </w:p>
        </w:tc>
        <w:tc>
          <w:tcPr>
            <w:tcW w:w="1080" w:type="dxa"/>
            <w:tcBorders>
              <w:top w:val="nil"/>
              <w:bottom w:val="nil"/>
            </w:tcBorders>
          </w:tcPr>
          <w:p w14:paraId="2450B087"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17/178 (10)</w:t>
            </w:r>
          </w:p>
        </w:tc>
        <w:tc>
          <w:tcPr>
            <w:tcW w:w="1080" w:type="dxa"/>
            <w:tcBorders>
              <w:top w:val="nil"/>
              <w:bottom w:val="nil"/>
            </w:tcBorders>
          </w:tcPr>
          <w:p w14:paraId="4690FDC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8/26 (31)</w:t>
            </w:r>
          </w:p>
        </w:tc>
        <w:tc>
          <w:tcPr>
            <w:tcW w:w="1080" w:type="dxa"/>
            <w:tcBorders>
              <w:top w:val="nil"/>
              <w:bottom w:val="nil"/>
            </w:tcBorders>
          </w:tcPr>
          <w:p w14:paraId="4364100F"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2/25 (8)</w:t>
            </w:r>
          </w:p>
        </w:tc>
        <w:tc>
          <w:tcPr>
            <w:tcW w:w="1080" w:type="dxa"/>
            <w:tcBorders>
              <w:top w:val="nil"/>
              <w:bottom w:val="nil"/>
            </w:tcBorders>
          </w:tcPr>
          <w:p w14:paraId="70C8F0B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4/17 (24)</w:t>
            </w:r>
          </w:p>
        </w:tc>
        <w:tc>
          <w:tcPr>
            <w:tcW w:w="1080" w:type="dxa"/>
            <w:tcBorders>
              <w:top w:val="nil"/>
              <w:bottom w:val="nil"/>
            </w:tcBorders>
          </w:tcPr>
          <w:p w14:paraId="67C720C0"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(33)</w:t>
            </w:r>
          </w:p>
        </w:tc>
        <w:tc>
          <w:tcPr>
            <w:tcW w:w="1080" w:type="dxa"/>
            <w:tcBorders>
              <w:top w:val="nil"/>
              <w:bottom w:val="nil"/>
            </w:tcBorders>
          </w:tcPr>
          <w:p w14:paraId="5D404D3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 (50)</w:t>
            </w:r>
          </w:p>
        </w:tc>
        <w:tc>
          <w:tcPr>
            <w:tcW w:w="1080" w:type="dxa"/>
            <w:tcBorders>
              <w:top w:val="nil"/>
              <w:bottom w:val="nil"/>
            </w:tcBorders>
          </w:tcPr>
          <w:p w14:paraId="06DF7DF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46F13D8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(100)</w:t>
            </w:r>
          </w:p>
        </w:tc>
        <w:tc>
          <w:tcPr>
            <w:tcW w:w="967" w:type="dxa"/>
            <w:tcBorders>
              <w:top w:val="nil"/>
              <w:bottom w:val="nil"/>
            </w:tcBorders>
          </w:tcPr>
          <w:p w14:paraId="2FD2767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37" w:type="dxa"/>
            <w:tcBorders>
              <w:top w:val="nil"/>
              <w:bottom w:val="nil"/>
            </w:tcBorders>
          </w:tcPr>
          <w:p w14:paraId="38171722" w14:textId="77777777" w:rsidR="009A2843" w:rsidRPr="00013472" w:rsidRDefault="009A2843" w:rsidP="00ED2A39">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68DF48C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598A2DCD"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2B79EDCD"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Dead of lymphoma</w:t>
            </w:r>
          </w:p>
        </w:tc>
        <w:tc>
          <w:tcPr>
            <w:tcW w:w="1080" w:type="dxa"/>
            <w:tcBorders>
              <w:top w:val="nil"/>
              <w:bottom w:val="nil"/>
            </w:tcBorders>
          </w:tcPr>
          <w:p w14:paraId="7FA4899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25/260 (10)</w:t>
            </w:r>
          </w:p>
        </w:tc>
        <w:tc>
          <w:tcPr>
            <w:tcW w:w="1080" w:type="dxa"/>
            <w:tcBorders>
              <w:top w:val="nil"/>
              <w:bottom w:val="nil"/>
            </w:tcBorders>
          </w:tcPr>
          <w:p w14:paraId="663F67E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6/178 (3)</w:t>
            </w:r>
          </w:p>
        </w:tc>
        <w:tc>
          <w:tcPr>
            <w:tcW w:w="1080" w:type="dxa"/>
            <w:tcBorders>
              <w:top w:val="nil"/>
              <w:bottom w:val="nil"/>
            </w:tcBorders>
          </w:tcPr>
          <w:p w14:paraId="2982FBE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5/26 (19)</w:t>
            </w:r>
          </w:p>
        </w:tc>
        <w:tc>
          <w:tcPr>
            <w:tcW w:w="1080" w:type="dxa"/>
            <w:tcBorders>
              <w:top w:val="nil"/>
              <w:bottom w:val="nil"/>
            </w:tcBorders>
          </w:tcPr>
          <w:p w14:paraId="210618EC"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7/25 (28)</w:t>
            </w:r>
          </w:p>
        </w:tc>
        <w:tc>
          <w:tcPr>
            <w:tcW w:w="1080" w:type="dxa"/>
            <w:tcBorders>
              <w:top w:val="nil"/>
              <w:bottom w:val="nil"/>
            </w:tcBorders>
          </w:tcPr>
          <w:p w14:paraId="01F6C6F7"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3/17 (18)</w:t>
            </w:r>
          </w:p>
        </w:tc>
        <w:tc>
          <w:tcPr>
            <w:tcW w:w="1080" w:type="dxa"/>
            <w:tcBorders>
              <w:top w:val="nil"/>
              <w:bottom w:val="nil"/>
            </w:tcBorders>
          </w:tcPr>
          <w:p w14:paraId="733BB22A"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542EFD8E"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 (50)</w:t>
            </w:r>
          </w:p>
        </w:tc>
        <w:tc>
          <w:tcPr>
            <w:tcW w:w="1080" w:type="dxa"/>
            <w:tcBorders>
              <w:top w:val="nil"/>
              <w:bottom w:val="nil"/>
            </w:tcBorders>
          </w:tcPr>
          <w:p w14:paraId="29C20A9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(100)</w:t>
            </w:r>
          </w:p>
        </w:tc>
        <w:tc>
          <w:tcPr>
            <w:tcW w:w="1080" w:type="dxa"/>
            <w:tcBorders>
              <w:top w:val="nil"/>
              <w:bottom w:val="nil"/>
            </w:tcBorders>
          </w:tcPr>
          <w:p w14:paraId="141C8904"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25C1093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 (25)</w:t>
            </w:r>
          </w:p>
        </w:tc>
        <w:tc>
          <w:tcPr>
            <w:tcW w:w="237" w:type="dxa"/>
            <w:tcBorders>
              <w:top w:val="nil"/>
              <w:bottom w:val="nil"/>
            </w:tcBorders>
          </w:tcPr>
          <w:p w14:paraId="798C3822" w14:textId="77777777" w:rsidR="009A2843" w:rsidRPr="00013472" w:rsidRDefault="009A2843" w:rsidP="00ED2A39">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13525B6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4588C826" w14:textId="77777777" w:rsidTr="009A2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nil"/>
            </w:tcBorders>
          </w:tcPr>
          <w:p w14:paraId="250BFD12"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Dead from other causes</w:t>
            </w:r>
          </w:p>
        </w:tc>
        <w:tc>
          <w:tcPr>
            <w:tcW w:w="1080" w:type="dxa"/>
            <w:tcBorders>
              <w:top w:val="nil"/>
              <w:bottom w:val="nil"/>
            </w:tcBorders>
          </w:tcPr>
          <w:p w14:paraId="57F86F1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24/260 (9)</w:t>
            </w:r>
          </w:p>
        </w:tc>
        <w:tc>
          <w:tcPr>
            <w:tcW w:w="1080" w:type="dxa"/>
            <w:tcBorders>
              <w:top w:val="nil"/>
              <w:bottom w:val="nil"/>
            </w:tcBorders>
          </w:tcPr>
          <w:p w14:paraId="70CA66C5"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11/178 (6)</w:t>
            </w:r>
          </w:p>
        </w:tc>
        <w:tc>
          <w:tcPr>
            <w:tcW w:w="1080" w:type="dxa"/>
            <w:tcBorders>
              <w:top w:val="nil"/>
              <w:bottom w:val="nil"/>
            </w:tcBorders>
          </w:tcPr>
          <w:p w14:paraId="1FD59438"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2/26 (8)</w:t>
            </w:r>
          </w:p>
        </w:tc>
        <w:tc>
          <w:tcPr>
            <w:tcW w:w="1080" w:type="dxa"/>
            <w:tcBorders>
              <w:top w:val="nil"/>
              <w:bottom w:val="nil"/>
            </w:tcBorders>
          </w:tcPr>
          <w:p w14:paraId="5FA3FD89"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7/25 (28)</w:t>
            </w:r>
          </w:p>
        </w:tc>
        <w:tc>
          <w:tcPr>
            <w:tcW w:w="1080" w:type="dxa"/>
            <w:tcBorders>
              <w:top w:val="nil"/>
              <w:bottom w:val="nil"/>
            </w:tcBorders>
          </w:tcPr>
          <w:p w14:paraId="31425EC4"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1/17 (6)</w:t>
            </w:r>
          </w:p>
        </w:tc>
        <w:tc>
          <w:tcPr>
            <w:tcW w:w="1080" w:type="dxa"/>
            <w:tcBorders>
              <w:top w:val="nil"/>
              <w:bottom w:val="nil"/>
            </w:tcBorders>
          </w:tcPr>
          <w:p w14:paraId="5A3A518E"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2/3 (67)</w:t>
            </w:r>
          </w:p>
        </w:tc>
        <w:tc>
          <w:tcPr>
            <w:tcW w:w="1080" w:type="dxa"/>
            <w:tcBorders>
              <w:top w:val="nil"/>
              <w:bottom w:val="nil"/>
            </w:tcBorders>
          </w:tcPr>
          <w:p w14:paraId="0A5791F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5C86D73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0" w:type="dxa"/>
            <w:tcBorders>
              <w:top w:val="nil"/>
              <w:bottom w:val="nil"/>
            </w:tcBorders>
          </w:tcPr>
          <w:p w14:paraId="3BFA4A51"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nil"/>
            </w:tcBorders>
          </w:tcPr>
          <w:p w14:paraId="0C01E543"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 (25)</w:t>
            </w:r>
          </w:p>
        </w:tc>
        <w:tc>
          <w:tcPr>
            <w:tcW w:w="237" w:type="dxa"/>
            <w:tcBorders>
              <w:top w:val="nil"/>
              <w:bottom w:val="nil"/>
            </w:tcBorders>
          </w:tcPr>
          <w:p w14:paraId="3FC4FB07" w14:textId="77777777" w:rsidR="009A2843" w:rsidRPr="00013472" w:rsidRDefault="009A2843" w:rsidP="00ED2A39">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965" w:type="dxa"/>
            <w:tcBorders>
              <w:top w:val="nil"/>
              <w:bottom w:val="nil"/>
              <w:right w:val="single" w:sz="4" w:space="0" w:color="auto"/>
            </w:tcBorders>
          </w:tcPr>
          <w:p w14:paraId="02DF2486" w14:textId="77777777" w:rsidR="009A2843" w:rsidRPr="00013472" w:rsidRDefault="009A2843"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9A2843" w:rsidRPr="00013472" w14:paraId="1B329EC4" w14:textId="77777777" w:rsidTr="009A2843">
        <w:tc>
          <w:tcPr>
            <w:cnfStyle w:val="001000000000" w:firstRow="0" w:lastRow="0" w:firstColumn="1" w:lastColumn="0" w:oddVBand="0" w:evenVBand="0" w:oddHBand="0" w:evenHBand="0" w:firstRowFirstColumn="0" w:firstRowLastColumn="0" w:lastRowFirstColumn="0" w:lastRowLastColumn="0"/>
            <w:tcW w:w="2387" w:type="dxa"/>
            <w:tcBorders>
              <w:top w:val="nil"/>
              <w:left w:val="single" w:sz="4" w:space="0" w:color="auto"/>
              <w:bottom w:val="single" w:sz="4" w:space="0" w:color="auto"/>
            </w:tcBorders>
          </w:tcPr>
          <w:p w14:paraId="2B733EBD" w14:textId="77777777" w:rsidR="009A2843" w:rsidRPr="00013472" w:rsidRDefault="009A2843" w:rsidP="00ED2A39">
            <w:pPr>
              <w:rPr>
                <w:rFonts w:ascii="Calibri" w:hAnsi="Calibri"/>
                <w:b w:val="0"/>
                <w:color w:val="000000"/>
                <w:sz w:val="16"/>
                <w:szCs w:val="16"/>
                <w:lang w:val="en-US"/>
              </w:rPr>
            </w:pPr>
            <w:r w:rsidRPr="00013472">
              <w:rPr>
                <w:rFonts w:ascii="Calibri" w:hAnsi="Calibri"/>
                <w:b w:val="0"/>
                <w:color w:val="000000"/>
                <w:sz w:val="16"/>
                <w:szCs w:val="16"/>
                <w:lang w:val="en-US"/>
              </w:rPr>
              <w:t>Median time to last follow-</w:t>
            </w:r>
            <w:proofErr w:type="gramStart"/>
            <w:r w:rsidRPr="00013472">
              <w:rPr>
                <w:rFonts w:ascii="Calibri" w:hAnsi="Calibri"/>
                <w:b w:val="0"/>
                <w:color w:val="000000"/>
                <w:sz w:val="16"/>
                <w:szCs w:val="16"/>
                <w:lang w:val="en-US"/>
              </w:rPr>
              <w:t>up ,</w:t>
            </w:r>
            <w:proofErr w:type="gramEnd"/>
            <w:r w:rsidRPr="00013472">
              <w:rPr>
                <w:rFonts w:ascii="Calibri" w:hAnsi="Calibri"/>
                <w:b w:val="0"/>
                <w:color w:val="000000"/>
                <w:sz w:val="16"/>
                <w:szCs w:val="16"/>
                <w:lang w:val="en-US"/>
              </w:rPr>
              <w:t xml:space="preserve"> months (range)</w:t>
            </w:r>
          </w:p>
        </w:tc>
        <w:tc>
          <w:tcPr>
            <w:tcW w:w="1080" w:type="dxa"/>
            <w:tcBorders>
              <w:top w:val="nil"/>
              <w:bottom w:val="single" w:sz="4" w:space="0" w:color="auto"/>
            </w:tcBorders>
          </w:tcPr>
          <w:p w14:paraId="7F3A9679"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18 (0-372)</w:t>
            </w:r>
          </w:p>
        </w:tc>
        <w:tc>
          <w:tcPr>
            <w:tcW w:w="1080" w:type="dxa"/>
            <w:tcBorders>
              <w:top w:val="nil"/>
              <w:bottom w:val="single" w:sz="4" w:space="0" w:color="auto"/>
            </w:tcBorders>
          </w:tcPr>
          <w:p w14:paraId="05AB9A8B"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 (1-372)</w:t>
            </w:r>
          </w:p>
        </w:tc>
        <w:tc>
          <w:tcPr>
            <w:tcW w:w="1080" w:type="dxa"/>
            <w:tcBorders>
              <w:top w:val="nil"/>
              <w:bottom w:val="single" w:sz="4" w:space="0" w:color="auto"/>
            </w:tcBorders>
          </w:tcPr>
          <w:p w14:paraId="2354804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67 (0-223)</w:t>
            </w:r>
          </w:p>
        </w:tc>
        <w:tc>
          <w:tcPr>
            <w:tcW w:w="1080" w:type="dxa"/>
            <w:tcBorders>
              <w:top w:val="nil"/>
              <w:bottom w:val="single" w:sz="4" w:space="0" w:color="auto"/>
            </w:tcBorders>
          </w:tcPr>
          <w:p w14:paraId="7BC98C43"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 (0-135)</w:t>
            </w:r>
          </w:p>
        </w:tc>
        <w:tc>
          <w:tcPr>
            <w:tcW w:w="1080" w:type="dxa"/>
            <w:tcBorders>
              <w:top w:val="nil"/>
              <w:bottom w:val="single" w:sz="4" w:space="0" w:color="auto"/>
            </w:tcBorders>
          </w:tcPr>
          <w:p w14:paraId="7E16E53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25 (4-232)</w:t>
            </w:r>
          </w:p>
        </w:tc>
        <w:tc>
          <w:tcPr>
            <w:tcW w:w="1080" w:type="dxa"/>
            <w:tcBorders>
              <w:top w:val="nil"/>
              <w:bottom w:val="single" w:sz="4" w:space="0" w:color="auto"/>
            </w:tcBorders>
          </w:tcPr>
          <w:p w14:paraId="4F637692"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23 (21-147)</w:t>
            </w:r>
          </w:p>
        </w:tc>
        <w:tc>
          <w:tcPr>
            <w:tcW w:w="1080" w:type="dxa"/>
            <w:tcBorders>
              <w:top w:val="nil"/>
              <w:bottom w:val="single" w:sz="4" w:space="0" w:color="auto"/>
            </w:tcBorders>
          </w:tcPr>
          <w:p w14:paraId="35C89CE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 (4-14)</w:t>
            </w:r>
          </w:p>
        </w:tc>
        <w:tc>
          <w:tcPr>
            <w:tcW w:w="1080" w:type="dxa"/>
            <w:tcBorders>
              <w:top w:val="nil"/>
              <w:bottom w:val="single" w:sz="4" w:space="0" w:color="auto"/>
            </w:tcBorders>
          </w:tcPr>
          <w:p w14:paraId="6C38FA6D"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95 (77-113)</w:t>
            </w:r>
          </w:p>
        </w:tc>
        <w:tc>
          <w:tcPr>
            <w:tcW w:w="1080" w:type="dxa"/>
            <w:tcBorders>
              <w:top w:val="nil"/>
              <w:bottom w:val="single" w:sz="4" w:space="0" w:color="auto"/>
            </w:tcBorders>
          </w:tcPr>
          <w:p w14:paraId="60EC08A1"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67" w:type="dxa"/>
            <w:tcBorders>
              <w:top w:val="nil"/>
              <w:bottom w:val="single" w:sz="4" w:space="0" w:color="auto"/>
            </w:tcBorders>
          </w:tcPr>
          <w:p w14:paraId="5A13EB0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52 (6-116)</w:t>
            </w:r>
          </w:p>
        </w:tc>
        <w:tc>
          <w:tcPr>
            <w:tcW w:w="237" w:type="dxa"/>
            <w:tcBorders>
              <w:top w:val="nil"/>
              <w:bottom w:val="single" w:sz="4" w:space="0" w:color="auto"/>
            </w:tcBorders>
          </w:tcPr>
          <w:p w14:paraId="492BF32F" w14:textId="77777777" w:rsidR="009A2843" w:rsidRPr="00013472" w:rsidRDefault="009A2843" w:rsidP="00ED2A39">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1965" w:type="dxa"/>
            <w:tcBorders>
              <w:top w:val="nil"/>
              <w:bottom w:val="single" w:sz="4" w:space="0" w:color="auto"/>
              <w:right w:val="single" w:sz="4" w:space="0" w:color="auto"/>
            </w:tcBorders>
          </w:tcPr>
          <w:p w14:paraId="361D4025" w14:textId="77777777" w:rsidR="009A2843" w:rsidRPr="00013472" w:rsidRDefault="009A2843"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 (9-11)</w:t>
            </w:r>
          </w:p>
        </w:tc>
      </w:tr>
    </w:tbl>
    <w:p w14:paraId="5062CB31" w14:textId="67A34513" w:rsidR="008B3A9B" w:rsidRPr="00013472" w:rsidRDefault="008B3A9B" w:rsidP="00ED2A39">
      <w:pPr>
        <w:spacing w:line="480" w:lineRule="auto"/>
        <w:ind w:left="-142" w:firstLine="142"/>
        <w:rPr>
          <w:lang w:val="en-US"/>
        </w:rPr>
      </w:pPr>
      <w:r w:rsidRPr="00013472">
        <w:rPr>
          <w:lang w:val="en-US"/>
        </w:rPr>
        <w:br w:type="page"/>
      </w:r>
    </w:p>
    <w:tbl>
      <w:tblPr>
        <w:tblStyle w:val="LightList"/>
        <w:tblW w:w="0" w:type="auto"/>
        <w:tblLayout w:type="fixed"/>
        <w:tblLook w:val="04A0" w:firstRow="1" w:lastRow="0" w:firstColumn="1" w:lastColumn="0" w:noHBand="0" w:noVBand="1"/>
      </w:tblPr>
      <w:tblGrid>
        <w:gridCol w:w="2381"/>
        <w:gridCol w:w="797"/>
        <w:gridCol w:w="34"/>
        <w:gridCol w:w="763"/>
        <w:gridCol w:w="1055"/>
        <w:gridCol w:w="796"/>
        <w:gridCol w:w="927"/>
        <w:gridCol w:w="851"/>
        <w:gridCol w:w="709"/>
        <w:gridCol w:w="850"/>
        <w:gridCol w:w="732"/>
        <w:gridCol w:w="796"/>
        <w:gridCol w:w="279"/>
        <w:gridCol w:w="2446"/>
      </w:tblGrid>
      <w:tr w:rsidR="00A43EA4" w:rsidRPr="00013472" w14:paraId="6FCF85F8" w14:textId="77777777" w:rsidTr="00A43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6" w:type="dxa"/>
            <w:gridSpan w:val="14"/>
            <w:shd w:val="clear" w:color="auto" w:fill="auto"/>
          </w:tcPr>
          <w:p w14:paraId="500BCD4B" w14:textId="24E4F682" w:rsidR="00A43EA4" w:rsidRPr="00013472" w:rsidRDefault="00A43EA4" w:rsidP="00C03DE7">
            <w:pPr>
              <w:rPr>
                <w:rFonts w:ascii="Calibri" w:hAnsi="Calibri"/>
                <w:bCs w:val="0"/>
                <w:color w:val="auto"/>
                <w:sz w:val="16"/>
                <w:szCs w:val="16"/>
                <w:lang w:val="en-US"/>
              </w:rPr>
            </w:pPr>
            <w:r w:rsidRPr="00013472">
              <w:rPr>
                <w:rFonts w:ascii="Calibri" w:hAnsi="Calibri"/>
                <w:bCs w:val="0"/>
                <w:color w:val="auto"/>
                <w:sz w:val="16"/>
                <w:szCs w:val="16"/>
                <w:lang w:val="en-US"/>
              </w:rPr>
              <w:lastRenderedPageBreak/>
              <w:t>Table 3. Frequency of Symptoms, Clinical Signs, and Local Spread at Presentation of Lacrimal Gland Lymphoma</w:t>
            </w:r>
          </w:p>
        </w:tc>
      </w:tr>
      <w:tr w:rsidR="00B10A76" w:rsidRPr="00013472" w14:paraId="23FCE90E" w14:textId="77777777" w:rsidTr="00B10A7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381" w:type="dxa"/>
            <w:vMerge w:val="restart"/>
            <w:tcBorders>
              <w:bottom w:val="nil"/>
            </w:tcBorders>
          </w:tcPr>
          <w:p w14:paraId="548790F2" w14:textId="77777777" w:rsidR="00B10A76" w:rsidRPr="00013472" w:rsidRDefault="00B10A76" w:rsidP="00C03DE7">
            <w:pPr>
              <w:rPr>
                <w:rFonts w:ascii="Calibri" w:hAnsi="Calibri"/>
                <w:color w:val="000000"/>
                <w:sz w:val="16"/>
                <w:szCs w:val="16"/>
                <w:lang w:val="en-US"/>
              </w:rPr>
            </w:pPr>
          </w:p>
          <w:p w14:paraId="6FD089D9" w14:textId="77777777" w:rsidR="00B10A76" w:rsidRPr="00013472" w:rsidRDefault="00B10A76" w:rsidP="00C03DE7">
            <w:pPr>
              <w:rPr>
                <w:rFonts w:ascii="Calibri" w:hAnsi="Calibri"/>
                <w:color w:val="000000"/>
                <w:sz w:val="16"/>
                <w:szCs w:val="16"/>
                <w:lang w:val="en-US"/>
              </w:rPr>
            </w:pPr>
          </w:p>
          <w:p w14:paraId="34BA6266" w14:textId="56601A5D" w:rsidR="00B10A76" w:rsidRPr="00013472" w:rsidRDefault="00B10A76" w:rsidP="00C03DE7">
            <w:pPr>
              <w:rPr>
                <w:rFonts w:asciiTheme="majorHAnsi" w:hAnsiTheme="majorHAnsi"/>
                <w:sz w:val="16"/>
                <w:szCs w:val="16"/>
                <w:lang w:val="en-US"/>
              </w:rPr>
            </w:pPr>
          </w:p>
        </w:tc>
        <w:tc>
          <w:tcPr>
            <w:tcW w:w="831" w:type="dxa"/>
            <w:gridSpan w:val="2"/>
            <w:tcBorders>
              <w:top w:val="single" w:sz="4" w:space="0" w:color="auto"/>
              <w:bottom w:val="nil"/>
            </w:tcBorders>
          </w:tcPr>
          <w:p w14:paraId="0D4EE8EE" w14:textId="22FBC3C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479" w:type="dxa"/>
            <w:gridSpan w:val="9"/>
            <w:tcBorders>
              <w:top w:val="single" w:sz="4" w:space="0" w:color="auto"/>
              <w:bottom w:val="single" w:sz="4" w:space="0" w:color="auto"/>
            </w:tcBorders>
          </w:tcPr>
          <w:p w14:paraId="778BECA3" w14:textId="2F9269A8"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b/>
                <w:bCs/>
                <w:color w:val="000000"/>
                <w:sz w:val="16"/>
                <w:szCs w:val="16"/>
                <w:lang w:val="en-US"/>
              </w:rPr>
              <w:t>B-cell lymphoma No. (%)</w:t>
            </w:r>
          </w:p>
        </w:tc>
        <w:tc>
          <w:tcPr>
            <w:tcW w:w="279" w:type="dxa"/>
            <w:tcBorders>
              <w:top w:val="single" w:sz="4" w:space="0" w:color="auto"/>
              <w:bottom w:val="nil"/>
            </w:tcBorders>
          </w:tcPr>
          <w:p w14:paraId="4E022D3D"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single" w:sz="4" w:space="0" w:color="auto"/>
            </w:tcBorders>
          </w:tcPr>
          <w:p w14:paraId="448E5919" w14:textId="54423DE0"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b/>
                <w:bCs/>
                <w:color w:val="000000"/>
                <w:sz w:val="16"/>
                <w:szCs w:val="16"/>
                <w:lang w:val="en-US"/>
              </w:rPr>
              <w:t>T-cell lymphoma No. (%)</w:t>
            </w:r>
          </w:p>
        </w:tc>
      </w:tr>
      <w:tr w:rsidR="00B10A76" w:rsidRPr="00013472" w14:paraId="6DC76875" w14:textId="77777777" w:rsidTr="00B10A76">
        <w:trPr>
          <w:trHeight w:val="405"/>
        </w:trPr>
        <w:tc>
          <w:tcPr>
            <w:cnfStyle w:val="001000000000" w:firstRow="0" w:lastRow="0" w:firstColumn="1" w:lastColumn="0" w:oddVBand="0" w:evenVBand="0" w:oddHBand="0" w:evenHBand="0" w:firstRowFirstColumn="0" w:firstRowLastColumn="0" w:lastRowFirstColumn="0" w:lastRowLastColumn="0"/>
            <w:tcW w:w="2381" w:type="dxa"/>
            <w:vMerge/>
            <w:tcBorders>
              <w:top w:val="nil"/>
            </w:tcBorders>
          </w:tcPr>
          <w:p w14:paraId="71E33BD3" w14:textId="77777777" w:rsidR="00B10A76" w:rsidRPr="00013472" w:rsidRDefault="00B10A76" w:rsidP="00C03DE7">
            <w:pPr>
              <w:rPr>
                <w:sz w:val="16"/>
                <w:szCs w:val="16"/>
                <w:lang w:val="en-US"/>
              </w:rPr>
            </w:pPr>
          </w:p>
        </w:tc>
        <w:tc>
          <w:tcPr>
            <w:tcW w:w="797" w:type="dxa"/>
            <w:tcBorders>
              <w:top w:val="nil"/>
              <w:bottom w:val="single" w:sz="4" w:space="0" w:color="auto"/>
            </w:tcBorders>
          </w:tcPr>
          <w:p w14:paraId="357B132D"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All</w:t>
            </w:r>
          </w:p>
          <w:p w14:paraId="4D9B7333" w14:textId="1EEC2CFF"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261</w:t>
            </w:r>
          </w:p>
        </w:tc>
        <w:tc>
          <w:tcPr>
            <w:tcW w:w="797" w:type="dxa"/>
            <w:gridSpan w:val="2"/>
          </w:tcPr>
          <w:p w14:paraId="5F9F3ACD"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EMZL</w:t>
            </w:r>
          </w:p>
          <w:p w14:paraId="5A721718" w14:textId="415601FF"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178 (68)</w:t>
            </w:r>
          </w:p>
        </w:tc>
        <w:tc>
          <w:tcPr>
            <w:tcW w:w="1055" w:type="dxa"/>
          </w:tcPr>
          <w:p w14:paraId="65ECD9D8"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FL</w:t>
            </w:r>
          </w:p>
          <w:p w14:paraId="7E515B37" w14:textId="1CC8420E"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26(10)</w:t>
            </w:r>
          </w:p>
        </w:tc>
        <w:tc>
          <w:tcPr>
            <w:tcW w:w="796" w:type="dxa"/>
            <w:tcBorders>
              <w:bottom w:val="single" w:sz="4" w:space="0" w:color="auto"/>
            </w:tcBorders>
          </w:tcPr>
          <w:p w14:paraId="122558A6"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DLBCL</w:t>
            </w:r>
          </w:p>
          <w:p w14:paraId="0840230D" w14:textId="548EFAA3"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 (10)</w:t>
            </w:r>
          </w:p>
        </w:tc>
        <w:tc>
          <w:tcPr>
            <w:tcW w:w="927" w:type="dxa"/>
          </w:tcPr>
          <w:p w14:paraId="1F8D648B"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MCL</w:t>
            </w:r>
          </w:p>
          <w:p w14:paraId="38A2EA34" w14:textId="082A4B58"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 (7)</w:t>
            </w:r>
          </w:p>
        </w:tc>
        <w:tc>
          <w:tcPr>
            <w:tcW w:w="851" w:type="dxa"/>
          </w:tcPr>
          <w:p w14:paraId="5CFF9977"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SLL/CLL</w:t>
            </w:r>
          </w:p>
          <w:p w14:paraId="667C4E0C" w14:textId="1EA6F593"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w:t>
            </w:r>
          </w:p>
        </w:tc>
        <w:tc>
          <w:tcPr>
            <w:tcW w:w="709" w:type="dxa"/>
          </w:tcPr>
          <w:p w14:paraId="49CB215D" w14:textId="2501C10A" w:rsidR="00B10A76" w:rsidRPr="00013472" w:rsidRDefault="0058783B"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BL</w:t>
            </w:r>
          </w:p>
          <w:p w14:paraId="73E061AF" w14:textId="127C106E"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w:t>
            </w:r>
          </w:p>
        </w:tc>
        <w:tc>
          <w:tcPr>
            <w:tcW w:w="850" w:type="dxa"/>
          </w:tcPr>
          <w:p w14:paraId="0210652C"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PL</w:t>
            </w:r>
          </w:p>
          <w:p w14:paraId="634885D1" w14:textId="74031D39"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w:t>
            </w:r>
          </w:p>
        </w:tc>
        <w:tc>
          <w:tcPr>
            <w:tcW w:w="732" w:type="dxa"/>
          </w:tcPr>
          <w:p w14:paraId="70427CD6"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LPL</w:t>
            </w:r>
          </w:p>
          <w:p w14:paraId="68A7A0BA" w14:textId="26A7EE04"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(0.4)</w:t>
            </w:r>
          </w:p>
        </w:tc>
        <w:tc>
          <w:tcPr>
            <w:tcW w:w="796" w:type="dxa"/>
          </w:tcPr>
          <w:p w14:paraId="01CDFB81" w14:textId="4462323B"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BCL-NOS</w:t>
            </w:r>
          </w:p>
          <w:p w14:paraId="7B73F991" w14:textId="798026EC"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(2)</w:t>
            </w:r>
          </w:p>
        </w:tc>
        <w:tc>
          <w:tcPr>
            <w:tcW w:w="279" w:type="dxa"/>
            <w:vMerge w:val="restart"/>
            <w:tcBorders>
              <w:top w:val="nil"/>
            </w:tcBorders>
          </w:tcPr>
          <w:p w14:paraId="2B3A25EA" w14:textId="77777777"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Pr>
          <w:p w14:paraId="70CD4DC2" w14:textId="1A3AB8D6"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PTL-NOS</w:t>
            </w:r>
          </w:p>
          <w:p w14:paraId="4C121BF5" w14:textId="588C5236" w:rsidR="00B10A76" w:rsidRPr="00013472" w:rsidRDefault="00B10A76" w:rsidP="00B10A7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w:t>
            </w:r>
          </w:p>
        </w:tc>
      </w:tr>
      <w:tr w:rsidR="000378AA" w:rsidRPr="00013472" w14:paraId="0815B83C" w14:textId="77777777" w:rsidTr="0003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bottom w:val="nil"/>
            </w:tcBorders>
            <w:shd w:val="clear" w:color="auto" w:fill="D9D9D9" w:themeFill="background1" w:themeFillShade="D9"/>
          </w:tcPr>
          <w:p w14:paraId="75ED2E3F" w14:textId="3FE05314" w:rsidR="000378AA" w:rsidRPr="00013472" w:rsidRDefault="000378AA" w:rsidP="00C03DE7">
            <w:pPr>
              <w:rPr>
                <w:rFonts w:ascii="Calibri" w:hAnsi="Calibri"/>
                <w:b w:val="0"/>
                <w:color w:val="000000"/>
                <w:sz w:val="16"/>
                <w:szCs w:val="16"/>
                <w:lang w:val="en-US"/>
              </w:rPr>
            </w:pPr>
            <w:proofErr w:type="spellStart"/>
            <w:r w:rsidRPr="00013472">
              <w:rPr>
                <w:rFonts w:ascii="Calibri" w:hAnsi="Calibri"/>
                <w:color w:val="000000"/>
                <w:sz w:val="16"/>
                <w:szCs w:val="16"/>
                <w:lang w:val="en-US"/>
              </w:rPr>
              <w:t>Symptoms</w:t>
            </w:r>
            <w:r w:rsidRPr="00013472">
              <w:rPr>
                <w:rFonts w:ascii="Calibri" w:hAnsi="Calibri"/>
                <w:color w:val="000000"/>
                <w:sz w:val="16"/>
                <w:szCs w:val="16"/>
                <w:vertAlign w:val="superscript"/>
                <w:lang w:val="en-US"/>
              </w:rPr>
              <w:t>b</w:t>
            </w:r>
            <w:proofErr w:type="spellEnd"/>
          </w:p>
        </w:tc>
        <w:tc>
          <w:tcPr>
            <w:tcW w:w="797" w:type="dxa"/>
            <w:tcBorders>
              <w:top w:val="single" w:sz="4" w:space="0" w:color="auto"/>
              <w:bottom w:val="nil"/>
            </w:tcBorders>
            <w:shd w:val="clear" w:color="auto" w:fill="D9D9D9" w:themeFill="background1" w:themeFillShade="D9"/>
          </w:tcPr>
          <w:p w14:paraId="27141555"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7" w:type="dxa"/>
            <w:gridSpan w:val="2"/>
            <w:tcBorders>
              <w:bottom w:val="nil"/>
            </w:tcBorders>
            <w:shd w:val="clear" w:color="auto" w:fill="D9D9D9" w:themeFill="background1" w:themeFillShade="D9"/>
          </w:tcPr>
          <w:p w14:paraId="48832DD4"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55" w:type="dxa"/>
            <w:tcBorders>
              <w:bottom w:val="nil"/>
            </w:tcBorders>
            <w:shd w:val="clear" w:color="auto" w:fill="D9D9D9" w:themeFill="background1" w:themeFillShade="D9"/>
          </w:tcPr>
          <w:p w14:paraId="6B81F096"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6" w:type="dxa"/>
            <w:tcBorders>
              <w:top w:val="single" w:sz="4" w:space="0" w:color="auto"/>
              <w:bottom w:val="nil"/>
            </w:tcBorders>
            <w:shd w:val="clear" w:color="auto" w:fill="D9D9D9" w:themeFill="background1" w:themeFillShade="D9"/>
          </w:tcPr>
          <w:p w14:paraId="72F78AC6"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27" w:type="dxa"/>
            <w:tcBorders>
              <w:bottom w:val="nil"/>
            </w:tcBorders>
            <w:shd w:val="clear" w:color="auto" w:fill="D9D9D9" w:themeFill="background1" w:themeFillShade="D9"/>
          </w:tcPr>
          <w:p w14:paraId="1D93B782"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851" w:type="dxa"/>
            <w:tcBorders>
              <w:bottom w:val="nil"/>
            </w:tcBorders>
            <w:shd w:val="clear" w:color="auto" w:fill="D9D9D9" w:themeFill="background1" w:themeFillShade="D9"/>
          </w:tcPr>
          <w:p w14:paraId="46F3A728"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09" w:type="dxa"/>
            <w:tcBorders>
              <w:bottom w:val="nil"/>
            </w:tcBorders>
            <w:shd w:val="clear" w:color="auto" w:fill="D9D9D9" w:themeFill="background1" w:themeFillShade="D9"/>
          </w:tcPr>
          <w:p w14:paraId="0C607477"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850" w:type="dxa"/>
            <w:tcBorders>
              <w:bottom w:val="nil"/>
            </w:tcBorders>
            <w:shd w:val="clear" w:color="auto" w:fill="D9D9D9" w:themeFill="background1" w:themeFillShade="D9"/>
          </w:tcPr>
          <w:p w14:paraId="6B609EEB"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32" w:type="dxa"/>
            <w:tcBorders>
              <w:bottom w:val="nil"/>
            </w:tcBorders>
            <w:shd w:val="clear" w:color="auto" w:fill="D9D9D9" w:themeFill="background1" w:themeFillShade="D9"/>
          </w:tcPr>
          <w:p w14:paraId="74BD8538"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6" w:type="dxa"/>
            <w:tcBorders>
              <w:bottom w:val="nil"/>
            </w:tcBorders>
            <w:shd w:val="clear" w:color="auto" w:fill="D9D9D9" w:themeFill="background1" w:themeFillShade="D9"/>
          </w:tcPr>
          <w:p w14:paraId="25ACAC42"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79" w:type="dxa"/>
            <w:vMerge/>
            <w:tcBorders>
              <w:bottom w:val="nil"/>
            </w:tcBorders>
            <w:shd w:val="clear" w:color="auto" w:fill="D9D9D9" w:themeFill="background1" w:themeFillShade="D9"/>
          </w:tcPr>
          <w:p w14:paraId="6C591DA4"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bottom w:val="nil"/>
            </w:tcBorders>
            <w:shd w:val="clear" w:color="auto" w:fill="D9D9D9" w:themeFill="background1" w:themeFillShade="D9"/>
          </w:tcPr>
          <w:p w14:paraId="31D3093A" w14:textId="77777777" w:rsidR="000378AA" w:rsidRPr="00013472" w:rsidRDefault="000378AA"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B10A76" w:rsidRPr="00013472" w14:paraId="4CF0E622" w14:textId="77777777" w:rsidTr="000378AA">
        <w:tc>
          <w:tcPr>
            <w:cnfStyle w:val="001000000000" w:firstRow="0" w:lastRow="0" w:firstColumn="1" w:lastColumn="0" w:oddVBand="0" w:evenVBand="0" w:oddHBand="0" w:evenHBand="0" w:firstRowFirstColumn="0" w:firstRowLastColumn="0" w:lastRowFirstColumn="0" w:lastRowLastColumn="0"/>
            <w:tcW w:w="2381" w:type="dxa"/>
            <w:tcBorders>
              <w:bottom w:val="nil"/>
            </w:tcBorders>
          </w:tcPr>
          <w:p w14:paraId="15FF4445"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First presenting symptom in OAR</w:t>
            </w:r>
          </w:p>
        </w:tc>
        <w:tc>
          <w:tcPr>
            <w:tcW w:w="797" w:type="dxa"/>
            <w:tcBorders>
              <w:top w:val="nil"/>
              <w:bottom w:val="nil"/>
            </w:tcBorders>
          </w:tcPr>
          <w:p w14:paraId="7CEAD6F7"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214 (90)</w:t>
            </w:r>
          </w:p>
        </w:tc>
        <w:tc>
          <w:tcPr>
            <w:tcW w:w="797" w:type="dxa"/>
            <w:gridSpan w:val="2"/>
            <w:tcBorders>
              <w:bottom w:val="nil"/>
            </w:tcBorders>
          </w:tcPr>
          <w:p w14:paraId="5845C20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160 (95)</w:t>
            </w:r>
          </w:p>
        </w:tc>
        <w:tc>
          <w:tcPr>
            <w:tcW w:w="1055" w:type="dxa"/>
            <w:tcBorders>
              <w:bottom w:val="nil"/>
            </w:tcBorders>
          </w:tcPr>
          <w:p w14:paraId="07309F5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 (86)</w:t>
            </w:r>
          </w:p>
        </w:tc>
        <w:tc>
          <w:tcPr>
            <w:tcW w:w="796" w:type="dxa"/>
            <w:tcBorders>
              <w:top w:val="nil"/>
              <w:bottom w:val="nil"/>
            </w:tcBorders>
          </w:tcPr>
          <w:p w14:paraId="6F5EAE6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 (68)</w:t>
            </w:r>
          </w:p>
        </w:tc>
        <w:tc>
          <w:tcPr>
            <w:tcW w:w="927" w:type="dxa"/>
            <w:tcBorders>
              <w:bottom w:val="nil"/>
            </w:tcBorders>
          </w:tcPr>
          <w:p w14:paraId="1E560D7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 (71)</w:t>
            </w:r>
          </w:p>
        </w:tc>
        <w:tc>
          <w:tcPr>
            <w:tcW w:w="851" w:type="dxa"/>
            <w:tcBorders>
              <w:bottom w:val="nil"/>
            </w:tcBorders>
          </w:tcPr>
          <w:p w14:paraId="664FA34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(100)</w:t>
            </w:r>
          </w:p>
        </w:tc>
        <w:tc>
          <w:tcPr>
            <w:tcW w:w="709" w:type="dxa"/>
            <w:tcBorders>
              <w:bottom w:val="nil"/>
            </w:tcBorders>
          </w:tcPr>
          <w:p w14:paraId="1837260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850" w:type="dxa"/>
            <w:tcBorders>
              <w:bottom w:val="nil"/>
            </w:tcBorders>
          </w:tcPr>
          <w:p w14:paraId="16BB52A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bottom w:val="nil"/>
            </w:tcBorders>
          </w:tcPr>
          <w:p w14:paraId="2B5DD424"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796" w:type="dxa"/>
            <w:tcBorders>
              <w:bottom w:val="nil"/>
            </w:tcBorders>
          </w:tcPr>
          <w:p w14:paraId="49A020E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(100)</w:t>
            </w:r>
          </w:p>
        </w:tc>
        <w:tc>
          <w:tcPr>
            <w:tcW w:w="279" w:type="dxa"/>
            <w:vMerge/>
            <w:tcBorders>
              <w:bottom w:val="nil"/>
            </w:tcBorders>
          </w:tcPr>
          <w:p w14:paraId="1F1AFDC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bottom w:val="nil"/>
            </w:tcBorders>
          </w:tcPr>
          <w:p w14:paraId="6985CC0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r>
      <w:tr w:rsidR="00B10A76" w:rsidRPr="00013472" w14:paraId="0C38988D"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50B98C07"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Mass</w:t>
            </w:r>
          </w:p>
        </w:tc>
        <w:tc>
          <w:tcPr>
            <w:tcW w:w="797" w:type="dxa"/>
            <w:tcBorders>
              <w:top w:val="nil"/>
              <w:bottom w:val="nil"/>
            </w:tcBorders>
          </w:tcPr>
          <w:p w14:paraId="793DD509"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126 (53)</w:t>
            </w:r>
          </w:p>
        </w:tc>
        <w:tc>
          <w:tcPr>
            <w:tcW w:w="797" w:type="dxa"/>
            <w:gridSpan w:val="2"/>
            <w:tcBorders>
              <w:top w:val="nil"/>
              <w:bottom w:val="nil"/>
            </w:tcBorders>
          </w:tcPr>
          <w:p w14:paraId="5422BB1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87 (52)</w:t>
            </w:r>
          </w:p>
        </w:tc>
        <w:tc>
          <w:tcPr>
            <w:tcW w:w="1055" w:type="dxa"/>
            <w:tcBorders>
              <w:top w:val="nil"/>
              <w:bottom w:val="nil"/>
            </w:tcBorders>
          </w:tcPr>
          <w:p w14:paraId="536F84A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 (45)</w:t>
            </w:r>
          </w:p>
        </w:tc>
        <w:tc>
          <w:tcPr>
            <w:tcW w:w="796" w:type="dxa"/>
            <w:tcBorders>
              <w:top w:val="nil"/>
              <w:bottom w:val="nil"/>
            </w:tcBorders>
          </w:tcPr>
          <w:p w14:paraId="784179D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 (68)</w:t>
            </w:r>
          </w:p>
        </w:tc>
        <w:tc>
          <w:tcPr>
            <w:tcW w:w="927" w:type="dxa"/>
            <w:tcBorders>
              <w:top w:val="nil"/>
              <w:bottom w:val="nil"/>
            </w:tcBorders>
          </w:tcPr>
          <w:p w14:paraId="02ED537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 (64)</w:t>
            </w:r>
          </w:p>
        </w:tc>
        <w:tc>
          <w:tcPr>
            <w:tcW w:w="851" w:type="dxa"/>
            <w:tcBorders>
              <w:top w:val="nil"/>
              <w:bottom w:val="nil"/>
            </w:tcBorders>
          </w:tcPr>
          <w:p w14:paraId="65A845B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709" w:type="dxa"/>
            <w:tcBorders>
              <w:top w:val="nil"/>
              <w:bottom w:val="nil"/>
            </w:tcBorders>
          </w:tcPr>
          <w:p w14:paraId="0387418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850" w:type="dxa"/>
            <w:tcBorders>
              <w:top w:val="nil"/>
              <w:bottom w:val="nil"/>
            </w:tcBorders>
          </w:tcPr>
          <w:p w14:paraId="76E95318"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7025C05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7351D1B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279" w:type="dxa"/>
            <w:vMerge w:val="restart"/>
            <w:tcBorders>
              <w:top w:val="nil"/>
              <w:bottom w:val="nil"/>
            </w:tcBorders>
          </w:tcPr>
          <w:p w14:paraId="24E6D47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46718643"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r>
      <w:tr w:rsidR="00B10A76" w:rsidRPr="00013472" w14:paraId="4DFAA23A"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72411563"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Swelling</w:t>
            </w:r>
          </w:p>
        </w:tc>
        <w:tc>
          <w:tcPr>
            <w:tcW w:w="797" w:type="dxa"/>
            <w:tcBorders>
              <w:top w:val="nil"/>
              <w:bottom w:val="nil"/>
            </w:tcBorders>
          </w:tcPr>
          <w:p w14:paraId="45DE71B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118 (50)</w:t>
            </w:r>
          </w:p>
        </w:tc>
        <w:tc>
          <w:tcPr>
            <w:tcW w:w="797" w:type="dxa"/>
            <w:gridSpan w:val="2"/>
            <w:tcBorders>
              <w:top w:val="nil"/>
              <w:bottom w:val="nil"/>
            </w:tcBorders>
          </w:tcPr>
          <w:p w14:paraId="01BCA7E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81 (48)</w:t>
            </w:r>
          </w:p>
        </w:tc>
        <w:tc>
          <w:tcPr>
            <w:tcW w:w="1055" w:type="dxa"/>
            <w:tcBorders>
              <w:top w:val="nil"/>
              <w:bottom w:val="nil"/>
            </w:tcBorders>
          </w:tcPr>
          <w:p w14:paraId="3D816A5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 (41)</w:t>
            </w:r>
          </w:p>
        </w:tc>
        <w:tc>
          <w:tcPr>
            <w:tcW w:w="796" w:type="dxa"/>
            <w:tcBorders>
              <w:top w:val="nil"/>
              <w:bottom w:val="nil"/>
            </w:tcBorders>
          </w:tcPr>
          <w:p w14:paraId="28DA1C6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 (68)</w:t>
            </w:r>
          </w:p>
        </w:tc>
        <w:tc>
          <w:tcPr>
            <w:tcW w:w="927" w:type="dxa"/>
            <w:tcBorders>
              <w:top w:val="nil"/>
              <w:bottom w:val="nil"/>
            </w:tcBorders>
          </w:tcPr>
          <w:p w14:paraId="5281334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 (57)</w:t>
            </w:r>
          </w:p>
        </w:tc>
        <w:tc>
          <w:tcPr>
            <w:tcW w:w="851" w:type="dxa"/>
            <w:tcBorders>
              <w:top w:val="nil"/>
              <w:bottom w:val="nil"/>
            </w:tcBorders>
          </w:tcPr>
          <w:p w14:paraId="4198EEAE"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709" w:type="dxa"/>
            <w:tcBorders>
              <w:top w:val="nil"/>
              <w:bottom w:val="nil"/>
            </w:tcBorders>
          </w:tcPr>
          <w:p w14:paraId="2309526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850" w:type="dxa"/>
            <w:tcBorders>
              <w:top w:val="nil"/>
              <w:bottom w:val="nil"/>
            </w:tcBorders>
          </w:tcPr>
          <w:p w14:paraId="37AB981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4CF7175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3E47C5D7"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279" w:type="dxa"/>
            <w:vMerge/>
            <w:tcBorders>
              <w:top w:val="nil"/>
              <w:bottom w:val="nil"/>
            </w:tcBorders>
          </w:tcPr>
          <w:p w14:paraId="627DA364"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08F22ED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r>
      <w:tr w:rsidR="00B10A76" w:rsidRPr="00013472" w14:paraId="460E894C"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232E5B8C"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Dry eye</w:t>
            </w:r>
          </w:p>
        </w:tc>
        <w:tc>
          <w:tcPr>
            <w:tcW w:w="797" w:type="dxa"/>
            <w:tcBorders>
              <w:top w:val="nil"/>
              <w:bottom w:val="nil"/>
            </w:tcBorders>
          </w:tcPr>
          <w:p w14:paraId="447AC07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15 (6)</w:t>
            </w:r>
          </w:p>
        </w:tc>
        <w:tc>
          <w:tcPr>
            <w:tcW w:w="797" w:type="dxa"/>
            <w:gridSpan w:val="2"/>
            <w:tcBorders>
              <w:top w:val="nil"/>
              <w:bottom w:val="nil"/>
            </w:tcBorders>
          </w:tcPr>
          <w:p w14:paraId="3437187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w:t>
            </w:r>
          </w:p>
        </w:tc>
        <w:tc>
          <w:tcPr>
            <w:tcW w:w="1055" w:type="dxa"/>
            <w:tcBorders>
              <w:top w:val="nil"/>
              <w:bottom w:val="nil"/>
            </w:tcBorders>
          </w:tcPr>
          <w:p w14:paraId="40B312C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 (23)</w:t>
            </w:r>
          </w:p>
        </w:tc>
        <w:tc>
          <w:tcPr>
            <w:tcW w:w="796" w:type="dxa"/>
            <w:tcBorders>
              <w:top w:val="nil"/>
              <w:bottom w:val="nil"/>
            </w:tcBorders>
          </w:tcPr>
          <w:p w14:paraId="30E546C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w:t>
            </w:r>
          </w:p>
        </w:tc>
        <w:tc>
          <w:tcPr>
            <w:tcW w:w="927" w:type="dxa"/>
            <w:tcBorders>
              <w:top w:val="nil"/>
              <w:bottom w:val="nil"/>
            </w:tcBorders>
          </w:tcPr>
          <w:p w14:paraId="66D9D168"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(21)</w:t>
            </w:r>
          </w:p>
        </w:tc>
        <w:tc>
          <w:tcPr>
            <w:tcW w:w="851" w:type="dxa"/>
            <w:tcBorders>
              <w:top w:val="nil"/>
              <w:bottom w:val="nil"/>
            </w:tcBorders>
          </w:tcPr>
          <w:p w14:paraId="4D435FB1"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709" w:type="dxa"/>
            <w:tcBorders>
              <w:top w:val="nil"/>
              <w:bottom w:val="nil"/>
            </w:tcBorders>
          </w:tcPr>
          <w:p w14:paraId="2CBAEC2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1A019E3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4B201B0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796" w:type="dxa"/>
            <w:tcBorders>
              <w:top w:val="nil"/>
              <w:bottom w:val="nil"/>
            </w:tcBorders>
          </w:tcPr>
          <w:p w14:paraId="29B963A3"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val="restart"/>
            <w:tcBorders>
              <w:top w:val="nil"/>
              <w:bottom w:val="nil"/>
            </w:tcBorders>
          </w:tcPr>
          <w:p w14:paraId="48302F5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7B960A1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5C84C9A3"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36B5FA35"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Epiphora</w:t>
            </w:r>
          </w:p>
        </w:tc>
        <w:tc>
          <w:tcPr>
            <w:tcW w:w="797" w:type="dxa"/>
            <w:tcBorders>
              <w:top w:val="nil"/>
              <w:bottom w:val="nil"/>
            </w:tcBorders>
          </w:tcPr>
          <w:p w14:paraId="7E4C95A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 (8)</w:t>
            </w:r>
          </w:p>
        </w:tc>
        <w:tc>
          <w:tcPr>
            <w:tcW w:w="797" w:type="dxa"/>
            <w:gridSpan w:val="2"/>
            <w:tcBorders>
              <w:top w:val="nil"/>
              <w:bottom w:val="nil"/>
            </w:tcBorders>
          </w:tcPr>
          <w:p w14:paraId="5B16E03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(8)</w:t>
            </w:r>
          </w:p>
        </w:tc>
        <w:tc>
          <w:tcPr>
            <w:tcW w:w="1055" w:type="dxa"/>
            <w:tcBorders>
              <w:top w:val="nil"/>
              <w:bottom w:val="nil"/>
            </w:tcBorders>
          </w:tcPr>
          <w:p w14:paraId="17A3A99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w:t>
            </w:r>
          </w:p>
        </w:tc>
        <w:tc>
          <w:tcPr>
            <w:tcW w:w="796" w:type="dxa"/>
            <w:tcBorders>
              <w:top w:val="nil"/>
              <w:bottom w:val="nil"/>
            </w:tcBorders>
          </w:tcPr>
          <w:p w14:paraId="7CAEE8DD"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927" w:type="dxa"/>
            <w:tcBorders>
              <w:top w:val="nil"/>
              <w:bottom w:val="nil"/>
            </w:tcBorders>
          </w:tcPr>
          <w:p w14:paraId="5D2857A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(21)</w:t>
            </w:r>
          </w:p>
        </w:tc>
        <w:tc>
          <w:tcPr>
            <w:tcW w:w="851" w:type="dxa"/>
            <w:tcBorders>
              <w:top w:val="nil"/>
              <w:bottom w:val="nil"/>
            </w:tcBorders>
          </w:tcPr>
          <w:p w14:paraId="6FB774C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nil"/>
            </w:tcBorders>
          </w:tcPr>
          <w:p w14:paraId="6C07478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6E5045C8"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189202F8"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34889A9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279" w:type="dxa"/>
            <w:vMerge/>
            <w:tcBorders>
              <w:top w:val="nil"/>
              <w:bottom w:val="nil"/>
            </w:tcBorders>
          </w:tcPr>
          <w:p w14:paraId="779E888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17E8E42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r>
      <w:tr w:rsidR="00B10A76" w:rsidRPr="00013472" w14:paraId="6DFD6B4A"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6D385185"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Irritation/pain</w:t>
            </w:r>
          </w:p>
        </w:tc>
        <w:tc>
          <w:tcPr>
            <w:tcW w:w="797" w:type="dxa"/>
            <w:tcBorders>
              <w:top w:val="nil"/>
              <w:bottom w:val="nil"/>
            </w:tcBorders>
          </w:tcPr>
          <w:p w14:paraId="249C5D5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56 (24)</w:t>
            </w:r>
          </w:p>
        </w:tc>
        <w:tc>
          <w:tcPr>
            <w:tcW w:w="797" w:type="dxa"/>
            <w:gridSpan w:val="2"/>
            <w:tcBorders>
              <w:top w:val="nil"/>
              <w:bottom w:val="nil"/>
            </w:tcBorders>
          </w:tcPr>
          <w:p w14:paraId="1DB4CBF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29 (17)</w:t>
            </w:r>
          </w:p>
        </w:tc>
        <w:tc>
          <w:tcPr>
            <w:tcW w:w="1055" w:type="dxa"/>
            <w:tcBorders>
              <w:top w:val="nil"/>
              <w:bottom w:val="nil"/>
            </w:tcBorders>
          </w:tcPr>
          <w:p w14:paraId="3C01668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 (36)</w:t>
            </w:r>
          </w:p>
        </w:tc>
        <w:tc>
          <w:tcPr>
            <w:tcW w:w="796" w:type="dxa"/>
            <w:tcBorders>
              <w:top w:val="nil"/>
              <w:bottom w:val="nil"/>
            </w:tcBorders>
          </w:tcPr>
          <w:p w14:paraId="1CC7DBF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(27)</w:t>
            </w:r>
          </w:p>
        </w:tc>
        <w:tc>
          <w:tcPr>
            <w:tcW w:w="927" w:type="dxa"/>
            <w:tcBorders>
              <w:top w:val="nil"/>
              <w:bottom w:val="nil"/>
            </w:tcBorders>
          </w:tcPr>
          <w:p w14:paraId="3A4E0A5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 (50)</w:t>
            </w:r>
          </w:p>
        </w:tc>
        <w:tc>
          <w:tcPr>
            <w:tcW w:w="851" w:type="dxa"/>
            <w:tcBorders>
              <w:top w:val="nil"/>
              <w:bottom w:val="nil"/>
            </w:tcBorders>
          </w:tcPr>
          <w:p w14:paraId="5EEF7841"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(100)</w:t>
            </w:r>
          </w:p>
        </w:tc>
        <w:tc>
          <w:tcPr>
            <w:tcW w:w="709" w:type="dxa"/>
            <w:tcBorders>
              <w:top w:val="nil"/>
              <w:bottom w:val="nil"/>
            </w:tcBorders>
          </w:tcPr>
          <w:p w14:paraId="23E54ED9"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850" w:type="dxa"/>
            <w:tcBorders>
              <w:top w:val="nil"/>
              <w:bottom w:val="nil"/>
            </w:tcBorders>
          </w:tcPr>
          <w:p w14:paraId="2F0EB0A0"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619AC323"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796" w:type="dxa"/>
            <w:tcBorders>
              <w:top w:val="nil"/>
              <w:bottom w:val="nil"/>
            </w:tcBorders>
          </w:tcPr>
          <w:p w14:paraId="093D0DD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val="restart"/>
            <w:tcBorders>
              <w:top w:val="nil"/>
              <w:bottom w:val="nil"/>
            </w:tcBorders>
          </w:tcPr>
          <w:p w14:paraId="0648380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1B99953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42A2D1B8"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2E09E4B4"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Proptosis</w:t>
            </w:r>
          </w:p>
        </w:tc>
        <w:tc>
          <w:tcPr>
            <w:tcW w:w="797" w:type="dxa"/>
            <w:tcBorders>
              <w:top w:val="nil"/>
              <w:bottom w:val="nil"/>
            </w:tcBorders>
          </w:tcPr>
          <w:p w14:paraId="4C9799BE"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112 (47)</w:t>
            </w:r>
          </w:p>
        </w:tc>
        <w:tc>
          <w:tcPr>
            <w:tcW w:w="797" w:type="dxa"/>
            <w:gridSpan w:val="2"/>
            <w:tcBorders>
              <w:top w:val="nil"/>
              <w:bottom w:val="nil"/>
            </w:tcBorders>
          </w:tcPr>
          <w:p w14:paraId="6EF1EB6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83 (49)</w:t>
            </w:r>
          </w:p>
        </w:tc>
        <w:tc>
          <w:tcPr>
            <w:tcW w:w="1055" w:type="dxa"/>
            <w:tcBorders>
              <w:top w:val="nil"/>
              <w:bottom w:val="nil"/>
            </w:tcBorders>
          </w:tcPr>
          <w:p w14:paraId="51DFF4E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 (45)</w:t>
            </w:r>
          </w:p>
        </w:tc>
        <w:tc>
          <w:tcPr>
            <w:tcW w:w="796" w:type="dxa"/>
            <w:tcBorders>
              <w:top w:val="nil"/>
              <w:bottom w:val="nil"/>
            </w:tcBorders>
          </w:tcPr>
          <w:p w14:paraId="17C23355"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 (41)</w:t>
            </w:r>
          </w:p>
        </w:tc>
        <w:tc>
          <w:tcPr>
            <w:tcW w:w="927" w:type="dxa"/>
            <w:tcBorders>
              <w:top w:val="nil"/>
              <w:bottom w:val="nil"/>
            </w:tcBorders>
          </w:tcPr>
          <w:p w14:paraId="1038045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(29)</w:t>
            </w:r>
          </w:p>
        </w:tc>
        <w:tc>
          <w:tcPr>
            <w:tcW w:w="851" w:type="dxa"/>
            <w:tcBorders>
              <w:top w:val="nil"/>
              <w:bottom w:val="nil"/>
            </w:tcBorders>
          </w:tcPr>
          <w:p w14:paraId="500A795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709" w:type="dxa"/>
            <w:tcBorders>
              <w:top w:val="nil"/>
              <w:bottom w:val="nil"/>
            </w:tcBorders>
          </w:tcPr>
          <w:p w14:paraId="3CDE816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3F175B75"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7E1C67D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796" w:type="dxa"/>
            <w:tcBorders>
              <w:top w:val="nil"/>
              <w:bottom w:val="nil"/>
            </w:tcBorders>
          </w:tcPr>
          <w:p w14:paraId="22C7FF1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279" w:type="dxa"/>
            <w:vMerge/>
            <w:tcBorders>
              <w:top w:val="nil"/>
              <w:bottom w:val="nil"/>
            </w:tcBorders>
          </w:tcPr>
          <w:p w14:paraId="6D90FAED"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6DF7487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r>
      <w:tr w:rsidR="00B10A76" w:rsidRPr="00013472" w14:paraId="26B0DAD6"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7B54625F"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Diplopia</w:t>
            </w:r>
          </w:p>
        </w:tc>
        <w:tc>
          <w:tcPr>
            <w:tcW w:w="797" w:type="dxa"/>
            <w:tcBorders>
              <w:top w:val="nil"/>
              <w:bottom w:val="nil"/>
            </w:tcBorders>
          </w:tcPr>
          <w:p w14:paraId="6F4ED13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26 (11)</w:t>
            </w:r>
          </w:p>
        </w:tc>
        <w:tc>
          <w:tcPr>
            <w:tcW w:w="797" w:type="dxa"/>
            <w:gridSpan w:val="2"/>
            <w:tcBorders>
              <w:top w:val="nil"/>
              <w:bottom w:val="nil"/>
            </w:tcBorders>
          </w:tcPr>
          <w:p w14:paraId="3DBE25B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(4)</w:t>
            </w:r>
          </w:p>
        </w:tc>
        <w:tc>
          <w:tcPr>
            <w:tcW w:w="1055" w:type="dxa"/>
            <w:tcBorders>
              <w:top w:val="nil"/>
              <w:bottom w:val="nil"/>
            </w:tcBorders>
          </w:tcPr>
          <w:p w14:paraId="42BACB5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 (36)</w:t>
            </w:r>
          </w:p>
        </w:tc>
        <w:tc>
          <w:tcPr>
            <w:tcW w:w="796" w:type="dxa"/>
            <w:tcBorders>
              <w:top w:val="nil"/>
              <w:bottom w:val="nil"/>
            </w:tcBorders>
          </w:tcPr>
          <w:p w14:paraId="13183A0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(18)</w:t>
            </w:r>
          </w:p>
        </w:tc>
        <w:tc>
          <w:tcPr>
            <w:tcW w:w="927" w:type="dxa"/>
            <w:tcBorders>
              <w:top w:val="nil"/>
              <w:bottom w:val="nil"/>
            </w:tcBorders>
          </w:tcPr>
          <w:p w14:paraId="2376DB7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 (36)</w:t>
            </w:r>
          </w:p>
        </w:tc>
        <w:tc>
          <w:tcPr>
            <w:tcW w:w="851" w:type="dxa"/>
            <w:tcBorders>
              <w:top w:val="nil"/>
              <w:bottom w:val="nil"/>
            </w:tcBorders>
          </w:tcPr>
          <w:p w14:paraId="21CE0B3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709" w:type="dxa"/>
            <w:tcBorders>
              <w:top w:val="nil"/>
              <w:bottom w:val="nil"/>
            </w:tcBorders>
          </w:tcPr>
          <w:p w14:paraId="7890420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5141B73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611FC86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796" w:type="dxa"/>
            <w:tcBorders>
              <w:top w:val="nil"/>
              <w:bottom w:val="nil"/>
            </w:tcBorders>
          </w:tcPr>
          <w:p w14:paraId="1B58BD9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val="restart"/>
            <w:tcBorders>
              <w:top w:val="nil"/>
              <w:bottom w:val="nil"/>
            </w:tcBorders>
          </w:tcPr>
          <w:p w14:paraId="366E01F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354EAF89"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1FB6812D"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69C802D4"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Ptosis</w:t>
            </w:r>
          </w:p>
        </w:tc>
        <w:tc>
          <w:tcPr>
            <w:tcW w:w="797" w:type="dxa"/>
            <w:tcBorders>
              <w:top w:val="nil"/>
              <w:bottom w:val="nil"/>
            </w:tcBorders>
          </w:tcPr>
          <w:p w14:paraId="39217CF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23 (10)</w:t>
            </w:r>
          </w:p>
        </w:tc>
        <w:tc>
          <w:tcPr>
            <w:tcW w:w="797" w:type="dxa"/>
            <w:gridSpan w:val="2"/>
            <w:tcBorders>
              <w:top w:val="nil"/>
              <w:bottom w:val="nil"/>
            </w:tcBorders>
          </w:tcPr>
          <w:p w14:paraId="54C41CE5"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 (10)</w:t>
            </w:r>
          </w:p>
        </w:tc>
        <w:tc>
          <w:tcPr>
            <w:tcW w:w="1055" w:type="dxa"/>
            <w:tcBorders>
              <w:top w:val="nil"/>
              <w:bottom w:val="nil"/>
            </w:tcBorders>
          </w:tcPr>
          <w:p w14:paraId="02955F2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(9)</w:t>
            </w:r>
          </w:p>
        </w:tc>
        <w:tc>
          <w:tcPr>
            <w:tcW w:w="796" w:type="dxa"/>
            <w:tcBorders>
              <w:top w:val="nil"/>
              <w:bottom w:val="nil"/>
            </w:tcBorders>
          </w:tcPr>
          <w:p w14:paraId="376F119D"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(9)</w:t>
            </w:r>
          </w:p>
        </w:tc>
        <w:tc>
          <w:tcPr>
            <w:tcW w:w="927" w:type="dxa"/>
            <w:tcBorders>
              <w:top w:val="nil"/>
              <w:bottom w:val="nil"/>
            </w:tcBorders>
          </w:tcPr>
          <w:p w14:paraId="3B03765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(21)</w:t>
            </w:r>
          </w:p>
        </w:tc>
        <w:tc>
          <w:tcPr>
            <w:tcW w:w="851" w:type="dxa"/>
            <w:tcBorders>
              <w:top w:val="nil"/>
              <w:bottom w:val="nil"/>
            </w:tcBorders>
          </w:tcPr>
          <w:p w14:paraId="0EE01BA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nil"/>
            </w:tcBorders>
          </w:tcPr>
          <w:p w14:paraId="4691E86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668C9DBD"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3B8C46F5"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0F8B030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tcBorders>
              <w:top w:val="nil"/>
              <w:bottom w:val="nil"/>
            </w:tcBorders>
          </w:tcPr>
          <w:p w14:paraId="63006EE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22AB465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34A3C5CA"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378661B5"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Decreased VA</w:t>
            </w:r>
          </w:p>
        </w:tc>
        <w:tc>
          <w:tcPr>
            <w:tcW w:w="797" w:type="dxa"/>
            <w:tcBorders>
              <w:top w:val="nil"/>
              <w:bottom w:val="nil"/>
            </w:tcBorders>
          </w:tcPr>
          <w:p w14:paraId="395F25B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23 (10)</w:t>
            </w:r>
          </w:p>
        </w:tc>
        <w:tc>
          <w:tcPr>
            <w:tcW w:w="797" w:type="dxa"/>
            <w:gridSpan w:val="2"/>
            <w:tcBorders>
              <w:top w:val="nil"/>
              <w:bottom w:val="nil"/>
            </w:tcBorders>
          </w:tcPr>
          <w:p w14:paraId="123773F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 (5)</w:t>
            </w:r>
          </w:p>
        </w:tc>
        <w:tc>
          <w:tcPr>
            <w:tcW w:w="1055" w:type="dxa"/>
            <w:tcBorders>
              <w:top w:val="nil"/>
              <w:bottom w:val="nil"/>
            </w:tcBorders>
          </w:tcPr>
          <w:p w14:paraId="746990D1"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 (32)</w:t>
            </w:r>
          </w:p>
        </w:tc>
        <w:tc>
          <w:tcPr>
            <w:tcW w:w="796" w:type="dxa"/>
            <w:tcBorders>
              <w:top w:val="nil"/>
              <w:bottom w:val="nil"/>
            </w:tcBorders>
          </w:tcPr>
          <w:p w14:paraId="10E58EF3"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(9)</w:t>
            </w:r>
          </w:p>
        </w:tc>
        <w:tc>
          <w:tcPr>
            <w:tcW w:w="927" w:type="dxa"/>
            <w:tcBorders>
              <w:top w:val="nil"/>
              <w:bottom w:val="nil"/>
            </w:tcBorders>
          </w:tcPr>
          <w:p w14:paraId="51A9BED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(21)</w:t>
            </w:r>
          </w:p>
        </w:tc>
        <w:tc>
          <w:tcPr>
            <w:tcW w:w="851" w:type="dxa"/>
            <w:tcBorders>
              <w:top w:val="nil"/>
              <w:bottom w:val="nil"/>
            </w:tcBorders>
          </w:tcPr>
          <w:p w14:paraId="780B31A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709" w:type="dxa"/>
            <w:tcBorders>
              <w:top w:val="nil"/>
              <w:bottom w:val="nil"/>
            </w:tcBorders>
          </w:tcPr>
          <w:p w14:paraId="607C643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1F1DE47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58D218B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796" w:type="dxa"/>
            <w:tcBorders>
              <w:top w:val="nil"/>
              <w:bottom w:val="nil"/>
            </w:tcBorders>
          </w:tcPr>
          <w:p w14:paraId="0F0C32B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val="restart"/>
            <w:tcBorders>
              <w:top w:val="nil"/>
              <w:bottom w:val="nil"/>
            </w:tcBorders>
          </w:tcPr>
          <w:p w14:paraId="6202CD2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20854B3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292D98E9"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09E7A86F"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B-symptoms</w:t>
            </w:r>
          </w:p>
        </w:tc>
        <w:tc>
          <w:tcPr>
            <w:tcW w:w="797" w:type="dxa"/>
            <w:tcBorders>
              <w:top w:val="nil"/>
              <w:bottom w:val="nil"/>
            </w:tcBorders>
          </w:tcPr>
          <w:p w14:paraId="173559D5"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(3)</w:t>
            </w:r>
          </w:p>
        </w:tc>
        <w:tc>
          <w:tcPr>
            <w:tcW w:w="797" w:type="dxa"/>
            <w:gridSpan w:val="2"/>
            <w:tcBorders>
              <w:top w:val="nil"/>
              <w:bottom w:val="nil"/>
            </w:tcBorders>
          </w:tcPr>
          <w:p w14:paraId="74C3F9F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w:t>
            </w:r>
          </w:p>
        </w:tc>
        <w:tc>
          <w:tcPr>
            <w:tcW w:w="1055" w:type="dxa"/>
            <w:tcBorders>
              <w:top w:val="nil"/>
              <w:bottom w:val="nil"/>
            </w:tcBorders>
          </w:tcPr>
          <w:p w14:paraId="1D5A9FA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38AA9DD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(9)</w:t>
            </w:r>
          </w:p>
        </w:tc>
        <w:tc>
          <w:tcPr>
            <w:tcW w:w="927" w:type="dxa"/>
            <w:tcBorders>
              <w:top w:val="nil"/>
              <w:bottom w:val="nil"/>
            </w:tcBorders>
          </w:tcPr>
          <w:p w14:paraId="0476C78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(14)</w:t>
            </w:r>
          </w:p>
        </w:tc>
        <w:tc>
          <w:tcPr>
            <w:tcW w:w="851" w:type="dxa"/>
            <w:tcBorders>
              <w:top w:val="nil"/>
              <w:bottom w:val="nil"/>
            </w:tcBorders>
          </w:tcPr>
          <w:p w14:paraId="5BD07DB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nil"/>
            </w:tcBorders>
          </w:tcPr>
          <w:p w14:paraId="6874F914"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6A84554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71C9271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4CEC8494"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279" w:type="dxa"/>
            <w:vMerge/>
            <w:tcBorders>
              <w:top w:val="nil"/>
              <w:bottom w:val="nil"/>
            </w:tcBorders>
          </w:tcPr>
          <w:p w14:paraId="28A6EDA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26F8930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48594599"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554FF7E9"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Not stated</w:t>
            </w:r>
          </w:p>
        </w:tc>
        <w:tc>
          <w:tcPr>
            <w:tcW w:w="797" w:type="dxa"/>
            <w:tcBorders>
              <w:top w:val="nil"/>
              <w:bottom w:val="nil"/>
            </w:tcBorders>
          </w:tcPr>
          <w:p w14:paraId="77E69A9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24</w:t>
            </w:r>
          </w:p>
        </w:tc>
        <w:tc>
          <w:tcPr>
            <w:tcW w:w="797" w:type="dxa"/>
            <w:gridSpan w:val="2"/>
            <w:tcBorders>
              <w:top w:val="nil"/>
              <w:bottom w:val="nil"/>
            </w:tcBorders>
          </w:tcPr>
          <w:p w14:paraId="64C61AE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10 </w:t>
            </w:r>
          </w:p>
        </w:tc>
        <w:tc>
          <w:tcPr>
            <w:tcW w:w="1055" w:type="dxa"/>
            <w:tcBorders>
              <w:top w:val="nil"/>
              <w:bottom w:val="nil"/>
            </w:tcBorders>
          </w:tcPr>
          <w:p w14:paraId="1F02EDA8"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w:t>
            </w:r>
          </w:p>
        </w:tc>
        <w:tc>
          <w:tcPr>
            <w:tcW w:w="796" w:type="dxa"/>
            <w:tcBorders>
              <w:top w:val="nil"/>
              <w:bottom w:val="nil"/>
            </w:tcBorders>
          </w:tcPr>
          <w:p w14:paraId="4E64026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w:t>
            </w:r>
          </w:p>
        </w:tc>
        <w:tc>
          <w:tcPr>
            <w:tcW w:w="927" w:type="dxa"/>
            <w:tcBorders>
              <w:top w:val="nil"/>
              <w:bottom w:val="nil"/>
            </w:tcBorders>
          </w:tcPr>
          <w:p w14:paraId="6DBDD28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w:t>
            </w:r>
          </w:p>
        </w:tc>
        <w:tc>
          <w:tcPr>
            <w:tcW w:w="851" w:type="dxa"/>
            <w:tcBorders>
              <w:top w:val="nil"/>
              <w:bottom w:val="nil"/>
            </w:tcBorders>
          </w:tcPr>
          <w:p w14:paraId="2641A6E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709" w:type="dxa"/>
            <w:tcBorders>
              <w:top w:val="nil"/>
              <w:bottom w:val="nil"/>
            </w:tcBorders>
          </w:tcPr>
          <w:p w14:paraId="3FADF34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850" w:type="dxa"/>
            <w:tcBorders>
              <w:top w:val="nil"/>
              <w:bottom w:val="nil"/>
            </w:tcBorders>
          </w:tcPr>
          <w:p w14:paraId="0F5A6CB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p>
        </w:tc>
        <w:tc>
          <w:tcPr>
            <w:tcW w:w="732" w:type="dxa"/>
            <w:tcBorders>
              <w:top w:val="nil"/>
              <w:bottom w:val="nil"/>
            </w:tcBorders>
          </w:tcPr>
          <w:p w14:paraId="1B0A843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796" w:type="dxa"/>
            <w:tcBorders>
              <w:top w:val="nil"/>
              <w:bottom w:val="nil"/>
            </w:tcBorders>
          </w:tcPr>
          <w:p w14:paraId="7D7F5851"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p>
        </w:tc>
        <w:tc>
          <w:tcPr>
            <w:tcW w:w="279" w:type="dxa"/>
            <w:vMerge w:val="restart"/>
            <w:tcBorders>
              <w:top w:val="nil"/>
              <w:bottom w:val="nil"/>
            </w:tcBorders>
          </w:tcPr>
          <w:p w14:paraId="196C24E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64D1313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B10A76" w:rsidRPr="00013472" w14:paraId="729F0B94"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23CFD0C8" w14:textId="4DD408FE" w:rsidR="00B10A76" w:rsidRPr="00013472" w:rsidRDefault="00B10A76" w:rsidP="00C03DE7">
            <w:pPr>
              <w:rPr>
                <w:rFonts w:ascii="Calibri" w:hAnsi="Calibri"/>
                <w:b w:val="0"/>
                <w:bCs w:val="0"/>
                <w:color w:val="000000"/>
                <w:sz w:val="16"/>
                <w:szCs w:val="16"/>
                <w:vertAlign w:val="superscript"/>
                <w:lang w:val="en-US"/>
              </w:rPr>
            </w:pPr>
            <w:r w:rsidRPr="00013472">
              <w:rPr>
                <w:rFonts w:ascii="Calibri" w:hAnsi="Calibri"/>
                <w:color w:val="000000"/>
                <w:sz w:val="16"/>
                <w:szCs w:val="16"/>
                <w:lang w:val="en-US"/>
              </w:rPr>
              <w:t>Median symptom duration, months (range)</w:t>
            </w:r>
            <w:r w:rsidRPr="00013472">
              <w:rPr>
                <w:rFonts w:ascii="Calibri" w:hAnsi="Calibri"/>
                <w:color w:val="000000"/>
                <w:sz w:val="16"/>
                <w:szCs w:val="16"/>
                <w:vertAlign w:val="superscript"/>
                <w:lang w:val="en-US"/>
              </w:rPr>
              <w:t>c</w:t>
            </w:r>
          </w:p>
        </w:tc>
        <w:tc>
          <w:tcPr>
            <w:tcW w:w="797" w:type="dxa"/>
            <w:tcBorders>
              <w:top w:val="nil"/>
              <w:bottom w:val="nil"/>
            </w:tcBorders>
          </w:tcPr>
          <w:p w14:paraId="76894618"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(0-96)</w:t>
            </w:r>
          </w:p>
        </w:tc>
        <w:tc>
          <w:tcPr>
            <w:tcW w:w="797" w:type="dxa"/>
            <w:gridSpan w:val="2"/>
            <w:tcBorders>
              <w:top w:val="nil"/>
              <w:bottom w:val="nil"/>
            </w:tcBorders>
          </w:tcPr>
          <w:p w14:paraId="0B5304D4"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(0-96)</w:t>
            </w:r>
          </w:p>
        </w:tc>
        <w:tc>
          <w:tcPr>
            <w:tcW w:w="1055" w:type="dxa"/>
            <w:tcBorders>
              <w:top w:val="nil"/>
              <w:bottom w:val="nil"/>
            </w:tcBorders>
          </w:tcPr>
          <w:p w14:paraId="0AECE11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(1-36)</w:t>
            </w:r>
          </w:p>
        </w:tc>
        <w:tc>
          <w:tcPr>
            <w:tcW w:w="796" w:type="dxa"/>
            <w:tcBorders>
              <w:top w:val="nil"/>
              <w:bottom w:val="nil"/>
            </w:tcBorders>
          </w:tcPr>
          <w:p w14:paraId="3C84831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(0.5-6)</w:t>
            </w:r>
          </w:p>
        </w:tc>
        <w:tc>
          <w:tcPr>
            <w:tcW w:w="927" w:type="dxa"/>
            <w:tcBorders>
              <w:top w:val="nil"/>
              <w:bottom w:val="nil"/>
            </w:tcBorders>
          </w:tcPr>
          <w:p w14:paraId="42A6626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(0.3-12)</w:t>
            </w:r>
          </w:p>
        </w:tc>
        <w:tc>
          <w:tcPr>
            <w:tcW w:w="851" w:type="dxa"/>
            <w:tcBorders>
              <w:top w:val="nil"/>
              <w:bottom w:val="nil"/>
            </w:tcBorders>
          </w:tcPr>
          <w:p w14:paraId="041AAB3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(2-5)</w:t>
            </w:r>
          </w:p>
        </w:tc>
        <w:tc>
          <w:tcPr>
            <w:tcW w:w="709" w:type="dxa"/>
            <w:tcBorders>
              <w:top w:val="nil"/>
              <w:bottom w:val="nil"/>
            </w:tcBorders>
          </w:tcPr>
          <w:p w14:paraId="0E28337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(NA)</w:t>
            </w:r>
          </w:p>
        </w:tc>
        <w:tc>
          <w:tcPr>
            <w:tcW w:w="850" w:type="dxa"/>
            <w:tcBorders>
              <w:top w:val="nil"/>
              <w:bottom w:val="nil"/>
            </w:tcBorders>
          </w:tcPr>
          <w:p w14:paraId="374BB3E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6E40691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(NA)</w:t>
            </w:r>
          </w:p>
        </w:tc>
        <w:tc>
          <w:tcPr>
            <w:tcW w:w="796" w:type="dxa"/>
            <w:tcBorders>
              <w:top w:val="nil"/>
              <w:bottom w:val="nil"/>
            </w:tcBorders>
          </w:tcPr>
          <w:p w14:paraId="380BC96E"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(2-6)</w:t>
            </w:r>
          </w:p>
        </w:tc>
        <w:tc>
          <w:tcPr>
            <w:tcW w:w="279" w:type="dxa"/>
            <w:vMerge/>
            <w:tcBorders>
              <w:top w:val="nil"/>
              <w:bottom w:val="nil"/>
            </w:tcBorders>
          </w:tcPr>
          <w:p w14:paraId="373B5E6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7BA135E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(1-5)</w:t>
            </w:r>
          </w:p>
        </w:tc>
      </w:tr>
      <w:tr w:rsidR="00B10A76" w:rsidRPr="00013472" w14:paraId="7E75D246" w14:textId="77777777" w:rsidTr="00A14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shd w:val="clear" w:color="auto" w:fill="D9D9D9" w:themeFill="background1" w:themeFillShade="D9"/>
          </w:tcPr>
          <w:p w14:paraId="5A8C3369" w14:textId="77777777" w:rsidR="00B10A76" w:rsidRPr="00013472" w:rsidRDefault="00B10A76" w:rsidP="00C03DE7">
            <w:pPr>
              <w:rPr>
                <w:rFonts w:ascii="Calibri" w:hAnsi="Calibri"/>
                <w:b w:val="0"/>
                <w:bCs w:val="0"/>
                <w:color w:val="000000"/>
                <w:sz w:val="16"/>
                <w:szCs w:val="16"/>
                <w:vertAlign w:val="superscript"/>
                <w:lang w:val="en-US"/>
              </w:rPr>
            </w:pPr>
            <w:proofErr w:type="spellStart"/>
            <w:r w:rsidRPr="00013472">
              <w:rPr>
                <w:rFonts w:ascii="Calibri" w:hAnsi="Calibri"/>
                <w:color w:val="000000"/>
                <w:sz w:val="16"/>
                <w:szCs w:val="16"/>
                <w:lang w:val="en-US"/>
              </w:rPr>
              <w:t>Signs</w:t>
            </w:r>
            <w:r w:rsidRPr="00013472">
              <w:rPr>
                <w:rFonts w:ascii="Calibri" w:hAnsi="Calibri"/>
                <w:color w:val="000000"/>
                <w:sz w:val="16"/>
                <w:szCs w:val="16"/>
                <w:vertAlign w:val="superscript"/>
                <w:lang w:val="en-US"/>
              </w:rPr>
              <w:t>b</w:t>
            </w:r>
            <w:proofErr w:type="spellEnd"/>
          </w:p>
        </w:tc>
        <w:tc>
          <w:tcPr>
            <w:tcW w:w="797" w:type="dxa"/>
            <w:tcBorders>
              <w:top w:val="nil"/>
              <w:bottom w:val="nil"/>
            </w:tcBorders>
            <w:shd w:val="clear" w:color="auto" w:fill="D9D9D9" w:themeFill="background1" w:themeFillShade="D9"/>
          </w:tcPr>
          <w:p w14:paraId="4F9D2CB8"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7" w:type="dxa"/>
            <w:gridSpan w:val="2"/>
            <w:tcBorders>
              <w:top w:val="nil"/>
              <w:bottom w:val="nil"/>
            </w:tcBorders>
            <w:shd w:val="clear" w:color="auto" w:fill="D9D9D9" w:themeFill="background1" w:themeFillShade="D9"/>
          </w:tcPr>
          <w:p w14:paraId="5BC9660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55" w:type="dxa"/>
            <w:tcBorders>
              <w:top w:val="nil"/>
              <w:bottom w:val="nil"/>
            </w:tcBorders>
            <w:shd w:val="clear" w:color="auto" w:fill="D9D9D9" w:themeFill="background1" w:themeFillShade="D9"/>
          </w:tcPr>
          <w:p w14:paraId="585D37C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6" w:type="dxa"/>
            <w:tcBorders>
              <w:top w:val="nil"/>
              <w:bottom w:val="nil"/>
            </w:tcBorders>
            <w:shd w:val="clear" w:color="auto" w:fill="D9D9D9" w:themeFill="background1" w:themeFillShade="D9"/>
          </w:tcPr>
          <w:p w14:paraId="0B31771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27" w:type="dxa"/>
            <w:tcBorders>
              <w:top w:val="nil"/>
              <w:bottom w:val="nil"/>
            </w:tcBorders>
            <w:shd w:val="clear" w:color="auto" w:fill="D9D9D9" w:themeFill="background1" w:themeFillShade="D9"/>
          </w:tcPr>
          <w:p w14:paraId="03B307ED"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851" w:type="dxa"/>
            <w:tcBorders>
              <w:top w:val="nil"/>
              <w:bottom w:val="nil"/>
            </w:tcBorders>
            <w:shd w:val="clear" w:color="auto" w:fill="D9D9D9" w:themeFill="background1" w:themeFillShade="D9"/>
          </w:tcPr>
          <w:p w14:paraId="0643BCA8"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09" w:type="dxa"/>
            <w:tcBorders>
              <w:top w:val="nil"/>
              <w:bottom w:val="nil"/>
            </w:tcBorders>
            <w:shd w:val="clear" w:color="auto" w:fill="D9D9D9" w:themeFill="background1" w:themeFillShade="D9"/>
          </w:tcPr>
          <w:p w14:paraId="6FA93D4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850" w:type="dxa"/>
            <w:tcBorders>
              <w:top w:val="nil"/>
              <w:bottom w:val="nil"/>
            </w:tcBorders>
            <w:shd w:val="clear" w:color="auto" w:fill="D9D9D9" w:themeFill="background1" w:themeFillShade="D9"/>
          </w:tcPr>
          <w:p w14:paraId="4AA12BE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32" w:type="dxa"/>
            <w:tcBorders>
              <w:top w:val="nil"/>
              <w:bottom w:val="nil"/>
            </w:tcBorders>
            <w:shd w:val="clear" w:color="auto" w:fill="D9D9D9" w:themeFill="background1" w:themeFillShade="D9"/>
          </w:tcPr>
          <w:p w14:paraId="241F209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6" w:type="dxa"/>
            <w:tcBorders>
              <w:top w:val="nil"/>
              <w:bottom w:val="nil"/>
            </w:tcBorders>
            <w:shd w:val="clear" w:color="auto" w:fill="D9D9D9" w:themeFill="background1" w:themeFillShade="D9"/>
          </w:tcPr>
          <w:p w14:paraId="5932974D"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79" w:type="dxa"/>
            <w:vMerge w:val="restart"/>
            <w:tcBorders>
              <w:top w:val="nil"/>
              <w:bottom w:val="nil"/>
            </w:tcBorders>
            <w:shd w:val="clear" w:color="auto" w:fill="auto"/>
          </w:tcPr>
          <w:p w14:paraId="04E33945" w14:textId="77777777" w:rsidR="00A14469" w:rsidRPr="00013472" w:rsidRDefault="00A14469" w:rsidP="00A14469">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shd w:val="clear" w:color="auto" w:fill="D9D9D9" w:themeFill="background1" w:themeFillShade="D9"/>
          </w:tcPr>
          <w:p w14:paraId="1C18CCC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B10A76" w:rsidRPr="00013472" w14:paraId="60C93A96" w14:textId="77777777" w:rsidTr="00A14469">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0910C6A9"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Mass</w:t>
            </w:r>
          </w:p>
        </w:tc>
        <w:tc>
          <w:tcPr>
            <w:tcW w:w="797" w:type="dxa"/>
            <w:tcBorders>
              <w:top w:val="nil"/>
              <w:bottom w:val="nil"/>
            </w:tcBorders>
          </w:tcPr>
          <w:p w14:paraId="63A2055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178 (75)</w:t>
            </w:r>
          </w:p>
        </w:tc>
        <w:tc>
          <w:tcPr>
            <w:tcW w:w="797" w:type="dxa"/>
            <w:gridSpan w:val="2"/>
            <w:tcBorders>
              <w:top w:val="nil"/>
              <w:bottom w:val="nil"/>
            </w:tcBorders>
          </w:tcPr>
          <w:p w14:paraId="59B4443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132 (79)</w:t>
            </w:r>
          </w:p>
        </w:tc>
        <w:tc>
          <w:tcPr>
            <w:tcW w:w="1055" w:type="dxa"/>
            <w:tcBorders>
              <w:top w:val="nil"/>
              <w:bottom w:val="nil"/>
            </w:tcBorders>
          </w:tcPr>
          <w:p w14:paraId="73AA72E8"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16 (76)</w:t>
            </w:r>
          </w:p>
        </w:tc>
        <w:tc>
          <w:tcPr>
            <w:tcW w:w="796" w:type="dxa"/>
            <w:tcBorders>
              <w:top w:val="nil"/>
              <w:bottom w:val="nil"/>
            </w:tcBorders>
          </w:tcPr>
          <w:p w14:paraId="6D07289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(59)</w:t>
            </w:r>
          </w:p>
        </w:tc>
        <w:tc>
          <w:tcPr>
            <w:tcW w:w="927" w:type="dxa"/>
            <w:tcBorders>
              <w:top w:val="nil"/>
              <w:bottom w:val="nil"/>
            </w:tcBorders>
          </w:tcPr>
          <w:p w14:paraId="46AC06E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(79)</w:t>
            </w:r>
          </w:p>
        </w:tc>
        <w:tc>
          <w:tcPr>
            <w:tcW w:w="851" w:type="dxa"/>
            <w:tcBorders>
              <w:top w:val="nil"/>
              <w:bottom w:val="nil"/>
            </w:tcBorders>
          </w:tcPr>
          <w:p w14:paraId="5092EAF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709" w:type="dxa"/>
            <w:tcBorders>
              <w:top w:val="nil"/>
              <w:bottom w:val="nil"/>
            </w:tcBorders>
          </w:tcPr>
          <w:p w14:paraId="2F4C23E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850" w:type="dxa"/>
            <w:tcBorders>
              <w:top w:val="nil"/>
              <w:bottom w:val="nil"/>
            </w:tcBorders>
          </w:tcPr>
          <w:p w14:paraId="170919AD"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532AB865"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shd w:val="clear" w:color="auto" w:fill="auto"/>
          </w:tcPr>
          <w:p w14:paraId="28F0DD8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1(33)</w:t>
            </w:r>
          </w:p>
        </w:tc>
        <w:tc>
          <w:tcPr>
            <w:tcW w:w="279" w:type="dxa"/>
            <w:vMerge/>
            <w:tcBorders>
              <w:top w:val="nil"/>
              <w:bottom w:val="nil"/>
            </w:tcBorders>
            <w:shd w:val="clear" w:color="auto" w:fill="auto"/>
          </w:tcPr>
          <w:p w14:paraId="3B6F278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shd w:val="clear" w:color="auto" w:fill="auto"/>
          </w:tcPr>
          <w:p w14:paraId="324D768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r>
      <w:tr w:rsidR="00B10A76" w:rsidRPr="00013472" w14:paraId="005D9FA8" w14:textId="77777777" w:rsidTr="00A14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22D97E03"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Proptosis</w:t>
            </w:r>
          </w:p>
        </w:tc>
        <w:tc>
          <w:tcPr>
            <w:tcW w:w="797" w:type="dxa"/>
            <w:tcBorders>
              <w:top w:val="nil"/>
              <w:bottom w:val="nil"/>
            </w:tcBorders>
          </w:tcPr>
          <w:p w14:paraId="0CC3F3B0"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128 (54)</w:t>
            </w:r>
          </w:p>
        </w:tc>
        <w:tc>
          <w:tcPr>
            <w:tcW w:w="797" w:type="dxa"/>
            <w:gridSpan w:val="2"/>
            <w:tcBorders>
              <w:top w:val="nil"/>
              <w:bottom w:val="nil"/>
            </w:tcBorders>
          </w:tcPr>
          <w:p w14:paraId="54685C10"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102 (61)</w:t>
            </w:r>
          </w:p>
        </w:tc>
        <w:tc>
          <w:tcPr>
            <w:tcW w:w="1055" w:type="dxa"/>
            <w:tcBorders>
              <w:top w:val="nil"/>
              <w:bottom w:val="nil"/>
            </w:tcBorders>
          </w:tcPr>
          <w:p w14:paraId="42A0A35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(29)</w:t>
            </w:r>
          </w:p>
        </w:tc>
        <w:tc>
          <w:tcPr>
            <w:tcW w:w="796" w:type="dxa"/>
            <w:tcBorders>
              <w:top w:val="nil"/>
              <w:bottom w:val="nil"/>
            </w:tcBorders>
          </w:tcPr>
          <w:p w14:paraId="27A6E5B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 (45)</w:t>
            </w:r>
          </w:p>
        </w:tc>
        <w:tc>
          <w:tcPr>
            <w:tcW w:w="927" w:type="dxa"/>
            <w:tcBorders>
              <w:top w:val="nil"/>
              <w:bottom w:val="nil"/>
            </w:tcBorders>
          </w:tcPr>
          <w:p w14:paraId="48C6B42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(29)</w:t>
            </w:r>
          </w:p>
        </w:tc>
        <w:tc>
          <w:tcPr>
            <w:tcW w:w="851" w:type="dxa"/>
            <w:tcBorders>
              <w:top w:val="nil"/>
              <w:bottom w:val="nil"/>
            </w:tcBorders>
          </w:tcPr>
          <w:p w14:paraId="09F9475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(100)</w:t>
            </w:r>
          </w:p>
        </w:tc>
        <w:tc>
          <w:tcPr>
            <w:tcW w:w="709" w:type="dxa"/>
            <w:tcBorders>
              <w:top w:val="nil"/>
              <w:bottom w:val="nil"/>
            </w:tcBorders>
          </w:tcPr>
          <w:p w14:paraId="3B33411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850" w:type="dxa"/>
            <w:tcBorders>
              <w:top w:val="nil"/>
              <w:bottom w:val="nil"/>
            </w:tcBorders>
          </w:tcPr>
          <w:p w14:paraId="38547FF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1CBF2A69"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6CCAD0A3"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279" w:type="dxa"/>
            <w:vMerge w:val="restart"/>
            <w:tcBorders>
              <w:top w:val="nil"/>
              <w:bottom w:val="nil"/>
            </w:tcBorders>
            <w:shd w:val="clear" w:color="auto" w:fill="auto"/>
          </w:tcPr>
          <w:p w14:paraId="3BB2FCE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5C9CA47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0E8E09C8" w14:textId="77777777" w:rsidTr="00A14469">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22C29546"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Displacement</w:t>
            </w:r>
          </w:p>
        </w:tc>
        <w:tc>
          <w:tcPr>
            <w:tcW w:w="797" w:type="dxa"/>
            <w:tcBorders>
              <w:top w:val="nil"/>
              <w:bottom w:val="nil"/>
            </w:tcBorders>
          </w:tcPr>
          <w:p w14:paraId="1DE55C7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127 (54)</w:t>
            </w:r>
          </w:p>
        </w:tc>
        <w:tc>
          <w:tcPr>
            <w:tcW w:w="797" w:type="dxa"/>
            <w:gridSpan w:val="2"/>
            <w:tcBorders>
              <w:top w:val="nil"/>
              <w:bottom w:val="nil"/>
            </w:tcBorders>
          </w:tcPr>
          <w:p w14:paraId="03195F1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100 (60)</w:t>
            </w:r>
          </w:p>
        </w:tc>
        <w:tc>
          <w:tcPr>
            <w:tcW w:w="1055" w:type="dxa"/>
            <w:tcBorders>
              <w:top w:val="nil"/>
              <w:bottom w:val="nil"/>
            </w:tcBorders>
          </w:tcPr>
          <w:p w14:paraId="7F625DC8"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 (33)</w:t>
            </w:r>
          </w:p>
        </w:tc>
        <w:tc>
          <w:tcPr>
            <w:tcW w:w="796" w:type="dxa"/>
            <w:tcBorders>
              <w:top w:val="nil"/>
              <w:bottom w:val="nil"/>
            </w:tcBorders>
          </w:tcPr>
          <w:p w14:paraId="7BB4ACB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 (45)</w:t>
            </w:r>
          </w:p>
        </w:tc>
        <w:tc>
          <w:tcPr>
            <w:tcW w:w="927" w:type="dxa"/>
            <w:tcBorders>
              <w:top w:val="nil"/>
              <w:bottom w:val="nil"/>
            </w:tcBorders>
          </w:tcPr>
          <w:p w14:paraId="5D53621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(29)</w:t>
            </w:r>
          </w:p>
        </w:tc>
        <w:tc>
          <w:tcPr>
            <w:tcW w:w="851" w:type="dxa"/>
            <w:tcBorders>
              <w:top w:val="nil"/>
              <w:bottom w:val="nil"/>
            </w:tcBorders>
          </w:tcPr>
          <w:p w14:paraId="62E601D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(100)</w:t>
            </w:r>
          </w:p>
        </w:tc>
        <w:tc>
          <w:tcPr>
            <w:tcW w:w="709" w:type="dxa"/>
            <w:tcBorders>
              <w:top w:val="nil"/>
              <w:bottom w:val="nil"/>
            </w:tcBorders>
          </w:tcPr>
          <w:p w14:paraId="2CE0680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850" w:type="dxa"/>
            <w:tcBorders>
              <w:top w:val="nil"/>
              <w:bottom w:val="nil"/>
            </w:tcBorders>
          </w:tcPr>
          <w:p w14:paraId="38037164"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7721E08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69B01ED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279" w:type="dxa"/>
            <w:vMerge/>
            <w:tcBorders>
              <w:top w:val="nil"/>
              <w:bottom w:val="nil"/>
            </w:tcBorders>
            <w:shd w:val="clear" w:color="auto" w:fill="auto"/>
          </w:tcPr>
          <w:p w14:paraId="249B2E8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70552C3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7A027F84"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7A1A025D"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Restricted eye movement</w:t>
            </w:r>
          </w:p>
        </w:tc>
        <w:tc>
          <w:tcPr>
            <w:tcW w:w="797" w:type="dxa"/>
            <w:tcBorders>
              <w:top w:val="nil"/>
              <w:bottom w:val="nil"/>
            </w:tcBorders>
          </w:tcPr>
          <w:p w14:paraId="52D9994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94 (40)</w:t>
            </w:r>
          </w:p>
        </w:tc>
        <w:tc>
          <w:tcPr>
            <w:tcW w:w="797" w:type="dxa"/>
            <w:gridSpan w:val="2"/>
            <w:tcBorders>
              <w:top w:val="nil"/>
              <w:bottom w:val="nil"/>
            </w:tcBorders>
          </w:tcPr>
          <w:p w14:paraId="00DA1D6D"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75 (45)</w:t>
            </w:r>
          </w:p>
        </w:tc>
        <w:tc>
          <w:tcPr>
            <w:tcW w:w="1055" w:type="dxa"/>
            <w:tcBorders>
              <w:top w:val="nil"/>
              <w:bottom w:val="nil"/>
            </w:tcBorders>
          </w:tcPr>
          <w:p w14:paraId="4AA78FE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 (24)</w:t>
            </w:r>
          </w:p>
        </w:tc>
        <w:tc>
          <w:tcPr>
            <w:tcW w:w="796" w:type="dxa"/>
            <w:tcBorders>
              <w:top w:val="nil"/>
              <w:bottom w:val="nil"/>
            </w:tcBorders>
          </w:tcPr>
          <w:p w14:paraId="1948585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9 (41)</w:t>
            </w:r>
          </w:p>
        </w:tc>
        <w:tc>
          <w:tcPr>
            <w:tcW w:w="927" w:type="dxa"/>
            <w:tcBorders>
              <w:top w:val="nil"/>
              <w:bottom w:val="nil"/>
            </w:tcBorders>
          </w:tcPr>
          <w:p w14:paraId="0771516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 2 (14)</w:t>
            </w:r>
          </w:p>
        </w:tc>
        <w:tc>
          <w:tcPr>
            <w:tcW w:w="851" w:type="dxa"/>
            <w:tcBorders>
              <w:top w:val="nil"/>
              <w:bottom w:val="nil"/>
            </w:tcBorders>
          </w:tcPr>
          <w:p w14:paraId="214DA44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nil"/>
            </w:tcBorders>
          </w:tcPr>
          <w:p w14:paraId="3AA518C8"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6AB47F5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2985AF1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089A6BE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279" w:type="dxa"/>
            <w:vMerge w:val="restart"/>
            <w:tcBorders>
              <w:top w:val="nil"/>
              <w:bottom w:val="nil"/>
            </w:tcBorders>
          </w:tcPr>
          <w:p w14:paraId="272979D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7D351F6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 2 (100)</w:t>
            </w:r>
          </w:p>
        </w:tc>
      </w:tr>
      <w:tr w:rsidR="00B10A76" w:rsidRPr="00013472" w14:paraId="3075221D"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4CE2E7B5"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Diplopia</w:t>
            </w:r>
          </w:p>
        </w:tc>
        <w:tc>
          <w:tcPr>
            <w:tcW w:w="797" w:type="dxa"/>
            <w:tcBorders>
              <w:top w:val="nil"/>
              <w:bottom w:val="nil"/>
            </w:tcBorders>
          </w:tcPr>
          <w:p w14:paraId="37DFF53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8 (3)</w:t>
            </w:r>
          </w:p>
        </w:tc>
        <w:tc>
          <w:tcPr>
            <w:tcW w:w="797" w:type="dxa"/>
            <w:gridSpan w:val="2"/>
            <w:tcBorders>
              <w:top w:val="nil"/>
              <w:bottom w:val="nil"/>
            </w:tcBorders>
          </w:tcPr>
          <w:p w14:paraId="25CF902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w:t>
            </w:r>
          </w:p>
        </w:tc>
        <w:tc>
          <w:tcPr>
            <w:tcW w:w="1055" w:type="dxa"/>
            <w:tcBorders>
              <w:top w:val="nil"/>
              <w:bottom w:val="nil"/>
            </w:tcBorders>
          </w:tcPr>
          <w:p w14:paraId="26DB13F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w:t>
            </w:r>
          </w:p>
        </w:tc>
        <w:tc>
          <w:tcPr>
            <w:tcW w:w="796" w:type="dxa"/>
            <w:tcBorders>
              <w:top w:val="nil"/>
              <w:bottom w:val="nil"/>
            </w:tcBorders>
          </w:tcPr>
          <w:p w14:paraId="3D98FF95"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w:t>
            </w:r>
          </w:p>
        </w:tc>
        <w:tc>
          <w:tcPr>
            <w:tcW w:w="927" w:type="dxa"/>
            <w:tcBorders>
              <w:top w:val="nil"/>
              <w:bottom w:val="nil"/>
            </w:tcBorders>
          </w:tcPr>
          <w:p w14:paraId="3191DAB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(21)</w:t>
            </w:r>
          </w:p>
        </w:tc>
        <w:tc>
          <w:tcPr>
            <w:tcW w:w="851" w:type="dxa"/>
            <w:tcBorders>
              <w:top w:val="nil"/>
              <w:bottom w:val="nil"/>
            </w:tcBorders>
          </w:tcPr>
          <w:p w14:paraId="43803AF4"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nil"/>
            </w:tcBorders>
          </w:tcPr>
          <w:p w14:paraId="29627D6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4270CACE"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7C210F2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1B4E847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tcBorders>
              <w:top w:val="nil"/>
              <w:bottom w:val="nil"/>
            </w:tcBorders>
          </w:tcPr>
          <w:p w14:paraId="2E3B848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3C58A9C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3CE8FD94"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18AA7393"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Ptosis</w:t>
            </w:r>
          </w:p>
        </w:tc>
        <w:tc>
          <w:tcPr>
            <w:tcW w:w="797" w:type="dxa"/>
            <w:tcBorders>
              <w:top w:val="nil"/>
              <w:bottom w:val="nil"/>
            </w:tcBorders>
          </w:tcPr>
          <w:p w14:paraId="5E209B5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22 (9)</w:t>
            </w:r>
          </w:p>
        </w:tc>
        <w:tc>
          <w:tcPr>
            <w:tcW w:w="797" w:type="dxa"/>
            <w:gridSpan w:val="2"/>
            <w:tcBorders>
              <w:top w:val="nil"/>
              <w:bottom w:val="nil"/>
            </w:tcBorders>
          </w:tcPr>
          <w:p w14:paraId="23F4BA71"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(8)</w:t>
            </w:r>
          </w:p>
        </w:tc>
        <w:tc>
          <w:tcPr>
            <w:tcW w:w="1055" w:type="dxa"/>
            <w:tcBorders>
              <w:top w:val="nil"/>
              <w:bottom w:val="nil"/>
            </w:tcBorders>
          </w:tcPr>
          <w:p w14:paraId="7EA1465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(14)</w:t>
            </w:r>
          </w:p>
        </w:tc>
        <w:tc>
          <w:tcPr>
            <w:tcW w:w="796" w:type="dxa"/>
            <w:tcBorders>
              <w:top w:val="nil"/>
              <w:bottom w:val="nil"/>
            </w:tcBorders>
          </w:tcPr>
          <w:p w14:paraId="0C1511F0"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w:t>
            </w:r>
          </w:p>
        </w:tc>
        <w:tc>
          <w:tcPr>
            <w:tcW w:w="927" w:type="dxa"/>
            <w:tcBorders>
              <w:top w:val="nil"/>
              <w:bottom w:val="nil"/>
            </w:tcBorders>
          </w:tcPr>
          <w:p w14:paraId="1F5DE7D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(14)</w:t>
            </w:r>
          </w:p>
        </w:tc>
        <w:tc>
          <w:tcPr>
            <w:tcW w:w="851" w:type="dxa"/>
            <w:tcBorders>
              <w:top w:val="nil"/>
              <w:bottom w:val="nil"/>
            </w:tcBorders>
          </w:tcPr>
          <w:p w14:paraId="70944A7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709" w:type="dxa"/>
            <w:tcBorders>
              <w:top w:val="nil"/>
              <w:bottom w:val="nil"/>
            </w:tcBorders>
          </w:tcPr>
          <w:p w14:paraId="03FABBBD"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4500EDC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4FAF5E0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796" w:type="dxa"/>
            <w:tcBorders>
              <w:top w:val="nil"/>
              <w:bottom w:val="nil"/>
            </w:tcBorders>
          </w:tcPr>
          <w:p w14:paraId="15B8531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val="restart"/>
            <w:tcBorders>
              <w:top w:val="nil"/>
              <w:bottom w:val="nil"/>
            </w:tcBorders>
          </w:tcPr>
          <w:p w14:paraId="5B57A969"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4D0B131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7CD2FF2E"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5154D987"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Chemosis</w:t>
            </w:r>
          </w:p>
        </w:tc>
        <w:tc>
          <w:tcPr>
            <w:tcW w:w="797" w:type="dxa"/>
            <w:tcBorders>
              <w:top w:val="nil"/>
              <w:bottom w:val="nil"/>
            </w:tcBorders>
          </w:tcPr>
          <w:p w14:paraId="3F29E3D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20 (8)</w:t>
            </w:r>
          </w:p>
        </w:tc>
        <w:tc>
          <w:tcPr>
            <w:tcW w:w="797" w:type="dxa"/>
            <w:gridSpan w:val="2"/>
            <w:tcBorders>
              <w:top w:val="nil"/>
              <w:bottom w:val="nil"/>
            </w:tcBorders>
          </w:tcPr>
          <w:p w14:paraId="45157F4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(7)</w:t>
            </w:r>
          </w:p>
        </w:tc>
        <w:tc>
          <w:tcPr>
            <w:tcW w:w="1055" w:type="dxa"/>
            <w:tcBorders>
              <w:top w:val="nil"/>
              <w:bottom w:val="nil"/>
            </w:tcBorders>
          </w:tcPr>
          <w:p w14:paraId="64BF882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22D7FC98"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(18)</w:t>
            </w:r>
          </w:p>
        </w:tc>
        <w:tc>
          <w:tcPr>
            <w:tcW w:w="927" w:type="dxa"/>
            <w:tcBorders>
              <w:top w:val="nil"/>
              <w:bottom w:val="nil"/>
            </w:tcBorders>
          </w:tcPr>
          <w:p w14:paraId="5302095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(21)</w:t>
            </w:r>
          </w:p>
        </w:tc>
        <w:tc>
          <w:tcPr>
            <w:tcW w:w="851" w:type="dxa"/>
            <w:tcBorders>
              <w:top w:val="nil"/>
              <w:bottom w:val="nil"/>
            </w:tcBorders>
          </w:tcPr>
          <w:p w14:paraId="102C47D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nil"/>
            </w:tcBorders>
          </w:tcPr>
          <w:p w14:paraId="0DCBB2C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850" w:type="dxa"/>
            <w:tcBorders>
              <w:top w:val="nil"/>
              <w:bottom w:val="nil"/>
            </w:tcBorders>
          </w:tcPr>
          <w:p w14:paraId="5A97642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7CEAD5EE"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581E0585"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tcBorders>
              <w:top w:val="nil"/>
              <w:bottom w:val="nil"/>
            </w:tcBorders>
          </w:tcPr>
          <w:p w14:paraId="12C6951D"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67532C2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0DC505B8" w14:textId="77777777" w:rsidTr="00D61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45948E6F"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Epiphora</w:t>
            </w:r>
          </w:p>
        </w:tc>
        <w:tc>
          <w:tcPr>
            <w:tcW w:w="797" w:type="dxa"/>
            <w:tcBorders>
              <w:top w:val="nil"/>
              <w:bottom w:val="nil"/>
            </w:tcBorders>
          </w:tcPr>
          <w:p w14:paraId="6F290293"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14 (6)</w:t>
            </w:r>
          </w:p>
        </w:tc>
        <w:tc>
          <w:tcPr>
            <w:tcW w:w="797" w:type="dxa"/>
            <w:gridSpan w:val="2"/>
            <w:tcBorders>
              <w:top w:val="nil"/>
              <w:bottom w:val="nil"/>
            </w:tcBorders>
          </w:tcPr>
          <w:p w14:paraId="1354C1D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 (4)</w:t>
            </w:r>
          </w:p>
        </w:tc>
        <w:tc>
          <w:tcPr>
            <w:tcW w:w="1055" w:type="dxa"/>
            <w:tcBorders>
              <w:top w:val="nil"/>
              <w:bottom w:val="nil"/>
            </w:tcBorders>
          </w:tcPr>
          <w:p w14:paraId="359CC8BE"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(14)</w:t>
            </w:r>
          </w:p>
        </w:tc>
        <w:tc>
          <w:tcPr>
            <w:tcW w:w="796" w:type="dxa"/>
            <w:tcBorders>
              <w:top w:val="nil"/>
              <w:bottom w:val="nil"/>
            </w:tcBorders>
          </w:tcPr>
          <w:p w14:paraId="5ACDFBF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927" w:type="dxa"/>
            <w:tcBorders>
              <w:top w:val="nil"/>
              <w:bottom w:val="nil"/>
            </w:tcBorders>
          </w:tcPr>
          <w:p w14:paraId="2B48E00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(7)</w:t>
            </w:r>
          </w:p>
        </w:tc>
        <w:tc>
          <w:tcPr>
            <w:tcW w:w="851" w:type="dxa"/>
            <w:tcBorders>
              <w:top w:val="nil"/>
              <w:bottom w:val="nil"/>
            </w:tcBorders>
          </w:tcPr>
          <w:p w14:paraId="25C6E1C1"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709" w:type="dxa"/>
            <w:tcBorders>
              <w:top w:val="nil"/>
              <w:bottom w:val="nil"/>
            </w:tcBorders>
          </w:tcPr>
          <w:p w14:paraId="59CF7CF5"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07F9A6A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0F7B6B3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0CCC5A2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279" w:type="dxa"/>
            <w:vMerge w:val="restart"/>
            <w:tcBorders>
              <w:top w:val="nil"/>
              <w:bottom w:val="nil"/>
            </w:tcBorders>
          </w:tcPr>
          <w:p w14:paraId="16AB166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3C867861"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06B03EB1" w14:textId="77777777" w:rsidTr="00D610C2">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5A792D92"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Edema</w:t>
            </w:r>
          </w:p>
        </w:tc>
        <w:tc>
          <w:tcPr>
            <w:tcW w:w="797" w:type="dxa"/>
            <w:tcBorders>
              <w:top w:val="nil"/>
              <w:bottom w:val="nil"/>
            </w:tcBorders>
          </w:tcPr>
          <w:p w14:paraId="75D6300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 (5)</w:t>
            </w:r>
          </w:p>
        </w:tc>
        <w:tc>
          <w:tcPr>
            <w:tcW w:w="797" w:type="dxa"/>
            <w:gridSpan w:val="2"/>
            <w:tcBorders>
              <w:top w:val="nil"/>
              <w:bottom w:val="nil"/>
            </w:tcBorders>
          </w:tcPr>
          <w:p w14:paraId="34FE3FC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(4)</w:t>
            </w:r>
          </w:p>
        </w:tc>
        <w:tc>
          <w:tcPr>
            <w:tcW w:w="1055" w:type="dxa"/>
            <w:tcBorders>
              <w:top w:val="nil"/>
              <w:bottom w:val="nil"/>
            </w:tcBorders>
          </w:tcPr>
          <w:p w14:paraId="18E1CC9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 2 (10)</w:t>
            </w:r>
          </w:p>
        </w:tc>
        <w:tc>
          <w:tcPr>
            <w:tcW w:w="796" w:type="dxa"/>
            <w:tcBorders>
              <w:top w:val="nil"/>
              <w:bottom w:val="nil"/>
            </w:tcBorders>
          </w:tcPr>
          <w:p w14:paraId="2971F2F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927" w:type="dxa"/>
            <w:tcBorders>
              <w:top w:val="nil"/>
              <w:bottom w:val="nil"/>
            </w:tcBorders>
          </w:tcPr>
          <w:p w14:paraId="138336E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(7)</w:t>
            </w:r>
          </w:p>
        </w:tc>
        <w:tc>
          <w:tcPr>
            <w:tcW w:w="851" w:type="dxa"/>
            <w:tcBorders>
              <w:top w:val="nil"/>
              <w:bottom w:val="nil"/>
            </w:tcBorders>
          </w:tcPr>
          <w:p w14:paraId="2BDE7D8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709" w:type="dxa"/>
            <w:tcBorders>
              <w:top w:val="nil"/>
              <w:bottom w:val="nil"/>
            </w:tcBorders>
          </w:tcPr>
          <w:p w14:paraId="1182B20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850" w:type="dxa"/>
            <w:tcBorders>
              <w:top w:val="nil"/>
              <w:bottom w:val="nil"/>
            </w:tcBorders>
          </w:tcPr>
          <w:p w14:paraId="5DF4BEC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1147213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70D24E2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vMerge/>
            <w:tcBorders>
              <w:top w:val="nil"/>
              <w:bottom w:val="nil"/>
            </w:tcBorders>
          </w:tcPr>
          <w:p w14:paraId="4F0C8B07"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2F3E5E3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2D503A11" w14:textId="77777777" w:rsidTr="00A14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3261CB51"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Resistance</w:t>
            </w:r>
          </w:p>
        </w:tc>
        <w:tc>
          <w:tcPr>
            <w:tcW w:w="797" w:type="dxa"/>
            <w:tcBorders>
              <w:top w:val="nil"/>
              <w:bottom w:val="nil"/>
            </w:tcBorders>
          </w:tcPr>
          <w:p w14:paraId="6CC1B30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 (6)</w:t>
            </w:r>
          </w:p>
        </w:tc>
        <w:tc>
          <w:tcPr>
            <w:tcW w:w="797" w:type="dxa"/>
            <w:gridSpan w:val="2"/>
            <w:tcBorders>
              <w:top w:val="nil"/>
              <w:bottom w:val="nil"/>
            </w:tcBorders>
          </w:tcPr>
          <w:p w14:paraId="5DFEBE48"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 (3)</w:t>
            </w:r>
          </w:p>
        </w:tc>
        <w:tc>
          <w:tcPr>
            <w:tcW w:w="1055" w:type="dxa"/>
            <w:tcBorders>
              <w:top w:val="nil"/>
              <w:bottom w:val="nil"/>
            </w:tcBorders>
          </w:tcPr>
          <w:p w14:paraId="10D6B1C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w:t>
            </w:r>
          </w:p>
        </w:tc>
        <w:tc>
          <w:tcPr>
            <w:tcW w:w="796" w:type="dxa"/>
            <w:tcBorders>
              <w:top w:val="nil"/>
              <w:bottom w:val="nil"/>
            </w:tcBorders>
          </w:tcPr>
          <w:p w14:paraId="176F5FDD"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(9)</w:t>
            </w:r>
          </w:p>
        </w:tc>
        <w:tc>
          <w:tcPr>
            <w:tcW w:w="927" w:type="dxa"/>
            <w:tcBorders>
              <w:top w:val="nil"/>
              <w:bottom w:val="nil"/>
            </w:tcBorders>
          </w:tcPr>
          <w:p w14:paraId="26BD4DB8"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(14)</w:t>
            </w:r>
          </w:p>
        </w:tc>
        <w:tc>
          <w:tcPr>
            <w:tcW w:w="851" w:type="dxa"/>
            <w:tcBorders>
              <w:top w:val="nil"/>
              <w:bottom w:val="nil"/>
            </w:tcBorders>
          </w:tcPr>
          <w:p w14:paraId="475B5AAB"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709" w:type="dxa"/>
            <w:tcBorders>
              <w:top w:val="nil"/>
              <w:bottom w:val="nil"/>
            </w:tcBorders>
          </w:tcPr>
          <w:p w14:paraId="16B22F43"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850" w:type="dxa"/>
            <w:tcBorders>
              <w:top w:val="nil"/>
              <w:bottom w:val="nil"/>
            </w:tcBorders>
          </w:tcPr>
          <w:p w14:paraId="4CCBC859"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tcPr>
          <w:p w14:paraId="40D1E23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4EE01053"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279" w:type="dxa"/>
            <w:vMerge w:val="restart"/>
            <w:tcBorders>
              <w:top w:val="nil"/>
              <w:bottom w:val="nil"/>
            </w:tcBorders>
            <w:shd w:val="clear" w:color="auto" w:fill="auto"/>
          </w:tcPr>
          <w:p w14:paraId="04DF30C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015ECFA2"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B10A76" w:rsidRPr="00013472" w14:paraId="6EF6BA69" w14:textId="77777777" w:rsidTr="00A14469">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79D06B33"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Not stated</w:t>
            </w:r>
          </w:p>
        </w:tc>
        <w:tc>
          <w:tcPr>
            <w:tcW w:w="797" w:type="dxa"/>
            <w:tcBorders>
              <w:top w:val="nil"/>
              <w:bottom w:val="nil"/>
            </w:tcBorders>
          </w:tcPr>
          <w:p w14:paraId="4BAD84BE"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25</w:t>
            </w:r>
          </w:p>
        </w:tc>
        <w:tc>
          <w:tcPr>
            <w:tcW w:w="797" w:type="dxa"/>
            <w:gridSpan w:val="2"/>
            <w:tcBorders>
              <w:top w:val="nil"/>
              <w:bottom w:val="nil"/>
            </w:tcBorders>
          </w:tcPr>
          <w:p w14:paraId="5ACA3CF8"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10</w:t>
            </w:r>
          </w:p>
        </w:tc>
        <w:tc>
          <w:tcPr>
            <w:tcW w:w="1055" w:type="dxa"/>
            <w:tcBorders>
              <w:top w:val="nil"/>
              <w:bottom w:val="nil"/>
            </w:tcBorders>
          </w:tcPr>
          <w:p w14:paraId="1B91EF08"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w:t>
            </w:r>
          </w:p>
        </w:tc>
        <w:tc>
          <w:tcPr>
            <w:tcW w:w="796" w:type="dxa"/>
            <w:tcBorders>
              <w:top w:val="nil"/>
              <w:bottom w:val="nil"/>
            </w:tcBorders>
          </w:tcPr>
          <w:p w14:paraId="488BBFD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4 </w:t>
            </w:r>
          </w:p>
        </w:tc>
        <w:tc>
          <w:tcPr>
            <w:tcW w:w="927" w:type="dxa"/>
            <w:tcBorders>
              <w:top w:val="nil"/>
              <w:bottom w:val="nil"/>
            </w:tcBorders>
          </w:tcPr>
          <w:p w14:paraId="344AEB27"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w:t>
            </w:r>
          </w:p>
        </w:tc>
        <w:tc>
          <w:tcPr>
            <w:tcW w:w="851" w:type="dxa"/>
            <w:tcBorders>
              <w:top w:val="nil"/>
              <w:bottom w:val="nil"/>
            </w:tcBorders>
          </w:tcPr>
          <w:p w14:paraId="392C076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709" w:type="dxa"/>
            <w:tcBorders>
              <w:top w:val="nil"/>
              <w:bottom w:val="nil"/>
            </w:tcBorders>
          </w:tcPr>
          <w:p w14:paraId="69255BF3"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850" w:type="dxa"/>
            <w:tcBorders>
              <w:top w:val="nil"/>
              <w:bottom w:val="nil"/>
            </w:tcBorders>
          </w:tcPr>
          <w:p w14:paraId="59456F7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w:t>
            </w:r>
          </w:p>
        </w:tc>
        <w:tc>
          <w:tcPr>
            <w:tcW w:w="732" w:type="dxa"/>
            <w:tcBorders>
              <w:top w:val="nil"/>
              <w:bottom w:val="nil"/>
            </w:tcBorders>
          </w:tcPr>
          <w:p w14:paraId="57D106A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796" w:type="dxa"/>
            <w:tcBorders>
              <w:top w:val="nil"/>
              <w:bottom w:val="nil"/>
            </w:tcBorders>
          </w:tcPr>
          <w:p w14:paraId="08FA501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w:t>
            </w:r>
          </w:p>
        </w:tc>
        <w:tc>
          <w:tcPr>
            <w:tcW w:w="279" w:type="dxa"/>
            <w:vMerge/>
            <w:tcBorders>
              <w:top w:val="nil"/>
              <w:bottom w:val="nil"/>
            </w:tcBorders>
            <w:shd w:val="clear" w:color="auto" w:fill="auto"/>
          </w:tcPr>
          <w:p w14:paraId="05DFB7D6"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729C3DA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A14469" w:rsidRPr="00013472" w14:paraId="701E692C" w14:textId="77777777" w:rsidTr="00A14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shd w:val="clear" w:color="auto" w:fill="D9D9D9" w:themeFill="background1" w:themeFillShade="D9"/>
          </w:tcPr>
          <w:p w14:paraId="2B395346" w14:textId="59B5A56F" w:rsidR="00A14469" w:rsidRPr="00013472" w:rsidRDefault="00A14469" w:rsidP="00C03DE7">
            <w:pPr>
              <w:rPr>
                <w:rFonts w:ascii="Calibri" w:hAnsi="Calibri"/>
                <w:color w:val="000000"/>
                <w:sz w:val="16"/>
                <w:szCs w:val="16"/>
                <w:lang w:val="en-US"/>
              </w:rPr>
            </w:pPr>
            <w:r w:rsidRPr="00013472">
              <w:rPr>
                <w:rFonts w:ascii="Calibri" w:hAnsi="Calibri"/>
                <w:color w:val="000000"/>
                <w:sz w:val="16"/>
                <w:szCs w:val="16"/>
                <w:lang w:val="en-US"/>
              </w:rPr>
              <w:t>Systemic disease</w:t>
            </w:r>
          </w:p>
        </w:tc>
        <w:tc>
          <w:tcPr>
            <w:tcW w:w="797" w:type="dxa"/>
            <w:tcBorders>
              <w:top w:val="nil"/>
              <w:bottom w:val="nil"/>
            </w:tcBorders>
            <w:shd w:val="clear" w:color="auto" w:fill="D9D9D9" w:themeFill="background1" w:themeFillShade="D9"/>
          </w:tcPr>
          <w:p w14:paraId="513C7760"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7" w:type="dxa"/>
            <w:gridSpan w:val="2"/>
            <w:tcBorders>
              <w:top w:val="nil"/>
              <w:bottom w:val="nil"/>
            </w:tcBorders>
            <w:shd w:val="clear" w:color="auto" w:fill="D9D9D9" w:themeFill="background1" w:themeFillShade="D9"/>
          </w:tcPr>
          <w:p w14:paraId="17BC7AA4"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55" w:type="dxa"/>
            <w:tcBorders>
              <w:top w:val="nil"/>
              <w:bottom w:val="nil"/>
            </w:tcBorders>
            <w:shd w:val="clear" w:color="auto" w:fill="D9D9D9" w:themeFill="background1" w:themeFillShade="D9"/>
          </w:tcPr>
          <w:p w14:paraId="34B9941C"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6" w:type="dxa"/>
            <w:tcBorders>
              <w:top w:val="nil"/>
              <w:bottom w:val="nil"/>
            </w:tcBorders>
            <w:shd w:val="clear" w:color="auto" w:fill="D9D9D9" w:themeFill="background1" w:themeFillShade="D9"/>
          </w:tcPr>
          <w:p w14:paraId="4E73C84B"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27" w:type="dxa"/>
            <w:tcBorders>
              <w:top w:val="nil"/>
              <w:bottom w:val="nil"/>
            </w:tcBorders>
            <w:shd w:val="clear" w:color="auto" w:fill="D9D9D9" w:themeFill="background1" w:themeFillShade="D9"/>
          </w:tcPr>
          <w:p w14:paraId="4AD7C215"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851" w:type="dxa"/>
            <w:tcBorders>
              <w:top w:val="nil"/>
              <w:bottom w:val="nil"/>
            </w:tcBorders>
            <w:shd w:val="clear" w:color="auto" w:fill="D9D9D9" w:themeFill="background1" w:themeFillShade="D9"/>
          </w:tcPr>
          <w:p w14:paraId="523D7B7D"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09" w:type="dxa"/>
            <w:tcBorders>
              <w:top w:val="nil"/>
              <w:bottom w:val="nil"/>
            </w:tcBorders>
            <w:shd w:val="clear" w:color="auto" w:fill="D9D9D9" w:themeFill="background1" w:themeFillShade="D9"/>
          </w:tcPr>
          <w:p w14:paraId="1BB75EC7"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850" w:type="dxa"/>
            <w:tcBorders>
              <w:top w:val="nil"/>
              <w:bottom w:val="nil"/>
            </w:tcBorders>
            <w:shd w:val="clear" w:color="auto" w:fill="D9D9D9" w:themeFill="background1" w:themeFillShade="D9"/>
          </w:tcPr>
          <w:p w14:paraId="64BBAF23"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32" w:type="dxa"/>
            <w:tcBorders>
              <w:top w:val="nil"/>
              <w:bottom w:val="nil"/>
            </w:tcBorders>
            <w:shd w:val="clear" w:color="auto" w:fill="D9D9D9" w:themeFill="background1" w:themeFillShade="D9"/>
          </w:tcPr>
          <w:p w14:paraId="0F3AD06C"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6" w:type="dxa"/>
            <w:tcBorders>
              <w:top w:val="nil"/>
              <w:bottom w:val="nil"/>
            </w:tcBorders>
            <w:shd w:val="clear" w:color="auto" w:fill="D9D9D9" w:themeFill="background1" w:themeFillShade="D9"/>
          </w:tcPr>
          <w:p w14:paraId="5E5A78A1"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79" w:type="dxa"/>
            <w:tcBorders>
              <w:top w:val="nil"/>
              <w:bottom w:val="nil"/>
            </w:tcBorders>
            <w:shd w:val="clear" w:color="auto" w:fill="auto"/>
          </w:tcPr>
          <w:p w14:paraId="4FD29792"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shd w:val="clear" w:color="auto" w:fill="D9D9D9" w:themeFill="background1" w:themeFillShade="D9"/>
          </w:tcPr>
          <w:p w14:paraId="5D0DA922" w14:textId="77777777" w:rsidR="00A14469" w:rsidRPr="00013472" w:rsidRDefault="00A14469"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B10A76" w:rsidRPr="00013472" w14:paraId="3927CC93" w14:textId="77777777" w:rsidTr="00A14469">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shd w:val="clear" w:color="auto" w:fill="auto"/>
          </w:tcPr>
          <w:p w14:paraId="0A5A4090" w14:textId="77777777" w:rsidR="00B10A76" w:rsidRPr="00013472" w:rsidRDefault="00B10A76" w:rsidP="00C03DE7">
            <w:pPr>
              <w:rPr>
                <w:rFonts w:ascii="Calibri" w:hAnsi="Calibri"/>
                <w:b w:val="0"/>
                <w:color w:val="000000"/>
                <w:sz w:val="16"/>
                <w:szCs w:val="16"/>
                <w:lang w:val="en-US"/>
              </w:rPr>
            </w:pPr>
            <w:r w:rsidRPr="00013472">
              <w:rPr>
                <w:rFonts w:ascii="Calibri" w:hAnsi="Calibri"/>
                <w:b w:val="0"/>
                <w:color w:val="000000"/>
                <w:sz w:val="16"/>
                <w:szCs w:val="16"/>
                <w:lang w:val="en-US"/>
              </w:rPr>
              <w:t xml:space="preserve">Autoimmune disease </w:t>
            </w:r>
          </w:p>
        </w:tc>
        <w:tc>
          <w:tcPr>
            <w:tcW w:w="797" w:type="dxa"/>
            <w:tcBorders>
              <w:top w:val="nil"/>
              <w:bottom w:val="nil"/>
            </w:tcBorders>
            <w:shd w:val="clear" w:color="auto" w:fill="auto"/>
          </w:tcPr>
          <w:p w14:paraId="436B95E0"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w:t>
            </w:r>
          </w:p>
        </w:tc>
        <w:tc>
          <w:tcPr>
            <w:tcW w:w="797" w:type="dxa"/>
            <w:gridSpan w:val="2"/>
            <w:tcBorders>
              <w:top w:val="nil"/>
              <w:bottom w:val="nil"/>
            </w:tcBorders>
            <w:shd w:val="clear" w:color="auto" w:fill="auto"/>
          </w:tcPr>
          <w:p w14:paraId="116189BF"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w:t>
            </w:r>
          </w:p>
        </w:tc>
        <w:tc>
          <w:tcPr>
            <w:tcW w:w="1055" w:type="dxa"/>
            <w:tcBorders>
              <w:top w:val="nil"/>
              <w:bottom w:val="nil"/>
            </w:tcBorders>
            <w:shd w:val="clear" w:color="auto" w:fill="auto"/>
          </w:tcPr>
          <w:p w14:paraId="65EE0FE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3 </w:t>
            </w:r>
          </w:p>
        </w:tc>
        <w:tc>
          <w:tcPr>
            <w:tcW w:w="796" w:type="dxa"/>
            <w:tcBorders>
              <w:top w:val="nil"/>
              <w:bottom w:val="nil"/>
            </w:tcBorders>
            <w:shd w:val="clear" w:color="auto" w:fill="auto"/>
          </w:tcPr>
          <w:p w14:paraId="78E598AA"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27" w:type="dxa"/>
            <w:tcBorders>
              <w:top w:val="nil"/>
              <w:bottom w:val="nil"/>
            </w:tcBorders>
            <w:shd w:val="clear" w:color="auto" w:fill="auto"/>
          </w:tcPr>
          <w:p w14:paraId="1B1E99FC"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851" w:type="dxa"/>
            <w:tcBorders>
              <w:top w:val="nil"/>
              <w:bottom w:val="nil"/>
            </w:tcBorders>
            <w:shd w:val="clear" w:color="auto" w:fill="auto"/>
          </w:tcPr>
          <w:p w14:paraId="0006258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709" w:type="dxa"/>
            <w:tcBorders>
              <w:top w:val="nil"/>
              <w:bottom w:val="nil"/>
            </w:tcBorders>
            <w:shd w:val="clear" w:color="auto" w:fill="auto"/>
          </w:tcPr>
          <w:p w14:paraId="06D967E2"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850" w:type="dxa"/>
            <w:tcBorders>
              <w:top w:val="nil"/>
              <w:bottom w:val="nil"/>
            </w:tcBorders>
            <w:shd w:val="clear" w:color="auto" w:fill="auto"/>
          </w:tcPr>
          <w:p w14:paraId="5D730E69"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NA</w:t>
            </w:r>
          </w:p>
        </w:tc>
        <w:tc>
          <w:tcPr>
            <w:tcW w:w="732" w:type="dxa"/>
            <w:tcBorders>
              <w:top w:val="nil"/>
              <w:bottom w:val="nil"/>
            </w:tcBorders>
            <w:shd w:val="clear" w:color="auto" w:fill="auto"/>
          </w:tcPr>
          <w:p w14:paraId="21FCBA51"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796" w:type="dxa"/>
            <w:tcBorders>
              <w:top w:val="nil"/>
              <w:bottom w:val="nil"/>
            </w:tcBorders>
            <w:shd w:val="clear" w:color="auto" w:fill="auto"/>
          </w:tcPr>
          <w:p w14:paraId="77847377"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279" w:type="dxa"/>
            <w:vMerge w:val="restart"/>
            <w:tcBorders>
              <w:top w:val="nil"/>
              <w:bottom w:val="nil"/>
            </w:tcBorders>
            <w:shd w:val="clear" w:color="auto" w:fill="auto"/>
          </w:tcPr>
          <w:p w14:paraId="2F4E855B"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shd w:val="clear" w:color="auto" w:fill="auto"/>
          </w:tcPr>
          <w:p w14:paraId="725EC7E7" w14:textId="77777777" w:rsidR="00B10A76" w:rsidRPr="00013472" w:rsidRDefault="00B10A76"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B10A76" w:rsidRPr="00013472" w14:paraId="289FD305" w14:textId="77777777" w:rsidTr="00A14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shd w:val="clear" w:color="auto" w:fill="D9D9D9" w:themeFill="background1" w:themeFillShade="D9"/>
          </w:tcPr>
          <w:p w14:paraId="46DFED5B" w14:textId="77777777" w:rsidR="00B10A76" w:rsidRPr="00013472" w:rsidRDefault="00B10A76" w:rsidP="00C03DE7">
            <w:pPr>
              <w:rPr>
                <w:rFonts w:ascii="Calibri" w:hAnsi="Calibri"/>
                <w:b w:val="0"/>
                <w:bCs w:val="0"/>
                <w:color w:val="000000"/>
                <w:sz w:val="16"/>
                <w:szCs w:val="16"/>
                <w:vertAlign w:val="superscript"/>
                <w:lang w:val="en-US"/>
              </w:rPr>
            </w:pPr>
            <w:r w:rsidRPr="00013472">
              <w:rPr>
                <w:rFonts w:ascii="Calibri" w:hAnsi="Calibri"/>
                <w:color w:val="000000"/>
                <w:sz w:val="16"/>
                <w:szCs w:val="16"/>
                <w:lang w:val="en-US"/>
              </w:rPr>
              <w:t xml:space="preserve">Local </w:t>
            </w:r>
            <w:proofErr w:type="spellStart"/>
            <w:r w:rsidRPr="00013472">
              <w:rPr>
                <w:rFonts w:ascii="Calibri" w:hAnsi="Calibri"/>
                <w:color w:val="000000"/>
                <w:sz w:val="16"/>
                <w:szCs w:val="16"/>
                <w:lang w:val="en-US"/>
              </w:rPr>
              <w:t>Spread</w:t>
            </w:r>
            <w:r w:rsidRPr="00013472">
              <w:rPr>
                <w:rFonts w:ascii="Calibri" w:hAnsi="Calibri"/>
                <w:color w:val="000000"/>
                <w:sz w:val="16"/>
                <w:szCs w:val="16"/>
                <w:vertAlign w:val="superscript"/>
                <w:lang w:val="en-US"/>
              </w:rPr>
              <w:t>b</w:t>
            </w:r>
            <w:proofErr w:type="spellEnd"/>
          </w:p>
        </w:tc>
        <w:tc>
          <w:tcPr>
            <w:tcW w:w="797" w:type="dxa"/>
            <w:tcBorders>
              <w:top w:val="nil"/>
              <w:bottom w:val="nil"/>
            </w:tcBorders>
            <w:shd w:val="clear" w:color="auto" w:fill="D9D9D9" w:themeFill="background1" w:themeFillShade="D9"/>
          </w:tcPr>
          <w:p w14:paraId="17A1A09D"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7" w:type="dxa"/>
            <w:gridSpan w:val="2"/>
            <w:tcBorders>
              <w:top w:val="nil"/>
              <w:bottom w:val="nil"/>
            </w:tcBorders>
            <w:shd w:val="clear" w:color="auto" w:fill="D9D9D9" w:themeFill="background1" w:themeFillShade="D9"/>
          </w:tcPr>
          <w:p w14:paraId="2E9B77B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55" w:type="dxa"/>
            <w:tcBorders>
              <w:top w:val="nil"/>
              <w:bottom w:val="nil"/>
            </w:tcBorders>
            <w:shd w:val="clear" w:color="auto" w:fill="D9D9D9" w:themeFill="background1" w:themeFillShade="D9"/>
          </w:tcPr>
          <w:p w14:paraId="1D4D32D4"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6" w:type="dxa"/>
            <w:tcBorders>
              <w:top w:val="nil"/>
              <w:bottom w:val="nil"/>
            </w:tcBorders>
            <w:shd w:val="clear" w:color="auto" w:fill="D9D9D9" w:themeFill="background1" w:themeFillShade="D9"/>
          </w:tcPr>
          <w:p w14:paraId="35A3A61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27" w:type="dxa"/>
            <w:tcBorders>
              <w:top w:val="nil"/>
              <w:bottom w:val="nil"/>
            </w:tcBorders>
            <w:shd w:val="clear" w:color="auto" w:fill="D9D9D9" w:themeFill="background1" w:themeFillShade="D9"/>
          </w:tcPr>
          <w:p w14:paraId="6227873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851" w:type="dxa"/>
            <w:tcBorders>
              <w:top w:val="nil"/>
              <w:bottom w:val="nil"/>
            </w:tcBorders>
            <w:shd w:val="clear" w:color="auto" w:fill="D9D9D9" w:themeFill="background1" w:themeFillShade="D9"/>
          </w:tcPr>
          <w:p w14:paraId="217C028F"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09" w:type="dxa"/>
            <w:tcBorders>
              <w:top w:val="nil"/>
              <w:bottom w:val="nil"/>
            </w:tcBorders>
            <w:shd w:val="clear" w:color="auto" w:fill="D9D9D9" w:themeFill="background1" w:themeFillShade="D9"/>
          </w:tcPr>
          <w:p w14:paraId="2D7AE1CC"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850" w:type="dxa"/>
            <w:tcBorders>
              <w:top w:val="nil"/>
              <w:bottom w:val="nil"/>
            </w:tcBorders>
            <w:shd w:val="clear" w:color="auto" w:fill="D9D9D9" w:themeFill="background1" w:themeFillShade="D9"/>
          </w:tcPr>
          <w:p w14:paraId="5E350B46"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32" w:type="dxa"/>
            <w:tcBorders>
              <w:top w:val="nil"/>
              <w:bottom w:val="nil"/>
            </w:tcBorders>
            <w:shd w:val="clear" w:color="auto" w:fill="D9D9D9" w:themeFill="background1" w:themeFillShade="D9"/>
          </w:tcPr>
          <w:p w14:paraId="33FE772A"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796" w:type="dxa"/>
            <w:tcBorders>
              <w:top w:val="nil"/>
              <w:bottom w:val="nil"/>
            </w:tcBorders>
            <w:shd w:val="clear" w:color="auto" w:fill="D9D9D9" w:themeFill="background1" w:themeFillShade="D9"/>
          </w:tcPr>
          <w:p w14:paraId="442E4DF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79" w:type="dxa"/>
            <w:vMerge/>
            <w:tcBorders>
              <w:top w:val="nil"/>
              <w:bottom w:val="nil"/>
            </w:tcBorders>
            <w:shd w:val="clear" w:color="auto" w:fill="auto"/>
          </w:tcPr>
          <w:p w14:paraId="3F71D00D"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shd w:val="clear" w:color="auto" w:fill="D9D9D9" w:themeFill="background1" w:themeFillShade="D9"/>
          </w:tcPr>
          <w:p w14:paraId="0C475BF7" w14:textId="77777777" w:rsidR="00B10A76" w:rsidRPr="00013472" w:rsidRDefault="00B10A76"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58783B" w:rsidRPr="00013472" w14:paraId="5D781C21" w14:textId="77777777" w:rsidTr="00A14469">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7644B341" w14:textId="4E14D034" w:rsidR="0058783B" w:rsidRPr="00013472" w:rsidRDefault="0058783B" w:rsidP="00C03DE7">
            <w:pPr>
              <w:rPr>
                <w:rFonts w:ascii="Calibri" w:hAnsi="Calibri"/>
                <w:b w:val="0"/>
                <w:color w:val="000000"/>
                <w:sz w:val="16"/>
                <w:szCs w:val="16"/>
                <w:lang w:val="en-US"/>
              </w:rPr>
            </w:pPr>
            <w:r w:rsidRPr="00013472">
              <w:rPr>
                <w:rFonts w:ascii="Calibri" w:hAnsi="Calibri"/>
                <w:b w:val="0"/>
                <w:color w:val="000000"/>
                <w:sz w:val="16"/>
                <w:szCs w:val="16"/>
                <w:lang w:val="en-US"/>
              </w:rPr>
              <w:t>Orbit</w:t>
            </w:r>
          </w:p>
        </w:tc>
        <w:tc>
          <w:tcPr>
            <w:tcW w:w="797" w:type="dxa"/>
            <w:tcBorders>
              <w:top w:val="nil"/>
              <w:bottom w:val="nil"/>
            </w:tcBorders>
          </w:tcPr>
          <w:p w14:paraId="449DBC0D" w14:textId="2DFDCDE1"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191 (73)</w:t>
            </w:r>
          </w:p>
        </w:tc>
        <w:tc>
          <w:tcPr>
            <w:tcW w:w="797" w:type="dxa"/>
            <w:gridSpan w:val="2"/>
            <w:tcBorders>
              <w:top w:val="nil"/>
              <w:bottom w:val="nil"/>
            </w:tcBorders>
          </w:tcPr>
          <w:p w14:paraId="724406E0" w14:textId="7CCFFBE3"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135 (76)</w:t>
            </w:r>
          </w:p>
        </w:tc>
        <w:tc>
          <w:tcPr>
            <w:tcW w:w="1055" w:type="dxa"/>
            <w:tcBorders>
              <w:top w:val="nil"/>
              <w:bottom w:val="nil"/>
            </w:tcBorders>
          </w:tcPr>
          <w:p w14:paraId="36C8BC82" w14:textId="51FF3AC9"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 (73)</w:t>
            </w:r>
          </w:p>
        </w:tc>
        <w:tc>
          <w:tcPr>
            <w:tcW w:w="796" w:type="dxa"/>
            <w:tcBorders>
              <w:top w:val="nil"/>
              <w:bottom w:val="nil"/>
            </w:tcBorders>
          </w:tcPr>
          <w:p w14:paraId="4DF487E4" w14:textId="477F0CA8"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20 (77)</w:t>
            </w:r>
          </w:p>
        </w:tc>
        <w:tc>
          <w:tcPr>
            <w:tcW w:w="927" w:type="dxa"/>
            <w:tcBorders>
              <w:top w:val="nil"/>
              <w:bottom w:val="nil"/>
            </w:tcBorders>
          </w:tcPr>
          <w:p w14:paraId="390E064D" w14:textId="7015687D"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7 (41)</w:t>
            </w:r>
          </w:p>
        </w:tc>
        <w:tc>
          <w:tcPr>
            <w:tcW w:w="851" w:type="dxa"/>
            <w:tcBorders>
              <w:top w:val="nil"/>
              <w:bottom w:val="nil"/>
            </w:tcBorders>
          </w:tcPr>
          <w:p w14:paraId="6A1494F5" w14:textId="00566CFD"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709" w:type="dxa"/>
            <w:tcBorders>
              <w:top w:val="nil"/>
              <w:bottom w:val="nil"/>
            </w:tcBorders>
          </w:tcPr>
          <w:p w14:paraId="32A364CE" w14:textId="4F5750B0"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850" w:type="dxa"/>
            <w:tcBorders>
              <w:top w:val="nil"/>
              <w:bottom w:val="nil"/>
            </w:tcBorders>
          </w:tcPr>
          <w:p w14:paraId="415EF898" w14:textId="63BF5ADC"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732" w:type="dxa"/>
            <w:tcBorders>
              <w:top w:val="nil"/>
              <w:bottom w:val="nil"/>
            </w:tcBorders>
          </w:tcPr>
          <w:p w14:paraId="7373BD2D" w14:textId="3F0D8B7B"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3A2D5F02" w14:textId="05ACB432"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(75)</w:t>
            </w:r>
          </w:p>
        </w:tc>
        <w:tc>
          <w:tcPr>
            <w:tcW w:w="279" w:type="dxa"/>
            <w:tcBorders>
              <w:top w:val="nil"/>
              <w:bottom w:val="nil"/>
            </w:tcBorders>
            <w:shd w:val="clear" w:color="auto" w:fill="auto"/>
          </w:tcPr>
          <w:p w14:paraId="79A2ACB6"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70C8ABEA" w14:textId="4D8992B8"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r>
      <w:tr w:rsidR="0058783B" w:rsidRPr="00013472" w14:paraId="4396FF02" w14:textId="77777777" w:rsidTr="00A14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57B9378C" w14:textId="6C9117DA" w:rsidR="0058783B" w:rsidRPr="00013472" w:rsidRDefault="0058783B" w:rsidP="00C03DE7">
            <w:pPr>
              <w:rPr>
                <w:rFonts w:ascii="Calibri" w:hAnsi="Calibri"/>
                <w:b w:val="0"/>
                <w:color w:val="000000"/>
                <w:sz w:val="16"/>
                <w:szCs w:val="16"/>
                <w:lang w:val="en-US"/>
              </w:rPr>
            </w:pPr>
            <w:r w:rsidRPr="00013472">
              <w:rPr>
                <w:rFonts w:ascii="Calibri" w:hAnsi="Calibri"/>
                <w:b w:val="0"/>
                <w:color w:val="000000"/>
                <w:sz w:val="16"/>
                <w:szCs w:val="16"/>
                <w:lang w:val="en-US"/>
              </w:rPr>
              <w:t>Conjunctiva</w:t>
            </w:r>
          </w:p>
        </w:tc>
        <w:tc>
          <w:tcPr>
            <w:tcW w:w="797" w:type="dxa"/>
            <w:tcBorders>
              <w:top w:val="nil"/>
              <w:bottom w:val="nil"/>
            </w:tcBorders>
          </w:tcPr>
          <w:p w14:paraId="7794DD8F" w14:textId="154D08F3"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25 (10)</w:t>
            </w:r>
          </w:p>
        </w:tc>
        <w:tc>
          <w:tcPr>
            <w:tcW w:w="797" w:type="dxa"/>
            <w:gridSpan w:val="2"/>
            <w:tcBorders>
              <w:top w:val="nil"/>
              <w:bottom w:val="nil"/>
            </w:tcBorders>
          </w:tcPr>
          <w:p w14:paraId="25049FC7" w14:textId="475D046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19 (11)</w:t>
            </w:r>
          </w:p>
        </w:tc>
        <w:tc>
          <w:tcPr>
            <w:tcW w:w="1055" w:type="dxa"/>
            <w:tcBorders>
              <w:top w:val="nil"/>
              <w:bottom w:val="nil"/>
            </w:tcBorders>
          </w:tcPr>
          <w:p w14:paraId="3D724D44" w14:textId="567ED11D"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(15)</w:t>
            </w:r>
          </w:p>
        </w:tc>
        <w:tc>
          <w:tcPr>
            <w:tcW w:w="796" w:type="dxa"/>
            <w:tcBorders>
              <w:top w:val="nil"/>
              <w:bottom w:val="nil"/>
            </w:tcBorders>
          </w:tcPr>
          <w:p w14:paraId="650AF77A" w14:textId="5A291C60"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(4)</w:t>
            </w:r>
          </w:p>
        </w:tc>
        <w:tc>
          <w:tcPr>
            <w:tcW w:w="927" w:type="dxa"/>
            <w:tcBorders>
              <w:top w:val="nil"/>
              <w:bottom w:val="nil"/>
            </w:tcBorders>
          </w:tcPr>
          <w:p w14:paraId="70C4F1FD" w14:textId="76327CB8"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(6)</w:t>
            </w:r>
          </w:p>
        </w:tc>
        <w:tc>
          <w:tcPr>
            <w:tcW w:w="851" w:type="dxa"/>
            <w:tcBorders>
              <w:top w:val="nil"/>
              <w:bottom w:val="nil"/>
            </w:tcBorders>
          </w:tcPr>
          <w:p w14:paraId="4E845B9D" w14:textId="09E783A0"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nil"/>
            </w:tcBorders>
          </w:tcPr>
          <w:p w14:paraId="46BB74AB" w14:textId="11B15071"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2077ADC6" w14:textId="5A67C52F"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32" w:type="dxa"/>
            <w:tcBorders>
              <w:top w:val="nil"/>
              <w:bottom w:val="nil"/>
            </w:tcBorders>
          </w:tcPr>
          <w:p w14:paraId="2A523CC1" w14:textId="5A047683"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2FF177F4" w14:textId="784362A4"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tcBorders>
              <w:top w:val="nil"/>
              <w:bottom w:val="nil"/>
            </w:tcBorders>
            <w:shd w:val="clear" w:color="auto" w:fill="auto"/>
          </w:tcPr>
          <w:p w14:paraId="5D939C30"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02DBC165" w14:textId="4C2C32BA"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58783B" w:rsidRPr="00013472" w14:paraId="5217D52B" w14:textId="77777777" w:rsidTr="00A14469">
        <w:tc>
          <w:tcPr>
            <w:cnfStyle w:val="001000000000" w:firstRow="0" w:lastRow="0" w:firstColumn="1" w:lastColumn="0" w:oddVBand="0" w:evenVBand="0" w:oddHBand="0" w:evenHBand="0" w:firstRowFirstColumn="0" w:firstRowLastColumn="0" w:lastRowFirstColumn="0" w:lastRowLastColumn="0"/>
            <w:tcW w:w="2381" w:type="dxa"/>
            <w:tcBorders>
              <w:top w:val="nil"/>
              <w:bottom w:val="nil"/>
            </w:tcBorders>
          </w:tcPr>
          <w:p w14:paraId="166F3AD0" w14:textId="77777777" w:rsidR="0058783B" w:rsidRPr="00013472" w:rsidRDefault="0058783B" w:rsidP="00C03DE7">
            <w:pPr>
              <w:rPr>
                <w:rFonts w:ascii="Calibri" w:hAnsi="Calibri"/>
                <w:b w:val="0"/>
                <w:color w:val="000000"/>
                <w:sz w:val="16"/>
                <w:szCs w:val="16"/>
                <w:lang w:val="en-US"/>
              </w:rPr>
            </w:pPr>
            <w:r w:rsidRPr="00013472">
              <w:rPr>
                <w:rFonts w:ascii="Calibri" w:hAnsi="Calibri"/>
                <w:b w:val="0"/>
                <w:color w:val="000000"/>
                <w:sz w:val="16"/>
                <w:szCs w:val="16"/>
                <w:lang w:val="en-US"/>
              </w:rPr>
              <w:t>Eyelid</w:t>
            </w:r>
          </w:p>
        </w:tc>
        <w:tc>
          <w:tcPr>
            <w:tcW w:w="797" w:type="dxa"/>
            <w:tcBorders>
              <w:top w:val="nil"/>
              <w:bottom w:val="nil"/>
            </w:tcBorders>
          </w:tcPr>
          <w:p w14:paraId="443008CA"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 (2)</w:t>
            </w:r>
          </w:p>
        </w:tc>
        <w:tc>
          <w:tcPr>
            <w:tcW w:w="797" w:type="dxa"/>
            <w:gridSpan w:val="2"/>
            <w:tcBorders>
              <w:top w:val="nil"/>
              <w:bottom w:val="nil"/>
            </w:tcBorders>
          </w:tcPr>
          <w:p w14:paraId="01CE1550"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(0.6)</w:t>
            </w:r>
          </w:p>
        </w:tc>
        <w:tc>
          <w:tcPr>
            <w:tcW w:w="1055" w:type="dxa"/>
            <w:tcBorders>
              <w:top w:val="nil"/>
              <w:bottom w:val="nil"/>
            </w:tcBorders>
          </w:tcPr>
          <w:p w14:paraId="5A144F10"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(4)</w:t>
            </w:r>
          </w:p>
        </w:tc>
        <w:tc>
          <w:tcPr>
            <w:tcW w:w="796" w:type="dxa"/>
            <w:tcBorders>
              <w:top w:val="nil"/>
              <w:bottom w:val="nil"/>
            </w:tcBorders>
          </w:tcPr>
          <w:p w14:paraId="582A1113"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(8)</w:t>
            </w:r>
          </w:p>
        </w:tc>
        <w:tc>
          <w:tcPr>
            <w:tcW w:w="927" w:type="dxa"/>
            <w:tcBorders>
              <w:top w:val="nil"/>
              <w:bottom w:val="nil"/>
            </w:tcBorders>
          </w:tcPr>
          <w:p w14:paraId="60DDE4D6"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(6)</w:t>
            </w:r>
          </w:p>
        </w:tc>
        <w:tc>
          <w:tcPr>
            <w:tcW w:w="851" w:type="dxa"/>
            <w:tcBorders>
              <w:top w:val="nil"/>
              <w:bottom w:val="nil"/>
            </w:tcBorders>
          </w:tcPr>
          <w:p w14:paraId="3BA0C4E7"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nil"/>
            </w:tcBorders>
          </w:tcPr>
          <w:p w14:paraId="21AE9F9F"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nil"/>
            </w:tcBorders>
          </w:tcPr>
          <w:p w14:paraId="432E5819"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32" w:type="dxa"/>
            <w:tcBorders>
              <w:top w:val="nil"/>
              <w:bottom w:val="nil"/>
            </w:tcBorders>
          </w:tcPr>
          <w:p w14:paraId="63F69FE8"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nil"/>
            </w:tcBorders>
          </w:tcPr>
          <w:p w14:paraId="0761658B"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tcBorders>
              <w:top w:val="nil"/>
              <w:bottom w:val="nil"/>
            </w:tcBorders>
            <w:shd w:val="clear" w:color="auto" w:fill="auto"/>
          </w:tcPr>
          <w:p w14:paraId="3E814C4E"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p>
        </w:tc>
        <w:tc>
          <w:tcPr>
            <w:tcW w:w="2446" w:type="dxa"/>
            <w:tcBorders>
              <w:top w:val="nil"/>
              <w:bottom w:val="nil"/>
            </w:tcBorders>
          </w:tcPr>
          <w:p w14:paraId="015918C4" w14:textId="77777777" w:rsidR="0058783B" w:rsidRPr="00013472" w:rsidRDefault="0058783B" w:rsidP="00C03DE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r w:rsidR="0058783B" w:rsidRPr="00013472" w14:paraId="0E0ACE72" w14:textId="77777777" w:rsidTr="00587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dxa"/>
            <w:tcBorders>
              <w:top w:val="nil"/>
              <w:bottom w:val="single" w:sz="4" w:space="0" w:color="auto"/>
            </w:tcBorders>
          </w:tcPr>
          <w:p w14:paraId="285320C3" w14:textId="6BE9A879" w:rsidR="0058783B" w:rsidRPr="00013472" w:rsidRDefault="0058783B" w:rsidP="00C03DE7">
            <w:pPr>
              <w:rPr>
                <w:rFonts w:ascii="Calibri" w:hAnsi="Calibri"/>
                <w:b w:val="0"/>
                <w:color w:val="000000"/>
                <w:sz w:val="16"/>
                <w:szCs w:val="16"/>
                <w:lang w:val="en-US"/>
              </w:rPr>
            </w:pPr>
            <w:r w:rsidRPr="00013472">
              <w:rPr>
                <w:rFonts w:ascii="Calibri" w:hAnsi="Calibri"/>
                <w:b w:val="0"/>
                <w:color w:val="000000"/>
                <w:sz w:val="16"/>
                <w:szCs w:val="16"/>
                <w:lang w:val="en-US"/>
              </w:rPr>
              <w:t>Lacrimal sac</w:t>
            </w:r>
          </w:p>
        </w:tc>
        <w:tc>
          <w:tcPr>
            <w:tcW w:w="797" w:type="dxa"/>
            <w:tcBorders>
              <w:top w:val="nil"/>
              <w:bottom w:val="single" w:sz="4" w:space="0" w:color="auto"/>
            </w:tcBorders>
          </w:tcPr>
          <w:p w14:paraId="181CB17C"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7" w:type="dxa"/>
            <w:gridSpan w:val="2"/>
            <w:tcBorders>
              <w:top w:val="nil"/>
              <w:bottom w:val="single" w:sz="4" w:space="0" w:color="auto"/>
            </w:tcBorders>
          </w:tcPr>
          <w:p w14:paraId="1FD190F4"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1055" w:type="dxa"/>
            <w:tcBorders>
              <w:top w:val="nil"/>
              <w:bottom w:val="single" w:sz="4" w:space="0" w:color="auto"/>
            </w:tcBorders>
          </w:tcPr>
          <w:p w14:paraId="45B2AF3E"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single" w:sz="4" w:space="0" w:color="auto"/>
            </w:tcBorders>
          </w:tcPr>
          <w:p w14:paraId="72F9A5C0"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927" w:type="dxa"/>
            <w:tcBorders>
              <w:top w:val="nil"/>
              <w:bottom w:val="single" w:sz="4" w:space="0" w:color="auto"/>
            </w:tcBorders>
          </w:tcPr>
          <w:p w14:paraId="6E58BAD9"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1" w:type="dxa"/>
            <w:tcBorders>
              <w:top w:val="nil"/>
              <w:bottom w:val="single" w:sz="4" w:space="0" w:color="auto"/>
            </w:tcBorders>
          </w:tcPr>
          <w:p w14:paraId="5D04F9A9"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09" w:type="dxa"/>
            <w:tcBorders>
              <w:top w:val="nil"/>
              <w:bottom w:val="single" w:sz="4" w:space="0" w:color="auto"/>
            </w:tcBorders>
          </w:tcPr>
          <w:p w14:paraId="22EAB8B7"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850" w:type="dxa"/>
            <w:tcBorders>
              <w:top w:val="nil"/>
              <w:bottom w:val="single" w:sz="4" w:space="0" w:color="auto"/>
            </w:tcBorders>
          </w:tcPr>
          <w:p w14:paraId="21BD02AC"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32" w:type="dxa"/>
            <w:tcBorders>
              <w:top w:val="nil"/>
              <w:bottom w:val="single" w:sz="4" w:space="0" w:color="auto"/>
            </w:tcBorders>
          </w:tcPr>
          <w:p w14:paraId="6B1C512E"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796" w:type="dxa"/>
            <w:tcBorders>
              <w:top w:val="nil"/>
              <w:bottom w:val="single" w:sz="4" w:space="0" w:color="auto"/>
            </w:tcBorders>
          </w:tcPr>
          <w:p w14:paraId="3863439A"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279" w:type="dxa"/>
            <w:tcBorders>
              <w:top w:val="nil"/>
              <w:bottom w:val="single" w:sz="4" w:space="0" w:color="auto"/>
            </w:tcBorders>
          </w:tcPr>
          <w:p w14:paraId="53254861" w14:textId="77777777" w:rsidR="0058783B" w:rsidRPr="00013472" w:rsidRDefault="0058783B" w:rsidP="00C03DE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2446" w:type="dxa"/>
            <w:tcBorders>
              <w:top w:val="nil"/>
              <w:bottom w:val="single" w:sz="4" w:space="0" w:color="auto"/>
            </w:tcBorders>
          </w:tcPr>
          <w:p w14:paraId="58569E7C" w14:textId="77777777" w:rsidR="0058783B" w:rsidRPr="00013472" w:rsidRDefault="0058783B" w:rsidP="00C03DE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r>
    </w:tbl>
    <w:p w14:paraId="3A9977C8" w14:textId="77777777" w:rsidR="0058783B" w:rsidRPr="00013472" w:rsidRDefault="0058783B" w:rsidP="00ED2A39">
      <w:pPr>
        <w:spacing w:line="480" w:lineRule="auto"/>
        <w:ind w:left="-142" w:firstLine="142"/>
        <w:rPr>
          <w:lang w:val="en-US"/>
        </w:rPr>
      </w:pPr>
    </w:p>
    <w:p w14:paraId="749E291E" w14:textId="77777777" w:rsidR="00ED2A39" w:rsidRPr="00013472" w:rsidRDefault="00ED2A39" w:rsidP="004A4910">
      <w:pPr>
        <w:spacing w:line="480" w:lineRule="auto"/>
        <w:rPr>
          <w:lang w:val="en-US"/>
        </w:rPr>
      </w:pPr>
    </w:p>
    <w:p w14:paraId="729C550A" w14:textId="7A2107CD" w:rsidR="00ED2A39" w:rsidRPr="00013472" w:rsidRDefault="00ED2A39" w:rsidP="00ED2A39">
      <w:pPr>
        <w:tabs>
          <w:tab w:val="left" w:pos="3466"/>
        </w:tabs>
        <w:spacing w:line="480" w:lineRule="auto"/>
        <w:ind w:left="-142" w:firstLine="142"/>
        <w:rPr>
          <w:lang w:val="en-US"/>
        </w:rPr>
      </w:pPr>
      <w:r w:rsidRPr="00013472">
        <w:rPr>
          <w:lang w:val="en-US"/>
        </w:rPr>
        <w:tab/>
      </w:r>
    </w:p>
    <w:p w14:paraId="2695668F" w14:textId="18070D3F" w:rsidR="008B3A9B" w:rsidRPr="00013472" w:rsidRDefault="008B3A9B">
      <w:pPr>
        <w:rPr>
          <w:b/>
          <w:bCs/>
          <w:lang w:val="en-US"/>
        </w:rPr>
      </w:pPr>
      <w:r w:rsidRPr="00013472">
        <w:rPr>
          <w:b/>
          <w:bCs/>
          <w:lang w:val="en-US"/>
        </w:rPr>
        <w:br w:type="page"/>
      </w:r>
    </w:p>
    <w:tbl>
      <w:tblPr>
        <w:tblStyle w:val="LightShading"/>
        <w:tblW w:w="15867" w:type="dxa"/>
        <w:tblLayout w:type="fixed"/>
        <w:tblLook w:val="04A0" w:firstRow="1" w:lastRow="0" w:firstColumn="1" w:lastColumn="0" w:noHBand="0" w:noVBand="1"/>
      </w:tblPr>
      <w:tblGrid>
        <w:gridCol w:w="1267"/>
        <w:gridCol w:w="968"/>
        <w:gridCol w:w="1235"/>
        <w:gridCol w:w="933"/>
        <w:gridCol w:w="1236"/>
        <w:gridCol w:w="1540"/>
        <w:gridCol w:w="1086"/>
        <w:gridCol w:w="1086"/>
        <w:gridCol w:w="1086"/>
        <w:gridCol w:w="1086"/>
        <w:gridCol w:w="1086"/>
        <w:gridCol w:w="1086"/>
        <w:gridCol w:w="1086"/>
        <w:gridCol w:w="1086"/>
      </w:tblGrid>
      <w:tr w:rsidR="00ED2A39" w:rsidRPr="00013472" w14:paraId="1314E266" w14:textId="77777777" w:rsidTr="00EF3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9" w:type="dxa"/>
            <w:gridSpan w:val="5"/>
            <w:tcBorders>
              <w:left w:val="single" w:sz="4" w:space="0" w:color="auto"/>
            </w:tcBorders>
          </w:tcPr>
          <w:p w14:paraId="4B9E4DD1" w14:textId="671EE072" w:rsidR="00ED2A39" w:rsidRPr="00013472" w:rsidRDefault="00ED2A39" w:rsidP="00ED2A39">
            <w:pPr>
              <w:rPr>
                <w:rFonts w:ascii="Calibri" w:hAnsi="Calibri"/>
                <w:bCs w:val="0"/>
                <w:color w:val="000000"/>
                <w:sz w:val="16"/>
                <w:szCs w:val="16"/>
                <w:vertAlign w:val="superscript"/>
                <w:lang w:val="en-US"/>
              </w:rPr>
            </w:pPr>
            <w:r w:rsidRPr="00013472">
              <w:rPr>
                <w:rFonts w:ascii="Calibri" w:hAnsi="Calibri"/>
                <w:bCs w:val="0"/>
                <w:sz w:val="16"/>
                <w:szCs w:val="16"/>
                <w:lang w:val="en-US"/>
              </w:rPr>
              <w:lastRenderedPageBreak/>
              <w:t xml:space="preserve">Table 4. Management of Patients by Subtype of Lacrimal Gland </w:t>
            </w:r>
            <w:proofErr w:type="spellStart"/>
            <w:r w:rsidRPr="00013472">
              <w:rPr>
                <w:rFonts w:ascii="Calibri" w:hAnsi="Calibri"/>
                <w:bCs w:val="0"/>
                <w:sz w:val="16"/>
                <w:szCs w:val="16"/>
                <w:lang w:val="en-US"/>
              </w:rPr>
              <w:t>Lymphoma</w:t>
            </w:r>
            <w:r w:rsidRPr="00013472">
              <w:rPr>
                <w:rFonts w:ascii="Calibri" w:hAnsi="Calibri"/>
                <w:bCs w:val="0"/>
                <w:sz w:val="16"/>
                <w:szCs w:val="16"/>
                <w:vertAlign w:val="superscript"/>
                <w:lang w:val="en-US"/>
              </w:rPr>
              <w:t>a</w:t>
            </w:r>
            <w:proofErr w:type="spellEnd"/>
          </w:p>
        </w:tc>
        <w:tc>
          <w:tcPr>
            <w:tcW w:w="1540" w:type="dxa"/>
          </w:tcPr>
          <w:p w14:paraId="131C2332"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c>
          <w:tcPr>
            <w:tcW w:w="1086" w:type="dxa"/>
          </w:tcPr>
          <w:p w14:paraId="397EE797"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c>
          <w:tcPr>
            <w:tcW w:w="1086" w:type="dxa"/>
          </w:tcPr>
          <w:p w14:paraId="54876F0F"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c>
          <w:tcPr>
            <w:tcW w:w="1086" w:type="dxa"/>
          </w:tcPr>
          <w:p w14:paraId="6ABC7F2B"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c>
          <w:tcPr>
            <w:tcW w:w="1086" w:type="dxa"/>
          </w:tcPr>
          <w:p w14:paraId="5C6783F7"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c>
          <w:tcPr>
            <w:tcW w:w="1086" w:type="dxa"/>
          </w:tcPr>
          <w:p w14:paraId="0A3E716D"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c>
          <w:tcPr>
            <w:tcW w:w="1086" w:type="dxa"/>
          </w:tcPr>
          <w:p w14:paraId="18921C25"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c>
          <w:tcPr>
            <w:tcW w:w="1086" w:type="dxa"/>
          </w:tcPr>
          <w:p w14:paraId="384E7E19"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c>
          <w:tcPr>
            <w:tcW w:w="1086" w:type="dxa"/>
            <w:tcBorders>
              <w:right w:val="single" w:sz="4" w:space="0" w:color="auto"/>
            </w:tcBorders>
          </w:tcPr>
          <w:p w14:paraId="364869F0" w14:textId="77777777" w:rsidR="00ED2A39" w:rsidRPr="00013472" w:rsidRDefault="00ED2A39" w:rsidP="00ED2A39">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16"/>
                <w:szCs w:val="16"/>
                <w:lang w:val="en-US"/>
              </w:rPr>
            </w:pPr>
          </w:p>
        </w:tc>
      </w:tr>
      <w:tr w:rsidR="00ED2A39" w:rsidRPr="00013472" w14:paraId="21158405"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7" w:type="dxa"/>
            <w:gridSpan w:val="14"/>
            <w:tcBorders>
              <w:left w:val="single" w:sz="4" w:space="0" w:color="auto"/>
              <w:right w:val="single" w:sz="4" w:space="0" w:color="auto"/>
            </w:tcBorders>
          </w:tcPr>
          <w:p w14:paraId="233E1E1A" w14:textId="77777777" w:rsidR="00ED2A39" w:rsidRPr="00013472" w:rsidRDefault="00ED2A39" w:rsidP="00ED2A39">
            <w:pPr>
              <w:jc w:val="center"/>
              <w:rPr>
                <w:rFonts w:ascii="Calibri" w:hAnsi="Calibri"/>
                <w:b w:val="0"/>
                <w:bCs w:val="0"/>
                <w:color w:val="000000"/>
                <w:sz w:val="16"/>
                <w:szCs w:val="16"/>
                <w:lang w:val="en-US"/>
              </w:rPr>
            </w:pPr>
            <w:r w:rsidRPr="00013472">
              <w:rPr>
                <w:rFonts w:ascii="Calibri" w:hAnsi="Calibri"/>
                <w:color w:val="000000"/>
                <w:sz w:val="16"/>
                <w:szCs w:val="16"/>
                <w:lang w:val="en-US"/>
              </w:rPr>
              <w:t xml:space="preserve">No. (%) of </w:t>
            </w:r>
            <w:proofErr w:type="spellStart"/>
            <w:r w:rsidRPr="00013472">
              <w:rPr>
                <w:rFonts w:ascii="Calibri" w:hAnsi="Calibri"/>
                <w:color w:val="000000"/>
                <w:sz w:val="16"/>
                <w:szCs w:val="16"/>
                <w:lang w:val="en-US"/>
              </w:rPr>
              <w:t>Patients</w:t>
            </w:r>
            <w:r w:rsidRPr="00013472">
              <w:rPr>
                <w:rFonts w:ascii="Calibri" w:hAnsi="Calibri"/>
                <w:color w:val="000000"/>
                <w:sz w:val="16"/>
                <w:szCs w:val="16"/>
                <w:vertAlign w:val="superscript"/>
                <w:lang w:val="en-US"/>
              </w:rPr>
              <w:t>b</w:t>
            </w:r>
            <w:proofErr w:type="spellEnd"/>
          </w:p>
        </w:tc>
      </w:tr>
      <w:tr w:rsidR="00ED2A39" w:rsidRPr="00013472" w14:paraId="056E7664"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bottom w:val="single" w:sz="4" w:space="0" w:color="auto"/>
            </w:tcBorders>
          </w:tcPr>
          <w:p w14:paraId="51766C9C" w14:textId="77777777" w:rsidR="00ED2A39" w:rsidRPr="00013472" w:rsidRDefault="00ED2A39" w:rsidP="00ED2A39">
            <w:pPr>
              <w:rPr>
                <w:b w:val="0"/>
                <w:sz w:val="16"/>
                <w:szCs w:val="16"/>
                <w:lang w:val="en-US"/>
              </w:rPr>
            </w:pPr>
            <w:r w:rsidRPr="00013472">
              <w:rPr>
                <w:sz w:val="16"/>
                <w:szCs w:val="16"/>
                <w:lang w:val="en-US"/>
              </w:rPr>
              <w:t>Stage</w:t>
            </w:r>
          </w:p>
        </w:tc>
        <w:tc>
          <w:tcPr>
            <w:tcW w:w="968" w:type="dxa"/>
            <w:tcBorders>
              <w:bottom w:val="single" w:sz="4" w:space="0" w:color="auto"/>
            </w:tcBorders>
          </w:tcPr>
          <w:p w14:paraId="473190B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EBRT</w:t>
            </w:r>
          </w:p>
        </w:tc>
        <w:tc>
          <w:tcPr>
            <w:tcW w:w="1235" w:type="dxa"/>
            <w:tcBorders>
              <w:bottom w:val="single" w:sz="4" w:space="0" w:color="auto"/>
            </w:tcBorders>
          </w:tcPr>
          <w:p w14:paraId="538A63F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EBRT and CTX</w:t>
            </w:r>
          </w:p>
        </w:tc>
        <w:tc>
          <w:tcPr>
            <w:tcW w:w="933" w:type="dxa"/>
            <w:tcBorders>
              <w:bottom w:val="single" w:sz="4" w:space="0" w:color="auto"/>
            </w:tcBorders>
          </w:tcPr>
          <w:p w14:paraId="7F2B167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CTX</w:t>
            </w:r>
          </w:p>
        </w:tc>
        <w:tc>
          <w:tcPr>
            <w:tcW w:w="1236" w:type="dxa"/>
            <w:tcBorders>
              <w:bottom w:val="single" w:sz="4" w:space="0" w:color="auto"/>
            </w:tcBorders>
          </w:tcPr>
          <w:p w14:paraId="33098B2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CTX plus Rituximab</w:t>
            </w:r>
          </w:p>
        </w:tc>
        <w:tc>
          <w:tcPr>
            <w:tcW w:w="1540" w:type="dxa"/>
            <w:tcBorders>
              <w:bottom w:val="single" w:sz="4" w:space="0" w:color="auto"/>
            </w:tcBorders>
          </w:tcPr>
          <w:p w14:paraId="102B37F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EBRT and CTX plus Rituximab</w:t>
            </w:r>
          </w:p>
        </w:tc>
        <w:tc>
          <w:tcPr>
            <w:tcW w:w="1086" w:type="dxa"/>
            <w:tcBorders>
              <w:bottom w:val="single" w:sz="4" w:space="0" w:color="auto"/>
            </w:tcBorders>
          </w:tcPr>
          <w:p w14:paraId="650E194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Rituximab or Rituximab plus EBRT</w:t>
            </w:r>
          </w:p>
        </w:tc>
        <w:tc>
          <w:tcPr>
            <w:tcW w:w="1086" w:type="dxa"/>
            <w:tcBorders>
              <w:bottom w:val="single" w:sz="4" w:space="0" w:color="auto"/>
            </w:tcBorders>
          </w:tcPr>
          <w:p w14:paraId="68EC94E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Surgery</w:t>
            </w:r>
          </w:p>
        </w:tc>
        <w:tc>
          <w:tcPr>
            <w:tcW w:w="1086" w:type="dxa"/>
            <w:tcBorders>
              <w:bottom w:val="single" w:sz="4" w:space="0" w:color="auto"/>
            </w:tcBorders>
          </w:tcPr>
          <w:p w14:paraId="57185EA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Surgery and EBRT</w:t>
            </w:r>
          </w:p>
        </w:tc>
        <w:tc>
          <w:tcPr>
            <w:tcW w:w="1086" w:type="dxa"/>
            <w:tcBorders>
              <w:bottom w:val="single" w:sz="4" w:space="0" w:color="auto"/>
            </w:tcBorders>
          </w:tcPr>
          <w:p w14:paraId="5CF3B0C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proofErr w:type="spellStart"/>
            <w:r w:rsidRPr="00013472">
              <w:rPr>
                <w:rFonts w:ascii="Calibri" w:hAnsi="Calibri"/>
                <w:b/>
                <w:bCs/>
                <w:color w:val="000000"/>
                <w:sz w:val="16"/>
                <w:szCs w:val="16"/>
                <w:lang w:val="en-US"/>
              </w:rPr>
              <w:t>Zevalin</w:t>
            </w:r>
            <w:proofErr w:type="spellEnd"/>
            <w:r w:rsidRPr="00013472">
              <w:rPr>
                <w:rFonts w:ascii="Calibri" w:hAnsi="Calibri"/>
                <w:b/>
                <w:bCs/>
                <w:color w:val="000000"/>
                <w:sz w:val="16"/>
                <w:szCs w:val="16"/>
                <w:lang w:val="en-US"/>
              </w:rPr>
              <w:t>® and rituximab</w:t>
            </w:r>
          </w:p>
        </w:tc>
        <w:tc>
          <w:tcPr>
            <w:tcW w:w="1086" w:type="dxa"/>
            <w:tcBorders>
              <w:bottom w:val="single" w:sz="4" w:space="0" w:color="auto"/>
            </w:tcBorders>
          </w:tcPr>
          <w:p w14:paraId="0BD20ED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BM transplant</w:t>
            </w:r>
          </w:p>
        </w:tc>
        <w:tc>
          <w:tcPr>
            <w:tcW w:w="1086" w:type="dxa"/>
            <w:tcBorders>
              <w:bottom w:val="single" w:sz="4" w:space="0" w:color="auto"/>
            </w:tcBorders>
          </w:tcPr>
          <w:p w14:paraId="1490700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 xml:space="preserve">GM-CSF and </w:t>
            </w:r>
            <w:proofErr w:type="spellStart"/>
            <w:r w:rsidRPr="00013472">
              <w:rPr>
                <w:rFonts w:ascii="Calibri" w:hAnsi="Calibri"/>
                <w:b/>
                <w:bCs/>
                <w:color w:val="000000"/>
                <w:sz w:val="16"/>
                <w:szCs w:val="16"/>
                <w:lang w:val="en-US"/>
              </w:rPr>
              <w:t>Zevalin</w:t>
            </w:r>
            <w:proofErr w:type="spellEnd"/>
            <w:r w:rsidRPr="00013472">
              <w:rPr>
                <w:rFonts w:ascii="Calibri" w:hAnsi="Calibri"/>
                <w:b/>
                <w:bCs/>
                <w:color w:val="000000"/>
                <w:sz w:val="16"/>
                <w:szCs w:val="16"/>
                <w:lang w:val="en-US"/>
              </w:rPr>
              <w:t>®</w:t>
            </w:r>
          </w:p>
        </w:tc>
        <w:tc>
          <w:tcPr>
            <w:tcW w:w="1086" w:type="dxa"/>
            <w:tcBorders>
              <w:bottom w:val="single" w:sz="4" w:space="0" w:color="auto"/>
            </w:tcBorders>
          </w:tcPr>
          <w:p w14:paraId="0426842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No treatment</w:t>
            </w:r>
          </w:p>
        </w:tc>
        <w:tc>
          <w:tcPr>
            <w:tcW w:w="1086" w:type="dxa"/>
            <w:tcBorders>
              <w:bottom w:val="single" w:sz="4" w:space="0" w:color="auto"/>
              <w:right w:val="single" w:sz="4" w:space="0" w:color="auto"/>
            </w:tcBorders>
          </w:tcPr>
          <w:p w14:paraId="54A97EB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16"/>
                <w:szCs w:val="16"/>
                <w:lang w:val="en-US"/>
              </w:rPr>
            </w:pPr>
            <w:r w:rsidRPr="00013472">
              <w:rPr>
                <w:rFonts w:ascii="Calibri" w:hAnsi="Calibri"/>
                <w:b/>
                <w:bCs/>
                <w:color w:val="000000"/>
                <w:sz w:val="16"/>
                <w:szCs w:val="16"/>
                <w:lang w:val="en-US"/>
              </w:rPr>
              <w:t>Unknown</w:t>
            </w:r>
          </w:p>
        </w:tc>
      </w:tr>
      <w:tr w:rsidR="00ED2A39" w:rsidRPr="00013472" w14:paraId="1FACBAFE"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gridSpan w:val="2"/>
            <w:tcBorders>
              <w:top w:val="single" w:sz="4" w:space="0" w:color="auto"/>
              <w:left w:val="single" w:sz="4" w:space="0" w:color="auto"/>
            </w:tcBorders>
          </w:tcPr>
          <w:p w14:paraId="6CEA140A" w14:textId="1D1F8A97" w:rsidR="00EF3FD0" w:rsidRPr="00013472" w:rsidRDefault="00EF3FD0" w:rsidP="00ED2A39">
            <w:pPr>
              <w:rPr>
                <w:sz w:val="16"/>
                <w:szCs w:val="16"/>
                <w:lang w:val="en-US"/>
              </w:rPr>
            </w:pPr>
            <w:r w:rsidRPr="00013472">
              <w:rPr>
                <w:sz w:val="16"/>
                <w:szCs w:val="16"/>
                <w:lang w:val="en-US"/>
              </w:rPr>
              <w:t>B-cell lymphomas</w:t>
            </w:r>
          </w:p>
        </w:tc>
        <w:tc>
          <w:tcPr>
            <w:tcW w:w="1235" w:type="dxa"/>
            <w:tcBorders>
              <w:top w:val="single" w:sz="4" w:space="0" w:color="auto"/>
            </w:tcBorders>
          </w:tcPr>
          <w:p w14:paraId="6B0FA377"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933" w:type="dxa"/>
            <w:tcBorders>
              <w:top w:val="single" w:sz="4" w:space="0" w:color="auto"/>
            </w:tcBorders>
          </w:tcPr>
          <w:p w14:paraId="51FEF25B"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236" w:type="dxa"/>
            <w:tcBorders>
              <w:top w:val="single" w:sz="4" w:space="0" w:color="auto"/>
            </w:tcBorders>
          </w:tcPr>
          <w:p w14:paraId="3CA47D14"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540" w:type="dxa"/>
            <w:tcBorders>
              <w:top w:val="single" w:sz="4" w:space="0" w:color="auto"/>
            </w:tcBorders>
          </w:tcPr>
          <w:p w14:paraId="0D5F30F3"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086" w:type="dxa"/>
            <w:tcBorders>
              <w:top w:val="single" w:sz="4" w:space="0" w:color="auto"/>
            </w:tcBorders>
          </w:tcPr>
          <w:p w14:paraId="17E59519"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086" w:type="dxa"/>
            <w:tcBorders>
              <w:top w:val="single" w:sz="4" w:space="0" w:color="auto"/>
            </w:tcBorders>
          </w:tcPr>
          <w:p w14:paraId="5D95AA1C"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086" w:type="dxa"/>
            <w:tcBorders>
              <w:top w:val="single" w:sz="4" w:space="0" w:color="auto"/>
            </w:tcBorders>
          </w:tcPr>
          <w:p w14:paraId="51ABDFB1"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086" w:type="dxa"/>
            <w:tcBorders>
              <w:top w:val="single" w:sz="4" w:space="0" w:color="auto"/>
            </w:tcBorders>
          </w:tcPr>
          <w:p w14:paraId="49B17C3E"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086" w:type="dxa"/>
            <w:tcBorders>
              <w:top w:val="single" w:sz="4" w:space="0" w:color="auto"/>
            </w:tcBorders>
          </w:tcPr>
          <w:p w14:paraId="38F8226D"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086" w:type="dxa"/>
            <w:tcBorders>
              <w:top w:val="single" w:sz="4" w:space="0" w:color="auto"/>
            </w:tcBorders>
          </w:tcPr>
          <w:p w14:paraId="224D8984"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086" w:type="dxa"/>
            <w:tcBorders>
              <w:top w:val="single" w:sz="4" w:space="0" w:color="auto"/>
            </w:tcBorders>
          </w:tcPr>
          <w:p w14:paraId="13A13F3C"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086" w:type="dxa"/>
            <w:tcBorders>
              <w:top w:val="single" w:sz="4" w:space="0" w:color="auto"/>
              <w:right w:val="single" w:sz="4" w:space="0" w:color="auto"/>
            </w:tcBorders>
          </w:tcPr>
          <w:p w14:paraId="2C038FB4" w14:textId="77777777" w:rsidR="00ED2A39" w:rsidRPr="00013472" w:rsidRDefault="00ED2A39" w:rsidP="00ED2A39">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ED2A39" w:rsidRPr="00013472" w14:paraId="77D349BD"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408E6A81" w14:textId="77777777" w:rsidR="00ED2A39" w:rsidRPr="00013472" w:rsidRDefault="00ED2A39" w:rsidP="00ED2A39">
            <w:pPr>
              <w:rPr>
                <w:sz w:val="16"/>
                <w:szCs w:val="16"/>
                <w:lang w:val="en-US"/>
              </w:rPr>
            </w:pPr>
            <w:r w:rsidRPr="00013472">
              <w:rPr>
                <w:sz w:val="16"/>
                <w:szCs w:val="16"/>
                <w:lang w:val="en-US"/>
              </w:rPr>
              <w:t>EMZL</w:t>
            </w:r>
          </w:p>
        </w:tc>
        <w:tc>
          <w:tcPr>
            <w:tcW w:w="968" w:type="dxa"/>
            <w:shd w:val="clear" w:color="auto" w:fill="D9D9D9" w:themeFill="background1" w:themeFillShade="D9"/>
          </w:tcPr>
          <w:p w14:paraId="3298B49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138 (79)</w:t>
            </w:r>
          </w:p>
        </w:tc>
        <w:tc>
          <w:tcPr>
            <w:tcW w:w="1235" w:type="dxa"/>
            <w:shd w:val="clear" w:color="auto" w:fill="D9D9D9" w:themeFill="background1" w:themeFillShade="D9"/>
          </w:tcPr>
          <w:p w14:paraId="2755345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8 (5)</w:t>
            </w:r>
          </w:p>
        </w:tc>
        <w:tc>
          <w:tcPr>
            <w:tcW w:w="933" w:type="dxa"/>
            <w:shd w:val="clear" w:color="auto" w:fill="D9D9D9" w:themeFill="background1" w:themeFillShade="D9"/>
          </w:tcPr>
          <w:p w14:paraId="0AC5B08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3 (2)</w:t>
            </w:r>
          </w:p>
        </w:tc>
        <w:tc>
          <w:tcPr>
            <w:tcW w:w="1236" w:type="dxa"/>
            <w:shd w:val="clear" w:color="auto" w:fill="D9D9D9" w:themeFill="background1" w:themeFillShade="D9"/>
          </w:tcPr>
          <w:p w14:paraId="5D1199A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13 (7)</w:t>
            </w:r>
          </w:p>
        </w:tc>
        <w:tc>
          <w:tcPr>
            <w:tcW w:w="1540" w:type="dxa"/>
            <w:shd w:val="clear" w:color="auto" w:fill="D9D9D9" w:themeFill="background1" w:themeFillShade="D9"/>
          </w:tcPr>
          <w:p w14:paraId="0740BCD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599952C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2 (1)</w:t>
            </w:r>
          </w:p>
        </w:tc>
        <w:tc>
          <w:tcPr>
            <w:tcW w:w="1086" w:type="dxa"/>
            <w:shd w:val="clear" w:color="auto" w:fill="D9D9D9" w:themeFill="background1" w:themeFillShade="D9"/>
          </w:tcPr>
          <w:p w14:paraId="6A0991D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2 (1)</w:t>
            </w:r>
          </w:p>
        </w:tc>
        <w:tc>
          <w:tcPr>
            <w:tcW w:w="1086" w:type="dxa"/>
            <w:shd w:val="clear" w:color="auto" w:fill="D9D9D9" w:themeFill="background1" w:themeFillShade="D9"/>
          </w:tcPr>
          <w:p w14:paraId="0C2D582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4 (2)</w:t>
            </w:r>
          </w:p>
        </w:tc>
        <w:tc>
          <w:tcPr>
            <w:tcW w:w="1086" w:type="dxa"/>
            <w:shd w:val="clear" w:color="auto" w:fill="D9D9D9" w:themeFill="background1" w:themeFillShade="D9"/>
          </w:tcPr>
          <w:p w14:paraId="429C731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3 (2)</w:t>
            </w:r>
          </w:p>
        </w:tc>
        <w:tc>
          <w:tcPr>
            <w:tcW w:w="1086" w:type="dxa"/>
            <w:shd w:val="clear" w:color="auto" w:fill="D9D9D9" w:themeFill="background1" w:themeFillShade="D9"/>
          </w:tcPr>
          <w:p w14:paraId="06F9054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1A4CB4F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 (1)</w:t>
            </w:r>
          </w:p>
        </w:tc>
        <w:tc>
          <w:tcPr>
            <w:tcW w:w="1086" w:type="dxa"/>
            <w:shd w:val="clear" w:color="auto" w:fill="D9D9D9" w:themeFill="background1" w:themeFillShade="D9"/>
          </w:tcPr>
          <w:p w14:paraId="0BC7FDD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 (1)</w:t>
            </w:r>
          </w:p>
        </w:tc>
        <w:tc>
          <w:tcPr>
            <w:tcW w:w="1086" w:type="dxa"/>
            <w:tcBorders>
              <w:right w:val="single" w:sz="4" w:space="0" w:color="auto"/>
            </w:tcBorders>
            <w:shd w:val="clear" w:color="auto" w:fill="D9D9D9" w:themeFill="background1" w:themeFillShade="D9"/>
          </w:tcPr>
          <w:p w14:paraId="1262EAB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4 (2)</w:t>
            </w:r>
          </w:p>
        </w:tc>
      </w:tr>
      <w:tr w:rsidR="00ED2A39" w:rsidRPr="00013472" w14:paraId="6F3AD4AC"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7FC0E100"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 xml:space="preserve">IE </w:t>
            </w:r>
          </w:p>
        </w:tc>
        <w:tc>
          <w:tcPr>
            <w:tcW w:w="968" w:type="dxa"/>
            <w:shd w:val="clear" w:color="auto" w:fill="auto"/>
          </w:tcPr>
          <w:p w14:paraId="2584BB4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133 (88)</w:t>
            </w:r>
          </w:p>
        </w:tc>
        <w:tc>
          <w:tcPr>
            <w:tcW w:w="1235" w:type="dxa"/>
            <w:shd w:val="clear" w:color="auto" w:fill="auto"/>
          </w:tcPr>
          <w:p w14:paraId="701088F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(4)</w:t>
            </w:r>
          </w:p>
        </w:tc>
        <w:tc>
          <w:tcPr>
            <w:tcW w:w="933" w:type="dxa"/>
            <w:shd w:val="clear" w:color="auto" w:fill="auto"/>
          </w:tcPr>
          <w:p w14:paraId="45649D6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3FF7D23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w:t>
            </w:r>
          </w:p>
        </w:tc>
        <w:tc>
          <w:tcPr>
            <w:tcW w:w="1540" w:type="dxa"/>
            <w:shd w:val="clear" w:color="auto" w:fill="auto"/>
          </w:tcPr>
          <w:p w14:paraId="214922C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DC759F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w:t>
            </w:r>
          </w:p>
        </w:tc>
        <w:tc>
          <w:tcPr>
            <w:tcW w:w="1086" w:type="dxa"/>
            <w:shd w:val="clear" w:color="auto" w:fill="auto"/>
          </w:tcPr>
          <w:p w14:paraId="33D2813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w:t>
            </w:r>
          </w:p>
        </w:tc>
        <w:tc>
          <w:tcPr>
            <w:tcW w:w="1086" w:type="dxa"/>
            <w:shd w:val="clear" w:color="auto" w:fill="auto"/>
          </w:tcPr>
          <w:p w14:paraId="2DB3EED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(3)</w:t>
            </w:r>
          </w:p>
        </w:tc>
        <w:tc>
          <w:tcPr>
            <w:tcW w:w="1086" w:type="dxa"/>
            <w:shd w:val="clear" w:color="auto" w:fill="auto"/>
          </w:tcPr>
          <w:p w14:paraId="6ADDF84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w:t>
            </w:r>
          </w:p>
        </w:tc>
        <w:tc>
          <w:tcPr>
            <w:tcW w:w="1086" w:type="dxa"/>
            <w:shd w:val="clear" w:color="auto" w:fill="auto"/>
          </w:tcPr>
          <w:p w14:paraId="608BB88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B32038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1(1)</w:t>
            </w:r>
          </w:p>
        </w:tc>
        <w:tc>
          <w:tcPr>
            <w:tcW w:w="1086" w:type="dxa"/>
            <w:shd w:val="clear" w:color="auto" w:fill="auto"/>
          </w:tcPr>
          <w:p w14:paraId="78BF3E7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5BCD54C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4 (3)</w:t>
            </w:r>
          </w:p>
        </w:tc>
      </w:tr>
      <w:tr w:rsidR="00ED2A39" w:rsidRPr="00013472" w14:paraId="6B0B01B7"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3EFDBE06"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IIE</w:t>
            </w:r>
          </w:p>
        </w:tc>
        <w:tc>
          <w:tcPr>
            <w:tcW w:w="968" w:type="dxa"/>
            <w:shd w:val="clear" w:color="auto" w:fill="auto"/>
          </w:tcPr>
          <w:p w14:paraId="276FC99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(20)</w:t>
            </w:r>
          </w:p>
        </w:tc>
        <w:tc>
          <w:tcPr>
            <w:tcW w:w="1235" w:type="dxa"/>
            <w:shd w:val="clear" w:color="auto" w:fill="auto"/>
          </w:tcPr>
          <w:p w14:paraId="0696794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(40)</w:t>
            </w:r>
          </w:p>
        </w:tc>
        <w:tc>
          <w:tcPr>
            <w:tcW w:w="933" w:type="dxa"/>
            <w:shd w:val="clear" w:color="auto" w:fill="auto"/>
          </w:tcPr>
          <w:p w14:paraId="55B7928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7E7E0B6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(40)</w:t>
            </w:r>
          </w:p>
        </w:tc>
        <w:tc>
          <w:tcPr>
            <w:tcW w:w="1540" w:type="dxa"/>
            <w:shd w:val="clear" w:color="auto" w:fill="auto"/>
          </w:tcPr>
          <w:p w14:paraId="44895D7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4D47F3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721560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4EDCD0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1DEEC1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0132B4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A71351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40E807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0B62DED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5E86E605"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204DCB1C"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IIIE</w:t>
            </w:r>
          </w:p>
        </w:tc>
        <w:tc>
          <w:tcPr>
            <w:tcW w:w="968" w:type="dxa"/>
            <w:shd w:val="clear" w:color="auto" w:fill="auto"/>
          </w:tcPr>
          <w:p w14:paraId="6375ADF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(25)</w:t>
            </w:r>
          </w:p>
        </w:tc>
        <w:tc>
          <w:tcPr>
            <w:tcW w:w="1235" w:type="dxa"/>
            <w:shd w:val="clear" w:color="auto" w:fill="auto"/>
          </w:tcPr>
          <w:p w14:paraId="349EB5F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47B6ABA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45E3FBF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(50)</w:t>
            </w:r>
          </w:p>
        </w:tc>
        <w:tc>
          <w:tcPr>
            <w:tcW w:w="1540" w:type="dxa"/>
            <w:shd w:val="clear" w:color="auto" w:fill="auto"/>
          </w:tcPr>
          <w:p w14:paraId="5646D5F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68BB31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8620F9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4FDAB9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2AB8F9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AB1BE9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FE8D1E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1C8CC0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(25)</w:t>
            </w:r>
          </w:p>
        </w:tc>
        <w:tc>
          <w:tcPr>
            <w:tcW w:w="1086" w:type="dxa"/>
            <w:tcBorders>
              <w:right w:val="single" w:sz="4" w:space="0" w:color="auto"/>
            </w:tcBorders>
            <w:shd w:val="clear" w:color="auto" w:fill="auto"/>
          </w:tcPr>
          <w:p w14:paraId="6F48FFB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23C00265"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78334639"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IVE</w:t>
            </w:r>
          </w:p>
        </w:tc>
        <w:tc>
          <w:tcPr>
            <w:tcW w:w="968" w:type="dxa"/>
            <w:shd w:val="clear" w:color="auto" w:fill="auto"/>
          </w:tcPr>
          <w:p w14:paraId="6219F4F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(27)</w:t>
            </w:r>
          </w:p>
        </w:tc>
        <w:tc>
          <w:tcPr>
            <w:tcW w:w="1235" w:type="dxa"/>
            <w:shd w:val="clear" w:color="auto" w:fill="auto"/>
          </w:tcPr>
          <w:p w14:paraId="18D67B5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7745D45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(27)</w:t>
            </w:r>
          </w:p>
        </w:tc>
        <w:tc>
          <w:tcPr>
            <w:tcW w:w="1236" w:type="dxa"/>
            <w:shd w:val="clear" w:color="auto" w:fill="auto"/>
          </w:tcPr>
          <w:p w14:paraId="4CF0592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 (45)</w:t>
            </w:r>
          </w:p>
        </w:tc>
        <w:tc>
          <w:tcPr>
            <w:tcW w:w="1540" w:type="dxa"/>
            <w:shd w:val="clear" w:color="auto" w:fill="auto"/>
          </w:tcPr>
          <w:p w14:paraId="3B9A4DD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9A9354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B6DCE8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E98831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BEA84E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EF8EFC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F12792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2BFD12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53C766C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41F39022"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1828A573"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Unknown</w:t>
            </w:r>
          </w:p>
        </w:tc>
        <w:tc>
          <w:tcPr>
            <w:tcW w:w="968" w:type="dxa"/>
            <w:shd w:val="clear" w:color="auto" w:fill="auto"/>
          </w:tcPr>
          <w:p w14:paraId="6A5FEE9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0 </w:t>
            </w:r>
          </w:p>
        </w:tc>
        <w:tc>
          <w:tcPr>
            <w:tcW w:w="1235" w:type="dxa"/>
            <w:shd w:val="clear" w:color="auto" w:fill="auto"/>
          </w:tcPr>
          <w:p w14:paraId="7D4FF69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7FB39E0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28C23B9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(67)</w:t>
            </w:r>
          </w:p>
        </w:tc>
        <w:tc>
          <w:tcPr>
            <w:tcW w:w="1540" w:type="dxa"/>
            <w:shd w:val="clear" w:color="auto" w:fill="auto"/>
          </w:tcPr>
          <w:p w14:paraId="3E753A5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24B182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c>
          <w:tcPr>
            <w:tcW w:w="1086" w:type="dxa"/>
            <w:shd w:val="clear" w:color="auto" w:fill="auto"/>
          </w:tcPr>
          <w:p w14:paraId="05EB85F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77FF64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316F00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2043E1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7D020D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688184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0E17CBD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0837716E"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37ED3574" w14:textId="77777777" w:rsidR="00ED2A39" w:rsidRPr="00013472" w:rsidRDefault="00ED2A39" w:rsidP="00ED2A39">
            <w:pPr>
              <w:rPr>
                <w:rFonts w:ascii="Calibri" w:hAnsi="Calibri"/>
                <w:bCs w:val="0"/>
                <w:color w:val="000000"/>
                <w:sz w:val="16"/>
                <w:szCs w:val="16"/>
                <w:lang w:val="en-US"/>
              </w:rPr>
            </w:pPr>
            <w:r w:rsidRPr="00013472">
              <w:rPr>
                <w:rFonts w:ascii="Calibri" w:hAnsi="Calibri"/>
                <w:color w:val="000000"/>
                <w:sz w:val="16"/>
                <w:szCs w:val="16"/>
                <w:lang w:val="en-US"/>
              </w:rPr>
              <w:t>FL</w:t>
            </w:r>
          </w:p>
        </w:tc>
        <w:tc>
          <w:tcPr>
            <w:tcW w:w="968" w:type="dxa"/>
            <w:shd w:val="clear" w:color="auto" w:fill="D9D9D9" w:themeFill="background1" w:themeFillShade="D9"/>
          </w:tcPr>
          <w:p w14:paraId="2228797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9 (38)</w:t>
            </w:r>
          </w:p>
        </w:tc>
        <w:tc>
          <w:tcPr>
            <w:tcW w:w="1235" w:type="dxa"/>
            <w:shd w:val="clear" w:color="auto" w:fill="D9D9D9" w:themeFill="background1" w:themeFillShade="D9"/>
          </w:tcPr>
          <w:p w14:paraId="05C860F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6 (25)</w:t>
            </w:r>
          </w:p>
        </w:tc>
        <w:tc>
          <w:tcPr>
            <w:tcW w:w="933" w:type="dxa"/>
            <w:shd w:val="clear" w:color="auto" w:fill="D9D9D9" w:themeFill="background1" w:themeFillShade="D9"/>
          </w:tcPr>
          <w:p w14:paraId="733B8C1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2 (8)</w:t>
            </w:r>
          </w:p>
        </w:tc>
        <w:tc>
          <w:tcPr>
            <w:tcW w:w="1236" w:type="dxa"/>
            <w:shd w:val="clear" w:color="auto" w:fill="D9D9D9" w:themeFill="background1" w:themeFillShade="D9"/>
          </w:tcPr>
          <w:p w14:paraId="4E7A0AF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 (4)</w:t>
            </w:r>
          </w:p>
        </w:tc>
        <w:tc>
          <w:tcPr>
            <w:tcW w:w="1540" w:type="dxa"/>
            <w:shd w:val="clear" w:color="auto" w:fill="D9D9D9" w:themeFill="background1" w:themeFillShade="D9"/>
          </w:tcPr>
          <w:p w14:paraId="3B03CA5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1B7694A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2 (8)</w:t>
            </w:r>
          </w:p>
        </w:tc>
        <w:tc>
          <w:tcPr>
            <w:tcW w:w="1086" w:type="dxa"/>
            <w:shd w:val="clear" w:color="auto" w:fill="D9D9D9" w:themeFill="background1" w:themeFillShade="D9"/>
          </w:tcPr>
          <w:p w14:paraId="2F314F6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 (4)</w:t>
            </w:r>
          </w:p>
        </w:tc>
        <w:tc>
          <w:tcPr>
            <w:tcW w:w="1086" w:type="dxa"/>
            <w:shd w:val="clear" w:color="auto" w:fill="D9D9D9" w:themeFill="background1" w:themeFillShade="D9"/>
          </w:tcPr>
          <w:p w14:paraId="11BF73D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78CACD2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 (4)</w:t>
            </w:r>
          </w:p>
        </w:tc>
        <w:tc>
          <w:tcPr>
            <w:tcW w:w="1086" w:type="dxa"/>
            <w:shd w:val="clear" w:color="auto" w:fill="D9D9D9" w:themeFill="background1" w:themeFillShade="D9"/>
          </w:tcPr>
          <w:p w14:paraId="172D1BC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389037A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0FB3D3A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2 (8)</w:t>
            </w:r>
          </w:p>
        </w:tc>
        <w:tc>
          <w:tcPr>
            <w:tcW w:w="1086" w:type="dxa"/>
            <w:tcBorders>
              <w:right w:val="single" w:sz="4" w:space="0" w:color="auto"/>
            </w:tcBorders>
            <w:shd w:val="clear" w:color="auto" w:fill="D9D9D9" w:themeFill="background1" w:themeFillShade="D9"/>
          </w:tcPr>
          <w:p w14:paraId="00CB097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2 (8)</w:t>
            </w:r>
          </w:p>
        </w:tc>
      </w:tr>
      <w:tr w:rsidR="00ED2A39" w:rsidRPr="00013472" w14:paraId="6EA06A72"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52072FD9"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IE</w:t>
            </w:r>
          </w:p>
        </w:tc>
        <w:tc>
          <w:tcPr>
            <w:tcW w:w="968" w:type="dxa"/>
            <w:shd w:val="clear" w:color="auto" w:fill="auto"/>
          </w:tcPr>
          <w:p w14:paraId="78C3879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(46)</w:t>
            </w:r>
          </w:p>
        </w:tc>
        <w:tc>
          <w:tcPr>
            <w:tcW w:w="1235" w:type="dxa"/>
            <w:shd w:val="clear" w:color="auto" w:fill="auto"/>
          </w:tcPr>
          <w:p w14:paraId="00356F4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5 (38)</w:t>
            </w:r>
          </w:p>
        </w:tc>
        <w:tc>
          <w:tcPr>
            <w:tcW w:w="933" w:type="dxa"/>
            <w:shd w:val="clear" w:color="auto" w:fill="auto"/>
          </w:tcPr>
          <w:p w14:paraId="1CFB560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711F425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574049D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85D6EE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37598A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(8)</w:t>
            </w:r>
          </w:p>
        </w:tc>
        <w:tc>
          <w:tcPr>
            <w:tcW w:w="1086" w:type="dxa"/>
            <w:shd w:val="clear" w:color="auto" w:fill="auto"/>
          </w:tcPr>
          <w:p w14:paraId="216DD94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E34F20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036A93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C06DB0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E0C936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(8)</w:t>
            </w:r>
          </w:p>
        </w:tc>
        <w:tc>
          <w:tcPr>
            <w:tcW w:w="1086" w:type="dxa"/>
            <w:tcBorders>
              <w:right w:val="single" w:sz="4" w:space="0" w:color="auto"/>
            </w:tcBorders>
            <w:shd w:val="clear" w:color="auto" w:fill="auto"/>
          </w:tcPr>
          <w:p w14:paraId="237F886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(7)</w:t>
            </w:r>
          </w:p>
        </w:tc>
      </w:tr>
      <w:tr w:rsidR="00ED2A39" w:rsidRPr="00013472" w14:paraId="7DEBB93F"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1B209CDD"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IIE</w:t>
            </w:r>
          </w:p>
        </w:tc>
        <w:tc>
          <w:tcPr>
            <w:tcW w:w="968" w:type="dxa"/>
            <w:shd w:val="clear" w:color="auto" w:fill="auto"/>
          </w:tcPr>
          <w:p w14:paraId="4D2E911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(20)</w:t>
            </w:r>
          </w:p>
        </w:tc>
        <w:tc>
          <w:tcPr>
            <w:tcW w:w="1235" w:type="dxa"/>
            <w:shd w:val="clear" w:color="auto" w:fill="auto"/>
          </w:tcPr>
          <w:p w14:paraId="0E81122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(20)</w:t>
            </w:r>
          </w:p>
        </w:tc>
        <w:tc>
          <w:tcPr>
            <w:tcW w:w="933" w:type="dxa"/>
            <w:shd w:val="clear" w:color="auto" w:fill="auto"/>
          </w:tcPr>
          <w:p w14:paraId="08A1F9C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(20)</w:t>
            </w:r>
          </w:p>
        </w:tc>
        <w:tc>
          <w:tcPr>
            <w:tcW w:w="1236" w:type="dxa"/>
            <w:shd w:val="clear" w:color="auto" w:fill="auto"/>
          </w:tcPr>
          <w:p w14:paraId="48F7DCB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67DB7D1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A5B046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(20)</w:t>
            </w:r>
          </w:p>
        </w:tc>
        <w:tc>
          <w:tcPr>
            <w:tcW w:w="1086" w:type="dxa"/>
            <w:shd w:val="clear" w:color="auto" w:fill="auto"/>
          </w:tcPr>
          <w:p w14:paraId="40C4682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9DBF19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5CEFBE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0A2978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89CAC6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D8EBD6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(20)</w:t>
            </w:r>
          </w:p>
        </w:tc>
        <w:tc>
          <w:tcPr>
            <w:tcW w:w="1086" w:type="dxa"/>
            <w:tcBorders>
              <w:right w:val="single" w:sz="4" w:space="0" w:color="auto"/>
            </w:tcBorders>
            <w:shd w:val="clear" w:color="auto" w:fill="auto"/>
          </w:tcPr>
          <w:p w14:paraId="1804743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33D1A7F9"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572EA078"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IIIE</w:t>
            </w:r>
          </w:p>
        </w:tc>
        <w:tc>
          <w:tcPr>
            <w:tcW w:w="968" w:type="dxa"/>
            <w:shd w:val="clear" w:color="auto" w:fill="auto"/>
          </w:tcPr>
          <w:p w14:paraId="32CEFBB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235" w:type="dxa"/>
            <w:shd w:val="clear" w:color="auto" w:fill="auto"/>
          </w:tcPr>
          <w:p w14:paraId="499BEA2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7D71F2D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236" w:type="dxa"/>
            <w:shd w:val="clear" w:color="auto" w:fill="auto"/>
          </w:tcPr>
          <w:p w14:paraId="177E0FC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5A31025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532A4E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2ED3D1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24C4E0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45B2E4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90A2BC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63F9DE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198C05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7C17B04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376E2255"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0D25C6C3"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IVE</w:t>
            </w:r>
          </w:p>
        </w:tc>
        <w:tc>
          <w:tcPr>
            <w:tcW w:w="968" w:type="dxa"/>
            <w:shd w:val="clear" w:color="auto" w:fill="auto"/>
          </w:tcPr>
          <w:p w14:paraId="7D46EF5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 xml:space="preserve">0 </w:t>
            </w:r>
          </w:p>
        </w:tc>
        <w:tc>
          <w:tcPr>
            <w:tcW w:w="1235" w:type="dxa"/>
            <w:shd w:val="clear" w:color="auto" w:fill="auto"/>
          </w:tcPr>
          <w:p w14:paraId="2559E2C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045CFED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7EA8B00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540" w:type="dxa"/>
            <w:shd w:val="clear" w:color="auto" w:fill="auto"/>
          </w:tcPr>
          <w:p w14:paraId="2875F26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FE14EF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19FCCC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A80913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150B6E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086" w:type="dxa"/>
            <w:shd w:val="clear" w:color="auto" w:fill="auto"/>
          </w:tcPr>
          <w:p w14:paraId="4085FC1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F25949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FC142B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0429174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59B1294C"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1727EB2D"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Unknown</w:t>
            </w:r>
          </w:p>
        </w:tc>
        <w:tc>
          <w:tcPr>
            <w:tcW w:w="968" w:type="dxa"/>
            <w:shd w:val="clear" w:color="auto" w:fill="auto"/>
          </w:tcPr>
          <w:p w14:paraId="7175DE1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235" w:type="dxa"/>
            <w:shd w:val="clear" w:color="auto" w:fill="auto"/>
          </w:tcPr>
          <w:p w14:paraId="51D5C96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119D804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624E7B7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77E4022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133CEF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086" w:type="dxa"/>
            <w:shd w:val="clear" w:color="auto" w:fill="auto"/>
          </w:tcPr>
          <w:p w14:paraId="3B988F8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6C83E0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AFFCEF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2B36CF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868F38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D53AF8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6E80AE7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(33)</w:t>
            </w:r>
          </w:p>
        </w:tc>
      </w:tr>
      <w:tr w:rsidR="00ED2A39" w:rsidRPr="00013472" w14:paraId="0CC4DEAF"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7C8A3960" w14:textId="77777777" w:rsidR="00ED2A39" w:rsidRPr="00013472" w:rsidRDefault="00ED2A39" w:rsidP="00ED2A39">
            <w:pPr>
              <w:rPr>
                <w:rFonts w:ascii="Calibri" w:hAnsi="Calibri"/>
                <w:color w:val="000000"/>
                <w:sz w:val="16"/>
                <w:szCs w:val="16"/>
                <w:lang w:val="en-US"/>
              </w:rPr>
            </w:pPr>
            <w:r w:rsidRPr="00013472">
              <w:rPr>
                <w:rFonts w:ascii="Calibri" w:hAnsi="Calibri"/>
                <w:color w:val="000000"/>
                <w:sz w:val="16"/>
                <w:szCs w:val="16"/>
                <w:lang w:val="en-US"/>
              </w:rPr>
              <w:t>DLBCL</w:t>
            </w:r>
          </w:p>
        </w:tc>
        <w:tc>
          <w:tcPr>
            <w:tcW w:w="968" w:type="dxa"/>
            <w:shd w:val="clear" w:color="auto" w:fill="D9D9D9" w:themeFill="background1" w:themeFillShade="D9"/>
          </w:tcPr>
          <w:p w14:paraId="5DC7FFE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3 (12)</w:t>
            </w:r>
          </w:p>
        </w:tc>
        <w:tc>
          <w:tcPr>
            <w:tcW w:w="1235" w:type="dxa"/>
            <w:shd w:val="clear" w:color="auto" w:fill="D9D9D9" w:themeFill="background1" w:themeFillShade="D9"/>
          </w:tcPr>
          <w:p w14:paraId="5CB012B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12 (46)</w:t>
            </w:r>
          </w:p>
        </w:tc>
        <w:tc>
          <w:tcPr>
            <w:tcW w:w="933" w:type="dxa"/>
            <w:shd w:val="clear" w:color="auto" w:fill="D9D9D9" w:themeFill="background1" w:themeFillShade="D9"/>
          </w:tcPr>
          <w:p w14:paraId="69CA9DE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236" w:type="dxa"/>
            <w:shd w:val="clear" w:color="auto" w:fill="D9D9D9" w:themeFill="background1" w:themeFillShade="D9"/>
          </w:tcPr>
          <w:p w14:paraId="1D18228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7 (27)</w:t>
            </w:r>
          </w:p>
        </w:tc>
        <w:tc>
          <w:tcPr>
            <w:tcW w:w="1540" w:type="dxa"/>
            <w:shd w:val="clear" w:color="auto" w:fill="D9D9D9" w:themeFill="background1" w:themeFillShade="D9"/>
          </w:tcPr>
          <w:p w14:paraId="41F046D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3 (12)</w:t>
            </w:r>
          </w:p>
        </w:tc>
        <w:tc>
          <w:tcPr>
            <w:tcW w:w="1086" w:type="dxa"/>
            <w:shd w:val="clear" w:color="auto" w:fill="D9D9D9" w:themeFill="background1" w:themeFillShade="D9"/>
          </w:tcPr>
          <w:p w14:paraId="39DA84B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0F23305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540124E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4AF0D84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14A6F8E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64A6DA0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700830C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1 (4)</w:t>
            </w:r>
          </w:p>
        </w:tc>
        <w:tc>
          <w:tcPr>
            <w:tcW w:w="1086" w:type="dxa"/>
            <w:tcBorders>
              <w:right w:val="single" w:sz="4" w:space="0" w:color="auto"/>
            </w:tcBorders>
            <w:shd w:val="clear" w:color="auto" w:fill="D9D9D9" w:themeFill="background1" w:themeFillShade="D9"/>
          </w:tcPr>
          <w:p w14:paraId="0543955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b/>
                <w:sz w:val="16"/>
                <w:szCs w:val="16"/>
                <w:lang w:val="en-US"/>
              </w:rPr>
              <w:t>0</w:t>
            </w:r>
          </w:p>
        </w:tc>
      </w:tr>
      <w:tr w:rsidR="00ED2A39" w:rsidRPr="00013472" w14:paraId="1EAE3F54"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779F9C43"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IE</w:t>
            </w:r>
          </w:p>
        </w:tc>
        <w:tc>
          <w:tcPr>
            <w:tcW w:w="968" w:type="dxa"/>
            <w:shd w:val="clear" w:color="auto" w:fill="auto"/>
          </w:tcPr>
          <w:p w14:paraId="413ABB7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3 (18)</w:t>
            </w:r>
          </w:p>
        </w:tc>
        <w:tc>
          <w:tcPr>
            <w:tcW w:w="1235" w:type="dxa"/>
            <w:shd w:val="clear" w:color="auto" w:fill="auto"/>
          </w:tcPr>
          <w:p w14:paraId="05377BB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10 (59)</w:t>
            </w:r>
          </w:p>
        </w:tc>
        <w:tc>
          <w:tcPr>
            <w:tcW w:w="933" w:type="dxa"/>
            <w:shd w:val="clear" w:color="auto" w:fill="auto"/>
          </w:tcPr>
          <w:p w14:paraId="3C91ABA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236" w:type="dxa"/>
            <w:shd w:val="clear" w:color="auto" w:fill="auto"/>
          </w:tcPr>
          <w:p w14:paraId="3B737B9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1 (6)</w:t>
            </w:r>
          </w:p>
        </w:tc>
        <w:tc>
          <w:tcPr>
            <w:tcW w:w="1540" w:type="dxa"/>
            <w:shd w:val="clear" w:color="auto" w:fill="auto"/>
          </w:tcPr>
          <w:p w14:paraId="585919B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2 (12)</w:t>
            </w:r>
          </w:p>
        </w:tc>
        <w:tc>
          <w:tcPr>
            <w:tcW w:w="1086" w:type="dxa"/>
            <w:shd w:val="clear" w:color="auto" w:fill="auto"/>
          </w:tcPr>
          <w:p w14:paraId="6D3D1EE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5CD698E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2FB560E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5C52C56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6E6C9BB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579ED9B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0413A66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1 (6)</w:t>
            </w:r>
          </w:p>
        </w:tc>
        <w:tc>
          <w:tcPr>
            <w:tcW w:w="1086" w:type="dxa"/>
            <w:tcBorders>
              <w:right w:val="single" w:sz="4" w:space="0" w:color="auto"/>
            </w:tcBorders>
            <w:shd w:val="clear" w:color="auto" w:fill="auto"/>
          </w:tcPr>
          <w:p w14:paraId="00E2FA7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r>
      <w:tr w:rsidR="00ED2A39" w:rsidRPr="00013472" w14:paraId="45113BCE"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1DC04C8A"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IIE</w:t>
            </w:r>
          </w:p>
        </w:tc>
        <w:tc>
          <w:tcPr>
            <w:tcW w:w="968" w:type="dxa"/>
            <w:shd w:val="clear" w:color="auto" w:fill="auto"/>
          </w:tcPr>
          <w:p w14:paraId="754512F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235" w:type="dxa"/>
            <w:shd w:val="clear" w:color="auto" w:fill="auto"/>
          </w:tcPr>
          <w:p w14:paraId="75F6C66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1 (25)</w:t>
            </w:r>
          </w:p>
        </w:tc>
        <w:tc>
          <w:tcPr>
            <w:tcW w:w="933" w:type="dxa"/>
            <w:shd w:val="clear" w:color="auto" w:fill="auto"/>
          </w:tcPr>
          <w:p w14:paraId="1726F02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236" w:type="dxa"/>
            <w:shd w:val="clear" w:color="auto" w:fill="auto"/>
          </w:tcPr>
          <w:p w14:paraId="4BD8F18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3 (75)</w:t>
            </w:r>
          </w:p>
        </w:tc>
        <w:tc>
          <w:tcPr>
            <w:tcW w:w="1540" w:type="dxa"/>
            <w:shd w:val="clear" w:color="auto" w:fill="auto"/>
          </w:tcPr>
          <w:p w14:paraId="5CB763B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02797E3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09EB947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2DAB719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2530E4C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5FC6068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4AF4D21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2D2C1C7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104BBFF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r>
      <w:tr w:rsidR="00ED2A39" w:rsidRPr="00013472" w14:paraId="39720128"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41302115"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IIIE</w:t>
            </w:r>
          </w:p>
        </w:tc>
        <w:tc>
          <w:tcPr>
            <w:tcW w:w="968" w:type="dxa"/>
            <w:shd w:val="clear" w:color="auto" w:fill="auto"/>
          </w:tcPr>
          <w:p w14:paraId="6E71F4E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235" w:type="dxa"/>
            <w:shd w:val="clear" w:color="auto" w:fill="auto"/>
          </w:tcPr>
          <w:p w14:paraId="24CD065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933" w:type="dxa"/>
            <w:shd w:val="clear" w:color="auto" w:fill="auto"/>
          </w:tcPr>
          <w:p w14:paraId="6878983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236" w:type="dxa"/>
            <w:shd w:val="clear" w:color="auto" w:fill="auto"/>
          </w:tcPr>
          <w:p w14:paraId="7574255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540" w:type="dxa"/>
            <w:shd w:val="clear" w:color="auto" w:fill="auto"/>
          </w:tcPr>
          <w:p w14:paraId="03C9264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56CEBAD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53E2179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23B05ED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403232A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60CEB38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74CACB2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22DFF04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0411C9A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r>
      <w:tr w:rsidR="00ED2A39" w:rsidRPr="00013472" w14:paraId="58051AB9"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65A32E2D"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IVE</w:t>
            </w:r>
          </w:p>
        </w:tc>
        <w:tc>
          <w:tcPr>
            <w:tcW w:w="968" w:type="dxa"/>
            <w:shd w:val="clear" w:color="auto" w:fill="auto"/>
          </w:tcPr>
          <w:p w14:paraId="402F5B9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235" w:type="dxa"/>
            <w:shd w:val="clear" w:color="auto" w:fill="auto"/>
          </w:tcPr>
          <w:p w14:paraId="73D9E1F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1 (20)</w:t>
            </w:r>
          </w:p>
        </w:tc>
        <w:tc>
          <w:tcPr>
            <w:tcW w:w="933" w:type="dxa"/>
            <w:shd w:val="clear" w:color="auto" w:fill="auto"/>
          </w:tcPr>
          <w:p w14:paraId="08BE6AF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236" w:type="dxa"/>
            <w:shd w:val="clear" w:color="auto" w:fill="auto"/>
          </w:tcPr>
          <w:p w14:paraId="0C1B56D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3 (60)</w:t>
            </w:r>
          </w:p>
        </w:tc>
        <w:tc>
          <w:tcPr>
            <w:tcW w:w="1540" w:type="dxa"/>
            <w:shd w:val="clear" w:color="auto" w:fill="auto"/>
          </w:tcPr>
          <w:p w14:paraId="0FDF0AF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1 (20)</w:t>
            </w:r>
          </w:p>
        </w:tc>
        <w:tc>
          <w:tcPr>
            <w:tcW w:w="1086" w:type="dxa"/>
            <w:shd w:val="clear" w:color="auto" w:fill="auto"/>
          </w:tcPr>
          <w:p w14:paraId="7AB35FB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4E6B069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7AE8509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3D681E6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5E63FB5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3CAEE85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shd w:val="clear" w:color="auto" w:fill="auto"/>
          </w:tcPr>
          <w:p w14:paraId="1D151FD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4E74203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013472">
              <w:rPr>
                <w:rFonts w:ascii="Calibri" w:hAnsi="Calibri"/>
                <w:color w:val="000000"/>
                <w:sz w:val="16"/>
                <w:szCs w:val="16"/>
                <w:lang w:val="en-US"/>
              </w:rPr>
              <w:t>0</w:t>
            </w:r>
          </w:p>
        </w:tc>
      </w:tr>
      <w:tr w:rsidR="00EF3FD0" w:rsidRPr="00013472" w14:paraId="1CD17508"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56DF1A40" w14:textId="77777777" w:rsidR="00ED2A39" w:rsidRPr="00013472" w:rsidRDefault="00ED2A39" w:rsidP="00ED2A39">
            <w:pPr>
              <w:rPr>
                <w:rFonts w:ascii="Calibri" w:hAnsi="Calibri"/>
                <w:bCs w:val="0"/>
                <w:color w:val="000000"/>
                <w:sz w:val="16"/>
                <w:szCs w:val="16"/>
                <w:lang w:val="en-US"/>
              </w:rPr>
            </w:pPr>
            <w:r w:rsidRPr="00013472">
              <w:rPr>
                <w:rFonts w:ascii="Calibri" w:hAnsi="Calibri"/>
                <w:color w:val="000000"/>
                <w:sz w:val="16"/>
                <w:szCs w:val="16"/>
                <w:lang w:val="en-US"/>
              </w:rPr>
              <w:t>MCL</w:t>
            </w:r>
          </w:p>
        </w:tc>
        <w:tc>
          <w:tcPr>
            <w:tcW w:w="968" w:type="dxa"/>
            <w:shd w:val="clear" w:color="auto" w:fill="D9D9D9" w:themeFill="background1" w:themeFillShade="D9"/>
          </w:tcPr>
          <w:p w14:paraId="47FEEA6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2 (12)</w:t>
            </w:r>
          </w:p>
        </w:tc>
        <w:tc>
          <w:tcPr>
            <w:tcW w:w="1235" w:type="dxa"/>
            <w:shd w:val="clear" w:color="auto" w:fill="D9D9D9" w:themeFill="background1" w:themeFillShade="D9"/>
          </w:tcPr>
          <w:p w14:paraId="19746E5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1 (6)</w:t>
            </w:r>
          </w:p>
        </w:tc>
        <w:tc>
          <w:tcPr>
            <w:tcW w:w="933" w:type="dxa"/>
            <w:shd w:val="clear" w:color="auto" w:fill="D9D9D9" w:themeFill="background1" w:themeFillShade="D9"/>
          </w:tcPr>
          <w:p w14:paraId="22BA5E3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3 (18)</w:t>
            </w:r>
          </w:p>
        </w:tc>
        <w:tc>
          <w:tcPr>
            <w:tcW w:w="1236" w:type="dxa"/>
            <w:shd w:val="clear" w:color="auto" w:fill="D9D9D9" w:themeFill="background1" w:themeFillShade="D9"/>
          </w:tcPr>
          <w:p w14:paraId="62BD56E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8 (47)</w:t>
            </w:r>
          </w:p>
        </w:tc>
        <w:tc>
          <w:tcPr>
            <w:tcW w:w="1540" w:type="dxa"/>
            <w:shd w:val="clear" w:color="auto" w:fill="D9D9D9" w:themeFill="background1" w:themeFillShade="D9"/>
          </w:tcPr>
          <w:p w14:paraId="14BC67A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3 (18)</w:t>
            </w:r>
          </w:p>
        </w:tc>
        <w:tc>
          <w:tcPr>
            <w:tcW w:w="1086" w:type="dxa"/>
            <w:shd w:val="clear" w:color="auto" w:fill="D9D9D9" w:themeFill="background1" w:themeFillShade="D9"/>
          </w:tcPr>
          <w:p w14:paraId="1AE0B22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391E74A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606D19C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5481F61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18CA258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2 (12)</w:t>
            </w:r>
          </w:p>
        </w:tc>
        <w:tc>
          <w:tcPr>
            <w:tcW w:w="1086" w:type="dxa"/>
            <w:shd w:val="clear" w:color="auto" w:fill="D9D9D9" w:themeFill="background1" w:themeFillShade="D9"/>
          </w:tcPr>
          <w:p w14:paraId="1E0D56E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0</w:t>
            </w:r>
          </w:p>
        </w:tc>
        <w:tc>
          <w:tcPr>
            <w:tcW w:w="1086" w:type="dxa"/>
            <w:shd w:val="clear" w:color="auto" w:fill="D9D9D9" w:themeFill="background1" w:themeFillShade="D9"/>
          </w:tcPr>
          <w:p w14:paraId="00CA8BC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0</w:t>
            </w:r>
          </w:p>
        </w:tc>
        <w:tc>
          <w:tcPr>
            <w:tcW w:w="1086" w:type="dxa"/>
            <w:tcBorders>
              <w:right w:val="single" w:sz="4" w:space="0" w:color="auto"/>
            </w:tcBorders>
            <w:shd w:val="clear" w:color="auto" w:fill="D9D9D9" w:themeFill="background1" w:themeFillShade="D9"/>
          </w:tcPr>
          <w:p w14:paraId="7560C77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013472">
              <w:rPr>
                <w:b/>
                <w:sz w:val="16"/>
                <w:szCs w:val="16"/>
                <w:lang w:val="en-US"/>
              </w:rPr>
              <w:t>0</w:t>
            </w:r>
          </w:p>
        </w:tc>
      </w:tr>
      <w:tr w:rsidR="00ED2A39" w:rsidRPr="00013472" w14:paraId="2DAC958E"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2A836D87"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IE</w:t>
            </w:r>
          </w:p>
        </w:tc>
        <w:tc>
          <w:tcPr>
            <w:tcW w:w="968" w:type="dxa"/>
            <w:shd w:val="clear" w:color="auto" w:fill="auto"/>
          </w:tcPr>
          <w:p w14:paraId="0F0DA1A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5" w:type="dxa"/>
            <w:shd w:val="clear" w:color="auto" w:fill="auto"/>
          </w:tcPr>
          <w:p w14:paraId="18FFFDD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933" w:type="dxa"/>
            <w:shd w:val="clear" w:color="auto" w:fill="auto"/>
          </w:tcPr>
          <w:p w14:paraId="2FBA812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 (0)</w:t>
            </w:r>
          </w:p>
        </w:tc>
        <w:tc>
          <w:tcPr>
            <w:tcW w:w="1236" w:type="dxa"/>
            <w:shd w:val="clear" w:color="auto" w:fill="auto"/>
          </w:tcPr>
          <w:p w14:paraId="20F91FF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540" w:type="dxa"/>
            <w:shd w:val="clear" w:color="auto" w:fill="auto"/>
          </w:tcPr>
          <w:p w14:paraId="104C111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1374D7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1A44A2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6BD147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EC77E8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64D3A8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BCB768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78F144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370AA01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5ED78530"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50F24473"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IIE</w:t>
            </w:r>
          </w:p>
        </w:tc>
        <w:tc>
          <w:tcPr>
            <w:tcW w:w="968" w:type="dxa"/>
            <w:shd w:val="clear" w:color="auto" w:fill="auto"/>
          </w:tcPr>
          <w:p w14:paraId="7938BDC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5" w:type="dxa"/>
            <w:shd w:val="clear" w:color="auto" w:fill="auto"/>
          </w:tcPr>
          <w:p w14:paraId="10D5588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63B1253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1236" w:type="dxa"/>
            <w:shd w:val="clear" w:color="auto" w:fill="auto"/>
          </w:tcPr>
          <w:p w14:paraId="1DED1BA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2C4A8E6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345591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676804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B23BF8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5770CB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33063B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26E07A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229211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7EE6299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126F5D1E"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0D1D7DD9"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IIIE</w:t>
            </w:r>
          </w:p>
        </w:tc>
        <w:tc>
          <w:tcPr>
            <w:tcW w:w="968" w:type="dxa"/>
            <w:shd w:val="clear" w:color="auto" w:fill="auto"/>
          </w:tcPr>
          <w:p w14:paraId="3F71A78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5" w:type="dxa"/>
            <w:shd w:val="clear" w:color="auto" w:fill="auto"/>
          </w:tcPr>
          <w:p w14:paraId="0634BAA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2FE8DBD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13461AF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03859CD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7DE006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AC145C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39EDA8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031605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1494BB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3EA4CC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E8F2E1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15E878C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2FE4CEAB"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5553F90D"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IVE</w:t>
            </w:r>
          </w:p>
        </w:tc>
        <w:tc>
          <w:tcPr>
            <w:tcW w:w="968" w:type="dxa"/>
            <w:shd w:val="clear" w:color="auto" w:fill="auto"/>
          </w:tcPr>
          <w:p w14:paraId="1186478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(17)</w:t>
            </w:r>
          </w:p>
        </w:tc>
        <w:tc>
          <w:tcPr>
            <w:tcW w:w="1235" w:type="dxa"/>
            <w:shd w:val="clear" w:color="auto" w:fill="auto"/>
          </w:tcPr>
          <w:p w14:paraId="6773F8A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67166E3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(8)</w:t>
            </w:r>
          </w:p>
        </w:tc>
        <w:tc>
          <w:tcPr>
            <w:tcW w:w="1236" w:type="dxa"/>
            <w:shd w:val="clear" w:color="auto" w:fill="auto"/>
          </w:tcPr>
          <w:p w14:paraId="628E13A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6 (50)</w:t>
            </w:r>
          </w:p>
        </w:tc>
        <w:tc>
          <w:tcPr>
            <w:tcW w:w="1540" w:type="dxa"/>
            <w:shd w:val="clear" w:color="auto" w:fill="auto"/>
          </w:tcPr>
          <w:p w14:paraId="7F9412C7"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3 (25)</w:t>
            </w:r>
          </w:p>
        </w:tc>
        <w:tc>
          <w:tcPr>
            <w:tcW w:w="1086" w:type="dxa"/>
            <w:shd w:val="clear" w:color="auto" w:fill="auto"/>
          </w:tcPr>
          <w:p w14:paraId="6EA14FD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D807BD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51AC7E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F73037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A58C85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(17)</w:t>
            </w:r>
          </w:p>
        </w:tc>
        <w:tc>
          <w:tcPr>
            <w:tcW w:w="1086" w:type="dxa"/>
            <w:shd w:val="clear" w:color="auto" w:fill="auto"/>
          </w:tcPr>
          <w:p w14:paraId="2B09AE6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D74A39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6EB4F9E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74C9DA50"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77D93A61" w14:textId="77777777" w:rsidR="00ED2A39" w:rsidRPr="00013472" w:rsidRDefault="00ED2A39" w:rsidP="00ED2A39">
            <w:pPr>
              <w:rPr>
                <w:rFonts w:ascii="Calibri" w:hAnsi="Calibri"/>
                <w:bCs w:val="0"/>
                <w:color w:val="000000"/>
                <w:sz w:val="16"/>
                <w:szCs w:val="16"/>
                <w:lang w:val="en-US"/>
              </w:rPr>
            </w:pPr>
            <w:r w:rsidRPr="00013472">
              <w:rPr>
                <w:rFonts w:ascii="Calibri" w:hAnsi="Calibri"/>
                <w:b w:val="0"/>
                <w:color w:val="000000"/>
                <w:sz w:val="16"/>
                <w:szCs w:val="16"/>
                <w:lang w:val="en-US"/>
              </w:rPr>
              <w:t>Unknown</w:t>
            </w:r>
          </w:p>
        </w:tc>
        <w:tc>
          <w:tcPr>
            <w:tcW w:w="968" w:type="dxa"/>
            <w:shd w:val="clear" w:color="auto" w:fill="auto"/>
          </w:tcPr>
          <w:p w14:paraId="63A1874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235" w:type="dxa"/>
            <w:shd w:val="clear" w:color="auto" w:fill="auto"/>
          </w:tcPr>
          <w:p w14:paraId="46CFD2A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933" w:type="dxa"/>
            <w:shd w:val="clear" w:color="auto" w:fill="auto"/>
          </w:tcPr>
          <w:p w14:paraId="2DD180C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236" w:type="dxa"/>
            <w:shd w:val="clear" w:color="auto" w:fill="auto"/>
          </w:tcPr>
          <w:p w14:paraId="59451A0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1 (100)</w:t>
            </w:r>
          </w:p>
        </w:tc>
        <w:tc>
          <w:tcPr>
            <w:tcW w:w="1540" w:type="dxa"/>
            <w:shd w:val="clear" w:color="auto" w:fill="auto"/>
          </w:tcPr>
          <w:p w14:paraId="4B04FF1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086" w:type="dxa"/>
            <w:shd w:val="clear" w:color="auto" w:fill="auto"/>
          </w:tcPr>
          <w:p w14:paraId="19BB398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086" w:type="dxa"/>
            <w:shd w:val="clear" w:color="auto" w:fill="auto"/>
          </w:tcPr>
          <w:p w14:paraId="3E9AA28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086" w:type="dxa"/>
            <w:shd w:val="clear" w:color="auto" w:fill="auto"/>
          </w:tcPr>
          <w:p w14:paraId="4D5A98A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086" w:type="dxa"/>
            <w:shd w:val="clear" w:color="auto" w:fill="auto"/>
          </w:tcPr>
          <w:p w14:paraId="279FC0B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086" w:type="dxa"/>
            <w:shd w:val="clear" w:color="auto" w:fill="auto"/>
          </w:tcPr>
          <w:p w14:paraId="36B1429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086" w:type="dxa"/>
            <w:shd w:val="clear" w:color="auto" w:fill="auto"/>
          </w:tcPr>
          <w:p w14:paraId="4953617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086" w:type="dxa"/>
            <w:shd w:val="clear" w:color="auto" w:fill="auto"/>
          </w:tcPr>
          <w:p w14:paraId="1ECF9D5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1DD44E3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b/>
                <w:sz w:val="16"/>
                <w:szCs w:val="16"/>
                <w:lang w:val="en-US"/>
              </w:rPr>
            </w:pPr>
            <w:r w:rsidRPr="00013472">
              <w:rPr>
                <w:rFonts w:ascii="Calibri" w:hAnsi="Calibri"/>
                <w:color w:val="000000"/>
                <w:sz w:val="16"/>
                <w:szCs w:val="16"/>
                <w:lang w:val="en-US"/>
              </w:rPr>
              <w:t>0</w:t>
            </w:r>
          </w:p>
        </w:tc>
      </w:tr>
      <w:tr w:rsidR="00EF3FD0" w:rsidRPr="00013472" w14:paraId="47B1A136"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7EC927B2" w14:textId="77777777" w:rsidR="00ED2A39" w:rsidRPr="00013472" w:rsidRDefault="00ED2A39" w:rsidP="00ED2A39">
            <w:pPr>
              <w:rPr>
                <w:rFonts w:ascii="Calibri" w:hAnsi="Calibri"/>
                <w:b w:val="0"/>
                <w:color w:val="000000"/>
                <w:sz w:val="16"/>
                <w:szCs w:val="16"/>
                <w:lang w:val="en-US"/>
              </w:rPr>
            </w:pPr>
            <w:r w:rsidRPr="00013472">
              <w:rPr>
                <w:rFonts w:ascii="Calibri" w:hAnsi="Calibri"/>
                <w:color w:val="000000"/>
                <w:sz w:val="16"/>
                <w:szCs w:val="16"/>
                <w:lang w:val="en-US"/>
              </w:rPr>
              <w:t>SLL/CLL</w:t>
            </w:r>
          </w:p>
        </w:tc>
        <w:tc>
          <w:tcPr>
            <w:tcW w:w="968" w:type="dxa"/>
            <w:shd w:val="clear" w:color="auto" w:fill="D9D9D9" w:themeFill="background1" w:themeFillShade="D9"/>
          </w:tcPr>
          <w:p w14:paraId="0604C297"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3 (100)</w:t>
            </w:r>
          </w:p>
        </w:tc>
        <w:tc>
          <w:tcPr>
            <w:tcW w:w="1235" w:type="dxa"/>
            <w:shd w:val="clear" w:color="auto" w:fill="D9D9D9" w:themeFill="background1" w:themeFillShade="D9"/>
          </w:tcPr>
          <w:p w14:paraId="7FA9D61F"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933" w:type="dxa"/>
            <w:shd w:val="clear" w:color="auto" w:fill="D9D9D9" w:themeFill="background1" w:themeFillShade="D9"/>
          </w:tcPr>
          <w:p w14:paraId="3188571A"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236" w:type="dxa"/>
            <w:shd w:val="clear" w:color="auto" w:fill="D9D9D9" w:themeFill="background1" w:themeFillShade="D9"/>
          </w:tcPr>
          <w:p w14:paraId="56825364"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540" w:type="dxa"/>
            <w:shd w:val="clear" w:color="auto" w:fill="D9D9D9" w:themeFill="background1" w:themeFillShade="D9"/>
          </w:tcPr>
          <w:p w14:paraId="60C60016"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086" w:type="dxa"/>
            <w:shd w:val="clear" w:color="auto" w:fill="D9D9D9" w:themeFill="background1" w:themeFillShade="D9"/>
          </w:tcPr>
          <w:p w14:paraId="26FE4740"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086" w:type="dxa"/>
            <w:shd w:val="clear" w:color="auto" w:fill="D9D9D9" w:themeFill="background1" w:themeFillShade="D9"/>
          </w:tcPr>
          <w:p w14:paraId="04003460"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086" w:type="dxa"/>
            <w:shd w:val="clear" w:color="auto" w:fill="D9D9D9" w:themeFill="background1" w:themeFillShade="D9"/>
          </w:tcPr>
          <w:p w14:paraId="16E5FD5A"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086" w:type="dxa"/>
            <w:shd w:val="clear" w:color="auto" w:fill="D9D9D9" w:themeFill="background1" w:themeFillShade="D9"/>
          </w:tcPr>
          <w:p w14:paraId="10351B33"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086" w:type="dxa"/>
            <w:shd w:val="clear" w:color="auto" w:fill="D9D9D9" w:themeFill="background1" w:themeFillShade="D9"/>
          </w:tcPr>
          <w:p w14:paraId="60611B2A"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086" w:type="dxa"/>
            <w:shd w:val="clear" w:color="auto" w:fill="D9D9D9" w:themeFill="background1" w:themeFillShade="D9"/>
          </w:tcPr>
          <w:p w14:paraId="085BF779"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086" w:type="dxa"/>
            <w:shd w:val="clear" w:color="auto" w:fill="D9D9D9" w:themeFill="background1" w:themeFillShade="D9"/>
          </w:tcPr>
          <w:p w14:paraId="4B318EEF"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086" w:type="dxa"/>
            <w:tcBorders>
              <w:right w:val="single" w:sz="4" w:space="0" w:color="auto"/>
            </w:tcBorders>
            <w:shd w:val="clear" w:color="auto" w:fill="D9D9D9" w:themeFill="background1" w:themeFillShade="D9"/>
          </w:tcPr>
          <w:p w14:paraId="47454695"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r>
      <w:tr w:rsidR="00ED2A39" w:rsidRPr="00013472" w14:paraId="5CD0C914"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048281B7" w14:textId="77777777" w:rsidR="00ED2A39" w:rsidRPr="00013472" w:rsidRDefault="00ED2A39" w:rsidP="00ED2A39">
            <w:pPr>
              <w:rPr>
                <w:rFonts w:asciiTheme="majorHAnsi" w:hAnsiTheme="majorHAnsi"/>
                <w:b w:val="0"/>
                <w:color w:val="000000"/>
                <w:sz w:val="16"/>
                <w:szCs w:val="16"/>
                <w:lang w:val="en-US"/>
              </w:rPr>
            </w:pPr>
            <w:r w:rsidRPr="00013472">
              <w:rPr>
                <w:rFonts w:asciiTheme="majorHAnsi" w:hAnsiTheme="majorHAnsi"/>
                <w:b w:val="0"/>
                <w:color w:val="000000"/>
                <w:sz w:val="16"/>
                <w:szCs w:val="16"/>
                <w:lang w:val="en-US"/>
              </w:rPr>
              <w:t>IE</w:t>
            </w:r>
          </w:p>
        </w:tc>
        <w:tc>
          <w:tcPr>
            <w:tcW w:w="968" w:type="dxa"/>
            <w:shd w:val="clear" w:color="auto" w:fill="auto"/>
          </w:tcPr>
          <w:p w14:paraId="1DB70EF1"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2 (100)</w:t>
            </w:r>
          </w:p>
        </w:tc>
        <w:tc>
          <w:tcPr>
            <w:tcW w:w="1235" w:type="dxa"/>
            <w:shd w:val="clear" w:color="auto" w:fill="auto"/>
          </w:tcPr>
          <w:p w14:paraId="12C4F5A4"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933" w:type="dxa"/>
            <w:shd w:val="clear" w:color="auto" w:fill="auto"/>
          </w:tcPr>
          <w:p w14:paraId="29104FFF"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236" w:type="dxa"/>
            <w:shd w:val="clear" w:color="auto" w:fill="auto"/>
          </w:tcPr>
          <w:p w14:paraId="71D9C50C"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540" w:type="dxa"/>
            <w:shd w:val="clear" w:color="auto" w:fill="auto"/>
          </w:tcPr>
          <w:p w14:paraId="4A694E47"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44ECC971"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4AF8D11D"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467B0FF0"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7A1F522F"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1EA0D9C6"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1BCF4EC8"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7B0E1DED"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tcBorders>
              <w:right w:val="single" w:sz="4" w:space="0" w:color="auto"/>
            </w:tcBorders>
            <w:shd w:val="clear" w:color="auto" w:fill="auto"/>
          </w:tcPr>
          <w:p w14:paraId="679F140B"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r>
      <w:tr w:rsidR="00ED2A39" w:rsidRPr="00013472" w14:paraId="7C3B6C09"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50BEF15C" w14:textId="77777777" w:rsidR="00ED2A39" w:rsidRPr="00013472" w:rsidRDefault="00ED2A39" w:rsidP="00ED2A39">
            <w:pPr>
              <w:rPr>
                <w:rFonts w:asciiTheme="majorHAnsi" w:hAnsiTheme="majorHAnsi"/>
                <w:b w:val="0"/>
                <w:color w:val="000000"/>
                <w:sz w:val="16"/>
                <w:szCs w:val="16"/>
                <w:lang w:val="en-US"/>
              </w:rPr>
            </w:pPr>
            <w:r w:rsidRPr="00013472">
              <w:rPr>
                <w:rFonts w:asciiTheme="majorHAnsi" w:hAnsiTheme="majorHAnsi"/>
                <w:b w:val="0"/>
                <w:color w:val="000000"/>
                <w:sz w:val="16"/>
                <w:szCs w:val="16"/>
                <w:lang w:val="en-US"/>
              </w:rPr>
              <w:t>IIE</w:t>
            </w:r>
          </w:p>
        </w:tc>
        <w:tc>
          <w:tcPr>
            <w:tcW w:w="968" w:type="dxa"/>
            <w:shd w:val="clear" w:color="auto" w:fill="auto"/>
          </w:tcPr>
          <w:p w14:paraId="483E423E" w14:textId="120CB40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235" w:type="dxa"/>
            <w:shd w:val="clear" w:color="auto" w:fill="auto"/>
          </w:tcPr>
          <w:p w14:paraId="17802CFA"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933" w:type="dxa"/>
            <w:shd w:val="clear" w:color="auto" w:fill="auto"/>
          </w:tcPr>
          <w:p w14:paraId="2B4A2E3D"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236" w:type="dxa"/>
            <w:shd w:val="clear" w:color="auto" w:fill="auto"/>
          </w:tcPr>
          <w:p w14:paraId="57DCB592"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540" w:type="dxa"/>
            <w:shd w:val="clear" w:color="auto" w:fill="auto"/>
          </w:tcPr>
          <w:p w14:paraId="492E92F5"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1AC89095"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1B5F53DC"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3320ED73"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1142160B"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2F545F7E"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52E020CA"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7B56D22D"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tcBorders>
              <w:right w:val="single" w:sz="4" w:space="0" w:color="auto"/>
            </w:tcBorders>
            <w:shd w:val="clear" w:color="auto" w:fill="auto"/>
          </w:tcPr>
          <w:p w14:paraId="4CC9FEA9"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r>
      <w:tr w:rsidR="00ED2A39" w:rsidRPr="00013472" w14:paraId="2FBBDAF5"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0EACA2E3" w14:textId="77777777" w:rsidR="00ED2A39" w:rsidRPr="00013472" w:rsidRDefault="00ED2A39" w:rsidP="00ED2A39">
            <w:pPr>
              <w:rPr>
                <w:rFonts w:asciiTheme="majorHAnsi" w:hAnsiTheme="majorHAnsi"/>
                <w:b w:val="0"/>
                <w:color w:val="000000"/>
                <w:sz w:val="16"/>
                <w:szCs w:val="16"/>
                <w:lang w:val="en-US"/>
              </w:rPr>
            </w:pPr>
            <w:r w:rsidRPr="00013472">
              <w:rPr>
                <w:rFonts w:asciiTheme="majorHAnsi" w:hAnsiTheme="majorHAnsi"/>
                <w:b w:val="0"/>
                <w:color w:val="000000"/>
                <w:sz w:val="16"/>
                <w:szCs w:val="16"/>
                <w:lang w:val="en-US"/>
              </w:rPr>
              <w:t>IIIE</w:t>
            </w:r>
          </w:p>
        </w:tc>
        <w:tc>
          <w:tcPr>
            <w:tcW w:w="968" w:type="dxa"/>
            <w:shd w:val="clear" w:color="auto" w:fill="auto"/>
          </w:tcPr>
          <w:p w14:paraId="0FF19DA2"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235" w:type="dxa"/>
            <w:shd w:val="clear" w:color="auto" w:fill="auto"/>
          </w:tcPr>
          <w:p w14:paraId="4339080C"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933" w:type="dxa"/>
            <w:shd w:val="clear" w:color="auto" w:fill="auto"/>
          </w:tcPr>
          <w:p w14:paraId="7DF69709"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236" w:type="dxa"/>
            <w:shd w:val="clear" w:color="auto" w:fill="auto"/>
          </w:tcPr>
          <w:p w14:paraId="780D3CF0"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540" w:type="dxa"/>
            <w:shd w:val="clear" w:color="auto" w:fill="auto"/>
          </w:tcPr>
          <w:p w14:paraId="2EE7A904"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084BD29A"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5FDB10BF"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721E4F11"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0FCC3DA8"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296620E3"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4E08698C"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33C60BD5"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tcBorders>
              <w:right w:val="single" w:sz="4" w:space="0" w:color="auto"/>
            </w:tcBorders>
            <w:shd w:val="clear" w:color="auto" w:fill="auto"/>
          </w:tcPr>
          <w:p w14:paraId="4FC0BA67" w14:textId="77777777" w:rsidR="00ED2A39" w:rsidRPr="00013472" w:rsidRDefault="00ED2A39" w:rsidP="004758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r>
      <w:tr w:rsidR="00ED2A39" w:rsidRPr="00013472" w14:paraId="1A45848F"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54CBC52A" w14:textId="77777777" w:rsidR="00ED2A39" w:rsidRPr="00013472" w:rsidRDefault="00ED2A39" w:rsidP="00ED2A39">
            <w:pPr>
              <w:rPr>
                <w:rFonts w:asciiTheme="majorHAnsi" w:hAnsiTheme="majorHAnsi"/>
                <w:b w:val="0"/>
                <w:color w:val="000000"/>
                <w:sz w:val="16"/>
                <w:szCs w:val="16"/>
                <w:lang w:val="en-US"/>
              </w:rPr>
            </w:pPr>
            <w:r w:rsidRPr="00013472">
              <w:rPr>
                <w:rFonts w:asciiTheme="majorHAnsi" w:hAnsiTheme="majorHAnsi"/>
                <w:b w:val="0"/>
                <w:color w:val="000000"/>
                <w:sz w:val="16"/>
                <w:szCs w:val="16"/>
                <w:lang w:val="en-US"/>
              </w:rPr>
              <w:t>IVE</w:t>
            </w:r>
          </w:p>
        </w:tc>
        <w:tc>
          <w:tcPr>
            <w:tcW w:w="968" w:type="dxa"/>
            <w:shd w:val="clear" w:color="auto" w:fill="auto"/>
          </w:tcPr>
          <w:p w14:paraId="2857C622"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1 (100)</w:t>
            </w:r>
          </w:p>
        </w:tc>
        <w:tc>
          <w:tcPr>
            <w:tcW w:w="1235" w:type="dxa"/>
            <w:shd w:val="clear" w:color="auto" w:fill="auto"/>
          </w:tcPr>
          <w:p w14:paraId="4A58D314"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933" w:type="dxa"/>
            <w:shd w:val="clear" w:color="auto" w:fill="auto"/>
          </w:tcPr>
          <w:p w14:paraId="4CA6801B"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236" w:type="dxa"/>
            <w:shd w:val="clear" w:color="auto" w:fill="auto"/>
          </w:tcPr>
          <w:p w14:paraId="2A8D5D7B"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540" w:type="dxa"/>
            <w:shd w:val="clear" w:color="auto" w:fill="auto"/>
          </w:tcPr>
          <w:p w14:paraId="0C481114"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43C3D421"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4AADC1BE"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06EE6201"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02327AE3"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65A1049E"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6D3B1D68"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shd w:val="clear" w:color="auto" w:fill="auto"/>
          </w:tcPr>
          <w:p w14:paraId="0FE400DE"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c>
          <w:tcPr>
            <w:tcW w:w="1086" w:type="dxa"/>
            <w:tcBorders>
              <w:right w:val="single" w:sz="4" w:space="0" w:color="auto"/>
            </w:tcBorders>
            <w:shd w:val="clear" w:color="auto" w:fill="auto"/>
          </w:tcPr>
          <w:p w14:paraId="3901EF49" w14:textId="77777777" w:rsidR="00ED2A39" w:rsidRPr="00013472" w:rsidRDefault="00ED2A39" w:rsidP="004758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6"/>
                <w:szCs w:val="16"/>
                <w:lang w:val="en-US"/>
              </w:rPr>
            </w:pPr>
            <w:r w:rsidRPr="00013472">
              <w:rPr>
                <w:rFonts w:asciiTheme="majorHAnsi" w:hAnsiTheme="majorHAnsi"/>
                <w:sz w:val="16"/>
                <w:szCs w:val="16"/>
                <w:lang w:val="en-US"/>
              </w:rPr>
              <w:t>0</w:t>
            </w:r>
          </w:p>
        </w:tc>
      </w:tr>
      <w:tr w:rsidR="00ED2A39" w:rsidRPr="00013472" w14:paraId="161353A6"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77FB2EE6" w14:textId="77777777" w:rsidR="00ED2A39" w:rsidRPr="00013472" w:rsidRDefault="00ED2A39" w:rsidP="00ED2A39">
            <w:pPr>
              <w:rPr>
                <w:rFonts w:ascii="Calibri" w:hAnsi="Calibri"/>
                <w:color w:val="000000"/>
                <w:sz w:val="16"/>
                <w:szCs w:val="16"/>
                <w:lang w:val="en-US"/>
              </w:rPr>
            </w:pPr>
            <w:r w:rsidRPr="00013472">
              <w:rPr>
                <w:rFonts w:ascii="Calibri" w:hAnsi="Calibri"/>
                <w:bCs w:val="0"/>
                <w:color w:val="000000"/>
                <w:sz w:val="16"/>
                <w:szCs w:val="16"/>
                <w:lang w:val="en-US"/>
              </w:rPr>
              <w:t>BL</w:t>
            </w:r>
          </w:p>
        </w:tc>
        <w:tc>
          <w:tcPr>
            <w:tcW w:w="968" w:type="dxa"/>
            <w:shd w:val="clear" w:color="auto" w:fill="D9D9D9" w:themeFill="background1" w:themeFillShade="D9"/>
          </w:tcPr>
          <w:p w14:paraId="7A431C4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235" w:type="dxa"/>
            <w:shd w:val="clear" w:color="auto" w:fill="D9D9D9" w:themeFill="background1" w:themeFillShade="D9"/>
          </w:tcPr>
          <w:p w14:paraId="7BA17B6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2 (100)</w:t>
            </w:r>
          </w:p>
        </w:tc>
        <w:tc>
          <w:tcPr>
            <w:tcW w:w="933" w:type="dxa"/>
            <w:shd w:val="clear" w:color="auto" w:fill="D9D9D9" w:themeFill="background1" w:themeFillShade="D9"/>
          </w:tcPr>
          <w:p w14:paraId="7D09137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236" w:type="dxa"/>
            <w:shd w:val="clear" w:color="auto" w:fill="D9D9D9" w:themeFill="background1" w:themeFillShade="D9"/>
          </w:tcPr>
          <w:p w14:paraId="603D64D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540" w:type="dxa"/>
            <w:shd w:val="clear" w:color="auto" w:fill="D9D9D9" w:themeFill="background1" w:themeFillShade="D9"/>
          </w:tcPr>
          <w:p w14:paraId="2E539D5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58C82D1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1277537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06CA540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1B0648D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5B243D3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184D1EC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61A384A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tcBorders>
              <w:right w:val="single" w:sz="4" w:space="0" w:color="auto"/>
            </w:tcBorders>
            <w:shd w:val="clear" w:color="auto" w:fill="D9D9D9" w:themeFill="background1" w:themeFillShade="D9"/>
          </w:tcPr>
          <w:p w14:paraId="5925B16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r>
      <w:tr w:rsidR="00ED2A39" w:rsidRPr="00013472" w14:paraId="69B4E3B7"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7E7CC69E"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IE</w:t>
            </w:r>
          </w:p>
        </w:tc>
        <w:tc>
          <w:tcPr>
            <w:tcW w:w="968" w:type="dxa"/>
            <w:shd w:val="clear" w:color="auto" w:fill="auto"/>
          </w:tcPr>
          <w:p w14:paraId="13DC87E6"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sz w:val="16"/>
                <w:szCs w:val="16"/>
                <w:lang w:val="en-US"/>
              </w:rPr>
              <w:t>0</w:t>
            </w:r>
          </w:p>
        </w:tc>
        <w:tc>
          <w:tcPr>
            <w:tcW w:w="1235" w:type="dxa"/>
            <w:shd w:val="clear" w:color="auto" w:fill="auto"/>
          </w:tcPr>
          <w:p w14:paraId="0E5636A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933" w:type="dxa"/>
            <w:shd w:val="clear" w:color="auto" w:fill="auto"/>
          </w:tcPr>
          <w:p w14:paraId="1C7AA18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2794304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7B0D0B6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E7A5E2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77BF1B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8F5B02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472E57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6DABDC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0AF858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8A2B77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4565B3F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D2A39" w:rsidRPr="00013472" w14:paraId="0E6A5193"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5B90C20A"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IVE</w:t>
            </w:r>
          </w:p>
        </w:tc>
        <w:tc>
          <w:tcPr>
            <w:tcW w:w="968" w:type="dxa"/>
            <w:shd w:val="clear" w:color="auto" w:fill="auto"/>
          </w:tcPr>
          <w:p w14:paraId="5B70DC5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sz w:val="16"/>
                <w:szCs w:val="16"/>
                <w:lang w:val="en-US"/>
              </w:rPr>
              <w:t>0</w:t>
            </w:r>
          </w:p>
        </w:tc>
        <w:tc>
          <w:tcPr>
            <w:tcW w:w="1235" w:type="dxa"/>
            <w:shd w:val="clear" w:color="auto" w:fill="auto"/>
          </w:tcPr>
          <w:p w14:paraId="13C0CB5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c>
          <w:tcPr>
            <w:tcW w:w="933" w:type="dxa"/>
            <w:shd w:val="clear" w:color="auto" w:fill="auto"/>
          </w:tcPr>
          <w:p w14:paraId="6646BAF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427FDCE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3E49E90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47D6EF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B17914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22D924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950C7A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B08AED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728E93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786CA5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290DB87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F3FD0" w:rsidRPr="00013472" w14:paraId="0D2F9700"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1FC82B8D" w14:textId="77777777" w:rsidR="00ED2A39" w:rsidRPr="00013472" w:rsidRDefault="00ED2A39" w:rsidP="00ED2A39">
            <w:pPr>
              <w:rPr>
                <w:rFonts w:ascii="Calibri" w:hAnsi="Calibri"/>
                <w:color w:val="000000"/>
                <w:sz w:val="16"/>
                <w:szCs w:val="16"/>
                <w:lang w:val="en-US"/>
              </w:rPr>
            </w:pPr>
            <w:r w:rsidRPr="00013472">
              <w:rPr>
                <w:rFonts w:ascii="Calibri" w:hAnsi="Calibri"/>
                <w:bCs w:val="0"/>
                <w:color w:val="000000"/>
                <w:sz w:val="16"/>
                <w:szCs w:val="16"/>
                <w:lang w:val="en-US"/>
              </w:rPr>
              <w:t>PL</w:t>
            </w:r>
          </w:p>
        </w:tc>
        <w:tc>
          <w:tcPr>
            <w:tcW w:w="968" w:type="dxa"/>
            <w:shd w:val="clear" w:color="auto" w:fill="D9D9D9" w:themeFill="background1" w:themeFillShade="D9"/>
          </w:tcPr>
          <w:p w14:paraId="5D3B8E1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235" w:type="dxa"/>
            <w:shd w:val="clear" w:color="auto" w:fill="D9D9D9" w:themeFill="background1" w:themeFillShade="D9"/>
          </w:tcPr>
          <w:p w14:paraId="50C63E2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2 (100)</w:t>
            </w:r>
          </w:p>
        </w:tc>
        <w:tc>
          <w:tcPr>
            <w:tcW w:w="933" w:type="dxa"/>
            <w:shd w:val="clear" w:color="auto" w:fill="D9D9D9" w:themeFill="background1" w:themeFillShade="D9"/>
          </w:tcPr>
          <w:p w14:paraId="604C24E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236" w:type="dxa"/>
            <w:shd w:val="clear" w:color="auto" w:fill="D9D9D9" w:themeFill="background1" w:themeFillShade="D9"/>
          </w:tcPr>
          <w:p w14:paraId="64319D7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540" w:type="dxa"/>
            <w:shd w:val="clear" w:color="auto" w:fill="D9D9D9" w:themeFill="background1" w:themeFillShade="D9"/>
          </w:tcPr>
          <w:p w14:paraId="5E72EAB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79A384C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1129FB1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1292AD1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200768B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5748AC5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1A075A9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272C4C4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tcBorders>
              <w:right w:val="single" w:sz="4" w:space="0" w:color="auto"/>
            </w:tcBorders>
            <w:shd w:val="clear" w:color="auto" w:fill="D9D9D9" w:themeFill="background1" w:themeFillShade="D9"/>
          </w:tcPr>
          <w:p w14:paraId="6976C9FB"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r>
      <w:tr w:rsidR="00ED2A39" w:rsidRPr="00013472" w14:paraId="22637F63"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75C0954B"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IE</w:t>
            </w:r>
          </w:p>
        </w:tc>
        <w:tc>
          <w:tcPr>
            <w:tcW w:w="968" w:type="dxa"/>
            <w:shd w:val="clear" w:color="auto" w:fill="auto"/>
          </w:tcPr>
          <w:p w14:paraId="782C443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5" w:type="dxa"/>
            <w:shd w:val="clear" w:color="auto" w:fill="auto"/>
          </w:tcPr>
          <w:p w14:paraId="554220C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(100)</w:t>
            </w:r>
          </w:p>
        </w:tc>
        <w:tc>
          <w:tcPr>
            <w:tcW w:w="933" w:type="dxa"/>
            <w:shd w:val="clear" w:color="auto" w:fill="auto"/>
          </w:tcPr>
          <w:p w14:paraId="64F0B66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01918EA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4819F68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71387C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34D2128"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0FDCE0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3D5BBD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994AE2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7EAEA9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A36481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0F78A52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F3FD0" w:rsidRPr="00013472" w14:paraId="20E75717"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5E1ACCBC" w14:textId="77777777" w:rsidR="00ED2A39" w:rsidRPr="00013472" w:rsidRDefault="00ED2A39" w:rsidP="00ED2A39">
            <w:pPr>
              <w:rPr>
                <w:rFonts w:ascii="Calibri" w:hAnsi="Calibri"/>
                <w:color w:val="000000"/>
                <w:sz w:val="16"/>
                <w:szCs w:val="16"/>
                <w:lang w:val="en-US"/>
              </w:rPr>
            </w:pPr>
            <w:r w:rsidRPr="00013472">
              <w:rPr>
                <w:rFonts w:ascii="Calibri" w:hAnsi="Calibri"/>
                <w:bCs w:val="0"/>
                <w:color w:val="000000"/>
                <w:sz w:val="16"/>
                <w:szCs w:val="16"/>
                <w:lang w:val="en-US"/>
              </w:rPr>
              <w:t>LPL</w:t>
            </w:r>
          </w:p>
        </w:tc>
        <w:tc>
          <w:tcPr>
            <w:tcW w:w="968" w:type="dxa"/>
            <w:shd w:val="clear" w:color="auto" w:fill="D9D9D9" w:themeFill="background1" w:themeFillShade="D9"/>
          </w:tcPr>
          <w:p w14:paraId="452D24F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b/>
                <w:sz w:val="16"/>
                <w:szCs w:val="16"/>
                <w:lang w:val="en-US"/>
              </w:rPr>
              <w:t>0</w:t>
            </w:r>
          </w:p>
        </w:tc>
        <w:tc>
          <w:tcPr>
            <w:tcW w:w="1235" w:type="dxa"/>
            <w:shd w:val="clear" w:color="auto" w:fill="D9D9D9" w:themeFill="background1" w:themeFillShade="D9"/>
          </w:tcPr>
          <w:p w14:paraId="6FF0A57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933" w:type="dxa"/>
            <w:shd w:val="clear" w:color="auto" w:fill="D9D9D9" w:themeFill="background1" w:themeFillShade="D9"/>
          </w:tcPr>
          <w:p w14:paraId="7E08E93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236" w:type="dxa"/>
            <w:shd w:val="clear" w:color="auto" w:fill="D9D9D9" w:themeFill="background1" w:themeFillShade="D9"/>
          </w:tcPr>
          <w:p w14:paraId="36E7261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540" w:type="dxa"/>
            <w:shd w:val="clear" w:color="auto" w:fill="D9D9D9" w:themeFill="background1" w:themeFillShade="D9"/>
          </w:tcPr>
          <w:p w14:paraId="5CAC1A3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51777B9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6FCE0DA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4EED99E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0C36FB0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344924E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75192780"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610D502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tcBorders>
              <w:right w:val="single" w:sz="4" w:space="0" w:color="auto"/>
            </w:tcBorders>
            <w:shd w:val="clear" w:color="auto" w:fill="D9D9D9" w:themeFill="background1" w:themeFillShade="D9"/>
          </w:tcPr>
          <w:p w14:paraId="56CA107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1 (100)</w:t>
            </w:r>
          </w:p>
        </w:tc>
      </w:tr>
      <w:tr w:rsidR="00ED2A39" w:rsidRPr="00013472" w14:paraId="2479BDB6"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6604D25D"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Unknown</w:t>
            </w:r>
          </w:p>
        </w:tc>
        <w:tc>
          <w:tcPr>
            <w:tcW w:w="968" w:type="dxa"/>
            <w:shd w:val="clear" w:color="auto" w:fill="auto"/>
          </w:tcPr>
          <w:p w14:paraId="62071EC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5" w:type="dxa"/>
            <w:shd w:val="clear" w:color="auto" w:fill="auto"/>
          </w:tcPr>
          <w:p w14:paraId="4634FF8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933" w:type="dxa"/>
            <w:shd w:val="clear" w:color="auto" w:fill="auto"/>
          </w:tcPr>
          <w:p w14:paraId="7A3BB73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5FF04BF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209E0E6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A9A710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1F033C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6FF1F4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45FB34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66E2F8C"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C22C58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D00CAA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226C014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(100)</w:t>
            </w:r>
          </w:p>
        </w:tc>
      </w:tr>
      <w:tr w:rsidR="00EF3FD0" w:rsidRPr="00013472" w14:paraId="3AD0FADA"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6D6FBC71" w14:textId="77777777" w:rsidR="00ED2A39" w:rsidRPr="00013472" w:rsidRDefault="00ED2A39" w:rsidP="00ED2A39">
            <w:pPr>
              <w:rPr>
                <w:rFonts w:ascii="Calibri" w:hAnsi="Calibri"/>
                <w:color w:val="000000"/>
                <w:sz w:val="16"/>
                <w:szCs w:val="16"/>
                <w:lang w:val="en-US"/>
              </w:rPr>
            </w:pPr>
            <w:r w:rsidRPr="00013472">
              <w:rPr>
                <w:rFonts w:ascii="Calibri" w:hAnsi="Calibri"/>
                <w:bCs w:val="0"/>
                <w:color w:val="000000"/>
                <w:sz w:val="16"/>
                <w:szCs w:val="16"/>
                <w:lang w:val="en-US"/>
              </w:rPr>
              <w:t>BCL, NOS</w:t>
            </w:r>
          </w:p>
        </w:tc>
        <w:tc>
          <w:tcPr>
            <w:tcW w:w="968" w:type="dxa"/>
            <w:shd w:val="clear" w:color="auto" w:fill="D9D9D9" w:themeFill="background1" w:themeFillShade="D9"/>
          </w:tcPr>
          <w:p w14:paraId="729D264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2 (50)</w:t>
            </w:r>
          </w:p>
        </w:tc>
        <w:tc>
          <w:tcPr>
            <w:tcW w:w="1235" w:type="dxa"/>
            <w:shd w:val="clear" w:color="auto" w:fill="D9D9D9" w:themeFill="background1" w:themeFillShade="D9"/>
          </w:tcPr>
          <w:p w14:paraId="11D22293"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1 (25)</w:t>
            </w:r>
          </w:p>
        </w:tc>
        <w:tc>
          <w:tcPr>
            <w:tcW w:w="933" w:type="dxa"/>
            <w:shd w:val="clear" w:color="auto" w:fill="D9D9D9" w:themeFill="background1" w:themeFillShade="D9"/>
          </w:tcPr>
          <w:p w14:paraId="45851E78"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1 (25)</w:t>
            </w:r>
          </w:p>
        </w:tc>
        <w:tc>
          <w:tcPr>
            <w:tcW w:w="1236" w:type="dxa"/>
            <w:shd w:val="clear" w:color="auto" w:fill="D9D9D9" w:themeFill="background1" w:themeFillShade="D9"/>
          </w:tcPr>
          <w:p w14:paraId="1EEEBCD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540" w:type="dxa"/>
            <w:shd w:val="clear" w:color="auto" w:fill="D9D9D9" w:themeFill="background1" w:themeFillShade="D9"/>
          </w:tcPr>
          <w:p w14:paraId="47D0008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11B185F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626C909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79F4F95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460DF5F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20A2C91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200983E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2816C54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tcBorders>
              <w:right w:val="single" w:sz="4" w:space="0" w:color="auto"/>
            </w:tcBorders>
            <w:shd w:val="clear" w:color="auto" w:fill="D9D9D9" w:themeFill="background1" w:themeFillShade="D9"/>
          </w:tcPr>
          <w:p w14:paraId="0C9B3F1D"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r>
      <w:tr w:rsidR="00ED2A39" w:rsidRPr="00013472" w14:paraId="00D48176"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7E344353"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 xml:space="preserve">IE </w:t>
            </w:r>
          </w:p>
        </w:tc>
        <w:tc>
          <w:tcPr>
            <w:tcW w:w="968" w:type="dxa"/>
            <w:shd w:val="clear" w:color="auto" w:fill="auto"/>
          </w:tcPr>
          <w:p w14:paraId="3607C7F4"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2 (50)</w:t>
            </w:r>
          </w:p>
        </w:tc>
        <w:tc>
          <w:tcPr>
            <w:tcW w:w="1235" w:type="dxa"/>
            <w:shd w:val="clear" w:color="auto" w:fill="auto"/>
          </w:tcPr>
          <w:p w14:paraId="638EBEC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(25)</w:t>
            </w:r>
          </w:p>
        </w:tc>
        <w:tc>
          <w:tcPr>
            <w:tcW w:w="933" w:type="dxa"/>
            <w:shd w:val="clear" w:color="auto" w:fill="auto"/>
          </w:tcPr>
          <w:p w14:paraId="7639715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(25)</w:t>
            </w:r>
          </w:p>
        </w:tc>
        <w:tc>
          <w:tcPr>
            <w:tcW w:w="1236" w:type="dxa"/>
            <w:shd w:val="clear" w:color="auto" w:fill="auto"/>
          </w:tcPr>
          <w:p w14:paraId="14BD23E5"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3716B83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DA626B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A291E2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67714B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61617F33"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459AA8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EEF150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25071C5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1CD70B2D"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r w:rsidR="00EF3FD0" w:rsidRPr="00013472" w14:paraId="70874969" w14:textId="77777777" w:rsidTr="00022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gridSpan w:val="2"/>
            <w:tcBorders>
              <w:left w:val="single" w:sz="4" w:space="0" w:color="auto"/>
            </w:tcBorders>
          </w:tcPr>
          <w:p w14:paraId="4169BD45" w14:textId="3ED2F417" w:rsidR="00EF3FD0" w:rsidRPr="00013472" w:rsidRDefault="00EF3FD0" w:rsidP="00EF3FD0">
            <w:pPr>
              <w:rPr>
                <w:rFonts w:ascii="Calibri" w:hAnsi="Calibri"/>
                <w:color w:val="000000"/>
                <w:sz w:val="16"/>
                <w:szCs w:val="16"/>
                <w:lang w:val="en-US"/>
              </w:rPr>
            </w:pPr>
            <w:r w:rsidRPr="00013472">
              <w:rPr>
                <w:rFonts w:ascii="Calibri" w:hAnsi="Calibri"/>
                <w:bCs w:val="0"/>
                <w:color w:val="000000"/>
                <w:sz w:val="16"/>
                <w:szCs w:val="16"/>
                <w:lang w:val="en-US"/>
              </w:rPr>
              <w:t>T-cell lymphomas</w:t>
            </w:r>
          </w:p>
        </w:tc>
        <w:tc>
          <w:tcPr>
            <w:tcW w:w="1235" w:type="dxa"/>
          </w:tcPr>
          <w:p w14:paraId="108EE05A"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933" w:type="dxa"/>
          </w:tcPr>
          <w:p w14:paraId="54419FD5"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236" w:type="dxa"/>
          </w:tcPr>
          <w:p w14:paraId="749D7EA0"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540" w:type="dxa"/>
          </w:tcPr>
          <w:p w14:paraId="590FAE91"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6" w:type="dxa"/>
          </w:tcPr>
          <w:p w14:paraId="49A8E6FD"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6" w:type="dxa"/>
          </w:tcPr>
          <w:p w14:paraId="6FB24A7B"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6" w:type="dxa"/>
          </w:tcPr>
          <w:p w14:paraId="25E030F8"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6" w:type="dxa"/>
          </w:tcPr>
          <w:p w14:paraId="24C35D4E"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6" w:type="dxa"/>
          </w:tcPr>
          <w:p w14:paraId="75DF508D"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6" w:type="dxa"/>
          </w:tcPr>
          <w:p w14:paraId="13221B8D"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6" w:type="dxa"/>
          </w:tcPr>
          <w:p w14:paraId="1E879A1C"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c>
          <w:tcPr>
            <w:tcW w:w="1086" w:type="dxa"/>
            <w:tcBorders>
              <w:right w:val="single" w:sz="4" w:space="0" w:color="auto"/>
            </w:tcBorders>
          </w:tcPr>
          <w:p w14:paraId="532FEC41" w14:textId="77777777" w:rsidR="00EF3FD0" w:rsidRPr="00013472" w:rsidRDefault="00EF3FD0"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p>
        </w:tc>
      </w:tr>
      <w:tr w:rsidR="00ED2A39" w:rsidRPr="00013472" w14:paraId="7B575736" w14:textId="77777777" w:rsidTr="00EF3FD0">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D9D9D9" w:themeFill="background1" w:themeFillShade="D9"/>
          </w:tcPr>
          <w:p w14:paraId="11182C25" w14:textId="77777777" w:rsidR="00ED2A39" w:rsidRPr="00013472" w:rsidRDefault="00ED2A39" w:rsidP="00ED2A39">
            <w:pPr>
              <w:rPr>
                <w:rFonts w:ascii="Calibri" w:hAnsi="Calibri"/>
                <w:color w:val="000000"/>
                <w:sz w:val="16"/>
                <w:szCs w:val="16"/>
                <w:lang w:val="en-US"/>
              </w:rPr>
            </w:pPr>
            <w:r w:rsidRPr="00013472">
              <w:rPr>
                <w:rFonts w:ascii="Calibri" w:hAnsi="Calibri"/>
                <w:bCs w:val="0"/>
                <w:color w:val="000000"/>
                <w:sz w:val="16"/>
                <w:szCs w:val="16"/>
                <w:lang w:val="en-US"/>
              </w:rPr>
              <w:t>PTCL, NOS</w:t>
            </w:r>
          </w:p>
        </w:tc>
        <w:tc>
          <w:tcPr>
            <w:tcW w:w="968" w:type="dxa"/>
            <w:shd w:val="clear" w:color="auto" w:fill="D9D9D9" w:themeFill="background1" w:themeFillShade="D9"/>
          </w:tcPr>
          <w:p w14:paraId="6762499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1 (50)</w:t>
            </w:r>
          </w:p>
        </w:tc>
        <w:tc>
          <w:tcPr>
            <w:tcW w:w="1235" w:type="dxa"/>
            <w:shd w:val="clear" w:color="auto" w:fill="D9D9D9" w:themeFill="background1" w:themeFillShade="D9"/>
          </w:tcPr>
          <w:p w14:paraId="40AE81B2"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1 (50)</w:t>
            </w:r>
          </w:p>
        </w:tc>
        <w:tc>
          <w:tcPr>
            <w:tcW w:w="933" w:type="dxa"/>
            <w:shd w:val="clear" w:color="auto" w:fill="D9D9D9" w:themeFill="background1" w:themeFillShade="D9"/>
          </w:tcPr>
          <w:p w14:paraId="01B260F6"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236" w:type="dxa"/>
            <w:shd w:val="clear" w:color="auto" w:fill="D9D9D9" w:themeFill="background1" w:themeFillShade="D9"/>
          </w:tcPr>
          <w:p w14:paraId="333E61EF"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540" w:type="dxa"/>
            <w:shd w:val="clear" w:color="auto" w:fill="D9D9D9" w:themeFill="background1" w:themeFillShade="D9"/>
          </w:tcPr>
          <w:p w14:paraId="7B3FD9E0"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5B96653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33B64FD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7421C8EA"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4F25A2BB"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71E0C529"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56F89EF1"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shd w:val="clear" w:color="auto" w:fill="D9D9D9" w:themeFill="background1" w:themeFillShade="D9"/>
          </w:tcPr>
          <w:p w14:paraId="1AF676DE"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c>
          <w:tcPr>
            <w:tcW w:w="1086" w:type="dxa"/>
            <w:tcBorders>
              <w:right w:val="single" w:sz="4" w:space="0" w:color="auto"/>
            </w:tcBorders>
            <w:shd w:val="clear" w:color="auto" w:fill="D9D9D9" w:themeFill="background1" w:themeFillShade="D9"/>
          </w:tcPr>
          <w:p w14:paraId="7C3AEB07" w14:textId="77777777" w:rsidR="00ED2A39" w:rsidRPr="00013472" w:rsidRDefault="00ED2A39" w:rsidP="00ED2A39">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lang w:val="en-US"/>
              </w:rPr>
            </w:pPr>
            <w:r w:rsidRPr="00013472">
              <w:rPr>
                <w:rFonts w:ascii="Calibri" w:hAnsi="Calibri"/>
                <w:b/>
                <w:color w:val="000000"/>
                <w:sz w:val="16"/>
                <w:szCs w:val="16"/>
                <w:lang w:val="en-US"/>
              </w:rPr>
              <w:t>0</w:t>
            </w:r>
          </w:p>
        </w:tc>
      </w:tr>
      <w:tr w:rsidR="00ED2A39" w:rsidRPr="00013472" w14:paraId="7A0DAFDF" w14:textId="77777777" w:rsidTr="00EF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left w:val="single" w:sz="4" w:space="0" w:color="auto"/>
            </w:tcBorders>
            <w:shd w:val="clear" w:color="auto" w:fill="auto"/>
          </w:tcPr>
          <w:p w14:paraId="60B9B391" w14:textId="77777777" w:rsidR="00ED2A39" w:rsidRPr="00013472" w:rsidRDefault="00ED2A39" w:rsidP="00ED2A39">
            <w:pPr>
              <w:rPr>
                <w:rFonts w:ascii="Calibri" w:hAnsi="Calibri"/>
                <w:b w:val="0"/>
                <w:color w:val="000000"/>
                <w:sz w:val="16"/>
                <w:szCs w:val="16"/>
                <w:lang w:val="en-US"/>
              </w:rPr>
            </w:pPr>
            <w:r w:rsidRPr="00013472">
              <w:rPr>
                <w:rFonts w:ascii="Calibri" w:hAnsi="Calibri"/>
                <w:b w:val="0"/>
                <w:color w:val="000000"/>
                <w:sz w:val="16"/>
                <w:szCs w:val="16"/>
                <w:lang w:val="en-US"/>
              </w:rPr>
              <w:t>IE</w:t>
            </w:r>
          </w:p>
        </w:tc>
        <w:tc>
          <w:tcPr>
            <w:tcW w:w="968" w:type="dxa"/>
            <w:shd w:val="clear" w:color="auto" w:fill="auto"/>
          </w:tcPr>
          <w:p w14:paraId="4F2AB2BE"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1235" w:type="dxa"/>
            <w:shd w:val="clear" w:color="auto" w:fill="auto"/>
          </w:tcPr>
          <w:p w14:paraId="3418008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1 (50)</w:t>
            </w:r>
          </w:p>
        </w:tc>
        <w:tc>
          <w:tcPr>
            <w:tcW w:w="933" w:type="dxa"/>
            <w:shd w:val="clear" w:color="auto" w:fill="auto"/>
          </w:tcPr>
          <w:p w14:paraId="17D9559F"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236" w:type="dxa"/>
            <w:shd w:val="clear" w:color="auto" w:fill="auto"/>
          </w:tcPr>
          <w:p w14:paraId="07B6840A"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540" w:type="dxa"/>
            <w:shd w:val="clear" w:color="auto" w:fill="auto"/>
          </w:tcPr>
          <w:p w14:paraId="7FF42DD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558FE334"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0C0C280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968116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387037C5"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44183F82"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714927E1"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shd w:val="clear" w:color="auto" w:fill="auto"/>
          </w:tcPr>
          <w:p w14:paraId="1E8BD1C9"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c>
          <w:tcPr>
            <w:tcW w:w="1086" w:type="dxa"/>
            <w:tcBorders>
              <w:right w:val="single" w:sz="4" w:space="0" w:color="auto"/>
            </w:tcBorders>
            <w:shd w:val="clear" w:color="auto" w:fill="auto"/>
          </w:tcPr>
          <w:p w14:paraId="74FBC6FC" w14:textId="77777777" w:rsidR="00ED2A39" w:rsidRPr="00013472" w:rsidRDefault="00ED2A39" w:rsidP="00ED2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013472">
              <w:rPr>
                <w:rFonts w:ascii="Calibri" w:hAnsi="Calibri"/>
                <w:color w:val="000000"/>
                <w:sz w:val="16"/>
                <w:szCs w:val="16"/>
                <w:lang w:val="en-US"/>
              </w:rPr>
              <w:t>0</w:t>
            </w:r>
          </w:p>
        </w:tc>
      </w:tr>
    </w:tbl>
    <w:p w14:paraId="753F9D95" w14:textId="554E6BDD" w:rsidR="00ED2A39" w:rsidRPr="00013472" w:rsidRDefault="00ED2A39" w:rsidP="00CF15EB">
      <w:pPr>
        <w:rPr>
          <w:lang w:val="en-US"/>
        </w:rPr>
        <w:sectPr w:rsidR="00ED2A39" w:rsidRPr="00013472" w:rsidSect="00ED2A39">
          <w:pgSz w:w="16840" w:h="11900" w:orient="landscape"/>
          <w:pgMar w:top="720" w:right="720" w:bottom="720" w:left="720" w:header="708" w:footer="708" w:gutter="0"/>
          <w:cols w:space="708"/>
          <w:docGrid w:linePitch="360"/>
        </w:sectPr>
      </w:pPr>
    </w:p>
    <w:p w14:paraId="0B7CF18B" w14:textId="46395AD5" w:rsidR="00ED53C4" w:rsidRPr="00013472" w:rsidRDefault="0002574E" w:rsidP="00A27FEB">
      <w:pPr>
        <w:spacing w:line="480" w:lineRule="auto"/>
        <w:rPr>
          <w:b/>
          <w:lang w:val="en-US"/>
        </w:rPr>
      </w:pPr>
      <w:r w:rsidRPr="00013472">
        <w:rPr>
          <w:b/>
          <w:lang w:val="en-US"/>
        </w:rPr>
        <w:lastRenderedPageBreak/>
        <w:t>Figure 1</w:t>
      </w:r>
    </w:p>
    <w:p w14:paraId="534B1845" w14:textId="7E0DBE33" w:rsidR="00ED53C4" w:rsidRPr="00013472" w:rsidRDefault="00E9412A" w:rsidP="00A27FEB">
      <w:pPr>
        <w:spacing w:line="480" w:lineRule="auto"/>
        <w:rPr>
          <w:b/>
          <w:lang w:val="en-US"/>
        </w:rPr>
      </w:pPr>
      <w:r w:rsidRPr="00013472">
        <w:rPr>
          <w:b/>
          <w:noProof/>
          <w:lang w:val="en-GB" w:eastAsia="en-GB"/>
        </w:rPr>
        <w:drawing>
          <wp:inline distT="0" distB="0" distL="0" distR="0" wp14:anchorId="0A0462E1" wp14:editId="294D31A3">
            <wp:extent cx="6116320" cy="6833970"/>
            <wp:effectExtent l="0" t="0" r="5080" b="0"/>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6833970"/>
                    </a:xfrm>
                    <a:prstGeom prst="rect">
                      <a:avLst/>
                    </a:prstGeom>
                    <a:noFill/>
                    <a:ln>
                      <a:noFill/>
                    </a:ln>
                  </pic:spPr>
                </pic:pic>
              </a:graphicData>
            </a:graphic>
          </wp:inline>
        </w:drawing>
      </w:r>
    </w:p>
    <w:p w14:paraId="0E87B1BA" w14:textId="3DF6F59D" w:rsidR="0002574E" w:rsidRPr="00013472" w:rsidRDefault="0002574E" w:rsidP="00A27FEB">
      <w:pPr>
        <w:spacing w:line="480" w:lineRule="auto"/>
        <w:rPr>
          <w:b/>
          <w:lang w:val="en-US"/>
        </w:rPr>
      </w:pPr>
      <w:r w:rsidRPr="00013472">
        <w:rPr>
          <w:b/>
          <w:lang w:val="en-US"/>
        </w:rPr>
        <w:br w:type="page"/>
      </w:r>
    </w:p>
    <w:p w14:paraId="7EC539BB" w14:textId="13831938" w:rsidR="00CF15EB" w:rsidRPr="00013472" w:rsidRDefault="00284E3D" w:rsidP="00A27FEB">
      <w:pPr>
        <w:spacing w:line="480" w:lineRule="auto"/>
        <w:rPr>
          <w:b/>
          <w:lang w:val="en-US"/>
        </w:rPr>
      </w:pPr>
      <w:r w:rsidRPr="00013472">
        <w:rPr>
          <w:b/>
          <w:lang w:val="en-US"/>
        </w:rPr>
        <w:lastRenderedPageBreak/>
        <w:t>Figure 2</w:t>
      </w:r>
    </w:p>
    <w:p w14:paraId="03FBDF2B" w14:textId="31AF2A6C" w:rsidR="00CF15EB" w:rsidRPr="00013472" w:rsidRDefault="00CF15EB" w:rsidP="00CF15EB">
      <w:pPr>
        <w:rPr>
          <w:b/>
          <w:lang w:val="en-US"/>
        </w:rPr>
      </w:pPr>
      <w:r w:rsidRPr="00013472">
        <w:rPr>
          <w:noProof/>
          <w:lang w:val="en-GB" w:eastAsia="en-GB"/>
        </w:rPr>
        <w:drawing>
          <wp:inline distT="0" distB="0" distL="0" distR="0" wp14:anchorId="11A7B089" wp14:editId="41CBC70A">
            <wp:extent cx="6116320" cy="3610610"/>
            <wp:effectExtent l="0" t="0" r="508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3610610"/>
                    </a:xfrm>
                    <a:prstGeom prst="rect">
                      <a:avLst/>
                    </a:prstGeom>
                    <a:noFill/>
                    <a:ln>
                      <a:noFill/>
                    </a:ln>
                  </pic:spPr>
                </pic:pic>
              </a:graphicData>
            </a:graphic>
          </wp:inline>
        </w:drawing>
      </w:r>
    </w:p>
    <w:p w14:paraId="70AD2C24" w14:textId="77777777" w:rsidR="00CF15EB" w:rsidRPr="00013472" w:rsidRDefault="00CF15EB" w:rsidP="00CF15EB">
      <w:pPr>
        <w:rPr>
          <w:lang w:val="en-US"/>
        </w:rPr>
      </w:pPr>
    </w:p>
    <w:tbl>
      <w:tblPr>
        <w:tblStyle w:val="LightShading"/>
        <w:tblW w:w="4949" w:type="pct"/>
        <w:tblLook w:val="04A0" w:firstRow="1" w:lastRow="0" w:firstColumn="1" w:lastColumn="0" w:noHBand="0" w:noVBand="1"/>
      </w:tblPr>
      <w:tblGrid>
        <w:gridCol w:w="2709"/>
        <w:gridCol w:w="975"/>
        <w:gridCol w:w="975"/>
        <w:gridCol w:w="975"/>
        <w:gridCol w:w="976"/>
        <w:gridCol w:w="974"/>
        <w:gridCol w:w="974"/>
        <w:gridCol w:w="976"/>
      </w:tblGrid>
      <w:tr w:rsidR="00CF15EB" w:rsidRPr="00013472" w14:paraId="6FA9E28D" w14:textId="77777777" w:rsidTr="00CF1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Pr>
          <w:p w14:paraId="3E8351C5" w14:textId="77777777" w:rsidR="00CF15EB" w:rsidRPr="00013472" w:rsidRDefault="00CF15EB" w:rsidP="00C03DE7">
            <w:pPr>
              <w:rPr>
                <w:sz w:val="22"/>
                <w:szCs w:val="22"/>
                <w:lang w:val="en-US"/>
              </w:rPr>
            </w:pPr>
            <w:r w:rsidRPr="00013472">
              <w:rPr>
                <w:sz w:val="22"/>
                <w:szCs w:val="22"/>
                <w:lang w:val="en-US"/>
              </w:rPr>
              <w:t>Subtype, interval, years</w:t>
            </w:r>
          </w:p>
        </w:tc>
        <w:tc>
          <w:tcPr>
            <w:tcW w:w="511" w:type="pct"/>
          </w:tcPr>
          <w:p w14:paraId="4EE4D399" w14:textId="77777777" w:rsidR="00CF15EB" w:rsidRPr="00013472" w:rsidRDefault="00CF15EB" w:rsidP="00C03DE7">
            <w:pPr>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0</w:t>
            </w:r>
          </w:p>
        </w:tc>
        <w:tc>
          <w:tcPr>
            <w:tcW w:w="511" w:type="pct"/>
          </w:tcPr>
          <w:p w14:paraId="3B96770A" w14:textId="77777777" w:rsidR="00CF15EB" w:rsidRPr="00013472" w:rsidRDefault="00CF15EB" w:rsidP="00C03DE7">
            <w:pPr>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5</w:t>
            </w:r>
          </w:p>
        </w:tc>
        <w:tc>
          <w:tcPr>
            <w:tcW w:w="511" w:type="pct"/>
          </w:tcPr>
          <w:p w14:paraId="16618809" w14:textId="77777777" w:rsidR="00CF15EB" w:rsidRPr="00013472" w:rsidRDefault="00CF15EB" w:rsidP="00C03DE7">
            <w:pPr>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10</w:t>
            </w:r>
          </w:p>
        </w:tc>
        <w:tc>
          <w:tcPr>
            <w:tcW w:w="512" w:type="pct"/>
          </w:tcPr>
          <w:p w14:paraId="36AC8D19" w14:textId="77777777" w:rsidR="00CF15EB" w:rsidRPr="00013472" w:rsidRDefault="00CF15EB" w:rsidP="00C03DE7">
            <w:pPr>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15</w:t>
            </w:r>
          </w:p>
        </w:tc>
        <w:tc>
          <w:tcPr>
            <w:tcW w:w="511" w:type="pct"/>
          </w:tcPr>
          <w:p w14:paraId="14ADCB08" w14:textId="77777777" w:rsidR="00CF15EB" w:rsidRPr="00013472" w:rsidRDefault="00CF15EB" w:rsidP="00C03DE7">
            <w:pPr>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20</w:t>
            </w:r>
          </w:p>
        </w:tc>
        <w:tc>
          <w:tcPr>
            <w:tcW w:w="511" w:type="pct"/>
          </w:tcPr>
          <w:p w14:paraId="6A52A84D" w14:textId="77777777" w:rsidR="00CF15EB" w:rsidRPr="00013472" w:rsidRDefault="00CF15EB" w:rsidP="00C03DE7">
            <w:pPr>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25</w:t>
            </w:r>
          </w:p>
        </w:tc>
        <w:tc>
          <w:tcPr>
            <w:tcW w:w="512" w:type="pct"/>
          </w:tcPr>
          <w:p w14:paraId="000F8D3C" w14:textId="77777777" w:rsidR="00CF15EB" w:rsidRPr="00013472" w:rsidRDefault="00CF15EB" w:rsidP="00C03DE7">
            <w:pPr>
              <w:jc w:val="center"/>
              <w:cnfStyle w:val="100000000000" w:firstRow="1"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30</w:t>
            </w:r>
          </w:p>
        </w:tc>
      </w:tr>
      <w:tr w:rsidR="00CF15EB" w:rsidRPr="00013472" w14:paraId="2D76A0D1" w14:textId="77777777" w:rsidTr="0003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D9D9D9" w:themeFill="background1" w:themeFillShade="D9"/>
          </w:tcPr>
          <w:p w14:paraId="63653E6C" w14:textId="77777777" w:rsidR="00CF15EB" w:rsidRPr="00013472" w:rsidRDefault="00CF15EB" w:rsidP="00C03DE7">
            <w:pPr>
              <w:rPr>
                <w:sz w:val="22"/>
                <w:szCs w:val="22"/>
                <w:lang w:val="en-US"/>
              </w:rPr>
            </w:pPr>
            <w:r w:rsidRPr="00013472">
              <w:rPr>
                <w:sz w:val="22"/>
                <w:szCs w:val="22"/>
                <w:lang w:val="en-US"/>
              </w:rPr>
              <w:t>EMZL (N=178)</w:t>
            </w:r>
          </w:p>
        </w:tc>
        <w:tc>
          <w:tcPr>
            <w:tcW w:w="511" w:type="pct"/>
            <w:shd w:val="clear" w:color="auto" w:fill="D9D9D9" w:themeFill="background1" w:themeFillShade="D9"/>
          </w:tcPr>
          <w:p w14:paraId="3E189ECF"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5191426A"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4CADC6D5"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2" w:type="pct"/>
            <w:shd w:val="clear" w:color="auto" w:fill="D9D9D9" w:themeFill="background1" w:themeFillShade="D9"/>
          </w:tcPr>
          <w:p w14:paraId="41B1A98D"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57C26DB3"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58F73FF2"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2" w:type="pct"/>
            <w:shd w:val="clear" w:color="auto" w:fill="D9D9D9" w:themeFill="background1" w:themeFillShade="D9"/>
          </w:tcPr>
          <w:p w14:paraId="205D118A"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CF15EB" w:rsidRPr="00013472" w14:paraId="2451FE94" w14:textId="77777777" w:rsidTr="00CF15EB">
        <w:tc>
          <w:tcPr>
            <w:cnfStyle w:val="001000000000" w:firstRow="0" w:lastRow="0" w:firstColumn="1" w:lastColumn="0" w:oddVBand="0" w:evenVBand="0" w:oddHBand="0" w:evenHBand="0" w:firstRowFirstColumn="0" w:firstRowLastColumn="0" w:lastRowFirstColumn="0" w:lastRowLastColumn="0"/>
            <w:tcW w:w="1419" w:type="pct"/>
          </w:tcPr>
          <w:p w14:paraId="3B0448EB" w14:textId="77777777" w:rsidR="00CF15EB" w:rsidRPr="00013472" w:rsidRDefault="00CF15EB" w:rsidP="00C03DE7">
            <w:pPr>
              <w:rPr>
                <w:b w:val="0"/>
                <w:sz w:val="22"/>
                <w:szCs w:val="22"/>
                <w:lang w:val="en-US"/>
              </w:rPr>
            </w:pPr>
            <w:r w:rsidRPr="00013472">
              <w:rPr>
                <w:b w:val="0"/>
                <w:sz w:val="22"/>
                <w:szCs w:val="22"/>
                <w:lang w:val="en-US"/>
              </w:rPr>
              <w:t>Patients at risk, No.</w:t>
            </w:r>
          </w:p>
        </w:tc>
        <w:tc>
          <w:tcPr>
            <w:tcW w:w="511" w:type="pct"/>
          </w:tcPr>
          <w:p w14:paraId="2E6E34CA"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105</w:t>
            </w:r>
          </w:p>
        </w:tc>
        <w:tc>
          <w:tcPr>
            <w:tcW w:w="511" w:type="pct"/>
          </w:tcPr>
          <w:p w14:paraId="54EC05EB"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19</w:t>
            </w:r>
          </w:p>
        </w:tc>
        <w:tc>
          <w:tcPr>
            <w:tcW w:w="511" w:type="pct"/>
          </w:tcPr>
          <w:p w14:paraId="7DABEEB8"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6</w:t>
            </w:r>
          </w:p>
        </w:tc>
        <w:tc>
          <w:tcPr>
            <w:tcW w:w="512" w:type="pct"/>
          </w:tcPr>
          <w:p w14:paraId="47F20DB1"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2</w:t>
            </w:r>
          </w:p>
        </w:tc>
        <w:tc>
          <w:tcPr>
            <w:tcW w:w="511" w:type="pct"/>
          </w:tcPr>
          <w:p w14:paraId="2C041B17"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1.5</w:t>
            </w:r>
          </w:p>
        </w:tc>
        <w:tc>
          <w:tcPr>
            <w:tcW w:w="511" w:type="pct"/>
          </w:tcPr>
          <w:p w14:paraId="34900863"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1</w:t>
            </w:r>
          </w:p>
        </w:tc>
        <w:tc>
          <w:tcPr>
            <w:tcW w:w="512" w:type="pct"/>
          </w:tcPr>
          <w:p w14:paraId="149E9F4D"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0.5</w:t>
            </w:r>
          </w:p>
        </w:tc>
      </w:tr>
      <w:tr w:rsidR="00CF15EB" w:rsidRPr="00013472" w14:paraId="1026DD19" w14:textId="77777777" w:rsidTr="0003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auto"/>
          </w:tcPr>
          <w:p w14:paraId="78A030AE" w14:textId="77777777" w:rsidR="00CF15EB" w:rsidRPr="00013472" w:rsidRDefault="00CF15EB" w:rsidP="00C03DE7">
            <w:pPr>
              <w:rPr>
                <w:b w:val="0"/>
                <w:sz w:val="22"/>
                <w:szCs w:val="22"/>
                <w:lang w:val="en-US"/>
              </w:rPr>
            </w:pPr>
            <w:r w:rsidRPr="00013472">
              <w:rPr>
                <w:b w:val="0"/>
                <w:sz w:val="22"/>
                <w:szCs w:val="22"/>
                <w:lang w:val="en-US"/>
              </w:rPr>
              <w:t>Events, No.</w:t>
            </w:r>
          </w:p>
        </w:tc>
        <w:tc>
          <w:tcPr>
            <w:tcW w:w="511" w:type="pct"/>
            <w:shd w:val="clear" w:color="auto" w:fill="auto"/>
          </w:tcPr>
          <w:p w14:paraId="347876E7"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4</w:t>
            </w:r>
          </w:p>
        </w:tc>
        <w:tc>
          <w:tcPr>
            <w:tcW w:w="511" w:type="pct"/>
            <w:shd w:val="clear" w:color="auto" w:fill="auto"/>
          </w:tcPr>
          <w:p w14:paraId="0C7640C8"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1</w:t>
            </w:r>
          </w:p>
        </w:tc>
        <w:tc>
          <w:tcPr>
            <w:tcW w:w="511" w:type="pct"/>
            <w:shd w:val="clear" w:color="auto" w:fill="auto"/>
          </w:tcPr>
          <w:p w14:paraId="2F9FE95C"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1</w:t>
            </w:r>
          </w:p>
        </w:tc>
        <w:tc>
          <w:tcPr>
            <w:tcW w:w="512" w:type="pct"/>
            <w:shd w:val="clear" w:color="auto" w:fill="auto"/>
          </w:tcPr>
          <w:p w14:paraId="24C84ACF"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0</w:t>
            </w:r>
          </w:p>
        </w:tc>
        <w:tc>
          <w:tcPr>
            <w:tcW w:w="511" w:type="pct"/>
            <w:shd w:val="clear" w:color="auto" w:fill="auto"/>
          </w:tcPr>
          <w:p w14:paraId="32EABF9E"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0</w:t>
            </w:r>
          </w:p>
        </w:tc>
        <w:tc>
          <w:tcPr>
            <w:tcW w:w="511" w:type="pct"/>
            <w:shd w:val="clear" w:color="auto" w:fill="auto"/>
          </w:tcPr>
          <w:p w14:paraId="72C5D0C2"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0</w:t>
            </w:r>
          </w:p>
        </w:tc>
        <w:tc>
          <w:tcPr>
            <w:tcW w:w="512" w:type="pct"/>
            <w:shd w:val="clear" w:color="auto" w:fill="auto"/>
          </w:tcPr>
          <w:p w14:paraId="29E6A3CE"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0</w:t>
            </w:r>
          </w:p>
        </w:tc>
      </w:tr>
      <w:tr w:rsidR="00CF15EB" w:rsidRPr="00013472" w14:paraId="05B0FE40" w14:textId="77777777" w:rsidTr="000378AA">
        <w:tc>
          <w:tcPr>
            <w:cnfStyle w:val="001000000000" w:firstRow="0" w:lastRow="0" w:firstColumn="1" w:lastColumn="0" w:oddVBand="0" w:evenVBand="0" w:oddHBand="0" w:evenHBand="0" w:firstRowFirstColumn="0" w:firstRowLastColumn="0" w:lastRowFirstColumn="0" w:lastRowLastColumn="0"/>
            <w:tcW w:w="1419" w:type="pct"/>
            <w:shd w:val="clear" w:color="auto" w:fill="D9D9D9" w:themeFill="background1" w:themeFillShade="D9"/>
          </w:tcPr>
          <w:p w14:paraId="3DFCB198" w14:textId="77777777" w:rsidR="00CF15EB" w:rsidRPr="00013472" w:rsidRDefault="00CF15EB" w:rsidP="00C03DE7">
            <w:pPr>
              <w:rPr>
                <w:sz w:val="22"/>
                <w:szCs w:val="22"/>
                <w:lang w:val="en-US"/>
              </w:rPr>
            </w:pPr>
            <w:r w:rsidRPr="00013472">
              <w:rPr>
                <w:sz w:val="22"/>
                <w:szCs w:val="22"/>
                <w:lang w:val="en-US"/>
              </w:rPr>
              <w:t>FL (N=26)</w:t>
            </w:r>
          </w:p>
        </w:tc>
        <w:tc>
          <w:tcPr>
            <w:tcW w:w="511" w:type="pct"/>
            <w:shd w:val="clear" w:color="auto" w:fill="D9D9D9" w:themeFill="background1" w:themeFillShade="D9"/>
          </w:tcPr>
          <w:p w14:paraId="2235DFD3"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07D85FB2"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12DBF26E"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2" w:type="pct"/>
            <w:shd w:val="clear" w:color="auto" w:fill="D9D9D9" w:themeFill="background1" w:themeFillShade="D9"/>
          </w:tcPr>
          <w:p w14:paraId="1AF0135F"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0723D9D7"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0568B4AC"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2" w:type="pct"/>
            <w:shd w:val="clear" w:color="auto" w:fill="D9D9D9" w:themeFill="background1" w:themeFillShade="D9"/>
          </w:tcPr>
          <w:p w14:paraId="1CE7DA5E"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r>
      <w:tr w:rsidR="00CF15EB" w:rsidRPr="00013472" w14:paraId="19DD2671" w14:textId="77777777" w:rsidTr="0003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auto"/>
          </w:tcPr>
          <w:p w14:paraId="72169645" w14:textId="77777777" w:rsidR="00CF15EB" w:rsidRPr="00013472" w:rsidRDefault="00CF15EB" w:rsidP="00C03DE7">
            <w:pPr>
              <w:rPr>
                <w:b w:val="0"/>
                <w:sz w:val="22"/>
                <w:szCs w:val="22"/>
                <w:lang w:val="en-US"/>
              </w:rPr>
            </w:pPr>
            <w:r w:rsidRPr="00013472">
              <w:rPr>
                <w:b w:val="0"/>
                <w:sz w:val="22"/>
                <w:szCs w:val="22"/>
                <w:lang w:val="en-US"/>
              </w:rPr>
              <w:t>Patients at risk, No</w:t>
            </w:r>
          </w:p>
        </w:tc>
        <w:tc>
          <w:tcPr>
            <w:tcW w:w="511" w:type="pct"/>
            <w:shd w:val="clear" w:color="auto" w:fill="auto"/>
          </w:tcPr>
          <w:p w14:paraId="678FB7AC"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22.5</w:t>
            </w:r>
          </w:p>
        </w:tc>
        <w:tc>
          <w:tcPr>
            <w:tcW w:w="511" w:type="pct"/>
            <w:shd w:val="clear" w:color="auto" w:fill="auto"/>
          </w:tcPr>
          <w:p w14:paraId="0F861CD3"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12</w:t>
            </w:r>
          </w:p>
        </w:tc>
        <w:tc>
          <w:tcPr>
            <w:tcW w:w="511" w:type="pct"/>
            <w:shd w:val="clear" w:color="auto" w:fill="auto"/>
          </w:tcPr>
          <w:p w14:paraId="270C8E3D"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4.5</w:t>
            </w:r>
          </w:p>
        </w:tc>
        <w:tc>
          <w:tcPr>
            <w:tcW w:w="512" w:type="pct"/>
            <w:shd w:val="clear" w:color="auto" w:fill="auto"/>
          </w:tcPr>
          <w:p w14:paraId="27B98DDB"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1.5</w:t>
            </w:r>
          </w:p>
        </w:tc>
        <w:tc>
          <w:tcPr>
            <w:tcW w:w="511" w:type="pct"/>
            <w:shd w:val="clear" w:color="auto" w:fill="auto"/>
          </w:tcPr>
          <w:p w14:paraId="1483E048"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auto"/>
          </w:tcPr>
          <w:p w14:paraId="223FD5D7"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2" w:type="pct"/>
            <w:shd w:val="clear" w:color="auto" w:fill="auto"/>
          </w:tcPr>
          <w:p w14:paraId="05FB6EFA"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CF15EB" w:rsidRPr="00013472" w14:paraId="1EEFB8C5" w14:textId="77777777" w:rsidTr="00CF15EB">
        <w:tc>
          <w:tcPr>
            <w:cnfStyle w:val="001000000000" w:firstRow="0" w:lastRow="0" w:firstColumn="1" w:lastColumn="0" w:oddVBand="0" w:evenVBand="0" w:oddHBand="0" w:evenHBand="0" w:firstRowFirstColumn="0" w:firstRowLastColumn="0" w:lastRowFirstColumn="0" w:lastRowLastColumn="0"/>
            <w:tcW w:w="1419" w:type="pct"/>
          </w:tcPr>
          <w:p w14:paraId="54188AAD" w14:textId="77777777" w:rsidR="00CF15EB" w:rsidRPr="00013472" w:rsidRDefault="00CF15EB" w:rsidP="00C03DE7">
            <w:pPr>
              <w:rPr>
                <w:b w:val="0"/>
                <w:sz w:val="22"/>
                <w:szCs w:val="22"/>
                <w:lang w:val="en-US"/>
              </w:rPr>
            </w:pPr>
            <w:r w:rsidRPr="00013472">
              <w:rPr>
                <w:b w:val="0"/>
                <w:sz w:val="22"/>
                <w:szCs w:val="22"/>
                <w:lang w:val="en-US"/>
              </w:rPr>
              <w:t>Events, No.</w:t>
            </w:r>
          </w:p>
        </w:tc>
        <w:tc>
          <w:tcPr>
            <w:tcW w:w="511" w:type="pct"/>
          </w:tcPr>
          <w:p w14:paraId="4C8CEF94"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3</w:t>
            </w:r>
          </w:p>
        </w:tc>
        <w:tc>
          <w:tcPr>
            <w:tcW w:w="511" w:type="pct"/>
          </w:tcPr>
          <w:p w14:paraId="55CFEDB6"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2</w:t>
            </w:r>
          </w:p>
        </w:tc>
        <w:tc>
          <w:tcPr>
            <w:tcW w:w="511" w:type="pct"/>
          </w:tcPr>
          <w:p w14:paraId="24DF3D01"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0</w:t>
            </w:r>
          </w:p>
        </w:tc>
        <w:tc>
          <w:tcPr>
            <w:tcW w:w="512" w:type="pct"/>
          </w:tcPr>
          <w:p w14:paraId="233419B2"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0</w:t>
            </w:r>
          </w:p>
        </w:tc>
        <w:tc>
          <w:tcPr>
            <w:tcW w:w="511" w:type="pct"/>
          </w:tcPr>
          <w:p w14:paraId="20CA7C56"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tcPr>
          <w:p w14:paraId="1310AB56"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2" w:type="pct"/>
          </w:tcPr>
          <w:p w14:paraId="0189CFA6"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r>
      <w:tr w:rsidR="00CF15EB" w:rsidRPr="00013472" w14:paraId="1DB63714" w14:textId="77777777" w:rsidTr="0003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D9D9D9" w:themeFill="background1" w:themeFillShade="D9"/>
          </w:tcPr>
          <w:p w14:paraId="6D903083" w14:textId="77777777" w:rsidR="00CF15EB" w:rsidRPr="00013472" w:rsidRDefault="00CF15EB" w:rsidP="00C03DE7">
            <w:pPr>
              <w:rPr>
                <w:sz w:val="22"/>
                <w:szCs w:val="22"/>
                <w:lang w:val="en-US"/>
              </w:rPr>
            </w:pPr>
            <w:r w:rsidRPr="00013472">
              <w:rPr>
                <w:sz w:val="22"/>
                <w:szCs w:val="22"/>
                <w:lang w:val="en-US"/>
              </w:rPr>
              <w:t>DLBCL (N=26)</w:t>
            </w:r>
          </w:p>
        </w:tc>
        <w:tc>
          <w:tcPr>
            <w:tcW w:w="511" w:type="pct"/>
            <w:shd w:val="clear" w:color="auto" w:fill="D9D9D9" w:themeFill="background1" w:themeFillShade="D9"/>
          </w:tcPr>
          <w:p w14:paraId="4FA1F9DA"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13FB03C7"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1FCCAC22"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2" w:type="pct"/>
            <w:shd w:val="clear" w:color="auto" w:fill="D9D9D9" w:themeFill="background1" w:themeFillShade="D9"/>
          </w:tcPr>
          <w:p w14:paraId="09F448BB"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7B96E022"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66216D03"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2" w:type="pct"/>
            <w:shd w:val="clear" w:color="auto" w:fill="D9D9D9" w:themeFill="background1" w:themeFillShade="D9"/>
          </w:tcPr>
          <w:p w14:paraId="2B600540"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CF15EB" w:rsidRPr="00013472" w14:paraId="5ACC0711" w14:textId="77777777" w:rsidTr="00CF15EB">
        <w:tc>
          <w:tcPr>
            <w:cnfStyle w:val="001000000000" w:firstRow="0" w:lastRow="0" w:firstColumn="1" w:lastColumn="0" w:oddVBand="0" w:evenVBand="0" w:oddHBand="0" w:evenHBand="0" w:firstRowFirstColumn="0" w:firstRowLastColumn="0" w:lastRowFirstColumn="0" w:lastRowLastColumn="0"/>
            <w:tcW w:w="1419" w:type="pct"/>
          </w:tcPr>
          <w:p w14:paraId="726BB109" w14:textId="77777777" w:rsidR="00CF15EB" w:rsidRPr="00013472" w:rsidRDefault="00CF15EB" w:rsidP="00C03DE7">
            <w:pPr>
              <w:rPr>
                <w:b w:val="0"/>
                <w:sz w:val="22"/>
                <w:szCs w:val="22"/>
                <w:lang w:val="en-US"/>
              </w:rPr>
            </w:pPr>
            <w:r w:rsidRPr="00013472">
              <w:rPr>
                <w:b w:val="0"/>
                <w:sz w:val="22"/>
                <w:szCs w:val="22"/>
                <w:lang w:val="en-US"/>
              </w:rPr>
              <w:t>Patients at risk, No.</w:t>
            </w:r>
          </w:p>
        </w:tc>
        <w:tc>
          <w:tcPr>
            <w:tcW w:w="511" w:type="pct"/>
          </w:tcPr>
          <w:p w14:paraId="28739E02"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18</w:t>
            </w:r>
          </w:p>
        </w:tc>
        <w:tc>
          <w:tcPr>
            <w:tcW w:w="511" w:type="pct"/>
          </w:tcPr>
          <w:p w14:paraId="76817064"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2.5</w:t>
            </w:r>
          </w:p>
        </w:tc>
        <w:tc>
          <w:tcPr>
            <w:tcW w:w="511" w:type="pct"/>
          </w:tcPr>
          <w:p w14:paraId="5EC198F9"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0.5</w:t>
            </w:r>
          </w:p>
        </w:tc>
        <w:tc>
          <w:tcPr>
            <w:tcW w:w="512" w:type="pct"/>
          </w:tcPr>
          <w:p w14:paraId="441670FB"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tcPr>
          <w:p w14:paraId="2BF935EF"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tcPr>
          <w:p w14:paraId="1296E91E"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2" w:type="pct"/>
          </w:tcPr>
          <w:p w14:paraId="4279EED4"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r>
      <w:tr w:rsidR="00CF15EB" w:rsidRPr="00013472" w14:paraId="36D49423" w14:textId="77777777" w:rsidTr="0003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auto"/>
          </w:tcPr>
          <w:p w14:paraId="6037FF06" w14:textId="77777777" w:rsidR="00CF15EB" w:rsidRPr="00013472" w:rsidRDefault="00CF15EB" w:rsidP="00C03DE7">
            <w:pPr>
              <w:rPr>
                <w:b w:val="0"/>
                <w:sz w:val="22"/>
                <w:szCs w:val="22"/>
                <w:lang w:val="en-US"/>
              </w:rPr>
            </w:pPr>
            <w:r w:rsidRPr="00013472">
              <w:rPr>
                <w:b w:val="0"/>
                <w:sz w:val="22"/>
                <w:szCs w:val="22"/>
                <w:lang w:val="en-US"/>
              </w:rPr>
              <w:t>Events, No.</w:t>
            </w:r>
          </w:p>
        </w:tc>
        <w:tc>
          <w:tcPr>
            <w:tcW w:w="511" w:type="pct"/>
            <w:shd w:val="clear" w:color="auto" w:fill="auto"/>
          </w:tcPr>
          <w:p w14:paraId="5F3F7FF0"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7</w:t>
            </w:r>
          </w:p>
        </w:tc>
        <w:tc>
          <w:tcPr>
            <w:tcW w:w="511" w:type="pct"/>
            <w:shd w:val="clear" w:color="auto" w:fill="auto"/>
          </w:tcPr>
          <w:p w14:paraId="221C1692"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0</w:t>
            </w:r>
          </w:p>
        </w:tc>
        <w:tc>
          <w:tcPr>
            <w:tcW w:w="511" w:type="pct"/>
            <w:shd w:val="clear" w:color="auto" w:fill="auto"/>
          </w:tcPr>
          <w:p w14:paraId="2A9AA699"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0</w:t>
            </w:r>
          </w:p>
        </w:tc>
        <w:tc>
          <w:tcPr>
            <w:tcW w:w="512" w:type="pct"/>
            <w:shd w:val="clear" w:color="auto" w:fill="auto"/>
          </w:tcPr>
          <w:p w14:paraId="09F600F8"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auto"/>
          </w:tcPr>
          <w:p w14:paraId="3D8FE536"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auto"/>
          </w:tcPr>
          <w:p w14:paraId="54592E85"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2" w:type="pct"/>
            <w:shd w:val="clear" w:color="auto" w:fill="auto"/>
          </w:tcPr>
          <w:p w14:paraId="7C5A7F5A"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CF15EB" w:rsidRPr="00013472" w14:paraId="68E82926" w14:textId="77777777" w:rsidTr="000378AA">
        <w:tc>
          <w:tcPr>
            <w:cnfStyle w:val="001000000000" w:firstRow="0" w:lastRow="0" w:firstColumn="1" w:lastColumn="0" w:oddVBand="0" w:evenVBand="0" w:oddHBand="0" w:evenHBand="0" w:firstRowFirstColumn="0" w:firstRowLastColumn="0" w:lastRowFirstColumn="0" w:lastRowLastColumn="0"/>
            <w:tcW w:w="1419" w:type="pct"/>
            <w:shd w:val="clear" w:color="auto" w:fill="D9D9D9" w:themeFill="background1" w:themeFillShade="D9"/>
          </w:tcPr>
          <w:p w14:paraId="1443C0AF" w14:textId="77777777" w:rsidR="00CF15EB" w:rsidRPr="00013472" w:rsidRDefault="00CF15EB" w:rsidP="00C03DE7">
            <w:pPr>
              <w:rPr>
                <w:sz w:val="22"/>
                <w:szCs w:val="22"/>
                <w:lang w:val="en-US"/>
              </w:rPr>
            </w:pPr>
            <w:r w:rsidRPr="00013472">
              <w:rPr>
                <w:sz w:val="22"/>
                <w:szCs w:val="22"/>
                <w:lang w:val="en-US"/>
              </w:rPr>
              <w:t>MCL (N=17)</w:t>
            </w:r>
          </w:p>
        </w:tc>
        <w:tc>
          <w:tcPr>
            <w:tcW w:w="511" w:type="pct"/>
            <w:shd w:val="clear" w:color="auto" w:fill="D9D9D9" w:themeFill="background1" w:themeFillShade="D9"/>
          </w:tcPr>
          <w:p w14:paraId="0643B55F"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6E91AF09"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65F4EEF1"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2" w:type="pct"/>
            <w:shd w:val="clear" w:color="auto" w:fill="D9D9D9" w:themeFill="background1" w:themeFillShade="D9"/>
          </w:tcPr>
          <w:p w14:paraId="007F8B5E"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38123345"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shd w:val="clear" w:color="auto" w:fill="D9D9D9" w:themeFill="background1" w:themeFillShade="D9"/>
          </w:tcPr>
          <w:p w14:paraId="2D45B8A8"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2" w:type="pct"/>
            <w:shd w:val="clear" w:color="auto" w:fill="D9D9D9" w:themeFill="background1" w:themeFillShade="D9"/>
          </w:tcPr>
          <w:p w14:paraId="66C9DB1F"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r>
      <w:tr w:rsidR="00CF15EB" w:rsidRPr="00013472" w14:paraId="395DFEFF" w14:textId="77777777" w:rsidTr="0003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shd w:val="clear" w:color="auto" w:fill="auto"/>
          </w:tcPr>
          <w:p w14:paraId="2D7F7E6F" w14:textId="77777777" w:rsidR="00CF15EB" w:rsidRPr="00013472" w:rsidRDefault="00CF15EB" w:rsidP="00C03DE7">
            <w:pPr>
              <w:rPr>
                <w:b w:val="0"/>
                <w:sz w:val="22"/>
                <w:szCs w:val="22"/>
                <w:lang w:val="en-US"/>
              </w:rPr>
            </w:pPr>
            <w:r w:rsidRPr="00013472">
              <w:rPr>
                <w:b w:val="0"/>
                <w:sz w:val="22"/>
                <w:szCs w:val="22"/>
                <w:lang w:val="en-US"/>
              </w:rPr>
              <w:t>Patients at risk, No</w:t>
            </w:r>
          </w:p>
        </w:tc>
        <w:tc>
          <w:tcPr>
            <w:tcW w:w="511" w:type="pct"/>
            <w:shd w:val="clear" w:color="auto" w:fill="auto"/>
          </w:tcPr>
          <w:p w14:paraId="0F2223D2"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11</w:t>
            </w:r>
          </w:p>
        </w:tc>
        <w:tc>
          <w:tcPr>
            <w:tcW w:w="511" w:type="pct"/>
            <w:shd w:val="clear" w:color="auto" w:fill="auto"/>
          </w:tcPr>
          <w:p w14:paraId="2BC4EB4F"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3</w:t>
            </w:r>
          </w:p>
        </w:tc>
        <w:tc>
          <w:tcPr>
            <w:tcW w:w="511" w:type="pct"/>
            <w:shd w:val="clear" w:color="auto" w:fill="auto"/>
          </w:tcPr>
          <w:p w14:paraId="3C83FC22"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1.5</w:t>
            </w:r>
          </w:p>
        </w:tc>
        <w:tc>
          <w:tcPr>
            <w:tcW w:w="512" w:type="pct"/>
            <w:shd w:val="clear" w:color="auto" w:fill="auto"/>
          </w:tcPr>
          <w:p w14:paraId="2E6C744D"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13472">
              <w:rPr>
                <w:sz w:val="22"/>
                <w:szCs w:val="22"/>
                <w:lang w:val="en-US"/>
              </w:rPr>
              <w:t>0.5</w:t>
            </w:r>
          </w:p>
        </w:tc>
        <w:tc>
          <w:tcPr>
            <w:tcW w:w="511" w:type="pct"/>
            <w:shd w:val="clear" w:color="auto" w:fill="auto"/>
          </w:tcPr>
          <w:p w14:paraId="11B6808C"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1" w:type="pct"/>
            <w:shd w:val="clear" w:color="auto" w:fill="auto"/>
          </w:tcPr>
          <w:p w14:paraId="216E34C8"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c>
          <w:tcPr>
            <w:tcW w:w="512" w:type="pct"/>
            <w:shd w:val="clear" w:color="auto" w:fill="auto"/>
          </w:tcPr>
          <w:p w14:paraId="1BEB9FCB" w14:textId="77777777" w:rsidR="00CF15EB" w:rsidRPr="00013472" w:rsidRDefault="00CF15EB" w:rsidP="00C03DE7">
            <w:pPr>
              <w:jc w:val="center"/>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CF15EB" w:rsidRPr="00013472" w14:paraId="4D2D5911" w14:textId="77777777" w:rsidTr="00CF15EB">
        <w:tc>
          <w:tcPr>
            <w:cnfStyle w:val="001000000000" w:firstRow="0" w:lastRow="0" w:firstColumn="1" w:lastColumn="0" w:oddVBand="0" w:evenVBand="0" w:oddHBand="0" w:evenHBand="0" w:firstRowFirstColumn="0" w:firstRowLastColumn="0" w:lastRowFirstColumn="0" w:lastRowLastColumn="0"/>
            <w:tcW w:w="1419" w:type="pct"/>
          </w:tcPr>
          <w:p w14:paraId="660C44B7" w14:textId="77777777" w:rsidR="00CF15EB" w:rsidRPr="00013472" w:rsidRDefault="00CF15EB" w:rsidP="00C03DE7">
            <w:pPr>
              <w:rPr>
                <w:b w:val="0"/>
                <w:sz w:val="22"/>
                <w:szCs w:val="22"/>
                <w:lang w:val="en-US"/>
              </w:rPr>
            </w:pPr>
            <w:r w:rsidRPr="00013472">
              <w:rPr>
                <w:b w:val="0"/>
                <w:sz w:val="22"/>
                <w:szCs w:val="22"/>
                <w:lang w:val="en-US"/>
              </w:rPr>
              <w:t>Events, No</w:t>
            </w:r>
          </w:p>
        </w:tc>
        <w:tc>
          <w:tcPr>
            <w:tcW w:w="511" w:type="pct"/>
          </w:tcPr>
          <w:p w14:paraId="7FB516A4"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2</w:t>
            </w:r>
          </w:p>
        </w:tc>
        <w:tc>
          <w:tcPr>
            <w:tcW w:w="511" w:type="pct"/>
          </w:tcPr>
          <w:p w14:paraId="61327C93"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1</w:t>
            </w:r>
          </w:p>
        </w:tc>
        <w:tc>
          <w:tcPr>
            <w:tcW w:w="511" w:type="pct"/>
          </w:tcPr>
          <w:p w14:paraId="68E1FBED"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0</w:t>
            </w:r>
          </w:p>
        </w:tc>
        <w:tc>
          <w:tcPr>
            <w:tcW w:w="512" w:type="pct"/>
          </w:tcPr>
          <w:p w14:paraId="408A9BD9"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13472">
              <w:rPr>
                <w:sz w:val="22"/>
                <w:szCs w:val="22"/>
                <w:lang w:val="en-US"/>
              </w:rPr>
              <w:t>0</w:t>
            </w:r>
          </w:p>
        </w:tc>
        <w:tc>
          <w:tcPr>
            <w:tcW w:w="511" w:type="pct"/>
          </w:tcPr>
          <w:p w14:paraId="2089AB20"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1" w:type="pct"/>
          </w:tcPr>
          <w:p w14:paraId="5C76B58D"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512" w:type="pct"/>
          </w:tcPr>
          <w:p w14:paraId="511FD4A3" w14:textId="77777777" w:rsidR="00CF15EB" w:rsidRPr="00013472" w:rsidRDefault="00CF15EB" w:rsidP="00C03DE7">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p>
        </w:tc>
      </w:tr>
    </w:tbl>
    <w:p w14:paraId="255EBC8F" w14:textId="5E993DAB" w:rsidR="00921A21" w:rsidRPr="00013472" w:rsidRDefault="00CF15EB" w:rsidP="005B5F4E">
      <w:pPr>
        <w:spacing w:line="480" w:lineRule="auto"/>
        <w:rPr>
          <w:b/>
          <w:lang w:val="en-US"/>
        </w:rPr>
      </w:pPr>
      <w:r w:rsidRPr="00013472">
        <w:rPr>
          <w:b/>
          <w:lang w:val="en-US"/>
        </w:rPr>
        <w:br w:type="page"/>
      </w:r>
    </w:p>
    <w:p w14:paraId="4A04CB80" w14:textId="77777777" w:rsidR="005B5F4E" w:rsidRPr="00013472" w:rsidRDefault="005B5F4E" w:rsidP="005B5F4E">
      <w:pPr>
        <w:spacing w:line="480" w:lineRule="auto"/>
        <w:rPr>
          <w:b/>
          <w:lang w:val="en-US"/>
        </w:rPr>
      </w:pPr>
      <w:r w:rsidRPr="00013472">
        <w:rPr>
          <w:b/>
          <w:lang w:val="en-US"/>
        </w:rPr>
        <w:lastRenderedPageBreak/>
        <w:t>Legends:</w:t>
      </w:r>
    </w:p>
    <w:p w14:paraId="34FFDCFF" w14:textId="77777777" w:rsidR="005B5F4E" w:rsidRPr="00013472" w:rsidRDefault="005B5F4E" w:rsidP="005B5F4E">
      <w:pPr>
        <w:spacing w:line="480" w:lineRule="auto"/>
        <w:rPr>
          <w:u w:val="single"/>
          <w:lang w:val="en-US"/>
        </w:rPr>
      </w:pPr>
      <w:r w:rsidRPr="00013472">
        <w:rPr>
          <w:u w:val="single"/>
          <w:lang w:val="en-US"/>
        </w:rPr>
        <w:t>Table 1:</w:t>
      </w:r>
    </w:p>
    <w:p w14:paraId="007F59CE" w14:textId="3AF527BA" w:rsidR="004A4910" w:rsidRPr="00013472" w:rsidRDefault="004A4910" w:rsidP="005B5F4E">
      <w:pPr>
        <w:spacing w:line="480" w:lineRule="auto"/>
        <w:rPr>
          <w:lang w:val="en-US"/>
        </w:rPr>
      </w:pPr>
      <w:r w:rsidRPr="00013472">
        <w:rPr>
          <w:lang w:val="en-US"/>
        </w:rPr>
        <w:t>A: Percentage of total number of patients contributed by each eye cancer center.</w:t>
      </w:r>
    </w:p>
    <w:p w14:paraId="30A4EBBC" w14:textId="34D8A407" w:rsidR="004A4910" w:rsidRPr="00013472" w:rsidRDefault="004A4910" w:rsidP="005B5F4E">
      <w:pPr>
        <w:spacing w:line="480" w:lineRule="auto"/>
        <w:rPr>
          <w:lang w:val="en-US"/>
        </w:rPr>
      </w:pPr>
      <w:r w:rsidRPr="00013472">
        <w:rPr>
          <w:lang w:val="en-US"/>
        </w:rPr>
        <w:t>B: Percentage of patients with the specific lymphoma subtype within each eye cancer center and in total</w:t>
      </w:r>
    </w:p>
    <w:p w14:paraId="56CDE0E7" w14:textId="76FA4C0C" w:rsidR="005B5F4E" w:rsidRPr="00013472" w:rsidRDefault="005B5F4E" w:rsidP="005B5F4E">
      <w:pPr>
        <w:spacing w:line="480" w:lineRule="auto"/>
        <w:rPr>
          <w:lang w:val="en-US"/>
        </w:rPr>
      </w:pPr>
      <w:r w:rsidRPr="00013472">
        <w:rPr>
          <w:lang w:val="en-US"/>
        </w:rPr>
        <w:t xml:space="preserve">Abbreviations: ATL = Atlanta, Georgia, USA; BCL-NOS = B-cell lymphoma not otherwise specified; BL = </w:t>
      </w:r>
      <w:proofErr w:type="spellStart"/>
      <w:r w:rsidR="002B34B8" w:rsidRPr="00013472">
        <w:rPr>
          <w:lang w:val="en-US"/>
        </w:rPr>
        <w:t>B</w:t>
      </w:r>
      <w:r w:rsidRPr="00013472">
        <w:rPr>
          <w:lang w:val="en-US"/>
        </w:rPr>
        <w:t>urkitt</w:t>
      </w:r>
      <w:proofErr w:type="spellEnd"/>
      <w:r w:rsidRPr="00013472">
        <w:rPr>
          <w:lang w:val="en-US"/>
        </w:rPr>
        <w:t xml:space="preserve"> lymphoma; CPH = Copenhagen, Denmark; DLBCL = diffuse large B-cell lymphoma; EMZL = </w:t>
      </w:r>
      <w:proofErr w:type="spellStart"/>
      <w:r w:rsidRPr="00013472">
        <w:rPr>
          <w:lang w:val="en-US"/>
        </w:rPr>
        <w:t>extranodal</w:t>
      </w:r>
      <w:proofErr w:type="spellEnd"/>
      <w:r w:rsidRPr="00013472">
        <w:rPr>
          <w:lang w:val="en-US"/>
        </w:rPr>
        <w:t xml:space="preserve"> marginal zone B-cell lymphoma; FL = follicular lymphoma; HOU = Houston, Texas; HYD = Hyderabad, India; LIV = Liverpool, England; LPL = lymphoplasmacytic lymphoma; MCL = mantle cell lymphoma; NY = New York, USA; PL = plasmacytoma; PTCL-NOS = peripheral T-cell lymphoma not otherwise specified; SLL/CLL = small lymphocytic lymphoma</w:t>
      </w:r>
    </w:p>
    <w:p w14:paraId="3339D596" w14:textId="77777777" w:rsidR="005B5F4E" w:rsidRPr="00013472" w:rsidRDefault="005B5F4E" w:rsidP="005B5F4E">
      <w:pPr>
        <w:spacing w:line="480" w:lineRule="auto"/>
        <w:rPr>
          <w:lang w:val="en-US"/>
        </w:rPr>
      </w:pPr>
    </w:p>
    <w:p w14:paraId="4CC3A2E6" w14:textId="77777777" w:rsidR="005B5F4E" w:rsidRPr="00013472" w:rsidRDefault="005B5F4E" w:rsidP="005B5F4E">
      <w:pPr>
        <w:spacing w:line="480" w:lineRule="auto"/>
        <w:rPr>
          <w:u w:val="single"/>
          <w:lang w:val="en-US"/>
        </w:rPr>
      </w:pPr>
      <w:r w:rsidRPr="00013472">
        <w:rPr>
          <w:u w:val="single"/>
          <w:lang w:val="en-US"/>
        </w:rPr>
        <w:t>Table 2:</w:t>
      </w:r>
    </w:p>
    <w:p w14:paraId="084D2F5E" w14:textId="15335551" w:rsidR="005B5F4E" w:rsidRPr="00013472" w:rsidRDefault="00B15A69" w:rsidP="005B5F4E">
      <w:pPr>
        <w:spacing w:line="480" w:lineRule="auto"/>
        <w:rPr>
          <w:lang w:val="en-US"/>
        </w:rPr>
      </w:pPr>
      <w:r w:rsidRPr="00013472">
        <w:rPr>
          <w:lang w:val="en-US"/>
        </w:rPr>
        <w:t>A:</w:t>
      </w:r>
      <w:r w:rsidR="005B5F4E" w:rsidRPr="00013472">
        <w:rPr>
          <w:lang w:val="en-US"/>
        </w:rPr>
        <w:t xml:space="preserve"> Data not specified in all cases</w:t>
      </w:r>
    </w:p>
    <w:p w14:paraId="141EEC83" w14:textId="1B18D2CC" w:rsidR="005B5F4E" w:rsidRPr="00013472" w:rsidRDefault="00B15A69" w:rsidP="005B5F4E">
      <w:pPr>
        <w:spacing w:line="480" w:lineRule="auto"/>
        <w:rPr>
          <w:lang w:val="en-US"/>
        </w:rPr>
      </w:pPr>
      <w:r w:rsidRPr="00013472">
        <w:rPr>
          <w:lang w:val="en-US"/>
        </w:rPr>
        <w:t>B:</w:t>
      </w:r>
      <w:r w:rsidR="005B5F4E" w:rsidRPr="00013472">
        <w:rPr>
          <w:lang w:val="en-US"/>
        </w:rPr>
        <w:t xml:space="preserve"> Number of patients / no of patients with data specified, (%) = Percentage of patients with data specified</w:t>
      </w:r>
    </w:p>
    <w:p w14:paraId="01641C62" w14:textId="2EEDB02A" w:rsidR="005B5F4E" w:rsidRPr="00013472" w:rsidRDefault="00B15A69" w:rsidP="005B5F4E">
      <w:pPr>
        <w:spacing w:line="480" w:lineRule="auto"/>
        <w:rPr>
          <w:lang w:val="en-US"/>
        </w:rPr>
      </w:pPr>
      <w:r w:rsidRPr="00013472">
        <w:rPr>
          <w:lang w:val="en-US"/>
        </w:rPr>
        <w:t>C:</w:t>
      </w:r>
      <w:r w:rsidR="005B5F4E" w:rsidRPr="00013472">
        <w:rPr>
          <w:lang w:val="en-US"/>
        </w:rPr>
        <w:t xml:space="preserve"> AJCC TNM classification: Only primary lymphomas were staged according to AJCC TNM classification</w:t>
      </w:r>
    </w:p>
    <w:p w14:paraId="78A19751" w14:textId="695A910C" w:rsidR="005B5F4E" w:rsidRPr="00013472" w:rsidRDefault="00B15A69" w:rsidP="005B5F4E">
      <w:pPr>
        <w:spacing w:line="480" w:lineRule="auto"/>
        <w:rPr>
          <w:lang w:val="en-US"/>
        </w:rPr>
      </w:pPr>
      <w:r w:rsidRPr="00013472">
        <w:rPr>
          <w:lang w:val="en-US"/>
        </w:rPr>
        <w:t>D:</w:t>
      </w:r>
      <w:r w:rsidR="005B5F4E" w:rsidRPr="00013472">
        <w:rPr>
          <w:lang w:val="en-US"/>
        </w:rPr>
        <w:t xml:space="preserve"> A total of more than 100 % may occur because patients may have recurrence in more than 1 region</w:t>
      </w:r>
    </w:p>
    <w:p w14:paraId="6A36F5B6" w14:textId="1AE92285" w:rsidR="005B5F4E" w:rsidRPr="00013472" w:rsidRDefault="005B5F4E" w:rsidP="005B5F4E">
      <w:pPr>
        <w:spacing w:line="480" w:lineRule="auto"/>
        <w:rPr>
          <w:lang w:val="en-US"/>
        </w:rPr>
      </w:pPr>
      <w:r w:rsidRPr="00013472">
        <w:rPr>
          <w:lang w:val="en-US"/>
        </w:rPr>
        <w:t>Abbreviations: AJCC = American Joint Committee on Cancer; BCL-NOS = B-cell lymphoma</w:t>
      </w:r>
      <w:r w:rsidR="00E97F69" w:rsidRPr="00013472">
        <w:rPr>
          <w:lang w:val="en-US"/>
        </w:rPr>
        <w:t xml:space="preserve"> not otherwise specified; BL = </w:t>
      </w:r>
      <w:proofErr w:type="spellStart"/>
      <w:r w:rsidR="00E97F69" w:rsidRPr="00013472">
        <w:rPr>
          <w:lang w:val="en-US"/>
        </w:rPr>
        <w:t>B</w:t>
      </w:r>
      <w:r w:rsidRPr="00013472">
        <w:rPr>
          <w:lang w:val="en-US"/>
        </w:rPr>
        <w:t>urkitt</w:t>
      </w:r>
      <w:proofErr w:type="spellEnd"/>
      <w:r w:rsidRPr="00013472">
        <w:rPr>
          <w:lang w:val="en-US"/>
        </w:rPr>
        <w:t xml:space="preserve"> lymphoma; DLBCL = diffuse large B-cell lymphoma; EMZL = </w:t>
      </w:r>
      <w:proofErr w:type="spellStart"/>
      <w:r w:rsidRPr="00013472">
        <w:rPr>
          <w:lang w:val="en-US"/>
        </w:rPr>
        <w:t>extranodal</w:t>
      </w:r>
      <w:proofErr w:type="spellEnd"/>
      <w:r w:rsidRPr="00013472">
        <w:rPr>
          <w:lang w:val="en-US"/>
        </w:rPr>
        <w:t xml:space="preserve"> marginal zone B-cell lymphoma; FL = follicular lymphoma; LPL = </w:t>
      </w:r>
      <w:r w:rsidRPr="00013472">
        <w:rPr>
          <w:lang w:val="en-US"/>
        </w:rPr>
        <w:lastRenderedPageBreak/>
        <w:t xml:space="preserve">lymphoplasmacytic lymphoma; MCL = mantle cell lymphoma; </w:t>
      </w:r>
      <w:r w:rsidR="00283166" w:rsidRPr="00013472">
        <w:rPr>
          <w:lang w:val="en-US"/>
        </w:rPr>
        <w:t xml:space="preserve">OA = ocular adnexa; </w:t>
      </w:r>
      <w:r w:rsidRPr="00013472">
        <w:rPr>
          <w:lang w:val="en-US"/>
        </w:rPr>
        <w:t xml:space="preserve">PL = plasmacytoma; PTCL-NOS = peripheral T-cell lymphoma not otherwise specified; SLL/CLL = small lymphocytic lymphoma; </w:t>
      </w:r>
    </w:p>
    <w:p w14:paraId="597D3316" w14:textId="77777777" w:rsidR="005B5F4E" w:rsidRPr="00013472" w:rsidRDefault="005B5F4E" w:rsidP="005B5F4E">
      <w:pPr>
        <w:spacing w:line="480" w:lineRule="auto"/>
        <w:rPr>
          <w:u w:val="single"/>
          <w:lang w:val="en-US"/>
        </w:rPr>
      </w:pPr>
      <w:r w:rsidRPr="00013472">
        <w:rPr>
          <w:u w:val="single"/>
          <w:lang w:val="en-US"/>
        </w:rPr>
        <w:t>Table 3:</w:t>
      </w:r>
    </w:p>
    <w:p w14:paraId="331DC961" w14:textId="51C2FFCF" w:rsidR="005B5F4E" w:rsidRPr="00013472" w:rsidRDefault="00B15A69" w:rsidP="005B5F4E">
      <w:pPr>
        <w:spacing w:line="480" w:lineRule="auto"/>
        <w:rPr>
          <w:lang w:val="en-US"/>
        </w:rPr>
      </w:pPr>
      <w:r w:rsidRPr="00013472">
        <w:rPr>
          <w:lang w:val="en-US"/>
        </w:rPr>
        <w:t xml:space="preserve">A: </w:t>
      </w:r>
      <w:r w:rsidR="005B5F4E" w:rsidRPr="00013472">
        <w:rPr>
          <w:lang w:val="en-US"/>
        </w:rPr>
        <w:t>Data not specified in all cases</w:t>
      </w:r>
    </w:p>
    <w:p w14:paraId="18C367C8" w14:textId="6A04C24E" w:rsidR="005B5F4E" w:rsidRPr="00013472" w:rsidRDefault="00B15A69" w:rsidP="005B5F4E">
      <w:pPr>
        <w:spacing w:line="480" w:lineRule="auto"/>
        <w:rPr>
          <w:lang w:val="en-US"/>
        </w:rPr>
      </w:pPr>
      <w:r w:rsidRPr="00013472">
        <w:rPr>
          <w:lang w:val="en-US"/>
        </w:rPr>
        <w:t>B:</w:t>
      </w:r>
      <w:r w:rsidR="005B5F4E" w:rsidRPr="00013472">
        <w:rPr>
          <w:lang w:val="en-US"/>
        </w:rPr>
        <w:t xml:space="preserve"> A total of more than 100 % may occur because patients may have 1 or more symptoms or signs</w:t>
      </w:r>
    </w:p>
    <w:p w14:paraId="1B711975" w14:textId="1BD0E613" w:rsidR="005B5F4E" w:rsidRPr="00013472" w:rsidRDefault="00B15A69" w:rsidP="005B5F4E">
      <w:pPr>
        <w:spacing w:line="480" w:lineRule="auto"/>
        <w:rPr>
          <w:lang w:val="en-US"/>
        </w:rPr>
      </w:pPr>
      <w:r w:rsidRPr="00013472">
        <w:rPr>
          <w:lang w:val="en-US"/>
        </w:rPr>
        <w:t>C:</w:t>
      </w:r>
      <w:r w:rsidR="005B5F4E" w:rsidRPr="00013472">
        <w:rPr>
          <w:lang w:val="en-US"/>
        </w:rPr>
        <w:t xml:space="preserve"> Symptom duration not specified for all patients </w:t>
      </w:r>
    </w:p>
    <w:p w14:paraId="5CEA6103" w14:textId="4D3DAAB2" w:rsidR="005B5F4E" w:rsidRPr="00013472" w:rsidRDefault="005B5F4E" w:rsidP="005B5F4E">
      <w:pPr>
        <w:spacing w:line="480" w:lineRule="auto"/>
        <w:rPr>
          <w:lang w:val="en-US"/>
        </w:rPr>
      </w:pPr>
      <w:r w:rsidRPr="00013472">
        <w:rPr>
          <w:lang w:val="en-US"/>
        </w:rPr>
        <w:t xml:space="preserve">Abbreviations: BCL-NOS = B-cell lymphoma not otherwise specified; BL = </w:t>
      </w:r>
      <w:proofErr w:type="spellStart"/>
      <w:r w:rsidR="00E97F69" w:rsidRPr="00013472">
        <w:rPr>
          <w:lang w:val="en-US"/>
        </w:rPr>
        <w:t>Burkitt</w:t>
      </w:r>
      <w:proofErr w:type="spellEnd"/>
      <w:r w:rsidRPr="00013472">
        <w:rPr>
          <w:lang w:val="en-US"/>
        </w:rPr>
        <w:t xml:space="preserve"> lymphoma; DLBCL = diffuse large B-cell lymphoma; EMZL = </w:t>
      </w:r>
      <w:proofErr w:type="spellStart"/>
      <w:r w:rsidRPr="00013472">
        <w:rPr>
          <w:lang w:val="en-US"/>
        </w:rPr>
        <w:t>extranodal</w:t>
      </w:r>
      <w:proofErr w:type="spellEnd"/>
      <w:r w:rsidRPr="00013472">
        <w:rPr>
          <w:lang w:val="en-US"/>
        </w:rPr>
        <w:t xml:space="preserve"> marginal zone B-cell lymphoma; FL = follicular lymphoma; LPL = lymphoplasmacytic lymphoma; MCL = mantle cell lymphoma; PL = plasmacytoma; PTCL-NOS = peripheral T-cell lymphoma not otherwise specified; SLL/CLL = small lymphocytic lymphoma; </w:t>
      </w:r>
    </w:p>
    <w:p w14:paraId="2698A32E" w14:textId="77777777" w:rsidR="005B5F4E" w:rsidRPr="00013472" w:rsidRDefault="005B5F4E" w:rsidP="005B5F4E">
      <w:pPr>
        <w:spacing w:line="480" w:lineRule="auto"/>
        <w:rPr>
          <w:lang w:val="en-US"/>
        </w:rPr>
      </w:pPr>
    </w:p>
    <w:p w14:paraId="48B8F58D" w14:textId="77777777" w:rsidR="005B5F4E" w:rsidRPr="00013472" w:rsidRDefault="005B5F4E" w:rsidP="005B5F4E">
      <w:pPr>
        <w:spacing w:line="480" w:lineRule="auto"/>
        <w:rPr>
          <w:u w:val="single"/>
          <w:lang w:val="en-US"/>
        </w:rPr>
      </w:pPr>
      <w:r w:rsidRPr="00013472">
        <w:rPr>
          <w:u w:val="single"/>
          <w:lang w:val="en-US"/>
        </w:rPr>
        <w:t>Table 4:</w:t>
      </w:r>
    </w:p>
    <w:p w14:paraId="7AB0F3E4" w14:textId="6C6C899A" w:rsidR="005B5F4E" w:rsidRPr="00013472" w:rsidRDefault="00B15A69" w:rsidP="005B5F4E">
      <w:pPr>
        <w:spacing w:line="480" w:lineRule="auto"/>
        <w:rPr>
          <w:lang w:val="en-US"/>
        </w:rPr>
      </w:pPr>
      <w:r w:rsidRPr="00013472">
        <w:rPr>
          <w:lang w:val="en-US"/>
        </w:rPr>
        <w:t>A:</w:t>
      </w:r>
      <w:r w:rsidR="005B5F4E" w:rsidRPr="00013472">
        <w:rPr>
          <w:lang w:val="en-US"/>
        </w:rPr>
        <w:t xml:space="preserve"> Data not specified for all patients</w:t>
      </w:r>
    </w:p>
    <w:p w14:paraId="71897194" w14:textId="49910F00" w:rsidR="005B5F4E" w:rsidRPr="00013472" w:rsidRDefault="00B15A69" w:rsidP="005B5F4E">
      <w:pPr>
        <w:spacing w:line="480" w:lineRule="auto"/>
        <w:rPr>
          <w:lang w:val="en-US"/>
        </w:rPr>
      </w:pPr>
      <w:r w:rsidRPr="00013472">
        <w:rPr>
          <w:lang w:val="en-US"/>
        </w:rPr>
        <w:t>B:</w:t>
      </w:r>
      <w:r w:rsidR="005B5F4E" w:rsidRPr="00013472">
        <w:rPr>
          <w:vertAlign w:val="superscript"/>
          <w:lang w:val="en-US"/>
        </w:rPr>
        <w:t xml:space="preserve"> </w:t>
      </w:r>
      <w:r w:rsidR="005B5F4E" w:rsidRPr="00013472">
        <w:rPr>
          <w:lang w:val="en-US"/>
        </w:rPr>
        <w:t xml:space="preserve">Number of patients, (%) Percentage of patients with data specified stratified by Ann Arbor stage </w:t>
      </w:r>
    </w:p>
    <w:p w14:paraId="40D72F6E" w14:textId="56B9E0A4" w:rsidR="005B5F4E" w:rsidRPr="00013472" w:rsidRDefault="005B5F4E" w:rsidP="005B5F4E">
      <w:pPr>
        <w:spacing w:line="480" w:lineRule="auto"/>
        <w:rPr>
          <w:lang w:val="en-US"/>
        </w:rPr>
      </w:pPr>
      <w:r w:rsidRPr="00013472">
        <w:rPr>
          <w:lang w:val="en-US"/>
        </w:rPr>
        <w:t xml:space="preserve">Abbreviations: BCL-NOS = B-cell lymphoma not otherwise specified; BL = </w:t>
      </w:r>
      <w:proofErr w:type="spellStart"/>
      <w:r w:rsidR="00E97F69" w:rsidRPr="00013472">
        <w:rPr>
          <w:lang w:val="en-US"/>
        </w:rPr>
        <w:t>Burkitt</w:t>
      </w:r>
      <w:proofErr w:type="spellEnd"/>
      <w:r w:rsidRPr="00013472">
        <w:rPr>
          <w:lang w:val="en-US"/>
        </w:rPr>
        <w:t xml:space="preserve"> lymphoma;  BM transplant = bone marrow transplantation; CTX = chemotherapy; DLBCL = diffuse large B-cell lymphoma; EBRT = external beam radiation </w:t>
      </w:r>
      <w:proofErr w:type="spellStart"/>
      <w:r w:rsidRPr="00013472">
        <w:rPr>
          <w:lang w:val="en-US"/>
        </w:rPr>
        <w:t>therpay</w:t>
      </w:r>
      <w:proofErr w:type="spellEnd"/>
      <w:r w:rsidRPr="00013472">
        <w:rPr>
          <w:lang w:val="en-US"/>
        </w:rPr>
        <w:t xml:space="preserve">; EMZL = </w:t>
      </w:r>
      <w:proofErr w:type="spellStart"/>
      <w:r w:rsidRPr="00013472">
        <w:rPr>
          <w:lang w:val="en-US"/>
        </w:rPr>
        <w:t>extranodal</w:t>
      </w:r>
      <w:proofErr w:type="spellEnd"/>
      <w:r w:rsidRPr="00013472">
        <w:rPr>
          <w:lang w:val="en-US"/>
        </w:rPr>
        <w:t xml:space="preserve"> marginal zone B-cell lymphoma; FL = follicular lymphoma; GM-CSF = Granulocyte-macrophage colony-stimulating factor; LPL = </w:t>
      </w:r>
      <w:proofErr w:type="spellStart"/>
      <w:r w:rsidRPr="00013472">
        <w:rPr>
          <w:lang w:val="en-US"/>
        </w:rPr>
        <w:t>lymphoplasmacytic</w:t>
      </w:r>
      <w:proofErr w:type="spellEnd"/>
      <w:r w:rsidRPr="00013472">
        <w:rPr>
          <w:lang w:val="en-US"/>
        </w:rPr>
        <w:t xml:space="preserve"> lymphoma; MCL = mantle cell lymphoma; PL = </w:t>
      </w:r>
      <w:proofErr w:type="spellStart"/>
      <w:r w:rsidRPr="00013472">
        <w:rPr>
          <w:lang w:val="en-US"/>
        </w:rPr>
        <w:lastRenderedPageBreak/>
        <w:t>plasmacytoma</w:t>
      </w:r>
      <w:proofErr w:type="spellEnd"/>
      <w:r w:rsidRPr="00013472">
        <w:rPr>
          <w:lang w:val="en-US"/>
        </w:rPr>
        <w:t xml:space="preserve">; PTCL-NOS = peripheral T-cell lymphoma not otherwise specified; SLL/CLL = small lymphocytic lymphoma; </w:t>
      </w:r>
      <w:proofErr w:type="spellStart"/>
      <w:r w:rsidRPr="00013472">
        <w:rPr>
          <w:lang w:val="en-US"/>
        </w:rPr>
        <w:t>Zevalin</w:t>
      </w:r>
      <w:proofErr w:type="spellEnd"/>
      <w:r w:rsidRPr="00013472">
        <w:rPr>
          <w:lang w:val="en-US"/>
        </w:rPr>
        <w:t xml:space="preserve">® = </w:t>
      </w:r>
      <w:proofErr w:type="spellStart"/>
      <w:r w:rsidRPr="00013472">
        <w:rPr>
          <w:lang w:val="en-US"/>
        </w:rPr>
        <w:t>ibritumomab</w:t>
      </w:r>
      <w:proofErr w:type="spellEnd"/>
      <w:r w:rsidRPr="00013472">
        <w:rPr>
          <w:lang w:val="en-US"/>
        </w:rPr>
        <w:t xml:space="preserve"> </w:t>
      </w:r>
      <w:proofErr w:type="spellStart"/>
      <w:r w:rsidRPr="00013472">
        <w:rPr>
          <w:lang w:val="en-US"/>
        </w:rPr>
        <w:t>tiuxetan</w:t>
      </w:r>
      <w:proofErr w:type="spellEnd"/>
    </w:p>
    <w:p w14:paraId="260A1E4E" w14:textId="77777777" w:rsidR="005B5F4E" w:rsidRPr="00013472" w:rsidRDefault="005B5F4E" w:rsidP="005B5F4E">
      <w:pPr>
        <w:spacing w:line="480" w:lineRule="auto"/>
        <w:rPr>
          <w:lang w:val="en-US"/>
        </w:rPr>
      </w:pPr>
    </w:p>
    <w:p w14:paraId="70657C60" w14:textId="707DD80D" w:rsidR="0002574E" w:rsidRPr="00013472" w:rsidRDefault="0002574E" w:rsidP="005B5F4E">
      <w:pPr>
        <w:spacing w:line="480" w:lineRule="auto"/>
        <w:rPr>
          <w:u w:val="single"/>
          <w:lang w:val="en-US"/>
        </w:rPr>
      </w:pPr>
      <w:r w:rsidRPr="00013472">
        <w:rPr>
          <w:u w:val="single"/>
          <w:lang w:val="en-US"/>
        </w:rPr>
        <w:t>Figure 1</w:t>
      </w:r>
    </w:p>
    <w:p w14:paraId="7F9A5644" w14:textId="1A47323C" w:rsidR="00476CD2" w:rsidRPr="00013472" w:rsidRDefault="0002574E" w:rsidP="005B5F4E">
      <w:pPr>
        <w:spacing w:line="480" w:lineRule="auto"/>
        <w:rPr>
          <w:lang w:val="en-US"/>
        </w:rPr>
      </w:pPr>
      <w:r w:rsidRPr="00013472">
        <w:rPr>
          <w:lang w:val="en-US"/>
        </w:rPr>
        <w:t>Clinical and histological findings of</w:t>
      </w:r>
      <w:r w:rsidR="00D13A07" w:rsidRPr="00013472">
        <w:rPr>
          <w:lang w:val="en-US"/>
        </w:rPr>
        <w:t xml:space="preserve"> </w:t>
      </w:r>
      <w:r w:rsidR="00A14469" w:rsidRPr="00013472">
        <w:rPr>
          <w:lang w:val="en-US"/>
        </w:rPr>
        <w:t xml:space="preserve">a </w:t>
      </w:r>
      <w:r w:rsidR="00D13A07" w:rsidRPr="00013472">
        <w:rPr>
          <w:lang w:val="en-US"/>
        </w:rPr>
        <w:t>lacrimal gland</w:t>
      </w:r>
      <w:r w:rsidRPr="00013472">
        <w:rPr>
          <w:lang w:val="en-US"/>
        </w:rPr>
        <w:t xml:space="preserve"> </w:t>
      </w:r>
      <w:proofErr w:type="spellStart"/>
      <w:r w:rsidR="00D13A07" w:rsidRPr="00013472">
        <w:rPr>
          <w:lang w:val="en-US"/>
        </w:rPr>
        <w:t>extranodal</w:t>
      </w:r>
      <w:proofErr w:type="spellEnd"/>
      <w:r w:rsidR="00D13A07" w:rsidRPr="00013472">
        <w:rPr>
          <w:lang w:val="en-US"/>
        </w:rPr>
        <w:t xml:space="preserve"> marginal zone B-cell</w:t>
      </w:r>
      <w:r w:rsidRPr="00013472">
        <w:rPr>
          <w:lang w:val="en-US"/>
        </w:rPr>
        <w:t xml:space="preserve"> lymphoma. </w:t>
      </w:r>
    </w:p>
    <w:p w14:paraId="3C8E47F3" w14:textId="077995B0" w:rsidR="0002574E" w:rsidRPr="00013472" w:rsidRDefault="006A55D3" w:rsidP="005B5F4E">
      <w:pPr>
        <w:spacing w:line="480" w:lineRule="auto"/>
        <w:rPr>
          <w:lang w:val="en-US"/>
        </w:rPr>
      </w:pPr>
      <w:r w:rsidRPr="00013472">
        <w:rPr>
          <w:lang w:val="en-US"/>
        </w:rPr>
        <w:t>A:</w:t>
      </w:r>
      <w:r w:rsidR="0002574E" w:rsidRPr="00013472">
        <w:rPr>
          <w:lang w:val="en-US"/>
        </w:rPr>
        <w:t xml:space="preserve"> </w:t>
      </w:r>
      <w:r w:rsidR="00022BBB" w:rsidRPr="00013472">
        <w:rPr>
          <w:lang w:val="en-US"/>
        </w:rPr>
        <w:t>Left sided orbital mass</w:t>
      </w:r>
      <w:r w:rsidR="00D13A07" w:rsidRPr="00013472">
        <w:rPr>
          <w:lang w:val="en-US"/>
        </w:rPr>
        <w:t xml:space="preserve"> (asterisk)</w:t>
      </w:r>
      <w:r w:rsidR="00A14469" w:rsidRPr="00013472">
        <w:rPr>
          <w:lang w:val="en-US"/>
        </w:rPr>
        <w:t xml:space="preserve"> in 68-year-</w:t>
      </w:r>
      <w:r w:rsidR="00022BBB" w:rsidRPr="00013472">
        <w:rPr>
          <w:lang w:val="en-US"/>
        </w:rPr>
        <w:t xml:space="preserve">old woman with </w:t>
      </w:r>
      <w:r w:rsidR="00A14469" w:rsidRPr="00013472">
        <w:rPr>
          <w:lang w:val="en-US"/>
        </w:rPr>
        <w:t xml:space="preserve">an </w:t>
      </w:r>
      <w:proofErr w:type="spellStart"/>
      <w:r w:rsidR="00022BBB" w:rsidRPr="00013472">
        <w:rPr>
          <w:lang w:val="en-US"/>
        </w:rPr>
        <w:t>extranodal</w:t>
      </w:r>
      <w:proofErr w:type="spellEnd"/>
      <w:r w:rsidR="00022BBB" w:rsidRPr="00013472">
        <w:rPr>
          <w:lang w:val="en-US"/>
        </w:rPr>
        <w:t xml:space="preserve"> marginal zone B-cell lymp</w:t>
      </w:r>
      <w:r w:rsidR="00D13A07" w:rsidRPr="00013472">
        <w:rPr>
          <w:lang w:val="en-US"/>
        </w:rPr>
        <w:t xml:space="preserve">homa of the left lacrimal gland. Symptoms at presentation were a palpable mass, </w:t>
      </w:r>
      <w:proofErr w:type="spellStart"/>
      <w:r w:rsidR="00D13A07" w:rsidRPr="00013472">
        <w:rPr>
          <w:lang w:val="en-US"/>
        </w:rPr>
        <w:t>periobital</w:t>
      </w:r>
      <w:proofErr w:type="spellEnd"/>
      <w:r w:rsidR="00D13A07" w:rsidRPr="00013472">
        <w:rPr>
          <w:lang w:val="en-US"/>
        </w:rPr>
        <w:t xml:space="preserve"> swelling, </w:t>
      </w:r>
      <w:proofErr w:type="spellStart"/>
      <w:r w:rsidR="00D13A07" w:rsidRPr="00013472">
        <w:rPr>
          <w:lang w:val="en-US"/>
        </w:rPr>
        <w:t>epiphora</w:t>
      </w:r>
      <w:proofErr w:type="spellEnd"/>
      <w:r w:rsidR="00D13A07" w:rsidRPr="00013472">
        <w:rPr>
          <w:lang w:val="en-US"/>
        </w:rPr>
        <w:t xml:space="preserve">, and irritation. </w:t>
      </w:r>
      <w:r w:rsidR="00022BBB" w:rsidRPr="00013472">
        <w:rPr>
          <w:lang w:val="en-US"/>
        </w:rPr>
        <w:t xml:space="preserve"> </w:t>
      </w:r>
    </w:p>
    <w:p w14:paraId="46D4FE8A" w14:textId="7CE1E1D5" w:rsidR="00022BBB" w:rsidRPr="00013472" w:rsidRDefault="00022BBB" w:rsidP="005B5F4E">
      <w:pPr>
        <w:spacing w:line="480" w:lineRule="auto"/>
        <w:rPr>
          <w:lang w:val="en-US"/>
        </w:rPr>
      </w:pPr>
      <w:r w:rsidRPr="00013472">
        <w:rPr>
          <w:lang w:val="en-US"/>
        </w:rPr>
        <w:t xml:space="preserve">B: </w:t>
      </w:r>
      <w:r w:rsidR="00D13A07" w:rsidRPr="00013472">
        <w:rPr>
          <w:lang w:val="en-GB"/>
        </w:rPr>
        <w:t xml:space="preserve">Coronal plane PET/CT demonstrating FDG uptake of the left </w:t>
      </w:r>
      <w:r w:rsidR="00A14469" w:rsidRPr="00013472">
        <w:rPr>
          <w:lang w:val="en-GB"/>
        </w:rPr>
        <w:t xml:space="preserve">enlarged </w:t>
      </w:r>
      <w:r w:rsidR="00D13A07" w:rsidRPr="00013472">
        <w:rPr>
          <w:lang w:val="en-GB"/>
        </w:rPr>
        <w:t xml:space="preserve">lacrimal gland </w:t>
      </w:r>
      <w:r w:rsidR="00A14469" w:rsidRPr="00013472">
        <w:rPr>
          <w:lang w:val="en-GB"/>
        </w:rPr>
        <w:t>(arrow).</w:t>
      </w:r>
      <w:r w:rsidR="00D13A07" w:rsidRPr="00013472">
        <w:rPr>
          <w:lang w:val="en-GB"/>
        </w:rPr>
        <w:t xml:space="preserve"> </w:t>
      </w:r>
    </w:p>
    <w:p w14:paraId="6E44A5FA" w14:textId="04AE9D94" w:rsidR="0002574E" w:rsidRPr="00013472" w:rsidRDefault="00022BBB" w:rsidP="005B5F4E">
      <w:pPr>
        <w:spacing w:line="480" w:lineRule="auto"/>
        <w:rPr>
          <w:lang w:val="en-US"/>
        </w:rPr>
      </w:pPr>
      <w:r w:rsidRPr="00013472">
        <w:rPr>
          <w:lang w:val="en-US"/>
        </w:rPr>
        <w:t>C</w:t>
      </w:r>
      <w:r w:rsidR="006A55D3" w:rsidRPr="00013472">
        <w:rPr>
          <w:lang w:val="en-US"/>
        </w:rPr>
        <w:t>:</w:t>
      </w:r>
      <w:r w:rsidR="0002574E" w:rsidRPr="00013472">
        <w:rPr>
          <w:lang w:val="en-US"/>
        </w:rPr>
        <w:t xml:space="preserve"> </w:t>
      </w:r>
      <w:r w:rsidR="00A14469" w:rsidRPr="00013472">
        <w:rPr>
          <w:lang w:val="en-US"/>
        </w:rPr>
        <w:t>Diffuse infiltration of malignant lymphocytic tumor cells. The tumor cells are small to medium-sized, round, and with irregular nuclei, resembling centrocytes</w:t>
      </w:r>
      <w:r w:rsidR="00476CD2" w:rsidRPr="00013472">
        <w:rPr>
          <w:lang w:val="en-US"/>
        </w:rPr>
        <w:t xml:space="preserve"> </w:t>
      </w:r>
      <w:r w:rsidR="0002574E" w:rsidRPr="00013472">
        <w:rPr>
          <w:lang w:val="en-US"/>
        </w:rPr>
        <w:t xml:space="preserve">(Hematoxylin-eosin, bar = 50 </w:t>
      </w:r>
      <w:proofErr w:type="spellStart"/>
      <w:r w:rsidR="0002574E" w:rsidRPr="00013472">
        <w:rPr>
          <w:lang w:val="en-US"/>
        </w:rPr>
        <w:t>μm</w:t>
      </w:r>
      <w:proofErr w:type="spellEnd"/>
      <w:r w:rsidR="0002574E" w:rsidRPr="00013472">
        <w:rPr>
          <w:lang w:val="en-US"/>
        </w:rPr>
        <w:t>)</w:t>
      </w:r>
      <w:r w:rsidR="00D13A07" w:rsidRPr="00013472">
        <w:rPr>
          <w:lang w:val="en-US"/>
        </w:rPr>
        <w:t xml:space="preserve">. </w:t>
      </w:r>
    </w:p>
    <w:p w14:paraId="083EDD68" w14:textId="77C36EA0" w:rsidR="00022BBB" w:rsidRPr="00013472" w:rsidRDefault="00022BBB" w:rsidP="00D13A07">
      <w:pPr>
        <w:spacing w:line="480" w:lineRule="auto"/>
        <w:rPr>
          <w:lang w:val="en-US"/>
        </w:rPr>
      </w:pPr>
      <w:r w:rsidRPr="00013472">
        <w:rPr>
          <w:lang w:val="en-US"/>
        </w:rPr>
        <w:t>D</w:t>
      </w:r>
      <w:r w:rsidR="006A55D3" w:rsidRPr="00013472">
        <w:rPr>
          <w:lang w:val="en-US"/>
        </w:rPr>
        <w:t>:</w:t>
      </w:r>
      <w:r w:rsidR="0002574E" w:rsidRPr="00013472">
        <w:rPr>
          <w:lang w:val="en-US"/>
        </w:rPr>
        <w:t xml:space="preserve"> </w:t>
      </w:r>
      <w:r w:rsidR="000C11E6" w:rsidRPr="00013472">
        <w:rPr>
          <w:lang w:val="en-US"/>
        </w:rPr>
        <w:t xml:space="preserve">The </w:t>
      </w:r>
      <w:r w:rsidR="00476CD2" w:rsidRPr="00013472">
        <w:rPr>
          <w:lang w:val="en-US"/>
        </w:rPr>
        <w:t>tumor</w:t>
      </w:r>
      <w:r w:rsidR="000C11E6" w:rsidRPr="00013472">
        <w:rPr>
          <w:lang w:val="en-US"/>
        </w:rPr>
        <w:t xml:space="preserve"> cells demonstrates positive immunore</w:t>
      </w:r>
      <w:r w:rsidR="00ED53C4" w:rsidRPr="00013472">
        <w:rPr>
          <w:lang w:val="en-US"/>
        </w:rPr>
        <w:t>action for the B-cell marker CD7</w:t>
      </w:r>
      <w:r w:rsidR="000C11E6" w:rsidRPr="00013472">
        <w:rPr>
          <w:lang w:val="en-US"/>
        </w:rPr>
        <w:t xml:space="preserve">9α </w:t>
      </w:r>
      <w:r w:rsidR="0002574E" w:rsidRPr="00013472">
        <w:rPr>
          <w:lang w:val="en-US"/>
        </w:rPr>
        <w:t>(</w:t>
      </w:r>
      <w:r w:rsidR="00D13A07" w:rsidRPr="00013472">
        <w:rPr>
          <w:lang w:val="en-US"/>
        </w:rPr>
        <w:t>anti-</w:t>
      </w:r>
      <w:r w:rsidR="0002574E" w:rsidRPr="00013472">
        <w:rPr>
          <w:lang w:val="en-US"/>
        </w:rPr>
        <w:t xml:space="preserve">CD 79α, bar = 50 </w:t>
      </w:r>
      <w:proofErr w:type="spellStart"/>
      <w:r w:rsidR="0002574E" w:rsidRPr="00013472">
        <w:rPr>
          <w:lang w:val="en-US"/>
        </w:rPr>
        <w:t>μm</w:t>
      </w:r>
      <w:proofErr w:type="spellEnd"/>
      <w:r w:rsidR="0002574E" w:rsidRPr="00013472">
        <w:rPr>
          <w:lang w:val="en-US"/>
        </w:rPr>
        <w:t>)</w:t>
      </w:r>
    </w:p>
    <w:p w14:paraId="35E938D6" w14:textId="77777777" w:rsidR="0002574E" w:rsidRPr="00013472" w:rsidRDefault="0002574E" w:rsidP="005B5F4E">
      <w:pPr>
        <w:spacing w:line="480" w:lineRule="auto"/>
        <w:rPr>
          <w:u w:val="single"/>
          <w:lang w:val="en-US"/>
        </w:rPr>
      </w:pPr>
    </w:p>
    <w:p w14:paraId="6D394D1B" w14:textId="378B270A" w:rsidR="005B5F4E" w:rsidRPr="00013472" w:rsidRDefault="0002574E" w:rsidP="005B5F4E">
      <w:pPr>
        <w:spacing w:line="480" w:lineRule="auto"/>
        <w:rPr>
          <w:u w:val="single"/>
          <w:lang w:val="en-US"/>
        </w:rPr>
      </w:pPr>
      <w:r w:rsidRPr="00013472">
        <w:rPr>
          <w:u w:val="single"/>
          <w:lang w:val="en-US"/>
        </w:rPr>
        <w:t>Figure 2</w:t>
      </w:r>
    </w:p>
    <w:p w14:paraId="79984486" w14:textId="764D09C6" w:rsidR="005B5F4E" w:rsidRPr="00013472" w:rsidRDefault="006A55D3" w:rsidP="005B5F4E">
      <w:pPr>
        <w:spacing w:line="480" w:lineRule="auto"/>
        <w:rPr>
          <w:lang w:val="en-US"/>
        </w:rPr>
      </w:pPr>
      <w:r w:rsidRPr="00013472">
        <w:rPr>
          <w:lang w:val="en-US"/>
        </w:rPr>
        <w:t>Disease-</w:t>
      </w:r>
      <w:r w:rsidR="005B5F4E" w:rsidRPr="00013472">
        <w:rPr>
          <w:lang w:val="en-US"/>
        </w:rPr>
        <w:t>specific survival among patients with l</w:t>
      </w:r>
      <w:r w:rsidRPr="00013472">
        <w:rPr>
          <w:lang w:val="en-US"/>
        </w:rPr>
        <w:t>acrimal gland lymphoma. Disease-</w:t>
      </w:r>
      <w:r w:rsidR="005B5F4E" w:rsidRPr="00013472">
        <w:rPr>
          <w:lang w:val="en-US"/>
        </w:rPr>
        <w:t>specific survival is associated with lymphoma subtype.</w:t>
      </w:r>
      <w:r w:rsidR="00476CD2" w:rsidRPr="00013472">
        <w:rPr>
          <w:lang w:val="en-US"/>
        </w:rPr>
        <w:t xml:space="preserve"> </w:t>
      </w:r>
      <w:r w:rsidR="005B5F4E" w:rsidRPr="00013472">
        <w:rPr>
          <w:lang w:val="en-US"/>
        </w:rPr>
        <w:t>Life table showing patients</w:t>
      </w:r>
      <w:r w:rsidR="00ED53C4" w:rsidRPr="00013472">
        <w:rPr>
          <w:lang w:val="en-US"/>
        </w:rPr>
        <w:t>’</w:t>
      </w:r>
      <w:r w:rsidR="005B5F4E" w:rsidRPr="00013472">
        <w:rPr>
          <w:lang w:val="en-US"/>
        </w:rPr>
        <w:t xml:space="preserve"> risk of dying of lymphoma and number of patients with the event at each time point.  </w:t>
      </w:r>
    </w:p>
    <w:p w14:paraId="6189B553" w14:textId="77777777" w:rsidR="005B5F4E" w:rsidRPr="00013472" w:rsidRDefault="005B5F4E" w:rsidP="005B5F4E">
      <w:pPr>
        <w:spacing w:line="480" w:lineRule="auto"/>
        <w:rPr>
          <w:lang w:val="en-US"/>
        </w:rPr>
      </w:pPr>
    </w:p>
    <w:p w14:paraId="7AFE19AD" w14:textId="0A32A3E7" w:rsidR="005B5F4E" w:rsidRPr="00104CC1" w:rsidRDefault="005B5F4E" w:rsidP="005B5F4E">
      <w:pPr>
        <w:spacing w:line="480" w:lineRule="auto"/>
        <w:rPr>
          <w:lang w:val="en-US"/>
        </w:rPr>
      </w:pPr>
      <w:r w:rsidRPr="00013472">
        <w:rPr>
          <w:lang w:val="en-US"/>
        </w:rPr>
        <w:t xml:space="preserve">Abbreviations: DLBCL = diffuse large B-cell lymphoma; EMZL = </w:t>
      </w:r>
      <w:proofErr w:type="spellStart"/>
      <w:r w:rsidRPr="00013472">
        <w:rPr>
          <w:lang w:val="en-US"/>
        </w:rPr>
        <w:t>extranodal</w:t>
      </w:r>
      <w:proofErr w:type="spellEnd"/>
      <w:r w:rsidRPr="00013472">
        <w:rPr>
          <w:lang w:val="en-US"/>
        </w:rPr>
        <w:t xml:space="preserve"> marginal zone B-cell lymphoma; FL = follicular lymphoma; MCL = mantle cell lymphoma</w:t>
      </w:r>
    </w:p>
    <w:p w14:paraId="1C9A9E50" w14:textId="42518F70" w:rsidR="001F5780" w:rsidRPr="00104CC1" w:rsidRDefault="001F5780">
      <w:pPr>
        <w:rPr>
          <w:lang w:val="en-US"/>
        </w:rPr>
      </w:pPr>
    </w:p>
    <w:sectPr w:rsidR="001F5780" w:rsidRPr="00104CC1" w:rsidSect="00ED2A3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ECB52" w14:textId="77777777" w:rsidR="00A05204" w:rsidRDefault="00A05204" w:rsidP="00A05F17">
      <w:r>
        <w:separator/>
      </w:r>
    </w:p>
  </w:endnote>
  <w:endnote w:type="continuationSeparator" w:id="0">
    <w:p w14:paraId="60893BCF" w14:textId="77777777" w:rsidR="00A05204" w:rsidRDefault="00A05204" w:rsidP="00A05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98A6E" w14:textId="77777777" w:rsidR="00F2493E" w:rsidRDefault="00F2493E" w:rsidP="00E75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619763" w14:textId="77777777" w:rsidR="00F2493E" w:rsidRDefault="00F2493E" w:rsidP="00A05F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A509C" w14:textId="77777777" w:rsidR="00F2493E" w:rsidRDefault="00F2493E" w:rsidP="00E75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45B3">
      <w:rPr>
        <w:rStyle w:val="PageNumber"/>
        <w:noProof/>
      </w:rPr>
      <w:t>5</w:t>
    </w:r>
    <w:r>
      <w:rPr>
        <w:rStyle w:val="PageNumber"/>
      </w:rPr>
      <w:fldChar w:fldCharType="end"/>
    </w:r>
  </w:p>
  <w:p w14:paraId="3C8E8D2A" w14:textId="77777777" w:rsidR="00F2493E" w:rsidRDefault="00F2493E" w:rsidP="00A05F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D9395" w14:textId="77777777" w:rsidR="00A05204" w:rsidRDefault="00A05204" w:rsidP="00A05F17">
      <w:r>
        <w:separator/>
      </w:r>
    </w:p>
  </w:footnote>
  <w:footnote w:type="continuationSeparator" w:id="0">
    <w:p w14:paraId="5DD56595" w14:textId="77777777" w:rsidR="00A05204" w:rsidRDefault="00A05204" w:rsidP="00A05F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4C1"/>
    <w:rsid w:val="00000DC1"/>
    <w:rsid w:val="000116E0"/>
    <w:rsid w:val="000120A9"/>
    <w:rsid w:val="00013472"/>
    <w:rsid w:val="000138F3"/>
    <w:rsid w:val="00022BBB"/>
    <w:rsid w:val="0002574E"/>
    <w:rsid w:val="000277A5"/>
    <w:rsid w:val="0003678C"/>
    <w:rsid w:val="000369C8"/>
    <w:rsid w:val="000378AA"/>
    <w:rsid w:val="00045C5B"/>
    <w:rsid w:val="00055936"/>
    <w:rsid w:val="00064BD5"/>
    <w:rsid w:val="000678D9"/>
    <w:rsid w:val="000706CD"/>
    <w:rsid w:val="000747DC"/>
    <w:rsid w:val="000977D3"/>
    <w:rsid w:val="000A4338"/>
    <w:rsid w:val="000B2AF7"/>
    <w:rsid w:val="000C11E6"/>
    <w:rsid w:val="000C45E2"/>
    <w:rsid w:val="000E0876"/>
    <w:rsid w:val="000E578E"/>
    <w:rsid w:val="0010201B"/>
    <w:rsid w:val="00104CC1"/>
    <w:rsid w:val="00136FB2"/>
    <w:rsid w:val="00142223"/>
    <w:rsid w:val="00144A67"/>
    <w:rsid w:val="00167836"/>
    <w:rsid w:val="00167E7D"/>
    <w:rsid w:val="00176F1C"/>
    <w:rsid w:val="001826BB"/>
    <w:rsid w:val="00185A26"/>
    <w:rsid w:val="00187DB8"/>
    <w:rsid w:val="001C3674"/>
    <w:rsid w:val="001D038A"/>
    <w:rsid w:val="001D2FDC"/>
    <w:rsid w:val="001D3D55"/>
    <w:rsid w:val="001D3E29"/>
    <w:rsid w:val="001F5780"/>
    <w:rsid w:val="00211604"/>
    <w:rsid w:val="002179E4"/>
    <w:rsid w:val="002234C1"/>
    <w:rsid w:val="00223586"/>
    <w:rsid w:val="0022390A"/>
    <w:rsid w:val="00253A37"/>
    <w:rsid w:val="00254520"/>
    <w:rsid w:val="0026030E"/>
    <w:rsid w:val="00283166"/>
    <w:rsid w:val="00284E3D"/>
    <w:rsid w:val="00287E4C"/>
    <w:rsid w:val="00294DB0"/>
    <w:rsid w:val="002965E1"/>
    <w:rsid w:val="00296F93"/>
    <w:rsid w:val="002A1B1B"/>
    <w:rsid w:val="002A1DED"/>
    <w:rsid w:val="002B34B8"/>
    <w:rsid w:val="002C7426"/>
    <w:rsid w:val="002D6E72"/>
    <w:rsid w:val="002D7461"/>
    <w:rsid w:val="002E1D59"/>
    <w:rsid w:val="002E5D5E"/>
    <w:rsid w:val="002F66E2"/>
    <w:rsid w:val="003033BF"/>
    <w:rsid w:val="003056A2"/>
    <w:rsid w:val="00310A1B"/>
    <w:rsid w:val="00311FAC"/>
    <w:rsid w:val="00315693"/>
    <w:rsid w:val="00317468"/>
    <w:rsid w:val="00330A26"/>
    <w:rsid w:val="00337057"/>
    <w:rsid w:val="0034066C"/>
    <w:rsid w:val="00340B5A"/>
    <w:rsid w:val="00340F37"/>
    <w:rsid w:val="00352DFC"/>
    <w:rsid w:val="00360E38"/>
    <w:rsid w:val="00363256"/>
    <w:rsid w:val="00383BAA"/>
    <w:rsid w:val="00385716"/>
    <w:rsid w:val="00387344"/>
    <w:rsid w:val="003A4C6E"/>
    <w:rsid w:val="003A4F09"/>
    <w:rsid w:val="003B01FA"/>
    <w:rsid w:val="003C6E4E"/>
    <w:rsid w:val="003E0F6A"/>
    <w:rsid w:val="003E1D48"/>
    <w:rsid w:val="003E43A1"/>
    <w:rsid w:val="003E6936"/>
    <w:rsid w:val="003F61C9"/>
    <w:rsid w:val="003F62D4"/>
    <w:rsid w:val="00401691"/>
    <w:rsid w:val="00412EE9"/>
    <w:rsid w:val="00416C57"/>
    <w:rsid w:val="004320B7"/>
    <w:rsid w:val="00434CA9"/>
    <w:rsid w:val="00444127"/>
    <w:rsid w:val="00444C51"/>
    <w:rsid w:val="0045160B"/>
    <w:rsid w:val="0047584F"/>
    <w:rsid w:val="00476CD2"/>
    <w:rsid w:val="004A3C18"/>
    <w:rsid w:val="004A4910"/>
    <w:rsid w:val="004A6122"/>
    <w:rsid w:val="004B1EE8"/>
    <w:rsid w:val="004B46C7"/>
    <w:rsid w:val="004D1F47"/>
    <w:rsid w:val="004D3E27"/>
    <w:rsid w:val="004E53A2"/>
    <w:rsid w:val="004F1081"/>
    <w:rsid w:val="004F19A1"/>
    <w:rsid w:val="004F61B6"/>
    <w:rsid w:val="00501D61"/>
    <w:rsid w:val="00504B15"/>
    <w:rsid w:val="00507B18"/>
    <w:rsid w:val="00510B02"/>
    <w:rsid w:val="00523AD5"/>
    <w:rsid w:val="00525638"/>
    <w:rsid w:val="00533009"/>
    <w:rsid w:val="005374A5"/>
    <w:rsid w:val="00546C9E"/>
    <w:rsid w:val="00547A85"/>
    <w:rsid w:val="00553C7F"/>
    <w:rsid w:val="00575EB1"/>
    <w:rsid w:val="00576654"/>
    <w:rsid w:val="00582425"/>
    <w:rsid w:val="00584661"/>
    <w:rsid w:val="0058783B"/>
    <w:rsid w:val="005A678B"/>
    <w:rsid w:val="005B5CE7"/>
    <w:rsid w:val="005B5F4E"/>
    <w:rsid w:val="005D0096"/>
    <w:rsid w:val="005E492F"/>
    <w:rsid w:val="005E5579"/>
    <w:rsid w:val="005E7D1F"/>
    <w:rsid w:val="005F0967"/>
    <w:rsid w:val="005F674D"/>
    <w:rsid w:val="00621FF1"/>
    <w:rsid w:val="00633F07"/>
    <w:rsid w:val="0063432E"/>
    <w:rsid w:val="006355DC"/>
    <w:rsid w:val="0064478D"/>
    <w:rsid w:val="006518F6"/>
    <w:rsid w:val="00664395"/>
    <w:rsid w:val="00671FFC"/>
    <w:rsid w:val="006A55D3"/>
    <w:rsid w:val="006C1484"/>
    <w:rsid w:val="006D0B2F"/>
    <w:rsid w:val="006D2676"/>
    <w:rsid w:val="006D46DE"/>
    <w:rsid w:val="006E52C4"/>
    <w:rsid w:val="006F45B3"/>
    <w:rsid w:val="00701895"/>
    <w:rsid w:val="007102ED"/>
    <w:rsid w:val="007135A4"/>
    <w:rsid w:val="007151C1"/>
    <w:rsid w:val="00720FC7"/>
    <w:rsid w:val="007260EC"/>
    <w:rsid w:val="00746EE2"/>
    <w:rsid w:val="00752413"/>
    <w:rsid w:val="00756D0B"/>
    <w:rsid w:val="00757ECB"/>
    <w:rsid w:val="007757E7"/>
    <w:rsid w:val="00786274"/>
    <w:rsid w:val="007902A8"/>
    <w:rsid w:val="00795454"/>
    <w:rsid w:val="007A0A33"/>
    <w:rsid w:val="007B0582"/>
    <w:rsid w:val="007B4F7C"/>
    <w:rsid w:val="007D1B47"/>
    <w:rsid w:val="007F41F4"/>
    <w:rsid w:val="00803A6F"/>
    <w:rsid w:val="0081061C"/>
    <w:rsid w:val="00815A09"/>
    <w:rsid w:val="00831113"/>
    <w:rsid w:val="00836164"/>
    <w:rsid w:val="00841A4F"/>
    <w:rsid w:val="008536CF"/>
    <w:rsid w:val="008557CC"/>
    <w:rsid w:val="00870553"/>
    <w:rsid w:val="0088452E"/>
    <w:rsid w:val="0089468F"/>
    <w:rsid w:val="00895A3A"/>
    <w:rsid w:val="00895F41"/>
    <w:rsid w:val="008A0287"/>
    <w:rsid w:val="008A3DD8"/>
    <w:rsid w:val="008B3A9B"/>
    <w:rsid w:val="00913827"/>
    <w:rsid w:val="00921A21"/>
    <w:rsid w:val="009440D3"/>
    <w:rsid w:val="00952183"/>
    <w:rsid w:val="009532EF"/>
    <w:rsid w:val="00960238"/>
    <w:rsid w:val="00965701"/>
    <w:rsid w:val="009706FF"/>
    <w:rsid w:val="00980636"/>
    <w:rsid w:val="00982878"/>
    <w:rsid w:val="00987D40"/>
    <w:rsid w:val="009A2843"/>
    <w:rsid w:val="009C23B0"/>
    <w:rsid w:val="009E6370"/>
    <w:rsid w:val="009F10A8"/>
    <w:rsid w:val="009F7630"/>
    <w:rsid w:val="00A027A7"/>
    <w:rsid w:val="00A05204"/>
    <w:rsid w:val="00A05F17"/>
    <w:rsid w:val="00A14469"/>
    <w:rsid w:val="00A27FEB"/>
    <w:rsid w:val="00A43EA4"/>
    <w:rsid w:val="00A614B2"/>
    <w:rsid w:val="00A63697"/>
    <w:rsid w:val="00A67C4A"/>
    <w:rsid w:val="00A70ED0"/>
    <w:rsid w:val="00A863D9"/>
    <w:rsid w:val="00A92B83"/>
    <w:rsid w:val="00A937FC"/>
    <w:rsid w:val="00AA5EB4"/>
    <w:rsid w:val="00AA7CB1"/>
    <w:rsid w:val="00AB1CE6"/>
    <w:rsid w:val="00AB4E3A"/>
    <w:rsid w:val="00AB6BDA"/>
    <w:rsid w:val="00AD3F0E"/>
    <w:rsid w:val="00AE6F4A"/>
    <w:rsid w:val="00AF6DD3"/>
    <w:rsid w:val="00B013BE"/>
    <w:rsid w:val="00B01AB5"/>
    <w:rsid w:val="00B10A76"/>
    <w:rsid w:val="00B12AD1"/>
    <w:rsid w:val="00B13B5D"/>
    <w:rsid w:val="00B15A69"/>
    <w:rsid w:val="00B41FC2"/>
    <w:rsid w:val="00B475AF"/>
    <w:rsid w:val="00B548F8"/>
    <w:rsid w:val="00B714E7"/>
    <w:rsid w:val="00B727B3"/>
    <w:rsid w:val="00B8526A"/>
    <w:rsid w:val="00B92FB0"/>
    <w:rsid w:val="00B961B3"/>
    <w:rsid w:val="00BA2E0C"/>
    <w:rsid w:val="00BA7031"/>
    <w:rsid w:val="00BB0452"/>
    <w:rsid w:val="00BE2141"/>
    <w:rsid w:val="00C00AEC"/>
    <w:rsid w:val="00C03DE7"/>
    <w:rsid w:val="00C20429"/>
    <w:rsid w:val="00C26A89"/>
    <w:rsid w:val="00C32DD1"/>
    <w:rsid w:val="00C33CEE"/>
    <w:rsid w:val="00C5361A"/>
    <w:rsid w:val="00C564D5"/>
    <w:rsid w:val="00C70779"/>
    <w:rsid w:val="00C82E9E"/>
    <w:rsid w:val="00C8351F"/>
    <w:rsid w:val="00C87047"/>
    <w:rsid w:val="00CA26BD"/>
    <w:rsid w:val="00CD18F6"/>
    <w:rsid w:val="00CD42DB"/>
    <w:rsid w:val="00CE4DF8"/>
    <w:rsid w:val="00CE792B"/>
    <w:rsid w:val="00CF15EB"/>
    <w:rsid w:val="00D00637"/>
    <w:rsid w:val="00D0530B"/>
    <w:rsid w:val="00D13A07"/>
    <w:rsid w:val="00D15053"/>
    <w:rsid w:val="00D20A2F"/>
    <w:rsid w:val="00D30D7F"/>
    <w:rsid w:val="00D35026"/>
    <w:rsid w:val="00D403F1"/>
    <w:rsid w:val="00D5179E"/>
    <w:rsid w:val="00D53D03"/>
    <w:rsid w:val="00D610C2"/>
    <w:rsid w:val="00D616EF"/>
    <w:rsid w:val="00D64EA2"/>
    <w:rsid w:val="00D81D93"/>
    <w:rsid w:val="00D86890"/>
    <w:rsid w:val="00DB28E6"/>
    <w:rsid w:val="00DB2C56"/>
    <w:rsid w:val="00DB3522"/>
    <w:rsid w:val="00DB3C4A"/>
    <w:rsid w:val="00DC10BB"/>
    <w:rsid w:val="00DD2D5F"/>
    <w:rsid w:val="00DD6C27"/>
    <w:rsid w:val="00DE29D8"/>
    <w:rsid w:val="00DE4816"/>
    <w:rsid w:val="00DE4AF1"/>
    <w:rsid w:val="00E04E08"/>
    <w:rsid w:val="00E41897"/>
    <w:rsid w:val="00E55BA8"/>
    <w:rsid w:val="00E7276C"/>
    <w:rsid w:val="00E755B0"/>
    <w:rsid w:val="00E82176"/>
    <w:rsid w:val="00E9412A"/>
    <w:rsid w:val="00E97F69"/>
    <w:rsid w:val="00EC0B6D"/>
    <w:rsid w:val="00EC1A88"/>
    <w:rsid w:val="00EC1C53"/>
    <w:rsid w:val="00ED2A39"/>
    <w:rsid w:val="00ED4F46"/>
    <w:rsid w:val="00ED53C4"/>
    <w:rsid w:val="00EE1210"/>
    <w:rsid w:val="00EF30BC"/>
    <w:rsid w:val="00EF3FD0"/>
    <w:rsid w:val="00F2493E"/>
    <w:rsid w:val="00F352E0"/>
    <w:rsid w:val="00F445C4"/>
    <w:rsid w:val="00F57546"/>
    <w:rsid w:val="00F61586"/>
    <w:rsid w:val="00F73AE8"/>
    <w:rsid w:val="00F8490D"/>
    <w:rsid w:val="00F97009"/>
    <w:rsid w:val="00FA6E0D"/>
    <w:rsid w:val="00FB4203"/>
    <w:rsid w:val="00FB5D07"/>
    <w:rsid w:val="00FB7275"/>
    <w:rsid w:val="00FC0D18"/>
    <w:rsid w:val="00FD20E3"/>
    <w:rsid w:val="00FE0B68"/>
    <w:rsid w:val="00FE26D2"/>
    <w:rsid w:val="00FE443F"/>
    <w:rsid w:val="00FF287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6E89B"/>
  <w14:defaultImageDpi w14:val="300"/>
  <w15:docId w15:val="{70105EF6-0D6E-46DC-8132-61DAA5494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4C1"/>
  </w:style>
  <w:style w:type="paragraph" w:styleId="Heading1">
    <w:name w:val="heading 1"/>
    <w:basedOn w:val="Normal"/>
    <w:next w:val="Normal"/>
    <w:link w:val="Heading1Char"/>
    <w:uiPriority w:val="9"/>
    <w:qFormat/>
    <w:rsid w:val="002234C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234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34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34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F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F1C"/>
    <w:rPr>
      <w:rFonts w:ascii="Lucida Grande" w:hAnsi="Lucida Grande" w:cs="Lucida Grande"/>
      <w:sz w:val="18"/>
      <w:szCs w:val="18"/>
    </w:rPr>
  </w:style>
  <w:style w:type="character" w:customStyle="1" w:styleId="Heading1Char">
    <w:name w:val="Heading 1 Char"/>
    <w:basedOn w:val="DefaultParagraphFont"/>
    <w:link w:val="Heading1"/>
    <w:uiPriority w:val="9"/>
    <w:rsid w:val="002234C1"/>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2234C1"/>
    <w:rPr>
      <w:sz w:val="18"/>
      <w:szCs w:val="18"/>
    </w:rPr>
  </w:style>
  <w:style w:type="paragraph" w:styleId="CommentText">
    <w:name w:val="annotation text"/>
    <w:basedOn w:val="Normal"/>
    <w:link w:val="CommentTextChar"/>
    <w:uiPriority w:val="99"/>
    <w:semiHidden/>
    <w:unhideWhenUsed/>
    <w:rsid w:val="002234C1"/>
  </w:style>
  <w:style w:type="character" w:customStyle="1" w:styleId="CommentTextChar">
    <w:name w:val="Comment Text Char"/>
    <w:basedOn w:val="DefaultParagraphFont"/>
    <w:link w:val="CommentText"/>
    <w:uiPriority w:val="99"/>
    <w:semiHidden/>
    <w:rsid w:val="002234C1"/>
  </w:style>
  <w:style w:type="character" w:customStyle="1" w:styleId="Heading3Char">
    <w:name w:val="Heading 3 Char"/>
    <w:basedOn w:val="DefaultParagraphFont"/>
    <w:link w:val="Heading3"/>
    <w:uiPriority w:val="9"/>
    <w:rsid w:val="002234C1"/>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2234C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2234C1"/>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A05F17"/>
    <w:pPr>
      <w:tabs>
        <w:tab w:val="center" w:pos="4819"/>
        <w:tab w:val="right" w:pos="9638"/>
      </w:tabs>
    </w:pPr>
  </w:style>
  <w:style w:type="character" w:customStyle="1" w:styleId="FooterChar">
    <w:name w:val="Footer Char"/>
    <w:basedOn w:val="DefaultParagraphFont"/>
    <w:link w:val="Footer"/>
    <w:uiPriority w:val="99"/>
    <w:rsid w:val="00A05F17"/>
  </w:style>
  <w:style w:type="character" w:styleId="PageNumber">
    <w:name w:val="page number"/>
    <w:basedOn w:val="DefaultParagraphFont"/>
    <w:uiPriority w:val="99"/>
    <w:semiHidden/>
    <w:unhideWhenUsed/>
    <w:rsid w:val="00A05F17"/>
  </w:style>
  <w:style w:type="paragraph" w:styleId="Title">
    <w:name w:val="Title"/>
    <w:basedOn w:val="Normal"/>
    <w:next w:val="Normal"/>
    <w:link w:val="TitleChar"/>
    <w:uiPriority w:val="10"/>
    <w:qFormat/>
    <w:rsid w:val="00A05F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5F17"/>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FE0B68"/>
    <w:rPr>
      <w:b/>
      <w:bCs/>
      <w:sz w:val="20"/>
      <w:szCs w:val="20"/>
    </w:rPr>
  </w:style>
  <w:style w:type="character" w:customStyle="1" w:styleId="CommentSubjectChar">
    <w:name w:val="Comment Subject Char"/>
    <w:basedOn w:val="CommentTextChar"/>
    <w:link w:val="CommentSubject"/>
    <w:uiPriority w:val="99"/>
    <w:semiHidden/>
    <w:rsid w:val="00FE0B68"/>
    <w:rPr>
      <w:b/>
      <w:bCs/>
      <w:sz w:val="20"/>
      <w:szCs w:val="20"/>
    </w:rPr>
  </w:style>
  <w:style w:type="paragraph" w:styleId="Header">
    <w:name w:val="header"/>
    <w:basedOn w:val="Normal"/>
    <w:link w:val="HeaderChar"/>
    <w:uiPriority w:val="99"/>
    <w:unhideWhenUsed/>
    <w:rsid w:val="003E1D48"/>
    <w:pPr>
      <w:tabs>
        <w:tab w:val="center" w:pos="4819"/>
        <w:tab w:val="right" w:pos="9638"/>
      </w:tabs>
    </w:pPr>
  </w:style>
  <w:style w:type="character" w:customStyle="1" w:styleId="HeaderChar">
    <w:name w:val="Header Char"/>
    <w:basedOn w:val="DefaultParagraphFont"/>
    <w:link w:val="Header"/>
    <w:uiPriority w:val="99"/>
    <w:rsid w:val="003E1D48"/>
  </w:style>
  <w:style w:type="paragraph" w:styleId="DocumentMap">
    <w:name w:val="Document Map"/>
    <w:basedOn w:val="Normal"/>
    <w:link w:val="DocumentMapChar"/>
    <w:uiPriority w:val="99"/>
    <w:semiHidden/>
    <w:unhideWhenUsed/>
    <w:rsid w:val="00C26A89"/>
    <w:rPr>
      <w:rFonts w:ascii="Lucida Grande" w:hAnsi="Lucida Grande" w:cs="Lucida Grande"/>
    </w:rPr>
  </w:style>
  <w:style w:type="character" w:customStyle="1" w:styleId="DocumentMapChar">
    <w:name w:val="Document Map Char"/>
    <w:basedOn w:val="DefaultParagraphFont"/>
    <w:link w:val="DocumentMap"/>
    <w:uiPriority w:val="99"/>
    <w:semiHidden/>
    <w:rsid w:val="00C26A89"/>
    <w:rPr>
      <w:rFonts w:ascii="Lucida Grande" w:hAnsi="Lucida Grande" w:cs="Lucida Grande"/>
    </w:rPr>
  </w:style>
  <w:style w:type="table" w:styleId="LightList">
    <w:name w:val="Light List"/>
    <w:basedOn w:val="TableNormal"/>
    <w:uiPriority w:val="61"/>
    <w:rsid w:val="00ED2A39"/>
    <w:rPr>
      <w:rFonts w:eastAsiaTheme="minorHAns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CF15E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AA7CB1"/>
    <w:pPr>
      <w:spacing w:after="3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7823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8579F-CC19-1445-851B-8EB1EA0A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31034</Words>
  <Characters>176896</Characters>
  <Application>Microsoft Macintosh Word</Application>
  <DocSecurity>0</DocSecurity>
  <Lines>1474</Lines>
  <Paragraphs>415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Dahl Vest</dc:creator>
  <cp:keywords/>
  <dc:description/>
  <cp:lastModifiedBy>Microsoft Office User</cp:lastModifiedBy>
  <cp:revision>3</cp:revision>
  <cp:lastPrinted>2019-11-18T14:08:00Z</cp:lastPrinted>
  <dcterms:created xsi:type="dcterms:W3CDTF">2019-11-28T19:24:00Z</dcterms:created>
  <dcterms:modified xsi:type="dcterms:W3CDTF">2020-07-03T09:09:00Z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2aeec20d-6982-3515-8169-7e0be18e3501</vt:lpwstr>
  </property>
  <property fmtid="{D5CDD505-2E9C-101B-9397-08002B2CF9AE}" pid="4" name="Mendeley Citation Style_1">
    <vt:lpwstr>http://csl.mendeley.com/styles/463723311/vancouver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http://www.zotero.org/styles/vancouver</vt:lpwstr>
  </property>
  <property fmtid="{D5CDD505-2E9C-101B-9397-08002B2CF9AE}" pid="18" name="Mendeley Recent Style Name 6_1">
    <vt:lpwstr>Vancouver</vt:lpwstr>
  </property>
  <property fmtid="{D5CDD505-2E9C-101B-9397-08002B2CF9AE}" pid="19" name="Mendeley Recent Style Id 7_1">
    <vt:lpwstr>http://csl.mendeley.com/styles/463723311/vancouver</vt:lpwstr>
  </property>
  <property fmtid="{D5CDD505-2E9C-101B-9397-08002B2CF9AE}" pid="20" name="Mendeley Recent Style Name 7_1">
    <vt:lpwstr>Vancouver - Stine Vest</vt:lpwstr>
  </property>
  <property fmtid="{D5CDD505-2E9C-101B-9397-08002B2CF9AE}" pid="21" name="Mendeley Recent Style Id 8_1">
    <vt:lpwstr>https://csl.mendeley.com/styles/463723311/vancouver-2</vt:lpwstr>
  </property>
  <property fmtid="{D5CDD505-2E9C-101B-9397-08002B2CF9AE}" pid="22" name="Mendeley Recent Style Name 8_1">
    <vt:lpwstr>Vancouver - Stine Vest</vt:lpwstr>
  </property>
  <property fmtid="{D5CDD505-2E9C-101B-9397-08002B2CF9AE}" pid="23" name="Mendeley Recent Style Id 9_1">
    <vt:lpwstr>http://csl.mendeley.com/styles/463723311/vancouver-2</vt:lpwstr>
  </property>
  <property fmtid="{D5CDD505-2E9C-101B-9397-08002B2CF9AE}" pid="24" name="Mendeley Recent Style Name 9_1">
    <vt:lpwstr>Vancouver - Stine Vest</vt:lpwstr>
  </property>
</Properties>
</file>