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CA2E7" w14:textId="2B984418" w:rsidR="00BC5ED0" w:rsidRPr="00447798" w:rsidRDefault="002144E3" w:rsidP="00D4585D">
      <w:pPr>
        <w:spacing w:line="360" w:lineRule="auto"/>
        <w:rPr>
          <w:rFonts w:ascii="Garamond" w:hAnsi="Garamond"/>
          <w:b/>
        </w:rPr>
      </w:pPr>
      <w:bookmarkStart w:id="0" w:name="_GoBack"/>
      <w:bookmarkEnd w:id="0"/>
      <w:r>
        <w:rPr>
          <w:rFonts w:ascii="Garamond" w:hAnsi="Garamond"/>
          <w:b/>
        </w:rPr>
        <w:t>Amel Alghrani and Craig Purshouse, ‘</w:t>
      </w:r>
      <w:r w:rsidR="000E1D9E">
        <w:rPr>
          <w:rFonts w:ascii="Garamond" w:hAnsi="Garamond"/>
          <w:b/>
        </w:rPr>
        <w:t xml:space="preserve">Damages for Reproductive Negligence: </w:t>
      </w:r>
      <w:r w:rsidR="00BC5ED0" w:rsidRPr="00447798">
        <w:rPr>
          <w:rFonts w:ascii="Garamond" w:hAnsi="Garamond"/>
          <w:b/>
        </w:rPr>
        <w:t>Commercial Surrogacy on the NHS?</w:t>
      </w:r>
      <w:r>
        <w:rPr>
          <w:rFonts w:ascii="Garamond" w:hAnsi="Garamond"/>
          <w:b/>
        </w:rPr>
        <w:t>’ (2018)</w:t>
      </w:r>
      <w:r w:rsidR="00D83692">
        <w:rPr>
          <w:rFonts w:ascii="Garamond" w:hAnsi="Garamond"/>
          <w:b/>
        </w:rPr>
        <w:t xml:space="preserve"> </w:t>
      </w:r>
      <w:r>
        <w:rPr>
          <w:rFonts w:ascii="Garamond" w:hAnsi="Garamond"/>
          <w:b/>
        </w:rPr>
        <w:t>Law Quarterly Review (forthcoming).</w:t>
      </w:r>
    </w:p>
    <w:p w14:paraId="7F8370EF" w14:textId="6436A479" w:rsidR="00DE4D43" w:rsidRPr="00447798" w:rsidRDefault="00DE4D43" w:rsidP="00DE331F">
      <w:pPr>
        <w:spacing w:line="360" w:lineRule="auto"/>
        <w:rPr>
          <w:rFonts w:ascii="Garamond" w:hAnsi="Garamond"/>
        </w:rPr>
      </w:pPr>
    </w:p>
    <w:p w14:paraId="54F61294" w14:textId="31E65FB4" w:rsidR="00DE4D43" w:rsidRPr="00447798" w:rsidRDefault="005D2DAC" w:rsidP="00DE331F">
      <w:pPr>
        <w:spacing w:line="360" w:lineRule="auto"/>
        <w:rPr>
          <w:rFonts w:ascii="Garamond" w:hAnsi="Garamond"/>
        </w:rPr>
      </w:pPr>
      <w:r w:rsidRPr="00447798">
        <w:rPr>
          <w:rFonts w:ascii="Garamond" w:hAnsi="Garamond"/>
        </w:rPr>
        <w:t xml:space="preserve">Although attitudes towards </w:t>
      </w:r>
      <w:r w:rsidR="00E56006" w:rsidRPr="00447798">
        <w:rPr>
          <w:rFonts w:ascii="Garamond" w:hAnsi="Garamond"/>
        </w:rPr>
        <w:t>surrogacy</w:t>
      </w:r>
      <w:r w:rsidR="002E67B4">
        <w:rPr>
          <w:rFonts w:ascii="Garamond" w:hAnsi="Garamond"/>
        </w:rPr>
        <w:t xml:space="preserve"> itself</w:t>
      </w:r>
      <w:r w:rsidR="00201154">
        <w:rPr>
          <w:rFonts w:ascii="Garamond" w:hAnsi="Garamond"/>
        </w:rPr>
        <w:t xml:space="preserve"> </w:t>
      </w:r>
      <w:r w:rsidRPr="00447798">
        <w:rPr>
          <w:rFonts w:ascii="Garamond" w:hAnsi="Garamond"/>
        </w:rPr>
        <w:t>have softened over time, one</w:t>
      </w:r>
      <w:r w:rsidR="007A4FF2" w:rsidRPr="00447798">
        <w:rPr>
          <w:rFonts w:ascii="Garamond" w:hAnsi="Garamond"/>
        </w:rPr>
        <w:t xml:space="preserve"> constant</w:t>
      </w:r>
      <w:r w:rsidRPr="00447798">
        <w:rPr>
          <w:rFonts w:ascii="Garamond" w:hAnsi="Garamond"/>
        </w:rPr>
        <w:t xml:space="preserve"> in English law</w:t>
      </w:r>
      <w:r w:rsidR="00A66347" w:rsidRPr="00447798">
        <w:rPr>
          <w:rFonts w:ascii="Garamond" w:hAnsi="Garamond"/>
        </w:rPr>
        <w:t xml:space="preserve"> and policy</w:t>
      </w:r>
      <w:r w:rsidR="007A4FF2" w:rsidRPr="00447798">
        <w:rPr>
          <w:rFonts w:ascii="Garamond" w:hAnsi="Garamond"/>
        </w:rPr>
        <w:t xml:space="preserve">, ever since the </w:t>
      </w:r>
      <w:r w:rsidR="007A4FF2" w:rsidRPr="00447798">
        <w:rPr>
          <w:rFonts w:ascii="Garamond" w:hAnsi="Garamond"/>
          <w:i/>
        </w:rPr>
        <w:t>Warnock</w:t>
      </w:r>
      <w:r w:rsidR="007A4FF2" w:rsidRPr="00447798">
        <w:rPr>
          <w:rFonts w:ascii="Garamond" w:hAnsi="Garamond"/>
        </w:rPr>
        <w:t xml:space="preserve"> </w:t>
      </w:r>
      <w:r w:rsidR="007A4FF2" w:rsidRPr="00447798">
        <w:rPr>
          <w:rFonts w:ascii="Garamond" w:hAnsi="Garamond"/>
          <w:i/>
        </w:rPr>
        <w:t xml:space="preserve">Report </w:t>
      </w:r>
      <w:r w:rsidR="00A66347" w:rsidRPr="00447798">
        <w:rPr>
          <w:rFonts w:ascii="Garamond" w:hAnsi="Garamond"/>
        </w:rPr>
        <w:t>expressed disapproval of the practice in 1984</w:t>
      </w:r>
      <w:r w:rsidRPr="00447798">
        <w:rPr>
          <w:rFonts w:ascii="Garamond" w:hAnsi="Garamond"/>
        </w:rPr>
        <w:t xml:space="preserve">, is that </w:t>
      </w:r>
      <w:r w:rsidRPr="002E67B4">
        <w:rPr>
          <w:rFonts w:ascii="Garamond" w:hAnsi="Garamond"/>
          <w:i/>
        </w:rPr>
        <w:t>commercial</w:t>
      </w:r>
      <w:r w:rsidRPr="00447798">
        <w:rPr>
          <w:rFonts w:ascii="Garamond" w:hAnsi="Garamond"/>
        </w:rPr>
        <w:t xml:space="preserve"> surrogacy is considered objectionable.</w:t>
      </w:r>
      <w:r w:rsidR="00FA408A">
        <w:rPr>
          <w:rFonts w:ascii="Garamond" w:hAnsi="Garamond"/>
        </w:rPr>
        <w:t xml:space="preserve"> </w:t>
      </w:r>
      <w:r w:rsidR="00690DED">
        <w:rPr>
          <w:rFonts w:ascii="Garamond" w:hAnsi="Garamond"/>
        </w:rPr>
        <w:t>Hedley J</w:t>
      </w:r>
      <w:r w:rsidR="00031160">
        <w:rPr>
          <w:rFonts w:ascii="Garamond" w:hAnsi="Garamond"/>
        </w:rPr>
        <w:t>.</w:t>
      </w:r>
      <w:r w:rsidR="00690DED">
        <w:rPr>
          <w:rFonts w:ascii="Garamond" w:hAnsi="Garamond"/>
        </w:rPr>
        <w:t xml:space="preserve"> summed up the position</w:t>
      </w:r>
      <w:r w:rsidRPr="00447798">
        <w:rPr>
          <w:rFonts w:ascii="Garamond" w:hAnsi="Garamond"/>
        </w:rPr>
        <w:t xml:space="preserve"> </w:t>
      </w:r>
      <w:r w:rsidR="00CE2409">
        <w:rPr>
          <w:rFonts w:ascii="Garamond" w:hAnsi="Garamond"/>
        </w:rPr>
        <w:t xml:space="preserve">in </w:t>
      </w:r>
      <w:r w:rsidRPr="00F15665">
        <w:rPr>
          <w:rFonts w:ascii="Garamond" w:hAnsi="Garamond"/>
          <w:i/>
        </w:rPr>
        <w:t>Re X</w:t>
      </w:r>
      <w:r w:rsidR="00E56006" w:rsidRPr="00447798">
        <w:rPr>
          <w:rFonts w:ascii="Garamond" w:hAnsi="Garamond"/>
        </w:rPr>
        <w:t xml:space="preserve"> [2008] EWHC 3030</w:t>
      </w:r>
      <w:r w:rsidR="00A853D7">
        <w:rPr>
          <w:rFonts w:ascii="Garamond" w:hAnsi="Garamond"/>
        </w:rPr>
        <w:t>;</w:t>
      </w:r>
      <w:r w:rsidR="00A853D7" w:rsidRPr="00A853D7">
        <w:rPr>
          <w:rFonts w:ascii="Garamond" w:hAnsi="Garamond"/>
        </w:rPr>
        <w:t> [2009] Fam. 71</w:t>
      </w:r>
      <w:r w:rsidR="00064199">
        <w:rPr>
          <w:rFonts w:ascii="Garamond" w:hAnsi="Garamond"/>
        </w:rPr>
        <w:t>:</w:t>
      </w:r>
      <w:r w:rsidR="00031160">
        <w:rPr>
          <w:rFonts w:ascii="Garamond" w:hAnsi="Garamond"/>
        </w:rPr>
        <w:t xml:space="preserve"> “</w:t>
      </w:r>
      <w:r w:rsidRPr="00447798">
        <w:rPr>
          <w:rFonts w:ascii="Garamond" w:hAnsi="Garamond"/>
        </w:rPr>
        <w:t>whilst commercial surrogacy is unl</w:t>
      </w:r>
      <w:r w:rsidR="00E56006" w:rsidRPr="00447798">
        <w:rPr>
          <w:rFonts w:ascii="Garamond" w:hAnsi="Garamond"/>
        </w:rPr>
        <w:t>awful, surrogacy itself is not</w:t>
      </w:r>
      <w:r w:rsidR="00031160">
        <w:rPr>
          <w:rFonts w:ascii="Garamond" w:hAnsi="Garamond"/>
        </w:rPr>
        <w:t>”</w:t>
      </w:r>
      <w:r w:rsidR="00E56006" w:rsidRPr="00447798">
        <w:rPr>
          <w:rFonts w:ascii="Garamond" w:hAnsi="Garamond"/>
        </w:rPr>
        <w:t xml:space="preserve"> (at [3]).</w:t>
      </w:r>
      <w:r w:rsidRPr="00447798">
        <w:rPr>
          <w:rFonts w:ascii="Garamond" w:hAnsi="Garamond"/>
        </w:rPr>
        <w:t xml:space="preserve"> </w:t>
      </w:r>
      <w:r w:rsidR="00DE4D43" w:rsidRPr="00447798">
        <w:rPr>
          <w:rFonts w:ascii="Garamond" w:hAnsi="Garamond"/>
        </w:rPr>
        <w:t xml:space="preserve">The decision by the Court of Appeal in </w:t>
      </w:r>
      <w:r w:rsidR="00DE4D43" w:rsidRPr="00447798">
        <w:rPr>
          <w:rFonts w:ascii="Garamond" w:hAnsi="Garamond"/>
          <w:i/>
        </w:rPr>
        <w:t>XX v Whittington Hospital NHS Trust</w:t>
      </w:r>
      <w:r w:rsidR="00DE4D43" w:rsidRPr="00447798">
        <w:rPr>
          <w:rFonts w:ascii="Garamond" w:hAnsi="Garamond"/>
        </w:rPr>
        <w:t xml:space="preserve"> [2018] EWCA </w:t>
      </w:r>
      <w:proofErr w:type="spellStart"/>
      <w:r w:rsidR="00DE4D43" w:rsidRPr="00447798">
        <w:rPr>
          <w:rFonts w:ascii="Garamond" w:hAnsi="Garamond"/>
        </w:rPr>
        <w:t>Civ</w:t>
      </w:r>
      <w:proofErr w:type="spellEnd"/>
      <w:r w:rsidR="00DE4D43" w:rsidRPr="00447798">
        <w:rPr>
          <w:rFonts w:ascii="Garamond" w:hAnsi="Garamond"/>
        </w:rPr>
        <w:t xml:space="preserve"> 2832</w:t>
      </w:r>
      <w:r w:rsidR="00690DED">
        <w:rPr>
          <w:rFonts w:ascii="Garamond" w:hAnsi="Garamond"/>
        </w:rPr>
        <w:t xml:space="preserve"> to award</w:t>
      </w:r>
      <w:r w:rsidR="00E56006" w:rsidRPr="00447798">
        <w:rPr>
          <w:rFonts w:ascii="Garamond" w:hAnsi="Garamond"/>
        </w:rPr>
        <w:t xml:space="preserve"> </w:t>
      </w:r>
      <w:r w:rsidR="000755B3" w:rsidRPr="00447798">
        <w:rPr>
          <w:rFonts w:ascii="Garamond" w:hAnsi="Garamond"/>
        </w:rPr>
        <w:t xml:space="preserve">damages </w:t>
      </w:r>
      <w:r w:rsidR="001C6C0F">
        <w:rPr>
          <w:rFonts w:ascii="Garamond" w:hAnsi="Garamond"/>
        </w:rPr>
        <w:t>representing</w:t>
      </w:r>
      <w:r w:rsidR="000755B3" w:rsidRPr="00447798">
        <w:rPr>
          <w:rFonts w:ascii="Garamond" w:hAnsi="Garamond"/>
        </w:rPr>
        <w:t xml:space="preserve"> the cost of undertaking </w:t>
      </w:r>
      <w:r w:rsidR="00C418D8" w:rsidRPr="00447798">
        <w:rPr>
          <w:rFonts w:ascii="Garamond" w:hAnsi="Garamond"/>
        </w:rPr>
        <w:t xml:space="preserve">a commercial surrogacy arrangement </w:t>
      </w:r>
      <w:r w:rsidRPr="00447798">
        <w:rPr>
          <w:rFonts w:ascii="Garamond" w:hAnsi="Garamond"/>
        </w:rPr>
        <w:t>therefore comes as a surprise.</w:t>
      </w:r>
      <w:r w:rsidR="00E56006" w:rsidRPr="00447798">
        <w:rPr>
          <w:rFonts w:ascii="Garamond" w:hAnsi="Garamond"/>
        </w:rPr>
        <w:t xml:space="preserve"> </w:t>
      </w:r>
    </w:p>
    <w:p w14:paraId="70908D63" w14:textId="77777777" w:rsidR="00DE4D43" w:rsidRPr="00447798" w:rsidRDefault="00DE4D43" w:rsidP="00DE331F">
      <w:pPr>
        <w:spacing w:line="360" w:lineRule="auto"/>
        <w:rPr>
          <w:rFonts w:ascii="Garamond" w:hAnsi="Garamond"/>
        </w:rPr>
      </w:pPr>
    </w:p>
    <w:p w14:paraId="73855001" w14:textId="774C7A5E" w:rsidR="007F6DC2" w:rsidRDefault="00382D34" w:rsidP="007F6DC2">
      <w:pPr>
        <w:spacing w:line="360" w:lineRule="auto"/>
        <w:rPr>
          <w:rFonts w:ascii="Garamond" w:hAnsi="Garamond"/>
        </w:rPr>
      </w:pPr>
      <w:r>
        <w:rPr>
          <w:rFonts w:ascii="Garamond" w:hAnsi="Garamond"/>
        </w:rPr>
        <w:t>The poignant facts of the case are as follows</w:t>
      </w:r>
      <w:r w:rsidR="002A0177">
        <w:rPr>
          <w:rFonts w:ascii="Garamond" w:hAnsi="Garamond"/>
        </w:rPr>
        <w:t xml:space="preserve">. </w:t>
      </w:r>
      <w:r w:rsidR="007F6DC2">
        <w:rPr>
          <w:rFonts w:ascii="Garamond" w:hAnsi="Garamond"/>
        </w:rPr>
        <w:t xml:space="preserve">Due to defective analyses of </w:t>
      </w:r>
      <w:r w:rsidR="007F6DC2" w:rsidRPr="007F6DC2">
        <w:rPr>
          <w:rFonts w:ascii="Garamond" w:hAnsi="Garamond"/>
        </w:rPr>
        <w:t xml:space="preserve">smear tests </w:t>
      </w:r>
      <w:r w:rsidR="007F6DC2">
        <w:rPr>
          <w:rFonts w:ascii="Garamond" w:hAnsi="Garamond"/>
        </w:rPr>
        <w:t>and biopsies, t</w:t>
      </w:r>
      <w:r w:rsidR="002A0177">
        <w:rPr>
          <w:rFonts w:ascii="Garamond" w:hAnsi="Garamond"/>
        </w:rPr>
        <w:t xml:space="preserve">he defendant </w:t>
      </w:r>
      <w:r w:rsidR="00E521CE">
        <w:rPr>
          <w:rFonts w:ascii="Garamond" w:hAnsi="Garamond"/>
        </w:rPr>
        <w:t>h</w:t>
      </w:r>
      <w:r w:rsidR="002A0177">
        <w:rPr>
          <w:rFonts w:ascii="Garamond" w:hAnsi="Garamond"/>
        </w:rPr>
        <w:t>ospital</w:t>
      </w:r>
      <w:r w:rsidR="007F6DC2" w:rsidRPr="00447798">
        <w:rPr>
          <w:rFonts w:ascii="Garamond" w:hAnsi="Garamond"/>
        </w:rPr>
        <w:t xml:space="preserve"> failed to detect</w:t>
      </w:r>
      <w:r w:rsidR="00C46C80">
        <w:rPr>
          <w:rFonts w:ascii="Garamond" w:hAnsi="Garamond"/>
        </w:rPr>
        <w:t xml:space="preserve"> the claimant’s</w:t>
      </w:r>
      <w:r w:rsidR="007F6DC2" w:rsidRPr="00447798">
        <w:rPr>
          <w:rFonts w:ascii="Garamond" w:hAnsi="Garamond"/>
        </w:rPr>
        <w:t xml:space="preserve"> </w:t>
      </w:r>
      <w:r w:rsidR="00C46C80">
        <w:rPr>
          <w:rFonts w:ascii="Garamond" w:hAnsi="Garamond"/>
        </w:rPr>
        <w:t>(</w:t>
      </w:r>
      <w:r w:rsidR="007F6DC2" w:rsidRPr="00447798">
        <w:rPr>
          <w:rFonts w:ascii="Garamond" w:hAnsi="Garamond"/>
        </w:rPr>
        <w:t>Ms X</w:t>
      </w:r>
      <w:r w:rsidR="00C46C80">
        <w:rPr>
          <w:rFonts w:ascii="Garamond" w:hAnsi="Garamond"/>
        </w:rPr>
        <w:t>)</w:t>
      </w:r>
      <w:r w:rsidR="007F6DC2" w:rsidRPr="00447798">
        <w:rPr>
          <w:rFonts w:ascii="Garamond" w:hAnsi="Garamond"/>
        </w:rPr>
        <w:t xml:space="preserve"> cervical cancer</w:t>
      </w:r>
      <w:r w:rsidR="007F6DC2">
        <w:rPr>
          <w:rFonts w:ascii="Garamond" w:hAnsi="Garamond"/>
        </w:rPr>
        <w:t xml:space="preserve">. </w:t>
      </w:r>
      <w:r w:rsidR="00C46C80">
        <w:rPr>
          <w:rFonts w:ascii="Garamond" w:hAnsi="Garamond"/>
        </w:rPr>
        <w:t>She</w:t>
      </w:r>
      <w:r w:rsidR="007F6DC2">
        <w:rPr>
          <w:rFonts w:ascii="Garamond" w:hAnsi="Garamond"/>
        </w:rPr>
        <w:t xml:space="preserve"> was eventually diagnosed </w:t>
      </w:r>
      <w:r w:rsidR="00C46C80">
        <w:rPr>
          <w:rFonts w:ascii="Garamond" w:hAnsi="Garamond"/>
        </w:rPr>
        <w:t>but</w:t>
      </w:r>
      <w:r w:rsidR="007F6DC2">
        <w:rPr>
          <w:rFonts w:ascii="Garamond" w:hAnsi="Garamond"/>
        </w:rPr>
        <w:t xml:space="preserve"> because of the delay in diagnosis, she was unable to have fertility</w:t>
      </w:r>
      <w:r w:rsidR="00C46C80">
        <w:rPr>
          <w:rFonts w:ascii="Garamond" w:hAnsi="Garamond"/>
        </w:rPr>
        <w:t>-</w:t>
      </w:r>
      <w:r w:rsidR="007F6DC2">
        <w:rPr>
          <w:rFonts w:ascii="Garamond" w:hAnsi="Garamond"/>
        </w:rPr>
        <w:t>saving surgery</w:t>
      </w:r>
      <w:r w:rsidR="00F032C4">
        <w:rPr>
          <w:rFonts w:ascii="Garamond" w:hAnsi="Garamond"/>
        </w:rPr>
        <w:t>,</w:t>
      </w:r>
      <w:r w:rsidR="007F6DC2">
        <w:rPr>
          <w:rFonts w:ascii="Garamond" w:hAnsi="Garamond"/>
        </w:rPr>
        <w:t xml:space="preserve"> which </w:t>
      </w:r>
      <w:r w:rsidR="00C46C80">
        <w:rPr>
          <w:rFonts w:ascii="Garamond" w:hAnsi="Garamond"/>
        </w:rPr>
        <w:t xml:space="preserve">otherwise </w:t>
      </w:r>
      <w:r w:rsidR="007F6DC2">
        <w:rPr>
          <w:rFonts w:ascii="Garamond" w:hAnsi="Garamond"/>
        </w:rPr>
        <w:t xml:space="preserve">would have been available to her. </w:t>
      </w:r>
      <w:r w:rsidR="00C46C80">
        <w:rPr>
          <w:rFonts w:ascii="Garamond" w:hAnsi="Garamond"/>
        </w:rPr>
        <w:t xml:space="preserve">As she wished </w:t>
      </w:r>
      <w:r w:rsidR="002A0177">
        <w:rPr>
          <w:rFonts w:ascii="Garamond" w:hAnsi="Garamond"/>
        </w:rPr>
        <w:t>to be a biological mother, p</w:t>
      </w:r>
      <w:r w:rsidR="00F032C4">
        <w:rPr>
          <w:rFonts w:ascii="Garamond" w:hAnsi="Garamond"/>
        </w:rPr>
        <w:t>rior to the treatment for the cancer, Ms X</w:t>
      </w:r>
      <w:r w:rsidR="0030637A">
        <w:rPr>
          <w:rFonts w:ascii="Garamond" w:hAnsi="Garamond"/>
        </w:rPr>
        <w:t xml:space="preserve"> </w:t>
      </w:r>
      <w:r w:rsidR="00C46C80">
        <w:rPr>
          <w:rFonts w:ascii="Garamond" w:hAnsi="Garamond"/>
        </w:rPr>
        <w:t>underwent</w:t>
      </w:r>
      <w:r w:rsidR="004F785D">
        <w:rPr>
          <w:rFonts w:ascii="Garamond" w:hAnsi="Garamond"/>
        </w:rPr>
        <w:t xml:space="preserve"> </w:t>
      </w:r>
      <w:r w:rsidR="00F032C4">
        <w:rPr>
          <w:rFonts w:ascii="Garamond" w:hAnsi="Garamond"/>
        </w:rPr>
        <w:t xml:space="preserve">a cycle of ovarian stimulation and egg harvest, producing 12 eggs </w:t>
      </w:r>
      <w:r w:rsidR="00546B4F">
        <w:rPr>
          <w:rFonts w:ascii="Garamond" w:hAnsi="Garamond"/>
        </w:rPr>
        <w:t xml:space="preserve">that </w:t>
      </w:r>
      <w:r w:rsidR="00F032C4">
        <w:rPr>
          <w:rFonts w:ascii="Garamond" w:hAnsi="Garamond"/>
        </w:rPr>
        <w:t xml:space="preserve">were then </w:t>
      </w:r>
      <w:proofErr w:type="spellStart"/>
      <w:r w:rsidR="00F032C4">
        <w:rPr>
          <w:rFonts w:ascii="Garamond" w:hAnsi="Garamond"/>
        </w:rPr>
        <w:t>cyropreserved</w:t>
      </w:r>
      <w:proofErr w:type="spellEnd"/>
      <w:r w:rsidR="00F032C4">
        <w:rPr>
          <w:rFonts w:ascii="Garamond" w:hAnsi="Garamond"/>
        </w:rPr>
        <w:t xml:space="preserve"> by vitrification. </w:t>
      </w:r>
    </w:p>
    <w:p w14:paraId="2E1B4EFB" w14:textId="77777777" w:rsidR="00F032C4" w:rsidRDefault="00F032C4" w:rsidP="007F6DC2">
      <w:pPr>
        <w:spacing w:line="360" w:lineRule="auto"/>
        <w:rPr>
          <w:rFonts w:ascii="Garamond" w:hAnsi="Garamond"/>
        </w:rPr>
      </w:pPr>
    </w:p>
    <w:p w14:paraId="6A2B6A2B" w14:textId="524429D6" w:rsidR="00F032C4" w:rsidRPr="00F032C4" w:rsidRDefault="00F032C4" w:rsidP="00F032C4">
      <w:pPr>
        <w:spacing w:line="360" w:lineRule="auto"/>
        <w:rPr>
          <w:rFonts w:ascii="Garamond" w:hAnsi="Garamond"/>
        </w:rPr>
      </w:pPr>
      <w:r w:rsidRPr="007F6DC2">
        <w:rPr>
          <w:rFonts w:ascii="Garamond" w:hAnsi="Garamond"/>
        </w:rPr>
        <w:t xml:space="preserve">The </w:t>
      </w:r>
      <w:r w:rsidR="00C46C80">
        <w:rPr>
          <w:rFonts w:ascii="Garamond" w:hAnsi="Garamond"/>
        </w:rPr>
        <w:t xml:space="preserve">claimant’s </w:t>
      </w:r>
      <w:r>
        <w:rPr>
          <w:rFonts w:ascii="Garamond" w:hAnsi="Garamond"/>
        </w:rPr>
        <w:t xml:space="preserve">surgery </w:t>
      </w:r>
      <w:r w:rsidR="00546B4F">
        <w:rPr>
          <w:rFonts w:ascii="Garamond" w:hAnsi="Garamond"/>
        </w:rPr>
        <w:t xml:space="preserve">and </w:t>
      </w:r>
      <w:r w:rsidR="00382D34">
        <w:rPr>
          <w:rFonts w:ascii="Garamond" w:hAnsi="Garamond"/>
        </w:rPr>
        <w:t>chemo-radiotherapy</w:t>
      </w:r>
      <w:r w:rsidR="00546B4F">
        <w:rPr>
          <w:rFonts w:ascii="Garamond" w:hAnsi="Garamond"/>
        </w:rPr>
        <w:t xml:space="preserve"> </w:t>
      </w:r>
      <w:r>
        <w:rPr>
          <w:rFonts w:ascii="Garamond" w:hAnsi="Garamond"/>
        </w:rPr>
        <w:t xml:space="preserve">caused irreparable damage to her uterus and ovaries and she entered premature menopause. </w:t>
      </w:r>
      <w:r w:rsidR="002A0177">
        <w:rPr>
          <w:rFonts w:ascii="Garamond" w:hAnsi="Garamond"/>
        </w:rPr>
        <w:t xml:space="preserve">She also </w:t>
      </w:r>
      <w:r w:rsidR="00546B4F">
        <w:rPr>
          <w:rFonts w:ascii="Garamond" w:hAnsi="Garamond"/>
        </w:rPr>
        <w:t xml:space="preserve">suffered </w:t>
      </w:r>
      <w:r w:rsidR="00546B4F" w:rsidRPr="007F6DC2">
        <w:rPr>
          <w:rFonts w:ascii="Garamond" w:hAnsi="Garamond"/>
        </w:rPr>
        <w:t>severe radiat</w:t>
      </w:r>
      <w:r w:rsidR="00546B4F">
        <w:rPr>
          <w:rFonts w:ascii="Garamond" w:hAnsi="Garamond"/>
        </w:rPr>
        <w:t>ion damage to her bladder and bowel, leading to occasional incontinence and t</w:t>
      </w:r>
      <w:r>
        <w:rPr>
          <w:rFonts w:ascii="Garamond" w:hAnsi="Garamond"/>
        </w:rPr>
        <w:t xml:space="preserve">he treatments also led to vaginal stenosis and </w:t>
      </w:r>
      <w:r w:rsidR="00546B4F">
        <w:rPr>
          <w:rFonts w:ascii="Garamond" w:hAnsi="Garamond"/>
        </w:rPr>
        <w:t>atrophy of the vaginal tissues (</w:t>
      </w:r>
      <w:r>
        <w:rPr>
          <w:rFonts w:ascii="Garamond" w:hAnsi="Garamond"/>
        </w:rPr>
        <w:t>making intercourse extremely painful and thus impossible</w:t>
      </w:r>
      <w:r w:rsidR="00546B4F">
        <w:rPr>
          <w:rFonts w:ascii="Garamond" w:hAnsi="Garamond"/>
        </w:rPr>
        <w:t>)</w:t>
      </w:r>
      <w:r>
        <w:rPr>
          <w:rFonts w:ascii="Garamond" w:hAnsi="Garamond"/>
        </w:rPr>
        <w:t xml:space="preserve">. </w:t>
      </w:r>
      <w:r w:rsidR="004F785D">
        <w:rPr>
          <w:rFonts w:ascii="Garamond" w:hAnsi="Garamond"/>
        </w:rPr>
        <w:t>Following treatment,</w:t>
      </w:r>
      <w:r w:rsidR="002A0177">
        <w:rPr>
          <w:rFonts w:ascii="Garamond" w:hAnsi="Garamond"/>
        </w:rPr>
        <w:t xml:space="preserve"> Ms X was determined to proceed with her plans to found a family with her partner </w:t>
      </w:r>
      <w:r w:rsidR="004135E4">
        <w:rPr>
          <w:rFonts w:ascii="Garamond" w:hAnsi="Garamond"/>
        </w:rPr>
        <w:t xml:space="preserve">and sought to achieve this via a surrogacy arrangement. </w:t>
      </w:r>
      <w:r w:rsidR="002B030C">
        <w:rPr>
          <w:rFonts w:ascii="Garamond" w:hAnsi="Garamond"/>
        </w:rPr>
        <w:t xml:space="preserve">Surrogacy is the practice where </w:t>
      </w:r>
      <w:r w:rsidR="002B030C" w:rsidRPr="00447798">
        <w:rPr>
          <w:rFonts w:ascii="Garamond" w:hAnsi="Garamond"/>
        </w:rPr>
        <w:t>one woman</w:t>
      </w:r>
      <w:r w:rsidR="002B030C">
        <w:rPr>
          <w:rFonts w:ascii="Garamond" w:hAnsi="Garamond"/>
        </w:rPr>
        <w:t xml:space="preserve"> </w:t>
      </w:r>
      <w:r w:rsidR="002B030C" w:rsidRPr="00447798">
        <w:rPr>
          <w:rFonts w:ascii="Garamond" w:hAnsi="Garamond"/>
        </w:rPr>
        <w:t>the surrogate</w:t>
      </w:r>
      <w:r w:rsidR="002B030C">
        <w:rPr>
          <w:rFonts w:ascii="Garamond" w:hAnsi="Garamond"/>
        </w:rPr>
        <w:t xml:space="preserve"> mother gestates </w:t>
      </w:r>
      <w:r w:rsidR="002B030C" w:rsidRPr="00447798">
        <w:rPr>
          <w:rFonts w:ascii="Garamond" w:hAnsi="Garamond"/>
        </w:rPr>
        <w:t>a child for another individual</w:t>
      </w:r>
      <w:r w:rsidR="002B030C">
        <w:rPr>
          <w:rFonts w:ascii="Garamond" w:hAnsi="Garamond"/>
        </w:rPr>
        <w:t>,</w:t>
      </w:r>
      <w:r w:rsidR="002B030C" w:rsidRPr="00447798">
        <w:rPr>
          <w:rFonts w:ascii="Garamond" w:hAnsi="Garamond"/>
        </w:rPr>
        <w:t xml:space="preserve"> or couple</w:t>
      </w:r>
      <w:r w:rsidR="004135E4">
        <w:rPr>
          <w:rFonts w:ascii="Garamond" w:hAnsi="Garamond"/>
        </w:rPr>
        <w:t xml:space="preserve"> (intend</w:t>
      </w:r>
      <w:r w:rsidR="006830D3">
        <w:rPr>
          <w:rFonts w:ascii="Garamond" w:hAnsi="Garamond"/>
        </w:rPr>
        <w:t>ed</w:t>
      </w:r>
      <w:r w:rsidR="003A0FB6">
        <w:rPr>
          <w:rFonts w:ascii="Garamond" w:hAnsi="Garamond"/>
        </w:rPr>
        <w:t xml:space="preserve"> parents)</w:t>
      </w:r>
      <w:r w:rsidR="002B030C" w:rsidRPr="00447798">
        <w:rPr>
          <w:rFonts w:ascii="Garamond" w:hAnsi="Garamond"/>
        </w:rPr>
        <w:t>, with the intention of handing it over after birth and parental respon</w:t>
      </w:r>
      <w:r w:rsidR="002B030C">
        <w:rPr>
          <w:rFonts w:ascii="Garamond" w:hAnsi="Garamond"/>
        </w:rPr>
        <w:t>sibility being transferred (s 1(2)</w:t>
      </w:r>
      <w:r w:rsidR="002B030C" w:rsidRPr="00447798">
        <w:rPr>
          <w:rFonts w:ascii="Garamond" w:hAnsi="Garamond"/>
        </w:rPr>
        <w:t xml:space="preserve"> Surrogacy Arrangements Act </w:t>
      </w:r>
      <w:r w:rsidR="00177A16">
        <w:rPr>
          <w:rFonts w:ascii="Garamond" w:hAnsi="Garamond"/>
        </w:rPr>
        <w:t xml:space="preserve">(SAA) </w:t>
      </w:r>
      <w:r w:rsidR="002B030C" w:rsidRPr="00447798">
        <w:rPr>
          <w:rFonts w:ascii="Garamond" w:hAnsi="Garamond"/>
        </w:rPr>
        <w:t>1985).</w:t>
      </w:r>
      <w:r w:rsidR="002B030C">
        <w:rPr>
          <w:rFonts w:ascii="Garamond" w:hAnsi="Garamond"/>
        </w:rPr>
        <w:t xml:space="preserve"> </w:t>
      </w:r>
      <w:r w:rsidR="004135E4">
        <w:rPr>
          <w:rFonts w:ascii="Garamond" w:hAnsi="Garamond"/>
        </w:rPr>
        <w:t>Ms X</w:t>
      </w:r>
      <w:r w:rsidR="0030637A">
        <w:rPr>
          <w:rFonts w:ascii="Garamond" w:hAnsi="Garamond"/>
        </w:rPr>
        <w:t xml:space="preserve"> had </w:t>
      </w:r>
      <w:r w:rsidRPr="00F032C4">
        <w:rPr>
          <w:rFonts w:ascii="Garamond" w:hAnsi="Garamond"/>
        </w:rPr>
        <w:t xml:space="preserve">decided to opt for a commercial surrogacy arrangement in California, where </w:t>
      </w:r>
      <w:r w:rsidR="00546B4F">
        <w:rPr>
          <w:rFonts w:ascii="Garamond" w:hAnsi="Garamond"/>
        </w:rPr>
        <w:t xml:space="preserve">the practice </w:t>
      </w:r>
      <w:r w:rsidR="00A250F5">
        <w:rPr>
          <w:rFonts w:ascii="Garamond" w:hAnsi="Garamond"/>
        </w:rPr>
        <w:t>i</w:t>
      </w:r>
      <w:r w:rsidR="00546B4F">
        <w:rPr>
          <w:rFonts w:ascii="Garamond" w:hAnsi="Garamond"/>
        </w:rPr>
        <w:t>s lawful and well</w:t>
      </w:r>
      <w:r w:rsidR="00177A16">
        <w:rPr>
          <w:rFonts w:ascii="Garamond" w:hAnsi="Garamond"/>
        </w:rPr>
        <w:t>-</w:t>
      </w:r>
      <w:r w:rsidR="00546B4F">
        <w:rPr>
          <w:rFonts w:ascii="Garamond" w:hAnsi="Garamond"/>
        </w:rPr>
        <w:t xml:space="preserve">established and surrogacy </w:t>
      </w:r>
      <w:r w:rsidR="00177A16">
        <w:rPr>
          <w:rFonts w:ascii="Garamond" w:hAnsi="Garamond"/>
        </w:rPr>
        <w:t xml:space="preserve">contracts </w:t>
      </w:r>
      <w:r w:rsidR="00546B4F">
        <w:rPr>
          <w:rFonts w:ascii="Garamond" w:hAnsi="Garamond"/>
        </w:rPr>
        <w:t xml:space="preserve">legally </w:t>
      </w:r>
      <w:r w:rsidR="0030637A">
        <w:rPr>
          <w:rFonts w:ascii="Garamond" w:hAnsi="Garamond"/>
        </w:rPr>
        <w:t>binding</w:t>
      </w:r>
      <w:r w:rsidR="00546B4F">
        <w:rPr>
          <w:rFonts w:ascii="Garamond" w:hAnsi="Garamond"/>
        </w:rPr>
        <w:t xml:space="preserve">.  </w:t>
      </w:r>
      <w:r w:rsidR="00557385">
        <w:rPr>
          <w:rFonts w:ascii="Garamond" w:hAnsi="Garamond"/>
        </w:rPr>
        <w:t xml:space="preserve">By way of contrast, </w:t>
      </w:r>
      <w:r w:rsidRPr="00F032C4">
        <w:rPr>
          <w:rFonts w:ascii="Garamond" w:hAnsi="Garamond"/>
        </w:rPr>
        <w:t xml:space="preserve">commercial surrogacy arrangements are </w:t>
      </w:r>
      <w:r w:rsidR="00A40CC2">
        <w:rPr>
          <w:rFonts w:ascii="Garamond" w:hAnsi="Garamond"/>
        </w:rPr>
        <w:t xml:space="preserve">unlawful </w:t>
      </w:r>
      <w:r w:rsidR="00557385">
        <w:rPr>
          <w:rFonts w:ascii="Garamond" w:hAnsi="Garamond"/>
        </w:rPr>
        <w:t xml:space="preserve">in the UK </w:t>
      </w:r>
      <w:r w:rsidR="00382D34">
        <w:rPr>
          <w:rFonts w:ascii="Garamond" w:hAnsi="Garamond"/>
        </w:rPr>
        <w:t xml:space="preserve">and </w:t>
      </w:r>
      <w:r w:rsidR="00A40CC2">
        <w:rPr>
          <w:rFonts w:ascii="Garamond" w:hAnsi="Garamond"/>
        </w:rPr>
        <w:t xml:space="preserve">such </w:t>
      </w:r>
      <w:r w:rsidR="0030637A">
        <w:rPr>
          <w:rFonts w:ascii="Garamond" w:hAnsi="Garamond"/>
        </w:rPr>
        <w:t>agreements not legally enforceable</w:t>
      </w:r>
      <w:r w:rsidR="009626E8">
        <w:rPr>
          <w:rFonts w:ascii="Garamond" w:hAnsi="Garamond"/>
        </w:rPr>
        <w:t xml:space="preserve">. </w:t>
      </w:r>
    </w:p>
    <w:p w14:paraId="0F156B72" w14:textId="77777777" w:rsidR="007F6DC2" w:rsidRDefault="007F6DC2" w:rsidP="007F6DC2">
      <w:pPr>
        <w:spacing w:line="360" w:lineRule="auto"/>
        <w:rPr>
          <w:rFonts w:ascii="Garamond" w:hAnsi="Garamond"/>
        </w:rPr>
      </w:pPr>
    </w:p>
    <w:p w14:paraId="2F01433C" w14:textId="682FD6AD" w:rsidR="00847F59" w:rsidRPr="00447798" w:rsidRDefault="004135E4" w:rsidP="00DE331F">
      <w:pPr>
        <w:spacing w:line="360" w:lineRule="auto"/>
        <w:rPr>
          <w:rFonts w:ascii="Garamond" w:hAnsi="Garamond"/>
        </w:rPr>
      </w:pPr>
      <w:r>
        <w:rPr>
          <w:rFonts w:ascii="Garamond" w:hAnsi="Garamond"/>
        </w:rPr>
        <w:t>Ms</w:t>
      </w:r>
      <w:r w:rsidR="0030637A">
        <w:rPr>
          <w:rFonts w:ascii="Garamond" w:hAnsi="Garamond"/>
        </w:rPr>
        <w:t xml:space="preserve"> X brought a claim </w:t>
      </w:r>
      <w:r>
        <w:rPr>
          <w:rFonts w:ascii="Garamond" w:hAnsi="Garamond"/>
        </w:rPr>
        <w:t xml:space="preserve">against the </w:t>
      </w:r>
      <w:r w:rsidR="00E521CE">
        <w:rPr>
          <w:rFonts w:ascii="Garamond" w:hAnsi="Garamond"/>
        </w:rPr>
        <w:t>d</w:t>
      </w:r>
      <w:r>
        <w:rPr>
          <w:rFonts w:ascii="Garamond" w:hAnsi="Garamond"/>
        </w:rPr>
        <w:t>efendants</w:t>
      </w:r>
      <w:r w:rsidR="0030637A">
        <w:rPr>
          <w:rFonts w:ascii="Garamond" w:hAnsi="Garamond"/>
        </w:rPr>
        <w:t xml:space="preserve"> for their negligence in failing to detect </w:t>
      </w:r>
      <w:r>
        <w:rPr>
          <w:rFonts w:ascii="Garamond" w:hAnsi="Garamond"/>
        </w:rPr>
        <w:t xml:space="preserve">the </w:t>
      </w:r>
      <w:r w:rsidR="0030637A">
        <w:rPr>
          <w:rFonts w:ascii="Garamond" w:hAnsi="Garamond"/>
        </w:rPr>
        <w:t>cancer</w:t>
      </w:r>
      <w:r w:rsidR="009626E8">
        <w:rPr>
          <w:rFonts w:ascii="Garamond" w:hAnsi="Garamond"/>
        </w:rPr>
        <w:t xml:space="preserve"> and p</w:t>
      </w:r>
      <w:r w:rsidR="00847F59" w:rsidRPr="00447798">
        <w:rPr>
          <w:rFonts w:ascii="Garamond" w:hAnsi="Garamond"/>
        </w:rPr>
        <w:t xml:space="preserve">art of </w:t>
      </w:r>
      <w:r w:rsidR="00177A16">
        <w:rPr>
          <w:rFonts w:ascii="Garamond" w:hAnsi="Garamond"/>
        </w:rPr>
        <w:t>this</w:t>
      </w:r>
      <w:r w:rsidR="003A5B47">
        <w:rPr>
          <w:rFonts w:ascii="Garamond" w:hAnsi="Garamond"/>
        </w:rPr>
        <w:t xml:space="preserve"> </w:t>
      </w:r>
      <w:r w:rsidR="00847F59" w:rsidRPr="00447798">
        <w:rPr>
          <w:rFonts w:ascii="Garamond" w:hAnsi="Garamond"/>
        </w:rPr>
        <w:t>claim was for the cost of a commercial surrogacy arrangement in California or, if such damages were not awarded, the cost of a non-commercial a</w:t>
      </w:r>
      <w:r w:rsidR="001C6C0F">
        <w:rPr>
          <w:rFonts w:ascii="Garamond" w:hAnsi="Garamond"/>
        </w:rPr>
        <w:t>greement</w:t>
      </w:r>
      <w:r w:rsidR="00847F59" w:rsidRPr="00447798">
        <w:rPr>
          <w:rFonts w:ascii="Garamond" w:hAnsi="Garamond"/>
        </w:rPr>
        <w:t xml:space="preserve"> in the UK. </w:t>
      </w:r>
      <w:r w:rsidR="00847F59" w:rsidRPr="00447798">
        <w:rPr>
          <w:rFonts w:ascii="Garamond" w:hAnsi="Garamond"/>
          <w:lang w:eastAsia="en-GB"/>
        </w:rPr>
        <w:t>The</w:t>
      </w:r>
      <w:r w:rsidR="000678B6" w:rsidRPr="00447798">
        <w:rPr>
          <w:rFonts w:ascii="Garamond" w:hAnsi="Garamond"/>
          <w:lang w:eastAsia="en-GB"/>
        </w:rPr>
        <w:t xml:space="preserve"> claim </w:t>
      </w:r>
      <w:r w:rsidR="001C6C0F">
        <w:rPr>
          <w:rFonts w:ascii="Garamond" w:hAnsi="Garamond"/>
          <w:lang w:eastAsia="en-GB"/>
        </w:rPr>
        <w:lastRenderedPageBreak/>
        <w:t>was for</w:t>
      </w:r>
      <w:r w:rsidR="000678B6" w:rsidRPr="00447798">
        <w:rPr>
          <w:rFonts w:ascii="Garamond" w:hAnsi="Garamond"/>
          <w:lang w:eastAsia="en-GB"/>
        </w:rPr>
        <w:t xml:space="preserve"> </w:t>
      </w:r>
      <w:r w:rsidR="00847F59" w:rsidRPr="00447798">
        <w:rPr>
          <w:rFonts w:ascii="Garamond" w:hAnsi="Garamond"/>
          <w:lang w:eastAsia="en-GB"/>
        </w:rPr>
        <w:t>four pregn</w:t>
      </w:r>
      <w:r w:rsidR="00B72773" w:rsidRPr="00447798">
        <w:rPr>
          <w:rFonts w:ascii="Garamond" w:hAnsi="Garamond"/>
          <w:lang w:eastAsia="en-GB"/>
        </w:rPr>
        <w:t xml:space="preserve">ancies using Ms X’s own </w:t>
      </w:r>
      <w:r w:rsidR="00751CA5">
        <w:rPr>
          <w:rFonts w:ascii="Garamond" w:hAnsi="Garamond"/>
          <w:lang w:eastAsia="en-GB"/>
        </w:rPr>
        <w:t xml:space="preserve">cryopreserved </w:t>
      </w:r>
      <w:r w:rsidR="00B72773" w:rsidRPr="00447798">
        <w:rPr>
          <w:rFonts w:ascii="Garamond" w:hAnsi="Garamond"/>
          <w:lang w:eastAsia="en-GB"/>
        </w:rPr>
        <w:t>eggs or,</w:t>
      </w:r>
      <w:r w:rsidR="00847F59" w:rsidRPr="00447798">
        <w:rPr>
          <w:rFonts w:ascii="Garamond" w:hAnsi="Garamond"/>
          <w:lang w:eastAsia="en-GB"/>
        </w:rPr>
        <w:t xml:space="preserve"> if necessary</w:t>
      </w:r>
      <w:r w:rsidR="00B72773" w:rsidRPr="00447798">
        <w:rPr>
          <w:rFonts w:ascii="Garamond" w:hAnsi="Garamond"/>
          <w:lang w:eastAsia="en-GB"/>
        </w:rPr>
        <w:t>, with</w:t>
      </w:r>
      <w:r w:rsidR="00847F59" w:rsidRPr="00447798">
        <w:rPr>
          <w:rFonts w:ascii="Garamond" w:hAnsi="Garamond"/>
          <w:lang w:eastAsia="en-GB"/>
        </w:rPr>
        <w:t xml:space="preserve"> donor eggs and her partner’s sperm.</w:t>
      </w:r>
      <w:r w:rsidR="000678B6" w:rsidRPr="00447798">
        <w:rPr>
          <w:rFonts w:ascii="Garamond" w:hAnsi="Garamond"/>
          <w:lang w:eastAsia="en-GB"/>
        </w:rPr>
        <w:t xml:space="preserve"> </w:t>
      </w:r>
      <w:r w:rsidR="009626E8">
        <w:rPr>
          <w:rFonts w:ascii="Garamond" w:hAnsi="Garamond"/>
        </w:rPr>
        <w:t>L</w:t>
      </w:r>
      <w:r w:rsidR="009626E8" w:rsidRPr="007F6DC2">
        <w:rPr>
          <w:rFonts w:ascii="Garamond" w:hAnsi="Garamond"/>
        </w:rPr>
        <w:t xml:space="preserve">iability was admitted and the key issue </w:t>
      </w:r>
      <w:r>
        <w:rPr>
          <w:rFonts w:ascii="Garamond" w:hAnsi="Garamond"/>
        </w:rPr>
        <w:t xml:space="preserve">in the case </w:t>
      </w:r>
      <w:r w:rsidR="009626E8" w:rsidRPr="007F6DC2">
        <w:rPr>
          <w:rFonts w:ascii="Garamond" w:hAnsi="Garamond"/>
        </w:rPr>
        <w:t>was the correct measure of damages.</w:t>
      </w:r>
    </w:p>
    <w:p w14:paraId="4AD16BD6" w14:textId="77777777" w:rsidR="003B380A" w:rsidRPr="00447798" w:rsidRDefault="003B380A" w:rsidP="00DE331F">
      <w:pPr>
        <w:spacing w:line="360" w:lineRule="auto"/>
        <w:rPr>
          <w:rFonts w:ascii="Garamond" w:hAnsi="Garamond"/>
        </w:rPr>
      </w:pPr>
    </w:p>
    <w:p w14:paraId="12C14BA8" w14:textId="0AA20444" w:rsidR="00527186" w:rsidRPr="00447798" w:rsidRDefault="009626E8" w:rsidP="00DE331F">
      <w:pPr>
        <w:spacing w:line="360" w:lineRule="auto"/>
        <w:rPr>
          <w:rFonts w:ascii="Garamond" w:hAnsi="Garamond"/>
          <w:i/>
        </w:rPr>
      </w:pPr>
      <w:r>
        <w:rPr>
          <w:rFonts w:ascii="Garamond" w:hAnsi="Garamond"/>
        </w:rPr>
        <w:t>In seeking the cost of</w:t>
      </w:r>
      <w:r w:rsidR="00177A16">
        <w:rPr>
          <w:rFonts w:ascii="Garamond" w:hAnsi="Garamond"/>
        </w:rPr>
        <w:t xml:space="preserve"> a</w:t>
      </w:r>
      <w:r>
        <w:rPr>
          <w:rFonts w:ascii="Garamond" w:hAnsi="Garamond"/>
        </w:rPr>
        <w:t xml:space="preserve"> commercial surrogacy in California, a</w:t>
      </w:r>
      <w:r w:rsidR="00312C71">
        <w:rPr>
          <w:rFonts w:ascii="Garamond" w:hAnsi="Garamond"/>
        </w:rPr>
        <w:t xml:space="preserve"> potential</w:t>
      </w:r>
      <w:r w:rsidR="00527186" w:rsidRPr="00447798">
        <w:rPr>
          <w:rFonts w:ascii="Garamond" w:hAnsi="Garamond"/>
        </w:rPr>
        <w:t xml:space="preserve"> stumbling block for Ms X was that similar issues had arisen in a previous Court of Appeal decision, </w:t>
      </w:r>
      <w:bookmarkStart w:id="1" w:name="para14"/>
      <w:proofErr w:type="spellStart"/>
      <w:r w:rsidR="00527186" w:rsidRPr="00447798">
        <w:rPr>
          <w:rFonts w:ascii="Garamond" w:hAnsi="Garamond"/>
          <w:i/>
          <w:iCs/>
        </w:rPr>
        <w:t>Briody</w:t>
      </w:r>
      <w:proofErr w:type="spellEnd"/>
      <w:r w:rsidR="00527186" w:rsidRPr="00447798">
        <w:rPr>
          <w:rFonts w:ascii="Garamond" w:hAnsi="Garamond"/>
          <w:i/>
          <w:iCs/>
        </w:rPr>
        <w:t xml:space="preserve"> v St Helens and Knowsley Area Health Authority</w:t>
      </w:r>
      <w:r w:rsidR="00527186" w:rsidRPr="00447798">
        <w:rPr>
          <w:rFonts w:ascii="Garamond" w:hAnsi="Garamond"/>
          <w:i/>
        </w:rPr>
        <w:t> </w:t>
      </w:r>
      <w:bookmarkEnd w:id="1"/>
      <w:r w:rsidR="00557385" w:rsidRPr="00557385">
        <w:rPr>
          <w:rFonts w:ascii="Garamond" w:hAnsi="Garamond"/>
        </w:rPr>
        <w:t xml:space="preserve">[2001] EWCA </w:t>
      </w:r>
      <w:proofErr w:type="spellStart"/>
      <w:r w:rsidR="00557385" w:rsidRPr="00557385">
        <w:rPr>
          <w:rFonts w:ascii="Garamond" w:hAnsi="Garamond"/>
        </w:rPr>
        <w:t>Civ</w:t>
      </w:r>
      <w:proofErr w:type="spellEnd"/>
      <w:r w:rsidR="00557385" w:rsidRPr="00557385">
        <w:rPr>
          <w:rFonts w:ascii="Garamond" w:hAnsi="Garamond"/>
        </w:rPr>
        <w:t xml:space="preserve"> 1010</w:t>
      </w:r>
      <w:r w:rsidR="00557385">
        <w:rPr>
          <w:rFonts w:ascii="Garamond" w:hAnsi="Garamond"/>
        </w:rPr>
        <w:t>;</w:t>
      </w:r>
      <w:r w:rsidR="00557385" w:rsidRPr="00557385">
        <w:rPr>
          <w:rFonts w:ascii="Garamond" w:hAnsi="Garamond"/>
          <w:i/>
        </w:rPr>
        <w:t xml:space="preserve"> </w:t>
      </w:r>
      <w:r w:rsidR="00527186" w:rsidRPr="00447798">
        <w:rPr>
          <w:rFonts w:ascii="Garamond" w:hAnsi="Garamond"/>
        </w:rPr>
        <w:t>[2002] QB 856</w:t>
      </w:r>
      <w:r w:rsidR="00B72773" w:rsidRPr="00447798">
        <w:rPr>
          <w:rFonts w:ascii="Garamond" w:hAnsi="Garamond"/>
        </w:rPr>
        <w:t>,</w:t>
      </w:r>
      <w:r w:rsidR="00527186" w:rsidRPr="00447798">
        <w:rPr>
          <w:rFonts w:ascii="Garamond" w:hAnsi="Garamond"/>
        </w:rPr>
        <w:t xml:space="preserve"> where the defendant’s negligence had </w:t>
      </w:r>
      <w:r w:rsidR="000760C8">
        <w:rPr>
          <w:rFonts w:ascii="Garamond" w:hAnsi="Garamond"/>
        </w:rPr>
        <w:t xml:space="preserve">led to the claimant losing </w:t>
      </w:r>
      <w:r w:rsidR="00527186" w:rsidRPr="00447798">
        <w:rPr>
          <w:rFonts w:ascii="Garamond" w:hAnsi="Garamond"/>
        </w:rPr>
        <w:t xml:space="preserve">her uterus. </w:t>
      </w:r>
      <w:r w:rsidR="000760C8">
        <w:rPr>
          <w:rFonts w:ascii="Garamond" w:hAnsi="Garamond"/>
        </w:rPr>
        <w:t>Like Ms X, she claimed damages in respect of the cost of a commercial surrogacy arrangement in California.</w:t>
      </w:r>
      <w:r>
        <w:rPr>
          <w:rFonts w:ascii="Garamond" w:hAnsi="Garamond"/>
        </w:rPr>
        <w:t xml:space="preserve"> It was held that whil</w:t>
      </w:r>
      <w:r w:rsidR="00177A16">
        <w:rPr>
          <w:rFonts w:ascii="Garamond" w:hAnsi="Garamond"/>
        </w:rPr>
        <w:t>e</w:t>
      </w:r>
      <w:r>
        <w:rPr>
          <w:rFonts w:ascii="Garamond" w:hAnsi="Garamond"/>
        </w:rPr>
        <w:t xml:space="preserve"> </w:t>
      </w:r>
      <w:r w:rsidR="00361A3A">
        <w:rPr>
          <w:rFonts w:ascii="Garamond" w:hAnsi="Garamond"/>
        </w:rPr>
        <w:t>surrogacy itself was not contrary to public policy (at [11] per Hale L</w:t>
      </w:r>
      <w:r w:rsidR="00641A64">
        <w:rPr>
          <w:rFonts w:ascii="Garamond" w:hAnsi="Garamond"/>
        </w:rPr>
        <w:t>.</w:t>
      </w:r>
      <w:r w:rsidR="00361A3A">
        <w:rPr>
          <w:rFonts w:ascii="Garamond" w:hAnsi="Garamond"/>
        </w:rPr>
        <w:t>J</w:t>
      </w:r>
      <w:r w:rsidR="00641A64">
        <w:rPr>
          <w:rFonts w:ascii="Garamond" w:hAnsi="Garamond"/>
        </w:rPr>
        <w:t>.</w:t>
      </w:r>
      <w:r w:rsidR="00361A3A">
        <w:rPr>
          <w:rFonts w:ascii="Garamond" w:hAnsi="Garamond"/>
        </w:rPr>
        <w:t>),</w:t>
      </w:r>
      <w:r w:rsidR="00142CFD">
        <w:rPr>
          <w:rFonts w:ascii="Garamond" w:hAnsi="Garamond"/>
        </w:rPr>
        <w:t xml:space="preserve"> </w:t>
      </w:r>
      <w:r w:rsidR="001C6C0F">
        <w:rPr>
          <w:rFonts w:ascii="Garamond" w:hAnsi="Garamond"/>
        </w:rPr>
        <w:t xml:space="preserve">Ms </w:t>
      </w:r>
      <w:proofErr w:type="spellStart"/>
      <w:r w:rsidR="001C6C0F">
        <w:rPr>
          <w:rFonts w:ascii="Garamond" w:hAnsi="Garamond"/>
        </w:rPr>
        <w:t>Briody</w:t>
      </w:r>
      <w:proofErr w:type="spellEnd"/>
      <w:r w:rsidR="00527186" w:rsidRPr="00447798">
        <w:rPr>
          <w:rFonts w:ascii="Garamond" w:hAnsi="Garamond"/>
        </w:rPr>
        <w:t xml:space="preserve"> could not recover the costs of a Californian surrogacy because the cha</w:t>
      </w:r>
      <w:r w:rsidR="0078368A">
        <w:rPr>
          <w:rFonts w:ascii="Garamond" w:hAnsi="Garamond"/>
        </w:rPr>
        <w:t xml:space="preserve">nce of success was low and </w:t>
      </w:r>
      <w:r>
        <w:rPr>
          <w:rFonts w:ascii="Garamond" w:hAnsi="Garamond"/>
        </w:rPr>
        <w:t>commercial surrogacy</w:t>
      </w:r>
      <w:r w:rsidR="0078368A">
        <w:rPr>
          <w:rFonts w:ascii="Garamond" w:hAnsi="Garamond"/>
        </w:rPr>
        <w:t xml:space="preserve"> arrangement</w:t>
      </w:r>
      <w:r w:rsidR="003A5B47">
        <w:rPr>
          <w:rFonts w:ascii="Garamond" w:hAnsi="Garamond"/>
        </w:rPr>
        <w:t>s</w:t>
      </w:r>
      <w:r w:rsidR="0078368A">
        <w:rPr>
          <w:rFonts w:ascii="Garamond" w:hAnsi="Garamond"/>
        </w:rPr>
        <w:t xml:space="preserve"> </w:t>
      </w:r>
      <w:r w:rsidR="00751CA5">
        <w:rPr>
          <w:rFonts w:ascii="Garamond" w:hAnsi="Garamond"/>
        </w:rPr>
        <w:t xml:space="preserve">did not comply with English law and </w:t>
      </w:r>
      <w:r w:rsidR="00177A16">
        <w:rPr>
          <w:rFonts w:ascii="Garamond" w:hAnsi="Garamond"/>
        </w:rPr>
        <w:t xml:space="preserve">so </w:t>
      </w:r>
      <w:r w:rsidR="0078368A">
        <w:rPr>
          <w:rFonts w:ascii="Garamond" w:hAnsi="Garamond"/>
        </w:rPr>
        <w:t>w</w:t>
      </w:r>
      <w:r w:rsidR="003A5B47">
        <w:rPr>
          <w:rFonts w:ascii="Garamond" w:hAnsi="Garamond"/>
        </w:rPr>
        <w:t>ere</w:t>
      </w:r>
      <w:r w:rsidR="0078368A">
        <w:rPr>
          <w:rFonts w:ascii="Garamond" w:hAnsi="Garamond"/>
        </w:rPr>
        <w:t xml:space="preserve"> contrary to pu</w:t>
      </w:r>
      <w:r w:rsidR="00361A3A">
        <w:rPr>
          <w:rFonts w:ascii="Garamond" w:hAnsi="Garamond"/>
        </w:rPr>
        <w:t>blic policy (at [15]</w:t>
      </w:r>
      <w:r w:rsidR="0078368A">
        <w:rPr>
          <w:rFonts w:ascii="Garamond" w:hAnsi="Garamond"/>
        </w:rPr>
        <w:t>).</w:t>
      </w:r>
      <w:r w:rsidR="00E521CE">
        <w:rPr>
          <w:rFonts w:ascii="Garamond" w:hAnsi="Garamond"/>
        </w:rPr>
        <w:t xml:space="preserve"> </w:t>
      </w:r>
    </w:p>
    <w:p w14:paraId="1C802B33" w14:textId="77777777" w:rsidR="00527186" w:rsidRPr="00447798" w:rsidRDefault="00527186" w:rsidP="00DE331F">
      <w:pPr>
        <w:spacing w:line="360" w:lineRule="auto"/>
        <w:rPr>
          <w:rFonts w:ascii="Garamond" w:hAnsi="Garamond"/>
        </w:rPr>
      </w:pPr>
    </w:p>
    <w:p w14:paraId="1BF914D5" w14:textId="22732C19" w:rsidR="000678B6" w:rsidRPr="00447798" w:rsidRDefault="00B72773" w:rsidP="00DE331F">
      <w:pPr>
        <w:spacing w:line="360" w:lineRule="auto"/>
        <w:rPr>
          <w:rFonts w:ascii="Garamond" w:hAnsi="Garamond"/>
          <w:b/>
        </w:rPr>
      </w:pPr>
      <w:r w:rsidRPr="00447798">
        <w:rPr>
          <w:rFonts w:ascii="Garamond" w:hAnsi="Garamond"/>
        </w:rPr>
        <w:t>At first instance</w:t>
      </w:r>
      <w:r w:rsidR="00177A16">
        <w:rPr>
          <w:rFonts w:ascii="Garamond" w:hAnsi="Garamond"/>
        </w:rPr>
        <w:t xml:space="preserve"> in </w:t>
      </w:r>
      <w:r w:rsidR="00177A16">
        <w:rPr>
          <w:rFonts w:ascii="Garamond" w:hAnsi="Garamond"/>
          <w:i/>
        </w:rPr>
        <w:t>XX</w:t>
      </w:r>
      <w:r w:rsidR="003A5B47">
        <w:rPr>
          <w:rFonts w:ascii="Garamond" w:hAnsi="Garamond"/>
        </w:rPr>
        <w:t>,</w:t>
      </w:r>
      <w:r w:rsidRPr="00447798">
        <w:rPr>
          <w:rFonts w:ascii="Garamond" w:hAnsi="Garamond"/>
        </w:rPr>
        <w:t xml:space="preserve"> the </w:t>
      </w:r>
      <w:r w:rsidR="009626E8">
        <w:rPr>
          <w:rFonts w:ascii="Garamond" w:hAnsi="Garamond"/>
        </w:rPr>
        <w:t xml:space="preserve">trial </w:t>
      </w:r>
      <w:r w:rsidRPr="00447798">
        <w:rPr>
          <w:rFonts w:ascii="Garamond" w:hAnsi="Garamond"/>
        </w:rPr>
        <w:t xml:space="preserve">judge, Sir Robert Nelson, </w:t>
      </w:r>
      <w:r w:rsidR="00751CA5">
        <w:rPr>
          <w:rFonts w:ascii="Garamond" w:hAnsi="Garamond"/>
        </w:rPr>
        <w:t xml:space="preserve">held that the High Court was bound by the decision in </w:t>
      </w:r>
      <w:proofErr w:type="spellStart"/>
      <w:r w:rsidR="00751CA5" w:rsidRPr="00C46C80">
        <w:rPr>
          <w:rFonts w:ascii="Garamond" w:hAnsi="Garamond"/>
          <w:i/>
        </w:rPr>
        <w:t>Briody</w:t>
      </w:r>
      <w:proofErr w:type="spellEnd"/>
      <w:r w:rsidR="00751CA5">
        <w:rPr>
          <w:rFonts w:ascii="Garamond" w:hAnsi="Garamond"/>
        </w:rPr>
        <w:t xml:space="preserve"> and thus the claim for expenses of </w:t>
      </w:r>
      <w:r w:rsidR="00177A16">
        <w:rPr>
          <w:rFonts w:ascii="Garamond" w:hAnsi="Garamond"/>
        </w:rPr>
        <w:t xml:space="preserve">a </w:t>
      </w:r>
      <w:r w:rsidR="00751CA5">
        <w:rPr>
          <w:rFonts w:ascii="Garamond" w:hAnsi="Garamond"/>
        </w:rPr>
        <w:t xml:space="preserve">Californian surrogacy had to fail, given that commercial surrogacy arrangements remain illegal in the UK and thus remain contrary to public policy. </w:t>
      </w:r>
      <w:r w:rsidR="00557385">
        <w:rPr>
          <w:rFonts w:ascii="Garamond" w:hAnsi="Garamond"/>
        </w:rPr>
        <w:t>However,</w:t>
      </w:r>
      <w:r w:rsidR="00751CA5">
        <w:rPr>
          <w:rFonts w:ascii="Garamond" w:hAnsi="Garamond"/>
        </w:rPr>
        <w:t xml:space="preserve"> he </w:t>
      </w:r>
      <w:r w:rsidR="00312C71">
        <w:rPr>
          <w:rFonts w:ascii="Garamond" w:hAnsi="Garamond"/>
        </w:rPr>
        <w:t xml:space="preserve">distinguished </w:t>
      </w:r>
      <w:r w:rsidR="00751CA5">
        <w:rPr>
          <w:rFonts w:ascii="Garamond" w:hAnsi="Garamond"/>
        </w:rPr>
        <w:t xml:space="preserve">the present case from that of </w:t>
      </w:r>
      <w:proofErr w:type="spellStart"/>
      <w:r w:rsidR="00751CA5" w:rsidRPr="00C46C80">
        <w:rPr>
          <w:rFonts w:ascii="Garamond" w:hAnsi="Garamond"/>
          <w:i/>
        </w:rPr>
        <w:t>Briody</w:t>
      </w:r>
      <w:proofErr w:type="spellEnd"/>
      <w:r w:rsidR="00312C71">
        <w:rPr>
          <w:rFonts w:ascii="Garamond" w:hAnsi="Garamond"/>
        </w:rPr>
        <w:t xml:space="preserve"> in</w:t>
      </w:r>
      <w:r w:rsidR="00527186" w:rsidRPr="00447798">
        <w:rPr>
          <w:rFonts w:ascii="Garamond" w:hAnsi="Garamond"/>
        </w:rPr>
        <w:t xml:space="preserve"> </w:t>
      </w:r>
      <w:r w:rsidR="00312C71">
        <w:rPr>
          <w:rFonts w:ascii="Garamond" w:hAnsi="Garamond"/>
        </w:rPr>
        <w:t>permitting</w:t>
      </w:r>
      <w:r w:rsidR="002A4905" w:rsidRPr="00447798">
        <w:rPr>
          <w:rFonts w:ascii="Garamond" w:hAnsi="Garamond"/>
        </w:rPr>
        <w:t xml:space="preserve"> the costs of a non-commercial </w:t>
      </w:r>
      <w:r w:rsidR="006A6ED5">
        <w:rPr>
          <w:rFonts w:ascii="Garamond" w:hAnsi="Garamond"/>
        </w:rPr>
        <w:t>domestic</w:t>
      </w:r>
      <w:r w:rsidR="002A4905" w:rsidRPr="00447798">
        <w:rPr>
          <w:rFonts w:ascii="Garamond" w:hAnsi="Garamond"/>
        </w:rPr>
        <w:t xml:space="preserve"> </w:t>
      </w:r>
      <w:r w:rsidR="00751CA5">
        <w:rPr>
          <w:rFonts w:ascii="Garamond" w:hAnsi="Garamond"/>
        </w:rPr>
        <w:t>surrogacy arrangement</w:t>
      </w:r>
      <w:r w:rsidR="002A4905" w:rsidRPr="00447798">
        <w:rPr>
          <w:rFonts w:ascii="Garamond" w:hAnsi="Garamond"/>
        </w:rPr>
        <w:t xml:space="preserve">. </w:t>
      </w:r>
      <w:r w:rsidR="00141938" w:rsidRPr="00447798">
        <w:rPr>
          <w:rFonts w:ascii="Garamond" w:hAnsi="Garamond"/>
        </w:rPr>
        <w:t>The latter</w:t>
      </w:r>
      <w:r w:rsidR="00527186" w:rsidRPr="00447798">
        <w:rPr>
          <w:rFonts w:ascii="Garamond" w:hAnsi="Garamond"/>
        </w:rPr>
        <w:t xml:space="preserve"> was not contrary to English law</w:t>
      </w:r>
      <w:r w:rsidR="003A32EA">
        <w:rPr>
          <w:rFonts w:ascii="Garamond" w:hAnsi="Garamond"/>
        </w:rPr>
        <w:t>,</w:t>
      </w:r>
      <w:r w:rsidR="00527186" w:rsidRPr="00447798">
        <w:rPr>
          <w:rFonts w:ascii="Garamond" w:hAnsi="Garamond"/>
        </w:rPr>
        <w:t xml:space="preserve"> or public policy</w:t>
      </w:r>
      <w:r w:rsidRPr="00447798">
        <w:rPr>
          <w:rFonts w:ascii="Garamond" w:hAnsi="Garamond"/>
        </w:rPr>
        <w:t xml:space="preserve"> and Ms X</w:t>
      </w:r>
      <w:r w:rsidR="003A5B47">
        <w:rPr>
          <w:rFonts w:ascii="Garamond" w:hAnsi="Garamond"/>
        </w:rPr>
        <w:t>’</w:t>
      </w:r>
      <w:r w:rsidRPr="00447798">
        <w:rPr>
          <w:rFonts w:ascii="Garamond" w:hAnsi="Garamond"/>
        </w:rPr>
        <w:t xml:space="preserve">s chances of success were higher than </w:t>
      </w:r>
      <w:r w:rsidR="00141938" w:rsidRPr="00447798">
        <w:rPr>
          <w:rFonts w:ascii="Garamond" w:hAnsi="Garamond"/>
        </w:rPr>
        <w:t xml:space="preserve">Ms </w:t>
      </w:r>
      <w:proofErr w:type="spellStart"/>
      <w:r w:rsidR="00141938" w:rsidRPr="00447798">
        <w:rPr>
          <w:rFonts w:ascii="Garamond" w:hAnsi="Garamond"/>
        </w:rPr>
        <w:t>Briody’s</w:t>
      </w:r>
      <w:proofErr w:type="spellEnd"/>
      <w:r w:rsidR="00527186" w:rsidRPr="00447798">
        <w:rPr>
          <w:rFonts w:ascii="Garamond" w:hAnsi="Garamond"/>
        </w:rPr>
        <w:t xml:space="preserve">. </w:t>
      </w:r>
      <w:r w:rsidR="00DC7E0E">
        <w:rPr>
          <w:rFonts w:ascii="Garamond" w:hAnsi="Garamond"/>
        </w:rPr>
        <w:t>Ms X was, of course, free to spend her damages however she wished so there would be nothing to stop her spending her damages for pain and suffering on a commercial surrogacy agreement in another in California.</w:t>
      </w:r>
      <w:r w:rsidR="00A40CC2">
        <w:rPr>
          <w:rFonts w:ascii="Garamond" w:hAnsi="Garamond"/>
        </w:rPr>
        <w:t xml:space="preserve"> </w:t>
      </w:r>
      <w:r w:rsidR="00751CA5">
        <w:rPr>
          <w:rFonts w:ascii="Garamond" w:hAnsi="Garamond"/>
        </w:rPr>
        <w:t>M</w:t>
      </w:r>
      <w:r w:rsidR="004135E4">
        <w:rPr>
          <w:rFonts w:ascii="Garamond" w:hAnsi="Garamond"/>
        </w:rPr>
        <w:t xml:space="preserve">s </w:t>
      </w:r>
      <w:r w:rsidR="00751CA5">
        <w:rPr>
          <w:rFonts w:ascii="Garamond" w:hAnsi="Garamond"/>
        </w:rPr>
        <w:t>X appealed t</w:t>
      </w:r>
      <w:r w:rsidR="00A40CC2">
        <w:rPr>
          <w:rFonts w:ascii="Garamond" w:hAnsi="Garamond"/>
        </w:rPr>
        <w:t>he ruling</w:t>
      </w:r>
      <w:r w:rsidR="00751CA5">
        <w:rPr>
          <w:rFonts w:ascii="Garamond" w:hAnsi="Garamond"/>
        </w:rPr>
        <w:t xml:space="preserve">. </w:t>
      </w:r>
    </w:p>
    <w:p w14:paraId="3DA0E9AC" w14:textId="541FC7BD" w:rsidR="000678B6" w:rsidRPr="00447798" w:rsidRDefault="000678B6" w:rsidP="00DE331F">
      <w:pPr>
        <w:spacing w:line="360" w:lineRule="auto"/>
        <w:rPr>
          <w:rFonts w:ascii="Garamond" w:hAnsi="Garamond"/>
          <w:b/>
        </w:rPr>
      </w:pPr>
    </w:p>
    <w:p w14:paraId="064A9E97" w14:textId="4A72644B" w:rsidR="00C8367C" w:rsidRDefault="002A4905" w:rsidP="00DE331F">
      <w:pPr>
        <w:spacing w:line="360" w:lineRule="auto"/>
        <w:rPr>
          <w:rFonts w:ascii="Garamond" w:hAnsi="Garamond"/>
        </w:rPr>
      </w:pPr>
      <w:r w:rsidRPr="00447798">
        <w:rPr>
          <w:rFonts w:ascii="Garamond" w:hAnsi="Garamond"/>
        </w:rPr>
        <w:t xml:space="preserve">Reversing </w:t>
      </w:r>
      <w:r w:rsidR="00141938" w:rsidRPr="00447798">
        <w:rPr>
          <w:rFonts w:ascii="Garamond" w:hAnsi="Garamond"/>
        </w:rPr>
        <w:t>the judg</w:t>
      </w:r>
      <w:r w:rsidR="00A13890">
        <w:rPr>
          <w:rFonts w:ascii="Garamond" w:hAnsi="Garamond"/>
        </w:rPr>
        <w:t>ment</w:t>
      </w:r>
      <w:r w:rsidR="001C6C0F">
        <w:rPr>
          <w:rFonts w:ascii="Garamond" w:hAnsi="Garamond"/>
        </w:rPr>
        <w:t xml:space="preserve"> in part</w:t>
      </w:r>
      <w:r w:rsidRPr="00447798">
        <w:rPr>
          <w:rFonts w:ascii="Garamond" w:hAnsi="Garamond"/>
        </w:rPr>
        <w:t>, the Court of Appeal</w:t>
      </w:r>
      <w:r w:rsidR="00141938" w:rsidRPr="00447798">
        <w:rPr>
          <w:rFonts w:ascii="Garamond" w:hAnsi="Garamond"/>
        </w:rPr>
        <w:t xml:space="preserve"> (</w:t>
      </w:r>
      <w:proofErr w:type="spellStart"/>
      <w:r w:rsidR="00141938" w:rsidRPr="00447798">
        <w:rPr>
          <w:rFonts w:ascii="Garamond" w:hAnsi="Garamond"/>
        </w:rPr>
        <w:t>McCombe</w:t>
      </w:r>
      <w:proofErr w:type="spellEnd"/>
      <w:r w:rsidR="00141938" w:rsidRPr="00447798">
        <w:rPr>
          <w:rFonts w:ascii="Garamond" w:hAnsi="Garamond"/>
        </w:rPr>
        <w:t>, King and Nicola Davies LL</w:t>
      </w:r>
      <w:r w:rsidR="00557385">
        <w:rPr>
          <w:rFonts w:ascii="Garamond" w:hAnsi="Garamond"/>
        </w:rPr>
        <w:t>.</w:t>
      </w:r>
      <w:r w:rsidR="00141938" w:rsidRPr="00447798">
        <w:rPr>
          <w:rFonts w:ascii="Garamond" w:hAnsi="Garamond"/>
        </w:rPr>
        <w:t>J</w:t>
      </w:r>
      <w:r w:rsidR="00557385">
        <w:rPr>
          <w:rFonts w:ascii="Garamond" w:hAnsi="Garamond"/>
        </w:rPr>
        <w:t>.</w:t>
      </w:r>
      <w:r w:rsidR="00141938" w:rsidRPr="00447798">
        <w:rPr>
          <w:rFonts w:ascii="Garamond" w:hAnsi="Garamond"/>
        </w:rPr>
        <w:t>)</w:t>
      </w:r>
      <w:r w:rsidRPr="00447798">
        <w:rPr>
          <w:rFonts w:ascii="Garamond" w:hAnsi="Garamond"/>
        </w:rPr>
        <w:t xml:space="preserve"> held that Ms X could recover the cost of surrogacy in California and that the judge was wrong to </w:t>
      </w:r>
      <w:r w:rsidR="00C8367C">
        <w:rPr>
          <w:rFonts w:ascii="Garamond" w:hAnsi="Garamond"/>
        </w:rPr>
        <w:t>differentiate</w:t>
      </w:r>
      <w:r w:rsidR="009A54EE" w:rsidRPr="00447798">
        <w:rPr>
          <w:rFonts w:ascii="Garamond" w:hAnsi="Garamond"/>
        </w:rPr>
        <w:t xml:space="preserve"> an arrangement using Ms X’s ow</w:t>
      </w:r>
      <w:r w:rsidR="009A54EE">
        <w:rPr>
          <w:rFonts w:ascii="Garamond" w:hAnsi="Garamond"/>
        </w:rPr>
        <w:t>n eggs and one using donor eggs</w:t>
      </w:r>
      <w:r w:rsidR="009A54EE" w:rsidRPr="00447798">
        <w:rPr>
          <w:rFonts w:ascii="Garamond" w:hAnsi="Garamond"/>
        </w:rPr>
        <w:t xml:space="preserve"> </w:t>
      </w:r>
      <w:r w:rsidR="009A54EE">
        <w:rPr>
          <w:rFonts w:ascii="Garamond" w:hAnsi="Garamond"/>
        </w:rPr>
        <w:t>(he had only awarded</w:t>
      </w:r>
      <w:r w:rsidR="009A54EE" w:rsidRPr="00447798">
        <w:rPr>
          <w:rFonts w:ascii="Garamond" w:hAnsi="Garamond"/>
        </w:rPr>
        <w:t xml:space="preserve"> damages for the former</w:t>
      </w:r>
      <w:r w:rsidR="009A54EE">
        <w:rPr>
          <w:rFonts w:ascii="Garamond" w:hAnsi="Garamond"/>
        </w:rPr>
        <w:t>)</w:t>
      </w:r>
      <w:r w:rsidRPr="00447798">
        <w:rPr>
          <w:rFonts w:ascii="Garamond" w:hAnsi="Garamond"/>
        </w:rPr>
        <w:t xml:space="preserve">. Damages for </w:t>
      </w:r>
      <w:r w:rsidR="00141938" w:rsidRPr="00447798">
        <w:rPr>
          <w:rFonts w:ascii="Garamond" w:hAnsi="Garamond"/>
        </w:rPr>
        <w:t>pain,</w:t>
      </w:r>
      <w:r w:rsidR="009A54EE">
        <w:rPr>
          <w:rFonts w:ascii="Garamond" w:hAnsi="Garamond"/>
        </w:rPr>
        <w:t xml:space="preserve"> suffering and loss of amenity</w:t>
      </w:r>
      <w:r w:rsidRPr="00447798">
        <w:rPr>
          <w:rFonts w:ascii="Garamond" w:hAnsi="Garamond"/>
        </w:rPr>
        <w:t xml:space="preserve"> were reduced from £160</w:t>
      </w:r>
      <w:r w:rsidR="00141938" w:rsidRPr="00447798">
        <w:rPr>
          <w:rFonts w:ascii="Garamond" w:hAnsi="Garamond"/>
        </w:rPr>
        <w:t>,000 to £150,000 as the higher figure reflected Ms X’s complete loss of fertility, which was no longer accurate if the Californian arrangement could occur</w:t>
      </w:r>
      <w:r w:rsidRPr="00447798">
        <w:rPr>
          <w:rFonts w:ascii="Garamond" w:hAnsi="Garamond"/>
        </w:rPr>
        <w:t xml:space="preserve"> (account was taken of the chance that the Californian arrangement may not be successful). </w:t>
      </w:r>
    </w:p>
    <w:p w14:paraId="1FBFB3C0" w14:textId="77777777" w:rsidR="00C8367C" w:rsidRDefault="00C8367C" w:rsidP="00DE331F">
      <w:pPr>
        <w:spacing w:line="360" w:lineRule="auto"/>
        <w:rPr>
          <w:rFonts w:ascii="Garamond" w:hAnsi="Garamond"/>
        </w:rPr>
      </w:pPr>
    </w:p>
    <w:p w14:paraId="1210D9A7" w14:textId="03A6E096" w:rsidR="002B030C" w:rsidRDefault="00141938" w:rsidP="00DE331F">
      <w:pPr>
        <w:spacing w:line="360" w:lineRule="auto"/>
        <w:rPr>
          <w:rFonts w:ascii="Garamond" w:hAnsi="Garamond"/>
        </w:rPr>
      </w:pPr>
      <w:r w:rsidRPr="00447798">
        <w:rPr>
          <w:rFonts w:ascii="Garamond" w:hAnsi="Garamond"/>
        </w:rPr>
        <w:t>This note will focus on whether the Court of Appeal was correct to award damages for a</w:t>
      </w:r>
      <w:r w:rsidR="004F785D">
        <w:rPr>
          <w:rFonts w:ascii="Garamond" w:hAnsi="Garamond"/>
        </w:rPr>
        <w:t>n</w:t>
      </w:r>
      <w:r w:rsidRPr="00447798">
        <w:rPr>
          <w:rFonts w:ascii="Garamond" w:hAnsi="Garamond"/>
        </w:rPr>
        <w:t xml:space="preserve"> </w:t>
      </w:r>
      <w:r w:rsidR="004135E4">
        <w:rPr>
          <w:rFonts w:ascii="Garamond" w:hAnsi="Garamond"/>
        </w:rPr>
        <w:t xml:space="preserve">overseas </w:t>
      </w:r>
      <w:r w:rsidRPr="00447798">
        <w:rPr>
          <w:rFonts w:ascii="Garamond" w:hAnsi="Garamond"/>
        </w:rPr>
        <w:t xml:space="preserve">commercial surrogacy arrangement. </w:t>
      </w:r>
      <w:r w:rsidR="000678B6" w:rsidRPr="00447798">
        <w:rPr>
          <w:rFonts w:ascii="Garamond" w:hAnsi="Garamond"/>
        </w:rPr>
        <w:t xml:space="preserve">First, it is necessary to give a brief overview of the law of </w:t>
      </w:r>
      <w:r w:rsidR="000678B6" w:rsidRPr="00447798">
        <w:rPr>
          <w:rFonts w:ascii="Garamond" w:hAnsi="Garamond"/>
        </w:rPr>
        <w:lastRenderedPageBreak/>
        <w:t>surrogacy in this country</w:t>
      </w:r>
      <w:r w:rsidR="002B030C">
        <w:rPr>
          <w:rFonts w:ascii="Garamond" w:hAnsi="Garamond"/>
        </w:rPr>
        <w:t xml:space="preserve"> in order to appreciate how this decision allowed the ban on commercial surrogacy in UK law to be subverted. </w:t>
      </w:r>
    </w:p>
    <w:p w14:paraId="193C7FD2" w14:textId="77777777" w:rsidR="002B030C" w:rsidRDefault="002B030C" w:rsidP="00DE331F">
      <w:pPr>
        <w:spacing w:line="360" w:lineRule="auto"/>
        <w:rPr>
          <w:rFonts w:ascii="Garamond" w:hAnsi="Garamond"/>
        </w:rPr>
      </w:pPr>
    </w:p>
    <w:p w14:paraId="0111BD28" w14:textId="0B58DC29" w:rsidR="00177A16" w:rsidRDefault="00537645" w:rsidP="00595503">
      <w:pPr>
        <w:spacing w:line="360" w:lineRule="auto"/>
        <w:rPr>
          <w:rFonts w:ascii="Garamond" w:hAnsi="Garamond"/>
        </w:rPr>
      </w:pPr>
      <w:r>
        <w:rPr>
          <w:rFonts w:ascii="Garamond" w:hAnsi="Garamond"/>
        </w:rPr>
        <w:t xml:space="preserve">Domestically, the law governing surrogacy </w:t>
      </w:r>
      <w:r w:rsidR="00196DE1" w:rsidRPr="00196DE1">
        <w:rPr>
          <w:rFonts w:ascii="Garamond" w:hAnsi="Garamond"/>
          <w:bCs/>
          <w:lang w:val="en-US"/>
        </w:rPr>
        <w:t>has developed in a haphazard fashion and piecemeal changes made over the years have resulted in a regulatory framework that is contradictory and confusing for all involved.</w:t>
      </w:r>
      <w:r w:rsidR="00312C71">
        <w:rPr>
          <w:rFonts w:ascii="Garamond" w:hAnsi="Garamond"/>
        </w:rPr>
        <w:t xml:space="preserve"> </w:t>
      </w:r>
      <w:r w:rsidR="00233D1B" w:rsidRPr="00537645">
        <w:rPr>
          <w:rFonts w:ascii="Garamond" w:hAnsi="Garamond"/>
        </w:rPr>
        <w:t xml:space="preserve">The Law Commission is currently considering reform of this area. </w:t>
      </w:r>
      <w:r w:rsidR="00595503">
        <w:rPr>
          <w:rFonts w:ascii="Garamond" w:hAnsi="Garamond"/>
        </w:rPr>
        <w:t>Part</w:t>
      </w:r>
      <w:r w:rsidR="005B1466">
        <w:rPr>
          <w:rFonts w:ascii="Garamond" w:hAnsi="Garamond"/>
        </w:rPr>
        <w:t xml:space="preserve"> of the</w:t>
      </w:r>
      <w:r w:rsidR="00595503">
        <w:rPr>
          <w:rFonts w:ascii="Garamond" w:hAnsi="Garamond"/>
        </w:rPr>
        <w:t xml:space="preserve"> confusion stems from the</w:t>
      </w:r>
      <w:r w:rsidR="005B1466">
        <w:rPr>
          <w:rFonts w:ascii="Garamond" w:hAnsi="Garamond"/>
        </w:rPr>
        <w:t xml:space="preserve"> fact that whil</w:t>
      </w:r>
      <w:r w:rsidR="00177A16">
        <w:rPr>
          <w:rFonts w:ascii="Garamond" w:hAnsi="Garamond"/>
        </w:rPr>
        <w:t>e</w:t>
      </w:r>
      <w:r w:rsidR="005B1466">
        <w:rPr>
          <w:rFonts w:ascii="Garamond" w:hAnsi="Garamond"/>
        </w:rPr>
        <w:t xml:space="preserve"> </w:t>
      </w:r>
      <w:r w:rsidR="00196DE1">
        <w:rPr>
          <w:rFonts w:ascii="Garamond" w:hAnsi="Garamond"/>
        </w:rPr>
        <w:t>t</w:t>
      </w:r>
      <w:r w:rsidR="000678B6" w:rsidRPr="00447798">
        <w:rPr>
          <w:rFonts w:ascii="Garamond" w:hAnsi="Garamond"/>
        </w:rPr>
        <w:t xml:space="preserve">he Surrogacy Arrangements Act 1985 prohibits commercial surrogacy, making it illegal </w:t>
      </w:r>
      <w:r w:rsidR="00141938" w:rsidRPr="00447798">
        <w:rPr>
          <w:rFonts w:ascii="Garamond" w:hAnsi="Garamond"/>
        </w:rPr>
        <w:t xml:space="preserve">to </w:t>
      </w:r>
      <w:r w:rsidR="0036056D" w:rsidRPr="00447798">
        <w:rPr>
          <w:rFonts w:ascii="Garamond" w:hAnsi="Garamond"/>
        </w:rPr>
        <w:t>negotiate surrogacy arrangements on a commercial basis (s 2</w:t>
      </w:r>
      <w:r>
        <w:rPr>
          <w:rFonts w:ascii="Garamond" w:hAnsi="Garamond"/>
        </w:rPr>
        <w:t>)</w:t>
      </w:r>
      <w:r w:rsidR="00196DE1">
        <w:rPr>
          <w:rFonts w:ascii="Garamond" w:hAnsi="Garamond"/>
        </w:rPr>
        <w:t>, t</w:t>
      </w:r>
      <w:r w:rsidR="000678B6" w:rsidRPr="00447798">
        <w:rPr>
          <w:rFonts w:ascii="Garamond" w:hAnsi="Garamond"/>
        </w:rPr>
        <w:t>he surrogate and the intended</w:t>
      </w:r>
      <w:r w:rsidR="00141938" w:rsidRPr="00447798">
        <w:rPr>
          <w:rFonts w:ascii="Garamond" w:hAnsi="Garamond"/>
        </w:rPr>
        <w:t xml:space="preserve"> parents are not caught by this</w:t>
      </w:r>
      <w:r w:rsidR="000678B6" w:rsidRPr="00447798">
        <w:rPr>
          <w:rFonts w:ascii="Garamond" w:hAnsi="Garamond"/>
        </w:rPr>
        <w:t xml:space="preserve"> </w:t>
      </w:r>
      <w:r w:rsidR="00141938" w:rsidRPr="00447798">
        <w:rPr>
          <w:rFonts w:ascii="Garamond" w:hAnsi="Garamond"/>
        </w:rPr>
        <w:t>prohibition</w:t>
      </w:r>
      <w:r w:rsidR="000678B6" w:rsidRPr="00447798">
        <w:rPr>
          <w:rFonts w:ascii="Garamond" w:hAnsi="Garamond"/>
        </w:rPr>
        <w:t xml:space="preserve">. Nor, due to an </w:t>
      </w:r>
      <w:r w:rsidR="00E56006" w:rsidRPr="00447798">
        <w:rPr>
          <w:rFonts w:ascii="Garamond" w:hAnsi="Garamond"/>
        </w:rPr>
        <w:t>amendment</w:t>
      </w:r>
      <w:r w:rsidR="000678B6" w:rsidRPr="00447798">
        <w:rPr>
          <w:rFonts w:ascii="Garamond" w:hAnsi="Garamond"/>
        </w:rPr>
        <w:t xml:space="preserve"> by the Human Fertilisation and Embryology Act</w:t>
      </w:r>
      <w:r w:rsidR="00177A16">
        <w:rPr>
          <w:rFonts w:ascii="Garamond" w:hAnsi="Garamond"/>
        </w:rPr>
        <w:t xml:space="preserve"> (HFEA)</w:t>
      </w:r>
      <w:r w:rsidR="000678B6" w:rsidRPr="00447798">
        <w:rPr>
          <w:rFonts w:ascii="Garamond" w:hAnsi="Garamond"/>
        </w:rPr>
        <w:t xml:space="preserve"> 2008 are non-profit-making bodies</w:t>
      </w:r>
      <w:r w:rsidR="00E56006" w:rsidRPr="00447798">
        <w:rPr>
          <w:rFonts w:ascii="Garamond" w:hAnsi="Garamond"/>
        </w:rPr>
        <w:t xml:space="preserve"> (s</w:t>
      </w:r>
      <w:r w:rsidR="00312C71">
        <w:rPr>
          <w:rFonts w:ascii="Garamond" w:hAnsi="Garamond"/>
        </w:rPr>
        <w:t xml:space="preserve"> </w:t>
      </w:r>
      <w:r w:rsidR="00E56006" w:rsidRPr="00447798">
        <w:rPr>
          <w:rFonts w:ascii="Garamond" w:hAnsi="Garamond"/>
        </w:rPr>
        <w:t>2A</w:t>
      </w:r>
      <w:r w:rsidR="00312C71">
        <w:rPr>
          <w:rFonts w:ascii="Garamond" w:hAnsi="Garamond"/>
        </w:rPr>
        <w:t>,</w:t>
      </w:r>
      <w:r w:rsidR="00E56006" w:rsidRPr="00447798">
        <w:rPr>
          <w:rFonts w:ascii="Garamond" w:hAnsi="Garamond"/>
        </w:rPr>
        <w:t xml:space="preserve"> </w:t>
      </w:r>
      <w:r w:rsidR="00312C71">
        <w:rPr>
          <w:rFonts w:ascii="Garamond" w:hAnsi="Garamond"/>
        </w:rPr>
        <w:t>SAA 1985</w:t>
      </w:r>
      <w:r w:rsidR="00E56006" w:rsidRPr="00447798">
        <w:rPr>
          <w:rFonts w:ascii="Garamond" w:hAnsi="Garamond"/>
        </w:rPr>
        <w:t>).</w:t>
      </w:r>
      <w:r w:rsidR="002B030C">
        <w:rPr>
          <w:rFonts w:ascii="Garamond" w:hAnsi="Garamond"/>
        </w:rPr>
        <w:t xml:space="preserve"> </w:t>
      </w:r>
    </w:p>
    <w:p w14:paraId="2B525B09" w14:textId="77777777" w:rsidR="00177A16" w:rsidRDefault="00177A16" w:rsidP="00595503">
      <w:pPr>
        <w:spacing w:line="360" w:lineRule="auto"/>
        <w:rPr>
          <w:rFonts w:ascii="Garamond" w:hAnsi="Garamond"/>
        </w:rPr>
      </w:pPr>
    </w:p>
    <w:p w14:paraId="0448EBF6" w14:textId="7F0450F1" w:rsidR="000678B6" w:rsidRPr="00447798" w:rsidRDefault="002B030C" w:rsidP="00DE331F">
      <w:pPr>
        <w:spacing w:line="360" w:lineRule="auto"/>
        <w:rPr>
          <w:rFonts w:ascii="Garamond" w:hAnsi="Garamond"/>
        </w:rPr>
      </w:pPr>
      <w:r>
        <w:rPr>
          <w:rFonts w:ascii="Garamond" w:hAnsi="Garamond"/>
        </w:rPr>
        <w:t>The</w:t>
      </w:r>
      <w:r w:rsidR="008412B2">
        <w:rPr>
          <w:rFonts w:ascii="Garamond" w:hAnsi="Garamond"/>
        </w:rPr>
        <w:t xml:space="preserve"> rules for obtaining legal parenthood of a child created v</w:t>
      </w:r>
      <w:r w:rsidR="00BA54A3">
        <w:rPr>
          <w:rFonts w:ascii="Garamond" w:hAnsi="Garamond"/>
        </w:rPr>
        <w:t>ia surrogacy are also complex -</w:t>
      </w:r>
      <w:r>
        <w:rPr>
          <w:rFonts w:ascii="Garamond" w:hAnsi="Garamond"/>
        </w:rPr>
        <w:t xml:space="preserve"> </w:t>
      </w:r>
      <w:r w:rsidR="008412B2">
        <w:rPr>
          <w:rFonts w:ascii="Garamond" w:hAnsi="Garamond"/>
        </w:rPr>
        <w:t xml:space="preserve">the </w:t>
      </w:r>
      <w:r>
        <w:rPr>
          <w:rFonts w:ascii="Garamond" w:hAnsi="Garamond"/>
        </w:rPr>
        <w:t>surrogate is the child’s legal mother and t</w:t>
      </w:r>
      <w:r w:rsidR="002371CB" w:rsidRPr="00447798">
        <w:rPr>
          <w:rFonts w:ascii="Garamond" w:hAnsi="Garamond"/>
        </w:rPr>
        <w:t xml:space="preserve">he only way for </w:t>
      </w:r>
      <w:r w:rsidR="004135E4">
        <w:rPr>
          <w:rFonts w:ascii="Garamond" w:hAnsi="Garamond"/>
        </w:rPr>
        <w:t xml:space="preserve">Ms X and her partner to acquire legal parenthood </w:t>
      </w:r>
      <w:r w:rsidR="000678B6" w:rsidRPr="00447798">
        <w:rPr>
          <w:rFonts w:ascii="Garamond" w:hAnsi="Garamond"/>
        </w:rPr>
        <w:t xml:space="preserve">is </w:t>
      </w:r>
      <w:r w:rsidR="00DE33F9">
        <w:rPr>
          <w:rFonts w:ascii="Garamond" w:hAnsi="Garamond"/>
        </w:rPr>
        <w:t>via</w:t>
      </w:r>
      <w:r>
        <w:rPr>
          <w:rFonts w:ascii="Garamond" w:hAnsi="Garamond"/>
        </w:rPr>
        <w:t xml:space="preserve"> a parental order</w:t>
      </w:r>
      <w:r w:rsidR="008412B2">
        <w:rPr>
          <w:rFonts w:ascii="Garamond" w:hAnsi="Garamond"/>
        </w:rPr>
        <w:t>,</w:t>
      </w:r>
      <w:r>
        <w:rPr>
          <w:rFonts w:ascii="Garamond" w:hAnsi="Garamond"/>
        </w:rPr>
        <w:t xml:space="preserve"> or</w:t>
      </w:r>
      <w:r w:rsidR="00DE33F9">
        <w:rPr>
          <w:rFonts w:ascii="Garamond" w:hAnsi="Garamond"/>
        </w:rPr>
        <w:t xml:space="preserve"> </w:t>
      </w:r>
      <w:r w:rsidR="000678B6" w:rsidRPr="00447798">
        <w:rPr>
          <w:rFonts w:ascii="Garamond" w:hAnsi="Garamond"/>
        </w:rPr>
        <w:t>adoption</w:t>
      </w:r>
      <w:r>
        <w:rPr>
          <w:rFonts w:ascii="Garamond" w:hAnsi="Garamond"/>
        </w:rPr>
        <w:t xml:space="preserve">. </w:t>
      </w:r>
      <w:r w:rsidR="00595503">
        <w:rPr>
          <w:rFonts w:ascii="Garamond" w:hAnsi="Garamond"/>
        </w:rPr>
        <w:t xml:space="preserve">A </w:t>
      </w:r>
      <w:r w:rsidR="000678B6" w:rsidRPr="00447798">
        <w:rPr>
          <w:rFonts w:ascii="Garamond" w:hAnsi="Garamond"/>
        </w:rPr>
        <w:t>parental order may be refused if the surrogate has been paid more than reasonable expenses</w:t>
      </w:r>
      <w:r w:rsidR="008412B2">
        <w:rPr>
          <w:rFonts w:ascii="Garamond" w:hAnsi="Garamond"/>
        </w:rPr>
        <w:t>,</w:t>
      </w:r>
      <w:r w:rsidR="001F2B9A" w:rsidRPr="00447798">
        <w:rPr>
          <w:rFonts w:ascii="Garamond" w:hAnsi="Garamond"/>
        </w:rPr>
        <w:t xml:space="preserve"> but</w:t>
      </w:r>
      <w:r w:rsidR="000678B6" w:rsidRPr="00447798">
        <w:rPr>
          <w:rFonts w:ascii="Garamond" w:hAnsi="Garamond"/>
        </w:rPr>
        <w:t xml:space="preserve"> the courts can authorise such payments</w:t>
      </w:r>
      <w:r w:rsidR="001F2B9A" w:rsidRPr="00447798">
        <w:rPr>
          <w:rFonts w:ascii="Garamond" w:hAnsi="Garamond"/>
        </w:rPr>
        <w:t xml:space="preserve"> (s 54(8)</w:t>
      </w:r>
      <w:r w:rsidR="00694E2F">
        <w:rPr>
          <w:rFonts w:ascii="Garamond" w:hAnsi="Garamond"/>
        </w:rPr>
        <w:t xml:space="preserve"> HFEA 2008</w:t>
      </w:r>
      <w:r w:rsidR="001F2B9A" w:rsidRPr="00447798">
        <w:rPr>
          <w:rFonts w:ascii="Garamond" w:hAnsi="Garamond"/>
        </w:rPr>
        <w:t>)</w:t>
      </w:r>
      <w:r w:rsidR="000678B6" w:rsidRPr="00447798">
        <w:rPr>
          <w:rFonts w:ascii="Garamond" w:hAnsi="Garamond"/>
        </w:rPr>
        <w:t xml:space="preserve">. </w:t>
      </w:r>
      <w:r w:rsidR="008412B2">
        <w:rPr>
          <w:rFonts w:ascii="Garamond" w:hAnsi="Garamond"/>
        </w:rPr>
        <w:t>In practice</w:t>
      </w:r>
      <w:r w:rsidR="000678B6" w:rsidRPr="00447798">
        <w:rPr>
          <w:rFonts w:ascii="Garamond" w:hAnsi="Garamond"/>
        </w:rPr>
        <w:t>, there</w:t>
      </w:r>
      <w:r w:rsidR="008412B2">
        <w:rPr>
          <w:rFonts w:ascii="Garamond" w:hAnsi="Garamond"/>
        </w:rPr>
        <w:t xml:space="preserve"> is </w:t>
      </w:r>
      <w:r w:rsidR="001C6C0F">
        <w:rPr>
          <w:rFonts w:ascii="Garamond" w:hAnsi="Garamond"/>
        </w:rPr>
        <w:t>yet to be a case where a parental order</w:t>
      </w:r>
      <w:r w:rsidR="000678B6" w:rsidRPr="00447798">
        <w:rPr>
          <w:rFonts w:ascii="Garamond" w:hAnsi="Garamond"/>
        </w:rPr>
        <w:t xml:space="preserve"> has been refused on this basis</w:t>
      </w:r>
      <w:r w:rsidR="008412B2">
        <w:rPr>
          <w:rFonts w:ascii="Garamond" w:hAnsi="Garamond"/>
        </w:rPr>
        <w:t xml:space="preserve">. </w:t>
      </w:r>
      <w:r w:rsidR="00EF0707">
        <w:rPr>
          <w:rFonts w:ascii="Garamond" w:hAnsi="Garamond"/>
        </w:rPr>
        <w:t>This is unsurprising</w:t>
      </w:r>
      <w:r w:rsidR="008412B2">
        <w:rPr>
          <w:rFonts w:ascii="Garamond" w:hAnsi="Garamond"/>
        </w:rPr>
        <w:t>, usually by the time an application for a parental order is made the child will be living with the intend</w:t>
      </w:r>
      <w:r w:rsidR="006830D3">
        <w:rPr>
          <w:rFonts w:ascii="Garamond" w:hAnsi="Garamond"/>
        </w:rPr>
        <w:t>ed</w:t>
      </w:r>
      <w:r w:rsidR="008412B2">
        <w:rPr>
          <w:rFonts w:ascii="Garamond" w:hAnsi="Garamond"/>
        </w:rPr>
        <w:t xml:space="preserve"> parents and </w:t>
      </w:r>
      <w:r w:rsidR="000678B6" w:rsidRPr="00447798">
        <w:rPr>
          <w:rFonts w:ascii="Garamond" w:hAnsi="Garamond"/>
        </w:rPr>
        <w:t>the surrogate will have relinquished the child</w:t>
      </w:r>
      <w:r w:rsidR="008412B2">
        <w:rPr>
          <w:rFonts w:ascii="Garamond" w:hAnsi="Garamond"/>
        </w:rPr>
        <w:t xml:space="preserve">. </w:t>
      </w:r>
      <w:r w:rsidR="00694E2F">
        <w:rPr>
          <w:rFonts w:ascii="Garamond" w:hAnsi="Garamond"/>
        </w:rPr>
        <w:t>In addition to</w:t>
      </w:r>
      <w:r w:rsidR="00595503">
        <w:rPr>
          <w:rFonts w:ascii="Garamond" w:hAnsi="Garamond"/>
        </w:rPr>
        <w:t xml:space="preserve"> the</w:t>
      </w:r>
      <w:r w:rsidR="00694E2F">
        <w:rPr>
          <w:rFonts w:ascii="Garamond" w:hAnsi="Garamond"/>
        </w:rPr>
        <w:t xml:space="preserve"> ban on commercial surrogacy, </w:t>
      </w:r>
      <w:r w:rsidR="00595503">
        <w:rPr>
          <w:rFonts w:ascii="Garamond" w:hAnsi="Garamond"/>
        </w:rPr>
        <w:t xml:space="preserve">such arrangements are also legally </w:t>
      </w:r>
      <w:r w:rsidR="00694E2F">
        <w:rPr>
          <w:rFonts w:ascii="Garamond" w:hAnsi="Garamond"/>
        </w:rPr>
        <w:t>unenforceable</w:t>
      </w:r>
      <w:r w:rsidR="004F785D">
        <w:rPr>
          <w:rFonts w:ascii="Garamond" w:hAnsi="Garamond"/>
        </w:rPr>
        <w:t xml:space="preserve"> thus</w:t>
      </w:r>
      <w:r w:rsidR="00694E2F">
        <w:rPr>
          <w:rFonts w:ascii="Garamond" w:hAnsi="Garamond"/>
        </w:rPr>
        <w:t xml:space="preserve"> making it </w:t>
      </w:r>
      <w:r w:rsidR="008412B2">
        <w:rPr>
          <w:rFonts w:ascii="Garamond" w:hAnsi="Garamond"/>
        </w:rPr>
        <w:t>a legally</w:t>
      </w:r>
      <w:r w:rsidR="004F785D">
        <w:rPr>
          <w:rFonts w:ascii="Garamond" w:hAnsi="Garamond"/>
        </w:rPr>
        <w:t xml:space="preserve"> uncertain route of founding a </w:t>
      </w:r>
      <w:r w:rsidR="008412B2">
        <w:rPr>
          <w:rFonts w:ascii="Garamond" w:hAnsi="Garamond"/>
        </w:rPr>
        <w:t xml:space="preserve">family. </w:t>
      </w:r>
      <w:r w:rsidR="00BA54A3">
        <w:rPr>
          <w:rFonts w:ascii="Garamond" w:hAnsi="Garamond"/>
        </w:rPr>
        <w:t xml:space="preserve">Although a rare </w:t>
      </w:r>
      <w:r w:rsidR="00694E2F">
        <w:rPr>
          <w:rFonts w:ascii="Garamond" w:hAnsi="Garamond"/>
        </w:rPr>
        <w:t>occurrence</w:t>
      </w:r>
      <w:r w:rsidR="00BA54A3">
        <w:rPr>
          <w:rFonts w:ascii="Garamond" w:hAnsi="Garamond"/>
        </w:rPr>
        <w:t>, t</w:t>
      </w:r>
      <w:r w:rsidR="008412B2">
        <w:rPr>
          <w:rFonts w:ascii="Garamond" w:hAnsi="Garamond"/>
        </w:rPr>
        <w:t xml:space="preserve">he surrogate could renege at any point in the process and </w:t>
      </w:r>
      <w:r w:rsidR="00BA54A3">
        <w:rPr>
          <w:rFonts w:ascii="Garamond" w:hAnsi="Garamond"/>
        </w:rPr>
        <w:t>refuse to relinquish the child. In such circumstances a</w:t>
      </w:r>
      <w:r w:rsidR="00BA54A3" w:rsidRPr="00447798">
        <w:rPr>
          <w:rFonts w:ascii="Garamond" w:hAnsi="Garamond"/>
        </w:rPr>
        <w:t xml:space="preserve"> </w:t>
      </w:r>
      <w:r w:rsidR="00BA54A3">
        <w:rPr>
          <w:rFonts w:ascii="Garamond" w:hAnsi="Garamond"/>
        </w:rPr>
        <w:t xml:space="preserve">Child Arrangement Order could be sought </w:t>
      </w:r>
      <w:r w:rsidR="00BA54A3" w:rsidRPr="00447798">
        <w:rPr>
          <w:rFonts w:ascii="Garamond" w:hAnsi="Garamond"/>
        </w:rPr>
        <w:t xml:space="preserve">under the </w:t>
      </w:r>
      <w:r w:rsidR="00BA54A3" w:rsidRPr="008B12FA">
        <w:rPr>
          <w:rFonts w:ascii="Garamond" w:hAnsi="Garamond"/>
        </w:rPr>
        <w:t xml:space="preserve">Children and Families Act </w:t>
      </w:r>
      <w:r w:rsidR="00BA54A3" w:rsidRPr="00643E7B">
        <w:rPr>
          <w:rFonts w:ascii="Garamond" w:hAnsi="Garamond"/>
        </w:rPr>
        <w:t>(</w:t>
      </w:r>
      <w:r w:rsidR="00BA54A3" w:rsidRPr="0082149A">
        <w:rPr>
          <w:rFonts w:ascii="Garamond" w:hAnsi="Garamond"/>
          <w:i/>
        </w:rPr>
        <w:t>Re Z (</w:t>
      </w:r>
      <w:r w:rsidR="00BA54A3">
        <w:rPr>
          <w:rFonts w:ascii="Garamond" w:hAnsi="Garamond"/>
          <w:i/>
        </w:rPr>
        <w:t>Surrogacy A</w:t>
      </w:r>
      <w:r w:rsidR="00BA54A3" w:rsidRPr="0082149A">
        <w:rPr>
          <w:rFonts w:ascii="Garamond" w:hAnsi="Garamond"/>
          <w:i/>
        </w:rPr>
        <w:t>greements) (Child Arrangements Orders)</w:t>
      </w:r>
      <w:r w:rsidR="00BA54A3" w:rsidRPr="0082149A">
        <w:rPr>
          <w:rFonts w:ascii="Garamond" w:hAnsi="Garamond"/>
        </w:rPr>
        <w:t> [2016] EWFC 34</w:t>
      </w:r>
      <w:r w:rsidR="00641A64">
        <w:rPr>
          <w:rFonts w:ascii="Garamond" w:hAnsi="Garamond"/>
        </w:rPr>
        <w:t xml:space="preserve">; </w:t>
      </w:r>
      <w:r w:rsidR="00641A64" w:rsidRPr="00641A64">
        <w:rPr>
          <w:rFonts w:ascii="Garamond" w:hAnsi="Garamond"/>
        </w:rPr>
        <w:t>[2017] 1 F.L.R. 946</w:t>
      </w:r>
      <w:r w:rsidR="00BA54A3" w:rsidRPr="0082149A">
        <w:rPr>
          <w:rFonts w:ascii="Garamond" w:hAnsi="Garamond"/>
        </w:rPr>
        <w:t>)</w:t>
      </w:r>
      <w:r w:rsidR="00BA54A3">
        <w:rPr>
          <w:rFonts w:ascii="Garamond" w:hAnsi="Garamond"/>
        </w:rPr>
        <w:t xml:space="preserve"> or adoption</w:t>
      </w:r>
      <w:r w:rsidR="00694E2F">
        <w:rPr>
          <w:rFonts w:ascii="Garamond" w:hAnsi="Garamond"/>
        </w:rPr>
        <w:t xml:space="preserve"> (</w:t>
      </w:r>
      <w:r w:rsidR="00694E2F" w:rsidRPr="00447798">
        <w:rPr>
          <w:rFonts w:ascii="Garamond" w:hAnsi="Garamond"/>
        </w:rPr>
        <w:t>section 1 Adoption and Children Act 2002</w:t>
      </w:r>
      <w:r w:rsidR="00694E2F">
        <w:rPr>
          <w:rFonts w:ascii="Garamond" w:hAnsi="Garamond"/>
        </w:rPr>
        <w:t>)</w:t>
      </w:r>
      <w:r w:rsidR="00BA54A3" w:rsidRPr="00643E7B">
        <w:rPr>
          <w:rFonts w:ascii="Garamond" w:hAnsi="Garamond"/>
        </w:rPr>
        <w:t>.</w:t>
      </w:r>
      <w:r w:rsidR="00BA54A3">
        <w:rPr>
          <w:rFonts w:ascii="Garamond" w:hAnsi="Garamond"/>
        </w:rPr>
        <w:t xml:space="preserve"> </w:t>
      </w:r>
      <w:r w:rsidR="00643DF6" w:rsidRPr="00447798">
        <w:rPr>
          <w:rFonts w:ascii="Garamond" w:hAnsi="Garamond"/>
        </w:rPr>
        <w:t>if it is in the child’s lifelong welfare to r</w:t>
      </w:r>
      <w:r w:rsidR="002B57EB" w:rsidRPr="00447798">
        <w:rPr>
          <w:rFonts w:ascii="Garamond" w:hAnsi="Garamond"/>
        </w:rPr>
        <w:t xml:space="preserve">eside with the intended parents. </w:t>
      </w:r>
      <w:r w:rsidR="000678B6" w:rsidRPr="00447798">
        <w:rPr>
          <w:rFonts w:ascii="Garamond" w:hAnsi="Garamond"/>
        </w:rPr>
        <w:t xml:space="preserve">By way of contrast, in California surrogacy is run along commercial lines and the contracts are binding on the parties. </w:t>
      </w:r>
      <w:r w:rsidR="00A93A39" w:rsidRPr="00447798">
        <w:rPr>
          <w:rFonts w:ascii="Garamond" w:hAnsi="Garamond"/>
        </w:rPr>
        <w:t>It is</w:t>
      </w:r>
      <w:r w:rsidR="002B57EB" w:rsidRPr="00447798">
        <w:rPr>
          <w:rFonts w:ascii="Garamond" w:hAnsi="Garamond"/>
        </w:rPr>
        <w:t xml:space="preserve"> therefore</w:t>
      </w:r>
      <w:r w:rsidR="00A93A39" w:rsidRPr="00447798">
        <w:rPr>
          <w:rFonts w:ascii="Garamond" w:hAnsi="Garamond"/>
        </w:rPr>
        <w:t xml:space="preserve"> a much safer bet for intended parents</w:t>
      </w:r>
      <w:r w:rsidR="0076190F">
        <w:rPr>
          <w:rFonts w:ascii="Garamond" w:hAnsi="Garamond"/>
        </w:rPr>
        <w:t>, such as Ms X</w:t>
      </w:r>
      <w:r w:rsidR="00A93A39" w:rsidRPr="00447798">
        <w:rPr>
          <w:rFonts w:ascii="Garamond" w:hAnsi="Garamond"/>
        </w:rPr>
        <w:t>.</w:t>
      </w:r>
      <w:r w:rsidR="00595503">
        <w:rPr>
          <w:rFonts w:ascii="Garamond" w:hAnsi="Garamond"/>
        </w:rPr>
        <w:t xml:space="preserve"> </w:t>
      </w:r>
    </w:p>
    <w:p w14:paraId="557FC147" w14:textId="07433032" w:rsidR="00F749BD" w:rsidRPr="00447798" w:rsidRDefault="00F749BD" w:rsidP="00DE331F">
      <w:pPr>
        <w:spacing w:line="360" w:lineRule="auto"/>
        <w:rPr>
          <w:rFonts w:ascii="Garamond" w:hAnsi="Garamond"/>
          <w:b/>
        </w:rPr>
      </w:pPr>
    </w:p>
    <w:p w14:paraId="72E1D64C" w14:textId="63A232EC" w:rsidR="00BC3D75" w:rsidRDefault="005D0DF5" w:rsidP="003A4588">
      <w:pPr>
        <w:spacing w:line="360" w:lineRule="auto"/>
        <w:rPr>
          <w:rFonts w:ascii="Garamond" w:hAnsi="Garamond"/>
        </w:rPr>
      </w:pPr>
      <w:r w:rsidRPr="00447798">
        <w:rPr>
          <w:rFonts w:ascii="Garamond" w:hAnsi="Garamond"/>
        </w:rPr>
        <w:t xml:space="preserve">Returning to </w:t>
      </w:r>
      <w:r w:rsidRPr="00447798">
        <w:rPr>
          <w:rFonts w:ascii="Garamond" w:hAnsi="Garamond"/>
          <w:i/>
        </w:rPr>
        <w:t xml:space="preserve">XX, </w:t>
      </w:r>
      <w:r w:rsidR="00F749BD" w:rsidRPr="00447798">
        <w:rPr>
          <w:rFonts w:ascii="Garamond" w:hAnsi="Garamond"/>
        </w:rPr>
        <w:t xml:space="preserve">the Court of Appeal </w:t>
      </w:r>
      <w:r w:rsidR="00BC3D75">
        <w:rPr>
          <w:rFonts w:ascii="Garamond" w:hAnsi="Garamond"/>
        </w:rPr>
        <w:t xml:space="preserve">overturned the first instance ruling and </w:t>
      </w:r>
      <w:r w:rsidR="001C6C0F">
        <w:rPr>
          <w:rFonts w:ascii="Garamond" w:hAnsi="Garamond"/>
        </w:rPr>
        <w:t>permitted</w:t>
      </w:r>
      <w:r w:rsidR="00BC3D75">
        <w:rPr>
          <w:rFonts w:ascii="Garamond" w:hAnsi="Garamond"/>
        </w:rPr>
        <w:t xml:space="preserve"> recovery of the costs of a commercial surrogacy arrangement in Cal</w:t>
      </w:r>
      <w:r w:rsidR="00B44560">
        <w:rPr>
          <w:rFonts w:ascii="Garamond" w:hAnsi="Garamond"/>
        </w:rPr>
        <w:t>i</w:t>
      </w:r>
      <w:r w:rsidR="00BC3D75">
        <w:rPr>
          <w:rFonts w:ascii="Garamond" w:hAnsi="Garamond"/>
        </w:rPr>
        <w:t>fornia. The Court of Appeal held</w:t>
      </w:r>
      <w:r w:rsidR="006830D3">
        <w:rPr>
          <w:rFonts w:ascii="Garamond" w:hAnsi="Garamond"/>
        </w:rPr>
        <w:t xml:space="preserve"> the law:</w:t>
      </w:r>
    </w:p>
    <w:p w14:paraId="466CDF00" w14:textId="6176AA94" w:rsidR="00BC3D75" w:rsidRDefault="00893BAC" w:rsidP="00655F14">
      <w:pPr>
        <w:spacing w:line="360" w:lineRule="auto"/>
        <w:ind w:left="567" w:right="567"/>
        <w:rPr>
          <w:rFonts w:ascii="Garamond" w:hAnsi="Garamond"/>
        </w:rPr>
      </w:pPr>
      <w:r>
        <w:rPr>
          <w:rFonts w:ascii="Garamond" w:hAnsi="Garamond"/>
        </w:rPr>
        <w:lastRenderedPageBreak/>
        <w:t>banning commercial sur</w:t>
      </w:r>
      <w:r w:rsidR="003F20ED">
        <w:rPr>
          <w:rFonts w:ascii="Garamond" w:hAnsi="Garamond"/>
        </w:rPr>
        <w:t xml:space="preserve">rogacy, relates solely to acts </w:t>
      </w:r>
      <w:r>
        <w:rPr>
          <w:rFonts w:ascii="Garamond" w:hAnsi="Garamond"/>
        </w:rPr>
        <w:t xml:space="preserve">undertaken in the UK, and even </w:t>
      </w:r>
      <w:proofErr w:type="gramStart"/>
      <w:r>
        <w:rPr>
          <w:rFonts w:ascii="Garamond" w:hAnsi="Garamond"/>
        </w:rPr>
        <w:t>then</w:t>
      </w:r>
      <w:proofErr w:type="gramEnd"/>
      <w:r>
        <w:rPr>
          <w:rFonts w:ascii="Garamond" w:hAnsi="Garamond"/>
        </w:rPr>
        <w:t xml:space="preserve"> </w:t>
      </w:r>
      <w:r w:rsidR="003F20ED">
        <w:rPr>
          <w:rFonts w:ascii="Garamond" w:hAnsi="Garamond"/>
        </w:rPr>
        <w:t xml:space="preserve">only </w:t>
      </w:r>
      <w:r>
        <w:rPr>
          <w:rFonts w:ascii="Garamond" w:hAnsi="Garamond"/>
        </w:rPr>
        <w:t xml:space="preserve">to a limited </w:t>
      </w:r>
      <w:r w:rsidR="003F20ED">
        <w:rPr>
          <w:rFonts w:ascii="Garamond" w:hAnsi="Garamond"/>
        </w:rPr>
        <w:t xml:space="preserve">extent: </w:t>
      </w:r>
      <w:r w:rsidR="00EE6BA0">
        <w:rPr>
          <w:rFonts w:ascii="Garamond" w:hAnsi="Garamond"/>
        </w:rPr>
        <w:t>there is no indication of an intention</w:t>
      </w:r>
      <w:r w:rsidR="003F20ED">
        <w:rPr>
          <w:rFonts w:ascii="Garamond" w:hAnsi="Garamond"/>
        </w:rPr>
        <w:t xml:space="preserve"> on the part of Parliament</w:t>
      </w:r>
      <w:r w:rsidR="00EE6BA0">
        <w:rPr>
          <w:rFonts w:ascii="Garamond" w:hAnsi="Garamond"/>
        </w:rPr>
        <w:t xml:space="preserve"> to give the section extraterritorial effect</w:t>
      </w:r>
      <w:r>
        <w:rPr>
          <w:rFonts w:ascii="Garamond" w:hAnsi="Garamond"/>
        </w:rPr>
        <w:t xml:space="preserve"> </w:t>
      </w:r>
      <w:r w:rsidRPr="00447798">
        <w:rPr>
          <w:rFonts w:ascii="Garamond" w:hAnsi="Garamond"/>
        </w:rPr>
        <w:t>(at [55])</w:t>
      </w:r>
      <w:r w:rsidR="00EE6BA0">
        <w:rPr>
          <w:rFonts w:ascii="Garamond" w:hAnsi="Garamond"/>
        </w:rPr>
        <w:t xml:space="preserve">. </w:t>
      </w:r>
    </w:p>
    <w:p w14:paraId="559836EB" w14:textId="77777777" w:rsidR="004F785D" w:rsidRDefault="004F785D" w:rsidP="00BC3D75">
      <w:pPr>
        <w:spacing w:line="360" w:lineRule="auto"/>
        <w:rPr>
          <w:rFonts w:ascii="Garamond" w:hAnsi="Garamond"/>
        </w:rPr>
      </w:pPr>
    </w:p>
    <w:p w14:paraId="59492896" w14:textId="09BBB239" w:rsidR="004135E4" w:rsidRPr="00447798" w:rsidRDefault="00893BAC" w:rsidP="00BC3D75">
      <w:pPr>
        <w:spacing w:line="360" w:lineRule="auto"/>
        <w:rPr>
          <w:rFonts w:ascii="Garamond" w:hAnsi="Garamond"/>
          <w:lang w:eastAsia="en-GB"/>
        </w:rPr>
      </w:pPr>
      <w:r>
        <w:rPr>
          <w:rFonts w:ascii="Garamond" w:hAnsi="Garamond"/>
        </w:rPr>
        <w:t>Furthermore</w:t>
      </w:r>
      <w:r w:rsidR="00EE6BA0">
        <w:rPr>
          <w:rFonts w:ascii="Garamond" w:hAnsi="Garamond"/>
        </w:rPr>
        <w:t xml:space="preserve">, </w:t>
      </w:r>
      <w:r w:rsidR="003F20ED">
        <w:rPr>
          <w:rFonts w:ascii="Garamond" w:hAnsi="Garamond"/>
        </w:rPr>
        <w:t xml:space="preserve">the Court </w:t>
      </w:r>
      <w:r w:rsidR="004135E4" w:rsidRPr="00447798">
        <w:rPr>
          <w:rFonts w:ascii="Garamond" w:hAnsi="Garamond"/>
          <w:lang w:eastAsia="en-GB"/>
        </w:rPr>
        <w:t>reiterated that the Surrogacy Arrangement</w:t>
      </w:r>
      <w:r w:rsidR="00177A16">
        <w:rPr>
          <w:rFonts w:ascii="Garamond" w:hAnsi="Garamond"/>
          <w:lang w:eastAsia="en-GB"/>
        </w:rPr>
        <w:t>s</w:t>
      </w:r>
      <w:r w:rsidR="004135E4" w:rsidRPr="00447798">
        <w:rPr>
          <w:rFonts w:ascii="Garamond" w:hAnsi="Garamond"/>
          <w:lang w:eastAsia="en-GB"/>
        </w:rPr>
        <w:t xml:space="preserve"> Act </w:t>
      </w:r>
      <w:r w:rsidR="004135E4">
        <w:rPr>
          <w:rFonts w:ascii="Garamond" w:hAnsi="Garamond"/>
          <w:lang w:eastAsia="en-GB"/>
        </w:rPr>
        <w:t xml:space="preserve">1985 </w:t>
      </w:r>
      <w:r w:rsidR="004135E4" w:rsidRPr="00447798">
        <w:rPr>
          <w:rFonts w:ascii="Garamond" w:hAnsi="Garamond"/>
          <w:lang w:eastAsia="en-GB"/>
        </w:rPr>
        <w:t>does not legislate for countries other than the UK and the intended parent is not caught by the criminalisation provisions (at [70]).</w:t>
      </w:r>
      <w:r w:rsidR="004135E4">
        <w:rPr>
          <w:rFonts w:ascii="Garamond" w:hAnsi="Garamond"/>
          <w:lang w:eastAsia="en-GB"/>
        </w:rPr>
        <w:t xml:space="preserve"> </w:t>
      </w:r>
      <w:r w:rsidR="004135E4" w:rsidRPr="00447798">
        <w:rPr>
          <w:rFonts w:ascii="Garamond" w:hAnsi="Garamond"/>
        </w:rPr>
        <w:t>Preventing recovery would mean the claimant would not be fully compe</w:t>
      </w:r>
      <w:r w:rsidR="00031160">
        <w:rPr>
          <w:rFonts w:ascii="Garamond" w:hAnsi="Garamond"/>
        </w:rPr>
        <w:t>nsated and so would constitute “overkill”</w:t>
      </w:r>
      <w:r w:rsidR="004135E4" w:rsidRPr="00447798">
        <w:rPr>
          <w:rFonts w:ascii="Garamond" w:hAnsi="Garamond"/>
        </w:rPr>
        <w:t xml:space="preserve"> (at [72]).</w:t>
      </w:r>
    </w:p>
    <w:p w14:paraId="66A6DECD" w14:textId="77777777" w:rsidR="004135E4" w:rsidRPr="00447798" w:rsidRDefault="004135E4" w:rsidP="004135E4">
      <w:pPr>
        <w:spacing w:line="360" w:lineRule="auto"/>
        <w:rPr>
          <w:rFonts w:ascii="Garamond" w:hAnsi="Garamond"/>
        </w:rPr>
      </w:pPr>
    </w:p>
    <w:p w14:paraId="2ABE5649" w14:textId="7F16D3D5" w:rsidR="004135E4" w:rsidRPr="00447798" w:rsidRDefault="004135E4" w:rsidP="004135E4">
      <w:pPr>
        <w:spacing w:line="360" w:lineRule="auto"/>
        <w:rPr>
          <w:rFonts w:ascii="Garamond" w:hAnsi="Garamond"/>
        </w:rPr>
      </w:pPr>
      <w:proofErr w:type="spellStart"/>
      <w:r>
        <w:rPr>
          <w:rFonts w:ascii="Garamond" w:hAnsi="Garamond"/>
        </w:rPr>
        <w:t>McCombe</w:t>
      </w:r>
      <w:proofErr w:type="spellEnd"/>
      <w:r>
        <w:rPr>
          <w:rFonts w:ascii="Garamond" w:hAnsi="Garamond"/>
        </w:rPr>
        <w:t xml:space="preserve"> L</w:t>
      </w:r>
      <w:r w:rsidR="00031160">
        <w:rPr>
          <w:rFonts w:ascii="Garamond" w:hAnsi="Garamond"/>
        </w:rPr>
        <w:t>.</w:t>
      </w:r>
      <w:r>
        <w:rPr>
          <w:rFonts w:ascii="Garamond" w:hAnsi="Garamond"/>
        </w:rPr>
        <w:t>J</w:t>
      </w:r>
      <w:r w:rsidR="00031160">
        <w:rPr>
          <w:rFonts w:ascii="Garamond" w:hAnsi="Garamond"/>
        </w:rPr>
        <w:t>.</w:t>
      </w:r>
      <w:r>
        <w:rPr>
          <w:rFonts w:ascii="Garamond" w:hAnsi="Garamond"/>
        </w:rPr>
        <w:t xml:space="preserve"> is correct </w:t>
      </w:r>
      <w:r w:rsidRPr="00447798">
        <w:rPr>
          <w:rFonts w:ascii="Garamond" w:hAnsi="Garamond"/>
        </w:rPr>
        <w:t xml:space="preserve">that the </w:t>
      </w:r>
      <w:r w:rsidRPr="00447798">
        <w:rPr>
          <w:rFonts w:ascii="Garamond" w:hAnsi="Garamond"/>
          <w:lang w:eastAsia="en-GB"/>
        </w:rPr>
        <w:t>illegality defence does not apply to Ms X</w:t>
      </w:r>
      <w:r w:rsidRPr="00447798">
        <w:rPr>
          <w:rFonts w:ascii="Garamond" w:hAnsi="Garamond"/>
        </w:rPr>
        <w:t>. The Surrogacy Arrangement</w:t>
      </w:r>
      <w:r w:rsidR="00177A16">
        <w:rPr>
          <w:rFonts w:ascii="Garamond" w:hAnsi="Garamond"/>
        </w:rPr>
        <w:t>s</w:t>
      </w:r>
      <w:r w:rsidRPr="00447798">
        <w:rPr>
          <w:rFonts w:ascii="Garamond" w:hAnsi="Garamond"/>
        </w:rPr>
        <w:t xml:space="preserve"> Act 1985 does not have extraterritorial effect and the provisions prohibiting commercial surrogacy do not catch the surrogate and intended parents. </w:t>
      </w:r>
      <w:r w:rsidRPr="00447798">
        <w:rPr>
          <w:rFonts w:ascii="Garamond" w:hAnsi="Garamond"/>
          <w:lang w:eastAsia="en-GB"/>
        </w:rPr>
        <w:t xml:space="preserve">There are good reasons for this. Whatever one thinks of commercial surrogacy, it would be undesirable to throw a new-born child’s intended </w:t>
      </w:r>
      <w:r>
        <w:rPr>
          <w:rFonts w:ascii="Garamond" w:hAnsi="Garamond"/>
          <w:lang w:eastAsia="en-GB"/>
        </w:rPr>
        <w:t>parents</w:t>
      </w:r>
      <w:r w:rsidRPr="00447798">
        <w:rPr>
          <w:rFonts w:ascii="Garamond" w:hAnsi="Garamond"/>
          <w:lang w:eastAsia="en-GB"/>
        </w:rPr>
        <w:t xml:space="preserve"> and </w:t>
      </w:r>
      <w:r>
        <w:rPr>
          <w:rFonts w:ascii="Garamond" w:hAnsi="Garamond"/>
          <w:lang w:eastAsia="en-GB"/>
        </w:rPr>
        <w:t xml:space="preserve">the </w:t>
      </w:r>
      <w:r w:rsidRPr="00447798">
        <w:rPr>
          <w:rFonts w:ascii="Garamond" w:hAnsi="Garamond"/>
          <w:lang w:eastAsia="en-GB"/>
        </w:rPr>
        <w:t>surrogate mother in gaol and p</w:t>
      </w:r>
      <w:r>
        <w:rPr>
          <w:rFonts w:ascii="Garamond" w:hAnsi="Garamond"/>
          <w:lang w:eastAsia="en-GB"/>
        </w:rPr>
        <w:t>lace</w:t>
      </w:r>
      <w:r w:rsidRPr="00447798">
        <w:rPr>
          <w:rFonts w:ascii="Garamond" w:hAnsi="Garamond"/>
          <w:lang w:eastAsia="en-GB"/>
        </w:rPr>
        <w:t xml:space="preserve"> the child in care</w:t>
      </w:r>
      <w:r>
        <w:rPr>
          <w:rFonts w:ascii="Garamond" w:hAnsi="Garamond"/>
          <w:lang w:eastAsia="en-GB"/>
        </w:rPr>
        <w:t xml:space="preserve"> </w:t>
      </w:r>
      <w:r w:rsidR="006830D3">
        <w:rPr>
          <w:rFonts w:ascii="Garamond" w:hAnsi="Garamond"/>
          <w:lang w:eastAsia="en-GB"/>
        </w:rPr>
        <w:t xml:space="preserve">when the intended parents are perfectly capable of looking after it </w:t>
      </w:r>
      <w:r w:rsidRPr="00447798">
        <w:rPr>
          <w:rFonts w:ascii="Garamond" w:hAnsi="Garamond"/>
          <w:lang w:eastAsia="en-GB"/>
        </w:rPr>
        <w:t>(</w:t>
      </w:r>
      <w:r>
        <w:rPr>
          <w:rFonts w:ascii="Garamond" w:hAnsi="Garamond"/>
          <w:lang w:eastAsia="en-GB"/>
        </w:rPr>
        <w:t xml:space="preserve">see </w:t>
      </w:r>
      <w:r w:rsidR="00655F14">
        <w:rPr>
          <w:rFonts w:ascii="Garamond" w:hAnsi="Garamond"/>
        </w:rPr>
        <w:t>Margaret Brazier</w:t>
      </w:r>
      <w:r w:rsidRPr="00447798">
        <w:rPr>
          <w:rFonts w:ascii="Garamond" w:hAnsi="Garamond"/>
        </w:rPr>
        <w:t xml:space="preserve">, </w:t>
      </w:r>
      <w:r w:rsidRPr="00447798">
        <w:rPr>
          <w:rFonts w:ascii="Garamond" w:hAnsi="Garamond"/>
          <w:i/>
        </w:rPr>
        <w:t>Surrogacy: Review for Health Ministers of Current Arrangeme</w:t>
      </w:r>
      <w:r>
        <w:rPr>
          <w:rFonts w:ascii="Garamond" w:hAnsi="Garamond"/>
          <w:i/>
        </w:rPr>
        <w:t>nts for Payments and Regulation</w:t>
      </w:r>
      <w:r w:rsidRPr="00447798">
        <w:rPr>
          <w:rFonts w:ascii="Garamond" w:hAnsi="Garamond"/>
          <w:i/>
        </w:rPr>
        <w:t xml:space="preserve"> </w:t>
      </w:r>
      <w:r w:rsidR="00655F14">
        <w:rPr>
          <w:rFonts w:ascii="Garamond" w:hAnsi="Garamond"/>
        </w:rPr>
        <w:t>(</w:t>
      </w:r>
      <w:r w:rsidR="00641A64">
        <w:rPr>
          <w:rFonts w:ascii="Garamond" w:hAnsi="Garamond"/>
        </w:rPr>
        <w:t>Cm 4068,</w:t>
      </w:r>
      <w:r w:rsidRPr="00447798">
        <w:rPr>
          <w:rFonts w:ascii="Garamond" w:hAnsi="Garamond"/>
        </w:rPr>
        <w:t xml:space="preserve"> 1998)</w:t>
      </w:r>
      <w:r w:rsidR="00655F14">
        <w:rPr>
          <w:rFonts w:ascii="Garamond" w:hAnsi="Garamond"/>
        </w:rPr>
        <w:t xml:space="preserve"> (</w:t>
      </w:r>
      <w:r w:rsidR="00655F14" w:rsidRPr="00655F14">
        <w:rPr>
          <w:rFonts w:ascii="Garamond" w:hAnsi="Garamond"/>
          <w:i/>
        </w:rPr>
        <w:t>Brazier</w:t>
      </w:r>
      <w:r w:rsidR="00655F14">
        <w:rPr>
          <w:rFonts w:ascii="Garamond" w:hAnsi="Garamond"/>
        </w:rPr>
        <w:t xml:space="preserve">) </w:t>
      </w:r>
      <w:r w:rsidRPr="00655F14">
        <w:rPr>
          <w:rFonts w:ascii="Garamond" w:hAnsi="Garamond"/>
          <w:lang w:eastAsia="en-GB"/>
        </w:rPr>
        <w:t>at</w:t>
      </w:r>
      <w:r w:rsidRPr="00447798">
        <w:rPr>
          <w:rFonts w:ascii="Garamond" w:hAnsi="Garamond"/>
          <w:lang w:eastAsia="en-GB"/>
        </w:rPr>
        <w:t xml:space="preserve"> [4-50])</w:t>
      </w:r>
      <w:r>
        <w:rPr>
          <w:rFonts w:ascii="Garamond" w:hAnsi="Garamond"/>
          <w:lang w:eastAsia="en-GB"/>
        </w:rPr>
        <w:t>.</w:t>
      </w:r>
    </w:p>
    <w:p w14:paraId="35E5F105" w14:textId="77777777" w:rsidR="004135E4" w:rsidRDefault="004135E4" w:rsidP="009C7B2F">
      <w:pPr>
        <w:spacing w:line="360" w:lineRule="auto"/>
        <w:rPr>
          <w:rFonts w:ascii="Garamond" w:hAnsi="Garamond"/>
        </w:rPr>
      </w:pPr>
    </w:p>
    <w:p w14:paraId="32FEB16E" w14:textId="0EDFBAEC" w:rsidR="009C7B2F" w:rsidRPr="00447798" w:rsidRDefault="006830D3" w:rsidP="009C7B2F">
      <w:pPr>
        <w:spacing w:line="360" w:lineRule="auto"/>
        <w:rPr>
          <w:rFonts w:ascii="Garamond" w:hAnsi="Garamond"/>
          <w:lang w:eastAsia="en-GB"/>
        </w:rPr>
      </w:pPr>
      <w:r>
        <w:rPr>
          <w:rFonts w:ascii="Garamond" w:hAnsi="Garamond"/>
        </w:rPr>
        <w:t>Yet while</w:t>
      </w:r>
      <w:r w:rsidR="003F20ED">
        <w:rPr>
          <w:rFonts w:ascii="Garamond" w:hAnsi="Garamond"/>
        </w:rPr>
        <w:t xml:space="preserve"> </w:t>
      </w:r>
      <w:r w:rsidR="009C7B2F">
        <w:rPr>
          <w:rFonts w:ascii="Garamond" w:hAnsi="Garamond"/>
        </w:rPr>
        <w:t xml:space="preserve">Ms X would not act </w:t>
      </w:r>
      <w:r w:rsidR="009C7B2F" w:rsidRPr="00447798">
        <w:rPr>
          <w:rFonts w:ascii="Garamond" w:hAnsi="Garamond"/>
        </w:rPr>
        <w:t>illegally by taking part in a commercial surrogacy arrangement</w:t>
      </w:r>
      <w:r w:rsidR="003A4588">
        <w:rPr>
          <w:rFonts w:ascii="Garamond" w:hAnsi="Garamond"/>
        </w:rPr>
        <w:t xml:space="preserve"> in California</w:t>
      </w:r>
      <w:r w:rsidR="004135E4">
        <w:rPr>
          <w:rFonts w:ascii="Garamond" w:hAnsi="Garamond"/>
        </w:rPr>
        <w:t>,</w:t>
      </w:r>
      <w:r w:rsidR="009C7B2F" w:rsidRPr="00447798">
        <w:rPr>
          <w:rFonts w:ascii="Garamond" w:hAnsi="Garamond"/>
        </w:rPr>
        <w:t xml:space="preserve"> such an arrangement would be illegal if it was performed in this country</w:t>
      </w:r>
      <w:r w:rsidR="009C7B2F">
        <w:rPr>
          <w:rFonts w:ascii="Garamond" w:hAnsi="Garamond"/>
        </w:rPr>
        <w:t>,</w:t>
      </w:r>
      <w:r w:rsidR="009C7B2F" w:rsidRPr="00447798">
        <w:rPr>
          <w:rFonts w:ascii="Garamond" w:hAnsi="Garamond"/>
        </w:rPr>
        <w:t xml:space="preserve"> even if it is other parties – and not the claimant herself – who would break the law. </w:t>
      </w:r>
      <w:r w:rsidR="009C7B2F" w:rsidRPr="00447798">
        <w:rPr>
          <w:rFonts w:ascii="Garamond" w:hAnsi="Garamond"/>
          <w:lang w:eastAsia="en-GB"/>
        </w:rPr>
        <w:t>The Court of Appeal acknowledged that domestic law prohibits commercial surrogacy businesses ‘in circumstances in which we have no standards set for their operation, no licensing arrangements and no regulatory policing of day to day operation’ (at [56]). The reason why there are no such standards, licensing arrangements and regulating policing of commercial agencies in the UK is not because it is beyond our ability to do so</w:t>
      </w:r>
      <w:r w:rsidR="009C7B2F">
        <w:rPr>
          <w:rFonts w:ascii="Garamond" w:hAnsi="Garamond"/>
          <w:lang w:eastAsia="en-GB"/>
        </w:rPr>
        <w:t>,</w:t>
      </w:r>
      <w:r w:rsidR="009C7B2F" w:rsidRPr="00447798">
        <w:rPr>
          <w:rFonts w:ascii="Garamond" w:hAnsi="Garamond"/>
          <w:lang w:eastAsia="en-GB"/>
        </w:rPr>
        <w:t xml:space="preserve"> but because </w:t>
      </w:r>
      <w:r w:rsidR="009C7B2F">
        <w:rPr>
          <w:rFonts w:ascii="Garamond" w:hAnsi="Garamond"/>
          <w:lang w:eastAsia="en-GB"/>
        </w:rPr>
        <w:t>P</w:t>
      </w:r>
      <w:r w:rsidR="009C7B2F" w:rsidRPr="00447798">
        <w:rPr>
          <w:rFonts w:ascii="Garamond" w:hAnsi="Garamond"/>
          <w:lang w:eastAsia="en-GB"/>
        </w:rPr>
        <w:t xml:space="preserve">arliament sees such profit-making practices as undesirable, whether regulated or otherwise. </w:t>
      </w:r>
      <w:r w:rsidR="009C7B2F">
        <w:rPr>
          <w:rFonts w:ascii="Garamond" w:hAnsi="Garamond"/>
          <w:lang w:eastAsia="en-GB"/>
        </w:rPr>
        <w:t>Altruistic surrogacy is</w:t>
      </w:r>
      <w:r w:rsidR="009C7B2F" w:rsidRPr="00447798">
        <w:rPr>
          <w:rFonts w:ascii="Garamond" w:hAnsi="Garamond"/>
          <w:lang w:eastAsia="en-GB"/>
        </w:rPr>
        <w:t xml:space="preserve"> not contrary to public policy</w:t>
      </w:r>
      <w:r w:rsidR="009C7B2F">
        <w:rPr>
          <w:rFonts w:ascii="Garamond" w:hAnsi="Garamond"/>
          <w:lang w:eastAsia="en-GB"/>
        </w:rPr>
        <w:t>,</w:t>
      </w:r>
      <w:r w:rsidR="009C7B2F" w:rsidRPr="00447798">
        <w:rPr>
          <w:rFonts w:ascii="Garamond" w:hAnsi="Garamond"/>
          <w:lang w:eastAsia="en-GB"/>
        </w:rPr>
        <w:t xml:space="preserve"> but binding contracts and the involvement of profit-making third parties is something </w:t>
      </w:r>
      <w:r w:rsidR="009C7B2F">
        <w:rPr>
          <w:rFonts w:ascii="Garamond" w:hAnsi="Garamond"/>
          <w:lang w:eastAsia="en-GB"/>
        </w:rPr>
        <w:t>P</w:t>
      </w:r>
      <w:r w:rsidR="009C7B2F" w:rsidRPr="00447798">
        <w:rPr>
          <w:rFonts w:ascii="Garamond" w:hAnsi="Garamond"/>
          <w:lang w:eastAsia="en-GB"/>
        </w:rPr>
        <w:t xml:space="preserve">arliament has legislated against. </w:t>
      </w:r>
      <w:r w:rsidR="003A4588">
        <w:rPr>
          <w:rFonts w:ascii="Garamond" w:hAnsi="Garamond"/>
          <w:lang w:eastAsia="en-GB"/>
        </w:rPr>
        <w:t xml:space="preserve">Surrogacy arrangements are not enforceable domestically because </w:t>
      </w:r>
      <w:r w:rsidR="009C7B2F" w:rsidRPr="00447798">
        <w:rPr>
          <w:rFonts w:ascii="Garamond" w:hAnsi="Garamond"/>
          <w:lang w:eastAsia="en-GB"/>
        </w:rPr>
        <w:t>English law allows the surrogate to change her mind and, if the</w:t>
      </w:r>
      <w:r w:rsidR="009C7B2F">
        <w:rPr>
          <w:rFonts w:ascii="Garamond" w:hAnsi="Garamond"/>
          <w:lang w:eastAsia="en-GB"/>
        </w:rPr>
        <w:t xml:space="preserve"> child’s</w:t>
      </w:r>
      <w:r w:rsidR="009C7B2F" w:rsidRPr="00447798">
        <w:rPr>
          <w:rFonts w:ascii="Garamond" w:hAnsi="Garamond"/>
          <w:lang w:eastAsia="en-GB"/>
        </w:rPr>
        <w:t xml:space="preserve"> welfare interests demand it, keep the child. The law can accept that the intended parents should not be criminalised without wishing to encourage </w:t>
      </w:r>
      <w:r w:rsidR="009C7B2F" w:rsidRPr="00447798">
        <w:rPr>
          <w:rFonts w:ascii="Garamond" w:hAnsi="Garamond"/>
          <w:i/>
          <w:lang w:eastAsia="en-GB"/>
        </w:rPr>
        <w:t>commercial</w:t>
      </w:r>
      <w:r w:rsidR="009C7B2F" w:rsidRPr="00447798">
        <w:rPr>
          <w:rFonts w:ascii="Garamond" w:hAnsi="Garamond"/>
          <w:lang w:eastAsia="en-GB"/>
        </w:rPr>
        <w:t xml:space="preserve"> surrogacy. </w:t>
      </w:r>
    </w:p>
    <w:p w14:paraId="6FE9A652" w14:textId="77777777" w:rsidR="009C7B2F" w:rsidRPr="00447798" w:rsidRDefault="009C7B2F" w:rsidP="009C7B2F">
      <w:pPr>
        <w:spacing w:line="360" w:lineRule="auto"/>
        <w:rPr>
          <w:rFonts w:ascii="Garamond" w:hAnsi="Garamond"/>
          <w:lang w:eastAsia="en-GB"/>
        </w:rPr>
      </w:pPr>
    </w:p>
    <w:p w14:paraId="719E7E10" w14:textId="1A626923" w:rsidR="009C7B2F" w:rsidRPr="001C6C0F" w:rsidRDefault="009C7B2F" w:rsidP="009C7B2F">
      <w:pPr>
        <w:spacing w:line="360" w:lineRule="auto"/>
        <w:rPr>
          <w:rFonts w:ascii="Garamond" w:hAnsi="Garamond"/>
          <w:lang w:eastAsia="en-GB"/>
        </w:rPr>
      </w:pPr>
      <w:r w:rsidRPr="00447798">
        <w:rPr>
          <w:rFonts w:ascii="Garamond" w:hAnsi="Garamond"/>
          <w:lang w:eastAsia="en-GB"/>
        </w:rPr>
        <w:lastRenderedPageBreak/>
        <w:t>There are many activities that are lawful in other countries that would be unlawful if they took place in this jurisdiction. Purchasing drugs is decriminalised in Portugal, managing brothels is lawful in New Zealand and assisted suicide is permitted in Switzerland. People undertaking such activities abroad</w:t>
      </w:r>
      <w:r w:rsidR="003F20ED">
        <w:rPr>
          <w:rFonts w:ascii="Garamond" w:hAnsi="Garamond"/>
          <w:lang w:eastAsia="en-GB"/>
        </w:rPr>
        <w:t>,</w:t>
      </w:r>
      <w:r w:rsidRPr="00447798">
        <w:rPr>
          <w:rFonts w:ascii="Garamond" w:hAnsi="Garamond"/>
          <w:lang w:eastAsia="en-GB"/>
        </w:rPr>
        <w:t xml:space="preserve"> would not face prosecution here. But this does not mean that it is reasonable to expect a defendant to pay for a claimant to engage in such behaviour. We should probably emphasis</w:t>
      </w:r>
      <w:r>
        <w:rPr>
          <w:rFonts w:ascii="Garamond" w:hAnsi="Garamond"/>
          <w:lang w:eastAsia="en-GB"/>
        </w:rPr>
        <w:t>e</w:t>
      </w:r>
      <w:r w:rsidRPr="00447798">
        <w:rPr>
          <w:rFonts w:ascii="Garamond" w:hAnsi="Garamond"/>
          <w:lang w:eastAsia="en-GB"/>
        </w:rPr>
        <w:t xml:space="preserve"> that we are not taking a moralistic attitude to surrogacy (or, for that matter, drugs, sex work or assisted dying). Indeed, </w:t>
      </w:r>
      <w:r>
        <w:rPr>
          <w:rFonts w:ascii="Garamond" w:hAnsi="Garamond"/>
          <w:lang w:eastAsia="en-GB"/>
        </w:rPr>
        <w:t xml:space="preserve">the </w:t>
      </w:r>
      <w:r w:rsidR="006830D3">
        <w:rPr>
          <w:rFonts w:ascii="Garamond" w:hAnsi="Garamond"/>
          <w:lang w:eastAsia="en-GB"/>
        </w:rPr>
        <w:t xml:space="preserve">first </w:t>
      </w:r>
      <w:r>
        <w:rPr>
          <w:rFonts w:ascii="Garamond" w:hAnsi="Garamond"/>
          <w:lang w:eastAsia="en-GB"/>
        </w:rPr>
        <w:t>named author has previously argued that English law be refo</w:t>
      </w:r>
      <w:r w:rsidR="00031160">
        <w:rPr>
          <w:rFonts w:ascii="Garamond" w:hAnsi="Garamond"/>
          <w:lang w:eastAsia="en-GB"/>
        </w:rPr>
        <w:t>rmed to allow for payment of a “moderate fee” to surrogates in addition to “reasonable expenses”</w:t>
      </w:r>
      <w:r>
        <w:rPr>
          <w:rFonts w:ascii="Garamond" w:hAnsi="Garamond"/>
          <w:lang w:eastAsia="en-GB"/>
        </w:rPr>
        <w:t xml:space="preserve"> (Alghrani and Griffiths, </w:t>
      </w:r>
      <w:r w:rsidRPr="005D4609">
        <w:rPr>
          <w:rFonts w:ascii="Garamond" w:hAnsi="Garamond"/>
          <w:lang w:eastAsia="en-GB"/>
        </w:rPr>
        <w:t xml:space="preserve">(2017) 29 </w:t>
      </w:r>
      <w:r>
        <w:rPr>
          <w:rFonts w:ascii="Garamond" w:hAnsi="Garamond"/>
          <w:lang w:eastAsia="en-GB"/>
        </w:rPr>
        <w:t>C</w:t>
      </w:r>
      <w:r w:rsidR="00A376B8">
        <w:rPr>
          <w:rFonts w:ascii="Garamond" w:hAnsi="Garamond"/>
          <w:lang w:eastAsia="en-GB"/>
        </w:rPr>
        <w:t>.</w:t>
      </w:r>
      <w:r>
        <w:rPr>
          <w:rFonts w:ascii="Garamond" w:hAnsi="Garamond"/>
          <w:lang w:eastAsia="en-GB"/>
        </w:rPr>
        <w:t>F</w:t>
      </w:r>
      <w:r w:rsidR="00A376B8">
        <w:rPr>
          <w:rFonts w:ascii="Garamond" w:hAnsi="Garamond"/>
          <w:lang w:eastAsia="en-GB"/>
        </w:rPr>
        <w:t>.</w:t>
      </w:r>
      <w:r>
        <w:rPr>
          <w:rFonts w:ascii="Garamond" w:hAnsi="Garamond"/>
          <w:lang w:eastAsia="en-GB"/>
        </w:rPr>
        <w:t>L</w:t>
      </w:r>
      <w:r w:rsidR="00A376B8">
        <w:rPr>
          <w:rFonts w:ascii="Garamond" w:hAnsi="Garamond"/>
          <w:lang w:eastAsia="en-GB"/>
        </w:rPr>
        <w:t>.</w:t>
      </w:r>
      <w:r>
        <w:rPr>
          <w:rFonts w:ascii="Garamond" w:hAnsi="Garamond"/>
          <w:lang w:eastAsia="en-GB"/>
        </w:rPr>
        <w:t>Q</w:t>
      </w:r>
      <w:r w:rsidR="00A376B8">
        <w:rPr>
          <w:rFonts w:ascii="Garamond" w:hAnsi="Garamond"/>
          <w:lang w:eastAsia="en-GB"/>
        </w:rPr>
        <w:t>.</w:t>
      </w:r>
      <w:r w:rsidRPr="005D4609">
        <w:rPr>
          <w:rFonts w:ascii="Garamond" w:hAnsi="Garamond"/>
          <w:lang w:eastAsia="en-GB"/>
        </w:rPr>
        <w:t xml:space="preserve"> 165</w:t>
      </w:r>
      <w:r>
        <w:rPr>
          <w:rFonts w:ascii="Garamond" w:hAnsi="Garamond"/>
          <w:lang w:eastAsia="en-GB"/>
        </w:rPr>
        <w:t xml:space="preserve">) and the </w:t>
      </w:r>
      <w:r w:rsidR="006830D3">
        <w:rPr>
          <w:rFonts w:ascii="Garamond" w:hAnsi="Garamond"/>
          <w:lang w:eastAsia="en-GB"/>
        </w:rPr>
        <w:t>second</w:t>
      </w:r>
      <w:r>
        <w:rPr>
          <w:rFonts w:ascii="Garamond" w:hAnsi="Garamond"/>
          <w:lang w:eastAsia="en-GB"/>
        </w:rPr>
        <w:t xml:space="preserve"> named author has advocated using the law of unjust enrichment to enable intended parents to recoup money when the surrogate reneges on the deal (see Purshouse and Bracegirdle, (2018) 26 Med</w:t>
      </w:r>
      <w:r w:rsidR="00A376B8">
        <w:rPr>
          <w:rFonts w:ascii="Garamond" w:hAnsi="Garamond"/>
          <w:lang w:eastAsia="en-GB"/>
        </w:rPr>
        <w:t>.</w:t>
      </w:r>
      <w:r>
        <w:rPr>
          <w:rFonts w:ascii="Garamond" w:hAnsi="Garamond"/>
          <w:lang w:eastAsia="en-GB"/>
        </w:rPr>
        <w:t xml:space="preserve"> L</w:t>
      </w:r>
      <w:r w:rsidR="00A376B8">
        <w:rPr>
          <w:rFonts w:ascii="Garamond" w:hAnsi="Garamond"/>
          <w:lang w:eastAsia="en-GB"/>
        </w:rPr>
        <w:t>.</w:t>
      </w:r>
      <w:r>
        <w:rPr>
          <w:rFonts w:ascii="Garamond" w:hAnsi="Garamond"/>
          <w:lang w:eastAsia="en-GB"/>
        </w:rPr>
        <w:t xml:space="preserve"> Rev</w:t>
      </w:r>
      <w:r w:rsidR="00A376B8">
        <w:rPr>
          <w:rFonts w:ascii="Garamond" w:hAnsi="Garamond"/>
          <w:lang w:eastAsia="en-GB"/>
        </w:rPr>
        <w:t>.</w:t>
      </w:r>
      <w:r>
        <w:rPr>
          <w:rFonts w:ascii="Garamond" w:hAnsi="Garamond"/>
          <w:lang w:eastAsia="en-GB"/>
        </w:rPr>
        <w:t xml:space="preserve"> 557). </w:t>
      </w:r>
      <w:r w:rsidRPr="00447798">
        <w:rPr>
          <w:rFonts w:ascii="Garamond" w:hAnsi="Garamond"/>
          <w:lang w:eastAsia="en-GB"/>
        </w:rPr>
        <w:t>Rather, our argument is that if the law is defective</w:t>
      </w:r>
      <w:r>
        <w:rPr>
          <w:rFonts w:ascii="Garamond" w:hAnsi="Garamond"/>
          <w:lang w:eastAsia="en-GB"/>
        </w:rPr>
        <w:t>,</w:t>
      </w:r>
      <w:r w:rsidRPr="00447798">
        <w:rPr>
          <w:rFonts w:ascii="Garamond" w:hAnsi="Garamond"/>
          <w:lang w:eastAsia="en-GB"/>
        </w:rPr>
        <w:t xml:space="preserve"> then </w:t>
      </w:r>
      <w:r>
        <w:rPr>
          <w:rFonts w:ascii="Garamond" w:hAnsi="Garamond"/>
          <w:lang w:eastAsia="en-GB"/>
        </w:rPr>
        <w:t xml:space="preserve">it should be </w:t>
      </w:r>
      <w:r w:rsidRPr="00447798">
        <w:rPr>
          <w:rFonts w:ascii="Garamond" w:hAnsi="Garamond"/>
          <w:lang w:eastAsia="en-GB"/>
        </w:rPr>
        <w:t>reform</w:t>
      </w:r>
      <w:r>
        <w:rPr>
          <w:rFonts w:ascii="Garamond" w:hAnsi="Garamond"/>
          <w:lang w:eastAsia="en-GB"/>
        </w:rPr>
        <w:t>ed.</w:t>
      </w:r>
      <w:r w:rsidR="009D6709">
        <w:rPr>
          <w:rFonts w:ascii="Garamond" w:hAnsi="Garamond"/>
          <w:lang w:eastAsia="en-GB"/>
        </w:rPr>
        <w:t xml:space="preserve"> </w:t>
      </w:r>
      <w:r w:rsidR="00370DB1">
        <w:rPr>
          <w:rFonts w:ascii="Garamond" w:hAnsi="Garamond"/>
          <w:lang w:eastAsia="en-GB"/>
        </w:rPr>
        <w:t xml:space="preserve"> </w:t>
      </w:r>
    </w:p>
    <w:p w14:paraId="0EFC5D13" w14:textId="77777777" w:rsidR="009C7B2F" w:rsidRDefault="009C7B2F" w:rsidP="00DE331F">
      <w:pPr>
        <w:spacing w:line="360" w:lineRule="auto"/>
        <w:rPr>
          <w:rFonts w:ascii="Garamond" w:hAnsi="Garamond"/>
        </w:rPr>
      </w:pPr>
    </w:p>
    <w:p w14:paraId="4705B27C" w14:textId="5328A39F" w:rsidR="00F749BD" w:rsidRPr="00447798" w:rsidRDefault="009C7B2F" w:rsidP="00DE331F">
      <w:pPr>
        <w:spacing w:line="360" w:lineRule="auto"/>
        <w:rPr>
          <w:rFonts w:ascii="Garamond" w:hAnsi="Garamond"/>
          <w:lang w:eastAsia="en-GB"/>
        </w:rPr>
      </w:pPr>
      <w:r>
        <w:rPr>
          <w:rFonts w:ascii="Garamond" w:hAnsi="Garamond"/>
        </w:rPr>
        <w:t>The Court of Appeal supported the argument that the defence of illegality did not apply</w:t>
      </w:r>
      <w:r w:rsidR="004F785D">
        <w:rPr>
          <w:rFonts w:ascii="Garamond" w:hAnsi="Garamond"/>
        </w:rPr>
        <w:t xml:space="preserve"> in the present case</w:t>
      </w:r>
      <w:r>
        <w:rPr>
          <w:rFonts w:ascii="Garamond" w:hAnsi="Garamond"/>
        </w:rPr>
        <w:t xml:space="preserve"> by reliance upon </w:t>
      </w:r>
      <w:r w:rsidR="003F20ED">
        <w:rPr>
          <w:rFonts w:ascii="Garamond" w:hAnsi="Garamond"/>
          <w:lang w:eastAsia="en-GB"/>
        </w:rPr>
        <w:t>t</w:t>
      </w:r>
      <w:r w:rsidR="00F749BD" w:rsidRPr="00447798">
        <w:rPr>
          <w:rFonts w:ascii="Garamond" w:hAnsi="Garamond"/>
          <w:lang w:eastAsia="en-GB"/>
        </w:rPr>
        <w:t xml:space="preserve">he Supreme Court decision of </w:t>
      </w:r>
      <w:r w:rsidR="00F749BD" w:rsidRPr="00447798">
        <w:rPr>
          <w:rFonts w:ascii="Garamond" w:hAnsi="Garamond"/>
          <w:i/>
          <w:lang w:eastAsia="en-GB"/>
        </w:rPr>
        <w:t>Patel v Mirza</w:t>
      </w:r>
      <w:r w:rsidR="00F749BD" w:rsidRPr="00447798">
        <w:rPr>
          <w:rFonts w:ascii="Garamond" w:hAnsi="Garamond"/>
          <w:lang w:eastAsia="en-GB"/>
        </w:rPr>
        <w:t xml:space="preserve"> [2016] UKSC 42</w:t>
      </w:r>
      <w:r w:rsidR="006F359A">
        <w:rPr>
          <w:rFonts w:ascii="Garamond" w:hAnsi="Garamond"/>
          <w:lang w:eastAsia="en-GB"/>
        </w:rPr>
        <w:t xml:space="preserve">; </w:t>
      </w:r>
      <w:r w:rsidR="006F359A" w:rsidRPr="006F359A">
        <w:rPr>
          <w:rFonts w:ascii="Garamond" w:hAnsi="Garamond"/>
          <w:lang w:eastAsia="en-GB"/>
        </w:rPr>
        <w:t>[2017] A.C. 467</w:t>
      </w:r>
      <w:r w:rsidR="00F749BD" w:rsidRPr="00447798">
        <w:rPr>
          <w:rFonts w:ascii="Garamond" w:hAnsi="Garamond"/>
          <w:lang w:eastAsia="en-GB"/>
        </w:rPr>
        <w:t xml:space="preserve"> </w:t>
      </w:r>
      <w:r w:rsidR="003A4588">
        <w:rPr>
          <w:rFonts w:ascii="Garamond" w:hAnsi="Garamond"/>
          <w:lang w:eastAsia="en-GB"/>
        </w:rPr>
        <w:t xml:space="preserve">which </w:t>
      </w:r>
      <w:r w:rsidR="009D6709">
        <w:rPr>
          <w:rFonts w:ascii="Garamond" w:hAnsi="Garamond"/>
          <w:lang w:eastAsia="en-GB"/>
        </w:rPr>
        <w:t>was interpreted as giving</w:t>
      </w:r>
      <w:r w:rsidR="00EF0707">
        <w:rPr>
          <w:rFonts w:ascii="Garamond" w:hAnsi="Garamond"/>
          <w:lang w:eastAsia="en-GB"/>
        </w:rPr>
        <w:t xml:space="preserve"> the Co</w:t>
      </w:r>
      <w:r w:rsidR="0082149A">
        <w:rPr>
          <w:rFonts w:ascii="Garamond" w:hAnsi="Garamond"/>
          <w:lang w:eastAsia="en-GB"/>
        </w:rPr>
        <w:t>urt of Appeal</w:t>
      </w:r>
      <w:r w:rsidR="00F749BD" w:rsidRPr="00447798">
        <w:rPr>
          <w:rFonts w:ascii="Garamond" w:hAnsi="Garamond"/>
          <w:lang w:eastAsia="en-GB"/>
        </w:rPr>
        <w:t xml:space="preserve"> </w:t>
      </w:r>
      <w:r w:rsidR="00031160">
        <w:rPr>
          <w:rFonts w:ascii="Garamond" w:hAnsi="Garamond"/>
          <w:lang w:eastAsia="en-GB"/>
        </w:rPr>
        <w:t>“</w:t>
      </w:r>
      <w:r w:rsidR="00F749BD" w:rsidRPr="00447798">
        <w:rPr>
          <w:rFonts w:ascii="Garamond" w:hAnsi="Garamond"/>
          <w:lang w:eastAsia="en-GB"/>
        </w:rPr>
        <w:t>a fr</w:t>
      </w:r>
      <w:r w:rsidR="002B57EB" w:rsidRPr="00447798">
        <w:rPr>
          <w:rFonts w:ascii="Garamond" w:hAnsi="Garamond"/>
          <w:lang w:eastAsia="en-GB"/>
        </w:rPr>
        <w:t xml:space="preserve">esh </w:t>
      </w:r>
      <w:r w:rsidR="00031160">
        <w:rPr>
          <w:rFonts w:ascii="Garamond" w:hAnsi="Garamond"/>
          <w:lang w:eastAsia="en-GB"/>
        </w:rPr>
        <w:t>opportunity to examine the ‘public policy’</w:t>
      </w:r>
      <w:r w:rsidR="00F749BD" w:rsidRPr="00447798">
        <w:rPr>
          <w:rFonts w:ascii="Garamond" w:hAnsi="Garamond"/>
          <w:lang w:eastAsia="en-GB"/>
        </w:rPr>
        <w:t xml:space="preserve"> behind the bar to this particular civil claim which was held t</w:t>
      </w:r>
      <w:r w:rsidR="00F93586" w:rsidRPr="00447798">
        <w:rPr>
          <w:rFonts w:ascii="Garamond" w:hAnsi="Garamond"/>
          <w:lang w:eastAsia="en-GB"/>
        </w:rPr>
        <w:t xml:space="preserve">o exist 17 years ago in </w:t>
      </w:r>
      <w:proofErr w:type="spellStart"/>
      <w:r w:rsidR="00F93586" w:rsidRPr="0082149A">
        <w:rPr>
          <w:rFonts w:ascii="Garamond" w:hAnsi="Garamond"/>
          <w:i/>
          <w:lang w:eastAsia="en-GB"/>
        </w:rPr>
        <w:t>Briody</w:t>
      </w:r>
      <w:proofErr w:type="spellEnd"/>
      <w:r w:rsidR="00031160">
        <w:rPr>
          <w:rFonts w:ascii="Garamond" w:hAnsi="Garamond"/>
          <w:lang w:eastAsia="en-GB"/>
        </w:rPr>
        <w:t>”</w:t>
      </w:r>
      <w:r w:rsidR="00F93586" w:rsidRPr="00447798">
        <w:rPr>
          <w:rFonts w:ascii="Garamond" w:hAnsi="Garamond"/>
          <w:lang w:eastAsia="en-GB"/>
        </w:rPr>
        <w:t xml:space="preserve"> (at [57]</w:t>
      </w:r>
      <w:r w:rsidR="001C6C0F">
        <w:rPr>
          <w:rFonts w:ascii="Garamond" w:hAnsi="Garamond"/>
          <w:lang w:eastAsia="en-GB"/>
        </w:rPr>
        <w:t xml:space="preserve"> per </w:t>
      </w:r>
      <w:proofErr w:type="spellStart"/>
      <w:r w:rsidR="001C6C0F">
        <w:rPr>
          <w:rFonts w:ascii="Garamond" w:hAnsi="Garamond"/>
          <w:lang w:eastAsia="en-GB"/>
        </w:rPr>
        <w:t>McCombe</w:t>
      </w:r>
      <w:proofErr w:type="spellEnd"/>
      <w:r w:rsidR="001C6C0F">
        <w:rPr>
          <w:rFonts w:ascii="Garamond" w:hAnsi="Garamond"/>
          <w:lang w:eastAsia="en-GB"/>
        </w:rPr>
        <w:t xml:space="preserve"> L</w:t>
      </w:r>
      <w:r w:rsidR="006F359A">
        <w:rPr>
          <w:rFonts w:ascii="Garamond" w:hAnsi="Garamond"/>
          <w:lang w:eastAsia="en-GB"/>
        </w:rPr>
        <w:t>.</w:t>
      </w:r>
      <w:r w:rsidR="001C6C0F">
        <w:rPr>
          <w:rFonts w:ascii="Garamond" w:hAnsi="Garamond"/>
          <w:lang w:eastAsia="en-GB"/>
        </w:rPr>
        <w:t>J</w:t>
      </w:r>
      <w:r w:rsidR="006F359A">
        <w:rPr>
          <w:rFonts w:ascii="Garamond" w:hAnsi="Garamond"/>
          <w:lang w:eastAsia="en-GB"/>
        </w:rPr>
        <w:t>.</w:t>
      </w:r>
      <w:r w:rsidR="00F93586" w:rsidRPr="00447798">
        <w:rPr>
          <w:rFonts w:ascii="Garamond" w:hAnsi="Garamond"/>
          <w:lang w:eastAsia="en-GB"/>
        </w:rPr>
        <w:t>).</w:t>
      </w:r>
      <w:r w:rsidR="00F749BD" w:rsidRPr="00447798">
        <w:rPr>
          <w:rFonts w:ascii="Garamond" w:hAnsi="Garamond"/>
          <w:lang w:eastAsia="en-GB"/>
        </w:rPr>
        <w:t xml:space="preserve"> </w:t>
      </w:r>
      <w:r w:rsidR="00F749BD" w:rsidRPr="00447798">
        <w:rPr>
          <w:rFonts w:ascii="Garamond" w:hAnsi="Garamond"/>
          <w:i/>
          <w:lang w:eastAsia="en-GB"/>
        </w:rPr>
        <w:t xml:space="preserve">Patel </w:t>
      </w:r>
      <w:r w:rsidR="00F749BD" w:rsidRPr="00447798">
        <w:rPr>
          <w:rFonts w:ascii="Garamond" w:hAnsi="Garamond"/>
          <w:lang w:eastAsia="en-GB"/>
        </w:rPr>
        <w:t>was an unjust enrichment case involving money transferred pursuant to an illegal agreement but a nine-</w:t>
      </w:r>
      <w:r w:rsidR="00FA408A">
        <w:rPr>
          <w:rFonts w:ascii="Garamond" w:hAnsi="Garamond"/>
          <w:lang w:eastAsia="en-GB"/>
        </w:rPr>
        <w:t xml:space="preserve">member </w:t>
      </w:r>
      <w:r w:rsidR="00F749BD" w:rsidRPr="00447798">
        <w:rPr>
          <w:rFonts w:ascii="Garamond" w:hAnsi="Garamond"/>
          <w:lang w:eastAsia="en-GB"/>
        </w:rPr>
        <w:t xml:space="preserve">panel </w:t>
      </w:r>
      <w:r w:rsidR="00FA408A">
        <w:rPr>
          <w:rFonts w:ascii="Garamond" w:hAnsi="Garamond"/>
          <w:lang w:eastAsia="en-GB"/>
        </w:rPr>
        <w:t xml:space="preserve">of the </w:t>
      </w:r>
      <w:r w:rsidR="00F749BD" w:rsidRPr="00447798">
        <w:rPr>
          <w:rFonts w:ascii="Garamond" w:hAnsi="Garamond"/>
          <w:lang w:eastAsia="en-GB"/>
        </w:rPr>
        <w:t xml:space="preserve">Supreme Court considered the defence of illegality across private law. </w:t>
      </w:r>
    </w:p>
    <w:p w14:paraId="409D1537" w14:textId="77777777" w:rsidR="00F749BD" w:rsidRPr="00447798" w:rsidRDefault="00F749BD" w:rsidP="00DE331F">
      <w:pPr>
        <w:spacing w:line="360" w:lineRule="auto"/>
        <w:rPr>
          <w:rFonts w:ascii="Garamond" w:hAnsi="Garamond"/>
          <w:lang w:eastAsia="en-GB"/>
        </w:rPr>
      </w:pPr>
    </w:p>
    <w:p w14:paraId="6543B479" w14:textId="5B80F369" w:rsidR="00F749BD" w:rsidRPr="00447798" w:rsidRDefault="00F749BD" w:rsidP="00DE331F">
      <w:pPr>
        <w:spacing w:line="360" w:lineRule="auto"/>
        <w:rPr>
          <w:rFonts w:ascii="Garamond" w:hAnsi="Garamond"/>
          <w:lang w:eastAsia="en-GB"/>
        </w:rPr>
      </w:pPr>
      <w:r w:rsidRPr="00447798">
        <w:rPr>
          <w:rFonts w:ascii="Garamond" w:hAnsi="Garamond"/>
          <w:lang w:eastAsia="en-GB"/>
        </w:rPr>
        <w:t xml:space="preserve">The majority, endorsing a policy-based or balancing approach, maintained that the essential rationale behind the defence </w:t>
      </w:r>
      <w:r w:rsidR="00655F14">
        <w:rPr>
          <w:rFonts w:ascii="Garamond" w:hAnsi="Garamond"/>
          <w:lang w:eastAsia="en-GB"/>
        </w:rPr>
        <w:t xml:space="preserve">was whether </w:t>
      </w:r>
      <w:r w:rsidRPr="00447798">
        <w:rPr>
          <w:rFonts w:ascii="Garamond" w:hAnsi="Garamond"/>
          <w:lang w:eastAsia="en-GB"/>
        </w:rPr>
        <w:t>the public interest would be harmed</w:t>
      </w:r>
      <w:r w:rsidR="00655F14">
        <w:rPr>
          <w:rFonts w:ascii="Garamond" w:hAnsi="Garamond"/>
          <w:lang w:eastAsia="en-GB"/>
        </w:rPr>
        <w:t xml:space="preserve"> by permitting a claim. In assessing this,</w:t>
      </w:r>
      <w:r w:rsidRPr="00447798">
        <w:rPr>
          <w:rFonts w:ascii="Garamond" w:hAnsi="Garamond"/>
          <w:lang w:eastAsia="en-GB"/>
        </w:rPr>
        <w:t xml:space="preserve"> there are three things to consider:</w:t>
      </w:r>
      <w:r w:rsidR="004829AE">
        <w:rPr>
          <w:rFonts w:ascii="Garamond" w:hAnsi="Garamond"/>
          <w:lang w:eastAsia="en-GB"/>
        </w:rPr>
        <w:t xml:space="preserve"> </w:t>
      </w:r>
    </w:p>
    <w:p w14:paraId="716F6976" w14:textId="3FD930EF" w:rsidR="00F749BD" w:rsidRPr="00447798" w:rsidRDefault="004829AE" w:rsidP="00DE331F">
      <w:pPr>
        <w:pStyle w:val="ListParagraph"/>
        <w:numPr>
          <w:ilvl w:val="0"/>
          <w:numId w:val="2"/>
        </w:numPr>
        <w:spacing w:line="360" w:lineRule="auto"/>
        <w:rPr>
          <w:rFonts w:ascii="Garamond" w:hAnsi="Garamond"/>
          <w:lang w:eastAsia="en-GB"/>
        </w:rPr>
      </w:pPr>
      <w:r>
        <w:rPr>
          <w:rFonts w:ascii="Garamond" w:hAnsi="Garamond"/>
          <w:lang w:eastAsia="en-GB"/>
        </w:rPr>
        <w:t>…</w:t>
      </w:r>
      <w:r w:rsidR="00F749BD" w:rsidRPr="00447798">
        <w:rPr>
          <w:rFonts w:ascii="Garamond" w:hAnsi="Garamond"/>
          <w:lang w:eastAsia="en-GB"/>
        </w:rPr>
        <w:t xml:space="preserve">the underlying purpose of the prohibition which has been transgressed and whether that purpose will be enhanced by denial of the claim, </w:t>
      </w:r>
    </w:p>
    <w:p w14:paraId="5A2DB619" w14:textId="25A6D51F" w:rsidR="00F749BD" w:rsidRPr="00447798" w:rsidRDefault="004829AE" w:rsidP="00DE331F">
      <w:pPr>
        <w:pStyle w:val="ListParagraph"/>
        <w:numPr>
          <w:ilvl w:val="0"/>
          <w:numId w:val="2"/>
        </w:numPr>
        <w:spacing w:line="360" w:lineRule="auto"/>
        <w:rPr>
          <w:rFonts w:ascii="Garamond" w:hAnsi="Garamond"/>
          <w:lang w:eastAsia="en-GB"/>
        </w:rPr>
      </w:pPr>
      <w:r>
        <w:rPr>
          <w:rFonts w:ascii="Garamond" w:hAnsi="Garamond"/>
          <w:lang w:eastAsia="en-GB"/>
        </w:rPr>
        <w:t>…</w:t>
      </w:r>
      <w:r w:rsidR="00F749BD" w:rsidRPr="00447798">
        <w:rPr>
          <w:rFonts w:ascii="Garamond" w:hAnsi="Garamond"/>
          <w:lang w:eastAsia="en-GB"/>
        </w:rPr>
        <w:t xml:space="preserve">any other relevant public policy on which the denial of the claim may have an impact and </w:t>
      </w:r>
    </w:p>
    <w:p w14:paraId="26AFBC05" w14:textId="449EFC64" w:rsidR="00F749BD" w:rsidRPr="00447798" w:rsidRDefault="004829AE" w:rsidP="00DE331F">
      <w:pPr>
        <w:pStyle w:val="ListParagraph"/>
        <w:numPr>
          <w:ilvl w:val="0"/>
          <w:numId w:val="2"/>
        </w:numPr>
        <w:spacing w:line="360" w:lineRule="auto"/>
        <w:rPr>
          <w:rFonts w:ascii="Garamond" w:hAnsi="Garamond"/>
          <w:lang w:eastAsia="en-GB"/>
        </w:rPr>
      </w:pPr>
      <w:r>
        <w:rPr>
          <w:rFonts w:ascii="Garamond" w:hAnsi="Garamond"/>
          <w:lang w:eastAsia="en-GB"/>
        </w:rPr>
        <w:t>…</w:t>
      </w:r>
      <w:r w:rsidR="00F749BD" w:rsidRPr="00447798">
        <w:rPr>
          <w:rFonts w:ascii="Garamond" w:hAnsi="Garamond"/>
          <w:lang w:eastAsia="en-GB"/>
        </w:rPr>
        <w:t>whether denial of the claim would be a proportio</w:t>
      </w:r>
      <w:r>
        <w:rPr>
          <w:rFonts w:ascii="Garamond" w:hAnsi="Garamond"/>
          <w:lang w:eastAsia="en-GB"/>
        </w:rPr>
        <w:t>nate response to the illegality</w:t>
      </w:r>
      <w:r w:rsidR="00F749BD" w:rsidRPr="00447798">
        <w:rPr>
          <w:rFonts w:ascii="Garamond" w:hAnsi="Garamond"/>
          <w:lang w:eastAsia="en-GB"/>
        </w:rPr>
        <w:t>’</w:t>
      </w:r>
      <w:r w:rsidR="00F93586" w:rsidRPr="00447798">
        <w:rPr>
          <w:rFonts w:ascii="Garamond" w:hAnsi="Garamond"/>
          <w:lang w:eastAsia="en-GB"/>
        </w:rPr>
        <w:t xml:space="preserve"> (at [120]).</w:t>
      </w:r>
    </w:p>
    <w:p w14:paraId="3ECCC49D" w14:textId="77777777" w:rsidR="00F749BD" w:rsidRPr="00447798" w:rsidRDefault="00F749BD" w:rsidP="00DE331F">
      <w:pPr>
        <w:spacing w:line="360" w:lineRule="auto"/>
        <w:rPr>
          <w:rFonts w:ascii="Garamond" w:hAnsi="Garamond"/>
          <w:lang w:eastAsia="en-GB"/>
        </w:rPr>
      </w:pPr>
    </w:p>
    <w:p w14:paraId="509F88BC" w14:textId="532F7D81" w:rsidR="00F749BD" w:rsidRPr="00447798" w:rsidRDefault="00031160" w:rsidP="00DE331F">
      <w:pPr>
        <w:spacing w:line="360" w:lineRule="auto"/>
        <w:rPr>
          <w:rFonts w:ascii="Garamond" w:hAnsi="Garamond"/>
          <w:lang w:eastAsia="en-GB"/>
        </w:rPr>
      </w:pPr>
      <w:r>
        <w:rPr>
          <w:rFonts w:ascii="Garamond" w:hAnsi="Garamond"/>
          <w:lang w:eastAsia="en-GB"/>
        </w:rPr>
        <w:t>Within this framework “</w:t>
      </w:r>
      <w:r w:rsidR="00F749BD" w:rsidRPr="00447798">
        <w:rPr>
          <w:rFonts w:ascii="Garamond" w:hAnsi="Garamond"/>
          <w:lang w:eastAsia="en-GB"/>
        </w:rPr>
        <w:t>various factors may be relevant, but it would be a mistake to suggest that the court is free to decide</w:t>
      </w:r>
      <w:r>
        <w:rPr>
          <w:rFonts w:ascii="Garamond" w:hAnsi="Garamond"/>
          <w:lang w:eastAsia="en-GB"/>
        </w:rPr>
        <w:t xml:space="preserve"> a case in an undisciplined way”</w:t>
      </w:r>
      <w:r w:rsidR="00F93586" w:rsidRPr="00447798">
        <w:rPr>
          <w:rFonts w:ascii="Garamond" w:hAnsi="Garamond"/>
          <w:lang w:eastAsia="en-GB"/>
        </w:rPr>
        <w:t xml:space="preserve"> (at [120] per Lord Toulson). </w:t>
      </w:r>
    </w:p>
    <w:p w14:paraId="134D7C00" w14:textId="77777777" w:rsidR="00F749BD" w:rsidRPr="00447798" w:rsidRDefault="00F749BD" w:rsidP="00DE331F">
      <w:pPr>
        <w:spacing w:line="360" w:lineRule="auto"/>
        <w:rPr>
          <w:rFonts w:ascii="Garamond" w:hAnsi="Garamond"/>
          <w:lang w:eastAsia="en-GB"/>
        </w:rPr>
      </w:pPr>
    </w:p>
    <w:p w14:paraId="1CB9DB4F" w14:textId="58A19847" w:rsidR="00F749BD" w:rsidRPr="007C45CC" w:rsidRDefault="00F749BD" w:rsidP="00DE331F">
      <w:pPr>
        <w:spacing w:line="360" w:lineRule="auto"/>
        <w:rPr>
          <w:rFonts w:ascii="Garamond" w:hAnsi="Garamond"/>
          <w:lang w:eastAsia="en-GB"/>
        </w:rPr>
      </w:pPr>
      <w:r w:rsidRPr="00447798">
        <w:rPr>
          <w:rFonts w:ascii="Garamond" w:hAnsi="Garamond"/>
          <w:i/>
          <w:lang w:eastAsia="en-GB"/>
        </w:rPr>
        <w:lastRenderedPageBreak/>
        <w:t xml:space="preserve">Patel </w:t>
      </w:r>
      <w:r w:rsidRPr="00447798">
        <w:rPr>
          <w:rFonts w:ascii="Garamond" w:hAnsi="Garamond"/>
          <w:lang w:eastAsia="en-GB"/>
        </w:rPr>
        <w:t>is undoubtedly a landmark case but</w:t>
      </w:r>
      <w:r w:rsidR="009D6709">
        <w:rPr>
          <w:rFonts w:ascii="Garamond" w:hAnsi="Garamond"/>
          <w:lang w:eastAsia="en-GB"/>
        </w:rPr>
        <w:t xml:space="preserve"> it </w:t>
      </w:r>
      <w:r w:rsidR="006432B2">
        <w:rPr>
          <w:rFonts w:ascii="Garamond" w:hAnsi="Garamond"/>
          <w:lang w:eastAsia="en-GB"/>
        </w:rPr>
        <w:t xml:space="preserve">is arguable that it </w:t>
      </w:r>
      <w:r w:rsidR="009D6709">
        <w:rPr>
          <w:rFonts w:ascii="Garamond" w:hAnsi="Garamond"/>
          <w:lang w:eastAsia="en-GB"/>
        </w:rPr>
        <w:t xml:space="preserve">does not justify a reconsideration of </w:t>
      </w:r>
      <w:proofErr w:type="spellStart"/>
      <w:r w:rsidR="009D6709">
        <w:rPr>
          <w:rFonts w:ascii="Garamond" w:hAnsi="Garamond"/>
          <w:i/>
          <w:lang w:eastAsia="en-GB"/>
        </w:rPr>
        <w:t>Briody</w:t>
      </w:r>
      <w:proofErr w:type="spellEnd"/>
      <w:r w:rsidR="009D6709">
        <w:rPr>
          <w:rFonts w:ascii="Garamond" w:hAnsi="Garamond"/>
          <w:i/>
          <w:lang w:eastAsia="en-GB"/>
        </w:rPr>
        <w:t xml:space="preserve"> </w:t>
      </w:r>
      <w:r w:rsidR="009D6709">
        <w:rPr>
          <w:rFonts w:ascii="Garamond" w:hAnsi="Garamond"/>
          <w:lang w:eastAsia="en-GB"/>
        </w:rPr>
        <w:t xml:space="preserve">as the defence of illegality was not a hurdle in that case. </w:t>
      </w:r>
      <w:r w:rsidR="00370DB1">
        <w:rPr>
          <w:rFonts w:ascii="Garamond" w:hAnsi="Garamond"/>
          <w:lang w:eastAsia="en-GB"/>
        </w:rPr>
        <w:t xml:space="preserve">Neither </w:t>
      </w:r>
      <w:r w:rsidR="00E339C7">
        <w:rPr>
          <w:rFonts w:ascii="Garamond" w:hAnsi="Garamond"/>
          <w:lang w:eastAsia="en-GB"/>
        </w:rPr>
        <w:t xml:space="preserve">Ms X nor Ms </w:t>
      </w:r>
      <w:proofErr w:type="spellStart"/>
      <w:r w:rsidR="00E339C7">
        <w:rPr>
          <w:rFonts w:ascii="Garamond" w:hAnsi="Garamond"/>
          <w:lang w:eastAsia="en-GB"/>
        </w:rPr>
        <w:t>Briody</w:t>
      </w:r>
      <w:proofErr w:type="spellEnd"/>
      <w:r w:rsidR="00E339C7">
        <w:rPr>
          <w:rFonts w:ascii="Garamond" w:hAnsi="Garamond"/>
          <w:lang w:eastAsia="en-GB"/>
        </w:rPr>
        <w:t xml:space="preserve"> would have acted illegally at the time </w:t>
      </w:r>
      <w:proofErr w:type="spellStart"/>
      <w:r w:rsidR="00E339C7">
        <w:rPr>
          <w:rFonts w:ascii="Garamond" w:hAnsi="Garamond"/>
          <w:i/>
          <w:lang w:eastAsia="en-GB"/>
        </w:rPr>
        <w:t>Briody</w:t>
      </w:r>
      <w:proofErr w:type="spellEnd"/>
      <w:r w:rsidR="00E339C7">
        <w:rPr>
          <w:rFonts w:ascii="Garamond" w:hAnsi="Garamond"/>
          <w:lang w:eastAsia="en-GB"/>
        </w:rPr>
        <w:t xml:space="preserve"> was decided</w:t>
      </w:r>
      <w:r w:rsidRPr="00447798">
        <w:rPr>
          <w:rFonts w:ascii="Garamond" w:hAnsi="Garamond"/>
          <w:lang w:eastAsia="en-GB"/>
        </w:rPr>
        <w:t>.</w:t>
      </w:r>
      <w:r w:rsidR="002F7655">
        <w:rPr>
          <w:rFonts w:ascii="Garamond" w:hAnsi="Garamond"/>
          <w:lang w:eastAsia="en-GB"/>
        </w:rPr>
        <w:t xml:space="preserve"> </w:t>
      </w:r>
      <w:r w:rsidR="009D6709">
        <w:rPr>
          <w:rFonts w:ascii="Garamond" w:hAnsi="Garamond"/>
          <w:lang w:eastAsia="en-GB"/>
        </w:rPr>
        <w:t xml:space="preserve">Instead, </w:t>
      </w:r>
      <w:proofErr w:type="spellStart"/>
      <w:r w:rsidR="005C424F">
        <w:rPr>
          <w:rFonts w:ascii="Garamond" w:hAnsi="Garamond"/>
          <w:i/>
          <w:lang w:eastAsia="en-GB"/>
        </w:rPr>
        <w:t>Briody</w:t>
      </w:r>
      <w:proofErr w:type="spellEnd"/>
      <w:r w:rsidR="005C424F">
        <w:rPr>
          <w:rFonts w:ascii="Garamond" w:hAnsi="Garamond"/>
          <w:lang w:eastAsia="en-GB"/>
        </w:rPr>
        <w:t xml:space="preserve"> was concerned with the separate issue of whether </w:t>
      </w:r>
      <w:r w:rsidR="00C962CE">
        <w:rPr>
          <w:rFonts w:ascii="Garamond" w:hAnsi="Garamond"/>
          <w:lang w:eastAsia="en-GB"/>
        </w:rPr>
        <w:t xml:space="preserve">awarding </w:t>
      </w:r>
      <w:r w:rsidR="005C424F">
        <w:rPr>
          <w:rFonts w:ascii="Garamond" w:hAnsi="Garamond"/>
          <w:lang w:eastAsia="en-GB"/>
        </w:rPr>
        <w:t>damages</w:t>
      </w:r>
      <w:r w:rsidR="005C424F" w:rsidRPr="00447798">
        <w:rPr>
          <w:rFonts w:ascii="Garamond" w:hAnsi="Garamond"/>
          <w:lang w:eastAsia="en-GB"/>
        </w:rPr>
        <w:t xml:space="preserve"> </w:t>
      </w:r>
      <w:r w:rsidR="00C962CE">
        <w:rPr>
          <w:rFonts w:ascii="Garamond" w:hAnsi="Garamond"/>
          <w:lang w:eastAsia="en-GB"/>
        </w:rPr>
        <w:t>was</w:t>
      </w:r>
      <w:r w:rsidR="005C424F">
        <w:rPr>
          <w:rFonts w:ascii="Garamond" w:hAnsi="Garamond"/>
          <w:lang w:eastAsia="en-GB"/>
        </w:rPr>
        <w:t xml:space="preserve"> contrary to public policy.</w:t>
      </w:r>
      <w:r w:rsidR="00370DB1">
        <w:rPr>
          <w:rFonts w:ascii="Garamond" w:hAnsi="Garamond"/>
          <w:lang w:eastAsia="en-GB"/>
        </w:rPr>
        <w:t xml:space="preserve"> </w:t>
      </w:r>
      <w:r w:rsidR="00370DB1">
        <w:rPr>
          <w:rFonts w:ascii="Garamond" w:hAnsi="Garamond"/>
          <w:i/>
          <w:lang w:eastAsia="en-GB"/>
        </w:rPr>
        <w:t>Patel</w:t>
      </w:r>
      <w:r w:rsidR="00370DB1">
        <w:rPr>
          <w:rFonts w:ascii="Garamond" w:hAnsi="Garamond"/>
          <w:lang w:eastAsia="en-GB"/>
        </w:rPr>
        <w:t xml:space="preserve"> is not necessarily relevant to th</w:t>
      </w:r>
      <w:r w:rsidR="00AB3FF7">
        <w:rPr>
          <w:rFonts w:ascii="Garamond" w:hAnsi="Garamond"/>
          <w:lang w:eastAsia="en-GB"/>
        </w:rPr>
        <w:t>e</w:t>
      </w:r>
      <w:r w:rsidR="00370DB1">
        <w:rPr>
          <w:rFonts w:ascii="Garamond" w:hAnsi="Garamond"/>
          <w:lang w:eastAsia="en-GB"/>
        </w:rPr>
        <w:t xml:space="preserve"> </w:t>
      </w:r>
      <w:r w:rsidR="00AB3FF7">
        <w:rPr>
          <w:rFonts w:ascii="Garamond" w:hAnsi="Garamond"/>
          <w:lang w:eastAsia="en-GB"/>
        </w:rPr>
        <w:t xml:space="preserve">latter </w:t>
      </w:r>
      <w:r w:rsidR="00370DB1">
        <w:rPr>
          <w:rFonts w:ascii="Garamond" w:hAnsi="Garamond"/>
          <w:lang w:eastAsia="en-GB"/>
        </w:rPr>
        <w:t>question.</w:t>
      </w:r>
      <w:r w:rsidR="009D6709">
        <w:rPr>
          <w:rFonts w:ascii="Garamond" w:hAnsi="Garamond"/>
          <w:lang w:eastAsia="en-GB"/>
        </w:rPr>
        <w:t xml:space="preserve"> With respect to the </w:t>
      </w:r>
      <w:r w:rsidR="002041C7" w:rsidRPr="00447798">
        <w:rPr>
          <w:rFonts w:ascii="Garamond" w:hAnsi="Garamond"/>
          <w:lang w:eastAsia="en-GB"/>
        </w:rPr>
        <w:t>Court of Appeal</w:t>
      </w:r>
      <w:r w:rsidR="009D6709">
        <w:rPr>
          <w:rFonts w:ascii="Garamond" w:hAnsi="Garamond"/>
          <w:lang w:eastAsia="en-GB"/>
        </w:rPr>
        <w:t xml:space="preserve">, </w:t>
      </w:r>
      <w:r w:rsidR="00370DB1">
        <w:rPr>
          <w:rFonts w:ascii="Garamond" w:hAnsi="Garamond"/>
          <w:lang w:eastAsia="en-GB"/>
        </w:rPr>
        <w:t>it</w:t>
      </w:r>
      <w:r w:rsidR="002041C7" w:rsidRPr="00447798">
        <w:rPr>
          <w:rFonts w:ascii="Garamond" w:hAnsi="Garamond"/>
          <w:lang w:eastAsia="en-GB"/>
        </w:rPr>
        <w:t xml:space="preserve"> </w:t>
      </w:r>
      <w:r w:rsidR="00370DB1">
        <w:rPr>
          <w:rFonts w:ascii="Garamond" w:hAnsi="Garamond"/>
          <w:lang w:eastAsia="en-GB"/>
        </w:rPr>
        <w:t xml:space="preserve">went beyond the scope of </w:t>
      </w:r>
      <w:r w:rsidR="00370DB1">
        <w:rPr>
          <w:rFonts w:ascii="Garamond" w:hAnsi="Garamond"/>
          <w:i/>
          <w:lang w:eastAsia="en-GB"/>
        </w:rPr>
        <w:t>Patel</w:t>
      </w:r>
      <w:r w:rsidR="00370DB1">
        <w:rPr>
          <w:rFonts w:ascii="Garamond" w:hAnsi="Garamond"/>
          <w:lang w:eastAsia="en-GB"/>
        </w:rPr>
        <w:t xml:space="preserve"> in</w:t>
      </w:r>
      <w:r w:rsidR="009D6709">
        <w:rPr>
          <w:rFonts w:ascii="Garamond" w:hAnsi="Garamond"/>
          <w:lang w:eastAsia="en-GB"/>
        </w:rPr>
        <w:t xml:space="preserve"> </w:t>
      </w:r>
      <w:r w:rsidR="00CE73B1">
        <w:rPr>
          <w:rFonts w:ascii="Garamond" w:hAnsi="Garamond"/>
          <w:lang w:eastAsia="en-GB"/>
        </w:rPr>
        <w:t>depart</w:t>
      </w:r>
      <w:r w:rsidR="00370DB1">
        <w:rPr>
          <w:rFonts w:ascii="Garamond" w:hAnsi="Garamond"/>
          <w:lang w:eastAsia="en-GB"/>
        </w:rPr>
        <w:t>ing</w:t>
      </w:r>
      <w:r w:rsidR="00CE73B1">
        <w:rPr>
          <w:rFonts w:ascii="Garamond" w:hAnsi="Garamond"/>
          <w:lang w:eastAsia="en-GB"/>
        </w:rPr>
        <w:t xml:space="preserve"> from </w:t>
      </w:r>
      <w:r w:rsidR="00370DB1">
        <w:rPr>
          <w:rFonts w:ascii="Garamond" w:hAnsi="Garamond"/>
          <w:lang w:eastAsia="en-GB"/>
        </w:rPr>
        <w:t xml:space="preserve">the </w:t>
      </w:r>
      <w:r w:rsidR="00AE602D">
        <w:rPr>
          <w:rFonts w:ascii="Garamond" w:hAnsi="Garamond"/>
          <w:lang w:eastAsia="en-GB"/>
        </w:rPr>
        <w:t>binding authority</w:t>
      </w:r>
      <w:r w:rsidR="00370DB1">
        <w:rPr>
          <w:rFonts w:ascii="Garamond" w:hAnsi="Garamond"/>
          <w:lang w:eastAsia="en-GB"/>
        </w:rPr>
        <w:t xml:space="preserve"> of </w:t>
      </w:r>
      <w:proofErr w:type="spellStart"/>
      <w:r w:rsidR="00370DB1">
        <w:rPr>
          <w:rFonts w:ascii="Garamond" w:hAnsi="Garamond"/>
          <w:i/>
          <w:lang w:eastAsia="en-GB"/>
        </w:rPr>
        <w:t>Briody</w:t>
      </w:r>
      <w:proofErr w:type="spellEnd"/>
      <w:r w:rsidR="001457CF">
        <w:rPr>
          <w:rFonts w:ascii="Garamond" w:hAnsi="Garamond"/>
          <w:lang w:eastAsia="en-GB"/>
        </w:rPr>
        <w:t xml:space="preserve"> on this occasion</w:t>
      </w:r>
      <w:r w:rsidR="007C45CC">
        <w:rPr>
          <w:rFonts w:ascii="Garamond" w:hAnsi="Garamond"/>
          <w:lang w:eastAsia="en-GB"/>
        </w:rPr>
        <w:t xml:space="preserve">. </w:t>
      </w:r>
    </w:p>
    <w:p w14:paraId="4DBD49DB" w14:textId="77777777" w:rsidR="0082149A" w:rsidRDefault="0082149A" w:rsidP="00DE331F">
      <w:pPr>
        <w:spacing w:line="360" w:lineRule="auto"/>
        <w:rPr>
          <w:rFonts w:ascii="Garamond" w:hAnsi="Garamond"/>
          <w:lang w:eastAsia="en-GB"/>
        </w:rPr>
      </w:pPr>
    </w:p>
    <w:p w14:paraId="580618F5" w14:textId="08F40FDB" w:rsidR="00F749BD" w:rsidRPr="00447798" w:rsidRDefault="00B33889" w:rsidP="006F359A">
      <w:pPr>
        <w:spacing w:line="360" w:lineRule="auto"/>
        <w:rPr>
          <w:rFonts w:ascii="Garamond" w:hAnsi="Garamond"/>
          <w:lang w:eastAsia="en-GB"/>
        </w:rPr>
      </w:pPr>
      <w:r w:rsidRPr="00447798">
        <w:rPr>
          <w:rFonts w:ascii="Garamond" w:hAnsi="Garamond"/>
          <w:lang w:eastAsia="en-GB"/>
        </w:rPr>
        <w:t xml:space="preserve">Even if </w:t>
      </w:r>
      <w:r w:rsidR="009E1081" w:rsidRPr="00447798">
        <w:rPr>
          <w:rFonts w:ascii="Garamond" w:hAnsi="Garamond"/>
          <w:lang w:eastAsia="en-GB"/>
        </w:rPr>
        <w:t xml:space="preserve">a departure </w:t>
      </w:r>
      <w:r w:rsidR="00727919">
        <w:rPr>
          <w:rFonts w:ascii="Garamond" w:hAnsi="Garamond"/>
          <w:lang w:eastAsia="en-GB"/>
        </w:rPr>
        <w:t xml:space="preserve">from </w:t>
      </w:r>
      <w:proofErr w:type="spellStart"/>
      <w:r w:rsidR="00727919">
        <w:rPr>
          <w:rFonts w:ascii="Garamond" w:hAnsi="Garamond"/>
          <w:i/>
          <w:lang w:eastAsia="en-GB"/>
        </w:rPr>
        <w:t>Briody</w:t>
      </w:r>
      <w:proofErr w:type="spellEnd"/>
      <w:r w:rsidR="00727919">
        <w:rPr>
          <w:rFonts w:ascii="Garamond" w:hAnsi="Garamond"/>
          <w:i/>
          <w:lang w:eastAsia="en-GB"/>
        </w:rPr>
        <w:t xml:space="preserve"> </w:t>
      </w:r>
      <w:r w:rsidR="009E1081" w:rsidRPr="00447798">
        <w:rPr>
          <w:rFonts w:ascii="Garamond" w:hAnsi="Garamond"/>
          <w:lang w:eastAsia="en-GB"/>
        </w:rPr>
        <w:t>was permissible, we</w:t>
      </w:r>
      <w:r w:rsidR="00F93586" w:rsidRPr="00447798">
        <w:rPr>
          <w:rFonts w:ascii="Garamond" w:hAnsi="Garamond"/>
          <w:lang w:eastAsia="en-GB"/>
        </w:rPr>
        <w:t xml:space="preserve"> might </w:t>
      </w:r>
      <w:r w:rsidR="000507C5" w:rsidRPr="00447798">
        <w:rPr>
          <w:rFonts w:ascii="Garamond" w:hAnsi="Garamond"/>
          <w:lang w:eastAsia="en-GB"/>
        </w:rPr>
        <w:t>question the Court of Appeal’s reasoning in this respect.</w:t>
      </w:r>
      <w:r w:rsidRPr="00447798">
        <w:rPr>
          <w:rFonts w:ascii="Garamond" w:hAnsi="Garamond"/>
          <w:i/>
          <w:lang w:eastAsia="en-GB"/>
        </w:rPr>
        <w:t xml:space="preserve"> </w:t>
      </w:r>
      <w:r w:rsidR="000507C5" w:rsidRPr="00447798">
        <w:rPr>
          <w:rFonts w:ascii="Garamond" w:hAnsi="Garamond"/>
          <w:lang w:eastAsia="en-GB"/>
        </w:rPr>
        <w:t>Noting</w:t>
      </w:r>
      <w:r w:rsidR="002A47EA" w:rsidRPr="00447798">
        <w:rPr>
          <w:rFonts w:ascii="Garamond" w:hAnsi="Garamond"/>
          <w:lang w:eastAsia="en-GB"/>
        </w:rPr>
        <w:t xml:space="preserve"> that authorisation</w:t>
      </w:r>
      <w:r w:rsidR="00F749BD" w:rsidRPr="00447798">
        <w:rPr>
          <w:rFonts w:ascii="Garamond" w:hAnsi="Garamond"/>
          <w:lang w:eastAsia="en-GB"/>
        </w:rPr>
        <w:t xml:space="preserve"> of payments</w:t>
      </w:r>
      <w:r w:rsidR="002A47EA" w:rsidRPr="00447798">
        <w:rPr>
          <w:rFonts w:ascii="Garamond" w:hAnsi="Garamond"/>
          <w:lang w:eastAsia="en-GB"/>
        </w:rPr>
        <w:t xml:space="preserve"> when granting a parental order</w:t>
      </w:r>
      <w:r w:rsidR="00F749BD" w:rsidRPr="00447798">
        <w:rPr>
          <w:rFonts w:ascii="Garamond" w:hAnsi="Garamond"/>
          <w:lang w:eastAsia="en-GB"/>
        </w:rPr>
        <w:t xml:space="preserve"> wa</w:t>
      </w:r>
      <w:r w:rsidR="002A47EA" w:rsidRPr="00447798">
        <w:rPr>
          <w:rFonts w:ascii="Garamond" w:hAnsi="Garamond"/>
          <w:lang w:eastAsia="en-GB"/>
        </w:rPr>
        <w:t xml:space="preserve">s already possible at the time </w:t>
      </w:r>
      <w:proofErr w:type="spellStart"/>
      <w:r w:rsidR="001457CF">
        <w:rPr>
          <w:rFonts w:ascii="Garamond" w:hAnsi="Garamond"/>
          <w:i/>
          <w:lang w:eastAsia="en-GB"/>
        </w:rPr>
        <w:t>Briody</w:t>
      </w:r>
      <w:proofErr w:type="spellEnd"/>
      <w:r w:rsidR="002A47EA" w:rsidRPr="00447798">
        <w:rPr>
          <w:rFonts w:ascii="Garamond" w:hAnsi="Garamond"/>
          <w:lang w:eastAsia="en-GB"/>
        </w:rPr>
        <w:t xml:space="preserve"> was decided</w:t>
      </w:r>
      <w:r w:rsidR="00E03119" w:rsidRPr="00447798">
        <w:rPr>
          <w:rFonts w:ascii="Garamond" w:hAnsi="Garamond"/>
          <w:lang w:eastAsia="en-GB"/>
        </w:rPr>
        <w:t xml:space="preserve"> (at [47])</w:t>
      </w:r>
      <w:r w:rsidR="000507C5" w:rsidRPr="00447798">
        <w:rPr>
          <w:rFonts w:ascii="Garamond" w:hAnsi="Garamond"/>
          <w:lang w:eastAsia="en-GB"/>
        </w:rPr>
        <w:t xml:space="preserve">, </w:t>
      </w:r>
      <w:proofErr w:type="spellStart"/>
      <w:r w:rsidR="000507C5" w:rsidRPr="00447798">
        <w:rPr>
          <w:rFonts w:ascii="Garamond" w:hAnsi="Garamond"/>
          <w:lang w:eastAsia="en-GB"/>
        </w:rPr>
        <w:t>McCombe</w:t>
      </w:r>
      <w:proofErr w:type="spellEnd"/>
      <w:r w:rsidR="000507C5" w:rsidRPr="00447798">
        <w:rPr>
          <w:rFonts w:ascii="Garamond" w:hAnsi="Garamond"/>
          <w:lang w:eastAsia="en-GB"/>
        </w:rPr>
        <w:t xml:space="preserve"> L</w:t>
      </w:r>
      <w:r w:rsidR="006F359A">
        <w:rPr>
          <w:rFonts w:ascii="Garamond" w:hAnsi="Garamond"/>
          <w:lang w:eastAsia="en-GB"/>
        </w:rPr>
        <w:t>.</w:t>
      </w:r>
      <w:r w:rsidR="000507C5" w:rsidRPr="00447798">
        <w:rPr>
          <w:rFonts w:ascii="Garamond" w:hAnsi="Garamond"/>
          <w:lang w:eastAsia="en-GB"/>
        </w:rPr>
        <w:t>J</w:t>
      </w:r>
      <w:r w:rsidR="006F359A">
        <w:rPr>
          <w:rFonts w:ascii="Garamond" w:hAnsi="Garamond"/>
          <w:lang w:eastAsia="en-GB"/>
        </w:rPr>
        <w:t>.</w:t>
      </w:r>
      <w:r w:rsidR="00031160">
        <w:rPr>
          <w:rFonts w:ascii="Garamond" w:hAnsi="Garamond"/>
          <w:lang w:eastAsia="en-GB"/>
        </w:rPr>
        <w:t xml:space="preserve"> maintained that </w:t>
      </w:r>
      <w:proofErr w:type="gramStart"/>
      <w:r w:rsidR="00031160">
        <w:rPr>
          <w:rFonts w:ascii="Garamond" w:hAnsi="Garamond"/>
          <w:lang w:eastAsia="en-GB"/>
        </w:rPr>
        <w:t>‘”</w:t>
      </w:r>
      <w:proofErr w:type="spellStart"/>
      <w:r w:rsidR="00F749BD" w:rsidRPr="00447798">
        <w:rPr>
          <w:rFonts w:ascii="Garamond" w:hAnsi="Garamond"/>
          <w:lang w:eastAsia="en-GB"/>
        </w:rPr>
        <w:t>hings</w:t>
      </w:r>
      <w:proofErr w:type="spellEnd"/>
      <w:proofErr w:type="gramEnd"/>
      <w:r w:rsidR="00F749BD" w:rsidRPr="00447798">
        <w:rPr>
          <w:rFonts w:ascii="Garamond" w:hAnsi="Garamond"/>
          <w:lang w:eastAsia="en-GB"/>
        </w:rPr>
        <w:t xml:space="preserve"> have certainly moved on in th</w:t>
      </w:r>
      <w:r w:rsidR="00031160">
        <w:rPr>
          <w:rFonts w:ascii="Garamond" w:hAnsi="Garamond"/>
          <w:lang w:eastAsia="en-GB"/>
        </w:rPr>
        <w:t>e exercise of that jurisdiction”</w:t>
      </w:r>
      <w:r w:rsidR="00E03119" w:rsidRPr="00447798">
        <w:rPr>
          <w:rFonts w:ascii="Garamond" w:hAnsi="Garamond"/>
          <w:lang w:eastAsia="en-GB"/>
        </w:rPr>
        <w:t xml:space="preserve"> (at [48]).</w:t>
      </w:r>
      <w:r w:rsidR="00F749BD" w:rsidRPr="00447798">
        <w:rPr>
          <w:rFonts w:ascii="Garamond" w:hAnsi="Garamond"/>
          <w:lang w:eastAsia="en-GB"/>
        </w:rPr>
        <w:t xml:space="preserve"> The case of </w:t>
      </w:r>
      <w:r w:rsidR="00F749BD" w:rsidRPr="00447798">
        <w:rPr>
          <w:rFonts w:ascii="Garamond" w:hAnsi="Garamond"/>
          <w:i/>
          <w:lang w:eastAsia="en-GB"/>
        </w:rPr>
        <w:t xml:space="preserve">Re C </w:t>
      </w:r>
      <w:r w:rsidR="00F749BD" w:rsidRPr="00447798">
        <w:rPr>
          <w:rFonts w:ascii="Garamond" w:hAnsi="Garamond"/>
          <w:i/>
          <w:iCs/>
          <w:lang w:eastAsia="en-GB"/>
        </w:rPr>
        <w:t>(Parental Order)</w:t>
      </w:r>
      <w:r w:rsidR="00F749BD" w:rsidRPr="00447798">
        <w:rPr>
          <w:rFonts w:ascii="Garamond" w:hAnsi="Garamond"/>
          <w:lang w:eastAsia="en-GB"/>
        </w:rPr>
        <w:t> </w:t>
      </w:r>
      <w:r w:rsidR="006F359A" w:rsidRPr="006F359A">
        <w:rPr>
          <w:rFonts w:ascii="Garamond" w:hAnsi="Garamond"/>
          <w:lang w:eastAsia="en-GB"/>
        </w:rPr>
        <w:t>[2013] EWHC 2408</w:t>
      </w:r>
      <w:r w:rsidR="006F359A">
        <w:rPr>
          <w:rFonts w:ascii="Garamond" w:hAnsi="Garamond"/>
          <w:lang w:eastAsia="en-GB"/>
        </w:rPr>
        <w:t xml:space="preserve">; </w:t>
      </w:r>
      <w:r w:rsidR="00F749BD" w:rsidRPr="00447798">
        <w:rPr>
          <w:rFonts w:ascii="Garamond" w:hAnsi="Garamond"/>
          <w:lang w:eastAsia="en-GB"/>
        </w:rPr>
        <w:t>[2014] 1 F</w:t>
      </w:r>
      <w:r w:rsidR="00031160">
        <w:rPr>
          <w:rFonts w:ascii="Garamond" w:hAnsi="Garamond"/>
          <w:lang w:eastAsia="en-GB"/>
        </w:rPr>
        <w:t>.</w:t>
      </w:r>
      <w:r w:rsidR="00F749BD" w:rsidRPr="00447798">
        <w:rPr>
          <w:rFonts w:ascii="Garamond" w:hAnsi="Garamond"/>
          <w:lang w:eastAsia="en-GB"/>
        </w:rPr>
        <w:t>L</w:t>
      </w:r>
      <w:r w:rsidR="00031160">
        <w:rPr>
          <w:rFonts w:ascii="Garamond" w:hAnsi="Garamond"/>
          <w:lang w:eastAsia="en-GB"/>
        </w:rPr>
        <w:t>.</w:t>
      </w:r>
      <w:r w:rsidR="00F749BD" w:rsidRPr="00447798">
        <w:rPr>
          <w:rFonts w:ascii="Garamond" w:hAnsi="Garamond"/>
          <w:lang w:eastAsia="en-GB"/>
        </w:rPr>
        <w:t>R</w:t>
      </w:r>
      <w:r w:rsidR="00031160">
        <w:rPr>
          <w:rFonts w:ascii="Garamond" w:hAnsi="Garamond"/>
          <w:lang w:eastAsia="en-GB"/>
        </w:rPr>
        <w:t>.</w:t>
      </w:r>
      <w:r w:rsidR="00F749BD" w:rsidRPr="00447798">
        <w:rPr>
          <w:rFonts w:ascii="Garamond" w:hAnsi="Garamond"/>
          <w:lang w:eastAsia="en-GB"/>
        </w:rPr>
        <w:t xml:space="preserve"> 757, where </w:t>
      </w:r>
      <w:proofErr w:type="spellStart"/>
      <w:r w:rsidR="00F749BD" w:rsidRPr="00447798">
        <w:rPr>
          <w:rFonts w:ascii="Garamond" w:hAnsi="Garamond"/>
          <w:lang w:eastAsia="en-GB"/>
        </w:rPr>
        <w:t>Theis</w:t>
      </w:r>
      <w:proofErr w:type="spellEnd"/>
      <w:r w:rsidR="00F749BD" w:rsidRPr="00447798">
        <w:rPr>
          <w:rFonts w:ascii="Garamond" w:hAnsi="Garamond"/>
          <w:lang w:eastAsia="en-GB"/>
        </w:rPr>
        <w:t xml:space="preserve"> J</w:t>
      </w:r>
      <w:r w:rsidR="006F359A">
        <w:rPr>
          <w:rFonts w:ascii="Garamond" w:hAnsi="Garamond"/>
          <w:lang w:eastAsia="en-GB"/>
        </w:rPr>
        <w:t>.</w:t>
      </w:r>
      <w:r w:rsidR="00F749BD" w:rsidRPr="00447798">
        <w:rPr>
          <w:rFonts w:ascii="Garamond" w:hAnsi="Garamond"/>
          <w:lang w:eastAsia="en-GB"/>
        </w:rPr>
        <w:t xml:space="preserve"> approved payments for 95,000</w:t>
      </w:r>
      <w:r w:rsidR="00E23811">
        <w:rPr>
          <w:rFonts w:ascii="Garamond" w:hAnsi="Garamond"/>
          <w:lang w:eastAsia="en-GB"/>
        </w:rPr>
        <w:t xml:space="preserve"> USD</w:t>
      </w:r>
      <w:r w:rsidR="00F749BD" w:rsidRPr="00447798">
        <w:rPr>
          <w:rFonts w:ascii="Garamond" w:hAnsi="Garamond"/>
          <w:lang w:eastAsia="en-GB"/>
        </w:rPr>
        <w:t xml:space="preserve"> when making a parental or</w:t>
      </w:r>
      <w:r w:rsidR="00031160">
        <w:rPr>
          <w:rFonts w:ascii="Garamond" w:hAnsi="Garamond"/>
          <w:lang w:eastAsia="en-GB"/>
        </w:rPr>
        <w:t xml:space="preserve">der, </w:t>
      </w:r>
      <w:r w:rsidR="00CE2660">
        <w:rPr>
          <w:rFonts w:ascii="Garamond" w:hAnsi="Garamond"/>
          <w:lang w:eastAsia="en-GB"/>
        </w:rPr>
        <w:t>was taken as indicating</w:t>
      </w:r>
      <w:r w:rsidR="00031160">
        <w:rPr>
          <w:rFonts w:ascii="Garamond" w:hAnsi="Garamond"/>
          <w:lang w:eastAsia="en-GB"/>
        </w:rPr>
        <w:t xml:space="preserve"> that “</w:t>
      </w:r>
      <w:r w:rsidR="00F749BD" w:rsidRPr="00447798">
        <w:rPr>
          <w:rFonts w:ascii="Garamond" w:hAnsi="Garamond"/>
          <w:lang w:eastAsia="en-GB"/>
        </w:rPr>
        <w:t>the law has advanced considerably in approving retrospectively payments ma</w:t>
      </w:r>
      <w:r w:rsidR="00031160">
        <w:rPr>
          <w:rFonts w:ascii="Garamond" w:hAnsi="Garamond"/>
          <w:lang w:eastAsia="en-GB"/>
        </w:rPr>
        <w:t>de in connection with surrogacy”</w:t>
      </w:r>
      <w:r w:rsidR="00E03119" w:rsidRPr="00447798">
        <w:rPr>
          <w:rFonts w:ascii="Garamond" w:hAnsi="Garamond"/>
          <w:lang w:eastAsia="en-GB"/>
        </w:rPr>
        <w:t xml:space="preserve"> (at [48]).</w:t>
      </w:r>
    </w:p>
    <w:p w14:paraId="7CF85E58" w14:textId="77777777" w:rsidR="00F749BD" w:rsidRPr="00447798" w:rsidRDefault="00F749BD" w:rsidP="00DE331F">
      <w:pPr>
        <w:spacing w:line="360" w:lineRule="auto"/>
        <w:rPr>
          <w:rFonts w:ascii="Garamond" w:hAnsi="Garamond"/>
          <w:lang w:eastAsia="en-GB"/>
        </w:rPr>
      </w:pPr>
    </w:p>
    <w:p w14:paraId="637BF8DA" w14:textId="300C7878" w:rsidR="008224EA" w:rsidRDefault="00031160" w:rsidP="00DE331F">
      <w:pPr>
        <w:spacing w:line="360" w:lineRule="auto"/>
        <w:rPr>
          <w:rFonts w:ascii="Garamond" w:hAnsi="Garamond"/>
          <w:lang w:eastAsia="en-GB"/>
        </w:rPr>
      </w:pPr>
      <w:r>
        <w:rPr>
          <w:rFonts w:ascii="Garamond" w:hAnsi="Garamond"/>
          <w:lang w:eastAsia="en-GB"/>
        </w:rPr>
        <w:t>Furthermore, “</w:t>
      </w:r>
      <w:r w:rsidR="00E03119" w:rsidRPr="00447798">
        <w:rPr>
          <w:rFonts w:ascii="Garamond" w:hAnsi="Garamond"/>
          <w:lang w:eastAsia="en-GB"/>
        </w:rPr>
        <w:t>social conditions have moved on</w:t>
      </w:r>
      <w:r>
        <w:rPr>
          <w:rFonts w:ascii="Garamond" w:hAnsi="Garamond"/>
          <w:lang w:eastAsia="en-GB"/>
        </w:rPr>
        <w:t>”</w:t>
      </w:r>
      <w:r w:rsidR="00E03119" w:rsidRPr="00447798">
        <w:rPr>
          <w:rFonts w:ascii="Garamond" w:hAnsi="Garamond"/>
          <w:lang w:eastAsia="en-GB"/>
        </w:rPr>
        <w:t xml:space="preserve"> (at [51])</w:t>
      </w:r>
      <w:r w:rsidR="00F676A6">
        <w:rPr>
          <w:rFonts w:ascii="Garamond" w:hAnsi="Garamond"/>
          <w:lang w:eastAsia="en-GB"/>
        </w:rPr>
        <w:t>, with parental orders no longer being restricted to married couples</w:t>
      </w:r>
      <w:r w:rsidR="00E03119" w:rsidRPr="00447798">
        <w:rPr>
          <w:rFonts w:ascii="Garamond" w:hAnsi="Garamond"/>
          <w:lang w:eastAsia="en-GB"/>
        </w:rPr>
        <w:t>.</w:t>
      </w:r>
      <w:r w:rsidR="00F749BD" w:rsidRPr="00447798">
        <w:rPr>
          <w:rFonts w:ascii="Garamond" w:hAnsi="Garamond"/>
          <w:lang w:eastAsia="en-GB"/>
        </w:rPr>
        <w:t xml:space="preserve"> </w:t>
      </w:r>
      <w:bookmarkStart w:id="2" w:name="para49"/>
      <w:r w:rsidR="0082149A">
        <w:rPr>
          <w:rFonts w:ascii="Garamond" w:hAnsi="Garamond"/>
          <w:lang w:eastAsia="en-GB"/>
        </w:rPr>
        <w:t>As such,</w:t>
      </w:r>
      <w:r w:rsidR="00E03119" w:rsidRPr="00447798">
        <w:rPr>
          <w:rFonts w:ascii="Garamond" w:hAnsi="Garamond"/>
          <w:lang w:eastAsia="en-GB"/>
        </w:rPr>
        <w:t xml:space="preserve"> </w:t>
      </w:r>
      <w:r>
        <w:rPr>
          <w:rFonts w:ascii="Garamond" w:hAnsi="Garamond"/>
          <w:lang w:eastAsia="en-GB"/>
        </w:rPr>
        <w:t>the court must ask itself “</w:t>
      </w:r>
      <w:r w:rsidR="001457CF" w:rsidRPr="00447798">
        <w:rPr>
          <w:rFonts w:ascii="Garamond" w:hAnsi="Garamond"/>
          <w:lang w:eastAsia="en-GB"/>
        </w:rPr>
        <w:t>whether the law is achieving a necessary coherence and consistency in sticking rigidly to a perception of public policy formulated even a few years ago</w:t>
      </w:r>
      <w:r>
        <w:rPr>
          <w:rFonts w:ascii="Garamond" w:hAnsi="Garamond"/>
          <w:lang w:eastAsia="en-GB"/>
        </w:rPr>
        <w:t>”</w:t>
      </w:r>
      <w:r w:rsidR="001457CF">
        <w:rPr>
          <w:rFonts w:ascii="Garamond" w:hAnsi="Garamond"/>
          <w:lang w:eastAsia="en-GB"/>
        </w:rPr>
        <w:t xml:space="preserve"> </w:t>
      </w:r>
      <w:r w:rsidR="00E03119" w:rsidRPr="00447798">
        <w:rPr>
          <w:rFonts w:ascii="Garamond" w:hAnsi="Garamond"/>
          <w:lang w:eastAsia="en-GB"/>
        </w:rPr>
        <w:t>(at [54])</w:t>
      </w:r>
      <w:r w:rsidR="001457CF">
        <w:rPr>
          <w:rFonts w:ascii="Garamond" w:hAnsi="Garamond"/>
          <w:lang w:eastAsia="en-GB"/>
        </w:rPr>
        <w:t>.</w:t>
      </w:r>
    </w:p>
    <w:p w14:paraId="7B67AFF8" w14:textId="77777777" w:rsidR="00E02588" w:rsidRDefault="00E02588" w:rsidP="00DE331F">
      <w:pPr>
        <w:spacing w:line="360" w:lineRule="auto"/>
        <w:rPr>
          <w:rFonts w:ascii="Garamond" w:hAnsi="Garamond"/>
          <w:lang w:eastAsia="en-GB"/>
        </w:rPr>
      </w:pPr>
    </w:p>
    <w:p w14:paraId="08B99658" w14:textId="79E0B8A4" w:rsidR="00F749BD" w:rsidRPr="00447798" w:rsidRDefault="00AE602D" w:rsidP="00DE331F">
      <w:pPr>
        <w:spacing w:line="360" w:lineRule="auto"/>
        <w:rPr>
          <w:rFonts w:ascii="Garamond" w:hAnsi="Garamond"/>
          <w:lang w:eastAsia="en-GB"/>
        </w:rPr>
      </w:pPr>
      <w:r>
        <w:rPr>
          <w:rFonts w:ascii="Garamond" w:hAnsi="Garamond"/>
          <w:lang w:eastAsia="en-GB"/>
        </w:rPr>
        <w:t>T</w:t>
      </w:r>
      <w:r w:rsidR="00F749BD" w:rsidRPr="00447798">
        <w:rPr>
          <w:rFonts w:ascii="Garamond" w:hAnsi="Garamond"/>
          <w:lang w:eastAsia="en-GB"/>
        </w:rPr>
        <w:t>imes</w:t>
      </w:r>
      <w:r>
        <w:rPr>
          <w:rFonts w:ascii="Garamond" w:hAnsi="Garamond"/>
          <w:lang w:eastAsia="en-GB"/>
        </w:rPr>
        <w:t xml:space="preserve"> may</w:t>
      </w:r>
      <w:r w:rsidR="00F749BD" w:rsidRPr="00447798">
        <w:rPr>
          <w:rFonts w:ascii="Garamond" w:hAnsi="Garamond"/>
          <w:lang w:eastAsia="en-GB"/>
        </w:rPr>
        <w:t xml:space="preserve"> have changed s</w:t>
      </w:r>
      <w:r w:rsidR="000507C5" w:rsidRPr="00447798">
        <w:rPr>
          <w:rFonts w:ascii="Garamond" w:hAnsi="Garamond"/>
          <w:lang w:eastAsia="en-GB"/>
        </w:rPr>
        <w:t>ince 2001 in many respects</w:t>
      </w:r>
      <w:r w:rsidR="008E4703">
        <w:rPr>
          <w:rFonts w:ascii="Garamond" w:hAnsi="Garamond"/>
          <w:lang w:eastAsia="en-GB"/>
        </w:rPr>
        <w:t>,</w:t>
      </w:r>
      <w:r>
        <w:rPr>
          <w:rFonts w:ascii="Garamond" w:hAnsi="Garamond"/>
          <w:lang w:eastAsia="en-GB"/>
        </w:rPr>
        <w:t xml:space="preserve"> but </w:t>
      </w:r>
      <w:r w:rsidR="00F749BD" w:rsidRPr="00447798">
        <w:rPr>
          <w:rFonts w:ascii="Garamond" w:hAnsi="Garamond"/>
          <w:lang w:eastAsia="en-GB"/>
        </w:rPr>
        <w:t xml:space="preserve">not </w:t>
      </w:r>
      <w:r>
        <w:rPr>
          <w:rFonts w:ascii="Garamond" w:hAnsi="Garamond"/>
          <w:lang w:eastAsia="en-GB"/>
        </w:rPr>
        <w:t xml:space="preserve">in ways that are </w:t>
      </w:r>
      <w:r w:rsidR="00F749BD" w:rsidRPr="00447798">
        <w:rPr>
          <w:rFonts w:ascii="Garamond" w:hAnsi="Garamond"/>
          <w:lang w:eastAsia="en-GB"/>
        </w:rPr>
        <w:t>particularly pertinent to this issue of whether</w:t>
      </w:r>
      <w:r w:rsidR="00833A09" w:rsidRPr="00447798">
        <w:rPr>
          <w:rFonts w:ascii="Garamond" w:hAnsi="Garamond"/>
          <w:lang w:eastAsia="en-GB"/>
        </w:rPr>
        <w:t xml:space="preserve"> </w:t>
      </w:r>
      <w:proofErr w:type="spellStart"/>
      <w:r w:rsidR="00833A09" w:rsidRPr="00447798">
        <w:rPr>
          <w:rFonts w:ascii="Garamond" w:hAnsi="Garamond"/>
          <w:i/>
          <w:lang w:eastAsia="en-GB"/>
        </w:rPr>
        <w:t>Briody</w:t>
      </w:r>
      <w:proofErr w:type="spellEnd"/>
      <w:r w:rsidR="00833A09" w:rsidRPr="00447798">
        <w:rPr>
          <w:rFonts w:ascii="Garamond" w:hAnsi="Garamond"/>
          <w:lang w:eastAsia="en-GB"/>
        </w:rPr>
        <w:t xml:space="preserve"> was correctly decided.</w:t>
      </w:r>
      <w:r w:rsidR="00F749BD" w:rsidRPr="00447798">
        <w:rPr>
          <w:rFonts w:ascii="Garamond" w:hAnsi="Garamond"/>
          <w:lang w:eastAsia="en-GB"/>
        </w:rPr>
        <w:t xml:space="preserve"> </w:t>
      </w:r>
      <w:r w:rsidR="00B6751A" w:rsidRPr="00447798">
        <w:rPr>
          <w:rFonts w:ascii="Garamond" w:hAnsi="Garamond"/>
          <w:lang w:eastAsia="en-GB"/>
        </w:rPr>
        <w:t>Firstly</w:t>
      </w:r>
      <w:r w:rsidR="00F749BD" w:rsidRPr="00447798">
        <w:rPr>
          <w:rFonts w:ascii="Garamond" w:hAnsi="Garamond"/>
          <w:lang w:eastAsia="en-GB"/>
        </w:rPr>
        <w:t xml:space="preserve">, </w:t>
      </w:r>
      <w:r w:rsidR="00F749BD" w:rsidRPr="00447798">
        <w:rPr>
          <w:rFonts w:ascii="Garamond" w:hAnsi="Garamond"/>
          <w:i/>
          <w:lang w:eastAsia="en-GB"/>
        </w:rPr>
        <w:t>Re C</w:t>
      </w:r>
      <w:r w:rsidR="00F749BD" w:rsidRPr="00447798">
        <w:rPr>
          <w:rFonts w:ascii="Garamond" w:hAnsi="Garamond"/>
          <w:lang w:eastAsia="en-GB"/>
        </w:rPr>
        <w:t xml:space="preserve"> is not the landmark decision that the Court of Appeal portrays it to be. Payments in excess of reasonable expenses were approved at the time of </w:t>
      </w:r>
      <w:proofErr w:type="spellStart"/>
      <w:r w:rsidR="00F749BD" w:rsidRPr="00447798">
        <w:rPr>
          <w:rFonts w:ascii="Garamond" w:hAnsi="Garamond"/>
          <w:i/>
          <w:lang w:eastAsia="en-GB"/>
        </w:rPr>
        <w:t>Briody</w:t>
      </w:r>
      <w:proofErr w:type="spellEnd"/>
      <w:r w:rsidR="001F2786">
        <w:rPr>
          <w:rFonts w:ascii="Garamond" w:hAnsi="Garamond"/>
          <w:lang w:eastAsia="en-GB"/>
        </w:rPr>
        <w:t xml:space="preserve"> (See </w:t>
      </w:r>
      <w:r w:rsidR="00655F14">
        <w:rPr>
          <w:rFonts w:ascii="Garamond" w:hAnsi="Garamond"/>
          <w:i/>
          <w:lang w:eastAsia="en-GB"/>
        </w:rPr>
        <w:t>Brazier</w:t>
      </w:r>
      <w:r w:rsidR="001F2786" w:rsidRPr="00655F14">
        <w:rPr>
          <w:rFonts w:ascii="Garamond" w:hAnsi="Garamond"/>
          <w:lang w:eastAsia="en-GB"/>
        </w:rPr>
        <w:t xml:space="preserve"> </w:t>
      </w:r>
      <w:r w:rsidR="001F2786">
        <w:rPr>
          <w:rFonts w:ascii="Garamond" w:hAnsi="Garamond"/>
          <w:lang w:eastAsia="en-GB"/>
        </w:rPr>
        <w:t>at [5.3])</w:t>
      </w:r>
      <w:r w:rsidR="001457CF">
        <w:rPr>
          <w:rFonts w:ascii="Garamond" w:hAnsi="Garamond"/>
          <w:lang w:eastAsia="en-GB"/>
        </w:rPr>
        <w:t>.</w:t>
      </w:r>
      <w:r w:rsidR="001F2786">
        <w:rPr>
          <w:rFonts w:ascii="Garamond" w:hAnsi="Garamond"/>
          <w:lang w:eastAsia="en-GB"/>
        </w:rPr>
        <w:t xml:space="preserve"> </w:t>
      </w:r>
      <w:r w:rsidR="00F749BD" w:rsidRPr="00447798">
        <w:rPr>
          <w:rFonts w:ascii="Garamond" w:hAnsi="Garamond"/>
          <w:lang w:eastAsia="en-GB"/>
        </w:rPr>
        <w:t xml:space="preserve">If English law takes a flexible approach to surrogacy </w:t>
      </w:r>
      <w:r w:rsidR="00833A09" w:rsidRPr="00447798">
        <w:rPr>
          <w:rFonts w:ascii="Garamond" w:hAnsi="Garamond"/>
          <w:lang w:eastAsia="en-GB"/>
        </w:rPr>
        <w:t>and approving payments</w:t>
      </w:r>
      <w:r w:rsidR="008E4703">
        <w:rPr>
          <w:rFonts w:ascii="Garamond" w:hAnsi="Garamond"/>
          <w:lang w:eastAsia="en-GB"/>
        </w:rPr>
        <w:t>,</w:t>
      </w:r>
      <w:r w:rsidR="00833A09" w:rsidRPr="00447798">
        <w:rPr>
          <w:rFonts w:ascii="Garamond" w:hAnsi="Garamond"/>
          <w:lang w:eastAsia="en-GB"/>
        </w:rPr>
        <w:t xml:space="preserve"> </w:t>
      </w:r>
      <w:r w:rsidR="009E1081" w:rsidRPr="00447798">
        <w:rPr>
          <w:rFonts w:ascii="Garamond" w:hAnsi="Garamond"/>
          <w:lang w:eastAsia="en-GB"/>
        </w:rPr>
        <w:t>it is because such</w:t>
      </w:r>
      <w:r w:rsidR="00F749BD" w:rsidRPr="00447798">
        <w:rPr>
          <w:rFonts w:ascii="Garamond" w:hAnsi="Garamond"/>
          <w:lang w:eastAsia="en-GB"/>
        </w:rPr>
        <w:t xml:space="preserve"> restrictions are meaningless wh</w:t>
      </w:r>
      <w:r w:rsidR="00833A09" w:rsidRPr="00447798">
        <w:rPr>
          <w:rFonts w:ascii="Garamond" w:hAnsi="Garamond"/>
          <w:lang w:eastAsia="en-GB"/>
        </w:rPr>
        <w:t>en faced with an existing child whose lifelong welfare requires parental responsibility to be transferred to the intended parents. This does not indicate that the law supports commercial surrogacy as much as it supports the child’</w:t>
      </w:r>
      <w:r w:rsidR="00241643" w:rsidRPr="00447798">
        <w:rPr>
          <w:rFonts w:ascii="Garamond" w:hAnsi="Garamond"/>
          <w:lang w:eastAsia="en-GB"/>
        </w:rPr>
        <w:t>s welfare interests:</w:t>
      </w:r>
      <w:r w:rsidR="00833A09" w:rsidRPr="00447798">
        <w:rPr>
          <w:rFonts w:ascii="Garamond" w:hAnsi="Garamond"/>
          <w:lang w:eastAsia="en-GB"/>
        </w:rPr>
        <w:t xml:space="preserve"> </w:t>
      </w:r>
      <w:r w:rsidR="00031160">
        <w:rPr>
          <w:rFonts w:ascii="Garamond" w:hAnsi="Garamond"/>
        </w:rPr>
        <w:t>“</w:t>
      </w:r>
      <w:r w:rsidR="00241643" w:rsidRPr="00447798">
        <w:rPr>
          <w:rFonts w:ascii="Garamond" w:hAnsi="Garamond"/>
        </w:rPr>
        <w:t>[o]</w:t>
      </w:r>
      <w:proofErr w:type="spellStart"/>
      <w:r w:rsidR="00241643" w:rsidRPr="00447798">
        <w:rPr>
          <w:rFonts w:ascii="Garamond" w:hAnsi="Garamond"/>
        </w:rPr>
        <w:t>nce</w:t>
      </w:r>
      <w:proofErr w:type="spellEnd"/>
      <w:r w:rsidR="00241643" w:rsidRPr="00447798">
        <w:rPr>
          <w:rFonts w:ascii="Garamond" w:hAnsi="Garamond"/>
        </w:rPr>
        <w:t xml:space="preserve"> a child is settled with the commissioning couple and attached to them, the child’s welfare will inevitably be </w:t>
      </w:r>
      <w:r w:rsidR="00E03119" w:rsidRPr="00447798">
        <w:rPr>
          <w:rFonts w:ascii="Garamond" w:hAnsi="Garamond"/>
        </w:rPr>
        <w:t>a family court judge’s priority</w:t>
      </w:r>
      <w:r w:rsidR="00031160">
        <w:rPr>
          <w:rFonts w:ascii="Garamond" w:hAnsi="Garamond"/>
        </w:rPr>
        <w:t>”</w:t>
      </w:r>
      <w:r w:rsidR="00E03119" w:rsidRPr="00447798">
        <w:rPr>
          <w:rFonts w:ascii="Garamond" w:hAnsi="Garamond"/>
        </w:rPr>
        <w:t xml:space="preserve"> (</w:t>
      </w:r>
      <w:r w:rsidR="00E03119" w:rsidRPr="00447798">
        <w:rPr>
          <w:rFonts w:ascii="Garamond" w:hAnsi="Garamond"/>
          <w:i/>
        </w:rPr>
        <w:t>Brazier</w:t>
      </w:r>
      <w:r w:rsidR="00E03119" w:rsidRPr="00447798">
        <w:rPr>
          <w:rFonts w:ascii="Garamond" w:hAnsi="Garamond"/>
        </w:rPr>
        <w:t xml:space="preserve"> at [3.10]).</w:t>
      </w:r>
    </w:p>
    <w:p w14:paraId="52C9627E" w14:textId="77777777" w:rsidR="00F749BD" w:rsidRPr="00447798" w:rsidRDefault="00F749BD" w:rsidP="00DE331F">
      <w:pPr>
        <w:spacing w:line="360" w:lineRule="auto"/>
        <w:rPr>
          <w:rFonts w:ascii="Garamond" w:hAnsi="Garamond"/>
          <w:lang w:eastAsia="en-GB"/>
        </w:rPr>
      </w:pPr>
    </w:p>
    <w:p w14:paraId="12D46247" w14:textId="2BD639F3" w:rsidR="00F749BD" w:rsidRPr="00447798" w:rsidRDefault="00444B90" w:rsidP="00DE331F">
      <w:pPr>
        <w:spacing w:line="360" w:lineRule="auto"/>
        <w:rPr>
          <w:rFonts w:ascii="Garamond" w:hAnsi="Garamond"/>
          <w:lang w:eastAsia="en-GB"/>
        </w:rPr>
      </w:pPr>
      <w:r>
        <w:rPr>
          <w:rFonts w:ascii="Garamond" w:hAnsi="Garamond"/>
          <w:lang w:eastAsia="en-GB"/>
        </w:rPr>
        <w:t>Second</w:t>
      </w:r>
      <w:r w:rsidR="00E02588">
        <w:rPr>
          <w:rFonts w:ascii="Garamond" w:hAnsi="Garamond"/>
          <w:lang w:eastAsia="en-GB"/>
        </w:rPr>
        <w:t>ly</w:t>
      </w:r>
      <w:r>
        <w:rPr>
          <w:rFonts w:ascii="Garamond" w:hAnsi="Garamond"/>
          <w:lang w:eastAsia="en-GB"/>
        </w:rPr>
        <w:t xml:space="preserve">, </w:t>
      </w:r>
      <w:r w:rsidR="00E02588">
        <w:rPr>
          <w:rFonts w:ascii="Garamond" w:hAnsi="Garamond"/>
          <w:lang w:eastAsia="en-GB"/>
        </w:rPr>
        <w:t>transformations</w:t>
      </w:r>
      <w:r>
        <w:rPr>
          <w:rFonts w:ascii="Garamond" w:hAnsi="Garamond"/>
          <w:lang w:eastAsia="en-GB"/>
        </w:rPr>
        <w:t xml:space="preserve"> in societal stances</w:t>
      </w:r>
      <w:r w:rsidR="00F749BD" w:rsidRPr="00447798">
        <w:rPr>
          <w:rFonts w:ascii="Garamond" w:hAnsi="Garamond"/>
          <w:lang w:eastAsia="en-GB"/>
        </w:rPr>
        <w:t xml:space="preserve"> towards</w:t>
      </w:r>
      <w:r>
        <w:rPr>
          <w:rFonts w:ascii="Garamond" w:hAnsi="Garamond"/>
          <w:lang w:eastAsia="en-GB"/>
        </w:rPr>
        <w:t xml:space="preserve"> unmarried and gay c</w:t>
      </w:r>
      <w:r w:rsidR="00D11D6C">
        <w:rPr>
          <w:rFonts w:ascii="Garamond" w:hAnsi="Garamond"/>
          <w:lang w:eastAsia="en-GB"/>
        </w:rPr>
        <w:t>ouples and single parents</w:t>
      </w:r>
      <w:r w:rsidR="00E02588">
        <w:rPr>
          <w:rFonts w:ascii="Garamond" w:hAnsi="Garamond"/>
          <w:lang w:eastAsia="en-GB"/>
        </w:rPr>
        <w:t xml:space="preserve"> do not indicate</w:t>
      </w:r>
      <w:r>
        <w:rPr>
          <w:rFonts w:ascii="Garamond" w:hAnsi="Garamond"/>
          <w:lang w:eastAsia="en-GB"/>
        </w:rPr>
        <w:t xml:space="preserve"> attitudes towards</w:t>
      </w:r>
      <w:r w:rsidR="00F749BD" w:rsidRPr="00447798">
        <w:rPr>
          <w:rFonts w:ascii="Garamond" w:hAnsi="Garamond"/>
          <w:lang w:eastAsia="en-GB"/>
        </w:rPr>
        <w:t xml:space="preserve"> commercial </w:t>
      </w:r>
      <w:r w:rsidR="00981D44" w:rsidRPr="00447798">
        <w:rPr>
          <w:rFonts w:ascii="Garamond" w:hAnsi="Garamond"/>
          <w:lang w:eastAsia="en-GB"/>
        </w:rPr>
        <w:t xml:space="preserve">surrogacy </w:t>
      </w:r>
      <w:r w:rsidR="00F749BD" w:rsidRPr="00447798">
        <w:rPr>
          <w:rFonts w:ascii="Garamond" w:hAnsi="Garamond"/>
          <w:lang w:eastAsia="en-GB"/>
        </w:rPr>
        <w:t>have changed</w:t>
      </w:r>
      <w:r w:rsidR="007613EF">
        <w:rPr>
          <w:rFonts w:ascii="Garamond" w:hAnsi="Garamond"/>
          <w:lang w:eastAsia="en-GB"/>
        </w:rPr>
        <w:t>.</w:t>
      </w:r>
      <w:r w:rsidR="00EA35DA">
        <w:rPr>
          <w:rFonts w:ascii="Garamond" w:hAnsi="Garamond"/>
          <w:lang w:eastAsia="en-GB"/>
        </w:rPr>
        <w:t xml:space="preserve"> </w:t>
      </w:r>
      <w:r w:rsidR="00BB1D6F" w:rsidRPr="00447798">
        <w:rPr>
          <w:rFonts w:ascii="Garamond" w:hAnsi="Garamond"/>
          <w:lang w:eastAsia="en-GB"/>
        </w:rPr>
        <w:t>In fact, a</w:t>
      </w:r>
      <w:r w:rsidR="00981D44" w:rsidRPr="00447798">
        <w:rPr>
          <w:rFonts w:ascii="Garamond" w:hAnsi="Garamond"/>
          <w:lang w:eastAsia="en-GB"/>
        </w:rPr>
        <w:t xml:space="preserve"> recent report from Surrogacy UK, based upon responses by surrogat</w:t>
      </w:r>
      <w:r w:rsidR="00CE2409">
        <w:rPr>
          <w:rFonts w:ascii="Garamond" w:hAnsi="Garamond"/>
          <w:lang w:eastAsia="en-GB"/>
        </w:rPr>
        <w:t>es and intended parents, opposed</w:t>
      </w:r>
      <w:r w:rsidR="00981D44" w:rsidRPr="00447798">
        <w:rPr>
          <w:rFonts w:ascii="Garamond" w:hAnsi="Garamond"/>
          <w:lang w:eastAsia="en-GB"/>
        </w:rPr>
        <w:t xml:space="preserve"> a </w:t>
      </w:r>
      <w:r w:rsidR="00981D44" w:rsidRPr="00447798">
        <w:rPr>
          <w:rFonts w:ascii="Garamond" w:hAnsi="Garamond"/>
          <w:lang w:eastAsia="en-GB"/>
        </w:rPr>
        <w:lastRenderedPageBreak/>
        <w:t>commercial model</w:t>
      </w:r>
      <w:r w:rsidR="00E03119" w:rsidRPr="00447798">
        <w:rPr>
          <w:rFonts w:ascii="Garamond" w:hAnsi="Garamond"/>
          <w:lang w:eastAsia="en-GB"/>
        </w:rPr>
        <w:t xml:space="preserve"> (see </w:t>
      </w:r>
      <w:r w:rsidR="00E03119" w:rsidRPr="00447798">
        <w:rPr>
          <w:rFonts w:ascii="Garamond" w:hAnsi="Garamond"/>
        </w:rPr>
        <w:t xml:space="preserve">Kirsty Horsey, </w:t>
      </w:r>
      <w:r w:rsidR="00E03119" w:rsidRPr="00447798">
        <w:rPr>
          <w:rFonts w:ascii="Garamond" w:eastAsia="Times New Roman" w:hAnsi="Garamond" w:cs="Times New Roman"/>
          <w:i/>
          <w:lang w:eastAsia="en-GB"/>
        </w:rPr>
        <w:t>Second Report of the Surrogacy UK Working Group on Surrogacy Law Reform</w:t>
      </w:r>
      <w:r w:rsidR="00E03119" w:rsidRPr="00447798">
        <w:rPr>
          <w:rFonts w:ascii="Garamond" w:eastAsia="Times New Roman" w:hAnsi="Garamond" w:cs="Times New Roman"/>
          <w:lang w:eastAsia="en-GB"/>
        </w:rPr>
        <w:t xml:space="preserve"> (2018) p 68).</w:t>
      </w:r>
      <w:r w:rsidR="00C032FF">
        <w:rPr>
          <w:rFonts w:ascii="Garamond" w:eastAsia="Times New Roman" w:hAnsi="Garamond" w:cs="Times New Roman"/>
          <w:lang w:eastAsia="en-GB"/>
        </w:rPr>
        <w:t xml:space="preserve"> </w:t>
      </w:r>
    </w:p>
    <w:p w14:paraId="78CB03D9" w14:textId="77777777" w:rsidR="00F749BD" w:rsidRPr="00447798" w:rsidRDefault="00F749BD" w:rsidP="00DE331F">
      <w:pPr>
        <w:spacing w:line="360" w:lineRule="auto"/>
        <w:rPr>
          <w:rFonts w:ascii="Garamond" w:hAnsi="Garamond"/>
          <w:lang w:eastAsia="en-GB"/>
        </w:rPr>
      </w:pPr>
    </w:p>
    <w:p w14:paraId="3CB4B4B5" w14:textId="4539F8B9" w:rsidR="00B013E6" w:rsidRPr="00447798" w:rsidRDefault="00D11D6C" w:rsidP="00DE331F">
      <w:pPr>
        <w:spacing w:line="360" w:lineRule="auto"/>
        <w:rPr>
          <w:rFonts w:ascii="Garamond" w:hAnsi="Garamond"/>
        </w:rPr>
      </w:pPr>
      <w:r>
        <w:rPr>
          <w:rFonts w:ascii="Garamond" w:hAnsi="Garamond"/>
          <w:lang w:eastAsia="en-GB"/>
        </w:rPr>
        <w:t>I</w:t>
      </w:r>
      <w:r w:rsidR="009E1081" w:rsidRPr="00447798">
        <w:rPr>
          <w:rFonts w:ascii="Garamond" w:hAnsi="Garamond"/>
          <w:lang w:eastAsia="en-GB"/>
        </w:rPr>
        <w:t>llegal</w:t>
      </w:r>
      <w:r w:rsidR="00EA35DA">
        <w:rPr>
          <w:rFonts w:ascii="Garamond" w:hAnsi="Garamond"/>
          <w:lang w:eastAsia="en-GB"/>
        </w:rPr>
        <w:t>ity was therefore a red herring</w:t>
      </w:r>
      <w:r w:rsidR="00E02AFF">
        <w:rPr>
          <w:rFonts w:ascii="Garamond" w:hAnsi="Garamond"/>
          <w:lang w:eastAsia="en-GB"/>
        </w:rPr>
        <w:t>. Instead, t</w:t>
      </w:r>
      <w:r w:rsidR="009E1081" w:rsidRPr="00447798">
        <w:rPr>
          <w:rFonts w:ascii="Garamond" w:hAnsi="Garamond"/>
          <w:lang w:eastAsia="en-GB"/>
        </w:rPr>
        <w:t xml:space="preserve">he crux of the </w:t>
      </w:r>
      <w:r w:rsidR="00E02AFF">
        <w:rPr>
          <w:rFonts w:ascii="Garamond" w:hAnsi="Garamond"/>
          <w:lang w:eastAsia="en-GB"/>
        </w:rPr>
        <w:t>dispute</w:t>
      </w:r>
      <w:r w:rsidR="009E1081" w:rsidRPr="00447798">
        <w:rPr>
          <w:rFonts w:ascii="Garamond" w:hAnsi="Garamond"/>
          <w:lang w:eastAsia="en-GB"/>
        </w:rPr>
        <w:t xml:space="preserve"> is </w:t>
      </w:r>
      <w:r w:rsidR="00434AAB" w:rsidRPr="00447798">
        <w:rPr>
          <w:rFonts w:ascii="Garamond" w:hAnsi="Garamond"/>
          <w:lang w:eastAsia="en-GB"/>
        </w:rPr>
        <w:t xml:space="preserve">whether damages should be awarded. </w:t>
      </w:r>
      <w:r w:rsidR="00F34B9F">
        <w:rPr>
          <w:rFonts w:ascii="Garamond" w:hAnsi="Garamond"/>
          <w:bCs/>
        </w:rPr>
        <w:t>A</w:t>
      </w:r>
      <w:r w:rsidR="00B013E6" w:rsidRPr="00447798">
        <w:rPr>
          <w:rFonts w:ascii="Garamond" w:hAnsi="Garamond"/>
          <w:bCs/>
        </w:rPr>
        <w:t>s</w:t>
      </w:r>
      <w:r w:rsidR="00031160">
        <w:rPr>
          <w:rFonts w:ascii="Garamond" w:hAnsi="Garamond"/>
          <w:bCs/>
        </w:rPr>
        <w:t>sessment of damages involves a “value judgement”</w:t>
      </w:r>
      <w:r w:rsidR="00B013E6" w:rsidRPr="00447798">
        <w:rPr>
          <w:rFonts w:ascii="Garamond" w:hAnsi="Garamond"/>
          <w:bCs/>
        </w:rPr>
        <w:t xml:space="preserve"> </w:t>
      </w:r>
      <w:r w:rsidR="00E03119" w:rsidRPr="00447798">
        <w:rPr>
          <w:rFonts w:ascii="Garamond" w:hAnsi="Garamond"/>
          <w:bCs/>
        </w:rPr>
        <w:t>(</w:t>
      </w:r>
      <w:r w:rsidR="00E03119" w:rsidRPr="00447798">
        <w:rPr>
          <w:rFonts w:ascii="Garamond" w:hAnsi="Garamond"/>
          <w:bCs/>
          <w:i/>
        </w:rPr>
        <w:t>Heil v Rankin</w:t>
      </w:r>
      <w:r w:rsidR="00E03119" w:rsidRPr="00447798">
        <w:rPr>
          <w:rFonts w:ascii="Garamond" w:hAnsi="Garamond"/>
        </w:rPr>
        <w:t xml:space="preserve"> </w:t>
      </w:r>
      <w:r w:rsidR="00E03119" w:rsidRPr="00447798">
        <w:rPr>
          <w:rFonts w:ascii="Garamond" w:hAnsi="Garamond"/>
          <w:bCs/>
        </w:rPr>
        <w:t>[2001] QB 272</w:t>
      </w:r>
      <w:r w:rsidR="00031160">
        <w:rPr>
          <w:rFonts w:ascii="Garamond" w:hAnsi="Garamond"/>
          <w:bCs/>
        </w:rPr>
        <w:t xml:space="preserve">; </w:t>
      </w:r>
      <w:r w:rsidR="00031160" w:rsidRPr="00031160">
        <w:rPr>
          <w:rFonts w:ascii="Garamond" w:hAnsi="Garamond"/>
          <w:bCs/>
        </w:rPr>
        <w:t>[2000] 3 All E.R. 138</w:t>
      </w:r>
      <w:r w:rsidR="00E03119" w:rsidRPr="00447798">
        <w:rPr>
          <w:rFonts w:ascii="Garamond" w:hAnsi="Garamond"/>
          <w:bCs/>
        </w:rPr>
        <w:t xml:space="preserve"> at [25] per Lord Woolf MR)</w:t>
      </w:r>
      <w:r w:rsidR="00F97006">
        <w:rPr>
          <w:rFonts w:ascii="Garamond" w:hAnsi="Garamond"/>
          <w:bCs/>
        </w:rPr>
        <w:t xml:space="preserve"> and </w:t>
      </w:r>
      <w:r w:rsidR="00B013E6" w:rsidRPr="00447798">
        <w:rPr>
          <w:rFonts w:ascii="Garamond" w:hAnsi="Garamond"/>
          <w:bCs/>
        </w:rPr>
        <w:t>policy concerns are relevant</w:t>
      </w:r>
      <w:r w:rsidR="00F97006">
        <w:rPr>
          <w:rFonts w:ascii="Garamond" w:hAnsi="Garamond"/>
          <w:bCs/>
        </w:rPr>
        <w:t xml:space="preserve"> here</w:t>
      </w:r>
      <w:r w:rsidR="00B013E6" w:rsidRPr="00447798">
        <w:rPr>
          <w:rFonts w:ascii="Garamond" w:hAnsi="Garamond"/>
          <w:bCs/>
        </w:rPr>
        <w:t xml:space="preserve">. For example, in </w:t>
      </w:r>
      <w:r w:rsidR="00FA4EEE">
        <w:rPr>
          <w:rFonts w:ascii="Garamond" w:hAnsi="Garamond"/>
          <w:i/>
        </w:rPr>
        <w:t>Pritchard v JH</w:t>
      </w:r>
      <w:r w:rsidR="00B013E6" w:rsidRPr="00447798">
        <w:rPr>
          <w:rFonts w:ascii="Garamond" w:hAnsi="Garamond"/>
          <w:i/>
        </w:rPr>
        <w:t xml:space="preserve"> Cobden Ltd.</w:t>
      </w:r>
      <w:r w:rsidR="00F34B9F">
        <w:rPr>
          <w:rFonts w:ascii="Garamond" w:hAnsi="Garamond"/>
        </w:rPr>
        <w:t xml:space="preserve"> [1988] Fam</w:t>
      </w:r>
      <w:r w:rsidR="00031160">
        <w:rPr>
          <w:rFonts w:ascii="Garamond" w:hAnsi="Garamond"/>
        </w:rPr>
        <w:t>.</w:t>
      </w:r>
      <w:r w:rsidR="00F34B9F">
        <w:rPr>
          <w:rFonts w:ascii="Garamond" w:hAnsi="Garamond"/>
        </w:rPr>
        <w:t xml:space="preserve"> 22</w:t>
      </w:r>
      <w:r w:rsidR="00031160">
        <w:rPr>
          <w:rFonts w:ascii="Garamond" w:hAnsi="Garamond"/>
        </w:rPr>
        <w:t xml:space="preserve">; </w:t>
      </w:r>
      <w:r w:rsidR="00031160" w:rsidRPr="00031160">
        <w:rPr>
          <w:rFonts w:ascii="Garamond" w:hAnsi="Garamond"/>
        </w:rPr>
        <w:t>[1987] 1 All E.R. 300</w:t>
      </w:r>
      <w:r w:rsidR="00B013E6" w:rsidRPr="00447798">
        <w:rPr>
          <w:rFonts w:ascii="Garamond" w:hAnsi="Garamond"/>
        </w:rPr>
        <w:t xml:space="preserve"> the Court of Appeal refused </w:t>
      </w:r>
      <w:r w:rsidR="009E1081" w:rsidRPr="00447798">
        <w:rPr>
          <w:rFonts w:ascii="Garamond" w:hAnsi="Garamond"/>
        </w:rPr>
        <w:t xml:space="preserve">on grounds of public policy </w:t>
      </w:r>
      <w:r w:rsidR="00B013E6" w:rsidRPr="00447798">
        <w:rPr>
          <w:rFonts w:ascii="Garamond" w:hAnsi="Garamond"/>
        </w:rPr>
        <w:t>to award the claimant costs associated with divorce that resulted from his personal injury.</w:t>
      </w:r>
      <w:r w:rsidR="00F97006">
        <w:rPr>
          <w:rFonts w:ascii="Garamond" w:hAnsi="Garamond"/>
        </w:rPr>
        <w:t xml:space="preserve"> As</w:t>
      </w:r>
      <w:r w:rsidR="003F78DE">
        <w:rPr>
          <w:rFonts w:ascii="Garamond" w:hAnsi="Garamond"/>
        </w:rPr>
        <w:t xml:space="preserve"> noted earlier, there are</w:t>
      </w:r>
      <w:r w:rsidR="00DC7E0E">
        <w:rPr>
          <w:rFonts w:ascii="Garamond" w:hAnsi="Garamond"/>
        </w:rPr>
        <w:t xml:space="preserve"> </w:t>
      </w:r>
      <w:r w:rsidR="003F78DE">
        <w:rPr>
          <w:rFonts w:ascii="Garamond" w:hAnsi="Garamond"/>
        </w:rPr>
        <w:t>convincing</w:t>
      </w:r>
      <w:r w:rsidR="00F97006">
        <w:rPr>
          <w:rFonts w:ascii="Garamond" w:hAnsi="Garamond"/>
        </w:rPr>
        <w:t xml:space="preserve"> reasons for not awarding the costs of a Californian surrogacy in this case: doing so undermines English law’s </w:t>
      </w:r>
      <w:r w:rsidR="00DC7E0E">
        <w:rPr>
          <w:rFonts w:ascii="Garamond" w:hAnsi="Garamond"/>
        </w:rPr>
        <w:t>policy of discouraging commercial surrogacy.</w:t>
      </w:r>
    </w:p>
    <w:p w14:paraId="0F0830CE" w14:textId="77777777" w:rsidR="00370C1F" w:rsidRPr="00447798" w:rsidRDefault="00370C1F" w:rsidP="00DE331F">
      <w:pPr>
        <w:spacing w:line="360" w:lineRule="auto"/>
        <w:rPr>
          <w:rFonts w:ascii="Garamond" w:hAnsi="Garamond"/>
          <w:lang w:eastAsia="en-GB"/>
        </w:rPr>
      </w:pPr>
    </w:p>
    <w:p w14:paraId="4F157BE9" w14:textId="0BCE9113" w:rsidR="00D42A54" w:rsidRDefault="009E1081" w:rsidP="00DE331F">
      <w:pPr>
        <w:spacing w:line="360" w:lineRule="auto"/>
        <w:rPr>
          <w:rFonts w:ascii="Garamond" w:hAnsi="Garamond"/>
          <w:lang w:eastAsia="en-GB"/>
        </w:rPr>
      </w:pPr>
      <w:r w:rsidRPr="00447798">
        <w:rPr>
          <w:rFonts w:ascii="Garamond" w:hAnsi="Garamond"/>
          <w:lang w:eastAsia="en-GB"/>
        </w:rPr>
        <w:t>Finally,</w:t>
      </w:r>
      <w:r w:rsidR="008B1AC4" w:rsidRPr="00447798">
        <w:rPr>
          <w:rFonts w:ascii="Garamond" w:hAnsi="Garamond"/>
          <w:lang w:eastAsia="en-GB"/>
        </w:rPr>
        <w:t xml:space="preserve"> it</w:t>
      </w:r>
      <w:r w:rsidR="00C013A3">
        <w:rPr>
          <w:rFonts w:ascii="Garamond" w:hAnsi="Garamond"/>
          <w:lang w:eastAsia="en-GB"/>
        </w:rPr>
        <w:t xml:space="preserve"> is</w:t>
      </w:r>
      <w:r w:rsidR="008B1AC4" w:rsidRPr="00447798">
        <w:rPr>
          <w:rFonts w:ascii="Garamond" w:hAnsi="Garamond"/>
          <w:lang w:eastAsia="en-GB"/>
        </w:rPr>
        <w:t xml:space="preserve"> </w:t>
      </w:r>
      <w:r w:rsidR="007613EF">
        <w:rPr>
          <w:rFonts w:ascii="Garamond" w:hAnsi="Garamond"/>
          <w:lang w:eastAsia="en-GB"/>
        </w:rPr>
        <w:t>noteworthy</w:t>
      </w:r>
      <w:r w:rsidR="008B1AC4" w:rsidRPr="00447798">
        <w:rPr>
          <w:rFonts w:ascii="Garamond" w:hAnsi="Garamond"/>
          <w:lang w:eastAsia="en-GB"/>
        </w:rPr>
        <w:t xml:space="preserve"> that the Court of Appeal handed down judgment in </w:t>
      </w:r>
      <w:r w:rsidR="008B1AC4" w:rsidRPr="00447798">
        <w:rPr>
          <w:rFonts w:ascii="Garamond" w:hAnsi="Garamond"/>
          <w:i/>
          <w:lang w:eastAsia="en-GB"/>
        </w:rPr>
        <w:t xml:space="preserve">XX </w:t>
      </w:r>
      <w:r w:rsidR="008B1AC4" w:rsidRPr="00447798">
        <w:rPr>
          <w:rFonts w:ascii="Garamond" w:hAnsi="Garamond"/>
          <w:lang w:eastAsia="en-GB"/>
        </w:rPr>
        <w:t xml:space="preserve">only two days after its decision in </w:t>
      </w:r>
      <w:r w:rsidR="008B1AC4" w:rsidRPr="00447798">
        <w:rPr>
          <w:rFonts w:ascii="Garamond" w:hAnsi="Garamond"/>
          <w:i/>
          <w:lang w:eastAsia="en-GB"/>
        </w:rPr>
        <w:t xml:space="preserve">ARB v </w:t>
      </w:r>
      <w:r w:rsidR="008B1AC4" w:rsidRPr="00447798">
        <w:rPr>
          <w:rFonts w:ascii="Garamond" w:hAnsi="Garamond"/>
          <w:bCs/>
          <w:i/>
          <w:lang w:eastAsia="en-GB"/>
        </w:rPr>
        <w:t>IVF Hammersmith</w:t>
      </w:r>
      <w:r w:rsidR="008B1AC4" w:rsidRPr="00447798">
        <w:rPr>
          <w:rFonts w:ascii="Garamond" w:hAnsi="Garamond"/>
          <w:bCs/>
          <w:lang w:eastAsia="en-GB"/>
        </w:rPr>
        <w:t xml:space="preserve"> [2018] EWCA </w:t>
      </w:r>
      <w:proofErr w:type="spellStart"/>
      <w:r w:rsidR="008B1AC4" w:rsidRPr="00447798">
        <w:rPr>
          <w:rFonts w:ascii="Garamond" w:hAnsi="Garamond"/>
          <w:bCs/>
          <w:lang w:eastAsia="en-GB"/>
        </w:rPr>
        <w:t>Civ</w:t>
      </w:r>
      <w:proofErr w:type="spellEnd"/>
      <w:r w:rsidR="008B1AC4" w:rsidRPr="00447798">
        <w:rPr>
          <w:rFonts w:ascii="Garamond" w:hAnsi="Garamond"/>
          <w:bCs/>
          <w:lang w:eastAsia="en-GB"/>
        </w:rPr>
        <w:t xml:space="preserve"> 2803</w:t>
      </w:r>
      <w:r w:rsidR="007613EF">
        <w:rPr>
          <w:rFonts w:ascii="Garamond" w:hAnsi="Garamond"/>
          <w:bCs/>
          <w:lang w:eastAsia="en-GB"/>
        </w:rPr>
        <w:t>.</w:t>
      </w:r>
      <w:r w:rsidR="008B1AC4" w:rsidRPr="00447798">
        <w:rPr>
          <w:rFonts w:ascii="Garamond" w:hAnsi="Garamond"/>
          <w:bCs/>
          <w:lang w:eastAsia="en-GB"/>
        </w:rPr>
        <w:t xml:space="preserve"> </w:t>
      </w:r>
      <w:r w:rsidR="007613EF">
        <w:rPr>
          <w:rFonts w:ascii="Garamond" w:hAnsi="Garamond"/>
          <w:bCs/>
          <w:lang w:eastAsia="en-GB"/>
        </w:rPr>
        <w:t xml:space="preserve">This breach of contract case followed </w:t>
      </w:r>
      <w:r w:rsidR="00A94A79" w:rsidRPr="00447798">
        <w:rPr>
          <w:rFonts w:ascii="Garamond" w:hAnsi="Garamond"/>
          <w:bCs/>
          <w:i/>
          <w:lang w:eastAsia="en-GB"/>
        </w:rPr>
        <w:t>McFarlane v Tayside Health Board</w:t>
      </w:r>
      <w:r w:rsidR="00A94A79" w:rsidRPr="00447798">
        <w:rPr>
          <w:rFonts w:ascii="Garamond" w:hAnsi="Garamond"/>
          <w:bCs/>
          <w:lang w:eastAsia="en-GB"/>
        </w:rPr>
        <w:t> [2000] 2 A</w:t>
      </w:r>
      <w:r w:rsidR="00031160">
        <w:rPr>
          <w:rFonts w:ascii="Garamond" w:hAnsi="Garamond"/>
          <w:bCs/>
          <w:lang w:eastAsia="en-GB"/>
        </w:rPr>
        <w:t>.</w:t>
      </w:r>
      <w:r w:rsidR="00A94A79" w:rsidRPr="00447798">
        <w:rPr>
          <w:rFonts w:ascii="Garamond" w:hAnsi="Garamond"/>
          <w:bCs/>
          <w:lang w:eastAsia="en-GB"/>
        </w:rPr>
        <w:t>C</w:t>
      </w:r>
      <w:r w:rsidR="00031160">
        <w:rPr>
          <w:rFonts w:ascii="Garamond" w:hAnsi="Garamond"/>
          <w:bCs/>
          <w:lang w:eastAsia="en-GB"/>
        </w:rPr>
        <w:t>.</w:t>
      </w:r>
      <w:r w:rsidR="00A94A79" w:rsidRPr="00447798">
        <w:rPr>
          <w:rFonts w:ascii="Garamond" w:hAnsi="Garamond"/>
          <w:bCs/>
          <w:lang w:eastAsia="en-GB"/>
        </w:rPr>
        <w:t xml:space="preserve"> 59</w:t>
      </w:r>
      <w:r w:rsidR="00031160">
        <w:rPr>
          <w:rFonts w:ascii="Garamond" w:hAnsi="Garamond"/>
          <w:bCs/>
          <w:lang w:eastAsia="en-GB"/>
        </w:rPr>
        <w:t xml:space="preserve">; </w:t>
      </w:r>
      <w:r w:rsidR="00031160" w:rsidRPr="00031160">
        <w:rPr>
          <w:rFonts w:ascii="Garamond" w:hAnsi="Garamond"/>
          <w:bCs/>
          <w:lang w:eastAsia="en-GB"/>
        </w:rPr>
        <w:t>[1999] 4 All E.R. 961</w:t>
      </w:r>
      <w:r w:rsidR="007613EF">
        <w:rPr>
          <w:rFonts w:ascii="Garamond" w:hAnsi="Garamond"/>
          <w:bCs/>
          <w:lang w:eastAsia="en-GB"/>
        </w:rPr>
        <w:t xml:space="preserve"> in declaring that the costs of raising an unwanted healthy child born as a result of the defendant’s wrongdoing are irrecoverable.</w:t>
      </w:r>
      <w:r w:rsidR="00814564" w:rsidRPr="00447798">
        <w:rPr>
          <w:rFonts w:ascii="Garamond" w:hAnsi="Garamond"/>
          <w:bCs/>
          <w:lang w:eastAsia="en-GB"/>
        </w:rPr>
        <w:t xml:space="preserve"> </w:t>
      </w:r>
      <w:r w:rsidR="007C6322" w:rsidRPr="00447798">
        <w:rPr>
          <w:rFonts w:ascii="Garamond" w:hAnsi="Garamond"/>
          <w:lang w:eastAsia="en-GB"/>
        </w:rPr>
        <w:t>In</w:t>
      </w:r>
      <w:r w:rsidR="00D42A54" w:rsidRPr="00447798">
        <w:rPr>
          <w:rFonts w:ascii="Garamond" w:hAnsi="Garamond"/>
          <w:lang w:eastAsia="en-GB"/>
        </w:rPr>
        <w:t xml:space="preserve"> </w:t>
      </w:r>
      <w:r w:rsidR="007C6322" w:rsidRPr="00447798">
        <w:rPr>
          <w:rFonts w:ascii="Garamond" w:hAnsi="Garamond"/>
          <w:i/>
          <w:lang w:eastAsia="en-GB"/>
        </w:rPr>
        <w:t xml:space="preserve">Rees v Darlington Memorial </w:t>
      </w:r>
      <w:r w:rsidR="00BB7645" w:rsidRPr="00447798">
        <w:rPr>
          <w:rFonts w:ascii="Garamond" w:hAnsi="Garamond"/>
          <w:i/>
          <w:lang w:eastAsia="en-GB"/>
        </w:rPr>
        <w:t xml:space="preserve">NHS </w:t>
      </w:r>
      <w:r w:rsidR="007C6322" w:rsidRPr="00447798">
        <w:rPr>
          <w:rFonts w:ascii="Garamond" w:hAnsi="Garamond"/>
          <w:i/>
          <w:lang w:eastAsia="en-GB"/>
        </w:rPr>
        <w:t>Hospital</w:t>
      </w:r>
      <w:r w:rsidR="00BB7645" w:rsidRPr="00447798">
        <w:rPr>
          <w:rFonts w:ascii="Garamond" w:hAnsi="Garamond"/>
          <w:i/>
          <w:lang w:eastAsia="en-GB"/>
        </w:rPr>
        <w:t xml:space="preserve"> Trust</w:t>
      </w:r>
      <w:r w:rsidR="00BB7645" w:rsidRPr="00447798">
        <w:rPr>
          <w:rFonts w:ascii="Garamond" w:hAnsi="Garamond"/>
          <w:lang w:eastAsia="en-GB"/>
        </w:rPr>
        <w:t xml:space="preserve"> </w:t>
      </w:r>
      <w:r w:rsidR="00031160" w:rsidRPr="00031160">
        <w:rPr>
          <w:rFonts w:ascii="Garamond" w:hAnsi="Garamond"/>
          <w:lang w:eastAsia="en-GB"/>
        </w:rPr>
        <w:t>[2003] UKHL 52</w:t>
      </w:r>
      <w:r w:rsidR="00031160">
        <w:rPr>
          <w:rFonts w:ascii="Garamond" w:hAnsi="Garamond"/>
          <w:lang w:eastAsia="en-GB"/>
        </w:rPr>
        <w:t xml:space="preserve">; </w:t>
      </w:r>
      <w:r w:rsidR="00BB7645" w:rsidRPr="00447798">
        <w:rPr>
          <w:rFonts w:ascii="Garamond" w:hAnsi="Garamond"/>
          <w:lang w:eastAsia="en-GB"/>
        </w:rPr>
        <w:t>[2004] 1 A</w:t>
      </w:r>
      <w:r w:rsidR="00031160">
        <w:rPr>
          <w:rFonts w:ascii="Garamond" w:hAnsi="Garamond"/>
          <w:lang w:eastAsia="en-GB"/>
        </w:rPr>
        <w:t>.</w:t>
      </w:r>
      <w:r w:rsidR="00BB7645" w:rsidRPr="00447798">
        <w:rPr>
          <w:rFonts w:ascii="Garamond" w:hAnsi="Garamond"/>
          <w:lang w:eastAsia="en-GB"/>
        </w:rPr>
        <w:t>C</w:t>
      </w:r>
      <w:r w:rsidR="00031160">
        <w:rPr>
          <w:rFonts w:ascii="Garamond" w:hAnsi="Garamond"/>
          <w:lang w:eastAsia="en-GB"/>
        </w:rPr>
        <w:t>.</w:t>
      </w:r>
      <w:r w:rsidR="00BB7645" w:rsidRPr="00447798">
        <w:rPr>
          <w:rFonts w:ascii="Garamond" w:hAnsi="Garamond"/>
          <w:lang w:eastAsia="en-GB"/>
        </w:rPr>
        <w:t xml:space="preserve"> 309</w:t>
      </w:r>
      <w:r w:rsidR="00655F14">
        <w:rPr>
          <w:rFonts w:ascii="Garamond" w:hAnsi="Garamond"/>
          <w:lang w:eastAsia="en-GB"/>
        </w:rPr>
        <w:t>,</w:t>
      </w:r>
      <w:r w:rsidR="007C6322" w:rsidRPr="00447798">
        <w:rPr>
          <w:rFonts w:ascii="Garamond" w:hAnsi="Garamond"/>
          <w:i/>
          <w:lang w:eastAsia="en-GB"/>
        </w:rPr>
        <w:t xml:space="preserve"> </w:t>
      </w:r>
      <w:r w:rsidR="00F46B30" w:rsidRPr="00447798">
        <w:rPr>
          <w:rFonts w:ascii="Garamond" w:hAnsi="Garamond"/>
          <w:lang w:eastAsia="en-GB"/>
        </w:rPr>
        <w:t>Lord Bingham believe</w:t>
      </w:r>
      <w:r w:rsidR="00031160">
        <w:rPr>
          <w:rFonts w:ascii="Garamond" w:hAnsi="Garamond"/>
          <w:lang w:eastAsia="en-GB"/>
        </w:rPr>
        <w:t>d the policy behind this was a “</w:t>
      </w:r>
      <w:r w:rsidR="00F46B30" w:rsidRPr="00447798">
        <w:rPr>
          <w:rFonts w:ascii="Garamond" w:hAnsi="Garamond"/>
          <w:lang w:eastAsia="en-GB"/>
        </w:rPr>
        <w:t>sense that to award potentially very large sums of damages to the parents of a normal and healthy child against a National Health Service always in need of funds to meet pressing demands would rightly offend the community's sense of how public resources should be</w:t>
      </w:r>
      <w:r w:rsidR="00031160">
        <w:rPr>
          <w:rFonts w:ascii="Garamond" w:hAnsi="Garamond"/>
          <w:lang w:eastAsia="en-GB"/>
        </w:rPr>
        <w:t xml:space="preserve"> allocated”</w:t>
      </w:r>
      <w:r w:rsidR="00F46B30" w:rsidRPr="00447798">
        <w:rPr>
          <w:rFonts w:ascii="Garamond" w:hAnsi="Garamond"/>
          <w:lang w:eastAsia="en-GB"/>
        </w:rPr>
        <w:t xml:space="preserve"> (at [6]). We might question an approach that transfers scarce NHS funds to commercial </w:t>
      </w:r>
      <w:r w:rsidR="00A45747">
        <w:rPr>
          <w:rFonts w:ascii="Garamond" w:hAnsi="Garamond"/>
          <w:lang w:eastAsia="en-GB"/>
        </w:rPr>
        <w:t xml:space="preserve">surrogacy </w:t>
      </w:r>
      <w:r w:rsidR="00F46B30" w:rsidRPr="00447798">
        <w:rPr>
          <w:rFonts w:ascii="Garamond" w:hAnsi="Garamond"/>
          <w:lang w:eastAsia="en-GB"/>
        </w:rPr>
        <w:t xml:space="preserve">agencies in California so that a child can be </w:t>
      </w:r>
      <w:r w:rsidR="00F46B30" w:rsidRPr="00447798">
        <w:rPr>
          <w:rFonts w:ascii="Garamond" w:hAnsi="Garamond"/>
          <w:i/>
          <w:lang w:eastAsia="en-GB"/>
        </w:rPr>
        <w:t>created</w:t>
      </w:r>
      <w:r w:rsidR="000F7C82">
        <w:rPr>
          <w:rFonts w:ascii="Garamond" w:hAnsi="Garamond"/>
          <w:i/>
          <w:lang w:eastAsia="en-GB"/>
        </w:rPr>
        <w:t>,</w:t>
      </w:r>
      <w:r w:rsidR="00F46B30" w:rsidRPr="00447798">
        <w:rPr>
          <w:rFonts w:ascii="Garamond" w:hAnsi="Garamond"/>
          <w:lang w:eastAsia="en-GB"/>
        </w:rPr>
        <w:t xml:space="preserve"> but </w:t>
      </w:r>
      <w:r w:rsidR="00E30AC6" w:rsidRPr="00447798">
        <w:rPr>
          <w:rFonts w:ascii="Garamond" w:hAnsi="Garamond"/>
          <w:lang w:eastAsia="en-GB"/>
        </w:rPr>
        <w:t xml:space="preserve">balks at providing the existing </w:t>
      </w:r>
      <w:r w:rsidR="00814564" w:rsidRPr="00447798">
        <w:rPr>
          <w:rFonts w:ascii="Garamond" w:hAnsi="Garamond"/>
          <w:lang w:eastAsia="en-GB"/>
        </w:rPr>
        <w:t>children born as a result of medical</w:t>
      </w:r>
      <w:r w:rsidR="00E30AC6" w:rsidRPr="00447798">
        <w:rPr>
          <w:rFonts w:ascii="Garamond" w:hAnsi="Garamond"/>
          <w:lang w:eastAsia="en-GB"/>
        </w:rPr>
        <w:t xml:space="preserve"> negligence with a decent quality of life. </w:t>
      </w:r>
      <w:r w:rsidR="008B75A1" w:rsidRPr="00447798">
        <w:rPr>
          <w:rFonts w:ascii="Garamond" w:hAnsi="Garamond"/>
          <w:lang w:eastAsia="en-GB"/>
        </w:rPr>
        <w:t>The natalist leanings of</w:t>
      </w:r>
      <w:r w:rsidR="00FD297A" w:rsidRPr="00447798">
        <w:rPr>
          <w:rFonts w:ascii="Garamond" w:hAnsi="Garamond"/>
          <w:lang w:eastAsia="en-GB"/>
        </w:rPr>
        <w:t xml:space="preserve"> English </w:t>
      </w:r>
      <w:r w:rsidR="008B75A1" w:rsidRPr="00447798">
        <w:rPr>
          <w:rFonts w:ascii="Garamond" w:hAnsi="Garamond"/>
          <w:lang w:eastAsia="en-GB"/>
        </w:rPr>
        <w:t>negligence law</w:t>
      </w:r>
      <w:r w:rsidR="00FD297A" w:rsidRPr="00447798">
        <w:rPr>
          <w:rFonts w:ascii="Garamond" w:hAnsi="Garamond"/>
          <w:lang w:eastAsia="en-GB"/>
        </w:rPr>
        <w:t xml:space="preserve"> appears to respect people’s wishes to have children</w:t>
      </w:r>
      <w:r w:rsidR="000F7C82">
        <w:rPr>
          <w:rFonts w:ascii="Garamond" w:hAnsi="Garamond"/>
          <w:lang w:eastAsia="en-GB"/>
        </w:rPr>
        <w:t>,</w:t>
      </w:r>
      <w:r w:rsidR="00FD297A" w:rsidRPr="00447798">
        <w:rPr>
          <w:rFonts w:ascii="Garamond" w:hAnsi="Garamond"/>
          <w:lang w:eastAsia="en-GB"/>
        </w:rPr>
        <w:t xml:space="preserve"> but not their desire to avoid </w:t>
      </w:r>
      <w:r w:rsidR="001C6C0F">
        <w:rPr>
          <w:rFonts w:ascii="Garamond" w:hAnsi="Garamond"/>
          <w:lang w:eastAsia="en-GB"/>
        </w:rPr>
        <w:t>parenthood</w:t>
      </w:r>
      <w:r w:rsidR="00FD297A" w:rsidRPr="00447798">
        <w:rPr>
          <w:rFonts w:ascii="Garamond" w:hAnsi="Garamond"/>
          <w:lang w:eastAsia="en-GB"/>
        </w:rPr>
        <w:t>.</w:t>
      </w:r>
      <w:r w:rsidR="00A44CB0">
        <w:rPr>
          <w:rFonts w:ascii="Garamond" w:hAnsi="Garamond"/>
          <w:lang w:eastAsia="en-GB"/>
        </w:rPr>
        <w:t xml:space="preserve"> </w:t>
      </w:r>
    </w:p>
    <w:p w14:paraId="5EA9A638" w14:textId="77777777" w:rsidR="00044E3E" w:rsidRPr="00447798" w:rsidRDefault="00044E3E" w:rsidP="00DE331F">
      <w:pPr>
        <w:spacing w:line="360" w:lineRule="auto"/>
        <w:rPr>
          <w:rFonts w:ascii="Garamond" w:hAnsi="Garamond"/>
          <w:lang w:eastAsia="en-GB"/>
        </w:rPr>
      </w:pPr>
    </w:p>
    <w:bookmarkEnd w:id="2"/>
    <w:p w14:paraId="0CBE3351" w14:textId="77777777" w:rsidR="00F749BD" w:rsidRPr="00447798" w:rsidRDefault="00F749BD" w:rsidP="00447798">
      <w:pPr>
        <w:spacing w:line="240" w:lineRule="auto"/>
        <w:rPr>
          <w:rFonts w:ascii="Garamond" w:hAnsi="Garamond"/>
        </w:rPr>
      </w:pPr>
    </w:p>
    <w:sectPr w:rsidR="00F749BD" w:rsidRPr="00447798" w:rsidSect="006C0538">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2C46D" w14:textId="77777777" w:rsidR="003D2653" w:rsidRDefault="003D2653" w:rsidP="000678B6">
      <w:pPr>
        <w:spacing w:line="240" w:lineRule="auto"/>
      </w:pPr>
      <w:r>
        <w:separator/>
      </w:r>
    </w:p>
  </w:endnote>
  <w:endnote w:type="continuationSeparator" w:id="0">
    <w:p w14:paraId="2B86E107" w14:textId="77777777" w:rsidR="003D2653" w:rsidRDefault="003D2653" w:rsidP="00067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771B" w14:textId="77777777" w:rsidR="004F785D" w:rsidRDefault="004F785D" w:rsidP="003A32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9FBC5" w14:textId="77777777" w:rsidR="004F785D" w:rsidRDefault="004F785D" w:rsidP="00761E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FD492" w14:textId="40DCC77F" w:rsidR="004F785D" w:rsidRPr="00447798" w:rsidRDefault="004F785D" w:rsidP="003A32EA">
    <w:pPr>
      <w:pStyle w:val="Footer"/>
      <w:framePr w:wrap="none" w:vAnchor="text" w:hAnchor="margin" w:xAlign="right" w:y="1"/>
      <w:rPr>
        <w:rStyle w:val="PageNumber"/>
        <w:rFonts w:ascii="Garamond" w:hAnsi="Garamond"/>
      </w:rPr>
    </w:pPr>
    <w:r w:rsidRPr="00447798">
      <w:rPr>
        <w:rStyle w:val="PageNumber"/>
        <w:rFonts w:ascii="Garamond" w:hAnsi="Garamond"/>
      </w:rPr>
      <w:fldChar w:fldCharType="begin"/>
    </w:r>
    <w:r w:rsidRPr="00447798">
      <w:rPr>
        <w:rStyle w:val="PageNumber"/>
        <w:rFonts w:ascii="Garamond" w:hAnsi="Garamond"/>
      </w:rPr>
      <w:instrText xml:space="preserve">PAGE  </w:instrText>
    </w:r>
    <w:r w:rsidRPr="00447798">
      <w:rPr>
        <w:rStyle w:val="PageNumber"/>
        <w:rFonts w:ascii="Garamond" w:hAnsi="Garamond"/>
      </w:rPr>
      <w:fldChar w:fldCharType="separate"/>
    </w:r>
    <w:r w:rsidR="000178BE">
      <w:rPr>
        <w:rStyle w:val="PageNumber"/>
        <w:rFonts w:ascii="Garamond" w:hAnsi="Garamond"/>
        <w:noProof/>
      </w:rPr>
      <w:t>1</w:t>
    </w:r>
    <w:r w:rsidRPr="00447798">
      <w:rPr>
        <w:rStyle w:val="PageNumber"/>
        <w:rFonts w:ascii="Garamond" w:hAnsi="Garamond"/>
      </w:rPr>
      <w:fldChar w:fldCharType="end"/>
    </w:r>
  </w:p>
  <w:p w14:paraId="42408089" w14:textId="77777777" w:rsidR="004F785D" w:rsidRDefault="004F785D" w:rsidP="00761E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DA529" w14:textId="77777777" w:rsidR="003D2653" w:rsidRDefault="003D2653" w:rsidP="000678B6">
      <w:pPr>
        <w:spacing w:line="240" w:lineRule="auto"/>
      </w:pPr>
      <w:r>
        <w:separator/>
      </w:r>
    </w:p>
  </w:footnote>
  <w:footnote w:type="continuationSeparator" w:id="0">
    <w:p w14:paraId="4096F244" w14:textId="77777777" w:rsidR="003D2653" w:rsidRDefault="003D2653" w:rsidP="000678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35D2"/>
    <w:multiLevelType w:val="hybridMultilevel"/>
    <w:tmpl w:val="05F27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63EB1"/>
    <w:multiLevelType w:val="hybridMultilevel"/>
    <w:tmpl w:val="7FB237B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DD"/>
    <w:rsid w:val="000178BE"/>
    <w:rsid w:val="00031160"/>
    <w:rsid w:val="00031D6E"/>
    <w:rsid w:val="00044E3E"/>
    <w:rsid w:val="000507C5"/>
    <w:rsid w:val="00062C0B"/>
    <w:rsid w:val="00064199"/>
    <w:rsid w:val="000678B6"/>
    <w:rsid w:val="000755B3"/>
    <w:rsid w:val="000760C8"/>
    <w:rsid w:val="00080AEB"/>
    <w:rsid w:val="000B0330"/>
    <w:rsid w:val="000D4EBF"/>
    <w:rsid w:val="000D5CEA"/>
    <w:rsid w:val="000E1D9E"/>
    <w:rsid w:val="000F3973"/>
    <w:rsid w:val="000F7C82"/>
    <w:rsid w:val="001119AD"/>
    <w:rsid w:val="00135DC6"/>
    <w:rsid w:val="00141938"/>
    <w:rsid w:val="00142CFD"/>
    <w:rsid w:val="001457CF"/>
    <w:rsid w:val="001538D3"/>
    <w:rsid w:val="0017274B"/>
    <w:rsid w:val="001748FD"/>
    <w:rsid w:val="00177A16"/>
    <w:rsid w:val="001915F8"/>
    <w:rsid w:val="00192C92"/>
    <w:rsid w:val="00196DE1"/>
    <w:rsid w:val="001A106D"/>
    <w:rsid w:val="001A397B"/>
    <w:rsid w:val="001C6C0F"/>
    <w:rsid w:val="001F2786"/>
    <w:rsid w:val="001F2B9A"/>
    <w:rsid w:val="00201154"/>
    <w:rsid w:val="00203DA3"/>
    <w:rsid w:val="002041C7"/>
    <w:rsid w:val="002144E3"/>
    <w:rsid w:val="00233D1B"/>
    <w:rsid w:val="002371CB"/>
    <w:rsid w:val="00241643"/>
    <w:rsid w:val="00263072"/>
    <w:rsid w:val="00283FA2"/>
    <w:rsid w:val="00296D11"/>
    <w:rsid w:val="00297885"/>
    <w:rsid w:val="002A0177"/>
    <w:rsid w:val="002A47EA"/>
    <w:rsid w:val="002A4905"/>
    <w:rsid w:val="002B030C"/>
    <w:rsid w:val="002B4E57"/>
    <w:rsid w:val="002B57EB"/>
    <w:rsid w:val="002B7576"/>
    <w:rsid w:val="002B769E"/>
    <w:rsid w:val="002E1042"/>
    <w:rsid w:val="002E1136"/>
    <w:rsid w:val="002E2A00"/>
    <w:rsid w:val="002E67B4"/>
    <w:rsid w:val="002F43C0"/>
    <w:rsid w:val="002F7655"/>
    <w:rsid w:val="0030637A"/>
    <w:rsid w:val="00312699"/>
    <w:rsid w:val="00312C71"/>
    <w:rsid w:val="003469C9"/>
    <w:rsid w:val="00347F14"/>
    <w:rsid w:val="0036056D"/>
    <w:rsid w:val="00361A3A"/>
    <w:rsid w:val="00370C1F"/>
    <w:rsid w:val="00370DB1"/>
    <w:rsid w:val="00382D34"/>
    <w:rsid w:val="00385D22"/>
    <w:rsid w:val="00392D8A"/>
    <w:rsid w:val="00396255"/>
    <w:rsid w:val="003A0FB6"/>
    <w:rsid w:val="003A32EA"/>
    <w:rsid w:val="003A4588"/>
    <w:rsid w:val="003A5B47"/>
    <w:rsid w:val="003B380A"/>
    <w:rsid w:val="003D2653"/>
    <w:rsid w:val="003D574A"/>
    <w:rsid w:val="003F20ED"/>
    <w:rsid w:val="003F318C"/>
    <w:rsid w:val="003F55AC"/>
    <w:rsid w:val="003F78DE"/>
    <w:rsid w:val="00404C7A"/>
    <w:rsid w:val="00410A60"/>
    <w:rsid w:val="004135E4"/>
    <w:rsid w:val="00422872"/>
    <w:rsid w:val="00425D85"/>
    <w:rsid w:val="00434AAB"/>
    <w:rsid w:val="00444B90"/>
    <w:rsid w:val="00447798"/>
    <w:rsid w:val="0045333E"/>
    <w:rsid w:val="00474A0F"/>
    <w:rsid w:val="004829AE"/>
    <w:rsid w:val="004843F3"/>
    <w:rsid w:val="00490B88"/>
    <w:rsid w:val="004F1757"/>
    <w:rsid w:val="004F785D"/>
    <w:rsid w:val="005000D8"/>
    <w:rsid w:val="00505F81"/>
    <w:rsid w:val="0050611C"/>
    <w:rsid w:val="00517D1C"/>
    <w:rsid w:val="00522F5C"/>
    <w:rsid w:val="00527186"/>
    <w:rsid w:val="00527E22"/>
    <w:rsid w:val="00537645"/>
    <w:rsid w:val="00546B4F"/>
    <w:rsid w:val="00547525"/>
    <w:rsid w:val="00550B0B"/>
    <w:rsid w:val="00557385"/>
    <w:rsid w:val="00577202"/>
    <w:rsid w:val="00595503"/>
    <w:rsid w:val="005A26E5"/>
    <w:rsid w:val="005B1466"/>
    <w:rsid w:val="005C424F"/>
    <w:rsid w:val="005D0D98"/>
    <w:rsid w:val="005D0DF5"/>
    <w:rsid w:val="005D2DAC"/>
    <w:rsid w:val="005D3239"/>
    <w:rsid w:val="005D4609"/>
    <w:rsid w:val="005D615A"/>
    <w:rsid w:val="005E274D"/>
    <w:rsid w:val="005F6514"/>
    <w:rsid w:val="0060457B"/>
    <w:rsid w:val="00617FDD"/>
    <w:rsid w:val="006217BD"/>
    <w:rsid w:val="00641A64"/>
    <w:rsid w:val="006432B2"/>
    <w:rsid w:val="00643DF6"/>
    <w:rsid w:val="00643E7B"/>
    <w:rsid w:val="00651B49"/>
    <w:rsid w:val="00655F14"/>
    <w:rsid w:val="006830D3"/>
    <w:rsid w:val="00690D82"/>
    <w:rsid w:val="00690DED"/>
    <w:rsid w:val="00694E2F"/>
    <w:rsid w:val="006A6ED5"/>
    <w:rsid w:val="006C0538"/>
    <w:rsid w:val="006C605D"/>
    <w:rsid w:val="006E7044"/>
    <w:rsid w:val="006E751E"/>
    <w:rsid w:val="006F3470"/>
    <w:rsid w:val="006F359A"/>
    <w:rsid w:val="00727919"/>
    <w:rsid w:val="00745D23"/>
    <w:rsid w:val="00751CA5"/>
    <w:rsid w:val="00760BAF"/>
    <w:rsid w:val="007613EF"/>
    <w:rsid w:val="0076190F"/>
    <w:rsid w:val="00761EE3"/>
    <w:rsid w:val="007655A5"/>
    <w:rsid w:val="0078368A"/>
    <w:rsid w:val="007956FE"/>
    <w:rsid w:val="007A3ED0"/>
    <w:rsid w:val="007A4FF2"/>
    <w:rsid w:val="007B5548"/>
    <w:rsid w:val="007C45CC"/>
    <w:rsid w:val="007C6322"/>
    <w:rsid w:val="007D1233"/>
    <w:rsid w:val="007E0EC1"/>
    <w:rsid w:val="007E2EEE"/>
    <w:rsid w:val="007F2DA6"/>
    <w:rsid w:val="007F6DC2"/>
    <w:rsid w:val="00805A72"/>
    <w:rsid w:val="00814564"/>
    <w:rsid w:val="0082149A"/>
    <w:rsid w:val="008224EA"/>
    <w:rsid w:val="00833A09"/>
    <w:rsid w:val="008412B2"/>
    <w:rsid w:val="00847F59"/>
    <w:rsid w:val="00855F4F"/>
    <w:rsid w:val="00871DC8"/>
    <w:rsid w:val="00893BAC"/>
    <w:rsid w:val="008A75A3"/>
    <w:rsid w:val="008B12FA"/>
    <w:rsid w:val="008B1AC4"/>
    <w:rsid w:val="008B75A1"/>
    <w:rsid w:val="008C5BD8"/>
    <w:rsid w:val="008D0591"/>
    <w:rsid w:val="008E4703"/>
    <w:rsid w:val="008F2AEC"/>
    <w:rsid w:val="008F590C"/>
    <w:rsid w:val="00940D6D"/>
    <w:rsid w:val="00943057"/>
    <w:rsid w:val="00947954"/>
    <w:rsid w:val="00955C5F"/>
    <w:rsid w:val="009626E8"/>
    <w:rsid w:val="009778BB"/>
    <w:rsid w:val="00981D44"/>
    <w:rsid w:val="00987F32"/>
    <w:rsid w:val="009935F4"/>
    <w:rsid w:val="009A54EE"/>
    <w:rsid w:val="009C7B2F"/>
    <w:rsid w:val="009D11C3"/>
    <w:rsid w:val="009D6709"/>
    <w:rsid w:val="009E1081"/>
    <w:rsid w:val="009E61A4"/>
    <w:rsid w:val="009F216D"/>
    <w:rsid w:val="00A10E01"/>
    <w:rsid w:val="00A12202"/>
    <w:rsid w:val="00A126EE"/>
    <w:rsid w:val="00A13890"/>
    <w:rsid w:val="00A1771E"/>
    <w:rsid w:val="00A250F5"/>
    <w:rsid w:val="00A376B8"/>
    <w:rsid w:val="00A40CC2"/>
    <w:rsid w:val="00A44CB0"/>
    <w:rsid w:val="00A45747"/>
    <w:rsid w:val="00A54F2F"/>
    <w:rsid w:val="00A64120"/>
    <w:rsid w:val="00A66347"/>
    <w:rsid w:val="00A853D7"/>
    <w:rsid w:val="00A85652"/>
    <w:rsid w:val="00A93A39"/>
    <w:rsid w:val="00A94A79"/>
    <w:rsid w:val="00AB210F"/>
    <w:rsid w:val="00AB3FF7"/>
    <w:rsid w:val="00AC3564"/>
    <w:rsid w:val="00AC3F77"/>
    <w:rsid w:val="00AD43D2"/>
    <w:rsid w:val="00AE3DCF"/>
    <w:rsid w:val="00AE602D"/>
    <w:rsid w:val="00AF2637"/>
    <w:rsid w:val="00B013E6"/>
    <w:rsid w:val="00B1278D"/>
    <w:rsid w:val="00B24913"/>
    <w:rsid w:val="00B33889"/>
    <w:rsid w:val="00B36FD2"/>
    <w:rsid w:val="00B44560"/>
    <w:rsid w:val="00B64971"/>
    <w:rsid w:val="00B6751A"/>
    <w:rsid w:val="00B72773"/>
    <w:rsid w:val="00B7360F"/>
    <w:rsid w:val="00B7662D"/>
    <w:rsid w:val="00B86C7D"/>
    <w:rsid w:val="00B95059"/>
    <w:rsid w:val="00BA09E8"/>
    <w:rsid w:val="00BA39B0"/>
    <w:rsid w:val="00BA54A3"/>
    <w:rsid w:val="00BB1D6F"/>
    <w:rsid w:val="00BB4949"/>
    <w:rsid w:val="00BB7645"/>
    <w:rsid w:val="00BC3D75"/>
    <w:rsid w:val="00BC5ED0"/>
    <w:rsid w:val="00BF2C43"/>
    <w:rsid w:val="00C013A3"/>
    <w:rsid w:val="00C01FA4"/>
    <w:rsid w:val="00C032FF"/>
    <w:rsid w:val="00C35A80"/>
    <w:rsid w:val="00C418D8"/>
    <w:rsid w:val="00C46C80"/>
    <w:rsid w:val="00C650DD"/>
    <w:rsid w:val="00C67F62"/>
    <w:rsid w:val="00C703BB"/>
    <w:rsid w:val="00C831B1"/>
    <w:rsid w:val="00C8367C"/>
    <w:rsid w:val="00C8689A"/>
    <w:rsid w:val="00C921C9"/>
    <w:rsid w:val="00C962CE"/>
    <w:rsid w:val="00CA54C1"/>
    <w:rsid w:val="00CB34FB"/>
    <w:rsid w:val="00CE2409"/>
    <w:rsid w:val="00CE2660"/>
    <w:rsid w:val="00CE73B1"/>
    <w:rsid w:val="00D11D6C"/>
    <w:rsid w:val="00D26D2B"/>
    <w:rsid w:val="00D42A54"/>
    <w:rsid w:val="00D4585D"/>
    <w:rsid w:val="00D56781"/>
    <w:rsid w:val="00D60974"/>
    <w:rsid w:val="00D75A6C"/>
    <w:rsid w:val="00D83692"/>
    <w:rsid w:val="00D8743F"/>
    <w:rsid w:val="00DC0554"/>
    <w:rsid w:val="00DC7E0E"/>
    <w:rsid w:val="00DD4466"/>
    <w:rsid w:val="00DE331F"/>
    <w:rsid w:val="00DE33F9"/>
    <w:rsid w:val="00DE4D43"/>
    <w:rsid w:val="00DF38A9"/>
    <w:rsid w:val="00DF74A8"/>
    <w:rsid w:val="00E02588"/>
    <w:rsid w:val="00E02AFF"/>
    <w:rsid w:val="00E03119"/>
    <w:rsid w:val="00E23811"/>
    <w:rsid w:val="00E30AC6"/>
    <w:rsid w:val="00E339C7"/>
    <w:rsid w:val="00E521CE"/>
    <w:rsid w:val="00E56006"/>
    <w:rsid w:val="00E73404"/>
    <w:rsid w:val="00E86701"/>
    <w:rsid w:val="00E965F4"/>
    <w:rsid w:val="00EA35DA"/>
    <w:rsid w:val="00EE6BA0"/>
    <w:rsid w:val="00EF0707"/>
    <w:rsid w:val="00F032C4"/>
    <w:rsid w:val="00F15665"/>
    <w:rsid w:val="00F34B9F"/>
    <w:rsid w:val="00F35275"/>
    <w:rsid w:val="00F46B30"/>
    <w:rsid w:val="00F51FF2"/>
    <w:rsid w:val="00F60D95"/>
    <w:rsid w:val="00F676A6"/>
    <w:rsid w:val="00F749BD"/>
    <w:rsid w:val="00F93586"/>
    <w:rsid w:val="00F97006"/>
    <w:rsid w:val="00FA408A"/>
    <w:rsid w:val="00FA4EEE"/>
    <w:rsid w:val="00FB6000"/>
    <w:rsid w:val="00FC18EC"/>
    <w:rsid w:val="00FD29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AA7E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5ED0"/>
    <w:pPr>
      <w:spacing w:line="480" w:lineRule="auto"/>
      <w:jc w:val="both"/>
    </w:pPr>
    <w:rPr>
      <w:rFonts w:ascii="Times New Roman" w:hAnsi="Times New Roman"/>
    </w:rPr>
  </w:style>
  <w:style w:type="paragraph" w:styleId="Heading1">
    <w:name w:val="heading 1"/>
    <w:basedOn w:val="Normal"/>
    <w:next w:val="Normal"/>
    <w:link w:val="Heading1Char"/>
    <w:autoRedefine/>
    <w:uiPriority w:val="9"/>
    <w:qFormat/>
    <w:rsid w:val="00BB4949"/>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BB4949"/>
    <w:pPr>
      <w:keepNext/>
      <w:keepLines/>
      <w:spacing w:before="4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949"/>
    <w:rPr>
      <w:rFonts w:ascii="Times New Roman" w:eastAsiaTheme="majorEastAsia" w:hAnsi="Times New Roman" w:cstheme="majorBidi"/>
      <w:color w:val="000000" w:themeColor="text1"/>
      <w:sz w:val="26"/>
      <w:szCs w:val="26"/>
    </w:rPr>
  </w:style>
  <w:style w:type="character" w:customStyle="1" w:styleId="Heading1Char">
    <w:name w:val="Heading 1 Char"/>
    <w:basedOn w:val="DefaultParagraphFont"/>
    <w:link w:val="Heading1"/>
    <w:uiPriority w:val="9"/>
    <w:rsid w:val="00BB4949"/>
    <w:rPr>
      <w:rFonts w:ascii="Times New Roman" w:eastAsiaTheme="majorEastAsia" w:hAnsi="Times New Roman" w:cstheme="majorBidi"/>
      <w:color w:val="000000" w:themeColor="text1"/>
      <w:sz w:val="32"/>
      <w:szCs w:val="32"/>
    </w:rPr>
  </w:style>
  <w:style w:type="character" w:styleId="CommentReference">
    <w:name w:val="annotation reference"/>
    <w:basedOn w:val="DefaultParagraphFont"/>
    <w:uiPriority w:val="99"/>
    <w:semiHidden/>
    <w:unhideWhenUsed/>
    <w:rsid w:val="002A4905"/>
    <w:rPr>
      <w:sz w:val="18"/>
      <w:szCs w:val="18"/>
    </w:rPr>
  </w:style>
  <w:style w:type="paragraph" w:styleId="CommentText">
    <w:name w:val="annotation text"/>
    <w:basedOn w:val="Normal"/>
    <w:link w:val="CommentTextChar"/>
    <w:uiPriority w:val="99"/>
    <w:unhideWhenUsed/>
    <w:rsid w:val="002A4905"/>
    <w:pPr>
      <w:spacing w:line="240" w:lineRule="auto"/>
    </w:pPr>
  </w:style>
  <w:style w:type="character" w:customStyle="1" w:styleId="CommentTextChar">
    <w:name w:val="Comment Text Char"/>
    <w:basedOn w:val="DefaultParagraphFont"/>
    <w:link w:val="CommentText"/>
    <w:uiPriority w:val="99"/>
    <w:rsid w:val="002A4905"/>
    <w:rPr>
      <w:rFonts w:ascii="Times New Roman" w:hAnsi="Times New Roman"/>
    </w:rPr>
  </w:style>
  <w:style w:type="paragraph" w:styleId="BalloonText">
    <w:name w:val="Balloon Text"/>
    <w:basedOn w:val="Normal"/>
    <w:link w:val="BalloonTextChar"/>
    <w:uiPriority w:val="99"/>
    <w:semiHidden/>
    <w:unhideWhenUsed/>
    <w:rsid w:val="002A4905"/>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2A4905"/>
    <w:rPr>
      <w:rFonts w:ascii="Times New Roman" w:hAnsi="Times New Roman" w:cs="Times New Roman"/>
      <w:sz w:val="18"/>
      <w:szCs w:val="18"/>
    </w:rPr>
  </w:style>
  <w:style w:type="paragraph" w:styleId="FootnoteText">
    <w:name w:val="footnote text"/>
    <w:basedOn w:val="Normal"/>
    <w:link w:val="FootnoteTextChar"/>
    <w:uiPriority w:val="99"/>
    <w:unhideWhenUsed/>
    <w:qFormat/>
    <w:rsid w:val="000678B6"/>
    <w:pPr>
      <w:spacing w:line="240" w:lineRule="auto"/>
    </w:pPr>
  </w:style>
  <w:style w:type="character" w:customStyle="1" w:styleId="FootnoteTextChar">
    <w:name w:val="Footnote Text Char"/>
    <w:basedOn w:val="DefaultParagraphFont"/>
    <w:link w:val="FootnoteText"/>
    <w:uiPriority w:val="99"/>
    <w:rsid w:val="000678B6"/>
    <w:rPr>
      <w:rFonts w:ascii="Times New Roman" w:hAnsi="Times New Roman"/>
    </w:rPr>
  </w:style>
  <w:style w:type="character" w:styleId="FootnoteReference">
    <w:name w:val="footnote reference"/>
    <w:basedOn w:val="DefaultParagraphFont"/>
    <w:uiPriority w:val="99"/>
    <w:unhideWhenUsed/>
    <w:rsid w:val="000678B6"/>
    <w:rPr>
      <w:vertAlign w:val="superscript"/>
    </w:rPr>
  </w:style>
  <w:style w:type="paragraph" w:styleId="ListParagraph">
    <w:name w:val="List Paragraph"/>
    <w:basedOn w:val="Normal"/>
    <w:uiPriority w:val="34"/>
    <w:qFormat/>
    <w:rsid w:val="000678B6"/>
    <w:pPr>
      <w:ind w:left="720"/>
      <w:contextualSpacing/>
    </w:pPr>
  </w:style>
  <w:style w:type="character" w:styleId="Hyperlink">
    <w:name w:val="Hyperlink"/>
    <w:basedOn w:val="DefaultParagraphFont"/>
    <w:uiPriority w:val="99"/>
    <w:unhideWhenUsed/>
    <w:rsid w:val="00F749BD"/>
    <w:rPr>
      <w:color w:val="0000FF"/>
      <w:u w:val="single"/>
    </w:rPr>
  </w:style>
  <w:style w:type="paragraph" w:styleId="CommentSubject">
    <w:name w:val="annotation subject"/>
    <w:basedOn w:val="CommentText"/>
    <w:next w:val="CommentText"/>
    <w:link w:val="CommentSubjectChar"/>
    <w:uiPriority w:val="99"/>
    <w:semiHidden/>
    <w:unhideWhenUsed/>
    <w:rsid w:val="00E965F4"/>
    <w:rPr>
      <w:b/>
      <w:bCs/>
      <w:sz w:val="20"/>
      <w:szCs w:val="20"/>
    </w:rPr>
  </w:style>
  <w:style w:type="character" w:customStyle="1" w:styleId="CommentSubjectChar">
    <w:name w:val="Comment Subject Char"/>
    <w:basedOn w:val="CommentTextChar"/>
    <w:link w:val="CommentSubject"/>
    <w:uiPriority w:val="99"/>
    <w:semiHidden/>
    <w:rsid w:val="00E965F4"/>
    <w:rPr>
      <w:rFonts w:ascii="Times New Roman" w:hAnsi="Times New Roman"/>
      <w:b/>
      <w:bCs/>
      <w:sz w:val="20"/>
      <w:szCs w:val="20"/>
    </w:rPr>
  </w:style>
  <w:style w:type="paragraph" w:styleId="Footer">
    <w:name w:val="footer"/>
    <w:basedOn w:val="Normal"/>
    <w:link w:val="FooterChar"/>
    <w:uiPriority w:val="99"/>
    <w:unhideWhenUsed/>
    <w:rsid w:val="00761EE3"/>
    <w:pPr>
      <w:tabs>
        <w:tab w:val="center" w:pos="4513"/>
        <w:tab w:val="right" w:pos="9026"/>
      </w:tabs>
      <w:spacing w:line="240" w:lineRule="auto"/>
    </w:pPr>
  </w:style>
  <w:style w:type="character" w:customStyle="1" w:styleId="FooterChar">
    <w:name w:val="Footer Char"/>
    <w:basedOn w:val="DefaultParagraphFont"/>
    <w:link w:val="Footer"/>
    <w:uiPriority w:val="99"/>
    <w:rsid w:val="00761EE3"/>
    <w:rPr>
      <w:rFonts w:ascii="Times New Roman" w:hAnsi="Times New Roman"/>
    </w:rPr>
  </w:style>
  <w:style w:type="character" w:styleId="PageNumber">
    <w:name w:val="page number"/>
    <w:basedOn w:val="DefaultParagraphFont"/>
    <w:uiPriority w:val="99"/>
    <w:semiHidden/>
    <w:unhideWhenUsed/>
    <w:rsid w:val="00761EE3"/>
  </w:style>
  <w:style w:type="paragraph" w:styleId="Header">
    <w:name w:val="header"/>
    <w:basedOn w:val="Normal"/>
    <w:link w:val="HeaderChar"/>
    <w:uiPriority w:val="99"/>
    <w:unhideWhenUsed/>
    <w:rsid w:val="00447798"/>
    <w:pPr>
      <w:tabs>
        <w:tab w:val="center" w:pos="4513"/>
        <w:tab w:val="right" w:pos="9026"/>
      </w:tabs>
      <w:spacing w:line="240" w:lineRule="auto"/>
    </w:pPr>
  </w:style>
  <w:style w:type="character" w:customStyle="1" w:styleId="HeaderChar">
    <w:name w:val="Header Char"/>
    <w:basedOn w:val="DefaultParagraphFont"/>
    <w:link w:val="Header"/>
    <w:uiPriority w:val="99"/>
    <w:rsid w:val="00447798"/>
    <w:rPr>
      <w:rFonts w:ascii="Times New Roman" w:hAnsi="Times New Roman"/>
    </w:rPr>
  </w:style>
  <w:style w:type="character" w:styleId="FollowedHyperlink">
    <w:name w:val="FollowedHyperlink"/>
    <w:basedOn w:val="DefaultParagraphFont"/>
    <w:uiPriority w:val="99"/>
    <w:semiHidden/>
    <w:unhideWhenUsed/>
    <w:rsid w:val="008B12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1246">
      <w:bodyDiv w:val="1"/>
      <w:marLeft w:val="0"/>
      <w:marRight w:val="0"/>
      <w:marTop w:val="0"/>
      <w:marBottom w:val="0"/>
      <w:divBdr>
        <w:top w:val="none" w:sz="0" w:space="0" w:color="auto"/>
        <w:left w:val="none" w:sz="0" w:space="0" w:color="auto"/>
        <w:bottom w:val="none" w:sz="0" w:space="0" w:color="auto"/>
        <w:right w:val="none" w:sz="0" w:space="0" w:color="auto"/>
      </w:divBdr>
    </w:div>
    <w:div w:id="100535958">
      <w:bodyDiv w:val="1"/>
      <w:marLeft w:val="0"/>
      <w:marRight w:val="0"/>
      <w:marTop w:val="0"/>
      <w:marBottom w:val="0"/>
      <w:divBdr>
        <w:top w:val="none" w:sz="0" w:space="0" w:color="auto"/>
        <w:left w:val="none" w:sz="0" w:space="0" w:color="auto"/>
        <w:bottom w:val="none" w:sz="0" w:space="0" w:color="auto"/>
        <w:right w:val="none" w:sz="0" w:space="0" w:color="auto"/>
      </w:divBdr>
    </w:div>
    <w:div w:id="125123535">
      <w:bodyDiv w:val="1"/>
      <w:marLeft w:val="0"/>
      <w:marRight w:val="0"/>
      <w:marTop w:val="0"/>
      <w:marBottom w:val="0"/>
      <w:divBdr>
        <w:top w:val="none" w:sz="0" w:space="0" w:color="auto"/>
        <w:left w:val="none" w:sz="0" w:space="0" w:color="auto"/>
        <w:bottom w:val="none" w:sz="0" w:space="0" w:color="auto"/>
        <w:right w:val="none" w:sz="0" w:space="0" w:color="auto"/>
      </w:divBdr>
    </w:div>
    <w:div w:id="128086630">
      <w:bodyDiv w:val="1"/>
      <w:marLeft w:val="0"/>
      <w:marRight w:val="0"/>
      <w:marTop w:val="0"/>
      <w:marBottom w:val="0"/>
      <w:divBdr>
        <w:top w:val="none" w:sz="0" w:space="0" w:color="auto"/>
        <w:left w:val="none" w:sz="0" w:space="0" w:color="auto"/>
        <w:bottom w:val="none" w:sz="0" w:space="0" w:color="auto"/>
        <w:right w:val="none" w:sz="0" w:space="0" w:color="auto"/>
      </w:divBdr>
    </w:div>
    <w:div w:id="191115541">
      <w:bodyDiv w:val="1"/>
      <w:marLeft w:val="0"/>
      <w:marRight w:val="0"/>
      <w:marTop w:val="0"/>
      <w:marBottom w:val="0"/>
      <w:divBdr>
        <w:top w:val="none" w:sz="0" w:space="0" w:color="auto"/>
        <w:left w:val="none" w:sz="0" w:space="0" w:color="auto"/>
        <w:bottom w:val="none" w:sz="0" w:space="0" w:color="auto"/>
        <w:right w:val="none" w:sz="0" w:space="0" w:color="auto"/>
      </w:divBdr>
    </w:div>
    <w:div w:id="262735035">
      <w:bodyDiv w:val="1"/>
      <w:marLeft w:val="0"/>
      <w:marRight w:val="0"/>
      <w:marTop w:val="0"/>
      <w:marBottom w:val="0"/>
      <w:divBdr>
        <w:top w:val="none" w:sz="0" w:space="0" w:color="auto"/>
        <w:left w:val="none" w:sz="0" w:space="0" w:color="auto"/>
        <w:bottom w:val="none" w:sz="0" w:space="0" w:color="auto"/>
        <w:right w:val="none" w:sz="0" w:space="0" w:color="auto"/>
      </w:divBdr>
    </w:div>
    <w:div w:id="286425049">
      <w:bodyDiv w:val="1"/>
      <w:marLeft w:val="0"/>
      <w:marRight w:val="0"/>
      <w:marTop w:val="0"/>
      <w:marBottom w:val="0"/>
      <w:divBdr>
        <w:top w:val="none" w:sz="0" w:space="0" w:color="auto"/>
        <w:left w:val="none" w:sz="0" w:space="0" w:color="auto"/>
        <w:bottom w:val="none" w:sz="0" w:space="0" w:color="auto"/>
        <w:right w:val="none" w:sz="0" w:space="0" w:color="auto"/>
      </w:divBdr>
    </w:div>
    <w:div w:id="300159721">
      <w:bodyDiv w:val="1"/>
      <w:marLeft w:val="0"/>
      <w:marRight w:val="0"/>
      <w:marTop w:val="0"/>
      <w:marBottom w:val="0"/>
      <w:divBdr>
        <w:top w:val="none" w:sz="0" w:space="0" w:color="auto"/>
        <w:left w:val="none" w:sz="0" w:space="0" w:color="auto"/>
        <w:bottom w:val="none" w:sz="0" w:space="0" w:color="auto"/>
        <w:right w:val="none" w:sz="0" w:space="0" w:color="auto"/>
      </w:divBdr>
    </w:div>
    <w:div w:id="432869079">
      <w:bodyDiv w:val="1"/>
      <w:marLeft w:val="0"/>
      <w:marRight w:val="0"/>
      <w:marTop w:val="0"/>
      <w:marBottom w:val="0"/>
      <w:divBdr>
        <w:top w:val="none" w:sz="0" w:space="0" w:color="auto"/>
        <w:left w:val="none" w:sz="0" w:space="0" w:color="auto"/>
        <w:bottom w:val="none" w:sz="0" w:space="0" w:color="auto"/>
        <w:right w:val="none" w:sz="0" w:space="0" w:color="auto"/>
      </w:divBdr>
    </w:div>
    <w:div w:id="433936385">
      <w:bodyDiv w:val="1"/>
      <w:marLeft w:val="0"/>
      <w:marRight w:val="0"/>
      <w:marTop w:val="0"/>
      <w:marBottom w:val="0"/>
      <w:divBdr>
        <w:top w:val="none" w:sz="0" w:space="0" w:color="auto"/>
        <w:left w:val="none" w:sz="0" w:space="0" w:color="auto"/>
        <w:bottom w:val="none" w:sz="0" w:space="0" w:color="auto"/>
        <w:right w:val="none" w:sz="0" w:space="0" w:color="auto"/>
      </w:divBdr>
    </w:div>
    <w:div w:id="435101691">
      <w:bodyDiv w:val="1"/>
      <w:marLeft w:val="0"/>
      <w:marRight w:val="0"/>
      <w:marTop w:val="0"/>
      <w:marBottom w:val="0"/>
      <w:divBdr>
        <w:top w:val="none" w:sz="0" w:space="0" w:color="auto"/>
        <w:left w:val="none" w:sz="0" w:space="0" w:color="auto"/>
        <w:bottom w:val="none" w:sz="0" w:space="0" w:color="auto"/>
        <w:right w:val="none" w:sz="0" w:space="0" w:color="auto"/>
      </w:divBdr>
    </w:div>
    <w:div w:id="447970396">
      <w:bodyDiv w:val="1"/>
      <w:marLeft w:val="0"/>
      <w:marRight w:val="0"/>
      <w:marTop w:val="0"/>
      <w:marBottom w:val="0"/>
      <w:divBdr>
        <w:top w:val="none" w:sz="0" w:space="0" w:color="auto"/>
        <w:left w:val="none" w:sz="0" w:space="0" w:color="auto"/>
        <w:bottom w:val="none" w:sz="0" w:space="0" w:color="auto"/>
        <w:right w:val="none" w:sz="0" w:space="0" w:color="auto"/>
      </w:divBdr>
    </w:div>
    <w:div w:id="494878888">
      <w:bodyDiv w:val="1"/>
      <w:marLeft w:val="0"/>
      <w:marRight w:val="0"/>
      <w:marTop w:val="0"/>
      <w:marBottom w:val="0"/>
      <w:divBdr>
        <w:top w:val="none" w:sz="0" w:space="0" w:color="auto"/>
        <w:left w:val="none" w:sz="0" w:space="0" w:color="auto"/>
        <w:bottom w:val="none" w:sz="0" w:space="0" w:color="auto"/>
        <w:right w:val="none" w:sz="0" w:space="0" w:color="auto"/>
      </w:divBdr>
    </w:div>
    <w:div w:id="536086449">
      <w:bodyDiv w:val="1"/>
      <w:marLeft w:val="0"/>
      <w:marRight w:val="0"/>
      <w:marTop w:val="0"/>
      <w:marBottom w:val="0"/>
      <w:divBdr>
        <w:top w:val="none" w:sz="0" w:space="0" w:color="auto"/>
        <w:left w:val="none" w:sz="0" w:space="0" w:color="auto"/>
        <w:bottom w:val="none" w:sz="0" w:space="0" w:color="auto"/>
        <w:right w:val="none" w:sz="0" w:space="0" w:color="auto"/>
      </w:divBdr>
    </w:div>
    <w:div w:id="560868512">
      <w:bodyDiv w:val="1"/>
      <w:marLeft w:val="0"/>
      <w:marRight w:val="0"/>
      <w:marTop w:val="0"/>
      <w:marBottom w:val="0"/>
      <w:divBdr>
        <w:top w:val="none" w:sz="0" w:space="0" w:color="auto"/>
        <w:left w:val="none" w:sz="0" w:space="0" w:color="auto"/>
        <w:bottom w:val="none" w:sz="0" w:space="0" w:color="auto"/>
        <w:right w:val="none" w:sz="0" w:space="0" w:color="auto"/>
      </w:divBdr>
    </w:div>
    <w:div w:id="609777194">
      <w:bodyDiv w:val="1"/>
      <w:marLeft w:val="0"/>
      <w:marRight w:val="0"/>
      <w:marTop w:val="0"/>
      <w:marBottom w:val="0"/>
      <w:divBdr>
        <w:top w:val="none" w:sz="0" w:space="0" w:color="auto"/>
        <w:left w:val="none" w:sz="0" w:space="0" w:color="auto"/>
        <w:bottom w:val="none" w:sz="0" w:space="0" w:color="auto"/>
        <w:right w:val="none" w:sz="0" w:space="0" w:color="auto"/>
      </w:divBdr>
    </w:div>
    <w:div w:id="620652101">
      <w:bodyDiv w:val="1"/>
      <w:marLeft w:val="0"/>
      <w:marRight w:val="0"/>
      <w:marTop w:val="0"/>
      <w:marBottom w:val="0"/>
      <w:divBdr>
        <w:top w:val="none" w:sz="0" w:space="0" w:color="auto"/>
        <w:left w:val="none" w:sz="0" w:space="0" w:color="auto"/>
        <w:bottom w:val="none" w:sz="0" w:space="0" w:color="auto"/>
        <w:right w:val="none" w:sz="0" w:space="0" w:color="auto"/>
      </w:divBdr>
    </w:div>
    <w:div w:id="638072079">
      <w:bodyDiv w:val="1"/>
      <w:marLeft w:val="0"/>
      <w:marRight w:val="0"/>
      <w:marTop w:val="0"/>
      <w:marBottom w:val="0"/>
      <w:divBdr>
        <w:top w:val="none" w:sz="0" w:space="0" w:color="auto"/>
        <w:left w:val="none" w:sz="0" w:space="0" w:color="auto"/>
        <w:bottom w:val="none" w:sz="0" w:space="0" w:color="auto"/>
        <w:right w:val="none" w:sz="0" w:space="0" w:color="auto"/>
      </w:divBdr>
    </w:div>
    <w:div w:id="641812907">
      <w:bodyDiv w:val="1"/>
      <w:marLeft w:val="0"/>
      <w:marRight w:val="0"/>
      <w:marTop w:val="0"/>
      <w:marBottom w:val="0"/>
      <w:divBdr>
        <w:top w:val="none" w:sz="0" w:space="0" w:color="auto"/>
        <w:left w:val="none" w:sz="0" w:space="0" w:color="auto"/>
        <w:bottom w:val="none" w:sz="0" w:space="0" w:color="auto"/>
        <w:right w:val="none" w:sz="0" w:space="0" w:color="auto"/>
      </w:divBdr>
    </w:div>
    <w:div w:id="663894757">
      <w:bodyDiv w:val="1"/>
      <w:marLeft w:val="0"/>
      <w:marRight w:val="0"/>
      <w:marTop w:val="0"/>
      <w:marBottom w:val="0"/>
      <w:divBdr>
        <w:top w:val="none" w:sz="0" w:space="0" w:color="auto"/>
        <w:left w:val="none" w:sz="0" w:space="0" w:color="auto"/>
        <w:bottom w:val="none" w:sz="0" w:space="0" w:color="auto"/>
        <w:right w:val="none" w:sz="0" w:space="0" w:color="auto"/>
      </w:divBdr>
    </w:div>
    <w:div w:id="692926161">
      <w:bodyDiv w:val="1"/>
      <w:marLeft w:val="0"/>
      <w:marRight w:val="0"/>
      <w:marTop w:val="0"/>
      <w:marBottom w:val="0"/>
      <w:divBdr>
        <w:top w:val="none" w:sz="0" w:space="0" w:color="auto"/>
        <w:left w:val="none" w:sz="0" w:space="0" w:color="auto"/>
        <w:bottom w:val="none" w:sz="0" w:space="0" w:color="auto"/>
        <w:right w:val="none" w:sz="0" w:space="0" w:color="auto"/>
      </w:divBdr>
    </w:div>
    <w:div w:id="697044753">
      <w:bodyDiv w:val="1"/>
      <w:marLeft w:val="0"/>
      <w:marRight w:val="0"/>
      <w:marTop w:val="0"/>
      <w:marBottom w:val="0"/>
      <w:divBdr>
        <w:top w:val="none" w:sz="0" w:space="0" w:color="auto"/>
        <w:left w:val="none" w:sz="0" w:space="0" w:color="auto"/>
        <w:bottom w:val="none" w:sz="0" w:space="0" w:color="auto"/>
        <w:right w:val="none" w:sz="0" w:space="0" w:color="auto"/>
      </w:divBdr>
    </w:div>
    <w:div w:id="718209890">
      <w:bodyDiv w:val="1"/>
      <w:marLeft w:val="0"/>
      <w:marRight w:val="0"/>
      <w:marTop w:val="0"/>
      <w:marBottom w:val="0"/>
      <w:divBdr>
        <w:top w:val="none" w:sz="0" w:space="0" w:color="auto"/>
        <w:left w:val="none" w:sz="0" w:space="0" w:color="auto"/>
        <w:bottom w:val="none" w:sz="0" w:space="0" w:color="auto"/>
        <w:right w:val="none" w:sz="0" w:space="0" w:color="auto"/>
      </w:divBdr>
    </w:div>
    <w:div w:id="809251942">
      <w:bodyDiv w:val="1"/>
      <w:marLeft w:val="0"/>
      <w:marRight w:val="0"/>
      <w:marTop w:val="0"/>
      <w:marBottom w:val="0"/>
      <w:divBdr>
        <w:top w:val="none" w:sz="0" w:space="0" w:color="auto"/>
        <w:left w:val="none" w:sz="0" w:space="0" w:color="auto"/>
        <w:bottom w:val="none" w:sz="0" w:space="0" w:color="auto"/>
        <w:right w:val="none" w:sz="0" w:space="0" w:color="auto"/>
      </w:divBdr>
    </w:div>
    <w:div w:id="847599535">
      <w:bodyDiv w:val="1"/>
      <w:marLeft w:val="0"/>
      <w:marRight w:val="0"/>
      <w:marTop w:val="0"/>
      <w:marBottom w:val="0"/>
      <w:divBdr>
        <w:top w:val="none" w:sz="0" w:space="0" w:color="auto"/>
        <w:left w:val="none" w:sz="0" w:space="0" w:color="auto"/>
        <w:bottom w:val="none" w:sz="0" w:space="0" w:color="auto"/>
        <w:right w:val="none" w:sz="0" w:space="0" w:color="auto"/>
      </w:divBdr>
    </w:div>
    <w:div w:id="866017596">
      <w:bodyDiv w:val="1"/>
      <w:marLeft w:val="0"/>
      <w:marRight w:val="0"/>
      <w:marTop w:val="0"/>
      <w:marBottom w:val="0"/>
      <w:divBdr>
        <w:top w:val="none" w:sz="0" w:space="0" w:color="auto"/>
        <w:left w:val="none" w:sz="0" w:space="0" w:color="auto"/>
        <w:bottom w:val="none" w:sz="0" w:space="0" w:color="auto"/>
        <w:right w:val="none" w:sz="0" w:space="0" w:color="auto"/>
      </w:divBdr>
    </w:div>
    <w:div w:id="871841464">
      <w:bodyDiv w:val="1"/>
      <w:marLeft w:val="0"/>
      <w:marRight w:val="0"/>
      <w:marTop w:val="0"/>
      <w:marBottom w:val="0"/>
      <w:divBdr>
        <w:top w:val="none" w:sz="0" w:space="0" w:color="auto"/>
        <w:left w:val="none" w:sz="0" w:space="0" w:color="auto"/>
        <w:bottom w:val="none" w:sz="0" w:space="0" w:color="auto"/>
        <w:right w:val="none" w:sz="0" w:space="0" w:color="auto"/>
      </w:divBdr>
    </w:div>
    <w:div w:id="889345577">
      <w:bodyDiv w:val="1"/>
      <w:marLeft w:val="0"/>
      <w:marRight w:val="0"/>
      <w:marTop w:val="0"/>
      <w:marBottom w:val="0"/>
      <w:divBdr>
        <w:top w:val="none" w:sz="0" w:space="0" w:color="auto"/>
        <w:left w:val="none" w:sz="0" w:space="0" w:color="auto"/>
        <w:bottom w:val="none" w:sz="0" w:space="0" w:color="auto"/>
        <w:right w:val="none" w:sz="0" w:space="0" w:color="auto"/>
      </w:divBdr>
    </w:div>
    <w:div w:id="894317176">
      <w:bodyDiv w:val="1"/>
      <w:marLeft w:val="0"/>
      <w:marRight w:val="0"/>
      <w:marTop w:val="0"/>
      <w:marBottom w:val="0"/>
      <w:divBdr>
        <w:top w:val="none" w:sz="0" w:space="0" w:color="auto"/>
        <w:left w:val="none" w:sz="0" w:space="0" w:color="auto"/>
        <w:bottom w:val="none" w:sz="0" w:space="0" w:color="auto"/>
        <w:right w:val="none" w:sz="0" w:space="0" w:color="auto"/>
      </w:divBdr>
    </w:div>
    <w:div w:id="900336039">
      <w:bodyDiv w:val="1"/>
      <w:marLeft w:val="0"/>
      <w:marRight w:val="0"/>
      <w:marTop w:val="0"/>
      <w:marBottom w:val="0"/>
      <w:divBdr>
        <w:top w:val="none" w:sz="0" w:space="0" w:color="auto"/>
        <w:left w:val="none" w:sz="0" w:space="0" w:color="auto"/>
        <w:bottom w:val="none" w:sz="0" w:space="0" w:color="auto"/>
        <w:right w:val="none" w:sz="0" w:space="0" w:color="auto"/>
      </w:divBdr>
    </w:div>
    <w:div w:id="921915023">
      <w:bodyDiv w:val="1"/>
      <w:marLeft w:val="0"/>
      <w:marRight w:val="0"/>
      <w:marTop w:val="0"/>
      <w:marBottom w:val="0"/>
      <w:divBdr>
        <w:top w:val="none" w:sz="0" w:space="0" w:color="auto"/>
        <w:left w:val="none" w:sz="0" w:space="0" w:color="auto"/>
        <w:bottom w:val="none" w:sz="0" w:space="0" w:color="auto"/>
        <w:right w:val="none" w:sz="0" w:space="0" w:color="auto"/>
      </w:divBdr>
    </w:div>
    <w:div w:id="1012562344">
      <w:bodyDiv w:val="1"/>
      <w:marLeft w:val="0"/>
      <w:marRight w:val="0"/>
      <w:marTop w:val="0"/>
      <w:marBottom w:val="0"/>
      <w:divBdr>
        <w:top w:val="none" w:sz="0" w:space="0" w:color="auto"/>
        <w:left w:val="none" w:sz="0" w:space="0" w:color="auto"/>
        <w:bottom w:val="none" w:sz="0" w:space="0" w:color="auto"/>
        <w:right w:val="none" w:sz="0" w:space="0" w:color="auto"/>
      </w:divBdr>
    </w:div>
    <w:div w:id="1036124244">
      <w:bodyDiv w:val="1"/>
      <w:marLeft w:val="0"/>
      <w:marRight w:val="0"/>
      <w:marTop w:val="0"/>
      <w:marBottom w:val="0"/>
      <w:divBdr>
        <w:top w:val="none" w:sz="0" w:space="0" w:color="auto"/>
        <w:left w:val="none" w:sz="0" w:space="0" w:color="auto"/>
        <w:bottom w:val="none" w:sz="0" w:space="0" w:color="auto"/>
        <w:right w:val="none" w:sz="0" w:space="0" w:color="auto"/>
      </w:divBdr>
    </w:div>
    <w:div w:id="1052457843">
      <w:bodyDiv w:val="1"/>
      <w:marLeft w:val="0"/>
      <w:marRight w:val="0"/>
      <w:marTop w:val="0"/>
      <w:marBottom w:val="0"/>
      <w:divBdr>
        <w:top w:val="none" w:sz="0" w:space="0" w:color="auto"/>
        <w:left w:val="none" w:sz="0" w:space="0" w:color="auto"/>
        <w:bottom w:val="none" w:sz="0" w:space="0" w:color="auto"/>
        <w:right w:val="none" w:sz="0" w:space="0" w:color="auto"/>
      </w:divBdr>
    </w:div>
    <w:div w:id="1081487390">
      <w:bodyDiv w:val="1"/>
      <w:marLeft w:val="0"/>
      <w:marRight w:val="0"/>
      <w:marTop w:val="0"/>
      <w:marBottom w:val="0"/>
      <w:divBdr>
        <w:top w:val="none" w:sz="0" w:space="0" w:color="auto"/>
        <w:left w:val="none" w:sz="0" w:space="0" w:color="auto"/>
        <w:bottom w:val="none" w:sz="0" w:space="0" w:color="auto"/>
        <w:right w:val="none" w:sz="0" w:space="0" w:color="auto"/>
      </w:divBdr>
    </w:div>
    <w:div w:id="1083337719">
      <w:bodyDiv w:val="1"/>
      <w:marLeft w:val="0"/>
      <w:marRight w:val="0"/>
      <w:marTop w:val="0"/>
      <w:marBottom w:val="0"/>
      <w:divBdr>
        <w:top w:val="none" w:sz="0" w:space="0" w:color="auto"/>
        <w:left w:val="none" w:sz="0" w:space="0" w:color="auto"/>
        <w:bottom w:val="none" w:sz="0" w:space="0" w:color="auto"/>
        <w:right w:val="none" w:sz="0" w:space="0" w:color="auto"/>
      </w:divBdr>
    </w:div>
    <w:div w:id="1103912425">
      <w:bodyDiv w:val="1"/>
      <w:marLeft w:val="0"/>
      <w:marRight w:val="0"/>
      <w:marTop w:val="0"/>
      <w:marBottom w:val="0"/>
      <w:divBdr>
        <w:top w:val="none" w:sz="0" w:space="0" w:color="auto"/>
        <w:left w:val="none" w:sz="0" w:space="0" w:color="auto"/>
        <w:bottom w:val="none" w:sz="0" w:space="0" w:color="auto"/>
        <w:right w:val="none" w:sz="0" w:space="0" w:color="auto"/>
      </w:divBdr>
    </w:div>
    <w:div w:id="1107458305">
      <w:bodyDiv w:val="1"/>
      <w:marLeft w:val="0"/>
      <w:marRight w:val="0"/>
      <w:marTop w:val="0"/>
      <w:marBottom w:val="0"/>
      <w:divBdr>
        <w:top w:val="none" w:sz="0" w:space="0" w:color="auto"/>
        <w:left w:val="none" w:sz="0" w:space="0" w:color="auto"/>
        <w:bottom w:val="none" w:sz="0" w:space="0" w:color="auto"/>
        <w:right w:val="none" w:sz="0" w:space="0" w:color="auto"/>
      </w:divBdr>
    </w:div>
    <w:div w:id="1142843897">
      <w:bodyDiv w:val="1"/>
      <w:marLeft w:val="0"/>
      <w:marRight w:val="0"/>
      <w:marTop w:val="0"/>
      <w:marBottom w:val="0"/>
      <w:divBdr>
        <w:top w:val="none" w:sz="0" w:space="0" w:color="auto"/>
        <w:left w:val="none" w:sz="0" w:space="0" w:color="auto"/>
        <w:bottom w:val="none" w:sz="0" w:space="0" w:color="auto"/>
        <w:right w:val="none" w:sz="0" w:space="0" w:color="auto"/>
      </w:divBdr>
    </w:div>
    <w:div w:id="1225334107">
      <w:bodyDiv w:val="1"/>
      <w:marLeft w:val="0"/>
      <w:marRight w:val="0"/>
      <w:marTop w:val="0"/>
      <w:marBottom w:val="0"/>
      <w:divBdr>
        <w:top w:val="none" w:sz="0" w:space="0" w:color="auto"/>
        <w:left w:val="none" w:sz="0" w:space="0" w:color="auto"/>
        <w:bottom w:val="none" w:sz="0" w:space="0" w:color="auto"/>
        <w:right w:val="none" w:sz="0" w:space="0" w:color="auto"/>
      </w:divBdr>
    </w:div>
    <w:div w:id="1240484688">
      <w:bodyDiv w:val="1"/>
      <w:marLeft w:val="0"/>
      <w:marRight w:val="0"/>
      <w:marTop w:val="0"/>
      <w:marBottom w:val="0"/>
      <w:divBdr>
        <w:top w:val="none" w:sz="0" w:space="0" w:color="auto"/>
        <w:left w:val="none" w:sz="0" w:space="0" w:color="auto"/>
        <w:bottom w:val="none" w:sz="0" w:space="0" w:color="auto"/>
        <w:right w:val="none" w:sz="0" w:space="0" w:color="auto"/>
      </w:divBdr>
    </w:div>
    <w:div w:id="1303998196">
      <w:bodyDiv w:val="1"/>
      <w:marLeft w:val="0"/>
      <w:marRight w:val="0"/>
      <w:marTop w:val="0"/>
      <w:marBottom w:val="0"/>
      <w:divBdr>
        <w:top w:val="none" w:sz="0" w:space="0" w:color="auto"/>
        <w:left w:val="none" w:sz="0" w:space="0" w:color="auto"/>
        <w:bottom w:val="none" w:sz="0" w:space="0" w:color="auto"/>
        <w:right w:val="none" w:sz="0" w:space="0" w:color="auto"/>
      </w:divBdr>
    </w:div>
    <w:div w:id="1315448685">
      <w:bodyDiv w:val="1"/>
      <w:marLeft w:val="0"/>
      <w:marRight w:val="0"/>
      <w:marTop w:val="0"/>
      <w:marBottom w:val="0"/>
      <w:divBdr>
        <w:top w:val="none" w:sz="0" w:space="0" w:color="auto"/>
        <w:left w:val="none" w:sz="0" w:space="0" w:color="auto"/>
        <w:bottom w:val="none" w:sz="0" w:space="0" w:color="auto"/>
        <w:right w:val="none" w:sz="0" w:space="0" w:color="auto"/>
      </w:divBdr>
    </w:div>
    <w:div w:id="1333531033">
      <w:bodyDiv w:val="1"/>
      <w:marLeft w:val="0"/>
      <w:marRight w:val="0"/>
      <w:marTop w:val="0"/>
      <w:marBottom w:val="0"/>
      <w:divBdr>
        <w:top w:val="none" w:sz="0" w:space="0" w:color="auto"/>
        <w:left w:val="none" w:sz="0" w:space="0" w:color="auto"/>
        <w:bottom w:val="none" w:sz="0" w:space="0" w:color="auto"/>
        <w:right w:val="none" w:sz="0" w:space="0" w:color="auto"/>
      </w:divBdr>
    </w:div>
    <w:div w:id="1336878854">
      <w:bodyDiv w:val="1"/>
      <w:marLeft w:val="0"/>
      <w:marRight w:val="0"/>
      <w:marTop w:val="0"/>
      <w:marBottom w:val="0"/>
      <w:divBdr>
        <w:top w:val="none" w:sz="0" w:space="0" w:color="auto"/>
        <w:left w:val="none" w:sz="0" w:space="0" w:color="auto"/>
        <w:bottom w:val="none" w:sz="0" w:space="0" w:color="auto"/>
        <w:right w:val="none" w:sz="0" w:space="0" w:color="auto"/>
      </w:divBdr>
    </w:div>
    <w:div w:id="1478568004">
      <w:bodyDiv w:val="1"/>
      <w:marLeft w:val="0"/>
      <w:marRight w:val="0"/>
      <w:marTop w:val="0"/>
      <w:marBottom w:val="0"/>
      <w:divBdr>
        <w:top w:val="none" w:sz="0" w:space="0" w:color="auto"/>
        <w:left w:val="none" w:sz="0" w:space="0" w:color="auto"/>
        <w:bottom w:val="none" w:sz="0" w:space="0" w:color="auto"/>
        <w:right w:val="none" w:sz="0" w:space="0" w:color="auto"/>
      </w:divBdr>
    </w:div>
    <w:div w:id="1494301548">
      <w:bodyDiv w:val="1"/>
      <w:marLeft w:val="0"/>
      <w:marRight w:val="0"/>
      <w:marTop w:val="0"/>
      <w:marBottom w:val="0"/>
      <w:divBdr>
        <w:top w:val="none" w:sz="0" w:space="0" w:color="auto"/>
        <w:left w:val="none" w:sz="0" w:space="0" w:color="auto"/>
        <w:bottom w:val="none" w:sz="0" w:space="0" w:color="auto"/>
        <w:right w:val="none" w:sz="0" w:space="0" w:color="auto"/>
      </w:divBdr>
    </w:div>
    <w:div w:id="1541360026">
      <w:bodyDiv w:val="1"/>
      <w:marLeft w:val="0"/>
      <w:marRight w:val="0"/>
      <w:marTop w:val="0"/>
      <w:marBottom w:val="0"/>
      <w:divBdr>
        <w:top w:val="none" w:sz="0" w:space="0" w:color="auto"/>
        <w:left w:val="none" w:sz="0" w:space="0" w:color="auto"/>
        <w:bottom w:val="none" w:sz="0" w:space="0" w:color="auto"/>
        <w:right w:val="none" w:sz="0" w:space="0" w:color="auto"/>
      </w:divBdr>
    </w:div>
    <w:div w:id="1572810187">
      <w:bodyDiv w:val="1"/>
      <w:marLeft w:val="0"/>
      <w:marRight w:val="0"/>
      <w:marTop w:val="0"/>
      <w:marBottom w:val="0"/>
      <w:divBdr>
        <w:top w:val="none" w:sz="0" w:space="0" w:color="auto"/>
        <w:left w:val="none" w:sz="0" w:space="0" w:color="auto"/>
        <w:bottom w:val="none" w:sz="0" w:space="0" w:color="auto"/>
        <w:right w:val="none" w:sz="0" w:space="0" w:color="auto"/>
      </w:divBdr>
    </w:div>
    <w:div w:id="1620182385">
      <w:bodyDiv w:val="1"/>
      <w:marLeft w:val="0"/>
      <w:marRight w:val="0"/>
      <w:marTop w:val="0"/>
      <w:marBottom w:val="0"/>
      <w:divBdr>
        <w:top w:val="none" w:sz="0" w:space="0" w:color="auto"/>
        <w:left w:val="none" w:sz="0" w:space="0" w:color="auto"/>
        <w:bottom w:val="none" w:sz="0" w:space="0" w:color="auto"/>
        <w:right w:val="none" w:sz="0" w:space="0" w:color="auto"/>
      </w:divBdr>
    </w:div>
    <w:div w:id="1629235280">
      <w:bodyDiv w:val="1"/>
      <w:marLeft w:val="0"/>
      <w:marRight w:val="0"/>
      <w:marTop w:val="0"/>
      <w:marBottom w:val="0"/>
      <w:divBdr>
        <w:top w:val="none" w:sz="0" w:space="0" w:color="auto"/>
        <w:left w:val="none" w:sz="0" w:space="0" w:color="auto"/>
        <w:bottom w:val="none" w:sz="0" w:space="0" w:color="auto"/>
        <w:right w:val="none" w:sz="0" w:space="0" w:color="auto"/>
      </w:divBdr>
    </w:div>
    <w:div w:id="1638366892">
      <w:bodyDiv w:val="1"/>
      <w:marLeft w:val="0"/>
      <w:marRight w:val="0"/>
      <w:marTop w:val="0"/>
      <w:marBottom w:val="0"/>
      <w:divBdr>
        <w:top w:val="none" w:sz="0" w:space="0" w:color="auto"/>
        <w:left w:val="none" w:sz="0" w:space="0" w:color="auto"/>
        <w:bottom w:val="none" w:sz="0" w:space="0" w:color="auto"/>
        <w:right w:val="none" w:sz="0" w:space="0" w:color="auto"/>
      </w:divBdr>
    </w:div>
    <w:div w:id="1675566327">
      <w:bodyDiv w:val="1"/>
      <w:marLeft w:val="0"/>
      <w:marRight w:val="0"/>
      <w:marTop w:val="0"/>
      <w:marBottom w:val="0"/>
      <w:divBdr>
        <w:top w:val="none" w:sz="0" w:space="0" w:color="auto"/>
        <w:left w:val="none" w:sz="0" w:space="0" w:color="auto"/>
        <w:bottom w:val="none" w:sz="0" w:space="0" w:color="auto"/>
        <w:right w:val="none" w:sz="0" w:space="0" w:color="auto"/>
      </w:divBdr>
    </w:div>
    <w:div w:id="1716268565">
      <w:bodyDiv w:val="1"/>
      <w:marLeft w:val="0"/>
      <w:marRight w:val="0"/>
      <w:marTop w:val="0"/>
      <w:marBottom w:val="0"/>
      <w:divBdr>
        <w:top w:val="none" w:sz="0" w:space="0" w:color="auto"/>
        <w:left w:val="none" w:sz="0" w:space="0" w:color="auto"/>
        <w:bottom w:val="none" w:sz="0" w:space="0" w:color="auto"/>
        <w:right w:val="none" w:sz="0" w:space="0" w:color="auto"/>
      </w:divBdr>
    </w:div>
    <w:div w:id="1731029462">
      <w:bodyDiv w:val="1"/>
      <w:marLeft w:val="0"/>
      <w:marRight w:val="0"/>
      <w:marTop w:val="0"/>
      <w:marBottom w:val="0"/>
      <w:divBdr>
        <w:top w:val="none" w:sz="0" w:space="0" w:color="auto"/>
        <w:left w:val="none" w:sz="0" w:space="0" w:color="auto"/>
        <w:bottom w:val="none" w:sz="0" w:space="0" w:color="auto"/>
        <w:right w:val="none" w:sz="0" w:space="0" w:color="auto"/>
      </w:divBdr>
    </w:div>
    <w:div w:id="1743872869">
      <w:bodyDiv w:val="1"/>
      <w:marLeft w:val="0"/>
      <w:marRight w:val="0"/>
      <w:marTop w:val="0"/>
      <w:marBottom w:val="0"/>
      <w:divBdr>
        <w:top w:val="none" w:sz="0" w:space="0" w:color="auto"/>
        <w:left w:val="none" w:sz="0" w:space="0" w:color="auto"/>
        <w:bottom w:val="none" w:sz="0" w:space="0" w:color="auto"/>
        <w:right w:val="none" w:sz="0" w:space="0" w:color="auto"/>
      </w:divBdr>
    </w:div>
    <w:div w:id="1745444057">
      <w:bodyDiv w:val="1"/>
      <w:marLeft w:val="0"/>
      <w:marRight w:val="0"/>
      <w:marTop w:val="0"/>
      <w:marBottom w:val="0"/>
      <w:divBdr>
        <w:top w:val="none" w:sz="0" w:space="0" w:color="auto"/>
        <w:left w:val="none" w:sz="0" w:space="0" w:color="auto"/>
        <w:bottom w:val="none" w:sz="0" w:space="0" w:color="auto"/>
        <w:right w:val="none" w:sz="0" w:space="0" w:color="auto"/>
      </w:divBdr>
    </w:div>
    <w:div w:id="1754625795">
      <w:bodyDiv w:val="1"/>
      <w:marLeft w:val="0"/>
      <w:marRight w:val="0"/>
      <w:marTop w:val="0"/>
      <w:marBottom w:val="0"/>
      <w:divBdr>
        <w:top w:val="none" w:sz="0" w:space="0" w:color="auto"/>
        <w:left w:val="none" w:sz="0" w:space="0" w:color="auto"/>
        <w:bottom w:val="none" w:sz="0" w:space="0" w:color="auto"/>
        <w:right w:val="none" w:sz="0" w:space="0" w:color="auto"/>
      </w:divBdr>
    </w:div>
    <w:div w:id="1763723477">
      <w:bodyDiv w:val="1"/>
      <w:marLeft w:val="0"/>
      <w:marRight w:val="0"/>
      <w:marTop w:val="0"/>
      <w:marBottom w:val="0"/>
      <w:divBdr>
        <w:top w:val="none" w:sz="0" w:space="0" w:color="auto"/>
        <w:left w:val="none" w:sz="0" w:space="0" w:color="auto"/>
        <w:bottom w:val="none" w:sz="0" w:space="0" w:color="auto"/>
        <w:right w:val="none" w:sz="0" w:space="0" w:color="auto"/>
      </w:divBdr>
    </w:div>
    <w:div w:id="1791782385">
      <w:bodyDiv w:val="1"/>
      <w:marLeft w:val="0"/>
      <w:marRight w:val="0"/>
      <w:marTop w:val="0"/>
      <w:marBottom w:val="0"/>
      <w:divBdr>
        <w:top w:val="none" w:sz="0" w:space="0" w:color="auto"/>
        <w:left w:val="none" w:sz="0" w:space="0" w:color="auto"/>
        <w:bottom w:val="none" w:sz="0" w:space="0" w:color="auto"/>
        <w:right w:val="none" w:sz="0" w:space="0" w:color="auto"/>
      </w:divBdr>
    </w:div>
    <w:div w:id="1803039237">
      <w:bodyDiv w:val="1"/>
      <w:marLeft w:val="0"/>
      <w:marRight w:val="0"/>
      <w:marTop w:val="0"/>
      <w:marBottom w:val="0"/>
      <w:divBdr>
        <w:top w:val="none" w:sz="0" w:space="0" w:color="auto"/>
        <w:left w:val="none" w:sz="0" w:space="0" w:color="auto"/>
        <w:bottom w:val="none" w:sz="0" w:space="0" w:color="auto"/>
        <w:right w:val="none" w:sz="0" w:space="0" w:color="auto"/>
      </w:divBdr>
    </w:div>
    <w:div w:id="1819763784">
      <w:bodyDiv w:val="1"/>
      <w:marLeft w:val="0"/>
      <w:marRight w:val="0"/>
      <w:marTop w:val="0"/>
      <w:marBottom w:val="0"/>
      <w:divBdr>
        <w:top w:val="none" w:sz="0" w:space="0" w:color="auto"/>
        <w:left w:val="none" w:sz="0" w:space="0" w:color="auto"/>
        <w:bottom w:val="none" w:sz="0" w:space="0" w:color="auto"/>
        <w:right w:val="none" w:sz="0" w:space="0" w:color="auto"/>
      </w:divBdr>
    </w:div>
    <w:div w:id="1847016470">
      <w:bodyDiv w:val="1"/>
      <w:marLeft w:val="0"/>
      <w:marRight w:val="0"/>
      <w:marTop w:val="0"/>
      <w:marBottom w:val="0"/>
      <w:divBdr>
        <w:top w:val="none" w:sz="0" w:space="0" w:color="auto"/>
        <w:left w:val="none" w:sz="0" w:space="0" w:color="auto"/>
        <w:bottom w:val="none" w:sz="0" w:space="0" w:color="auto"/>
        <w:right w:val="none" w:sz="0" w:space="0" w:color="auto"/>
      </w:divBdr>
    </w:div>
    <w:div w:id="1880780183">
      <w:bodyDiv w:val="1"/>
      <w:marLeft w:val="0"/>
      <w:marRight w:val="0"/>
      <w:marTop w:val="0"/>
      <w:marBottom w:val="0"/>
      <w:divBdr>
        <w:top w:val="none" w:sz="0" w:space="0" w:color="auto"/>
        <w:left w:val="none" w:sz="0" w:space="0" w:color="auto"/>
        <w:bottom w:val="none" w:sz="0" w:space="0" w:color="auto"/>
        <w:right w:val="none" w:sz="0" w:space="0" w:color="auto"/>
      </w:divBdr>
    </w:div>
    <w:div w:id="1883708796">
      <w:bodyDiv w:val="1"/>
      <w:marLeft w:val="0"/>
      <w:marRight w:val="0"/>
      <w:marTop w:val="0"/>
      <w:marBottom w:val="0"/>
      <w:divBdr>
        <w:top w:val="none" w:sz="0" w:space="0" w:color="auto"/>
        <w:left w:val="none" w:sz="0" w:space="0" w:color="auto"/>
        <w:bottom w:val="none" w:sz="0" w:space="0" w:color="auto"/>
        <w:right w:val="none" w:sz="0" w:space="0" w:color="auto"/>
      </w:divBdr>
    </w:div>
    <w:div w:id="1981155313">
      <w:bodyDiv w:val="1"/>
      <w:marLeft w:val="0"/>
      <w:marRight w:val="0"/>
      <w:marTop w:val="0"/>
      <w:marBottom w:val="0"/>
      <w:divBdr>
        <w:top w:val="none" w:sz="0" w:space="0" w:color="auto"/>
        <w:left w:val="none" w:sz="0" w:space="0" w:color="auto"/>
        <w:bottom w:val="none" w:sz="0" w:space="0" w:color="auto"/>
        <w:right w:val="none" w:sz="0" w:space="0" w:color="auto"/>
      </w:divBdr>
    </w:div>
    <w:div w:id="2006780995">
      <w:bodyDiv w:val="1"/>
      <w:marLeft w:val="0"/>
      <w:marRight w:val="0"/>
      <w:marTop w:val="0"/>
      <w:marBottom w:val="0"/>
      <w:divBdr>
        <w:top w:val="none" w:sz="0" w:space="0" w:color="auto"/>
        <w:left w:val="none" w:sz="0" w:space="0" w:color="auto"/>
        <w:bottom w:val="none" w:sz="0" w:space="0" w:color="auto"/>
        <w:right w:val="none" w:sz="0" w:space="0" w:color="auto"/>
      </w:divBdr>
    </w:div>
    <w:div w:id="2040738589">
      <w:bodyDiv w:val="1"/>
      <w:marLeft w:val="0"/>
      <w:marRight w:val="0"/>
      <w:marTop w:val="0"/>
      <w:marBottom w:val="0"/>
      <w:divBdr>
        <w:top w:val="none" w:sz="0" w:space="0" w:color="auto"/>
        <w:left w:val="none" w:sz="0" w:space="0" w:color="auto"/>
        <w:bottom w:val="none" w:sz="0" w:space="0" w:color="auto"/>
        <w:right w:val="none" w:sz="0" w:space="0" w:color="auto"/>
      </w:divBdr>
    </w:div>
    <w:div w:id="2042320368">
      <w:bodyDiv w:val="1"/>
      <w:marLeft w:val="0"/>
      <w:marRight w:val="0"/>
      <w:marTop w:val="0"/>
      <w:marBottom w:val="0"/>
      <w:divBdr>
        <w:top w:val="none" w:sz="0" w:space="0" w:color="auto"/>
        <w:left w:val="none" w:sz="0" w:space="0" w:color="auto"/>
        <w:bottom w:val="none" w:sz="0" w:space="0" w:color="auto"/>
        <w:right w:val="none" w:sz="0" w:space="0" w:color="auto"/>
      </w:divBdr>
    </w:div>
    <w:div w:id="2044741613">
      <w:bodyDiv w:val="1"/>
      <w:marLeft w:val="0"/>
      <w:marRight w:val="0"/>
      <w:marTop w:val="0"/>
      <w:marBottom w:val="0"/>
      <w:divBdr>
        <w:top w:val="none" w:sz="0" w:space="0" w:color="auto"/>
        <w:left w:val="none" w:sz="0" w:space="0" w:color="auto"/>
        <w:bottom w:val="none" w:sz="0" w:space="0" w:color="auto"/>
        <w:right w:val="none" w:sz="0" w:space="0" w:color="auto"/>
      </w:divBdr>
    </w:div>
    <w:div w:id="2139955549">
      <w:bodyDiv w:val="1"/>
      <w:marLeft w:val="0"/>
      <w:marRight w:val="0"/>
      <w:marTop w:val="0"/>
      <w:marBottom w:val="0"/>
      <w:divBdr>
        <w:top w:val="none" w:sz="0" w:space="0" w:color="auto"/>
        <w:left w:val="none" w:sz="0" w:space="0" w:color="auto"/>
        <w:bottom w:val="none" w:sz="0" w:space="0" w:color="auto"/>
        <w:right w:val="none" w:sz="0" w:space="0" w:color="auto"/>
      </w:divBdr>
    </w:div>
    <w:div w:id="2146460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2020-07-06T15:35:00Z</dcterms:created>
  <dcterms:modified xsi:type="dcterms:W3CDTF">2020-07-06T15:35:00Z</dcterms:modified>
</cp:coreProperties>
</file>